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08E6E5A2" w:rsidR="00AA23EC" w:rsidRDefault="00DD466D" w:rsidP="00DD466D">
      <w:pPr>
        <w:pStyle w:val="Heading1"/>
      </w:pPr>
      <w:r>
        <w:t>1.ИМЕ НА ЛЕКАРСТВЕНИЯ ПРОДУКТ</w:t>
      </w:r>
    </w:p>
    <w:p w14:paraId="1D042E41" w14:textId="446F2225" w:rsidR="001D0665" w:rsidRDefault="001D0665" w:rsidP="001D0665"/>
    <w:p w14:paraId="13D5F82F" w14:textId="77777777" w:rsidR="001D0665" w:rsidRPr="001D0665" w:rsidRDefault="001D0665" w:rsidP="001D0665">
      <w:pPr>
        <w:rPr>
          <w:sz w:val="24"/>
          <w:szCs w:val="24"/>
          <w:lang w:val="ru-RU"/>
        </w:rPr>
      </w:pPr>
      <w:r w:rsidRPr="001D0665">
        <w:rPr>
          <w:lang w:eastAsia="bg-BG"/>
        </w:rPr>
        <w:t xml:space="preserve">Трилептал 150 </w:t>
      </w:r>
      <w:r w:rsidRPr="001D0665">
        <w:rPr>
          <w:lang w:val="en-US"/>
        </w:rPr>
        <w:t>mg</w:t>
      </w:r>
      <w:r w:rsidRPr="001D0665">
        <w:rPr>
          <w:lang w:val="ru-RU"/>
        </w:rPr>
        <w:t xml:space="preserve"> </w:t>
      </w:r>
      <w:r w:rsidRPr="001D0665">
        <w:rPr>
          <w:lang w:eastAsia="bg-BG"/>
        </w:rPr>
        <w:t>филмирани таблетки</w:t>
      </w:r>
    </w:p>
    <w:p w14:paraId="129ED042" w14:textId="77777777" w:rsidR="001D0665" w:rsidRPr="001D0665" w:rsidRDefault="001D0665" w:rsidP="001D0665">
      <w:pPr>
        <w:rPr>
          <w:sz w:val="24"/>
          <w:szCs w:val="24"/>
          <w:lang w:val="ru-RU"/>
        </w:rPr>
      </w:pPr>
      <w:r w:rsidRPr="001D0665">
        <w:rPr>
          <w:lang w:eastAsia="bg-BG"/>
        </w:rPr>
        <w:t xml:space="preserve">Трилептал 300 </w:t>
      </w:r>
      <w:r w:rsidRPr="001D0665">
        <w:rPr>
          <w:lang w:val="en-US"/>
        </w:rPr>
        <w:t>mg</w:t>
      </w:r>
      <w:r w:rsidRPr="001D0665">
        <w:rPr>
          <w:lang w:val="ru-RU"/>
        </w:rPr>
        <w:t xml:space="preserve"> </w:t>
      </w:r>
      <w:r w:rsidRPr="001D0665">
        <w:rPr>
          <w:lang w:eastAsia="bg-BG"/>
        </w:rPr>
        <w:t>филмирани таблетки</w:t>
      </w:r>
    </w:p>
    <w:p w14:paraId="71A83BC1" w14:textId="77777777" w:rsidR="001D0665" w:rsidRPr="001D0665" w:rsidRDefault="001D0665" w:rsidP="001D0665">
      <w:pPr>
        <w:rPr>
          <w:sz w:val="24"/>
          <w:szCs w:val="24"/>
          <w:lang w:val="ru-RU"/>
        </w:rPr>
      </w:pPr>
      <w:r w:rsidRPr="001D0665">
        <w:rPr>
          <w:lang w:eastAsia="bg-BG"/>
        </w:rPr>
        <w:t xml:space="preserve">Трилептал 600 </w:t>
      </w:r>
      <w:r w:rsidRPr="001D0665">
        <w:rPr>
          <w:lang w:val="en-US"/>
        </w:rPr>
        <w:t>mg</w:t>
      </w:r>
      <w:r w:rsidRPr="001D0665">
        <w:rPr>
          <w:lang w:val="ru-RU"/>
        </w:rPr>
        <w:t xml:space="preserve"> </w:t>
      </w:r>
      <w:r w:rsidRPr="001D0665">
        <w:rPr>
          <w:lang w:eastAsia="bg-BG"/>
        </w:rPr>
        <w:t>филмирани таблетки</w:t>
      </w:r>
    </w:p>
    <w:p w14:paraId="5E095BC3" w14:textId="77777777" w:rsidR="001D0665" w:rsidRPr="001D0665" w:rsidRDefault="001D0665" w:rsidP="001D0665">
      <w:pPr>
        <w:rPr>
          <w:sz w:val="24"/>
          <w:szCs w:val="24"/>
          <w:lang w:val="ru-RU"/>
        </w:rPr>
      </w:pPr>
      <w:proofErr w:type="spellStart"/>
      <w:r w:rsidRPr="001D0665">
        <w:rPr>
          <w:lang w:val="en-US"/>
        </w:rPr>
        <w:t>Trileptal</w:t>
      </w:r>
      <w:proofErr w:type="spellEnd"/>
      <w:r w:rsidRPr="001D0665">
        <w:rPr>
          <w:lang w:val="ru-RU"/>
        </w:rPr>
        <w:t xml:space="preserve"> </w:t>
      </w:r>
      <w:r w:rsidRPr="001D0665">
        <w:rPr>
          <w:lang w:eastAsia="bg-BG"/>
        </w:rPr>
        <w:t xml:space="preserve">150 </w:t>
      </w:r>
      <w:r w:rsidRPr="001D0665">
        <w:rPr>
          <w:lang w:val="en-US"/>
        </w:rPr>
        <w:t>mg</w:t>
      </w:r>
      <w:r w:rsidRPr="001D0665">
        <w:rPr>
          <w:lang w:val="ru-RU"/>
        </w:rPr>
        <w:t xml:space="preserve"> </w:t>
      </w:r>
      <w:r w:rsidRPr="001D0665">
        <w:rPr>
          <w:lang w:val="en-US"/>
        </w:rPr>
        <w:t>film</w:t>
      </w:r>
      <w:r w:rsidRPr="001D0665">
        <w:rPr>
          <w:lang w:val="ru-RU"/>
        </w:rPr>
        <w:t>-</w:t>
      </w:r>
      <w:r w:rsidRPr="001D0665">
        <w:rPr>
          <w:lang w:val="en-US"/>
        </w:rPr>
        <w:t>coated</w:t>
      </w:r>
      <w:r w:rsidRPr="001D0665">
        <w:rPr>
          <w:lang w:val="ru-RU"/>
        </w:rPr>
        <w:t xml:space="preserve"> </w:t>
      </w:r>
      <w:r w:rsidRPr="001D0665">
        <w:rPr>
          <w:lang w:val="en-US"/>
        </w:rPr>
        <w:t>tablets</w:t>
      </w:r>
    </w:p>
    <w:p w14:paraId="28124366" w14:textId="77777777" w:rsidR="001D0665" w:rsidRPr="001D0665" w:rsidRDefault="001D0665" w:rsidP="001D0665">
      <w:pPr>
        <w:rPr>
          <w:sz w:val="24"/>
          <w:szCs w:val="24"/>
          <w:lang w:val="en-US"/>
        </w:rPr>
      </w:pPr>
      <w:proofErr w:type="spellStart"/>
      <w:r w:rsidRPr="001D0665">
        <w:rPr>
          <w:lang w:val="en-US"/>
        </w:rPr>
        <w:t>Trileptal</w:t>
      </w:r>
      <w:proofErr w:type="spellEnd"/>
      <w:r w:rsidRPr="001D0665">
        <w:rPr>
          <w:lang w:val="en-US"/>
        </w:rPr>
        <w:t xml:space="preserve"> 300 mg film-coated tablets</w:t>
      </w:r>
    </w:p>
    <w:p w14:paraId="767DB78F" w14:textId="5FB067AF" w:rsidR="001D0665" w:rsidRPr="001D0665" w:rsidRDefault="001D0665" w:rsidP="001D0665">
      <w:proofErr w:type="spellStart"/>
      <w:r w:rsidRPr="001D0665">
        <w:rPr>
          <w:lang w:val="en-US"/>
        </w:rPr>
        <w:t>Trileptal</w:t>
      </w:r>
      <w:proofErr w:type="spellEnd"/>
      <w:r w:rsidRPr="001D0665">
        <w:rPr>
          <w:lang w:val="en-US"/>
        </w:rPr>
        <w:t xml:space="preserve"> 600 mg film-coated tablets</w:t>
      </w:r>
    </w:p>
    <w:p w14:paraId="0A368469" w14:textId="0D86974B" w:rsidR="00C0049F" w:rsidRDefault="00DD466D" w:rsidP="009F1313">
      <w:pPr>
        <w:pStyle w:val="Heading1"/>
      </w:pPr>
      <w:r>
        <w:t>2. КАЧЕСТВЕН И КОЛИЧЕСТВЕН СЪСТАВ</w:t>
      </w:r>
    </w:p>
    <w:p w14:paraId="7F66CF3D" w14:textId="262963CD" w:rsidR="001D0665" w:rsidRDefault="001D0665" w:rsidP="001D0665"/>
    <w:p w14:paraId="1CE68711" w14:textId="34764D65" w:rsidR="001D0665" w:rsidRDefault="001D0665" w:rsidP="001D0665">
      <w:pPr>
        <w:rPr>
          <w:i/>
          <w:iCs/>
        </w:rPr>
      </w:pPr>
      <w:r w:rsidRPr="001D0665">
        <w:rPr>
          <w:lang w:eastAsia="bg-BG"/>
        </w:rPr>
        <w:t xml:space="preserve">Всяка филмирана таблетка Трилептал съдържа 150 </w:t>
      </w:r>
      <w:r w:rsidRPr="001D0665">
        <w:rPr>
          <w:lang w:val="en-US"/>
        </w:rPr>
        <w:t>mg</w:t>
      </w:r>
      <w:r w:rsidRPr="001D0665">
        <w:t xml:space="preserve">, </w:t>
      </w:r>
      <w:r w:rsidRPr="001D0665">
        <w:rPr>
          <w:lang w:eastAsia="bg-BG"/>
        </w:rPr>
        <w:t xml:space="preserve">300 </w:t>
      </w:r>
      <w:r w:rsidRPr="001D0665">
        <w:rPr>
          <w:lang w:val="en-US"/>
        </w:rPr>
        <w:t>mg</w:t>
      </w:r>
      <w:r w:rsidRPr="001D0665">
        <w:t xml:space="preserve"> </w:t>
      </w:r>
      <w:r w:rsidRPr="001D0665">
        <w:rPr>
          <w:lang w:eastAsia="bg-BG"/>
        </w:rPr>
        <w:t xml:space="preserve">или 600 </w:t>
      </w:r>
      <w:r w:rsidRPr="001D0665">
        <w:rPr>
          <w:lang w:val="en-US"/>
        </w:rPr>
        <w:t>mg</w:t>
      </w:r>
      <w:r w:rsidRPr="001D0665">
        <w:t xml:space="preserve"> </w:t>
      </w:r>
      <w:r w:rsidRPr="001D0665">
        <w:rPr>
          <w:lang w:eastAsia="bg-BG"/>
        </w:rPr>
        <w:t xml:space="preserve">окскарбазепин </w:t>
      </w:r>
      <w:r w:rsidRPr="001D0665">
        <w:rPr>
          <w:i/>
          <w:iCs/>
          <w:lang w:eastAsia="bg-BG"/>
        </w:rPr>
        <w:t>(</w:t>
      </w:r>
      <w:r w:rsidRPr="001D0665">
        <w:rPr>
          <w:i/>
          <w:iCs/>
          <w:lang w:val="en-US"/>
        </w:rPr>
        <w:t>oxcarbazepine</w:t>
      </w:r>
      <w:r w:rsidRPr="001D0665">
        <w:rPr>
          <w:i/>
          <w:iCs/>
        </w:rPr>
        <w:t>).</w:t>
      </w:r>
    </w:p>
    <w:p w14:paraId="3983F6E1" w14:textId="77777777" w:rsidR="001D0665" w:rsidRPr="001D0665" w:rsidRDefault="001D0665" w:rsidP="001D0665">
      <w:pPr>
        <w:rPr>
          <w:sz w:val="24"/>
          <w:szCs w:val="24"/>
        </w:rPr>
      </w:pPr>
    </w:p>
    <w:p w14:paraId="614984C4" w14:textId="16A2F1C1" w:rsidR="008A6AF2" w:rsidRDefault="00DD466D" w:rsidP="002C50EE">
      <w:pPr>
        <w:pStyle w:val="Heading1"/>
      </w:pPr>
      <w:r>
        <w:t>3. ЛЕКАРСТВЕНА ФОРМА</w:t>
      </w:r>
    </w:p>
    <w:p w14:paraId="04212EB1" w14:textId="0808EAE9" w:rsidR="001D0665" w:rsidRDefault="001D0665" w:rsidP="001D0665"/>
    <w:p w14:paraId="0889AF94" w14:textId="77777777" w:rsidR="001D0665" w:rsidRPr="001D0665" w:rsidRDefault="001D0665" w:rsidP="001D0665">
      <w:pPr>
        <w:rPr>
          <w:sz w:val="24"/>
          <w:szCs w:val="24"/>
        </w:rPr>
      </w:pPr>
      <w:r w:rsidRPr="001D0665">
        <w:rPr>
          <w:lang w:eastAsia="bg-BG"/>
        </w:rPr>
        <w:t>Филмирана таблетка.</w:t>
      </w:r>
    </w:p>
    <w:p w14:paraId="5E8A7CF6" w14:textId="77777777" w:rsidR="001D0665" w:rsidRDefault="001D0665" w:rsidP="001D0665">
      <w:pPr>
        <w:rPr>
          <w:b/>
          <w:bCs/>
          <w:lang w:eastAsia="bg-BG"/>
        </w:rPr>
      </w:pPr>
    </w:p>
    <w:p w14:paraId="25217764" w14:textId="0469811A" w:rsidR="001D0665" w:rsidRPr="001D0665" w:rsidRDefault="001D0665" w:rsidP="001D0665">
      <w:pPr>
        <w:rPr>
          <w:sz w:val="24"/>
          <w:szCs w:val="24"/>
        </w:rPr>
      </w:pPr>
      <w:r w:rsidRPr="001D0665">
        <w:rPr>
          <w:b/>
          <w:bCs/>
          <w:lang w:eastAsia="bg-BG"/>
        </w:rPr>
        <w:t xml:space="preserve">150 </w:t>
      </w:r>
      <w:r w:rsidRPr="001D0665">
        <w:rPr>
          <w:b/>
          <w:bCs/>
          <w:lang w:val="en-US"/>
        </w:rPr>
        <w:t>mg</w:t>
      </w:r>
      <w:r w:rsidRPr="001D0665">
        <w:rPr>
          <w:b/>
          <w:bCs/>
          <w:lang w:val="ru-RU"/>
        </w:rPr>
        <w:t xml:space="preserve">: </w:t>
      </w:r>
      <w:r w:rsidRPr="001D0665">
        <w:rPr>
          <w:lang w:eastAsia="bg-BG"/>
        </w:rPr>
        <w:t xml:space="preserve">бледо сиво-зелени овални, леко двойноизпъкнали таблетки, с делителна черта от двете страни. Надпис </w:t>
      </w:r>
      <w:r w:rsidRPr="001D0665">
        <w:rPr>
          <w:lang w:val="ru-RU"/>
        </w:rPr>
        <w:t>“</w:t>
      </w:r>
      <w:r w:rsidRPr="001D0665">
        <w:rPr>
          <w:lang w:val="en-US"/>
        </w:rPr>
        <w:t>T</w:t>
      </w:r>
      <w:r w:rsidRPr="001D0665">
        <w:rPr>
          <w:lang w:val="ru-RU"/>
        </w:rPr>
        <w:t>/</w:t>
      </w:r>
      <w:r w:rsidRPr="001D0665">
        <w:rPr>
          <w:lang w:val="en-US"/>
        </w:rPr>
        <w:t>D</w:t>
      </w:r>
      <w:r w:rsidRPr="001D0665">
        <w:rPr>
          <w:lang w:val="ru-RU"/>
        </w:rPr>
        <w:t xml:space="preserve">” </w:t>
      </w:r>
      <w:r w:rsidRPr="001D0665">
        <w:rPr>
          <w:lang w:eastAsia="bg-BG"/>
        </w:rPr>
        <w:t>от едната страна и “С</w:t>
      </w:r>
      <w:r w:rsidRPr="001D0665">
        <w:rPr>
          <w:lang w:val="ru-RU"/>
        </w:rPr>
        <w:t>/</w:t>
      </w:r>
      <w:r w:rsidRPr="001D0665">
        <w:rPr>
          <w:lang w:val="en-US"/>
        </w:rPr>
        <w:t>G</w:t>
      </w:r>
      <w:r w:rsidRPr="001D0665">
        <w:rPr>
          <w:lang w:val="ru-RU"/>
        </w:rPr>
        <w:t xml:space="preserve">” </w:t>
      </w:r>
      <w:r w:rsidRPr="001D0665">
        <w:rPr>
          <w:lang w:eastAsia="bg-BG"/>
        </w:rPr>
        <w:t>от другата.</w:t>
      </w:r>
    </w:p>
    <w:p w14:paraId="0FEDFAC4" w14:textId="77777777" w:rsidR="001D0665" w:rsidRPr="001D0665" w:rsidRDefault="001D0665" w:rsidP="001D0665">
      <w:pPr>
        <w:rPr>
          <w:sz w:val="24"/>
          <w:szCs w:val="24"/>
        </w:rPr>
      </w:pPr>
      <w:r w:rsidRPr="001D0665">
        <w:rPr>
          <w:b/>
          <w:bCs/>
          <w:lang w:eastAsia="bg-BG"/>
        </w:rPr>
        <w:t xml:space="preserve">300 </w:t>
      </w:r>
      <w:r w:rsidRPr="001D0665">
        <w:rPr>
          <w:b/>
          <w:bCs/>
          <w:lang w:val="en-US"/>
        </w:rPr>
        <w:t>mg</w:t>
      </w:r>
      <w:r w:rsidRPr="001D0665">
        <w:rPr>
          <w:b/>
          <w:bCs/>
          <w:lang w:val="ru-RU"/>
        </w:rPr>
        <w:t xml:space="preserve">: </w:t>
      </w:r>
      <w:r w:rsidRPr="001D0665">
        <w:rPr>
          <w:lang w:eastAsia="bg-BG"/>
        </w:rPr>
        <w:t>жълти овални таблетки, леко двойноизпъкнали с делителна черта от двете страни.</w:t>
      </w:r>
    </w:p>
    <w:p w14:paraId="37B9F6F6" w14:textId="77777777" w:rsidR="001D0665" w:rsidRPr="001D0665" w:rsidRDefault="001D0665" w:rsidP="001D0665">
      <w:pPr>
        <w:rPr>
          <w:sz w:val="24"/>
          <w:szCs w:val="24"/>
        </w:rPr>
      </w:pPr>
      <w:r w:rsidRPr="001D0665">
        <w:rPr>
          <w:lang w:eastAsia="bg-BG"/>
        </w:rPr>
        <w:t xml:space="preserve">Надпис “ТЕ/ТЕ” от едната страна и </w:t>
      </w:r>
      <w:r w:rsidRPr="001D0665">
        <w:rPr>
          <w:lang w:val="ru-RU"/>
        </w:rPr>
        <w:t>“</w:t>
      </w:r>
      <w:r w:rsidRPr="001D0665">
        <w:rPr>
          <w:lang w:val="en-US"/>
        </w:rPr>
        <w:t>CG</w:t>
      </w:r>
      <w:r w:rsidRPr="001D0665">
        <w:rPr>
          <w:lang w:val="ru-RU"/>
        </w:rPr>
        <w:t>/</w:t>
      </w:r>
      <w:r w:rsidRPr="001D0665">
        <w:rPr>
          <w:lang w:val="en-US"/>
        </w:rPr>
        <w:t>CG</w:t>
      </w:r>
      <w:r w:rsidRPr="001D0665">
        <w:rPr>
          <w:lang w:val="ru-RU"/>
        </w:rPr>
        <w:t xml:space="preserve">” </w:t>
      </w:r>
      <w:r w:rsidRPr="001D0665">
        <w:rPr>
          <w:lang w:eastAsia="bg-BG"/>
        </w:rPr>
        <w:t>от другата.</w:t>
      </w:r>
    </w:p>
    <w:p w14:paraId="74441953" w14:textId="77777777" w:rsidR="001D0665" w:rsidRPr="001D0665" w:rsidRDefault="001D0665" w:rsidP="001D0665">
      <w:pPr>
        <w:rPr>
          <w:sz w:val="24"/>
          <w:szCs w:val="24"/>
        </w:rPr>
      </w:pPr>
      <w:r w:rsidRPr="001D0665">
        <w:rPr>
          <w:b/>
          <w:bCs/>
          <w:lang w:eastAsia="bg-BG"/>
        </w:rPr>
        <w:t xml:space="preserve">600 </w:t>
      </w:r>
      <w:r w:rsidRPr="001D0665">
        <w:rPr>
          <w:b/>
          <w:bCs/>
          <w:lang w:val="en-US"/>
        </w:rPr>
        <w:t>mg</w:t>
      </w:r>
      <w:r w:rsidRPr="001D0665">
        <w:rPr>
          <w:b/>
          <w:bCs/>
          <w:lang w:val="ru-RU"/>
        </w:rPr>
        <w:t xml:space="preserve">: </w:t>
      </w:r>
      <w:r w:rsidRPr="001D0665">
        <w:rPr>
          <w:lang w:eastAsia="bg-BG"/>
        </w:rPr>
        <w:t xml:space="preserve">бледорозови овални таблетки, леко двойноизпъкнали с делителна черта от двете страни. Надпис </w:t>
      </w:r>
      <w:r w:rsidRPr="001D0665">
        <w:rPr>
          <w:lang w:val="ru-RU"/>
        </w:rPr>
        <w:t>“</w:t>
      </w:r>
      <w:r w:rsidRPr="001D0665">
        <w:rPr>
          <w:lang w:val="en-US"/>
        </w:rPr>
        <w:t>TF</w:t>
      </w:r>
      <w:r w:rsidRPr="001D0665">
        <w:rPr>
          <w:lang w:val="ru-RU"/>
        </w:rPr>
        <w:t>/</w:t>
      </w:r>
      <w:r w:rsidRPr="001D0665">
        <w:rPr>
          <w:lang w:val="en-US"/>
        </w:rPr>
        <w:t>TF</w:t>
      </w:r>
      <w:r w:rsidRPr="001D0665">
        <w:rPr>
          <w:lang w:val="ru-RU"/>
        </w:rPr>
        <w:t xml:space="preserve">” </w:t>
      </w:r>
      <w:r w:rsidRPr="001D0665">
        <w:rPr>
          <w:lang w:eastAsia="bg-BG"/>
        </w:rPr>
        <w:t xml:space="preserve">от едната страна и </w:t>
      </w:r>
      <w:r w:rsidRPr="001D0665">
        <w:rPr>
          <w:lang w:val="ru-RU"/>
        </w:rPr>
        <w:t>“</w:t>
      </w:r>
      <w:r w:rsidRPr="001D0665">
        <w:rPr>
          <w:lang w:val="en-US"/>
        </w:rPr>
        <w:t>CG</w:t>
      </w:r>
      <w:r w:rsidRPr="001D0665">
        <w:rPr>
          <w:lang w:val="ru-RU"/>
        </w:rPr>
        <w:t>/</w:t>
      </w:r>
      <w:r w:rsidRPr="001D0665">
        <w:rPr>
          <w:lang w:val="en-US"/>
        </w:rPr>
        <w:t>CG</w:t>
      </w:r>
      <w:r w:rsidRPr="001D0665">
        <w:rPr>
          <w:lang w:val="ru-RU"/>
        </w:rPr>
        <w:t xml:space="preserve">” </w:t>
      </w:r>
      <w:r w:rsidRPr="001D0665">
        <w:rPr>
          <w:lang w:eastAsia="bg-BG"/>
        </w:rPr>
        <w:t>от другата.</w:t>
      </w:r>
    </w:p>
    <w:p w14:paraId="782A28BB" w14:textId="77777777" w:rsidR="001D0665" w:rsidRDefault="001D0665" w:rsidP="001D0665">
      <w:pPr>
        <w:rPr>
          <w:lang w:eastAsia="bg-BG"/>
        </w:rPr>
      </w:pPr>
    </w:p>
    <w:p w14:paraId="738C7CCF" w14:textId="6F9D148C" w:rsidR="001D0665" w:rsidRPr="001D0665" w:rsidRDefault="001D0665" w:rsidP="001D0665">
      <w:pPr>
        <w:rPr>
          <w:sz w:val="24"/>
          <w:szCs w:val="24"/>
        </w:rPr>
      </w:pPr>
      <w:r w:rsidRPr="001D0665">
        <w:rPr>
          <w:lang w:eastAsia="bg-BG"/>
        </w:rPr>
        <w:t>Делителната черта е само за улесняване на счупването с цел по-лесно гълтане, а не за разделяне на равни дози.</w:t>
      </w:r>
    </w:p>
    <w:p w14:paraId="59289F5F" w14:textId="77777777" w:rsidR="001D0665" w:rsidRPr="001D0665" w:rsidRDefault="001D0665" w:rsidP="001D0665"/>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01E8E441" w:rsidR="00395555" w:rsidRDefault="00395555" w:rsidP="00395555"/>
    <w:p w14:paraId="2E815FE5" w14:textId="77777777" w:rsidR="001D0665" w:rsidRPr="001D0665" w:rsidRDefault="001D0665" w:rsidP="001D0665">
      <w:pPr>
        <w:rPr>
          <w:sz w:val="24"/>
          <w:szCs w:val="24"/>
        </w:rPr>
      </w:pPr>
      <w:r w:rsidRPr="001D0665">
        <w:rPr>
          <w:lang w:eastAsia="bg-BG"/>
        </w:rPr>
        <w:t>Трилептал е показан за лечение на парциални пристъпи със или без вторично генерализирани тонично-клонични гърчове.</w:t>
      </w:r>
    </w:p>
    <w:p w14:paraId="6A49456D" w14:textId="77777777" w:rsidR="001D0665" w:rsidRDefault="001D0665" w:rsidP="001D0665">
      <w:pPr>
        <w:rPr>
          <w:lang w:eastAsia="bg-BG"/>
        </w:rPr>
      </w:pPr>
    </w:p>
    <w:p w14:paraId="34489D66" w14:textId="60CB1749" w:rsidR="001D0665" w:rsidRPr="001D0665" w:rsidRDefault="001D0665" w:rsidP="001D0665">
      <w:pPr>
        <w:rPr>
          <w:sz w:val="24"/>
          <w:szCs w:val="24"/>
        </w:rPr>
      </w:pPr>
      <w:r w:rsidRPr="001D0665">
        <w:rPr>
          <w:lang w:eastAsia="bg-BG"/>
        </w:rPr>
        <w:t>Трилептал е показан за употреба като монотерапия или допълнителна терапия при възрастни и деца над 6-годишна възраст.</w:t>
      </w:r>
    </w:p>
    <w:p w14:paraId="5E8940E4" w14:textId="77777777" w:rsidR="001D0665" w:rsidRPr="00395555" w:rsidRDefault="001D0665" w:rsidP="00395555"/>
    <w:p w14:paraId="7C0CA5EB" w14:textId="17F954BF" w:rsidR="00C0049F" w:rsidRDefault="002C50EE" w:rsidP="009F1313">
      <w:pPr>
        <w:pStyle w:val="Heading2"/>
      </w:pPr>
      <w:r>
        <w:t>4.2. Дозировка и начин на приложение</w:t>
      </w:r>
    </w:p>
    <w:p w14:paraId="5334D750" w14:textId="2D34ED2F" w:rsidR="001D0665" w:rsidRDefault="001D0665" w:rsidP="001D0665"/>
    <w:p w14:paraId="5ADCE0A6" w14:textId="77777777" w:rsidR="001D0665" w:rsidRPr="001D0665" w:rsidRDefault="001D0665" w:rsidP="001D0665">
      <w:pPr>
        <w:pStyle w:val="Heading3"/>
        <w:rPr>
          <w:rFonts w:eastAsia="Times New Roman"/>
          <w:b/>
          <w:u w:val="single"/>
        </w:rPr>
      </w:pPr>
      <w:bookmarkStart w:id="1" w:name="bookmark0"/>
      <w:r w:rsidRPr="001D0665">
        <w:rPr>
          <w:rFonts w:eastAsia="Times New Roman"/>
          <w:b/>
          <w:u w:val="single"/>
          <w:lang w:eastAsia="bg-BG"/>
        </w:rPr>
        <w:lastRenderedPageBreak/>
        <w:t>Дозировка</w:t>
      </w:r>
      <w:bookmarkEnd w:id="1"/>
    </w:p>
    <w:p w14:paraId="627BE4BC" w14:textId="1ABE88A6" w:rsidR="001D0665" w:rsidRPr="001D0665" w:rsidRDefault="001D0665" w:rsidP="001D0665">
      <w:pPr>
        <w:rPr>
          <w:rFonts w:eastAsia="Times New Roman" w:cs="Arial"/>
          <w:color w:val="000000"/>
          <w:lang w:eastAsia="bg-BG"/>
        </w:rPr>
      </w:pPr>
      <w:r w:rsidRPr="001D0665">
        <w:rPr>
          <w:rFonts w:eastAsia="Times New Roman" w:cs="Arial"/>
          <w:color w:val="000000"/>
          <w:lang w:eastAsia="bg-BG"/>
        </w:rPr>
        <w:t>Като моно- или допълнителна терапия лечението е Трилептал се започва с клинично ефективна доза, разделена на два приема. Дозата може да бъде увеличена в зависимост от клиничния отговор на пациента. Когато Трилептал заменя други антиепилептични лекарствени продукти, дозата на съпътстващия антиепилептичен лекарствен продукт трябва да се понижава постепенно при започване на лечение с Трилептал. При употреба като адювантна терапия, тъй като се повишава общото обременяване на пациента с антиепилептични лекарства, може да се наложи да се редуцира дозата на съпътстващия антиепилептичен лекарсвен продукт и/или дозата на Трилептал да се повишава по-бавно (вж. точка 4.5)</w:t>
      </w:r>
    </w:p>
    <w:p w14:paraId="1A8D1376" w14:textId="31305076" w:rsidR="001D0665" w:rsidRPr="001D0665" w:rsidRDefault="001D0665" w:rsidP="001D0665">
      <w:pPr>
        <w:rPr>
          <w:rFonts w:eastAsia="Times New Roman" w:cs="Arial"/>
          <w:color w:val="000000"/>
          <w:lang w:eastAsia="bg-BG"/>
        </w:rPr>
      </w:pPr>
    </w:p>
    <w:p w14:paraId="5B54E675"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Трилептал перорална суспензия и Трилептал филмирани таблетки са биоеквивалентни и могат да бъдат взаимозаменяеми при еднакви дози.</w:t>
      </w:r>
    </w:p>
    <w:p w14:paraId="1DCE2940" w14:textId="77777777" w:rsidR="001D0665" w:rsidRPr="001D0665" w:rsidRDefault="001D0665" w:rsidP="001D0665">
      <w:pPr>
        <w:spacing w:line="240" w:lineRule="auto"/>
        <w:rPr>
          <w:rFonts w:eastAsia="Times New Roman" w:cs="Arial"/>
          <w:b/>
          <w:bCs/>
          <w:color w:val="000000"/>
          <w:lang w:eastAsia="bg-BG"/>
        </w:rPr>
      </w:pPr>
    </w:p>
    <w:p w14:paraId="6319EF98" w14:textId="5B1DB5A4" w:rsidR="001D0665" w:rsidRPr="001D0665" w:rsidRDefault="001D0665" w:rsidP="001D0665">
      <w:pPr>
        <w:spacing w:line="240" w:lineRule="auto"/>
        <w:rPr>
          <w:rFonts w:eastAsia="Times New Roman" w:cs="Arial"/>
          <w:sz w:val="24"/>
          <w:szCs w:val="24"/>
        </w:rPr>
      </w:pPr>
      <w:r w:rsidRPr="001D0665">
        <w:rPr>
          <w:rFonts w:eastAsia="Times New Roman" w:cs="Arial"/>
          <w:b/>
          <w:bCs/>
          <w:color w:val="000000"/>
          <w:lang w:eastAsia="bg-BG"/>
        </w:rPr>
        <w:t>Терапевтичен лекарствен мониторинг</w:t>
      </w:r>
    </w:p>
    <w:p w14:paraId="750972EE"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Терапевтичният ефект на окскарбазепин се дължи предимно на активният метаболит 10- монохидроксилно производно (МХП) на окскарбазепин (вж. точка 5 Фармакологични свойства).</w:t>
      </w:r>
    </w:p>
    <w:p w14:paraId="068B1711"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Не е необходимо мониториране на плазмените нива на окскарбазепин или МХП. Въпреки това, може да се обмисли мониториране на плазменото ниво на МХП по време на лечение с Трилептал, за да се изключи непридържане към терапията или в случаи, когато може да се очаква промяна в клирънса на МХП, в това число:</w:t>
      </w:r>
    </w:p>
    <w:p w14:paraId="21008B5E" w14:textId="7EDAC618" w:rsidR="001D0665" w:rsidRPr="001D0665" w:rsidRDefault="001D0665" w:rsidP="001D0665">
      <w:pPr>
        <w:pStyle w:val="ListParagraph"/>
        <w:numPr>
          <w:ilvl w:val="0"/>
          <w:numId w:val="32"/>
        </w:numPr>
        <w:spacing w:line="240" w:lineRule="auto"/>
        <w:rPr>
          <w:rFonts w:eastAsia="Times New Roman" w:cs="Arial"/>
          <w:color w:val="000000"/>
          <w:lang w:eastAsia="bg-BG"/>
        </w:rPr>
      </w:pPr>
      <w:r w:rsidRPr="001D0665">
        <w:rPr>
          <w:rFonts w:eastAsia="Times New Roman" w:cs="Arial"/>
          <w:color w:val="000000"/>
          <w:lang w:eastAsia="bg-BG"/>
        </w:rPr>
        <w:t>промяна на бъбречната функция (вж. дозировка при бъбречни увреждания в точка 4.2)</w:t>
      </w:r>
    </w:p>
    <w:p w14:paraId="2CEF64B9" w14:textId="77777777" w:rsidR="001D0665" w:rsidRPr="001D0665" w:rsidRDefault="001D0665" w:rsidP="001D0665">
      <w:pPr>
        <w:pStyle w:val="ListParagraph"/>
        <w:numPr>
          <w:ilvl w:val="0"/>
          <w:numId w:val="32"/>
        </w:numPr>
        <w:spacing w:line="240" w:lineRule="auto"/>
        <w:rPr>
          <w:rFonts w:eastAsia="Times New Roman" w:cs="Arial"/>
          <w:color w:val="000000"/>
          <w:lang w:eastAsia="bg-BG"/>
        </w:rPr>
      </w:pPr>
      <w:r w:rsidRPr="001D0665">
        <w:rPr>
          <w:rFonts w:eastAsia="Times New Roman" w:cs="Arial"/>
          <w:color w:val="000000"/>
          <w:lang w:eastAsia="bg-BG"/>
        </w:rPr>
        <w:t>бременност (вж. точки 4.6 и 5)</w:t>
      </w:r>
    </w:p>
    <w:p w14:paraId="76F7E34C" w14:textId="77777777" w:rsidR="001D0665" w:rsidRPr="001D0665" w:rsidRDefault="001D0665" w:rsidP="001D0665">
      <w:pPr>
        <w:pStyle w:val="ListParagraph"/>
        <w:numPr>
          <w:ilvl w:val="0"/>
          <w:numId w:val="32"/>
        </w:numPr>
        <w:spacing w:line="240" w:lineRule="auto"/>
        <w:rPr>
          <w:rFonts w:eastAsia="Times New Roman" w:cs="Arial"/>
          <w:color w:val="000000"/>
          <w:lang w:eastAsia="bg-BG"/>
        </w:rPr>
      </w:pPr>
      <w:r w:rsidRPr="001D0665">
        <w:rPr>
          <w:rFonts w:eastAsia="Times New Roman" w:cs="Arial"/>
          <w:color w:val="000000"/>
          <w:lang w:eastAsia="bg-BG"/>
        </w:rPr>
        <w:t>едновременна употреба с лекарствени продукти ивдуктори на чернодробните ензими (вж. точка 4.5)</w:t>
      </w:r>
    </w:p>
    <w:p w14:paraId="029CF989" w14:textId="77777777" w:rsidR="001D0665" w:rsidRPr="001D0665" w:rsidRDefault="001D0665" w:rsidP="001D0665">
      <w:pPr>
        <w:spacing w:line="240" w:lineRule="auto"/>
        <w:rPr>
          <w:rFonts w:eastAsia="Times New Roman" w:cs="Arial"/>
          <w:color w:val="000000"/>
          <w:lang w:eastAsia="bg-BG"/>
        </w:rPr>
      </w:pPr>
    </w:p>
    <w:p w14:paraId="1ED7CF80" w14:textId="7F58896C"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 xml:space="preserve">Ако някоя от тези ситуации се случи, дозата на Трилептал може да бъде променена (въз основа на плазмените нива, измерени 2-4 часа след приема на дозата), за да се поддържа пикова плазмена концентрация на МХП &lt; 35 </w:t>
      </w:r>
      <w:r w:rsidRPr="001D0665">
        <w:rPr>
          <w:rFonts w:eastAsia="Times New Roman" w:cs="Arial"/>
          <w:color w:val="000000"/>
          <w:lang w:val="en-US"/>
        </w:rPr>
        <w:t>mg</w:t>
      </w:r>
      <w:r w:rsidRPr="001D0665">
        <w:rPr>
          <w:rFonts w:eastAsia="Times New Roman" w:cs="Arial"/>
          <w:color w:val="000000"/>
          <w:lang w:val="ru-RU"/>
        </w:rPr>
        <w:t>/1.</w:t>
      </w:r>
    </w:p>
    <w:p w14:paraId="23F6C05E" w14:textId="77777777" w:rsidR="001D0665" w:rsidRPr="001D0665" w:rsidRDefault="001D0665" w:rsidP="001D0665">
      <w:pPr>
        <w:spacing w:line="240" w:lineRule="auto"/>
        <w:rPr>
          <w:rFonts w:eastAsia="Times New Roman" w:cs="Arial"/>
          <w:color w:val="000000"/>
          <w:u w:val="single"/>
          <w:lang w:eastAsia="bg-BG"/>
        </w:rPr>
      </w:pPr>
    </w:p>
    <w:p w14:paraId="584022C3" w14:textId="2B923B39" w:rsidR="001D0665" w:rsidRPr="001D0665" w:rsidRDefault="001D0665" w:rsidP="001D0665">
      <w:pPr>
        <w:spacing w:line="240" w:lineRule="auto"/>
        <w:rPr>
          <w:rFonts w:eastAsia="Times New Roman" w:cs="Arial"/>
          <w:sz w:val="24"/>
          <w:szCs w:val="24"/>
        </w:rPr>
      </w:pPr>
      <w:r w:rsidRPr="001D0665">
        <w:rPr>
          <w:rFonts w:eastAsia="Times New Roman" w:cs="Arial"/>
          <w:color w:val="000000"/>
          <w:u w:val="single"/>
          <w:lang w:eastAsia="bg-BG"/>
        </w:rPr>
        <w:t>Възрастни пациенти</w:t>
      </w:r>
    </w:p>
    <w:p w14:paraId="2F8274B3" w14:textId="77777777" w:rsidR="001D0665" w:rsidRPr="001D0665" w:rsidRDefault="001D0665" w:rsidP="001D0665">
      <w:pPr>
        <w:spacing w:line="240" w:lineRule="auto"/>
        <w:rPr>
          <w:rFonts w:eastAsia="Times New Roman" w:cs="Arial"/>
          <w:sz w:val="24"/>
          <w:szCs w:val="24"/>
        </w:rPr>
      </w:pPr>
      <w:r w:rsidRPr="001D0665">
        <w:rPr>
          <w:rFonts w:eastAsia="Times New Roman" w:cs="Arial"/>
          <w:i/>
          <w:iCs/>
          <w:color w:val="000000"/>
          <w:lang w:eastAsia="bg-BG"/>
        </w:rPr>
        <w:t>Монотерапия и допълнителна терапия</w:t>
      </w:r>
    </w:p>
    <w:p w14:paraId="3AC3B30C" w14:textId="65D2B2D7" w:rsidR="001D0665" w:rsidRPr="001D0665" w:rsidRDefault="001D0665" w:rsidP="001D0665">
      <w:pPr>
        <w:spacing w:line="240" w:lineRule="auto"/>
        <w:rPr>
          <w:rFonts w:eastAsia="Times New Roman" w:cs="Arial"/>
          <w:sz w:val="24"/>
          <w:szCs w:val="24"/>
        </w:rPr>
      </w:pPr>
      <w:r w:rsidRPr="001D0665">
        <w:rPr>
          <w:rFonts w:eastAsia="Times New Roman" w:cs="Arial"/>
          <w:b/>
          <w:bCs/>
          <w:color w:val="000000"/>
          <w:lang w:eastAsia="bg-BG"/>
        </w:rPr>
        <w:t>Препоръчителна начална доза</w:t>
      </w:r>
    </w:p>
    <w:p w14:paraId="00B899CC"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 xml:space="preserve">Лечението с Трилептал трябва да се започне с доза от 600 </w:t>
      </w:r>
      <w:r w:rsidRPr="001D0665">
        <w:rPr>
          <w:rFonts w:eastAsia="Times New Roman" w:cs="Arial"/>
          <w:color w:val="000000"/>
          <w:lang w:val="en-US"/>
        </w:rPr>
        <w:t>mg</w:t>
      </w:r>
      <w:r w:rsidRPr="001D0665">
        <w:rPr>
          <w:rFonts w:eastAsia="Times New Roman" w:cs="Arial"/>
          <w:color w:val="000000"/>
          <w:lang w:eastAsia="bg-BG"/>
        </w:rPr>
        <w:t xml:space="preserve">/ден (8-10 </w:t>
      </w:r>
      <w:r w:rsidRPr="001D0665">
        <w:rPr>
          <w:rFonts w:eastAsia="Times New Roman" w:cs="Arial"/>
          <w:color w:val="000000"/>
          <w:lang w:val="en-US"/>
        </w:rPr>
        <w:t>mg</w:t>
      </w:r>
      <w:r w:rsidRPr="001D0665">
        <w:rPr>
          <w:rFonts w:eastAsia="Times New Roman" w:cs="Arial"/>
          <w:color w:val="000000"/>
          <w:lang w:val="ru-RU"/>
        </w:rPr>
        <w:t>/</w:t>
      </w:r>
      <w:r w:rsidRPr="001D0665">
        <w:rPr>
          <w:rFonts w:eastAsia="Times New Roman" w:cs="Arial"/>
          <w:color w:val="000000"/>
          <w:lang w:val="en-US"/>
        </w:rPr>
        <w:t>kg</w:t>
      </w:r>
      <w:r w:rsidRPr="001D0665">
        <w:rPr>
          <w:rFonts w:eastAsia="Times New Roman" w:cs="Arial"/>
          <w:color w:val="000000"/>
          <w:lang w:eastAsia="bg-BG"/>
        </w:rPr>
        <w:t>/ден), разделена на два приема.</w:t>
      </w:r>
    </w:p>
    <w:p w14:paraId="7D9A82A0" w14:textId="77777777" w:rsidR="001D0665" w:rsidRPr="001D0665" w:rsidRDefault="001D0665" w:rsidP="001D0665">
      <w:pPr>
        <w:spacing w:line="240" w:lineRule="auto"/>
        <w:rPr>
          <w:rFonts w:eastAsia="Times New Roman" w:cs="Arial"/>
          <w:b/>
          <w:bCs/>
          <w:color w:val="000000"/>
          <w:lang w:eastAsia="bg-BG"/>
        </w:rPr>
      </w:pPr>
      <w:bookmarkStart w:id="2" w:name="bookmark2"/>
    </w:p>
    <w:p w14:paraId="44F0D0B2" w14:textId="6C972605" w:rsidR="001D0665" w:rsidRPr="001D0665" w:rsidRDefault="001D0665" w:rsidP="001D0665">
      <w:pPr>
        <w:spacing w:line="240" w:lineRule="auto"/>
        <w:rPr>
          <w:rFonts w:eastAsia="Times New Roman" w:cs="Arial"/>
          <w:sz w:val="24"/>
          <w:szCs w:val="24"/>
        </w:rPr>
      </w:pPr>
      <w:r w:rsidRPr="001D0665">
        <w:rPr>
          <w:rFonts w:eastAsia="Times New Roman" w:cs="Arial"/>
          <w:b/>
          <w:bCs/>
          <w:color w:val="000000"/>
          <w:lang w:eastAsia="bg-BG"/>
        </w:rPr>
        <w:t>Поддържаща доза</w:t>
      </w:r>
      <w:bookmarkEnd w:id="2"/>
    </w:p>
    <w:p w14:paraId="65830F3C"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 xml:space="preserve">Добри терапевтични ефекти се наблюдават при дози между 600 </w:t>
      </w:r>
      <w:r w:rsidRPr="001D0665">
        <w:rPr>
          <w:rFonts w:eastAsia="Times New Roman" w:cs="Arial"/>
          <w:color w:val="000000"/>
          <w:lang w:val="en-US"/>
        </w:rPr>
        <w:t>mg</w:t>
      </w:r>
      <w:r w:rsidRPr="001D0665">
        <w:rPr>
          <w:rFonts w:eastAsia="Times New Roman" w:cs="Arial"/>
          <w:color w:val="000000"/>
          <w:lang w:eastAsia="bg-BG"/>
        </w:rPr>
        <w:t xml:space="preserve">/ден и 2 400 </w:t>
      </w:r>
      <w:r w:rsidRPr="001D0665">
        <w:rPr>
          <w:rFonts w:eastAsia="Times New Roman" w:cs="Arial"/>
          <w:color w:val="000000"/>
          <w:lang w:val="en-US"/>
        </w:rPr>
        <w:t>mg</w:t>
      </w:r>
      <w:r w:rsidRPr="001D0665">
        <w:rPr>
          <w:rFonts w:eastAsia="Times New Roman" w:cs="Arial"/>
          <w:color w:val="000000"/>
          <w:lang w:eastAsia="bg-BG"/>
        </w:rPr>
        <w:t xml:space="preserve">/ден. При клинични показания, за постигане на желания клиничен ефект, началната доза може да се увеличава през приблизително едноседмични интервали след започване на лечението с максимум 600 </w:t>
      </w:r>
      <w:r w:rsidRPr="001D0665">
        <w:rPr>
          <w:rFonts w:eastAsia="Times New Roman" w:cs="Arial"/>
          <w:color w:val="000000"/>
          <w:lang w:val="en-US"/>
        </w:rPr>
        <w:t>mg</w:t>
      </w:r>
      <w:r w:rsidRPr="001D0665">
        <w:rPr>
          <w:rFonts w:eastAsia="Times New Roman" w:cs="Arial"/>
          <w:color w:val="000000"/>
          <w:lang w:eastAsia="bg-BG"/>
        </w:rPr>
        <w:t>/ден.</w:t>
      </w:r>
    </w:p>
    <w:p w14:paraId="710F21F8" w14:textId="77777777" w:rsidR="001D0665" w:rsidRPr="001D0665" w:rsidRDefault="001D0665" w:rsidP="001D0665">
      <w:pPr>
        <w:spacing w:line="240" w:lineRule="auto"/>
        <w:rPr>
          <w:rFonts w:eastAsia="Times New Roman" w:cs="Arial"/>
          <w:b/>
          <w:bCs/>
          <w:color w:val="000000"/>
          <w:lang w:eastAsia="bg-BG"/>
        </w:rPr>
      </w:pPr>
      <w:bookmarkStart w:id="3" w:name="bookmark4"/>
    </w:p>
    <w:p w14:paraId="6FEC5C8B" w14:textId="5768F86C" w:rsidR="001D0665" w:rsidRPr="001D0665" w:rsidRDefault="001D0665" w:rsidP="001D0665">
      <w:pPr>
        <w:spacing w:line="240" w:lineRule="auto"/>
        <w:rPr>
          <w:rFonts w:eastAsia="Times New Roman" w:cs="Arial"/>
          <w:sz w:val="24"/>
          <w:szCs w:val="24"/>
        </w:rPr>
      </w:pPr>
      <w:r w:rsidRPr="001D0665">
        <w:rPr>
          <w:rFonts w:eastAsia="Times New Roman" w:cs="Arial"/>
          <w:b/>
          <w:bCs/>
          <w:color w:val="000000"/>
          <w:lang w:eastAsia="bg-BG"/>
        </w:rPr>
        <w:t>Максимална препоръчителна доза</w:t>
      </w:r>
      <w:bookmarkEnd w:id="3"/>
    </w:p>
    <w:p w14:paraId="59A721FA"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 xml:space="preserve">В контролирани болнични условия е постигнато увеличение на дозите до 2 400 </w:t>
      </w:r>
      <w:r w:rsidRPr="001D0665">
        <w:rPr>
          <w:rFonts w:eastAsia="Times New Roman" w:cs="Arial"/>
          <w:color w:val="000000"/>
          <w:lang w:val="en-US"/>
        </w:rPr>
        <w:t>mg</w:t>
      </w:r>
      <w:r w:rsidRPr="001D0665">
        <w:rPr>
          <w:rFonts w:eastAsia="Times New Roman" w:cs="Arial"/>
          <w:color w:val="000000"/>
          <w:lang w:eastAsia="bg-BG"/>
        </w:rPr>
        <w:t>/ден в рамките на 48 часа.</w:t>
      </w:r>
    </w:p>
    <w:p w14:paraId="7BCF59CB"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 xml:space="preserve">Дневни дози над 2 400 </w:t>
      </w:r>
      <w:r w:rsidRPr="001D0665">
        <w:rPr>
          <w:rFonts w:eastAsia="Times New Roman" w:cs="Arial"/>
          <w:color w:val="000000"/>
          <w:lang w:val="en-US"/>
        </w:rPr>
        <w:t>mg</w:t>
      </w:r>
      <w:r w:rsidRPr="001D0665">
        <w:rPr>
          <w:rFonts w:eastAsia="Times New Roman" w:cs="Arial"/>
          <w:color w:val="000000"/>
          <w:lang w:eastAsia="bg-BG"/>
        </w:rPr>
        <w:t>/ден не са проучвани системно при клинични изпитвания.</w:t>
      </w:r>
    </w:p>
    <w:p w14:paraId="762DD59E" w14:textId="77777777" w:rsidR="001D0665" w:rsidRPr="001D0665" w:rsidRDefault="001D0665" w:rsidP="001D0665">
      <w:pPr>
        <w:spacing w:line="240" w:lineRule="auto"/>
        <w:rPr>
          <w:rFonts w:eastAsia="Times New Roman" w:cs="Arial"/>
          <w:color w:val="000000"/>
          <w:u w:val="single"/>
          <w:lang w:eastAsia="bg-BG"/>
        </w:rPr>
      </w:pPr>
    </w:p>
    <w:p w14:paraId="5CB4C91D" w14:textId="6E52B670" w:rsidR="001D0665" w:rsidRPr="001D0665" w:rsidRDefault="001D0665" w:rsidP="001D0665">
      <w:pPr>
        <w:spacing w:line="240" w:lineRule="auto"/>
        <w:rPr>
          <w:rFonts w:eastAsia="Times New Roman" w:cs="Arial"/>
          <w:sz w:val="24"/>
          <w:szCs w:val="24"/>
        </w:rPr>
      </w:pPr>
      <w:r w:rsidRPr="001D0665">
        <w:rPr>
          <w:rFonts w:eastAsia="Times New Roman" w:cs="Arial"/>
          <w:color w:val="000000"/>
          <w:u w:val="single"/>
          <w:lang w:eastAsia="bg-BG"/>
        </w:rPr>
        <w:t>Пациенти в старческа възраст (на 65 или повече години)</w:t>
      </w:r>
    </w:p>
    <w:p w14:paraId="1E944DDB" w14:textId="0C9940AC"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lastRenderedPageBreak/>
        <w:t xml:space="preserve">Няма специални препоръки за дозировката при пациенти в старческа възраст, тъй като терапевтичните дози се коригират индивидуално. Промяна на дозата се налага при пациенти с увредена бъбречна функция (креатининов клирънс по-малък от 30 </w:t>
      </w:r>
      <w:r w:rsidRPr="001D0665">
        <w:rPr>
          <w:rFonts w:eastAsia="Times New Roman" w:cs="Arial"/>
          <w:color w:val="000000"/>
          <w:lang w:val="en-US"/>
        </w:rPr>
        <w:t>ml</w:t>
      </w:r>
      <w:r w:rsidRPr="001D0665">
        <w:rPr>
          <w:rFonts w:eastAsia="Times New Roman" w:cs="Arial"/>
          <w:color w:val="000000"/>
          <w:lang w:val="ru-RU"/>
        </w:rPr>
        <w:t>/</w:t>
      </w:r>
      <w:r w:rsidRPr="001D0665">
        <w:rPr>
          <w:rFonts w:eastAsia="Times New Roman" w:cs="Arial"/>
          <w:color w:val="000000"/>
          <w:lang w:val="en-US"/>
        </w:rPr>
        <w:t>min</w:t>
      </w:r>
      <w:r w:rsidRPr="001D0665">
        <w:rPr>
          <w:rFonts w:eastAsia="Times New Roman" w:cs="Arial"/>
          <w:color w:val="000000"/>
          <w:lang w:val="ru-RU"/>
        </w:rPr>
        <w:t xml:space="preserve">) </w:t>
      </w:r>
      <w:r w:rsidRPr="001D0665">
        <w:rPr>
          <w:rFonts w:eastAsia="Times New Roman" w:cs="Arial"/>
          <w:color w:val="000000"/>
          <w:lang w:eastAsia="bg-BG"/>
        </w:rPr>
        <w:t>(вж. информацията по-долу за дозировка при бъбречни увреждания).</w:t>
      </w:r>
    </w:p>
    <w:p w14:paraId="3A7B88C0"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Необходимо е внимателно наблюдение на нивата на натрий при пациенти, изложени на риск от хипонатриемия (вж. точка 4.4).</w:t>
      </w:r>
    </w:p>
    <w:p w14:paraId="09DA2F50" w14:textId="77777777" w:rsidR="001D0665" w:rsidRPr="001D0665" w:rsidRDefault="001D0665" w:rsidP="001D0665">
      <w:pPr>
        <w:spacing w:line="240" w:lineRule="auto"/>
        <w:rPr>
          <w:rFonts w:eastAsia="Times New Roman" w:cs="Arial"/>
          <w:color w:val="000000"/>
          <w:u w:val="single"/>
          <w:lang w:eastAsia="bg-BG"/>
        </w:rPr>
      </w:pPr>
    </w:p>
    <w:p w14:paraId="3039FE73" w14:textId="54EFAD5A" w:rsidR="001D0665" w:rsidRPr="001D0665" w:rsidRDefault="001D0665" w:rsidP="001D0665">
      <w:pPr>
        <w:spacing w:line="240" w:lineRule="auto"/>
        <w:rPr>
          <w:rFonts w:eastAsia="Times New Roman" w:cs="Arial"/>
          <w:sz w:val="24"/>
          <w:szCs w:val="24"/>
        </w:rPr>
      </w:pPr>
      <w:r w:rsidRPr="001D0665">
        <w:rPr>
          <w:rFonts w:eastAsia="Times New Roman" w:cs="Arial"/>
          <w:color w:val="000000"/>
          <w:u w:val="single"/>
          <w:lang w:eastAsia="bg-BG"/>
        </w:rPr>
        <w:t>Пациенти с чернодробни увреждания</w:t>
      </w:r>
    </w:p>
    <w:p w14:paraId="3BE34D4E"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Не се налага промяна на дозите при пациенти с леки и умерено-тежки чернодробни нарушения. Действието на Трилептал не е проучвано при пациенти с тежки чернодробни увреждания, поради което е необходимо особено внимание при дозиране на Трилептал при тази група пациенти (вж. точка 5.2).</w:t>
      </w:r>
    </w:p>
    <w:p w14:paraId="252D4653" w14:textId="77777777" w:rsidR="001D0665" w:rsidRPr="001D0665" w:rsidRDefault="001D0665" w:rsidP="001D0665">
      <w:pPr>
        <w:spacing w:line="240" w:lineRule="auto"/>
        <w:rPr>
          <w:rFonts w:eastAsia="Times New Roman" w:cs="Arial"/>
          <w:color w:val="000000"/>
          <w:u w:val="single"/>
          <w:lang w:eastAsia="bg-BG"/>
        </w:rPr>
      </w:pPr>
    </w:p>
    <w:p w14:paraId="1A1986C6" w14:textId="3342CFDE" w:rsidR="001D0665" w:rsidRPr="001D0665" w:rsidRDefault="001D0665" w:rsidP="001D0665">
      <w:pPr>
        <w:spacing w:line="240" w:lineRule="auto"/>
        <w:rPr>
          <w:rFonts w:eastAsia="Times New Roman" w:cs="Arial"/>
          <w:sz w:val="24"/>
          <w:szCs w:val="24"/>
        </w:rPr>
      </w:pPr>
      <w:r w:rsidRPr="001D0665">
        <w:rPr>
          <w:rFonts w:eastAsia="Times New Roman" w:cs="Arial"/>
          <w:color w:val="000000"/>
          <w:u w:val="single"/>
          <w:lang w:eastAsia="bg-BG"/>
        </w:rPr>
        <w:t>Пациенти с бъбречни увреждания</w:t>
      </w:r>
    </w:p>
    <w:p w14:paraId="605420CF" w14:textId="5F23C216" w:rsidR="001D0665" w:rsidRDefault="001D0665" w:rsidP="001D0665">
      <w:pPr>
        <w:spacing w:line="240" w:lineRule="auto"/>
        <w:rPr>
          <w:rFonts w:eastAsia="Times New Roman" w:cs="Arial"/>
          <w:color w:val="000000"/>
          <w:lang w:eastAsia="bg-BG"/>
        </w:rPr>
      </w:pPr>
      <w:r w:rsidRPr="001D0665">
        <w:rPr>
          <w:rFonts w:eastAsia="Times New Roman" w:cs="Arial"/>
          <w:color w:val="000000"/>
          <w:lang w:eastAsia="bg-BG"/>
        </w:rPr>
        <w:t xml:space="preserve">При пациенти с нарушена бъбречна функция (креатининов клирънс &lt;30 </w:t>
      </w:r>
      <w:r w:rsidRPr="001D0665">
        <w:rPr>
          <w:rFonts w:eastAsia="Times New Roman" w:cs="Arial"/>
          <w:color w:val="000000"/>
          <w:lang w:val="en-US"/>
        </w:rPr>
        <w:t>ml</w:t>
      </w:r>
      <w:r w:rsidRPr="001D0665">
        <w:rPr>
          <w:rFonts w:eastAsia="Times New Roman" w:cs="Arial"/>
          <w:color w:val="000000"/>
          <w:lang w:val="ru-RU"/>
        </w:rPr>
        <w:t>/</w:t>
      </w:r>
      <w:r w:rsidRPr="001D0665">
        <w:rPr>
          <w:rFonts w:eastAsia="Times New Roman" w:cs="Arial"/>
          <w:color w:val="000000"/>
          <w:lang w:val="en-US"/>
        </w:rPr>
        <w:t>min</w:t>
      </w:r>
      <w:r w:rsidRPr="001D0665">
        <w:rPr>
          <w:rFonts w:eastAsia="Times New Roman" w:cs="Arial"/>
          <w:color w:val="000000"/>
          <w:lang w:val="ru-RU"/>
        </w:rPr>
        <w:t>),</w:t>
      </w:r>
      <w:r w:rsidRPr="001D0665">
        <w:rPr>
          <w:rFonts w:eastAsia="Times New Roman" w:cs="Arial"/>
          <w:color w:val="000000"/>
          <w:lang w:eastAsia="bg-BG"/>
        </w:rPr>
        <w:t xml:space="preserve"> лечението с Трилептал трябва да се започне с половината от обичайната начална доза (300 </w:t>
      </w:r>
      <w:r w:rsidRPr="001D0665">
        <w:rPr>
          <w:rFonts w:eastAsia="Times New Roman" w:cs="Arial"/>
          <w:color w:val="000000"/>
          <w:lang w:val="en-US"/>
        </w:rPr>
        <w:t>mg</w:t>
      </w:r>
      <w:r w:rsidRPr="001D0665">
        <w:rPr>
          <w:rFonts w:eastAsia="Times New Roman" w:cs="Arial"/>
          <w:color w:val="000000"/>
          <w:lang w:val="ru-RU"/>
        </w:rPr>
        <w:t>/</w:t>
      </w:r>
      <w:r w:rsidRPr="001D0665">
        <w:rPr>
          <w:rFonts w:eastAsia="Times New Roman" w:cs="Arial"/>
          <w:color w:val="000000"/>
          <w:lang w:eastAsia="bg-BG"/>
        </w:rPr>
        <w:t>ден, която да се увеличава през поне едноседмични интервали до достигане на желания клиничен отговор (вж. точка 5.2).</w:t>
      </w:r>
    </w:p>
    <w:p w14:paraId="79D9B9FA" w14:textId="30C0B2EB" w:rsidR="001D0665" w:rsidRDefault="001D0665" w:rsidP="001D0665">
      <w:pPr>
        <w:spacing w:line="240" w:lineRule="auto"/>
        <w:rPr>
          <w:rFonts w:eastAsia="Times New Roman" w:cs="Arial"/>
          <w:color w:val="000000"/>
          <w:lang w:eastAsia="bg-BG"/>
        </w:rPr>
      </w:pPr>
    </w:p>
    <w:p w14:paraId="4F39068B"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u w:val="single"/>
          <w:lang w:eastAsia="bg-BG"/>
        </w:rPr>
        <w:t>Педиатрична популация</w:t>
      </w:r>
    </w:p>
    <w:p w14:paraId="59BCE926" w14:textId="77777777" w:rsidR="001D0665" w:rsidRPr="001D0665" w:rsidRDefault="001D0665" w:rsidP="001D0665">
      <w:pPr>
        <w:spacing w:line="240" w:lineRule="auto"/>
        <w:rPr>
          <w:rFonts w:eastAsia="Times New Roman" w:cs="Arial"/>
          <w:sz w:val="24"/>
          <w:szCs w:val="24"/>
        </w:rPr>
      </w:pPr>
      <w:r w:rsidRPr="001D0665">
        <w:rPr>
          <w:rFonts w:eastAsia="Times New Roman" w:cs="Arial"/>
          <w:b/>
          <w:bCs/>
          <w:color w:val="000000"/>
          <w:lang w:eastAsia="bg-BG"/>
        </w:rPr>
        <w:t>Препоръчителна начална доза</w:t>
      </w:r>
    </w:p>
    <w:p w14:paraId="3F492ACD"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 xml:space="preserve">Както като моно-, така и като допълнителна терапия, лечението е Трилептал трябва да се започне с доза от 8-10 </w:t>
      </w:r>
      <w:r w:rsidRPr="001D0665">
        <w:rPr>
          <w:rFonts w:eastAsia="Times New Roman" w:cs="Arial"/>
          <w:color w:val="000000"/>
          <w:lang w:val="en-US"/>
        </w:rPr>
        <w:t>mg</w:t>
      </w:r>
      <w:r w:rsidRPr="001D0665">
        <w:rPr>
          <w:rFonts w:eastAsia="Times New Roman" w:cs="Arial"/>
          <w:color w:val="000000"/>
          <w:lang w:val="ru-RU"/>
        </w:rPr>
        <w:t>/</w:t>
      </w:r>
      <w:r w:rsidRPr="001D0665">
        <w:rPr>
          <w:rFonts w:eastAsia="Times New Roman" w:cs="Arial"/>
          <w:color w:val="000000"/>
          <w:lang w:val="en-US"/>
        </w:rPr>
        <w:t>kg</w:t>
      </w:r>
      <w:r w:rsidRPr="001D0665">
        <w:rPr>
          <w:rFonts w:eastAsia="Times New Roman" w:cs="Arial"/>
          <w:color w:val="000000"/>
          <w:lang w:eastAsia="bg-BG"/>
        </w:rPr>
        <w:t>/ден, разделена на два приема.</w:t>
      </w:r>
    </w:p>
    <w:p w14:paraId="0305D045" w14:textId="77777777" w:rsidR="001D0665" w:rsidRPr="001D0665" w:rsidRDefault="001D0665" w:rsidP="001D0665">
      <w:pPr>
        <w:spacing w:line="240" w:lineRule="auto"/>
        <w:rPr>
          <w:rFonts w:eastAsia="Times New Roman" w:cs="Arial"/>
          <w:b/>
          <w:bCs/>
          <w:color w:val="000000"/>
          <w:lang w:eastAsia="bg-BG"/>
        </w:rPr>
      </w:pPr>
    </w:p>
    <w:p w14:paraId="74FBC5B3" w14:textId="2EDD8360" w:rsidR="001D0665" w:rsidRPr="001D0665" w:rsidRDefault="001D0665" w:rsidP="001D0665">
      <w:pPr>
        <w:spacing w:line="240" w:lineRule="auto"/>
        <w:rPr>
          <w:rFonts w:eastAsia="Times New Roman" w:cs="Arial"/>
          <w:sz w:val="24"/>
          <w:szCs w:val="24"/>
        </w:rPr>
      </w:pPr>
      <w:r w:rsidRPr="001D0665">
        <w:rPr>
          <w:rFonts w:eastAsia="Times New Roman" w:cs="Arial"/>
          <w:b/>
          <w:bCs/>
          <w:color w:val="000000"/>
          <w:lang w:eastAsia="bg-BG"/>
        </w:rPr>
        <w:t>Поддържаща доза</w:t>
      </w:r>
    </w:p>
    <w:p w14:paraId="79DC4BF3"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 xml:space="preserve">Целевата поддържаща доза на Трилептал като допълнителна терапия е 30-46 </w:t>
      </w:r>
      <w:r w:rsidRPr="001D0665">
        <w:rPr>
          <w:rFonts w:eastAsia="Times New Roman" w:cs="Arial"/>
          <w:color w:val="000000"/>
          <w:lang w:val="en-US"/>
        </w:rPr>
        <w:t>mg</w:t>
      </w:r>
      <w:r w:rsidRPr="001D0665">
        <w:rPr>
          <w:rFonts w:eastAsia="Times New Roman" w:cs="Arial"/>
          <w:color w:val="000000"/>
          <w:lang w:val="ru-RU"/>
        </w:rPr>
        <w:t>/</w:t>
      </w:r>
      <w:r w:rsidRPr="001D0665">
        <w:rPr>
          <w:rFonts w:eastAsia="Times New Roman" w:cs="Arial"/>
          <w:color w:val="000000"/>
          <w:lang w:val="en-US"/>
        </w:rPr>
        <w:t>kg</w:t>
      </w:r>
      <w:r w:rsidRPr="001D0665">
        <w:rPr>
          <w:rFonts w:eastAsia="Times New Roman" w:cs="Arial"/>
          <w:color w:val="000000"/>
          <w:lang w:eastAsia="bg-BG"/>
        </w:rPr>
        <w:t>/ден и трябва да бъде постигната за две седмици.</w:t>
      </w:r>
    </w:p>
    <w:p w14:paraId="135AA716"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 xml:space="preserve">При клинични изпитвания като адювантна терапия, терапевтичните ефекти се наблюдават при средна поддържаща доза от приблизително 30 </w:t>
      </w:r>
      <w:r w:rsidRPr="001D0665">
        <w:rPr>
          <w:rFonts w:eastAsia="Times New Roman" w:cs="Arial"/>
          <w:color w:val="000000"/>
          <w:lang w:val="en-US"/>
        </w:rPr>
        <w:t>mg</w:t>
      </w:r>
      <w:r w:rsidRPr="001D0665">
        <w:rPr>
          <w:rFonts w:eastAsia="Times New Roman" w:cs="Arial"/>
          <w:color w:val="000000"/>
          <w:lang w:val="ru-RU"/>
        </w:rPr>
        <w:t>/</w:t>
      </w:r>
      <w:r w:rsidRPr="001D0665">
        <w:rPr>
          <w:rFonts w:eastAsia="Times New Roman" w:cs="Arial"/>
          <w:color w:val="000000"/>
          <w:lang w:val="en-US"/>
        </w:rPr>
        <w:t>kg</w:t>
      </w:r>
      <w:r w:rsidRPr="001D0665">
        <w:rPr>
          <w:rFonts w:eastAsia="Times New Roman" w:cs="Arial"/>
          <w:color w:val="000000"/>
          <w:lang w:eastAsia="bg-BG"/>
        </w:rPr>
        <w:t>/ден.</w:t>
      </w:r>
    </w:p>
    <w:p w14:paraId="71256D44" w14:textId="77777777" w:rsidR="001D0665" w:rsidRPr="001D0665" w:rsidRDefault="001D0665" w:rsidP="001D0665">
      <w:pPr>
        <w:spacing w:line="240" w:lineRule="auto"/>
        <w:rPr>
          <w:rFonts w:eastAsia="Times New Roman" w:cs="Arial"/>
          <w:b/>
          <w:bCs/>
          <w:color w:val="000000"/>
          <w:lang w:eastAsia="bg-BG"/>
        </w:rPr>
      </w:pPr>
    </w:p>
    <w:p w14:paraId="17C8A992" w14:textId="35F41DBB" w:rsidR="001D0665" w:rsidRPr="001D0665" w:rsidRDefault="001D0665" w:rsidP="001D0665">
      <w:pPr>
        <w:spacing w:line="240" w:lineRule="auto"/>
        <w:rPr>
          <w:rFonts w:eastAsia="Times New Roman" w:cs="Arial"/>
          <w:sz w:val="24"/>
          <w:szCs w:val="24"/>
        </w:rPr>
      </w:pPr>
      <w:r w:rsidRPr="001D0665">
        <w:rPr>
          <w:rFonts w:eastAsia="Times New Roman" w:cs="Arial"/>
          <w:b/>
          <w:bCs/>
          <w:color w:val="000000"/>
          <w:lang w:eastAsia="bg-BG"/>
        </w:rPr>
        <w:t>Максимална препоръчителна доза</w:t>
      </w:r>
    </w:p>
    <w:p w14:paraId="081E10D2"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 xml:space="preserve">При клинични показания за постигане на желания клиничен ефект началната доза може да се увеличава с максимум 10 </w:t>
      </w:r>
      <w:r w:rsidRPr="001D0665">
        <w:rPr>
          <w:rFonts w:eastAsia="Times New Roman" w:cs="Arial"/>
          <w:color w:val="000000"/>
          <w:lang w:val="en-US"/>
        </w:rPr>
        <w:t>mg</w:t>
      </w:r>
      <w:r w:rsidRPr="001D0665">
        <w:rPr>
          <w:rFonts w:eastAsia="Times New Roman" w:cs="Arial"/>
          <w:color w:val="000000"/>
          <w:lang w:val="ru-RU"/>
        </w:rPr>
        <w:t>/</w:t>
      </w:r>
      <w:r w:rsidRPr="001D0665">
        <w:rPr>
          <w:rFonts w:eastAsia="Times New Roman" w:cs="Arial"/>
          <w:color w:val="000000"/>
          <w:lang w:val="en-US"/>
        </w:rPr>
        <w:t>kg</w:t>
      </w:r>
      <w:r w:rsidRPr="001D0665">
        <w:rPr>
          <w:rFonts w:eastAsia="Times New Roman" w:cs="Arial"/>
          <w:color w:val="000000"/>
          <w:lang w:eastAsia="bg-BG"/>
        </w:rPr>
        <w:t xml:space="preserve">/ден през приблизително едноседмични интервали след започване на лечението до максимална доза от 46 </w:t>
      </w:r>
      <w:r w:rsidRPr="001D0665">
        <w:rPr>
          <w:rFonts w:eastAsia="Times New Roman" w:cs="Arial"/>
          <w:color w:val="000000"/>
          <w:lang w:val="en-US"/>
        </w:rPr>
        <w:t>mg</w:t>
      </w:r>
      <w:r w:rsidRPr="001D0665">
        <w:rPr>
          <w:rFonts w:eastAsia="Times New Roman" w:cs="Arial"/>
          <w:color w:val="000000"/>
          <w:lang w:val="ru-RU"/>
        </w:rPr>
        <w:t>/</w:t>
      </w:r>
      <w:r w:rsidRPr="001D0665">
        <w:rPr>
          <w:rFonts w:eastAsia="Times New Roman" w:cs="Arial"/>
          <w:color w:val="000000"/>
          <w:lang w:val="en-US"/>
        </w:rPr>
        <w:t>kg</w:t>
      </w:r>
      <w:r w:rsidRPr="001D0665">
        <w:rPr>
          <w:rFonts w:eastAsia="Times New Roman" w:cs="Arial"/>
          <w:color w:val="000000"/>
          <w:lang w:eastAsia="bg-BG"/>
        </w:rPr>
        <w:t>/ден. (вж. точка 5.2).</w:t>
      </w:r>
    </w:p>
    <w:p w14:paraId="04780669"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Трилептал се препоръчва за употреба при деца над 6-годишна възраст. Безопасността и ефикасността му са оценени при клинични изпитвания, включващи приблизително 230 деца на възраст под 6 години (до 1 месец). Трилептал не се препоръчва при деца под 6-годишна възраст, тъй като безопасността и ефикасността му не са доказани в достатъчна степен.</w:t>
      </w:r>
    </w:p>
    <w:p w14:paraId="2CC8CFED" w14:textId="77777777" w:rsidR="001D0665" w:rsidRPr="001D0665" w:rsidRDefault="001D0665" w:rsidP="001D0665">
      <w:pPr>
        <w:spacing w:line="240" w:lineRule="auto"/>
        <w:rPr>
          <w:rFonts w:eastAsia="Times New Roman" w:cs="Arial"/>
          <w:color w:val="000000"/>
          <w:lang w:eastAsia="bg-BG"/>
        </w:rPr>
      </w:pPr>
    </w:p>
    <w:p w14:paraId="5A707451" w14:textId="43DDBDD8" w:rsidR="001D0665" w:rsidRPr="001D0665" w:rsidRDefault="001D0665" w:rsidP="001D0665">
      <w:pPr>
        <w:spacing w:line="240" w:lineRule="auto"/>
        <w:rPr>
          <w:rFonts w:eastAsia="Times New Roman" w:cs="Arial"/>
          <w:color w:val="000000"/>
          <w:lang w:eastAsia="bg-BG"/>
        </w:rPr>
      </w:pPr>
      <w:r w:rsidRPr="001D0665">
        <w:rPr>
          <w:rFonts w:eastAsia="Times New Roman" w:cs="Arial"/>
          <w:color w:val="000000"/>
          <w:lang w:eastAsia="bg-BG"/>
        </w:rPr>
        <w:t xml:space="preserve">Всички по-горни препоръки за дозиране (при възрастни, хора в старческа възраст и деца) се основават на дозите, изследвани при клиничните изпитвания за всички възрастови групи. Въпреки </w:t>
      </w:r>
    </w:p>
    <w:p w14:paraId="0B9A8D84" w14:textId="2945162D"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това в случаите, когато това е уместно, могат да се обсъждат по-ниски начални дози.</w:t>
      </w:r>
    </w:p>
    <w:p w14:paraId="4098F1FB" w14:textId="77777777" w:rsidR="001D0665" w:rsidRPr="001D0665" w:rsidRDefault="001D0665" w:rsidP="001D0665">
      <w:pPr>
        <w:spacing w:line="240" w:lineRule="auto"/>
        <w:rPr>
          <w:rFonts w:eastAsia="Times New Roman" w:cs="Arial"/>
          <w:b/>
          <w:bCs/>
          <w:color w:val="000000"/>
          <w:u w:val="single"/>
          <w:lang w:eastAsia="bg-BG"/>
        </w:rPr>
      </w:pPr>
    </w:p>
    <w:p w14:paraId="4333AA3D" w14:textId="272B3B91" w:rsidR="001D0665" w:rsidRPr="001D0665" w:rsidRDefault="001D0665" w:rsidP="001D0665">
      <w:pPr>
        <w:pStyle w:val="Heading3"/>
        <w:rPr>
          <w:rFonts w:eastAsia="Times New Roman"/>
          <w:b/>
          <w:u w:val="single"/>
        </w:rPr>
      </w:pPr>
      <w:r w:rsidRPr="001D0665">
        <w:rPr>
          <w:rFonts w:eastAsia="Times New Roman"/>
          <w:b/>
          <w:u w:val="single"/>
          <w:lang w:eastAsia="bg-BG"/>
        </w:rPr>
        <w:t>Начин на приложение</w:t>
      </w:r>
    </w:p>
    <w:p w14:paraId="3016C339"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Трилептал може да се приема със или без храна.</w:t>
      </w:r>
    </w:p>
    <w:p w14:paraId="6CAFF919" w14:textId="77777777" w:rsidR="001D0665" w:rsidRPr="001D0665" w:rsidRDefault="001D0665" w:rsidP="001D0665">
      <w:pPr>
        <w:spacing w:line="240" w:lineRule="auto"/>
        <w:rPr>
          <w:rFonts w:eastAsia="Times New Roman" w:cs="Arial"/>
          <w:color w:val="000000"/>
          <w:lang w:eastAsia="bg-BG"/>
        </w:rPr>
      </w:pPr>
    </w:p>
    <w:p w14:paraId="6B9CA807" w14:textId="3D308D6C"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 xml:space="preserve">Таблетките имат делителна черта и могат да бъдат разделени на две половинки, за да може да се преглътне по-лесно от пациента. За деца, които не могат да преглъщат </w:t>
      </w:r>
      <w:r w:rsidRPr="001D0665">
        <w:rPr>
          <w:rFonts w:eastAsia="Times New Roman" w:cs="Arial"/>
          <w:color w:val="000000"/>
          <w:lang w:eastAsia="bg-BG"/>
        </w:rPr>
        <w:lastRenderedPageBreak/>
        <w:t>таблетки или в случаите, когато необходимата доза не може да се приложи с използване на таблетки, е осигурен Трилептал под формата на перорална суспензия.</w:t>
      </w:r>
    </w:p>
    <w:p w14:paraId="258B9A5B" w14:textId="77777777" w:rsidR="001D0665" w:rsidRPr="001D0665" w:rsidRDefault="001D0665" w:rsidP="001D0665"/>
    <w:p w14:paraId="62B13D0B" w14:textId="0AAE502A" w:rsidR="00395555" w:rsidRDefault="002C50EE" w:rsidP="008A6AF2">
      <w:pPr>
        <w:pStyle w:val="Heading2"/>
      </w:pPr>
      <w:r>
        <w:t>4.3. Противопоказания</w:t>
      </w:r>
    </w:p>
    <w:p w14:paraId="5C460C42" w14:textId="0651383E" w:rsidR="001D0665" w:rsidRDefault="001D0665" w:rsidP="001D0665"/>
    <w:p w14:paraId="74E74417" w14:textId="44297AEF" w:rsidR="001D0665" w:rsidRDefault="001D0665" w:rsidP="001D0665">
      <w:r>
        <w:t>Свръхчувствителност към активното вещество, към есликарбазепин или към някое от помощните вещества, изброени в точка 6.1.</w:t>
      </w:r>
    </w:p>
    <w:p w14:paraId="065DF7F2" w14:textId="77777777" w:rsidR="001D0665" w:rsidRPr="001D0665" w:rsidRDefault="001D0665" w:rsidP="001D0665"/>
    <w:p w14:paraId="5A4AC413" w14:textId="5DFDBF93" w:rsidR="00395555" w:rsidRDefault="002C50EE" w:rsidP="008A6AF2">
      <w:pPr>
        <w:pStyle w:val="Heading2"/>
      </w:pPr>
      <w:r>
        <w:t>4.4. Специални предупреждения и предпазни мерки при употреба</w:t>
      </w:r>
    </w:p>
    <w:p w14:paraId="6AAB613D" w14:textId="4BBE3E25" w:rsidR="001D0665" w:rsidRDefault="001D0665" w:rsidP="001D0665"/>
    <w:p w14:paraId="490965DC" w14:textId="77777777" w:rsidR="001D0665" w:rsidRPr="001D0665" w:rsidRDefault="001D0665" w:rsidP="001D0665">
      <w:pPr>
        <w:spacing w:line="240" w:lineRule="auto"/>
        <w:rPr>
          <w:rFonts w:eastAsia="Times New Roman" w:cs="Arial"/>
        </w:rPr>
      </w:pPr>
      <w:r w:rsidRPr="001D0665">
        <w:rPr>
          <w:rFonts w:eastAsia="Times New Roman" w:cs="Arial"/>
          <w:color w:val="000000"/>
          <w:u w:val="single"/>
          <w:lang w:eastAsia="bg-BG"/>
        </w:rPr>
        <w:t>Свръхчувствителност</w:t>
      </w:r>
    </w:p>
    <w:p w14:paraId="08957A4C" w14:textId="77777777" w:rsidR="001D0665" w:rsidRPr="001D0665" w:rsidRDefault="001D0665" w:rsidP="001D0665">
      <w:pPr>
        <w:spacing w:line="240" w:lineRule="auto"/>
        <w:rPr>
          <w:rFonts w:eastAsia="Times New Roman" w:cs="Arial"/>
        </w:rPr>
      </w:pPr>
      <w:r w:rsidRPr="001D0665">
        <w:rPr>
          <w:rFonts w:eastAsia="Times New Roman" w:cs="Arial"/>
          <w:color w:val="000000"/>
          <w:lang w:eastAsia="bg-BG"/>
        </w:rPr>
        <w:t>В постмаркетинговия период са получени съобщения за реакции на свръхчувствителност от Тип I (незабавни), включващи обрив, сърбеж, уртикария, ангиоедем и анафилаксия. Случаи на анафилаксия и ангиоедем засягащ ларинкса, фаринкса, устните и клепачите са съобщавани при пациенти след прием на първата или последващите дози Трилептал. В случай че при пациента настъпят тези реакции след лечение с Трилептал, приемът на лекарствения продукт трябва да бъде преустановен и да се започне алтернативно лечение.</w:t>
      </w:r>
    </w:p>
    <w:p w14:paraId="2C22C018" w14:textId="77777777" w:rsidR="001D0665" w:rsidRPr="001D0665" w:rsidRDefault="001D0665" w:rsidP="001D0665">
      <w:pPr>
        <w:spacing w:line="240" w:lineRule="auto"/>
        <w:rPr>
          <w:rFonts w:eastAsia="Times New Roman" w:cs="Arial"/>
          <w:color w:val="000000"/>
          <w:lang w:eastAsia="bg-BG"/>
        </w:rPr>
      </w:pPr>
    </w:p>
    <w:p w14:paraId="69817320" w14:textId="7BD16BD5" w:rsidR="001D0665" w:rsidRPr="001D0665" w:rsidRDefault="001D0665" w:rsidP="001D0665">
      <w:pPr>
        <w:spacing w:line="240" w:lineRule="auto"/>
        <w:rPr>
          <w:rFonts w:eastAsia="Times New Roman" w:cs="Arial"/>
        </w:rPr>
      </w:pPr>
      <w:r w:rsidRPr="001D0665">
        <w:rPr>
          <w:rFonts w:eastAsia="Times New Roman" w:cs="Arial"/>
          <w:color w:val="000000"/>
          <w:lang w:eastAsia="bg-BG"/>
        </w:rPr>
        <w:t>Пациентите, които са показали реакции на свръхчувствителност към карбамазепин, трябва да бъдат информирани, че приблизително 25-30% от тези пациенти могат да проявят реакции на свръхчувствителност (напр. тежки реакции от страна на кожата) при употреба на Трилептал (вж. точка 4.8).</w:t>
      </w:r>
    </w:p>
    <w:p w14:paraId="0A33AF1C" w14:textId="77777777" w:rsidR="001D0665" w:rsidRPr="001D0665" w:rsidRDefault="001D0665" w:rsidP="001D0665">
      <w:pPr>
        <w:spacing w:line="240" w:lineRule="auto"/>
        <w:rPr>
          <w:rFonts w:eastAsia="Times New Roman" w:cs="Arial"/>
          <w:color w:val="000000"/>
          <w:lang w:eastAsia="bg-BG"/>
        </w:rPr>
      </w:pPr>
    </w:p>
    <w:p w14:paraId="262A7156" w14:textId="5EE17433" w:rsidR="001D0665" w:rsidRPr="001D0665" w:rsidRDefault="001D0665" w:rsidP="001D0665">
      <w:pPr>
        <w:spacing w:line="240" w:lineRule="auto"/>
        <w:rPr>
          <w:rFonts w:eastAsia="Times New Roman" w:cs="Arial"/>
        </w:rPr>
      </w:pPr>
      <w:r w:rsidRPr="001D0665">
        <w:rPr>
          <w:rFonts w:eastAsia="Times New Roman" w:cs="Arial"/>
          <w:color w:val="000000"/>
          <w:lang w:eastAsia="bg-BG"/>
        </w:rPr>
        <w:t>Реакции на свръхчувствителност, включително реакции на свръхчувствителност с полиорганно засягане, могат да се наблюдават и при пациенти без свръхчувствителност към карбамазепин</w:t>
      </w:r>
    </w:p>
    <w:p w14:paraId="47F99379" w14:textId="77777777" w:rsidR="001D0665" w:rsidRPr="001D0665" w:rsidRDefault="001D0665" w:rsidP="001D0665">
      <w:pPr>
        <w:rPr>
          <w:rFonts w:eastAsia="Times New Roman" w:cs="Arial"/>
        </w:rPr>
      </w:pPr>
      <w:r w:rsidRPr="001D0665">
        <w:rPr>
          <w:rFonts w:eastAsia="Times New Roman" w:cs="Arial"/>
          <w:color w:val="000000"/>
          <w:lang w:eastAsia="bg-BG"/>
        </w:rPr>
        <w:t>Такива реакции могат да засегнат кожата, черния дроб, кръвта и лимфната система, както поотделно, така и едновременно, в контекста на системната реакция (вж. точка 4.8). При поява</w:t>
      </w:r>
      <w:r w:rsidRPr="001D0665">
        <w:rPr>
          <w:rFonts w:eastAsia="Times New Roman" w:cs="Arial"/>
          <w:color w:val="000000"/>
          <w:lang w:val="ru-RU" w:eastAsia="bg-BG"/>
        </w:rPr>
        <w:t xml:space="preserve"> </w:t>
      </w:r>
      <w:r w:rsidRPr="001D0665">
        <w:rPr>
          <w:rFonts w:eastAsia="Times New Roman" w:cs="Arial"/>
          <w:color w:val="000000"/>
          <w:lang w:eastAsia="bg-BG"/>
        </w:rPr>
        <w:t>на признаци и симптоми, напомнящи реакции на свръхчувствителност, приема на Трилептал трябва незабавно да бъде преустановен.</w:t>
      </w:r>
    </w:p>
    <w:p w14:paraId="55A7536D" w14:textId="77777777" w:rsidR="001D0665" w:rsidRPr="001D0665" w:rsidRDefault="001D0665" w:rsidP="001D0665">
      <w:pPr>
        <w:spacing w:line="240" w:lineRule="auto"/>
        <w:rPr>
          <w:rFonts w:eastAsia="Times New Roman" w:cs="Arial"/>
          <w:color w:val="000000"/>
          <w:u w:val="single"/>
          <w:lang w:eastAsia="bg-BG"/>
        </w:rPr>
      </w:pPr>
    </w:p>
    <w:p w14:paraId="4C9B62B8" w14:textId="6456166E" w:rsidR="001D0665" w:rsidRPr="001D0665" w:rsidRDefault="001D0665" w:rsidP="001D0665">
      <w:pPr>
        <w:spacing w:line="240" w:lineRule="auto"/>
        <w:rPr>
          <w:rFonts w:eastAsia="Times New Roman" w:cs="Arial"/>
        </w:rPr>
      </w:pPr>
      <w:r w:rsidRPr="001D0665">
        <w:rPr>
          <w:rFonts w:eastAsia="Times New Roman" w:cs="Arial"/>
          <w:color w:val="000000"/>
          <w:u w:val="single"/>
          <w:lang w:eastAsia="bg-BG"/>
        </w:rPr>
        <w:t>Дерматологични реакции</w:t>
      </w:r>
    </w:p>
    <w:p w14:paraId="00271DEA" w14:textId="77777777" w:rsidR="001D0665" w:rsidRPr="001D0665" w:rsidRDefault="001D0665" w:rsidP="001D0665">
      <w:pPr>
        <w:spacing w:line="240" w:lineRule="auto"/>
        <w:rPr>
          <w:rFonts w:eastAsia="Times New Roman" w:cs="Arial"/>
        </w:rPr>
      </w:pPr>
      <w:r w:rsidRPr="001D0665">
        <w:rPr>
          <w:rFonts w:eastAsia="Times New Roman" w:cs="Arial"/>
          <w:color w:val="000000"/>
          <w:lang w:eastAsia="bg-BG"/>
        </w:rPr>
        <w:t xml:space="preserve">Сериозни дерматологични реакции, включително синдром на </w:t>
      </w:r>
      <w:r w:rsidRPr="001D0665">
        <w:rPr>
          <w:rFonts w:eastAsia="Times New Roman" w:cs="Arial"/>
          <w:color w:val="000000"/>
          <w:lang w:val="en-US"/>
        </w:rPr>
        <w:t>Stevens</w:t>
      </w:r>
      <w:r w:rsidRPr="001D0665">
        <w:rPr>
          <w:rFonts w:eastAsia="Times New Roman" w:cs="Arial"/>
          <w:color w:val="000000"/>
        </w:rPr>
        <w:t>-</w:t>
      </w:r>
      <w:r w:rsidRPr="001D0665">
        <w:rPr>
          <w:rFonts w:eastAsia="Times New Roman" w:cs="Arial"/>
          <w:color w:val="000000"/>
          <w:lang w:val="en-US"/>
        </w:rPr>
        <w:t>Johnson</w:t>
      </w:r>
      <w:r w:rsidRPr="001D0665">
        <w:rPr>
          <w:rFonts w:eastAsia="Times New Roman" w:cs="Arial"/>
          <w:color w:val="000000"/>
        </w:rPr>
        <w:t xml:space="preserve">, </w:t>
      </w:r>
      <w:r w:rsidRPr="001D0665">
        <w:rPr>
          <w:rFonts w:eastAsia="Times New Roman" w:cs="Arial"/>
          <w:color w:val="000000"/>
          <w:lang w:eastAsia="bg-BG"/>
        </w:rPr>
        <w:t xml:space="preserve">токсична епидермална некролиза (синдром на </w:t>
      </w:r>
      <w:r w:rsidRPr="001D0665">
        <w:rPr>
          <w:rFonts w:eastAsia="Times New Roman" w:cs="Arial"/>
          <w:color w:val="000000"/>
          <w:lang w:val="en-US"/>
        </w:rPr>
        <w:t>Lyell</w:t>
      </w:r>
      <w:r w:rsidRPr="001D0665">
        <w:rPr>
          <w:rFonts w:eastAsia="Times New Roman" w:cs="Arial"/>
          <w:color w:val="000000"/>
        </w:rPr>
        <w:t xml:space="preserve">) </w:t>
      </w:r>
      <w:r w:rsidRPr="001D0665">
        <w:rPr>
          <w:rFonts w:eastAsia="Times New Roman" w:cs="Arial"/>
          <w:color w:val="000000"/>
          <w:lang w:eastAsia="bg-BG"/>
        </w:rPr>
        <w:t xml:space="preserve">и </w:t>
      </w:r>
      <w:r w:rsidRPr="001D0665">
        <w:rPr>
          <w:rFonts w:eastAsia="Times New Roman" w:cs="Arial"/>
          <w:color w:val="000000"/>
          <w:lang w:val="en-US"/>
        </w:rPr>
        <w:t>erythema</w:t>
      </w:r>
      <w:r w:rsidRPr="001D0665">
        <w:rPr>
          <w:rFonts w:eastAsia="Times New Roman" w:cs="Arial"/>
          <w:color w:val="000000"/>
        </w:rPr>
        <w:t xml:space="preserve"> </w:t>
      </w:r>
      <w:proofErr w:type="spellStart"/>
      <w:r w:rsidRPr="001D0665">
        <w:rPr>
          <w:rFonts w:eastAsia="Times New Roman" w:cs="Arial"/>
          <w:color w:val="000000"/>
          <w:lang w:val="en-US"/>
        </w:rPr>
        <w:t>multiforme</w:t>
      </w:r>
      <w:proofErr w:type="spellEnd"/>
      <w:r w:rsidRPr="001D0665">
        <w:rPr>
          <w:rFonts w:eastAsia="Times New Roman" w:cs="Arial"/>
          <w:color w:val="000000"/>
        </w:rPr>
        <w:t xml:space="preserve">, </w:t>
      </w:r>
      <w:r w:rsidRPr="001D0665">
        <w:rPr>
          <w:rFonts w:eastAsia="Times New Roman" w:cs="Arial"/>
          <w:color w:val="000000"/>
          <w:lang w:eastAsia="bg-BG"/>
        </w:rPr>
        <w:t>се съобщават много рядко при употреба на Трилептал. При пациентите с тежки кожни реакции може да се наложи хоспитализация, тъй като тези състояния могат да са животозастрашаващи и в много редки случаи - фатални. Такива случаи, свързани с употреба на Трилептал, се наблюдават, както при деца, така и при възрастни. Средното време до появата на реакцията е било 19 дни. Съобщават се няколко изолирани случая на рецидив на тежка кожна реакция при повторна употреба на Трилептал. Състоянието на пациентите, които развият кожна реакция при употреба на Трилептал, трябва бързо да бъде преценено и незабавно да се преустанови лечението с Трилептал, освен ако обривът очевидно не е свързан с приложение на лекарствения продукт. В случай на преустановяване на лечението трябва да се обсъди заменянето на Трилептал с друг антиепилептичен лекарствен продукт, за да се избегнат пристъпите след спиране на лечението. Лечението с Трилептал не трябва да се започва отново при пациенти, които са го прекратили поради реакция на свръхчувствителност (вж. точка 4.3).</w:t>
      </w:r>
    </w:p>
    <w:p w14:paraId="5B263898" w14:textId="77777777" w:rsidR="001D0665" w:rsidRPr="001D0665" w:rsidRDefault="001D0665" w:rsidP="001D0665">
      <w:pPr>
        <w:spacing w:line="240" w:lineRule="auto"/>
        <w:rPr>
          <w:rFonts w:eastAsia="Times New Roman" w:cs="Arial"/>
          <w:color w:val="000000"/>
          <w:u w:val="single"/>
          <w:lang w:eastAsia="bg-BG"/>
        </w:rPr>
      </w:pPr>
    </w:p>
    <w:p w14:paraId="77B35127" w14:textId="7ED5623A" w:rsidR="001D0665" w:rsidRPr="001D0665" w:rsidRDefault="001D0665" w:rsidP="001D0665">
      <w:pPr>
        <w:spacing w:line="240" w:lineRule="auto"/>
        <w:rPr>
          <w:rFonts w:eastAsia="Times New Roman" w:cs="Arial"/>
        </w:rPr>
      </w:pPr>
      <w:r w:rsidRPr="001D0665">
        <w:rPr>
          <w:rFonts w:eastAsia="Times New Roman" w:cs="Arial"/>
          <w:color w:val="000000"/>
          <w:u w:val="single"/>
          <w:lang w:eastAsia="bg-BG"/>
        </w:rPr>
        <w:lastRenderedPageBreak/>
        <w:t xml:space="preserve">Свързани с </w:t>
      </w:r>
      <w:r w:rsidRPr="001D0665">
        <w:rPr>
          <w:rFonts w:eastAsia="Times New Roman" w:cs="Arial"/>
          <w:color w:val="000000"/>
          <w:u w:val="single"/>
          <w:lang w:val="en-US"/>
        </w:rPr>
        <w:t>HLA</w:t>
      </w:r>
      <w:r w:rsidRPr="001D0665">
        <w:rPr>
          <w:rFonts w:eastAsia="Times New Roman" w:cs="Arial"/>
          <w:color w:val="000000"/>
          <w:u w:val="single"/>
          <w:lang w:val="ru-RU"/>
        </w:rPr>
        <w:t>-</w:t>
      </w:r>
      <w:r w:rsidRPr="001D0665">
        <w:rPr>
          <w:rFonts w:eastAsia="Times New Roman" w:cs="Arial"/>
          <w:color w:val="000000"/>
          <w:u w:val="single"/>
          <w:lang w:val="en-US"/>
        </w:rPr>
        <w:t>B</w:t>
      </w:r>
      <w:r w:rsidRPr="001D0665">
        <w:rPr>
          <w:rFonts w:eastAsia="Times New Roman" w:cs="Arial"/>
          <w:color w:val="000000"/>
          <w:u w:val="single"/>
          <w:lang w:val="ru-RU"/>
        </w:rPr>
        <w:t>*1502</w:t>
      </w:r>
    </w:p>
    <w:p w14:paraId="353D3962" w14:textId="77777777" w:rsidR="001D0665" w:rsidRPr="001D0665" w:rsidRDefault="001D0665" w:rsidP="001D0665">
      <w:pPr>
        <w:spacing w:line="240" w:lineRule="auto"/>
        <w:rPr>
          <w:rFonts w:eastAsia="Times New Roman" w:cs="Arial"/>
        </w:rPr>
      </w:pPr>
      <w:r w:rsidRPr="001D0665">
        <w:rPr>
          <w:rFonts w:eastAsia="Times New Roman" w:cs="Arial"/>
          <w:color w:val="000000"/>
          <w:lang w:eastAsia="bg-BG"/>
        </w:rPr>
        <w:t xml:space="preserve">Има все повече доказателства, че различните алели на Човешкия Левкоцитен Антиген </w:t>
      </w:r>
      <w:r w:rsidRPr="001D0665">
        <w:rPr>
          <w:rFonts w:eastAsia="Times New Roman" w:cs="Arial"/>
          <w:color w:val="000000"/>
          <w:lang w:val="ru-RU"/>
        </w:rPr>
        <w:t>(</w:t>
      </w:r>
      <w:r w:rsidRPr="001D0665">
        <w:rPr>
          <w:rFonts w:eastAsia="Times New Roman" w:cs="Arial"/>
          <w:color w:val="000000"/>
          <w:lang w:val="en-US"/>
        </w:rPr>
        <w:t>HLA</w:t>
      </w:r>
      <w:r w:rsidRPr="001D0665">
        <w:rPr>
          <w:rFonts w:eastAsia="Times New Roman" w:cs="Arial"/>
          <w:color w:val="000000"/>
          <w:lang w:val="ru-RU"/>
        </w:rPr>
        <w:t xml:space="preserve">) </w:t>
      </w:r>
      <w:r w:rsidRPr="001D0665">
        <w:rPr>
          <w:rFonts w:eastAsia="Times New Roman" w:cs="Arial"/>
          <w:color w:val="000000"/>
          <w:lang w:eastAsia="bg-BG"/>
        </w:rPr>
        <w:t xml:space="preserve">изпълняват роля свързана с нежеланите кожни реакции при предразположени пациенти. Тъй като химичната структура на окскарбазепин е подобна на тази на карбамазепин, е вероятно пациенти носители на алела </w:t>
      </w:r>
      <w:r w:rsidRPr="001D0665">
        <w:rPr>
          <w:rFonts w:eastAsia="Times New Roman" w:cs="Arial"/>
          <w:color w:val="000000"/>
          <w:lang w:val="en-US"/>
        </w:rPr>
        <w:t>HLA</w:t>
      </w:r>
      <w:r w:rsidRPr="001D0665">
        <w:rPr>
          <w:rFonts w:eastAsia="Times New Roman" w:cs="Arial"/>
          <w:color w:val="000000"/>
          <w:lang w:val="ru-RU"/>
        </w:rPr>
        <w:t>-</w:t>
      </w:r>
      <w:r w:rsidRPr="001D0665">
        <w:rPr>
          <w:rFonts w:eastAsia="Times New Roman" w:cs="Arial"/>
          <w:color w:val="000000"/>
          <w:lang w:val="en-US"/>
        </w:rPr>
        <w:t>B</w:t>
      </w:r>
      <w:r w:rsidRPr="001D0665">
        <w:rPr>
          <w:rFonts w:eastAsia="Times New Roman" w:cs="Arial"/>
          <w:color w:val="000000"/>
          <w:lang w:val="ru-RU"/>
        </w:rPr>
        <w:t xml:space="preserve">*1502 </w:t>
      </w:r>
      <w:r w:rsidRPr="001D0665">
        <w:rPr>
          <w:rFonts w:eastAsia="Times New Roman" w:cs="Arial"/>
          <w:color w:val="000000"/>
          <w:lang w:eastAsia="bg-BG"/>
        </w:rPr>
        <w:t xml:space="preserve">да имат също повишен риск за </w:t>
      </w:r>
      <w:r w:rsidRPr="001D0665">
        <w:rPr>
          <w:rFonts w:eastAsia="Times New Roman" w:cs="Arial"/>
          <w:color w:val="000000"/>
          <w:lang w:val="en-US"/>
        </w:rPr>
        <w:t>SJS</w:t>
      </w:r>
      <w:r w:rsidRPr="001D0665">
        <w:rPr>
          <w:rFonts w:eastAsia="Times New Roman" w:cs="Arial"/>
          <w:color w:val="000000"/>
          <w:lang w:val="ru-RU"/>
        </w:rPr>
        <w:t>/</w:t>
      </w:r>
      <w:r w:rsidRPr="001D0665">
        <w:rPr>
          <w:rFonts w:eastAsia="Times New Roman" w:cs="Arial"/>
          <w:color w:val="000000"/>
          <w:lang w:val="en-US"/>
        </w:rPr>
        <w:t>TEN</w:t>
      </w:r>
      <w:r w:rsidRPr="001D0665">
        <w:rPr>
          <w:rFonts w:eastAsia="Times New Roman" w:cs="Arial"/>
          <w:color w:val="000000"/>
          <w:lang w:val="ru-RU"/>
        </w:rPr>
        <w:t xml:space="preserve"> </w:t>
      </w:r>
      <w:r w:rsidRPr="001D0665">
        <w:rPr>
          <w:rFonts w:eastAsia="Times New Roman" w:cs="Arial"/>
          <w:color w:val="000000"/>
          <w:lang w:eastAsia="bg-BG"/>
        </w:rPr>
        <w:t>кожни реакции към окскарбазепин.</w:t>
      </w:r>
    </w:p>
    <w:p w14:paraId="08CF4257" w14:textId="77777777" w:rsidR="001D0665" w:rsidRPr="001D0665" w:rsidRDefault="001D0665" w:rsidP="001D0665">
      <w:pPr>
        <w:spacing w:line="240" w:lineRule="auto"/>
        <w:rPr>
          <w:rFonts w:eastAsia="Times New Roman" w:cs="Arial"/>
        </w:rPr>
      </w:pPr>
      <w:r w:rsidRPr="001D0665">
        <w:rPr>
          <w:rFonts w:eastAsia="Times New Roman" w:cs="Arial"/>
          <w:color w:val="000000"/>
          <w:lang w:eastAsia="bg-BG"/>
        </w:rPr>
        <w:t xml:space="preserve">Честотата на алел </w:t>
      </w:r>
      <w:r w:rsidRPr="001D0665">
        <w:rPr>
          <w:rFonts w:eastAsia="Times New Roman" w:cs="Arial"/>
          <w:color w:val="000000"/>
          <w:lang w:val="en-US"/>
        </w:rPr>
        <w:t>HLA</w:t>
      </w:r>
      <w:r w:rsidRPr="001D0665">
        <w:rPr>
          <w:rFonts w:eastAsia="Times New Roman" w:cs="Arial"/>
          <w:color w:val="000000"/>
          <w:lang w:val="ru-RU"/>
        </w:rPr>
        <w:t>-</w:t>
      </w:r>
      <w:r w:rsidRPr="001D0665">
        <w:rPr>
          <w:rFonts w:eastAsia="Times New Roman" w:cs="Arial"/>
          <w:color w:val="000000"/>
          <w:lang w:val="en-US"/>
        </w:rPr>
        <w:t>B</w:t>
      </w:r>
      <w:r w:rsidRPr="001D0665">
        <w:rPr>
          <w:rFonts w:eastAsia="Times New Roman" w:cs="Arial"/>
          <w:color w:val="000000"/>
          <w:lang w:val="ru-RU"/>
        </w:rPr>
        <w:t xml:space="preserve">* </w:t>
      </w:r>
      <w:r w:rsidRPr="001D0665">
        <w:rPr>
          <w:rFonts w:eastAsia="Times New Roman" w:cs="Arial"/>
          <w:color w:val="000000"/>
          <w:lang w:eastAsia="bg-BG"/>
        </w:rPr>
        <w:t>1502 варира от 2 до 12% при традиционните китайски популации, около 8% при тайландските популации и над 15% при филипинските и някои малайзийски популации. Алелна честота до около 2% и 6% са докладвани в Корея и Индия съответно.</w:t>
      </w:r>
    </w:p>
    <w:p w14:paraId="1230C000" w14:textId="77777777" w:rsidR="001D0665" w:rsidRPr="001D0665" w:rsidRDefault="001D0665" w:rsidP="001D0665">
      <w:pPr>
        <w:spacing w:line="240" w:lineRule="auto"/>
        <w:rPr>
          <w:rFonts w:eastAsia="Times New Roman" w:cs="Arial"/>
        </w:rPr>
      </w:pPr>
      <w:r w:rsidRPr="001D0665">
        <w:rPr>
          <w:rFonts w:eastAsia="Times New Roman" w:cs="Arial"/>
          <w:color w:val="000000"/>
          <w:lang w:eastAsia="bg-BG"/>
        </w:rPr>
        <w:t xml:space="preserve">Честотата на алел </w:t>
      </w:r>
      <w:r w:rsidRPr="001D0665">
        <w:rPr>
          <w:rFonts w:eastAsia="Times New Roman" w:cs="Arial"/>
          <w:color w:val="000000"/>
          <w:lang w:val="en-US"/>
        </w:rPr>
        <w:t>HLA</w:t>
      </w:r>
      <w:r w:rsidRPr="001D0665">
        <w:rPr>
          <w:rFonts w:eastAsia="Times New Roman" w:cs="Arial"/>
          <w:color w:val="000000"/>
          <w:lang w:val="ru-RU"/>
        </w:rPr>
        <w:t>-</w:t>
      </w:r>
      <w:r w:rsidRPr="001D0665">
        <w:rPr>
          <w:rFonts w:eastAsia="Times New Roman" w:cs="Arial"/>
          <w:color w:val="000000"/>
          <w:lang w:val="en-US"/>
        </w:rPr>
        <w:t>B</w:t>
      </w:r>
      <w:r w:rsidRPr="001D0665">
        <w:rPr>
          <w:rFonts w:eastAsia="Times New Roman" w:cs="Arial"/>
          <w:color w:val="000000"/>
          <w:lang w:val="ru-RU"/>
        </w:rPr>
        <w:t xml:space="preserve">*1502 </w:t>
      </w:r>
      <w:r w:rsidRPr="001D0665">
        <w:rPr>
          <w:rFonts w:eastAsia="Times New Roman" w:cs="Arial"/>
          <w:color w:val="000000"/>
          <w:lang w:eastAsia="bg-BG"/>
        </w:rPr>
        <w:t>е незначителна при индивиди с европеиден произход, няколко африкански популации, коренното американско население, извадка от латиноамерикански популации и при японци (&lt;1%).</w:t>
      </w:r>
    </w:p>
    <w:p w14:paraId="0845F504" w14:textId="77777777" w:rsidR="001D0665" w:rsidRPr="001D0665" w:rsidRDefault="001D0665" w:rsidP="001D0665">
      <w:pPr>
        <w:spacing w:line="240" w:lineRule="auto"/>
        <w:rPr>
          <w:rFonts w:eastAsia="Times New Roman" w:cs="Arial"/>
          <w:color w:val="000000"/>
          <w:lang w:eastAsia="bg-BG"/>
        </w:rPr>
      </w:pPr>
    </w:p>
    <w:p w14:paraId="734282E8" w14:textId="00BDB143" w:rsidR="001D0665" w:rsidRPr="001D0665" w:rsidRDefault="001D0665" w:rsidP="001D0665">
      <w:pPr>
        <w:spacing w:line="240" w:lineRule="auto"/>
        <w:rPr>
          <w:rFonts w:eastAsia="Times New Roman" w:cs="Arial"/>
        </w:rPr>
      </w:pPr>
      <w:r w:rsidRPr="001D0665">
        <w:rPr>
          <w:rFonts w:eastAsia="Times New Roman" w:cs="Arial"/>
          <w:color w:val="000000"/>
          <w:lang w:eastAsia="bg-BG"/>
        </w:rPr>
        <w:t>Посочените алелни честоти представят процента от хромозомите при упоменатите популации, които носят специфичния алел, показващи, че процента пациенти, които носят копие от алел на най-малко една от техните две хромозоми (т.е. „честота на носителство“) е близо два пъти по- висока от честотата на алела. Поради тази причина процента на пациентите, които са изложени на риск е приблизително два пъти алелната честота.</w:t>
      </w:r>
    </w:p>
    <w:p w14:paraId="026F3E82" w14:textId="77777777" w:rsidR="001D0665" w:rsidRPr="001D0665" w:rsidRDefault="001D0665" w:rsidP="001D0665">
      <w:pPr>
        <w:spacing w:line="240" w:lineRule="auto"/>
        <w:rPr>
          <w:rFonts w:eastAsia="Times New Roman" w:cs="Arial"/>
          <w:color w:val="000000"/>
          <w:lang w:eastAsia="bg-BG"/>
        </w:rPr>
      </w:pPr>
    </w:p>
    <w:p w14:paraId="59A5065A" w14:textId="7DA37292" w:rsidR="001D0665" w:rsidRPr="001D0665" w:rsidRDefault="001D0665" w:rsidP="001D0665">
      <w:pPr>
        <w:spacing w:line="240" w:lineRule="auto"/>
        <w:rPr>
          <w:rFonts w:eastAsia="Times New Roman" w:cs="Arial"/>
        </w:rPr>
      </w:pPr>
      <w:r w:rsidRPr="001D0665">
        <w:rPr>
          <w:rFonts w:eastAsia="Times New Roman" w:cs="Arial"/>
          <w:color w:val="000000"/>
          <w:lang w:eastAsia="bg-BG"/>
        </w:rPr>
        <w:t xml:space="preserve">Трябва да се обмисли тестването за наличие на алел </w:t>
      </w:r>
      <w:r w:rsidRPr="001D0665">
        <w:rPr>
          <w:rFonts w:eastAsia="Times New Roman" w:cs="Arial"/>
          <w:color w:val="000000"/>
          <w:lang w:val="en-US"/>
        </w:rPr>
        <w:t>HLA</w:t>
      </w:r>
      <w:r w:rsidRPr="001D0665">
        <w:rPr>
          <w:rFonts w:eastAsia="Times New Roman" w:cs="Arial"/>
          <w:color w:val="000000"/>
          <w:lang w:val="ru-RU"/>
        </w:rPr>
        <w:t>-</w:t>
      </w:r>
      <w:r w:rsidRPr="001D0665">
        <w:rPr>
          <w:rFonts w:eastAsia="Times New Roman" w:cs="Arial"/>
          <w:color w:val="000000"/>
          <w:lang w:val="en-US"/>
        </w:rPr>
        <w:t>B</w:t>
      </w:r>
      <w:r w:rsidRPr="001D0665">
        <w:rPr>
          <w:rFonts w:eastAsia="Times New Roman" w:cs="Arial"/>
          <w:color w:val="000000"/>
          <w:lang w:val="ru-RU"/>
        </w:rPr>
        <w:t xml:space="preserve">* </w:t>
      </w:r>
      <w:r w:rsidRPr="001D0665">
        <w:rPr>
          <w:rFonts w:eastAsia="Times New Roman" w:cs="Arial"/>
          <w:color w:val="000000"/>
          <w:lang w:eastAsia="bg-BG"/>
        </w:rPr>
        <w:t xml:space="preserve">1502 при пациенти родствени с рисковите популации преди започване на лечение с Трилептал (виж по-долу Информация за медицинските специалисти). Употребата на Трилептал трябва да се избягва при пациенти с положителен тест за алел </w:t>
      </w:r>
      <w:r w:rsidRPr="001D0665">
        <w:rPr>
          <w:rFonts w:eastAsia="Times New Roman" w:cs="Arial"/>
          <w:color w:val="000000"/>
          <w:lang w:val="en-US"/>
        </w:rPr>
        <w:t>HLA</w:t>
      </w:r>
      <w:r w:rsidRPr="001D0665">
        <w:rPr>
          <w:rFonts w:eastAsia="Times New Roman" w:cs="Arial"/>
          <w:color w:val="000000"/>
          <w:lang w:val="ru-RU"/>
        </w:rPr>
        <w:t>-</w:t>
      </w:r>
      <w:r w:rsidRPr="001D0665">
        <w:rPr>
          <w:rFonts w:eastAsia="Times New Roman" w:cs="Arial"/>
          <w:color w:val="000000"/>
          <w:lang w:val="en-US"/>
        </w:rPr>
        <w:t>B</w:t>
      </w:r>
      <w:r w:rsidRPr="001D0665">
        <w:rPr>
          <w:rFonts w:eastAsia="Times New Roman" w:cs="Arial"/>
          <w:color w:val="000000"/>
          <w:lang w:val="ru-RU"/>
        </w:rPr>
        <w:t xml:space="preserve">*1502, </w:t>
      </w:r>
      <w:r w:rsidRPr="001D0665">
        <w:rPr>
          <w:rFonts w:eastAsia="Times New Roman" w:cs="Arial"/>
          <w:color w:val="000000"/>
          <w:lang w:eastAsia="bg-BG"/>
        </w:rPr>
        <w:t xml:space="preserve">освен ако ползите ясно превишават риска. Алела </w:t>
      </w:r>
      <w:r w:rsidRPr="001D0665">
        <w:rPr>
          <w:rFonts w:eastAsia="Times New Roman" w:cs="Arial"/>
          <w:color w:val="000000"/>
          <w:lang w:val="en-US"/>
        </w:rPr>
        <w:t>HLA</w:t>
      </w:r>
      <w:r w:rsidRPr="001D0665">
        <w:rPr>
          <w:rFonts w:eastAsia="Times New Roman" w:cs="Arial"/>
          <w:color w:val="000000"/>
          <w:lang w:val="ru-RU"/>
        </w:rPr>
        <w:t xml:space="preserve">- </w:t>
      </w:r>
      <w:r w:rsidRPr="001D0665">
        <w:rPr>
          <w:rFonts w:eastAsia="Times New Roman" w:cs="Arial"/>
          <w:color w:val="000000"/>
          <w:lang w:eastAsia="bg-BG"/>
        </w:rPr>
        <w:t xml:space="preserve">В* 1502 може да бъде рисков фактор за развитието на </w:t>
      </w:r>
      <w:r w:rsidRPr="001D0665">
        <w:rPr>
          <w:rFonts w:eastAsia="Times New Roman" w:cs="Arial"/>
          <w:color w:val="000000"/>
          <w:lang w:val="en-US"/>
        </w:rPr>
        <w:t>SJS</w:t>
      </w:r>
      <w:r w:rsidRPr="001D0665">
        <w:rPr>
          <w:rFonts w:eastAsia="Times New Roman" w:cs="Arial"/>
          <w:color w:val="000000"/>
          <w:lang w:val="ru-RU"/>
        </w:rPr>
        <w:t>/</w:t>
      </w:r>
      <w:r w:rsidRPr="001D0665">
        <w:rPr>
          <w:rFonts w:eastAsia="Times New Roman" w:cs="Arial"/>
          <w:color w:val="000000"/>
          <w:lang w:val="en-US"/>
        </w:rPr>
        <w:t>TEN</w:t>
      </w:r>
      <w:r w:rsidRPr="001D0665">
        <w:rPr>
          <w:rFonts w:eastAsia="Times New Roman" w:cs="Arial"/>
          <w:color w:val="000000"/>
          <w:lang w:val="ru-RU"/>
        </w:rPr>
        <w:t xml:space="preserve"> </w:t>
      </w:r>
      <w:r w:rsidRPr="001D0665">
        <w:rPr>
          <w:rFonts w:eastAsia="Times New Roman" w:cs="Arial"/>
          <w:color w:val="000000"/>
          <w:lang w:eastAsia="bg-BG"/>
        </w:rPr>
        <w:t xml:space="preserve">при пациенти с китайски произход приемащи други антиепилептични лекарства (АЕЛ) свързани с </w:t>
      </w:r>
      <w:r w:rsidRPr="001D0665">
        <w:rPr>
          <w:rFonts w:eastAsia="Times New Roman" w:cs="Arial"/>
          <w:color w:val="000000"/>
          <w:lang w:val="en-US"/>
        </w:rPr>
        <w:t>SJS</w:t>
      </w:r>
      <w:r w:rsidRPr="001D0665">
        <w:rPr>
          <w:rFonts w:eastAsia="Times New Roman" w:cs="Arial"/>
          <w:color w:val="000000"/>
          <w:lang w:val="ru-RU"/>
        </w:rPr>
        <w:t>/</w:t>
      </w:r>
      <w:r w:rsidRPr="001D0665">
        <w:rPr>
          <w:rFonts w:eastAsia="Times New Roman" w:cs="Arial"/>
          <w:color w:val="000000"/>
          <w:lang w:val="en-US"/>
        </w:rPr>
        <w:t>TEN</w:t>
      </w:r>
      <w:r w:rsidRPr="001D0665">
        <w:rPr>
          <w:rFonts w:eastAsia="Times New Roman" w:cs="Arial"/>
          <w:color w:val="000000"/>
          <w:lang w:val="ru-RU"/>
        </w:rPr>
        <w:t xml:space="preserve">. </w:t>
      </w:r>
      <w:r w:rsidRPr="001D0665">
        <w:rPr>
          <w:rFonts w:eastAsia="Times New Roman" w:cs="Arial"/>
          <w:color w:val="000000"/>
          <w:lang w:eastAsia="bg-BG"/>
        </w:rPr>
        <w:t xml:space="preserve">Поради тази причина трябва да се обмисли избягването на употребата на други лекарства свързани с </w:t>
      </w:r>
      <w:r w:rsidRPr="001D0665">
        <w:rPr>
          <w:rFonts w:eastAsia="Times New Roman" w:cs="Arial"/>
          <w:color w:val="000000"/>
          <w:lang w:val="en-US"/>
        </w:rPr>
        <w:t>SJS</w:t>
      </w:r>
      <w:r w:rsidRPr="001D0665">
        <w:rPr>
          <w:rFonts w:eastAsia="Times New Roman" w:cs="Arial"/>
          <w:color w:val="000000"/>
          <w:lang w:val="ru-RU"/>
        </w:rPr>
        <w:t>/</w:t>
      </w:r>
      <w:r w:rsidRPr="001D0665">
        <w:rPr>
          <w:rFonts w:eastAsia="Times New Roman" w:cs="Arial"/>
          <w:color w:val="000000"/>
          <w:lang w:val="en-US"/>
        </w:rPr>
        <w:t>TEN</w:t>
      </w:r>
      <w:r w:rsidRPr="001D0665">
        <w:rPr>
          <w:rFonts w:eastAsia="Times New Roman" w:cs="Arial"/>
          <w:color w:val="000000"/>
          <w:lang w:val="ru-RU"/>
        </w:rPr>
        <w:t xml:space="preserve"> </w:t>
      </w:r>
      <w:r w:rsidRPr="001D0665">
        <w:rPr>
          <w:rFonts w:eastAsia="Times New Roman" w:cs="Arial"/>
          <w:color w:val="000000"/>
          <w:lang w:eastAsia="bg-BG"/>
        </w:rPr>
        <w:t xml:space="preserve">при </w:t>
      </w:r>
      <w:r w:rsidRPr="001D0665">
        <w:rPr>
          <w:rFonts w:eastAsia="Times New Roman" w:cs="Arial"/>
          <w:color w:val="000000"/>
          <w:lang w:val="en-US"/>
        </w:rPr>
        <w:t>HLA</w:t>
      </w:r>
      <w:r w:rsidRPr="001D0665">
        <w:rPr>
          <w:rFonts w:eastAsia="Times New Roman" w:cs="Arial"/>
          <w:color w:val="000000"/>
          <w:lang w:val="ru-RU"/>
        </w:rPr>
        <w:t>-</w:t>
      </w:r>
      <w:r w:rsidRPr="001D0665">
        <w:rPr>
          <w:rFonts w:eastAsia="Times New Roman" w:cs="Arial"/>
          <w:color w:val="000000"/>
          <w:lang w:val="en-US"/>
        </w:rPr>
        <w:t>B</w:t>
      </w:r>
      <w:r w:rsidRPr="001D0665">
        <w:rPr>
          <w:rFonts w:eastAsia="Times New Roman" w:cs="Arial"/>
          <w:color w:val="000000"/>
          <w:lang w:val="ru-RU"/>
        </w:rPr>
        <w:t xml:space="preserve">*1502 </w:t>
      </w:r>
      <w:r w:rsidRPr="001D0665">
        <w:rPr>
          <w:rFonts w:eastAsia="Times New Roman" w:cs="Arial"/>
          <w:color w:val="000000"/>
          <w:lang w:eastAsia="bg-BG"/>
        </w:rPr>
        <w:t xml:space="preserve">позитивни пациенти, когато алтернативните терапии са еднакво приемливи. Обикновено скрининг не се препоръчва при пациенти от популации, при които </w:t>
      </w:r>
      <w:r w:rsidRPr="001D0665">
        <w:rPr>
          <w:rFonts w:eastAsia="Times New Roman" w:cs="Arial"/>
          <w:color w:val="000000"/>
          <w:lang w:val="en-US"/>
        </w:rPr>
        <w:t>HLA</w:t>
      </w:r>
      <w:r w:rsidRPr="001D0665">
        <w:rPr>
          <w:rFonts w:eastAsia="Times New Roman" w:cs="Arial"/>
          <w:color w:val="000000"/>
          <w:lang w:val="ru-RU"/>
        </w:rPr>
        <w:t>-</w:t>
      </w:r>
      <w:r w:rsidRPr="001D0665">
        <w:rPr>
          <w:rFonts w:eastAsia="Times New Roman" w:cs="Arial"/>
          <w:color w:val="000000"/>
          <w:lang w:val="en-US"/>
        </w:rPr>
        <w:t>B</w:t>
      </w:r>
      <w:r w:rsidRPr="001D0665">
        <w:rPr>
          <w:rFonts w:eastAsia="Times New Roman" w:cs="Arial"/>
          <w:color w:val="000000"/>
          <w:lang w:val="ru-RU"/>
        </w:rPr>
        <w:t xml:space="preserve">*1502 </w:t>
      </w:r>
      <w:r w:rsidRPr="001D0665">
        <w:rPr>
          <w:rFonts w:eastAsia="Times New Roman" w:cs="Arial"/>
          <w:color w:val="000000"/>
          <w:lang w:eastAsia="bg-BG"/>
        </w:rPr>
        <w:t xml:space="preserve">носителството е ниско или при пациенти, които вече приемат Трилептал, тъй като риска от </w:t>
      </w:r>
      <w:r w:rsidRPr="001D0665">
        <w:rPr>
          <w:rFonts w:eastAsia="Times New Roman" w:cs="Arial"/>
          <w:color w:val="000000"/>
          <w:lang w:val="en-US"/>
        </w:rPr>
        <w:t>SJS</w:t>
      </w:r>
      <w:r w:rsidRPr="001D0665">
        <w:rPr>
          <w:rFonts w:eastAsia="Times New Roman" w:cs="Arial"/>
          <w:color w:val="000000"/>
          <w:lang w:val="ru-RU"/>
        </w:rPr>
        <w:t>/</w:t>
      </w:r>
      <w:r w:rsidRPr="001D0665">
        <w:rPr>
          <w:rFonts w:eastAsia="Times New Roman" w:cs="Arial"/>
          <w:color w:val="000000"/>
          <w:lang w:val="en-US"/>
        </w:rPr>
        <w:t>TEN</w:t>
      </w:r>
      <w:r w:rsidRPr="001D0665">
        <w:rPr>
          <w:rFonts w:eastAsia="Times New Roman" w:cs="Arial"/>
          <w:color w:val="000000"/>
          <w:lang w:val="ru-RU"/>
        </w:rPr>
        <w:t xml:space="preserve"> </w:t>
      </w:r>
      <w:r w:rsidRPr="001D0665">
        <w:rPr>
          <w:rFonts w:eastAsia="Times New Roman" w:cs="Arial"/>
          <w:color w:val="000000"/>
          <w:lang w:eastAsia="bg-BG"/>
        </w:rPr>
        <w:t xml:space="preserve">е до голяма степен ограничен до първите няколко месеца от терапията, независимо от </w:t>
      </w:r>
      <w:r w:rsidRPr="001D0665">
        <w:rPr>
          <w:rFonts w:eastAsia="Times New Roman" w:cs="Arial"/>
          <w:color w:val="000000"/>
          <w:lang w:val="en-US"/>
        </w:rPr>
        <w:t>HLA</w:t>
      </w:r>
      <w:r w:rsidRPr="001D0665">
        <w:rPr>
          <w:rFonts w:eastAsia="Times New Roman" w:cs="Arial"/>
          <w:color w:val="000000"/>
          <w:lang w:val="ru-RU"/>
        </w:rPr>
        <w:t>-</w:t>
      </w:r>
      <w:r w:rsidRPr="001D0665">
        <w:rPr>
          <w:rFonts w:eastAsia="Times New Roman" w:cs="Arial"/>
          <w:color w:val="000000"/>
          <w:lang w:val="en-US"/>
        </w:rPr>
        <w:t>B</w:t>
      </w:r>
      <w:r w:rsidRPr="001D0665">
        <w:rPr>
          <w:rFonts w:eastAsia="Times New Roman" w:cs="Arial"/>
          <w:color w:val="000000"/>
          <w:lang w:val="ru-RU"/>
        </w:rPr>
        <w:t xml:space="preserve">*1502 </w:t>
      </w:r>
      <w:r w:rsidRPr="001D0665">
        <w:rPr>
          <w:rFonts w:eastAsia="Times New Roman" w:cs="Arial"/>
          <w:color w:val="000000"/>
          <w:lang w:eastAsia="bg-BG"/>
        </w:rPr>
        <w:t>статуса.</w:t>
      </w:r>
    </w:p>
    <w:p w14:paraId="2C380EFB" w14:textId="77777777" w:rsidR="001D0665" w:rsidRPr="001D0665" w:rsidRDefault="001D0665" w:rsidP="001D0665">
      <w:pPr>
        <w:spacing w:line="240" w:lineRule="auto"/>
        <w:rPr>
          <w:rFonts w:eastAsia="Times New Roman" w:cs="Arial"/>
          <w:color w:val="000000"/>
          <w:u w:val="single"/>
          <w:lang w:eastAsia="bg-BG"/>
        </w:rPr>
      </w:pPr>
    </w:p>
    <w:p w14:paraId="2AF17F24" w14:textId="17E44BAE" w:rsidR="001D0665" w:rsidRPr="001D0665" w:rsidRDefault="001D0665" w:rsidP="001D0665">
      <w:pPr>
        <w:spacing w:line="240" w:lineRule="auto"/>
        <w:rPr>
          <w:rFonts w:eastAsia="Times New Roman" w:cs="Arial"/>
        </w:rPr>
      </w:pPr>
      <w:r w:rsidRPr="001D0665">
        <w:rPr>
          <w:rFonts w:eastAsia="Times New Roman" w:cs="Arial"/>
          <w:color w:val="000000"/>
          <w:u w:val="single"/>
          <w:lang w:eastAsia="bg-BG"/>
        </w:rPr>
        <w:t xml:space="preserve">Свързани с </w:t>
      </w:r>
      <w:r w:rsidRPr="001D0665">
        <w:rPr>
          <w:rFonts w:eastAsia="Times New Roman" w:cs="Arial"/>
          <w:color w:val="000000"/>
          <w:u w:val="single"/>
          <w:lang w:val="en-US"/>
        </w:rPr>
        <w:t>HLA</w:t>
      </w:r>
      <w:r w:rsidRPr="001D0665">
        <w:rPr>
          <w:rFonts w:eastAsia="Times New Roman" w:cs="Arial"/>
          <w:color w:val="000000"/>
          <w:u w:val="single"/>
        </w:rPr>
        <w:t>-</w:t>
      </w:r>
      <w:r w:rsidRPr="001D0665">
        <w:rPr>
          <w:rFonts w:eastAsia="Times New Roman" w:cs="Arial"/>
          <w:color w:val="000000"/>
          <w:u w:val="single"/>
          <w:lang w:val="en-US"/>
        </w:rPr>
        <w:t>A</w:t>
      </w:r>
      <w:r w:rsidRPr="001D0665">
        <w:rPr>
          <w:rFonts w:eastAsia="Times New Roman" w:cs="Arial"/>
          <w:color w:val="000000"/>
          <w:u w:val="single"/>
        </w:rPr>
        <w:t>*3101</w:t>
      </w:r>
    </w:p>
    <w:p w14:paraId="0DA756C2" w14:textId="77777777" w:rsidR="001D0665" w:rsidRPr="001D0665" w:rsidRDefault="001D0665" w:rsidP="001D0665">
      <w:pPr>
        <w:spacing w:line="240" w:lineRule="auto"/>
        <w:rPr>
          <w:rFonts w:eastAsia="Times New Roman" w:cs="Arial"/>
        </w:rPr>
      </w:pPr>
      <w:r w:rsidRPr="001D0665">
        <w:rPr>
          <w:rFonts w:eastAsia="Times New Roman" w:cs="Arial"/>
          <w:color w:val="000000"/>
          <w:lang w:eastAsia="bg-BG"/>
        </w:rPr>
        <w:t xml:space="preserve">Някои данни предполагат, че алела </w:t>
      </w:r>
      <w:r w:rsidRPr="001D0665">
        <w:rPr>
          <w:rFonts w:eastAsia="Times New Roman" w:cs="Arial"/>
          <w:color w:val="000000"/>
          <w:lang w:val="en-US"/>
        </w:rPr>
        <w:t>HLA</w:t>
      </w:r>
      <w:r w:rsidRPr="001D0665">
        <w:rPr>
          <w:rFonts w:eastAsia="Times New Roman" w:cs="Arial"/>
          <w:color w:val="000000"/>
        </w:rPr>
        <w:t>-</w:t>
      </w:r>
      <w:r w:rsidRPr="001D0665">
        <w:rPr>
          <w:rFonts w:eastAsia="Times New Roman" w:cs="Arial"/>
          <w:color w:val="000000"/>
          <w:lang w:val="en-US"/>
        </w:rPr>
        <w:t>A</w:t>
      </w:r>
      <w:r w:rsidRPr="001D0665">
        <w:rPr>
          <w:rFonts w:eastAsia="Times New Roman" w:cs="Arial"/>
          <w:color w:val="000000"/>
        </w:rPr>
        <w:t>*3</w:t>
      </w:r>
      <w:r w:rsidRPr="001D0665">
        <w:rPr>
          <w:rFonts w:eastAsia="Times New Roman" w:cs="Arial"/>
          <w:color w:val="000000"/>
          <w:lang w:eastAsia="bg-BG"/>
        </w:rPr>
        <w:t xml:space="preserve">101 е свързан с повишен риск от карбамазепин индуцирани нежелани кожни реакции включващи </w:t>
      </w:r>
      <w:r w:rsidRPr="001D0665">
        <w:rPr>
          <w:rFonts w:eastAsia="Times New Roman" w:cs="Arial"/>
          <w:color w:val="000000"/>
          <w:lang w:val="en-US"/>
        </w:rPr>
        <w:t>SJS</w:t>
      </w:r>
      <w:r w:rsidRPr="001D0665">
        <w:rPr>
          <w:rFonts w:eastAsia="Times New Roman" w:cs="Arial"/>
          <w:color w:val="000000"/>
        </w:rPr>
        <w:t xml:space="preserve">, </w:t>
      </w:r>
      <w:r w:rsidRPr="001D0665">
        <w:rPr>
          <w:rFonts w:eastAsia="Times New Roman" w:cs="Arial"/>
          <w:color w:val="000000"/>
          <w:lang w:val="en-US"/>
        </w:rPr>
        <w:t>TEN</w:t>
      </w:r>
      <w:r w:rsidRPr="001D0665">
        <w:rPr>
          <w:rFonts w:eastAsia="Times New Roman" w:cs="Arial"/>
          <w:color w:val="000000"/>
        </w:rPr>
        <w:t xml:space="preserve">, </w:t>
      </w:r>
      <w:r w:rsidRPr="001D0665">
        <w:rPr>
          <w:rFonts w:eastAsia="Times New Roman" w:cs="Arial"/>
          <w:color w:val="000000"/>
          <w:lang w:eastAsia="bg-BG"/>
        </w:rPr>
        <w:t xml:space="preserve">лекарствен обрив с еозинофилия </w:t>
      </w:r>
      <w:r w:rsidRPr="001D0665">
        <w:rPr>
          <w:rFonts w:eastAsia="Times New Roman" w:cs="Arial"/>
          <w:color w:val="000000"/>
        </w:rPr>
        <w:t>(</w:t>
      </w:r>
      <w:r w:rsidRPr="001D0665">
        <w:rPr>
          <w:rFonts w:eastAsia="Times New Roman" w:cs="Arial"/>
          <w:color w:val="000000"/>
          <w:lang w:val="en-US"/>
        </w:rPr>
        <w:t>DRESS</w:t>
      </w:r>
      <w:r w:rsidRPr="001D0665">
        <w:rPr>
          <w:rFonts w:eastAsia="Times New Roman" w:cs="Arial"/>
          <w:color w:val="000000"/>
        </w:rPr>
        <w:t xml:space="preserve">) </w:t>
      </w:r>
      <w:r w:rsidRPr="001D0665">
        <w:rPr>
          <w:rFonts w:eastAsia="Times New Roman" w:cs="Arial"/>
          <w:color w:val="000000"/>
          <w:lang w:eastAsia="bg-BG"/>
        </w:rPr>
        <w:t>или по-малко тежка остра генерализирана екзантематозна пустулоза (</w:t>
      </w:r>
      <w:r w:rsidRPr="001D0665">
        <w:rPr>
          <w:rFonts w:eastAsia="Times New Roman" w:cs="Arial"/>
          <w:color w:val="000000"/>
          <w:lang w:val="en-US"/>
        </w:rPr>
        <w:t>AGEP</w:t>
      </w:r>
      <w:r w:rsidRPr="001D0665">
        <w:rPr>
          <w:rFonts w:eastAsia="Times New Roman" w:cs="Arial"/>
          <w:color w:val="000000"/>
        </w:rPr>
        <w:t xml:space="preserve">) </w:t>
      </w:r>
      <w:r w:rsidRPr="001D0665">
        <w:rPr>
          <w:rFonts w:eastAsia="Times New Roman" w:cs="Arial"/>
          <w:color w:val="000000"/>
          <w:lang w:eastAsia="bg-BG"/>
        </w:rPr>
        <w:t>и</w:t>
      </w:r>
    </w:p>
    <w:p w14:paraId="454ABA7F" w14:textId="67B7F94F" w:rsidR="001D0665" w:rsidRPr="001D0665" w:rsidRDefault="001D0665" w:rsidP="001D0665">
      <w:pPr>
        <w:spacing w:line="240" w:lineRule="auto"/>
        <w:rPr>
          <w:rFonts w:eastAsia="Times New Roman" w:cs="Arial"/>
          <w:lang w:val="ru-RU"/>
        </w:rPr>
      </w:pPr>
      <w:r w:rsidRPr="001D0665">
        <w:rPr>
          <w:rFonts w:eastAsia="Times New Roman" w:cs="Arial"/>
          <w:color w:val="000000"/>
          <w:lang w:eastAsia="bg-BG"/>
        </w:rPr>
        <w:t>макулопапулозен обрив при европеидната раса и при японската популация.</w:t>
      </w:r>
    </w:p>
    <w:p w14:paraId="5C62FB3D" w14:textId="0F3851CB" w:rsidR="001D0665" w:rsidRPr="001D0665" w:rsidRDefault="001D0665" w:rsidP="001D0665">
      <w:pPr>
        <w:rPr>
          <w:rFonts w:cs="Arial"/>
        </w:rPr>
      </w:pPr>
    </w:p>
    <w:p w14:paraId="43B831B4" w14:textId="77777777" w:rsidR="001D0665" w:rsidRPr="001D0665" w:rsidRDefault="001D0665" w:rsidP="001D0665">
      <w:pPr>
        <w:spacing w:line="240" w:lineRule="auto"/>
        <w:rPr>
          <w:rFonts w:eastAsia="Times New Roman" w:cs="Arial"/>
        </w:rPr>
      </w:pPr>
      <w:r w:rsidRPr="001D0665">
        <w:rPr>
          <w:rFonts w:eastAsia="Times New Roman" w:cs="Arial"/>
          <w:color w:val="000000"/>
          <w:lang w:eastAsia="bg-BG"/>
        </w:rPr>
        <w:t xml:space="preserve">Честотата на алела </w:t>
      </w:r>
      <w:r w:rsidRPr="001D0665">
        <w:rPr>
          <w:rFonts w:eastAsia="Times New Roman" w:cs="Arial"/>
          <w:color w:val="000000"/>
          <w:lang w:val="en-US"/>
        </w:rPr>
        <w:t>HLA</w:t>
      </w:r>
      <w:r w:rsidRPr="001D0665">
        <w:rPr>
          <w:rFonts w:eastAsia="Times New Roman" w:cs="Arial"/>
          <w:color w:val="000000"/>
          <w:lang w:val="ru-RU"/>
        </w:rPr>
        <w:t>-</w:t>
      </w:r>
      <w:r w:rsidRPr="001D0665">
        <w:rPr>
          <w:rFonts w:eastAsia="Times New Roman" w:cs="Arial"/>
          <w:color w:val="000000"/>
          <w:lang w:val="en-US"/>
        </w:rPr>
        <w:t>A</w:t>
      </w:r>
      <w:r w:rsidRPr="001D0665">
        <w:rPr>
          <w:rFonts w:eastAsia="Times New Roman" w:cs="Arial"/>
          <w:color w:val="000000"/>
          <w:lang w:val="ru-RU"/>
        </w:rPr>
        <w:t xml:space="preserve">*3101 </w:t>
      </w:r>
      <w:r w:rsidRPr="001D0665">
        <w:rPr>
          <w:rFonts w:eastAsia="Times New Roman" w:cs="Arial"/>
          <w:color w:val="000000"/>
          <w:lang w:eastAsia="bg-BG"/>
        </w:rPr>
        <w:t>варира в широки граници между етническите популации и неговата честота е около 2 до 5% при европеидната раса и около 10% в японската популация. Установено е, че честотата на този алел е по-ниска от 5% в мнозинството Австралийски, Азиатски, Африкански и Северноамерикански популации с някои изключения в рамките от 5 до 12%. Честота над 15% е установена в някои етнически групи в Южна Америка (Аржентина и Бразилия), Северна Америка (САЩ: Навахо и Сиукси и Мексико: Сери от Сонора) и южна Индия (Тамил Наду) и между 10% до 15% в други местни етноси в същите тези региони.</w:t>
      </w:r>
    </w:p>
    <w:p w14:paraId="42C12724" w14:textId="77777777" w:rsidR="001D0665" w:rsidRPr="001D0665" w:rsidRDefault="001D0665" w:rsidP="001D0665">
      <w:pPr>
        <w:spacing w:line="240" w:lineRule="auto"/>
        <w:rPr>
          <w:rFonts w:eastAsia="Times New Roman" w:cs="Arial"/>
          <w:color w:val="000000"/>
          <w:lang w:eastAsia="bg-BG"/>
        </w:rPr>
      </w:pPr>
    </w:p>
    <w:p w14:paraId="0C57A09C" w14:textId="195A92DF" w:rsidR="001D0665" w:rsidRPr="001D0665" w:rsidRDefault="001D0665" w:rsidP="001D0665">
      <w:pPr>
        <w:spacing w:line="240" w:lineRule="auto"/>
        <w:rPr>
          <w:rFonts w:eastAsia="Times New Roman" w:cs="Arial"/>
        </w:rPr>
      </w:pPr>
      <w:r w:rsidRPr="001D0665">
        <w:rPr>
          <w:rFonts w:eastAsia="Times New Roman" w:cs="Arial"/>
          <w:color w:val="000000"/>
          <w:lang w:eastAsia="bg-BG"/>
        </w:rPr>
        <w:lastRenderedPageBreak/>
        <w:t>Посочените тук алелни честоти представят процента от хромозомите при упоменатите популации, които носят специфичния алел, показващи, че процента пациенти, които носят копие от алел на най-малко една от техните две хромозоми (т.е. „честота на носителство“) е близо два пъти по-висок от честотата на алела. Поради тази причина процента на пациентите, които са изложени на риск е приблизително два пъти алелната честота.</w:t>
      </w:r>
    </w:p>
    <w:p w14:paraId="5D2CC3A6" w14:textId="77777777" w:rsidR="001D0665" w:rsidRPr="001D0665" w:rsidRDefault="001D0665" w:rsidP="001D0665">
      <w:pPr>
        <w:spacing w:line="240" w:lineRule="auto"/>
        <w:rPr>
          <w:rFonts w:eastAsia="Times New Roman" w:cs="Arial"/>
          <w:color w:val="000000"/>
          <w:lang w:eastAsia="bg-BG"/>
        </w:rPr>
      </w:pPr>
    </w:p>
    <w:p w14:paraId="18B92876" w14:textId="12F1B155" w:rsidR="001D0665" w:rsidRPr="001D0665" w:rsidRDefault="001D0665" w:rsidP="001D0665">
      <w:pPr>
        <w:spacing w:line="240" w:lineRule="auto"/>
        <w:rPr>
          <w:rFonts w:eastAsia="Times New Roman" w:cs="Arial"/>
        </w:rPr>
      </w:pPr>
      <w:r w:rsidRPr="001D0665">
        <w:rPr>
          <w:rFonts w:eastAsia="Times New Roman" w:cs="Arial"/>
          <w:color w:val="000000"/>
          <w:lang w:eastAsia="bg-BG"/>
        </w:rPr>
        <w:t xml:space="preserve">Няма достатъчно данни в подкрепа на препоръка за тестване за наличие на </w:t>
      </w:r>
      <w:r w:rsidRPr="001D0665">
        <w:rPr>
          <w:rFonts w:eastAsia="Times New Roman" w:cs="Arial"/>
          <w:color w:val="000000"/>
          <w:lang w:val="en-US"/>
        </w:rPr>
        <w:t>HLA</w:t>
      </w:r>
      <w:r w:rsidRPr="001D0665">
        <w:rPr>
          <w:rFonts w:eastAsia="Times New Roman" w:cs="Arial"/>
          <w:color w:val="000000"/>
          <w:lang w:val="ru-RU"/>
        </w:rPr>
        <w:t>-</w:t>
      </w:r>
      <w:r w:rsidRPr="001D0665">
        <w:rPr>
          <w:rFonts w:eastAsia="Times New Roman" w:cs="Arial"/>
          <w:color w:val="000000"/>
          <w:lang w:val="en-US"/>
        </w:rPr>
        <w:t>A</w:t>
      </w:r>
      <w:r w:rsidRPr="001D0665">
        <w:rPr>
          <w:rFonts w:eastAsia="Times New Roman" w:cs="Arial"/>
          <w:color w:val="000000"/>
          <w:lang w:val="ru-RU"/>
        </w:rPr>
        <w:t>*3</w:t>
      </w:r>
      <w:r w:rsidRPr="001D0665">
        <w:rPr>
          <w:rFonts w:eastAsia="Times New Roman" w:cs="Arial"/>
          <w:color w:val="000000"/>
          <w:lang w:eastAsia="bg-BG"/>
        </w:rPr>
        <w:t xml:space="preserve">101 алел при пациенти, преди да се започне лечение с окскарбазепин. Генетичен скрининг обикновено не се препоръчва за пациенти приемащи Трилептал, тъй като риска от </w:t>
      </w:r>
      <w:r w:rsidRPr="001D0665">
        <w:rPr>
          <w:rFonts w:eastAsia="Times New Roman" w:cs="Arial"/>
          <w:color w:val="000000"/>
          <w:lang w:val="en-US"/>
        </w:rPr>
        <w:t>SJS</w:t>
      </w:r>
      <w:r w:rsidRPr="001D0665">
        <w:rPr>
          <w:rFonts w:eastAsia="Times New Roman" w:cs="Arial"/>
          <w:color w:val="000000"/>
          <w:lang w:val="ru-RU"/>
        </w:rPr>
        <w:t>/</w:t>
      </w:r>
      <w:r w:rsidRPr="001D0665">
        <w:rPr>
          <w:rFonts w:eastAsia="Times New Roman" w:cs="Arial"/>
          <w:color w:val="000000"/>
          <w:lang w:val="en-US"/>
        </w:rPr>
        <w:t>TEN</w:t>
      </w:r>
      <w:r w:rsidRPr="001D0665">
        <w:rPr>
          <w:rFonts w:eastAsia="Times New Roman" w:cs="Arial"/>
          <w:color w:val="000000"/>
          <w:lang w:val="ru-RU"/>
        </w:rPr>
        <w:t xml:space="preserve">, </w:t>
      </w:r>
      <w:r w:rsidRPr="001D0665">
        <w:rPr>
          <w:rFonts w:eastAsia="Times New Roman" w:cs="Arial"/>
          <w:color w:val="000000"/>
          <w:lang w:val="en-US"/>
        </w:rPr>
        <w:t>AGEP</w:t>
      </w:r>
      <w:r w:rsidRPr="001D0665">
        <w:rPr>
          <w:rFonts w:eastAsia="Times New Roman" w:cs="Arial"/>
          <w:color w:val="000000"/>
          <w:lang w:val="ru-RU"/>
        </w:rPr>
        <w:t xml:space="preserve">, </w:t>
      </w:r>
      <w:r w:rsidRPr="001D0665">
        <w:rPr>
          <w:rFonts w:eastAsia="Times New Roman" w:cs="Arial"/>
          <w:color w:val="000000"/>
          <w:lang w:val="en-US"/>
        </w:rPr>
        <w:t>DRESS</w:t>
      </w:r>
      <w:r w:rsidRPr="001D0665">
        <w:rPr>
          <w:rFonts w:eastAsia="Times New Roman" w:cs="Arial"/>
          <w:color w:val="000000"/>
          <w:lang w:val="ru-RU"/>
        </w:rPr>
        <w:t xml:space="preserve"> </w:t>
      </w:r>
      <w:r w:rsidRPr="001D0665">
        <w:rPr>
          <w:rFonts w:eastAsia="Times New Roman" w:cs="Arial"/>
          <w:color w:val="000000"/>
          <w:lang w:eastAsia="bg-BG"/>
        </w:rPr>
        <w:t xml:space="preserve">и макулопапулозен обрив до голяма степен се ограничава до първите няколко месеца от терапията, независимо от </w:t>
      </w:r>
      <w:r w:rsidRPr="001D0665">
        <w:rPr>
          <w:rFonts w:eastAsia="Times New Roman" w:cs="Arial"/>
          <w:color w:val="000000"/>
          <w:lang w:val="en-US"/>
        </w:rPr>
        <w:t>HL</w:t>
      </w:r>
      <w:r w:rsidRPr="001D0665">
        <w:rPr>
          <w:rFonts w:eastAsia="Times New Roman" w:cs="Arial"/>
          <w:color w:val="000000"/>
          <w:lang w:eastAsia="bg-BG"/>
        </w:rPr>
        <w:t>А-А*3101 статуса.</w:t>
      </w:r>
    </w:p>
    <w:p w14:paraId="1F1109AD" w14:textId="77777777" w:rsidR="001D0665" w:rsidRPr="001D0665" w:rsidRDefault="001D0665" w:rsidP="001D0665">
      <w:pPr>
        <w:spacing w:line="240" w:lineRule="auto"/>
        <w:rPr>
          <w:rFonts w:eastAsia="Times New Roman" w:cs="Arial"/>
          <w:color w:val="000000"/>
          <w:u w:val="single"/>
          <w:lang w:eastAsia="bg-BG"/>
        </w:rPr>
      </w:pPr>
    </w:p>
    <w:p w14:paraId="1251FBA8" w14:textId="2EAF886A" w:rsidR="001D0665" w:rsidRPr="001D0665" w:rsidRDefault="001D0665" w:rsidP="001D0665">
      <w:pPr>
        <w:spacing w:line="240" w:lineRule="auto"/>
        <w:rPr>
          <w:rFonts w:eastAsia="Times New Roman" w:cs="Arial"/>
        </w:rPr>
      </w:pPr>
      <w:r w:rsidRPr="001D0665">
        <w:rPr>
          <w:rFonts w:eastAsia="Times New Roman" w:cs="Arial"/>
          <w:color w:val="000000"/>
          <w:u w:val="single"/>
          <w:lang w:eastAsia="bg-BG"/>
        </w:rPr>
        <w:t>Ограничения на генетичния скрининг</w:t>
      </w:r>
    </w:p>
    <w:p w14:paraId="6E3005C4" w14:textId="77777777" w:rsidR="001D0665" w:rsidRPr="001D0665" w:rsidRDefault="001D0665" w:rsidP="001D0665">
      <w:pPr>
        <w:spacing w:line="240" w:lineRule="auto"/>
        <w:rPr>
          <w:rFonts w:eastAsia="Times New Roman" w:cs="Arial"/>
        </w:rPr>
      </w:pPr>
      <w:r w:rsidRPr="001D0665">
        <w:rPr>
          <w:rFonts w:eastAsia="Times New Roman" w:cs="Arial"/>
          <w:color w:val="000000"/>
          <w:lang w:eastAsia="bg-BG"/>
        </w:rPr>
        <w:t xml:space="preserve">Резултатите от генетичния скрининг никога не трябва да заместват подходящата клинична бдителност и грижовно отношение към пациента. Много азиатски пациенти положителни за </w:t>
      </w:r>
      <w:r w:rsidRPr="001D0665">
        <w:rPr>
          <w:rFonts w:eastAsia="Times New Roman" w:cs="Arial"/>
          <w:color w:val="000000"/>
          <w:lang w:val="en-US"/>
        </w:rPr>
        <w:t>HLA</w:t>
      </w:r>
      <w:r w:rsidRPr="001D0665">
        <w:rPr>
          <w:rFonts w:eastAsia="Times New Roman" w:cs="Arial"/>
          <w:color w:val="000000"/>
          <w:lang w:val="ru-RU"/>
        </w:rPr>
        <w:t>-</w:t>
      </w:r>
      <w:r w:rsidRPr="001D0665">
        <w:rPr>
          <w:rFonts w:eastAsia="Times New Roman" w:cs="Arial"/>
          <w:color w:val="000000"/>
          <w:lang w:val="en-US"/>
        </w:rPr>
        <w:t>B</w:t>
      </w:r>
      <w:r w:rsidRPr="001D0665">
        <w:rPr>
          <w:rFonts w:eastAsia="Times New Roman" w:cs="Arial"/>
          <w:color w:val="000000"/>
          <w:lang w:val="ru-RU"/>
        </w:rPr>
        <w:t xml:space="preserve">*1502 </w:t>
      </w:r>
      <w:r w:rsidRPr="001D0665">
        <w:rPr>
          <w:rFonts w:eastAsia="Times New Roman" w:cs="Arial"/>
          <w:color w:val="000000"/>
          <w:lang w:eastAsia="bg-BG"/>
        </w:rPr>
        <w:t xml:space="preserve">и лекувани с Трилептал няма да развият </w:t>
      </w:r>
      <w:r w:rsidRPr="001D0665">
        <w:rPr>
          <w:rFonts w:eastAsia="Times New Roman" w:cs="Arial"/>
          <w:color w:val="000000"/>
          <w:lang w:val="en-US"/>
        </w:rPr>
        <w:t>SJS</w:t>
      </w:r>
      <w:r w:rsidRPr="001D0665">
        <w:rPr>
          <w:rFonts w:eastAsia="Times New Roman" w:cs="Arial"/>
          <w:color w:val="000000"/>
          <w:lang w:val="ru-RU"/>
        </w:rPr>
        <w:t>/</w:t>
      </w:r>
      <w:r w:rsidRPr="001D0665">
        <w:rPr>
          <w:rFonts w:eastAsia="Times New Roman" w:cs="Arial"/>
          <w:color w:val="000000"/>
          <w:lang w:val="en-US"/>
        </w:rPr>
        <w:t>TEN</w:t>
      </w:r>
      <w:r w:rsidRPr="001D0665">
        <w:rPr>
          <w:rFonts w:eastAsia="Times New Roman" w:cs="Arial"/>
          <w:color w:val="000000"/>
          <w:lang w:val="ru-RU"/>
        </w:rPr>
        <w:t xml:space="preserve"> </w:t>
      </w:r>
      <w:r w:rsidRPr="001D0665">
        <w:rPr>
          <w:rFonts w:eastAsia="Times New Roman" w:cs="Arial"/>
          <w:color w:val="000000"/>
          <w:lang w:eastAsia="bg-BG"/>
        </w:rPr>
        <w:t xml:space="preserve">и пациенти отрицателни за </w:t>
      </w:r>
      <w:r w:rsidRPr="001D0665">
        <w:rPr>
          <w:rFonts w:eastAsia="Times New Roman" w:cs="Arial"/>
          <w:color w:val="000000"/>
          <w:lang w:val="en-US"/>
        </w:rPr>
        <w:t>HLA</w:t>
      </w:r>
      <w:r w:rsidRPr="001D0665">
        <w:rPr>
          <w:rFonts w:eastAsia="Times New Roman" w:cs="Arial"/>
          <w:color w:val="000000"/>
          <w:lang w:val="ru-RU"/>
        </w:rPr>
        <w:t>-</w:t>
      </w:r>
      <w:r w:rsidRPr="001D0665">
        <w:rPr>
          <w:rFonts w:eastAsia="Times New Roman" w:cs="Arial"/>
          <w:color w:val="000000"/>
          <w:lang w:val="en-US"/>
        </w:rPr>
        <w:t>B</w:t>
      </w:r>
      <w:r w:rsidRPr="001D0665">
        <w:rPr>
          <w:rFonts w:eastAsia="Times New Roman" w:cs="Arial"/>
          <w:color w:val="000000"/>
          <w:lang w:val="ru-RU"/>
        </w:rPr>
        <w:t xml:space="preserve">*1502 </w:t>
      </w:r>
      <w:r w:rsidRPr="001D0665">
        <w:rPr>
          <w:rFonts w:eastAsia="Times New Roman" w:cs="Arial"/>
          <w:color w:val="000000"/>
          <w:lang w:eastAsia="bg-BG"/>
        </w:rPr>
        <w:t xml:space="preserve">от всеки етнос все пак може да развият </w:t>
      </w:r>
      <w:r w:rsidRPr="001D0665">
        <w:rPr>
          <w:rFonts w:eastAsia="Times New Roman" w:cs="Arial"/>
          <w:color w:val="000000"/>
          <w:lang w:val="en-US"/>
        </w:rPr>
        <w:t>SJS</w:t>
      </w:r>
      <w:r w:rsidRPr="001D0665">
        <w:rPr>
          <w:rFonts w:eastAsia="Times New Roman" w:cs="Arial"/>
          <w:color w:val="000000"/>
          <w:lang w:val="ru-RU"/>
        </w:rPr>
        <w:t>/</w:t>
      </w:r>
      <w:r w:rsidRPr="001D0665">
        <w:rPr>
          <w:rFonts w:eastAsia="Times New Roman" w:cs="Arial"/>
          <w:color w:val="000000"/>
          <w:lang w:val="en-US"/>
        </w:rPr>
        <w:t>TEN</w:t>
      </w:r>
      <w:r w:rsidRPr="001D0665">
        <w:rPr>
          <w:rFonts w:eastAsia="Times New Roman" w:cs="Arial"/>
          <w:color w:val="000000"/>
          <w:lang w:val="ru-RU"/>
        </w:rPr>
        <w:t xml:space="preserve">. </w:t>
      </w:r>
      <w:r w:rsidRPr="001D0665">
        <w:rPr>
          <w:rFonts w:eastAsia="Times New Roman" w:cs="Arial"/>
          <w:color w:val="000000"/>
          <w:lang w:eastAsia="bg-BG"/>
        </w:rPr>
        <w:t xml:space="preserve">Подобно, много пациенти позитивни за </w:t>
      </w:r>
      <w:r w:rsidRPr="001D0665">
        <w:rPr>
          <w:rFonts w:eastAsia="Times New Roman" w:cs="Arial"/>
          <w:color w:val="000000"/>
          <w:lang w:val="en-US"/>
        </w:rPr>
        <w:t>HLA</w:t>
      </w:r>
      <w:r w:rsidRPr="001D0665">
        <w:rPr>
          <w:rFonts w:eastAsia="Times New Roman" w:cs="Arial"/>
          <w:color w:val="000000"/>
          <w:lang w:val="ru-RU"/>
        </w:rPr>
        <w:t>-</w:t>
      </w:r>
      <w:r w:rsidRPr="001D0665">
        <w:rPr>
          <w:rFonts w:eastAsia="Times New Roman" w:cs="Arial"/>
          <w:color w:val="000000"/>
          <w:lang w:val="en-US"/>
        </w:rPr>
        <w:t>A</w:t>
      </w:r>
      <w:r w:rsidRPr="001D0665">
        <w:rPr>
          <w:rFonts w:eastAsia="Times New Roman" w:cs="Arial"/>
          <w:color w:val="000000"/>
          <w:lang w:val="ru-RU"/>
        </w:rPr>
        <w:t xml:space="preserve">*3101 </w:t>
      </w:r>
      <w:r w:rsidRPr="001D0665">
        <w:rPr>
          <w:rFonts w:eastAsia="Times New Roman" w:cs="Arial"/>
          <w:color w:val="000000"/>
          <w:lang w:eastAsia="bg-BG"/>
        </w:rPr>
        <w:t xml:space="preserve">и лекувани с Трилептал няма да развият </w:t>
      </w:r>
      <w:r w:rsidRPr="001D0665">
        <w:rPr>
          <w:rFonts w:eastAsia="Times New Roman" w:cs="Arial"/>
          <w:color w:val="000000"/>
          <w:lang w:val="en-US"/>
        </w:rPr>
        <w:t>SJS</w:t>
      </w:r>
      <w:r w:rsidRPr="001D0665">
        <w:rPr>
          <w:rFonts w:eastAsia="Times New Roman" w:cs="Arial"/>
          <w:color w:val="000000"/>
          <w:lang w:val="ru-RU"/>
        </w:rPr>
        <w:t xml:space="preserve">, </w:t>
      </w:r>
      <w:r w:rsidRPr="001D0665">
        <w:rPr>
          <w:rFonts w:eastAsia="Times New Roman" w:cs="Arial"/>
          <w:color w:val="000000"/>
          <w:lang w:val="en-US"/>
        </w:rPr>
        <w:t>TEN</w:t>
      </w:r>
      <w:r w:rsidRPr="001D0665">
        <w:rPr>
          <w:rFonts w:eastAsia="Times New Roman" w:cs="Arial"/>
          <w:color w:val="000000"/>
          <w:lang w:val="ru-RU"/>
        </w:rPr>
        <w:t xml:space="preserve">, </w:t>
      </w:r>
      <w:r w:rsidRPr="001D0665">
        <w:rPr>
          <w:rFonts w:eastAsia="Times New Roman" w:cs="Arial"/>
          <w:color w:val="000000"/>
          <w:lang w:val="en-US"/>
        </w:rPr>
        <w:t>DRESS</w:t>
      </w:r>
      <w:r w:rsidRPr="001D0665">
        <w:rPr>
          <w:rFonts w:eastAsia="Times New Roman" w:cs="Arial"/>
          <w:color w:val="000000"/>
          <w:lang w:val="ru-RU"/>
        </w:rPr>
        <w:t xml:space="preserve">, </w:t>
      </w:r>
      <w:r w:rsidRPr="001D0665">
        <w:rPr>
          <w:rFonts w:eastAsia="Times New Roman" w:cs="Arial"/>
          <w:color w:val="000000"/>
          <w:lang w:val="en-US"/>
        </w:rPr>
        <w:t>AGEP</w:t>
      </w:r>
      <w:r w:rsidRPr="001D0665">
        <w:rPr>
          <w:rFonts w:eastAsia="Times New Roman" w:cs="Arial"/>
          <w:color w:val="000000"/>
          <w:lang w:val="ru-RU"/>
        </w:rPr>
        <w:t xml:space="preserve"> </w:t>
      </w:r>
      <w:r w:rsidRPr="001D0665">
        <w:rPr>
          <w:rFonts w:eastAsia="Times New Roman" w:cs="Arial"/>
          <w:color w:val="000000"/>
          <w:lang w:eastAsia="bg-BG"/>
        </w:rPr>
        <w:t xml:space="preserve">или макулопапулозен обрив и пациенти отрицателни за </w:t>
      </w:r>
      <w:r w:rsidRPr="001D0665">
        <w:rPr>
          <w:rFonts w:eastAsia="Times New Roman" w:cs="Arial"/>
          <w:color w:val="000000"/>
          <w:lang w:val="en-US"/>
        </w:rPr>
        <w:t>HLA</w:t>
      </w:r>
      <w:r w:rsidRPr="001D0665">
        <w:rPr>
          <w:rFonts w:eastAsia="Times New Roman" w:cs="Arial"/>
          <w:color w:val="000000"/>
          <w:lang w:val="ru-RU"/>
        </w:rPr>
        <w:t>-</w:t>
      </w:r>
      <w:r w:rsidRPr="001D0665">
        <w:rPr>
          <w:rFonts w:eastAsia="Times New Roman" w:cs="Arial"/>
          <w:color w:val="000000"/>
          <w:lang w:val="en-US"/>
        </w:rPr>
        <w:t>A</w:t>
      </w:r>
      <w:r w:rsidRPr="001D0665">
        <w:rPr>
          <w:rFonts w:eastAsia="Times New Roman" w:cs="Arial"/>
          <w:color w:val="000000"/>
          <w:lang w:val="ru-RU"/>
        </w:rPr>
        <w:t>*3</w:t>
      </w:r>
      <w:r w:rsidRPr="001D0665">
        <w:rPr>
          <w:rFonts w:eastAsia="Times New Roman" w:cs="Arial"/>
          <w:color w:val="000000"/>
          <w:lang w:eastAsia="bg-BG"/>
        </w:rPr>
        <w:t>101 от всеки етнос все пак може да развият тежки нежелани кожни реакции. Ролята на други възможни фактори при развитието на и заболеваемостта от тези тежки нежелани кожни реакции, като например дозировка на други антиепилептични лекарства, придържане към терапията, съпътстващи лечения, съпътстващи заболявалия и ниво на дерматологичния скрининг, не са изследвани.</w:t>
      </w:r>
    </w:p>
    <w:p w14:paraId="6621831B" w14:textId="77777777" w:rsidR="001D0665" w:rsidRPr="001D0665" w:rsidRDefault="001D0665" w:rsidP="001D0665">
      <w:pPr>
        <w:spacing w:line="240" w:lineRule="auto"/>
        <w:rPr>
          <w:rFonts w:eastAsia="Times New Roman" w:cs="Arial"/>
          <w:color w:val="000000"/>
          <w:u w:val="single"/>
          <w:lang w:eastAsia="bg-BG"/>
        </w:rPr>
      </w:pPr>
    </w:p>
    <w:p w14:paraId="435A10B6" w14:textId="0B3E0A65" w:rsidR="001D0665" w:rsidRPr="001D0665" w:rsidRDefault="001D0665" w:rsidP="001D0665">
      <w:pPr>
        <w:spacing w:line="240" w:lineRule="auto"/>
        <w:rPr>
          <w:rFonts w:eastAsia="Times New Roman" w:cs="Arial"/>
        </w:rPr>
      </w:pPr>
      <w:r w:rsidRPr="001D0665">
        <w:rPr>
          <w:rFonts w:eastAsia="Times New Roman" w:cs="Arial"/>
          <w:color w:val="000000"/>
          <w:u w:val="single"/>
          <w:lang w:eastAsia="bg-BG"/>
        </w:rPr>
        <w:t>Информация за медицинските специалисти</w:t>
      </w:r>
    </w:p>
    <w:p w14:paraId="713FEE28" w14:textId="77777777" w:rsidR="001D0665" w:rsidRPr="001D0665" w:rsidRDefault="001D0665" w:rsidP="001D0665">
      <w:pPr>
        <w:spacing w:line="240" w:lineRule="auto"/>
        <w:rPr>
          <w:rFonts w:eastAsia="Times New Roman" w:cs="Arial"/>
        </w:rPr>
      </w:pPr>
      <w:r w:rsidRPr="001D0665">
        <w:rPr>
          <w:rFonts w:eastAsia="Times New Roman" w:cs="Arial"/>
          <w:color w:val="000000"/>
          <w:lang w:eastAsia="bg-BG"/>
        </w:rPr>
        <w:t xml:space="preserve">Ако е проведен тест за наличие на </w:t>
      </w:r>
      <w:r w:rsidRPr="001D0665">
        <w:rPr>
          <w:rFonts w:eastAsia="Times New Roman" w:cs="Arial"/>
          <w:color w:val="000000"/>
          <w:lang w:val="en-US"/>
        </w:rPr>
        <w:t>HLA</w:t>
      </w:r>
      <w:r w:rsidRPr="001D0665">
        <w:rPr>
          <w:rFonts w:eastAsia="Times New Roman" w:cs="Arial"/>
          <w:color w:val="000000"/>
          <w:lang w:val="ru-RU"/>
        </w:rPr>
        <w:t>-</w:t>
      </w:r>
      <w:r w:rsidRPr="001D0665">
        <w:rPr>
          <w:rFonts w:eastAsia="Times New Roman" w:cs="Arial"/>
          <w:color w:val="000000"/>
          <w:lang w:val="en-US"/>
        </w:rPr>
        <w:t>B</w:t>
      </w:r>
      <w:r w:rsidRPr="001D0665">
        <w:rPr>
          <w:rFonts w:eastAsia="Times New Roman" w:cs="Arial"/>
          <w:color w:val="000000"/>
          <w:lang w:val="ru-RU"/>
        </w:rPr>
        <w:t xml:space="preserve">* </w:t>
      </w:r>
      <w:r w:rsidRPr="001D0665">
        <w:rPr>
          <w:rFonts w:eastAsia="Times New Roman" w:cs="Arial"/>
          <w:color w:val="000000"/>
          <w:lang w:eastAsia="bg-BG"/>
        </w:rPr>
        <w:t>1502 алела се препоръчва високо селективно „типизиране на Н</w:t>
      </w:r>
      <w:r w:rsidRPr="001D0665">
        <w:rPr>
          <w:rFonts w:eastAsia="Times New Roman" w:cs="Arial"/>
          <w:color w:val="000000"/>
          <w:lang w:val="en-US"/>
        </w:rPr>
        <w:t>L</w:t>
      </w:r>
      <w:r w:rsidRPr="001D0665">
        <w:rPr>
          <w:rFonts w:eastAsia="Times New Roman" w:cs="Arial"/>
          <w:color w:val="000000"/>
          <w:lang w:eastAsia="bg-BG"/>
        </w:rPr>
        <w:t xml:space="preserve">А-В*1502“ алела. Тестът е положителен, ако се откриват един или два </w:t>
      </w:r>
      <w:r w:rsidRPr="001D0665">
        <w:rPr>
          <w:rFonts w:eastAsia="Times New Roman" w:cs="Arial"/>
          <w:color w:val="000000"/>
          <w:lang w:val="en-US"/>
        </w:rPr>
        <w:t>HLA</w:t>
      </w:r>
      <w:r w:rsidRPr="001D0665">
        <w:rPr>
          <w:rFonts w:eastAsia="Times New Roman" w:cs="Arial"/>
          <w:color w:val="000000"/>
          <w:lang w:val="ru-RU"/>
        </w:rPr>
        <w:t xml:space="preserve">- </w:t>
      </w:r>
      <w:r w:rsidRPr="001D0665">
        <w:rPr>
          <w:rFonts w:eastAsia="Times New Roman" w:cs="Arial"/>
          <w:color w:val="000000"/>
          <w:lang w:eastAsia="bg-BG"/>
        </w:rPr>
        <w:t xml:space="preserve">В*1502 алела и отрицателен ако не се откриват </w:t>
      </w:r>
      <w:r w:rsidRPr="001D0665">
        <w:rPr>
          <w:rFonts w:eastAsia="Times New Roman" w:cs="Arial"/>
          <w:color w:val="000000"/>
          <w:lang w:val="en-US"/>
        </w:rPr>
        <w:t>HLA</w:t>
      </w:r>
      <w:r w:rsidRPr="001D0665">
        <w:rPr>
          <w:rFonts w:eastAsia="Times New Roman" w:cs="Arial"/>
          <w:color w:val="000000"/>
          <w:lang w:val="ru-RU"/>
        </w:rPr>
        <w:t>-</w:t>
      </w:r>
      <w:r w:rsidRPr="001D0665">
        <w:rPr>
          <w:rFonts w:eastAsia="Times New Roman" w:cs="Arial"/>
          <w:color w:val="000000"/>
          <w:lang w:val="en-US"/>
        </w:rPr>
        <w:t>B</w:t>
      </w:r>
      <w:r w:rsidRPr="001D0665">
        <w:rPr>
          <w:rFonts w:eastAsia="Times New Roman" w:cs="Arial"/>
          <w:color w:val="000000"/>
          <w:lang w:val="ru-RU"/>
        </w:rPr>
        <w:t>*</w:t>
      </w:r>
      <w:r w:rsidRPr="001D0665">
        <w:rPr>
          <w:rFonts w:eastAsia="Times New Roman" w:cs="Arial"/>
          <w:color w:val="000000"/>
          <w:lang w:eastAsia="bg-BG"/>
        </w:rPr>
        <w:t xml:space="preserve">1502 алели. По същия начин, ако е проведен тест за наличие на </w:t>
      </w:r>
      <w:r w:rsidRPr="001D0665">
        <w:rPr>
          <w:rFonts w:eastAsia="Times New Roman" w:cs="Arial"/>
          <w:color w:val="000000"/>
          <w:lang w:val="en-US"/>
        </w:rPr>
        <w:t>HLA</w:t>
      </w:r>
      <w:r w:rsidRPr="001D0665">
        <w:rPr>
          <w:rFonts w:eastAsia="Times New Roman" w:cs="Arial"/>
          <w:color w:val="000000"/>
          <w:lang w:val="ru-RU"/>
        </w:rPr>
        <w:t>-</w:t>
      </w:r>
      <w:r w:rsidRPr="001D0665">
        <w:rPr>
          <w:rFonts w:eastAsia="Times New Roman" w:cs="Arial"/>
          <w:color w:val="000000"/>
          <w:lang w:val="en-US"/>
        </w:rPr>
        <w:t>A</w:t>
      </w:r>
      <w:r w:rsidRPr="001D0665">
        <w:rPr>
          <w:rFonts w:eastAsia="Times New Roman" w:cs="Arial"/>
          <w:color w:val="000000"/>
          <w:lang w:val="ru-RU"/>
        </w:rPr>
        <w:t>*3</w:t>
      </w:r>
      <w:r w:rsidRPr="001D0665">
        <w:rPr>
          <w:rFonts w:eastAsia="Times New Roman" w:cs="Arial"/>
          <w:color w:val="000000"/>
          <w:lang w:eastAsia="bg-BG"/>
        </w:rPr>
        <w:t>101 алела, се препоръчва високо селективно „типизиране на Н</w:t>
      </w:r>
      <w:r w:rsidRPr="001D0665">
        <w:rPr>
          <w:rFonts w:eastAsia="Times New Roman" w:cs="Arial"/>
          <w:color w:val="000000"/>
          <w:lang w:val="en-US"/>
        </w:rPr>
        <w:t>L</w:t>
      </w:r>
      <w:r w:rsidRPr="001D0665">
        <w:rPr>
          <w:rFonts w:eastAsia="Times New Roman" w:cs="Arial"/>
          <w:color w:val="000000"/>
          <w:lang w:eastAsia="bg-BG"/>
        </w:rPr>
        <w:t xml:space="preserve">А-А*3101“ алела. Тестът е положителен, ако се откриват един или два </w:t>
      </w:r>
      <w:r w:rsidRPr="001D0665">
        <w:rPr>
          <w:rFonts w:eastAsia="Times New Roman" w:cs="Arial"/>
          <w:color w:val="000000"/>
          <w:lang w:val="en-US"/>
        </w:rPr>
        <w:t>HLA</w:t>
      </w:r>
      <w:r w:rsidRPr="001D0665">
        <w:rPr>
          <w:rFonts w:eastAsia="Times New Roman" w:cs="Arial"/>
          <w:color w:val="000000"/>
          <w:lang w:val="ru-RU"/>
        </w:rPr>
        <w:t>-</w:t>
      </w:r>
      <w:r w:rsidRPr="001D0665">
        <w:rPr>
          <w:rFonts w:eastAsia="Times New Roman" w:cs="Arial"/>
          <w:color w:val="000000"/>
          <w:lang w:val="en-US"/>
        </w:rPr>
        <w:t>A</w:t>
      </w:r>
      <w:r w:rsidRPr="001D0665">
        <w:rPr>
          <w:rFonts w:eastAsia="Times New Roman" w:cs="Arial"/>
          <w:color w:val="000000"/>
          <w:lang w:val="ru-RU"/>
        </w:rPr>
        <w:t xml:space="preserve">*3101 </w:t>
      </w:r>
      <w:r w:rsidRPr="001D0665">
        <w:rPr>
          <w:rFonts w:eastAsia="Times New Roman" w:cs="Arial"/>
          <w:color w:val="000000"/>
          <w:lang w:eastAsia="bg-BG"/>
        </w:rPr>
        <w:t xml:space="preserve">алела и отрицателен ако не се отриват </w:t>
      </w:r>
      <w:r w:rsidRPr="001D0665">
        <w:rPr>
          <w:rFonts w:eastAsia="Times New Roman" w:cs="Arial"/>
          <w:color w:val="000000"/>
          <w:lang w:val="en-US"/>
        </w:rPr>
        <w:t>HLA</w:t>
      </w:r>
      <w:r w:rsidRPr="001D0665">
        <w:rPr>
          <w:rFonts w:eastAsia="Times New Roman" w:cs="Arial"/>
          <w:color w:val="000000"/>
          <w:lang w:val="ru-RU"/>
        </w:rPr>
        <w:t>-</w:t>
      </w:r>
      <w:r w:rsidRPr="001D0665">
        <w:rPr>
          <w:rFonts w:eastAsia="Times New Roman" w:cs="Arial"/>
          <w:color w:val="000000"/>
          <w:lang w:val="en-US"/>
        </w:rPr>
        <w:t>A</w:t>
      </w:r>
      <w:r w:rsidRPr="001D0665">
        <w:rPr>
          <w:rFonts w:eastAsia="Times New Roman" w:cs="Arial"/>
          <w:color w:val="000000"/>
          <w:lang w:val="ru-RU"/>
        </w:rPr>
        <w:t xml:space="preserve">*3101 </w:t>
      </w:r>
      <w:r w:rsidRPr="001D0665">
        <w:rPr>
          <w:rFonts w:eastAsia="Times New Roman" w:cs="Arial"/>
          <w:color w:val="000000"/>
          <w:lang w:eastAsia="bg-BG"/>
        </w:rPr>
        <w:t>алели.</w:t>
      </w:r>
    </w:p>
    <w:p w14:paraId="3FB12DFD" w14:textId="77777777" w:rsidR="001D0665" w:rsidRPr="001D0665" w:rsidRDefault="001D0665" w:rsidP="001D0665">
      <w:pPr>
        <w:spacing w:line="240" w:lineRule="auto"/>
        <w:rPr>
          <w:rFonts w:eastAsia="Times New Roman" w:cs="Arial"/>
          <w:color w:val="000000"/>
          <w:u w:val="single"/>
          <w:lang w:eastAsia="bg-BG"/>
        </w:rPr>
      </w:pPr>
    </w:p>
    <w:p w14:paraId="3CA05EC8" w14:textId="0707576A" w:rsidR="001D0665" w:rsidRPr="001D0665" w:rsidRDefault="001D0665" w:rsidP="001D0665">
      <w:pPr>
        <w:spacing w:line="240" w:lineRule="auto"/>
        <w:rPr>
          <w:rFonts w:eastAsia="Times New Roman" w:cs="Arial"/>
        </w:rPr>
      </w:pPr>
      <w:r w:rsidRPr="001D0665">
        <w:rPr>
          <w:rFonts w:eastAsia="Times New Roman" w:cs="Arial"/>
          <w:color w:val="000000"/>
          <w:u w:val="single"/>
          <w:lang w:eastAsia="bg-BG"/>
        </w:rPr>
        <w:t>Риск от влошаване на пристъпите</w:t>
      </w:r>
    </w:p>
    <w:p w14:paraId="6F60E802" w14:textId="77777777" w:rsidR="001D0665" w:rsidRPr="001D0665" w:rsidRDefault="001D0665" w:rsidP="001D0665">
      <w:pPr>
        <w:spacing w:line="240" w:lineRule="auto"/>
        <w:rPr>
          <w:rFonts w:eastAsia="Times New Roman" w:cs="Arial"/>
        </w:rPr>
      </w:pPr>
      <w:r w:rsidRPr="001D0665">
        <w:rPr>
          <w:rFonts w:eastAsia="Times New Roman" w:cs="Arial"/>
          <w:color w:val="000000"/>
          <w:lang w:eastAsia="bg-BG"/>
        </w:rPr>
        <w:t>Съобщава се за риск от влошаване на пристъпите при прием на Трилептал. Рискът от влошаване на пристъпите се наблюдава особено при деца, но може да настъпи и при възрастни. В случай на влошаване на пристъпите, приема на Трилептал трябва да се преустанови.</w:t>
      </w:r>
    </w:p>
    <w:p w14:paraId="7430E5ED" w14:textId="77777777" w:rsidR="001D0665" w:rsidRPr="001D0665" w:rsidRDefault="001D0665" w:rsidP="001D0665">
      <w:pPr>
        <w:spacing w:line="240" w:lineRule="auto"/>
        <w:rPr>
          <w:rFonts w:eastAsia="Times New Roman" w:cs="Arial"/>
          <w:color w:val="000000"/>
          <w:u w:val="single"/>
          <w:lang w:eastAsia="bg-BG"/>
        </w:rPr>
      </w:pPr>
    </w:p>
    <w:p w14:paraId="73B18E42" w14:textId="3453214A" w:rsidR="001D0665" w:rsidRPr="001D0665" w:rsidRDefault="001D0665" w:rsidP="001D0665">
      <w:pPr>
        <w:spacing w:line="240" w:lineRule="auto"/>
        <w:rPr>
          <w:rFonts w:eastAsia="Times New Roman" w:cs="Arial"/>
        </w:rPr>
      </w:pPr>
      <w:r w:rsidRPr="001D0665">
        <w:rPr>
          <w:rFonts w:eastAsia="Times New Roman" w:cs="Arial"/>
          <w:color w:val="000000"/>
          <w:u w:val="single"/>
          <w:lang w:eastAsia="bg-BG"/>
        </w:rPr>
        <w:t>Хипонатриемия</w:t>
      </w:r>
    </w:p>
    <w:p w14:paraId="70214FE8" w14:textId="77777777" w:rsidR="001D0665" w:rsidRPr="001D0665" w:rsidRDefault="001D0665" w:rsidP="001D0665">
      <w:pPr>
        <w:rPr>
          <w:rFonts w:eastAsia="Times New Roman" w:cs="Arial"/>
        </w:rPr>
      </w:pPr>
      <w:r w:rsidRPr="001D0665">
        <w:rPr>
          <w:rFonts w:eastAsia="Times New Roman" w:cs="Arial"/>
          <w:color w:val="000000"/>
          <w:lang w:eastAsia="bg-BG"/>
        </w:rPr>
        <w:t xml:space="preserve">При до 2,7% от пациентите, лекувани с Трилептал, се наблюдават серумни нива на натрия под 125 </w:t>
      </w:r>
      <w:proofErr w:type="spellStart"/>
      <w:r w:rsidRPr="001D0665">
        <w:rPr>
          <w:rFonts w:eastAsia="Times New Roman" w:cs="Arial"/>
          <w:color w:val="000000"/>
          <w:lang w:val="en-US"/>
        </w:rPr>
        <w:t>mmol</w:t>
      </w:r>
      <w:proofErr w:type="spellEnd"/>
      <w:r w:rsidRPr="001D0665">
        <w:rPr>
          <w:rFonts w:eastAsia="Times New Roman" w:cs="Arial"/>
          <w:color w:val="000000"/>
          <w:lang w:val="ru-RU"/>
        </w:rPr>
        <w:t xml:space="preserve">/1, </w:t>
      </w:r>
      <w:r w:rsidRPr="001D0665">
        <w:rPr>
          <w:rFonts w:eastAsia="Times New Roman" w:cs="Arial"/>
          <w:color w:val="000000"/>
          <w:lang w:eastAsia="bg-BG"/>
        </w:rPr>
        <w:t xml:space="preserve">които обикновено са асимптоматични и не налагат промяна в терапията. Опитът от клиничните изпитвания показва, че серумните нива на натрия се нормализират при намаляване на дозата на Трилептал, при прекратяване на приема или при консервативно лечение на пациента (напр. ограничаване приема на течности). При пациенти с предхождащи бъбречни увреждания, свързани с понижени стойности на натрия (напр. синдроми подобни на синдрома на неадекватна секреция на антидиуретичния хормон (АДХ)) или при пациенти, лекувани с натрий-понижаващи лекарства (напр. диуретици, лекарствени продукти свързани с неадекватна секреция на </w:t>
      </w:r>
      <w:r w:rsidRPr="001D0665">
        <w:rPr>
          <w:rFonts w:eastAsia="Times New Roman" w:cs="Arial"/>
          <w:color w:val="000000"/>
          <w:lang w:eastAsia="bg-BG"/>
        </w:rPr>
        <w:lastRenderedPageBreak/>
        <w:t>антидиуретичния хормон, дезмопресин), както и НСПВС (напр. индометацин серумните нива на натрия трябва да се определят преди започване на терапията. След това серумните нива на натрия трябва да се определят приблизително след две седмици и по-нататък</w:t>
      </w:r>
      <w:r w:rsidRPr="001D0665">
        <w:rPr>
          <w:rFonts w:eastAsia="Times New Roman" w:cs="Arial"/>
          <w:color w:val="000000"/>
          <w:lang w:val="ru-RU" w:eastAsia="bg-BG"/>
        </w:rPr>
        <w:t xml:space="preserve"> </w:t>
      </w:r>
      <w:r w:rsidRPr="001D0665">
        <w:rPr>
          <w:rFonts w:eastAsia="Times New Roman" w:cs="Arial"/>
          <w:color w:val="000000"/>
          <w:lang w:eastAsia="bg-BG"/>
        </w:rPr>
        <w:t>на едномесечни интервали през първите 3 месеца от терапията или според клиничните нужди. Тези рискови фактори се отнасят особено за пациентите в старческа възраст.</w:t>
      </w:r>
    </w:p>
    <w:p w14:paraId="4903723D" w14:textId="77777777" w:rsidR="001D0665" w:rsidRPr="001D0665" w:rsidRDefault="001D0665" w:rsidP="001D0665">
      <w:pPr>
        <w:spacing w:line="240" w:lineRule="auto"/>
        <w:rPr>
          <w:rFonts w:eastAsia="Times New Roman" w:cs="Arial"/>
        </w:rPr>
      </w:pPr>
      <w:r w:rsidRPr="001D0665">
        <w:rPr>
          <w:rFonts w:eastAsia="Times New Roman" w:cs="Arial"/>
          <w:color w:val="000000"/>
          <w:lang w:eastAsia="bg-BG"/>
        </w:rPr>
        <w:t>При пациенти на лечение с Трилептал, при които се започва терапия с натрий-понижаващи лекарства, трябва да се следва същия подход за периодично проверяване на нивата на натрия. Най-общо, ако в хода на лечението с Трилептал се появят симптоми на възможна хипонатриемия (вж. точка 4.8), може да се обсъди определяне на нивата на серумния натрий. При други пациенти може да се наложи рутинно изследване на нивата на серумния натрий. Трябва редовно да се следи теглото на всички пациенти със сърдечна недостатъчност и вторична сърдечна недостатъчност за евентуална поява на задръжка на течности. В случай на задръжка на течности или влошаване на състоянието на сърцето трябва да се проверят нивата на серумния натрий. Ако се наблюдава хипонатриемия е важно да се ограничи приема на вода. Тъй като в много редки случаи окскарбазепин може да доведе до нарушаване на провеждането на импулси в сърцето, пациентите с предхождащи проводни нарушения (напр. атрио- вентрикуларен блок, аритмия) трябва да бъдат проследявани внимателно.</w:t>
      </w:r>
    </w:p>
    <w:p w14:paraId="285D99A9" w14:textId="77777777" w:rsidR="001D0665" w:rsidRPr="001D0665" w:rsidRDefault="001D0665" w:rsidP="001D0665">
      <w:pPr>
        <w:spacing w:line="240" w:lineRule="auto"/>
        <w:rPr>
          <w:rFonts w:eastAsia="Times New Roman" w:cs="Arial"/>
          <w:color w:val="000000"/>
          <w:u w:val="single"/>
          <w:lang w:eastAsia="bg-BG"/>
        </w:rPr>
      </w:pPr>
    </w:p>
    <w:p w14:paraId="24426AD9" w14:textId="5896B2FE" w:rsidR="001D0665" w:rsidRPr="001D0665" w:rsidRDefault="001D0665" w:rsidP="001D0665">
      <w:pPr>
        <w:spacing w:line="240" w:lineRule="auto"/>
        <w:rPr>
          <w:rFonts w:eastAsia="Times New Roman" w:cs="Arial"/>
        </w:rPr>
      </w:pPr>
      <w:r w:rsidRPr="001D0665">
        <w:rPr>
          <w:rFonts w:eastAsia="Times New Roman" w:cs="Arial"/>
          <w:color w:val="000000"/>
          <w:u w:val="single"/>
          <w:lang w:eastAsia="bg-BG"/>
        </w:rPr>
        <w:t>Хипотиреоидизъм</w:t>
      </w:r>
    </w:p>
    <w:p w14:paraId="2309D4C2" w14:textId="77777777" w:rsidR="001D0665" w:rsidRPr="001D0665" w:rsidRDefault="001D0665" w:rsidP="001D0665">
      <w:pPr>
        <w:spacing w:line="240" w:lineRule="auto"/>
        <w:rPr>
          <w:rFonts w:eastAsia="Times New Roman" w:cs="Arial"/>
        </w:rPr>
      </w:pPr>
      <w:r w:rsidRPr="001D0665">
        <w:rPr>
          <w:rFonts w:eastAsia="Times New Roman" w:cs="Arial"/>
          <w:color w:val="000000"/>
          <w:lang w:eastAsia="bg-BG"/>
        </w:rPr>
        <w:t>Хипотиреоидизъм е нежелана реакция на окскарбазепин (с честота „нечести“, вж. точка 4.8). Като се има предвид важността на тиреоидните хормони в развитието на децата след раждането, се препоръчва провеждането на тест за функцията на щитовидната жлеза преди началото на терапията с Трилептал в педиатричната възрастова група. При тази възрастова група се препоръчва мониториране на функцията на щитовидната жлеза по време на лечението с Трилептал.</w:t>
      </w:r>
    </w:p>
    <w:p w14:paraId="08A5B829" w14:textId="77777777" w:rsidR="001D0665" w:rsidRPr="001D0665" w:rsidRDefault="001D0665" w:rsidP="001D0665">
      <w:pPr>
        <w:spacing w:line="240" w:lineRule="auto"/>
        <w:rPr>
          <w:rFonts w:eastAsia="Times New Roman" w:cs="Arial"/>
          <w:color w:val="000000"/>
          <w:u w:val="single"/>
          <w:lang w:eastAsia="bg-BG"/>
        </w:rPr>
      </w:pPr>
    </w:p>
    <w:p w14:paraId="4B33ECB8" w14:textId="4B0136F2" w:rsidR="001D0665" w:rsidRPr="001D0665" w:rsidRDefault="001D0665" w:rsidP="001D0665">
      <w:pPr>
        <w:spacing w:line="240" w:lineRule="auto"/>
        <w:rPr>
          <w:rFonts w:eastAsia="Times New Roman" w:cs="Arial"/>
        </w:rPr>
      </w:pPr>
      <w:r w:rsidRPr="001D0665">
        <w:rPr>
          <w:rFonts w:eastAsia="Times New Roman" w:cs="Arial"/>
          <w:color w:val="000000"/>
          <w:u w:val="single"/>
          <w:lang w:eastAsia="bg-BG"/>
        </w:rPr>
        <w:t>Чернодробна функция</w:t>
      </w:r>
    </w:p>
    <w:p w14:paraId="220D2B4F" w14:textId="77777777" w:rsidR="001D0665" w:rsidRPr="001D0665" w:rsidRDefault="001D0665" w:rsidP="001D0665">
      <w:pPr>
        <w:spacing w:line="240" w:lineRule="auto"/>
        <w:rPr>
          <w:rFonts w:eastAsia="Times New Roman" w:cs="Arial"/>
        </w:rPr>
      </w:pPr>
      <w:r w:rsidRPr="001D0665">
        <w:rPr>
          <w:rFonts w:eastAsia="Times New Roman" w:cs="Arial"/>
          <w:color w:val="000000"/>
          <w:lang w:eastAsia="bg-BG"/>
        </w:rPr>
        <w:t>Съобщават се много редки случаи на хепатит, които в повечето случаи са имали благоприятен изход. В случай на съмнение за чернодробна реакция, трябва да се оцени функцията на черния дроб и да се обсъди спиране на терапията с Трилептал. Трябва да се подхожда с повишено внимание при лечението на пациенти с тежко чернодробно увреждане (вж. точки 4.2 и 5.2).</w:t>
      </w:r>
    </w:p>
    <w:p w14:paraId="4FF6D2C9" w14:textId="77777777" w:rsidR="001D0665" w:rsidRPr="001D0665" w:rsidRDefault="001D0665" w:rsidP="001D0665">
      <w:pPr>
        <w:spacing w:line="240" w:lineRule="auto"/>
        <w:rPr>
          <w:rFonts w:eastAsia="Times New Roman" w:cs="Arial"/>
          <w:color w:val="000000"/>
          <w:u w:val="single"/>
          <w:lang w:eastAsia="bg-BG"/>
        </w:rPr>
      </w:pPr>
    </w:p>
    <w:p w14:paraId="6E432EB8" w14:textId="04551AEE" w:rsidR="001D0665" w:rsidRPr="001D0665" w:rsidRDefault="001D0665" w:rsidP="001D0665">
      <w:pPr>
        <w:spacing w:line="240" w:lineRule="auto"/>
        <w:rPr>
          <w:rFonts w:eastAsia="Times New Roman" w:cs="Arial"/>
        </w:rPr>
      </w:pPr>
      <w:r w:rsidRPr="001D0665">
        <w:rPr>
          <w:rFonts w:eastAsia="Times New Roman" w:cs="Arial"/>
          <w:color w:val="000000"/>
          <w:u w:val="single"/>
          <w:lang w:eastAsia="bg-BG"/>
        </w:rPr>
        <w:t>Бъбречна функция</w:t>
      </w:r>
    </w:p>
    <w:p w14:paraId="22642B74" w14:textId="77777777" w:rsidR="001D0665" w:rsidRPr="001D0665" w:rsidRDefault="001D0665" w:rsidP="001D0665">
      <w:pPr>
        <w:spacing w:line="240" w:lineRule="auto"/>
        <w:rPr>
          <w:rFonts w:eastAsia="Times New Roman" w:cs="Arial"/>
        </w:rPr>
      </w:pPr>
      <w:r w:rsidRPr="001D0665">
        <w:rPr>
          <w:rFonts w:eastAsia="Times New Roman" w:cs="Arial"/>
          <w:color w:val="000000"/>
          <w:lang w:eastAsia="bg-BG"/>
        </w:rPr>
        <w:t xml:space="preserve">При пациенти с нарушена бъбречна функция (креатининов клирънс под 30 </w:t>
      </w:r>
      <w:r w:rsidRPr="001D0665">
        <w:rPr>
          <w:rFonts w:eastAsia="Times New Roman" w:cs="Arial"/>
          <w:color w:val="000000"/>
          <w:lang w:val="en-US"/>
        </w:rPr>
        <w:t>ml</w:t>
      </w:r>
      <w:r w:rsidRPr="001D0665">
        <w:rPr>
          <w:rFonts w:eastAsia="Times New Roman" w:cs="Arial"/>
          <w:color w:val="000000"/>
          <w:lang w:val="ru-RU"/>
        </w:rPr>
        <w:t>/</w:t>
      </w:r>
      <w:r w:rsidRPr="001D0665">
        <w:rPr>
          <w:rFonts w:eastAsia="Times New Roman" w:cs="Arial"/>
          <w:color w:val="000000"/>
          <w:lang w:val="en-US"/>
        </w:rPr>
        <w:t>min</w:t>
      </w:r>
      <w:r w:rsidRPr="001D0665">
        <w:rPr>
          <w:rFonts w:eastAsia="Times New Roman" w:cs="Arial"/>
          <w:color w:val="000000"/>
          <w:lang w:val="ru-RU"/>
        </w:rPr>
        <w:t xml:space="preserve">), </w:t>
      </w:r>
      <w:r w:rsidRPr="001D0665">
        <w:rPr>
          <w:rFonts w:eastAsia="Times New Roman" w:cs="Arial"/>
          <w:color w:val="000000"/>
          <w:lang w:eastAsia="bg-BG"/>
        </w:rPr>
        <w:t>трябва да се подхожда с повишено внимание по време на лечението с Трилептал, особено по отношение на началната доза и на повишаване на дозата (вж. точки 4.2 и 5.2).</w:t>
      </w:r>
    </w:p>
    <w:p w14:paraId="29C1A148" w14:textId="77777777" w:rsidR="001D0665" w:rsidRPr="001D0665" w:rsidRDefault="001D0665" w:rsidP="001D0665">
      <w:pPr>
        <w:spacing w:line="240" w:lineRule="auto"/>
        <w:rPr>
          <w:rFonts w:eastAsia="Times New Roman" w:cs="Arial"/>
          <w:color w:val="000000"/>
          <w:u w:val="single"/>
          <w:lang w:eastAsia="bg-BG"/>
        </w:rPr>
      </w:pPr>
    </w:p>
    <w:p w14:paraId="77E3B61D" w14:textId="6916C648" w:rsidR="001D0665" w:rsidRPr="001D0665" w:rsidRDefault="001D0665" w:rsidP="001D0665">
      <w:pPr>
        <w:spacing w:line="240" w:lineRule="auto"/>
        <w:rPr>
          <w:rFonts w:eastAsia="Times New Roman" w:cs="Arial"/>
        </w:rPr>
      </w:pPr>
      <w:r w:rsidRPr="001D0665">
        <w:rPr>
          <w:rFonts w:eastAsia="Times New Roman" w:cs="Arial"/>
          <w:color w:val="000000"/>
          <w:u w:val="single"/>
          <w:lang w:eastAsia="bg-BG"/>
        </w:rPr>
        <w:t>Хематологични реакции</w:t>
      </w:r>
    </w:p>
    <w:p w14:paraId="75CE607B" w14:textId="77777777" w:rsidR="001D0665" w:rsidRPr="001D0665" w:rsidRDefault="001D0665" w:rsidP="001D0665">
      <w:pPr>
        <w:spacing w:line="240" w:lineRule="auto"/>
        <w:rPr>
          <w:rFonts w:eastAsia="Times New Roman" w:cs="Arial"/>
        </w:rPr>
      </w:pPr>
      <w:r w:rsidRPr="001D0665">
        <w:rPr>
          <w:rFonts w:eastAsia="Times New Roman" w:cs="Arial"/>
          <w:color w:val="000000"/>
          <w:lang w:eastAsia="bg-BG"/>
        </w:rPr>
        <w:t>По време на постмаркетинговия опит при лечение на пациенти с Трилептал са наблюдавани редки съобщения за агранулоцитоза, апластична анемия и панцитопения (вж. точка 4.8). При поява на доказателство за значително потискане на костния мозък, трябва да се обсъди прекратяване на приема на лекарствения продукт.</w:t>
      </w:r>
    </w:p>
    <w:p w14:paraId="31356956" w14:textId="77777777" w:rsidR="001D0665" w:rsidRPr="001D0665" w:rsidRDefault="001D0665" w:rsidP="001D0665">
      <w:pPr>
        <w:spacing w:line="240" w:lineRule="auto"/>
        <w:rPr>
          <w:rFonts w:eastAsia="Times New Roman" w:cs="Arial"/>
          <w:color w:val="000000"/>
          <w:u w:val="single"/>
          <w:lang w:eastAsia="bg-BG"/>
        </w:rPr>
      </w:pPr>
    </w:p>
    <w:p w14:paraId="095848E5" w14:textId="076462F8" w:rsidR="001D0665" w:rsidRPr="001D0665" w:rsidRDefault="001D0665" w:rsidP="001D0665">
      <w:pPr>
        <w:spacing w:line="240" w:lineRule="auto"/>
        <w:rPr>
          <w:rFonts w:eastAsia="Times New Roman" w:cs="Arial"/>
        </w:rPr>
      </w:pPr>
      <w:r w:rsidRPr="001D0665">
        <w:rPr>
          <w:rFonts w:eastAsia="Times New Roman" w:cs="Arial"/>
          <w:color w:val="000000"/>
          <w:u w:val="single"/>
          <w:lang w:eastAsia="bg-BG"/>
        </w:rPr>
        <w:t>Суицидно поведение</w:t>
      </w:r>
    </w:p>
    <w:p w14:paraId="1AF1368F" w14:textId="77777777" w:rsidR="001D0665" w:rsidRPr="001D0665" w:rsidRDefault="001D0665" w:rsidP="001D0665">
      <w:pPr>
        <w:spacing w:line="240" w:lineRule="auto"/>
        <w:rPr>
          <w:rFonts w:eastAsia="Times New Roman" w:cs="Arial"/>
        </w:rPr>
      </w:pPr>
      <w:r w:rsidRPr="001D0665">
        <w:rPr>
          <w:rFonts w:eastAsia="Times New Roman" w:cs="Arial"/>
          <w:color w:val="000000"/>
          <w:lang w:eastAsia="bg-BG"/>
        </w:rPr>
        <w:t xml:space="preserve">При пациенти, лекувани с АЕЛ по различни показания са съобщавани суицидна идеация и поведение. Мета анализ на рандомизирани, плацебо-контролирани изпитвания на АЕЛ също показва малък, но повишен риск от суицидна идеация и поведение. Механизмът на </w:t>
      </w:r>
      <w:r w:rsidRPr="001D0665">
        <w:rPr>
          <w:rFonts w:eastAsia="Times New Roman" w:cs="Arial"/>
          <w:color w:val="000000"/>
          <w:lang w:eastAsia="bg-BG"/>
        </w:rPr>
        <w:lastRenderedPageBreak/>
        <w:t>този риск не е ясен и наличните данни не изключват възможността за повишен риск при окскарбазепин. Затова пациентите трябва да бъдат проследявани за признаци на суицидна идеация и поведение и трябва да се предприеме съответното лечение. На пациентите (и хората, които се грижат за тях) трябва да се обърне внимание да потърсят лекарски съвет, в случай, че се появят признаци на суицидна идеация и поведение.</w:t>
      </w:r>
    </w:p>
    <w:p w14:paraId="0601A004" w14:textId="77777777" w:rsidR="001D0665" w:rsidRPr="001D0665" w:rsidRDefault="001D0665" w:rsidP="001D0665">
      <w:pPr>
        <w:spacing w:line="240" w:lineRule="auto"/>
        <w:rPr>
          <w:rFonts w:eastAsia="Times New Roman" w:cs="Arial"/>
          <w:color w:val="000000"/>
          <w:u w:val="single"/>
          <w:lang w:eastAsia="bg-BG"/>
        </w:rPr>
      </w:pPr>
    </w:p>
    <w:p w14:paraId="32C6DCB9" w14:textId="50130DB4" w:rsidR="001D0665" w:rsidRPr="001D0665" w:rsidRDefault="001D0665" w:rsidP="001D0665">
      <w:pPr>
        <w:spacing w:line="240" w:lineRule="auto"/>
        <w:rPr>
          <w:rFonts w:eastAsia="Times New Roman" w:cs="Arial"/>
        </w:rPr>
      </w:pPr>
      <w:r w:rsidRPr="001D0665">
        <w:rPr>
          <w:rFonts w:eastAsia="Times New Roman" w:cs="Arial"/>
          <w:color w:val="000000"/>
          <w:u w:val="single"/>
          <w:lang w:eastAsia="bg-BG"/>
        </w:rPr>
        <w:t>Хормонални контрацептиви</w:t>
      </w:r>
    </w:p>
    <w:p w14:paraId="7DAB6BCA" w14:textId="29DCA4A3" w:rsidR="001D0665" w:rsidRPr="001D0665" w:rsidRDefault="001D0665" w:rsidP="001D0665">
      <w:pPr>
        <w:spacing w:line="240" w:lineRule="auto"/>
        <w:rPr>
          <w:rFonts w:eastAsia="Times New Roman" w:cs="Arial"/>
          <w:color w:val="000000"/>
          <w:lang w:eastAsia="bg-BG"/>
        </w:rPr>
      </w:pPr>
      <w:r w:rsidRPr="001D0665">
        <w:rPr>
          <w:rFonts w:eastAsia="Times New Roman" w:cs="Arial"/>
          <w:color w:val="000000"/>
          <w:lang w:eastAsia="bg-BG"/>
        </w:rPr>
        <w:t>Жените в детеродна възраст трябва да бъдат предупредени, че едновременното приложение на Трилептал с хормонални контрацептивни средства може да направи този вид контрацепция неефективна (вж. точки 4.5 и 4.6). При употреба на Трилептал се препоръчват допълнителни нехормонални форми на контрацепция.</w:t>
      </w:r>
    </w:p>
    <w:p w14:paraId="10A4DC8E" w14:textId="1FADF72C" w:rsidR="001D0665" w:rsidRPr="001D0665" w:rsidRDefault="001D0665" w:rsidP="001D0665">
      <w:pPr>
        <w:spacing w:line="240" w:lineRule="auto"/>
        <w:rPr>
          <w:rFonts w:eastAsia="Times New Roman" w:cs="Arial"/>
          <w:color w:val="000000"/>
          <w:lang w:eastAsia="bg-BG"/>
        </w:rPr>
      </w:pPr>
    </w:p>
    <w:p w14:paraId="0C109E5A" w14:textId="77777777" w:rsidR="001D0665" w:rsidRPr="001D0665" w:rsidRDefault="001D0665" w:rsidP="001D0665">
      <w:pPr>
        <w:spacing w:line="240" w:lineRule="auto"/>
        <w:rPr>
          <w:rFonts w:eastAsia="Times New Roman" w:cs="Arial"/>
        </w:rPr>
      </w:pPr>
      <w:r w:rsidRPr="001D0665">
        <w:rPr>
          <w:rFonts w:eastAsia="Times New Roman" w:cs="Arial"/>
          <w:color w:val="000000"/>
          <w:u w:val="single"/>
          <w:lang w:eastAsia="bg-BG"/>
        </w:rPr>
        <w:t>Алкохол</w:t>
      </w:r>
    </w:p>
    <w:p w14:paraId="74979E1C" w14:textId="77777777" w:rsidR="001D0665" w:rsidRPr="001D0665" w:rsidRDefault="001D0665" w:rsidP="001D0665">
      <w:pPr>
        <w:spacing w:line="240" w:lineRule="auto"/>
        <w:rPr>
          <w:rFonts w:eastAsia="Times New Roman" w:cs="Arial"/>
        </w:rPr>
      </w:pPr>
      <w:r w:rsidRPr="001D0665">
        <w:rPr>
          <w:rFonts w:eastAsia="Times New Roman" w:cs="Arial"/>
          <w:color w:val="000000"/>
          <w:lang w:eastAsia="bg-BG"/>
        </w:rPr>
        <w:t>Необходима е особена предпазливост по отношение употребата на алкохол по време на лечението с Трилептал, поради възможен допълнителен седативен ефект.</w:t>
      </w:r>
    </w:p>
    <w:p w14:paraId="079DA99C" w14:textId="77777777" w:rsidR="001D0665" w:rsidRPr="001D0665" w:rsidRDefault="001D0665" w:rsidP="001D0665">
      <w:pPr>
        <w:spacing w:line="240" w:lineRule="auto"/>
        <w:rPr>
          <w:rFonts w:eastAsia="Times New Roman" w:cs="Arial"/>
          <w:color w:val="000000"/>
          <w:u w:val="single"/>
          <w:lang w:eastAsia="bg-BG"/>
        </w:rPr>
      </w:pPr>
    </w:p>
    <w:p w14:paraId="779999F2" w14:textId="3E52C007" w:rsidR="001D0665" w:rsidRPr="001D0665" w:rsidRDefault="001D0665" w:rsidP="001D0665">
      <w:pPr>
        <w:spacing w:line="240" w:lineRule="auto"/>
        <w:rPr>
          <w:rFonts w:eastAsia="Times New Roman" w:cs="Arial"/>
        </w:rPr>
      </w:pPr>
      <w:r w:rsidRPr="001D0665">
        <w:rPr>
          <w:rFonts w:eastAsia="Times New Roman" w:cs="Arial"/>
          <w:color w:val="000000"/>
          <w:u w:val="single"/>
          <w:lang w:eastAsia="bg-BG"/>
        </w:rPr>
        <w:t>Прекратяване на приема</w:t>
      </w:r>
    </w:p>
    <w:p w14:paraId="5AB3C9D4" w14:textId="77777777" w:rsidR="001D0665" w:rsidRPr="001D0665" w:rsidRDefault="001D0665" w:rsidP="001D0665">
      <w:pPr>
        <w:spacing w:line="240" w:lineRule="auto"/>
        <w:rPr>
          <w:rFonts w:eastAsia="Times New Roman" w:cs="Arial"/>
        </w:rPr>
      </w:pPr>
      <w:r w:rsidRPr="001D0665">
        <w:rPr>
          <w:rFonts w:eastAsia="Times New Roman" w:cs="Arial"/>
          <w:color w:val="000000"/>
          <w:lang w:eastAsia="bg-BG"/>
        </w:rPr>
        <w:t>Както при всички антиепилептични лекарства, лечението с Трилептал трябва да се спира постепенно, с цел да се сведе до минимум възможността от повишаване на честотата на пристъпите.</w:t>
      </w:r>
    </w:p>
    <w:p w14:paraId="7EA6A060" w14:textId="6ED5843B" w:rsidR="001D0665" w:rsidRPr="001D0665" w:rsidRDefault="001D0665" w:rsidP="001D0665"/>
    <w:p w14:paraId="1244F76A" w14:textId="103EBF93" w:rsidR="00395555" w:rsidRDefault="002C50EE" w:rsidP="008A6AF2">
      <w:pPr>
        <w:pStyle w:val="Heading2"/>
      </w:pPr>
      <w:r>
        <w:t>4.5. Взаимодействие с други лекарствени продукти и други форми на взаимодействие</w:t>
      </w:r>
    </w:p>
    <w:p w14:paraId="524832DB" w14:textId="36D3EE33" w:rsidR="001D0665" w:rsidRDefault="001D0665" w:rsidP="001D0665"/>
    <w:p w14:paraId="2762489A"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u w:val="single"/>
          <w:lang w:eastAsia="bg-BG"/>
        </w:rPr>
        <w:t>Ензимна индукция</w:t>
      </w:r>
    </w:p>
    <w:p w14:paraId="008803CE"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 xml:space="preserve">Окскарбазепин и неговият фармакологично активен метаболит (монохидрокси производното, МХП) са слаби </w:t>
      </w:r>
      <w:r w:rsidRPr="001D0665">
        <w:rPr>
          <w:rFonts w:eastAsia="Times New Roman" w:cs="Arial"/>
          <w:i/>
          <w:iCs/>
          <w:color w:val="000000"/>
          <w:lang w:val="en-US"/>
        </w:rPr>
        <w:t>in</w:t>
      </w:r>
      <w:r w:rsidRPr="001D0665">
        <w:rPr>
          <w:rFonts w:eastAsia="Times New Roman" w:cs="Arial"/>
          <w:i/>
          <w:iCs/>
          <w:color w:val="000000"/>
          <w:lang w:val="ru-RU"/>
        </w:rPr>
        <w:t xml:space="preserve"> </w:t>
      </w:r>
      <w:r w:rsidRPr="001D0665">
        <w:rPr>
          <w:rFonts w:eastAsia="Times New Roman" w:cs="Arial"/>
          <w:i/>
          <w:iCs/>
          <w:color w:val="000000"/>
          <w:lang w:val="en-US"/>
        </w:rPr>
        <w:t>vitro</w:t>
      </w:r>
      <w:r w:rsidRPr="001D0665">
        <w:rPr>
          <w:rFonts w:eastAsia="Times New Roman" w:cs="Arial"/>
          <w:color w:val="000000"/>
          <w:lang w:val="ru-RU"/>
        </w:rPr>
        <w:t xml:space="preserve"> </w:t>
      </w:r>
      <w:r w:rsidRPr="001D0665">
        <w:rPr>
          <w:rFonts w:eastAsia="Times New Roman" w:cs="Arial"/>
          <w:color w:val="000000"/>
          <w:lang w:eastAsia="bg-BG"/>
        </w:rPr>
        <w:t xml:space="preserve">и </w:t>
      </w:r>
      <w:r w:rsidRPr="001D0665">
        <w:rPr>
          <w:rFonts w:eastAsia="Times New Roman" w:cs="Arial"/>
          <w:i/>
          <w:iCs/>
          <w:color w:val="000000"/>
          <w:lang w:val="en-US"/>
        </w:rPr>
        <w:t>in</w:t>
      </w:r>
      <w:r w:rsidRPr="001D0665">
        <w:rPr>
          <w:rFonts w:eastAsia="Times New Roman" w:cs="Arial"/>
          <w:i/>
          <w:iCs/>
          <w:color w:val="000000"/>
          <w:lang w:val="ru-RU"/>
        </w:rPr>
        <w:t xml:space="preserve"> </w:t>
      </w:r>
      <w:r w:rsidRPr="001D0665">
        <w:rPr>
          <w:rFonts w:eastAsia="Times New Roman" w:cs="Arial"/>
          <w:i/>
          <w:iCs/>
          <w:color w:val="000000"/>
          <w:lang w:val="en-US"/>
        </w:rPr>
        <w:t>vivo</w:t>
      </w:r>
      <w:r w:rsidRPr="001D0665">
        <w:rPr>
          <w:rFonts w:eastAsia="Times New Roman" w:cs="Arial"/>
          <w:color w:val="000000"/>
          <w:lang w:val="ru-RU"/>
        </w:rPr>
        <w:t xml:space="preserve"> </w:t>
      </w:r>
      <w:r w:rsidRPr="001D0665">
        <w:rPr>
          <w:rFonts w:eastAsia="Times New Roman" w:cs="Arial"/>
          <w:color w:val="000000"/>
          <w:lang w:eastAsia="bg-BG"/>
        </w:rPr>
        <w:t xml:space="preserve">индуктори на цитохром Р450 ензимите </w:t>
      </w:r>
      <w:r w:rsidRPr="001D0665">
        <w:rPr>
          <w:rFonts w:eastAsia="Times New Roman" w:cs="Arial"/>
          <w:color w:val="000000"/>
          <w:lang w:val="en-US"/>
        </w:rPr>
        <w:t>CYP</w:t>
      </w:r>
      <w:r w:rsidRPr="001D0665">
        <w:rPr>
          <w:rFonts w:eastAsia="Times New Roman" w:cs="Arial"/>
          <w:color w:val="000000"/>
          <w:lang w:val="ru-RU"/>
        </w:rPr>
        <w:t>3</w:t>
      </w:r>
      <w:r w:rsidRPr="001D0665">
        <w:rPr>
          <w:rFonts w:eastAsia="Times New Roman" w:cs="Arial"/>
          <w:color w:val="000000"/>
          <w:lang w:eastAsia="bg-BG"/>
        </w:rPr>
        <w:t xml:space="preserve">А4 и </w:t>
      </w:r>
      <w:r w:rsidRPr="001D0665">
        <w:rPr>
          <w:rFonts w:eastAsia="Times New Roman" w:cs="Arial"/>
          <w:color w:val="000000"/>
          <w:lang w:val="en-US"/>
        </w:rPr>
        <w:t>CYP</w:t>
      </w:r>
      <w:r w:rsidRPr="001D0665">
        <w:rPr>
          <w:rFonts w:eastAsia="Times New Roman" w:cs="Arial"/>
          <w:color w:val="000000"/>
          <w:lang w:val="ru-RU"/>
        </w:rPr>
        <w:t>3</w:t>
      </w:r>
      <w:r w:rsidRPr="001D0665">
        <w:rPr>
          <w:rFonts w:eastAsia="Times New Roman" w:cs="Arial"/>
          <w:color w:val="000000"/>
          <w:lang w:eastAsia="bg-BG"/>
        </w:rPr>
        <w:t>А5, които са отговорни за метаболизма на много голям брой лекарства, като имуносупресори (напр. циклоспорин, такролимус), перорални контрацептиви (вж. по-долу) и някои други антиепилептични лекарствени продукти (напр. карбамазепин), което води до по-ниски плазмени концентрации на тези лекарствени продукти (вж. таблицата по-долу, обобщаваща резултатите с други антиепилептични лекарствени средства).</w:t>
      </w:r>
    </w:p>
    <w:p w14:paraId="79F4CB71" w14:textId="77777777" w:rsidR="001D0665" w:rsidRPr="001D0665" w:rsidRDefault="001D0665" w:rsidP="001D0665">
      <w:pPr>
        <w:spacing w:line="240" w:lineRule="auto"/>
        <w:rPr>
          <w:rFonts w:eastAsia="Times New Roman" w:cs="Arial"/>
          <w:i/>
          <w:iCs/>
          <w:color w:val="000000"/>
          <w:lang w:val="en-US"/>
        </w:rPr>
      </w:pPr>
    </w:p>
    <w:p w14:paraId="7D06B0BA" w14:textId="335C60A8" w:rsidR="001D0665" w:rsidRPr="001D0665" w:rsidRDefault="001D0665" w:rsidP="001D0665">
      <w:pPr>
        <w:spacing w:line="240" w:lineRule="auto"/>
        <w:rPr>
          <w:rFonts w:eastAsia="Times New Roman" w:cs="Arial"/>
          <w:sz w:val="24"/>
          <w:szCs w:val="24"/>
        </w:rPr>
      </w:pPr>
      <w:r w:rsidRPr="001D0665">
        <w:rPr>
          <w:rFonts w:eastAsia="Times New Roman" w:cs="Arial"/>
          <w:i/>
          <w:iCs/>
          <w:color w:val="000000"/>
          <w:lang w:val="en-US"/>
        </w:rPr>
        <w:t>In</w:t>
      </w:r>
      <w:r w:rsidRPr="001D0665">
        <w:rPr>
          <w:rFonts w:eastAsia="Times New Roman" w:cs="Arial"/>
          <w:i/>
          <w:iCs/>
          <w:color w:val="000000"/>
          <w:lang w:val="ru-RU"/>
        </w:rPr>
        <w:t xml:space="preserve"> </w:t>
      </w:r>
      <w:r w:rsidRPr="001D0665">
        <w:rPr>
          <w:rFonts w:eastAsia="Times New Roman" w:cs="Arial"/>
          <w:i/>
          <w:iCs/>
          <w:color w:val="000000"/>
          <w:lang w:val="en-US"/>
        </w:rPr>
        <w:t>vitro</w:t>
      </w:r>
      <w:r w:rsidRPr="001D0665">
        <w:rPr>
          <w:rFonts w:eastAsia="Times New Roman" w:cs="Arial"/>
          <w:color w:val="000000"/>
          <w:lang w:val="ru-RU"/>
        </w:rPr>
        <w:t xml:space="preserve"> </w:t>
      </w:r>
      <w:r w:rsidRPr="001D0665">
        <w:rPr>
          <w:rFonts w:eastAsia="Times New Roman" w:cs="Arial"/>
          <w:color w:val="000000"/>
          <w:lang w:eastAsia="bg-BG"/>
        </w:rPr>
        <w:t xml:space="preserve">окскарбазепин и МХП са слаби индуктори на УДФ-глюкуронил трансферазите (ефектите върху отделните ензими от това семейство не са известни). Следователно </w:t>
      </w:r>
      <w:r w:rsidRPr="001D0665">
        <w:rPr>
          <w:rFonts w:eastAsia="Times New Roman" w:cs="Arial"/>
          <w:i/>
          <w:iCs/>
          <w:color w:val="000000"/>
          <w:lang w:val="en-US"/>
        </w:rPr>
        <w:t>in</w:t>
      </w:r>
      <w:r w:rsidRPr="001D0665">
        <w:rPr>
          <w:rFonts w:eastAsia="Times New Roman" w:cs="Arial"/>
          <w:i/>
          <w:iCs/>
          <w:color w:val="000000"/>
          <w:lang w:val="ru-RU"/>
        </w:rPr>
        <w:t xml:space="preserve"> </w:t>
      </w:r>
      <w:r w:rsidRPr="001D0665">
        <w:rPr>
          <w:rFonts w:eastAsia="Times New Roman" w:cs="Arial"/>
          <w:i/>
          <w:iCs/>
          <w:color w:val="000000"/>
          <w:lang w:val="en-US"/>
        </w:rPr>
        <w:t>vivo</w:t>
      </w:r>
      <w:r w:rsidRPr="001D0665">
        <w:rPr>
          <w:rFonts w:eastAsia="Times New Roman" w:cs="Arial"/>
          <w:i/>
          <w:iCs/>
          <w:color w:val="000000"/>
          <w:lang w:val="ru-RU"/>
        </w:rPr>
        <w:t xml:space="preserve"> </w:t>
      </w:r>
      <w:r w:rsidRPr="001D0665">
        <w:rPr>
          <w:rFonts w:eastAsia="Times New Roman" w:cs="Arial"/>
          <w:color w:val="000000"/>
          <w:lang w:eastAsia="bg-BG"/>
        </w:rPr>
        <w:t>окскарбазепин и МХП могат да имат слаб индукторен ефект върху метаболизма на лекарствата, които се елиминират основно чрез конюгиране от УДФ-глюкуронил трансферазите. При започване на лечението с Трилептал или промяна на дозата може да се необходими 2 до 3 седмици за достигане на ново ниво на индукция.</w:t>
      </w:r>
    </w:p>
    <w:p w14:paraId="5F14931B" w14:textId="77777777" w:rsidR="001D0665" w:rsidRPr="001D0665" w:rsidRDefault="001D0665" w:rsidP="001D0665">
      <w:pPr>
        <w:spacing w:line="240" w:lineRule="auto"/>
        <w:rPr>
          <w:rFonts w:eastAsia="Times New Roman" w:cs="Arial"/>
          <w:color w:val="000000"/>
          <w:lang w:eastAsia="bg-BG"/>
        </w:rPr>
      </w:pPr>
    </w:p>
    <w:p w14:paraId="04B6C6F0" w14:textId="4CB1E114"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При преустановяване на терапията с Трилептал може да се наложи намаляване на дозата на съпътстващите лекарства и това трябва да се прецени чрез клинично проследяване и/или мониториране на плазмените нива. Индукцията изглежда постепенно намалява за 2 до 3 седмици след спиране на лечението.</w:t>
      </w:r>
    </w:p>
    <w:p w14:paraId="74F095DB" w14:textId="77777777" w:rsidR="001D0665" w:rsidRPr="001D0665" w:rsidRDefault="001D0665" w:rsidP="001D0665">
      <w:pPr>
        <w:spacing w:line="240" w:lineRule="auto"/>
        <w:rPr>
          <w:rFonts w:eastAsia="Times New Roman" w:cs="Arial"/>
          <w:color w:val="000000"/>
          <w:lang w:eastAsia="bg-BG"/>
        </w:rPr>
      </w:pPr>
    </w:p>
    <w:p w14:paraId="72FA8B79" w14:textId="0DD9BB3C"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 xml:space="preserve">Хормонални контрацептиви: За Трилептал е доказано, че повлиява двете съставки на пероралните контрацептиви: етинилестрадиол (ЕЕ) и левоноргестрел </w:t>
      </w:r>
      <w:r w:rsidRPr="001D0665">
        <w:rPr>
          <w:rFonts w:eastAsia="Times New Roman" w:cs="Arial"/>
          <w:color w:val="000000"/>
          <w:lang w:val="ru-RU"/>
        </w:rPr>
        <w:t>(</w:t>
      </w:r>
      <w:r w:rsidRPr="001D0665">
        <w:rPr>
          <w:rFonts w:eastAsia="Times New Roman" w:cs="Arial"/>
          <w:color w:val="000000"/>
          <w:lang w:val="en-US"/>
        </w:rPr>
        <w:t>LNG</w:t>
      </w:r>
      <w:r w:rsidRPr="001D0665">
        <w:rPr>
          <w:rFonts w:eastAsia="Times New Roman" w:cs="Arial"/>
          <w:color w:val="000000"/>
          <w:lang w:val="ru-RU"/>
        </w:rPr>
        <w:t xml:space="preserve">). </w:t>
      </w:r>
      <w:r w:rsidRPr="001D0665">
        <w:rPr>
          <w:rFonts w:eastAsia="Times New Roman" w:cs="Arial"/>
          <w:color w:val="000000"/>
          <w:lang w:eastAsia="bg-BG"/>
        </w:rPr>
        <w:t xml:space="preserve">Средните стойности на </w:t>
      </w:r>
      <w:r w:rsidRPr="001D0665">
        <w:rPr>
          <w:rFonts w:eastAsia="Times New Roman" w:cs="Arial"/>
          <w:color w:val="000000"/>
          <w:lang w:val="en-US"/>
        </w:rPr>
        <w:t>AUC</w:t>
      </w:r>
      <w:r w:rsidRPr="001D0665">
        <w:rPr>
          <w:rFonts w:eastAsia="Times New Roman" w:cs="Arial"/>
          <w:color w:val="000000"/>
          <w:lang w:val="ru-RU"/>
        </w:rPr>
        <w:t xml:space="preserve"> </w:t>
      </w:r>
      <w:r w:rsidRPr="001D0665">
        <w:rPr>
          <w:rFonts w:eastAsia="Times New Roman" w:cs="Arial"/>
          <w:color w:val="000000"/>
          <w:lang w:eastAsia="bg-BG"/>
        </w:rPr>
        <w:t xml:space="preserve">за ЕЕ и </w:t>
      </w:r>
      <w:r w:rsidRPr="001D0665">
        <w:rPr>
          <w:rFonts w:eastAsia="Times New Roman" w:cs="Arial"/>
          <w:color w:val="000000"/>
          <w:lang w:val="en-US"/>
        </w:rPr>
        <w:t>LNG</w:t>
      </w:r>
      <w:r w:rsidRPr="001D0665">
        <w:rPr>
          <w:rFonts w:eastAsia="Times New Roman" w:cs="Arial"/>
          <w:color w:val="000000"/>
          <w:lang w:val="ru-RU"/>
        </w:rPr>
        <w:t xml:space="preserve"> </w:t>
      </w:r>
      <w:r w:rsidRPr="001D0665">
        <w:rPr>
          <w:rFonts w:eastAsia="Times New Roman" w:cs="Arial"/>
          <w:color w:val="000000"/>
          <w:lang w:eastAsia="bg-BG"/>
        </w:rPr>
        <w:t xml:space="preserve">се понижават съответно с 48-52% и 32-52%. Следователно, едновременната употреба на Трилептал с хормонални контрацептивни </w:t>
      </w:r>
      <w:r w:rsidRPr="001D0665">
        <w:rPr>
          <w:rFonts w:eastAsia="Times New Roman" w:cs="Arial"/>
          <w:color w:val="000000"/>
          <w:lang w:eastAsia="bg-BG"/>
        </w:rPr>
        <w:lastRenderedPageBreak/>
        <w:t>средства може да направи този вид контрацепция неефективна (вж. точка 4.4). Трябва да се използва друг надежден метод за контрацепция.</w:t>
      </w:r>
    </w:p>
    <w:p w14:paraId="22A0CCB3" w14:textId="77777777" w:rsidR="001D0665" w:rsidRPr="001D0665" w:rsidRDefault="001D0665" w:rsidP="001D0665">
      <w:pPr>
        <w:spacing w:line="240" w:lineRule="auto"/>
        <w:rPr>
          <w:rFonts w:eastAsia="Times New Roman" w:cs="Arial"/>
          <w:color w:val="000000"/>
          <w:u w:val="single"/>
          <w:lang w:eastAsia="bg-BG"/>
        </w:rPr>
      </w:pPr>
    </w:p>
    <w:p w14:paraId="10C59A32" w14:textId="39A5A467" w:rsidR="001D0665" w:rsidRPr="001D0665" w:rsidRDefault="001D0665" w:rsidP="001D0665">
      <w:pPr>
        <w:spacing w:line="240" w:lineRule="auto"/>
        <w:rPr>
          <w:rFonts w:eastAsia="Times New Roman" w:cs="Arial"/>
          <w:sz w:val="24"/>
          <w:szCs w:val="24"/>
        </w:rPr>
      </w:pPr>
      <w:r w:rsidRPr="001D0665">
        <w:rPr>
          <w:rFonts w:eastAsia="Times New Roman" w:cs="Arial"/>
          <w:color w:val="000000"/>
          <w:u w:val="single"/>
          <w:lang w:eastAsia="bg-BG"/>
        </w:rPr>
        <w:t>Инхибиране на ензимите</w:t>
      </w:r>
    </w:p>
    <w:p w14:paraId="07B91FBF"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 xml:space="preserve">Окскарбазепин и МХП инхибират </w:t>
      </w:r>
      <w:r w:rsidRPr="001D0665">
        <w:rPr>
          <w:rFonts w:eastAsia="Times New Roman" w:cs="Arial"/>
          <w:color w:val="000000"/>
          <w:lang w:val="en-US"/>
        </w:rPr>
        <w:t>CYP</w:t>
      </w:r>
      <w:r w:rsidRPr="001D0665">
        <w:rPr>
          <w:rFonts w:eastAsia="Times New Roman" w:cs="Arial"/>
          <w:color w:val="000000"/>
          <w:lang w:val="ru-RU"/>
        </w:rPr>
        <w:t>2</w:t>
      </w:r>
      <w:r w:rsidRPr="001D0665">
        <w:rPr>
          <w:rFonts w:eastAsia="Times New Roman" w:cs="Arial"/>
          <w:color w:val="000000"/>
          <w:lang w:val="en-US"/>
        </w:rPr>
        <w:t>C</w:t>
      </w:r>
      <w:r w:rsidRPr="001D0665">
        <w:rPr>
          <w:rFonts w:eastAsia="Times New Roman" w:cs="Arial"/>
          <w:color w:val="000000"/>
          <w:lang w:val="ru-RU"/>
        </w:rPr>
        <w:t xml:space="preserve">19. </w:t>
      </w:r>
      <w:r w:rsidRPr="001D0665">
        <w:rPr>
          <w:rFonts w:eastAsia="Times New Roman" w:cs="Arial"/>
          <w:color w:val="000000"/>
          <w:lang w:eastAsia="bg-BG"/>
        </w:rPr>
        <w:t xml:space="preserve">Поради това е възможно да възникнат лекарствени взаимодействия при едновременното прилагане на Трилептал с други лекарствени продукти, които се метаболизират главно чрез </w:t>
      </w:r>
      <w:r w:rsidRPr="001D0665">
        <w:rPr>
          <w:rFonts w:eastAsia="Times New Roman" w:cs="Arial"/>
          <w:color w:val="000000"/>
          <w:lang w:val="en-US"/>
        </w:rPr>
        <w:t>CYP</w:t>
      </w:r>
      <w:r w:rsidRPr="001D0665">
        <w:rPr>
          <w:rFonts w:eastAsia="Times New Roman" w:cs="Arial"/>
          <w:color w:val="000000"/>
          <w:lang w:val="ru-RU"/>
        </w:rPr>
        <w:t>2</w:t>
      </w:r>
      <w:r w:rsidRPr="001D0665">
        <w:rPr>
          <w:rFonts w:eastAsia="Times New Roman" w:cs="Arial"/>
          <w:color w:val="000000"/>
          <w:lang w:val="en-US"/>
        </w:rPr>
        <w:t>C</w:t>
      </w:r>
      <w:r w:rsidRPr="001D0665">
        <w:rPr>
          <w:rFonts w:eastAsia="Times New Roman" w:cs="Arial"/>
          <w:color w:val="000000"/>
          <w:lang w:val="ru-RU"/>
        </w:rPr>
        <w:t xml:space="preserve">19 </w:t>
      </w:r>
      <w:r w:rsidRPr="001D0665">
        <w:rPr>
          <w:rFonts w:eastAsia="Times New Roman" w:cs="Arial"/>
          <w:color w:val="000000"/>
          <w:lang w:eastAsia="bg-BG"/>
        </w:rPr>
        <w:t xml:space="preserve">(напр. фенитоин). Плазмените нива на фенитоин се повишават с до 40%, когато Трилептал се дава в дози над 1 200 </w:t>
      </w:r>
      <w:r w:rsidRPr="001D0665">
        <w:rPr>
          <w:rFonts w:eastAsia="Times New Roman" w:cs="Arial"/>
          <w:color w:val="000000"/>
          <w:lang w:val="en-US"/>
        </w:rPr>
        <w:t>mg</w:t>
      </w:r>
      <w:r w:rsidRPr="001D0665">
        <w:rPr>
          <w:rFonts w:eastAsia="Times New Roman" w:cs="Arial"/>
          <w:color w:val="000000"/>
          <w:lang w:eastAsia="bg-BG"/>
        </w:rPr>
        <w:t>/ден (вж. таблицата по-долу, обобщаваща резултатите с други антиконвулсанти). В този случай може да се наложи понижаване на дозата на прилагания фенитоин (вж. точка 4.2).</w:t>
      </w:r>
    </w:p>
    <w:p w14:paraId="054EC343" w14:textId="77777777" w:rsidR="001D0665" w:rsidRPr="001D0665" w:rsidRDefault="001D0665" w:rsidP="001D0665">
      <w:pPr>
        <w:spacing w:line="240" w:lineRule="auto"/>
        <w:rPr>
          <w:rFonts w:eastAsia="Times New Roman" w:cs="Arial"/>
          <w:color w:val="000000"/>
          <w:u w:val="single"/>
          <w:lang w:eastAsia="bg-BG"/>
        </w:rPr>
      </w:pPr>
    </w:p>
    <w:p w14:paraId="6403A2F9" w14:textId="3F2DBA04" w:rsidR="001D0665" w:rsidRPr="001D0665" w:rsidRDefault="001D0665" w:rsidP="001D0665">
      <w:pPr>
        <w:spacing w:line="240" w:lineRule="auto"/>
        <w:rPr>
          <w:rFonts w:eastAsia="Times New Roman" w:cs="Arial"/>
          <w:color w:val="000000"/>
          <w:lang w:eastAsia="bg-BG"/>
        </w:rPr>
      </w:pPr>
      <w:r w:rsidRPr="001D0665">
        <w:rPr>
          <w:rFonts w:eastAsia="Times New Roman" w:cs="Arial"/>
          <w:color w:val="000000"/>
          <w:u w:val="single"/>
          <w:lang w:eastAsia="bg-BG"/>
        </w:rPr>
        <w:t xml:space="preserve">Антиепилептични лекарствени продукти и лекарствени продукти, индуциращи ензимите </w:t>
      </w:r>
      <w:r w:rsidRPr="001D0665">
        <w:rPr>
          <w:rFonts w:eastAsia="Times New Roman" w:cs="Arial"/>
          <w:color w:val="000000"/>
          <w:lang w:eastAsia="bg-BG"/>
        </w:rPr>
        <w:t xml:space="preserve">Възможните взаимодействия между Трилептал и други антиепилептични лекарствени продукти са оценени в условия на клинични проучвания. Ефектът на тези взаимодействия върху средните </w:t>
      </w:r>
      <w:r w:rsidRPr="001D0665">
        <w:rPr>
          <w:rFonts w:eastAsia="Times New Roman" w:cs="Arial"/>
          <w:color w:val="000000"/>
          <w:lang w:val="en-US"/>
        </w:rPr>
        <w:t>AUCs</w:t>
      </w:r>
      <w:r w:rsidRPr="001D0665">
        <w:rPr>
          <w:rFonts w:eastAsia="Times New Roman" w:cs="Arial"/>
          <w:color w:val="000000"/>
          <w:lang w:val="ru-RU"/>
        </w:rPr>
        <w:t xml:space="preserve"> </w:t>
      </w:r>
      <w:r w:rsidRPr="001D0665">
        <w:rPr>
          <w:rFonts w:eastAsia="Times New Roman" w:cs="Arial"/>
          <w:color w:val="000000"/>
          <w:lang w:eastAsia="bg-BG"/>
        </w:rPr>
        <w:t xml:space="preserve">и </w:t>
      </w:r>
      <w:proofErr w:type="spellStart"/>
      <w:r w:rsidRPr="001D0665">
        <w:rPr>
          <w:rFonts w:eastAsia="Times New Roman" w:cs="Arial"/>
          <w:color w:val="000000"/>
          <w:lang w:val="en-US"/>
        </w:rPr>
        <w:t>C</w:t>
      </w:r>
      <w:r w:rsidRPr="001D0665">
        <w:rPr>
          <w:rFonts w:eastAsia="Times New Roman" w:cs="Arial"/>
          <w:color w:val="000000"/>
          <w:vertAlign w:val="subscript"/>
          <w:lang w:val="en-US"/>
        </w:rPr>
        <w:t>min</w:t>
      </w:r>
      <w:proofErr w:type="spellEnd"/>
      <w:r w:rsidRPr="001D0665">
        <w:rPr>
          <w:rFonts w:eastAsia="Times New Roman" w:cs="Arial"/>
          <w:color w:val="000000"/>
          <w:lang w:val="ru-RU"/>
        </w:rPr>
        <w:t xml:space="preserve"> </w:t>
      </w:r>
      <w:r w:rsidRPr="001D0665">
        <w:rPr>
          <w:rFonts w:eastAsia="Times New Roman" w:cs="Arial"/>
          <w:color w:val="000000"/>
          <w:lang w:eastAsia="bg-BG"/>
        </w:rPr>
        <w:t>е обобщен в следващата таблица.</w:t>
      </w:r>
    </w:p>
    <w:p w14:paraId="584610FB" w14:textId="13064BBF" w:rsidR="001D0665" w:rsidRPr="001D0665" w:rsidRDefault="001D0665" w:rsidP="001D0665">
      <w:pPr>
        <w:spacing w:line="240" w:lineRule="auto"/>
        <w:rPr>
          <w:rFonts w:eastAsia="Times New Roman" w:cs="Arial"/>
          <w:color w:val="000000"/>
          <w:lang w:eastAsia="bg-BG"/>
        </w:rPr>
      </w:pPr>
    </w:p>
    <w:p w14:paraId="73949AB4" w14:textId="5728BF8B" w:rsidR="001D0665" w:rsidRPr="001D0665" w:rsidRDefault="001D0665" w:rsidP="001D0665">
      <w:pPr>
        <w:spacing w:line="240" w:lineRule="auto"/>
        <w:rPr>
          <w:rFonts w:eastAsia="Times New Roman" w:cs="Arial"/>
          <w:sz w:val="24"/>
          <w:szCs w:val="24"/>
        </w:rPr>
      </w:pPr>
      <w:r w:rsidRPr="001D0665">
        <w:rPr>
          <w:rFonts w:cs="Arial"/>
          <w:b/>
          <w:bCs/>
        </w:rPr>
        <w:t xml:space="preserve">Обобщение на взаимодействията на антиепилептичните лекарствени продукти </w:t>
      </w:r>
      <w:r w:rsidRPr="001D0665">
        <w:rPr>
          <w:rFonts w:cs="Arial"/>
          <w:b/>
          <w:bCs/>
          <w:u w:val="single"/>
        </w:rPr>
        <w:t>с Трилептал</w:t>
      </w:r>
    </w:p>
    <w:tbl>
      <w:tblPr>
        <w:tblStyle w:val="TableGrid"/>
        <w:tblW w:w="0" w:type="auto"/>
        <w:tblLook w:val="04A0" w:firstRow="1" w:lastRow="0" w:firstColumn="1" w:lastColumn="0" w:noHBand="0" w:noVBand="1"/>
      </w:tblPr>
      <w:tblGrid>
        <w:gridCol w:w="3112"/>
        <w:gridCol w:w="3119"/>
        <w:gridCol w:w="3119"/>
      </w:tblGrid>
      <w:tr w:rsidR="001D0665" w14:paraId="5680F617" w14:textId="77777777" w:rsidTr="001D0665">
        <w:tc>
          <w:tcPr>
            <w:tcW w:w="3192" w:type="dxa"/>
          </w:tcPr>
          <w:p w14:paraId="0BEA006D" w14:textId="498F7A05" w:rsidR="001D0665" w:rsidRDefault="001D0665" w:rsidP="001D0665">
            <w:r>
              <w:rPr>
                <w:b/>
                <w:bCs/>
              </w:rPr>
              <w:t>Антиепилептичен лекарствен продукт</w:t>
            </w:r>
          </w:p>
        </w:tc>
        <w:tc>
          <w:tcPr>
            <w:tcW w:w="3192" w:type="dxa"/>
          </w:tcPr>
          <w:p w14:paraId="2B1F1118" w14:textId="2048DF72" w:rsidR="001D0665" w:rsidRDefault="001D0665" w:rsidP="001D0665">
            <w:r>
              <w:rPr>
                <w:b/>
                <w:bCs/>
              </w:rPr>
              <w:t>Влияние на Трилептал върху антиепилептичния лекарствен продукт</w:t>
            </w:r>
          </w:p>
        </w:tc>
        <w:tc>
          <w:tcPr>
            <w:tcW w:w="3192" w:type="dxa"/>
          </w:tcPr>
          <w:p w14:paraId="61DF81BC" w14:textId="26B0D2C9" w:rsidR="001D0665" w:rsidRDefault="001D0665" w:rsidP="001D0665">
            <w:r>
              <w:rPr>
                <w:b/>
                <w:bCs/>
              </w:rPr>
              <w:t>Влияние на антиепилептичния лекарствен продукт върху МХП</w:t>
            </w:r>
          </w:p>
        </w:tc>
      </w:tr>
      <w:tr w:rsidR="001D0665" w14:paraId="65C5ABA0" w14:textId="77777777" w:rsidTr="001D0665">
        <w:tc>
          <w:tcPr>
            <w:tcW w:w="3192" w:type="dxa"/>
          </w:tcPr>
          <w:p w14:paraId="2C6DC6AB" w14:textId="68932F9A" w:rsidR="001D0665" w:rsidRDefault="001D0665" w:rsidP="001D0665">
            <w:r>
              <w:t>Комбинирано приложение</w:t>
            </w:r>
          </w:p>
        </w:tc>
        <w:tc>
          <w:tcPr>
            <w:tcW w:w="3192" w:type="dxa"/>
          </w:tcPr>
          <w:p w14:paraId="0A6B60B2" w14:textId="719604D4" w:rsidR="001D0665" w:rsidRDefault="001D0665" w:rsidP="001D0665">
            <w:r>
              <w:t>Концентрация</w:t>
            </w:r>
          </w:p>
        </w:tc>
        <w:tc>
          <w:tcPr>
            <w:tcW w:w="3192" w:type="dxa"/>
          </w:tcPr>
          <w:p w14:paraId="54694695" w14:textId="234429B6" w:rsidR="001D0665" w:rsidRDefault="001D0665" w:rsidP="001D0665">
            <w:r>
              <w:t>Концентрация</w:t>
            </w:r>
          </w:p>
        </w:tc>
      </w:tr>
      <w:tr w:rsidR="001D0665" w14:paraId="5CBF0007" w14:textId="77777777" w:rsidTr="001D0665">
        <w:tc>
          <w:tcPr>
            <w:tcW w:w="3192" w:type="dxa"/>
          </w:tcPr>
          <w:p w14:paraId="6B560FBC" w14:textId="0900E5CA" w:rsidR="001D0665" w:rsidRDefault="001D0665" w:rsidP="001D0665">
            <w:r>
              <w:t>Карбамазепин</w:t>
            </w:r>
          </w:p>
        </w:tc>
        <w:tc>
          <w:tcPr>
            <w:tcW w:w="3192" w:type="dxa"/>
          </w:tcPr>
          <w:p w14:paraId="5FA68DBD" w14:textId="027C327B" w:rsidR="001D0665" w:rsidRDefault="001D0665" w:rsidP="001D0665">
            <w:r>
              <w:t>0-22% понижение (30% повишение на карбамазепин-епоксид)</w:t>
            </w:r>
          </w:p>
        </w:tc>
        <w:tc>
          <w:tcPr>
            <w:tcW w:w="3192" w:type="dxa"/>
          </w:tcPr>
          <w:p w14:paraId="139881FA" w14:textId="71A93FB8" w:rsidR="001D0665" w:rsidRDefault="001D0665" w:rsidP="001D0665">
            <w:r>
              <w:t>40% понижение</w:t>
            </w:r>
          </w:p>
        </w:tc>
      </w:tr>
      <w:tr w:rsidR="001D0665" w14:paraId="60C73CF3" w14:textId="77777777" w:rsidTr="001D0665">
        <w:tc>
          <w:tcPr>
            <w:tcW w:w="3192" w:type="dxa"/>
          </w:tcPr>
          <w:p w14:paraId="2670ECD4" w14:textId="04FE680A" w:rsidR="001D0665" w:rsidRDefault="001D0665" w:rsidP="001D0665">
            <w:r>
              <w:t>Клобазам</w:t>
            </w:r>
          </w:p>
        </w:tc>
        <w:tc>
          <w:tcPr>
            <w:tcW w:w="3192" w:type="dxa"/>
          </w:tcPr>
          <w:p w14:paraId="553A4427" w14:textId="2EEA0B4B" w:rsidR="001D0665" w:rsidRDefault="001D0665" w:rsidP="001D0665">
            <w:r>
              <w:t>Не е проучено</w:t>
            </w:r>
          </w:p>
        </w:tc>
        <w:tc>
          <w:tcPr>
            <w:tcW w:w="3192" w:type="dxa"/>
          </w:tcPr>
          <w:p w14:paraId="37555C6B" w14:textId="63C016E8" w:rsidR="001D0665" w:rsidRDefault="001D0665" w:rsidP="001D0665">
            <w:r>
              <w:t>Не оказва влияние</w:t>
            </w:r>
          </w:p>
        </w:tc>
      </w:tr>
      <w:tr w:rsidR="001D0665" w14:paraId="728F68D4" w14:textId="77777777" w:rsidTr="001D0665">
        <w:tc>
          <w:tcPr>
            <w:tcW w:w="3192" w:type="dxa"/>
          </w:tcPr>
          <w:p w14:paraId="567A2C70" w14:textId="5B3BBA3D" w:rsidR="001D0665" w:rsidRDefault="001D0665" w:rsidP="001D0665">
            <w:r>
              <w:t>Фелбамат</w:t>
            </w:r>
          </w:p>
        </w:tc>
        <w:tc>
          <w:tcPr>
            <w:tcW w:w="3192" w:type="dxa"/>
          </w:tcPr>
          <w:p w14:paraId="2807AFB0" w14:textId="1D64AEF2" w:rsidR="001D0665" w:rsidRDefault="001D0665" w:rsidP="001D0665">
            <w:r>
              <w:t>Не е проучено</w:t>
            </w:r>
          </w:p>
        </w:tc>
        <w:tc>
          <w:tcPr>
            <w:tcW w:w="3192" w:type="dxa"/>
          </w:tcPr>
          <w:p w14:paraId="49EBB519" w14:textId="3A984C43" w:rsidR="001D0665" w:rsidRDefault="001D0665" w:rsidP="001D0665">
            <w:r>
              <w:t>Не оказва влияние</w:t>
            </w:r>
          </w:p>
        </w:tc>
      </w:tr>
      <w:tr w:rsidR="001D0665" w14:paraId="3D5897AF" w14:textId="77777777" w:rsidTr="001D0665">
        <w:tc>
          <w:tcPr>
            <w:tcW w:w="3192" w:type="dxa"/>
          </w:tcPr>
          <w:p w14:paraId="02B58AAD" w14:textId="7FB271B7" w:rsidR="001D0665" w:rsidRDefault="001D0665" w:rsidP="001D0665">
            <w:r>
              <w:t>Фенобарбитон</w:t>
            </w:r>
          </w:p>
        </w:tc>
        <w:tc>
          <w:tcPr>
            <w:tcW w:w="3192" w:type="dxa"/>
          </w:tcPr>
          <w:p w14:paraId="0995B37E" w14:textId="7BC16F57" w:rsidR="001D0665" w:rsidRDefault="001D0665" w:rsidP="001D0665">
            <w:r>
              <w:t>14-15% повишение</w:t>
            </w:r>
          </w:p>
        </w:tc>
        <w:tc>
          <w:tcPr>
            <w:tcW w:w="3192" w:type="dxa"/>
          </w:tcPr>
          <w:p w14:paraId="4F13956F" w14:textId="46D9522B" w:rsidR="001D0665" w:rsidRDefault="001D0665" w:rsidP="001D0665">
            <w:r>
              <w:t>30-31% понижение</w:t>
            </w:r>
          </w:p>
        </w:tc>
      </w:tr>
      <w:tr w:rsidR="001D0665" w14:paraId="513A610E" w14:textId="77777777" w:rsidTr="001D0665">
        <w:tc>
          <w:tcPr>
            <w:tcW w:w="3192" w:type="dxa"/>
          </w:tcPr>
          <w:p w14:paraId="0ABFF35D" w14:textId="1A321550" w:rsidR="001D0665" w:rsidRDefault="001D0665" w:rsidP="001D0665">
            <w:r>
              <w:t>Фенитоин</w:t>
            </w:r>
          </w:p>
        </w:tc>
        <w:tc>
          <w:tcPr>
            <w:tcW w:w="3192" w:type="dxa"/>
          </w:tcPr>
          <w:p w14:paraId="00E7E1A6" w14:textId="0E6861CD" w:rsidR="001D0665" w:rsidRDefault="001D0665" w:rsidP="001D0665">
            <w:r>
              <w:t>0-40% повишение</w:t>
            </w:r>
          </w:p>
        </w:tc>
        <w:tc>
          <w:tcPr>
            <w:tcW w:w="3192" w:type="dxa"/>
          </w:tcPr>
          <w:p w14:paraId="5AC84CE2" w14:textId="557CB0BD" w:rsidR="001D0665" w:rsidRDefault="001D0665" w:rsidP="001D0665">
            <w:r>
              <w:t>29-35% понижение</w:t>
            </w:r>
          </w:p>
        </w:tc>
      </w:tr>
      <w:tr w:rsidR="001D0665" w14:paraId="77E7F60C" w14:textId="77777777" w:rsidTr="001D0665">
        <w:tc>
          <w:tcPr>
            <w:tcW w:w="3192" w:type="dxa"/>
          </w:tcPr>
          <w:p w14:paraId="47AA2B0E" w14:textId="2B953680" w:rsidR="001D0665" w:rsidRDefault="001D0665" w:rsidP="001D0665">
            <w:r>
              <w:t>Валпроева киселина</w:t>
            </w:r>
          </w:p>
        </w:tc>
        <w:tc>
          <w:tcPr>
            <w:tcW w:w="3192" w:type="dxa"/>
          </w:tcPr>
          <w:p w14:paraId="6642912C" w14:textId="16589F4C" w:rsidR="001D0665" w:rsidRDefault="001D0665" w:rsidP="001D0665">
            <w:r>
              <w:t>Не оказва влияние</w:t>
            </w:r>
          </w:p>
        </w:tc>
        <w:tc>
          <w:tcPr>
            <w:tcW w:w="3192" w:type="dxa"/>
          </w:tcPr>
          <w:p w14:paraId="22C84411" w14:textId="60E3F56F" w:rsidR="001D0665" w:rsidRDefault="001D0665" w:rsidP="001D0665">
            <w:r>
              <w:t>0-18% понижение</w:t>
            </w:r>
          </w:p>
        </w:tc>
      </w:tr>
      <w:tr w:rsidR="001D0665" w14:paraId="78C22AA0" w14:textId="77777777" w:rsidTr="001D0665">
        <w:tc>
          <w:tcPr>
            <w:tcW w:w="3192" w:type="dxa"/>
          </w:tcPr>
          <w:p w14:paraId="18D71B34" w14:textId="244B8076" w:rsidR="001D0665" w:rsidRDefault="001D0665" w:rsidP="001D0665">
            <w:r>
              <w:t>Ламотрижин</w:t>
            </w:r>
          </w:p>
        </w:tc>
        <w:tc>
          <w:tcPr>
            <w:tcW w:w="3192" w:type="dxa"/>
          </w:tcPr>
          <w:p w14:paraId="0F3B62A6" w14:textId="7F8C003C" w:rsidR="001D0665" w:rsidRDefault="001D0665" w:rsidP="001D0665">
            <w:r>
              <w:t>Не оказва влияние</w:t>
            </w:r>
          </w:p>
        </w:tc>
        <w:tc>
          <w:tcPr>
            <w:tcW w:w="3192" w:type="dxa"/>
          </w:tcPr>
          <w:p w14:paraId="74443C17" w14:textId="38F2080A" w:rsidR="001D0665" w:rsidRDefault="001D0665" w:rsidP="001D0665">
            <w:r>
              <w:t>Не оказва влияние</w:t>
            </w:r>
          </w:p>
        </w:tc>
      </w:tr>
    </w:tbl>
    <w:p w14:paraId="7797B580"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Доказано е, че мощните индуктори на цитохром Р450 изоензимите и/или глюкуронилтрансферазата (напр. рифампицин, карбамазепин, фенитоин и фенобарбитал) показват понижаване на плазмените/серумните нива на МХП (29-49%) при възрастни, а при деца на възраст от 4 до 12 години клирънсът на МХП се повишава с приблизително 35%, ако се прилага едно от трите антиепилептични лекарствени продукти, които са ензимни индуктори, в сравнение с прилагането им като монотерапия. Комбинираната терапия с Трилептал и ламотрижин е свързана с повишен риск за нежелани реакции (гадене, сомнолентност, замайване и главоболие). Ако съвместно с Трилептал се прилагат един или няколко антиепилептични лекарствени продукта за всеки конкретен случай може да се обмисли внимателно коригиране на дозата и/или мониториране на плазмените нива, особено при деца, които се лекуват и с ламотрижин.</w:t>
      </w:r>
    </w:p>
    <w:p w14:paraId="121AE866"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При употреба на Трилептал не се наблюдава автоиндукция.</w:t>
      </w:r>
    </w:p>
    <w:p w14:paraId="0F86A338" w14:textId="77777777" w:rsidR="001D0665" w:rsidRPr="00D8448F" w:rsidRDefault="001D0665" w:rsidP="001D0665">
      <w:pPr>
        <w:spacing w:line="240" w:lineRule="auto"/>
        <w:rPr>
          <w:rFonts w:eastAsia="Times New Roman" w:cs="Arial"/>
          <w:color w:val="000000"/>
          <w:u w:val="single"/>
          <w:lang w:eastAsia="bg-BG"/>
        </w:rPr>
      </w:pPr>
    </w:p>
    <w:p w14:paraId="2D525AB6" w14:textId="7909FEF3" w:rsidR="001D0665" w:rsidRPr="001D0665" w:rsidRDefault="001D0665" w:rsidP="001D0665">
      <w:pPr>
        <w:spacing w:line="240" w:lineRule="auto"/>
        <w:rPr>
          <w:rFonts w:eastAsia="Times New Roman" w:cs="Arial"/>
          <w:sz w:val="24"/>
          <w:szCs w:val="24"/>
        </w:rPr>
      </w:pPr>
      <w:r w:rsidRPr="001D0665">
        <w:rPr>
          <w:rFonts w:eastAsia="Times New Roman" w:cs="Arial"/>
          <w:color w:val="000000"/>
          <w:u w:val="single"/>
          <w:lang w:eastAsia="bg-BG"/>
        </w:rPr>
        <w:t>Взаимодействие с други лекарствени продукти</w:t>
      </w:r>
    </w:p>
    <w:p w14:paraId="4B6EC0CC"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Циметидин, еритромицин, вилоксазин, варфарин и декстропропоксифен не оказват влияние върху фармакокинетиката на МХП.</w:t>
      </w:r>
    </w:p>
    <w:p w14:paraId="72E7334A"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lastRenderedPageBreak/>
        <w:t>Теоретично е възможно взаимодействието между окскарбазепин и МАО-инхибитори поради структурното сходство на окскарбазепин с трицикличните антидепресанти.</w:t>
      </w:r>
    </w:p>
    <w:p w14:paraId="2AA78E47" w14:textId="77777777" w:rsidR="001D0665" w:rsidRPr="001D0665" w:rsidRDefault="001D0665" w:rsidP="001D0665">
      <w:pPr>
        <w:spacing w:line="240" w:lineRule="auto"/>
        <w:rPr>
          <w:rFonts w:eastAsia="Times New Roman" w:cs="Arial"/>
          <w:sz w:val="24"/>
          <w:szCs w:val="24"/>
        </w:rPr>
      </w:pPr>
      <w:r w:rsidRPr="001D0665">
        <w:rPr>
          <w:rFonts w:eastAsia="Times New Roman" w:cs="Arial"/>
          <w:color w:val="000000"/>
          <w:lang w:eastAsia="bg-BG"/>
        </w:rPr>
        <w:t>В клинични проучвания са включвани пациентите на лечение с трициклични антидепресанти и не са наблюдавани никакви взаимодействия. Комбинацията от литий и окскарбазепин може да причини повишена невротоксичност.</w:t>
      </w:r>
    </w:p>
    <w:p w14:paraId="7B65F0EB" w14:textId="77777777" w:rsidR="001D0665" w:rsidRPr="001D0665" w:rsidRDefault="001D0665" w:rsidP="001D0665"/>
    <w:p w14:paraId="6EADE4D6" w14:textId="22BEFF23" w:rsidR="00395555" w:rsidRDefault="002C50EE" w:rsidP="008A6AF2">
      <w:pPr>
        <w:pStyle w:val="Heading2"/>
      </w:pPr>
      <w:r>
        <w:t>4.6. Фертилитет, бременност и кърмене</w:t>
      </w:r>
    </w:p>
    <w:p w14:paraId="144E9D96" w14:textId="27003BFD" w:rsidR="00D8448F" w:rsidRDefault="00D8448F" w:rsidP="00D8448F"/>
    <w:p w14:paraId="66FE3318" w14:textId="77777777" w:rsidR="00D8448F" w:rsidRPr="00D8448F" w:rsidRDefault="00D8448F" w:rsidP="00D8448F">
      <w:pPr>
        <w:pStyle w:val="Heading3"/>
        <w:rPr>
          <w:u w:val="single"/>
        </w:rPr>
      </w:pPr>
      <w:r w:rsidRPr="00D8448F">
        <w:rPr>
          <w:u w:val="single"/>
        </w:rPr>
        <w:t>Бременност</w:t>
      </w:r>
    </w:p>
    <w:p w14:paraId="40FB0E63" w14:textId="77777777" w:rsidR="00D8448F" w:rsidRPr="00D8448F" w:rsidRDefault="00D8448F" w:rsidP="00D8448F">
      <w:pPr>
        <w:spacing w:line="240" w:lineRule="auto"/>
        <w:rPr>
          <w:rFonts w:eastAsia="Times New Roman" w:cs="Arial"/>
          <w:sz w:val="24"/>
          <w:szCs w:val="24"/>
        </w:rPr>
      </w:pPr>
      <w:r w:rsidRPr="00D8448F">
        <w:rPr>
          <w:rFonts w:eastAsia="Times New Roman" w:cs="Arial"/>
          <w:i/>
          <w:iCs/>
          <w:color w:val="000000"/>
          <w:lang w:eastAsia="bg-BG"/>
        </w:rPr>
        <w:t>Обобщение на риска</w:t>
      </w:r>
    </w:p>
    <w:p w14:paraId="7A63D0AA" w14:textId="77777777" w:rsidR="00D8448F" w:rsidRPr="00D8448F" w:rsidRDefault="00D8448F" w:rsidP="00D8448F">
      <w:pPr>
        <w:spacing w:line="240" w:lineRule="auto"/>
        <w:rPr>
          <w:rFonts w:eastAsia="Times New Roman" w:cs="Arial"/>
          <w:sz w:val="24"/>
          <w:szCs w:val="24"/>
        </w:rPr>
      </w:pPr>
      <w:r w:rsidRPr="00D8448F">
        <w:rPr>
          <w:rFonts w:eastAsia="Times New Roman" w:cs="Arial"/>
          <w:color w:val="000000"/>
          <w:lang w:eastAsia="bg-BG"/>
        </w:rPr>
        <w:t>Известно е, че потомството на жени с епилепсия е по-предразположено към нарушения в развитието, включително малформации. Данните от ограничен брой бременни показват, че окскарбазепин може да причини сериозни вродени дефекти, когато се прилага по време на бременност.</w:t>
      </w:r>
    </w:p>
    <w:p w14:paraId="3BAF55E5" w14:textId="77777777" w:rsidR="00D8448F" w:rsidRPr="00D8448F" w:rsidRDefault="00D8448F" w:rsidP="00D8448F">
      <w:pPr>
        <w:spacing w:line="240" w:lineRule="auto"/>
        <w:rPr>
          <w:rFonts w:eastAsia="Times New Roman" w:cs="Arial"/>
          <w:i/>
          <w:iCs/>
          <w:color w:val="000000"/>
          <w:lang w:eastAsia="bg-BG"/>
        </w:rPr>
      </w:pPr>
    </w:p>
    <w:p w14:paraId="1C542CEE" w14:textId="77777777" w:rsidR="00D8448F" w:rsidRPr="00D8448F" w:rsidRDefault="00D8448F" w:rsidP="00D8448F">
      <w:pPr>
        <w:rPr>
          <w:rFonts w:eastAsia="Times New Roman" w:cs="Arial"/>
          <w:sz w:val="24"/>
          <w:szCs w:val="24"/>
        </w:rPr>
      </w:pPr>
      <w:r w:rsidRPr="00D8448F">
        <w:rPr>
          <w:rFonts w:eastAsia="Times New Roman" w:cs="Arial"/>
          <w:i/>
          <w:iCs/>
          <w:color w:val="000000"/>
          <w:lang w:eastAsia="bg-BG"/>
        </w:rPr>
        <w:t xml:space="preserve">Риск, свързан с епилепсията и антиепилептичните лекарствени средства като цяло: </w:t>
      </w:r>
      <w:r w:rsidRPr="00D8448F">
        <w:rPr>
          <w:rFonts w:eastAsia="Times New Roman" w:cs="Arial"/>
          <w:color w:val="000000"/>
          <w:lang w:eastAsia="bg-BG"/>
        </w:rPr>
        <w:t>Доказано е, че при потомството на жени с епилепсия честотата на малформации е два до три пъти по-висока от честотата от приблизително 3% в общата популация. Най-често срещаните вродени малформации наблюдавани при употребата на окскарбазепин са камерен септален дефект, атриовентрикуларен септален дефект, цепнато небце с цепната устна, синдром на Даун дисплазия на бедрото (едновременно уни- и билатерално), туберозна склероза и вродени малформации на ухото. Базирайки се на данни от регистър на бременни в Северна Америка честотата на големи вродени малформации, определяни като структурни аномалии с хирургично, медицинско или козметично значение, диагностицирани през 12-те седмици след</w:t>
      </w:r>
      <w:r w:rsidRPr="00D8448F">
        <w:rPr>
          <w:rFonts w:eastAsia="Times New Roman" w:cs="Arial"/>
          <w:color w:val="000000"/>
          <w:lang w:val="ru-RU" w:eastAsia="bg-BG"/>
        </w:rPr>
        <w:t xml:space="preserve"> </w:t>
      </w:r>
      <w:r w:rsidRPr="00D8448F">
        <w:rPr>
          <w:rFonts w:eastAsia="Times New Roman" w:cs="Arial"/>
          <w:color w:val="000000"/>
          <w:lang w:eastAsia="bg-BG"/>
        </w:rPr>
        <w:t>раждането е 2% (95% доверителен интервал, 0,6 до 5,1%) сред майки изложени на монотерапия с окскарбазепин през първия триместър. При сравнение с бременни жени не приемали каквито и да са антиепилептични лекарства относителният риск от вродени малформации спрямо бременни жени приемали окскарбазепин е 1,6 (95% доверителен интервал, 0,46 до 5,7). В лекуваната популация е отбелязано нарастване честотата на малформациите при жените, подложени на политерапия. Не е изяснена обаче степента, до която за това допринася лечението и/или заболяването.</w:t>
      </w:r>
    </w:p>
    <w:p w14:paraId="23E04862" w14:textId="77777777" w:rsidR="00D8448F" w:rsidRPr="00D8448F" w:rsidRDefault="00D8448F" w:rsidP="00D8448F">
      <w:pPr>
        <w:spacing w:line="240" w:lineRule="auto"/>
        <w:rPr>
          <w:rFonts w:eastAsia="Times New Roman" w:cs="Arial"/>
          <w:color w:val="000000"/>
          <w:lang w:eastAsia="bg-BG"/>
        </w:rPr>
      </w:pPr>
    </w:p>
    <w:p w14:paraId="644C78BB" w14:textId="18D0F8AA" w:rsidR="00D8448F" w:rsidRPr="00D8448F" w:rsidRDefault="00D8448F" w:rsidP="00D8448F">
      <w:pPr>
        <w:spacing w:line="240" w:lineRule="auto"/>
        <w:rPr>
          <w:rFonts w:eastAsia="Times New Roman" w:cs="Arial"/>
          <w:sz w:val="24"/>
          <w:szCs w:val="24"/>
        </w:rPr>
      </w:pPr>
      <w:r w:rsidRPr="00D8448F">
        <w:rPr>
          <w:rFonts w:eastAsia="Times New Roman" w:cs="Arial"/>
          <w:color w:val="000000"/>
          <w:lang w:eastAsia="bg-BG"/>
        </w:rPr>
        <w:t>Освен това ефективната антиепилептична терапия не трябва да се прекъсва, тъй като влошаването на заболяването е вредно както за майката, така и за плода.</w:t>
      </w:r>
    </w:p>
    <w:p w14:paraId="7271F500" w14:textId="77777777" w:rsidR="00D8448F" w:rsidRPr="00D8448F" w:rsidRDefault="00D8448F" w:rsidP="00D8448F">
      <w:pPr>
        <w:spacing w:line="240" w:lineRule="auto"/>
        <w:rPr>
          <w:rFonts w:eastAsia="Times New Roman" w:cs="Arial"/>
          <w:i/>
          <w:iCs/>
          <w:color w:val="000000"/>
          <w:lang w:eastAsia="bg-BG"/>
        </w:rPr>
      </w:pPr>
    </w:p>
    <w:p w14:paraId="64C088B4" w14:textId="3A4E8C87" w:rsidR="00D8448F" w:rsidRPr="00D8448F" w:rsidRDefault="00D8448F" w:rsidP="00D8448F">
      <w:pPr>
        <w:spacing w:line="240" w:lineRule="auto"/>
        <w:rPr>
          <w:rFonts w:eastAsia="Times New Roman" w:cs="Arial"/>
          <w:sz w:val="24"/>
          <w:szCs w:val="24"/>
        </w:rPr>
      </w:pPr>
      <w:r w:rsidRPr="00D8448F">
        <w:rPr>
          <w:rFonts w:eastAsia="Times New Roman" w:cs="Arial"/>
          <w:i/>
          <w:iCs/>
          <w:color w:val="000000"/>
          <w:lang w:eastAsia="bg-BG"/>
        </w:rPr>
        <w:t>Риск, свързан с окскарбазепин:</w:t>
      </w:r>
    </w:p>
    <w:p w14:paraId="49495B60" w14:textId="77777777" w:rsidR="00D8448F" w:rsidRPr="00D8448F" w:rsidRDefault="00D8448F" w:rsidP="00D8448F">
      <w:pPr>
        <w:spacing w:line="240" w:lineRule="auto"/>
        <w:rPr>
          <w:rFonts w:eastAsia="Times New Roman" w:cs="Arial"/>
          <w:sz w:val="24"/>
          <w:szCs w:val="24"/>
        </w:rPr>
      </w:pPr>
      <w:r w:rsidRPr="00D8448F">
        <w:rPr>
          <w:rFonts w:eastAsia="Times New Roman" w:cs="Arial"/>
          <w:color w:val="000000"/>
          <w:lang w:eastAsia="bg-BG"/>
        </w:rPr>
        <w:t>Клиничните данни за експозиция по време на бременността все още са недостатъчни, за да се оцени тератогенния потенциал на окскарбазепин.</w:t>
      </w:r>
    </w:p>
    <w:p w14:paraId="44B04B88" w14:textId="77777777" w:rsidR="00D8448F" w:rsidRPr="00D8448F" w:rsidRDefault="00D8448F" w:rsidP="00D8448F">
      <w:pPr>
        <w:spacing w:line="240" w:lineRule="auto"/>
        <w:rPr>
          <w:rFonts w:eastAsia="Times New Roman" w:cs="Arial"/>
          <w:color w:val="000000"/>
          <w:lang w:eastAsia="bg-BG"/>
        </w:rPr>
      </w:pPr>
    </w:p>
    <w:p w14:paraId="1E4340A1" w14:textId="78A3F30E" w:rsidR="00D8448F" w:rsidRPr="00D8448F" w:rsidRDefault="00D8448F" w:rsidP="00D8448F">
      <w:pPr>
        <w:spacing w:line="240" w:lineRule="auto"/>
        <w:rPr>
          <w:rFonts w:eastAsia="Times New Roman" w:cs="Arial"/>
          <w:sz w:val="24"/>
          <w:szCs w:val="24"/>
        </w:rPr>
      </w:pPr>
      <w:r w:rsidRPr="00D8448F">
        <w:rPr>
          <w:rFonts w:eastAsia="Times New Roman" w:cs="Arial"/>
          <w:color w:val="000000"/>
          <w:lang w:eastAsia="bg-BG"/>
        </w:rPr>
        <w:t>Като се има предвид това:</w:t>
      </w:r>
    </w:p>
    <w:p w14:paraId="1513104C" w14:textId="77777777" w:rsidR="00D8448F" w:rsidRPr="00D8448F" w:rsidRDefault="00D8448F" w:rsidP="00D8448F">
      <w:pPr>
        <w:pStyle w:val="ListParagraph"/>
        <w:numPr>
          <w:ilvl w:val="0"/>
          <w:numId w:val="33"/>
        </w:numPr>
        <w:spacing w:line="240" w:lineRule="auto"/>
        <w:rPr>
          <w:rFonts w:eastAsia="Times New Roman" w:cs="Arial"/>
          <w:sz w:val="24"/>
          <w:szCs w:val="24"/>
        </w:rPr>
      </w:pPr>
      <w:r w:rsidRPr="00D8448F">
        <w:rPr>
          <w:rFonts w:eastAsia="Times New Roman" w:cs="Arial"/>
          <w:color w:val="000000"/>
          <w:lang w:eastAsia="bg-BG"/>
        </w:rPr>
        <w:t>Ако жена, получаваща Трилептал, забременее или планира бременност, употребата на този продукт трябва внимателно да се преоцени. Трябва да се дават минимални ефективни дози и винаги, когато е възможно трябва да се предпочита монотералията поне през първите три месеца от бременността.</w:t>
      </w:r>
    </w:p>
    <w:p w14:paraId="1764E2BE" w14:textId="77777777" w:rsidR="00D8448F" w:rsidRPr="00D8448F" w:rsidRDefault="00D8448F" w:rsidP="00D8448F">
      <w:pPr>
        <w:pStyle w:val="ListParagraph"/>
        <w:numPr>
          <w:ilvl w:val="0"/>
          <w:numId w:val="33"/>
        </w:numPr>
        <w:spacing w:line="240" w:lineRule="auto"/>
        <w:rPr>
          <w:rFonts w:eastAsia="Times New Roman" w:cs="Arial"/>
          <w:sz w:val="24"/>
          <w:szCs w:val="24"/>
        </w:rPr>
      </w:pPr>
      <w:r w:rsidRPr="00D8448F">
        <w:rPr>
          <w:rFonts w:eastAsia="Times New Roman" w:cs="Arial"/>
          <w:color w:val="000000"/>
          <w:lang w:eastAsia="bg-BG"/>
        </w:rPr>
        <w:t>Пациентите трябва да се консултират по отношение възможността за повишен риск от малформации и да имат възможност за пренатален скрининг.</w:t>
      </w:r>
    </w:p>
    <w:p w14:paraId="145B502B" w14:textId="77777777" w:rsidR="00D8448F" w:rsidRPr="00D8448F" w:rsidRDefault="00D8448F" w:rsidP="00D8448F">
      <w:pPr>
        <w:pStyle w:val="ListParagraph"/>
        <w:numPr>
          <w:ilvl w:val="0"/>
          <w:numId w:val="33"/>
        </w:numPr>
        <w:spacing w:line="240" w:lineRule="auto"/>
        <w:rPr>
          <w:rFonts w:eastAsia="Times New Roman" w:cs="Arial"/>
          <w:sz w:val="24"/>
          <w:szCs w:val="24"/>
        </w:rPr>
      </w:pPr>
      <w:r w:rsidRPr="00D8448F">
        <w:rPr>
          <w:rFonts w:eastAsia="Times New Roman" w:cs="Arial"/>
          <w:color w:val="000000"/>
          <w:lang w:eastAsia="bg-BG"/>
        </w:rPr>
        <w:lastRenderedPageBreak/>
        <w:t>По време на бременност ефективното антиепилептично лечение с окскарбазепин не трябва да се прекъсва, тъй като влошаването на заболяването е вредно както за майката, така и за плода.</w:t>
      </w:r>
    </w:p>
    <w:p w14:paraId="41125DC4" w14:textId="77777777" w:rsidR="00D8448F" w:rsidRPr="00D8448F" w:rsidRDefault="00D8448F" w:rsidP="00D8448F">
      <w:pPr>
        <w:spacing w:line="240" w:lineRule="auto"/>
        <w:rPr>
          <w:rFonts w:eastAsia="Times New Roman" w:cs="Arial"/>
          <w:i/>
          <w:iCs/>
          <w:color w:val="000000"/>
          <w:lang w:eastAsia="bg-BG"/>
        </w:rPr>
      </w:pPr>
    </w:p>
    <w:p w14:paraId="0E1F3D7E" w14:textId="708F35DD" w:rsidR="00D8448F" w:rsidRPr="00D8448F" w:rsidRDefault="00D8448F" w:rsidP="00D8448F">
      <w:pPr>
        <w:spacing w:line="240" w:lineRule="auto"/>
        <w:rPr>
          <w:rFonts w:eastAsia="Times New Roman" w:cs="Arial"/>
          <w:sz w:val="24"/>
          <w:szCs w:val="24"/>
        </w:rPr>
      </w:pPr>
      <w:r w:rsidRPr="00D8448F">
        <w:rPr>
          <w:rFonts w:eastAsia="Times New Roman" w:cs="Arial"/>
          <w:i/>
          <w:iCs/>
          <w:color w:val="000000"/>
          <w:lang w:eastAsia="bg-BG"/>
        </w:rPr>
        <w:t>Мониториране и превенция:</w:t>
      </w:r>
    </w:p>
    <w:p w14:paraId="5F86C345" w14:textId="77777777" w:rsidR="00D8448F" w:rsidRPr="00D8448F" w:rsidRDefault="00D8448F" w:rsidP="00D8448F">
      <w:pPr>
        <w:spacing w:line="240" w:lineRule="auto"/>
        <w:rPr>
          <w:rFonts w:eastAsia="Times New Roman" w:cs="Arial"/>
          <w:sz w:val="24"/>
          <w:szCs w:val="24"/>
        </w:rPr>
      </w:pPr>
      <w:r w:rsidRPr="00D8448F">
        <w:rPr>
          <w:rFonts w:eastAsia="Times New Roman" w:cs="Arial"/>
          <w:color w:val="000000"/>
          <w:lang w:eastAsia="bg-BG"/>
        </w:rPr>
        <w:t>Антиепилептичните лекарствени продукти могат да доведат до дефицит на фолиева киселина, което е възможна допълнителна причина за аномалии на плода. Добавянето на фолиева киселина се препоръчва преди и по време на бременност. Тъй като ефективността на това лечение не е доказана, то специализирана пренатална диагностика може да се предложи дори за жените с добавка на фолиева киселина.</w:t>
      </w:r>
    </w:p>
    <w:p w14:paraId="4FFE0642" w14:textId="77777777" w:rsidR="00D8448F" w:rsidRPr="00D8448F" w:rsidRDefault="00D8448F" w:rsidP="00D8448F">
      <w:pPr>
        <w:spacing w:line="240" w:lineRule="auto"/>
        <w:rPr>
          <w:rFonts w:eastAsia="Times New Roman" w:cs="Arial"/>
          <w:sz w:val="24"/>
          <w:szCs w:val="24"/>
        </w:rPr>
      </w:pPr>
      <w:r w:rsidRPr="00D8448F">
        <w:rPr>
          <w:rFonts w:eastAsia="Times New Roman" w:cs="Arial"/>
          <w:color w:val="000000"/>
          <w:lang w:eastAsia="bg-BG"/>
        </w:rPr>
        <w:t>Поради физиологичните промени по време на бременността е възможно в хода на бременността да настъпи постепенно понижаване на плазмените нива на активния метаболит на окскарбазепина, 10-монохидрокси производното МХП. Препоръчва се внимателно мониториране на клиничния отговор при жени, лекувани с Трилептал по време на бременността и да се има предвид установяването на промени в плазмените концентрации на МХП, за да може да се осигури поддържането на адекватен контрол на пристъпите през цялата бременност (виж точки 4.2 Дозировка и начин на приложение и 5 Фармакологични свойства). В послеродовия период също може да се обмисли проследяване на плазмените нива на МХП, особено в случаите, когато дозата на медикамента е била повишена по време на бременността.</w:t>
      </w:r>
    </w:p>
    <w:p w14:paraId="56720DFB" w14:textId="77777777" w:rsidR="00D8448F" w:rsidRPr="00D8448F" w:rsidRDefault="00D8448F" w:rsidP="00D8448F">
      <w:pPr>
        <w:spacing w:line="240" w:lineRule="auto"/>
        <w:rPr>
          <w:rFonts w:eastAsia="Times New Roman" w:cs="Arial"/>
          <w:i/>
          <w:iCs/>
          <w:color w:val="000000"/>
          <w:lang w:eastAsia="bg-BG"/>
        </w:rPr>
      </w:pPr>
    </w:p>
    <w:p w14:paraId="5F42E3CC" w14:textId="6524F904" w:rsidR="00D8448F" w:rsidRPr="00D8448F" w:rsidRDefault="00D8448F" w:rsidP="00D8448F">
      <w:pPr>
        <w:spacing w:line="240" w:lineRule="auto"/>
        <w:rPr>
          <w:rFonts w:eastAsia="Times New Roman" w:cs="Arial"/>
          <w:sz w:val="24"/>
          <w:szCs w:val="24"/>
        </w:rPr>
      </w:pPr>
      <w:r w:rsidRPr="00D8448F">
        <w:rPr>
          <w:rFonts w:eastAsia="Times New Roman" w:cs="Arial"/>
          <w:i/>
          <w:iCs/>
          <w:color w:val="000000"/>
          <w:lang w:eastAsia="bg-BG"/>
        </w:rPr>
        <w:t>При новородени</w:t>
      </w:r>
    </w:p>
    <w:p w14:paraId="2429F070" w14:textId="77777777" w:rsidR="00D8448F" w:rsidRPr="00D8448F" w:rsidRDefault="00D8448F" w:rsidP="00D8448F">
      <w:pPr>
        <w:spacing w:line="240" w:lineRule="auto"/>
        <w:rPr>
          <w:rFonts w:eastAsia="Times New Roman" w:cs="Arial"/>
          <w:sz w:val="24"/>
          <w:szCs w:val="24"/>
        </w:rPr>
      </w:pPr>
      <w:r w:rsidRPr="00D8448F">
        <w:rPr>
          <w:rFonts w:eastAsia="Times New Roman" w:cs="Arial"/>
          <w:color w:val="000000"/>
          <w:lang w:eastAsia="bg-BG"/>
        </w:rPr>
        <w:t xml:space="preserve">Съобщават се хеморагични нарушения на новороденото, причинени от антиепилептични средства. Като предпазна мярка трябва да се прилага витамин </w:t>
      </w:r>
      <w:r w:rsidRPr="00D8448F">
        <w:rPr>
          <w:rFonts w:eastAsia="Times New Roman" w:cs="Arial"/>
          <w:color w:val="000000"/>
          <w:lang w:val="en-US"/>
        </w:rPr>
        <w:t>K</w:t>
      </w:r>
      <w:r w:rsidRPr="00D8448F">
        <w:rPr>
          <w:rFonts w:eastAsia="Times New Roman" w:cs="Arial"/>
          <w:color w:val="000000"/>
          <w:vertAlign w:val="subscript"/>
          <w:lang w:val="ru-RU"/>
        </w:rPr>
        <w:t>1</w:t>
      </w:r>
      <w:r w:rsidRPr="00D8448F">
        <w:rPr>
          <w:rFonts w:eastAsia="Times New Roman" w:cs="Arial"/>
          <w:color w:val="000000"/>
          <w:lang w:val="ru-RU"/>
        </w:rPr>
        <w:t xml:space="preserve"> </w:t>
      </w:r>
      <w:r w:rsidRPr="00D8448F">
        <w:rPr>
          <w:rFonts w:eastAsia="Times New Roman" w:cs="Arial"/>
          <w:color w:val="000000"/>
          <w:lang w:eastAsia="bg-BG"/>
        </w:rPr>
        <w:t>през последните няколко седмици от бременността, както и на новороденото.</w:t>
      </w:r>
    </w:p>
    <w:p w14:paraId="49D0AA60" w14:textId="77777777" w:rsidR="00D8448F" w:rsidRPr="00D8448F" w:rsidRDefault="00D8448F" w:rsidP="00D8448F">
      <w:pPr>
        <w:spacing w:line="240" w:lineRule="auto"/>
        <w:rPr>
          <w:rFonts w:eastAsia="Times New Roman" w:cs="Arial"/>
          <w:i/>
          <w:iCs/>
          <w:color w:val="000000"/>
          <w:lang w:eastAsia="bg-BG"/>
        </w:rPr>
      </w:pPr>
    </w:p>
    <w:p w14:paraId="77F9BEAB" w14:textId="083DE6EC" w:rsidR="00D8448F" w:rsidRPr="00D8448F" w:rsidRDefault="00D8448F" w:rsidP="00D8448F">
      <w:pPr>
        <w:spacing w:line="240" w:lineRule="auto"/>
        <w:rPr>
          <w:rFonts w:eastAsia="Times New Roman" w:cs="Arial"/>
          <w:sz w:val="24"/>
          <w:szCs w:val="24"/>
        </w:rPr>
      </w:pPr>
      <w:r w:rsidRPr="00D8448F">
        <w:rPr>
          <w:rFonts w:eastAsia="Times New Roman" w:cs="Arial"/>
          <w:i/>
          <w:iCs/>
          <w:color w:val="000000"/>
          <w:lang w:eastAsia="bg-BG"/>
        </w:rPr>
        <w:t>Данни при животни</w:t>
      </w:r>
    </w:p>
    <w:p w14:paraId="62490EC1" w14:textId="431498FC" w:rsidR="00D8448F" w:rsidRPr="00D8448F" w:rsidRDefault="00D8448F" w:rsidP="00D8448F">
      <w:pPr>
        <w:spacing w:line="240" w:lineRule="auto"/>
        <w:rPr>
          <w:rFonts w:eastAsia="Times New Roman" w:cs="Arial"/>
          <w:sz w:val="24"/>
          <w:szCs w:val="24"/>
          <w:lang w:val="ru-RU"/>
        </w:rPr>
      </w:pPr>
      <w:r w:rsidRPr="00D8448F">
        <w:rPr>
          <w:rFonts w:eastAsia="Times New Roman" w:cs="Arial"/>
          <w:color w:val="000000"/>
          <w:lang w:eastAsia="bg-BG"/>
        </w:rPr>
        <w:t>Стандартни проучвания върху репродуктивната токсичност при гризачи и зайци показват увеличаване на честотата на ембрио-фетална смъртност и/или забавяне на пре- и/или постнаталното развитие на потомството, при токсични за майката нива на дозата. Наблюдава се увеличаване на малформациите на плода при плъхове, при едно от осем проучвания на ембрио- феталната токсичност, проведени с окскарбазепин или неговия активен метаболит (МХП) С дози, токсични за майката. Обобщените данни от всички проучвания при животни сочат, че окскарбазепин има малък тератогенен потенциал в дози, съответстващи на тези при хората. Все пак, проучванията при животни са недостатъчни, за да се изключи тератогенния ефект на окскарбазепин.</w:t>
      </w:r>
    </w:p>
    <w:p w14:paraId="4F0A311A" w14:textId="6E459B09" w:rsidR="00D8448F" w:rsidRPr="00D8448F" w:rsidRDefault="00D8448F" w:rsidP="00D8448F">
      <w:pPr>
        <w:rPr>
          <w:rFonts w:cs="Arial"/>
        </w:rPr>
      </w:pPr>
    </w:p>
    <w:p w14:paraId="1138CA57" w14:textId="77777777" w:rsidR="00D8448F" w:rsidRPr="00D8448F" w:rsidRDefault="00D8448F" w:rsidP="00D8448F">
      <w:pPr>
        <w:pStyle w:val="Heading3"/>
        <w:rPr>
          <w:u w:val="single"/>
        </w:rPr>
      </w:pPr>
      <w:r w:rsidRPr="00D8448F">
        <w:rPr>
          <w:u w:val="single"/>
        </w:rPr>
        <w:t>Кърмене</w:t>
      </w:r>
    </w:p>
    <w:p w14:paraId="4AB71ACF" w14:textId="77777777" w:rsidR="00D8448F" w:rsidRPr="00D8448F" w:rsidRDefault="00D8448F" w:rsidP="00D8448F">
      <w:pPr>
        <w:spacing w:line="240" w:lineRule="auto"/>
        <w:rPr>
          <w:rFonts w:eastAsia="Times New Roman" w:cs="Arial"/>
          <w:sz w:val="24"/>
          <w:szCs w:val="24"/>
        </w:rPr>
      </w:pPr>
      <w:r w:rsidRPr="00D8448F">
        <w:rPr>
          <w:rFonts w:eastAsia="Times New Roman" w:cs="Arial"/>
          <w:color w:val="000000"/>
          <w:lang w:eastAsia="bg-BG"/>
        </w:rPr>
        <w:t>Окскарбазепин и неговият активен метаболит (МХП) преминават в кърмата при хора. И за двете вещества е установено съотношение на концентрациите в кърмата спрямо тази в плазмата от 0,5. Не са известни ефектите върху детето, изложено на Трилептал чрез такъв път на приложение. Следователно Трилептал не трябва да се използва по време на кърмене.</w:t>
      </w:r>
    </w:p>
    <w:p w14:paraId="1149281A" w14:textId="77777777" w:rsidR="00D8448F" w:rsidRPr="00D8448F" w:rsidRDefault="00D8448F" w:rsidP="00D8448F">
      <w:pPr>
        <w:spacing w:line="240" w:lineRule="auto"/>
        <w:rPr>
          <w:rFonts w:eastAsia="Times New Roman" w:cs="Arial"/>
          <w:color w:val="000000"/>
          <w:u w:val="single"/>
          <w:lang w:eastAsia="bg-BG"/>
        </w:rPr>
      </w:pPr>
    </w:p>
    <w:p w14:paraId="6D8C61AB" w14:textId="3AB372D5" w:rsidR="00D8448F" w:rsidRPr="00D8448F" w:rsidRDefault="00D8448F" w:rsidP="00D8448F">
      <w:pPr>
        <w:spacing w:line="240" w:lineRule="auto"/>
        <w:rPr>
          <w:rFonts w:eastAsia="Times New Roman" w:cs="Arial"/>
          <w:sz w:val="24"/>
          <w:szCs w:val="24"/>
        </w:rPr>
      </w:pPr>
      <w:r w:rsidRPr="00D8448F">
        <w:rPr>
          <w:rFonts w:eastAsia="Times New Roman" w:cs="Arial"/>
          <w:color w:val="000000"/>
          <w:u w:val="single"/>
          <w:lang w:eastAsia="bg-BG"/>
        </w:rPr>
        <w:t>Жени и мъже в репродуктивна възраст</w:t>
      </w:r>
    </w:p>
    <w:p w14:paraId="3D8BE198" w14:textId="77777777" w:rsidR="00D8448F" w:rsidRPr="00D8448F" w:rsidRDefault="00D8448F" w:rsidP="00D8448F">
      <w:pPr>
        <w:spacing w:line="240" w:lineRule="auto"/>
        <w:rPr>
          <w:rFonts w:eastAsia="Times New Roman" w:cs="Arial"/>
          <w:sz w:val="24"/>
          <w:szCs w:val="24"/>
        </w:rPr>
      </w:pPr>
      <w:r w:rsidRPr="00D8448F">
        <w:rPr>
          <w:rFonts w:eastAsia="Times New Roman" w:cs="Arial"/>
          <w:i/>
          <w:iCs/>
          <w:color w:val="000000"/>
          <w:lang w:eastAsia="bg-BG"/>
        </w:rPr>
        <w:t>Контрацепция</w:t>
      </w:r>
    </w:p>
    <w:p w14:paraId="3A5A6374" w14:textId="77777777" w:rsidR="00D8448F" w:rsidRPr="00D8448F" w:rsidRDefault="00D8448F" w:rsidP="00D8448F">
      <w:pPr>
        <w:spacing w:line="240" w:lineRule="auto"/>
        <w:rPr>
          <w:rFonts w:eastAsia="Times New Roman" w:cs="Arial"/>
          <w:sz w:val="24"/>
          <w:szCs w:val="24"/>
        </w:rPr>
      </w:pPr>
      <w:r w:rsidRPr="00D8448F">
        <w:rPr>
          <w:rFonts w:eastAsia="Times New Roman" w:cs="Arial"/>
          <w:color w:val="000000"/>
          <w:lang w:eastAsia="bg-BG"/>
        </w:rPr>
        <w:t xml:space="preserve">Жените в детеродна възраст трябва да използват високо ефективни методи за контрацепция (за предпочитане нехормонални; например вътрематочни импланти) по време на лечението с Трилептал. Трилептал може да доведе до неуспех на терапевтичния ефект на пероралните контрацептиви, съдържащи етинилестрадиол и </w:t>
      </w:r>
      <w:r w:rsidRPr="00D8448F">
        <w:rPr>
          <w:rFonts w:eastAsia="Times New Roman" w:cs="Arial"/>
          <w:color w:val="000000"/>
          <w:lang w:eastAsia="bg-BG"/>
        </w:rPr>
        <w:lastRenderedPageBreak/>
        <w:t>левоноргестрел (виж точки 4.4 Специални предупреждения и предпазни мерки при употреба и 4.5 Взаимодействие с други лекарствени продукти и други форми на взаимодействие).</w:t>
      </w:r>
    </w:p>
    <w:p w14:paraId="5A0CDE27" w14:textId="77777777" w:rsidR="00D8448F" w:rsidRPr="00D8448F" w:rsidRDefault="00D8448F" w:rsidP="00D8448F">
      <w:pPr>
        <w:spacing w:line="240" w:lineRule="auto"/>
        <w:rPr>
          <w:rFonts w:eastAsia="Times New Roman" w:cs="Arial"/>
          <w:color w:val="000000"/>
          <w:u w:val="single"/>
          <w:lang w:eastAsia="bg-BG"/>
        </w:rPr>
      </w:pPr>
    </w:p>
    <w:p w14:paraId="38A62DCF" w14:textId="2E8FB483" w:rsidR="00D8448F" w:rsidRPr="00D8448F" w:rsidRDefault="00D8448F" w:rsidP="00D8448F">
      <w:pPr>
        <w:pStyle w:val="Heading3"/>
        <w:rPr>
          <w:u w:val="single"/>
        </w:rPr>
      </w:pPr>
      <w:r w:rsidRPr="00D8448F">
        <w:rPr>
          <w:u w:val="single"/>
        </w:rPr>
        <w:t>Фертилитет</w:t>
      </w:r>
    </w:p>
    <w:p w14:paraId="5A3841C7" w14:textId="77777777" w:rsidR="00D8448F" w:rsidRPr="00D8448F" w:rsidRDefault="00D8448F" w:rsidP="00D8448F">
      <w:pPr>
        <w:spacing w:line="240" w:lineRule="auto"/>
        <w:rPr>
          <w:rFonts w:eastAsia="Times New Roman" w:cs="Arial"/>
          <w:sz w:val="24"/>
          <w:szCs w:val="24"/>
        </w:rPr>
      </w:pPr>
      <w:r w:rsidRPr="00D8448F">
        <w:rPr>
          <w:rFonts w:eastAsia="Times New Roman" w:cs="Arial"/>
          <w:color w:val="000000"/>
          <w:lang w:eastAsia="bg-BG"/>
        </w:rPr>
        <w:t>Липсват данни за ефекта върху фертилитета при хора.</w:t>
      </w:r>
    </w:p>
    <w:p w14:paraId="3B40587E" w14:textId="77777777" w:rsidR="00D8448F" w:rsidRPr="00D8448F" w:rsidRDefault="00D8448F" w:rsidP="00D8448F">
      <w:pPr>
        <w:spacing w:line="240" w:lineRule="auto"/>
        <w:rPr>
          <w:rFonts w:eastAsia="Times New Roman" w:cs="Arial"/>
          <w:sz w:val="24"/>
          <w:szCs w:val="24"/>
        </w:rPr>
      </w:pPr>
      <w:r w:rsidRPr="00D8448F">
        <w:rPr>
          <w:rFonts w:eastAsia="Times New Roman" w:cs="Arial"/>
          <w:color w:val="000000"/>
          <w:lang w:eastAsia="bg-BG"/>
        </w:rPr>
        <w:t xml:space="preserve">При плъхове, фертилитета при двата пола не е бил повлиян от окскарбазепин или МХП при перорални дози до 150 и 450 </w:t>
      </w:r>
      <w:r w:rsidRPr="00D8448F">
        <w:rPr>
          <w:rFonts w:eastAsia="Times New Roman" w:cs="Arial"/>
          <w:color w:val="000000"/>
          <w:lang w:val="en-US"/>
        </w:rPr>
        <w:t>mg</w:t>
      </w:r>
      <w:r w:rsidRPr="00D8448F">
        <w:rPr>
          <w:rFonts w:eastAsia="Times New Roman" w:cs="Arial"/>
          <w:color w:val="000000"/>
          <w:lang w:val="ru-RU"/>
        </w:rPr>
        <w:t>/</w:t>
      </w:r>
      <w:r w:rsidRPr="00D8448F">
        <w:rPr>
          <w:rFonts w:eastAsia="Times New Roman" w:cs="Arial"/>
          <w:color w:val="000000"/>
          <w:lang w:val="en-US"/>
        </w:rPr>
        <w:t>kg</w:t>
      </w:r>
      <w:r w:rsidRPr="00D8448F">
        <w:rPr>
          <w:rFonts w:eastAsia="Times New Roman" w:cs="Arial"/>
          <w:color w:val="000000"/>
          <w:lang w:eastAsia="bg-BG"/>
        </w:rPr>
        <w:t>/ден, съответно. Въпреки това при най- високите дози МХП при женски плъхове се наблюдава нарушаване на естрадния цикъл и намаляване на броя на жълтите тела, имплантациите и живите ембриони.</w:t>
      </w:r>
    </w:p>
    <w:p w14:paraId="7F599463" w14:textId="77777777" w:rsidR="00D8448F" w:rsidRPr="00D8448F" w:rsidRDefault="00D8448F" w:rsidP="00D8448F"/>
    <w:p w14:paraId="5766770B" w14:textId="61BE4D22" w:rsidR="00395555" w:rsidRDefault="002C50EE" w:rsidP="008A6AF2">
      <w:pPr>
        <w:pStyle w:val="Heading2"/>
      </w:pPr>
      <w:r>
        <w:t>4.7. Ефекти върху способността за шофиране и работа с машини</w:t>
      </w:r>
    </w:p>
    <w:p w14:paraId="5CA1E977" w14:textId="4A866B72" w:rsidR="00D8448F" w:rsidRDefault="00D8448F" w:rsidP="00D8448F"/>
    <w:p w14:paraId="21D4DFDD" w14:textId="7C81937C" w:rsidR="00D8448F" w:rsidRDefault="00D8448F" w:rsidP="00D8448F">
      <w:pPr>
        <w:rPr>
          <w:sz w:val="24"/>
          <w:szCs w:val="24"/>
        </w:rPr>
      </w:pPr>
      <w:r w:rsidRPr="00D8448F">
        <w:rPr>
          <w:lang w:eastAsia="bg-BG"/>
        </w:rPr>
        <w:t>Трилептал повлиява в умерена степен способността за шофиране и работа с машини. Нежелани реакции като замаяност, сънливост, атаксия, диплопия, замъглено виждане, зрителни нарушения, хипонатриемия и подтиснато съзнание са докладвани при употреба на Трилептал (виж точка 4.8), особено при започване на терапия или при промяна на дозировката (по-често при повишаване на дозата). Затова пациентите трябва да бъдат предупредени, че физическите и/или психическите им способности, необходими при работа с машини или шофиране могат да бъдат нарушени.</w:t>
      </w:r>
    </w:p>
    <w:p w14:paraId="12040877" w14:textId="77777777" w:rsidR="00D8448F" w:rsidRPr="00D8448F" w:rsidRDefault="00D8448F" w:rsidP="00D8448F">
      <w:pPr>
        <w:spacing w:line="240" w:lineRule="auto"/>
        <w:rPr>
          <w:rFonts w:ascii="Times New Roman" w:eastAsia="Times New Roman" w:hAnsi="Times New Roman" w:cs="Times New Roman"/>
          <w:sz w:val="24"/>
          <w:szCs w:val="24"/>
        </w:rPr>
      </w:pPr>
    </w:p>
    <w:p w14:paraId="4FE16E21" w14:textId="3FC57FFE" w:rsidR="00395555" w:rsidRDefault="002C50EE" w:rsidP="008A6AF2">
      <w:pPr>
        <w:pStyle w:val="Heading2"/>
      </w:pPr>
      <w:r>
        <w:t>4.8. Нежелани лекарствени реакции</w:t>
      </w:r>
    </w:p>
    <w:p w14:paraId="16CC070C" w14:textId="2C370DAF" w:rsidR="00D8448F" w:rsidRDefault="00D8448F" w:rsidP="00D8448F"/>
    <w:p w14:paraId="7B7AAFF5" w14:textId="77777777" w:rsidR="00D8448F" w:rsidRPr="00D8448F" w:rsidRDefault="00D8448F" w:rsidP="00D8448F">
      <w:pPr>
        <w:rPr>
          <w:sz w:val="24"/>
          <w:szCs w:val="24"/>
        </w:rPr>
      </w:pPr>
      <w:r w:rsidRPr="00D8448F">
        <w:rPr>
          <w:lang w:eastAsia="bg-BG"/>
        </w:rPr>
        <w:t>Най-често съобщаваните нежелани реакции са сомнолентност, главоболие, замаяност, диплопия, гадене, повръщане и умора, и се наблюдават при повече от 10% от пациентите.</w:t>
      </w:r>
    </w:p>
    <w:p w14:paraId="39F8B0E7" w14:textId="77777777" w:rsidR="00D8448F" w:rsidRDefault="00D8448F" w:rsidP="00D8448F">
      <w:pPr>
        <w:rPr>
          <w:lang w:eastAsia="bg-BG"/>
        </w:rPr>
      </w:pPr>
    </w:p>
    <w:p w14:paraId="2CBD3381" w14:textId="3C91A1CB" w:rsidR="00D8448F" w:rsidRPr="00D8448F" w:rsidRDefault="00D8448F" w:rsidP="00D8448F">
      <w:pPr>
        <w:rPr>
          <w:sz w:val="24"/>
          <w:szCs w:val="24"/>
        </w:rPr>
      </w:pPr>
      <w:r w:rsidRPr="00D8448F">
        <w:rPr>
          <w:lang w:eastAsia="bg-BG"/>
        </w:rPr>
        <w:t>По време на клиничните изпитвания нежеланите събития като цяло са били леки до умерени по тежест, преходни и настъпили предимно в началото на лечението.</w:t>
      </w:r>
    </w:p>
    <w:p w14:paraId="792C8906" w14:textId="77777777" w:rsidR="00D8448F" w:rsidRDefault="00D8448F" w:rsidP="00D8448F">
      <w:pPr>
        <w:rPr>
          <w:lang w:eastAsia="bg-BG"/>
        </w:rPr>
      </w:pPr>
    </w:p>
    <w:p w14:paraId="716DAC1C" w14:textId="5BA23733" w:rsidR="00D8448F" w:rsidRPr="00D8448F" w:rsidRDefault="00D8448F" w:rsidP="00D8448F">
      <w:pPr>
        <w:rPr>
          <w:sz w:val="24"/>
          <w:szCs w:val="24"/>
        </w:rPr>
      </w:pPr>
      <w:r w:rsidRPr="00D8448F">
        <w:rPr>
          <w:lang w:eastAsia="bg-BG"/>
        </w:rPr>
        <w:t>Профилът на нежеланите реакции по системи се основава на нежеланите реакции от клиничните изпитвания, оценени като свързани с Трилептал. Освен това под внимание са взети и клинично значими съобщения за случаи на нежелани реакции от програми при пациенти с известна самоличност и постмаркетинговия опит.</w:t>
      </w:r>
    </w:p>
    <w:p w14:paraId="50800DE7" w14:textId="77777777" w:rsidR="00D8448F" w:rsidRDefault="00D8448F" w:rsidP="00D8448F">
      <w:pPr>
        <w:rPr>
          <w:lang w:eastAsia="bg-BG"/>
        </w:rPr>
      </w:pPr>
    </w:p>
    <w:p w14:paraId="17709C9E" w14:textId="56352959" w:rsidR="00D8448F" w:rsidRPr="00D8448F" w:rsidRDefault="00D8448F" w:rsidP="00D8448F">
      <w:pPr>
        <w:rPr>
          <w:sz w:val="24"/>
          <w:szCs w:val="24"/>
        </w:rPr>
      </w:pPr>
      <w:r w:rsidRPr="00D8448F">
        <w:rPr>
          <w:lang w:eastAsia="bg-BG"/>
        </w:rPr>
        <w:t xml:space="preserve">Нежеланите реакции (Таблица 2) са изброени съгласно </w:t>
      </w:r>
      <w:proofErr w:type="spellStart"/>
      <w:r w:rsidRPr="00D8448F">
        <w:rPr>
          <w:lang w:val="en-US"/>
        </w:rPr>
        <w:t>MedDRA</w:t>
      </w:r>
      <w:proofErr w:type="spellEnd"/>
      <w:r w:rsidRPr="00D8448F">
        <w:rPr>
          <w:lang w:val="ru-RU"/>
        </w:rPr>
        <w:t xml:space="preserve"> </w:t>
      </w:r>
      <w:r w:rsidRPr="00D8448F">
        <w:rPr>
          <w:lang w:eastAsia="bg-BG"/>
        </w:rPr>
        <w:t xml:space="preserve">по системо-органни класове. В рамките на всеки системо-органен клас нежеланите реакции са подредени по честота, като най- честите нежелани реакции са първи. При всяко групиране по честота нежелани реакции са представени в низходящ ред по отношение на тяхната сериозност. Освен това съответната категория по честота за всяка нежелана реакция се базира на следната конвенция </w:t>
      </w:r>
      <w:r w:rsidRPr="00D8448F">
        <w:rPr>
          <w:lang w:val="ru-RU"/>
        </w:rPr>
        <w:t>(</w:t>
      </w:r>
      <w:r w:rsidRPr="00D8448F">
        <w:rPr>
          <w:lang w:val="en-US"/>
        </w:rPr>
        <w:t>CIOMS</w:t>
      </w:r>
      <w:r w:rsidRPr="00D8448F">
        <w:rPr>
          <w:lang w:val="ru-RU"/>
        </w:rPr>
        <w:t xml:space="preserve"> </w:t>
      </w:r>
      <w:r w:rsidRPr="00D8448F">
        <w:rPr>
          <w:lang w:val="en-US"/>
        </w:rPr>
        <w:t>III</w:t>
      </w:r>
      <w:r w:rsidRPr="00D8448F">
        <w:rPr>
          <w:lang w:val="ru-RU"/>
        </w:rPr>
        <w:t>):</w:t>
      </w:r>
      <w:r w:rsidRPr="00D8448F">
        <w:rPr>
          <w:lang w:eastAsia="bg-BG"/>
        </w:rPr>
        <w:t xml:space="preserve"> много чести (≥1/10); чести (≥1/100 до &lt;1/10); нечести (≥1/1 000 до &lt;1/100); редки </w:t>
      </w:r>
      <w:r w:rsidRPr="00D8448F">
        <w:rPr>
          <w:lang w:val="ru-RU"/>
        </w:rPr>
        <w:t>(</w:t>
      </w:r>
      <w:r w:rsidRPr="00D8448F">
        <w:rPr>
          <w:lang w:eastAsia="bg-BG"/>
        </w:rPr>
        <w:t>≥</w:t>
      </w:r>
      <w:r w:rsidRPr="00D8448F">
        <w:rPr>
          <w:lang w:val="ru-RU"/>
        </w:rPr>
        <w:t xml:space="preserve">1/10 000 </w:t>
      </w:r>
      <w:r w:rsidRPr="00D8448F">
        <w:rPr>
          <w:lang w:eastAsia="bg-BG"/>
        </w:rPr>
        <w:t>до &lt;1/1 000); много редки (&lt;1/10 000).</w:t>
      </w:r>
    </w:p>
    <w:p w14:paraId="5714C080" w14:textId="14A764B0" w:rsidR="00D8448F" w:rsidRDefault="00D8448F" w:rsidP="00D8448F"/>
    <w:p w14:paraId="74CE7473" w14:textId="085FBAD2" w:rsidR="00D8448F" w:rsidRDefault="00D8448F" w:rsidP="00D8448F">
      <w:pPr>
        <w:rPr>
          <w:b/>
          <w:bCs/>
        </w:rPr>
      </w:pPr>
      <w:r>
        <w:rPr>
          <w:b/>
          <w:bCs/>
        </w:rPr>
        <w:t>Таблица 2 Нежелани реакции</w:t>
      </w:r>
    </w:p>
    <w:tbl>
      <w:tblPr>
        <w:tblStyle w:val="TableGrid"/>
        <w:tblW w:w="0" w:type="auto"/>
        <w:tblLook w:val="04A0" w:firstRow="1" w:lastRow="0" w:firstColumn="1" w:lastColumn="0" w:noHBand="0" w:noVBand="1"/>
      </w:tblPr>
      <w:tblGrid>
        <w:gridCol w:w="4652"/>
        <w:gridCol w:w="4698"/>
      </w:tblGrid>
      <w:tr w:rsidR="00D8448F" w14:paraId="7ED311F0" w14:textId="77777777" w:rsidTr="00D8448F">
        <w:tc>
          <w:tcPr>
            <w:tcW w:w="9576" w:type="dxa"/>
            <w:gridSpan w:val="2"/>
            <w:vAlign w:val="bottom"/>
          </w:tcPr>
          <w:p w14:paraId="4E391478" w14:textId="1625852B" w:rsidR="00D8448F" w:rsidRDefault="00D8448F" w:rsidP="00D8448F">
            <w:r>
              <w:rPr>
                <w:b/>
                <w:bCs/>
              </w:rPr>
              <w:t>Нарушения на кръвоносната и лнмфна системи</w:t>
            </w:r>
          </w:p>
        </w:tc>
      </w:tr>
      <w:tr w:rsidR="00D8448F" w14:paraId="1CDEDE3D" w14:textId="77777777" w:rsidTr="00D8448F">
        <w:tc>
          <w:tcPr>
            <w:tcW w:w="4788" w:type="dxa"/>
            <w:vAlign w:val="bottom"/>
          </w:tcPr>
          <w:p w14:paraId="026415EF" w14:textId="14B9D728" w:rsidR="00D8448F" w:rsidRDefault="00D8448F" w:rsidP="00D8448F">
            <w:r>
              <w:t>Нечести</w:t>
            </w:r>
          </w:p>
        </w:tc>
        <w:tc>
          <w:tcPr>
            <w:tcW w:w="4788" w:type="dxa"/>
            <w:vAlign w:val="bottom"/>
          </w:tcPr>
          <w:p w14:paraId="54AA1B1C" w14:textId="387FC43E" w:rsidR="00D8448F" w:rsidRDefault="00D8448F" w:rsidP="00D8448F">
            <w:r>
              <w:t>левкопения.</w:t>
            </w:r>
          </w:p>
        </w:tc>
      </w:tr>
      <w:tr w:rsidR="00D8448F" w14:paraId="755D4FCF" w14:textId="77777777" w:rsidTr="00D8448F">
        <w:tc>
          <w:tcPr>
            <w:tcW w:w="4788" w:type="dxa"/>
          </w:tcPr>
          <w:p w14:paraId="2D008535" w14:textId="18984688" w:rsidR="00D8448F" w:rsidRDefault="00D8448F" w:rsidP="00D8448F">
            <w:r>
              <w:lastRenderedPageBreak/>
              <w:t>Редки</w:t>
            </w:r>
          </w:p>
        </w:tc>
        <w:tc>
          <w:tcPr>
            <w:tcW w:w="4788" w:type="dxa"/>
            <w:vAlign w:val="bottom"/>
          </w:tcPr>
          <w:p w14:paraId="0802FAD4" w14:textId="24D6983D" w:rsidR="00D8448F" w:rsidRDefault="00D8448F" w:rsidP="00D8448F">
            <w:r>
              <w:t>потискане на костния мозък, апластична анемия, агранулоцитоза, панцитопения, неутропения.</w:t>
            </w:r>
          </w:p>
        </w:tc>
      </w:tr>
      <w:tr w:rsidR="00D8448F" w14:paraId="3B393E54" w14:textId="77777777" w:rsidTr="00D8448F">
        <w:tc>
          <w:tcPr>
            <w:tcW w:w="4788" w:type="dxa"/>
            <w:vAlign w:val="bottom"/>
          </w:tcPr>
          <w:p w14:paraId="17CBAC44" w14:textId="579B24EA" w:rsidR="00D8448F" w:rsidRDefault="00D8448F" w:rsidP="00D8448F">
            <w:r>
              <w:t>Много редки</w:t>
            </w:r>
          </w:p>
        </w:tc>
        <w:tc>
          <w:tcPr>
            <w:tcW w:w="4788" w:type="dxa"/>
            <w:vAlign w:val="bottom"/>
          </w:tcPr>
          <w:p w14:paraId="7B9C6E1D" w14:textId="75E40D28" w:rsidR="00D8448F" w:rsidRDefault="00D8448F" w:rsidP="00D8448F">
            <w:r>
              <w:t>тромбоцитопения.</w:t>
            </w:r>
          </w:p>
        </w:tc>
      </w:tr>
      <w:tr w:rsidR="00D8448F" w14:paraId="334DD0E3" w14:textId="77777777" w:rsidTr="00D8448F">
        <w:tc>
          <w:tcPr>
            <w:tcW w:w="9576" w:type="dxa"/>
            <w:gridSpan w:val="2"/>
            <w:vAlign w:val="bottom"/>
          </w:tcPr>
          <w:p w14:paraId="3EBB5237" w14:textId="29CE5D37" w:rsidR="00D8448F" w:rsidRDefault="00D8448F" w:rsidP="00D8448F">
            <w:r>
              <w:rPr>
                <w:b/>
                <w:bCs/>
              </w:rPr>
              <w:t>Нарушения на имунната система</w:t>
            </w:r>
          </w:p>
        </w:tc>
      </w:tr>
      <w:tr w:rsidR="00D8448F" w14:paraId="3DD5E6E0" w14:textId="77777777" w:rsidTr="00D8448F">
        <w:tc>
          <w:tcPr>
            <w:tcW w:w="4788" w:type="dxa"/>
            <w:vAlign w:val="bottom"/>
          </w:tcPr>
          <w:p w14:paraId="4B536430" w14:textId="606DDB71" w:rsidR="00D8448F" w:rsidRDefault="00D8448F" w:rsidP="00D8448F">
            <w:r>
              <w:t>Редки</w:t>
            </w:r>
          </w:p>
        </w:tc>
        <w:tc>
          <w:tcPr>
            <w:tcW w:w="4788" w:type="dxa"/>
            <w:vAlign w:val="bottom"/>
          </w:tcPr>
          <w:p w14:paraId="59376977" w14:textId="7188746F" w:rsidR="00D8448F" w:rsidRDefault="00D8448F" w:rsidP="00D8448F">
            <w:r>
              <w:t>анафилактични реакции.</w:t>
            </w:r>
          </w:p>
        </w:tc>
      </w:tr>
      <w:tr w:rsidR="00D8448F" w14:paraId="77B112D8" w14:textId="77777777" w:rsidTr="00D8448F">
        <w:tc>
          <w:tcPr>
            <w:tcW w:w="4788" w:type="dxa"/>
            <w:vAlign w:val="bottom"/>
          </w:tcPr>
          <w:p w14:paraId="520707C0" w14:textId="1AE7C63B" w:rsidR="00D8448F" w:rsidRDefault="00D8448F" w:rsidP="00D8448F">
            <w:r>
              <w:t>Много редки</w:t>
            </w:r>
          </w:p>
        </w:tc>
        <w:tc>
          <w:tcPr>
            <w:tcW w:w="4788" w:type="dxa"/>
            <w:vAlign w:val="bottom"/>
          </w:tcPr>
          <w:p w14:paraId="72C12B8F" w14:textId="5ABA775C" w:rsidR="00D8448F" w:rsidRPr="00D8448F" w:rsidRDefault="00D8448F" w:rsidP="00D8448F">
            <w:pPr>
              <w:rPr>
                <w:lang w:val="en-US"/>
              </w:rPr>
            </w:pPr>
            <w:r>
              <w:t>Свръхчувствителност</w:t>
            </w:r>
            <w:r>
              <w:rPr>
                <w:lang w:val="en-US"/>
              </w:rPr>
              <w:t>#</w:t>
            </w:r>
          </w:p>
        </w:tc>
      </w:tr>
      <w:tr w:rsidR="00D8448F" w14:paraId="12FF0E89" w14:textId="77777777" w:rsidTr="00D8448F">
        <w:tc>
          <w:tcPr>
            <w:tcW w:w="9576" w:type="dxa"/>
            <w:gridSpan w:val="2"/>
            <w:vAlign w:val="bottom"/>
          </w:tcPr>
          <w:p w14:paraId="5690FB21" w14:textId="5BF2F912" w:rsidR="00D8448F" w:rsidRDefault="00D8448F" w:rsidP="00D8448F">
            <w:r>
              <w:rPr>
                <w:b/>
                <w:bCs/>
              </w:rPr>
              <w:t>Нарушения на ендокринната система</w:t>
            </w:r>
          </w:p>
        </w:tc>
      </w:tr>
      <w:tr w:rsidR="00D8448F" w14:paraId="79402711" w14:textId="77777777" w:rsidTr="00D8448F">
        <w:tc>
          <w:tcPr>
            <w:tcW w:w="4788" w:type="dxa"/>
            <w:vAlign w:val="bottom"/>
          </w:tcPr>
          <w:p w14:paraId="5DDD66AC" w14:textId="4627BD51" w:rsidR="00D8448F" w:rsidRDefault="00D8448F" w:rsidP="00D8448F">
            <w:r>
              <w:t>Чести</w:t>
            </w:r>
          </w:p>
        </w:tc>
        <w:tc>
          <w:tcPr>
            <w:tcW w:w="4788" w:type="dxa"/>
            <w:vAlign w:val="bottom"/>
          </w:tcPr>
          <w:p w14:paraId="11B8CA93" w14:textId="7D96A6A3" w:rsidR="00D8448F" w:rsidRDefault="00D8448F" w:rsidP="00D8448F">
            <w:r>
              <w:t>увеличаване на теглото.</w:t>
            </w:r>
          </w:p>
        </w:tc>
      </w:tr>
      <w:tr w:rsidR="00D8448F" w14:paraId="6500EF4F" w14:textId="77777777" w:rsidTr="00D8448F">
        <w:tc>
          <w:tcPr>
            <w:tcW w:w="4788" w:type="dxa"/>
            <w:vAlign w:val="bottom"/>
          </w:tcPr>
          <w:p w14:paraId="2D27A3D3" w14:textId="1783AFBB" w:rsidR="00D8448F" w:rsidRDefault="00D8448F" w:rsidP="00D8448F">
            <w:r>
              <w:t>Нечести</w:t>
            </w:r>
          </w:p>
        </w:tc>
        <w:tc>
          <w:tcPr>
            <w:tcW w:w="4788" w:type="dxa"/>
            <w:vAlign w:val="bottom"/>
          </w:tcPr>
          <w:p w14:paraId="64C497D0" w14:textId="31F95DCB" w:rsidR="00D8448F" w:rsidRDefault="00D8448F" w:rsidP="00D8448F">
            <w:r>
              <w:t>хипотиреоидизъм.</w:t>
            </w:r>
          </w:p>
        </w:tc>
      </w:tr>
      <w:tr w:rsidR="00D8448F" w14:paraId="57B96DF6" w14:textId="77777777" w:rsidTr="00D8448F">
        <w:tc>
          <w:tcPr>
            <w:tcW w:w="9576" w:type="dxa"/>
            <w:gridSpan w:val="2"/>
            <w:vAlign w:val="bottom"/>
          </w:tcPr>
          <w:p w14:paraId="71C618FC" w14:textId="36F77AC2" w:rsidR="00D8448F" w:rsidRDefault="00D8448F" w:rsidP="00D8448F">
            <w:r>
              <w:rPr>
                <w:b/>
                <w:bCs/>
              </w:rPr>
              <w:t>Нарушения на метаболизма и храненето</w:t>
            </w:r>
          </w:p>
        </w:tc>
      </w:tr>
      <w:tr w:rsidR="00D8448F" w14:paraId="04276B16" w14:textId="77777777" w:rsidTr="00D8448F">
        <w:tc>
          <w:tcPr>
            <w:tcW w:w="4788" w:type="dxa"/>
            <w:vAlign w:val="bottom"/>
          </w:tcPr>
          <w:p w14:paraId="7FBC5E4A" w14:textId="6465964D" w:rsidR="00D8448F" w:rsidRDefault="00D8448F" w:rsidP="00D8448F">
            <w:r>
              <w:t>Чести</w:t>
            </w:r>
          </w:p>
        </w:tc>
        <w:tc>
          <w:tcPr>
            <w:tcW w:w="4788" w:type="dxa"/>
            <w:vAlign w:val="bottom"/>
          </w:tcPr>
          <w:p w14:paraId="787A3A9C" w14:textId="7B188BB6" w:rsidR="00D8448F" w:rsidRDefault="00D8448F" w:rsidP="00D8448F">
            <w:r>
              <w:t>Хипонатриемия</w:t>
            </w:r>
            <w:r w:rsidRPr="00D8448F">
              <w:rPr>
                <w:vertAlign w:val="superscript"/>
                <w:lang w:val="en-US"/>
              </w:rPr>
              <w:t>+</w:t>
            </w:r>
            <w:r>
              <w:t>.</w:t>
            </w:r>
          </w:p>
        </w:tc>
      </w:tr>
      <w:tr w:rsidR="00D8448F" w14:paraId="02974EEF" w14:textId="77777777" w:rsidTr="00D8448F">
        <w:tc>
          <w:tcPr>
            <w:tcW w:w="4788" w:type="dxa"/>
          </w:tcPr>
          <w:p w14:paraId="7743DA92" w14:textId="5398E7ED" w:rsidR="00D8448F" w:rsidRDefault="00D8448F" w:rsidP="00D8448F">
            <w:r>
              <w:t>Редки</w:t>
            </w:r>
          </w:p>
        </w:tc>
        <w:tc>
          <w:tcPr>
            <w:tcW w:w="4788" w:type="dxa"/>
            <w:vAlign w:val="bottom"/>
          </w:tcPr>
          <w:p w14:paraId="0124F9FF" w14:textId="2C0650A8" w:rsidR="00D8448F" w:rsidRDefault="00D8448F" w:rsidP="00D8448F">
            <w:r>
              <w:t>синдром, подобен на синдрома на неадекватна секреция на АДХ, с признаци и симптоми като летаргия, гадене, замаяност, намаляване на серумния (кръвен) осмолалитет, повръщане, главоболие, състояние на обърканост или други неврологични признаци и симптоми.</w:t>
            </w:r>
          </w:p>
        </w:tc>
      </w:tr>
      <w:tr w:rsidR="00D8448F" w14:paraId="1FAD3887" w14:textId="77777777" w:rsidTr="00D8448F">
        <w:tc>
          <w:tcPr>
            <w:tcW w:w="9576" w:type="dxa"/>
            <w:gridSpan w:val="2"/>
            <w:vAlign w:val="bottom"/>
          </w:tcPr>
          <w:p w14:paraId="1C2056C3" w14:textId="05FE8213" w:rsidR="00D8448F" w:rsidRDefault="00D8448F" w:rsidP="00D8448F">
            <w:r>
              <w:rPr>
                <w:b/>
                <w:bCs/>
              </w:rPr>
              <w:t>Психични нарушения</w:t>
            </w:r>
          </w:p>
        </w:tc>
      </w:tr>
      <w:tr w:rsidR="00D8448F" w14:paraId="5DFF7265" w14:textId="77777777" w:rsidTr="00D8448F">
        <w:tc>
          <w:tcPr>
            <w:tcW w:w="4788" w:type="dxa"/>
          </w:tcPr>
          <w:p w14:paraId="535E4A90" w14:textId="04019C0E" w:rsidR="00D8448F" w:rsidRDefault="00D8448F" w:rsidP="00D8448F">
            <w:r>
              <w:t>Чести</w:t>
            </w:r>
          </w:p>
        </w:tc>
        <w:tc>
          <w:tcPr>
            <w:tcW w:w="4788" w:type="dxa"/>
            <w:vAlign w:val="bottom"/>
          </w:tcPr>
          <w:p w14:paraId="635F6701" w14:textId="4CCC6D2C" w:rsidR="00D8448F" w:rsidRDefault="00D8448F" w:rsidP="00D8448F">
            <w:r>
              <w:t>нервна възбуда (напр. нервност), нестабилност на афектите, състояние на обърканост, депресия, апатия.</w:t>
            </w:r>
          </w:p>
        </w:tc>
      </w:tr>
      <w:tr w:rsidR="00D8448F" w14:paraId="40650715" w14:textId="77777777" w:rsidTr="00D8448F">
        <w:tc>
          <w:tcPr>
            <w:tcW w:w="9576" w:type="dxa"/>
            <w:gridSpan w:val="2"/>
            <w:vAlign w:val="bottom"/>
          </w:tcPr>
          <w:p w14:paraId="0FB8D235" w14:textId="0DB99025" w:rsidR="00D8448F" w:rsidRDefault="00D8448F" w:rsidP="00D8448F">
            <w:r>
              <w:rPr>
                <w:b/>
                <w:bCs/>
              </w:rPr>
              <w:t>Нарушения на нервната система</w:t>
            </w:r>
          </w:p>
        </w:tc>
      </w:tr>
      <w:tr w:rsidR="00D8448F" w14:paraId="2AAACF4E" w14:textId="77777777" w:rsidTr="00D8448F">
        <w:tc>
          <w:tcPr>
            <w:tcW w:w="4788" w:type="dxa"/>
            <w:vAlign w:val="bottom"/>
          </w:tcPr>
          <w:p w14:paraId="7ECD8392" w14:textId="6102A68E" w:rsidR="00D8448F" w:rsidRDefault="00D8448F" w:rsidP="00D8448F">
            <w:r>
              <w:t>Много чести</w:t>
            </w:r>
          </w:p>
        </w:tc>
        <w:tc>
          <w:tcPr>
            <w:tcW w:w="4788" w:type="dxa"/>
            <w:vAlign w:val="bottom"/>
          </w:tcPr>
          <w:p w14:paraId="2D3D7B2A" w14:textId="3DBC7798" w:rsidR="00D8448F" w:rsidRDefault="00D8448F" w:rsidP="00D8448F">
            <w:r>
              <w:t>сънливост, главоболие, замаяност.</w:t>
            </w:r>
          </w:p>
        </w:tc>
      </w:tr>
      <w:tr w:rsidR="00D8448F" w14:paraId="4ABDDB30" w14:textId="77777777" w:rsidTr="00D8448F">
        <w:tc>
          <w:tcPr>
            <w:tcW w:w="4788" w:type="dxa"/>
          </w:tcPr>
          <w:p w14:paraId="75DF9D07" w14:textId="0244CC2D" w:rsidR="00D8448F" w:rsidRDefault="00D8448F" w:rsidP="00D8448F">
            <w:r>
              <w:t>Чести</w:t>
            </w:r>
          </w:p>
        </w:tc>
        <w:tc>
          <w:tcPr>
            <w:tcW w:w="4788" w:type="dxa"/>
            <w:vAlign w:val="bottom"/>
          </w:tcPr>
          <w:p w14:paraId="1E981081" w14:textId="2459988A" w:rsidR="00D8448F" w:rsidRDefault="00D8448F" w:rsidP="00D8448F">
            <w:r>
              <w:t>атаксия, тремор, нистагьм, нарушения на вниманието, амнезия, нарушения в говора (включително дизартрия); по-често при повишаване на дозата Трилептал.</w:t>
            </w:r>
          </w:p>
        </w:tc>
      </w:tr>
      <w:tr w:rsidR="00D8448F" w14:paraId="7DEF5513" w14:textId="77777777" w:rsidTr="00D8448F">
        <w:tc>
          <w:tcPr>
            <w:tcW w:w="9576" w:type="dxa"/>
            <w:gridSpan w:val="2"/>
            <w:vAlign w:val="bottom"/>
          </w:tcPr>
          <w:p w14:paraId="27F85C08" w14:textId="71CE838F" w:rsidR="00D8448F" w:rsidRDefault="00D8448F" w:rsidP="00D8448F">
            <w:r>
              <w:rPr>
                <w:b/>
                <w:bCs/>
              </w:rPr>
              <w:t>Нарушения на очите</w:t>
            </w:r>
          </w:p>
        </w:tc>
      </w:tr>
      <w:tr w:rsidR="00D8448F" w14:paraId="39BD6E8E" w14:textId="77777777" w:rsidTr="00D8448F">
        <w:tc>
          <w:tcPr>
            <w:tcW w:w="4788" w:type="dxa"/>
            <w:vAlign w:val="bottom"/>
          </w:tcPr>
          <w:p w14:paraId="619FC69E" w14:textId="069BEBEA" w:rsidR="00D8448F" w:rsidRDefault="00D8448F" w:rsidP="00D8448F">
            <w:r>
              <w:t>Много чести</w:t>
            </w:r>
          </w:p>
        </w:tc>
        <w:tc>
          <w:tcPr>
            <w:tcW w:w="4788" w:type="dxa"/>
            <w:vAlign w:val="bottom"/>
          </w:tcPr>
          <w:p w14:paraId="49937A08" w14:textId="26B61E04" w:rsidR="00D8448F" w:rsidRDefault="00D8448F" w:rsidP="00D8448F">
            <w:r>
              <w:t>диплопия.</w:t>
            </w:r>
          </w:p>
        </w:tc>
      </w:tr>
      <w:tr w:rsidR="00D8448F" w14:paraId="2C38681E" w14:textId="77777777" w:rsidTr="00D8448F">
        <w:tc>
          <w:tcPr>
            <w:tcW w:w="4788" w:type="dxa"/>
            <w:vAlign w:val="bottom"/>
          </w:tcPr>
          <w:p w14:paraId="33471BC6" w14:textId="33AA4729" w:rsidR="00D8448F" w:rsidRDefault="00D8448F" w:rsidP="00D8448F">
            <w:r>
              <w:t>Чести</w:t>
            </w:r>
          </w:p>
        </w:tc>
        <w:tc>
          <w:tcPr>
            <w:tcW w:w="4788" w:type="dxa"/>
            <w:vAlign w:val="bottom"/>
          </w:tcPr>
          <w:p w14:paraId="4A013AC5" w14:textId="2678C337" w:rsidR="00D8448F" w:rsidRDefault="00D8448F" w:rsidP="00D8448F">
            <w:r>
              <w:t>замъглено виждане, зрителни нарушения.</w:t>
            </w:r>
          </w:p>
        </w:tc>
      </w:tr>
      <w:tr w:rsidR="00D8448F" w14:paraId="0BA1D97E" w14:textId="77777777" w:rsidTr="00D8448F">
        <w:tc>
          <w:tcPr>
            <w:tcW w:w="9576" w:type="dxa"/>
            <w:gridSpan w:val="2"/>
            <w:vAlign w:val="bottom"/>
          </w:tcPr>
          <w:p w14:paraId="745C1516" w14:textId="1DFF0D42" w:rsidR="00D8448F" w:rsidRDefault="00D8448F" w:rsidP="00D8448F">
            <w:r>
              <w:rPr>
                <w:b/>
                <w:bCs/>
              </w:rPr>
              <w:t>Нарушения на ухото и вътрешното ухо</w:t>
            </w:r>
          </w:p>
        </w:tc>
      </w:tr>
      <w:tr w:rsidR="00D8448F" w14:paraId="06758841" w14:textId="77777777" w:rsidTr="00D8448F">
        <w:tc>
          <w:tcPr>
            <w:tcW w:w="4788" w:type="dxa"/>
            <w:vAlign w:val="bottom"/>
          </w:tcPr>
          <w:p w14:paraId="5B216AD9" w14:textId="04806937" w:rsidR="00D8448F" w:rsidRDefault="00D8448F" w:rsidP="00D8448F">
            <w:r>
              <w:t>Чести</w:t>
            </w:r>
          </w:p>
        </w:tc>
        <w:tc>
          <w:tcPr>
            <w:tcW w:w="4788" w:type="dxa"/>
            <w:vAlign w:val="bottom"/>
          </w:tcPr>
          <w:p w14:paraId="2C0CE9E4" w14:textId="4D510D17" w:rsidR="00D8448F" w:rsidRDefault="00D8448F" w:rsidP="00D8448F">
            <w:r>
              <w:t>световъртеж.</w:t>
            </w:r>
          </w:p>
        </w:tc>
      </w:tr>
      <w:tr w:rsidR="00D8448F" w14:paraId="00046983" w14:textId="77777777" w:rsidTr="00D8448F">
        <w:tc>
          <w:tcPr>
            <w:tcW w:w="4788" w:type="dxa"/>
            <w:vAlign w:val="bottom"/>
          </w:tcPr>
          <w:p w14:paraId="65F8D078" w14:textId="39700858" w:rsidR="00D8448F" w:rsidRDefault="00D8448F" w:rsidP="00D8448F">
            <w:r>
              <w:rPr>
                <w:b/>
                <w:bCs/>
              </w:rPr>
              <w:t>Сърдечни нарушения</w:t>
            </w:r>
          </w:p>
        </w:tc>
        <w:tc>
          <w:tcPr>
            <w:tcW w:w="4788" w:type="dxa"/>
          </w:tcPr>
          <w:p w14:paraId="156287E7" w14:textId="77777777" w:rsidR="00D8448F" w:rsidRDefault="00D8448F" w:rsidP="00D8448F"/>
        </w:tc>
      </w:tr>
      <w:tr w:rsidR="00D8448F" w14:paraId="62DBD2EB" w14:textId="77777777" w:rsidTr="00D8448F">
        <w:tc>
          <w:tcPr>
            <w:tcW w:w="4788" w:type="dxa"/>
            <w:vAlign w:val="bottom"/>
          </w:tcPr>
          <w:p w14:paraId="445069BB" w14:textId="19FCDB68" w:rsidR="00D8448F" w:rsidRDefault="00D8448F" w:rsidP="00D8448F">
            <w:r>
              <w:t>Много редки</w:t>
            </w:r>
          </w:p>
        </w:tc>
        <w:tc>
          <w:tcPr>
            <w:tcW w:w="4788" w:type="dxa"/>
            <w:vAlign w:val="bottom"/>
          </w:tcPr>
          <w:p w14:paraId="5BF50C0A" w14:textId="1479EA8B" w:rsidR="00D8448F" w:rsidRDefault="00D8448F" w:rsidP="00D8448F">
            <w:r>
              <w:t>атриовентрикуларен блок, аритмия,</w:t>
            </w:r>
          </w:p>
        </w:tc>
      </w:tr>
      <w:tr w:rsidR="00D8448F" w14:paraId="39206EA7" w14:textId="77777777" w:rsidTr="00D8448F">
        <w:tc>
          <w:tcPr>
            <w:tcW w:w="9576" w:type="dxa"/>
            <w:gridSpan w:val="2"/>
            <w:vAlign w:val="bottom"/>
          </w:tcPr>
          <w:p w14:paraId="35AFECE9" w14:textId="7DB5148D" w:rsidR="00D8448F" w:rsidRDefault="00D8448F" w:rsidP="00D8448F">
            <w:r>
              <w:rPr>
                <w:b/>
                <w:bCs/>
              </w:rPr>
              <w:t>Съдови нарушения</w:t>
            </w:r>
          </w:p>
        </w:tc>
      </w:tr>
      <w:tr w:rsidR="00D8448F" w14:paraId="7D720DC3" w14:textId="77777777" w:rsidTr="00D8448F">
        <w:tc>
          <w:tcPr>
            <w:tcW w:w="4788" w:type="dxa"/>
            <w:vAlign w:val="bottom"/>
          </w:tcPr>
          <w:p w14:paraId="2C41C580" w14:textId="1C830005" w:rsidR="00D8448F" w:rsidRDefault="00D8448F" w:rsidP="00D8448F">
            <w:r>
              <w:t>Нечести</w:t>
            </w:r>
          </w:p>
        </w:tc>
        <w:tc>
          <w:tcPr>
            <w:tcW w:w="4788" w:type="dxa"/>
            <w:vAlign w:val="bottom"/>
          </w:tcPr>
          <w:p w14:paraId="72428841" w14:textId="68A4765D" w:rsidR="00D8448F" w:rsidRDefault="00D8448F" w:rsidP="00D8448F">
            <w:r>
              <w:t>хипертония.</w:t>
            </w:r>
          </w:p>
        </w:tc>
      </w:tr>
      <w:tr w:rsidR="00D8448F" w14:paraId="2815633F" w14:textId="77777777" w:rsidTr="00D8448F">
        <w:tc>
          <w:tcPr>
            <w:tcW w:w="9576" w:type="dxa"/>
            <w:gridSpan w:val="2"/>
            <w:vAlign w:val="bottom"/>
          </w:tcPr>
          <w:p w14:paraId="200983E3" w14:textId="556FE529" w:rsidR="00D8448F" w:rsidRDefault="00D8448F" w:rsidP="00D8448F">
            <w:r>
              <w:rPr>
                <w:b/>
                <w:bCs/>
              </w:rPr>
              <w:t>Стомашно-чревни нарушения</w:t>
            </w:r>
          </w:p>
        </w:tc>
      </w:tr>
      <w:tr w:rsidR="00D8448F" w14:paraId="1EAFF542" w14:textId="77777777" w:rsidTr="00D8448F">
        <w:tc>
          <w:tcPr>
            <w:tcW w:w="4788" w:type="dxa"/>
            <w:vAlign w:val="bottom"/>
          </w:tcPr>
          <w:p w14:paraId="578D422D" w14:textId="0D4D6748" w:rsidR="00D8448F" w:rsidRDefault="00D8448F" w:rsidP="00D8448F">
            <w:r>
              <w:t>Много чести</w:t>
            </w:r>
          </w:p>
        </w:tc>
        <w:tc>
          <w:tcPr>
            <w:tcW w:w="4788" w:type="dxa"/>
            <w:vAlign w:val="bottom"/>
          </w:tcPr>
          <w:p w14:paraId="61308D77" w14:textId="6D7FEC60" w:rsidR="00D8448F" w:rsidRDefault="00D8448F" w:rsidP="00D8448F">
            <w:r>
              <w:t>повръщане, гадене.</w:t>
            </w:r>
          </w:p>
        </w:tc>
      </w:tr>
      <w:tr w:rsidR="00D8448F" w14:paraId="4037F7A4" w14:textId="77777777" w:rsidTr="00D8448F">
        <w:tc>
          <w:tcPr>
            <w:tcW w:w="4788" w:type="dxa"/>
            <w:vAlign w:val="bottom"/>
          </w:tcPr>
          <w:p w14:paraId="5F60B573" w14:textId="5F9C1A0E" w:rsidR="00D8448F" w:rsidRDefault="00D8448F" w:rsidP="00D8448F">
            <w:r>
              <w:t>Чести</w:t>
            </w:r>
          </w:p>
        </w:tc>
        <w:tc>
          <w:tcPr>
            <w:tcW w:w="4788" w:type="dxa"/>
            <w:vAlign w:val="bottom"/>
          </w:tcPr>
          <w:p w14:paraId="1C1DD9C4" w14:textId="02A07C9B" w:rsidR="00D8448F" w:rsidRDefault="00D8448F" w:rsidP="00D8448F">
            <w:r>
              <w:t>диария, коремна болка, констипация.</w:t>
            </w:r>
          </w:p>
        </w:tc>
      </w:tr>
      <w:tr w:rsidR="00D8448F" w14:paraId="1F2D6D31" w14:textId="77777777" w:rsidTr="00D8448F">
        <w:trPr>
          <w:trHeight w:val="402"/>
        </w:trPr>
        <w:tc>
          <w:tcPr>
            <w:tcW w:w="4788" w:type="dxa"/>
          </w:tcPr>
          <w:p w14:paraId="3E241456" w14:textId="61D900E7" w:rsidR="00D8448F" w:rsidRDefault="00D8448F" w:rsidP="00D8448F">
            <w:r>
              <w:t>Много редки</w:t>
            </w:r>
          </w:p>
        </w:tc>
        <w:tc>
          <w:tcPr>
            <w:tcW w:w="4788" w:type="dxa"/>
            <w:vAlign w:val="bottom"/>
          </w:tcPr>
          <w:p w14:paraId="092D0535" w14:textId="5D047968" w:rsidR="00D8448F" w:rsidRDefault="00D8448F" w:rsidP="00D8448F">
            <w:r>
              <w:t>панкреатит и/или повишение на липазата и/или амилазата.</w:t>
            </w:r>
          </w:p>
        </w:tc>
      </w:tr>
      <w:tr w:rsidR="00D8448F" w14:paraId="4B2FE923" w14:textId="77777777" w:rsidTr="00D8448F">
        <w:tc>
          <w:tcPr>
            <w:tcW w:w="9576" w:type="dxa"/>
            <w:gridSpan w:val="2"/>
          </w:tcPr>
          <w:p w14:paraId="429AE42A" w14:textId="579AC214" w:rsidR="00D8448F" w:rsidRPr="00D8448F" w:rsidRDefault="00D8448F" w:rsidP="00D8448F">
            <w:pPr>
              <w:rPr>
                <w:rFonts w:cs="Arial"/>
              </w:rPr>
            </w:pPr>
            <w:r w:rsidRPr="00D8448F">
              <w:rPr>
                <w:rFonts w:eastAsia="Times New Roman" w:cs="Arial"/>
                <w:b/>
                <w:bCs/>
                <w:color w:val="000000"/>
                <w:lang w:eastAsia="bg-BG"/>
              </w:rPr>
              <w:t>Хепато-билиарнн нарушения</w:t>
            </w:r>
          </w:p>
        </w:tc>
      </w:tr>
      <w:tr w:rsidR="00D8448F" w14:paraId="05D4E5E7" w14:textId="77777777" w:rsidTr="00D8448F">
        <w:tc>
          <w:tcPr>
            <w:tcW w:w="4788" w:type="dxa"/>
          </w:tcPr>
          <w:p w14:paraId="080FC14E" w14:textId="6FF152D1" w:rsidR="00D8448F" w:rsidRDefault="00D8448F" w:rsidP="00D8448F">
            <w:r>
              <w:t>Много редки</w:t>
            </w:r>
          </w:p>
        </w:tc>
        <w:tc>
          <w:tcPr>
            <w:tcW w:w="4788" w:type="dxa"/>
          </w:tcPr>
          <w:p w14:paraId="5F777BCA" w14:textId="5C374A62" w:rsidR="00D8448F" w:rsidRPr="00D8448F" w:rsidRDefault="00D8448F" w:rsidP="00D8448F">
            <w:pPr>
              <w:spacing w:line="240" w:lineRule="auto"/>
              <w:rPr>
                <w:rFonts w:eastAsia="Times New Roman" w:cs="Arial"/>
                <w:sz w:val="24"/>
                <w:szCs w:val="24"/>
              </w:rPr>
            </w:pPr>
            <w:r w:rsidRPr="00D8448F">
              <w:rPr>
                <w:rFonts w:eastAsia="Times New Roman" w:cs="Arial"/>
                <w:color w:val="000000"/>
                <w:lang w:eastAsia="bg-BG"/>
              </w:rPr>
              <w:t>хепатит.</w:t>
            </w:r>
          </w:p>
        </w:tc>
      </w:tr>
      <w:tr w:rsidR="00D8448F" w14:paraId="6B9FCAC9" w14:textId="77777777" w:rsidTr="00D8448F">
        <w:tc>
          <w:tcPr>
            <w:tcW w:w="9576" w:type="dxa"/>
            <w:gridSpan w:val="2"/>
            <w:vAlign w:val="bottom"/>
          </w:tcPr>
          <w:p w14:paraId="1E9C4214" w14:textId="388910AD" w:rsidR="00D8448F" w:rsidRDefault="00D8448F" w:rsidP="00D8448F">
            <w:r>
              <w:rPr>
                <w:b/>
                <w:bCs/>
              </w:rPr>
              <w:t>Нарушения на кожата и подкожните тъкани</w:t>
            </w:r>
          </w:p>
        </w:tc>
      </w:tr>
      <w:tr w:rsidR="00D8448F" w14:paraId="22668C91" w14:textId="77777777" w:rsidTr="00D8448F">
        <w:tc>
          <w:tcPr>
            <w:tcW w:w="4788" w:type="dxa"/>
            <w:vAlign w:val="bottom"/>
          </w:tcPr>
          <w:p w14:paraId="6C3372D5" w14:textId="52434403" w:rsidR="00D8448F" w:rsidRDefault="00D8448F" w:rsidP="00D8448F">
            <w:r>
              <w:lastRenderedPageBreak/>
              <w:t>Чести</w:t>
            </w:r>
          </w:p>
        </w:tc>
        <w:tc>
          <w:tcPr>
            <w:tcW w:w="4788" w:type="dxa"/>
            <w:vAlign w:val="bottom"/>
          </w:tcPr>
          <w:p w14:paraId="0CC9524A" w14:textId="52FF0859" w:rsidR="00D8448F" w:rsidRDefault="00D8448F" w:rsidP="00D8448F">
            <w:r>
              <w:t>обрив, алопеция, акне.</w:t>
            </w:r>
          </w:p>
        </w:tc>
      </w:tr>
      <w:tr w:rsidR="00D8448F" w14:paraId="66E96C4F" w14:textId="77777777" w:rsidTr="00D8448F">
        <w:tc>
          <w:tcPr>
            <w:tcW w:w="4788" w:type="dxa"/>
            <w:vAlign w:val="bottom"/>
          </w:tcPr>
          <w:p w14:paraId="532B6C8B" w14:textId="79950100" w:rsidR="00D8448F" w:rsidRDefault="00D8448F" w:rsidP="00D8448F">
            <w:r>
              <w:t>Нечести</w:t>
            </w:r>
          </w:p>
        </w:tc>
        <w:tc>
          <w:tcPr>
            <w:tcW w:w="4788" w:type="dxa"/>
            <w:vAlign w:val="bottom"/>
          </w:tcPr>
          <w:p w14:paraId="43EFF07B" w14:textId="1CF00EBC" w:rsidR="00D8448F" w:rsidRDefault="00D8448F" w:rsidP="00D8448F">
            <w:r>
              <w:t>уртикария.</w:t>
            </w:r>
          </w:p>
        </w:tc>
      </w:tr>
      <w:tr w:rsidR="00D8448F" w14:paraId="43C0352B" w14:textId="77777777" w:rsidTr="00D8448F">
        <w:tc>
          <w:tcPr>
            <w:tcW w:w="4788" w:type="dxa"/>
          </w:tcPr>
          <w:p w14:paraId="23ECF36F" w14:textId="64546777" w:rsidR="00D8448F" w:rsidRDefault="00D8448F" w:rsidP="00D8448F">
            <w:r>
              <w:t>Редки</w:t>
            </w:r>
          </w:p>
        </w:tc>
        <w:tc>
          <w:tcPr>
            <w:tcW w:w="4788" w:type="dxa"/>
          </w:tcPr>
          <w:p w14:paraId="5443AFE8" w14:textId="7C8F93F7" w:rsidR="00D8448F" w:rsidRPr="00D8448F" w:rsidRDefault="00D8448F" w:rsidP="00D8448F">
            <w:pPr>
              <w:rPr>
                <w:lang w:val="ru-RU"/>
              </w:rPr>
            </w:pPr>
            <w:r>
              <w:t xml:space="preserve">лекарствен обрив с еозинофилия и системни симптоми </w:t>
            </w:r>
            <w:r w:rsidRPr="00D8448F">
              <w:rPr>
                <w:lang w:val="ru-RU"/>
              </w:rPr>
              <w:t>(</w:t>
            </w:r>
            <w:r>
              <w:rPr>
                <w:lang w:val="en-US"/>
              </w:rPr>
              <w:t>DRESS</w:t>
            </w:r>
            <w:r w:rsidRPr="00D8448F">
              <w:rPr>
                <w:lang w:val="ru-RU"/>
              </w:rPr>
              <w:t xml:space="preserve">), </w:t>
            </w:r>
            <w:r>
              <w:t>остра генерализирана</w:t>
            </w:r>
            <w:r w:rsidRPr="00D8448F">
              <w:rPr>
                <w:lang w:val="ru-RU"/>
              </w:rPr>
              <w:t xml:space="preserve"> </w:t>
            </w:r>
            <w:r>
              <w:t xml:space="preserve">екзантемна пустулоза </w:t>
            </w:r>
            <w:r w:rsidRPr="00D8448F">
              <w:rPr>
                <w:lang w:val="ru-RU"/>
              </w:rPr>
              <w:t>(</w:t>
            </w:r>
            <w:r>
              <w:rPr>
                <w:lang w:val="en-US"/>
              </w:rPr>
              <w:t>AGEP</w:t>
            </w:r>
            <w:r w:rsidRPr="00D8448F">
              <w:rPr>
                <w:lang w:val="ru-RU"/>
              </w:rPr>
              <w:t>).</w:t>
            </w:r>
          </w:p>
        </w:tc>
      </w:tr>
      <w:tr w:rsidR="00D8448F" w14:paraId="71F45427" w14:textId="77777777" w:rsidTr="00D8448F">
        <w:tc>
          <w:tcPr>
            <w:tcW w:w="4788" w:type="dxa"/>
          </w:tcPr>
          <w:p w14:paraId="3FC47CF3" w14:textId="151233D9" w:rsidR="00D8448F" w:rsidRDefault="00D8448F" w:rsidP="00D8448F">
            <w:r>
              <w:t>Много редки</w:t>
            </w:r>
          </w:p>
        </w:tc>
        <w:tc>
          <w:tcPr>
            <w:tcW w:w="4788" w:type="dxa"/>
          </w:tcPr>
          <w:p w14:paraId="6FFA574F" w14:textId="7D5CCACF" w:rsidR="00D8448F" w:rsidRDefault="00D8448F" w:rsidP="00D8448F">
            <w:r>
              <w:t xml:space="preserve">синдром на </w:t>
            </w:r>
            <w:r>
              <w:rPr>
                <w:lang w:val="en-US"/>
              </w:rPr>
              <w:t>Stevens</w:t>
            </w:r>
            <w:r w:rsidRPr="00D8448F">
              <w:t>-</w:t>
            </w:r>
            <w:r>
              <w:rPr>
                <w:lang w:val="en-US"/>
              </w:rPr>
              <w:t>Johnson</w:t>
            </w:r>
            <w:r w:rsidRPr="00D8448F">
              <w:t xml:space="preserve">, </w:t>
            </w:r>
            <w:r>
              <w:t xml:space="preserve">гоксична епидермална некролиза (синдром на </w:t>
            </w:r>
            <w:r>
              <w:rPr>
                <w:lang w:val="en-US"/>
              </w:rPr>
              <w:t>Lyell</w:t>
            </w:r>
            <w:r w:rsidRPr="00D8448F">
              <w:t xml:space="preserve">), </w:t>
            </w:r>
            <w:r>
              <w:t xml:space="preserve">ангиоедем, </w:t>
            </w:r>
            <w:r>
              <w:rPr>
                <w:lang w:val="en-US"/>
              </w:rPr>
              <w:t>erythema</w:t>
            </w:r>
            <w:r w:rsidRPr="00D8448F">
              <w:t xml:space="preserve"> </w:t>
            </w:r>
            <w:proofErr w:type="spellStart"/>
            <w:r>
              <w:rPr>
                <w:lang w:val="en-US"/>
              </w:rPr>
              <w:t>multiforme</w:t>
            </w:r>
            <w:proofErr w:type="spellEnd"/>
            <w:r w:rsidRPr="00D8448F">
              <w:t xml:space="preserve"> </w:t>
            </w:r>
            <w:r>
              <w:t>(вж. точка 4.4).</w:t>
            </w:r>
          </w:p>
        </w:tc>
      </w:tr>
      <w:tr w:rsidR="00D8448F" w14:paraId="7D8C4043" w14:textId="77777777" w:rsidTr="00D8448F">
        <w:tc>
          <w:tcPr>
            <w:tcW w:w="9576" w:type="dxa"/>
            <w:gridSpan w:val="2"/>
          </w:tcPr>
          <w:p w14:paraId="42060F78" w14:textId="327727B9" w:rsidR="00D8448F" w:rsidRDefault="00D8448F" w:rsidP="00D8448F">
            <w:r>
              <w:rPr>
                <w:b/>
                <w:bCs/>
              </w:rPr>
              <w:t>Нарушения на мускулно-скелетната система, съединителната тъкан и костите</w:t>
            </w:r>
          </w:p>
        </w:tc>
      </w:tr>
      <w:tr w:rsidR="00D8448F" w14:paraId="62831789" w14:textId="77777777" w:rsidTr="00D8448F">
        <w:tc>
          <w:tcPr>
            <w:tcW w:w="4788" w:type="dxa"/>
          </w:tcPr>
          <w:p w14:paraId="088A4A19" w14:textId="119AD8B4" w:rsidR="00D8448F" w:rsidRDefault="00D8448F" w:rsidP="00D8448F">
            <w:r>
              <w:t>Редки</w:t>
            </w:r>
          </w:p>
        </w:tc>
        <w:tc>
          <w:tcPr>
            <w:tcW w:w="4788" w:type="dxa"/>
          </w:tcPr>
          <w:p w14:paraId="3C494905" w14:textId="7C78235D" w:rsidR="00D8448F" w:rsidRDefault="00D8448F" w:rsidP="00D8448F">
            <w:r>
              <w:t>Има съобщения за намалена минерална плътност на костите, остеопения, остеопороза и фрактури при пациенти на дългосрочна терапия с Трилептал. Механизмът, по който окскарбазепин влияе на костния метаболизъм не е идентифициран.</w:t>
            </w:r>
          </w:p>
        </w:tc>
      </w:tr>
      <w:tr w:rsidR="00D8448F" w14:paraId="1DD6519F" w14:textId="77777777" w:rsidTr="00D8448F">
        <w:tc>
          <w:tcPr>
            <w:tcW w:w="4788" w:type="dxa"/>
          </w:tcPr>
          <w:p w14:paraId="5A2AD0FD" w14:textId="27F1ACE9" w:rsidR="00D8448F" w:rsidRDefault="00D8448F" w:rsidP="00D8448F">
            <w:r>
              <w:t>Много редки</w:t>
            </w:r>
          </w:p>
        </w:tc>
        <w:tc>
          <w:tcPr>
            <w:tcW w:w="4788" w:type="dxa"/>
          </w:tcPr>
          <w:p w14:paraId="37A05B2B" w14:textId="7D831F83" w:rsidR="00D8448F" w:rsidRDefault="00D8448F" w:rsidP="00D8448F">
            <w:r>
              <w:t>системен лупус еритематозус.</w:t>
            </w:r>
          </w:p>
        </w:tc>
      </w:tr>
      <w:tr w:rsidR="00D8448F" w14:paraId="741E37FA" w14:textId="77777777" w:rsidTr="00D8448F">
        <w:tc>
          <w:tcPr>
            <w:tcW w:w="9576" w:type="dxa"/>
            <w:gridSpan w:val="2"/>
          </w:tcPr>
          <w:p w14:paraId="7B7FE26C" w14:textId="19B762B3" w:rsidR="00D8448F" w:rsidRPr="00D8448F" w:rsidRDefault="00D8448F" w:rsidP="00D8448F">
            <w:pPr>
              <w:spacing w:line="240" w:lineRule="auto"/>
              <w:rPr>
                <w:rFonts w:eastAsia="Times New Roman" w:cs="Arial"/>
                <w:sz w:val="24"/>
                <w:szCs w:val="24"/>
              </w:rPr>
            </w:pPr>
            <w:r w:rsidRPr="00D8448F">
              <w:rPr>
                <w:rFonts w:eastAsia="Times New Roman" w:cs="Arial"/>
                <w:b/>
                <w:bCs/>
                <w:color w:val="000000"/>
                <w:lang w:eastAsia="bg-BG"/>
              </w:rPr>
              <w:t>Общи нарушения и ефекти на мястото на прилагане</w:t>
            </w:r>
          </w:p>
        </w:tc>
      </w:tr>
      <w:tr w:rsidR="00D8448F" w14:paraId="678EDF31" w14:textId="77777777" w:rsidTr="00D8448F">
        <w:tc>
          <w:tcPr>
            <w:tcW w:w="4788" w:type="dxa"/>
          </w:tcPr>
          <w:p w14:paraId="46565DA4" w14:textId="66229F87" w:rsidR="00D8448F" w:rsidRDefault="00D8448F" w:rsidP="00D8448F">
            <w:r>
              <w:t>Много чести</w:t>
            </w:r>
          </w:p>
        </w:tc>
        <w:tc>
          <w:tcPr>
            <w:tcW w:w="4788" w:type="dxa"/>
          </w:tcPr>
          <w:p w14:paraId="7A53451A" w14:textId="594EEE5C" w:rsidR="00D8448F" w:rsidRDefault="00D8448F" w:rsidP="00D8448F">
            <w:r>
              <w:t>умора.</w:t>
            </w:r>
          </w:p>
        </w:tc>
      </w:tr>
      <w:tr w:rsidR="00D8448F" w14:paraId="73BA814E" w14:textId="77777777" w:rsidTr="00D8448F">
        <w:tc>
          <w:tcPr>
            <w:tcW w:w="4788" w:type="dxa"/>
          </w:tcPr>
          <w:p w14:paraId="6F15589A" w14:textId="441B23FA" w:rsidR="00D8448F" w:rsidRDefault="00D8448F" w:rsidP="00D8448F">
            <w:r>
              <w:t>Чести</w:t>
            </w:r>
          </w:p>
        </w:tc>
        <w:tc>
          <w:tcPr>
            <w:tcW w:w="4788" w:type="dxa"/>
          </w:tcPr>
          <w:p w14:paraId="20F50B2D" w14:textId="603FFE84" w:rsidR="00D8448F" w:rsidRDefault="00D8448F" w:rsidP="00D8448F">
            <w:r>
              <w:t>астения.</w:t>
            </w:r>
          </w:p>
        </w:tc>
      </w:tr>
      <w:tr w:rsidR="00D8448F" w14:paraId="7879F411" w14:textId="77777777" w:rsidTr="00D8448F">
        <w:tc>
          <w:tcPr>
            <w:tcW w:w="9576" w:type="dxa"/>
            <w:gridSpan w:val="2"/>
          </w:tcPr>
          <w:p w14:paraId="6972E9A3" w14:textId="00AA5449" w:rsidR="00D8448F" w:rsidRPr="00D8448F" w:rsidRDefault="00D8448F" w:rsidP="00D8448F">
            <w:pPr>
              <w:rPr>
                <w:rFonts w:cs="Arial"/>
              </w:rPr>
            </w:pPr>
            <w:r w:rsidRPr="00D8448F">
              <w:rPr>
                <w:rFonts w:eastAsia="Times New Roman" w:cs="Arial"/>
                <w:b/>
                <w:bCs/>
                <w:color w:val="000000"/>
                <w:lang w:eastAsia="bg-BG"/>
              </w:rPr>
              <w:t>Изследвания</w:t>
            </w:r>
          </w:p>
        </w:tc>
      </w:tr>
      <w:tr w:rsidR="00D8448F" w14:paraId="096C2D85" w14:textId="77777777" w:rsidTr="00D8448F">
        <w:tc>
          <w:tcPr>
            <w:tcW w:w="4788" w:type="dxa"/>
          </w:tcPr>
          <w:p w14:paraId="799538EB" w14:textId="5DC85FC6" w:rsidR="00D8448F" w:rsidRDefault="00D8448F" w:rsidP="00D8448F">
            <w:r>
              <w:t>Нечести</w:t>
            </w:r>
          </w:p>
        </w:tc>
        <w:tc>
          <w:tcPr>
            <w:tcW w:w="4788" w:type="dxa"/>
          </w:tcPr>
          <w:p w14:paraId="6CB57C3D" w14:textId="3E678D6D" w:rsidR="00D8448F" w:rsidRDefault="00D8448F" w:rsidP="00D8448F">
            <w:r>
              <w:t>повишение на чернодробните ензими, повишение на алкалната фосфатаза.</w:t>
            </w:r>
          </w:p>
        </w:tc>
      </w:tr>
      <w:tr w:rsidR="00D8448F" w14:paraId="34AC579A" w14:textId="77777777" w:rsidTr="00D8448F">
        <w:tc>
          <w:tcPr>
            <w:tcW w:w="4788" w:type="dxa"/>
          </w:tcPr>
          <w:p w14:paraId="161AF673" w14:textId="6B0F22EB" w:rsidR="00D8448F" w:rsidRDefault="00D8448F" w:rsidP="00D8448F">
            <w:r>
              <w:t>Редки</w:t>
            </w:r>
          </w:p>
        </w:tc>
        <w:tc>
          <w:tcPr>
            <w:tcW w:w="4788" w:type="dxa"/>
          </w:tcPr>
          <w:p w14:paraId="236D56EC" w14:textId="25A96BE3" w:rsidR="00D8448F" w:rsidRDefault="00D8448F" w:rsidP="00D8448F">
            <w:r>
              <w:t>понижение на Т4 (с неясна клинична значимост).</w:t>
            </w:r>
          </w:p>
        </w:tc>
      </w:tr>
      <w:tr w:rsidR="00D8448F" w14:paraId="29394B07" w14:textId="77777777" w:rsidTr="00D8448F">
        <w:tc>
          <w:tcPr>
            <w:tcW w:w="9576" w:type="dxa"/>
            <w:gridSpan w:val="2"/>
          </w:tcPr>
          <w:p w14:paraId="6332A6E3" w14:textId="21EA5754" w:rsidR="00D8448F" w:rsidRPr="00D8448F" w:rsidRDefault="00D8448F" w:rsidP="00D8448F">
            <w:pPr>
              <w:spacing w:line="240" w:lineRule="auto"/>
              <w:rPr>
                <w:rFonts w:eastAsia="Times New Roman" w:cs="Arial"/>
                <w:sz w:val="24"/>
                <w:szCs w:val="24"/>
              </w:rPr>
            </w:pPr>
            <w:r w:rsidRPr="00D8448F">
              <w:rPr>
                <w:rFonts w:eastAsia="Times New Roman" w:cs="Arial"/>
                <w:b/>
                <w:bCs/>
                <w:color w:val="000000"/>
                <w:lang w:eastAsia="bg-BG"/>
              </w:rPr>
              <w:t>Наранявания, отравяне и усложнения, възникнали в резултат на интервенции</w:t>
            </w:r>
          </w:p>
        </w:tc>
      </w:tr>
      <w:tr w:rsidR="00D8448F" w14:paraId="1D70D1C2" w14:textId="77777777" w:rsidTr="00D8448F">
        <w:tc>
          <w:tcPr>
            <w:tcW w:w="4788" w:type="dxa"/>
          </w:tcPr>
          <w:p w14:paraId="5618DCBA" w14:textId="01B912B1" w:rsidR="00D8448F" w:rsidRDefault="00D8448F" w:rsidP="00D8448F">
            <w:r>
              <w:t>Нечести</w:t>
            </w:r>
          </w:p>
        </w:tc>
        <w:tc>
          <w:tcPr>
            <w:tcW w:w="4788" w:type="dxa"/>
          </w:tcPr>
          <w:p w14:paraId="12D8ACFB" w14:textId="340EC4D4" w:rsidR="00D8448F" w:rsidRDefault="00D8448F" w:rsidP="00D8448F">
            <w:r>
              <w:t>падане.</w:t>
            </w:r>
          </w:p>
        </w:tc>
      </w:tr>
    </w:tbl>
    <w:p w14:paraId="641BBB6F" w14:textId="77777777" w:rsidR="00D8448F" w:rsidRDefault="00D8448F" w:rsidP="00D8448F">
      <w:pPr>
        <w:spacing w:line="240" w:lineRule="auto"/>
        <w:rPr>
          <w:rFonts w:ascii="Times New Roman" w:eastAsia="Times New Roman" w:hAnsi="Times New Roman" w:cs="Times New Roman"/>
          <w:color w:val="000000"/>
          <w:u w:val="single"/>
          <w:lang w:eastAsia="bg-BG"/>
        </w:rPr>
      </w:pPr>
    </w:p>
    <w:p w14:paraId="267A71E1" w14:textId="078DC06D" w:rsidR="00D8448F" w:rsidRPr="00D8448F" w:rsidRDefault="00D8448F" w:rsidP="00D8448F">
      <w:pPr>
        <w:spacing w:line="240" w:lineRule="auto"/>
        <w:rPr>
          <w:rFonts w:eastAsia="Times New Roman" w:cs="Arial"/>
        </w:rPr>
      </w:pPr>
      <w:r w:rsidRPr="00D8448F">
        <w:rPr>
          <w:rFonts w:eastAsia="Times New Roman" w:cs="Arial"/>
          <w:color w:val="000000"/>
          <w:u w:val="single"/>
          <w:lang w:eastAsia="bg-BG"/>
        </w:rPr>
        <w:t>Описание на избрани нежелани реакции</w:t>
      </w:r>
    </w:p>
    <w:p w14:paraId="426F7F08" w14:textId="77777777" w:rsidR="00D8448F" w:rsidRPr="00D8448F" w:rsidRDefault="00D8448F" w:rsidP="00D8448F">
      <w:pPr>
        <w:spacing w:line="240" w:lineRule="auto"/>
        <w:rPr>
          <w:rFonts w:eastAsia="Times New Roman" w:cs="Arial"/>
        </w:rPr>
      </w:pPr>
      <w:r w:rsidRPr="00D8448F">
        <w:rPr>
          <w:rFonts w:eastAsia="Times New Roman" w:cs="Arial"/>
          <w:color w:val="000000"/>
          <w:lang w:eastAsia="bg-BG"/>
        </w:rPr>
        <w:t># Свръхчувствителност (включително свръхчувствителност с полиорганно засягане), характеризираща се с обрив или повишена температура. Могат да бъдат засегнати други органи и системи като кръвта и лимфната система (напр. еозинофилия, тромбоцитопения, левкопения, лимфаденопатия, спленомегалия), черен дроб (напр. хепатит, отклонения от нормалните показатели за чернодробна функция), мускули и стави (напр. подуване на ставите, миалгия, артралгия), нервната система (напр. чернодробна енцефалопатия), бъбреците (напр. бъбречна недостатъчност, интерстициален нефрит, протеинурия), белите дробове (напр. белодробен оток, астма, бронхоспазъм, интерстициална белодробна болест, диспнея), ангиоедем.</w:t>
      </w:r>
    </w:p>
    <w:p w14:paraId="03442D99" w14:textId="77777777" w:rsidR="00D8448F" w:rsidRPr="00D8448F" w:rsidRDefault="00D8448F" w:rsidP="00D8448F">
      <w:pPr>
        <w:spacing w:line="240" w:lineRule="auto"/>
        <w:rPr>
          <w:rFonts w:eastAsia="Times New Roman" w:cs="Arial"/>
          <w:color w:val="000000"/>
          <w:lang w:val="ru-RU"/>
        </w:rPr>
      </w:pPr>
    </w:p>
    <w:p w14:paraId="4A693BE2" w14:textId="2B8AB4BB" w:rsidR="00D8448F" w:rsidRPr="00D8448F" w:rsidRDefault="00D8448F" w:rsidP="00D8448F">
      <w:pPr>
        <w:spacing w:line="240" w:lineRule="auto"/>
        <w:rPr>
          <w:rFonts w:eastAsia="Times New Roman" w:cs="Arial"/>
        </w:rPr>
      </w:pPr>
      <w:r w:rsidRPr="00D8448F">
        <w:rPr>
          <w:rFonts w:eastAsia="Times New Roman" w:cs="Arial"/>
          <w:color w:val="000000"/>
          <w:lang w:val="ru-RU"/>
        </w:rPr>
        <w:t xml:space="preserve">+ </w:t>
      </w:r>
      <w:r w:rsidRPr="00D8448F">
        <w:rPr>
          <w:rFonts w:eastAsia="Times New Roman" w:cs="Arial"/>
          <w:color w:val="000000"/>
          <w:lang w:eastAsia="bg-BG"/>
        </w:rPr>
        <w:t xml:space="preserve">Серумни нива </w:t>
      </w:r>
      <w:proofErr w:type="gramStart"/>
      <w:r w:rsidRPr="00D8448F">
        <w:rPr>
          <w:rFonts w:eastAsia="Times New Roman" w:cs="Arial"/>
          <w:color w:val="000000"/>
          <w:lang w:eastAsia="bg-BG"/>
        </w:rPr>
        <w:t>на натрия</w:t>
      </w:r>
      <w:proofErr w:type="gramEnd"/>
      <w:r w:rsidRPr="00D8448F">
        <w:rPr>
          <w:rFonts w:eastAsia="Times New Roman" w:cs="Arial"/>
          <w:color w:val="000000"/>
          <w:lang w:eastAsia="bg-BG"/>
        </w:rPr>
        <w:t xml:space="preserve"> под 125 </w:t>
      </w:r>
      <w:proofErr w:type="spellStart"/>
      <w:r w:rsidRPr="00D8448F">
        <w:rPr>
          <w:rFonts w:eastAsia="Times New Roman" w:cs="Arial"/>
          <w:color w:val="000000"/>
          <w:lang w:val="en-US"/>
        </w:rPr>
        <w:t>mmol</w:t>
      </w:r>
      <w:proofErr w:type="spellEnd"/>
      <w:r w:rsidRPr="00D8448F">
        <w:rPr>
          <w:rFonts w:eastAsia="Times New Roman" w:cs="Arial"/>
          <w:color w:val="000000"/>
          <w:lang w:val="ru-RU"/>
        </w:rPr>
        <w:t xml:space="preserve">/1 </w:t>
      </w:r>
      <w:r w:rsidRPr="00D8448F">
        <w:rPr>
          <w:rFonts w:eastAsia="Times New Roman" w:cs="Arial"/>
          <w:color w:val="000000"/>
          <w:lang w:eastAsia="bg-BG"/>
        </w:rPr>
        <w:t>се наблюдават при до 2,7% от пациентите, лекувани с Трилептал, с честота „чести“ (вж. точка 4.4). В повечето случаи хипонатриемията е асимптоматична и не налага промяна в терапията.</w:t>
      </w:r>
    </w:p>
    <w:p w14:paraId="0D2A51A4" w14:textId="77777777" w:rsidR="00D8448F" w:rsidRPr="00D8448F" w:rsidRDefault="00D8448F" w:rsidP="00D8448F">
      <w:pPr>
        <w:spacing w:line="240" w:lineRule="auto"/>
        <w:rPr>
          <w:rFonts w:eastAsia="Times New Roman" w:cs="Arial"/>
          <w:color w:val="000000"/>
          <w:lang w:eastAsia="bg-BG"/>
        </w:rPr>
      </w:pPr>
    </w:p>
    <w:p w14:paraId="422B2F1C" w14:textId="4A3FD063" w:rsidR="00D8448F" w:rsidRPr="00D8448F" w:rsidRDefault="00D8448F" w:rsidP="00D8448F">
      <w:pPr>
        <w:spacing w:line="240" w:lineRule="auto"/>
        <w:rPr>
          <w:rFonts w:eastAsia="Times New Roman" w:cs="Arial"/>
        </w:rPr>
      </w:pPr>
      <w:r w:rsidRPr="00D8448F">
        <w:rPr>
          <w:rFonts w:eastAsia="Times New Roman" w:cs="Arial"/>
          <w:color w:val="000000"/>
          <w:lang w:eastAsia="bg-BG"/>
        </w:rPr>
        <w:t xml:space="preserve">Много рядко хипонатриемията се свързва с признаци и симптоми като гърчове, енцефалопатия, понижено ниво на съзнание, обърканост, (вж. също “Нарушения на нервната система” за други нежелани ефекти), нарушения на зрението (като замъглено </w:t>
      </w:r>
      <w:r w:rsidRPr="00D8448F">
        <w:rPr>
          <w:rFonts w:eastAsia="Times New Roman" w:cs="Arial"/>
          <w:color w:val="000000"/>
          <w:lang w:eastAsia="bg-BG"/>
        </w:rPr>
        <w:lastRenderedPageBreak/>
        <w:t xml:space="preserve">виждане), хипотиреоидизъм, повръщане и гадене. Ниски серумни нива на натрия като цяло се получават през първите 3 месеца на лечение с Трилептал, въпреки че има пациенти, които развиват за пръв път серумни нива на натрия &lt;125 </w:t>
      </w:r>
      <w:proofErr w:type="spellStart"/>
      <w:r w:rsidRPr="00D8448F">
        <w:rPr>
          <w:rFonts w:eastAsia="Times New Roman" w:cs="Arial"/>
          <w:color w:val="000000"/>
          <w:lang w:val="en-US"/>
        </w:rPr>
        <w:t>mmol</w:t>
      </w:r>
      <w:proofErr w:type="spellEnd"/>
      <w:r w:rsidRPr="00D8448F">
        <w:rPr>
          <w:rFonts w:eastAsia="Times New Roman" w:cs="Arial"/>
          <w:color w:val="000000"/>
          <w:lang w:val="ru-RU"/>
        </w:rPr>
        <w:t xml:space="preserve">/1 </w:t>
      </w:r>
      <w:r w:rsidRPr="00D8448F">
        <w:rPr>
          <w:rFonts w:eastAsia="Times New Roman" w:cs="Arial"/>
          <w:color w:val="000000"/>
          <w:lang w:eastAsia="bg-BG"/>
        </w:rPr>
        <w:t>повече от 1 година след започване на терапията (вж. точка 4.4)</w:t>
      </w:r>
    </w:p>
    <w:p w14:paraId="698263E9" w14:textId="77777777" w:rsidR="00D8448F" w:rsidRPr="00D8448F" w:rsidRDefault="00D8448F" w:rsidP="00D8448F">
      <w:pPr>
        <w:spacing w:line="240" w:lineRule="auto"/>
        <w:rPr>
          <w:rFonts w:eastAsia="Times New Roman" w:cs="Arial"/>
          <w:color w:val="000000"/>
          <w:u w:val="single"/>
          <w:lang w:eastAsia="bg-BG"/>
        </w:rPr>
      </w:pPr>
    </w:p>
    <w:p w14:paraId="0DBB0F21" w14:textId="0A11D76F" w:rsidR="00D8448F" w:rsidRPr="00D8448F" w:rsidRDefault="00D8448F" w:rsidP="00D8448F">
      <w:pPr>
        <w:spacing w:line="240" w:lineRule="auto"/>
        <w:rPr>
          <w:rFonts w:eastAsia="Times New Roman" w:cs="Arial"/>
        </w:rPr>
      </w:pPr>
      <w:r w:rsidRPr="00D8448F">
        <w:rPr>
          <w:rFonts w:eastAsia="Times New Roman" w:cs="Arial"/>
          <w:color w:val="000000"/>
          <w:u w:val="single"/>
          <w:lang w:eastAsia="bg-BG"/>
        </w:rPr>
        <w:t>Педиатрична популация</w:t>
      </w:r>
    </w:p>
    <w:p w14:paraId="5C40232D" w14:textId="77777777" w:rsidR="00D8448F" w:rsidRPr="00D8448F" w:rsidRDefault="00D8448F" w:rsidP="00D8448F">
      <w:pPr>
        <w:spacing w:line="240" w:lineRule="auto"/>
        <w:rPr>
          <w:rFonts w:eastAsia="Times New Roman" w:cs="Arial"/>
        </w:rPr>
      </w:pPr>
      <w:r w:rsidRPr="00D8448F">
        <w:rPr>
          <w:rFonts w:eastAsia="Times New Roman" w:cs="Arial"/>
          <w:color w:val="000000"/>
          <w:lang w:eastAsia="bg-BG"/>
        </w:rPr>
        <w:t>Като цяло, профилът на безопасност при деца е подобен на наблюдавания при възрастната популация (вж. точка 5.1).</w:t>
      </w:r>
    </w:p>
    <w:p w14:paraId="3E16C1B3" w14:textId="77777777" w:rsidR="00D8448F" w:rsidRPr="00D8448F" w:rsidRDefault="00D8448F" w:rsidP="00D8448F">
      <w:pPr>
        <w:spacing w:line="240" w:lineRule="auto"/>
        <w:rPr>
          <w:rFonts w:eastAsia="Times New Roman" w:cs="Arial"/>
          <w:color w:val="000000"/>
          <w:u w:val="single"/>
          <w:lang w:eastAsia="bg-BG"/>
        </w:rPr>
      </w:pPr>
    </w:p>
    <w:p w14:paraId="23926C69" w14:textId="0782C045" w:rsidR="00D8448F" w:rsidRPr="00D8448F" w:rsidRDefault="00D8448F" w:rsidP="00D8448F">
      <w:pPr>
        <w:spacing w:line="240" w:lineRule="auto"/>
        <w:rPr>
          <w:rFonts w:eastAsia="Times New Roman" w:cs="Arial"/>
        </w:rPr>
      </w:pPr>
      <w:r w:rsidRPr="00D8448F">
        <w:rPr>
          <w:rFonts w:eastAsia="Times New Roman" w:cs="Arial"/>
          <w:color w:val="000000"/>
          <w:u w:val="single"/>
          <w:lang w:eastAsia="bg-BG"/>
        </w:rPr>
        <w:t>Съобщаване на подозирани нежелани реакции</w:t>
      </w:r>
    </w:p>
    <w:p w14:paraId="4355C3AC" w14:textId="77777777" w:rsidR="00D8448F" w:rsidRPr="00D8448F" w:rsidRDefault="00D8448F" w:rsidP="00D8448F">
      <w:pPr>
        <w:spacing w:line="240" w:lineRule="auto"/>
        <w:rPr>
          <w:rFonts w:eastAsia="Times New Roman" w:cs="Arial"/>
        </w:rPr>
      </w:pPr>
      <w:r w:rsidRPr="00D8448F">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националния регулаторен орган на адрес:</w:t>
      </w:r>
    </w:p>
    <w:p w14:paraId="351526EA" w14:textId="77777777" w:rsidR="00D8448F" w:rsidRPr="00D8448F" w:rsidRDefault="00D8448F" w:rsidP="00D8448F">
      <w:pPr>
        <w:spacing w:line="240" w:lineRule="auto"/>
        <w:rPr>
          <w:rFonts w:eastAsia="Times New Roman" w:cs="Arial"/>
          <w:b/>
          <w:bCs/>
          <w:color w:val="000000"/>
          <w:lang w:eastAsia="bg-BG"/>
        </w:rPr>
      </w:pPr>
    </w:p>
    <w:p w14:paraId="4C407AEB" w14:textId="0D41EC5B" w:rsidR="00D8448F" w:rsidRPr="00D8448F" w:rsidRDefault="00D8448F" w:rsidP="00D8448F">
      <w:pPr>
        <w:spacing w:line="240" w:lineRule="auto"/>
        <w:rPr>
          <w:rFonts w:eastAsia="Times New Roman" w:cs="Arial"/>
        </w:rPr>
      </w:pPr>
      <w:r w:rsidRPr="00D8448F">
        <w:rPr>
          <w:rFonts w:eastAsia="Times New Roman" w:cs="Arial"/>
          <w:b/>
          <w:bCs/>
          <w:color w:val="000000"/>
          <w:lang w:eastAsia="bg-BG"/>
        </w:rPr>
        <w:t>България</w:t>
      </w:r>
    </w:p>
    <w:p w14:paraId="60B8769D" w14:textId="77777777" w:rsidR="00D8448F" w:rsidRPr="00D8448F" w:rsidRDefault="00D8448F" w:rsidP="00D8448F">
      <w:pPr>
        <w:spacing w:line="240" w:lineRule="auto"/>
        <w:rPr>
          <w:rFonts w:eastAsia="Times New Roman" w:cs="Arial"/>
        </w:rPr>
      </w:pPr>
      <w:r w:rsidRPr="00D8448F">
        <w:rPr>
          <w:rFonts w:eastAsia="Times New Roman" w:cs="Arial"/>
          <w:color w:val="000000"/>
          <w:lang w:eastAsia="bg-BG"/>
        </w:rPr>
        <w:t>Изпълнителна агенция по лекарствата ул. „Дамян Груев” № 8</w:t>
      </w:r>
    </w:p>
    <w:p w14:paraId="1FAB5ECC" w14:textId="77777777" w:rsidR="00D8448F" w:rsidRPr="00D8448F" w:rsidRDefault="00D8448F" w:rsidP="00D8448F">
      <w:pPr>
        <w:spacing w:line="240" w:lineRule="auto"/>
        <w:rPr>
          <w:rFonts w:eastAsia="Times New Roman" w:cs="Arial"/>
        </w:rPr>
      </w:pPr>
      <w:r w:rsidRPr="00D8448F">
        <w:rPr>
          <w:rFonts w:eastAsia="Times New Roman" w:cs="Arial"/>
          <w:color w:val="000000"/>
          <w:lang w:eastAsia="bg-BG"/>
        </w:rPr>
        <w:t>1303 София</w:t>
      </w:r>
    </w:p>
    <w:p w14:paraId="0C6071F5" w14:textId="77777777" w:rsidR="00D8448F" w:rsidRPr="00D8448F" w:rsidRDefault="00D8448F" w:rsidP="00D8448F">
      <w:pPr>
        <w:spacing w:line="240" w:lineRule="auto"/>
        <w:rPr>
          <w:rFonts w:eastAsia="Times New Roman" w:cs="Arial"/>
        </w:rPr>
      </w:pPr>
      <w:r w:rsidRPr="00D8448F">
        <w:rPr>
          <w:rFonts w:eastAsia="Times New Roman" w:cs="Arial"/>
          <w:color w:val="000000"/>
          <w:lang w:eastAsia="bg-BG"/>
        </w:rPr>
        <w:t>Тел.:+359 2 8903417</w:t>
      </w:r>
    </w:p>
    <w:p w14:paraId="6B00802B" w14:textId="77777777" w:rsidR="00D8448F" w:rsidRPr="00D8448F" w:rsidRDefault="00D8448F" w:rsidP="00D8448F">
      <w:pPr>
        <w:spacing w:line="240" w:lineRule="auto"/>
        <w:rPr>
          <w:rFonts w:eastAsia="Times New Roman" w:cs="Arial"/>
        </w:rPr>
      </w:pPr>
      <w:r w:rsidRPr="00D8448F">
        <w:rPr>
          <w:rFonts w:eastAsia="Times New Roman" w:cs="Arial"/>
          <w:color w:val="000000"/>
          <w:lang w:eastAsia="bg-BG"/>
        </w:rPr>
        <w:t xml:space="preserve">уебсайт: </w:t>
      </w:r>
      <w:r w:rsidRPr="00D8448F">
        <w:rPr>
          <w:rFonts w:eastAsia="Times New Roman" w:cs="Arial"/>
        </w:rPr>
        <w:fldChar w:fldCharType="begin"/>
      </w:r>
      <w:r w:rsidRPr="00D8448F">
        <w:rPr>
          <w:rFonts w:eastAsia="Times New Roman" w:cs="Arial"/>
        </w:rPr>
        <w:instrText xml:space="preserve"> HYPERLINK "http://www.bda.bg" </w:instrText>
      </w:r>
      <w:r w:rsidRPr="00D8448F">
        <w:rPr>
          <w:rFonts w:eastAsia="Times New Roman" w:cs="Arial"/>
        </w:rPr>
      </w:r>
      <w:r w:rsidRPr="00D8448F">
        <w:rPr>
          <w:rFonts w:eastAsia="Times New Roman" w:cs="Arial"/>
        </w:rPr>
        <w:fldChar w:fldCharType="separate"/>
      </w:r>
      <w:r w:rsidRPr="00D8448F">
        <w:rPr>
          <w:rFonts w:eastAsia="Times New Roman" w:cs="Arial"/>
          <w:color w:val="000000"/>
          <w:lang w:val="en-US"/>
        </w:rPr>
        <w:t>www</w:t>
      </w:r>
      <w:r w:rsidRPr="00D8448F">
        <w:rPr>
          <w:rFonts w:eastAsia="Times New Roman" w:cs="Arial"/>
          <w:color w:val="000000"/>
          <w:lang w:val="ru-RU"/>
        </w:rPr>
        <w:t>.</w:t>
      </w:r>
      <w:proofErr w:type="spellStart"/>
      <w:r w:rsidRPr="00D8448F">
        <w:rPr>
          <w:rFonts w:eastAsia="Times New Roman" w:cs="Arial"/>
          <w:color w:val="000000"/>
          <w:lang w:val="en-US"/>
        </w:rPr>
        <w:t>bda</w:t>
      </w:r>
      <w:proofErr w:type="spellEnd"/>
      <w:r w:rsidRPr="00D8448F">
        <w:rPr>
          <w:rFonts w:eastAsia="Times New Roman" w:cs="Arial"/>
          <w:color w:val="000000"/>
          <w:lang w:val="ru-RU"/>
        </w:rPr>
        <w:t>.</w:t>
      </w:r>
      <w:proofErr w:type="spellStart"/>
      <w:r w:rsidRPr="00D8448F">
        <w:rPr>
          <w:rFonts w:eastAsia="Times New Roman" w:cs="Arial"/>
          <w:color w:val="000000"/>
          <w:lang w:val="en-US"/>
        </w:rPr>
        <w:t>bg</w:t>
      </w:r>
      <w:proofErr w:type="spellEnd"/>
      <w:r w:rsidRPr="00D8448F">
        <w:rPr>
          <w:rFonts w:eastAsia="Times New Roman" w:cs="Arial"/>
        </w:rPr>
        <w:fldChar w:fldCharType="end"/>
      </w:r>
    </w:p>
    <w:p w14:paraId="5B8EBF0A" w14:textId="77777777" w:rsidR="00D8448F" w:rsidRPr="00D8448F" w:rsidRDefault="00D8448F" w:rsidP="00D8448F"/>
    <w:p w14:paraId="4ED30546" w14:textId="77B4B0A3" w:rsidR="007C605B" w:rsidRDefault="002C50EE" w:rsidP="009F1313">
      <w:pPr>
        <w:pStyle w:val="Heading2"/>
      </w:pPr>
      <w:r>
        <w:t>4.9. Предозиране</w:t>
      </w:r>
    </w:p>
    <w:p w14:paraId="69E9503A" w14:textId="36B7BA61" w:rsidR="00D8448F" w:rsidRDefault="00D8448F" w:rsidP="00D8448F"/>
    <w:p w14:paraId="63F7776B" w14:textId="77777777" w:rsidR="00D8448F" w:rsidRPr="00D8448F" w:rsidRDefault="00D8448F" w:rsidP="00D8448F">
      <w:pPr>
        <w:rPr>
          <w:sz w:val="24"/>
          <w:szCs w:val="24"/>
        </w:rPr>
      </w:pPr>
      <w:r w:rsidRPr="00D8448F">
        <w:rPr>
          <w:lang w:eastAsia="bg-BG"/>
        </w:rPr>
        <w:t xml:space="preserve">Съобщават се отделни случаи на предозиране. Максималната приета доза е приблизително 48 000 </w:t>
      </w:r>
      <w:r w:rsidRPr="00D8448F">
        <w:rPr>
          <w:lang w:val="en-US"/>
        </w:rPr>
        <w:t>mg</w:t>
      </w:r>
      <w:r w:rsidRPr="00D8448F">
        <w:rPr>
          <w:lang w:val="ru-RU"/>
        </w:rPr>
        <w:t xml:space="preserve">. </w:t>
      </w:r>
      <w:r w:rsidRPr="00D8448F">
        <w:rPr>
          <w:lang w:eastAsia="bg-BG"/>
        </w:rPr>
        <w:t xml:space="preserve">Всички пациенти се възстановяват след симптоматично лечение. Симптомите на предозиране включват сомнолентност. замаяност, гадене, повръщане, хиперкинезия, хипонатриемия, атаксия и нистагъм, диплопия, миоза, замъглено зрение, умора, намаляване на дихателната честота, удължаване на </w:t>
      </w:r>
      <w:proofErr w:type="spellStart"/>
      <w:r w:rsidRPr="00D8448F">
        <w:rPr>
          <w:lang w:val="en-US"/>
        </w:rPr>
        <w:t>QTc</w:t>
      </w:r>
      <w:proofErr w:type="spellEnd"/>
      <w:r w:rsidRPr="00D8448F">
        <w:rPr>
          <w:lang w:val="ru-RU"/>
        </w:rPr>
        <w:t xml:space="preserve"> </w:t>
      </w:r>
      <w:r w:rsidRPr="00D8448F">
        <w:rPr>
          <w:lang w:eastAsia="bg-BG"/>
        </w:rPr>
        <w:t>интервала, тремор, нарушения в координацията (анормална координация), конвулсии, главоболие, кома, загуба на съзнание, дискинезия, агресия, тревожност, състояние на обърканост, хипотония, затруднено дишане. Няма специфичен антидот. Трябва да бъде назначено съответното симптоматично и поддържащо лечение. Трябва да се има предвид отстраняване на лекарствения продукт чрез стомашна промивка и/или инактивиране чрез приемане на активен въглен.</w:t>
      </w:r>
    </w:p>
    <w:p w14:paraId="4175F800" w14:textId="77777777" w:rsidR="00D8448F" w:rsidRPr="00D8448F" w:rsidRDefault="00D8448F" w:rsidP="00D8448F"/>
    <w:p w14:paraId="02081B24" w14:textId="1F46E296" w:rsidR="00395555" w:rsidRPr="00395555" w:rsidRDefault="002C50EE" w:rsidP="008A6AF2">
      <w:pPr>
        <w:pStyle w:val="Heading1"/>
      </w:pPr>
      <w:r>
        <w:t>5. ФАРМАКОЛОГИЧНИ СВОЙСТВА</w:t>
      </w:r>
    </w:p>
    <w:p w14:paraId="5350637D" w14:textId="27AD34B7" w:rsidR="00395555" w:rsidRDefault="002C50EE" w:rsidP="008A6AF2">
      <w:pPr>
        <w:pStyle w:val="Heading2"/>
      </w:pPr>
      <w:r>
        <w:t>5.1. Фармакодинамични свойства</w:t>
      </w:r>
    </w:p>
    <w:p w14:paraId="3ACC1916" w14:textId="42EB3B35" w:rsidR="00D8448F" w:rsidRDefault="00D8448F" w:rsidP="00D8448F"/>
    <w:p w14:paraId="396BB2C2" w14:textId="77777777" w:rsidR="00D8448F" w:rsidRPr="00D469BA" w:rsidRDefault="00D8448F" w:rsidP="00D8448F">
      <w:pPr>
        <w:spacing w:line="240" w:lineRule="auto"/>
        <w:rPr>
          <w:rFonts w:eastAsia="Times New Roman" w:cs="Arial"/>
          <w:sz w:val="24"/>
          <w:szCs w:val="24"/>
        </w:rPr>
      </w:pPr>
      <w:r w:rsidRPr="00D469BA">
        <w:rPr>
          <w:rFonts w:eastAsia="Times New Roman" w:cs="Arial"/>
          <w:color w:val="000000"/>
          <w:lang w:eastAsia="bg-BG"/>
        </w:rPr>
        <w:t xml:space="preserve">Фармакотерапевтична група: Антиепилептични средства, АТС код: </w:t>
      </w:r>
      <w:r w:rsidRPr="00D469BA">
        <w:rPr>
          <w:rFonts w:eastAsia="Times New Roman" w:cs="Arial"/>
          <w:color w:val="000000"/>
          <w:lang w:val="en-US"/>
        </w:rPr>
        <w:t>N</w:t>
      </w:r>
      <w:r w:rsidRPr="00D469BA">
        <w:rPr>
          <w:rFonts w:eastAsia="Times New Roman" w:cs="Arial"/>
          <w:color w:val="000000"/>
          <w:lang w:val="ru-RU"/>
        </w:rPr>
        <w:t>03</w:t>
      </w:r>
      <w:r w:rsidRPr="00D469BA">
        <w:rPr>
          <w:rFonts w:eastAsia="Times New Roman" w:cs="Arial"/>
          <w:color w:val="000000"/>
          <w:lang w:val="en-US"/>
        </w:rPr>
        <w:t>A</w:t>
      </w:r>
      <w:r w:rsidRPr="00D469BA">
        <w:rPr>
          <w:rFonts w:eastAsia="Times New Roman" w:cs="Arial"/>
          <w:color w:val="000000"/>
          <w:lang w:val="ru-RU"/>
        </w:rPr>
        <w:t xml:space="preserve"> </w:t>
      </w:r>
      <w:r w:rsidRPr="00D469BA">
        <w:rPr>
          <w:rFonts w:eastAsia="Times New Roman" w:cs="Arial"/>
          <w:color w:val="000000"/>
          <w:lang w:val="en-US"/>
        </w:rPr>
        <w:t>F</w:t>
      </w:r>
      <w:r w:rsidRPr="00D469BA">
        <w:rPr>
          <w:rFonts w:eastAsia="Times New Roman" w:cs="Arial"/>
          <w:color w:val="000000"/>
          <w:lang w:val="ru-RU"/>
        </w:rPr>
        <w:t>02</w:t>
      </w:r>
    </w:p>
    <w:p w14:paraId="19631E29" w14:textId="77777777" w:rsidR="00D8448F" w:rsidRPr="00D469BA" w:rsidRDefault="00D8448F" w:rsidP="00D8448F">
      <w:pPr>
        <w:spacing w:line="240" w:lineRule="auto"/>
        <w:rPr>
          <w:rFonts w:eastAsia="Times New Roman" w:cs="Arial"/>
          <w:color w:val="000000"/>
          <w:u w:val="single"/>
          <w:lang w:eastAsia="bg-BG"/>
        </w:rPr>
      </w:pPr>
    </w:p>
    <w:p w14:paraId="73B592F1" w14:textId="0AC096BA" w:rsidR="00D8448F" w:rsidRPr="00D469BA" w:rsidRDefault="00D8448F" w:rsidP="00D8448F">
      <w:pPr>
        <w:spacing w:line="240" w:lineRule="auto"/>
        <w:rPr>
          <w:rFonts w:eastAsia="Times New Roman" w:cs="Arial"/>
          <w:sz w:val="24"/>
          <w:szCs w:val="24"/>
        </w:rPr>
      </w:pPr>
      <w:r w:rsidRPr="00D469BA">
        <w:rPr>
          <w:rFonts w:eastAsia="Times New Roman" w:cs="Arial"/>
          <w:color w:val="000000"/>
          <w:u w:val="single"/>
          <w:lang w:eastAsia="bg-BG"/>
        </w:rPr>
        <w:t>Механизъм на действие</w:t>
      </w:r>
    </w:p>
    <w:p w14:paraId="17D318EC" w14:textId="77777777" w:rsidR="00D8448F" w:rsidRPr="00D469BA" w:rsidRDefault="00D8448F" w:rsidP="00D8448F">
      <w:pPr>
        <w:spacing w:line="240" w:lineRule="auto"/>
        <w:rPr>
          <w:rFonts w:eastAsia="Times New Roman" w:cs="Arial"/>
          <w:sz w:val="24"/>
          <w:szCs w:val="24"/>
        </w:rPr>
      </w:pPr>
      <w:r w:rsidRPr="00D469BA">
        <w:rPr>
          <w:rFonts w:eastAsia="Times New Roman" w:cs="Arial"/>
          <w:color w:val="000000"/>
          <w:lang w:eastAsia="bg-BG"/>
        </w:rPr>
        <w:t xml:space="preserve">Фармакологичната активност на окскарбазепин се проявява основно чрез неговия метаболит (МХП) (вж. точка 5.2). Приема се, че механизмът на действие на окскарбазепин и МХП се основава главно на блокирането на волтаж-зависимите натриеви канали, което води до стабилизиране на свръхполяризираните мембрани на нервните клетки, инхибиране на повторното невронално активиране и отслабване на предаването </w:t>
      </w:r>
      <w:r w:rsidRPr="00D469BA">
        <w:rPr>
          <w:rFonts w:eastAsia="Times New Roman" w:cs="Arial"/>
          <w:color w:val="000000"/>
          <w:lang w:eastAsia="bg-BG"/>
        </w:rPr>
        <w:lastRenderedPageBreak/>
        <w:t>на синаптичните импулси. Освен това повишената пропускливост за К</w:t>
      </w:r>
      <w:r w:rsidRPr="00D469BA">
        <w:rPr>
          <w:rFonts w:eastAsia="Times New Roman" w:cs="Arial"/>
          <w:color w:val="000000"/>
          <w:vertAlign w:val="superscript"/>
          <w:lang w:eastAsia="bg-BG"/>
        </w:rPr>
        <w:t>+</w:t>
      </w:r>
      <w:r w:rsidRPr="00D469BA">
        <w:rPr>
          <w:rFonts w:eastAsia="Times New Roman" w:cs="Arial"/>
          <w:color w:val="000000"/>
          <w:lang w:eastAsia="bg-BG"/>
        </w:rPr>
        <w:t xml:space="preserve"> йони и модулация на високоволтажните активирани Са</w:t>
      </w:r>
      <w:r w:rsidRPr="00D469BA">
        <w:rPr>
          <w:rFonts w:eastAsia="Times New Roman" w:cs="Arial"/>
          <w:color w:val="000000"/>
          <w:vertAlign w:val="superscript"/>
          <w:lang w:eastAsia="bg-BG"/>
        </w:rPr>
        <w:t>2+</w:t>
      </w:r>
      <w:r w:rsidRPr="00D469BA">
        <w:rPr>
          <w:rFonts w:eastAsia="Times New Roman" w:cs="Arial"/>
          <w:color w:val="000000"/>
          <w:lang w:eastAsia="bg-BG"/>
        </w:rPr>
        <w:t xml:space="preserve"> канали могат също да допринесат за антиконвулсивните ефекти на лекарствения продукт. Не са открити значими взаимодействия с някой мозъчен невромедиатор или с рецепторни модулатори.</w:t>
      </w:r>
    </w:p>
    <w:p w14:paraId="3E492E2A" w14:textId="77777777" w:rsidR="00D8448F" w:rsidRPr="00D469BA" w:rsidRDefault="00D8448F" w:rsidP="00D8448F">
      <w:pPr>
        <w:spacing w:line="240" w:lineRule="auto"/>
        <w:rPr>
          <w:rFonts w:eastAsia="Times New Roman" w:cs="Arial"/>
          <w:color w:val="000000"/>
          <w:u w:val="single"/>
          <w:lang w:eastAsia="bg-BG"/>
        </w:rPr>
      </w:pPr>
    </w:p>
    <w:p w14:paraId="186FC278" w14:textId="0A88D467" w:rsidR="00D8448F" w:rsidRPr="00D469BA" w:rsidRDefault="00D8448F" w:rsidP="00D8448F">
      <w:pPr>
        <w:spacing w:line="240" w:lineRule="auto"/>
        <w:rPr>
          <w:rFonts w:eastAsia="Times New Roman" w:cs="Arial"/>
          <w:sz w:val="24"/>
          <w:szCs w:val="24"/>
        </w:rPr>
      </w:pPr>
      <w:r w:rsidRPr="00D469BA">
        <w:rPr>
          <w:rFonts w:eastAsia="Times New Roman" w:cs="Arial"/>
          <w:color w:val="000000"/>
          <w:u w:val="single"/>
          <w:lang w:eastAsia="bg-BG"/>
        </w:rPr>
        <w:t>Клинична ефикасност и безопасност</w:t>
      </w:r>
    </w:p>
    <w:p w14:paraId="128439EE" w14:textId="77777777" w:rsidR="00D8448F" w:rsidRPr="00D469BA" w:rsidRDefault="00D8448F" w:rsidP="00D8448F">
      <w:pPr>
        <w:spacing w:line="240" w:lineRule="auto"/>
        <w:rPr>
          <w:rFonts w:eastAsia="Times New Roman" w:cs="Arial"/>
          <w:sz w:val="24"/>
          <w:szCs w:val="24"/>
        </w:rPr>
      </w:pPr>
      <w:r w:rsidRPr="00D469BA">
        <w:rPr>
          <w:rFonts w:eastAsia="Times New Roman" w:cs="Arial"/>
          <w:color w:val="000000"/>
          <w:lang w:eastAsia="bg-BG"/>
        </w:rPr>
        <w:t>Окскарбазепин и неговият активен метаболит (МХП) са мощни и ефикасни антиконвулсивни лекарства при животни. Те предпазват гризачите от генерализирани тонично-клонични и, в по- малка степен, от клонични гърчове, и премахват или понижават честотата на хронично рецидивиращи парциални гърчове при резус макаци с алуминиеви имплантанти. Не се наблюдава толерантност (т.е. отслабване на антиконвулсивната активност) към тонично- клоничните гърчове при мишки и плъхове, които са третирани ежедневно в продължение на 5 дни или 4 седмици съответно с окскарбазепин или МХП.</w:t>
      </w:r>
    </w:p>
    <w:p w14:paraId="0467B398" w14:textId="77777777" w:rsidR="00D8448F" w:rsidRPr="00D469BA" w:rsidRDefault="00D8448F" w:rsidP="00D8448F">
      <w:pPr>
        <w:spacing w:line="240" w:lineRule="auto"/>
        <w:rPr>
          <w:rFonts w:eastAsia="Times New Roman" w:cs="Arial"/>
          <w:color w:val="000000"/>
          <w:lang w:eastAsia="bg-BG"/>
        </w:rPr>
      </w:pPr>
    </w:p>
    <w:p w14:paraId="75AF2C1C" w14:textId="430A7CEF" w:rsidR="00D8448F" w:rsidRPr="00D469BA" w:rsidRDefault="00D8448F" w:rsidP="00D8448F">
      <w:pPr>
        <w:spacing w:line="240" w:lineRule="auto"/>
        <w:rPr>
          <w:rFonts w:eastAsia="Times New Roman" w:cs="Arial"/>
          <w:color w:val="000000"/>
          <w:lang w:eastAsia="bg-BG"/>
        </w:rPr>
      </w:pPr>
      <w:r w:rsidRPr="00D469BA">
        <w:rPr>
          <w:rFonts w:eastAsia="Times New Roman" w:cs="Arial"/>
          <w:color w:val="000000"/>
          <w:lang w:eastAsia="bg-BG"/>
        </w:rPr>
        <w:t xml:space="preserve">В Индия е проведено проспективно, открито, многоцентрово, несравнително, 24-седмично обсервационно постмаркетингово проучване. От 816 пациенти в проучването, 256 са педиатрични пациенти (1 месец до 19 години) с генерализирани тонично-клонични гърчове (вторични или първични) са лекувани с окскарбазепин като монотерапия. Началната доза на окскарбазепин при всички пациенти на възраст &gt;6 години е 8-10 </w:t>
      </w:r>
      <w:r w:rsidRPr="00D469BA">
        <w:rPr>
          <w:rFonts w:eastAsia="Times New Roman" w:cs="Arial"/>
          <w:color w:val="000000"/>
          <w:lang w:val="en-US"/>
        </w:rPr>
        <w:t>mg</w:t>
      </w:r>
      <w:r w:rsidRPr="00D469BA">
        <w:rPr>
          <w:rFonts w:eastAsia="Times New Roman" w:cs="Arial"/>
          <w:color w:val="000000"/>
          <w:lang w:val="ru-RU"/>
        </w:rPr>
        <w:t>/</w:t>
      </w:r>
      <w:r w:rsidRPr="00D469BA">
        <w:rPr>
          <w:rFonts w:eastAsia="Times New Roman" w:cs="Arial"/>
          <w:color w:val="000000"/>
          <w:lang w:val="en-US"/>
        </w:rPr>
        <w:t>kg</w:t>
      </w:r>
      <w:r w:rsidRPr="00D469BA">
        <w:rPr>
          <w:rFonts w:eastAsia="Times New Roman" w:cs="Arial"/>
          <w:color w:val="000000"/>
          <w:lang w:eastAsia="bg-BG"/>
        </w:rPr>
        <w:t xml:space="preserve">/ден, приложени в 2 отделни дози. При 27-те участника на възраст от 1 месец до 6 години, дозовият интервал е 4,62-27,27 </w:t>
      </w:r>
      <w:r w:rsidRPr="00D469BA">
        <w:rPr>
          <w:rFonts w:eastAsia="Times New Roman" w:cs="Arial"/>
          <w:color w:val="000000"/>
          <w:lang w:val="en-US"/>
        </w:rPr>
        <w:t>mg</w:t>
      </w:r>
      <w:r w:rsidRPr="00D469BA">
        <w:rPr>
          <w:rFonts w:eastAsia="Times New Roman" w:cs="Arial"/>
          <w:color w:val="000000"/>
          <w:lang w:val="ru-RU"/>
        </w:rPr>
        <w:t>/</w:t>
      </w:r>
      <w:r w:rsidRPr="00D469BA">
        <w:rPr>
          <w:rFonts w:eastAsia="Times New Roman" w:cs="Arial"/>
          <w:color w:val="000000"/>
          <w:lang w:val="en-US"/>
        </w:rPr>
        <w:t>kg</w:t>
      </w:r>
      <w:r w:rsidRPr="00D469BA">
        <w:rPr>
          <w:rFonts w:eastAsia="Times New Roman" w:cs="Arial"/>
          <w:color w:val="000000"/>
          <w:lang w:eastAsia="bg-BG"/>
        </w:rPr>
        <w:t xml:space="preserve">/ден за началната доза и 4,29-30,00 </w:t>
      </w:r>
      <w:r w:rsidRPr="00D469BA">
        <w:rPr>
          <w:rFonts w:eastAsia="Times New Roman" w:cs="Arial"/>
          <w:color w:val="000000"/>
          <w:lang w:val="en-US"/>
        </w:rPr>
        <w:t>mg</w:t>
      </w:r>
      <w:r w:rsidRPr="00D469BA">
        <w:rPr>
          <w:rFonts w:eastAsia="Times New Roman" w:cs="Arial"/>
          <w:color w:val="000000"/>
          <w:lang w:val="ru-RU"/>
        </w:rPr>
        <w:t>/</w:t>
      </w:r>
      <w:r w:rsidRPr="00D469BA">
        <w:rPr>
          <w:rFonts w:eastAsia="Times New Roman" w:cs="Arial"/>
          <w:color w:val="000000"/>
          <w:lang w:val="en-US"/>
        </w:rPr>
        <w:t>kg</w:t>
      </w:r>
      <w:r w:rsidRPr="00D469BA">
        <w:rPr>
          <w:rFonts w:eastAsia="Times New Roman" w:cs="Arial"/>
          <w:color w:val="000000"/>
          <w:lang w:eastAsia="bg-BG"/>
        </w:rPr>
        <w:t>/ден за поддържащата доза.</w:t>
      </w:r>
    </w:p>
    <w:p w14:paraId="554B2E67" w14:textId="3CEB64A4" w:rsidR="00D8448F" w:rsidRPr="00D469BA" w:rsidRDefault="00D8448F" w:rsidP="00D8448F">
      <w:pPr>
        <w:rPr>
          <w:rFonts w:cs="Arial"/>
        </w:rPr>
      </w:pPr>
      <w:r w:rsidRPr="00D469BA">
        <w:rPr>
          <w:rFonts w:eastAsia="Times New Roman" w:cs="Arial"/>
          <w:color w:val="000000"/>
          <w:lang w:eastAsia="bg-BG"/>
        </w:rPr>
        <w:t>Първичната крайна точка е намаляване на честотата на гърчовете на 24-та седмица спрямо изходното ниво. Във възрастовата група от 1 месец до 6 години (</w:t>
      </w:r>
      <w:r w:rsidRPr="00D469BA">
        <w:rPr>
          <w:rFonts w:eastAsia="Times New Roman" w:cs="Arial"/>
          <w:color w:val="000000"/>
          <w:lang w:val="en-US"/>
        </w:rPr>
        <w:t>n</w:t>
      </w:r>
      <w:r w:rsidRPr="00D469BA">
        <w:rPr>
          <w:rFonts w:eastAsia="Times New Roman" w:cs="Arial"/>
          <w:color w:val="000000"/>
          <w:lang w:eastAsia="bg-BG"/>
        </w:rPr>
        <w:t>=27) броят на гърчовете се променя от 1 [интервал] [1-12] на 0 [0-2], във възрастовата група от 7 години до 12 години (</w:t>
      </w:r>
      <w:r w:rsidRPr="00D469BA">
        <w:rPr>
          <w:rFonts w:eastAsia="Times New Roman" w:cs="Arial"/>
          <w:color w:val="000000"/>
          <w:lang w:val="en-US"/>
        </w:rPr>
        <w:t>n</w:t>
      </w:r>
      <w:r w:rsidRPr="00D469BA">
        <w:rPr>
          <w:rFonts w:eastAsia="Times New Roman" w:cs="Arial"/>
          <w:color w:val="000000"/>
          <w:lang w:eastAsia="bg-BG"/>
        </w:rPr>
        <w:t>=77) честотата се променя от 1 [1-22] на 0 [0-1] и във възрастовата група 13-19 години</w:t>
      </w:r>
      <w:r w:rsidRPr="00D469BA">
        <w:rPr>
          <w:rFonts w:eastAsia="Times New Roman" w:cs="Arial"/>
          <w:color w:val="000000"/>
          <w:lang w:val="ru-RU"/>
        </w:rPr>
        <w:t xml:space="preserve"> (</w:t>
      </w:r>
      <w:r w:rsidRPr="00D469BA">
        <w:rPr>
          <w:rFonts w:eastAsia="Times New Roman" w:cs="Arial"/>
          <w:color w:val="000000"/>
          <w:lang w:val="en-US"/>
        </w:rPr>
        <w:t>n</w:t>
      </w:r>
      <w:r w:rsidRPr="00D469BA">
        <w:rPr>
          <w:rFonts w:eastAsia="Times New Roman" w:cs="Arial"/>
          <w:color w:val="000000"/>
          <w:lang w:val="ru-RU"/>
        </w:rPr>
        <w:t xml:space="preserve">=152) </w:t>
      </w:r>
      <w:r w:rsidRPr="00D469BA">
        <w:rPr>
          <w:rFonts w:cs="Arial"/>
        </w:rPr>
        <w:t>честотата се променя от 1 [1-32] на 0 [0-3]. Не са идентифицирани специфични</w:t>
      </w:r>
      <w:r w:rsidRPr="00D469BA">
        <w:rPr>
          <w:rFonts w:cs="Arial"/>
          <w:lang w:val="ru-RU"/>
        </w:rPr>
        <w:t xml:space="preserve"> </w:t>
      </w:r>
      <w:r w:rsidRPr="00D469BA">
        <w:rPr>
          <w:rFonts w:cs="Arial"/>
        </w:rPr>
        <w:t>сигнали</w:t>
      </w:r>
      <w:r w:rsidR="00D469BA" w:rsidRPr="00D469BA">
        <w:rPr>
          <w:rFonts w:cs="Arial"/>
          <w:lang w:val="ru-RU"/>
        </w:rPr>
        <w:t xml:space="preserve"> </w:t>
      </w:r>
      <w:r w:rsidR="00D469BA" w:rsidRPr="00D469BA">
        <w:rPr>
          <w:rFonts w:cs="Arial"/>
        </w:rPr>
        <w:t>свързани с безопасността при педиатричните пациенти. Данните от проучването относно съотношението полза/риск при пациентите под 6-годишна възраст са неубедителни (вж. точка 4.2).</w:t>
      </w:r>
    </w:p>
    <w:p w14:paraId="2D80ACD0" w14:textId="3C727B1C" w:rsidR="00D469BA" w:rsidRPr="00D469BA" w:rsidRDefault="00D469BA" w:rsidP="00D8448F">
      <w:pPr>
        <w:rPr>
          <w:rFonts w:cs="Arial"/>
        </w:rPr>
      </w:pPr>
    </w:p>
    <w:p w14:paraId="6AE2314F" w14:textId="77777777" w:rsidR="00D469BA" w:rsidRPr="00D469BA" w:rsidRDefault="00D469BA" w:rsidP="00D469BA">
      <w:pPr>
        <w:spacing w:line="240" w:lineRule="auto"/>
        <w:rPr>
          <w:rFonts w:eastAsia="Times New Roman" w:cs="Arial"/>
          <w:sz w:val="24"/>
          <w:szCs w:val="24"/>
        </w:rPr>
      </w:pPr>
      <w:r w:rsidRPr="00D469BA">
        <w:rPr>
          <w:rFonts w:eastAsia="Times New Roman" w:cs="Arial"/>
          <w:color w:val="000000"/>
          <w:lang w:eastAsia="bg-BG"/>
        </w:rPr>
        <w:t>Въз основа на данните от рандомизирани, контролирани изпитвания, не се препоръчва употребата на окскарбазепин при деца под 6-годишна възраст, тъй като безопасността и ефикасността му не са доказани в достатъчна степен (вж. точка 4,2).</w:t>
      </w:r>
    </w:p>
    <w:p w14:paraId="3202A574" w14:textId="77777777" w:rsidR="00D469BA" w:rsidRPr="00D469BA" w:rsidRDefault="00D469BA" w:rsidP="00D469BA">
      <w:pPr>
        <w:spacing w:line="240" w:lineRule="auto"/>
        <w:rPr>
          <w:rFonts w:eastAsia="Times New Roman" w:cs="Arial"/>
          <w:color w:val="000000"/>
          <w:u w:val="single"/>
          <w:lang w:eastAsia="bg-BG"/>
        </w:rPr>
      </w:pPr>
    </w:p>
    <w:p w14:paraId="028A85C9" w14:textId="5EC4767E" w:rsidR="00D469BA" w:rsidRPr="00D469BA" w:rsidRDefault="00D469BA" w:rsidP="00D469BA">
      <w:pPr>
        <w:spacing w:line="240" w:lineRule="auto"/>
        <w:rPr>
          <w:rFonts w:eastAsia="Times New Roman" w:cs="Arial"/>
          <w:sz w:val="24"/>
          <w:szCs w:val="24"/>
        </w:rPr>
      </w:pPr>
      <w:r w:rsidRPr="00D469BA">
        <w:rPr>
          <w:rFonts w:eastAsia="Times New Roman" w:cs="Arial"/>
          <w:color w:val="000000"/>
          <w:u w:val="single"/>
          <w:lang w:eastAsia="bg-BG"/>
        </w:rPr>
        <w:t>Педиатрична популация</w:t>
      </w:r>
    </w:p>
    <w:p w14:paraId="173B1AA8" w14:textId="77777777" w:rsidR="00D469BA" w:rsidRPr="00D469BA" w:rsidRDefault="00D469BA" w:rsidP="00D469BA">
      <w:pPr>
        <w:spacing w:line="240" w:lineRule="auto"/>
        <w:rPr>
          <w:rFonts w:eastAsia="Times New Roman" w:cs="Arial"/>
          <w:sz w:val="24"/>
          <w:szCs w:val="24"/>
        </w:rPr>
      </w:pPr>
      <w:r w:rsidRPr="00D469BA">
        <w:rPr>
          <w:rFonts w:eastAsia="Times New Roman" w:cs="Arial"/>
          <w:color w:val="000000"/>
          <w:lang w:eastAsia="bg-BG"/>
        </w:rPr>
        <w:t>Проведени са две рандомизирани, заслепени за оценяващия, дозо-контролирани изпитвания за ефикасността (Изпитване 2339 и Изпитване 2340) при педиатрични пациенти на възраст 1 месец до &lt;17 години (</w:t>
      </w:r>
      <w:r w:rsidRPr="00D469BA">
        <w:rPr>
          <w:rFonts w:eastAsia="Times New Roman" w:cs="Arial"/>
          <w:color w:val="000000"/>
          <w:lang w:val="en-US"/>
        </w:rPr>
        <w:t>n</w:t>
      </w:r>
      <w:r w:rsidRPr="00D469BA">
        <w:rPr>
          <w:rFonts w:eastAsia="Times New Roman" w:cs="Arial"/>
          <w:color w:val="000000"/>
          <w:lang w:eastAsia="bg-BG"/>
        </w:rPr>
        <w:t xml:space="preserve">=31 пациенти на възраст 6 до &lt;17 години; </w:t>
      </w:r>
      <w:r w:rsidRPr="00D469BA">
        <w:rPr>
          <w:rFonts w:eastAsia="Times New Roman" w:cs="Arial"/>
          <w:color w:val="000000"/>
          <w:lang w:val="en-US"/>
        </w:rPr>
        <w:t>n</w:t>
      </w:r>
      <w:r w:rsidRPr="00D469BA">
        <w:rPr>
          <w:rFonts w:eastAsia="Times New Roman" w:cs="Arial"/>
          <w:color w:val="000000"/>
          <w:lang w:val="ru-RU"/>
        </w:rPr>
        <w:t>=</w:t>
      </w:r>
      <w:r w:rsidRPr="00D469BA">
        <w:rPr>
          <w:rFonts w:eastAsia="Times New Roman" w:cs="Arial"/>
          <w:color w:val="000000"/>
          <w:lang w:eastAsia="bg-BG"/>
        </w:rPr>
        <w:t xml:space="preserve">189 пациенти на възраст &lt;6 години). Освен това са проведени няколко открити проучвания, включващи деца. Като цяло, профилът на безопасност на окскарбазепин при малки деца (на възраст &lt;6 години) е подобен на този при по-големи деца (на възраст ≥6 години). Въпреки това, в някои проучвания при по- малки деца (на възраст &lt;4 години) и по-големи деца (на възраст </w:t>
      </w:r>
      <w:r w:rsidRPr="00D469BA">
        <w:rPr>
          <w:rFonts w:eastAsia="Times New Roman" w:cs="Arial"/>
          <w:i/>
          <w:iCs/>
          <w:color w:val="000000"/>
          <w:lang w:eastAsia="bg-BG"/>
        </w:rPr>
        <w:t>≥4</w:t>
      </w:r>
      <w:r w:rsidRPr="00D469BA">
        <w:rPr>
          <w:rFonts w:eastAsia="Times New Roman" w:cs="Arial"/>
          <w:color w:val="000000"/>
          <w:lang w:eastAsia="bg-BG"/>
        </w:rPr>
        <w:t xml:space="preserve"> години) се наблюдава</w:t>
      </w:r>
    </w:p>
    <w:p w14:paraId="517A6012" w14:textId="77777777" w:rsidR="00D469BA" w:rsidRPr="00D469BA" w:rsidRDefault="00D469BA" w:rsidP="00D469BA">
      <w:pPr>
        <w:spacing w:line="240" w:lineRule="auto"/>
        <w:rPr>
          <w:rFonts w:eastAsia="Times New Roman" w:cs="Arial"/>
          <w:sz w:val="24"/>
          <w:szCs w:val="24"/>
        </w:rPr>
      </w:pPr>
      <w:r w:rsidRPr="00D469BA">
        <w:rPr>
          <w:rFonts w:eastAsia="Times New Roman" w:cs="Arial"/>
          <w:color w:val="000000"/>
          <w:lang w:eastAsia="bg-BG"/>
        </w:rPr>
        <w:t>≥5 пъти разлика в процента на пациентите с конвулсии (7,9% срещу съответно 1,0%) и епилептичен статус (5% срещу съответно 1%).</w:t>
      </w:r>
    </w:p>
    <w:p w14:paraId="0EE9A8F5" w14:textId="77777777" w:rsidR="00D469BA" w:rsidRPr="00D469BA" w:rsidRDefault="00D469BA" w:rsidP="00D8448F"/>
    <w:p w14:paraId="26535098" w14:textId="59BD63B4" w:rsidR="00395555" w:rsidRDefault="002C50EE" w:rsidP="008A6AF2">
      <w:pPr>
        <w:pStyle w:val="Heading2"/>
      </w:pPr>
      <w:r>
        <w:t>5.2. Фармакокинетични свойства</w:t>
      </w:r>
    </w:p>
    <w:p w14:paraId="51A6CF2D" w14:textId="0766C293" w:rsidR="00D469BA" w:rsidRDefault="00D469BA" w:rsidP="00D469BA"/>
    <w:p w14:paraId="0C3B9D27" w14:textId="77777777" w:rsidR="00D469BA" w:rsidRPr="00D469BA" w:rsidRDefault="00D469BA" w:rsidP="00D469BA">
      <w:pPr>
        <w:spacing w:line="240" w:lineRule="auto"/>
        <w:rPr>
          <w:rFonts w:eastAsia="Times New Roman" w:cs="Arial"/>
        </w:rPr>
      </w:pPr>
      <w:r w:rsidRPr="00D469BA">
        <w:rPr>
          <w:rFonts w:eastAsia="Times New Roman" w:cs="Arial"/>
          <w:color w:val="000000"/>
          <w:u w:val="single"/>
          <w:lang w:eastAsia="bg-BG"/>
        </w:rPr>
        <w:t>Абсорбция</w:t>
      </w:r>
    </w:p>
    <w:p w14:paraId="6608A952" w14:textId="77777777" w:rsidR="00D469BA" w:rsidRPr="00D469BA" w:rsidRDefault="00D469BA" w:rsidP="00D469BA">
      <w:pPr>
        <w:spacing w:line="240" w:lineRule="auto"/>
        <w:rPr>
          <w:rFonts w:eastAsia="Times New Roman" w:cs="Arial"/>
        </w:rPr>
      </w:pPr>
      <w:r w:rsidRPr="00D469BA">
        <w:rPr>
          <w:rFonts w:eastAsia="Times New Roman" w:cs="Arial"/>
          <w:color w:val="000000"/>
          <w:lang w:eastAsia="bg-BG"/>
        </w:rPr>
        <w:lastRenderedPageBreak/>
        <w:t>След перорално приложение на Трилептал, окскарбазепин напълно се абсорбира и се метаболизира изцяло до неговия фармакологично активен метаболит (МХП).</w:t>
      </w:r>
    </w:p>
    <w:p w14:paraId="7554ABEB" w14:textId="77777777" w:rsidR="00D469BA" w:rsidRPr="00D469BA" w:rsidRDefault="00D469BA" w:rsidP="00D469BA">
      <w:pPr>
        <w:spacing w:line="240" w:lineRule="auto"/>
        <w:rPr>
          <w:rFonts w:eastAsia="Times New Roman" w:cs="Arial"/>
        </w:rPr>
      </w:pPr>
      <w:r w:rsidRPr="00D469BA">
        <w:rPr>
          <w:rFonts w:eastAsia="Times New Roman" w:cs="Arial"/>
          <w:color w:val="000000"/>
          <w:lang w:eastAsia="bg-BG"/>
        </w:rPr>
        <w:t xml:space="preserve">След приложение на единична доза от 600 </w:t>
      </w:r>
      <w:r w:rsidRPr="00D469BA">
        <w:rPr>
          <w:rFonts w:eastAsia="Times New Roman" w:cs="Arial"/>
          <w:color w:val="000000"/>
          <w:lang w:val="en-US"/>
        </w:rPr>
        <w:t>mg</w:t>
      </w:r>
      <w:r w:rsidRPr="00D469BA">
        <w:rPr>
          <w:rFonts w:eastAsia="Times New Roman" w:cs="Arial"/>
          <w:color w:val="000000"/>
          <w:lang w:val="ru-RU"/>
        </w:rPr>
        <w:t xml:space="preserve"> </w:t>
      </w:r>
      <w:r w:rsidRPr="00D469BA">
        <w:rPr>
          <w:rFonts w:eastAsia="Times New Roman" w:cs="Arial"/>
          <w:color w:val="000000"/>
          <w:lang w:eastAsia="bg-BG"/>
        </w:rPr>
        <w:t>Трилептал таблетки при здрави мъже доброволци на гладно, средната стойност на С</w:t>
      </w:r>
      <w:r w:rsidRPr="00D469BA">
        <w:rPr>
          <w:rFonts w:eastAsia="Times New Roman" w:cs="Arial"/>
          <w:color w:val="000000"/>
          <w:vertAlign w:val="subscript"/>
          <w:lang w:val="en-US"/>
        </w:rPr>
        <w:t>max</w:t>
      </w:r>
      <w:r w:rsidRPr="00D469BA">
        <w:rPr>
          <w:rFonts w:eastAsia="Times New Roman" w:cs="Arial"/>
          <w:color w:val="000000"/>
          <w:lang w:eastAsia="bg-BG"/>
        </w:rPr>
        <w:t xml:space="preserve"> на МХП е 34 μ</w:t>
      </w:r>
      <w:proofErr w:type="spellStart"/>
      <w:r w:rsidRPr="00D469BA">
        <w:rPr>
          <w:rFonts w:eastAsia="Times New Roman" w:cs="Arial"/>
          <w:color w:val="000000"/>
          <w:lang w:val="en-US"/>
        </w:rPr>
        <w:t>mol</w:t>
      </w:r>
      <w:proofErr w:type="spellEnd"/>
      <w:r w:rsidRPr="00D469BA">
        <w:rPr>
          <w:rFonts w:eastAsia="Times New Roman" w:cs="Arial"/>
          <w:color w:val="000000"/>
          <w:lang w:val="ru-RU"/>
        </w:rPr>
        <w:t xml:space="preserve">/1, </w:t>
      </w:r>
      <w:r w:rsidRPr="00D469BA">
        <w:rPr>
          <w:rFonts w:eastAsia="Times New Roman" w:cs="Arial"/>
          <w:color w:val="000000"/>
          <w:lang w:eastAsia="bg-BG"/>
        </w:rPr>
        <w:t xml:space="preserve">със съответно средно </w:t>
      </w:r>
      <w:proofErr w:type="spellStart"/>
      <w:r w:rsidRPr="00D469BA">
        <w:rPr>
          <w:rFonts w:eastAsia="Times New Roman" w:cs="Arial"/>
          <w:color w:val="000000"/>
          <w:lang w:val="en-US"/>
        </w:rPr>
        <w:t>t</w:t>
      </w:r>
      <w:r w:rsidRPr="00D469BA">
        <w:rPr>
          <w:rFonts w:eastAsia="Times New Roman" w:cs="Arial"/>
          <w:color w:val="000000"/>
          <w:vertAlign w:val="subscript"/>
          <w:lang w:val="en-US"/>
        </w:rPr>
        <w:t>max</w:t>
      </w:r>
      <w:proofErr w:type="spellEnd"/>
      <w:r w:rsidRPr="00D469BA">
        <w:rPr>
          <w:rFonts w:eastAsia="Times New Roman" w:cs="Arial"/>
          <w:color w:val="000000"/>
          <w:vertAlign w:val="subscript"/>
          <w:lang w:val="ru-RU"/>
        </w:rPr>
        <w:t xml:space="preserve"> </w:t>
      </w:r>
      <w:r w:rsidRPr="00D469BA">
        <w:rPr>
          <w:rFonts w:eastAsia="Times New Roman" w:cs="Arial"/>
          <w:color w:val="000000"/>
          <w:lang w:eastAsia="bg-BG"/>
        </w:rPr>
        <w:t>от 4,5 часа.</w:t>
      </w:r>
    </w:p>
    <w:p w14:paraId="4C543D3F" w14:textId="7CA79EFF" w:rsidR="00D469BA" w:rsidRPr="00D469BA" w:rsidRDefault="00D469BA" w:rsidP="00D469BA">
      <w:pPr>
        <w:spacing w:line="240" w:lineRule="auto"/>
        <w:rPr>
          <w:rFonts w:eastAsia="Times New Roman" w:cs="Arial"/>
        </w:rPr>
      </w:pPr>
      <w:r w:rsidRPr="00D469BA">
        <w:rPr>
          <w:rFonts w:eastAsia="Times New Roman" w:cs="Arial"/>
          <w:color w:val="000000"/>
          <w:lang w:eastAsia="bg-BG"/>
        </w:rPr>
        <w:t xml:space="preserve">След прилагане на единична доза от 600 </w:t>
      </w:r>
      <w:r w:rsidRPr="00D469BA">
        <w:rPr>
          <w:rFonts w:eastAsia="Times New Roman" w:cs="Arial"/>
          <w:color w:val="000000"/>
          <w:lang w:val="en-US"/>
        </w:rPr>
        <w:t>mg</w:t>
      </w:r>
      <w:r w:rsidRPr="00D469BA">
        <w:rPr>
          <w:rFonts w:eastAsia="Times New Roman" w:cs="Arial"/>
          <w:color w:val="000000"/>
          <w:lang w:val="ru-RU"/>
        </w:rPr>
        <w:t xml:space="preserve"> </w:t>
      </w:r>
      <w:r w:rsidRPr="00D469BA">
        <w:rPr>
          <w:rFonts w:eastAsia="Times New Roman" w:cs="Arial"/>
          <w:color w:val="000000"/>
          <w:lang w:eastAsia="bg-BG"/>
        </w:rPr>
        <w:t>Трилептал перорална суспензия при здрави мъже доброволци на гладно, средната С</w:t>
      </w:r>
      <w:r w:rsidRPr="00D469BA">
        <w:rPr>
          <w:rFonts w:eastAsia="Times New Roman" w:cs="Arial"/>
          <w:color w:val="000000"/>
          <w:vertAlign w:val="subscript"/>
          <w:lang w:val="en-US"/>
        </w:rPr>
        <w:t>max</w:t>
      </w:r>
      <w:r w:rsidRPr="00D469BA">
        <w:rPr>
          <w:rFonts w:eastAsia="Times New Roman" w:cs="Arial"/>
          <w:color w:val="000000"/>
          <w:lang w:eastAsia="bg-BG"/>
        </w:rPr>
        <w:t xml:space="preserve"> на МХП е 24,9 μ</w:t>
      </w:r>
      <w:proofErr w:type="spellStart"/>
      <w:r w:rsidRPr="00D469BA">
        <w:rPr>
          <w:rFonts w:eastAsia="Times New Roman" w:cs="Arial"/>
          <w:color w:val="000000"/>
          <w:lang w:val="en-US"/>
        </w:rPr>
        <w:t>mol</w:t>
      </w:r>
      <w:proofErr w:type="spellEnd"/>
      <w:r w:rsidRPr="00D469BA">
        <w:rPr>
          <w:rFonts w:eastAsia="Times New Roman" w:cs="Arial"/>
          <w:color w:val="000000"/>
          <w:lang w:val="ru-RU"/>
        </w:rPr>
        <w:t xml:space="preserve">/1, </w:t>
      </w:r>
      <w:r w:rsidRPr="00D469BA">
        <w:rPr>
          <w:rFonts w:eastAsia="Times New Roman" w:cs="Arial"/>
          <w:color w:val="000000"/>
          <w:lang w:eastAsia="bg-BG"/>
        </w:rPr>
        <w:t xml:space="preserve">със съответно средно </w:t>
      </w:r>
      <w:proofErr w:type="spellStart"/>
      <w:r w:rsidRPr="00D469BA">
        <w:rPr>
          <w:rFonts w:eastAsia="Times New Roman" w:cs="Arial"/>
          <w:color w:val="000000"/>
          <w:lang w:val="en-US"/>
        </w:rPr>
        <w:t>t</w:t>
      </w:r>
      <w:r w:rsidRPr="00D469BA">
        <w:rPr>
          <w:rFonts w:eastAsia="Times New Roman" w:cs="Arial"/>
          <w:color w:val="000000"/>
          <w:vertAlign w:val="subscript"/>
          <w:lang w:val="en-US"/>
        </w:rPr>
        <w:t>max</w:t>
      </w:r>
      <w:proofErr w:type="spellEnd"/>
      <w:r w:rsidRPr="00D469BA">
        <w:rPr>
          <w:rFonts w:eastAsia="Times New Roman" w:cs="Arial"/>
          <w:color w:val="000000"/>
          <w:lang w:val="ru-RU"/>
        </w:rPr>
        <w:t xml:space="preserve"> </w:t>
      </w:r>
      <w:r w:rsidRPr="00D469BA">
        <w:rPr>
          <w:rFonts w:eastAsia="Times New Roman" w:cs="Arial"/>
          <w:color w:val="000000"/>
          <w:lang w:eastAsia="bg-BG"/>
        </w:rPr>
        <w:t xml:space="preserve">от 6 часа. Таблетките и суспензията окскарбазепин са биоеквивалентни, тъй като средното геометрично съотношение (90% доверителен интервал) при единична доза, в стационарно състояние на </w:t>
      </w:r>
      <w:proofErr w:type="spellStart"/>
      <w:r w:rsidRPr="00D469BA">
        <w:rPr>
          <w:rFonts w:eastAsia="Times New Roman" w:cs="Arial"/>
          <w:bCs/>
          <w:color w:val="000000"/>
          <w:lang w:val="en-US" w:eastAsia="bg-BG"/>
        </w:rPr>
        <w:t>C</w:t>
      </w:r>
      <w:r w:rsidRPr="00D469BA">
        <w:rPr>
          <w:rFonts w:eastAsia="Times New Roman" w:cs="Arial"/>
          <w:bCs/>
          <w:color w:val="000000"/>
          <w:vertAlign w:val="subscript"/>
          <w:lang w:val="en-US" w:eastAsia="bg-BG"/>
        </w:rPr>
        <w:t>max</w:t>
      </w:r>
      <w:proofErr w:type="spellEnd"/>
      <w:r w:rsidRPr="00D469BA">
        <w:rPr>
          <w:rFonts w:eastAsia="Times New Roman" w:cs="Arial"/>
          <w:b/>
          <w:bCs/>
          <w:color w:val="000000"/>
          <w:lang w:eastAsia="bg-BG"/>
        </w:rPr>
        <w:t xml:space="preserve"> </w:t>
      </w:r>
      <w:r w:rsidRPr="00D469BA">
        <w:rPr>
          <w:rFonts w:eastAsia="Times New Roman" w:cs="Arial"/>
          <w:color w:val="000000"/>
          <w:lang w:eastAsia="bg-BG"/>
        </w:rPr>
        <w:t xml:space="preserve">и </w:t>
      </w:r>
      <w:r w:rsidRPr="00D469BA">
        <w:rPr>
          <w:rFonts w:eastAsia="Times New Roman" w:cs="Arial"/>
          <w:color w:val="000000"/>
          <w:lang w:val="en-US"/>
        </w:rPr>
        <w:t>AUC</w:t>
      </w:r>
      <w:r w:rsidRPr="00D469BA">
        <w:rPr>
          <w:rFonts w:eastAsia="Times New Roman" w:cs="Arial"/>
          <w:color w:val="000000"/>
          <w:lang w:val="ru-RU"/>
        </w:rPr>
        <w:t xml:space="preserve"> </w:t>
      </w:r>
      <w:r w:rsidRPr="00D469BA">
        <w:rPr>
          <w:rFonts w:eastAsia="Times New Roman" w:cs="Arial"/>
          <w:color w:val="000000"/>
          <w:lang w:eastAsia="bg-BG"/>
        </w:rPr>
        <w:t>на МХП е в диапазона от 0,85 до 1,06.</w:t>
      </w:r>
    </w:p>
    <w:p w14:paraId="56BE82DC" w14:textId="77777777" w:rsidR="00D469BA" w:rsidRPr="00D469BA" w:rsidRDefault="00D469BA" w:rsidP="00D469BA">
      <w:pPr>
        <w:spacing w:line="240" w:lineRule="auto"/>
        <w:rPr>
          <w:rFonts w:eastAsia="Times New Roman" w:cs="Arial"/>
        </w:rPr>
      </w:pPr>
      <w:r w:rsidRPr="00D469BA">
        <w:rPr>
          <w:rFonts w:eastAsia="Times New Roman" w:cs="Arial"/>
          <w:color w:val="000000"/>
          <w:lang w:eastAsia="bg-BG"/>
        </w:rPr>
        <w:t>При изследване на масовото равновесие при мъже, само 2% от общата радиоактивност в плазмата се дължи на непроменения окскарбазепин, приблизително 70% се дължи на МХП, а останалата част се отнася за несъществени вторични метаболити, които бързо се отстраняват. Храната не оказва влияние върху скоростта и степента на абсорбция на окскарбазепин, следователно Трилептал може да бъде приеман със или без храна.</w:t>
      </w:r>
    </w:p>
    <w:p w14:paraId="3B0A3656" w14:textId="77777777" w:rsidR="00D469BA" w:rsidRPr="00D469BA" w:rsidRDefault="00D469BA" w:rsidP="00D469BA">
      <w:pPr>
        <w:spacing w:line="240" w:lineRule="auto"/>
        <w:rPr>
          <w:rFonts w:eastAsia="Times New Roman" w:cs="Arial"/>
          <w:color w:val="000000"/>
          <w:u w:val="single"/>
          <w:lang w:eastAsia="bg-BG"/>
        </w:rPr>
      </w:pPr>
    </w:p>
    <w:p w14:paraId="65AF1E1E" w14:textId="2B822676" w:rsidR="00D469BA" w:rsidRPr="00D469BA" w:rsidRDefault="00D469BA" w:rsidP="00D469BA">
      <w:pPr>
        <w:spacing w:line="240" w:lineRule="auto"/>
        <w:rPr>
          <w:rFonts w:eastAsia="Times New Roman" w:cs="Arial"/>
        </w:rPr>
      </w:pPr>
      <w:r w:rsidRPr="00D469BA">
        <w:rPr>
          <w:rFonts w:eastAsia="Times New Roman" w:cs="Arial"/>
          <w:color w:val="000000"/>
          <w:u w:val="single"/>
          <w:lang w:eastAsia="bg-BG"/>
        </w:rPr>
        <w:t>Разпределение</w:t>
      </w:r>
    </w:p>
    <w:p w14:paraId="0A2349D5" w14:textId="77777777" w:rsidR="00D469BA" w:rsidRPr="00D469BA" w:rsidRDefault="00D469BA" w:rsidP="00D469BA">
      <w:pPr>
        <w:spacing w:line="240" w:lineRule="auto"/>
        <w:rPr>
          <w:rFonts w:eastAsia="Times New Roman" w:cs="Arial"/>
        </w:rPr>
      </w:pPr>
      <w:r w:rsidRPr="00D469BA">
        <w:rPr>
          <w:rFonts w:eastAsia="Times New Roman" w:cs="Arial"/>
          <w:color w:val="000000"/>
          <w:lang w:eastAsia="bg-BG"/>
        </w:rPr>
        <w:t>Привидният обем на разпределение на МХП е 49 литра.</w:t>
      </w:r>
    </w:p>
    <w:p w14:paraId="06D41732" w14:textId="77777777" w:rsidR="00D469BA" w:rsidRPr="00D469BA" w:rsidRDefault="00D469BA" w:rsidP="00D469BA">
      <w:pPr>
        <w:spacing w:line="240" w:lineRule="auto"/>
        <w:rPr>
          <w:rFonts w:eastAsia="Times New Roman" w:cs="Arial"/>
        </w:rPr>
      </w:pPr>
      <w:r w:rsidRPr="00D469BA">
        <w:rPr>
          <w:rFonts w:eastAsia="Times New Roman" w:cs="Arial"/>
          <w:color w:val="000000"/>
          <w:lang w:eastAsia="bg-BG"/>
        </w:rPr>
        <w:t>Приблизително 40% от МХП са свързани със серумни белтъци, предимно албумин. Свързването с белтъците е независимо от серумната концентрация в границите на терапевтичните дози. Окскарбазепин и МХП не се свързват с алфа-1-кисел гликопротеин. Окскарбазепин и МХП преминават плацентата. В един случай неонаталната и майчината концентрации на МХП са сходни.</w:t>
      </w:r>
    </w:p>
    <w:p w14:paraId="0A3B99A6" w14:textId="77777777" w:rsidR="00D469BA" w:rsidRPr="00D469BA" w:rsidRDefault="00D469BA" w:rsidP="00D469BA">
      <w:pPr>
        <w:spacing w:line="240" w:lineRule="auto"/>
        <w:rPr>
          <w:rFonts w:eastAsia="Times New Roman" w:cs="Arial"/>
          <w:color w:val="000000"/>
          <w:u w:val="single"/>
          <w:lang w:eastAsia="bg-BG"/>
        </w:rPr>
      </w:pPr>
    </w:p>
    <w:p w14:paraId="118A9017" w14:textId="5827CEF6" w:rsidR="00D469BA" w:rsidRPr="00D469BA" w:rsidRDefault="00D469BA" w:rsidP="00D469BA">
      <w:pPr>
        <w:spacing w:line="240" w:lineRule="auto"/>
        <w:rPr>
          <w:rFonts w:eastAsia="Times New Roman" w:cs="Arial"/>
        </w:rPr>
      </w:pPr>
      <w:r w:rsidRPr="00D469BA">
        <w:rPr>
          <w:rFonts w:eastAsia="Times New Roman" w:cs="Arial"/>
          <w:color w:val="000000"/>
          <w:u w:val="single"/>
          <w:lang w:eastAsia="bg-BG"/>
        </w:rPr>
        <w:t>Биотрансформация</w:t>
      </w:r>
    </w:p>
    <w:p w14:paraId="0BC67B4E" w14:textId="77777777" w:rsidR="00D469BA" w:rsidRPr="00D469BA" w:rsidRDefault="00D469BA" w:rsidP="00D469BA">
      <w:pPr>
        <w:spacing w:line="240" w:lineRule="auto"/>
        <w:rPr>
          <w:rFonts w:eastAsia="Times New Roman" w:cs="Arial"/>
        </w:rPr>
      </w:pPr>
      <w:r w:rsidRPr="00D469BA">
        <w:rPr>
          <w:rFonts w:eastAsia="Times New Roman" w:cs="Arial"/>
          <w:color w:val="000000"/>
          <w:lang w:eastAsia="bg-BG"/>
        </w:rPr>
        <w:t>Окскарбазепин бързо се редуцира от цитозолните ензими в черния дроб до МХП, което има основно значение за фармакологичния ефект на Трилептал. МХП се метаболизира чрез свързване с глюкуроновата киселина. Малки количества (4% от дозата) се окисляват до фармакологично неактивен метаболит (10,11 -дихидрокси-производно, ДХП).</w:t>
      </w:r>
    </w:p>
    <w:p w14:paraId="03B52A63" w14:textId="77777777" w:rsidR="00D469BA" w:rsidRPr="00D469BA" w:rsidRDefault="00D469BA" w:rsidP="00D469BA">
      <w:pPr>
        <w:spacing w:line="240" w:lineRule="auto"/>
        <w:rPr>
          <w:rFonts w:eastAsia="Times New Roman" w:cs="Arial"/>
          <w:color w:val="000000"/>
          <w:u w:val="single"/>
          <w:lang w:eastAsia="bg-BG"/>
        </w:rPr>
      </w:pPr>
    </w:p>
    <w:p w14:paraId="5875149C" w14:textId="3F56E5A8" w:rsidR="00D469BA" w:rsidRPr="00D469BA" w:rsidRDefault="00D469BA" w:rsidP="00D469BA">
      <w:pPr>
        <w:spacing w:line="240" w:lineRule="auto"/>
        <w:rPr>
          <w:rFonts w:eastAsia="Times New Roman" w:cs="Arial"/>
        </w:rPr>
      </w:pPr>
      <w:r w:rsidRPr="00D469BA">
        <w:rPr>
          <w:rFonts w:eastAsia="Times New Roman" w:cs="Arial"/>
          <w:color w:val="000000"/>
          <w:u w:val="single"/>
          <w:lang w:eastAsia="bg-BG"/>
        </w:rPr>
        <w:t>Елиминиране</w:t>
      </w:r>
    </w:p>
    <w:p w14:paraId="0C4330FC" w14:textId="286DCF90" w:rsidR="00D469BA" w:rsidRPr="00D469BA" w:rsidRDefault="00D469BA" w:rsidP="00D469BA">
      <w:pPr>
        <w:rPr>
          <w:rFonts w:eastAsia="Times New Roman" w:cs="Arial"/>
          <w:color w:val="000000"/>
          <w:lang w:eastAsia="bg-BG"/>
        </w:rPr>
      </w:pPr>
      <w:r w:rsidRPr="00D469BA">
        <w:rPr>
          <w:rFonts w:eastAsia="Times New Roman" w:cs="Arial"/>
          <w:color w:val="000000"/>
          <w:lang w:eastAsia="bg-BG"/>
        </w:rPr>
        <w:t>Окскарбазепин се елиминира от организма главно под формата на метаболити, които се екскретират основно през бъбреците. Повече от 95% от дозата се отделя с урината, като непромененият окскарбазепин е по-малко от 1%. С фецеса се отделят по-малко 48% от приложената доза. Приблизително 80% от дозата се екскретира с урината или под формата на глюкурониди на МХП (49%), или като непроменено МХП (27%), докато неактивното ДХП е около 3%, а конюгатите на окскарбазепин - 13% от дозата.</w:t>
      </w:r>
    </w:p>
    <w:p w14:paraId="17C09E88" w14:textId="538E8B5E" w:rsidR="00D469BA" w:rsidRPr="00D469BA" w:rsidRDefault="00D469BA" w:rsidP="00D469BA">
      <w:pPr>
        <w:rPr>
          <w:rFonts w:eastAsia="Times New Roman" w:cs="Arial"/>
          <w:color w:val="000000"/>
          <w:lang w:eastAsia="bg-BG"/>
        </w:rPr>
      </w:pPr>
    </w:p>
    <w:p w14:paraId="60EAEE25" w14:textId="77777777" w:rsidR="00D469BA" w:rsidRPr="00D469BA" w:rsidRDefault="00D469BA" w:rsidP="00D469BA">
      <w:pPr>
        <w:spacing w:line="240" w:lineRule="auto"/>
        <w:rPr>
          <w:rFonts w:eastAsia="Times New Roman" w:cs="Arial"/>
        </w:rPr>
      </w:pPr>
      <w:r w:rsidRPr="00D469BA">
        <w:rPr>
          <w:rFonts w:eastAsia="Times New Roman" w:cs="Arial"/>
          <w:color w:val="000000"/>
          <w:lang w:eastAsia="bg-BG"/>
        </w:rPr>
        <w:t>Окскарбазепин бързо се елиминира от кръвната плазма със стойности на привидния полуживот между 1,3 и 2,3 часа. Обратно, привидният полуживот на МХП в плазмата е средно 9,3 ± 1,8 часа.</w:t>
      </w:r>
    </w:p>
    <w:p w14:paraId="0C1FE9BE" w14:textId="77777777" w:rsidR="00D469BA" w:rsidRPr="00D469BA" w:rsidRDefault="00D469BA" w:rsidP="00D469BA">
      <w:pPr>
        <w:spacing w:line="240" w:lineRule="auto"/>
        <w:rPr>
          <w:rFonts w:eastAsia="Times New Roman" w:cs="Arial"/>
          <w:color w:val="000000"/>
          <w:u w:val="single"/>
          <w:lang w:eastAsia="bg-BG"/>
        </w:rPr>
      </w:pPr>
    </w:p>
    <w:p w14:paraId="2FBEF62F" w14:textId="230B85FC" w:rsidR="00D469BA" w:rsidRPr="00D469BA" w:rsidRDefault="00D469BA" w:rsidP="00D469BA">
      <w:pPr>
        <w:spacing w:line="240" w:lineRule="auto"/>
        <w:rPr>
          <w:rFonts w:eastAsia="Times New Roman" w:cs="Arial"/>
        </w:rPr>
      </w:pPr>
      <w:r w:rsidRPr="00D469BA">
        <w:rPr>
          <w:rFonts w:eastAsia="Times New Roman" w:cs="Arial"/>
          <w:color w:val="000000"/>
          <w:u w:val="single"/>
          <w:lang w:eastAsia="bg-BG"/>
        </w:rPr>
        <w:t>Пропорционалност на дозите</w:t>
      </w:r>
    </w:p>
    <w:p w14:paraId="4BF72AC9" w14:textId="77777777" w:rsidR="00D469BA" w:rsidRPr="00D469BA" w:rsidRDefault="00D469BA" w:rsidP="00D469BA">
      <w:pPr>
        <w:spacing w:line="240" w:lineRule="auto"/>
        <w:rPr>
          <w:rFonts w:eastAsia="Times New Roman" w:cs="Arial"/>
        </w:rPr>
      </w:pPr>
      <w:r w:rsidRPr="00D469BA">
        <w:rPr>
          <w:rFonts w:eastAsia="Times New Roman" w:cs="Arial"/>
          <w:color w:val="000000"/>
          <w:lang w:eastAsia="bg-BG"/>
        </w:rPr>
        <w:t xml:space="preserve">При пациенти, приемали Трилептал два пъти дневно, равновесните концентрации на МХП в плазмата се достигат в рамките на 2 - 3 дни. В равновесно състояние фармакокинетиката на МХП е линейна и в дозовия обхват между 300 и 2 400 </w:t>
      </w:r>
      <w:r w:rsidRPr="00D469BA">
        <w:rPr>
          <w:rFonts w:eastAsia="Times New Roman" w:cs="Arial"/>
          <w:color w:val="000000"/>
          <w:lang w:val="en-US"/>
        </w:rPr>
        <w:t>mg</w:t>
      </w:r>
      <w:r w:rsidRPr="00D469BA">
        <w:rPr>
          <w:rFonts w:eastAsia="Times New Roman" w:cs="Arial"/>
          <w:color w:val="000000"/>
          <w:lang w:eastAsia="bg-BG"/>
        </w:rPr>
        <w:t>/ден показва пропорционалност на дозите.</w:t>
      </w:r>
    </w:p>
    <w:p w14:paraId="418EEC49" w14:textId="77777777" w:rsidR="00D469BA" w:rsidRPr="00D469BA" w:rsidRDefault="00D469BA" w:rsidP="00D469BA">
      <w:pPr>
        <w:spacing w:line="240" w:lineRule="auto"/>
        <w:rPr>
          <w:rFonts w:eastAsia="Times New Roman" w:cs="Arial"/>
          <w:color w:val="000000"/>
          <w:u w:val="single"/>
          <w:lang w:eastAsia="bg-BG"/>
        </w:rPr>
      </w:pPr>
    </w:p>
    <w:p w14:paraId="64314652" w14:textId="19A3F230" w:rsidR="00D469BA" w:rsidRPr="00D469BA" w:rsidRDefault="00D469BA" w:rsidP="00D469BA">
      <w:pPr>
        <w:spacing w:line="240" w:lineRule="auto"/>
        <w:rPr>
          <w:rFonts w:eastAsia="Times New Roman" w:cs="Arial"/>
        </w:rPr>
      </w:pPr>
      <w:r w:rsidRPr="00D469BA">
        <w:rPr>
          <w:rFonts w:eastAsia="Times New Roman" w:cs="Arial"/>
          <w:color w:val="000000"/>
          <w:u w:val="single"/>
          <w:lang w:eastAsia="bg-BG"/>
        </w:rPr>
        <w:t>Специални групи пациенти</w:t>
      </w:r>
    </w:p>
    <w:p w14:paraId="5163A7CE" w14:textId="550AC7E8" w:rsidR="00D469BA" w:rsidRPr="00D469BA" w:rsidRDefault="00D469BA" w:rsidP="00D469BA">
      <w:pPr>
        <w:spacing w:line="240" w:lineRule="auto"/>
        <w:rPr>
          <w:rFonts w:eastAsia="Times New Roman" w:cs="Arial"/>
        </w:rPr>
      </w:pPr>
      <w:r w:rsidRPr="00D469BA">
        <w:rPr>
          <w:rFonts w:eastAsia="Times New Roman" w:cs="Arial"/>
          <w:i/>
          <w:iCs/>
          <w:color w:val="000000"/>
          <w:lang w:eastAsia="bg-BG"/>
        </w:rPr>
        <w:t>Пациенти с чернодробни увреждания</w:t>
      </w:r>
    </w:p>
    <w:p w14:paraId="772978E0" w14:textId="77777777" w:rsidR="00D469BA" w:rsidRPr="00D469BA" w:rsidRDefault="00D469BA" w:rsidP="00D469BA">
      <w:pPr>
        <w:spacing w:line="240" w:lineRule="auto"/>
        <w:rPr>
          <w:rFonts w:eastAsia="Times New Roman" w:cs="Arial"/>
        </w:rPr>
      </w:pPr>
      <w:r w:rsidRPr="00D469BA">
        <w:rPr>
          <w:rFonts w:eastAsia="Times New Roman" w:cs="Arial"/>
          <w:color w:val="000000"/>
          <w:lang w:eastAsia="bg-BG"/>
        </w:rPr>
        <w:lastRenderedPageBreak/>
        <w:t xml:space="preserve">Фармакокинетичните свойства и метаболизмът на окскарбазепин и МХП са оценени при здрави доброволци и хора с чернодробни увреждания след прилагане на единична перорална доза от 900 </w:t>
      </w:r>
      <w:r w:rsidRPr="00D469BA">
        <w:rPr>
          <w:rFonts w:eastAsia="Times New Roman" w:cs="Arial"/>
          <w:color w:val="000000"/>
          <w:lang w:val="en-US"/>
        </w:rPr>
        <w:t>mg</w:t>
      </w:r>
      <w:r w:rsidRPr="00D469BA">
        <w:rPr>
          <w:rFonts w:eastAsia="Times New Roman" w:cs="Arial"/>
          <w:color w:val="000000"/>
          <w:lang w:val="ru-RU"/>
        </w:rPr>
        <w:t xml:space="preserve">. </w:t>
      </w:r>
      <w:r w:rsidRPr="00D469BA">
        <w:rPr>
          <w:rFonts w:eastAsia="Times New Roman" w:cs="Arial"/>
          <w:color w:val="000000"/>
          <w:lang w:eastAsia="bg-BG"/>
        </w:rPr>
        <w:t>Леките до умерени чернодробни увреждания не повлияват фармакокинетиката на окскарбазепин и МХП. Трилептал не е изследван при пациенти с тежки чернодробни увреждания.</w:t>
      </w:r>
    </w:p>
    <w:p w14:paraId="5F10C3BB" w14:textId="77777777" w:rsidR="00D469BA" w:rsidRPr="00D469BA" w:rsidRDefault="00D469BA" w:rsidP="00D469BA">
      <w:pPr>
        <w:spacing w:line="240" w:lineRule="auto"/>
        <w:rPr>
          <w:rFonts w:eastAsia="Times New Roman" w:cs="Arial"/>
          <w:i/>
          <w:iCs/>
          <w:color w:val="000000"/>
          <w:lang w:eastAsia="bg-BG"/>
        </w:rPr>
      </w:pPr>
    </w:p>
    <w:p w14:paraId="0D0F30EC" w14:textId="2580F3AC" w:rsidR="00D469BA" w:rsidRPr="00D469BA" w:rsidRDefault="00D469BA" w:rsidP="00D469BA">
      <w:pPr>
        <w:spacing w:line="240" w:lineRule="auto"/>
        <w:rPr>
          <w:rFonts w:eastAsia="Times New Roman" w:cs="Arial"/>
        </w:rPr>
      </w:pPr>
      <w:r w:rsidRPr="00D469BA">
        <w:rPr>
          <w:rFonts w:eastAsia="Times New Roman" w:cs="Arial"/>
          <w:i/>
          <w:iCs/>
          <w:color w:val="000000"/>
          <w:lang w:eastAsia="bg-BG"/>
        </w:rPr>
        <w:t>Пациенти с бъбречни увреждания</w:t>
      </w:r>
    </w:p>
    <w:p w14:paraId="1AD497D7" w14:textId="77777777" w:rsidR="00D469BA" w:rsidRPr="00D469BA" w:rsidRDefault="00D469BA" w:rsidP="00D469BA">
      <w:pPr>
        <w:spacing w:line="240" w:lineRule="auto"/>
        <w:rPr>
          <w:rFonts w:eastAsia="Times New Roman" w:cs="Arial"/>
        </w:rPr>
      </w:pPr>
      <w:r w:rsidRPr="00D469BA">
        <w:rPr>
          <w:rFonts w:eastAsia="Times New Roman" w:cs="Arial"/>
          <w:color w:val="000000"/>
          <w:lang w:eastAsia="bg-BG"/>
        </w:rPr>
        <w:t xml:space="preserve">Съществува линейна зависимост между креатининовия клирънс и бъбречния клирънс на МХП. При прилагане на единична доза от 300 </w:t>
      </w:r>
      <w:r w:rsidRPr="00D469BA">
        <w:rPr>
          <w:rFonts w:eastAsia="Times New Roman" w:cs="Arial"/>
          <w:color w:val="000000"/>
          <w:lang w:val="en-US"/>
        </w:rPr>
        <w:t>mg</w:t>
      </w:r>
      <w:r w:rsidRPr="00D469BA">
        <w:rPr>
          <w:rFonts w:eastAsia="Times New Roman" w:cs="Arial"/>
          <w:color w:val="000000"/>
          <w:lang w:val="ru-RU"/>
        </w:rPr>
        <w:t xml:space="preserve"> </w:t>
      </w:r>
      <w:r w:rsidRPr="00D469BA">
        <w:rPr>
          <w:rFonts w:eastAsia="Times New Roman" w:cs="Arial"/>
          <w:color w:val="000000"/>
          <w:lang w:eastAsia="bg-BG"/>
        </w:rPr>
        <w:t xml:space="preserve">Трилептал на пациенти с бъбречни увреждания (креатининов клирънс &lt; 30 </w:t>
      </w:r>
      <w:r w:rsidRPr="00D469BA">
        <w:rPr>
          <w:rFonts w:eastAsia="Times New Roman" w:cs="Arial"/>
          <w:color w:val="000000"/>
          <w:lang w:val="en-US"/>
        </w:rPr>
        <w:t>ml</w:t>
      </w:r>
      <w:r w:rsidRPr="00D469BA">
        <w:rPr>
          <w:rFonts w:eastAsia="Times New Roman" w:cs="Arial"/>
          <w:color w:val="000000"/>
          <w:lang w:eastAsia="bg-BG"/>
        </w:rPr>
        <w:t xml:space="preserve">/мин), времето на полуживот на МХП се удължава с 60-90% (16 до 19 часа), с двукратно повишение на </w:t>
      </w:r>
      <w:r w:rsidRPr="00D469BA">
        <w:rPr>
          <w:rFonts w:eastAsia="Times New Roman" w:cs="Arial"/>
          <w:color w:val="000000"/>
          <w:lang w:val="en-US"/>
        </w:rPr>
        <w:t>AUC</w:t>
      </w:r>
      <w:r w:rsidRPr="00D469BA">
        <w:rPr>
          <w:rFonts w:eastAsia="Times New Roman" w:cs="Arial"/>
          <w:color w:val="000000"/>
          <w:lang w:val="ru-RU"/>
        </w:rPr>
        <w:t xml:space="preserve"> </w:t>
      </w:r>
      <w:r w:rsidRPr="00D469BA">
        <w:rPr>
          <w:rFonts w:eastAsia="Times New Roman" w:cs="Arial"/>
          <w:color w:val="000000"/>
          <w:lang w:eastAsia="bg-BG"/>
        </w:rPr>
        <w:t>в сравнение с възрастни с нормална бъбречна функция (10 часа).</w:t>
      </w:r>
    </w:p>
    <w:p w14:paraId="38A8242F" w14:textId="77777777" w:rsidR="00D469BA" w:rsidRPr="00D469BA" w:rsidRDefault="00D469BA" w:rsidP="00D469BA">
      <w:pPr>
        <w:spacing w:line="240" w:lineRule="auto"/>
        <w:rPr>
          <w:rFonts w:eastAsia="Times New Roman" w:cs="Arial"/>
          <w:i/>
          <w:iCs/>
          <w:color w:val="000000"/>
          <w:lang w:eastAsia="bg-BG"/>
        </w:rPr>
      </w:pPr>
    </w:p>
    <w:p w14:paraId="68D1DF3B" w14:textId="1F87D2A1" w:rsidR="00D469BA" w:rsidRPr="00D469BA" w:rsidRDefault="00D469BA" w:rsidP="00D469BA">
      <w:pPr>
        <w:spacing w:line="240" w:lineRule="auto"/>
        <w:rPr>
          <w:rFonts w:eastAsia="Times New Roman" w:cs="Arial"/>
        </w:rPr>
      </w:pPr>
      <w:r w:rsidRPr="00D469BA">
        <w:rPr>
          <w:rFonts w:eastAsia="Times New Roman" w:cs="Arial"/>
          <w:i/>
          <w:iCs/>
          <w:color w:val="000000"/>
          <w:lang w:eastAsia="bg-BG"/>
        </w:rPr>
        <w:t>Педиатрична популация</w:t>
      </w:r>
    </w:p>
    <w:p w14:paraId="566DC940" w14:textId="77777777" w:rsidR="00D469BA" w:rsidRPr="00D469BA" w:rsidRDefault="00D469BA" w:rsidP="00D469BA">
      <w:pPr>
        <w:spacing w:line="240" w:lineRule="auto"/>
        <w:rPr>
          <w:rFonts w:eastAsia="Times New Roman" w:cs="Arial"/>
        </w:rPr>
      </w:pPr>
      <w:r w:rsidRPr="00D469BA">
        <w:rPr>
          <w:rFonts w:eastAsia="Times New Roman" w:cs="Arial"/>
          <w:color w:val="000000"/>
          <w:lang w:eastAsia="bg-BG"/>
        </w:rPr>
        <w:t xml:space="preserve">Фармакокинетиката на Трилептал е изследвана в клинични изпитвания при педиатрични пациенти, приемащи Трилептал в дози 10-60 </w:t>
      </w:r>
      <w:r w:rsidRPr="00D469BA">
        <w:rPr>
          <w:rFonts w:eastAsia="Times New Roman" w:cs="Arial"/>
          <w:color w:val="000000"/>
          <w:lang w:val="en-US"/>
        </w:rPr>
        <w:t>mg</w:t>
      </w:r>
      <w:r w:rsidRPr="00D469BA">
        <w:rPr>
          <w:rFonts w:eastAsia="Times New Roman" w:cs="Arial"/>
          <w:color w:val="000000"/>
          <w:lang w:val="ru-RU"/>
        </w:rPr>
        <w:t>/</w:t>
      </w:r>
      <w:r w:rsidRPr="00D469BA">
        <w:rPr>
          <w:rFonts w:eastAsia="Times New Roman" w:cs="Arial"/>
          <w:color w:val="000000"/>
          <w:lang w:val="en-US"/>
        </w:rPr>
        <w:t>kg</w:t>
      </w:r>
      <w:r w:rsidRPr="00D469BA">
        <w:rPr>
          <w:rFonts w:eastAsia="Times New Roman" w:cs="Arial"/>
          <w:color w:val="000000"/>
          <w:lang w:eastAsia="bg-BG"/>
        </w:rPr>
        <w:t>/ден. Коригираният според теглото клирънс на МХП се понижава с нарастване на възрастта и теглото, приближавайки се до този за възрастни. Средният коригиран според теглото клирънс при деца на възраст от 4 до 12 години е приблизително с 40% по-висок от този при възрастни. Следователно експозицията на МХП при тези деца се очаква да е около две трети от тази за възрастни при лечение със сходна преизчислена според теглото доза. С повишаване на теглото при пациенти на възраст над 13 години преизчисленият според теглото клирънс на МХП се очаква да достигне този при възрастни.</w:t>
      </w:r>
    </w:p>
    <w:p w14:paraId="25935099" w14:textId="77777777" w:rsidR="00D469BA" w:rsidRPr="00D469BA" w:rsidRDefault="00D469BA" w:rsidP="00D469BA">
      <w:pPr>
        <w:spacing w:line="240" w:lineRule="auto"/>
        <w:rPr>
          <w:rFonts w:eastAsia="Times New Roman" w:cs="Arial"/>
          <w:i/>
          <w:iCs/>
          <w:color w:val="000000"/>
          <w:lang w:eastAsia="bg-BG"/>
        </w:rPr>
      </w:pPr>
    </w:p>
    <w:p w14:paraId="4CCE8EE4" w14:textId="1C167BAD" w:rsidR="00D469BA" w:rsidRPr="00D469BA" w:rsidRDefault="00D469BA" w:rsidP="00D469BA">
      <w:pPr>
        <w:spacing w:line="240" w:lineRule="auto"/>
        <w:rPr>
          <w:rFonts w:eastAsia="Times New Roman" w:cs="Arial"/>
        </w:rPr>
      </w:pPr>
      <w:r w:rsidRPr="00D469BA">
        <w:rPr>
          <w:rFonts w:eastAsia="Times New Roman" w:cs="Arial"/>
          <w:i/>
          <w:iCs/>
          <w:color w:val="000000"/>
          <w:lang w:eastAsia="bg-BG"/>
        </w:rPr>
        <w:t>Бременност</w:t>
      </w:r>
    </w:p>
    <w:p w14:paraId="2B4C9739" w14:textId="77777777" w:rsidR="00D469BA" w:rsidRPr="00D469BA" w:rsidRDefault="00D469BA" w:rsidP="00D469BA">
      <w:pPr>
        <w:spacing w:line="240" w:lineRule="auto"/>
        <w:rPr>
          <w:rFonts w:eastAsia="Times New Roman" w:cs="Arial"/>
        </w:rPr>
      </w:pPr>
      <w:r w:rsidRPr="00D469BA">
        <w:rPr>
          <w:rFonts w:eastAsia="Times New Roman" w:cs="Arial"/>
          <w:color w:val="000000"/>
          <w:lang w:eastAsia="bg-BG"/>
        </w:rPr>
        <w:t>Поради физиологичните промени по време на бременността е възможно в хода на бременността да настъпи постепенно понижаване на плазмените нива на МХП (вж. точка 4.2 и 4.6).</w:t>
      </w:r>
    </w:p>
    <w:p w14:paraId="68C65778" w14:textId="77777777" w:rsidR="00D469BA" w:rsidRPr="00D469BA" w:rsidRDefault="00D469BA" w:rsidP="00D469BA">
      <w:pPr>
        <w:spacing w:line="240" w:lineRule="auto"/>
        <w:rPr>
          <w:rFonts w:eastAsia="Times New Roman" w:cs="Arial"/>
          <w:i/>
          <w:iCs/>
          <w:color w:val="000000"/>
          <w:lang w:eastAsia="bg-BG"/>
        </w:rPr>
      </w:pPr>
    </w:p>
    <w:p w14:paraId="345229BE" w14:textId="34E8F9DD" w:rsidR="00D469BA" w:rsidRPr="00D469BA" w:rsidRDefault="00D469BA" w:rsidP="00D469BA">
      <w:pPr>
        <w:spacing w:line="240" w:lineRule="auto"/>
        <w:rPr>
          <w:rFonts w:eastAsia="Times New Roman" w:cs="Arial"/>
        </w:rPr>
      </w:pPr>
      <w:r w:rsidRPr="00D469BA">
        <w:rPr>
          <w:rFonts w:eastAsia="Times New Roman" w:cs="Arial"/>
          <w:i/>
          <w:iCs/>
          <w:color w:val="000000"/>
          <w:lang w:eastAsia="bg-BG"/>
        </w:rPr>
        <w:t>Пациенти в старческа възраст</w:t>
      </w:r>
    </w:p>
    <w:p w14:paraId="4F18352A" w14:textId="77777777" w:rsidR="00D469BA" w:rsidRPr="00D469BA" w:rsidRDefault="00D469BA" w:rsidP="00D469BA">
      <w:pPr>
        <w:spacing w:line="240" w:lineRule="auto"/>
        <w:rPr>
          <w:rFonts w:eastAsia="Times New Roman" w:cs="Arial"/>
        </w:rPr>
      </w:pPr>
      <w:r w:rsidRPr="00D469BA">
        <w:rPr>
          <w:rFonts w:eastAsia="Times New Roman" w:cs="Arial"/>
          <w:color w:val="000000"/>
          <w:lang w:eastAsia="bg-BG"/>
        </w:rPr>
        <w:t xml:space="preserve">След приложение на единична (300 </w:t>
      </w:r>
      <w:r w:rsidRPr="00D469BA">
        <w:rPr>
          <w:rFonts w:eastAsia="Times New Roman" w:cs="Arial"/>
          <w:color w:val="000000"/>
          <w:lang w:val="en-US"/>
        </w:rPr>
        <w:t>mg</w:t>
      </w:r>
      <w:r w:rsidRPr="00D469BA">
        <w:rPr>
          <w:rFonts w:eastAsia="Times New Roman" w:cs="Arial"/>
          <w:color w:val="000000"/>
          <w:lang w:val="ru-RU"/>
        </w:rPr>
        <w:t xml:space="preserve">) </w:t>
      </w:r>
      <w:r w:rsidRPr="00D469BA">
        <w:rPr>
          <w:rFonts w:eastAsia="Times New Roman" w:cs="Arial"/>
          <w:color w:val="000000"/>
          <w:lang w:eastAsia="bg-BG"/>
        </w:rPr>
        <w:t xml:space="preserve">или многократни дози (600 </w:t>
      </w:r>
      <w:r w:rsidRPr="00D469BA">
        <w:rPr>
          <w:rFonts w:eastAsia="Times New Roman" w:cs="Arial"/>
          <w:color w:val="000000"/>
          <w:lang w:val="en-US"/>
        </w:rPr>
        <w:t>mg</w:t>
      </w:r>
      <w:r w:rsidRPr="00D469BA">
        <w:rPr>
          <w:rFonts w:eastAsia="Times New Roman" w:cs="Arial"/>
          <w:color w:val="000000"/>
          <w:lang w:eastAsia="bg-BG"/>
        </w:rPr>
        <w:t xml:space="preserve">/ден) Трилептал при доброволци в старческа възраст (60 - 82 години), максималните плазмени концентрации и стойностите на </w:t>
      </w:r>
      <w:r w:rsidRPr="00D469BA">
        <w:rPr>
          <w:rFonts w:eastAsia="Times New Roman" w:cs="Arial"/>
          <w:color w:val="000000"/>
          <w:lang w:val="en-US"/>
        </w:rPr>
        <w:t>AUC</w:t>
      </w:r>
      <w:r w:rsidRPr="00D469BA">
        <w:rPr>
          <w:rFonts w:eastAsia="Times New Roman" w:cs="Arial"/>
          <w:color w:val="000000"/>
          <w:lang w:val="ru-RU"/>
        </w:rPr>
        <w:t xml:space="preserve"> </w:t>
      </w:r>
      <w:r w:rsidRPr="00D469BA">
        <w:rPr>
          <w:rFonts w:eastAsia="Times New Roman" w:cs="Arial"/>
          <w:color w:val="000000"/>
          <w:lang w:eastAsia="bg-BG"/>
        </w:rPr>
        <w:t>за МХП са с 30% до 60% по-високи, отколкото при по-млади доброволци (18-32 години). Сравнения на креатининовия клирънс при млади доброволци и доброволци в старческа възраст показват, че разликата се дължи на зависимото от възрастта понижение на креатининовия клирънс. Няма специални препоръки за дозиране, тъй като терапевтичните дози се регулират според индивидуалните особености.</w:t>
      </w:r>
    </w:p>
    <w:p w14:paraId="25186BB6" w14:textId="77777777" w:rsidR="00D469BA" w:rsidRPr="00D469BA" w:rsidRDefault="00D469BA" w:rsidP="00D469BA">
      <w:pPr>
        <w:spacing w:line="240" w:lineRule="auto"/>
        <w:rPr>
          <w:rFonts w:eastAsia="Times New Roman" w:cs="Arial"/>
          <w:i/>
          <w:iCs/>
          <w:color w:val="000000"/>
          <w:lang w:eastAsia="bg-BG"/>
        </w:rPr>
      </w:pPr>
    </w:p>
    <w:p w14:paraId="6EBC6F9C" w14:textId="3DB6B3B1" w:rsidR="00D469BA" w:rsidRPr="00D469BA" w:rsidRDefault="00D469BA" w:rsidP="00D469BA">
      <w:pPr>
        <w:spacing w:line="240" w:lineRule="auto"/>
        <w:rPr>
          <w:rFonts w:eastAsia="Times New Roman" w:cs="Arial"/>
        </w:rPr>
      </w:pPr>
      <w:r w:rsidRPr="00D469BA">
        <w:rPr>
          <w:rFonts w:eastAsia="Times New Roman" w:cs="Arial"/>
          <w:i/>
          <w:iCs/>
          <w:color w:val="000000"/>
          <w:lang w:eastAsia="bg-BG"/>
        </w:rPr>
        <w:t>Пол</w:t>
      </w:r>
    </w:p>
    <w:p w14:paraId="4E12AE54" w14:textId="77777777" w:rsidR="00D469BA" w:rsidRPr="00D469BA" w:rsidRDefault="00D469BA" w:rsidP="00D469BA">
      <w:pPr>
        <w:spacing w:line="240" w:lineRule="auto"/>
        <w:rPr>
          <w:rFonts w:eastAsia="Times New Roman" w:cs="Arial"/>
        </w:rPr>
      </w:pPr>
      <w:r w:rsidRPr="00D469BA">
        <w:rPr>
          <w:rFonts w:eastAsia="Times New Roman" w:cs="Arial"/>
          <w:color w:val="000000"/>
          <w:lang w:eastAsia="bg-BG"/>
        </w:rPr>
        <w:t>Не се наблюдават свързани с пола фармакокинетични различия при деца, възрастни или пациенти в старческа възраст.</w:t>
      </w:r>
    </w:p>
    <w:p w14:paraId="1E856553" w14:textId="77777777" w:rsidR="00D469BA" w:rsidRPr="00D469BA" w:rsidRDefault="00D469BA" w:rsidP="00D469BA"/>
    <w:p w14:paraId="028E658A" w14:textId="7DE0A03B" w:rsidR="00395555" w:rsidRDefault="002C50EE" w:rsidP="008A6AF2">
      <w:pPr>
        <w:pStyle w:val="Heading2"/>
      </w:pPr>
      <w:r>
        <w:t>5.3. Предклинични данни за безопасност</w:t>
      </w:r>
    </w:p>
    <w:p w14:paraId="2D6FF5D7" w14:textId="3B36FD11" w:rsidR="00D469BA" w:rsidRDefault="00D469BA" w:rsidP="00D469BA"/>
    <w:p w14:paraId="7E3E7274" w14:textId="77777777" w:rsidR="00D469BA" w:rsidRPr="00D469BA" w:rsidRDefault="00D469BA" w:rsidP="00D469BA">
      <w:pPr>
        <w:spacing w:line="240" w:lineRule="auto"/>
        <w:rPr>
          <w:rFonts w:eastAsia="Times New Roman" w:cs="Arial"/>
          <w:sz w:val="24"/>
          <w:szCs w:val="24"/>
        </w:rPr>
      </w:pPr>
      <w:r w:rsidRPr="00D469BA">
        <w:rPr>
          <w:rFonts w:eastAsia="Times New Roman" w:cs="Arial"/>
          <w:color w:val="000000"/>
          <w:lang w:eastAsia="bg-BG"/>
        </w:rPr>
        <w:t>Неклиничните данни не показват особен риск за хора на базата на конвенционалните фармакологични проучвания за безопасност и генотоксичност на окскарбазепин и фармакологично активния му метаболит -монохидроксилното му производно (МХП).</w:t>
      </w:r>
    </w:p>
    <w:p w14:paraId="7772D18B" w14:textId="77777777" w:rsidR="00D469BA" w:rsidRPr="00D469BA" w:rsidRDefault="00D469BA" w:rsidP="00D469BA">
      <w:pPr>
        <w:spacing w:line="240" w:lineRule="auto"/>
        <w:rPr>
          <w:rFonts w:eastAsia="Times New Roman" w:cs="Arial"/>
          <w:i/>
          <w:iCs/>
          <w:color w:val="000000"/>
          <w:lang w:eastAsia="bg-BG"/>
        </w:rPr>
      </w:pPr>
    </w:p>
    <w:p w14:paraId="3CB9CA8C" w14:textId="4E7B9E40" w:rsidR="00D469BA" w:rsidRPr="00D469BA" w:rsidRDefault="00D469BA" w:rsidP="00D469BA">
      <w:pPr>
        <w:spacing w:line="240" w:lineRule="auto"/>
        <w:rPr>
          <w:rFonts w:eastAsia="Times New Roman" w:cs="Arial"/>
          <w:sz w:val="24"/>
          <w:szCs w:val="24"/>
        </w:rPr>
      </w:pPr>
      <w:r w:rsidRPr="00D469BA">
        <w:rPr>
          <w:rFonts w:eastAsia="Times New Roman" w:cs="Arial"/>
          <w:i/>
          <w:iCs/>
          <w:color w:val="000000"/>
          <w:lang w:eastAsia="bg-BG"/>
        </w:rPr>
        <w:t>Имунотоксичност</w:t>
      </w:r>
    </w:p>
    <w:p w14:paraId="3E9C20D2" w14:textId="77777777" w:rsidR="00D469BA" w:rsidRPr="00D469BA" w:rsidRDefault="00D469BA" w:rsidP="00D469BA">
      <w:pPr>
        <w:spacing w:line="240" w:lineRule="auto"/>
        <w:rPr>
          <w:rFonts w:eastAsia="Times New Roman" w:cs="Arial"/>
          <w:sz w:val="24"/>
          <w:szCs w:val="24"/>
        </w:rPr>
      </w:pPr>
      <w:r w:rsidRPr="00D469BA">
        <w:rPr>
          <w:rFonts w:eastAsia="Times New Roman" w:cs="Arial"/>
          <w:color w:val="000000"/>
          <w:lang w:eastAsia="bg-BG"/>
        </w:rPr>
        <w:lastRenderedPageBreak/>
        <w:t>Пробите с имуностимулиране при мишки показват, че МХП (и в по-малка степен окскарбазепин) може да индуцира реакции на свръхчувствителност от забавен тип.</w:t>
      </w:r>
    </w:p>
    <w:p w14:paraId="52958E29" w14:textId="77777777" w:rsidR="00D469BA" w:rsidRPr="00D469BA" w:rsidRDefault="00D469BA" w:rsidP="00D469BA">
      <w:pPr>
        <w:spacing w:line="240" w:lineRule="auto"/>
        <w:rPr>
          <w:rFonts w:eastAsia="Times New Roman" w:cs="Arial"/>
          <w:i/>
          <w:iCs/>
          <w:color w:val="000000"/>
          <w:lang w:eastAsia="bg-BG"/>
        </w:rPr>
      </w:pPr>
    </w:p>
    <w:p w14:paraId="06A3E877" w14:textId="263B78C9" w:rsidR="00D469BA" w:rsidRPr="00D469BA" w:rsidRDefault="00D469BA" w:rsidP="00D469BA">
      <w:pPr>
        <w:spacing w:line="240" w:lineRule="auto"/>
        <w:rPr>
          <w:rFonts w:eastAsia="Times New Roman" w:cs="Arial"/>
          <w:sz w:val="24"/>
          <w:szCs w:val="24"/>
        </w:rPr>
      </w:pPr>
      <w:r w:rsidRPr="00D469BA">
        <w:rPr>
          <w:rFonts w:eastAsia="Times New Roman" w:cs="Arial"/>
          <w:i/>
          <w:iCs/>
          <w:color w:val="000000"/>
          <w:lang w:eastAsia="bg-BG"/>
        </w:rPr>
        <w:t>Мутагенност</w:t>
      </w:r>
    </w:p>
    <w:p w14:paraId="5919DE58" w14:textId="77777777" w:rsidR="00D469BA" w:rsidRPr="00D469BA" w:rsidRDefault="00D469BA" w:rsidP="00D469BA">
      <w:pPr>
        <w:spacing w:line="240" w:lineRule="auto"/>
        <w:rPr>
          <w:rFonts w:eastAsia="Times New Roman" w:cs="Arial"/>
          <w:sz w:val="24"/>
          <w:szCs w:val="24"/>
        </w:rPr>
      </w:pPr>
      <w:r w:rsidRPr="00D469BA">
        <w:rPr>
          <w:rFonts w:eastAsia="Times New Roman" w:cs="Arial"/>
          <w:color w:val="000000"/>
          <w:lang w:eastAsia="bg-BG"/>
        </w:rPr>
        <w:t xml:space="preserve">При провеждане на </w:t>
      </w:r>
      <w:r w:rsidRPr="00D469BA">
        <w:rPr>
          <w:rFonts w:eastAsia="Times New Roman" w:cs="Arial"/>
          <w:i/>
          <w:iCs/>
          <w:color w:val="000000"/>
          <w:lang w:val="en-US"/>
        </w:rPr>
        <w:t>in</w:t>
      </w:r>
      <w:r w:rsidRPr="00D469BA">
        <w:rPr>
          <w:rFonts w:eastAsia="Times New Roman" w:cs="Arial"/>
          <w:i/>
          <w:iCs/>
          <w:color w:val="000000"/>
          <w:lang w:val="ru-RU"/>
        </w:rPr>
        <w:t xml:space="preserve"> </w:t>
      </w:r>
      <w:r w:rsidRPr="00D469BA">
        <w:rPr>
          <w:rFonts w:eastAsia="Times New Roman" w:cs="Arial"/>
          <w:i/>
          <w:iCs/>
          <w:color w:val="000000"/>
          <w:lang w:val="en-US"/>
        </w:rPr>
        <w:t>vitro</w:t>
      </w:r>
      <w:r w:rsidRPr="00D469BA">
        <w:rPr>
          <w:rFonts w:eastAsia="Times New Roman" w:cs="Arial"/>
          <w:color w:val="000000"/>
          <w:lang w:val="ru-RU"/>
        </w:rPr>
        <w:t xml:space="preserve"> </w:t>
      </w:r>
      <w:r w:rsidRPr="00D469BA">
        <w:rPr>
          <w:rFonts w:eastAsia="Times New Roman" w:cs="Arial"/>
          <w:color w:val="000000"/>
          <w:lang w:eastAsia="bg-BG"/>
        </w:rPr>
        <w:t xml:space="preserve">тест </w:t>
      </w:r>
      <w:r w:rsidRPr="00D469BA">
        <w:rPr>
          <w:rFonts w:eastAsia="Times New Roman" w:cs="Arial"/>
          <w:color w:val="000000"/>
          <w:lang w:val="en-US"/>
        </w:rPr>
        <w:t>Ames</w:t>
      </w:r>
      <w:r w:rsidRPr="00D469BA">
        <w:rPr>
          <w:rFonts w:eastAsia="Times New Roman" w:cs="Arial"/>
          <w:color w:val="000000"/>
          <w:lang w:val="ru-RU"/>
        </w:rPr>
        <w:t xml:space="preserve"> </w:t>
      </w:r>
      <w:r w:rsidRPr="00D469BA">
        <w:rPr>
          <w:rFonts w:eastAsia="Times New Roman" w:cs="Arial"/>
          <w:color w:val="000000"/>
          <w:lang w:eastAsia="bg-BG"/>
        </w:rPr>
        <w:t xml:space="preserve">в отсъствие на метаболитно активиране в един от пет бактериални щама, окскарбазепин увеличава честотата на възникване на мутации. Окскарбазепин и МХП предизвикват повишаване на хромозомните аберации и/или полиплоидия при </w:t>
      </w:r>
      <w:r w:rsidRPr="00D469BA">
        <w:rPr>
          <w:rFonts w:eastAsia="Times New Roman" w:cs="Arial"/>
          <w:i/>
          <w:iCs/>
          <w:color w:val="000000"/>
          <w:lang w:val="en-US"/>
        </w:rPr>
        <w:t>in</w:t>
      </w:r>
      <w:r w:rsidRPr="00D469BA">
        <w:rPr>
          <w:rFonts w:eastAsia="Times New Roman" w:cs="Arial"/>
          <w:i/>
          <w:iCs/>
          <w:color w:val="000000"/>
          <w:lang w:val="ru-RU"/>
        </w:rPr>
        <w:t xml:space="preserve"> </w:t>
      </w:r>
      <w:r w:rsidRPr="00D469BA">
        <w:rPr>
          <w:rFonts w:eastAsia="Times New Roman" w:cs="Arial"/>
          <w:i/>
          <w:iCs/>
          <w:color w:val="000000"/>
          <w:lang w:val="en-US"/>
        </w:rPr>
        <w:t>vitro</w:t>
      </w:r>
      <w:r w:rsidRPr="00D469BA">
        <w:rPr>
          <w:rFonts w:eastAsia="Times New Roman" w:cs="Arial"/>
          <w:color w:val="000000"/>
          <w:lang w:val="ru-RU"/>
        </w:rPr>
        <w:t xml:space="preserve"> </w:t>
      </w:r>
      <w:r w:rsidRPr="00D469BA">
        <w:rPr>
          <w:rFonts w:eastAsia="Times New Roman" w:cs="Arial"/>
          <w:color w:val="000000"/>
          <w:lang w:eastAsia="bg-BG"/>
        </w:rPr>
        <w:t xml:space="preserve">проучване върху клетки от яйчник на китайски хамстер, при липса на метаболитна активация. Резултатите от теста на </w:t>
      </w:r>
      <w:r w:rsidRPr="00D469BA">
        <w:rPr>
          <w:rFonts w:eastAsia="Times New Roman" w:cs="Arial"/>
          <w:color w:val="000000"/>
          <w:lang w:val="en-US"/>
        </w:rPr>
        <w:t>Ames</w:t>
      </w:r>
      <w:r w:rsidRPr="00D469BA">
        <w:rPr>
          <w:rFonts w:eastAsia="Times New Roman" w:cs="Arial"/>
          <w:color w:val="000000"/>
          <w:lang w:val="ru-RU"/>
        </w:rPr>
        <w:t xml:space="preserve"> </w:t>
      </w:r>
      <w:r w:rsidRPr="00D469BA">
        <w:rPr>
          <w:rFonts w:eastAsia="Times New Roman" w:cs="Arial"/>
          <w:color w:val="000000"/>
          <w:lang w:eastAsia="bg-BG"/>
        </w:rPr>
        <w:t xml:space="preserve">за МХП са отрицателни. Не е открита мутагенна или кластогенна активност за МХП или окскарбазепин в </w:t>
      </w:r>
      <w:r w:rsidRPr="00D469BA">
        <w:rPr>
          <w:rFonts w:eastAsia="Times New Roman" w:cs="Arial"/>
          <w:i/>
          <w:iCs/>
          <w:color w:val="000000"/>
          <w:lang w:val="en-US"/>
        </w:rPr>
        <w:t>in</w:t>
      </w:r>
      <w:r w:rsidRPr="00D469BA">
        <w:rPr>
          <w:rFonts w:eastAsia="Times New Roman" w:cs="Arial"/>
          <w:i/>
          <w:iCs/>
          <w:color w:val="000000"/>
          <w:lang w:val="ru-RU"/>
        </w:rPr>
        <w:t xml:space="preserve"> </w:t>
      </w:r>
      <w:r w:rsidRPr="00D469BA">
        <w:rPr>
          <w:rFonts w:eastAsia="Times New Roman" w:cs="Arial"/>
          <w:i/>
          <w:iCs/>
          <w:color w:val="000000"/>
          <w:lang w:val="en-US"/>
        </w:rPr>
        <w:t>vitro</w:t>
      </w:r>
      <w:r w:rsidRPr="00D469BA">
        <w:rPr>
          <w:rFonts w:eastAsia="Times New Roman" w:cs="Arial"/>
          <w:color w:val="000000"/>
          <w:lang w:val="ru-RU"/>
        </w:rPr>
        <w:t xml:space="preserve"> </w:t>
      </w:r>
      <w:r w:rsidRPr="00D469BA">
        <w:rPr>
          <w:rFonts w:eastAsia="Times New Roman" w:cs="Arial"/>
          <w:color w:val="000000"/>
          <w:lang w:val="en-US"/>
        </w:rPr>
        <w:t>V</w:t>
      </w:r>
      <w:r w:rsidRPr="00D469BA">
        <w:rPr>
          <w:rFonts w:eastAsia="Times New Roman" w:cs="Arial"/>
          <w:color w:val="000000"/>
          <w:lang w:val="ru-RU"/>
        </w:rPr>
        <w:t xml:space="preserve">79 </w:t>
      </w:r>
      <w:r w:rsidRPr="00D469BA">
        <w:rPr>
          <w:rFonts w:eastAsia="Times New Roman" w:cs="Arial"/>
          <w:color w:val="000000"/>
          <w:lang w:eastAsia="bg-BG"/>
        </w:rPr>
        <w:t xml:space="preserve">проучване на клетки от китайски хамстер. Окскарбазепин и МХП са отрицателни по отношение на кластогенни и анеугенни ефекти (образуване на микроядра) при </w:t>
      </w:r>
      <w:r w:rsidRPr="00D469BA">
        <w:rPr>
          <w:rFonts w:eastAsia="Times New Roman" w:cs="Arial"/>
          <w:i/>
          <w:iCs/>
          <w:color w:val="000000"/>
          <w:lang w:val="en-US"/>
        </w:rPr>
        <w:t>in</w:t>
      </w:r>
      <w:r w:rsidRPr="00D469BA">
        <w:rPr>
          <w:rFonts w:eastAsia="Times New Roman" w:cs="Arial"/>
          <w:i/>
          <w:iCs/>
          <w:color w:val="000000"/>
          <w:lang w:val="ru-RU"/>
        </w:rPr>
        <w:t xml:space="preserve"> </w:t>
      </w:r>
      <w:r w:rsidRPr="00D469BA">
        <w:rPr>
          <w:rFonts w:eastAsia="Times New Roman" w:cs="Arial"/>
          <w:i/>
          <w:iCs/>
          <w:color w:val="000000"/>
          <w:lang w:val="en-US"/>
        </w:rPr>
        <w:t>vivo</w:t>
      </w:r>
      <w:r w:rsidRPr="00D469BA">
        <w:rPr>
          <w:rFonts w:eastAsia="Times New Roman" w:cs="Arial"/>
          <w:color w:val="000000"/>
          <w:lang w:val="ru-RU"/>
        </w:rPr>
        <w:t xml:space="preserve"> </w:t>
      </w:r>
      <w:r w:rsidRPr="00D469BA">
        <w:rPr>
          <w:rFonts w:eastAsia="Times New Roman" w:cs="Arial"/>
          <w:color w:val="000000"/>
          <w:lang w:eastAsia="bg-BG"/>
        </w:rPr>
        <w:t>анализ на костен мозък от плъхове.</w:t>
      </w:r>
    </w:p>
    <w:p w14:paraId="7F52CAD0" w14:textId="77777777" w:rsidR="00D469BA" w:rsidRPr="00D469BA" w:rsidRDefault="00D469BA" w:rsidP="00D469BA">
      <w:pPr>
        <w:spacing w:line="240" w:lineRule="auto"/>
        <w:rPr>
          <w:rFonts w:eastAsia="Times New Roman" w:cs="Arial"/>
          <w:i/>
          <w:iCs/>
          <w:color w:val="000000"/>
          <w:lang w:eastAsia="bg-BG"/>
        </w:rPr>
      </w:pPr>
    </w:p>
    <w:p w14:paraId="5073A9E3" w14:textId="6E599FC2" w:rsidR="00D469BA" w:rsidRPr="00D469BA" w:rsidRDefault="00D469BA" w:rsidP="00D469BA">
      <w:pPr>
        <w:spacing w:line="240" w:lineRule="auto"/>
        <w:rPr>
          <w:rFonts w:eastAsia="Times New Roman" w:cs="Arial"/>
          <w:sz w:val="24"/>
          <w:szCs w:val="24"/>
        </w:rPr>
      </w:pPr>
      <w:r w:rsidRPr="00D469BA">
        <w:rPr>
          <w:rFonts w:eastAsia="Times New Roman" w:cs="Arial"/>
          <w:i/>
          <w:iCs/>
          <w:color w:val="000000"/>
          <w:lang w:eastAsia="bg-BG"/>
        </w:rPr>
        <w:t>Канцерогенност</w:t>
      </w:r>
    </w:p>
    <w:p w14:paraId="00495418" w14:textId="77777777" w:rsidR="00D469BA" w:rsidRPr="00D469BA" w:rsidRDefault="00D469BA" w:rsidP="00D469BA">
      <w:pPr>
        <w:spacing w:line="240" w:lineRule="auto"/>
        <w:rPr>
          <w:rFonts w:eastAsia="Times New Roman" w:cs="Arial"/>
          <w:sz w:val="24"/>
          <w:szCs w:val="24"/>
        </w:rPr>
      </w:pPr>
      <w:r w:rsidRPr="00D469BA">
        <w:rPr>
          <w:rFonts w:eastAsia="Times New Roman" w:cs="Arial"/>
          <w:color w:val="000000"/>
          <w:lang w:eastAsia="bg-BG"/>
        </w:rPr>
        <w:t>При проучванията за канцерогенност при третираните животни е предизвикана поява на тумори на черния дроб (плъхове и мишки), тестисите и на гранулозните клетки на женския генитален тракт (плъхове). Появата на чернодробни тумори най-вероятно е последствие от индуцирането на чернодробните микрозомални ензими, което въпреки, че не може да бъде изключено, е слабо изразено или липсва при пациенти, лекувани с Трилептал. Тестикулариите тумори вероятно са били предизвикани от повишение в концентрациите на лутеинизиращия хормон. Поради липсата на подобен ефект при хората, се приема, че тези тумори нямат клинично значение. При проучването на канцерогенността на МХП при плъхове, се наблюдава дозозависимо повишение на честотата на гранулозно-клетъчни тумори на женския генитален тракт (шийка и влагалище). Тези ефекти възникват при степен на експозиция, сравнима с очакваната клинична експозиция. Механизмът на развитие на тези тумори не е напълно изяснен, но може да бъде свързан с повишени нива на естрадиол, специфично при плъхове. Поради тази причина не е известна клиничната значимост на тези тумори.</w:t>
      </w:r>
    </w:p>
    <w:p w14:paraId="05DC4542" w14:textId="77777777" w:rsidR="00D469BA" w:rsidRPr="00D469BA" w:rsidRDefault="00D469BA" w:rsidP="00D469BA">
      <w:pPr>
        <w:spacing w:line="240" w:lineRule="auto"/>
        <w:rPr>
          <w:rFonts w:eastAsia="Times New Roman" w:cs="Arial"/>
          <w:i/>
          <w:iCs/>
          <w:color w:val="000000"/>
          <w:lang w:eastAsia="bg-BG"/>
        </w:rPr>
      </w:pPr>
    </w:p>
    <w:p w14:paraId="182BBC0B" w14:textId="1840B7EA" w:rsidR="00D469BA" w:rsidRPr="00D469BA" w:rsidRDefault="00D469BA" w:rsidP="00D469BA">
      <w:pPr>
        <w:spacing w:line="240" w:lineRule="auto"/>
        <w:rPr>
          <w:rFonts w:eastAsia="Times New Roman" w:cs="Arial"/>
          <w:sz w:val="24"/>
          <w:szCs w:val="24"/>
        </w:rPr>
      </w:pPr>
      <w:r w:rsidRPr="00D469BA">
        <w:rPr>
          <w:rFonts w:eastAsia="Times New Roman" w:cs="Arial"/>
          <w:i/>
          <w:iCs/>
          <w:color w:val="000000"/>
          <w:lang w:eastAsia="bg-BG"/>
        </w:rPr>
        <w:t>Репродуктивна токсичност</w:t>
      </w:r>
    </w:p>
    <w:p w14:paraId="60D9A2A0" w14:textId="77777777" w:rsidR="00D469BA" w:rsidRPr="00D469BA" w:rsidRDefault="00D469BA" w:rsidP="00D469BA">
      <w:pPr>
        <w:spacing w:line="240" w:lineRule="auto"/>
        <w:rPr>
          <w:rFonts w:eastAsia="Times New Roman" w:cs="Arial"/>
          <w:sz w:val="24"/>
          <w:szCs w:val="24"/>
        </w:rPr>
      </w:pPr>
      <w:r w:rsidRPr="00D469BA">
        <w:rPr>
          <w:rFonts w:eastAsia="Times New Roman" w:cs="Arial"/>
          <w:color w:val="000000"/>
          <w:lang w:eastAsia="bg-BG"/>
        </w:rPr>
        <w:t>За репродуктивна токсичност вижте точка 4.6.</w:t>
      </w:r>
    </w:p>
    <w:p w14:paraId="47974559" w14:textId="77777777" w:rsidR="00D469BA" w:rsidRPr="00D469BA" w:rsidRDefault="00D469BA" w:rsidP="00D469BA"/>
    <w:p w14:paraId="6A7820AB" w14:textId="458B86BC" w:rsidR="008A6AF2" w:rsidRDefault="002C50EE" w:rsidP="00395555">
      <w:pPr>
        <w:pStyle w:val="Heading1"/>
      </w:pPr>
      <w:r>
        <w:t>7. ПРИТЕЖАТЕЛ НА РАЗРЕШЕНИЕТО ЗА УПОТРЕБА</w:t>
      </w:r>
    </w:p>
    <w:p w14:paraId="14BCBBEE" w14:textId="278266F0" w:rsidR="00D469BA" w:rsidRDefault="00D469BA" w:rsidP="00D469BA"/>
    <w:p w14:paraId="244E7331" w14:textId="77777777" w:rsidR="00D469BA" w:rsidRDefault="00D469BA" w:rsidP="00D469BA">
      <w:pPr>
        <w:rPr>
          <w:lang w:val="en-US"/>
        </w:rPr>
      </w:pPr>
      <w:r w:rsidRPr="00D469BA">
        <w:rPr>
          <w:lang w:val="en-US"/>
        </w:rPr>
        <w:t xml:space="preserve">Novartis Pharma GmbH </w:t>
      </w:r>
    </w:p>
    <w:p w14:paraId="257AD437" w14:textId="77777777" w:rsidR="00D469BA" w:rsidRPr="00D469BA" w:rsidRDefault="00D469BA" w:rsidP="00D469BA">
      <w:pPr>
        <w:rPr>
          <w:lang w:val="ru-RU"/>
        </w:rPr>
      </w:pPr>
      <w:proofErr w:type="spellStart"/>
      <w:r w:rsidRPr="00D469BA">
        <w:rPr>
          <w:lang w:val="en-US"/>
        </w:rPr>
        <w:t>Roonstrasse</w:t>
      </w:r>
      <w:proofErr w:type="spellEnd"/>
      <w:r w:rsidRPr="00D469BA">
        <w:rPr>
          <w:lang w:val="ru-RU"/>
        </w:rPr>
        <w:t xml:space="preserve"> 25 </w:t>
      </w:r>
    </w:p>
    <w:p w14:paraId="5928F07F" w14:textId="77777777" w:rsidR="00D469BA" w:rsidRPr="00D469BA" w:rsidRDefault="00D469BA" w:rsidP="00D469BA">
      <w:pPr>
        <w:rPr>
          <w:lang w:val="ru-RU"/>
        </w:rPr>
      </w:pPr>
      <w:r w:rsidRPr="00D469BA">
        <w:rPr>
          <w:lang w:val="ru-RU"/>
        </w:rPr>
        <w:t xml:space="preserve">90429 </w:t>
      </w:r>
      <w:proofErr w:type="spellStart"/>
      <w:r w:rsidRPr="00D469BA">
        <w:rPr>
          <w:lang w:val="en-US"/>
        </w:rPr>
        <w:t>Nuernberg</w:t>
      </w:r>
      <w:proofErr w:type="spellEnd"/>
      <w:r w:rsidRPr="00D469BA">
        <w:rPr>
          <w:lang w:val="ru-RU"/>
        </w:rPr>
        <w:t xml:space="preserve"> </w:t>
      </w:r>
    </w:p>
    <w:p w14:paraId="1A2B5596" w14:textId="742C0E2E" w:rsidR="00D469BA" w:rsidRPr="00D469BA" w:rsidRDefault="00D469BA" w:rsidP="00D469BA">
      <w:pPr>
        <w:rPr>
          <w:sz w:val="24"/>
          <w:szCs w:val="24"/>
          <w:lang w:val="ru-RU"/>
        </w:rPr>
      </w:pPr>
      <w:r w:rsidRPr="00D469BA">
        <w:rPr>
          <w:lang w:eastAsia="bg-BG"/>
        </w:rPr>
        <w:t>Германия</w:t>
      </w:r>
    </w:p>
    <w:p w14:paraId="50B3D7FC" w14:textId="77777777" w:rsidR="00D469BA" w:rsidRPr="00D469BA" w:rsidRDefault="00D469BA" w:rsidP="00D469BA">
      <w:pPr>
        <w:rPr>
          <w:lang w:val="ru-RU"/>
        </w:rPr>
      </w:pPr>
    </w:p>
    <w:p w14:paraId="04840D59" w14:textId="129F26A9" w:rsidR="002C50EE" w:rsidRDefault="002C50EE" w:rsidP="00395555">
      <w:pPr>
        <w:pStyle w:val="Heading1"/>
      </w:pPr>
      <w:r>
        <w:t>8. НОМЕР НА РАЗРЕШЕНИЕТО ЗА УПОТРЕБА</w:t>
      </w:r>
    </w:p>
    <w:p w14:paraId="7E9AD1CB" w14:textId="146F65FD" w:rsidR="00D469BA" w:rsidRDefault="00D469BA" w:rsidP="00D469BA"/>
    <w:p w14:paraId="72200A34" w14:textId="77777777" w:rsidR="00D469BA" w:rsidRPr="00D469BA" w:rsidRDefault="00D469BA" w:rsidP="00D469BA">
      <w:pPr>
        <w:rPr>
          <w:sz w:val="24"/>
          <w:szCs w:val="24"/>
        </w:rPr>
      </w:pPr>
      <w:r w:rsidRPr="00D469BA">
        <w:rPr>
          <w:lang w:eastAsia="bg-BG"/>
        </w:rPr>
        <w:t xml:space="preserve">Трилептал 150 </w:t>
      </w:r>
      <w:r w:rsidRPr="00D469BA">
        <w:rPr>
          <w:lang w:val="en-US"/>
        </w:rPr>
        <w:t>mg</w:t>
      </w:r>
      <w:r w:rsidRPr="00D469BA">
        <w:rPr>
          <w:lang w:val="ru-RU"/>
        </w:rPr>
        <w:t>:</w:t>
      </w:r>
      <w:r w:rsidRPr="00D469BA">
        <w:rPr>
          <w:lang w:val="ru-RU"/>
        </w:rPr>
        <w:tab/>
      </w:r>
      <w:r w:rsidRPr="00D469BA">
        <w:rPr>
          <w:lang w:eastAsia="bg-BG"/>
        </w:rPr>
        <w:t>20010441</w:t>
      </w:r>
    </w:p>
    <w:p w14:paraId="52346154" w14:textId="77777777" w:rsidR="00D469BA" w:rsidRPr="00D469BA" w:rsidRDefault="00D469BA" w:rsidP="00D469BA">
      <w:pPr>
        <w:rPr>
          <w:sz w:val="24"/>
          <w:szCs w:val="24"/>
        </w:rPr>
      </w:pPr>
      <w:r w:rsidRPr="00D469BA">
        <w:rPr>
          <w:lang w:eastAsia="bg-BG"/>
        </w:rPr>
        <w:t xml:space="preserve">Трилептал 300 </w:t>
      </w:r>
      <w:r w:rsidRPr="00D469BA">
        <w:rPr>
          <w:lang w:val="en-US"/>
        </w:rPr>
        <w:t>mg</w:t>
      </w:r>
      <w:r w:rsidRPr="00D469BA">
        <w:rPr>
          <w:lang w:val="ru-RU"/>
        </w:rPr>
        <w:t>:</w:t>
      </w:r>
      <w:r w:rsidRPr="00D469BA">
        <w:rPr>
          <w:lang w:val="ru-RU"/>
        </w:rPr>
        <w:tab/>
      </w:r>
      <w:r w:rsidRPr="00D469BA">
        <w:rPr>
          <w:lang w:eastAsia="bg-BG"/>
        </w:rPr>
        <w:t>20010387</w:t>
      </w:r>
    </w:p>
    <w:p w14:paraId="10A85D86" w14:textId="3E86B7D8" w:rsidR="00D469BA" w:rsidRPr="00D469BA" w:rsidRDefault="00D469BA" w:rsidP="00D469BA">
      <w:r w:rsidRPr="00D469BA">
        <w:rPr>
          <w:lang w:eastAsia="bg-BG"/>
        </w:rPr>
        <w:t xml:space="preserve">Трилептал 600 </w:t>
      </w:r>
      <w:r w:rsidRPr="00D469BA">
        <w:rPr>
          <w:lang w:val="en-US"/>
        </w:rPr>
        <w:t>mg</w:t>
      </w:r>
      <w:r w:rsidRPr="00D469BA">
        <w:rPr>
          <w:lang w:val="ru-RU"/>
        </w:rPr>
        <w:t>:</w:t>
      </w:r>
      <w:r w:rsidRPr="00D469BA">
        <w:rPr>
          <w:lang w:val="ru-RU"/>
        </w:rPr>
        <w:tab/>
      </w:r>
      <w:r w:rsidRPr="00D469BA">
        <w:rPr>
          <w:lang w:eastAsia="bg-BG"/>
        </w:rPr>
        <w:t>20010386</w:t>
      </w:r>
    </w:p>
    <w:p w14:paraId="2CCB5832" w14:textId="5147BBA0" w:rsidR="007C605B" w:rsidRDefault="002C50EE" w:rsidP="007C605B">
      <w:pPr>
        <w:pStyle w:val="Heading1"/>
      </w:pPr>
      <w:r>
        <w:lastRenderedPageBreak/>
        <w:t>9. ДАТА НА ПЪРВО РАЗРЕШАВАНЕ/ПОДНОВЯВАНЕ НА РАЗРЕШЕНИЕТО ЗА УПОТРЕБА</w:t>
      </w:r>
    </w:p>
    <w:p w14:paraId="47F5C104" w14:textId="39FA92C4" w:rsidR="00D469BA" w:rsidRDefault="00D469BA" w:rsidP="00D469BA"/>
    <w:p w14:paraId="1995F7C4" w14:textId="77777777" w:rsidR="00D469BA" w:rsidRPr="00D469BA" w:rsidRDefault="00D469BA" w:rsidP="00D469BA">
      <w:pPr>
        <w:rPr>
          <w:sz w:val="24"/>
          <w:szCs w:val="24"/>
        </w:rPr>
      </w:pPr>
      <w:r w:rsidRPr="00D469BA">
        <w:rPr>
          <w:lang w:eastAsia="bg-BG"/>
        </w:rPr>
        <w:t>Дата на първо разрешаване:</w:t>
      </w:r>
    </w:p>
    <w:p w14:paraId="294ED639" w14:textId="77777777" w:rsidR="00D469BA" w:rsidRPr="00D469BA" w:rsidRDefault="00D469BA" w:rsidP="00D469BA">
      <w:pPr>
        <w:rPr>
          <w:sz w:val="24"/>
          <w:szCs w:val="24"/>
        </w:rPr>
      </w:pPr>
      <w:r w:rsidRPr="00D469BA">
        <w:rPr>
          <w:lang w:eastAsia="bg-BG"/>
        </w:rPr>
        <w:t xml:space="preserve">Трилептал 150 </w:t>
      </w:r>
      <w:r w:rsidRPr="00D469BA">
        <w:rPr>
          <w:lang w:val="en-US"/>
        </w:rPr>
        <w:t>mg</w:t>
      </w:r>
      <w:r w:rsidRPr="00D469BA">
        <w:rPr>
          <w:lang w:val="ru-RU"/>
        </w:rPr>
        <w:t xml:space="preserve">: </w:t>
      </w:r>
      <w:r w:rsidRPr="00D469BA">
        <w:rPr>
          <w:lang w:eastAsia="bg-BG"/>
        </w:rPr>
        <w:t>02 май 2001 г.</w:t>
      </w:r>
    </w:p>
    <w:p w14:paraId="507D0F24" w14:textId="77777777" w:rsidR="00D469BA" w:rsidRPr="00D469BA" w:rsidRDefault="00D469BA" w:rsidP="00D469BA">
      <w:pPr>
        <w:rPr>
          <w:sz w:val="24"/>
          <w:szCs w:val="24"/>
        </w:rPr>
      </w:pPr>
      <w:r w:rsidRPr="00D469BA">
        <w:rPr>
          <w:lang w:eastAsia="bg-BG"/>
        </w:rPr>
        <w:t xml:space="preserve">Трилептал 300 </w:t>
      </w:r>
      <w:r w:rsidRPr="00D469BA">
        <w:rPr>
          <w:lang w:val="en-US"/>
        </w:rPr>
        <w:t>mg</w:t>
      </w:r>
      <w:r w:rsidRPr="00D469BA">
        <w:rPr>
          <w:lang w:val="ru-RU"/>
        </w:rPr>
        <w:t xml:space="preserve">: </w:t>
      </w:r>
      <w:r w:rsidRPr="00D469BA">
        <w:rPr>
          <w:lang w:eastAsia="bg-BG"/>
        </w:rPr>
        <w:t>26 април 2001 г.</w:t>
      </w:r>
    </w:p>
    <w:p w14:paraId="68BAA806" w14:textId="77777777" w:rsidR="00D469BA" w:rsidRPr="00D469BA" w:rsidRDefault="00D469BA" w:rsidP="00D469BA">
      <w:pPr>
        <w:rPr>
          <w:sz w:val="24"/>
          <w:szCs w:val="24"/>
        </w:rPr>
      </w:pPr>
      <w:r w:rsidRPr="00D469BA">
        <w:rPr>
          <w:lang w:eastAsia="bg-BG"/>
        </w:rPr>
        <w:t xml:space="preserve">Трилептал 600 </w:t>
      </w:r>
      <w:r w:rsidRPr="00D469BA">
        <w:rPr>
          <w:lang w:val="en-US"/>
        </w:rPr>
        <w:t>mg</w:t>
      </w:r>
      <w:r w:rsidRPr="00D469BA">
        <w:rPr>
          <w:lang w:val="ru-RU"/>
        </w:rPr>
        <w:t xml:space="preserve">: </w:t>
      </w:r>
      <w:r w:rsidRPr="00D469BA">
        <w:rPr>
          <w:lang w:eastAsia="bg-BG"/>
        </w:rPr>
        <w:t>26 април 2001 г.</w:t>
      </w:r>
    </w:p>
    <w:p w14:paraId="5CDD3AA6" w14:textId="5BCCE71D" w:rsidR="00D469BA" w:rsidRPr="00D469BA" w:rsidRDefault="00D469BA" w:rsidP="00D469BA">
      <w:r w:rsidRPr="00D469BA">
        <w:rPr>
          <w:lang w:eastAsia="bg-BG"/>
        </w:rPr>
        <w:t>Дата на последно подновяване: 16 март 2016 г.</w:t>
      </w:r>
    </w:p>
    <w:p w14:paraId="0E9D0119" w14:textId="0245C6D7" w:rsidR="002C50EE" w:rsidRDefault="002C50EE" w:rsidP="002C50EE">
      <w:pPr>
        <w:pStyle w:val="Heading1"/>
      </w:pPr>
      <w:r>
        <w:t>10. ДАТА НА АКТУАЛИЗИРАНЕ НА ТЕКСТА</w:t>
      </w:r>
    </w:p>
    <w:p w14:paraId="3229F26D" w14:textId="0E460FD9" w:rsidR="00D469BA" w:rsidRPr="003E3126" w:rsidRDefault="00D469BA" w:rsidP="00395555">
      <w:bookmarkStart w:id="4" w:name="_GoBack"/>
      <w:bookmarkEnd w:id="0"/>
      <w:bookmarkEnd w:id="4"/>
    </w:p>
    <w:sectPr w:rsidR="00D469BA"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9EE3C16"/>
    <w:multiLevelType w:val="hybridMultilevel"/>
    <w:tmpl w:val="CE50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705B5"/>
    <w:multiLevelType w:val="hybridMultilevel"/>
    <w:tmpl w:val="635C3FC4"/>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29"/>
  </w:num>
  <w:num w:numId="12">
    <w:abstractNumId w:val="14"/>
  </w:num>
  <w:num w:numId="13">
    <w:abstractNumId w:val="19"/>
  </w:num>
  <w:num w:numId="14">
    <w:abstractNumId w:val="12"/>
  </w:num>
  <w:num w:numId="15">
    <w:abstractNumId w:val="28"/>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2"/>
  </w:num>
  <w:num w:numId="31">
    <w:abstractNumId w:val="5"/>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0665"/>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469BA"/>
    <w:rsid w:val="00D8448F"/>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7490</Words>
  <Characters>42698</Characters>
  <Application>Microsoft Office Word</Application>
  <DocSecurity>0</DocSecurity>
  <Lines>355</Lines>
  <Paragraphs>100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2022-01-13T16:53:00Z</dcterms:created>
  <dcterms:modified xsi:type="dcterms:W3CDTF">2022-01-13T16:53:00Z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