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7F9FCB81" w:rsidR="002C50EE" w:rsidRDefault="002C50EE" w:rsidP="002C50EE">
      <w:pPr>
        <w:pStyle w:val="Heading1"/>
        <w:jc w:val="center"/>
      </w:pPr>
      <w:bookmarkStart w:id="0" w:name="_Hlk63124480"/>
      <w:r>
        <w:t>КРАТКА ХАРАКТЕРИСТИКА НА ПРОДУКТА</w:t>
      </w:r>
    </w:p>
    <w:p w14:paraId="304F133E" w14:textId="64A20345" w:rsidR="00782D59" w:rsidRDefault="00782D59" w:rsidP="00782D59"/>
    <w:p w14:paraId="36644E6D" w14:textId="5F90FB4C" w:rsidR="00782D59" w:rsidRPr="00782D59" w:rsidRDefault="00782D59" w:rsidP="00782D59">
      <w:r w:rsidRPr="00782D59">
        <w:t>▼</w:t>
      </w:r>
      <w:r>
        <w:t>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w:t>
      </w:r>
    </w:p>
    <w:p w14:paraId="3320F4BE" w14:textId="10E6B117" w:rsidR="00C40420" w:rsidRDefault="00DD466D" w:rsidP="004A448E">
      <w:pPr>
        <w:pStyle w:val="Heading1"/>
      </w:pPr>
      <w:r>
        <w:t>1.ИМЕ НА ЛЕКАРСТВЕНИЯ ПРОДУКТ</w:t>
      </w:r>
    </w:p>
    <w:p w14:paraId="7D247E11" w14:textId="58057703" w:rsidR="00782D59" w:rsidRDefault="00782D59" w:rsidP="00782D59"/>
    <w:p w14:paraId="2FEF32B2" w14:textId="77777777" w:rsidR="00782D59" w:rsidRPr="00782D59" w:rsidRDefault="00782D59" w:rsidP="00782D59">
      <w:pPr>
        <w:rPr>
          <w:sz w:val="24"/>
          <w:szCs w:val="24"/>
        </w:rPr>
      </w:pPr>
      <w:r w:rsidRPr="00782D59">
        <w:rPr>
          <w:lang w:eastAsia="bg-BG"/>
        </w:rPr>
        <w:t xml:space="preserve">Тримдуктал 20 </w:t>
      </w:r>
      <w:r w:rsidRPr="00782D59">
        <w:rPr>
          <w:lang w:val="en-US"/>
        </w:rPr>
        <w:t>mg</w:t>
      </w:r>
      <w:r w:rsidRPr="00782D59">
        <w:t xml:space="preserve"> </w:t>
      </w:r>
      <w:r w:rsidRPr="00782D59">
        <w:rPr>
          <w:lang w:eastAsia="bg-BG"/>
        </w:rPr>
        <w:t>филмирани таблетки</w:t>
      </w:r>
    </w:p>
    <w:p w14:paraId="64B39736" w14:textId="3ABDED14" w:rsidR="00782D59" w:rsidRPr="00375A51" w:rsidRDefault="00782D59" w:rsidP="00782D59">
      <w:pPr>
        <w:rPr>
          <w:lang w:val="en-US"/>
        </w:rPr>
      </w:pPr>
      <w:proofErr w:type="spellStart"/>
      <w:r w:rsidRPr="00782D59">
        <w:rPr>
          <w:lang w:val="en-US"/>
        </w:rPr>
        <w:t>Trimductal</w:t>
      </w:r>
      <w:proofErr w:type="spellEnd"/>
      <w:r w:rsidRPr="00782D59">
        <w:t xml:space="preserve"> </w:t>
      </w:r>
      <w:r w:rsidRPr="00782D59">
        <w:rPr>
          <w:lang w:eastAsia="bg-BG"/>
        </w:rPr>
        <w:t xml:space="preserve">20 </w:t>
      </w:r>
      <w:r w:rsidRPr="00782D59">
        <w:rPr>
          <w:lang w:val="en-US"/>
        </w:rPr>
        <w:t>mg</w:t>
      </w:r>
      <w:r w:rsidRPr="00782D59">
        <w:t xml:space="preserve"> </w:t>
      </w:r>
      <w:r w:rsidRPr="00782D59">
        <w:rPr>
          <w:lang w:val="en-US"/>
        </w:rPr>
        <w:t>film</w:t>
      </w:r>
      <w:r w:rsidRPr="00782D59">
        <w:t>-</w:t>
      </w:r>
      <w:r w:rsidRPr="00782D59">
        <w:rPr>
          <w:lang w:val="en-US"/>
        </w:rPr>
        <w:t>coated</w:t>
      </w:r>
      <w:r w:rsidRPr="00782D59">
        <w:t xml:space="preserve"> </w:t>
      </w:r>
      <w:r w:rsidRPr="00782D59">
        <w:rPr>
          <w:lang w:val="en-US"/>
        </w:rPr>
        <w:t>tablets</w:t>
      </w:r>
    </w:p>
    <w:p w14:paraId="6920A680" w14:textId="105576FB" w:rsidR="00C40420" w:rsidRDefault="00DD466D" w:rsidP="004A448E">
      <w:pPr>
        <w:pStyle w:val="Heading1"/>
      </w:pPr>
      <w:r>
        <w:t>2. КАЧЕСТВЕН И КОЛИЧЕСТВЕН СЪСТАВ</w:t>
      </w:r>
    </w:p>
    <w:p w14:paraId="39C231A8" w14:textId="69F7D5E4" w:rsidR="00375A51" w:rsidRDefault="00375A51" w:rsidP="00375A51"/>
    <w:p w14:paraId="7F854BB3" w14:textId="77777777" w:rsidR="00375A51" w:rsidRPr="00375A51" w:rsidRDefault="00375A51" w:rsidP="00375A51">
      <w:pPr>
        <w:rPr>
          <w:sz w:val="24"/>
          <w:szCs w:val="24"/>
        </w:rPr>
      </w:pPr>
      <w:r w:rsidRPr="00375A51">
        <w:rPr>
          <w:lang w:eastAsia="bg-BG"/>
        </w:rPr>
        <w:t xml:space="preserve">Всяка филмирана таблетка съдържа активно вещество триметазидинов дихидрохлорид </w:t>
      </w:r>
      <w:r w:rsidRPr="00375A51">
        <w:t>(</w:t>
      </w:r>
      <w:proofErr w:type="spellStart"/>
      <w:r w:rsidRPr="00375A51">
        <w:rPr>
          <w:lang w:val="en-US"/>
        </w:rPr>
        <w:t>trimetazidme</w:t>
      </w:r>
      <w:proofErr w:type="spellEnd"/>
      <w:r w:rsidRPr="00375A51">
        <w:t xml:space="preserve"> </w:t>
      </w:r>
      <w:proofErr w:type="spellStart"/>
      <w:r w:rsidRPr="00375A51">
        <w:rPr>
          <w:lang w:val="en-US"/>
        </w:rPr>
        <w:t>dihydrochloride</w:t>
      </w:r>
      <w:proofErr w:type="spellEnd"/>
      <w:r w:rsidRPr="00375A51">
        <w:t xml:space="preserve">) </w:t>
      </w:r>
      <w:r w:rsidRPr="00375A51">
        <w:rPr>
          <w:lang w:eastAsia="bg-BG"/>
        </w:rPr>
        <w:t xml:space="preserve">20 </w:t>
      </w:r>
      <w:r w:rsidRPr="00375A51">
        <w:rPr>
          <w:lang w:val="en-US"/>
        </w:rPr>
        <w:t>mg</w:t>
      </w:r>
      <w:r w:rsidRPr="00375A51">
        <w:t>.</w:t>
      </w:r>
    </w:p>
    <w:p w14:paraId="37B5FE99" w14:textId="77777777" w:rsidR="00375A51" w:rsidRPr="00375A51" w:rsidRDefault="00375A51" w:rsidP="00375A51">
      <w:pPr>
        <w:rPr>
          <w:sz w:val="24"/>
          <w:szCs w:val="24"/>
        </w:rPr>
      </w:pPr>
      <w:r w:rsidRPr="00375A51">
        <w:rPr>
          <w:u w:val="single"/>
          <w:lang w:eastAsia="bg-BG"/>
        </w:rPr>
        <w:t>Помощни вещества с известно действие</w:t>
      </w:r>
      <w:r w:rsidRPr="00375A51">
        <w:rPr>
          <w:lang w:eastAsia="bg-BG"/>
        </w:rPr>
        <w:t xml:space="preserve">: лактоза монохидрат, сънсет жълто (Е110), понсо 4 </w:t>
      </w:r>
      <w:r w:rsidRPr="00375A51">
        <w:rPr>
          <w:lang w:val="en-US"/>
        </w:rPr>
        <w:t>R</w:t>
      </w:r>
      <w:r w:rsidRPr="00375A51">
        <w:rPr>
          <w:lang w:val="ru-RU"/>
        </w:rPr>
        <w:t xml:space="preserve"> </w:t>
      </w:r>
      <w:r w:rsidRPr="00375A51">
        <w:rPr>
          <w:lang w:eastAsia="bg-BG"/>
        </w:rPr>
        <w:t>(Е 124).</w:t>
      </w:r>
    </w:p>
    <w:p w14:paraId="735A7067" w14:textId="6F97089D" w:rsidR="00375A51" w:rsidRPr="00375A51" w:rsidRDefault="00375A51" w:rsidP="00375A51"/>
    <w:p w14:paraId="614984C4" w14:textId="5BF51510" w:rsidR="008A6AF2" w:rsidRDefault="00DD466D" w:rsidP="002C50EE">
      <w:pPr>
        <w:pStyle w:val="Heading1"/>
      </w:pPr>
      <w:r>
        <w:t>3. ЛЕКАРСТВЕНА ФОРМА</w:t>
      </w:r>
    </w:p>
    <w:p w14:paraId="6435ECB7" w14:textId="03C70386" w:rsidR="00375A51" w:rsidRDefault="00375A51" w:rsidP="00375A51"/>
    <w:p w14:paraId="49F115C2" w14:textId="77777777" w:rsidR="00375A51" w:rsidRPr="00375A51" w:rsidRDefault="00375A51" w:rsidP="00375A51">
      <w:pPr>
        <w:rPr>
          <w:sz w:val="24"/>
          <w:szCs w:val="24"/>
        </w:rPr>
      </w:pPr>
      <w:r w:rsidRPr="00375A51">
        <w:rPr>
          <w:lang w:eastAsia="bg-BG"/>
        </w:rPr>
        <w:t>Филмирана таблетка</w:t>
      </w:r>
    </w:p>
    <w:p w14:paraId="40DC934F" w14:textId="77777777" w:rsidR="00375A51" w:rsidRPr="00375A51" w:rsidRDefault="00375A51" w:rsidP="00375A51">
      <w:pPr>
        <w:rPr>
          <w:sz w:val="24"/>
          <w:szCs w:val="24"/>
        </w:rPr>
      </w:pPr>
      <w:r w:rsidRPr="00375A51">
        <w:rPr>
          <w:lang w:eastAsia="bg-BG"/>
        </w:rPr>
        <w:t xml:space="preserve">Кръгли, двойно изпъкнали, филмирани таблетки с червен цвят и с диаметър 6 </w:t>
      </w:r>
      <w:r w:rsidRPr="00375A51">
        <w:rPr>
          <w:lang w:val="en-US"/>
        </w:rPr>
        <w:t>mm</w:t>
      </w:r>
      <w:r w:rsidRPr="00375A51">
        <w:rPr>
          <w:lang w:val="ru-RU"/>
        </w:rPr>
        <w:t>.</w:t>
      </w:r>
    </w:p>
    <w:p w14:paraId="04DED365" w14:textId="77777777" w:rsidR="00375A51" w:rsidRPr="00375A51" w:rsidRDefault="00375A51" w:rsidP="00375A51"/>
    <w:p w14:paraId="490FC2C4" w14:textId="32682B15" w:rsidR="002C50EE" w:rsidRDefault="002C50EE" w:rsidP="002C50EE">
      <w:pPr>
        <w:pStyle w:val="Heading1"/>
      </w:pPr>
      <w:r>
        <w:t>4. КЛИНИЧНИ ДАННИ</w:t>
      </w:r>
    </w:p>
    <w:p w14:paraId="0C8E6903" w14:textId="690C23C0" w:rsidR="008134C8" w:rsidRDefault="002C50EE" w:rsidP="004A448E">
      <w:pPr>
        <w:pStyle w:val="Heading2"/>
      </w:pPr>
      <w:r>
        <w:t>4.1. Терапевтични показания</w:t>
      </w:r>
    </w:p>
    <w:p w14:paraId="11C465BA" w14:textId="367F5668" w:rsidR="00375A51" w:rsidRDefault="00375A51" w:rsidP="00375A51"/>
    <w:p w14:paraId="437AAF81" w14:textId="77777777" w:rsidR="00375A51" w:rsidRPr="00375A51" w:rsidRDefault="00375A51" w:rsidP="00375A51">
      <w:pPr>
        <w:rPr>
          <w:sz w:val="24"/>
          <w:szCs w:val="24"/>
        </w:rPr>
      </w:pPr>
      <w:r w:rsidRPr="00375A51">
        <w:rPr>
          <w:lang w:eastAsia="bg-BG"/>
        </w:rPr>
        <w:t>Триметазидин е показан при възрастни като допълващо симптоматично лечение на пациенти със стабилна ангина пекторис, които не са адекватно контролирани или които имат непоносимост към антиангинозните лечения от първа линия.</w:t>
      </w:r>
    </w:p>
    <w:p w14:paraId="4E229259" w14:textId="77777777" w:rsidR="00375A51" w:rsidRPr="00375A51" w:rsidRDefault="00375A51" w:rsidP="00375A51"/>
    <w:p w14:paraId="30BE2C7B" w14:textId="54ABBD48" w:rsidR="008134C8" w:rsidRDefault="002C50EE" w:rsidP="004A448E">
      <w:pPr>
        <w:pStyle w:val="Heading2"/>
      </w:pPr>
      <w:r>
        <w:t>4.2. Дозировка и начин на приложение</w:t>
      </w:r>
    </w:p>
    <w:p w14:paraId="5B894FB1" w14:textId="3DC31FA7" w:rsidR="00375A51" w:rsidRDefault="00375A51" w:rsidP="00375A51"/>
    <w:p w14:paraId="2E5FBA51" w14:textId="77777777" w:rsidR="00375A51" w:rsidRPr="00375A51" w:rsidRDefault="00375A51" w:rsidP="00375A51">
      <w:pPr>
        <w:pStyle w:val="Heading3"/>
        <w:rPr>
          <w:rFonts w:eastAsia="Times New Roman"/>
          <w:u w:val="single"/>
        </w:rPr>
      </w:pPr>
      <w:r w:rsidRPr="00375A51">
        <w:rPr>
          <w:rFonts w:eastAsia="Times New Roman"/>
          <w:u w:val="single"/>
          <w:lang w:eastAsia="bg-BG"/>
        </w:rPr>
        <w:t>Дозировка</w:t>
      </w:r>
    </w:p>
    <w:p w14:paraId="297B8C1F"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 xml:space="preserve">Дозата е една таблетка от 20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триметазидин три пъти дневно по време на хранене.</w:t>
      </w:r>
    </w:p>
    <w:p w14:paraId="16ACA45E" w14:textId="77777777" w:rsidR="00375A51" w:rsidRDefault="00375A51" w:rsidP="00375A51">
      <w:pPr>
        <w:spacing w:line="240" w:lineRule="auto"/>
        <w:rPr>
          <w:rFonts w:eastAsia="Times New Roman" w:cs="Arial"/>
          <w:color w:val="000000"/>
          <w:u w:val="single"/>
          <w:lang w:eastAsia="bg-BG"/>
        </w:rPr>
      </w:pPr>
    </w:p>
    <w:p w14:paraId="03BB3AD0" w14:textId="69F27CDA" w:rsidR="00375A51" w:rsidRPr="00375A51" w:rsidRDefault="00375A51" w:rsidP="00375A51">
      <w:pPr>
        <w:spacing w:line="240" w:lineRule="auto"/>
        <w:rPr>
          <w:rFonts w:eastAsia="Times New Roman" w:cs="Arial"/>
        </w:rPr>
      </w:pPr>
      <w:r w:rsidRPr="00375A51">
        <w:rPr>
          <w:rFonts w:eastAsia="Times New Roman" w:cs="Arial"/>
          <w:color w:val="000000"/>
          <w:u w:val="single"/>
          <w:lang w:eastAsia="bg-BG"/>
        </w:rPr>
        <w:t>Специални популации</w:t>
      </w:r>
    </w:p>
    <w:p w14:paraId="40CBDDDB" w14:textId="77777777" w:rsidR="00375A51" w:rsidRPr="00375A51" w:rsidRDefault="00375A51" w:rsidP="00375A51">
      <w:pPr>
        <w:spacing w:line="240" w:lineRule="auto"/>
        <w:rPr>
          <w:rFonts w:eastAsia="Times New Roman" w:cs="Arial"/>
        </w:rPr>
      </w:pPr>
      <w:r w:rsidRPr="00375A51">
        <w:rPr>
          <w:rFonts w:eastAsia="Times New Roman" w:cs="Arial"/>
          <w:i/>
          <w:iCs/>
          <w:color w:val="000000"/>
          <w:lang w:eastAsia="bg-BG"/>
        </w:rPr>
        <w:t>Пациенти с бъбречно увреждане</w:t>
      </w:r>
    </w:p>
    <w:p w14:paraId="680AFF69"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 xml:space="preserve">При пациенти с умерена степен на нарушение на бъбречната функция (креатининов клирънс [30-60] </w:t>
      </w:r>
      <w:r w:rsidRPr="00375A51">
        <w:rPr>
          <w:rFonts w:eastAsia="Times New Roman" w:cs="Arial"/>
          <w:color w:val="000000"/>
          <w:lang w:val="en-US"/>
        </w:rPr>
        <w:t>ml</w:t>
      </w:r>
      <w:r w:rsidRPr="00375A51">
        <w:rPr>
          <w:rFonts w:eastAsia="Times New Roman" w:cs="Arial"/>
          <w:color w:val="000000"/>
          <w:lang w:val="ru-RU"/>
        </w:rPr>
        <w:t>/</w:t>
      </w:r>
      <w:r w:rsidRPr="00375A51">
        <w:rPr>
          <w:rFonts w:eastAsia="Times New Roman" w:cs="Arial"/>
          <w:color w:val="000000"/>
          <w:lang w:val="en-US"/>
        </w:rPr>
        <w:t>min</w:t>
      </w:r>
      <w:r w:rsidRPr="00375A51">
        <w:rPr>
          <w:rFonts w:eastAsia="Times New Roman" w:cs="Arial"/>
          <w:color w:val="000000"/>
          <w:lang w:val="ru-RU"/>
        </w:rPr>
        <w:t xml:space="preserve">) </w:t>
      </w:r>
      <w:r w:rsidRPr="00375A51">
        <w:rPr>
          <w:rFonts w:eastAsia="Times New Roman" w:cs="Arial"/>
          <w:color w:val="000000"/>
          <w:lang w:eastAsia="bg-BG"/>
        </w:rPr>
        <w:t xml:space="preserve">(вж. точки 4.4 и 5.2) препоръчителната доза е 1 таблетка от 20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два пъти дневно, т.е. една сутрин и една вечер по време на хранене.</w:t>
      </w:r>
    </w:p>
    <w:p w14:paraId="3D4D431E" w14:textId="77777777" w:rsidR="00375A51" w:rsidRDefault="00375A51" w:rsidP="00375A51">
      <w:pPr>
        <w:spacing w:line="240" w:lineRule="auto"/>
        <w:rPr>
          <w:rFonts w:eastAsia="Times New Roman" w:cs="Arial"/>
          <w:i/>
          <w:iCs/>
          <w:color w:val="000000"/>
          <w:lang w:eastAsia="bg-BG"/>
        </w:rPr>
      </w:pPr>
    </w:p>
    <w:p w14:paraId="08F54BB8" w14:textId="622EED2A" w:rsidR="00375A51" w:rsidRPr="00375A51" w:rsidRDefault="00375A51" w:rsidP="00375A51">
      <w:pPr>
        <w:spacing w:line="240" w:lineRule="auto"/>
        <w:rPr>
          <w:rFonts w:eastAsia="Times New Roman" w:cs="Arial"/>
        </w:rPr>
      </w:pPr>
      <w:r w:rsidRPr="00375A51">
        <w:rPr>
          <w:rFonts w:eastAsia="Times New Roman" w:cs="Arial"/>
          <w:i/>
          <w:iCs/>
          <w:color w:val="000000"/>
          <w:lang w:eastAsia="bg-BG"/>
        </w:rPr>
        <w:lastRenderedPageBreak/>
        <w:t>Пациенти в старческа възраст</w:t>
      </w:r>
    </w:p>
    <w:p w14:paraId="45668CE3"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 xml:space="preserve">При пациенти в старческа възраст е възможна повишена експозиция на триметазидин, поради възрастово обусловено намаляване на бъбречните функции (вж. точка 5.2). При пациенти с умерено нарушение на бъбречната функция (креатининов клирънс [30-60] </w:t>
      </w:r>
      <w:r w:rsidRPr="00375A51">
        <w:rPr>
          <w:rFonts w:eastAsia="Times New Roman" w:cs="Arial"/>
          <w:color w:val="000000"/>
          <w:lang w:val="en-US"/>
        </w:rPr>
        <w:t>ml</w:t>
      </w:r>
      <w:r w:rsidRPr="00375A51">
        <w:rPr>
          <w:rFonts w:eastAsia="Times New Roman" w:cs="Arial"/>
          <w:color w:val="000000"/>
          <w:lang w:val="ru-RU"/>
        </w:rPr>
        <w:t>/</w:t>
      </w:r>
      <w:r w:rsidRPr="00375A51">
        <w:rPr>
          <w:rFonts w:eastAsia="Times New Roman" w:cs="Arial"/>
          <w:color w:val="000000"/>
          <w:lang w:val="en-US"/>
        </w:rPr>
        <w:t>min</w:t>
      </w:r>
      <w:r w:rsidRPr="00375A51">
        <w:rPr>
          <w:rFonts w:eastAsia="Times New Roman" w:cs="Arial"/>
          <w:color w:val="000000"/>
          <w:lang w:val="ru-RU"/>
        </w:rPr>
        <w:t xml:space="preserve">), </w:t>
      </w:r>
      <w:r w:rsidRPr="00375A51">
        <w:rPr>
          <w:rFonts w:eastAsia="Times New Roman" w:cs="Arial"/>
          <w:color w:val="000000"/>
          <w:lang w:eastAsia="bg-BG"/>
        </w:rPr>
        <w:t xml:space="preserve">препоръчваната доза е 1 таблетка от 20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два пъти дневно, т.е. една сутрин и една вечер по време на хранене. Корекцията на дозата чрез титриране при пациенти в старческа възраст трябва да става с повишено внимание (вж. точка 4.4).</w:t>
      </w:r>
    </w:p>
    <w:p w14:paraId="1013C9BC" w14:textId="77777777" w:rsidR="00375A51" w:rsidRDefault="00375A51" w:rsidP="00375A51">
      <w:pPr>
        <w:spacing w:line="240" w:lineRule="auto"/>
        <w:rPr>
          <w:rFonts w:eastAsia="Times New Roman" w:cs="Arial"/>
          <w:i/>
          <w:iCs/>
          <w:color w:val="000000"/>
          <w:lang w:eastAsia="bg-BG"/>
        </w:rPr>
      </w:pPr>
    </w:p>
    <w:p w14:paraId="0A37BF67" w14:textId="782A7692" w:rsidR="00375A51" w:rsidRPr="00375A51" w:rsidRDefault="00375A51" w:rsidP="00375A51">
      <w:pPr>
        <w:spacing w:line="240" w:lineRule="auto"/>
        <w:rPr>
          <w:rFonts w:eastAsia="Times New Roman" w:cs="Arial"/>
        </w:rPr>
      </w:pPr>
      <w:r w:rsidRPr="00375A51">
        <w:rPr>
          <w:rFonts w:eastAsia="Times New Roman" w:cs="Arial"/>
          <w:i/>
          <w:iCs/>
          <w:color w:val="000000"/>
          <w:lang w:eastAsia="bg-BG"/>
        </w:rPr>
        <w:t>Педиатрична популация</w:t>
      </w:r>
    </w:p>
    <w:p w14:paraId="3037FFC8"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Безопасността и ефикасността на триметазидин при деца на възраст под 18 години не са установени. Липсват данни.</w:t>
      </w:r>
    </w:p>
    <w:p w14:paraId="5A94CD0D" w14:textId="77777777" w:rsidR="00375A51" w:rsidRPr="00375A51" w:rsidRDefault="00375A51" w:rsidP="00375A51">
      <w:pPr>
        <w:spacing w:line="240" w:lineRule="auto"/>
        <w:rPr>
          <w:rFonts w:eastAsia="Times New Roman" w:cs="Arial"/>
          <w:color w:val="000000"/>
          <w:u w:val="single"/>
          <w:lang w:eastAsia="bg-BG"/>
        </w:rPr>
      </w:pPr>
    </w:p>
    <w:p w14:paraId="6F5C5D24" w14:textId="2D882233" w:rsidR="00375A51" w:rsidRPr="00375A51" w:rsidRDefault="00375A51" w:rsidP="00375A51">
      <w:pPr>
        <w:pStyle w:val="Heading3"/>
        <w:rPr>
          <w:rFonts w:eastAsia="Times New Roman"/>
          <w:u w:val="single"/>
        </w:rPr>
      </w:pPr>
      <w:r w:rsidRPr="00375A51">
        <w:rPr>
          <w:rFonts w:eastAsia="Times New Roman"/>
          <w:u w:val="single"/>
          <w:lang w:eastAsia="bg-BG"/>
        </w:rPr>
        <w:t>Начин на приложение</w:t>
      </w:r>
    </w:p>
    <w:p w14:paraId="456E24D7"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Прилага се перорално по време на хранене с вода.</w:t>
      </w:r>
    </w:p>
    <w:p w14:paraId="01A22828" w14:textId="77777777" w:rsidR="00375A51" w:rsidRPr="00375A51" w:rsidRDefault="00375A51" w:rsidP="00375A51"/>
    <w:p w14:paraId="28C984E8" w14:textId="23282ECA" w:rsidR="008134C8" w:rsidRDefault="002C50EE" w:rsidP="004A448E">
      <w:pPr>
        <w:pStyle w:val="Heading2"/>
      </w:pPr>
      <w:r>
        <w:t>4.3. Противопоказания</w:t>
      </w:r>
    </w:p>
    <w:p w14:paraId="5797C376" w14:textId="74327C07" w:rsidR="00375A51" w:rsidRDefault="00375A51" w:rsidP="00375A51"/>
    <w:p w14:paraId="51C6367E" w14:textId="77777777" w:rsidR="00375A51" w:rsidRPr="00375A51" w:rsidRDefault="00375A51" w:rsidP="00375A51">
      <w:pPr>
        <w:rPr>
          <w:sz w:val="24"/>
          <w:szCs w:val="24"/>
        </w:rPr>
      </w:pPr>
      <w:r w:rsidRPr="00375A51">
        <w:rPr>
          <w:lang w:eastAsia="bg-BG"/>
        </w:rPr>
        <w:t>Свръхчувствителност към активното вещество или към някое от помощните вещества, изброени в точка 6.1;</w:t>
      </w:r>
    </w:p>
    <w:p w14:paraId="3C255531" w14:textId="77777777" w:rsidR="00375A51" w:rsidRPr="00375A51" w:rsidRDefault="00375A51" w:rsidP="00375A51">
      <w:pPr>
        <w:rPr>
          <w:sz w:val="24"/>
          <w:szCs w:val="24"/>
        </w:rPr>
      </w:pPr>
      <w:r w:rsidRPr="00375A51">
        <w:rPr>
          <w:lang w:eastAsia="bg-BG"/>
        </w:rPr>
        <w:t>Болест на Паркинсон, паркинсонови симптоми, тремор, синдром йа неспокойните крака и други свързани двигателни нарушения;</w:t>
      </w:r>
    </w:p>
    <w:p w14:paraId="7F421555" w14:textId="77777777" w:rsidR="00375A51" w:rsidRPr="00375A51" w:rsidRDefault="00375A51" w:rsidP="00375A51">
      <w:pPr>
        <w:rPr>
          <w:sz w:val="24"/>
          <w:szCs w:val="24"/>
        </w:rPr>
      </w:pPr>
      <w:r w:rsidRPr="00375A51">
        <w:rPr>
          <w:lang w:eastAsia="bg-BG"/>
        </w:rPr>
        <w:t xml:space="preserve">Тежка степен на бъбречно увреждане (креатининов клирънс &lt;30 </w:t>
      </w:r>
      <w:r w:rsidRPr="00375A51">
        <w:rPr>
          <w:lang w:val="en-US"/>
        </w:rPr>
        <w:t>ml</w:t>
      </w:r>
      <w:r w:rsidRPr="00375A51">
        <w:rPr>
          <w:lang w:val="ru-RU"/>
        </w:rPr>
        <w:t>/</w:t>
      </w:r>
      <w:r w:rsidRPr="00375A51">
        <w:rPr>
          <w:lang w:val="en-US"/>
        </w:rPr>
        <w:t>min</w:t>
      </w:r>
      <w:r w:rsidRPr="00375A51">
        <w:rPr>
          <w:lang w:val="ru-RU"/>
        </w:rPr>
        <w:t>).</w:t>
      </w:r>
    </w:p>
    <w:p w14:paraId="4FCD038A" w14:textId="77777777" w:rsidR="00375A51" w:rsidRPr="00375A51" w:rsidRDefault="00375A51" w:rsidP="00375A51"/>
    <w:p w14:paraId="212F509C" w14:textId="25396A99" w:rsidR="004F498A" w:rsidRDefault="002C50EE" w:rsidP="004A448E">
      <w:pPr>
        <w:pStyle w:val="Heading2"/>
      </w:pPr>
      <w:r>
        <w:t>4.4. Специални предупреждения и предпазни мерки при употреба</w:t>
      </w:r>
    </w:p>
    <w:p w14:paraId="26BB27DB" w14:textId="74F4BFD7" w:rsidR="00375A51" w:rsidRDefault="00375A51" w:rsidP="00375A51"/>
    <w:p w14:paraId="38E9E2A5"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Триметазидин може да причини или да влоши паркинсоновите симптоми (тремор, акинезия, хипертонус), които трябва да се изследват регулярно, особено при пациенти в старческа възраст. В случай на съмнение, пациентите трябва да бъдат насочени към невролог за съответни изследвания.</w:t>
      </w:r>
    </w:p>
    <w:p w14:paraId="2BB9C0D7" w14:textId="77777777" w:rsidR="00375A51" w:rsidRDefault="00375A51" w:rsidP="00375A51">
      <w:pPr>
        <w:spacing w:line="240" w:lineRule="auto"/>
        <w:rPr>
          <w:rFonts w:eastAsia="Times New Roman" w:cs="Arial"/>
          <w:color w:val="000000"/>
          <w:lang w:eastAsia="bg-BG"/>
        </w:rPr>
      </w:pPr>
    </w:p>
    <w:p w14:paraId="7FA8A755" w14:textId="1F702149" w:rsidR="00375A51" w:rsidRPr="00375A51" w:rsidRDefault="00375A51" w:rsidP="00375A51">
      <w:pPr>
        <w:spacing w:line="240" w:lineRule="auto"/>
        <w:rPr>
          <w:rFonts w:eastAsia="Times New Roman" w:cs="Arial"/>
        </w:rPr>
      </w:pPr>
      <w:r w:rsidRPr="00375A51">
        <w:rPr>
          <w:rFonts w:eastAsia="Times New Roman" w:cs="Arial"/>
          <w:color w:val="000000"/>
          <w:lang w:eastAsia="bg-BG"/>
        </w:rPr>
        <w:t>Появата на двигателни нарушения, като например паркинсонови симптоми, синдром на неспокойните крака, тремор, нестабилност на походката са основание за окончателно прекратяване на лечението с триметазидин.</w:t>
      </w:r>
    </w:p>
    <w:p w14:paraId="6297039E" w14:textId="77777777" w:rsidR="00375A51" w:rsidRDefault="00375A51" w:rsidP="00375A51">
      <w:pPr>
        <w:spacing w:line="240" w:lineRule="auto"/>
        <w:rPr>
          <w:rFonts w:eastAsia="Times New Roman" w:cs="Arial"/>
          <w:color w:val="000000"/>
          <w:lang w:eastAsia="bg-BG"/>
        </w:rPr>
      </w:pPr>
    </w:p>
    <w:p w14:paraId="04286E74" w14:textId="1027D159" w:rsidR="00375A51" w:rsidRPr="00375A51" w:rsidRDefault="00375A51" w:rsidP="00375A51">
      <w:pPr>
        <w:spacing w:line="240" w:lineRule="auto"/>
        <w:rPr>
          <w:rFonts w:eastAsia="Times New Roman" w:cs="Arial"/>
        </w:rPr>
      </w:pPr>
      <w:r w:rsidRPr="00375A51">
        <w:rPr>
          <w:rFonts w:eastAsia="Times New Roman" w:cs="Arial"/>
          <w:color w:val="000000"/>
          <w:lang w:eastAsia="bg-BG"/>
        </w:rPr>
        <w:t>Подобни случаи са много редки и обикновено обратими след спиране на лечението.</w:t>
      </w:r>
    </w:p>
    <w:p w14:paraId="1E22144F"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При болшинството от пациентите, които се възстановяват, симптомите изчезват до 4 месеца след прекратяване на лечението с триметазидин. Ако симптомите продължат повече от 4 месеца след спиране на приема на лекарството, трябва да се потърси мнението на невролог.</w:t>
      </w:r>
    </w:p>
    <w:p w14:paraId="0B0CE3B5" w14:textId="77777777" w:rsidR="00375A51" w:rsidRDefault="00375A51" w:rsidP="00375A51">
      <w:pPr>
        <w:spacing w:line="240" w:lineRule="auto"/>
        <w:rPr>
          <w:rFonts w:eastAsia="Times New Roman" w:cs="Arial"/>
          <w:color w:val="000000"/>
          <w:lang w:eastAsia="bg-BG"/>
        </w:rPr>
      </w:pPr>
    </w:p>
    <w:p w14:paraId="1C71EF12" w14:textId="5672BEC1" w:rsidR="00375A51" w:rsidRPr="00375A51" w:rsidRDefault="00375A51" w:rsidP="00375A51">
      <w:pPr>
        <w:spacing w:line="240" w:lineRule="auto"/>
        <w:rPr>
          <w:rFonts w:eastAsia="Times New Roman" w:cs="Arial"/>
        </w:rPr>
      </w:pPr>
      <w:r w:rsidRPr="00375A51">
        <w:rPr>
          <w:rFonts w:eastAsia="Times New Roman" w:cs="Arial"/>
          <w:color w:val="000000"/>
          <w:lang w:eastAsia="bg-BG"/>
        </w:rPr>
        <w:t>Може да се стигне до падания, свързани с нестабилност в походката или хипотония, по-специално при пациенти на антихипергензивно лечение (вж. точка 4.8).</w:t>
      </w:r>
    </w:p>
    <w:p w14:paraId="59ED4D3F"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Трябва да се действа много внимателно при предписване на триметазидин на пациенти, при които се очаква повишена експозиция:</w:t>
      </w:r>
    </w:p>
    <w:p w14:paraId="5A686B85" w14:textId="77777777" w:rsidR="00375A51" w:rsidRDefault="00375A51" w:rsidP="00375A51">
      <w:pPr>
        <w:pStyle w:val="ListParagraph"/>
        <w:numPr>
          <w:ilvl w:val="0"/>
          <w:numId w:val="2"/>
        </w:numPr>
        <w:spacing w:line="240" w:lineRule="auto"/>
        <w:rPr>
          <w:rFonts w:eastAsia="Times New Roman" w:cs="Arial"/>
          <w:color w:val="000000"/>
          <w:lang w:eastAsia="bg-BG"/>
        </w:rPr>
      </w:pPr>
      <w:r w:rsidRPr="00375A51">
        <w:rPr>
          <w:rFonts w:eastAsia="Times New Roman" w:cs="Arial"/>
          <w:color w:val="000000"/>
          <w:lang w:eastAsia="bg-BG"/>
        </w:rPr>
        <w:t>умерено нарушение на бъбречната функция (вж. точки 4.2 и 5.2);</w:t>
      </w:r>
    </w:p>
    <w:p w14:paraId="006DF37F" w14:textId="406E16AB" w:rsidR="00375A51" w:rsidRPr="00375A51" w:rsidRDefault="00375A51" w:rsidP="00375A51">
      <w:pPr>
        <w:pStyle w:val="ListParagraph"/>
        <w:numPr>
          <w:ilvl w:val="0"/>
          <w:numId w:val="2"/>
        </w:numPr>
        <w:spacing w:line="240" w:lineRule="auto"/>
        <w:rPr>
          <w:rFonts w:eastAsia="Times New Roman" w:cs="Arial"/>
          <w:color w:val="000000"/>
          <w:lang w:eastAsia="bg-BG"/>
        </w:rPr>
      </w:pPr>
      <w:r w:rsidRPr="00375A51">
        <w:rPr>
          <w:rFonts w:eastAsia="Times New Roman" w:cs="Arial"/>
          <w:color w:val="000000"/>
          <w:lang w:eastAsia="bg-BG"/>
        </w:rPr>
        <w:t>пациенти в старческа възраст над 75 години (вж. точка 4.2).</w:t>
      </w:r>
    </w:p>
    <w:p w14:paraId="3F4CB12C" w14:textId="77777777" w:rsidR="00375A51" w:rsidRDefault="00375A51" w:rsidP="00375A51">
      <w:pPr>
        <w:spacing w:line="240" w:lineRule="auto"/>
        <w:rPr>
          <w:rFonts w:eastAsia="Times New Roman" w:cs="Arial"/>
          <w:color w:val="000000"/>
          <w:lang w:eastAsia="bg-BG"/>
        </w:rPr>
      </w:pPr>
    </w:p>
    <w:p w14:paraId="15230F81" w14:textId="72F1BF81" w:rsidR="00375A51" w:rsidRPr="00375A51" w:rsidRDefault="00375A51" w:rsidP="00375A51">
      <w:pPr>
        <w:spacing w:line="240" w:lineRule="auto"/>
        <w:rPr>
          <w:rFonts w:eastAsia="Times New Roman" w:cs="Arial"/>
        </w:rPr>
      </w:pPr>
      <w:r w:rsidRPr="00375A51">
        <w:rPr>
          <w:rFonts w:eastAsia="Times New Roman" w:cs="Arial"/>
          <w:color w:val="000000"/>
          <w:lang w:eastAsia="bg-BG"/>
        </w:rPr>
        <w:t>Този лекарствен продукт съдържа лактоза.</w:t>
      </w:r>
    </w:p>
    <w:p w14:paraId="7D167C76"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lastRenderedPageBreak/>
        <w:t xml:space="preserve">Пациенти с редки наследствени проблеми на непоносимост към галактоза, лактазен дефицит на </w:t>
      </w:r>
      <w:r w:rsidRPr="00375A51">
        <w:rPr>
          <w:rFonts w:eastAsia="Times New Roman" w:cs="Arial"/>
          <w:color w:val="000000"/>
          <w:lang w:val="en-US"/>
        </w:rPr>
        <w:t>Lapp</w:t>
      </w:r>
      <w:r w:rsidRPr="00375A51">
        <w:rPr>
          <w:rFonts w:eastAsia="Times New Roman" w:cs="Arial"/>
          <w:color w:val="000000"/>
          <w:lang w:val="ru-RU"/>
        </w:rPr>
        <w:t xml:space="preserve"> </w:t>
      </w:r>
      <w:r w:rsidRPr="00375A51">
        <w:rPr>
          <w:rFonts w:eastAsia="Times New Roman" w:cs="Arial"/>
          <w:color w:val="000000"/>
          <w:lang w:eastAsia="bg-BG"/>
        </w:rPr>
        <w:t>или глюкозо-галактозна малабсорбция не трябва да приемат лекарството.</w:t>
      </w:r>
    </w:p>
    <w:p w14:paraId="62B1B3D6"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Съдържащите се като помощни вещества оцветители Е110 и Е124 могат да предизвикат алергични реакции.</w:t>
      </w:r>
    </w:p>
    <w:p w14:paraId="6C709FA7" w14:textId="77777777" w:rsidR="00375A51" w:rsidRPr="00375A51" w:rsidRDefault="00375A51" w:rsidP="00375A51"/>
    <w:p w14:paraId="619DED1E" w14:textId="0E41E65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12E878D" w14:textId="4112EDEF" w:rsidR="00375A51" w:rsidRDefault="00375A51" w:rsidP="00375A51"/>
    <w:p w14:paraId="0E3ECF21" w14:textId="234EF9C3" w:rsidR="00375A51" w:rsidRDefault="00375A51" w:rsidP="00375A51">
      <w:r>
        <w:t>Не са съобщавани случаи на взаимодействие с други лекарства.</w:t>
      </w:r>
    </w:p>
    <w:p w14:paraId="27D07938" w14:textId="77777777" w:rsidR="00375A51" w:rsidRPr="00375A51" w:rsidRDefault="00375A51" w:rsidP="00375A51"/>
    <w:p w14:paraId="394A7584" w14:textId="03C728D9" w:rsidR="004F498A" w:rsidRDefault="002C50EE" w:rsidP="004A448E">
      <w:pPr>
        <w:pStyle w:val="Heading2"/>
      </w:pPr>
      <w:r>
        <w:t>4.6. Фертилитет, бременност и кърмене</w:t>
      </w:r>
    </w:p>
    <w:p w14:paraId="0A76B599" w14:textId="07215ADE" w:rsidR="00375A51" w:rsidRDefault="00375A51" w:rsidP="00375A51"/>
    <w:p w14:paraId="4B649E5F" w14:textId="77777777" w:rsidR="00375A51" w:rsidRPr="00375A51" w:rsidRDefault="00375A51" w:rsidP="00375A51">
      <w:pPr>
        <w:pStyle w:val="Heading3"/>
        <w:rPr>
          <w:rFonts w:eastAsia="Times New Roman"/>
          <w:u w:val="single"/>
        </w:rPr>
      </w:pPr>
      <w:r w:rsidRPr="00375A51">
        <w:rPr>
          <w:rFonts w:eastAsia="Times New Roman"/>
          <w:u w:val="single"/>
          <w:lang w:eastAsia="bg-BG"/>
        </w:rPr>
        <w:t>Бременност</w:t>
      </w:r>
    </w:p>
    <w:p w14:paraId="6E1C83D7" w14:textId="77777777" w:rsidR="00375A51" w:rsidRPr="00375A51" w:rsidRDefault="00375A51" w:rsidP="00375A51">
      <w:pPr>
        <w:rPr>
          <w:sz w:val="24"/>
          <w:szCs w:val="24"/>
        </w:rPr>
      </w:pPr>
      <w:r w:rsidRPr="00375A51">
        <w:rPr>
          <w:lang w:eastAsia="bg-BG"/>
        </w:rPr>
        <w:t>Триметазидин не показва ембриотоксично и тератогенно действие при опити върху животни.</w:t>
      </w:r>
    </w:p>
    <w:p w14:paraId="56FACD6F" w14:textId="77777777" w:rsidR="00375A51" w:rsidRPr="00375A51" w:rsidRDefault="00375A51" w:rsidP="00375A51">
      <w:pPr>
        <w:rPr>
          <w:sz w:val="24"/>
          <w:szCs w:val="24"/>
        </w:rPr>
      </w:pPr>
      <w:r w:rsidRPr="00375A51">
        <w:rPr>
          <w:lang w:eastAsia="bg-BG"/>
        </w:rPr>
        <w:t>Поради недостатъчен клиничен опит относно безопасността на триметазидин не се препоръчва употребата му по време на бременност.</w:t>
      </w:r>
    </w:p>
    <w:p w14:paraId="66C9AF1D" w14:textId="77777777" w:rsidR="00375A51" w:rsidRDefault="00375A51" w:rsidP="00375A51">
      <w:pPr>
        <w:rPr>
          <w:lang w:eastAsia="bg-BG"/>
        </w:rPr>
      </w:pPr>
    </w:p>
    <w:p w14:paraId="6EA7FEC0" w14:textId="173EFF02" w:rsidR="00375A51" w:rsidRPr="00375A51" w:rsidRDefault="00375A51" w:rsidP="00375A51">
      <w:pPr>
        <w:pStyle w:val="Heading3"/>
        <w:rPr>
          <w:rFonts w:eastAsia="Times New Roman"/>
          <w:u w:val="single"/>
        </w:rPr>
      </w:pPr>
      <w:r w:rsidRPr="00375A51">
        <w:rPr>
          <w:rFonts w:eastAsia="Times New Roman"/>
          <w:u w:val="single"/>
          <w:lang w:eastAsia="bg-BG"/>
        </w:rPr>
        <w:t>Кърмене</w:t>
      </w:r>
    </w:p>
    <w:p w14:paraId="3DE50D60" w14:textId="77777777" w:rsidR="00375A51" w:rsidRPr="00375A51" w:rsidRDefault="00375A51" w:rsidP="00375A51">
      <w:pPr>
        <w:rPr>
          <w:sz w:val="24"/>
          <w:szCs w:val="24"/>
        </w:rPr>
      </w:pPr>
      <w:r w:rsidRPr="00375A51">
        <w:rPr>
          <w:lang w:eastAsia="bg-BG"/>
        </w:rPr>
        <w:t>Поради липса на данни за екскрецията на продукта с кърмата, не се препоръчва употребата му по време на кърмене.</w:t>
      </w:r>
    </w:p>
    <w:p w14:paraId="25A7B78A" w14:textId="77777777" w:rsidR="00375A51" w:rsidRPr="00375A51" w:rsidRDefault="00375A51" w:rsidP="00375A51"/>
    <w:p w14:paraId="064DF1DE" w14:textId="624FDEFF" w:rsidR="00CF77F7" w:rsidRDefault="002C50EE" w:rsidP="004A448E">
      <w:pPr>
        <w:pStyle w:val="Heading2"/>
      </w:pPr>
      <w:r>
        <w:t>4.7. Ефекти върху способността за шофиране и работа с машини</w:t>
      </w:r>
    </w:p>
    <w:p w14:paraId="2D2AD952" w14:textId="5FDFDBDB" w:rsidR="00375A51" w:rsidRDefault="00375A51" w:rsidP="00375A51"/>
    <w:p w14:paraId="2A023BD3" w14:textId="5BF5456E" w:rsidR="00375A51" w:rsidRDefault="00375A51" w:rsidP="00375A51">
      <w:r>
        <w:t>Триметазидин не е показал хемодинамични ефекти при клиничните проучвания, въпреки че случаи на замаяност и сънливост са наблюдавани при постмаркетинговия опит (вж. точка 4.8), което би могло да повлияе способността за шофиране и работа с машини.</w:t>
      </w:r>
    </w:p>
    <w:p w14:paraId="6B757EB3" w14:textId="77777777" w:rsidR="00375A51" w:rsidRPr="00375A51" w:rsidRDefault="00375A51" w:rsidP="00375A51"/>
    <w:p w14:paraId="37A3FD9F" w14:textId="1410A8B8" w:rsidR="00CF77F7" w:rsidRDefault="002C50EE" w:rsidP="004A448E">
      <w:pPr>
        <w:pStyle w:val="Heading2"/>
      </w:pPr>
      <w:r>
        <w:t>4.8. Нежелани лекарствени реакции</w:t>
      </w:r>
    </w:p>
    <w:p w14:paraId="5E254F24" w14:textId="585A100A" w:rsidR="00375A51" w:rsidRDefault="00375A51" w:rsidP="00375A51"/>
    <w:p w14:paraId="53CF8A12" w14:textId="77777777" w:rsidR="00375A51" w:rsidRPr="00375A51" w:rsidRDefault="00375A51" w:rsidP="00375A51">
      <w:pPr>
        <w:rPr>
          <w:sz w:val="24"/>
          <w:szCs w:val="24"/>
        </w:rPr>
      </w:pPr>
      <w:r w:rsidRPr="00375A51">
        <w:rPr>
          <w:lang w:eastAsia="bg-BG"/>
        </w:rPr>
        <w:t>Изброените по-долу нежелани лекарствени реакции са класифицирани по честота и според системно- органния клас (СОК). Категориите по честота се дефинират като: много чести (≥1/10), чести (≥1/100 до &lt;1/10), нечести (≥ 1/1 000 до &lt;1/100), редки (≥ 1/10 000 до &lt;1/1 000), много редки (&lt;1/10 000), с неизвестна честота (от наличните данни не може да бъде направена оценка).</w:t>
      </w:r>
    </w:p>
    <w:p w14:paraId="1226220F" w14:textId="5BF0A622" w:rsidR="00375A51" w:rsidRDefault="00375A51" w:rsidP="00375A51"/>
    <w:tbl>
      <w:tblPr>
        <w:tblStyle w:val="TableGrid"/>
        <w:tblW w:w="0" w:type="auto"/>
        <w:tblLook w:val="04A0" w:firstRow="1" w:lastRow="0" w:firstColumn="1" w:lastColumn="0" w:noHBand="0" w:noVBand="1"/>
      </w:tblPr>
      <w:tblGrid>
        <w:gridCol w:w="3120"/>
        <w:gridCol w:w="3088"/>
        <w:gridCol w:w="3142"/>
      </w:tblGrid>
      <w:tr w:rsidR="00375A51" w14:paraId="089A1D3F" w14:textId="77777777" w:rsidTr="00375A51">
        <w:tc>
          <w:tcPr>
            <w:tcW w:w="3192" w:type="dxa"/>
          </w:tcPr>
          <w:p w14:paraId="0B55F721" w14:textId="2D68494A" w:rsidR="00375A51" w:rsidRPr="00375A51" w:rsidRDefault="00375A51" w:rsidP="00375A51">
            <w:r w:rsidRPr="00375A51">
              <w:rPr>
                <w:b/>
                <w:bCs/>
              </w:rPr>
              <w:t>Системо-органни класове</w:t>
            </w:r>
          </w:p>
        </w:tc>
        <w:tc>
          <w:tcPr>
            <w:tcW w:w="3192" w:type="dxa"/>
          </w:tcPr>
          <w:p w14:paraId="7BF65F30" w14:textId="14D079D9" w:rsidR="00375A51" w:rsidRPr="00375A51" w:rsidRDefault="00375A51" w:rsidP="00375A51">
            <w:r w:rsidRPr="00375A51">
              <w:rPr>
                <w:b/>
                <w:bCs/>
              </w:rPr>
              <w:t>Честота</w:t>
            </w:r>
          </w:p>
        </w:tc>
        <w:tc>
          <w:tcPr>
            <w:tcW w:w="3192" w:type="dxa"/>
          </w:tcPr>
          <w:p w14:paraId="35AEA91A" w14:textId="1CDF24C5" w:rsidR="00375A51" w:rsidRPr="00375A51" w:rsidRDefault="00375A51" w:rsidP="00375A51">
            <w:r w:rsidRPr="00375A51">
              <w:rPr>
                <w:b/>
                <w:bCs/>
              </w:rPr>
              <w:t>Предпочитан термин</w:t>
            </w:r>
          </w:p>
        </w:tc>
      </w:tr>
      <w:tr w:rsidR="00375A51" w14:paraId="4156389C" w14:textId="77777777" w:rsidTr="00375A51">
        <w:tc>
          <w:tcPr>
            <w:tcW w:w="3192" w:type="dxa"/>
            <w:vMerge w:val="restart"/>
          </w:tcPr>
          <w:p w14:paraId="1B60A25A" w14:textId="3792501D" w:rsidR="00375A51" w:rsidRPr="00375A51" w:rsidRDefault="00375A51" w:rsidP="00375A51">
            <w:r w:rsidRPr="00375A51">
              <w:t>Нарушения на нервната система</w:t>
            </w:r>
          </w:p>
        </w:tc>
        <w:tc>
          <w:tcPr>
            <w:tcW w:w="3192" w:type="dxa"/>
          </w:tcPr>
          <w:p w14:paraId="65410D77" w14:textId="03184B5F" w:rsidR="00375A51" w:rsidRPr="00375A51" w:rsidRDefault="00375A51" w:rsidP="00375A51">
            <w:r w:rsidRPr="00375A51">
              <w:t>Чести</w:t>
            </w:r>
          </w:p>
        </w:tc>
        <w:tc>
          <w:tcPr>
            <w:tcW w:w="3192" w:type="dxa"/>
          </w:tcPr>
          <w:p w14:paraId="0BAE85F8" w14:textId="56101F07" w:rsidR="00375A51" w:rsidRPr="00375A51" w:rsidRDefault="00375A51" w:rsidP="00375A51">
            <w:r w:rsidRPr="00375A51">
              <w:t>Замаяност, главоболие</w:t>
            </w:r>
          </w:p>
        </w:tc>
      </w:tr>
      <w:tr w:rsidR="00375A51" w14:paraId="67DDCD56" w14:textId="77777777" w:rsidTr="00375A51">
        <w:tc>
          <w:tcPr>
            <w:tcW w:w="3192" w:type="dxa"/>
            <w:vMerge/>
          </w:tcPr>
          <w:p w14:paraId="23C69762" w14:textId="77777777" w:rsidR="00375A51" w:rsidRPr="00375A51" w:rsidRDefault="00375A51" w:rsidP="00375A51"/>
        </w:tc>
        <w:tc>
          <w:tcPr>
            <w:tcW w:w="3192" w:type="dxa"/>
          </w:tcPr>
          <w:p w14:paraId="14AA54DC" w14:textId="43832D21" w:rsidR="00375A51" w:rsidRPr="00375A51" w:rsidRDefault="00375A51" w:rsidP="00375A51">
            <w:r w:rsidRPr="00375A51">
              <w:t>С неизвестна честота</w:t>
            </w:r>
          </w:p>
        </w:tc>
        <w:tc>
          <w:tcPr>
            <w:tcW w:w="3192" w:type="dxa"/>
          </w:tcPr>
          <w:p w14:paraId="65862F9F" w14:textId="1A6736D0" w:rsidR="00375A51" w:rsidRPr="00375A51" w:rsidRDefault="00375A51" w:rsidP="00375A51">
            <w:r w:rsidRPr="00375A51">
              <w:t xml:space="preserve">Паркинсонови симптоми (тремор, акинезия, хипертонус), нестабилност на походката, синдром на неспокойните крака, други свързани двигателни нарушения, обикновено </w:t>
            </w:r>
            <w:r w:rsidRPr="00375A51">
              <w:lastRenderedPageBreak/>
              <w:t>обратими след спиране на лечението</w:t>
            </w:r>
          </w:p>
        </w:tc>
      </w:tr>
      <w:tr w:rsidR="00375A51" w14:paraId="5BEB8727" w14:textId="77777777" w:rsidTr="00375A51">
        <w:tc>
          <w:tcPr>
            <w:tcW w:w="3192" w:type="dxa"/>
            <w:vMerge/>
          </w:tcPr>
          <w:p w14:paraId="431B4FA2" w14:textId="77777777" w:rsidR="00375A51" w:rsidRPr="00375A51" w:rsidRDefault="00375A51" w:rsidP="00375A51"/>
        </w:tc>
        <w:tc>
          <w:tcPr>
            <w:tcW w:w="3192" w:type="dxa"/>
          </w:tcPr>
          <w:p w14:paraId="09CAC934" w14:textId="04AE8BA7" w:rsidR="00375A51" w:rsidRPr="00375A51" w:rsidRDefault="00375A51" w:rsidP="00375A51">
            <w:r w:rsidRPr="00375A51">
              <w:t>С неизвестна честота</w:t>
            </w:r>
          </w:p>
        </w:tc>
        <w:tc>
          <w:tcPr>
            <w:tcW w:w="3192" w:type="dxa"/>
          </w:tcPr>
          <w:p w14:paraId="43959114" w14:textId="37304116" w:rsidR="00375A51" w:rsidRPr="00375A51" w:rsidRDefault="00375A51" w:rsidP="00375A51">
            <w:r w:rsidRPr="00375A51">
              <w:t>Нарушения в съня (безсъние, сънливост)</w:t>
            </w:r>
          </w:p>
        </w:tc>
      </w:tr>
      <w:tr w:rsidR="00375A51" w14:paraId="24404EC8" w14:textId="77777777" w:rsidTr="00375A51">
        <w:tc>
          <w:tcPr>
            <w:tcW w:w="3192" w:type="dxa"/>
          </w:tcPr>
          <w:p w14:paraId="75ACC9AB" w14:textId="513DC467" w:rsidR="00375A51" w:rsidRPr="00375A51" w:rsidRDefault="00375A51" w:rsidP="00375A51">
            <w:r w:rsidRPr="00375A51">
              <w:t>Нарушения на ухото и лабиринта</w:t>
            </w:r>
          </w:p>
        </w:tc>
        <w:tc>
          <w:tcPr>
            <w:tcW w:w="3192" w:type="dxa"/>
          </w:tcPr>
          <w:p w14:paraId="00C1918C" w14:textId="49A49456" w:rsidR="00375A51" w:rsidRPr="00375A51" w:rsidRDefault="00375A51" w:rsidP="00375A51">
            <w:r w:rsidRPr="00375A51">
              <w:t>С неизвестна честота</w:t>
            </w:r>
          </w:p>
        </w:tc>
        <w:tc>
          <w:tcPr>
            <w:tcW w:w="3192" w:type="dxa"/>
          </w:tcPr>
          <w:p w14:paraId="1CF9550B" w14:textId="49DB76D1" w:rsidR="00375A51" w:rsidRPr="00375A51" w:rsidRDefault="00375A51" w:rsidP="00375A51">
            <w:r w:rsidRPr="00375A51">
              <w:t>Вертиго</w:t>
            </w:r>
          </w:p>
        </w:tc>
      </w:tr>
      <w:tr w:rsidR="00375A51" w14:paraId="326F5EAC" w14:textId="77777777" w:rsidTr="00375A51">
        <w:tc>
          <w:tcPr>
            <w:tcW w:w="3192" w:type="dxa"/>
          </w:tcPr>
          <w:p w14:paraId="521B0E15" w14:textId="036A0606" w:rsidR="00375A51" w:rsidRPr="00375A51" w:rsidRDefault="00375A51" w:rsidP="00375A51">
            <w:r w:rsidRPr="00375A51">
              <w:t>Сърдечни нарушения</w:t>
            </w:r>
          </w:p>
        </w:tc>
        <w:tc>
          <w:tcPr>
            <w:tcW w:w="3192" w:type="dxa"/>
          </w:tcPr>
          <w:p w14:paraId="72F81F65" w14:textId="1575BC58" w:rsidR="00375A51" w:rsidRPr="00375A51" w:rsidRDefault="00375A51" w:rsidP="00375A51">
            <w:r w:rsidRPr="00375A51">
              <w:t>Редки</w:t>
            </w:r>
          </w:p>
        </w:tc>
        <w:tc>
          <w:tcPr>
            <w:tcW w:w="3192" w:type="dxa"/>
          </w:tcPr>
          <w:p w14:paraId="33D94D18" w14:textId="60C73D3B" w:rsidR="00375A51" w:rsidRPr="00375A51" w:rsidRDefault="00375A51" w:rsidP="00375A51">
            <w:r w:rsidRPr="00375A51">
              <w:t>Палпитации, екстрасистоли, тахикардия</w:t>
            </w:r>
          </w:p>
        </w:tc>
      </w:tr>
      <w:tr w:rsidR="00375A51" w14:paraId="4EE3D3D9" w14:textId="77777777" w:rsidTr="00375A51">
        <w:tc>
          <w:tcPr>
            <w:tcW w:w="3192" w:type="dxa"/>
          </w:tcPr>
          <w:p w14:paraId="758FB4DD" w14:textId="5684E24A" w:rsidR="00375A51" w:rsidRPr="00375A51" w:rsidRDefault="00375A51" w:rsidP="00375A51">
            <w:r w:rsidRPr="00375A51">
              <w:t>Съдови нарушения</w:t>
            </w:r>
          </w:p>
        </w:tc>
        <w:tc>
          <w:tcPr>
            <w:tcW w:w="3192" w:type="dxa"/>
          </w:tcPr>
          <w:p w14:paraId="251A6DF6" w14:textId="42EA1344" w:rsidR="00375A51" w:rsidRPr="00375A51" w:rsidRDefault="00375A51" w:rsidP="00375A51">
            <w:r w:rsidRPr="00375A51">
              <w:t>Редки</w:t>
            </w:r>
          </w:p>
        </w:tc>
        <w:tc>
          <w:tcPr>
            <w:tcW w:w="3192" w:type="dxa"/>
          </w:tcPr>
          <w:p w14:paraId="01F92A99" w14:textId="28F1DE23" w:rsidR="00375A51" w:rsidRPr="00375A51" w:rsidRDefault="00375A51" w:rsidP="00375A51">
            <w:r w:rsidRPr="00375A51">
              <w:t>Артериална хипотония, оргостатична хипотония, която може да бъде съпроводена с неразположение, виене на свят, припадане, особено при пациенти, приемащи антихипертензивно лечение, зачервяване на лицето</w:t>
            </w:r>
          </w:p>
        </w:tc>
      </w:tr>
      <w:tr w:rsidR="00375A51" w14:paraId="0701EB7A" w14:textId="77777777" w:rsidTr="00375A51">
        <w:tc>
          <w:tcPr>
            <w:tcW w:w="3192" w:type="dxa"/>
            <w:vMerge w:val="restart"/>
          </w:tcPr>
          <w:p w14:paraId="15430261" w14:textId="60D3D352" w:rsidR="00375A51" w:rsidRPr="00375A51" w:rsidRDefault="00375A51" w:rsidP="00375A51">
            <w:r w:rsidRPr="00375A51">
              <w:t>Стомашно-чревни нарушения</w:t>
            </w:r>
          </w:p>
        </w:tc>
        <w:tc>
          <w:tcPr>
            <w:tcW w:w="3192" w:type="dxa"/>
          </w:tcPr>
          <w:p w14:paraId="46BF05D9" w14:textId="395EDEC9" w:rsidR="00375A51" w:rsidRPr="00375A51" w:rsidRDefault="00375A51" w:rsidP="00375A51">
            <w:r w:rsidRPr="00375A51">
              <w:t>Чести</w:t>
            </w:r>
          </w:p>
        </w:tc>
        <w:tc>
          <w:tcPr>
            <w:tcW w:w="3192" w:type="dxa"/>
          </w:tcPr>
          <w:p w14:paraId="29504208" w14:textId="07959160" w:rsidR="00375A51" w:rsidRPr="00375A51" w:rsidRDefault="00375A51" w:rsidP="00375A51">
            <w:r w:rsidRPr="00375A51">
              <w:t>Коремна болка, диария, диспепсия, гадене и повръщане</w:t>
            </w:r>
          </w:p>
        </w:tc>
      </w:tr>
      <w:tr w:rsidR="00375A51" w14:paraId="5C634F30" w14:textId="77777777" w:rsidTr="00375A51">
        <w:tc>
          <w:tcPr>
            <w:tcW w:w="3192" w:type="dxa"/>
            <w:vMerge/>
          </w:tcPr>
          <w:p w14:paraId="6FB34E21" w14:textId="77777777" w:rsidR="00375A51" w:rsidRPr="00375A51" w:rsidRDefault="00375A51" w:rsidP="00375A51"/>
        </w:tc>
        <w:tc>
          <w:tcPr>
            <w:tcW w:w="3192" w:type="dxa"/>
          </w:tcPr>
          <w:p w14:paraId="4CC94BA3" w14:textId="0FF6C6E0" w:rsidR="00375A51" w:rsidRPr="00375A51" w:rsidRDefault="00375A51" w:rsidP="00375A51">
            <w:r w:rsidRPr="00375A51">
              <w:t>С неизвестна честота</w:t>
            </w:r>
          </w:p>
        </w:tc>
        <w:tc>
          <w:tcPr>
            <w:tcW w:w="3192" w:type="dxa"/>
          </w:tcPr>
          <w:p w14:paraId="61678B99" w14:textId="09383F4B" w:rsidR="00375A51" w:rsidRPr="00375A51" w:rsidRDefault="00375A51" w:rsidP="00375A51">
            <w:r w:rsidRPr="00375A51">
              <w:t>Запек</w:t>
            </w:r>
          </w:p>
        </w:tc>
      </w:tr>
      <w:tr w:rsidR="00375A51" w14:paraId="29B8AF0B" w14:textId="77777777" w:rsidTr="00375A51">
        <w:tc>
          <w:tcPr>
            <w:tcW w:w="3192" w:type="dxa"/>
            <w:vMerge w:val="restart"/>
          </w:tcPr>
          <w:p w14:paraId="68E1BFC6" w14:textId="4DE0D166" w:rsidR="00375A51" w:rsidRPr="00375A51" w:rsidRDefault="00375A51" w:rsidP="00375A51">
            <w:r w:rsidRPr="00375A51">
              <w:t>Нарушения на кожата и подкожната тъкан</w:t>
            </w:r>
          </w:p>
        </w:tc>
        <w:tc>
          <w:tcPr>
            <w:tcW w:w="3192" w:type="dxa"/>
          </w:tcPr>
          <w:p w14:paraId="3786F8E1" w14:textId="44CE15E3" w:rsidR="00375A51" w:rsidRPr="00375A51" w:rsidRDefault="00375A51" w:rsidP="00375A51">
            <w:r w:rsidRPr="00375A51">
              <w:t>Чести</w:t>
            </w:r>
          </w:p>
        </w:tc>
        <w:tc>
          <w:tcPr>
            <w:tcW w:w="3192" w:type="dxa"/>
          </w:tcPr>
          <w:p w14:paraId="5006A36F" w14:textId="312A8B85" w:rsidR="00375A51" w:rsidRPr="00375A51" w:rsidRDefault="00375A51" w:rsidP="00375A51">
            <w:r w:rsidRPr="00375A51">
              <w:t>Обрив, пруритус, уртикария</w:t>
            </w:r>
          </w:p>
        </w:tc>
      </w:tr>
      <w:tr w:rsidR="00375A51" w14:paraId="7DE634B0" w14:textId="77777777" w:rsidTr="00375A51">
        <w:tc>
          <w:tcPr>
            <w:tcW w:w="3192" w:type="dxa"/>
            <w:vMerge/>
          </w:tcPr>
          <w:p w14:paraId="2D200B0B" w14:textId="77777777" w:rsidR="00375A51" w:rsidRPr="00375A51" w:rsidRDefault="00375A51" w:rsidP="00375A51"/>
        </w:tc>
        <w:tc>
          <w:tcPr>
            <w:tcW w:w="3192" w:type="dxa"/>
          </w:tcPr>
          <w:p w14:paraId="41547ADD" w14:textId="48372FED" w:rsidR="00375A51" w:rsidRPr="00375A51" w:rsidRDefault="00375A51" w:rsidP="00375A51">
            <w:r w:rsidRPr="00375A51">
              <w:t>С неизвестна честота</w:t>
            </w:r>
          </w:p>
        </w:tc>
        <w:tc>
          <w:tcPr>
            <w:tcW w:w="3192" w:type="dxa"/>
          </w:tcPr>
          <w:p w14:paraId="60FA5044" w14:textId="0836834C" w:rsidR="00375A51" w:rsidRPr="00375A51" w:rsidRDefault="00375A51" w:rsidP="00375A51">
            <w:r w:rsidRPr="00375A51">
              <w:t xml:space="preserve">Остра генерализирана екзангемна пустулоза </w:t>
            </w:r>
            <w:r w:rsidRPr="00375A51">
              <w:rPr>
                <w:lang w:val="ru-RU"/>
              </w:rPr>
              <w:t>(</w:t>
            </w:r>
            <w:r w:rsidRPr="00375A51">
              <w:rPr>
                <w:lang w:val="en-US"/>
              </w:rPr>
              <w:t>AGEP</w:t>
            </w:r>
            <w:r w:rsidRPr="00375A51">
              <w:rPr>
                <w:lang w:val="ru-RU"/>
              </w:rPr>
              <w:t xml:space="preserve">), </w:t>
            </w:r>
            <w:r w:rsidRPr="00375A51">
              <w:t>ангиоедем</w:t>
            </w:r>
          </w:p>
        </w:tc>
      </w:tr>
      <w:tr w:rsidR="00375A51" w14:paraId="1449ED00" w14:textId="77777777" w:rsidTr="00375A51">
        <w:tc>
          <w:tcPr>
            <w:tcW w:w="3192" w:type="dxa"/>
          </w:tcPr>
          <w:p w14:paraId="03804B0A" w14:textId="2E57B92D" w:rsidR="00375A51" w:rsidRPr="00375A51" w:rsidRDefault="00375A51" w:rsidP="00375A51">
            <w:r w:rsidRPr="00375A51">
              <w:t>Общи нарушения и ефекти на мястото на мястото на приложение</w:t>
            </w:r>
          </w:p>
        </w:tc>
        <w:tc>
          <w:tcPr>
            <w:tcW w:w="3192" w:type="dxa"/>
          </w:tcPr>
          <w:p w14:paraId="6BCB5EED" w14:textId="7667C085" w:rsidR="00375A51" w:rsidRPr="00375A51" w:rsidRDefault="00375A51" w:rsidP="00375A51">
            <w:r w:rsidRPr="00375A51">
              <w:t>Чести</w:t>
            </w:r>
          </w:p>
        </w:tc>
        <w:tc>
          <w:tcPr>
            <w:tcW w:w="3192" w:type="dxa"/>
          </w:tcPr>
          <w:p w14:paraId="74058EF3" w14:textId="0551B1F8" w:rsidR="00375A51" w:rsidRPr="00375A51" w:rsidRDefault="00375A51" w:rsidP="00375A51">
            <w:r w:rsidRPr="00375A51">
              <w:t>Астения</w:t>
            </w:r>
          </w:p>
        </w:tc>
      </w:tr>
      <w:tr w:rsidR="00375A51" w14:paraId="13C78420" w14:textId="77777777" w:rsidTr="00375A51">
        <w:tc>
          <w:tcPr>
            <w:tcW w:w="3192" w:type="dxa"/>
          </w:tcPr>
          <w:p w14:paraId="7315E20D" w14:textId="2A25301E" w:rsidR="00375A51" w:rsidRPr="00375A51" w:rsidRDefault="00375A51" w:rsidP="00375A51">
            <w:r w:rsidRPr="00375A51">
              <w:t>Нарушения на кръвта и лимфната система</w:t>
            </w:r>
          </w:p>
        </w:tc>
        <w:tc>
          <w:tcPr>
            <w:tcW w:w="3192" w:type="dxa"/>
          </w:tcPr>
          <w:p w14:paraId="298E10BF" w14:textId="6FB3AB23" w:rsidR="00375A51" w:rsidRPr="00375A51" w:rsidRDefault="00375A51" w:rsidP="00375A51">
            <w:r w:rsidRPr="00375A51">
              <w:t>С неизвестна честота</w:t>
            </w:r>
          </w:p>
        </w:tc>
        <w:tc>
          <w:tcPr>
            <w:tcW w:w="3192" w:type="dxa"/>
          </w:tcPr>
          <w:p w14:paraId="4A254B53" w14:textId="5AB95F6A" w:rsidR="00375A51" w:rsidRPr="00375A51" w:rsidRDefault="00375A51" w:rsidP="00375A51">
            <w:r w:rsidRPr="00375A51">
              <w:t>Агранулоцигоза Тромбоцитопения Тромбоцитопенична пурпура</w:t>
            </w:r>
          </w:p>
        </w:tc>
      </w:tr>
      <w:tr w:rsidR="00375A51" w14:paraId="4E42A914" w14:textId="77777777" w:rsidTr="00375A51">
        <w:tc>
          <w:tcPr>
            <w:tcW w:w="3192" w:type="dxa"/>
          </w:tcPr>
          <w:p w14:paraId="68247259" w14:textId="148E4F89" w:rsidR="00375A51" w:rsidRPr="00375A51" w:rsidRDefault="00375A51" w:rsidP="00375A51">
            <w:r w:rsidRPr="00375A51">
              <w:t>Хепатобилиарни нарушения</w:t>
            </w:r>
          </w:p>
        </w:tc>
        <w:tc>
          <w:tcPr>
            <w:tcW w:w="3192" w:type="dxa"/>
          </w:tcPr>
          <w:p w14:paraId="5943BF69" w14:textId="328DEF12" w:rsidR="00375A51" w:rsidRPr="00375A51" w:rsidRDefault="00375A51" w:rsidP="00375A51">
            <w:r w:rsidRPr="00375A51">
              <w:t>С неизвестна честота</w:t>
            </w:r>
          </w:p>
        </w:tc>
        <w:tc>
          <w:tcPr>
            <w:tcW w:w="3192" w:type="dxa"/>
          </w:tcPr>
          <w:p w14:paraId="1712FB62" w14:textId="0A195724" w:rsidR="00375A51" w:rsidRPr="00375A51" w:rsidRDefault="00375A51" w:rsidP="00375A51">
            <w:r w:rsidRPr="00375A51">
              <w:rPr>
                <w:u w:val="single"/>
              </w:rPr>
              <w:t>Хепатит</w:t>
            </w:r>
          </w:p>
        </w:tc>
      </w:tr>
    </w:tbl>
    <w:p w14:paraId="3A225F23" w14:textId="0930AC24" w:rsidR="00375A51" w:rsidRDefault="00375A51" w:rsidP="00375A51"/>
    <w:p w14:paraId="2FEE0563" w14:textId="77777777" w:rsidR="00375A51" w:rsidRPr="00375A51" w:rsidRDefault="00375A51" w:rsidP="00375A51">
      <w:pPr>
        <w:spacing w:line="240" w:lineRule="auto"/>
        <w:rPr>
          <w:rFonts w:eastAsia="Times New Roman" w:cs="Arial"/>
        </w:rPr>
      </w:pPr>
      <w:r w:rsidRPr="00375A51">
        <w:rPr>
          <w:rFonts w:eastAsia="Times New Roman" w:cs="Arial"/>
          <w:color w:val="000000"/>
          <w:u w:val="single"/>
          <w:lang w:eastAsia="bg-BG"/>
        </w:rPr>
        <w:t>Съобщаване на подозирани нежелани реакции</w:t>
      </w:r>
    </w:p>
    <w:p w14:paraId="59517F4E"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специалиста се изисква да съобщават всяна подозирана нежелана реакция чрез Изпълнителна агенция по лекарствата, ул. „Дамян Груев” № 8, 1303 София,</w:t>
      </w:r>
    </w:p>
    <w:p w14:paraId="2B488D10" w14:textId="251C7ECE" w:rsidR="00375A51" w:rsidRPr="00375A51" w:rsidRDefault="00375A51" w:rsidP="00375A51">
      <w:pPr>
        <w:rPr>
          <w:rFonts w:eastAsia="Times New Roman" w:cs="Arial"/>
          <w:color w:val="000000"/>
          <w:u w:val="single"/>
          <w:lang w:val="ru-RU"/>
        </w:rPr>
      </w:pPr>
      <w:r w:rsidRPr="00375A51">
        <w:rPr>
          <w:rFonts w:eastAsia="Times New Roman" w:cs="Arial"/>
          <w:color w:val="000000"/>
          <w:lang w:eastAsia="bg-BG"/>
        </w:rPr>
        <w:t xml:space="preserve">тел.: +35 928903417, уебсайт: </w:t>
      </w:r>
      <w:r w:rsidRPr="00375A51">
        <w:rPr>
          <w:rFonts w:eastAsia="Times New Roman" w:cs="Arial"/>
        </w:rPr>
        <w:fldChar w:fldCharType="begin"/>
      </w:r>
      <w:r w:rsidRPr="00375A51">
        <w:rPr>
          <w:rFonts w:eastAsia="Times New Roman" w:cs="Arial"/>
        </w:rPr>
        <w:instrText xml:space="preserve"> HYPERLINK "http://www.bda.bg" </w:instrText>
      </w:r>
      <w:r w:rsidRPr="00375A51">
        <w:rPr>
          <w:rFonts w:eastAsia="Times New Roman" w:cs="Arial"/>
        </w:rPr>
      </w:r>
      <w:r w:rsidRPr="00375A51">
        <w:rPr>
          <w:rFonts w:eastAsia="Times New Roman" w:cs="Arial"/>
        </w:rPr>
        <w:fldChar w:fldCharType="separate"/>
      </w:r>
      <w:r w:rsidRPr="00375A51">
        <w:rPr>
          <w:rFonts w:eastAsia="Times New Roman" w:cs="Arial"/>
          <w:color w:val="000000"/>
          <w:u w:val="single"/>
          <w:lang w:val="en-US"/>
        </w:rPr>
        <w:t>www</w:t>
      </w:r>
      <w:r w:rsidRPr="00375A51">
        <w:rPr>
          <w:rFonts w:eastAsia="Times New Roman" w:cs="Arial"/>
          <w:color w:val="000000"/>
          <w:u w:val="single"/>
          <w:lang w:val="ru-RU"/>
        </w:rPr>
        <w:t>.</w:t>
      </w:r>
      <w:proofErr w:type="spellStart"/>
      <w:r w:rsidRPr="00375A51">
        <w:rPr>
          <w:rFonts w:eastAsia="Times New Roman" w:cs="Arial"/>
          <w:color w:val="000000"/>
          <w:u w:val="single"/>
          <w:lang w:val="en-US"/>
        </w:rPr>
        <w:t>bda</w:t>
      </w:r>
      <w:proofErr w:type="spellEnd"/>
      <w:r w:rsidRPr="00375A51">
        <w:rPr>
          <w:rFonts w:eastAsia="Times New Roman" w:cs="Arial"/>
          <w:color w:val="000000"/>
          <w:u w:val="single"/>
          <w:lang w:val="ru-RU"/>
        </w:rPr>
        <w:t>.</w:t>
      </w:r>
      <w:proofErr w:type="spellStart"/>
      <w:r w:rsidRPr="00375A51">
        <w:rPr>
          <w:rFonts w:eastAsia="Times New Roman" w:cs="Arial"/>
          <w:color w:val="000000"/>
          <w:u w:val="single"/>
          <w:lang w:val="en-US"/>
        </w:rPr>
        <w:t>bg</w:t>
      </w:r>
      <w:proofErr w:type="spellEnd"/>
      <w:r w:rsidRPr="00375A51">
        <w:rPr>
          <w:rFonts w:eastAsia="Times New Roman" w:cs="Arial"/>
        </w:rPr>
        <w:fldChar w:fldCharType="end"/>
      </w:r>
      <w:r w:rsidRPr="00375A51">
        <w:rPr>
          <w:rFonts w:eastAsia="Times New Roman" w:cs="Arial"/>
          <w:color w:val="000000"/>
          <w:u w:val="single"/>
          <w:lang w:val="ru-RU"/>
        </w:rPr>
        <w:t>.</w:t>
      </w:r>
    </w:p>
    <w:p w14:paraId="51396B91" w14:textId="77777777" w:rsidR="00375A51" w:rsidRPr="00375A51" w:rsidRDefault="00375A51" w:rsidP="00375A51">
      <w:pPr>
        <w:rPr>
          <w:lang w:val="ru-RU"/>
        </w:rPr>
      </w:pPr>
    </w:p>
    <w:p w14:paraId="0A023CE0" w14:textId="3156A206" w:rsidR="00CF77F7" w:rsidRDefault="002C50EE" w:rsidP="004A448E">
      <w:pPr>
        <w:pStyle w:val="Heading2"/>
      </w:pPr>
      <w:r>
        <w:t>4.9. Предозиране</w:t>
      </w:r>
    </w:p>
    <w:p w14:paraId="63928FC0" w14:textId="08A1B536" w:rsidR="00375A51" w:rsidRDefault="00375A51" w:rsidP="00375A51"/>
    <w:p w14:paraId="3EB180C7" w14:textId="2D7F4FB7" w:rsidR="00375A51" w:rsidRPr="00375A51" w:rsidRDefault="00375A51" w:rsidP="00375A51">
      <w:r>
        <w:t>До този момент не са съобщавани случаи на предозиране.</w:t>
      </w:r>
    </w:p>
    <w:p w14:paraId="02081B24" w14:textId="1F46E296" w:rsidR="00395555" w:rsidRPr="00395555" w:rsidRDefault="002C50EE" w:rsidP="008A6AF2">
      <w:pPr>
        <w:pStyle w:val="Heading1"/>
      </w:pPr>
      <w:r>
        <w:lastRenderedPageBreak/>
        <w:t>5. ФАРМАКОЛОГИЧНИ СВОЙСТВА</w:t>
      </w:r>
    </w:p>
    <w:p w14:paraId="32B6DE66" w14:textId="0821E0F9" w:rsidR="00CF77F7" w:rsidRDefault="002C50EE" w:rsidP="004A448E">
      <w:pPr>
        <w:pStyle w:val="Heading2"/>
      </w:pPr>
      <w:r>
        <w:t>5.1. Фармакодинамични свойства</w:t>
      </w:r>
    </w:p>
    <w:p w14:paraId="16C05A7F" w14:textId="6C5C69CA" w:rsidR="00375A51" w:rsidRDefault="00375A51" w:rsidP="00375A51"/>
    <w:p w14:paraId="345104CA"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Фармакотерапевтична група: Други сърдечно-съдови антиангинозни продукти АТС код: С01ЕВ15</w:t>
      </w:r>
    </w:p>
    <w:p w14:paraId="51665BD4" w14:textId="77777777" w:rsidR="00375A51" w:rsidRDefault="00375A51" w:rsidP="00375A51">
      <w:pPr>
        <w:spacing w:line="240" w:lineRule="auto"/>
        <w:rPr>
          <w:rFonts w:eastAsia="Times New Roman" w:cs="Arial"/>
          <w:color w:val="000000"/>
          <w:u w:val="single"/>
          <w:lang w:eastAsia="bg-BG"/>
        </w:rPr>
      </w:pPr>
    </w:p>
    <w:p w14:paraId="23317C72" w14:textId="3DB48530" w:rsidR="00375A51" w:rsidRPr="00375A51" w:rsidRDefault="00375A51" w:rsidP="00375A51">
      <w:pPr>
        <w:spacing w:line="240" w:lineRule="auto"/>
        <w:rPr>
          <w:rFonts w:eastAsia="Times New Roman" w:cs="Arial"/>
        </w:rPr>
      </w:pPr>
      <w:r w:rsidRPr="00375A51">
        <w:rPr>
          <w:rFonts w:eastAsia="Times New Roman" w:cs="Arial"/>
          <w:color w:val="000000"/>
          <w:u w:val="single"/>
          <w:lang w:eastAsia="bg-BG"/>
        </w:rPr>
        <w:t>Механизъм на действие</w:t>
      </w:r>
    </w:p>
    <w:p w14:paraId="3C7FEAB2"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Триметазидин нормализира енергийния метаболизъм в клетките, изложени на хипоксия или исхемия, като предотвратява намаляването на вътреклетъчния АТФ. По този начин триметазидин осигурява нормалното функциониране на трансмембранния натриево-калиев транспорт, поддържайки клетъчната хомеостаза. Триметазидин инхибира р-окислението на мастните киселини чрез блокиране на дълговерижната 3-кетоацил СоА тиолаза, с което се усилва окислението на глюкозата. В исхемичната клетка, енергията получена чрез окислението на глюкоза изисква по-малък разход на кислород в сравнение с процеса на β-окисление. Потенцирането на окислението на глюкоза оптимизира енергийните процеси в клетката като по този начин поддържа подходящ енергиен метаболизъм в периода на исхемията. С пренасочването на енергийния метаболизъм от окислението на мастните киселини към окислението на глюкозата могат да се обяснят антиангинозните свойства на триметазидин.</w:t>
      </w:r>
    </w:p>
    <w:p w14:paraId="125B7ADF"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Триметазидин намалява миграцията и инфилтрацията на полинуклеарните неутрофили в исхемичните и реперфузирани зони на миокарда; намалява размерите на експериментален инфаркт; не оказва съществено влияние върху системното кръвообращение.</w:t>
      </w:r>
    </w:p>
    <w:p w14:paraId="77A5F046" w14:textId="77777777" w:rsidR="00375A51" w:rsidRDefault="00375A51" w:rsidP="00375A51">
      <w:pPr>
        <w:spacing w:line="240" w:lineRule="auto"/>
        <w:rPr>
          <w:rFonts w:eastAsia="Times New Roman" w:cs="Arial"/>
          <w:color w:val="000000"/>
          <w:u w:val="single"/>
          <w:lang w:eastAsia="bg-BG"/>
        </w:rPr>
      </w:pPr>
    </w:p>
    <w:p w14:paraId="5A856612" w14:textId="5EDDA23D" w:rsidR="00375A51" w:rsidRPr="00375A51" w:rsidRDefault="00375A51" w:rsidP="00375A51">
      <w:pPr>
        <w:spacing w:line="240" w:lineRule="auto"/>
        <w:rPr>
          <w:rFonts w:eastAsia="Times New Roman" w:cs="Arial"/>
        </w:rPr>
      </w:pPr>
      <w:r w:rsidRPr="00375A51">
        <w:rPr>
          <w:rFonts w:eastAsia="Times New Roman" w:cs="Arial"/>
          <w:color w:val="000000"/>
          <w:u w:val="single"/>
          <w:lang w:eastAsia="bg-BG"/>
        </w:rPr>
        <w:t>Фармакодинамични ефекти</w:t>
      </w:r>
    </w:p>
    <w:p w14:paraId="4AA9AF0F"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При пациенти с исхемична болест на сърцето, триметазидин действа като метаболитен агент, който запазва вътреклетъчните нива на високоенергийни фосфати в миокарда.</w:t>
      </w:r>
    </w:p>
    <w:p w14:paraId="6AADA937"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Антиисхемичните ефекти се постигат без да са придружени от хемодинамични ефекти.</w:t>
      </w:r>
    </w:p>
    <w:p w14:paraId="70A12999" w14:textId="77777777" w:rsidR="00375A51" w:rsidRDefault="00375A51" w:rsidP="00375A51">
      <w:pPr>
        <w:spacing w:line="240" w:lineRule="auto"/>
        <w:rPr>
          <w:rFonts w:eastAsia="Times New Roman" w:cs="Arial"/>
          <w:color w:val="000000"/>
          <w:u w:val="single"/>
          <w:lang w:eastAsia="bg-BG"/>
        </w:rPr>
      </w:pPr>
    </w:p>
    <w:p w14:paraId="234189DC" w14:textId="33FF9FC5" w:rsidR="00375A51" w:rsidRPr="00375A51" w:rsidRDefault="00375A51" w:rsidP="00375A51">
      <w:pPr>
        <w:spacing w:line="240" w:lineRule="auto"/>
        <w:rPr>
          <w:rFonts w:eastAsia="Times New Roman" w:cs="Arial"/>
        </w:rPr>
      </w:pPr>
      <w:r w:rsidRPr="00375A51">
        <w:rPr>
          <w:rFonts w:eastAsia="Times New Roman" w:cs="Arial"/>
          <w:color w:val="000000"/>
          <w:u w:val="single"/>
          <w:lang w:eastAsia="bg-BG"/>
        </w:rPr>
        <w:t>Клинична ефикасност и безопасност</w:t>
      </w:r>
    </w:p>
    <w:p w14:paraId="24527F76"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Клиничните проучвания са демонстрирали ефикасността и безопасността на триметазидин при лечението на пациенти с хронична ангина пекторис, приложен или самостоятелно, или когато ползите от други антиангинозни лекарствени продукти са били недостатъчни.</w:t>
      </w:r>
    </w:p>
    <w:p w14:paraId="48BF0E2F" w14:textId="77777777" w:rsidR="00375A51" w:rsidRDefault="00375A51" w:rsidP="00375A51">
      <w:pPr>
        <w:spacing w:line="240" w:lineRule="auto"/>
        <w:rPr>
          <w:rFonts w:eastAsia="Times New Roman" w:cs="Arial"/>
          <w:color w:val="000000"/>
          <w:lang w:eastAsia="bg-BG"/>
        </w:rPr>
      </w:pPr>
    </w:p>
    <w:p w14:paraId="0BF090BC" w14:textId="71C5B509" w:rsidR="00375A51" w:rsidRPr="00375A51" w:rsidRDefault="00375A51" w:rsidP="00375A51">
      <w:pPr>
        <w:spacing w:line="240" w:lineRule="auto"/>
        <w:rPr>
          <w:rFonts w:eastAsia="Times New Roman" w:cs="Arial"/>
        </w:rPr>
      </w:pPr>
      <w:r w:rsidRPr="00375A51">
        <w:rPr>
          <w:rFonts w:eastAsia="Times New Roman" w:cs="Arial"/>
          <w:color w:val="000000"/>
          <w:lang w:eastAsia="bg-BG"/>
        </w:rPr>
        <w:t xml:space="preserve">В рандомизирано, двойносляпо, плацебо контролирано проучване с 426 пациенти </w:t>
      </w:r>
      <w:r w:rsidRPr="00375A51">
        <w:rPr>
          <w:rFonts w:eastAsia="Times New Roman" w:cs="Arial"/>
          <w:color w:val="000000"/>
          <w:lang w:val="ru-RU"/>
        </w:rPr>
        <w:t>(</w:t>
      </w:r>
      <w:r w:rsidRPr="00375A51">
        <w:rPr>
          <w:rFonts w:eastAsia="Times New Roman" w:cs="Arial"/>
          <w:color w:val="000000"/>
          <w:lang w:val="en-US"/>
        </w:rPr>
        <w:t>TRIMPOL</w:t>
      </w:r>
      <w:r w:rsidRPr="00375A51">
        <w:rPr>
          <w:rFonts w:eastAsia="Times New Roman" w:cs="Arial"/>
          <w:color w:val="000000"/>
          <w:lang w:eastAsia="bg-BG"/>
        </w:rPr>
        <w:t>-</w:t>
      </w:r>
      <w:r w:rsidRPr="00375A51">
        <w:rPr>
          <w:rFonts w:eastAsia="Times New Roman" w:cs="Arial"/>
          <w:color w:val="000000"/>
          <w:lang w:val="en-US"/>
        </w:rPr>
        <w:t>II</w:t>
      </w:r>
      <w:r w:rsidRPr="00375A51">
        <w:rPr>
          <w:rFonts w:eastAsia="Times New Roman" w:cs="Arial"/>
          <w:color w:val="000000"/>
          <w:lang w:eastAsia="bg-BG"/>
        </w:rPr>
        <w:t xml:space="preserve">), триметазидин (60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 xml:space="preserve">дневно), добавен към метопролол 100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 xml:space="preserve">дневно (50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 xml:space="preserve">два пъти дневно) в продължение на 12 седмици, статистически значимо подобрява резултатите на параметрите на тестовете с физическо натоварване и клиничните симптоми в сравнение с плацебо: обща продължителност на теста с физическо натоварване +20,1 сек., р= 0,023, общо работно натоварване +0,54 </w:t>
      </w:r>
      <w:r w:rsidRPr="00375A51">
        <w:rPr>
          <w:rFonts w:eastAsia="Times New Roman" w:cs="Arial"/>
          <w:color w:val="000000"/>
          <w:lang w:val="en-US"/>
        </w:rPr>
        <w:t>MET</w:t>
      </w:r>
      <w:r w:rsidRPr="00375A51">
        <w:rPr>
          <w:rFonts w:eastAsia="Times New Roman" w:cs="Arial"/>
          <w:color w:val="000000"/>
          <w:lang w:val="ru-RU"/>
        </w:rPr>
        <w:t xml:space="preserve">, </w:t>
      </w:r>
      <w:r w:rsidRPr="00375A51">
        <w:rPr>
          <w:rFonts w:eastAsia="Times New Roman" w:cs="Arial"/>
          <w:color w:val="000000"/>
          <w:lang w:eastAsia="bg-BG"/>
        </w:rPr>
        <w:t xml:space="preserve">р=0,001, време до настъпване на </w:t>
      </w:r>
      <w:r w:rsidRPr="00375A51">
        <w:rPr>
          <w:rFonts w:eastAsia="Times New Roman" w:cs="Arial"/>
          <w:color w:val="000000"/>
          <w:lang w:val="en-US"/>
        </w:rPr>
        <w:t>ST</w:t>
      </w:r>
      <w:r w:rsidRPr="00375A51">
        <w:rPr>
          <w:rFonts w:eastAsia="Times New Roman" w:cs="Arial"/>
          <w:color w:val="000000"/>
          <w:lang w:eastAsia="bg-BG"/>
        </w:rPr>
        <w:t xml:space="preserve">-депресия от 1 </w:t>
      </w:r>
      <w:r w:rsidRPr="00375A51">
        <w:rPr>
          <w:rFonts w:eastAsia="Times New Roman" w:cs="Arial"/>
          <w:color w:val="000000"/>
          <w:lang w:val="en-US"/>
        </w:rPr>
        <w:t>mm</w:t>
      </w:r>
      <w:r w:rsidRPr="00375A51">
        <w:rPr>
          <w:rFonts w:eastAsia="Times New Roman" w:cs="Arial"/>
          <w:color w:val="000000"/>
          <w:lang w:val="ru-RU"/>
        </w:rPr>
        <w:t xml:space="preserve"> </w:t>
      </w:r>
      <w:r w:rsidRPr="00375A51">
        <w:rPr>
          <w:rFonts w:eastAsia="Times New Roman" w:cs="Arial"/>
          <w:color w:val="000000"/>
          <w:lang w:eastAsia="bg-BG"/>
        </w:rPr>
        <w:t>+33,4 сек., р=0,003, време до настъпване на ангинозна болка +33,9 сек., р&lt;0,001, ангинозни пристъпи на седмица -0,73, р=0,014 и консумация на бързо действащи нитрати на седмица -0,63, р=0,032, без хемодинамични промени.</w:t>
      </w:r>
    </w:p>
    <w:p w14:paraId="0299B4AF" w14:textId="77777777" w:rsidR="00375A51" w:rsidRDefault="00375A51" w:rsidP="00375A51">
      <w:pPr>
        <w:spacing w:line="240" w:lineRule="auto"/>
        <w:rPr>
          <w:rFonts w:eastAsia="Times New Roman" w:cs="Arial"/>
          <w:color w:val="000000"/>
          <w:lang w:eastAsia="bg-BG"/>
        </w:rPr>
      </w:pPr>
    </w:p>
    <w:p w14:paraId="26ED3EFC" w14:textId="648FFAE9" w:rsidR="00375A51" w:rsidRPr="00375A51" w:rsidRDefault="00375A51" w:rsidP="00375A51">
      <w:pPr>
        <w:spacing w:line="240" w:lineRule="auto"/>
        <w:rPr>
          <w:rFonts w:eastAsia="Times New Roman" w:cs="Arial"/>
        </w:rPr>
      </w:pPr>
      <w:r w:rsidRPr="00375A51">
        <w:rPr>
          <w:rFonts w:eastAsia="Times New Roman" w:cs="Arial"/>
          <w:color w:val="000000"/>
          <w:lang w:eastAsia="bg-BG"/>
        </w:rPr>
        <w:t>В рандомизирано, двойносляпо, плацебо контролирано проучване с 223 пациенти (</w:t>
      </w:r>
      <w:proofErr w:type="spellStart"/>
      <w:r w:rsidRPr="00375A51">
        <w:rPr>
          <w:rFonts w:eastAsia="Times New Roman" w:cs="Arial"/>
          <w:color w:val="000000"/>
          <w:lang w:val="en-US"/>
        </w:rPr>
        <w:t>Sellier</w:t>
      </w:r>
      <w:proofErr w:type="spellEnd"/>
      <w:r w:rsidRPr="00375A51">
        <w:rPr>
          <w:rFonts w:eastAsia="Times New Roman" w:cs="Arial"/>
          <w:color w:val="000000"/>
          <w:lang w:val="ru-RU"/>
        </w:rPr>
        <w:t xml:space="preserve">), </w:t>
      </w:r>
      <w:r w:rsidRPr="00375A51">
        <w:rPr>
          <w:rFonts w:eastAsia="Times New Roman" w:cs="Arial"/>
          <w:color w:val="000000"/>
          <w:lang w:eastAsia="bg-BG"/>
        </w:rPr>
        <w:t xml:space="preserve">една таблетка от 35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 xml:space="preserve">триметазидин с изменено освобождаване (два пъти дневно), добавена към 50 </w:t>
      </w:r>
      <w:r w:rsidRPr="00375A51">
        <w:rPr>
          <w:rFonts w:eastAsia="Times New Roman" w:cs="Arial"/>
          <w:color w:val="000000"/>
          <w:lang w:val="en-US"/>
        </w:rPr>
        <w:t>mg</w:t>
      </w:r>
      <w:r w:rsidRPr="00375A51">
        <w:rPr>
          <w:rFonts w:eastAsia="Times New Roman" w:cs="Arial"/>
          <w:color w:val="000000"/>
          <w:lang w:eastAsia="bg-BG"/>
        </w:rPr>
        <w:t xml:space="preserve"> атенолол (еднократно дневно) в продължение на 8 седмици, води до значително</w:t>
      </w:r>
      <w:r w:rsidRPr="00375A51">
        <w:rPr>
          <w:rFonts w:eastAsia="Times New Roman" w:cs="Arial"/>
          <w:color w:val="000000"/>
          <w:lang w:val="ru-RU"/>
        </w:rPr>
        <w:t xml:space="preserve"> </w:t>
      </w:r>
      <w:r w:rsidRPr="00375A51">
        <w:rPr>
          <w:rFonts w:eastAsia="Times New Roman" w:cs="Arial"/>
          <w:color w:val="000000"/>
          <w:lang w:eastAsia="bg-BG"/>
        </w:rPr>
        <w:t xml:space="preserve">повишаване (+34,4 сек., р=0,03) на времето до настъпване </w:t>
      </w:r>
      <w:r w:rsidRPr="00375A51">
        <w:rPr>
          <w:rFonts w:eastAsia="Times New Roman" w:cs="Arial"/>
          <w:color w:val="000000"/>
          <w:lang w:eastAsia="bg-BG"/>
        </w:rPr>
        <w:lastRenderedPageBreak/>
        <w:t xml:space="preserve">на </w:t>
      </w:r>
      <w:r w:rsidRPr="00375A51">
        <w:rPr>
          <w:rFonts w:eastAsia="Times New Roman" w:cs="Arial"/>
          <w:color w:val="000000"/>
          <w:lang w:val="en-US"/>
        </w:rPr>
        <w:t>ST</w:t>
      </w:r>
      <w:r w:rsidRPr="00375A51">
        <w:rPr>
          <w:rFonts w:eastAsia="Times New Roman" w:cs="Arial"/>
          <w:color w:val="000000"/>
          <w:lang w:eastAsia="bg-BG"/>
        </w:rPr>
        <w:t xml:space="preserve">-депресия от 1 </w:t>
      </w:r>
      <w:r w:rsidRPr="00375A51">
        <w:rPr>
          <w:rFonts w:eastAsia="Times New Roman" w:cs="Arial"/>
          <w:color w:val="000000"/>
          <w:lang w:val="en-US"/>
        </w:rPr>
        <w:t>mm</w:t>
      </w:r>
      <w:r w:rsidRPr="00375A51">
        <w:rPr>
          <w:rFonts w:eastAsia="Times New Roman" w:cs="Arial"/>
          <w:color w:val="000000"/>
          <w:lang w:val="ru-RU"/>
        </w:rPr>
        <w:t xml:space="preserve"> </w:t>
      </w:r>
      <w:r w:rsidRPr="00375A51">
        <w:rPr>
          <w:rFonts w:eastAsia="Times New Roman" w:cs="Arial"/>
          <w:color w:val="000000"/>
          <w:lang w:eastAsia="bg-BG"/>
        </w:rPr>
        <w:t>при теста с физическо натоварване подгрупата пациенти (</w:t>
      </w:r>
      <w:r w:rsidRPr="00375A51">
        <w:rPr>
          <w:rFonts w:eastAsia="Times New Roman" w:cs="Arial"/>
          <w:color w:val="000000"/>
          <w:lang w:val="en-US"/>
        </w:rPr>
        <w:t>n</w:t>
      </w:r>
      <w:r w:rsidRPr="00375A51">
        <w:rPr>
          <w:rFonts w:eastAsia="Times New Roman" w:cs="Arial"/>
          <w:color w:val="000000"/>
          <w:lang w:eastAsia="bg-BG"/>
        </w:rPr>
        <w:t>=173), в сравнение с плацебо, 12 часа след приема на лекарството. Значима разлика, бе също доказана, за времето до поява на ангина пекторис (р = 0,049). Не може да се маери значима разлика между групите, за другите вторични крайни точки (обща продължителност на теста с физическо натоварване, общо работно натоварване и клинични крайни точки).</w:t>
      </w:r>
    </w:p>
    <w:p w14:paraId="3053584E" w14:textId="5DB55099" w:rsidR="00375A51" w:rsidRDefault="00375A51" w:rsidP="00375A51"/>
    <w:p w14:paraId="32FAA112" w14:textId="77777777" w:rsidR="00375A51" w:rsidRPr="00375A51" w:rsidRDefault="00375A51" w:rsidP="00375A51">
      <w:pPr>
        <w:rPr>
          <w:sz w:val="24"/>
          <w:szCs w:val="24"/>
        </w:rPr>
      </w:pPr>
      <w:r w:rsidRPr="00375A51">
        <w:rPr>
          <w:lang w:eastAsia="bg-BG"/>
        </w:rPr>
        <w:t xml:space="preserve">При 1962 пациенти, в тримесечно рандомизирано, двойно-сляпо проучване (проучването </w:t>
      </w:r>
      <w:r w:rsidRPr="00375A51">
        <w:rPr>
          <w:lang w:val="en-US"/>
        </w:rPr>
        <w:t>Vasco</w:t>
      </w:r>
      <w:r w:rsidRPr="00375A51">
        <w:rPr>
          <w:lang w:val="ru-RU"/>
        </w:rPr>
        <w:t xml:space="preserve">), </w:t>
      </w:r>
      <w:r w:rsidRPr="00375A51">
        <w:rPr>
          <w:lang w:eastAsia="bg-BG"/>
        </w:rPr>
        <w:t xml:space="preserve">на върха на атенолол 50 </w:t>
      </w:r>
      <w:r w:rsidRPr="00375A51">
        <w:rPr>
          <w:lang w:val="en-US"/>
        </w:rPr>
        <w:t>mg</w:t>
      </w:r>
      <w:r w:rsidRPr="00375A51">
        <w:rPr>
          <w:lang w:eastAsia="bg-BG"/>
        </w:rPr>
        <w:t xml:space="preserve">/ден, две дози на триметазидин (70 </w:t>
      </w:r>
      <w:r w:rsidRPr="00375A51">
        <w:rPr>
          <w:lang w:val="en-US"/>
        </w:rPr>
        <w:t>mg</w:t>
      </w:r>
      <w:r w:rsidRPr="00375A51">
        <w:rPr>
          <w:lang w:eastAsia="bg-BG"/>
        </w:rPr>
        <w:t xml:space="preserve">/ден и 140 </w:t>
      </w:r>
      <w:r w:rsidRPr="00375A51">
        <w:rPr>
          <w:lang w:val="en-US"/>
        </w:rPr>
        <w:t>mg</w:t>
      </w:r>
      <w:r w:rsidRPr="00375A51">
        <w:rPr>
          <w:lang w:eastAsia="bg-BG"/>
        </w:rPr>
        <w:t xml:space="preserve">/ден) са били изследвани в сравнение с плацебо. В общата популация, включваща асимптоматични и симптоматични пациенти, триметазидин не успя да демонстрира ползи едновременно при ергометричните (обща продължителност на теста с физическо натоварване, време до настъпване на </w:t>
      </w:r>
      <w:r w:rsidRPr="00375A51">
        <w:rPr>
          <w:lang w:val="en-US"/>
        </w:rPr>
        <w:t>ST</w:t>
      </w:r>
      <w:r w:rsidRPr="00375A51">
        <w:rPr>
          <w:lang w:eastAsia="bg-BG"/>
        </w:rPr>
        <w:t xml:space="preserve">-депресия от 1 </w:t>
      </w:r>
      <w:r w:rsidRPr="00375A51">
        <w:rPr>
          <w:lang w:val="en-US"/>
        </w:rPr>
        <w:t>mm</w:t>
      </w:r>
      <w:r w:rsidRPr="00375A51">
        <w:rPr>
          <w:lang w:val="ru-RU"/>
        </w:rPr>
        <w:t xml:space="preserve"> </w:t>
      </w:r>
      <w:r w:rsidRPr="00375A51">
        <w:rPr>
          <w:lang w:eastAsia="bg-BG"/>
        </w:rPr>
        <w:t>и време до поява на ангина) и клиничните крайни точки. Въпреки това, в подгрупата на симптоматични пациенти (</w:t>
      </w:r>
      <w:r w:rsidRPr="00375A51">
        <w:rPr>
          <w:lang w:val="en-US"/>
        </w:rPr>
        <w:t>n</w:t>
      </w:r>
      <w:r w:rsidRPr="00375A51">
        <w:rPr>
          <w:lang w:eastAsia="bg-BG"/>
        </w:rPr>
        <w:t xml:space="preserve">=1574), определени в пост-хок анализа, триметазидин (140 </w:t>
      </w:r>
      <w:r w:rsidRPr="00375A51">
        <w:rPr>
          <w:lang w:val="en-US"/>
        </w:rPr>
        <w:t>mg</w:t>
      </w:r>
      <w:r w:rsidRPr="00375A51">
        <w:rPr>
          <w:lang w:val="ru-RU"/>
        </w:rPr>
        <w:t xml:space="preserve">) </w:t>
      </w:r>
      <w:r w:rsidRPr="00375A51">
        <w:rPr>
          <w:lang w:eastAsia="bg-BG"/>
        </w:rPr>
        <w:t>значимо подобрява общата продължителност на теста с физическо натоварване (+23,8 сек. спрямо +13,1 сек. при плацебо, р = 0,001) и времето до поява на ангинозна болка ( +46,3 сек. спрямо +32,5 сек. при плацебо, р = 0,005).</w:t>
      </w:r>
    </w:p>
    <w:p w14:paraId="0FE1F22D" w14:textId="77777777" w:rsidR="00375A51" w:rsidRPr="00375A51" w:rsidRDefault="00375A51" w:rsidP="00375A51"/>
    <w:p w14:paraId="35F84B81" w14:textId="54020BC6" w:rsidR="00CF77F7" w:rsidRDefault="002C50EE" w:rsidP="004A448E">
      <w:pPr>
        <w:pStyle w:val="Heading2"/>
      </w:pPr>
      <w:r>
        <w:t>5.2. Фармакокинетични свойства</w:t>
      </w:r>
    </w:p>
    <w:p w14:paraId="6D8A9BC5" w14:textId="7986C388" w:rsidR="00375A51" w:rsidRDefault="00375A51" w:rsidP="00375A51"/>
    <w:p w14:paraId="125CBA48" w14:textId="77777777" w:rsidR="00375A51" w:rsidRPr="00375A51" w:rsidRDefault="00375A51" w:rsidP="00375A51">
      <w:pPr>
        <w:pStyle w:val="Heading3"/>
        <w:rPr>
          <w:rFonts w:eastAsia="Times New Roman"/>
          <w:u w:val="single"/>
          <w:lang w:eastAsia="bg-BG"/>
        </w:rPr>
      </w:pPr>
      <w:r w:rsidRPr="00375A51">
        <w:rPr>
          <w:rFonts w:eastAsia="Times New Roman"/>
          <w:u w:val="single"/>
          <w:lang w:eastAsia="bg-BG"/>
        </w:rPr>
        <w:t xml:space="preserve">Абсорбция: </w:t>
      </w:r>
    </w:p>
    <w:p w14:paraId="0C0E2849" w14:textId="09580FA4" w:rsidR="00375A51" w:rsidRPr="00375A51" w:rsidRDefault="00375A51" w:rsidP="00375A51">
      <w:pPr>
        <w:spacing w:line="240" w:lineRule="auto"/>
        <w:rPr>
          <w:rFonts w:eastAsia="Times New Roman" w:cs="Arial"/>
        </w:rPr>
      </w:pPr>
      <w:r w:rsidRPr="00375A51">
        <w:rPr>
          <w:rFonts w:eastAsia="Times New Roman" w:cs="Arial"/>
          <w:color w:val="000000"/>
          <w:lang w:eastAsia="bg-BG"/>
        </w:rPr>
        <w:t xml:space="preserve">след перорално приложение триметазидин се резорбира бързо. Максимална плазмена концентрация от 55 </w:t>
      </w:r>
      <w:r w:rsidRPr="00375A51">
        <w:rPr>
          <w:rFonts w:eastAsia="Times New Roman" w:cs="Arial"/>
          <w:color w:val="000000"/>
          <w:lang w:val="en-US"/>
        </w:rPr>
        <w:t>ng</w:t>
      </w:r>
      <w:r w:rsidRPr="00375A51">
        <w:rPr>
          <w:rFonts w:eastAsia="Times New Roman" w:cs="Arial"/>
          <w:color w:val="000000"/>
          <w:lang w:val="ru-RU"/>
        </w:rPr>
        <w:t>/</w:t>
      </w:r>
      <w:r w:rsidRPr="00375A51">
        <w:rPr>
          <w:rFonts w:eastAsia="Times New Roman" w:cs="Arial"/>
          <w:color w:val="000000"/>
          <w:lang w:val="en-US"/>
        </w:rPr>
        <w:t>ml</w:t>
      </w:r>
      <w:r w:rsidRPr="00375A51">
        <w:rPr>
          <w:rFonts w:eastAsia="Times New Roman" w:cs="Arial"/>
          <w:color w:val="000000"/>
          <w:lang w:val="ru-RU"/>
        </w:rPr>
        <w:t xml:space="preserve"> </w:t>
      </w:r>
      <w:r w:rsidRPr="00375A51">
        <w:rPr>
          <w:rFonts w:eastAsia="Times New Roman" w:cs="Arial"/>
          <w:color w:val="000000"/>
          <w:lang w:eastAsia="bg-BG"/>
        </w:rPr>
        <w:t xml:space="preserve">се достига за по-малко от 2 часа след еднократен прием на 20 </w:t>
      </w:r>
      <w:r w:rsidRPr="00375A51">
        <w:rPr>
          <w:rFonts w:eastAsia="Times New Roman" w:cs="Arial"/>
          <w:color w:val="000000"/>
          <w:lang w:val="en-US"/>
        </w:rPr>
        <w:t>mg</w:t>
      </w:r>
      <w:r w:rsidRPr="00375A51">
        <w:rPr>
          <w:rFonts w:eastAsia="Times New Roman" w:cs="Arial"/>
          <w:color w:val="000000"/>
          <w:lang w:val="ru-RU"/>
        </w:rPr>
        <w:t xml:space="preserve"> </w:t>
      </w:r>
      <w:r w:rsidRPr="00375A51">
        <w:rPr>
          <w:rFonts w:eastAsia="Times New Roman" w:cs="Arial"/>
          <w:color w:val="000000"/>
          <w:lang w:eastAsia="bg-BG"/>
        </w:rPr>
        <w:t>триметазидин.</w:t>
      </w:r>
    </w:p>
    <w:p w14:paraId="4A1100CA" w14:textId="77777777" w:rsidR="00375A51" w:rsidRDefault="00375A51" w:rsidP="00375A51">
      <w:pPr>
        <w:spacing w:line="240" w:lineRule="auto"/>
        <w:rPr>
          <w:rFonts w:eastAsia="Times New Roman" w:cs="Arial"/>
          <w:color w:val="000000"/>
          <w:u w:val="single"/>
          <w:lang w:eastAsia="bg-BG"/>
        </w:rPr>
      </w:pPr>
    </w:p>
    <w:p w14:paraId="4A96381F" w14:textId="7FF3E123" w:rsidR="00375A51" w:rsidRPr="00375A51" w:rsidRDefault="00375A51" w:rsidP="00375A51">
      <w:pPr>
        <w:pStyle w:val="Heading3"/>
        <w:rPr>
          <w:rFonts w:eastAsia="Times New Roman"/>
          <w:u w:val="single"/>
          <w:lang w:eastAsia="bg-BG"/>
        </w:rPr>
      </w:pPr>
      <w:r w:rsidRPr="00375A51">
        <w:rPr>
          <w:rFonts w:eastAsia="Times New Roman"/>
          <w:u w:val="single"/>
          <w:lang w:eastAsia="bg-BG"/>
        </w:rPr>
        <w:t xml:space="preserve">Разпределение: </w:t>
      </w:r>
    </w:p>
    <w:p w14:paraId="162C2AA6" w14:textId="2AF315C0" w:rsidR="00375A51" w:rsidRPr="00375A51" w:rsidRDefault="00375A51" w:rsidP="00375A51">
      <w:pPr>
        <w:spacing w:line="240" w:lineRule="auto"/>
        <w:rPr>
          <w:rFonts w:eastAsia="Times New Roman" w:cs="Arial"/>
        </w:rPr>
      </w:pPr>
      <w:r w:rsidRPr="00375A51">
        <w:rPr>
          <w:rFonts w:eastAsia="Times New Roman" w:cs="Arial"/>
          <w:color w:val="000000"/>
          <w:lang w:eastAsia="bg-BG"/>
        </w:rPr>
        <w:t xml:space="preserve">при многократно приемане равновесна плазмена концентрация се достига след 24 до 36 часа и остава стабилна до края на курса на лечение. Обемът на разпределение на триметазидин е 4,8 </w:t>
      </w:r>
      <w:r w:rsidRPr="00375A51">
        <w:rPr>
          <w:rFonts w:eastAsia="Times New Roman" w:cs="Arial"/>
          <w:color w:val="000000"/>
          <w:lang w:val="en-US"/>
        </w:rPr>
        <w:t>l</w:t>
      </w:r>
      <w:r w:rsidRPr="00375A51">
        <w:rPr>
          <w:rFonts w:eastAsia="Times New Roman" w:cs="Arial"/>
          <w:color w:val="000000"/>
          <w:lang w:val="ru-RU"/>
        </w:rPr>
        <w:t>/</w:t>
      </w:r>
      <w:r w:rsidRPr="00375A51">
        <w:rPr>
          <w:rFonts w:eastAsia="Times New Roman" w:cs="Arial"/>
          <w:color w:val="000000"/>
          <w:lang w:val="en-US"/>
        </w:rPr>
        <w:t>kg</w:t>
      </w:r>
      <w:r w:rsidRPr="00375A51">
        <w:rPr>
          <w:rFonts w:eastAsia="Times New Roman" w:cs="Arial"/>
          <w:color w:val="000000"/>
          <w:lang w:val="ru-RU"/>
        </w:rPr>
        <w:t xml:space="preserve">, </w:t>
      </w:r>
      <w:r w:rsidRPr="00375A51">
        <w:rPr>
          <w:rFonts w:eastAsia="Times New Roman" w:cs="Arial"/>
          <w:color w:val="000000"/>
          <w:lang w:eastAsia="bg-BG"/>
        </w:rPr>
        <w:t>което предполага добро разпределение в тъканите. Свързването с плазмените протеини е около 16%.</w:t>
      </w:r>
    </w:p>
    <w:p w14:paraId="1F30B742" w14:textId="77777777" w:rsidR="00375A51" w:rsidRDefault="00375A51" w:rsidP="00375A51">
      <w:pPr>
        <w:spacing w:line="240" w:lineRule="auto"/>
        <w:rPr>
          <w:rFonts w:eastAsia="Times New Roman" w:cs="Arial"/>
          <w:color w:val="000000"/>
          <w:u w:val="single"/>
          <w:lang w:eastAsia="bg-BG"/>
        </w:rPr>
      </w:pPr>
    </w:p>
    <w:p w14:paraId="4DDE6AC2" w14:textId="68B26745" w:rsidR="00375A51" w:rsidRPr="00375A51" w:rsidRDefault="00375A51" w:rsidP="00375A51">
      <w:pPr>
        <w:pStyle w:val="Heading3"/>
        <w:rPr>
          <w:rFonts w:eastAsia="Times New Roman"/>
          <w:u w:val="single"/>
          <w:lang w:eastAsia="bg-BG"/>
        </w:rPr>
      </w:pPr>
      <w:r w:rsidRPr="00375A51">
        <w:rPr>
          <w:rFonts w:eastAsia="Times New Roman"/>
          <w:u w:val="single"/>
          <w:lang w:eastAsia="bg-BG"/>
        </w:rPr>
        <w:t xml:space="preserve">Елиминиране: </w:t>
      </w:r>
    </w:p>
    <w:p w14:paraId="376CE9A3" w14:textId="2BAAADE8" w:rsidR="00375A51" w:rsidRPr="00375A51" w:rsidRDefault="00375A51" w:rsidP="00375A51">
      <w:pPr>
        <w:spacing w:line="240" w:lineRule="auto"/>
        <w:rPr>
          <w:rFonts w:eastAsia="Times New Roman" w:cs="Arial"/>
          <w:color w:val="000000"/>
          <w:lang w:eastAsia="bg-BG"/>
        </w:rPr>
      </w:pPr>
      <w:r w:rsidRPr="00375A51">
        <w:rPr>
          <w:rFonts w:eastAsia="Times New Roman" w:cs="Arial"/>
          <w:color w:val="000000"/>
          <w:lang w:eastAsia="bg-BG"/>
        </w:rPr>
        <w:t>триметазидин се екскретира предимно с урината, основно в непроменен вид. Периодът на полуелиминиране е около 6 часа.</w:t>
      </w:r>
    </w:p>
    <w:p w14:paraId="63B13FC3" w14:textId="77777777" w:rsidR="00375A51" w:rsidRPr="00375A51" w:rsidRDefault="00375A51" w:rsidP="00375A51">
      <w:pPr>
        <w:spacing w:line="240" w:lineRule="auto"/>
        <w:rPr>
          <w:rFonts w:eastAsia="Times New Roman" w:cs="Arial"/>
          <w:color w:val="000000"/>
          <w:u w:val="single"/>
          <w:lang w:eastAsia="bg-BG"/>
        </w:rPr>
      </w:pPr>
    </w:p>
    <w:p w14:paraId="684BE90E" w14:textId="7028AE3D" w:rsidR="00375A51" w:rsidRPr="00375A51" w:rsidRDefault="00375A51" w:rsidP="00375A51">
      <w:pPr>
        <w:spacing w:line="240" w:lineRule="auto"/>
        <w:rPr>
          <w:rFonts w:eastAsia="Times New Roman" w:cs="Arial"/>
        </w:rPr>
      </w:pPr>
      <w:r w:rsidRPr="00375A51">
        <w:rPr>
          <w:rFonts w:eastAsia="Times New Roman" w:cs="Arial"/>
          <w:color w:val="000000"/>
          <w:u w:val="single"/>
          <w:lang w:eastAsia="bg-BG"/>
        </w:rPr>
        <w:t>Фармакокинетика при особени случаи</w:t>
      </w:r>
    </w:p>
    <w:p w14:paraId="4338ABEE" w14:textId="77777777" w:rsidR="00375A51" w:rsidRPr="00375A51" w:rsidRDefault="00375A51" w:rsidP="00375A51">
      <w:pPr>
        <w:spacing w:line="240" w:lineRule="auto"/>
        <w:rPr>
          <w:rFonts w:eastAsia="Times New Roman" w:cs="Arial"/>
        </w:rPr>
      </w:pPr>
      <w:r w:rsidRPr="00375A51">
        <w:rPr>
          <w:rFonts w:eastAsia="Times New Roman" w:cs="Arial"/>
          <w:color w:val="000000"/>
          <w:lang w:eastAsia="bg-BG"/>
        </w:rPr>
        <w:t xml:space="preserve">При бъбречна недостатъчност </w:t>
      </w:r>
      <w:r w:rsidRPr="00375A51">
        <w:rPr>
          <w:rFonts w:eastAsia="Times New Roman" w:cs="Arial"/>
          <w:color w:val="000000"/>
          <w:lang w:val="en-US"/>
        </w:rPr>
        <w:t>t</w:t>
      </w:r>
      <w:r w:rsidRPr="00375A51">
        <w:rPr>
          <w:rFonts w:eastAsia="Times New Roman" w:cs="Arial"/>
          <w:color w:val="000000"/>
          <w:vertAlign w:val="subscript"/>
          <w:lang w:val="ru-RU"/>
        </w:rPr>
        <w:t>1/2</w:t>
      </w:r>
      <w:r w:rsidRPr="00375A51">
        <w:rPr>
          <w:rFonts w:eastAsia="Times New Roman" w:cs="Arial"/>
          <w:color w:val="000000"/>
          <w:lang w:eastAsia="bg-BG"/>
        </w:rPr>
        <w:t xml:space="preserve"> се удължава.</w:t>
      </w:r>
    </w:p>
    <w:p w14:paraId="4208390F" w14:textId="77777777" w:rsidR="00375A51" w:rsidRPr="00375A51" w:rsidRDefault="00375A51" w:rsidP="00375A51"/>
    <w:p w14:paraId="648E39DA" w14:textId="0A631C60" w:rsidR="00CF77F7" w:rsidRDefault="002C50EE" w:rsidP="004A448E">
      <w:pPr>
        <w:pStyle w:val="Heading2"/>
      </w:pPr>
      <w:r>
        <w:t>5.3. Предклинични данни за безопасност</w:t>
      </w:r>
    </w:p>
    <w:p w14:paraId="1744358A" w14:textId="2EC6BE7C" w:rsidR="00375A51" w:rsidRDefault="00375A51" w:rsidP="00375A51"/>
    <w:p w14:paraId="71D8768A" w14:textId="77777777" w:rsidR="00375A51" w:rsidRPr="00375A51" w:rsidRDefault="00375A51" w:rsidP="00375A51">
      <w:pPr>
        <w:rPr>
          <w:sz w:val="24"/>
          <w:szCs w:val="24"/>
        </w:rPr>
      </w:pPr>
      <w:r w:rsidRPr="00375A51">
        <w:rPr>
          <w:lang w:val="en-US"/>
        </w:rPr>
        <w:t>LD</w:t>
      </w:r>
      <w:r w:rsidRPr="00375A51">
        <w:rPr>
          <w:vertAlign w:val="subscript"/>
          <w:lang w:val="ru-RU"/>
        </w:rPr>
        <w:t>50</w:t>
      </w:r>
      <w:r w:rsidRPr="00375A51">
        <w:rPr>
          <w:lang w:val="ru-RU"/>
        </w:rPr>
        <w:t xml:space="preserve"> </w:t>
      </w:r>
      <w:r w:rsidRPr="00375A51">
        <w:rPr>
          <w:lang w:eastAsia="bg-BG"/>
        </w:rPr>
        <w:t xml:space="preserve">на триметазидинов дихидрохлорид интравенозно при мишки - 150 </w:t>
      </w:r>
      <w:r w:rsidRPr="00375A51">
        <w:rPr>
          <w:lang w:val="en-US"/>
        </w:rPr>
        <w:t>mg</w:t>
      </w:r>
      <w:r w:rsidRPr="00375A51">
        <w:rPr>
          <w:lang w:val="ru-RU"/>
        </w:rPr>
        <w:t>/</w:t>
      </w:r>
      <w:r w:rsidRPr="00375A51">
        <w:rPr>
          <w:lang w:val="en-US"/>
        </w:rPr>
        <w:t>kg</w:t>
      </w:r>
      <w:r w:rsidRPr="00375A51">
        <w:rPr>
          <w:lang w:val="ru-RU"/>
        </w:rPr>
        <w:t xml:space="preserve">. </w:t>
      </w:r>
      <w:r w:rsidRPr="00375A51">
        <w:rPr>
          <w:lang w:eastAsia="bg-BG"/>
        </w:rPr>
        <w:t>Не са установени данни за тератогенен ефект при изследвания върху животни.</w:t>
      </w:r>
    </w:p>
    <w:p w14:paraId="19865C3D" w14:textId="77777777" w:rsidR="00375A51" w:rsidRPr="00375A51" w:rsidRDefault="00375A51" w:rsidP="00375A51"/>
    <w:p w14:paraId="6A7820AB" w14:textId="18488419" w:rsidR="008A6AF2" w:rsidRDefault="002C50EE" w:rsidP="00395555">
      <w:pPr>
        <w:pStyle w:val="Heading1"/>
      </w:pPr>
      <w:r>
        <w:t>7. ПРИТЕЖАТЕЛ НА РАЗРЕШЕНИЕТО ЗА УПОТРЕБА</w:t>
      </w:r>
    </w:p>
    <w:p w14:paraId="31005F37" w14:textId="76519A4B" w:rsidR="00375A51" w:rsidRDefault="00375A51" w:rsidP="00375A51"/>
    <w:p w14:paraId="0A4F2D6F" w14:textId="77777777" w:rsidR="00375A51" w:rsidRPr="00375A51" w:rsidRDefault="00375A51" w:rsidP="00375A51">
      <w:pPr>
        <w:rPr>
          <w:sz w:val="24"/>
          <w:szCs w:val="24"/>
        </w:rPr>
      </w:pPr>
      <w:r w:rsidRPr="00375A51">
        <w:rPr>
          <w:lang w:eastAsia="bg-BG"/>
        </w:rPr>
        <w:lastRenderedPageBreak/>
        <w:t>СОФАРМА АД</w:t>
      </w:r>
    </w:p>
    <w:p w14:paraId="1A8EA68F" w14:textId="77777777" w:rsidR="00375A51" w:rsidRPr="00375A51" w:rsidRDefault="00375A51" w:rsidP="00375A51">
      <w:pPr>
        <w:rPr>
          <w:sz w:val="24"/>
          <w:szCs w:val="24"/>
        </w:rPr>
      </w:pPr>
      <w:r w:rsidRPr="00375A51">
        <w:rPr>
          <w:lang w:eastAsia="bg-BG"/>
        </w:rPr>
        <w:t>ул. Илиенско шосе 16,1220 София, България</w:t>
      </w:r>
    </w:p>
    <w:p w14:paraId="33991CDE" w14:textId="77777777" w:rsidR="00375A51" w:rsidRPr="00375A51" w:rsidRDefault="00375A51" w:rsidP="00375A51"/>
    <w:p w14:paraId="7BA1BA64" w14:textId="6D988E5E" w:rsidR="00CF77F7" w:rsidRDefault="002C50EE" w:rsidP="004A448E">
      <w:pPr>
        <w:pStyle w:val="Heading1"/>
      </w:pPr>
      <w:r>
        <w:t>8. НОМЕР НА РАЗРЕШЕНИЕТО ЗА УПОТРЕБА</w:t>
      </w:r>
    </w:p>
    <w:p w14:paraId="109AA4DC" w14:textId="17B35761" w:rsidR="00375A51" w:rsidRDefault="00375A51" w:rsidP="00375A51"/>
    <w:p w14:paraId="562BD457" w14:textId="1128D316" w:rsidR="00375A51" w:rsidRPr="00375A51" w:rsidRDefault="00375A51" w:rsidP="00375A51">
      <w:r>
        <w:t>№20080137</w:t>
      </w:r>
    </w:p>
    <w:p w14:paraId="2CCB5832" w14:textId="6636ADCF" w:rsidR="007C605B" w:rsidRDefault="002C50EE" w:rsidP="007C605B">
      <w:pPr>
        <w:pStyle w:val="Heading1"/>
      </w:pPr>
      <w:r>
        <w:t>9. ДАТА НА ПЪРВО РАЗРЕШАВАНЕ/ПОДНОВЯВАНЕ НА РАЗРЕШЕНИЕТО ЗА УПОТРЕБА</w:t>
      </w:r>
    </w:p>
    <w:p w14:paraId="5AB6CE97" w14:textId="32206261" w:rsidR="00375A51" w:rsidRDefault="00375A51" w:rsidP="00375A51"/>
    <w:p w14:paraId="4CA436B9" w14:textId="77777777" w:rsidR="00375A51" w:rsidRPr="00375A51" w:rsidRDefault="00375A51" w:rsidP="00375A51">
      <w:pPr>
        <w:rPr>
          <w:sz w:val="24"/>
          <w:szCs w:val="24"/>
        </w:rPr>
      </w:pPr>
      <w:r w:rsidRPr="00375A51">
        <w:rPr>
          <w:lang w:eastAsia="bg-BG"/>
        </w:rPr>
        <w:t>Дата на първо разрешаване: 24.07.2008</w:t>
      </w:r>
    </w:p>
    <w:p w14:paraId="1F6AEFD1" w14:textId="52D42535" w:rsidR="00375A51" w:rsidRPr="00375A51" w:rsidRDefault="00375A51" w:rsidP="00375A51">
      <w:r w:rsidRPr="00375A51">
        <w:rPr>
          <w:lang w:eastAsia="bg-BG"/>
        </w:rPr>
        <w:t>Подновяване на разрешението за употреба: 04.11.2013</w:t>
      </w:r>
    </w:p>
    <w:p w14:paraId="0E9D0119" w14:textId="0245C6D7" w:rsidR="002C50EE" w:rsidRDefault="002C50EE" w:rsidP="002C50EE">
      <w:pPr>
        <w:pStyle w:val="Heading1"/>
      </w:pPr>
      <w:r>
        <w:t>10. ДАТА НА АКТУАЛИЗИРАНЕ НА ТЕКСТА</w:t>
      </w:r>
    </w:p>
    <w:bookmarkEnd w:id="0"/>
    <w:p w14:paraId="43FB38A2" w14:textId="4119B5DC" w:rsidR="007C605B" w:rsidRPr="003E3126" w:rsidRDefault="00375A51" w:rsidP="00375A51">
      <w:r>
        <w:t>Май 2017</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5A51"/>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82D59"/>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2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10787</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2022-04-13T19:42:00Z</dcterms:created>
  <dcterms:modified xsi:type="dcterms:W3CDTF">2022-04-13T19:42:00Z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