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75B6C89E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190107ED" w14:textId="77777777" w:rsidR="00CB5226" w:rsidRDefault="00CB5226" w:rsidP="00CB5226">
      <w:pPr>
        <w:rPr>
          <w:lang w:val="bg-BG" w:eastAsia="bg-BG"/>
        </w:rPr>
      </w:pPr>
      <w:r w:rsidRPr="00CB5226">
        <w:rPr>
          <w:lang w:val="bg-BG" w:eastAsia="bg-BG"/>
        </w:rPr>
        <w:t xml:space="preserve">ТРИТЕЙС 5 </w:t>
      </w:r>
      <w:r w:rsidRPr="00CB5226">
        <w:t xml:space="preserve">mg </w:t>
      </w:r>
      <w:r w:rsidRPr="00CB5226">
        <w:rPr>
          <w:lang w:val="bg-BG" w:eastAsia="bg-BG"/>
        </w:rPr>
        <w:t xml:space="preserve">таблетки </w:t>
      </w:r>
    </w:p>
    <w:p w14:paraId="7C0B5EFF" w14:textId="00F3834E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t xml:space="preserve">TRITAC </w:t>
      </w:r>
      <w:r w:rsidRPr="00CB5226">
        <w:rPr>
          <w:lang w:val="bg-BG" w:eastAsia="bg-BG"/>
        </w:rPr>
        <w:t xml:space="preserve">Е 5 </w:t>
      </w:r>
      <w:r w:rsidRPr="00CB5226">
        <w:t>mg tablets</w:t>
      </w:r>
    </w:p>
    <w:p w14:paraId="51BEDCA0" w14:textId="77777777" w:rsidR="00CB5226" w:rsidRDefault="00CB5226" w:rsidP="00CB5226">
      <w:pPr>
        <w:rPr>
          <w:lang w:val="bg-BG" w:eastAsia="bg-BG"/>
        </w:rPr>
      </w:pPr>
    </w:p>
    <w:p w14:paraId="58350A5D" w14:textId="05DB8661" w:rsidR="00CB5226" w:rsidRDefault="00CB5226" w:rsidP="00CB5226">
      <w:pPr>
        <w:rPr>
          <w:lang w:val="bg-BG" w:eastAsia="bg-BG"/>
        </w:rPr>
      </w:pPr>
      <w:r w:rsidRPr="00CB5226">
        <w:rPr>
          <w:lang w:val="bg-BG" w:eastAsia="bg-BG"/>
        </w:rPr>
        <w:t xml:space="preserve">ТРИТЕЙС 10 </w:t>
      </w:r>
      <w:r w:rsidRPr="00CB5226">
        <w:t xml:space="preserve">mg </w:t>
      </w:r>
      <w:r w:rsidRPr="00CB5226">
        <w:rPr>
          <w:lang w:val="bg-BG" w:eastAsia="bg-BG"/>
        </w:rPr>
        <w:t xml:space="preserve">таблетки </w:t>
      </w:r>
    </w:p>
    <w:p w14:paraId="5B48550C" w14:textId="5378B142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t>TRIT</w:t>
      </w:r>
      <w:r w:rsidRPr="00CB5226">
        <w:rPr>
          <w:lang w:val="bg-BG" w:eastAsia="bg-BG"/>
        </w:rPr>
        <w:t xml:space="preserve">АСЕ 10 </w:t>
      </w:r>
      <w:r w:rsidRPr="00CB5226">
        <w:t>mg tablets</w:t>
      </w:r>
    </w:p>
    <w:p w14:paraId="003B524F" w14:textId="77777777" w:rsidR="00CB5226" w:rsidRPr="00CB5226" w:rsidRDefault="00CB5226" w:rsidP="00CB5226">
      <w:pPr>
        <w:rPr>
          <w:lang w:val="bg-BG"/>
        </w:rPr>
      </w:pPr>
    </w:p>
    <w:p w14:paraId="3A916BC0" w14:textId="2222D878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42F66BDE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Всяка таблетка </w:t>
      </w:r>
      <w:proofErr w:type="spellStart"/>
      <w:r w:rsidRPr="00CB5226">
        <w:rPr>
          <w:lang w:val="bg-BG" w:eastAsia="bg-BG"/>
        </w:rPr>
        <w:t>Тритейс</w:t>
      </w:r>
      <w:proofErr w:type="spellEnd"/>
      <w:r w:rsidRPr="00CB5226">
        <w:rPr>
          <w:lang w:val="bg-BG" w:eastAsia="bg-BG"/>
        </w:rPr>
        <w:t xml:space="preserve"> 5 </w:t>
      </w:r>
      <w:r w:rsidRPr="00CB5226">
        <w:t xml:space="preserve">mg </w:t>
      </w:r>
      <w:r w:rsidRPr="00CB5226">
        <w:rPr>
          <w:lang w:val="bg-BG" w:eastAsia="bg-BG"/>
        </w:rPr>
        <w:t xml:space="preserve">съдържа 5 </w:t>
      </w:r>
      <w:r w:rsidRPr="00CB5226">
        <w:t xml:space="preserve">mg </w:t>
      </w: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</w:t>
      </w:r>
      <w:r w:rsidRPr="00CB5226">
        <w:t>(ramipril)</w:t>
      </w:r>
    </w:p>
    <w:p w14:paraId="2DD72E1D" w14:textId="0294FBB1" w:rsidR="00CB5226" w:rsidRPr="00CB5226" w:rsidRDefault="00CB5226" w:rsidP="00CB5226">
      <w:pPr>
        <w:rPr>
          <w:lang w:val="bg-BG"/>
        </w:rPr>
      </w:pPr>
      <w:r w:rsidRPr="00CB5226">
        <w:rPr>
          <w:lang w:val="bg-BG" w:eastAsia="bg-BG"/>
        </w:rPr>
        <w:t xml:space="preserve">Всяка таблетка </w:t>
      </w:r>
      <w:proofErr w:type="spellStart"/>
      <w:r w:rsidRPr="00CB5226">
        <w:rPr>
          <w:lang w:val="bg-BG" w:eastAsia="bg-BG"/>
        </w:rPr>
        <w:t>Тритейс</w:t>
      </w:r>
      <w:proofErr w:type="spellEnd"/>
      <w:r w:rsidRPr="00CB5226">
        <w:rPr>
          <w:lang w:val="bg-BG" w:eastAsia="bg-BG"/>
        </w:rPr>
        <w:t xml:space="preserve"> 10 </w:t>
      </w:r>
      <w:r w:rsidRPr="00CB5226">
        <w:t xml:space="preserve">mg </w:t>
      </w:r>
      <w:r w:rsidRPr="00CB5226">
        <w:rPr>
          <w:lang w:val="bg-BG" w:eastAsia="bg-BG"/>
        </w:rPr>
        <w:t xml:space="preserve">съдържа 10 </w:t>
      </w:r>
      <w:r w:rsidRPr="00CB5226">
        <w:t xml:space="preserve">mg </w:t>
      </w: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</w:t>
      </w:r>
      <w:r w:rsidRPr="00CB5226">
        <w:t>(ramipril)</w:t>
      </w:r>
    </w:p>
    <w:p w14:paraId="74A1D0A0" w14:textId="28887930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4A8DFB2B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Таблетка 5 </w:t>
      </w:r>
      <w:r w:rsidRPr="00CB5226">
        <w:t>mg</w:t>
      </w:r>
    </w:p>
    <w:p w14:paraId="43E983D4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Светло червени продълговати таблетки с размери от 8 х 4 </w:t>
      </w:r>
      <w:r w:rsidRPr="00CB5226">
        <w:t xml:space="preserve">mm </w:t>
      </w:r>
      <w:r w:rsidRPr="00CB5226">
        <w:rPr>
          <w:lang w:val="bg-BG" w:eastAsia="bg-BG"/>
        </w:rPr>
        <w:t>с делителна черта, гравирани с 5 и логото на компанията от горната страна и НМР и 5 от долната. Таблетката може да бъде разделена на равни дози.</w:t>
      </w:r>
    </w:p>
    <w:p w14:paraId="5885ABE6" w14:textId="77777777" w:rsidR="00CB5226" w:rsidRDefault="00CB5226" w:rsidP="00CB5226">
      <w:pPr>
        <w:rPr>
          <w:lang w:val="bg-BG" w:eastAsia="bg-BG"/>
        </w:rPr>
      </w:pPr>
    </w:p>
    <w:p w14:paraId="7073225F" w14:textId="24EDF96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Таблетка 10 </w:t>
      </w:r>
      <w:r w:rsidRPr="00CB5226">
        <w:t>mg</w:t>
      </w:r>
    </w:p>
    <w:p w14:paraId="0BFA85DC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Бели до почти бели продълговати таблетки с размери 7 х 4,5 мм с делителна черта, гравирани с НМО/ НМО от горната страна. Таблетката може да бъде разделена на равни дози.</w:t>
      </w:r>
    </w:p>
    <w:p w14:paraId="169DEFA6" w14:textId="77777777" w:rsidR="00CB5226" w:rsidRPr="00CB5226" w:rsidRDefault="00CB5226" w:rsidP="00CB5226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1B207B56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77399AF5" w14:textId="77777777" w:rsidR="00CB5226" w:rsidRDefault="00CB5226" w:rsidP="00CB5226">
      <w:pPr>
        <w:rPr>
          <w:lang w:val="bg-BG" w:eastAsia="bg-BG"/>
        </w:rPr>
      </w:pPr>
    </w:p>
    <w:p w14:paraId="47A736A3" w14:textId="24FADFD5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Лечение на хипертония</w:t>
      </w:r>
    </w:p>
    <w:p w14:paraId="74E7E1E7" w14:textId="52C74DD1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Сърдечно-съдова профилактика: намаляване на сърдечно-съдовата заболеваемост и смъртност при пациенти с:</w:t>
      </w:r>
    </w:p>
    <w:p w14:paraId="7ED26130" w14:textId="5380CEA3" w:rsidR="00CB5226" w:rsidRPr="00CB5226" w:rsidRDefault="00CB5226" w:rsidP="00CB5226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проявено </w:t>
      </w:r>
      <w:proofErr w:type="spellStart"/>
      <w:r w:rsidRPr="00CB5226">
        <w:rPr>
          <w:lang w:val="bg-BG" w:eastAsia="bg-BG"/>
        </w:rPr>
        <w:t>атеротромботично</w:t>
      </w:r>
      <w:proofErr w:type="spellEnd"/>
      <w:r w:rsidRPr="00CB5226">
        <w:rPr>
          <w:lang w:val="bg-BG" w:eastAsia="bg-BG"/>
        </w:rPr>
        <w:t xml:space="preserve"> сърдечно-съдово заболяване (анамнеза за коронарно заболяване или инсулт, или периферна артериална болест) или</w:t>
      </w:r>
    </w:p>
    <w:p w14:paraId="67E75B75" w14:textId="4E0107E2" w:rsidR="00CB5226" w:rsidRPr="00CB5226" w:rsidRDefault="00CB5226" w:rsidP="00CB5226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диабет с поне един сърдечно-съдов рисков фактор (вж. точка 5.1).</w:t>
      </w:r>
    </w:p>
    <w:p w14:paraId="20647A9C" w14:textId="77777777" w:rsidR="00CB5226" w:rsidRDefault="00CB5226" w:rsidP="00CB5226">
      <w:pPr>
        <w:rPr>
          <w:lang w:val="bg-BG" w:eastAsia="bg-BG"/>
        </w:rPr>
      </w:pPr>
    </w:p>
    <w:p w14:paraId="31AC7C6F" w14:textId="255235E4" w:rsidR="00CB5226" w:rsidRPr="00CB5226" w:rsidRDefault="00CB5226" w:rsidP="00CB5226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CB5226">
        <w:rPr>
          <w:lang w:val="bg-BG" w:eastAsia="bg-BG"/>
        </w:rPr>
        <w:t>Лечение на бъбречно заболяване:</w:t>
      </w:r>
    </w:p>
    <w:p w14:paraId="412E7B80" w14:textId="0FD27E32" w:rsidR="00CB5226" w:rsidRPr="00CB5226" w:rsidRDefault="00CB5226" w:rsidP="00CB5226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Начална диабетна </w:t>
      </w:r>
      <w:proofErr w:type="spellStart"/>
      <w:r w:rsidRPr="00CB5226">
        <w:rPr>
          <w:lang w:val="bg-BG" w:eastAsia="bg-BG"/>
        </w:rPr>
        <w:t>гломерулна</w:t>
      </w:r>
      <w:proofErr w:type="spellEnd"/>
      <w:r w:rsidRPr="00CB5226">
        <w:rPr>
          <w:lang w:val="bg-BG" w:eastAsia="bg-BG"/>
        </w:rPr>
        <w:t xml:space="preserve"> нефропатия, определена от наличие на </w:t>
      </w:r>
      <w:proofErr w:type="spellStart"/>
      <w:r w:rsidRPr="00CB5226">
        <w:rPr>
          <w:lang w:val="bg-BG" w:eastAsia="bg-BG"/>
        </w:rPr>
        <w:t>микроалбуминурия</w:t>
      </w:r>
      <w:proofErr w:type="spellEnd"/>
      <w:r w:rsidRPr="00CB5226">
        <w:rPr>
          <w:lang w:val="bg-BG" w:eastAsia="bg-BG"/>
        </w:rPr>
        <w:t>;</w:t>
      </w:r>
    </w:p>
    <w:p w14:paraId="2F44BAC9" w14:textId="10654A95" w:rsidR="00CB5226" w:rsidRPr="00CB5226" w:rsidRDefault="00CB5226" w:rsidP="00CB5226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Проявена диабетна </w:t>
      </w:r>
      <w:proofErr w:type="spellStart"/>
      <w:r w:rsidRPr="00CB5226">
        <w:rPr>
          <w:lang w:val="bg-BG" w:eastAsia="bg-BG"/>
        </w:rPr>
        <w:t>гломерулна</w:t>
      </w:r>
      <w:proofErr w:type="spellEnd"/>
      <w:r w:rsidRPr="00CB5226">
        <w:rPr>
          <w:lang w:val="bg-BG" w:eastAsia="bg-BG"/>
        </w:rPr>
        <w:t xml:space="preserve"> нефропатия, определена от </w:t>
      </w:r>
      <w:proofErr w:type="spellStart"/>
      <w:r w:rsidRPr="00CB5226">
        <w:rPr>
          <w:lang w:val="bg-BG" w:eastAsia="bg-BG"/>
        </w:rPr>
        <w:t>макропротеинурия</w:t>
      </w:r>
      <w:proofErr w:type="spellEnd"/>
      <w:r w:rsidRPr="00CB5226">
        <w:rPr>
          <w:lang w:val="bg-BG" w:eastAsia="bg-BG"/>
        </w:rPr>
        <w:t xml:space="preserve"> при пациенти с поне един сърдечно-съдов рисков фактор (вж. точка 5.1),</w:t>
      </w:r>
    </w:p>
    <w:p w14:paraId="7BB3C226" w14:textId="42195C3C" w:rsidR="00CB5226" w:rsidRPr="00CB5226" w:rsidRDefault="00CB5226" w:rsidP="00CB5226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Проявена недиабетна </w:t>
      </w:r>
      <w:proofErr w:type="spellStart"/>
      <w:r w:rsidRPr="00CB5226">
        <w:rPr>
          <w:lang w:val="bg-BG" w:eastAsia="bg-BG"/>
        </w:rPr>
        <w:t>гломерулна</w:t>
      </w:r>
      <w:proofErr w:type="spellEnd"/>
      <w:r w:rsidRPr="00CB5226">
        <w:rPr>
          <w:lang w:val="bg-BG" w:eastAsia="bg-BG"/>
        </w:rPr>
        <w:t xml:space="preserve"> нефропатия, определена от </w:t>
      </w:r>
      <w:proofErr w:type="spellStart"/>
      <w:r w:rsidRPr="00CB5226">
        <w:rPr>
          <w:lang w:val="bg-BG" w:eastAsia="bg-BG"/>
        </w:rPr>
        <w:t>макропротеинурия</w:t>
      </w:r>
      <w:proofErr w:type="spellEnd"/>
      <w:r>
        <w:rPr>
          <w:lang w:val="bg-BG" w:eastAsia="bg-BG"/>
        </w:rPr>
        <w:t xml:space="preserve"> </w:t>
      </w:r>
      <w:r w:rsidRPr="00CB5226">
        <w:t>≥</w:t>
      </w:r>
      <w:r w:rsidRPr="00CB5226">
        <w:rPr>
          <w:lang w:val="bg-BG" w:eastAsia="bg-BG"/>
        </w:rPr>
        <w:t xml:space="preserve"> 3 </w:t>
      </w:r>
      <w:r w:rsidRPr="00CB5226">
        <w:t xml:space="preserve">g </w:t>
      </w:r>
      <w:r w:rsidRPr="00CB5226">
        <w:rPr>
          <w:lang w:val="bg-BG" w:eastAsia="bg-BG"/>
        </w:rPr>
        <w:t>на ден (вж. точка 5.1).</w:t>
      </w:r>
    </w:p>
    <w:p w14:paraId="742C865D" w14:textId="77777777" w:rsidR="00CB5226" w:rsidRDefault="00CB5226" w:rsidP="00CB5226">
      <w:pPr>
        <w:rPr>
          <w:lang w:val="bg-BG" w:eastAsia="bg-BG"/>
        </w:rPr>
      </w:pPr>
    </w:p>
    <w:p w14:paraId="4828517B" w14:textId="03949686" w:rsidR="00CB5226" w:rsidRPr="00CB5226" w:rsidRDefault="00CB5226" w:rsidP="00CB5226">
      <w:pPr>
        <w:pStyle w:val="ListParagraph"/>
        <w:numPr>
          <w:ilvl w:val="0"/>
          <w:numId w:val="18"/>
        </w:numPr>
      </w:pPr>
      <w:r w:rsidRPr="00CB5226">
        <w:rPr>
          <w:lang w:val="bg-BG" w:eastAsia="bg-BG"/>
        </w:rPr>
        <w:lastRenderedPageBreak/>
        <w:t>Лечение на симптоматична сърдечна недостатъчност.</w:t>
      </w:r>
    </w:p>
    <w:p w14:paraId="198B6447" w14:textId="13BFA299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Вторична профилактика след остър миокарден инфаркт: намаляване на смъртността в острата фаза на миокарден инфаркт при пациенти с клинични признаци на сърдечна недостатъчност, с начало повече от 48 часа след остър миокарден инфаркт.</w:t>
      </w:r>
    </w:p>
    <w:p w14:paraId="765F4567" w14:textId="77777777" w:rsidR="00CB5226" w:rsidRPr="00CB5226" w:rsidRDefault="00CB5226" w:rsidP="00CB5226"/>
    <w:p w14:paraId="71891A7D" w14:textId="14D553A8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08C69A7D" w14:textId="77777777" w:rsidR="00CB5226" w:rsidRDefault="00CB5226" w:rsidP="00CB5226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2EDB2E3B" w14:textId="11CD3713" w:rsidR="00CB5226" w:rsidRPr="00CB5226" w:rsidRDefault="00CB5226" w:rsidP="00CB5226">
      <w:pPr>
        <w:pStyle w:val="Heading3"/>
        <w:rPr>
          <w:rFonts w:eastAsia="Times New Roman"/>
          <w:u w:val="single"/>
          <w:lang w:val="bg-BG"/>
        </w:rPr>
      </w:pPr>
      <w:r w:rsidRPr="00CB5226">
        <w:rPr>
          <w:rFonts w:eastAsia="Times New Roman"/>
          <w:u w:val="single"/>
          <w:lang w:val="bg-BG" w:eastAsia="bg-BG"/>
        </w:rPr>
        <w:t>Дозировка</w:t>
      </w:r>
    </w:p>
    <w:p w14:paraId="0A29EF28" w14:textId="77777777" w:rsidR="00CB5226" w:rsidRDefault="00CB5226" w:rsidP="00CB5226">
      <w:pPr>
        <w:rPr>
          <w:lang w:val="bg-BG" w:eastAsia="bg-BG"/>
        </w:rPr>
      </w:pPr>
    </w:p>
    <w:p w14:paraId="29896135" w14:textId="462164EF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Препоръчва се ТРИТЕЙС да бъде приеман веднъж дневно, по едно и също време всеки ден. Тъй като приемът на храна не променя бионаличността му, ТРИТЕЙС може да бъде приеман преди, по време на или след хранене (вж. точка 5.2).</w:t>
      </w:r>
    </w:p>
    <w:p w14:paraId="1662E494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ТРИТЕЙС трябва да се поглъща с течност. Не трябва да се дъвче или разтрошава.</w:t>
      </w:r>
    </w:p>
    <w:p w14:paraId="202F26E0" w14:textId="77777777" w:rsidR="00CB5226" w:rsidRDefault="00CB5226" w:rsidP="00CB5226">
      <w:pPr>
        <w:rPr>
          <w:i/>
          <w:iCs/>
          <w:lang w:val="bg-BG" w:eastAsia="bg-BG"/>
        </w:rPr>
      </w:pPr>
    </w:p>
    <w:p w14:paraId="6AE7CFB0" w14:textId="0EA662F6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i/>
          <w:iCs/>
          <w:u w:val="single"/>
          <w:lang w:val="bg-BG" w:eastAsia="bg-BG"/>
        </w:rPr>
        <w:t>Възрастни</w:t>
      </w:r>
    </w:p>
    <w:p w14:paraId="4812BC43" w14:textId="77777777" w:rsidR="00CB5226" w:rsidRDefault="00CB5226" w:rsidP="00CB5226">
      <w:pPr>
        <w:rPr>
          <w:lang w:val="bg-BG" w:eastAsia="bg-BG"/>
        </w:rPr>
      </w:pPr>
    </w:p>
    <w:p w14:paraId="5A178F8B" w14:textId="4BF318FF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 xml:space="preserve">Пациенти лекувани с </w:t>
      </w:r>
      <w:proofErr w:type="spellStart"/>
      <w:r w:rsidRPr="00CB5226">
        <w:rPr>
          <w:u w:val="single"/>
          <w:lang w:val="bg-BG" w:eastAsia="bg-BG"/>
        </w:rPr>
        <w:t>диуретици</w:t>
      </w:r>
      <w:proofErr w:type="spellEnd"/>
    </w:p>
    <w:p w14:paraId="54EAA408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След започване на терапия с ТРИТЕЙС може да </w:t>
      </w:r>
      <w:proofErr w:type="spellStart"/>
      <w:r w:rsidRPr="00CB5226">
        <w:rPr>
          <w:lang w:val="bg-BG" w:eastAsia="bg-BG"/>
        </w:rPr>
        <w:t>насъпи</w:t>
      </w:r>
      <w:proofErr w:type="spellEnd"/>
      <w:r w:rsidRPr="00CB5226">
        <w:rPr>
          <w:lang w:val="bg-BG" w:eastAsia="bg-BG"/>
        </w:rPr>
        <w:t xml:space="preserve"> хипотония; това е по-вероятно при пациенти, които са лекувани едновременно с </w:t>
      </w:r>
      <w:proofErr w:type="spellStart"/>
      <w:r w:rsidRPr="00CB5226">
        <w:rPr>
          <w:lang w:val="bg-BG" w:eastAsia="bg-BG"/>
        </w:rPr>
        <w:t>диуретици</w:t>
      </w:r>
      <w:proofErr w:type="spellEnd"/>
      <w:r w:rsidRPr="00CB5226">
        <w:rPr>
          <w:lang w:val="bg-BG" w:eastAsia="bg-BG"/>
        </w:rPr>
        <w:t>. Поради това се препоръчва повишено внимание, тъй като тези пациенти могат да бъдат с намален обем течности и/ или соли.</w:t>
      </w:r>
    </w:p>
    <w:p w14:paraId="48A3AD42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Ако е възможно, </w:t>
      </w:r>
      <w:proofErr w:type="spellStart"/>
      <w:r w:rsidRPr="00CB5226">
        <w:rPr>
          <w:lang w:val="bg-BG" w:eastAsia="bg-BG"/>
        </w:rPr>
        <w:t>диуретикът</w:t>
      </w:r>
      <w:proofErr w:type="spellEnd"/>
      <w:r w:rsidRPr="00CB5226">
        <w:rPr>
          <w:lang w:val="bg-BG" w:eastAsia="bg-BG"/>
        </w:rPr>
        <w:t xml:space="preserve"> трябва да бъде спрян 2 до 3 дни преди началото на терапията с ТРИТЕЙС (вж. точка 4.4).</w:t>
      </w:r>
    </w:p>
    <w:p w14:paraId="4A3A9B76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При пациенти с хипертония, при които </w:t>
      </w:r>
      <w:proofErr w:type="spellStart"/>
      <w:r w:rsidRPr="00CB5226">
        <w:rPr>
          <w:lang w:val="bg-BG" w:eastAsia="bg-BG"/>
        </w:rPr>
        <w:t>диуретикът</w:t>
      </w:r>
      <w:proofErr w:type="spellEnd"/>
      <w:r w:rsidRPr="00CB5226">
        <w:rPr>
          <w:lang w:val="bg-BG" w:eastAsia="bg-BG"/>
        </w:rPr>
        <w:t xml:space="preserve"> не е спрян, терапията с ТРИТЕЙС трябва да бъде започната с доза от 1,25 </w:t>
      </w:r>
      <w:r w:rsidRPr="00CB5226">
        <w:t xml:space="preserve">mg. </w:t>
      </w:r>
      <w:r w:rsidRPr="00CB5226">
        <w:rPr>
          <w:lang w:val="bg-BG" w:eastAsia="bg-BG"/>
        </w:rPr>
        <w:t>Трябва да бъдат проследявани бъбречната функция и плазмения калий. Последващата доза на ТРИТЕЙС трябва да бъде определяна според желаното кръвно налягане.</w:t>
      </w:r>
    </w:p>
    <w:p w14:paraId="79B762FB" w14:textId="77777777" w:rsidR="00CB5226" w:rsidRDefault="00CB5226" w:rsidP="00CB5226">
      <w:pPr>
        <w:rPr>
          <w:i/>
          <w:iCs/>
          <w:lang w:val="bg-BG" w:eastAsia="bg-BG"/>
        </w:rPr>
      </w:pPr>
    </w:p>
    <w:p w14:paraId="456AD994" w14:textId="05C88C34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Хипертония</w:t>
      </w:r>
    </w:p>
    <w:p w14:paraId="77A810C3" w14:textId="77777777" w:rsidR="00CB5226" w:rsidRDefault="00CB5226" w:rsidP="00CB5226">
      <w:pPr>
        <w:rPr>
          <w:lang w:val="bg-BG" w:eastAsia="bg-BG"/>
        </w:rPr>
      </w:pPr>
    </w:p>
    <w:p w14:paraId="2F29E932" w14:textId="542056A0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Дозата трябва да бъде определена индивидуално, според профила на пациента (вж. точка 4.4) и контрола на </w:t>
      </w:r>
      <w:proofErr w:type="spellStart"/>
      <w:r w:rsidRPr="00CB5226">
        <w:rPr>
          <w:lang w:val="bg-BG" w:eastAsia="bg-BG"/>
        </w:rPr>
        <w:t>кървното</w:t>
      </w:r>
      <w:proofErr w:type="spellEnd"/>
      <w:r w:rsidRPr="00CB5226">
        <w:rPr>
          <w:lang w:val="bg-BG" w:eastAsia="bg-BG"/>
        </w:rPr>
        <w:t xml:space="preserve"> налягане.</w:t>
      </w:r>
    </w:p>
    <w:p w14:paraId="33F064B5" w14:textId="77777777" w:rsidR="00CB5226" w:rsidRDefault="00CB5226" w:rsidP="00CB5226">
      <w:pPr>
        <w:rPr>
          <w:lang w:val="bg-BG" w:eastAsia="bg-BG"/>
        </w:rPr>
      </w:pPr>
    </w:p>
    <w:p w14:paraId="75E3E240" w14:textId="0598047A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ТРИТЕЙС може да бъде използван като </w:t>
      </w:r>
      <w:proofErr w:type="spellStart"/>
      <w:r w:rsidRPr="00CB5226">
        <w:rPr>
          <w:lang w:val="bg-BG" w:eastAsia="bg-BG"/>
        </w:rPr>
        <w:t>монотерапия</w:t>
      </w:r>
      <w:proofErr w:type="spellEnd"/>
      <w:r w:rsidRPr="00CB5226">
        <w:rPr>
          <w:lang w:val="bg-BG" w:eastAsia="bg-BG"/>
        </w:rPr>
        <w:t xml:space="preserve"> или в комбинация с други класове антихипертензивни лекарствени продукти (вж. точки 4.3, 4.4, 4.5 и 5.1)</w:t>
      </w:r>
    </w:p>
    <w:p w14:paraId="1045782F" w14:textId="77777777" w:rsidR="00CB5226" w:rsidRDefault="00CB5226" w:rsidP="00CB5226">
      <w:pPr>
        <w:rPr>
          <w:lang w:val="bg-BG" w:eastAsia="bg-BG"/>
        </w:rPr>
      </w:pPr>
    </w:p>
    <w:p w14:paraId="426BAF34" w14:textId="0B5D2AF4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Начална доза</w:t>
      </w:r>
    </w:p>
    <w:p w14:paraId="382D44C5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ТРИТЕЙС трябва да бъде започван постепенно с препоръчана първоначална доза от 2,5 </w:t>
      </w:r>
      <w:r w:rsidRPr="00CB5226">
        <w:t xml:space="preserve">mg </w:t>
      </w:r>
      <w:r w:rsidRPr="00CB5226">
        <w:rPr>
          <w:lang w:val="bg-BG" w:eastAsia="bg-BG"/>
        </w:rPr>
        <w:t>дневно.</w:t>
      </w:r>
    </w:p>
    <w:p w14:paraId="3BB3FC1A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При пациенти с повишена активност на ренин-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>-</w:t>
      </w:r>
      <w:proofErr w:type="spellStart"/>
      <w:r w:rsidRPr="00CB5226">
        <w:rPr>
          <w:lang w:val="bg-BG" w:eastAsia="bg-BG"/>
        </w:rPr>
        <w:t>алдостероновата</w:t>
      </w:r>
      <w:proofErr w:type="spellEnd"/>
      <w:r w:rsidRPr="00CB5226">
        <w:rPr>
          <w:lang w:val="bg-BG" w:eastAsia="bg-BG"/>
        </w:rPr>
        <w:t xml:space="preserve"> система може да настъпи значително понижение на кръвното налягане след приема на първата доза. При такива пациенти се препоръчва начална доза от 1,25 </w:t>
      </w:r>
      <w:r w:rsidRPr="00CB5226">
        <w:t xml:space="preserve">mg </w:t>
      </w:r>
      <w:r w:rsidRPr="00CB5226">
        <w:rPr>
          <w:lang w:val="bg-BG" w:eastAsia="bg-BG"/>
        </w:rPr>
        <w:t>и началото на лечението трябва да бъде извършено под медицински контрол (вж. точка 4.4).</w:t>
      </w:r>
    </w:p>
    <w:p w14:paraId="44A4B83A" w14:textId="77777777" w:rsidR="00CB5226" w:rsidRDefault="00CB5226" w:rsidP="00CB5226">
      <w:pPr>
        <w:rPr>
          <w:lang w:val="bg-BG" w:eastAsia="bg-BG"/>
        </w:rPr>
      </w:pPr>
    </w:p>
    <w:p w14:paraId="02DB56AD" w14:textId="285449EC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Титриране и поддържаща доза</w:t>
      </w:r>
    </w:p>
    <w:p w14:paraId="3398ED89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lastRenderedPageBreak/>
        <w:t xml:space="preserve">Постепенно дозата може да бъде удвоена през интервал от две до четири седмици за постигане на желаното кръвно налягане; максимално допустимата доза на ТРИТЕЙС е 10 </w:t>
      </w:r>
      <w:r w:rsidRPr="00CB5226">
        <w:t xml:space="preserve">mg </w:t>
      </w:r>
      <w:r w:rsidRPr="00CB5226">
        <w:rPr>
          <w:lang w:val="bg-BG" w:eastAsia="bg-BG"/>
        </w:rPr>
        <w:t>дневно.</w:t>
      </w:r>
    </w:p>
    <w:p w14:paraId="0CDD6D94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Обикновено дозата се прилага веднъж дневно.</w:t>
      </w:r>
    </w:p>
    <w:p w14:paraId="6F1E25A1" w14:textId="77777777" w:rsidR="00CB5226" w:rsidRDefault="00CB5226" w:rsidP="00CB5226">
      <w:pPr>
        <w:rPr>
          <w:i/>
          <w:iCs/>
          <w:lang w:val="bg-BG" w:eastAsia="bg-BG"/>
        </w:rPr>
      </w:pPr>
    </w:p>
    <w:p w14:paraId="25C171DA" w14:textId="7E3C6C92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Сърдечно-съдова превенция</w:t>
      </w:r>
    </w:p>
    <w:p w14:paraId="09397CAF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Начална доза</w:t>
      </w:r>
    </w:p>
    <w:p w14:paraId="7D70F9CC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Препоръчваната начална доза е 2,5 </w:t>
      </w:r>
      <w:r w:rsidRPr="00CB5226">
        <w:t xml:space="preserve">mg </w:t>
      </w:r>
      <w:r w:rsidRPr="00CB5226">
        <w:rPr>
          <w:lang w:val="bg-BG" w:eastAsia="bg-BG"/>
        </w:rPr>
        <w:t>ТРИТЕЙС веднъж дневно.</w:t>
      </w:r>
    </w:p>
    <w:p w14:paraId="16237C42" w14:textId="77777777" w:rsidR="00CB5226" w:rsidRDefault="00CB5226" w:rsidP="00CB5226">
      <w:pPr>
        <w:rPr>
          <w:lang w:val="bg-BG" w:eastAsia="bg-BG"/>
        </w:rPr>
      </w:pPr>
    </w:p>
    <w:p w14:paraId="722BF819" w14:textId="729696C8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Титриране и поддържаща доза</w:t>
      </w:r>
    </w:p>
    <w:p w14:paraId="11497E37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В зависимост от толерантността на пациента към активното вещество, дозата впоследствие трябва да бъде увеличавана. Препоръчва се удвояване на дозата след една или две седмици</w:t>
      </w:r>
      <w:r>
        <w:rPr>
          <w:lang w:val="bg-BG" w:eastAsia="bg-BG"/>
        </w:rPr>
        <w:t xml:space="preserve"> </w:t>
      </w:r>
      <w:r w:rsidRPr="00CB5226">
        <w:rPr>
          <w:lang w:val="bg-BG" w:eastAsia="bg-BG"/>
        </w:rPr>
        <w:t xml:space="preserve">лечение и - след още две до три седмици - да се увеличи до таргетната поддържаща доза от 10 </w:t>
      </w:r>
      <w:r w:rsidRPr="00CB5226">
        <w:t xml:space="preserve">mg </w:t>
      </w:r>
      <w:r w:rsidRPr="00CB5226">
        <w:rPr>
          <w:lang w:val="bg-BG" w:eastAsia="bg-BG"/>
        </w:rPr>
        <w:t>ТРИТЕЙС веднъж дневно.</w:t>
      </w:r>
    </w:p>
    <w:p w14:paraId="0FDE6E49" w14:textId="77777777" w:rsidR="00CB5226" w:rsidRDefault="00CB5226" w:rsidP="00CB5226">
      <w:pPr>
        <w:rPr>
          <w:lang w:val="bg-BG" w:eastAsia="bg-BG"/>
        </w:rPr>
      </w:pPr>
    </w:p>
    <w:p w14:paraId="4B7BC70A" w14:textId="441FB7E4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Вижте също по-горе дозировка при пациенти, лекувани с </w:t>
      </w:r>
      <w:proofErr w:type="spellStart"/>
      <w:r w:rsidRPr="00CB5226">
        <w:rPr>
          <w:lang w:val="bg-BG" w:eastAsia="bg-BG"/>
        </w:rPr>
        <w:t>диуретици</w:t>
      </w:r>
      <w:proofErr w:type="spellEnd"/>
      <w:r w:rsidRPr="00CB5226">
        <w:rPr>
          <w:lang w:val="bg-BG" w:eastAsia="bg-BG"/>
        </w:rPr>
        <w:t>.</w:t>
      </w:r>
    </w:p>
    <w:p w14:paraId="1405F89F" w14:textId="77777777" w:rsidR="00CB5226" w:rsidRDefault="00CB5226" w:rsidP="00CB5226">
      <w:pPr>
        <w:rPr>
          <w:i/>
          <w:iCs/>
          <w:lang w:val="bg-BG" w:eastAsia="bg-BG"/>
        </w:rPr>
      </w:pPr>
    </w:p>
    <w:p w14:paraId="668FBA46" w14:textId="11A57854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i/>
          <w:iCs/>
          <w:u w:val="single"/>
          <w:lang w:val="bg-BG" w:eastAsia="bg-BG"/>
        </w:rPr>
        <w:t>Лечение на бъбречно заболяване</w:t>
      </w:r>
    </w:p>
    <w:p w14:paraId="378D1281" w14:textId="77777777" w:rsidR="00CB5226" w:rsidRPr="00CB5226" w:rsidRDefault="00CB5226" w:rsidP="00CB5226">
      <w:pPr>
        <w:rPr>
          <w:i/>
          <w:iCs/>
          <w:u w:val="single"/>
          <w:lang w:val="bg-BG" w:eastAsia="bg-BG"/>
        </w:rPr>
      </w:pPr>
    </w:p>
    <w:p w14:paraId="32EA01FF" w14:textId="6339B2CB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i/>
          <w:iCs/>
          <w:u w:val="single"/>
          <w:lang w:val="bg-BG" w:eastAsia="bg-BG"/>
        </w:rPr>
        <w:t xml:space="preserve">При пациенти с диабет и </w:t>
      </w:r>
      <w:proofErr w:type="spellStart"/>
      <w:r w:rsidRPr="00CB5226">
        <w:rPr>
          <w:i/>
          <w:iCs/>
          <w:u w:val="single"/>
          <w:lang w:val="bg-BG" w:eastAsia="bg-BG"/>
        </w:rPr>
        <w:t>микроаолбуминурия</w:t>
      </w:r>
      <w:proofErr w:type="spellEnd"/>
      <w:r w:rsidRPr="00CB5226">
        <w:rPr>
          <w:i/>
          <w:iCs/>
          <w:lang w:val="bg-BG" w:eastAsia="bg-BG"/>
        </w:rPr>
        <w:t>:</w:t>
      </w:r>
    </w:p>
    <w:p w14:paraId="6B7528B2" w14:textId="77777777" w:rsidR="00CB5226" w:rsidRDefault="00CB5226" w:rsidP="00CB5226">
      <w:pPr>
        <w:rPr>
          <w:lang w:val="bg-BG" w:eastAsia="bg-BG"/>
        </w:rPr>
      </w:pPr>
    </w:p>
    <w:p w14:paraId="565B630F" w14:textId="3A0BA2E6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Начална доза:</w:t>
      </w:r>
    </w:p>
    <w:p w14:paraId="0AF424F9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Препоръчаната начална доза е 1,25 </w:t>
      </w:r>
      <w:r w:rsidRPr="00CB5226">
        <w:t xml:space="preserve">mg </w:t>
      </w:r>
      <w:r w:rsidRPr="00CB5226">
        <w:rPr>
          <w:lang w:val="bg-BG" w:eastAsia="bg-BG"/>
        </w:rPr>
        <w:t>ТРИТЕЙС веднъж дневно</w:t>
      </w:r>
    </w:p>
    <w:p w14:paraId="0D514C44" w14:textId="77777777" w:rsidR="00CB5226" w:rsidRDefault="00CB5226" w:rsidP="00CB5226">
      <w:pPr>
        <w:rPr>
          <w:lang w:val="bg-BG" w:eastAsia="bg-BG"/>
        </w:rPr>
      </w:pPr>
    </w:p>
    <w:p w14:paraId="533B14DC" w14:textId="08A71806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Титриране и поддържаща доза</w:t>
      </w:r>
    </w:p>
    <w:p w14:paraId="1C9C22CD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В зависимост от толерантността на пациента към активното вещество, дозата впоследствие се повишава. Препоръчва се удвояване на еднократната дневна доза до 2,5 </w:t>
      </w:r>
      <w:r w:rsidRPr="00CB5226">
        <w:t xml:space="preserve">mg </w:t>
      </w:r>
      <w:r w:rsidRPr="00CB5226">
        <w:rPr>
          <w:lang w:val="bg-BG" w:eastAsia="bg-BG"/>
        </w:rPr>
        <w:t xml:space="preserve">след две седмици и до 5 </w:t>
      </w:r>
      <w:r w:rsidRPr="00CB5226">
        <w:t xml:space="preserve">mg </w:t>
      </w:r>
      <w:r w:rsidRPr="00CB5226">
        <w:rPr>
          <w:lang w:val="bg-BG" w:eastAsia="bg-BG"/>
        </w:rPr>
        <w:t>след още две седмици.</w:t>
      </w:r>
    </w:p>
    <w:p w14:paraId="0480E9A8" w14:textId="77777777" w:rsidR="00CB5226" w:rsidRDefault="00CB5226" w:rsidP="00CB5226">
      <w:pPr>
        <w:rPr>
          <w:i/>
          <w:iCs/>
          <w:lang w:val="bg-BG" w:eastAsia="bg-BG"/>
        </w:rPr>
      </w:pPr>
    </w:p>
    <w:p w14:paraId="2CEFD503" w14:textId="02E77505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i/>
          <w:iCs/>
          <w:u w:val="single"/>
          <w:lang w:val="bg-BG" w:eastAsia="bg-BG"/>
        </w:rPr>
        <w:t>При пациенти с диабет и поне един сърдечно-съдов рисков фактор</w:t>
      </w:r>
    </w:p>
    <w:p w14:paraId="23561548" w14:textId="77777777" w:rsidR="00CB5226" w:rsidRDefault="00CB5226" w:rsidP="00CB5226">
      <w:pPr>
        <w:rPr>
          <w:lang w:val="bg-BG" w:eastAsia="bg-BG"/>
        </w:rPr>
      </w:pPr>
    </w:p>
    <w:p w14:paraId="07CB92F5" w14:textId="60908548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u w:val="single"/>
          <w:lang w:val="bg-BG" w:eastAsia="bg-BG"/>
        </w:rPr>
        <w:t>Начална доза</w:t>
      </w:r>
      <w:r w:rsidRPr="00CB5226">
        <w:rPr>
          <w:lang w:val="bg-BG" w:eastAsia="bg-BG"/>
        </w:rPr>
        <w:t>:</w:t>
      </w:r>
    </w:p>
    <w:p w14:paraId="27D183B1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Препоръчваната начална доза е 2,5 </w:t>
      </w:r>
      <w:r w:rsidRPr="00CB5226">
        <w:t xml:space="preserve">mg </w:t>
      </w:r>
      <w:r w:rsidRPr="00CB5226">
        <w:rPr>
          <w:lang w:val="bg-BG" w:eastAsia="bg-BG"/>
        </w:rPr>
        <w:t>ТРИТЕЙС веднъж дневно.</w:t>
      </w:r>
    </w:p>
    <w:p w14:paraId="0A7E9E90" w14:textId="77777777" w:rsidR="00CB5226" w:rsidRDefault="00CB5226" w:rsidP="00CB5226">
      <w:pPr>
        <w:rPr>
          <w:lang w:val="bg-BG" w:eastAsia="bg-BG"/>
        </w:rPr>
      </w:pPr>
    </w:p>
    <w:p w14:paraId="2BB5EA1B" w14:textId="1EF3CFFB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Титриране и поддържаща доза</w:t>
      </w:r>
    </w:p>
    <w:p w14:paraId="7CE2C840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В зависимост от толерантността на пациента към активното вещество, дозата впоследствие се повишава. Препоръчва се удвояване на еднократната дневна доза до 5 </w:t>
      </w:r>
      <w:r w:rsidRPr="00CB5226">
        <w:t xml:space="preserve">mg </w:t>
      </w:r>
      <w:r w:rsidRPr="00CB5226">
        <w:rPr>
          <w:lang w:val="bg-BG" w:eastAsia="bg-BG"/>
        </w:rPr>
        <w:t xml:space="preserve">ТРИТЕЙС след една или две седмици и след това до 10 </w:t>
      </w:r>
      <w:r w:rsidRPr="00CB5226">
        <w:t xml:space="preserve">mg </w:t>
      </w:r>
      <w:r w:rsidRPr="00CB5226">
        <w:rPr>
          <w:lang w:val="bg-BG" w:eastAsia="bg-BG"/>
        </w:rPr>
        <w:t xml:space="preserve">ТРИТЕЙС след още две или три седмици. Таргетната дневна доза е 10 </w:t>
      </w:r>
      <w:r w:rsidRPr="00CB5226">
        <w:t>mg.</w:t>
      </w:r>
    </w:p>
    <w:p w14:paraId="27333051" w14:textId="77777777" w:rsidR="00CB5226" w:rsidRDefault="00CB5226" w:rsidP="00CB5226">
      <w:pPr>
        <w:rPr>
          <w:i/>
          <w:iCs/>
          <w:lang w:val="bg-BG" w:eastAsia="bg-BG"/>
        </w:rPr>
      </w:pPr>
    </w:p>
    <w:p w14:paraId="2329332B" w14:textId="3695ADA4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i/>
          <w:iCs/>
          <w:u w:val="single"/>
          <w:lang w:val="bg-BG" w:eastAsia="bg-BG"/>
        </w:rPr>
        <w:t xml:space="preserve">При пациенти с недиабетна нефропатия, определена от </w:t>
      </w:r>
      <w:proofErr w:type="spellStart"/>
      <w:r w:rsidRPr="00CB5226">
        <w:rPr>
          <w:i/>
          <w:iCs/>
          <w:u w:val="single"/>
          <w:lang w:val="bg-BG" w:eastAsia="bg-BG"/>
        </w:rPr>
        <w:t>протеинурия</w:t>
      </w:r>
      <w:proofErr w:type="spellEnd"/>
      <w:r w:rsidRPr="00CB5226">
        <w:rPr>
          <w:i/>
          <w:iCs/>
          <w:u w:val="single"/>
          <w:lang w:val="bg-BG" w:eastAsia="bg-BG"/>
        </w:rPr>
        <w:t xml:space="preserve"> </w:t>
      </w:r>
      <w:r w:rsidRPr="00CB5226">
        <w:rPr>
          <w:i/>
          <w:iCs/>
          <w:u w:val="single"/>
        </w:rPr>
        <w:t>≥</w:t>
      </w:r>
      <w:r w:rsidRPr="00CB5226">
        <w:rPr>
          <w:i/>
          <w:iCs/>
          <w:u w:val="single"/>
          <w:lang w:val="bg-BG" w:eastAsia="bg-BG"/>
        </w:rPr>
        <w:t>3</w:t>
      </w:r>
      <w:r w:rsidRPr="00CB5226">
        <w:rPr>
          <w:i/>
          <w:iCs/>
          <w:u w:val="single"/>
        </w:rPr>
        <w:t>g</w:t>
      </w:r>
      <w:r w:rsidRPr="00CB5226">
        <w:rPr>
          <w:i/>
          <w:iCs/>
          <w:u w:val="single"/>
          <w:lang w:val="bg-BG" w:eastAsia="bg-BG"/>
        </w:rPr>
        <w:t>/на ден</w:t>
      </w:r>
    </w:p>
    <w:p w14:paraId="05C4D025" w14:textId="77777777" w:rsidR="00CB5226" w:rsidRDefault="00CB5226" w:rsidP="00CB5226">
      <w:pPr>
        <w:rPr>
          <w:lang w:val="bg-BG" w:eastAsia="bg-BG"/>
        </w:rPr>
      </w:pPr>
    </w:p>
    <w:p w14:paraId="7E9CAC18" w14:textId="71D14EB1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Начална доза:</w:t>
      </w:r>
    </w:p>
    <w:p w14:paraId="5B830CC1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Препоръчваната начална доза е 1,25 </w:t>
      </w:r>
      <w:r w:rsidRPr="00CB5226">
        <w:t xml:space="preserve">mg </w:t>
      </w:r>
      <w:r w:rsidRPr="00CB5226">
        <w:rPr>
          <w:lang w:val="bg-BG" w:eastAsia="bg-BG"/>
        </w:rPr>
        <w:t>ТРИТЕЙС веднъж дневно.</w:t>
      </w:r>
    </w:p>
    <w:p w14:paraId="2A136AF1" w14:textId="77777777" w:rsidR="00CB5226" w:rsidRDefault="00CB5226" w:rsidP="00CB5226">
      <w:pPr>
        <w:rPr>
          <w:lang w:val="bg-BG" w:eastAsia="bg-BG"/>
        </w:rPr>
      </w:pPr>
    </w:p>
    <w:p w14:paraId="4D8D21A7" w14:textId="6A71C805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Титриране и поддържаща доза</w:t>
      </w:r>
    </w:p>
    <w:p w14:paraId="3A50DFD5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lastRenderedPageBreak/>
        <w:t xml:space="preserve">В зависимост от толерантността на пациента към активното вещество, дозата впоследствие се повишава. Препоръчва се удвояване на еднократната дневна доза до 2,5 </w:t>
      </w:r>
      <w:r w:rsidRPr="00CB5226">
        <w:t xml:space="preserve">mg </w:t>
      </w:r>
      <w:r w:rsidRPr="00CB5226">
        <w:rPr>
          <w:lang w:val="bg-BG" w:eastAsia="bg-BG"/>
        </w:rPr>
        <w:t xml:space="preserve">след две седмици и до 5 </w:t>
      </w:r>
      <w:r w:rsidRPr="00CB5226">
        <w:t xml:space="preserve">mg </w:t>
      </w:r>
      <w:r w:rsidRPr="00CB5226">
        <w:rPr>
          <w:lang w:val="bg-BG" w:eastAsia="bg-BG"/>
        </w:rPr>
        <w:t>след още две седмици.</w:t>
      </w:r>
    </w:p>
    <w:p w14:paraId="34520B89" w14:textId="77777777" w:rsidR="00CB5226" w:rsidRDefault="00CB5226" w:rsidP="00CB5226">
      <w:pPr>
        <w:rPr>
          <w:i/>
          <w:iCs/>
          <w:lang w:val="bg-BG" w:eastAsia="bg-BG"/>
        </w:rPr>
      </w:pPr>
    </w:p>
    <w:p w14:paraId="4BA7B1E4" w14:textId="45FA7472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Симптоматична сърдечна недостатъчност</w:t>
      </w:r>
    </w:p>
    <w:p w14:paraId="098498D2" w14:textId="77777777" w:rsidR="00CB5226" w:rsidRDefault="00CB5226" w:rsidP="00CB5226">
      <w:pPr>
        <w:rPr>
          <w:lang w:val="bg-BG" w:eastAsia="bg-BG"/>
        </w:rPr>
      </w:pPr>
    </w:p>
    <w:p w14:paraId="7B60448D" w14:textId="52FE86C2" w:rsidR="00CB5226" w:rsidRPr="00CB5226" w:rsidRDefault="00CB5226" w:rsidP="00CB5226">
      <w:pPr>
        <w:rPr>
          <w:u w:val="single"/>
          <w:lang w:val="bg-BG" w:eastAsia="bg-BG"/>
        </w:rPr>
      </w:pPr>
      <w:r w:rsidRPr="00CB5226">
        <w:rPr>
          <w:u w:val="single"/>
          <w:lang w:val="bg-BG" w:eastAsia="bg-BG"/>
        </w:rPr>
        <w:t>Начална доза:</w:t>
      </w:r>
    </w:p>
    <w:p w14:paraId="3732D56D" w14:textId="3EE769AF" w:rsidR="00CB5226" w:rsidRDefault="00CB5226" w:rsidP="00CB5226">
      <w:pPr>
        <w:rPr>
          <w:lang w:val="bg-BG" w:eastAsia="bg-BG"/>
        </w:rPr>
      </w:pPr>
      <w:r w:rsidRPr="00CB5226">
        <w:rPr>
          <w:lang w:val="bg-BG" w:eastAsia="bg-BG"/>
        </w:rPr>
        <w:t xml:space="preserve">При стабилизирани пациенти на диуретична терапия, препоръчваната начална доза е 1,25 </w:t>
      </w:r>
      <w:r w:rsidRPr="00CB5226">
        <w:t xml:space="preserve">mg </w:t>
      </w:r>
      <w:r w:rsidRPr="00CB5226">
        <w:rPr>
          <w:lang w:val="bg-BG" w:eastAsia="bg-BG"/>
        </w:rPr>
        <w:t>дневно.</w:t>
      </w:r>
    </w:p>
    <w:p w14:paraId="4ECE3DA8" w14:textId="59204320" w:rsidR="00CB5226" w:rsidRDefault="00CB5226" w:rsidP="00CB5226">
      <w:pPr>
        <w:rPr>
          <w:lang w:val="bg-BG" w:eastAsia="bg-BG"/>
        </w:rPr>
      </w:pPr>
    </w:p>
    <w:p w14:paraId="363A1FD8" w14:textId="77777777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Титриране и поддържаща доза</w:t>
      </w:r>
    </w:p>
    <w:p w14:paraId="6EE47F5A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ТРИТЕЙС трябва да бъде </w:t>
      </w:r>
      <w:proofErr w:type="spellStart"/>
      <w:r w:rsidRPr="00CB5226">
        <w:rPr>
          <w:lang w:val="bg-BG" w:eastAsia="bg-BG"/>
        </w:rPr>
        <w:t>титриран</w:t>
      </w:r>
      <w:proofErr w:type="spellEnd"/>
      <w:r w:rsidRPr="00CB5226">
        <w:rPr>
          <w:lang w:val="bg-BG" w:eastAsia="bg-BG"/>
        </w:rPr>
        <w:t xml:space="preserve"> чрез удвояване на дозата на всеки една до две седмици до максимална дневна доза 10 </w:t>
      </w:r>
      <w:r w:rsidRPr="00CB5226">
        <w:t xml:space="preserve">mg. </w:t>
      </w:r>
      <w:r w:rsidRPr="00CB5226">
        <w:rPr>
          <w:lang w:val="bg-BG" w:eastAsia="bg-BG"/>
        </w:rPr>
        <w:t>Предпочита се двукратен дневен прием.</w:t>
      </w:r>
    </w:p>
    <w:p w14:paraId="06D95211" w14:textId="77777777" w:rsidR="00CB5226" w:rsidRDefault="00CB5226" w:rsidP="00CB5226">
      <w:pPr>
        <w:rPr>
          <w:i/>
          <w:iCs/>
          <w:lang w:val="bg-BG" w:eastAsia="bg-BG"/>
        </w:rPr>
      </w:pPr>
    </w:p>
    <w:p w14:paraId="4EF69063" w14:textId="188A25D0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Вторична профилактика след остър миокарден инфаркт и със сърдечна недостатъчност</w:t>
      </w:r>
    </w:p>
    <w:p w14:paraId="1EBECB4E" w14:textId="77777777" w:rsidR="00CB5226" w:rsidRDefault="00CB5226" w:rsidP="00CB5226">
      <w:pPr>
        <w:rPr>
          <w:lang w:val="bg-BG" w:eastAsia="bg-BG"/>
        </w:rPr>
      </w:pPr>
    </w:p>
    <w:p w14:paraId="640E06FF" w14:textId="75B43E16" w:rsidR="00CB5226" w:rsidRPr="00CB5226" w:rsidRDefault="00CB5226" w:rsidP="00CB5226">
      <w:p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Начална доза:</w:t>
      </w:r>
    </w:p>
    <w:p w14:paraId="092F4719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48 часа след остър миокарден инфаркт при клинично и </w:t>
      </w:r>
      <w:proofErr w:type="spellStart"/>
      <w:r w:rsidRPr="00CB5226">
        <w:rPr>
          <w:lang w:val="bg-BG" w:eastAsia="bg-BG"/>
        </w:rPr>
        <w:t>хемодинамично</w:t>
      </w:r>
      <w:proofErr w:type="spellEnd"/>
      <w:r w:rsidRPr="00CB5226">
        <w:rPr>
          <w:lang w:val="bg-BG" w:eastAsia="bg-BG"/>
        </w:rPr>
        <w:t xml:space="preserve"> стабилни пациенти</w:t>
      </w:r>
      <w:r w:rsidRPr="00CB5226">
        <w:rPr>
          <w:vertAlign w:val="subscript"/>
          <w:lang w:val="bg-BG" w:eastAsia="bg-BG"/>
        </w:rPr>
        <w:t xml:space="preserve"> </w:t>
      </w:r>
      <w:r w:rsidRPr="00CB5226">
        <w:rPr>
          <w:lang w:val="bg-BG" w:eastAsia="bg-BG"/>
        </w:rPr>
        <w:t xml:space="preserve">началната доза е 2,5 </w:t>
      </w:r>
      <w:r w:rsidRPr="00CB5226">
        <w:t xml:space="preserve">mg </w:t>
      </w:r>
      <w:r w:rsidRPr="00CB5226">
        <w:rPr>
          <w:lang w:val="bg-BG" w:eastAsia="bg-BG"/>
        </w:rPr>
        <w:t>два пъти дневно в продължение на три дни. Ако началната доза</w:t>
      </w:r>
    </w:p>
    <w:p w14:paraId="45BC0E72" w14:textId="083E1146" w:rsidR="00CB5226" w:rsidRDefault="00CB5226" w:rsidP="00CB5226">
      <w:pPr>
        <w:rPr>
          <w:lang w:val="bg-BG" w:eastAsia="bg-BG"/>
        </w:rPr>
      </w:pPr>
      <w:r w:rsidRPr="00CB5226">
        <w:rPr>
          <w:lang w:val="bg-BG" w:eastAsia="bg-BG"/>
        </w:rPr>
        <w:t xml:space="preserve">2,5 </w:t>
      </w:r>
      <w:r w:rsidRPr="00CB5226">
        <w:t xml:space="preserve">mg </w:t>
      </w:r>
      <w:r w:rsidRPr="00CB5226">
        <w:rPr>
          <w:lang w:val="bg-BG" w:eastAsia="bg-BG"/>
        </w:rPr>
        <w:t xml:space="preserve">не се толерира, доза от 1,25 </w:t>
      </w:r>
      <w:r w:rsidRPr="00CB5226">
        <w:t xml:space="preserve">mg </w:t>
      </w:r>
      <w:r w:rsidRPr="00CB5226">
        <w:rPr>
          <w:lang w:val="bg-BG" w:eastAsia="bg-BG"/>
        </w:rPr>
        <w:t xml:space="preserve">два пъти дневно трябва да бъде прилагана два дни преди повишаване до 2,5 </w:t>
      </w:r>
      <w:r w:rsidRPr="00CB5226">
        <w:t xml:space="preserve">mg </w:t>
      </w:r>
      <w:r w:rsidRPr="00CB5226">
        <w:rPr>
          <w:lang w:val="bg-BG" w:eastAsia="bg-BG"/>
        </w:rPr>
        <w:t xml:space="preserve">и 5 </w:t>
      </w:r>
      <w:r w:rsidRPr="00CB5226">
        <w:t xml:space="preserve">mg </w:t>
      </w:r>
      <w:r w:rsidRPr="00CB5226">
        <w:rPr>
          <w:lang w:val="bg-BG" w:eastAsia="bg-BG"/>
        </w:rPr>
        <w:t>два пъти дневно. Ако дозата не може да бъде повишена до 2,5</w:t>
      </w:r>
      <w:r w:rsidRPr="00CB5226">
        <w:t xml:space="preserve"> mg</w:t>
      </w:r>
      <w:r w:rsidRPr="00CB5226">
        <w:rPr>
          <w:lang w:val="bg-BG" w:eastAsia="bg-BG"/>
        </w:rPr>
        <w:t xml:space="preserve"> два пъти дневно, лечението трябва да се отмени.</w:t>
      </w:r>
    </w:p>
    <w:p w14:paraId="502963D3" w14:textId="5EE774BC" w:rsidR="00CB5226" w:rsidRDefault="00CB5226" w:rsidP="00CB5226">
      <w:pPr>
        <w:rPr>
          <w:lang w:val="bg-BG" w:eastAsia="bg-BG"/>
        </w:rPr>
      </w:pPr>
    </w:p>
    <w:p w14:paraId="09615751" w14:textId="77777777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 xml:space="preserve">вижте също по-горе дозировка при пациенти лекувани с </w:t>
      </w:r>
      <w:proofErr w:type="spellStart"/>
      <w:r w:rsidRPr="00CB5226">
        <w:rPr>
          <w:i/>
          <w:iCs/>
          <w:lang w:val="bg-BG" w:eastAsia="bg-BG"/>
        </w:rPr>
        <w:t>диуретици</w:t>
      </w:r>
      <w:proofErr w:type="spellEnd"/>
      <w:r w:rsidRPr="00CB5226">
        <w:rPr>
          <w:i/>
          <w:iCs/>
          <w:lang w:val="bg-BG" w:eastAsia="bg-BG"/>
        </w:rPr>
        <w:t>.</w:t>
      </w:r>
    </w:p>
    <w:p w14:paraId="7B7B4B9A" w14:textId="77777777" w:rsidR="00CB5226" w:rsidRDefault="00CB5226" w:rsidP="00CB5226">
      <w:pPr>
        <w:rPr>
          <w:u w:val="single"/>
          <w:lang w:val="bg-BG" w:eastAsia="bg-BG"/>
        </w:rPr>
      </w:pPr>
    </w:p>
    <w:p w14:paraId="765F7D83" w14:textId="07BD127F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u w:val="single"/>
          <w:lang w:val="bg-BG" w:eastAsia="bg-BG"/>
        </w:rPr>
        <w:t>Титриране и поддържаща доза</w:t>
      </w:r>
    </w:p>
    <w:p w14:paraId="485F088B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Впоследствие дневната доза се повишава чрез удвояването й на интервали от един до три дни до достигане на таргетната поддържаща доза от 5 </w:t>
      </w:r>
      <w:r w:rsidRPr="00CB5226">
        <w:t xml:space="preserve">mg </w:t>
      </w:r>
      <w:r w:rsidRPr="00CB5226">
        <w:rPr>
          <w:lang w:val="bg-BG" w:eastAsia="bg-BG"/>
        </w:rPr>
        <w:t>два пъти дневно.</w:t>
      </w:r>
    </w:p>
    <w:p w14:paraId="00D7A360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Когато е възможно поддържащата доза се разделя на два приема дневно.</w:t>
      </w:r>
    </w:p>
    <w:p w14:paraId="6BA35C69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Ако дозата не може да се повиши до 2,5 </w:t>
      </w:r>
      <w:r w:rsidRPr="00CB5226">
        <w:t xml:space="preserve">mg </w:t>
      </w:r>
      <w:r w:rsidRPr="00CB5226">
        <w:rPr>
          <w:lang w:val="bg-BG" w:eastAsia="bg-BG"/>
        </w:rPr>
        <w:t xml:space="preserve">два пъти дневно, лечението трябва да се отмени. Все още липсва достатъчен опит при лечение на пациенти с тежка </w:t>
      </w:r>
      <w:r w:rsidRPr="00CB5226">
        <w:t xml:space="preserve">(NYHA </w:t>
      </w:r>
      <w:r w:rsidRPr="00CB5226">
        <w:rPr>
          <w:lang w:val="bg-BG" w:eastAsia="bg-BG"/>
        </w:rPr>
        <w:t xml:space="preserve">IV) сърдечна недостатъчност непосредствено след миокарден инфаркт. Ако се вземе решение за лечение на такива пациенти, препоръчва се терапията да бъде започната с 1,25 </w:t>
      </w:r>
      <w:r w:rsidRPr="00CB5226">
        <w:t xml:space="preserve">mg </w:t>
      </w:r>
      <w:r w:rsidRPr="00CB5226">
        <w:rPr>
          <w:lang w:val="bg-BG" w:eastAsia="bg-BG"/>
        </w:rPr>
        <w:t>веднъж дневно и всяко повишаване на дозата да бъде извършвано с повишено внимание.</w:t>
      </w:r>
    </w:p>
    <w:p w14:paraId="0B4C4343" w14:textId="77777777" w:rsidR="00CB5226" w:rsidRDefault="00CB5226" w:rsidP="00CB5226">
      <w:pPr>
        <w:rPr>
          <w:u w:val="single"/>
          <w:lang w:val="bg-BG" w:eastAsia="bg-BG"/>
        </w:rPr>
      </w:pPr>
    </w:p>
    <w:p w14:paraId="751D0D5F" w14:textId="3983AB38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u w:val="single"/>
          <w:lang w:val="bg-BG" w:eastAsia="bg-BG"/>
        </w:rPr>
        <w:t>Специални популации</w:t>
      </w:r>
    </w:p>
    <w:p w14:paraId="4327358C" w14:textId="77777777" w:rsidR="00CB5226" w:rsidRDefault="00CB5226" w:rsidP="00CB5226">
      <w:pPr>
        <w:rPr>
          <w:lang w:val="bg-BG" w:eastAsia="bg-BG"/>
        </w:rPr>
      </w:pPr>
    </w:p>
    <w:p w14:paraId="7696EA2C" w14:textId="44105F5C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Пациенти с бъбречно увреждане</w:t>
      </w:r>
    </w:p>
    <w:p w14:paraId="16A29325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Дневната доза при пациенти с бъбречно увреждане трябва да се определя въз основа на </w:t>
      </w:r>
      <w:proofErr w:type="spellStart"/>
      <w:r w:rsidRPr="00CB5226">
        <w:rPr>
          <w:lang w:val="bg-BG" w:eastAsia="bg-BG"/>
        </w:rPr>
        <w:t>креатининовия</w:t>
      </w:r>
      <w:proofErr w:type="spellEnd"/>
      <w:r w:rsidRPr="00CB5226">
        <w:rPr>
          <w:lang w:val="bg-BG" w:eastAsia="bg-BG"/>
        </w:rPr>
        <w:t xml:space="preserve"> клирънс (вж. точка 5.2):</w:t>
      </w:r>
    </w:p>
    <w:p w14:paraId="75F3C157" w14:textId="7D5CC846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ако </w:t>
      </w:r>
      <w:proofErr w:type="spellStart"/>
      <w:r w:rsidRPr="00CB5226">
        <w:rPr>
          <w:lang w:val="bg-BG" w:eastAsia="bg-BG"/>
        </w:rPr>
        <w:t>креатининовият</w:t>
      </w:r>
      <w:proofErr w:type="spellEnd"/>
      <w:r w:rsidRPr="00CB5226">
        <w:rPr>
          <w:lang w:val="bg-BG" w:eastAsia="bg-BG"/>
        </w:rPr>
        <w:t xml:space="preserve"> клирънс е </w:t>
      </w:r>
      <w:r w:rsidRPr="00CB5226">
        <w:t>≥</w:t>
      </w:r>
      <w:r w:rsidRPr="00CB5226">
        <w:rPr>
          <w:lang w:val="bg-BG" w:eastAsia="bg-BG"/>
        </w:rPr>
        <w:t xml:space="preserve"> 60 </w:t>
      </w:r>
      <w:r w:rsidRPr="00CB5226">
        <w:t xml:space="preserve">ml/min, </w:t>
      </w:r>
      <w:r w:rsidRPr="00CB5226">
        <w:rPr>
          <w:lang w:val="bg-BG" w:eastAsia="bg-BG"/>
        </w:rPr>
        <w:t xml:space="preserve">не е необходимо коригиране на началната доза (2,5 </w:t>
      </w:r>
      <w:r w:rsidRPr="00CB5226">
        <w:t xml:space="preserve">mg </w:t>
      </w:r>
      <w:r w:rsidRPr="00CB5226">
        <w:rPr>
          <w:lang w:val="bg-BG" w:eastAsia="bg-BG"/>
        </w:rPr>
        <w:t xml:space="preserve">дневно); максималната дневна доза е 10 </w:t>
      </w:r>
      <w:r w:rsidRPr="00CB5226">
        <w:t>mg;</w:t>
      </w:r>
    </w:p>
    <w:p w14:paraId="234D0AB6" w14:textId="2A54B4E5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ако </w:t>
      </w:r>
      <w:proofErr w:type="spellStart"/>
      <w:r w:rsidRPr="00CB5226">
        <w:rPr>
          <w:lang w:val="bg-BG" w:eastAsia="bg-BG"/>
        </w:rPr>
        <w:t>креатининовият</w:t>
      </w:r>
      <w:proofErr w:type="spellEnd"/>
      <w:r w:rsidRPr="00CB5226">
        <w:rPr>
          <w:lang w:val="bg-BG" w:eastAsia="bg-BG"/>
        </w:rPr>
        <w:t xml:space="preserve"> клирънс е между </w:t>
      </w:r>
      <w:r w:rsidRPr="00CB5226">
        <w:t xml:space="preserve">30-60ml/min, </w:t>
      </w:r>
      <w:r w:rsidRPr="00CB5226">
        <w:rPr>
          <w:lang w:val="bg-BG" w:eastAsia="bg-BG"/>
        </w:rPr>
        <w:t xml:space="preserve">не е необходимо коригиране на началната доза (2,5 </w:t>
      </w:r>
      <w:r w:rsidRPr="00CB5226">
        <w:t xml:space="preserve">mg </w:t>
      </w:r>
      <w:r w:rsidRPr="00CB5226">
        <w:rPr>
          <w:lang w:val="bg-BG" w:eastAsia="bg-BG"/>
        </w:rPr>
        <w:t xml:space="preserve">дневно); максималната дневна доза е 5 </w:t>
      </w:r>
      <w:r w:rsidRPr="00CB5226">
        <w:t>mg;</w:t>
      </w:r>
    </w:p>
    <w:p w14:paraId="5DA0B55E" w14:textId="24AC231D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lastRenderedPageBreak/>
        <w:t xml:space="preserve">ако </w:t>
      </w:r>
      <w:proofErr w:type="spellStart"/>
      <w:r w:rsidRPr="00CB5226">
        <w:rPr>
          <w:lang w:val="bg-BG" w:eastAsia="bg-BG"/>
        </w:rPr>
        <w:t>креатининовият</w:t>
      </w:r>
      <w:proofErr w:type="spellEnd"/>
      <w:r w:rsidRPr="00CB5226">
        <w:rPr>
          <w:lang w:val="bg-BG" w:eastAsia="bg-BG"/>
        </w:rPr>
        <w:t xml:space="preserve"> клирънс е между </w:t>
      </w:r>
      <w:r w:rsidRPr="00CB5226">
        <w:t xml:space="preserve">10-30ml/min, </w:t>
      </w:r>
      <w:r w:rsidRPr="00CB5226">
        <w:rPr>
          <w:lang w:val="bg-BG" w:eastAsia="bg-BG"/>
        </w:rPr>
        <w:t xml:space="preserve">началната доза е 1,25 </w:t>
      </w:r>
      <w:r w:rsidRPr="00CB5226">
        <w:t xml:space="preserve">mg </w:t>
      </w:r>
      <w:r w:rsidRPr="00CB5226">
        <w:rPr>
          <w:lang w:val="bg-BG" w:eastAsia="bg-BG"/>
        </w:rPr>
        <w:t xml:space="preserve">дневно и максималната дневна доза е 5 </w:t>
      </w:r>
      <w:r w:rsidRPr="00CB5226">
        <w:t>mg;</w:t>
      </w:r>
    </w:p>
    <w:p w14:paraId="795ABB66" w14:textId="0E97E37C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при хипертоници на хемодиализа: </w:t>
      </w: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се </w:t>
      </w:r>
      <w:proofErr w:type="spellStart"/>
      <w:r w:rsidRPr="00CB5226">
        <w:rPr>
          <w:lang w:val="bg-BG" w:eastAsia="bg-BG"/>
        </w:rPr>
        <w:t>диализира</w:t>
      </w:r>
      <w:proofErr w:type="spellEnd"/>
      <w:r w:rsidRPr="00CB5226">
        <w:rPr>
          <w:lang w:val="bg-BG" w:eastAsia="bg-BG"/>
        </w:rPr>
        <w:t xml:space="preserve"> слабо; началната доза е 1,25 </w:t>
      </w:r>
      <w:r w:rsidRPr="00CB5226">
        <w:t>mg</w:t>
      </w:r>
      <w:r w:rsidRPr="00CB5226">
        <w:rPr>
          <w:lang w:val="bg-BG" w:eastAsia="bg-BG"/>
        </w:rPr>
        <w:t xml:space="preserve">/дневно и максималната дневна доза е 5 </w:t>
      </w:r>
      <w:r w:rsidRPr="00CB5226">
        <w:t xml:space="preserve">mg; </w:t>
      </w:r>
      <w:r w:rsidRPr="00CB5226">
        <w:rPr>
          <w:lang w:val="bg-BG" w:eastAsia="bg-BG"/>
        </w:rPr>
        <w:t xml:space="preserve">лекарственият продукт трябва да се приема няколко часа след </w:t>
      </w:r>
      <w:proofErr w:type="spellStart"/>
      <w:r w:rsidRPr="00CB5226">
        <w:rPr>
          <w:lang w:val="bg-BG" w:eastAsia="bg-BG"/>
        </w:rPr>
        <w:t>хемодиализната</w:t>
      </w:r>
      <w:proofErr w:type="spellEnd"/>
      <w:r w:rsidRPr="00CB5226">
        <w:rPr>
          <w:lang w:val="bg-BG" w:eastAsia="bg-BG"/>
        </w:rPr>
        <w:t xml:space="preserve"> процедура.</w:t>
      </w:r>
    </w:p>
    <w:p w14:paraId="31EA702D" w14:textId="77777777" w:rsidR="00CB5226" w:rsidRDefault="00CB5226" w:rsidP="00CB5226">
      <w:pPr>
        <w:rPr>
          <w:lang w:val="bg-BG" w:eastAsia="bg-BG"/>
        </w:rPr>
      </w:pPr>
    </w:p>
    <w:p w14:paraId="28D4399C" w14:textId="523E0FA1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Пациенти с чернодробно нарушение (вж. точка 5.2)</w:t>
      </w:r>
    </w:p>
    <w:p w14:paraId="70B2CB65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При пациенти с чернодробно нарушение, лечението с ТРИТЕЙС трябва да започне само под стриктен медицински контрол и максималната дневна доза е 2,5 </w:t>
      </w:r>
      <w:r w:rsidRPr="00CB5226">
        <w:t xml:space="preserve">mg </w:t>
      </w:r>
      <w:r w:rsidRPr="00CB5226">
        <w:rPr>
          <w:lang w:val="bg-BG" w:eastAsia="bg-BG"/>
        </w:rPr>
        <w:t>ТРИТЕЙС.</w:t>
      </w:r>
    </w:p>
    <w:p w14:paraId="2DBB1FAC" w14:textId="77777777" w:rsidR="00CB5226" w:rsidRDefault="00CB5226" w:rsidP="00CB5226">
      <w:pPr>
        <w:rPr>
          <w:lang w:val="bg-BG" w:eastAsia="bg-BG"/>
        </w:rPr>
      </w:pPr>
    </w:p>
    <w:p w14:paraId="1631C49A" w14:textId="09DE3C47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Старческа възраст</w:t>
      </w:r>
    </w:p>
    <w:p w14:paraId="0E4FF26F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Началните дози трябва да бъдат по-ниски и впоследствие титрирането на дозата трябва да </w:t>
      </w:r>
      <w:proofErr w:type="spellStart"/>
      <w:r w:rsidRPr="00CB5226">
        <w:rPr>
          <w:lang w:val="bg-BG" w:eastAsia="bg-BG"/>
        </w:rPr>
        <w:t>бъд</w:t>
      </w:r>
      <w:proofErr w:type="spellEnd"/>
      <w:r w:rsidRPr="00CB5226">
        <w:rPr>
          <w:lang w:val="bg-BG" w:eastAsia="bg-BG"/>
        </w:rPr>
        <w:t xml:space="preserve"> по-бавно, поради по-голямата възможност от нежелани реакции, особено при много възрастни и немощни пациенти. Трябва да се има предвид намаляване на началната доза </w:t>
      </w: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на 1,25 </w:t>
      </w:r>
      <w:r w:rsidRPr="00CB5226">
        <w:t>mg.</w:t>
      </w:r>
    </w:p>
    <w:p w14:paraId="6314544C" w14:textId="77777777" w:rsidR="00CB5226" w:rsidRDefault="00CB5226" w:rsidP="00CB5226">
      <w:pPr>
        <w:rPr>
          <w:lang w:val="bg-BG" w:eastAsia="bg-BG"/>
        </w:rPr>
      </w:pPr>
    </w:p>
    <w:p w14:paraId="2C143F6D" w14:textId="7EBAE5F1" w:rsidR="00CB5226" w:rsidRPr="00CB5226" w:rsidRDefault="00CB5226" w:rsidP="00CB5226">
      <w:pPr>
        <w:rPr>
          <w:i/>
          <w:iCs/>
          <w:sz w:val="24"/>
          <w:szCs w:val="24"/>
          <w:lang w:val="bg-BG"/>
        </w:rPr>
      </w:pPr>
      <w:r w:rsidRPr="00CB5226">
        <w:rPr>
          <w:i/>
          <w:iCs/>
          <w:lang w:val="bg-BG" w:eastAsia="bg-BG"/>
        </w:rPr>
        <w:t>Педиатрична популация</w:t>
      </w:r>
    </w:p>
    <w:p w14:paraId="1FD20DCB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Безопасността и ефикасността на </w:t>
      </w: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при деца все още не е установена. Наличната информация за ТРИТЕЙС е описана в точки 4.8, 5.1, 5.2 и 5.3, но не могат да бъдат направени специални препоръки за дозировката.</w:t>
      </w:r>
    </w:p>
    <w:p w14:paraId="06475B31" w14:textId="77777777" w:rsidR="00CB5226" w:rsidRDefault="00CB5226" w:rsidP="00CB5226">
      <w:pPr>
        <w:rPr>
          <w:u w:val="single"/>
          <w:lang w:val="bg-BG" w:eastAsia="bg-BG"/>
        </w:rPr>
      </w:pPr>
    </w:p>
    <w:p w14:paraId="5867EC60" w14:textId="1DF2CA4B" w:rsidR="00CB5226" w:rsidRPr="00CB5226" w:rsidRDefault="00CB5226" w:rsidP="00CB5226">
      <w:pPr>
        <w:pStyle w:val="Heading3"/>
        <w:rPr>
          <w:rFonts w:eastAsia="Times New Roman"/>
          <w:u w:val="single"/>
          <w:lang w:val="bg-BG"/>
        </w:rPr>
      </w:pPr>
      <w:r w:rsidRPr="00CB5226">
        <w:rPr>
          <w:rFonts w:eastAsia="Times New Roman"/>
          <w:u w:val="single"/>
          <w:lang w:val="bg-BG" w:eastAsia="bg-BG"/>
        </w:rPr>
        <w:t>Начин на приложение</w:t>
      </w:r>
    </w:p>
    <w:p w14:paraId="25E41198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Перорална употреба</w:t>
      </w:r>
    </w:p>
    <w:p w14:paraId="70763D64" w14:textId="77777777" w:rsidR="00CB5226" w:rsidRPr="00CB5226" w:rsidRDefault="00CB5226" w:rsidP="00CB5226">
      <w:pPr>
        <w:rPr>
          <w:sz w:val="24"/>
          <w:szCs w:val="24"/>
          <w:lang w:val="bg-BG"/>
        </w:rPr>
      </w:pPr>
    </w:p>
    <w:p w14:paraId="56F70CC0" w14:textId="34328858" w:rsidR="00CB5226" w:rsidRPr="00CB5226" w:rsidRDefault="00CB5226" w:rsidP="00CB5226"/>
    <w:p w14:paraId="3194B1C9" w14:textId="22B272E7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1D4DEDEA" w14:textId="77777777" w:rsidR="00CB5226" w:rsidRDefault="00CB5226" w:rsidP="00CB5226">
      <w:pPr>
        <w:rPr>
          <w:lang w:val="bg-BG" w:eastAsia="bg-BG"/>
        </w:rPr>
      </w:pPr>
    </w:p>
    <w:p w14:paraId="14F81BE1" w14:textId="77EFF6FB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Свръхчувствителност към активното вещество или към някое от помощните вещества посочени в точка 6.1 или друг АСЕ инхибитор (инхибитор на 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 xml:space="preserve"> конвертиращия ензим)</w:t>
      </w:r>
    </w:p>
    <w:p w14:paraId="3CDEF8A3" w14:textId="77777777" w:rsidR="00CB5226" w:rsidRPr="00CB5226" w:rsidRDefault="00CB5226" w:rsidP="00CB5226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CB5226">
        <w:rPr>
          <w:lang w:val="bg-BG" w:eastAsia="bg-BG"/>
        </w:rPr>
        <w:t>Анамнеза за ангиоедем (наследствен, идиопатичен или вследствие лечение с</w:t>
      </w:r>
      <w:r w:rsidRPr="00CB5226">
        <w:t xml:space="preserve"> ACE</w:t>
      </w:r>
      <w:r w:rsidRPr="00CB5226">
        <w:rPr>
          <w:lang w:val="bg-BG" w:eastAsia="bg-BG"/>
        </w:rPr>
        <w:t xml:space="preserve"> инхибитори или 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 xml:space="preserve"> II рецепторни антагонисти </w:t>
      </w:r>
      <w:r w:rsidRPr="00CB5226">
        <w:t xml:space="preserve">(AIIRAs)) </w:t>
      </w:r>
    </w:p>
    <w:p w14:paraId="669AB36D" w14:textId="77777777" w:rsidR="00CB5226" w:rsidRDefault="00CB5226" w:rsidP="00CB5226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CB5226">
        <w:rPr>
          <w:lang w:val="bg-BG" w:eastAsia="bg-BG"/>
        </w:rPr>
        <w:t xml:space="preserve">Едновременна терапия със </w:t>
      </w:r>
      <w:proofErr w:type="spellStart"/>
      <w:r w:rsidRPr="00CB5226">
        <w:rPr>
          <w:lang w:val="bg-BG" w:eastAsia="bg-BG"/>
        </w:rPr>
        <w:t>сакобутрил</w:t>
      </w:r>
      <w:proofErr w:type="spellEnd"/>
      <w:r w:rsidRPr="00CB5226">
        <w:rPr>
          <w:lang w:val="bg-BG" w:eastAsia="bg-BG"/>
        </w:rPr>
        <w:t>/</w:t>
      </w:r>
      <w:proofErr w:type="spellStart"/>
      <w:r w:rsidRPr="00CB5226">
        <w:rPr>
          <w:lang w:val="bg-BG" w:eastAsia="bg-BG"/>
        </w:rPr>
        <w:t>валсартан</w:t>
      </w:r>
      <w:proofErr w:type="spellEnd"/>
      <w:r w:rsidRPr="00CB5226">
        <w:rPr>
          <w:lang w:val="bg-BG" w:eastAsia="bg-BG"/>
        </w:rPr>
        <w:t xml:space="preserve"> (вж. точки 4.4 и 4.5).</w:t>
      </w:r>
    </w:p>
    <w:p w14:paraId="32EED89E" w14:textId="6F9FF584" w:rsidR="00CB5226" w:rsidRPr="00CB5226" w:rsidRDefault="00CB5226" w:rsidP="00CB5226">
      <w:pPr>
        <w:pStyle w:val="ListParagraph"/>
        <w:numPr>
          <w:ilvl w:val="0"/>
          <w:numId w:val="18"/>
        </w:numPr>
        <w:rPr>
          <w:lang w:val="bg-BG" w:eastAsia="bg-BG"/>
        </w:rPr>
      </w:pPr>
      <w:proofErr w:type="spellStart"/>
      <w:r w:rsidRPr="00CB5226">
        <w:rPr>
          <w:lang w:val="bg-BG" w:eastAsia="bg-BG"/>
        </w:rPr>
        <w:t>Екстракорпорално</w:t>
      </w:r>
      <w:proofErr w:type="spellEnd"/>
      <w:r w:rsidRPr="00CB5226">
        <w:rPr>
          <w:lang w:val="bg-BG" w:eastAsia="bg-BG"/>
        </w:rPr>
        <w:t xml:space="preserve"> лечение водещо до контакт на кръвта с отрицателно заредени повърхности (вж. точка 4.5)</w:t>
      </w:r>
    </w:p>
    <w:p w14:paraId="179DA411" w14:textId="207E4629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Значима двустранна </w:t>
      </w:r>
      <w:proofErr w:type="spellStart"/>
      <w:r w:rsidRPr="00CB5226">
        <w:rPr>
          <w:lang w:val="bg-BG" w:eastAsia="bg-BG"/>
        </w:rPr>
        <w:t>стеноза</w:t>
      </w:r>
      <w:proofErr w:type="spellEnd"/>
      <w:r w:rsidRPr="00CB5226">
        <w:rPr>
          <w:lang w:val="bg-BG" w:eastAsia="bg-BG"/>
        </w:rPr>
        <w:t xml:space="preserve"> на бъбречните артерии или </w:t>
      </w:r>
      <w:proofErr w:type="spellStart"/>
      <w:r w:rsidRPr="00CB5226">
        <w:rPr>
          <w:lang w:val="bg-BG" w:eastAsia="bg-BG"/>
        </w:rPr>
        <w:t>стеноза</w:t>
      </w:r>
      <w:proofErr w:type="spellEnd"/>
      <w:r w:rsidRPr="00CB5226">
        <w:rPr>
          <w:lang w:val="bg-BG" w:eastAsia="bg-BG"/>
        </w:rPr>
        <w:t xml:space="preserve"> на бъбречна артерия на единствен функциониращ бъбрек</w:t>
      </w:r>
    </w:p>
    <w:p w14:paraId="15ABD168" w14:textId="1BC871D1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Втори и трети триместър на бременността (вж. точки 4.4 и 4.6)</w:t>
      </w:r>
    </w:p>
    <w:p w14:paraId="7B8D4337" w14:textId="2541229D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не трябва да бъде прилаган при пациенти с хипотония или нестабилна хемодинамика.</w:t>
      </w:r>
    </w:p>
    <w:p w14:paraId="75589D46" w14:textId="15D9FD77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Едновременната употреба на ТРИТЕЙС с </w:t>
      </w:r>
      <w:proofErr w:type="spellStart"/>
      <w:r w:rsidRPr="00CB5226">
        <w:rPr>
          <w:lang w:val="bg-BG" w:eastAsia="bg-BG"/>
        </w:rPr>
        <w:t>алискирен</w:t>
      </w:r>
      <w:proofErr w:type="spellEnd"/>
      <w:r w:rsidRPr="00CB5226">
        <w:rPr>
          <w:lang w:val="bg-BG" w:eastAsia="bg-BG"/>
        </w:rPr>
        <w:t xml:space="preserve">-съдържащи продукти е противопоказана при пациенти със захарен диабет или бъбречно увреждане </w:t>
      </w:r>
      <w:r w:rsidRPr="00CB5226">
        <w:t xml:space="preserve">(GFR </w:t>
      </w:r>
      <w:r w:rsidRPr="00CB5226">
        <w:rPr>
          <w:lang w:val="bg-BG" w:eastAsia="bg-BG"/>
        </w:rPr>
        <w:t xml:space="preserve">&lt; 60 </w:t>
      </w:r>
      <w:r w:rsidRPr="00CB5226">
        <w:t>ml/min/1</w:t>
      </w:r>
      <w:r w:rsidRPr="00CB5226">
        <w:rPr>
          <w:lang w:val="bg-BG" w:eastAsia="bg-BG"/>
        </w:rPr>
        <w:t>,73 m2) (вж. точки 4.5 и 5.1).</w:t>
      </w:r>
    </w:p>
    <w:p w14:paraId="0A41A788" w14:textId="77777777" w:rsidR="00CB5226" w:rsidRPr="00CB5226" w:rsidRDefault="00CB5226" w:rsidP="00CB5226"/>
    <w:p w14:paraId="4B2B2AB1" w14:textId="57E23AC8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3D130E40" w14:textId="77777777" w:rsidR="00CB5226" w:rsidRDefault="00CB5226" w:rsidP="00CB5226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val="bg-BG" w:eastAsia="bg-BG"/>
        </w:rPr>
      </w:pPr>
    </w:p>
    <w:p w14:paraId="5A79BC65" w14:textId="4F52F879" w:rsidR="00CB5226" w:rsidRPr="00CB5226" w:rsidRDefault="00CB5226" w:rsidP="00CB5226">
      <w:pPr>
        <w:pStyle w:val="Heading3"/>
        <w:rPr>
          <w:rFonts w:eastAsia="Times New Roman"/>
          <w:u w:val="single"/>
          <w:lang w:val="bg-BG"/>
        </w:rPr>
      </w:pPr>
      <w:r w:rsidRPr="00CB5226">
        <w:rPr>
          <w:rFonts w:eastAsia="Times New Roman"/>
          <w:u w:val="single"/>
          <w:lang w:val="bg-BG" w:eastAsia="bg-BG"/>
        </w:rPr>
        <w:lastRenderedPageBreak/>
        <w:t>Специални популации</w:t>
      </w:r>
    </w:p>
    <w:p w14:paraId="0B3D5965" w14:textId="156B041C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Бременност: Лечение с АСЕ инхибитори като </w:t>
      </w:r>
      <w:proofErr w:type="spellStart"/>
      <w:r w:rsidRPr="00CB5226">
        <w:rPr>
          <w:lang w:val="bg-BG" w:eastAsia="bg-BG"/>
        </w:rPr>
        <w:t>рамиприл</w:t>
      </w:r>
      <w:proofErr w:type="spellEnd"/>
      <w:r w:rsidRPr="00CB5226">
        <w:rPr>
          <w:lang w:val="bg-BG" w:eastAsia="bg-BG"/>
        </w:rPr>
        <w:t xml:space="preserve"> или 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 xml:space="preserve"> II рецепторни антагонисти </w:t>
      </w:r>
      <w:r w:rsidRPr="00CB5226">
        <w:t xml:space="preserve">(AIIRAs) </w:t>
      </w:r>
      <w:r w:rsidRPr="00CB5226">
        <w:rPr>
          <w:lang w:val="bg-BG" w:eastAsia="bg-BG"/>
        </w:rPr>
        <w:t>не трябва да се започва по време на бременност. При пациентките планиращи да забременеят, терапията с АСЕ инхибитори/</w:t>
      </w:r>
      <w:r w:rsidRPr="00CB5226">
        <w:t xml:space="preserve">AIIRAs, </w:t>
      </w:r>
      <w:r w:rsidRPr="00CB5226">
        <w:rPr>
          <w:lang w:val="bg-BG" w:eastAsia="bg-BG"/>
        </w:rPr>
        <w:t xml:space="preserve">трябва да се замени с алтернативно антихипертензивно лечение, което има установен профил на безопасност при употреба по време на бременност, освен ако не се счита за крайно </w:t>
      </w:r>
      <w:proofErr w:type="spellStart"/>
      <w:r w:rsidRPr="00CB5226">
        <w:rPr>
          <w:lang w:val="bg-BG" w:eastAsia="bg-BG"/>
        </w:rPr>
        <w:t>необходима.При</w:t>
      </w:r>
      <w:proofErr w:type="spellEnd"/>
      <w:r w:rsidRPr="00CB5226">
        <w:rPr>
          <w:lang w:val="bg-BG" w:eastAsia="bg-BG"/>
        </w:rPr>
        <w:t xml:space="preserve"> установяване на бременност, лечението с АСЕ инхибитори/</w:t>
      </w:r>
      <w:r w:rsidRPr="00CB5226">
        <w:t xml:space="preserve">AIIRAs, </w:t>
      </w:r>
      <w:r w:rsidRPr="00CB5226">
        <w:rPr>
          <w:lang w:val="bg-BG" w:eastAsia="bg-BG"/>
        </w:rPr>
        <w:t>трябва да бъде спряно незабавно и, ако е уместно, трябва да бъде започната алтернативна терапия (вж. точки 4.3 и 4.6).</w:t>
      </w:r>
    </w:p>
    <w:p w14:paraId="40461823" w14:textId="77777777" w:rsidR="00CB5226" w:rsidRDefault="00CB5226" w:rsidP="00CB5226">
      <w:pPr>
        <w:rPr>
          <w:lang w:val="bg-BG" w:eastAsia="bg-BG"/>
        </w:rPr>
      </w:pPr>
    </w:p>
    <w:p w14:paraId="4B9B1DFB" w14:textId="0C811089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u w:val="single"/>
          <w:lang w:val="bg-BG"/>
        </w:rPr>
      </w:pPr>
      <w:r w:rsidRPr="00CB5226">
        <w:rPr>
          <w:u w:val="single"/>
          <w:lang w:val="bg-BG" w:eastAsia="bg-BG"/>
        </w:rPr>
        <w:t>Пациенти с особен риск от хипотония</w:t>
      </w:r>
    </w:p>
    <w:p w14:paraId="3EE04AF0" w14:textId="77777777" w:rsidR="00CB5226" w:rsidRDefault="00CB5226" w:rsidP="00CB5226">
      <w:pPr>
        <w:rPr>
          <w:lang w:val="bg-BG" w:eastAsia="bg-BG"/>
        </w:rPr>
      </w:pPr>
    </w:p>
    <w:p w14:paraId="7D1CDBFB" w14:textId="77777777" w:rsidR="00CB5226" w:rsidRPr="00CB5226" w:rsidRDefault="00CB5226" w:rsidP="00CB5226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CB5226">
        <w:rPr>
          <w:u w:val="single"/>
          <w:lang w:val="bg-BG" w:eastAsia="bg-BG"/>
        </w:rPr>
        <w:t>Пациенти с повишена активност на ренин-</w:t>
      </w:r>
      <w:proofErr w:type="spellStart"/>
      <w:r w:rsidRPr="00CB5226">
        <w:rPr>
          <w:u w:val="single"/>
          <w:lang w:val="bg-BG" w:eastAsia="bg-BG"/>
        </w:rPr>
        <w:t>ангиотензин</w:t>
      </w:r>
      <w:proofErr w:type="spellEnd"/>
      <w:r w:rsidRPr="00CB5226">
        <w:rPr>
          <w:u w:val="single"/>
          <w:lang w:val="bg-BG" w:eastAsia="bg-BG"/>
        </w:rPr>
        <w:t>-</w:t>
      </w:r>
      <w:proofErr w:type="spellStart"/>
      <w:r w:rsidRPr="00CB5226">
        <w:rPr>
          <w:u w:val="single"/>
          <w:lang w:val="bg-BG" w:eastAsia="bg-BG"/>
        </w:rPr>
        <w:t>алдостероновата</w:t>
      </w:r>
      <w:proofErr w:type="spellEnd"/>
      <w:r w:rsidRPr="00CB5226">
        <w:rPr>
          <w:u w:val="single"/>
          <w:lang w:val="bg-BG" w:eastAsia="bg-BG"/>
        </w:rPr>
        <w:t xml:space="preserve"> система</w:t>
      </w:r>
    </w:p>
    <w:p w14:paraId="18D9F90F" w14:textId="165CB1C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Пациенти с повишена активност на ренин-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>-</w:t>
      </w:r>
      <w:proofErr w:type="spellStart"/>
      <w:r w:rsidRPr="00CB5226">
        <w:rPr>
          <w:lang w:val="bg-BG" w:eastAsia="bg-BG"/>
        </w:rPr>
        <w:t>алдостероновата</w:t>
      </w:r>
      <w:proofErr w:type="spellEnd"/>
      <w:r w:rsidRPr="00CB5226">
        <w:rPr>
          <w:lang w:val="bg-BG" w:eastAsia="bg-BG"/>
        </w:rPr>
        <w:t xml:space="preserve"> система са изложени на риск от силно изразено понижаване на кръвното налягане и влошаване на бъбречната функция, поради АСЕ инхибиране, особено когато АСЕ инхибитор или съпътстващ </w:t>
      </w:r>
      <w:proofErr w:type="spellStart"/>
      <w:r w:rsidRPr="00CB5226">
        <w:rPr>
          <w:lang w:val="bg-BG" w:eastAsia="bg-BG"/>
        </w:rPr>
        <w:t>диуретик</w:t>
      </w:r>
      <w:proofErr w:type="spellEnd"/>
      <w:r w:rsidRPr="00CB5226">
        <w:rPr>
          <w:lang w:val="bg-BG" w:eastAsia="bg-BG"/>
        </w:rPr>
        <w:t xml:space="preserve"> се приема за пръв път или при начално повишаване на дозата. Значима активност на ренин- </w:t>
      </w:r>
      <w:proofErr w:type="spellStart"/>
      <w:r w:rsidRPr="00CB5226">
        <w:rPr>
          <w:lang w:val="bg-BG" w:eastAsia="bg-BG"/>
        </w:rPr>
        <w:t>ангиотензин-алдостероновата</w:t>
      </w:r>
      <w:proofErr w:type="spellEnd"/>
      <w:r w:rsidRPr="00CB5226">
        <w:rPr>
          <w:lang w:val="bg-BG" w:eastAsia="bg-BG"/>
        </w:rPr>
        <w:t xml:space="preserve"> система може да се очаква и е необходимо медицинско наблюдение, включващо проследяване на кръвното налягане, например при:</w:t>
      </w:r>
    </w:p>
    <w:p w14:paraId="7D3463E0" w14:textId="493A705A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пациенти с тежка хипертония</w:t>
      </w:r>
    </w:p>
    <w:p w14:paraId="5DE887C0" w14:textId="0AD45574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пациенти с </w:t>
      </w:r>
      <w:proofErr w:type="spellStart"/>
      <w:r w:rsidRPr="00CB5226">
        <w:rPr>
          <w:lang w:val="bg-BG" w:eastAsia="bg-BG"/>
        </w:rPr>
        <w:t>декомпенсирана</w:t>
      </w:r>
      <w:proofErr w:type="spellEnd"/>
      <w:r w:rsidRPr="00CB5226">
        <w:rPr>
          <w:lang w:val="bg-BG" w:eastAsia="bg-BG"/>
        </w:rPr>
        <w:t xml:space="preserve"> застойна сърдечна недостатъчност</w:t>
      </w:r>
    </w:p>
    <w:p w14:paraId="3CACC8DC" w14:textId="52C2BFA4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пациенти с </w:t>
      </w:r>
      <w:proofErr w:type="spellStart"/>
      <w:r w:rsidRPr="00CB5226">
        <w:rPr>
          <w:lang w:val="bg-BG" w:eastAsia="bg-BG"/>
        </w:rPr>
        <w:t>хемодинамично</w:t>
      </w:r>
      <w:proofErr w:type="spellEnd"/>
      <w:r w:rsidRPr="00CB5226">
        <w:rPr>
          <w:lang w:val="bg-BG" w:eastAsia="bg-BG"/>
        </w:rPr>
        <w:t xml:space="preserve"> влошен </w:t>
      </w:r>
      <w:proofErr w:type="spellStart"/>
      <w:r w:rsidRPr="00CB5226">
        <w:rPr>
          <w:lang w:val="bg-BG" w:eastAsia="bg-BG"/>
        </w:rPr>
        <w:t>лявокамерен</w:t>
      </w:r>
      <w:proofErr w:type="spellEnd"/>
      <w:r w:rsidRPr="00CB5226">
        <w:rPr>
          <w:lang w:val="bg-BG" w:eastAsia="bg-BG"/>
        </w:rPr>
        <w:t xml:space="preserve"> изходящ или входящ кръвоток (напр. </w:t>
      </w:r>
      <w:proofErr w:type="spellStart"/>
      <w:r w:rsidRPr="00CB5226">
        <w:rPr>
          <w:lang w:val="bg-BG" w:eastAsia="bg-BG"/>
        </w:rPr>
        <w:t>стеноза</w:t>
      </w:r>
      <w:proofErr w:type="spellEnd"/>
      <w:r w:rsidRPr="00CB5226">
        <w:rPr>
          <w:lang w:val="bg-BG" w:eastAsia="bg-BG"/>
        </w:rPr>
        <w:t xml:space="preserve"> на аортата или </w:t>
      </w:r>
      <w:proofErr w:type="spellStart"/>
      <w:r w:rsidRPr="00CB5226">
        <w:rPr>
          <w:lang w:val="bg-BG" w:eastAsia="bg-BG"/>
        </w:rPr>
        <w:t>митралната</w:t>
      </w:r>
      <w:proofErr w:type="spellEnd"/>
      <w:r w:rsidRPr="00CB5226">
        <w:rPr>
          <w:lang w:val="bg-BG" w:eastAsia="bg-BG"/>
        </w:rPr>
        <w:t xml:space="preserve"> клапа)</w:t>
      </w:r>
    </w:p>
    <w:p w14:paraId="4BA28047" w14:textId="7BB8416D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пациенти с едностранна </w:t>
      </w:r>
      <w:proofErr w:type="spellStart"/>
      <w:r w:rsidRPr="00CB5226">
        <w:rPr>
          <w:lang w:val="bg-BG" w:eastAsia="bg-BG"/>
        </w:rPr>
        <w:t>стеноза</w:t>
      </w:r>
      <w:proofErr w:type="spellEnd"/>
      <w:r w:rsidRPr="00CB5226">
        <w:rPr>
          <w:lang w:val="bg-BG" w:eastAsia="bg-BG"/>
        </w:rPr>
        <w:t xml:space="preserve"> на бъбречната артерия с втори функциониращ бъбрек</w:t>
      </w:r>
    </w:p>
    <w:p w14:paraId="34201443" w14:textId="561D15E6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пациенти, при които има или може да настъпи намален обем на телесните течности или соли (включително пациенти, приемащи </w:t>
      </w:r>
      <w:proofErr w:type="spellStart"/>
      <w:r w:rsidRPr="00CB5226">
        <w:rPr>
          <w:lang w:val="bg-BG" w:eastAsia="bg-BG"/>
        </w:rPr>
        <w:t>диуретици</w:t>
      </w:r>
      <w:proofErr w:type="spellEnd"/>
      <w:r w:rsidRPr="00CB5226">
        <w:rPr>
          <w:lang w:val="bg-BG" w:eastAsia="bg-BG"/>
        </w:rPr>
        <w:t>)</w:t>
      </w:r>
    </w:p>
    <w:p w14:paraId="4DB61A77" w14:textId="10D851FD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пациенти с чернодробна цироза и/или </w:t>
      </w:r>
      <w:proofErr w:type="spellStart"/>
      <w:r w:rsidRPr="00CB5226">
        <w:rPr>
          <w:lang w:val="bg-BG" w:eastAsia="bg-BG"/>
        </w:rPr>
        <w:t>асцит</w:t>
      </w:r>
      <w:proofErr w:type="spellEnd"/>
    </w:p>
    <w:p w14:paraId="5E22360C" w14:textId="6C38F75D" w:rsidR="00CB5226" w:rsidRPr="00CB5226" w:rsidRDefault="00CB5226" w:rsidP="00CB5226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CB5226">
        <w:rPr>
          <w:lang w:val="bg-BG" w:eastAsia="bg-BG"/>
        </w:rPr>
        <w:t>пациенти, подложени на голяма хирургична интервенция или анестезия със средства, които предизвикват хипотония</w:t>
      </w:r>
    </w:p>
    <w:p w14:paraId="61805CFF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Обикновено се препоръчва коригиране на дехидратацията, </w:t>
      </w:r>
      <w:proofErr w:type="spellStart"/>
      <w:r w:rsidRPr="00CB5226">
        <w:rPr>
          <w:lang w:val="bg-BG" w:eastAsia="bg-BG"/>
        </w:rPr>
        <w:t>хиповолемията</w:t>
      </w:r>
      <w:proofErr w:type="spellEnd"/>
      <w:r w:rsidRPr="00CB5226">
        <w:rPr>
          <w:lang w:val="bg-BG" w:eastAsia="bg-BG"/>
        </w:rPr>
        <w:t xml:space="preserve"> или </w:t>
      </w:r>
      <w:proofErr w:type="spellStart"/>
      <w:r w:rsidRPr="00CB5226">
        <w:rPr>
          <w:lang w:val="bg-BG" w:eastAsia="bg-BG"/>
        </w:rPr>
        <w:t>солевия</w:t>
      </w:r>
      <w:proofErr w:type="spellEnd"/>
      <w:r w:rsidRPr="00CB5226">
        <w:rPr>
          <w:lang w:val="bg-BG" w:eastAsia="bg-BG"/>
        </w:rPr>
        <w:t xml:space="preserve"> дефицит преди началото на лечението (при пациенти със сърдечна недостатъчност, обаче корекцията трябва да бъде внимателно преценена спрямо риска от </w:t>
      </w:r>
      <w:proofErr w:type="spellStart"/>
      <w:r w:rsidRPr="00CB5226">
        <w:rPr>
          <w:lang w:val="bg-BG" w:eastAsia="bg-BG"/>
        </w:rPr>
        <w:t>обермно</w:t>
      </w:r>
      <w:proofErr w:type="spellEnd"/>
      <w:r w:rsidRPr="00CB5226">
        <w:rPr>
          <w:lang w:val="bg-BG" w:eastAsia="bg-BG"/>
        </w:rPr>
        <w:t xml:space="preserve"> натоварване).</w:t>
      </w:r>
    </w:p>
    <w:p w14:paraId="67C22BBC" w14:textId="77777777" w:rsidR="00CB5226" w:rsidRDefault="00CB5226" w:rsidP="00CB5226">
      <w:pPr>
        <w:rPr>
          <w:lang w:val="bg-BG" w:eastAsia="bg-BG"/>
        </w:rPr>
      </w:pPr>
    </w:p>
    <w:p w14:paraId="6EC8BB0F" w14:textId="77777777" w:rsidR="00CB5226" w:rsidRPr="00CB5226" w:rsidRDefault="00CB5226" w:rsidP="00CB5226">
      <w:pPr>
        <w:pStyle w:val="ListParagraph"/>
        <w:numPr>
          <w:ilvl w:val="0"/>
          <w:numId w:val="24"/>
        </w:numPr>
        <w:rPr>
          <w:u w:val="single"/>
          <w:lang w:val="bg-BG" w:eastAsia="bg-BG"/>
        </w:rPr>
      </w:pPr>
      <w:r w:rsidRPr="00CB5226">
        <w:rPr>
          <w:u w:val="single"/>
          <w:lang w:val="bg-BG" w:eastAsia="bg-BG"/>
        </w:rPr>
        <w:t>Двойна блокада на ренин-</w:t>
      </w:r>
      <w:proofErr w:type="spellStart"/>
      <w:r w:rsidRPr="00CB5226">
        <w:rPr>
          <w:u w:val="single"/>
          <w:lang w:val="bg-BG" w:eastAsia="bg-BG"/>
        </w:rPr>
        <w:t>ангиотензин</w:t>
      </w:r>
      <w:proofErr w:type="spellEnd"/>
      <w:r w:rsidRPr="00CB5226">
        <w:rPr>
          <w:u w:val="single"/>
          <w:lang w:val="bg-BG" w:eastAsia="bg-BG"/>
        </w:rPr>
        <w:t xml:space="preserve">- </w:t>
      </w:r>
      <w:proofErr w:type="spellStart"/>
      <w:r w:rsidRPr="00CB5226">
        <w:rPr>
          <w:u w:val="single"/>
          <w:lang w:val="bg-BG" w:eastAsia="bg-BG"/>
        </w:rPr>
        <w:t>алдостероновата</w:t>
      </w:r>
      <w:proofErr w:type="spellEnd"/>
      <w:r w:rsidRPr="00CB5226">
        <w:rPr>
          <w:u w:val="single"/>
          <w:lang w:val="bg-BG" w:eastAsia="bg-BG"/>
        </w:rPr>
        <w:t xml:space="preserve"> системата (РААС) </w:t>
      </w:r>
    </w:p>
    <w:p w14:paraId="147C9F65" w14:textId="51CADE8D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 xml:space="preserve">Има данни, че едновременната употреба на АСЕ инхибитори, 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 xml:space="preserve"> П-рецепторни </w:t>
      </w:r>
      <w:proofErr w:type="spellStart"/>
      <w:r w:rsidRPr="00CB5226">
        <w:rPr>
          <w:lang w:val="bg-BG" w:eastAsia="bg-BG"/>
        </w:rPr>
        <w:t>блокери</w:t>
      </w:r>
      <w:proofErr w:type="spellEnd"/>
      <w:r w:rsidRPr="00CB5226">
        <w:rPr>
          <w:lang w:val="bg-BG" w:eastAsia="bg-BG"/>
        </w:rPr>
        <w:t xml:space="preserve"> или </w:t>
      </w:r>
      <w:proofErr w:type="spellStart"/>
      <w:r w:rsidRPr="00CB5226">
        <w:rPr>
          <w:lang w:val="bg-BG" w:eastAsia="bg-BG"/>
        </w:rPr>
        <w:t>алискирен</w:t>
      </w:r>
      <w:proofErr w:type="spellEnd"/>
      <w:r w:rsidRPr="00CB5226">
        <w:rPr>
          <w:lang w:val="bg-BG" w:eastAsia="bg-BG"/>
        </w:rPr>
        <w:t xml:space="preserve"> повишава риска от хипотония, </w:t>
      </w:r>
      <w:proofErr w:type="spellStart"/>
      <w:r w:rsidRPr="00CB5226">
        <w:rPr>
          <w:lang w:val="bg-BG" w:eastAsia="bg-BG"/>
        </w:rPr>
        <w:t>хиперкалиемия</w:t>
      </w:r>
      <w:proofErr w:type="spellEnd"/>
      <w:r w:rsidRPr="00CB5226">
        <w:rPr>
          <w:lang w:val="bg-BG" w:eastAsia="bg-BG"/>
        </w:rPr>
        <w:t xml:space="preserve"> и намаляване на 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 инхибитори, 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 xml:space="preserve"> П-рецепторни </w:t>
      </w:r>
      <w:proofErr w:type="spellStart"/>
      <w:r w:rsidRPr="00CB5226">
        <w:rPr>
          <w:lang w:val="bg-BG" w:eastAsia="bg-BG"/>
        </w:rPr>
        <w:t>блокери</w:t>
      </w:r>
      <w:proofErr w:type="spellEnd"/>
      <w:r w:rsidRPr="00CB5226">
        <w:rPr>
          <w:lang w:val="bg-BG" w:eastAsia="bg-BG"/>
        </w:rPr>
        <w:t xml:space="preserve"> или </w:t>
      </w:r>
      <w:proofErr w:type="spellStart"/>
      <w:r w:rsidRPr="00CB5226">
        <w:rPr>
          <w:lang w:val="bg-BG" w:eastAsia="bg-BG"/>
        </w:rPr>
        <w:t>алискирен</w:t>
      </w:r>
      <w:proofErr w:type="spellEnd"/>
      <w:r w:rsidRPr="00CB5226">
        <w:rPr>
          <w:lang w:val="bg-BG" w:eastAsia="bg-BG"/>
        </w:rPr>
        <w:t xml:space="preserve"> (вж. точки 4.5 и 5.1).</w:t>
      </w:r>
    </w:p>
    <w:p w14:paraId="0BFBA9BB" w14:textId="77777777" w:rsidR="00CB5226" w:rsidRPr="00CB5226" w:rsidRDefault="00CB5226" w:rsidP="00CB5226">
      <w:pPr>
        <w:rPr>
          <w:sz w:val="24"/>
          <w:szCs w:val="24"/>
          <w:lang w:val="bg-BG"/>
        </w:rPr>
      </w:pPr>
      <w:r w:rsidRPr="00CB5226">
        <w:rPr>
          <w:lang w:val="bg-BG"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</w:t>
      </w:r>
    </w:p>
    <w:p w14:paraId="50AB1BB6" w14:textId="2A26A0D8" w:rsidR="00CB5226" w:rsidRDefault="00CB5226" w:rsidP="00CB5226">
      <w:pPr>
        <w:rPr>
          <w:lang w:val="bg-BG" w:eastAsia="bg-BG"/>
        </w:rPr>
      </w:pPr>
      <w:r w:rsidRPr="00CB5226">
        <w:rPr>
          <w:lang w:val="bg-BG" w:eastAsia="bg-BG"/>
        </w:rPr>
        <w:t xml:space="preserve">АСЕ инхибитори и </w:t>
      </w:r>
      <w:proofErr w:type="spellStart"/>
      <w:r w:rsidRPr="00CB5226">
        <w:rPr>
          <w:lang w:val="bg-BG" w:eastAsia="bg-BG"/>
        </w:rPr>
        <w:t>ангиотензин</w:t>
      </w:r>
      <w:proofErr w:type="spellEnd"/>
      <w:r w:rsidRPr="00CB5226">
        <w:rPr>
          <w:lang w:val="bg-BG" w:eastAsia="bg-BG"/>
        </w:rPr>
        <w:t xml:space="preserve"> П-рецепторни </w:t>
      </w:r>
      <w:proofErr w:type="spellStart"/>
      <w:r w:rsidRPr="00CB5226">
        <w:rPr>
          <w:lang w:val="bg-BG" w:eastAsia="bg-BG"/>
        </w:rPr>
        <w:t>блокери</w:t>
      </w:r>
      <w:proofErr w:type="spellEnd"/>
      <w:r w:rsidRPr="00CB5226">
        <w:rPr>
          <w:lang w:val="bg-BG" w:eastAsia="bg-BG"/>
        </w:rPr>
        <w:t xml:space="preserve"> не трябва да се използват едновременно при пациенти с диабетна нефропатия.</w:t>
      </w:r>
    </w:p>
    <w:p w14:paraId="279C6DE9" w14:textId="522FE61A" w:rsidR="00B94AD2" w:rsidRPr="00B94AD2" w:rsidRDefault="00B94AD2" w:rsidP="00B94AD2">
      <w:pPr>
        <w:pStyle w:val="ListParagraph"/>
        <w:numPr>
          <w:ilvl w:val="0"/>
          <w:numId w:val="24"/>
        </w:numPr>
        <w:rPr>
          <w:sz w:val="24"/>
          <w:szCs w:val="24"/>
          <w:u w:val="single"/>
          <w:lang w:val="bg-BG"/>
        </w:rPr>
      </w:pPr>
      <w:r w:rsidRPr="00B94AD2">
        <w:rPr>
          <w:u w:val="single"/>
          <w:lang w:val="bg-BG" w:eastAsia="bg-BG"/>
        </w:rPr>
        <w:lastRenderedPageBreak/>
        <w:t>Преходна или персистираща сърдечна недостатъчност след миокарден инфаркт</w:t>
      </w:r>
    </w:p>
    <w:p w14:paraId="1CBC8A17" w14:textId="77777777" w:rsidR="00B94AD2" w:rsidRDefault="00B94AD2" w:rsidP="00B94AD2">
      <w:pPr>
        <w:rPr>
          <w:lang w:val="bg-BG" w:eastAsia="bg-BG"/>
        </w:rPr>
      </w:pPr>
    </w:p>
    <w:p w14:paraId="373150BF" w14:textId="60D767B1" w:rsidR="00B94AD2" w:rsidRPr="00B94AD2" w:rsidRDefault="00B94AD2" w:rsidP="00B94AD2">
      <w:pPr>
        <w:pStyle w:val="ListParagraph"/>
        <w:numPr>
          <w:ilvl w:val="0"/>
          <w:numId w:val="24"/>
        </w:numPr>
        <w:rPr>
          <w:i/>
          <w:iCs/>
          <w:sz w:val="24"/>
          <w:szCs w:val="24"/>
          <w:lang w:val="bg-BG"/>
        </w:rPr>
      </w:pPr>
      <w:r w:rsidRPr="00B94AD2">
        <w:rPr>
          <w:i/>
          <w:iCs/>
          <w:lang w:val="bg-BG" w:eastAsia="bg-BG"/>
        </w:rPr>
        <w:t>Пациенти, изложени на риск от сърдечна или мозъчна исхемия в случай на остра хипотония</w:t>
      </w:r>
    </w:p>
    <w:p w14:paraId="79F385B3" w14:textId="77777777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>Началото на терапията изисква строг медицински контрол.</w:t>
      </w:r>
    </w:p>
    <w:p w14:paraId="46013CA2" w14:textId="77777777" w:rsidR="00B94AD2" w:rsidRDefault="00B94AD2" w:rsidP="00B94AD2">
      <w:pPr>
        <w:rPr>
          <w:lang w:val="bg-BG" w:eastAsia="bg-BG"/>
        </w:rPr>
      </w:pPr>
    </w:p>
    <w:p w14:paraId="0E5D2DD3" w14:textId="23474D46" w:rsidR="00B94AD2" w:rsidRPr="00B94AD2" w:rsidRDefault="00B94AD2" w:rsidP="00B94AD2">
      <w:pPr>
        <w:pStyle w:val="ListParagraph"/>
        <w:numPr>
          <w:ilvl w:val="0"/>
          <w:numId w:val="24"/>
        </w:numPr>
        <w:rPr>
          <w:i/>
          <w:iCs/>
          <w:sz w:val="24"/>
          <w:szCs w:val="24"/>
          <w:lang w:val="bg-BG"/>
        </w:rPr>
      </w:pPr>
      <w:r w:rsidRPr="00B94AD2">
        <w:rPr>
          <w:i/>
          <w:iCs/>
          <w:lang w:val="bg-BG" w:eastAsia="bg-BG"/>
        </w:rPr>
        <w:t>Старческа възраст</w:t>
      </w:r>
    </w:p>
    <w:p w14:paraId="58A1134E" w14:textId="77777777" w:rsidR="00B94AD2" w:rsidRDefault="00B94AD2" w:rsidP="00B94AD2">
      <w:pPr>
        <w:rPr>
          <w:lang w:val="bg-BG" w:eastAsia="bg-BG"/>
        </w:rPr>
      </w:pPr>
    </w:p>
    <w:p w14:paraId="27B3ACA1" w14:textId="5D672270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>Вижте точка 4.2.</w:t>
      </w:r>
    </w:p>
    <w:p w14:paraId="142193DF" w14:textId="77777777" w:rsidR="00B94AD2" w:rsidRDefault="00B94AD2" w:rsidP="00B94AD2">
      <w:pPr>
        <w:rPr>
          <w:lang w:val="bg-BG" w:eastAsia="bg-BG"/>
        </w:rPr>
      </w:pPr>
    </w:p>
    <w:p w14:paraId="32F26013" w14:textId="0FD25C0A" w:rsidR="00B94AD2" w:rsidRPr="00B94AD2" w:rsidRDefault="00B94AD2" w:rsidP="00B94AD2">
      <w:pPr>
        <w:rPr>
          <w:sz w:val="24"/>
          <w:szCs w:val="24"/>
          <w:u w:val="single"/>
          <w:lang w:val="bg-BG"/>
        </w:rPr>
      </w:pPr>
      <w:r w:rsidRPr="00B94AD2">
        <w:rPr>
          <w:u w:val="single"/>
          <w:lang w:val="bg-BG" w:eastAsia="bg-BG"/>
        </w:rPr>
        <w:t>Хирургични интервенции</w:t>
      </w:r>
    </w:p>
    <w:p w14:paraId="175C8C9A" w14:textId="77777777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 xml:space="preserve">Препоръчва се, когато е възможно, лечението с инхибитори на </w:t>
      </w:r>
      <w:proofErr w:type="spellStart"/>
      <w:r w:rsidRPr="00B94AD2">
        <w:rPr>
          <w:lang w:val="bg-BG" w:eastAsia="bg-BG"/>
        </w:rPr>
        <w:t>ангиотензин</w:t>
      </w:r>
      <w:proofErr w:type="spellEnd"/>
      <w:r w:rsidRPr="00B94AD2">
        <w:rPr>
          <w:lang w:val="bg-BG" w:eastAsia="bg-BG"/>
        </w:rPr>
        <w:t xml:space="preserve"> конвертиращия ензим като </w:t>
      </w:r>
      <w:proofErr w:type="spellStart"/>
      <w:r w:rsidRPr="00B94AD2">
        <w:rPr>
          <w:lang w:val="bg-BG" w:eastAsia="bg-BG"/>
        </w:rPr>
        <w:t>рамиприл</w:t>
      </w:r>
      <w:proofErr w:type="spellEnd"/>
      <w:r w:rsidRPr="00B94AD2">
        <w:rPr>
          <w:lang w:val="bg-BG" w:eastAsia="bg-BG"/>
        </w:rPr>
        <w:t>, да бъде прекъснато един ден преди хирургична процедура.</w:t>
      </w:r>
    </w:p>
    <w:p w14:paraId="44A52D94" w14:textId="77777777" w:rsidR="00B94AD2" w:rsidRDefault="00B94AD2" w:rsidP="00B94AD2">
      <w:pPr>
        <w:rPr>
          <w:lang w:val="bg-BG" w:eastAsia="bg-BG"/>
        </w:rPr>
      </w:pPr>
    </w:p>
    <w:p w14:paraId="548A9F4D" w14:textId="470C79B0" w:rsidR="00B94AD2" w:rsidRPr="00B94AD2" w:rsidRDefault="00B94AD2" w:rsidP="00B94AD2">
      <w:pPr>
        <w:rPr>
          <w:sz w:val="24"/>
          <w:szCs w:val="24"/>
          <w:u w:val="single"/>
          <w:lang w:val="bg-BG"/>
        </w:rPr>
      </w:pPr>
      <w:r w:rsidRPr="00B94AD2">
        <w:rPr>
          <w:u w:val="single"/>
          <w:lang w:val="bg-BG" w:eastAsia="bg-BG"/>
        </w:rPr>
        <w:t>Проследяване на бъбречната функция</w:t>
      </w:r>
    </w:p>
    <w:p w14:paraId="650E1F04" w14:textId="77777777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>Бъбречната функция трябва да бъде оценена преди и по време на терапията и дозата трябва да бъде коригирана особено през първите седмици от лечението. Особено внимателно проследяване се изисква при пациенти с бъбречно увреждане (вж. точка 4.2). Има риск от влошаване на бъбречната функция, особено при пациенти със застойна сърдечна недостатъчност или след бъбречна трансплантация.</w:t>
      </w:r>
    </w:p>
    <w:p w14:paraId="1B541A43" w14:textId="77777777" w:rsidR="00B94AD2" w:rsidRDefault="00B94AD2" w:rsidP="00B94AD2">
      <w:pPr>
        <w:rPr>
          <w:lang w:val="bg-BG" w:eastAsia="bg-BG"/>
        </w:rPr>
      </w:pPr>
    </w:p>
    <w:p w14:paraId="69C8D8AF" w14:textId="67329A3E" w:rsidR="00B94AD2" w:rsidRPr="00B94AD2" w:rsidRDefault="00B94AD2" w:rsidP="00B94AD2">
      <w:pPr>
        <w:rPr>
          <w:sz w:val="24"/>
          <w:szCs w:val="24"/>
          <w:u w:val="single"/>
          <w:lang w:val="bg-BG"/>
        </w:rPr>
      </w:pPr>
      <w:r w:rsidRPr="00B94AD2">
        <w:rPr>
          <w:u w:val="single"/>
          <w:lang w:val="bg-BG" w:eastAsia="bg-BG"/>
        </w:rPr>
        <w:t>Свръхчувствителност/Ангиоедем</w:t>
      </w:r>
    </w:p>
    <w:p w14:paraId="592D918E" w14:textId="77777777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 xml:space="preserve">Ангиоедем е бил съобщаван при пациенти, лекувани с АСЕ инхибитори, включително </w:t>
      </w:r>
      <w:proofErr w:type="spellStart"/>
      <w:r w:rsidRPr="00B94AD2">
        <w:rPr>
          <w:lang w:val="bg-BG" w:eastAsia="bg-BG"/>
        </w:rPr>
        <w:t>рамиприл</w:t>
      </w:r>
      <w:proofErr w:type="spellEnd"/>
      <w:r w:rsidRPr="00B94AD2">
        <w:rPr>
          <w:lang w:val="bg-BG" w:eastAsia="bg-BG"/>
        </w:rPr>
        <w:t xml:space="preserve"> (вж. точка 4.8). Рискът от ангиоедем (напр. оток на дихателните пътища или езика, с или без нарушение на дишането) може да бъде увеличен при пациенти, приемащи едновременно лекарства, които могат да предизвикат ангиоедем като </w:t>
      </w:r>
      <w:r w:rsidRPr="00B94AD2">
        <w:t xml:space="preserve">mTOR </w:t>
      </w:r>
      <w:r w:rsidRPr="00B94AD2">
        <w:rPr>
          <w:lang w:val="bg-BG" w:eastAsia="bg-BG"/>
        </w:rPr>
        <w:t xml:space="preserve">(таргетни на </w:t>
      </w:r>
      <w:proofErr w:type="spellStart"/>
      <w:r w:rsidRPr="00B94AD2">
        <w:rPr>
          <w:lang w:val="bg-BG" w:eastAsia="bg-BG"/>
        </w:rPr>
        <w:t>рапамицин</w:t>
      </w:r>
      <w:proofErr w:type="spellEnd"/>
      <w:r w:rsidRPr="00B94AD2">
        <w:rPr>
          <w:lang w:val="bg-BG" w:eastAsia="bg-BG"/>
        </w:rPr>
        <w:t xml:space="preserve">, при бозайници) инхибитори (напр. </w:t>
      </w:r>
      <w:proofErr w:type="spellStart"/>
      <w:r w:rsidRPr="00B94AD2">
        <w:rPr>
          <w:lang w:val="bg-BG" w:eastAsia="bg-BG"/>
        </w:rPr>
        <w:t>темсиролимус</w:t>
      </w:r>
      <w:proofErr w:type="spellEnd"/>
      <w:r w:rsidRPr="00B94AD2">
        <w:rPr>
          <w:lang w:val="bg-BG" w:eastAsia="bg-BG"/>
        </w:rPr>
        <w:t xml:space="preserve">, </w:t>
      </w:r>
      <w:proofErr w:type="spellStart"/>
      <w:r w:rsidRPr="00B94AD2">
        <w:rPr>
          <w:lang w:val="bg-BG" w:eastAsia="bg-BG"/>
        </w:rPr>
        <w:t>еверолимус</w:t>
      </w:r>
      <w:proofErr w:type="spellEnd"/>
      <w:r w:rsidRPr="00B94AD2">
        <w:rPr>
          <w:lang w:val="bg-BG" w:eastAsia="bg-BG"/>
        </w:rPr>
        <w:t xml:space="preserve">, </w:t>
      </w:r>
      <w:proofErr w:type="spellStart"/>
      <w:r w:rsidRPr="00B94AD2">
        <w:rPr>
          <w:lang w:val="bg-BG" w:eastAsia="bg-BG"/>
        </w:rPr>
        <w:t>сиролимус</w:t>
      </w:r>
      <w:proofErr w:type="spellEnd"/>
      <w:r w:rsidRPr="00B94AD2">
        <w:rPr>
          <w:lang w:val="bg-BG" w:eastAsia="bg-BG"/>
        </w:rPr>
        <w:t xml:space="preserve">); </w:t>
      </w:r>
      <w:proofErr w:type="spellStart"/>
      <w:r w:rsidRPr="00B94AD2">
        <w:rPr>
          <w:lang w:val="bg-BG" w:eastAsia="bg-BG"/>
        </w:rPr>
        <w:t>вилдаглиптин</w:t>
      </w:r>
      <w:proofErr w:type="spellEnd"/>
      <w:r w:rsidRPr="00B94AD2">
        <w:rPr>
          <w:lang w:val="bg-BG" w:eastAsia="bg-BG"/>
        </w:rPr>
        <w:t xml:space="preserve"> или </w:t>
      </w:r>
      <w:proofErr w:type="spellStart"/>
      <w:r w:rsidRPr="00B94AD2">
        <w:rPr>
          <w:lang w:val="bg-BG" w:eastAsia="bg-BG"/>
        </w:rPr>
        <w:t>неприлизин</w:t>
      </w:r>
      <w:proofErr w:type="spellEnd"/>
      <w:r w:rsidRPr="00B94AD2">
        <w:rPr>
          <w:lang w:val="bg-BG" w:eastAsia="bg-BG"/>
        </w:rPr>
        <w:t xml:space="preserve"> </w:t>
      </w:r>
      <w:r w:rsidRPr="00B94AD2">
        <w:t xml:space="preserve">(NEP) </w:t>
      </w:r>
      <w:r w:rsidRPr="00B94AD2">
        <w:rPr>
          <w:lang w:val="bg-BG" w:eastAsia="bg-BG"/>
        </w:rPr>
        <w:t xml:space="preserve">инхибитори (като </w:t>
      </w:r>
      <w:proofErr w:type="spellStart"/>
      <w:r w:rsidRPr="00B94AD2">
        <w:rPr>
          <w:lang w:val="bg-BG" w:eastAsia="bg-BG"/>
        </w:rPr>
        <w:t>рацекадотрил</w:t>
      </w:r>
      <w:proofErr w:type="spellEnd"/>
      <w:r w:rsidRPr="00B94AD2">
        <w:rPr>
          <w:lang w:val="bg-BG" w:eastAsia="bg-BG"/>
        </w:rPr>
        <w:t xml:space="preserve">). Комбинирането на </w:t>
      </w:r>
      <w:proofErr w:type="spellStart"/>
      <w:r w:rsidRPr="00B94AD2">
        <w:rPr>
          <w:lang w:val="bg-BG" w:eastAsia="bg-BG"/>
        </w:rPr>
        <w:t>рамиприл</w:t>
      </w:r>
      <w:proofErr w:type="spellEnd"/>
      <w:r w:rsidRPr="00B94AD2">
        <w:rPr>
          <w:lang w:val="bg-BG" w:eastAsia="bg-BG"/>
        </w:rPr>
        <w:t xml:space="preserve"> със </w:t>
      </w:r>
      <w:proofErr w:type="spellStart"/>
      <w:r w:rsidRPr="00B94AD2">
        <w:rPr>
          <w:lang w:val="bg-BG" w:eastAsia="bg-BG"/>
        </w:rPr>
        <w:t>сакубитрил</w:t>
      </w:r>
      <w:proofErr w:type="spellEnd"/>
      <w:r w:rsidRPr="00B94AD2">
        <w:rPr>
          <w:lang w:val="bg-BG" w:eastAsia="bg-BG"/>
        </w:rPr>
        <w:t>/</w:t>
      </w:r>
      <w:proofErr w:type="spellStart"/>
      <w:r w:rsidRPr="00B94AD2">
        <w:rPr>
          <w:lang w:val="bg-BG" w:eastAsia="bg-BG"/>
        </w:rPr>
        <w:t>валсартан</w:t>
      </w:r>
      <w:proofErr w:type="spellEnd"/>
      <w:r w:rsidRPr="00B94AD2">
        <w:rPr>
          <w:lang w:val="bg-BG" w:eastAsia="bg-BG"/>
        </w:rPr>
        <w:t xml:space="preserve"> е противопоказано поради нарастващ риск от ангиоедем (вж. точки 4.3 и 4.5).</w:t>
      </w:r>
    </w:p>
    <w:p w14:paraId="460D4735" w14:textId="77777777" w:rsidR="00B94AD2" w:rsidRDefault="00B94AD2" w:rsidP="00B94AD2">
      <w:pPr>
        <w:rPr>
          <w:lang w:val="bg-BG" w:eastAsia="bg-BG"/>
        </w:rPr>
      </w:pPr>
    </w:p>
    <w:p w14:paraId="4435E893" w14:textId="048038BC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>В случай на ангиоедем, приемът на ТРИТЕЙС трябва да се прекрати.</w:t>
      </w:r>
    </w:p>
    <w:p w14:paraId="63283022" w14:textId="77777777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>Трябва незабавно да се назначи спешна терапия. Пациентът трябва да бъде поставен под наблюдение поне за 12 до 24 часа и изписан след напълно отшумяване на симптомите.</w:t>
      </w:r>
    </w:p>
    <w:p w14:paraId="4FC5BAD0" w14:textId="77777777" w:rsidR="00B94AD2" w:rsidRDefault="00B94AD2" w:rsidP="00B94AD2">
      <w:pPr>
        <w:rPr>
          <w:lang w:val="bg-BG" w:eastAsia="bg-BG"/>
        </w:rPr>
      </w:pPr>
    </w:p>
    <w:p w14:paraId="17CB754D" w14:textId="06719DF7" w:rsidR="00B94AD2" w:rsidRPr="00B94AD2" w:rsidRDefault="00B94AD2" w:rsidP="00B94AD2">
      <w:pPr>
        <w:rPr>
          <w:sz w:val="24"/>
          <w:szCs w:val="24"/>
          <w:lang w:val="bg-BG"/>
        </w:rPr>
      </w:pPr>
      <w:proofErr w:type="spellStart"/>
      <w:r w:rsidRPr="00B94AD2">
        <w:rPr>
          <w:lang w:val="bg-BG" w:eastAsia="bg-BG"/>
        </w:rPr>
        <w:t>Интестинален</w:t>
      </w:r>
      <w:proofErr w:type="spellEnd"/>
      <w:r w:rsidRPr="00B94AD2">
        <w:rPr>
          <w:lang w:val="bg-BG" w:eastAsia="bg-BG"/>
        </w:rPr>
        <w:t xml:space="preserve"> ангиоедем е бил съобщаван при пациенти лекувани с АСЕ инхибитори, включително ТРИТЕЙС (вж. точка 4.8). При тези пациенти се наблюдава коремна болка (с или без гадене и повръщане).</w:t>
      </w:r>
    </w:p>
    <w:p w14:paraId="63BCCF5C" w14:textId="77777777" w:rsidR="00B94AD2" w:rsidRDefault="00B94AD2" w:rsidP="00B94AD2">
      <w:pPr>
        <w:rPr>
          <w:lang w:val="bg-BG" w:eastAsia="bg-BG"/>
        </w:rPr>
      </w:pPr>
    </w:p>
    <w:p w14:paraId="735FC27E" w14:textId="6F9C8C3C" w:rsidR="00B94AD2" w:rsidRPr="00B94AD2" w:rsidRDefault="00B94AD2" w:rsidP="00B94AD2">
      <w:pPr>
        <w:rPr>
          <w:sz w:val="24"/>
          <w:szCs w:val="24"/>
          <w:u w:val="single"/>
          <w:lang w:val="bg-BG"/>
        </w:rPr>
      </w:pPr>
      <w:proofErr w:type="spellStart"/>
      <w:r w:rsidRPr="00B94AD2">
        <w:rPr>
          <w:u w:val="single"/>
          <w:lang w:val="bg-BG" w:eastAsia="bg-BG"/>
        </w:rPr>
        <w:t>Анафилактични</w:t>
      </w:r>
      <w:proofErr w:type="spellEnd"/>
      <w:r w:rsidRPr="00B94AD2">
        <w:rPr>
          <w:u w:val="single"/>
          <w:lang w:val="bg-BG" w:eastAsia="bg-BG"/>
        </w:rPr>
        <w:t xml:space="preserve"> реакции по време на </w:t>
      </w:r>
      <w:proofErr w:type="spellStart"/>
      <w:r w:rsidRPr="00B94AD2">
        <w:rPr>
          <w:u w:val="single"/>
          <w:lang w:val="bg-BG" w:eastAsia="bg-BG"/>
        </w:rPr>
        <w:t>десенсибилизиране</w:t>
      </w:r>
      <w:proofErr w:type="spellEnd"/>
    </w:p>
    <w:p w14:paraId="3BB54C77" w14:textId="77777777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t xml:space="preserve">Вероятността от поява и тежестта на </w:t>
      </w:r>
      <w:proofErr w:type="spellStart"/>
      <w:r w:rsidRPr="00B94AD2">
        <w:rPr>
          <w:lang w:val="bg-BG" w:eastAsia="bg-BG"/>
        </w:rPr>
        <w:t>анафилактични</w:t>
      </w:r>
      <w:proofErr w:type="spellEnd"/>
      <w:r w:rsidRPr="00B94AD2">
        <w:rPr>
          <w:lang w:val="bg-BG" w:eastAsia="bg-BG"/>
        </w:rPr>
        <w:t xml:space="preserve"> и </w:t>
      </w:r>
      <w:proofErr w:type="spellStart"/>
      <w:r w:rsidRPr="00B94AD2">
        <w:rPr>
          <w:lang w:val="bg-BG" w:eastAsia="bg-BG"/>
        </w:rPr>
        <w:t>анафилактоидни</w:t>
      </w:r>
      <w:proofErr w:type="spellEnd"/>
      <w:r w:rsidRPr="00B94AD2">
        <w:rPr>
          <w:lang w:val="bg-BG" w:eastAsia="bg-BG"/>
        </w:rPr>
        <w:t xml:space="preserve"> реакции към отровата на насекоми и други алергени са повишени при АСЕ инхибиране. Трябва да се има предвид временно прекъсване на ТРИТЕЙС преди </w:t>
      </w:r>
      <w:proofErr w:type="spellStart"/>
      <w:r w:rsidRPr="00B94AD2">
        <w:rPr>
          <w:lang w:val="bg-BG" w:eastAsia="bg-BG"/>
        </w:rPr>
        <w:t>десенсибилизация</w:t>
      </w:r>
      <w:proofErr w:type="spellEnd"/>
      <w:r w:rsidRPr="00B94AD2">
        <w:rPr>
          <w:lang w:val="bg-BG" w:eastAsia="bg-BG"/>
        </w:rPr>
        <w:t>.</w:t>
      </w:r>
    </w:p>
    <w:p w14:paraId="0D01DA46" w14:textId="77777777" w:rsidR="00B94AD2" w:rsidRDefault="00B94AD2" w:rsidP="00B94AD2">
      <w:pPr>
        <w:rPr>
          <w:lang w:val="bg-BG" w:eastAsia="bg-BG"/>
        </w:rPr>
      </w:pPr>
    </w:p>
    <w:p w14:paraId="35435243" w14:textId="5D6BD61C" w:rsidR="00B94AD2" w:rsidRPr="00B94AD2" w:rsidRDefault="00B94AD2" w:rsidP="00B94AD2">
      <w:pPr>
        <w:rPr>
          <w:sz w:val="24"/>
          <w:szCs w:val="24"/>
          <w:u w:val="single"/>
          <w:lang w:val="bg-BG"/>
        </w:rPr>
      </w:pPr>
      <w:r w:rsidRPr="00B94AD2">
        <w:rPr>
          <w:u w:val="single"/>
          <w:lang w:val="bg-BG" w:eastAsia="bg-BG"/>
        </w:rPr>
        <w:t xml:space="preserve">Проследяване на електролитите: </w:t>
      </w:r>
      <w:proofErr w:type="spellStart"/>
      <w:r w:rsidRPr="00B94AD2">
        <w:rPr>
          <w:u w:val="single"/>
          <w:lang w:val="bg-BG" w:eastAsia="bg-BG"/>
        </w:rPr>
        <w:t>Хиперкалиемия</w:t>
      </w:r>
      <w:proofErr w:type="spellEnd"/>
    </w:p>
    <w:p w14:paraId="0CEC7D84" w14:textId="153640F8" w:rsidR="00B94AD2" w:rsidRPr="00B94AD2" w:rsidRDefault="00B94AD2" w:rsidP="00B94AD2">
      <w:pPr>
        <w:rPr>
          <w:sz w:val="24"/>
          <w:szCs w:val="24"/>
          <w:lang w:val="bg-BG"/>
        </w:rPr>
      </w:pPr>
      <w:r w:rsidRPr="00B94AD2">
        <w:rPr>
          <w:lang w:val="bg-BG" w:eastAsia="bg-BG"/>
        </w:rPr>
        <w:lastRenderedPageBreak/>
        <w:t xml:space="preserve">При някои пациенти, лекувани с АСЕ инхибитори, включително с ТРИТЕЙС, се наблюдава </w:t>
      </w:r>
      <w:proofErr w:type="spellStart"/>
      <w:r w:rsidRPr="00B94AD2">
        <w:rPr>
          <w:lang w:val="bg-BG" w:eastAsia="bg-BG"/>
        </w:rPr>
        <w:t>хиперкалиемия</w:t>
      </w:r>
      <w:proofErr w:type="spellEnd"/>
      <w:r w:rsidRPr="00B94AD2">
        <w:rPr>
          <w:lang w:val="bg-BG" w:eastAsia="bg-BG"/>
        </w:rPr>
        <w:t xml:space="preserve">. Риск от </w:t>
      </w:r>
      <w:proofErr w:type="spellStart"/>
      <w:r w:rsidRPr="00B94AD2">
        <w:rPr>
          <w:lang w:val="bg-BG" w:eastAsia="bg-BG"/>
        </w:rPr>
        <w:t>хиперкалиемия</w:t>
      </w:r>
      <w:proofErr w:type="spellEnd"/>
      <w:r w:rsidRPr="00B94AD2">
        <w:rPr>
          <w:lang w:val="bg-BG" w:eastAsia="bg-BG"/>
        </w:rPr>
        <w:t xml:space="preserve"> има при пациенти с бъбречна недостатъчност, на възраст &gt; 70 години, с неконтролиран захарен диабет или такива, приемащи калиеви соли, калий съхраняващи </w:t>
      </w:r>
      <w:proofErr w:type="spellStart"/>
      <w:r w:rsidRPr="00B94AD2">
        <w:rPr>
          <w:lang w:val="bg-BG" w:eastAsia="bg-BG"/>
        </w:rPr>
        <w:t>диуретици</w:t>
      </w:r>
      <w:proofErr w:type="spellEnd"/>
      <w:r w:rsidRPr="00B94AD2">
        <w:rPr>
          <w:lang w:val="bg-BG" w:eastAsia="bg-BG"/>
        </w:rPr>
        <w:t xml:space="preserve"> и други активни вещества, повишаващи плазмените нива на калия, или състояния като дехидратация, остра сърдечна декомпенсация, метаболитна </w:t>
      </w:r>
      <w:proofErr w:type="spellStart"/>
      <w:r w:rsidRPr="00B94AD2">
        <w:rPr>
          <w:lang w:val="bg-BG" w:eastAsia="bg-BG"/>
        </w:rPr>
        <w:t>ацидоза</w:t>
      </w:r>
      <w:proofErr w:type="spellEnd"/>
      <w:r w:rsidRPr="00B94AD2">
        <w:rPr>
          <w:lang w:val="bg-BG" w:eastAsia="bg-BG"/>
        </w:rPr>
        <w:t>. Ако едновременната употреба на посочените средства се счита за подходяща, препоръчва се редовно проследяване на серумния калий (вж. точка 4.5).</w:t>
      </w:r>
    </w:p>
    <w:p w14:paraId="1F4D2281" w14:textId="77777777" w:rsidR="00B94AD2" w:rsidRDefault="00B94AD2" w:rsidP="00B94AD2">
      <w:pPr>
        <w:rPr>
          <w:lang w:val="bg-BG" w:eastAsia="bg-BG"/>
        </w:rPr>
      </w:pPr>
    </w:p>
    <w:p w14:paraId="26F54C3F" w14:textId="384F5128" w:rsidR="00B94AD2" w:rsidRDefault="00B94AD2" w:rsidP="00B94AD2">
      <w:pPr>
        <w:rPr>
          <w:u w:val="single"/>
          <w:lang w:val="bg-BG" w:eastAsia="bg-BG"/>
        </w:rPr>
      </w:pPr>
      <w:r w:rsidRPr="00B94AD2">
        <w:rPr>
          <w:u w:val="single"/>
          <w:lang w:val="bg-BG" w:eastAsia="bg-BG"/>
        </w:rPr>
        <w:t xml:space="preserve">Проследяване на електролитите: </w:t>
      </w:r>
      <w:proofErr w:type="spellStart"/>
      <w:r w:rsidRPr="00B94AD2">
        <w:rPr>
          <w:u w:val="single"/>
          <w:lang w:val="bg-BG" w:eastAsia="bg-BG"/>
        </w:rPr>
        <w:t>Хипонатриемия</w:t>
      </w:r>
      <w:proofErr w:type="spellEnd"/>
    </w:p>
    <w:p w14:paraId="01C803D3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При някои пациенти, лекувани с </w:t>
      </w:r>
      <w:proofErr w:type="spellStart"/>
      <w:r w:rsidRPr="001E0E49">
        <w:rPr>
          <w:lang w:val="bg-BG" w:eastAsia="bg-BG"/>
        </w:rPr>
        <w:t>рамиприл</w:t>
      </w:r>
      <w:proofErr w:type="spellEnd"/>
      <w:r w:rsidRPr="001E0E49">
        <w:rPr>
          <w:lang w:val="bg-BG" w:eastAsia="bg-BG"/>
        </w:rPr>
        <w:t xml:space="preserve"> е наблюдаван Синдром на неадекватна секреция на антидиуретичен хормон </w:t>
      </w:r>
      <w:r w:rsidRPr="001E0E49">
        <w:t xml:space="preserve">(SIADH) </w:t>
      </w:r>
      <w:r w:rsidRPr="001E0E49">
        <w:rPr>
          <w:lang w:val="bg-BG" w:eastAsia="bg-BG"/>
        </w:rPr>
        <w:t xml:space="preserve">и последваща </w:t>
      </w:r>
      <w:proofErr w:type="spellStart"/>
      <w:r w:rsidRPr="001E0E49">
        <w:rPr>
          <w:lang w:val="bg-BG" w:eastAsia="bg-BG"/>
        </w:rPr>
        <w:t>хипонатриемия</w:t>
      </w:r>
      <w:proofErr w:type="spellEnd"/>
      <w:r w:rsidRPr="001E0E49">
        <w:rPr>
          <w:lang w:val="bg-BG" w:eastAsia="bg-BG"/>
        </w:rPr>
        <w:t xml:space="preserve">. При пациенти в старческа възраст и други пациенти с риск от </w:t>
      </w:r>
      <w:proofErr w:type="spellStart"/>
      <w:r w:rsidRPr="001E0E49">
        <w:rPr>
          <w:lang w:val="bg-BG" w:eastAsia="bg-BG"/>
        </w:rPr>
        <w:t>хипонатриемия</w:t>
      </w:r>
      <w:proofErr w:type="spellEnd"/>
      <w:r w:rsidRPr="001E0E49">
        <w:rPr>
          <w:lang w:val="bg-BG" w:eastAsia="bg-BG"/>
        </w:rPr>
        <w:t>, се препоръчва редовно проследяване на серумните нива на натрия.</w:t>
      </w:r>
    </w:p>
    <w:p w14:paraId="14CE2705" w14:textId="77777777" w:rsidR="001E0E49" w:rsidRDefault="001E0E49" w:rsidP="001E0E49">
      <w:pPr>
        <w:rPr>
          <w:u w:val="single"/>
          <w:lang w:val="bg-BG" w:eastAsia="bg-BG"/>
        </w:rPr>
      </w:pPr>
    </w:p>
    <w:p w14:paraId="7147781C" w14:textId="365277E4" w:rsidR="001E0E49" w:rsidRPr="001E0E49" w:rsidRDefault="001E0E49" w:rsidP="001E0E49">
      <w:pPr>
        <w:rPr>
          <w:sz w:val="24"/>
          <w:szCs w:val="24"/>
          <w:lang w:val="bg-BG"/>
        </w:rPr>
      </w:pPr>
      <w:proofErr w:type="spellStart"/>
      <w:r w:rsidRPr="001E0E49">
        <w:rPr>
          <w:u w:val="single"/>
          <w:lang w:val="bg-BG" w:eastAsia="bg-BG"/>
        </w:rPr>
        <w:t>Неутропения</w:t>
      </w:r>
      <w:proofErr w:type="spellEnd"/>
      <w:r w:rsidRPr="001E0E49">
        <w:rPr>
          <w:u w:val="single"/>
          <w:lang w:val="bg-BG" w:eastAsia="bg-BG"/>
        </w:rPr>
        <w:t>/</w:t>
      </w:r>
      <w:proofErr w:type="spellStart"/>
      <w:r w:rsidRPr="001E0E49">
        <w:rPr>
          <w:u w:val="single"/>
          <w:lang w:val="bg-BG" w:eastAsia="bg-BG"/>
        </w:rPr>
        <w:t>агранулоцитоза</w:t>
      </w:r>
      <w:proofErr w:type="spellEnd"/>
    </w:p>
    <w:p w14:paraId="5DD7CECC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Рядко са наблюдавани </w:t>
      </w:r>
      <w:proofErr w:type="spellStart"/>
      <w:r w:rsidRPr="001E0E49">
        <w:rPr>
          <w:lang w:val="bg-BG" w:eastAsia="bg-BG"/>
        </w:rPr>
        <w:t>неутропения</w:t>
      </w:r>
      <w:proofErr w:type="spellEnd"/>
      <w:r w:rsidRPr="001E0E49">
        <w:rPr>
          <w:lang w:val="bg-BG" w:eastAsia="bg-BG"/>
        </w:rPr>
        <w:t>/</w:t>
      </w:r>
      <w:proofErr w:type="spellStart"/>
      <w:r w:rsidRPr="001E0E49">
        <w:rPr>
          <w:lang w:val="bg-BG" w:eastAsia="bg-BG"/>
        </w:rPr>
        <w:t>агранулоцитоза</w:t>
      </w:r>
      <w:proofErr w:type="spellEnd"/>
      <w:r w:rsidRPr="001E0E49">
        <w:rPr>
          <w:lang w:val="bg-BG" w:eastAsia="bg-BG"/>
        </w:rPr>
        <w:t xml:space="preserve">, съобщавана е също и костно-мозъчна </w:t>
      </w:r>
      <w:proofErr w:type="spellStart"/>
      <w:r w:rsidRPr="001E0E49">
        <w:rPr>
          <w:lang w:val="bg-BG" w:eastAsia="bg-BG"/>
        </w:rPr>
        <w:t>супресия</w:t>
      </w:r>
      <w:proofErr w:type="spellEnd"/>
      <w:r w:rsidRPr="001E0E49">
        <w:rPr>
          <w:lang w:val="bg-BG" w:eastAsia="bg-BG"/>
        </w:rPr>
        <w:t xml:space="preserve">, както и </w:t>
      </w:r>
      <w:proofErr w:type="spellStart"/>
      <w:r w:rsidRPr="001E0E49">
        <w:rPr>
          <w:lang w:val="bg-BG" w:eastAsia="bg-BG"/>
        </w:rPr>
        <w:t>тромбоцитопения</w:t>
      </w:r>
      <w:proofErr w:type="spellEnd"/>
      <w:r w:rsidRPr="001E0E49">
        <w:rPr>
          <w:lang w:val="bg-BG" w:eastAsia="bg-BG"/>
        </w:rPr>
        <w:t xml:space="preserve"> и анемия. Препоръчва се проследяване на броя бели кръвни клетки, за да се установи евентуална </w:t>
      </w:r>
      <w:proofErr w:type="spellStart"/>
      <w:r w:rsidRPr="001E0E49">
        <w:rPr>
          <w:lang w:val="bg-BG" w:eastAsia="bg-BG"/>
        </w:rPr>
        <w:t>левкопения</w:t>
      </w:r>
      <w:proofErr w:type="spellEnd"/>
      <w:r w:rsidRPr="001E0E49">
        <w:rPr>
          <w:lang w:val="bg-BG" w:eastAsia="bg-BG"/>
        </w:rPr>
        <w:t xml:space="preserve">. По-често проследяване се препоръчва в началото на лечението и при пациенти с нарушена бъбречна функция, със съпътстваща </w:t>
      </w:r>
      <w:proofErr w:type="spellStart"/>
      <w:r w:rsidRPr="001E0E49">
        <w:rPr>
          <w:lang w:val="bg-BG" w:eastAsia="bg-BG"/>
        </w:rPr>
        <w:t>колагеноза</w:t>
      </w:r>
      <w:proofErr w:type="spellEnd"/>
      <w:r w:rsidRPr="001E0E49">
        <w:rPr>
          <w:lang w:val="bg-BG" w:eastAsia="bg-BG"/>
        </w:rPr>
        <w:t xml:space="preserve"> (напр. </w:t>
      </w:r>
      <w:proofErr w:type="spellStart"/>
      <w:r w:rsidRPr="001E0E49">
        <w:rPr>
          <w:lang w:val="bg-BG" w:eastAsia="bg-BG"/>
        </w:rPr>
        <w:t>лупус</w:t>
      </w:r>
      <w:proofErr w:type="spellEnd"/>
      <w:r w:rsidRPr="001E0E49">
        <w:rPr>
          <w:lang w:val="bg-BG" w:eastAsia="bg-BG"/>
        </w:rPr>
        <w:t xml:space="preserve"> еритематодес или </w:t>
      </w:r>
      <w:proofErr w:type="spellStart"/>
      <w:r w:rsidRPr="001E0E49">
        <w:rPr>
          <w:lang w:val="bg-BG" w:eastAsia="bg-BG"/>
        </w:rPr>
        <w:t>склеродермия</w:t>
      </w:r>
      <w:proofErr w:type="spellEnd"/>
      <w:r w:rsidRPr="001E0E49">
        <w:rPr>
          <w:lang w:val="bg-BG" w:eastAsia="bg-BG"/>
        </w:rPr>
        <w:t>), и при лекувани с други лекарствени продукти, които могат да причинят промени в кръвната картина (вж. точка 4.5 и 4.8).</w:t>
      </w:r>
    </w:p>
    <w:p w14:paraId="72384518" w14:textId="77777777" w:rsidR="001E0E49" w:rsidRDefault="001E0E49" w:rsidP="001E0E49">
      <w:pPr>
        <w:rPr>
          <w:u w:val="single"/>
          <w:lang w:val="bg-BG" w:eastAsia="bg-BG"/>
        </w:rPr>
      </w:pPr>
    </w:p>
    <w:p w14:paraId="3B2545FF" w14:textId="470A53A9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u w:val="single"/>
          <w:lang w:val="bg-BG" w:eastAsia="bg-BG"/>
        </w:rPr>
        <w:t>Етнически различия</w:t>
      </w:r>
    </w:p>
    <w:p w14:paraId="1FFB11F8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АСЕ инхибиторите причиняват ангиоедем с по-висока честота при чернокожи пациенти, отколкото при останалите.</w:t>
      </w:r>
    </w:p>
    <w:p w14:paraId="7DED11C2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Както и другите АСЕ инхибитори, </w:t>
      </w:r>
      <w:proofErr w:type="spellStart"/>
      <w:r w:rsidRPr="001E0E49">
        <w:rPr>
          <w:lang w:val="bg-BG" w:eastAsia="bg-BG"/>
        </w:rPr>
        <w:t>рамиприл</w:t>
      </w:r>
      <w:proofErr w:type="spellEnd"/>
      <w:r w:rsidRPr="001E0E49">
        <w:rPr>
          <w:lang w:val="bg-BG" w:eastAsia="bg-BG"/>
        </w:rPr>
        <w:t xml:space="preserve"> може да бъде по-малко ефективен при понижаване на кръвното налягане при чернокожи пациенти, отколкото при останалите, поради по-честото наличие на хипертония с ниски </w:t>
      </w:r>
      <w:proofErr w:type="spellStart"/>
      <w:r w:rsidRPr="001E0E49">
        <w:rPr>
          <w:lang w:val="bg-BG" w:eastAsia="bg-BG"/>
        </w:rPr>
        <w:t>ренинови</w:t>
      </w:r>
      <w:proofErr w:type="spellEnd"/>
      <w:r w:rsidRPr="001E0E49">
        <w:rPr>
          <w:lang w:val="bg-BG" w:eastAsia="bg-BG"/>
        </w:rPr>
        <w:t xml:space="preserve"> нива при чернокожата популация.</w:t>
      </w:r>
    </w:p>
    <w:p w14:paraId="1B736E12" w14:textId="77777777" w:rsidR="001E0E49" w:rsidRDefault="001E0E49" w:rsidP="001E0E49">
      <w:pPr>
        <w:rPr>
          <w:u w:val="single"/>
          <w:lang w:val="bg-BG" w:eastAsia="bg-BG"/>
        </w:rPr>
      </w:pPr>
    </w:p>
    <w:p w14:paraId="0ACF484D" w14:textId="73BFAD9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u w:val="single"/>
          <w:lang w:val="bg-BG" w:eastAsia="bg-BG"/>
        </w:rPr>
        <w:t>Кашлица</w:t>
      </w:r>
    </w:p>
    <w:p w14:paraId="4D155929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При употребата на АСЕ инхибитори е съобщавана кашлица. Характерно е, че тя е непродуктивна, продължителна и отзвучава след прекратяване на терапията. Индуцираната от АСЕ инхибитор кашлица, трябва да се разглежда като част от диференциалната диагноза на кашлица.</w:t>
      </w:r>
    </w:p>
    <w:p w14:paraId="55E92C0B" w14:textId="77777777" w:rsidR="001E0E49" w:rsidRPr="00B94AD2" w:rsidRDefault="001E0E49" w:rsidP="00B94AD2">
      <w:pPr>
        <w:rPr>
          <w:sz w:val="24"/>
          <w:szCs w:val="24"/>
          <w:u w:val="single"/>
          <w:lang w:val="bg-BG"/>
        </w:rPr>
      </w:pPr>
    </w:p>
    <w:p w14:paraId="1CF5F0DC" w14:textId="77777777" w:rsidR="00CB5226" w:rsidRPr="00CB5226" w:rsidRDefault="00CB5226" w:rsidP="00CB5226"/>
    <w:p w14:paraId="78BEBB3D" w14:textId="43BB9F57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2AF21095" w14:textId="77777777" w:rsidR="001E0E49" w:rsidRDefault="001E0E49" w:rsidP="001E0E49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4320902D" w14:textId="6591F1B1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Данни от клинични проучвания показват, че двойното блокиране на ренин </w:t>
      </w:r>
      <w:proofErr w:type="spellStart"/>
      <w:r w:rsidRPr="001E0E49">
        <w:rPr>
          <w:lang w:val="bg-BG" w:eastAsia="bg-BG"/>
        </w:rPr>
        <w:t>ангиотензин</w:t>
      </w:r>
      <w:proofErr w:type="spellEnd"/>
      <w:r w:rsidRPr="001E0E49">
        <w:rPr>
          <w:lang w:val="bg-BG" w:eastAsia="bg-BG"/>
        </w:rPr>
        <w:t xml:space="preserve"> </w:t>
      </w:r>
      <w:proofErr w:type="spellStart"/>
      <w:r w:rsidRPr="001E0E49">
        <w:rPr>
          <w:lang w:val="bg-BG" w:eastAsia="bg-BG"/>
        </w:rPr>
        <w:t>алдостероновата</w:t>
      </w:r>
      <w:proofErr w:type="spellEnd"/>
      <w:r w:rsidRPr="001E0E49">
        <w:rPr>
          <w:lang w:val="bg-BG" w:eastAsia="bg-BG"/>
        </w:rPr>
        <w:t xml:space="preserve"> система (РААС) чрез комбинираната употреба на АСЕ инхибитори, </w:t>
      </w:r>
      <w:proofErr w:type="spellStart"/>
      <w:r w:rsidRPr="001E0E49">
        <w:rPr>
          <w:lang w:val="bg-BG" w:eastAsia="bg-BG"/>
        </w:rPr>
        <w:t>ангиотензин</w:t>
      </w:r>
      <w:proofErr w:type="spellEnd"/>
      <w:r w:rsidRPr="001E0E49">
        <w:rPr>
          <w:lang w:val="bg-BG" w:eastAsia="bg-BG"/>
        </w:rPr>
        <w:t xml:space="preserve"> П-рецепторни </w:t>
      </w:r>
      <w:proofErr w:type="spellStart"/>
      <w:r w:rsidRPr="001E0E49">
        <w:rPr>
          <w:lang w:val="bg-BG" w:eastAsia="bg-BG"/>
        </w:rPr>
        <w:t>блокери</w:t>
      </w:r>
      <w:proofErr w:type="spellEnd"/>
      <w:r w:rsidRPr="001E0E49">
        <w:rPr>
          <w:lang w:val="bg-BG" w:eastAsia="bg-BG"/>
        </w:rPr>
        <w:t xml:space="preserve"> или </w:t>
      </w:r>
      <w:proofErr w:type="spellStart"/>
      <w:r w:rsidRPr="001E0E49">
        <w:rPr>
          <w:lang w:val="bg-BG" w:eastAsia="bg-BG"/>
        </w:rPr>
        <w:t>алискирен</w:t>
      </w:r>
      <w:proofErr w:type="spellEnd"/>
      <w:r w:rsidRPr="001E0E49">
        <w:rPr>
          <w:lang w:val="bg-BG" w:eastAsia="bg-BG"/>
        </w:rPr>
        <w:t xml:space="preserve"> се свързва с по-висока честота на нежелани събития, като например хипотония, </w:t>
      </w:r>
      <w:proofErr w:type="spellStart"/>
      <w:r w:rsidRPr="001E0E49">
        <w:rPr>
          <w:lang w:val="bg-BG" w:eastAsia="bg-BG"/>
        </w:rPr>
        <w:t>хиперкалиемия</w:t>
      </w:r>
      <w:proofErr w:type="spellEnd"/>
      <w:r w:rsidRPr="001E0E49">
        <w:rPr>
          <w:lang w:val="bg-BG" w:eastAsia="bg-BG"/>
        </w:rPr>
        <w:t xml:space="preserve"> и намаляване на </w:t>
      </w:r>
      <w:r w:rsidRPr="001E0E49">
        <w:rPr>
          <w:lang w:val="bg-BG" w:eastAsia="bg-BG"/>
        </w:rPr>
        <w:lastRenderedPageBreak/>
        <w:t>бъбречната функция (включително остра бъбречна недостатъчност), в сравнение с употребата само на едно средство, действащо върху РААС (вж. точки 4.3, 4.4 и 5.1).</w:t>
      </w:r>
    </w:p>
    <w:p w14:paraId="0BD0F86D" w14:textId="77777777" w:rsidR="001E0E49" w:rsidRDefault="001E0E49" w:rsidP="001E0E49">
      <w:pPr>
        <w:rPr>
          <w:u w:val="single"/>
          <w:lang w:val="bg-BG" w:eastAsia="bg-BG"/>
        </w:rPr>
      </w:pPr>
    </w:p>
    <w:p w14:paraId="5347F599" w14:textId="2372F295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u w:val="single"/>
          <w:lang w:val="bg-BG" w:eastAsia="bg-BG"/>
        </w:rPr>
        <w:t>Противопоказани комбинации</w:t>
      </w:r>
    </w:p>
    <w:p w14:paraId="5BEE529F" w14:textId="77777777" w:rsidR="001E0E49" w:rsidRDefault="001E0E49" w:rsidP="001E0E49">
      <w:pPr>
        <w:rPr>
          <w:lang w:val="bg-BG" w:eastAsia="bg-BG"/>
        </w:rPr>
      </w:pPr>
    </w:p>
    <w:p w14:paraId="0AA5D3F7" w14:textId="6AD72D36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Съпътстващата употреба на АСЕ инхибитори със </w:t>
      </w:r>
      <w:proofErr w:type="spellStart"/>
      <w:r w:rsidRPr="001E0E49">
        <w:rPr>
          <w:lang w:val="bg-BG" w:eastAsia="bg-BG"/>
        </w:rPr>
        <w:t>сакубитрил</w:t>
      </w:r>
      <w:proofErr w:type="spellEnd"/>
      <w:r w:rsidRPr="001E0E49">
        <w:rPr>
          <w:lang w:val="bg-BG" w:eastAsia="bg-BG"/>
        </w:rPr>
        <w:t>/</w:t>
      </w:r>
      <w:proofErr w:type="spellStart"/>
      <w:r w:rsidRPr="001E0E49">
        <w:rPr>
          <w:lang w:val="bg-BG" w:eastAsia="bg-BG"/>
        </w:rPr>
        <w:t>валсартан</w:t>
      </w:r>
      <w:proofErr w:type="spellEnd"/>
      <w:r w:rsidRPr="001E0E49">
        <w:rPr>
          <w:lang w:val="bg-BG" w:eastAsia="bg-BG"/>
        </w:rPr>
        <w:t xml:space="preserve"> е противопоказана, тъй като това повишава риска от ангиоедем. (вж. точка 4.3 и 4.4). Лечението с </w:t>
      </w:r>
      <w:proofErr w:type="spellStart"/>
      <w:r w:rsidRPr="001E0E49">
        <w:rPr>
          <w:lang w:val="bg-BG" w:eastAsia="bg-BG"/>
        </w:rPr>
        <w:t>рамиприл</w:t>
      </w:r>
      <w:proofErr w:type="spellEnd"/>
      <w:r w:rsidRPr="001E0E49">
        <w:rPr>
          <w:lang w:val="bg-BG" w:eastAsia="bg-BG"/>
        </w:rPr>
        <w:t xml:space="preserve"> не трябва да бъде започвано преди да са изминали 36 часа от приемането на последната доза от </w:t>
      </w:r>
      <w:proofErr w:type="spellStart"/>
      <w:r w:rsidRPr="001E0E49">
        <w:rPr>
          <w:lang w:val="bg-BG" w:eastAsia="bg-BG"/>
        </w:rPr>
        <w:t>сакубитрил</w:t>
      </w:r>
      <w:proofErr w:type="spellEnd"/>
      <w:r w:rsidRPr="001E0E49">
        <w:rPr>
          <w:lang w:val="bg-BG" w:eastAsia="bg-BG"/>
        </w:rPr>
        <w:t>/</w:t>
      </w:r>
      <w:proofErr w:type="spellStart"/>
      <w:r w:rsidRPr="001E0E49">
        <w:rPr>
          <w:lang w:val="bg-BG" w:eastAsia="bg-BG"/>
        </w:rPr>
        <w:t>валсартан</w:t>
      </w:r>
      <w:proofErr w:type="spellEnd"/>
      <w:r w:rsidRPr="001E0E49">
        <w:rPr>
          <w:lang w:val="bg-BG" w:eastAsia="bg-BG"/>
        </w:rPr>
        <w:t xml:space="preserve">. </w:t>
      </w:r>
      <w:proofErr w:type="spellStart"/>
      <w:r w:rsidRPr="001E0E49">
        <w:rPr>
          <w:lang w:val="bg-BG" w:eastAsia="bg-BG"/>
        </w:rPr>
        <w:t>Сакубитрил</w:t>
      </w:r>
      <w:proofErr w:type="spellEnd"/>
      <w:r w:rsidRPr="001E0E49">
        <w:rPr>
          <w:lang w:val="bg-BG" w:eastAsia="bg-BG"/>
        </w:rPr>
        <w:t xml:space="preserve"> </w:t>
      </w:r>
      <w:r w:rsidRPr="001E0E49">
        <w:rPr>
          <w:u w:val="single"/>
          <w:lang w:val="bg-BG" w:eastAsia="bg-BG"/>
        </w:rPr>
        <w:t>/</w:t>
      </w:r>
      <w:proofErr w:type="spellStart"/>
      <w:r w:rsidRPr="001E0E49">
        <w:rPr>
          <w:u w:val="single"/>
          <w:lang w:val="bg-BG" w:eastAsia="bg-BG"/>
        </w:rPr>
        <w:t>валсартан</w:t>
      </w:r>
      <w:proofErr w:type="spellEnd"/>
      <w:r w:rsidRPr="001E0E49">
        <w:rPr>
          <w:u w:val="single"/>
          <w:lang w:val="bg-BG" w:eastAsia="bg-BG"/>
        </w:rPr>
        <w:t xml:space="preserve"> не трябва да бъде започван преди да изминали 36 часа от приема на последната доза </w:t>
      </w:r>
      <w:proofErr w:type="spellStart"/>
      <w:r w:rsidRPr="001E0E49">
        <w:rPr>
          <w:u w:val="single"/>
          <w:lang w:val="bg-BG" w:eastAsia="bg-BG"/>
        </w:rPr>
        <w:t>Тритейс</w:t>
      </w:r>
      <w:proofErr w:type="spellEnd"/>
      <w:r w:rsidRPr="001E0E49">
        <w:rPr>
          <w:u w:val="single"/>
          <w:lang w:val="bg-BG" w:eastAsia="bg-BG"/>
        </w:rPr>
        <w:t>.</w:t>
      </w:r>
    </w:p>
    <w:p w14:paraId="616FDE70" w14:textId="77777777" w:rsidR="001E0E49" w:rsidRDefault="001E0E49" w:rsidP="001E0E49">
      <w:pPr>
        <w:rPr>
          <w:lang w:val="bg-BG" w:eastAsia="bg-BG"/>
        </w:rPr>
      </w:pPr>
    </w:p>
    <w:p w14:paraId="16C154FE" w14:textId="0DED3DFD" w:rsidR="001E0E49" w:rsidRPr="001E0E49" w:rsidRDefault="001E0E49" w:rsidP="001E0E49">
      <w:pPr>
        <w:rPr>
          <w:sz w:val="24"/>
          <w:szCs w:val="24"/>
          <w:lang w:val="bg-BG"/>
        </w:rPr>
      </w:pPr>
      <w:proofErr w:type="spellStart"/>
      <w:r w:rsidRPr="001E0E49">
        <w:rPr>
          <w:lang w:val="bg-BG" w:eastAsia="bg-BG"/>
        </w:rPr>
        <w:t>Екстракорпорално</w:t>
      </w:r>
      <w:proofErr w:type="spellEnd"/>
      <w:r w:rsidRPr="001E0E49">
        <w:rPr>
          <w:lang w:val="bg-BG" w:eastAsia="bg-BG"/>
        </w:rPr>
        <w:t xml:space="preserve"> лечение, водещо до контакт на кръвта с отрицателно заредени повърхности като например диализа или хемофилтрация с определени високопропускливи мембрани (напр. </w:t>
      </w:r>
      <w:proofErr w:type="spellStart"/>
      <w:r w:rsidRPr="001E0E49">
        <w:rPr>
          <w:lang w:val="bg-BG" w:eastAsia="bg-BG"/>
        </w:rPr>
        <w:t>полиакрилонитрилни</w:t>
      </w:r>
      <w:proofErr w:type="spellEnd"/>
      <w:r w:rsidRPr="001E0E49">
        <w:rPr>
          <w:lang w:val="bg-BG" w:eastAsia="bg-BG"/>
        </w:rPr>
        <w:t xml:space="preserve"> мембрани) и </w:t>
      </w:r>
      <w:proofErr w:type="spellStart"/>
      <w:r w:rsidRPr="001E0E49">
        <w:rPr>
          <w:lang w:val="bg-BG" w:eastAsia="bg-BG"/>
        </w:rPr>
        <w:t>афереза</w:t>
      </w:r>
      <w:proofErr w:type="spellEnd"/>
      <w:r w:rsidRPr="001E0E49">
        <w:rPr>
          <w:lang w:val="bg-BG" w:eastAsia="bg-BG"/>
        </w:rPr>
        <w:t xml:space="preserve"> на </w:t>
      </w:r>
      <w:proofErr w:type="spellStart"/>
      <w:r w:rsidRPr="001E0E49">
        <w:rPr>
          <w:lang w:val="bg-BG" w:eastAsia="bg-BG"/>
        </w:rPr>
        <w:t>липопротеини</w:t>
      </w:r>
      <w:proofErr w:type="spellEnd"/>
      <w:r w:rsidRPr="001E0E49">
        <w:rPr>
          <w:lang w:val="bg-BG" w:eastAsia="bg-BG"/>
        </w:rPr>
        <w:t xml:space="preserve"> с ниска плътност с </w:t>
      </w:r>
      <w:proofErr w:type="spellStart"/>
      <w:r w:rsidRPr="001E0E49">
        <w:rPr>
          <w:lang w:val="bg-BG" w:eastAsia="bg-BG"/>
        </w:rPr>
        <w:t>декстран</w:t>
      </w:r>
      <w:proofErr w:type="spellEnd"/>
      <w:r w:rsidRPr="001E0E49">
        <w:rPr>
          <w:lang w:val="bg-BG" w:eastAsia="bg-BG"/>
        </w:rPr>
        <w:t xml:space="preserve"> сулфат, поради повишен риск от тежка </w:t>
      </w:r>
      <w:proofErr w:type="spellStart"/>
      <w:r w:rsidRPr="001E0E49">
        <w:rPr>
          <w:lang w:val="bg-BG" w:eastAsia="bg-BG"/>
        </w:rPr>
        <w:t>анафилактоидна</w:t>
      </w:r>
      <w:proofErr w:type="spellEnd"/>
      <w:r w:rsidRPr="001E0E49">
        <w:rPr>
          <w:lang w:val="bg-BG" w:eastAsia="bg-BG"/>
        </w:rPr>
        <w:t xml:space="preserve"> реакция (вж. точка 4.3). Ако се изисква подобно лечение, необходимо е да се обмисли използване на различен тип </w:t>
      </w:r>
      <w:proofErr w:type="spellStart"/>
      <w:r w:rsidRPr="001E0E49">
        <w:rPr>
          <w:lang w:val="bg-BG" w:eastAsia="bg-BG"/>
        </w:rPr>
        <w:t>диализна</w:t>
      </w:r>
      <w:proofErr w:type="spellEnd"/>
      <w:r w:rsidRPr="001E0E49">
        <w:rPr>
          <w:lang w:val="bg-BG" w:eastAsia="bg-BG"/>
        </w:rPr>
        <w:t xml:space="preserve"> мембрана или различен клас </w:t>
      </w:r>
      <w:proofErr w:type="spellStart"/>
      <w:r w:rsidRPr="001E0E49">
        <w:rPr>
          <w:lang w:val="bg-BG" w:eastAsia="bg-BG"/>
        </w:rPr>
        <w:t>антихипертензивено</w:t>
      </w:r>
      <w:proofErr w:type="spellEnd"/>
      <w:r w:rsidRPr="001E0E49">
        <w:rPr>
          <w:lang w:val="bg-BG" w:eastAsia="bg-BG"/>
        </w:rPr>
        <w:t xml:space="preserve"> средство.</w:t>
      </w:r>
    </w:p>
    <w:p w14:paraId="3B2B79D2" w14:textId="77777777" w:rsidR="001E0E49" w:rsidRDefault="001E0E49" w:rsidP="001E0E49">
      <w:pPr>
        <w:rPr>
          <w:u w:val="single"/>
          <w:lang w:val="bg-BG" w:eastAsia="bg-BG"/>
        </w:rPr>
      </w:pPr>
    </w:p>
    <w:p w14:paraId="11E658D6" w14:textId="60E48E14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u w:val="single"/>
          <w:lang w:val="bg-BG" w:eastAsia="bg-BG"/>
        </w:rPr>
        <w:t>Предпазни мерки при употреба</w:t>
      </w:r>
    </w:p>
    <w:p w14:paraId="0FDCB31C" w14:textId="1BB54C20" w:rsidR="001E0E49" w:rsidRDefault="001E0E49" w:rsidP="001E0E49">
      <w:pPr>
        <w:rPr>
          <w:lang w:val="bg-BG" w:eastAsia="bg-BG"/>
        </w:rPr>
      </w:pPr>
      <w:r w:rsidRPr="001E0E49">
        <w:rPr>
          <w:i/>
          <w:iCs/>
          <w:lang w:val="bg-BG" w:eastAsia="bg-BG"/>
        </w:rPr>
        <w:t xml:space="preserve">Калиеви соли, </w:t>
      </w:r>
      <w:proofErr w:type="spellStart"/>
      <w:r w:rsidRPr="001E0E49">
        <w:rPr>
          <w:i/>
          <w:iCs/>
          <w:lang w:val="bg-BG" w:eastAsia="bg-BG"/>
        </w:rPr>
        <w:t>хепарин</w:t>
      </w:r>
      <w:proofErr w:type="spellEnd"/>
      <w:r w:rsidRPr="001E0E49">
        <w:rPr>
          <w:i/>
          <w:iCs/>
          <w:lang w:val="bg-BG" w:eastAsia="bg-BG"/>
        </w:rPr>
        <w:t xml:space="preserve">, калий-съхраняващи </w:t>
      </w:r>
      <w:proofErr w:type="spellStart"/>
      <w:r w:rsidRPr="001E0E49">
        <w:rPr>
          <w:i/>
          <w:iCs/>
          <w:lang w:val="bg-BG" w:eastAsia="bg-BG"/>
        </w:rPr>
        <w:t>диуретици</w:t>
      </w:r>
      <w:proofErr w:type="spellEnd"/>
      <w:r w:rsidRPr="001E0E49">
        <w:rPr>
          <w:i/>
          <w:iCs/>
          <w:lang w:val="bg-BG" w:eastAsia="bg-BG"/>
        </w:rPr>
        <w:t xml:space="preserve"> и други активни вещества повишаващи плазмените нива на калия (включително </w:t>
      </w:r>
      <w:proofErr w:type="spellStart"/>
      <w:r w:rsidRPr="001E0E49">
        <w:rPr>
          <w:i/>
          <w:iCs/>
          <w:lang w:val="bg-BG" w:eastAsia="bg-BG"/>
        </w:rPr>
        <w:t>ангиотензин</w:t>
      </w:r>
      <w:proofErr w:type="spellEnd"/>
      <w:r w:rsidRPr="001E0E49">
        <w:rPr>
          <w:i/>
          <w:iCs/>
          <w:lang w:val="bg-BG" w:eastAsia="bg-BG"/>
        </w:rPr>
        <w:t xml:space="preserve"> II антагонисти, </w:t>
      </w:r>
      <w:proofErr w:type="spellStart"/>
      <w:r w:rsidRPr="001E0E49">
        <w:rPr>
          <w:i/>
          <w:iCs/>
          <w:lang w:val="bg-BG" w:eastAsia="bg-BG"/>
        </w:rPr>
        <w:t>триметоприм</w:t>
      </w:r>
      <w:proofErr w:type="spellEnd"/>
      <w:r w:rsidRPr="001E0E49">
        <w:rPr>
          <w:i/>
          <w:iCs/>
          <w:lang w:val="bg-BG" w:eastAsia="bg-BG"/>
        </w:rPr>
        <w:t xml:space="preserve"> в</w:t>
      </w:r>
      <w:r w:rsidRPr="001E0E49">
        <w:rPr>
          <w:lang w:val="bg-BG" w:eastAsia="bg-BG"/>
        </w:rPr>
        <w:t xml:space="preserve"> </w:t>
      </w:r>
      <w:r w:rsidRPr="001E0E49">
        <w:rPr>
          <w:i/>
          <w:iCs/>
          <w:lang w:val="bg-BG" w:eastAsia="bg-BG"/>
        </w:rPr>
        <w:t xml:space="preserve">комбинация с фиксирана доза </w:t>
      </w:r>
      <w:proofErr w:type="spellStart"/>
      <w:r w:rsidRPr="001E0E49">
        <w:rPr>
          <w:i/>
          <w:iCs/>
          <w:lang w:val="bg-BG" w:eastAsia="bg-BG"/>
        </w:rPr>
        <w:t>сулфаметоксазол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такролимус</w:t>
      </w:r>
      <w:proofErr w:type="spellEnd"/>
      <w:r w:rsidRPr="001E0E49">
        <w:rPr>
          <w:i/>
          <w:iCs/>
          <w:lang w:val="bg-BG" w:eastAsia="bg-BG"/>
        </w:rPr>
        <w:t>, циклоспорин):</w:t>
      </w:r>
      <w:r w:rsidRPr="001E0E49">
        <w:rPr>
          <w:lang w:val="bg-BG" w:eastAsia="bg-BG"/>
        </w:rPr>
        <w:t xml:space="preserve"> възможно е да се</w:t>
      </w:r>
      <w:r w:rsidRPr="001E0E49">
        <w:rPr>
          <w:i/>
          <w:iCs/>
          <w:lang w:val="bg-BG" w:eastAsia="bg-BG"/>
        </w:rPr>
        <w:t xml:space="preserve"> </w:t>
      </w:r>
      <w:r w:rsidRPr="001E0E49">
        <w:rPr>
          <w:lang w:val="bg-BG" w:eastAsia="bg-BG"/>
        </w:rPr>
        <w:t xml:space="preserve">прояви </w:t>
      </w:r>
      <w:proofErr w:type="spellStart"/>
      <w:r w:rsidRPr="001E0E49">
        <w:rPr>
          <w:lang w:val="bg-BG" w:eastAsia="bg-BG"/>
        </w:rPr>
        <w:t>хиперкалиемия</w:t>
      </w:r>
      <w:proofErr w:type="spellEnd"/>
      <w:r w:rsidRPr="001E0E49">
        <w:rPr>
          <w:lang w:val="bg-BG" w:eastAsia="bg-BG"/>
        </w:rPr>
        <w:t>, поради което се изисква стриктно проследяване на серумния калий</w:t>
      </w:r>
    </w:p>
    <w:p w14:paraId="15362E83" w14:textId="5AA3049F" w:rsidR="001E0E49" w:rsidRDefault="001E0E49" w:rsidP="001E0E49">
      <w:pPr>
        <w:rPr>
          <w:lang w:val="bg-BG" w:eastAsia="bg-BG"/>
        </w:rPr>
      </w:pPr>
    </w:p>
    <w:p w14:paraId="38A910BF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i/>
          <w:iCs/>
          <w:lang w:val="bg-BG" w:eastAsia="bg-BG"/>
        </w:rPr>
        <w:t xml:space="preserve">Антихипертензивни средства (напр. </w:t>
      </w:r>
      <w:proofErr w:type="spellStart"/>
      <w:r w:rsidRPr="001E0E49">
        <w:rPr>
          <w:i/>
          <w:iCs/>
          <w:lang w:val="bg-BG" w:eastAsia="bg-BG"/>
        </w:rPr>
        <w:t>диуретици</w:t>
      </w:r>
      <w:proofErr w:type="spellEnd"/>
      <w:r w:rsidRPr="001E0E49">
        <w:rPr>
          <w:i/>
          <w:iCs/>
          <w:lang w:val="bg-BG" w:eastAsia="bg-BG"/>
        </w:rPr>
        <w:t xml:space="preserve">) и други вещества, които могат да понижат кръвното налягане (напр. нитрати, трициклични антидепресанти, </w:t>
      </w:r>
      <w:proofErr w:type="spellStart"/>
      <w:r w:rsidRPr="001E0E49">
        <w:rPr>
          <w:i/>
          <w:iCs/>
          <w:lang w:val="bg-BG" w:eastAsia="bg-BG"/>
        </w:rPr>
        <w:t>анестетици</w:t>
      </w:r>
      <w:proofErr w:type="spellEnd"/>
      <w:r w:rsidRPr="001E0E49">
        <w:rPr>
          <w:i/>
          <w:iCs/>
          <w:lang w:val="bg-BG" w:eastAsia="bg-BG"/>
        </w:rPr>
        <w:t xml:space="preserve">, прекомерен прием на алкохол, </w:t>
      </w:r>
      <w:proofErr w:type="spellStart"/>
      <w:r w:rsidRPr="001E0E49">
        <w:rPr>
          <w:i/>
          <w:iCs/>
          <w:lang w:val="bg-BG" w:eastAsia="bg-BG"/>
        </w:rPr>
        <w:t>баклофен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алфузозин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доксазозин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празозин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тамсулозин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теразозин</w:t>
      </w:r>
      <w:proofErr w:type="spellEnd"/>
      <w:r w:rsidRPr="001E0E49">
        <w:rPr>
          <w:i/>
          <w:iCs/>
          <w:lang w:val="bg-BG" w:eastAsia="bg-BG"/>
        </w:rPr>
        <w:t>):</w:t>
      </w:r>
      <w:r w:rsidRPr="001E0E49">
        <w:rPr>
          <w:lang w:val="bg-BG" w:eastAsia="bg-BG"/>
        </w:rPr>
        <w:t xml:space="preserve"> може да се очаква увеличаване на риска от хипотония (вж. точка 4.2 за </w:t>
      </w:r>
      <w:proofErr w:type="spellStart"/>
      <w:r w:rsidRPr="001E0E49">
        <w:rPr>
          <w:lang w:val="bg-BG" w:eastAsia="bg-BG"/>
        </w:rPr>
        <w:t>диуретици</w:t>
      </w:r>
      <w:proofErr w:type="spellEnd"/>
      <w:r w:rsidRPr="001E0E49">
        <w:rPr>
          <w:lang w:val="bg-BG" w:eastAsia="bg-BG"/>
        </w:rPr>
        <w:t>)</w:t>
      </w:r>
    </w:p>
    <w:p w14:paraId="3A6B48D7" w14:textId="77777777" w:rsidR="001E0E49" w:rsidRDefault="001E0E49" w:rsidP="001E0E49">
      <w:pPr>
        <w:rPr>
          <w:i/>
          <w:iCs/>
          <w:lang w:val="bg-BG" w:eastAsia="bg-BG"/>
        </w:rPr>
      </w:pPr>
    </w:p>
    <w:p w14:paraId="48F438E4" w14:textId="594B5791" w:rsidR="001E0E49" w:rsidRPr="001E0E49" w:rsidRDefault="001E0E49" w:rsidP="001E0E49">
      <w:pPr>
        <w:rPr>
          <w:sz w:val="24"/>
          <w:szCs w:val="24"/>
          <w:lang w:val="bg-BG"/>
        </w:rPr>
      </w:pPr>
      <w:proofErr w:type="spellStart"/>
      <w:r w:rsidRPr="001E0E49">
        <w:rPr>
          <w:i/>
          <w:iCs/>
          <w:lang w:val="bg-BG" w:eastAsia="bg-BG"/>
        </w:rPr>
        <w:t>Вазопресорни</w:t>
      </w:r>
      <w:proofErr w:type="spellEnd"/>
      <w:r w:rsidRPr="001E0E49">
        <w:rPr>
          <w:i/>
          <w:iCs/>
          <w:lang w:val="bg-BG" w:eastAsia="bg-BG"/>
        </w:rPr>
        <w:t xml:space="preserve"> </w:t>
      </w:r>
      <w:proofErr w:type="spellStart"/>
      <w:r w:rsidRPr="001E0E49">
        <w:rPr>
          <w:i/>
          <w:iCs/>
          <w:lang w:val="bg-BG" w:eastAsia="bg-BG"/>
        </w:rPr>
        <w:t>симпатикомиметици</w:t>
      </w:r>
      <w:proofErr w:type="spellEnd"/>
      <w:r w:rsidRPr="001E0E49">
        <w:rPr>
          <w:i/>
          <w:iCs/>
          <w:lang w:val="bg-BG" w:eastAsia="bg-BG"/>
        </w:rPr>
        <w:t xml:space="preserve"> и други вещества (напр. </w:t>
      </w:r>
      <w:proofErr w:type="spellStart"/>
      <w:r w:rsidRPr="001E0E49">
        <w:rPr>
          <w:i/>
          <w:iCs/>
          <w:lang w:val="bg-BG" w:eastAsia="bg-BG"/>
        </w:rPr>
        <w:t>изопротеренол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добутамин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допамин</w:t>
      </w:r>
      <w:proofErr w:type="spellEnd"/>
      <w:r w:rsidRPr="001E0E49">
        <w:rPr>
          <w:i/>
          <w:iCs/>
          <w:lang w:val="bg-BG" w:eastAsia="bg-BG"/>
        </w:rPr>
        <w:t xml:space="preserve">, епинефрин), които могат да намалят антихипертензивния ефект на ТРИТЕЙС: </w:t>
      </w:r>
      <w:r w:rsidRPr="001E0E49">
        <w:rPr>
          <w:lang w:val="bg-BG" w:eastAsia="bg-BG"/>
        </w:rPr>
        <w:t>препоръчва се стриктно проследяване на кръвното налягане.</w:t>
      </w:r>
    </w:p>
    <w:p w14:paraId="390D964A" w14:textId="77777777" w:rsidR="001E0E49" w:rsidRDefault="001E0E49" w:rsidP="001E0E49">
      <w:pPr>
        <w:rPr>
          <w:i/>
          <w:iCs/>
          <w:lang w:val="bg-BG" w:eastAsia="bg-BG"/>
        </w:rPr>
      </w:pPr>
    </w:p>
    <w:p w14:paraId="5C3763EF" w14:textId="4AB2665B" w:rsidR="001E0E49" w:rsidRPr="001E0E49" w:rsidRDefault="001E0E49" w:rsidP="001E0E49">
      <w:pPr>
        <w:rPr>
          <w:sz w:val="24"/>
          <w:szCs w:val="24"/>
          <w:lang w:val="bg-BG"/>
        </w:rPr>
      </w:pPr>
      <w:proofErr w:type="spellStart"/>
      <w:r w:rsidRPr="001E0E49">
        <w:rPr>
          <w:i/>
          <w:iCs/>
          <w:lang w:val="bg-BG" w:eastAsia="bg-BG"/>
        </w:rPr>
        <w:t>Алопуринол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имуносупресори</w:t>
      </w:r>
      <w:proofErr w:type="spellEnd"/>
      <w:r w:rsidRPr="001E0E49">
        <w:rPr>
          <w:i/>
          <w:iCs/>
          <w:lang w:val="bg-BG" w:eastAsia="bg-BG"/>
        </w:rPr>
        <w:t xml:space="preserve">, кортикостероиди, </w:t>
      </w:r>
      <w:proofErr w:type="spellStart"/>
      <w:r w:rsidRPr="001E0E49">
        <w:rPr>
          <w:i/>
          <w:iCs/>
          <w:lang w:val="bg-BG" w:eastAsia="bg-BG"/>
        </w:rPr>
        <w:t>прокаинамид</w:t>
      </w:r>
      <w:proofErr w:type="spellEnd"/>
      <w:r w:rsidRPr="001E0E49">
        <w:rPr>
          <w:i/>
          <w:iCs/>
          <w:lang w:val="bg-BG" w:eastAsia="bg-BG"/>
        </w:rPr>
        <w:t xml:space="preserve">, </w:t>
      </w:r>
      <w:proofErr w:type="spellStart"/>
      <w:r w:rsidRPr="001E0E49">
        <w:rPr>
          <w:i/>
          <w:iCs/>
          <w:lang w:val="bg-BG" w:eastAsia="bg-BG"/>
        </w:rPr>
        <w:t>цитостатици</w:t>
      </w:r>
      <w:proofErr w:type="spellEnd"/>
      <w:r w:rsidRPr="001E0E49">
        <w:rPr>
          <w:i/>
          <w:iCs/>
          <w:lang w:val="bg-BG" w:eastAsia="bg-BG"/>
        </w:rPr>
        <w:t xml:space="preserve"> и други вещества, които могат да променят броя на кръвните клетки:</w:t>
      </w:r>
      <w:r w:rsidRPr="001E0E49">
        <w:rPr>
          <w:lang w:val="bg-BG" w:eastAsia="bg-BG"/>
        </w:rPr>
        <w:t xml:space="preserve"> повишена вероятност от поява на хематологични реакции (вж. точка 4.4).</w:t>
      </w:r>
    </w:p>
    <w:p w14:paraId="76851E8E" w14:textId="77777777" w:rsidR="001E0E49" w:rsidRDefault="001E0E49" w:rsidP="001E0E49">
      <w:pPr>
        <w:rPr>
          <w:i/>
          <w:iCs/>
          <w:lang w:val="bg-BG" w:eastAsia="bg-BG"/>
        </w:rPr>
      </w:pPr>
    </w:p>
    <w:p w14:paraId="5401B13F" w14:textId="40D640EA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i/>
          <w:iCs/>
          <w:lang w:val="bg-BG" w:eastAsia="bg-BG"/>
        </w:rPr>
        <w:t>Литиеви соли:</w:t>
      </w:r>
      <w:r w:rsidRPr="001E0E49">
        <w:rPr>
          <w:lang w:val="bg-BG" w:eastAsia="bg-BG"/>
        </w:rPr>
        <w:t xml:space="preserve"> екскрецията на лития може да бъде понижена от АСЕ инхибиторите и поради това токсичността на лития може да се увеличи. Нивата на лития трябва да се проследяват.</w:t>
      </w:r>
    </w:p>
    <w:p w14:paraId="44D09055" w14:textId="77777777" w:rsidR="001E0E49" w:rsidRDefault="001E0E49" w:rsidP="001E0E49">
      <w:pPr>
        <w:rPr>
          <w:i/>
          <w:iCs/>
          <w:lang w:val="bg-BG" w:eastAsia="bg-BG"/>
        </w:rPr>
      </w:pPr>
    </w:p>
    <w:p w14:paraId="5FF9AD87" w14:textId="6BF22DB6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i/>
          <w:iCs/>
          <w:lang w:val="bg-BG" w:eastAsia="bg-BG"/>
        </w:rPr>
        <w:t>Антидиабетни средства, включително инсулин:</w:t>
      </w:r>
      <w:r w:rsidRPr="001E0E49">
        <w:rPr>
          <w:lang w:val="bg-BG" w:eastAsia="bg-BG"/>
        </w:rPr>
        <w:t xml:space="preserve"> могат да възникнат хипогликемични реакции. Препоръчва се проследяване на нивата на кръвната захар.</w:t>
      </w:r>
    </w:p>
    <w:p w14:paraId="57A46D0C" w14:textId="77777777" w:rsidR="001E0E49" w:rsidRDefault="001E0E49" w:rsidP="001E0E49">
      <w:pPr>
        <w:rPr>
          <w:i/>
          <w:iCs/>
          <w:lang w:val="bg-BG" w:eastAsia="bg-BG"/>
        </w:rPr>
      </w:pPr>
    </w:p>
    <w:p w14:paraId="0883069D" w14:textId="2DF6298A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i/>
          <w:iCs/>
          <w:lang w:val="bg-BG" w:eastAsia="bg-BG"/>
        </w:rPr>
        <w:lastRenderedPageBreak/>
        <w:t>Нестероидни противовъзпалителни средства и ацетилсалицилова киселина:</w:t>
      </w:r>
      <w:r w:rsidRPr="001E0E49">
        <w:rPr>
          <w:lang w:val="bg-BG" w:eastAsia="bg-BG"/>
        </w:rPr>
        <w:t xml:space="preserve"> може да се очаква намаляване на антихипертензивния ефект на ТРИТЕЙС. Освен това, съпътстващото лечение с АСЕ инхибитори и НСПВС може да доведе до повишен риск от влошаване на бъбречната функция и да увеличи </w:t>
      </w:r>
      <w:proofErr w:type="spellStart"/>
      <w:r w:rsidRPr="001E0E49">
        <w:rPr>
          <w:lang w:val="bg-BG" w:eastAsia="bg-BG"/>
        </w:rPr>
        <w:t>калиемията</w:t>
      </w:r>
      <w:proofErr w:type="spellEnd"/>
      <w:r w:rsidRPr="001E0E49">
        <w:rPr>
          <w:lang w:val="bg-BG" w:eastAsia="bg-BG"/>
        </w:rPr>
        <w:t>.</w:t>
      </w:r>
    </w:p>
    <w:p w14:paraId="346F53FF" w14:textId="77777777" w:rsidR="001E0E49" w:rsidRDefault="001E0E49" w:rsidP="001E0E49">
      <w:pPr>
        <w:rPr>
          <w:i/>
          <w:iCs/>
        </w:rPr>
      </w:pPr>
    </w:p>
    <w:p w14:paraId="25A15E19" w14:textId="103DF86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i/>
          <w:iCs/>
        </w:rPr>
        <w:t xml:space="preserve">mTOR </w:t>
      </w:r>
      <w:r w:rsidRPr="001E0E49">
        <w:rPr>
          <w:i/>
          <w:iCs/>
          <w:lang w:val="bg-BG" w:eastAsia="bg-BG"/>
        </w:rPr>
        <w:t xml:space="preserve">инхибитори или </w:t>
      </w:r>
      <w:proofErr w:type="spellStart"/>
      <w:r w:rsidRPr="001E0E49">
        <w:rPr>
          <w:i/>
          <w:iCs/>
          <w:lang w:val="bg-BG" w:eastAsia="bg-BG"/>
        </w:rPr>
        <w:t>вилдаглиптин</w:t>
      </w:r>
      <w:proofErr w:type="spellEnd"/>
      <w:r w:rsidRPr="001E0E49">
        <w:rPr>
          <w:i/>
          <w:iCs/>
          <w:lang w:val="bg-BG" w:eastAsia="bg-BG"/>
        </w:rPr>
        <w:t>:</w:t>
      </w:r>
      <w:r w:rsidRPr="001E0E49">
        <w:rPr>
          <w:lang w:val="bg-BG" w:eastAsia="bg-BG"/>
        </w:rPr>
        <w:t xml:space="preserve"> повишен риск от развитие на ангиоедем е възможно при пациенти, приемащи едновременно лекарства, като </w:t>
      </w:r>
      <w:r w:rsidRPr="001E0E49">
        <w:t xml:space="preserve">mTOR </w:t>
      </w:r>
      <w:r w:rsidRPr="001E0E49">
        <w:rPr>
          <w:lang w:val="bg-BG" w:eastAsia="bg-BG"/>
        </w:rPr>
        <w:t>инхибитори (</w:t>
      </w:r>
      <w:proofErr w:type="spellStart"/>
      <w:r w:rsidRPr="001E0E49">
        <w:rPr>
          <w:lang w:val="bg-BG" w:eastAsia="bg-BG"/>
        </w:rPr>
        <w:t>напр</w:t>
      </w:r>
      <w:proofErr w:type="spellEnd"/>
      <w:r w:rsidRPr="001E0E49">
        <w:rPr>
          <w:lang w:val="bg-BG" w:eastAsia="bg-BG"/>
        </w:rPr>
        <w:t xml:space="preserve"> </w:t>
      </w:r>
      <w:proofErr w:type="spellStart"/>
      <w:r w:rsidRPr="001E0E49">
        <w:rPr>
          <w:lang w:val="bg-BG" w:eastAsia="bg-BG"/>
        </w:rPr>
        <w:t>темсиролимус</w:t>
      </w:r>
      <w:proofErr w:type="spellEnd"/>
      <w:r w:rsidRPr="001E0E49">
        <w:rPr>
          <w:lang w:val="bg-BG" w:eastAsia="bg-BG"/>
        </w:rPr>
        <w:t xml:space="preserve">, </w:t>
      </w:r>
      <w:proofErr w:type="spellStart"/>
      <w:r w:rsidRPr="001E0E49">
        <w:rPr>
          <w:lang w:val="bg-BG" w:eastAsia="bg-BG"/>
        </w:rPr>
        <w:t>еверолимус</w:t>
      </w:r>
      <w:proofErr w:type="spellEnd"/>
      <w:r w:rsidRPr="001E0E49">
        <w:rPr>
          <w:lang w:val="bg-BG" w:eastAsia="bg-BG"/>
        </w:rPr>
        <w:t xml:space="preserve">, </w:t>
      </w:r>
      <w:proofErr w:type="spellStart"/>
      <w:r w:rsidRPr="001E0E49">
        <w:rPr>
          <w:lang w:val="bg-BG" w:eastAsia="bg-BG"/>
        </w:rPr>
        <w:t>сиролимус</w:t>
      </w:r>
      <w:proofErr w:type="spellEnd"/>
      <w:r w:rsidRPr="001E0E49">
        <w:rPr>
          <w:lang w:val="bg-BG" w:eastAsia="bg-BG"/>
        </w:rPr>
        <w:t xml:space="preserve">) или </w:t>
      </w:r>
      <w:proofErr w:type="spellStart"/>
      <w:r w:rsidRPr="001E0E49">
        <w:rPr>
          <w:lang w:val="bg-BG" w:eastAsia="bg-BG"/>
        </w:rPr>
        <w:t>вилдаглиптин</w:t>
      </w:r>
      <w:proofErr w:type="spellEnd"/>
      <w:r w:rsidRPr="001E0E49">
        <w:rPr>
          <w:lang w:val="bg-BG" w:eastAsia="bg-BG"/>
        </w:rPr>
        <w:t>. С повишено внимание трябва да се използва, когато се започва лечение (вж. точка 4.4).</w:t>
      </w:r>
    </w:p>
    <w:p w14:paraId="4FAA4C5A" w14:textId="77777777" w:rsidR="001E0E49" w:rsidRDefault="001E0E49" w:rsidP="001E0E49">
      <w:pPr>
        <w:rPr>
          <w:i/>
          <w:iCs/>
          <w:lang w:val="bg-BG" w:eastAsia="bg-BG"/>
        </w:rPr>
      </w:pPr>
    </w:p>
    <w:p w14:paraId="3AA3AD3D" w14:textId="020D34AC" w:rsidR="001E0E49" w:rsidRPr="001E0E49" w:rsidRDefault="001E0E49" w:rsidP="001E0E49">
      <w:pPr>
        <w:rPr>
          <w:sz w:val="24"/>
          <w:szCs w:val="24"/>
          <w:lang w:val="bg-BG"/>
        </w:rPr>
      </w:pPr>
      <w:proofErr w:type="spellStart"/>
      <w:r w:rsidRPr="001E0E49">
        <w:rPr>
          <w:i/>
          <w:iCs/>
          <w:lang w:val="bg-BG" w:eastAsia="bg-BG"/>
        </w:rPr>
        <w:t>Неприлизин</w:t>
      </w:r>
      <w:proofErr w:type="spellEnd"/>
      <w:r w:rsidRPr="001E0E49">
        <w:rPr>
          <w:i/>
          <w:iCs/>
          <w:lang w:val="bg-BG" w:eastAsia="bg-BG"/>
        </w:rPr>
        <w:t xml:space="preserve"> </w:t>
      </w:r>
      <w:r w:rsidRPr="001E0E49">
        <w:rPr>
          <w:i/>
          <w:iCs/>
        </w:rPr>
        <w:t xml:space="preserve">(NEP) </w:t>
      </w:r>
      <w:r w:rsidRPr="001E0E49">
        <w:rPr>
          <w:i/>
          <w:iCs/>
          <w:lang w:val="bg-BG" w:eastAsia="bg-BG"/>
        </w:rPr>
        <w:t>инхибитори</w:t>
      </w:r>
      <w:r w:rsidRPr="001E0E49">
        <w:rPr>
          <w:lang w:val="bg-BG" w:eastAsia="bg-BG"/>
        </w:rPr>
        <w:t xml:space="preserve"> Повишен риск от развитие на ангиоедем е бил съобщаван при едновременно приложение на АСЕ инхибитори и </w:t>
      </w:r>
      <w:r w:rsidRPr="001E0E49">
        <w:t xml:space="preserve">NEP </w:t>
      </w:r>
      <w:r w:rsidRPr="001E0E49">
        <w:rPr>
          <w:lang w:val="bg-BG" w:eastAsia="bg-BG"/>
        </w:rPr>
        <w:t xml:space="preserve">инхибитори като </w:t>
      </w:r>
      <w:proofErr w:type="spellStart"/>
      <w:r w:rsidRPr="001E0E49">
        <w:rPr>
          <w:lang w:val="bg-BG" w:eastAsia="bg-BG"/>
        </w:rPr>
        <w:t>рацекадотрил</w:t>
      </w:r>
      <w:proofErr w:type="spellEnd"/>
      <w:r w:rsidRPr="001E0E49">
        <w:rPr>
          <w:lang w:val="bg-BG" w:eastAsia="bg-BG"/>
        </w:rPr>
        <w:t xml:space="preserve"> (вж. точка 4.4)</w:t>
      </w:r>
    </w:p>
    <w:p w14:paraId="236F5B45" w14:textId="77777777" w:rsidR="001E0E49" w:rsidRDefault="001E0E49" w:rsidP="001E0E49">
      <w:pPr>
        <w:rPr>
          <w:i/>
          <w:iCs/>
          <w:lang w:val="bg-BG" w:eastAsia="bg-BG"/>
        </w:rPr>
      </w:pPr>
    </w:p>
    <w:p w14:paraId="3439D3EE" w14:textId="59F83E00" w:rsidR="001E0E49" w:rsidRPr="001E0E49" w:rsidRDefault="001E0E49" w:rsidP="001E0E49">
      <w:pPr>
        <w:rPr>
          <w:sz w:val="24"/>
          <w:szCs w:val="24"/>
          <w:lang w:val="bg-BG"/>
        </w:rPr>
      </w:pPr>
      <w:proofErr w:type="spellStart"/>
      <w:r w:rsidRPr="001E0E49">
        <w:rPr>
          <w:i/>
          <w:iCs/>
          <w:lang w:val="bg-BG" w:eastAsia="bg-BG"/>
        </w:rPr>
        <w:t>Сакубитрил</w:t>
      </w:r>
      <w:proofErr w:type="spellEnd"/>
      <w:r w:rsidRPr="001E0E49">
        <w:rPr>
          <w:i/>
          <w:iCs/>
          <w:lang w:val="bg-BG" w:eastAsia="bg-BG"/>
        </w:rPr>
        <w:t xml:space="preserve"> /</w:t>
      </w:r>
      <w:proofErr w:type="spellStart"/>
      <w:r w:rsidRPr="001E0E49">
        <w:rPr>
          <w:i/>
          <w:iCs/>
          <w:lang w:val="bg-BG" w:eastAsia="bg-BG"/>
        </w:rPr>
        <w:t>валсартан</w:t>
      </w:r>
      <w:proofErr w:type="spellEnd"/>
    </w:p>
    <w:p w14:paraId="298411FA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Едновременното приложение на АСЕ инхибитори със </w:t>
      </w:r>
      <w:proofErr w:type="spellStart"/>
      <w:r w:rsidRPr="001E0E49">
        <w:rPr>
          <w:lang w:val="bg-BG" w:eastAsia="bg-BG"/>
        </w:rPr>
        <w:t>сакубитрил</w:t>
      </w:r>
      <w:proofErr w:type="spellEnd"/>
      <w:r w:rsidRPr="001E0E49">
        <w:rPr>
          <w:lang w:val="bg-BG" w:eastAsia="bg-BG"/>
        </w:rPr>
        <w:t>/</w:t>
      </w:r>
      <w:proofErr w:type="spellStart"/>
      <w:r w:rsidRPr="001E0E49">
        <w:rPr>
          <w:lang w:val="bg-BG" w:eastAsia="bg-BG"/>
        </w:rPr>
        <w:t>валсартан</w:t>
      </w:r>
      <w:proofErr w:type="spellEnd"/>
      <w:r w:rsidRPr="001E0E49">
        <w:rPr>
          <w:lang w:val="bg-BG" w:eastAsia="bg-BG"/>
        </w:rPr>
        <w:t xml:space="preserve"> е противопоказано, тъй като това увеличава риска от ангиоедем.</w:t>
      </w:r>
    </w:p>
    <w:p w14:paraId="3AF527F8" w14:textId="77777777" w:rsidR="001E0E49" w:rsidRPr="001E0E49" w:rsidRDefault="001E0E49" w:rsidP="001E0E49"/>
    <w:p w14:paraId="48221AB5" w14:textId="533FF66F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485F3CB7" w14:textId="77777777" w:rsidR="001E0E49" w:rsidRDefault="001E0E49" w:rsidP="001E0E4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</w:pPr>
    </w:p>
    <w:p w14:paraId="1E5F591C" w14:textId="520296C7" w:rsidR="001E0E49" w:rsidRPr="001E0E49" w:rsidRDefault="001E0E49" w:rsidP="001E0E49">
      <w:pPr>
        <w:pStyle w:val="Heading2"/>
        <w:rPr>
          <w:rFonts w:eastAsia="Times New Roman"/>
          <w:sz w:val="24"/>
          <w:szCs w:val="24"/>
          <w:u w:val="single"/>
          <w:lang w:val="bg-BG"/>
        </w:rPr>
      </w:pPr>
      <w:r w:rsidRPr="001E0E49">
        <w:rPr>
          <w:rFonts w:eastAsia="Times New Roman"/>
          <w:u w:val="single"/>
          <w:lang w:val="bg-BG" w:eastAsia="bg-BG"/>
        </w:rPr>
        <w:t>Бременност:</w:t>
      </w:r>
    </w:p>
    <w:p w14:paraId="25B5FEF4" w14:textId="77777777" w:rsidR="001E0E49" w:rsidRDefault="001E0E49" w:rsidP="001E0E49">
      <w:pPr>
        <w:rPr>
          <w:sz w:val="24"/>
          <w:szCs w:val="24"/>
          <w:lang w:val="bg-BG" w:eastAsia="bg-BG"/>
        </w:rPr>
      </w:pPr>
    </w:p>
    <w:p w14:paraId="4AEA4763" w14:textId="1A115351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sz w:val="24"/>
          <w:szCs w:val="24"/>
          <w:lang w:val="bg-BG" w:eastAsia="bg-BG"/>
        </w:rPr>
        <w:t>ТРИТЕИС не се препоръчва по време на първия триместър на бременността (вж. точка 4.4) и е противопоказан по време на втория и третия триместър на бременността (вж. точка 4.3).</w:t>
      </w:r>
    </w:p>
    <w:p w14:paraId="583C5074" w14:textId="77777777" w:rsidR="001E0E49" w:rsidRDefault="001E0E49" w:rsidP="001E0E49">
      <w:pPr>
        <w:rPr>
          <w:lang w:val="bg-BG" w:eastAsia="bg-BG"/>
        </w:rPr>
      </w:pPr>
    </w:p>
    <w:p w14:paraId="18C16DFE" w14:textId="08A90BF4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Епидемиологични данни относно риска от </w:t>
      </w:r>
      <w:proofErr w:type="spellStart"/>
      <w:r w:rsidRPr="001E0E49">
        <w:rPr>
          <w:lang w:val="bg-BG" w:eastAsia="bg-BG"/>
        </w:rPr>
        <w:t>тератогенност</w:t>
      </w:r>
      <w:proofErr w:type="spellEnd"/>
      <w:r w:rsidRPr="001E0E49">
        <w:rPr>
          <w:lang w:val="bg-BG" w:eastAsia="bg-BG"/>
        </w:rPr>
        <w:t xml:space="preserve"> след </w:t>
      </w:r>
      <w:proofErr w:type="spellStart"/>
      <w:r w:rsidRPr="001E0E49">
        <w:rPr>
          <w:lang w:val="bg-BG" w:eastAsia="bg-BG"/>
        </w:rPr>
        <w:t>екпозиция</w:t>
      </w:r>
      <w:proofErr w:type="spellEnd"/>
      <w:r w:rsidRPr="001E0E49">
        <w:rPr>
          <w:lang w:val="bg-BG" w:eastAsia="bg-BG"/>
        </w:rPr>
        <w:t xml:space="preserve"> на АСЕ инхибитори по време на първия триместър от бременността не са били убедителни, но леко повишаване на риска не може да бъде изключено. При пациентките планиращи бременност, терапията с АСЕ инхибитори трябва да се замени с алтернативно антихипертензивно лечение, което има установен профил на безопасност при употреба по време на бременност, освен ако не се счита за крайно необходима. При установяване на бременност, лечението с АСЕ инхибитори трябва да бъде спряно незабавно и, ако е уместно, трябва да бъде започната алтернативна терапия</w:t>
      </w:r>
    </w:p>
    <w:p w14:paraId="710A05F7" w14:textId="77777777" w:rsidR="001E0E49" w:rsidRDefault="001E0E49" w:rsidP="001E0E49">
      <w:pPr>
        <w:rPr>
          <w:lang w:val="bg-BG" w:eastAsia="bg-BG"/>
        </w:rPr>
      </w:pPr>
    </w:p>
    <w:p w14:paraId="68E928AC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Експозицията на терапия с АСЕ инхибитор/</w:t>
      </w:r>
      <w:proofErr w:type="spellStart"/>
      <w:r w:rsidRPr="001E0E49">
        <w:rPr>
          <w:lang w:val="bg-BG" w:eastAsia="bg-BG"/>
        </w:rPr>
        <w:t>Ангиотензин</w:t>
      </w:r>
      <w:proofErr w:type="spellEnd"/>
      <w:r w:rsidRPr="001E0E49">
        <w:rPr>
          <w:lang w:val="bg-BG" w:eastAsia="bg-BG"/>
        </w:rPr>
        <w:t xml:space="preserve"> II рецепторен антагонист (</w:t>
      </w:r>
      <w:r w:rsidRPr="001E0E49">
        <w:t xml:space="preserve">AIIRA) </w:t>
      </w:r>
      <w:r w:rsidRPr="001E0E49">
        <w:rPr>
          <w:lang w:val="bg-BG" w:eastAsia="bg-BG"/>
        </w:rPr>
        <w:t xml:space="preserve">по време на втория и третия триместър причинява </w:t>
      </w:r>
      <w:proofErr w:type="spellStart"/>
      <w:r w:rsidRPr="001E0E49">
        <w:rPr>
          <w:lang w:val="bg-BG" w:eastAsia="bg-BG"/>
        </w:rPr>
        <w:t>фетотоксичност</w:t>
      </w:r>
      <w:proofErr w:type="spellEnd"/>
      <w:r w:rsidRPr="001E0E49">
        <w:rPr>
          <w:lang w:val="bg-BG" w:eastAsia="bg-BG"/>
        </w:rPr>
        <w:t xml:space="preserve"> при хора (намалена бъбречна функция, </w:t>
      </w:r>
      <w:proofErr w:type="spellStart"/>
      <w:r w:rsidRPr="001E0E49">
        <w:rPr>
          <w:lang w:val="bg-BG" w:eastAsia="bg-BG"/>
        </w:rPr>
        <w:t>олигохидрамнион</w:t>
      </w:r>
      <w:proofErr w:type="spellEnd"/>
      <w:r w:rsidRPr="001E0E49">
        <w:rPr>
          <w:lang w:val="bg-BG" w:eastAsia="bg-BG"/>
        </w:rPr>
        <w:t xml:space="preserve">, забавена </w:t>
      </w:r>
      <w:proofErr w:type="spellStart"/>
      <w:r w:rsidRPr="001E0E49">
        <w:rPr>
          <w:lang w:val="bg-BG" w:eastAsia="bg-BG"/>
        </w:rPr>
        <w:t>осификация</w:t>
      </w:r>
      <w:proofErr w:type="spellEnd"/>
      <w:r w:rsidRPr="001E0E49">
        <w:rPr>
          <w:lang w:val="bg-BG" w:eastAsia="bg-BG"/>
        </w:rPr>
        <w:t xml:space="preserve"> на черепа) и </w:t>
      </w:r>
      <w:proofErr w:type="spellStart"/>
      <w:r w:rsidRPr="001E0E49">
        <w:rPr>
          <w:lang w:val="bg-BG" w:eastAsia="bg-BG"/>
        </w:rPr>
        <w:t>неонатална</w:t>
      </w:r>
      <w:proofErr w:type="spellEnd"/>
      <w:r w:rsidRPr="001E0E49">
        <w:rPr>
          <w:lang w:val="bg-BG" w:eastAsia="bg-BG"/>
        </w:rPr>
        <w:t xml:space="preserve"> токсичност</w:t>
      </w:r>
      <w:r>
        <w:rPr>
          <w:lang w:val="bg-BG" w:eastAsia="bg-BG"/>
        </w:rPr>
        <w:t xml:space="preserve"> </w:t>
      </w:r>
      <w:r w:rsidRPr="001E0E49">
        <w:rPr>
          <w:lang w:val="bg-BG" w:eastAsia="bg-BG"/>
        </w:rPr>
        <w:t xml:space="preserve">(бъбречна недостатъчност, хипотония, </w:t>
      </w:r>
      <w:proofErr w:type="spellStart"/>
      <w:r w:rsidRPr="001E0E49">
        <w:rPr>
          <w:lang w:val="bg-BG" w:eastAsia="bg-BG"/>
        </w:rPr>
        <w:t>хиперкалиемия</w:t>
      </w:r>
      <w:proofErr w:type="spellEnd"/>
      <w:r w:rsidRPr="001E0E49">
        <w:rPr>
          <w:lang w:val="bg-BG" w:eastAsia="bg-BG"/>
        </w:rPr>
        <w:t>) (вж. точка 5.3 „Предклинични данни за безопасност“). В случай на експозиция на АСЕ инхибитори през втория триместър на бременността се препоръчва проверка на бъбречната функция и черепа чрез ултразвук.</w:t>
      </w:r>
    </w:p>
    <w:p w14:paraId="53CA482B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Новородени, чиито майки са приемали АСЕ инхибитори, трябва да бъдат стриктно наблюдавани за хипотония, </w:t>
      </w:r>
      <w:proofErr w:type="spellStart"/>
      <w:r w:rsidRPr="001E0E49">
        <w:rPr>
          <w:lang w:val="bg-BG" w:eastAsia="bg-BG"/>
        </w:rPr>
        <w:t>олигоурия</w:t>
      </w:r>
      <w:proofErr w:type="spellEnd"/>
      <w:r w:rsidRPr="001E0E49">
        <w:rPr>
          <w:lang w:val="bg-BG" w:eastAsia="bg-BG"/>
        </w:rPr>
        <w:t xml:space="preserve"> и </w:t>
      </w:r>
      <w:proofErr w:type="spellStart"/>
      <w:r w:rsidRPr="001E0E49">
        <w:rPr>
          <w:lang w:val="bg-BG" w:eastAsia="bg-BG"/>
        </w:rPr>
        <w:t>хиперкалиемия</w:t>
      </w:r>
      <w:proofErr w:type="spellEnd"/>
      <w:r w:rsidRPr="001E0E49">
        <w:rPr>
          <w:lang w:val="bg-BG" w:eastAsia="bg-BG"/>
        </w:rPr>
        <w:t xml:space="preserve"> (вж. също точки 4.3 и 4.4).</w:t>
      </w:r>
    </w:p>
    <w:p w14:paraId="124F5116" w14:textId="77777777" w:rsidR="001E0E49" w:rsidRDefault="001E0E49" w:rsidP="001E0E49">
      <w:pPr>
        <w:rPr>
          <w:lang w:val="bg-BG" w:eastAsia="bg-BG"/>
        </w:rPr>
      </w:pPr>
    </w:p>
    <w:p w14:paraId="123F72DD" w14:textId="5B7E2B48" w:rsidR="001E0E49" w:rsidRPr="001E0E49" w:rsidRDefault="001E0E49" w:rsidP="001E0E49">
      <w:pPr>
        <w:pStyle w:val="Heading2"/>
        <w:rPr>
          <w:rFonts w:eastAsia="Times New Roman"/>
          <w:sz w:val="24"/>
          <w:szCs w:val="24"/>
          <w:u w:val="single"/>
          <w:lang w:val="bg-BG"/>
        </w:rPr>
      </w:pPr>
      <w:r w:rsidRPr="001E0E49">
        <w:rPr>
          <w:rFonts w:eastAsia="Times New Roman"/>
          <w:u w:val="single"/>
          <w:lang w:val="bg-BG" w:eastAsia="bg-BG"/>
        </w:rPr>
        <w:lastRenderedPageBreak/>
        <w:t>Кърмене</w:t>
      </w:r>
    </w:p>
    <w:p w14:paraId="27264893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Поради недостатъчна информация относно употребата на </w:t>
      </w:r>
      <w:proofErr w:type="spellStart"/>
      <w:r w:rsidRPr="001E0E49">
        <w:rPr>
          <w:lang w:val="bg-BG" w:eastAsia="bg-BG"/>
        </w:rPr>
        <w:t>рамиприл</w:t>
      </w:r>
      <w:proofErr w:type="spellEnd"/>
      <w:r w:rsidRPr="001E0E49">
        <w:rPr>
          <w:lang w:val="bg-BG" w:eastAsia="bg-BG"/>
        </w:rPr>
        <w:t xml:space="preserve"> по време на кърмене (вж. точка 5.2), не се препоръчва приложение на ТРИТЕЙС, като за предпочитане е алтернативно лечение с по-добре установен профил на безопасност по време на кърмене, особено при кърмене на новородено или недоносено кърмаче.</w:t>
      </w:r>
    </w:p>
    <w:p w14:paraId="57DDD3B8" w14:textId="02BB0367" w:rsidR="001E0E49" w:rsidRPr="001E0E49" w:rsidRDefault="001E0E49" w:rsidP="001E0E49"/>
    <w:p w14:paraId="5F675BDB" w14:textId="07E68101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4D323BDF" w14:textId="77777777" w:rsidR="001E0E49" w:rsidRDefault="001E0E49" w:rsidP="001E0E49">
      <w:pPr>
        <w:rPr>
          <w:lang w:val="bg-BG" w:eastAsia="bg-BG"/>
        </w:rPr>
      </w:pPr>
    </w:p>
    <w:p w14:paraId="7E5B02FF" w14:textId="7C07AAD9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Някои нежелани реакции (напр. симптоми на понижаване на кръвното налягане като замайване) могат да нарушат способността на пациента за концентрация и реакция, ето защо представлява риск в ситуации, при които тези способности са от особено значение (напр. шофиране и работа с машини).</w:t>
      </w:r>
    </w:p>
    <w:p w14:paraId="048EF989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Това може да се случи особено при начало на лечението или при преминаване от други препарати. След първата доза или последващо повишаване на дозата не е препоръчително шофиране или работа с машини за няколко часа.</w:t>
      </w:r>
    </w:p>
    <w:p w14:paraId="30EFA5D5" w14:textId="77777777" w:rsidR="001E0E49" w:rsidRPr="001E0E49" w:rsidRDefault="001E0E49" w:rsidP="001E0E49"/>
    <w:p w14:paraId="1B3BD30D" w14:textId="1B2FA95D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7A41D7EF" w14:textId="77777777" w:rsidR="001E0E49" w:rsidRPr="001E0E49" w:rsidRDefault="001E0E49" w:rsidP="001E0E4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val="bg-BG" w:eastAsia="bg-BG"/>
        </w:rPr>
      </w:pPr>
    </w:p>
    <w:p w14:paraId="5EAD9291" w14:textId="3F92B54B" w:rsidR="001E0E49" w:rsidRPr="001E0E49" w:rsidRDefault="001E0E49" w:rsidP="001E0E49">
      <w:pPr>
        <w:rPr>
          <w:i/>
          <w:iCs/>
          <w:sz w:val="24"/>
          <w:szCs w:val="24"/>
          <w:lang w:val="bg-BG"/>
        </w:rPr>
      </w:pPr>
      <w:r w:rsidRPr="001E0E49">
        <w:rPr>
          <w:i/>
          <w:iCs/>
          <w:lang w:val="bg-BG" w:eastAsia="bg-BG"/>
        </w:rPr>
        <w:t>Обобщен профил на безопасност</w:t>
      </w:r>
    </w:p>
    <w:p w14:paraId="3209DDE7" w14:textId="77777777" w:rsidR="001E0E49" w:rsidRDefault="001E0E49" w:rsidP="001E0E49">
      <w:pPr>
        <w:rPr>
          <w:lang w:val="bg-BG" w:eastAsia="bg-BG"/>
        </w:rPr>
      </w:pPr>
    </w:p>
    <w:p w14:paraId="43DCAA34" w14:textId="23814A3D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 xml:space="preserve">Профилът на безопасност на </w:t>
      </w:r>
      <w:proofErr w:type="spellStart"/>
      <w:r w:rsidRPr="001E0E49">
        <w:rPr>
          <w:lang w:val="bg-BG" w:eastAsia="bg-BG"/>
        </w:rPr>
        <w:t>рамиприл</w:t>
      </w:r>
      <w:proofErr w:type="spellEnd"/>
      <w:r w:rsidRPr="001E0E49">
        <w:rPr>
          <w:lang w:val="bg-BG" w:eastAsia="bg-BG"/>
        </w:rPr>
        <w:t xml:space="preserve"> включва упорита суха кашлица и реакции свързани с хипотония. Сериозните нежелани лекарствени реакции, включват ангиоедем, </w:t>
      </w:r>
      <w:proofErr w:type="spellStart"/>
      <w:r w:rsidRPr="001E0E49">
        <w:rPr>
          <w:lang w:val="bg-BG" w:eastAsia="bg-BG"/>
        </w:rPr>
        <w:t>хиперкалиемия</w:t>
      </w:r>
      <w:proofErr w:type="spellEnd"/>
      <w:r w:rsidRPr="001E0E49">
        <w:rPr>
          <w:lang w:val="bg-BG" w:eastAsia="bg-BG"/>
        </w:rPr>
        <w:t xml:space="preserve">, бъбречно или чернодробно увреждане, </w:t>
      </w:r>
      <w:proofErr w:type="spellStart"/>
      <w:r w:rsidRPr="001E0E49">
        <w:rPr>
          <w:lang w:val="bg-BG" w:eastAsia="bg-BG"/>
        </w:rPr>
        <w:t>панкреатит</w:t>
      </w:r>
      <w:proofErr w:type="spellEnd"/>
      <w:r w:rsidRPr="001E0E49">
        <w:rPr>
          <w:lang w:val="bg-BG" w:eastAsia="bg-BG"/>
        </w:rPr>
        <w:t xml:space="preserve">, тежки кожни реакции и </w:t>
      </w:r>
      <w:proofErr w:type="spellStart"/>
      <w:r w:rsidRPr="001E0E49">
        <w:rPr>
          <w:lang w:val="bg-BG" w:eastAsia="bg-BG"/>
        </w:rPr>
        <w:t>неутропения</w:t>
      </w:r>
      <w:proofErr w:type="spellEnd"/>
      <w:r w:rsidRPr="001E0E49">
        <w:rPr>
          <w:lang w:val="bg-BG" w:eastAsia="bg-BG"/>
        </w:rPr>
        <w:t>/</w:t>
      </w:r>
      <w:proofErr w:type="spellStart"/>
      <w:r w:rsidRPr="001E0E49">
        <w:rPr>
          <w:lang w:val="bg-BG" w:eastAsia="bg-BG"/>
        </w:rPr>
        <w:t>агранулоцитоза</w:t>
      </w:r>
      <w:proofErr w:type="spellEnd"/>
      <w:r w:rsidRPr="001E0E49">
        <w:rPr>
          <w:lang w:val="bg-BG" w:eastAsia="bg-BG"/>
        </w:rPr>
        <w:t>.</w:t>
      </w:r>
    </w:p>
    <w:p w14:paraId="1862DB3C" w14:textId="77777777" w:rsidR="001E0E49" w:rsidRDefault="001E0E49" w:rsidP="001E0E49">
      <w:pPr>
        <w:rPr>
          <w:lang w:val="bg-BG" w:eastAsia="bg-BG"/>
        </w:rPr>
      </w:pPr>
    </w:p>
    <w:p w14:paraId="037A6B74" w14:textId="150C6A9E" w:rsidR="001E0E49" w:rsidRPr="001E0E49" w:rsidRDefault="001E0E49" w:rsidP="001E0E49">
      <w:pPr>
        <w:rPr>
          <w:i/>
          <w:iCs/>
          <w:sz w:val="24"/>
          <w:szCs w:val="24"/>
          <w:lang w:val="bg-BG"/>
        </w:rPr>
      </w:pPr>
      <w:r w:rsidRPr="001E0E49">
        <w:rPr>
          <w:i/>
          <w:iCs/>
          <w:lang w:val="bg-BG" w:eastAsia="bg-BG"/>
        </w:rPr>
        <w:t>Табличен списък на нежеланите реакции</w:t>
      </w:r>
    </w:p>
    <w:p w14:paraId="0A78FD76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Честотата на нежеланите реакции се определя, чрез използване на следната конвенция:</w:t>
      </w:r>
    </w:p>
    <w:p w14:paraId="5EA053CF" w14:textId="77777777" w:rsidR="001E0E49" w:rsidRPr="001E0E49" w:rsidRDefault="001E0E49" w:rsidP="001E0E49">
      <w:pPr>
        <w:rPr>
          <w:sz w:val="24"/>
          <w:szCs w:val="24"/>
          <w:lang w:val="bg-BG"/>
        </w:rPr>
      </w:pPr>
      <w:r w:rsidRPr="001E0E49">
        <w:rPr>
          <w:lang w:val="bg-BG" w:eastAsia="bg-BG"/>
        </w:rPr>
        <w:t>Много чести (</w:t>
      </w:r>
      <w:r w:rsidRPr="001E0E49">
        <w:t>≥</w:t>
      </w:r>
      <w:r w:rsidRPr="001E0E49">
        <w:rPr>
          <w:lang w:val="bg-BG" w:eastAsia="bg-BG"/>
        </w:rPr>
        <w:t xml:space="preserve"> 1/10); чести (</w:t>
      </w:r>
      <w:r w:rsidRPr="001E0E49">
        <w:t>≥</w:t>
      </w:r>
      <w:r w:rsidRPr="001E0E49">
        <w:rPr>
          <w:lang w:val="bg-BG" w:eastAsia="bg-BG"/>
        </w:rPr>
        <w:t xml:space="preserve"> 1/100 до &lt;1/10); нечести (</w:t>
      </w:r>
      <w:r w:rsidRPr="001E0E49">
        <w:t>≥</w:t>
      </w:r>
      <w:r w:rsidRPr="001E0E49">
        <w:rPr>
          <w:lang w:val="bg-BG" w:eastAsia="bg-BG"/>
        </w:rPr>
        <w:t xml:space="preserve"> 1/1000 до &lt; 1/100); редки (</w:t>
      </w:r>
      <w:r w:rsidRPr="001E0E49">
        <w:t>≥</w:t>
      </w:r>
      <w:r w:rsidRPr="001E0E49">
        <w:rPr>
          <w:lang w:val="bg-BG" w:eastAsia="bg-BG"/>
        </w:rPr>
        <w:t xml:space="preserve"> 1/10 000 до &lt; 1/1 000); много редки (&lt; 1/10 000), с неизвестна честота (от наличните данни не може да бъде направена оценка).</w:t>
      </w:r>
    </w:p>
    <w:p w14:paraId="0E8115FA" w14:textId="4B05D5EC" w:rsidR="001E0E49" w:rsidRDefault="001E0E49" w:rsidP="001E0E49">
      <w:pPr>
        <w:rPr>
          <w:lang w:val="bg-BG" w:eastAsia="bg-BG"/>
        </w:rPr>
      </w:pPr>
      <w:r w:rsidRPr="001E0E49">
        <w:rPr>
          <w:lang w:val="bg-BG" w:eastAsia="bg-BG"/>
        </w:rPr>
        <w:t>При всяко групиране в зависимост от честотата, нежеланите лекарствени реакции се изброяват в низходящ ред по отношение на тяхната сериозност.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58"/>
        <w:gridCol w:w="1739"/>
        <w:gridCol w:w="1666"/>
        <w:gridCol w:w="1185"/>
        <w:gridCol w:w="1800"/>
      </w:tblGrid>
      <w:tr w:rsidR="00567AEE" w14:paraId="15F7AC4A" w14:textId="77777777" w:rsidTr="00567AEE">
        <w:tc>
          <w:tcPr>
            <w:tcW w:w="1736" w:type="dxa"/>
          </w:tcPr>
          <w:p w14:paraId="43FE8064" w14:textId="77777777" w:rsidR="001E0E49" w:rsidRDefault="001E0E49" w:rsidP="001E0E49"/>
        </w:tc>
        <w:tc>
          <w:tcPr>
            <w:tcW w:w="1465" w:type="dxa"/>
          </w:tcPr>
          <w:p w14:paraId="15904B61" w14:textId="07B9B66E" w:rsidR="001E0E49" w:rsidRDefault="001E0E49" w:rsidP="001E0E49">
            <w:proofErr w:type="spellStart"/>
            <w:r>
              <w:t>Чести</w:t>
            </w:r>
            <w:proofErr w:type="spellEnd"/>
          </w:p>
        </w:tc>
        <w:tc>
          <w:tcPr>
            <w:tcW w:w="1703" w:type="dxa"/>
          </w:tcPr>
          <w:p w14:paraId="5BA893EA" w14:textId="7A9848DD" w:rsidR="001E0E49" w:rsidRDefault="001E0E49" w:rsidP="001E0E49">
            <w:proofErr w:type="spellStart"/>
            <w:r>
              <w:t>Нечести</w:t>
            </w:r>
            <w:proofErr w:type="spellEnd"/>
          </w:p>
        </w:tc>
        <w:tc>
          <w:tcPr>
            <w:tcW w:w="1674" w:type="dxa"/>
          </w:tcPr>
          <w:p w14:paraId="6D3F6361" w14:textId="3F303B40" w:rsidR="001E0E49" w:rsidRDefault="001E0E49" w:rsidP="001E0E49">
            <w:proofErr w:type="spellStart"/>
            <w:r>
              <w:t>Редки</w:t>
            </w:r>
            <w:proofErr w:type="spellEnd"/>
          </w:p>
        </w:tc>
        <w:tc>
          <w:tcPr>
            <w:tcW w:w="1190" w:type="dxa"/>
            <w:vAlign w:val="bottom"/>
          </w:tcPr>
          <w:p w14:paraId="33D4653E" w14:textId="385DCE8E" w:rsidR="001E0E49" w:rsidRDefault="001E0E49" w:rsidP="001E0E49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1808" w:type="dxa"/>
            <w:vAlign w:val="bottom"/>
          </w:tcPr>
          <w:p w14:paraId="763CCFAA" w14:textId="01CA024B" w:rsidR="001E0E49" w:rsidRDefault="001E0E49" w:rsidP="001E0E49">
            <w:r>
              <w:t xml:space="preserve">С </w:t>
            </w:r>
            <w:proofErr w:type="spellStart"/>
            <w:r>
              <w:t>неизвестна</w:t>
            </w:r>
            <w:proofErr w:type="spellEnd"/>
            <w:r>
              <w:t xml:space="preserve"> </w:t>
            </w:r>
            <w:proofErr w:type="spellStart"/>
            <w:r>
              <w:t>честота</w:t>
            </w:r>
            <w:proofErr w:type="spellEnd"/>
          </w:p>
        </w:tc>
      </w:tr>
      <w:tr w:rsidR="00567AEE" w14:paraId="493DB396" w14:textId="77777777" w:rsidTr="00567AEE">
        <w:tc>
          <w:tcPr>
            <w:tcW w:w="1736" w:type="dxa"/>
          </w:tcPr>
          <w:p w14:paraId="59994C5A" w14:textId="3DC6AF85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кръвта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лимфната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система</w:t>
            </w:r>
            <w:proofErr w:type="spellEnd"/>
          </w:p>
        </w:tc>
        <w:tc>
          <w:tcPr>
            <w:tcW w:w="1465" w:type="dxa"/>
          </w:tcPr>
          <w:p w14:paraId="6912FEBF" w14:textId="77777777" w:rsidR="001E0E49" w:rsidRDefault="001E0E49" w:rsidP="001E0E49"/>
        </w:tc>
        <w:tc>
          <w:tcPr>
            <w:tcW w:w="1703" w:type="dxa"/>
          </w:tcPr>
          <w:p w14:paraId="18C3CE5D" w14:textId="0A48449C" w:rsidR="001E0E49" w:rsidRDefault="001E0E49" w:rsidP="001E0E49">
            <w:proofErr w:type="spellStart"/>
            <w:r>
              <w:t>Еозинофилия</w:t>
            </w:r>
            <w:proofErr w:type="spellEnd"/>
          </w:p>
        </w:tc>
        <w:tc>
          <w:tcPr>
            <w:tcW w:w="1674" w:type="dxa"/>
            <w:vAlign w:val="bottom"/>
          </w:tcPr>
          <w:p w14:paraId="2AD08B9F" w14:textId="117CBD23" w:rsidR="001E0E49" w:rsidRDefault="001E0E49" w:rsidP="001E0E49">
            <w:proofErr w:type="spellStart"/>
            <w:r>
              <w:t>Понижен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белите</w:t>
            </w:r>
            <w:proofErr w:type="spellEnd"/>
            <w:r>
              <w:t xml:space="preserve"> </w:t>
            </w:r>
            <w:proofErr w:type="spellStart"/>
            <w:r>
              <w:t>кръвни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 (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неутропения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агрануло</w:t>
            </w:r>
            <w:proofErr w:type="spellEnd"/>
            <w:r>
              <w:t xml:space="preserve">- </w:t>
            </w:r>
            <w:proofErr w:type="spellStart"/>
            <w:r>
              <w:t>цитоза</w:t>
            </w:r>
            <w:proofErr w:type="spellEnd"/>
            <w:r>
              <w:t xml:space="preserve">), </w:t>
            </w:r>
            <w:proofErr w:type="spellStart"/>
            <w:r>
              <w:t>понижен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</w:t>
            </w:r>
            <w:proofErr w:type="spellStart"/>
            <w:r>
              <w:t>червени</w:t>
            </w:r>
            <w:proofErr w:type="spellEnd"/>
            <w:r>
              <w:t xml:space="preserve"> </w:t>
            </w:r>
            <w:proofErr w:type="spellStart"/>
            <w:r>
              <w:t>кръвни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, </w:t>
            </w:r>
            <w:proofErr w:type="spellStart"/>
            <w:r>
              <w:t>намален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хемоглобин</w:t>
            </w:r>
            <w:proofErr w:type="spellEnd"/>
            <w:r>
              <w:t xml:space="preserve">, </w:t>
            </w:r>
            <w:proofErr w:type="spellStart"/>
            <w:r>
              <w:t>намален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</w:t>
            </w:r>
            <w:proofErr w:type="spellStart"/>
            <w:r>
              <w:t>тромбоцити</w:t>
            </w:r>
            <w:proofErr w:type="spellEnd"/>
          </w:p>
        </w:tc>
        <w:tc>
          <w:tcPr>
            <w:tcW w:w="1190" w:type="dxa"/>
            <w:vAlign w:val="bottom"/>
          </w:tcPr>
          <w:p w14:paraId="1D891154" w14:textId="77777777" w:rsidR="001E0E49" w:rsidRDefault="001E0E49" w:rsidP="001E0E49"/>
        </w:tc>
        <w:tc>
          <w:tcPr>
            <w:tcW w:w="1808" w:type="dxa"/>
            <w:vAlign w:val="bottom"/>
          </w:tcPr>
          <w:p w14:paraId="2E6A90B1" w14:textId="79709E7C" w:rsidR="001E0E49" w:rsidRDefault="001E0E49" w:rsidP="001E0E49">
            <w:proofErr w:type="spellStart"/>
            <w:r>
              <w:t>Костно</w:t>
            </w:r>
            <w:proofErr w:type="spellEnd"/>
            <w:r>
              <w:t xml:space="preserve">- </w:t>
            </w:r>
            <w:proofErr w:type="spellStart"/>
            <w:r>
              <w:t>мозъчна</w:t>
            </w:r>
            <w:proofErr w:type="spellEnd"/>
            <w:r>
              <w:t xml:space="preserve"> </w:t>
            </w:r>
            <w:proofErr w:type="spellStart"/>
            <w:r>
              <w:t>супресия</w:t>
            </w:r>
            <w:proofErr w:type="spellEnd"/>
            <w:r>
              <w:t xml:space="preserve">, </w:t>
            </w:r>
            <w:proofErr w:type="spellStart"/>
            <w:r>
              <w:t>панцитопения</w:t>
            </w:r>
            <w:proofErr w:type="spellEnd"/>
            <w:r>
              <w:t xml:space="preserve">, </w:t>
            </w:r>
            <w:proofErr w:type="spellStart"/>
            <w:r>
              <w:t>хемолитична</w:t>
            </w:r>
            <w:proofErr w:type="spellEnd"/>
            <w:r>
              <w:t xml:space="preserve"> </w:t>
            </w:r>
            <w:proofErr w:type="spellStart"/>
            <w:r>
              <w:t>анемия</w:t>
            </w:r>
            <w:proofErr w:type="spellEnd"/>
          </w:p>
        </w:tc>
      </w:tr>
      <w:tr w:rsidR="00567AEE" w14:paraId="267238B7" w14:textId="77777777" w:rsidTr="00567AEE">
        <w:tc>
          <w:tcPr>
            <w:tcW w:w="1736" w:type="dxa"/>
          </w:tcPr>
          <w:p w14:paraId="68281047" w14:textId="77777777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</w:p>
          <w:p w14:paraId="5F1F60CD" w14:textId="64055A98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имунната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система</w:t>
            </w:r>
            <w:proofErr w:type="spellEnd"/>
          </w:p>
        </w:tc>
        <w:tc>
          <w:tcPr>
            <w:tcW w:w="1465" w:type="dxa"/>
          </w:tcPr>
          <w:p w14:paraId="51D1741C" w14:textId="77777777" w:rsidR="001E0E49" w:rsidRDefault="001E0E49" w:rsidP="001E0E49"/>
        </w:tc>
        <w:tc>
          <w:tcPr>
            <w:tcW w:w="1703" w:type="dxa"/>
          </w:tcPr>
          <w:p w14:paraId="6B6035A1" w14:textId="77777777" w:rsidR="001E0E49" w:rsidRDefault="001E0E49" w:rsidP="001E0E49"/>
        </w:tc>
        <w:tc>
          <w:tcPr>
            <w:tcW w:w="1674" w:type="dxa"/>
          </w:tcPr>
          <w:p w14:paraId="64F64B0F" w14:textId="77777777" w:rsidR="001E0E49" w:rsidRDefault="001E0E49" w:rsidP="001E0E49"/>
        </w:tc>
        <w:tc>
          <w:tcPr>
            <w:tcW w:w="1190" w:type="dxa"/>
          </w:tcPr>
          <w:p w14:paraId="57AA7C1A" w14:textId="77777777" w:rsidR="001E0E49" w:rsidRDefault="001E0E49" w:rsidP="001E0E49"/>
        </w:tc>
        <w:tc>
          <w:tcPr>
            <w:tcW w:w="1808" w:type="dxa"/>
            <w:vAlign w:val="bottom"/>
          </w:tcPr>
          <w:p w14:paraId="3C715B27" w14:textId="77777777" w:rsidR="001E0E49" w:rsidRDefault="001E0E49" w:rsidP="001E0E49">
            <w:proofErr w:type="spellStart"/>
            <w:r>
              <w:t>Анафилактични</w:t>
            </w:r>
            <w:proofErr w:type="spellEnd"/>
          </w:p>
          <w:p w14:paraId="4267E2BD" w14:textId="63C2AA27" w:rsidR="001E0E49" w:rsidRDefault="001E0E49" w:rsidP="001E0E49"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анафилактоидни</w:t>
            </w:r>
            <w:proofErr w:type="spell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 xml:space="preserve">, </w:t>
            </w:r>
            <w:proofErr w:type="spellStart"/>
            <w:r>
              <w:t>повишение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антинуклеарни</w:t>
            </w:r>
            <w:proofErr w:type="spellEnd"/>
            <w:r>
              <w:t xml:space="preserve"> </w:t>
            </w:r>
            <w:proofErr w:type="spellStart"/>
            <w:r>
              <w:t>антитела</w:t>
            </w:r>
            <w:proofErr w:type="spellEnd"/>
          </w:p>
        </w:tc>
      </w:tr>
      <w:tr w:rsidR="00567AEE" w14:paraId="11CD2C0F" w14:textId="77777777" w:rsidTr="00567AEE">
        <w:tc>
          <w:tcPr>
            <w:tcW w:w="1736" w:type="dxa"/>
          </w:tcPr>
          <w:p w14:paraId="06F685F9" w14:textId="3E0682D8" w:rsidR="001E0E49" w:rsidRDefault="001E0E49" w:rsidP="001E0E49">
            <w:proofErr w:type="spellStart"/>
            <w:r>
              <w:rPr>
                <w:i/>
                <w:iCs/>
              </w:rPr>
              <w:t>Нарушения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ендокринната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система</w:t>
            </w:r>
            <w:proofErr w:type="spellEnd"/>
          </w:p>
        </w:tc>
        <w:tc>
          <w:tcPr>
            <w:tcW w:w="1465" w:type="dxa"/>
          </w:tcPr>
          <w:p w14:paraId="3A7E4B7E" w14:textId="77777777" w:rsidR="001E0E49" w:rsidRDefault="001E0E49" w:rsidP="001E0E49"/>
        </w:tc>
        <w:tc>
          <w:tcPr>
            <w:tcW w:w="1703" w:type="dxa"/>
          </w:tcPr>
          <w:p w14:paraId="1A22F6CB" w14:textId="77777777" w:rsidR="001E0E49" w:rsidRDefault="001E0E49" w:rsidP="001E0E49"/>
        </w:tc>
        <w:tc>
          <w:tcPr>
            <w:tcW w:w="1674" w:type="dxa"/>
          </w:tcPr>
          <w:p w14:paraId="4A62914D" w14:textId="77777777" w:rsidR="001E0E49" w:rsidRDefault="001E0E49" w:rsidP="001E0E49"/>
        </w:tc>
        <w:tc>
          <w:tcPr>
            <w:tcW w:w="1190" w:type="dxa"/>
          </w:tcPr>
          <w:p w14:paraId="426D22B8" w14:textId="77777777" w:rsidR="001E0E49" w:rsidRDefault="001E0E49" w:rsidP="001E0E49"/>
        </w:tc>
        <w:tc>
          <w:tcPr>
            <w:tcW w:w="1808" w:type="dxa"/>
            <w:vAlign w:val="bottom"/>
          </w:tcPr>
          <w:p w14:paraId="6FD9CE53" w14:textId="1AD668CB" w:rsidR="001E0E49" w:rsidRDefault="001E0E49" w:rsidP="001E0E49">
            <w:proofErr w:type="spellStart"/>
            <w:r>
              <w:t>Синдром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нарушена</w:t>
            </w:r>
            <w:proofErr w:type="spellEnd"/>
            <w:r>
              <w:t xml:space="preserve"> </w:t>
            </w:r>
            <w:proofErr w:type="spellStart"/>
            <w:r>
              <w:t>секреция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антидиуретичен</w:t>
            </w:r>
            <w:proofErr w:type="spellEnd"/>
            <w:r>
              <w:t xml:space="preserve"> </w:t>
            </w:r>
            <w:proofErr w:type="spellStart"/>
            <w:r>
              <w:t>хормон</w:t>
            </w:r>
            <w:proofErr w:type="spellEnd"/>
            <w:r>
              <w:t xml:space="preserve"> (SIADH)</w:t>
            </w:r>
          </w:p>
        </w:tc>
      </w:tr>
      <w:tr w:rsidR="00567AEE" w14:paraId="01CB4011" w14:textId="77777777" w:rsidTr="00567AEE">
        <w:tc>
          <w:tcPr>
            <w:tcW w:w="1736" w:type="dxa"/>
          </w:tcPr>
          <w:p w14:paraId="2E7F02CC" w14:textId="77777777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метаболизма</w:t>
            </w:r>
            <w:proofErr w:type="spellEnd"/>
            <w:r>
              <w:rPr>
                <w:i/>
                <w:iCs/>
                <w:u w:val="single"/>
              </w:rPr>
              <w:t xml:space="preserve"> и</w:t>
            </w:r>
          </w:p>
          <w:p w14:paraId="071FF021" w14:textId="599B17C9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храненето</w:t>
            </w:r>
            <w:proofErr w:type="spellEnd"/>
          </w:p>
        </w:tc>
        <w:tc>
          <w:tcPr>
            <w:tcW w:w="1465" w:type="dxa"/>
            <w:vAlign w:val="bottom"/>
          </w:tcPr>
          <w:p w14:paraId="6F4BC9B3" w14:textId="2DEC6565" w:rsidR="001E0E49" w:rsidRDefault="001E0E49" w:rsidP="001E0E49">
            <w:proofErr w:type="spellStart"/>
            <w:r>
              <w:t>Увеличено</w:t>
            </w:r>
            <w:proofErr w:type="spellEnd"/>
            <w:r>
              <w:t xml:space="preserve"> </w:t>
            </w:r>
            <w:proofErr w:type="spellStart"/>
            <w:r>
              <w:t>съдържание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калий</w:t>
            </w:r>
            <w:proofErr w:type="spellEnd"/>
            <w:r>
              <w:t xml:space="preserve"> в </w:t>
            </w:r>
            <w:proofErr w:type="spellStart"/>
            <w:r>
              <w:t>кръвта</w:t>
            </w:r>
            <w:proofErr w:type="spellEnd"/>
          </w:p>
        </w:tc>
        <w:tc>
          <w:tcPr>
            <w:tcW w:w="1703" w:type="dxa"/>
          </w:tcPr>
          <w:p w14:paraId="4985BC35" w14:textId="60FA9254" w:rsidR="001E0E49" w:rsidRDefault="001E0E49" w:rsidP="001E0E49">
            <w:proofErr w:type="spellStart"/>
            <w:r>
              <w:t>Анорексия</w:t>
            </w:r>
            <w:proofErr w:type="spellEnd"/>
            <w:r>
              <w:t xml:space="preserve"> </w:t>
            </w:r>
            <w:proofErr w:type="spellStart"/>
            <w:r>
              <w:t>намаляване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апетита</w:t>
            </w:r>
            <w:proofErr w:type="spellEnd"/>
          </w:p>
        </w:tc>
        <w:tc>
          <w:tcPr>
            <w:tcW w:w="1674" w:type="dxa"/>
          </w:tcPr>
          <w:p w14:paraId="2A92118D" w14:textId="77777777" w:rsidR="001E0E49" w:rsidRDefault="001E0E49" w:rsidP="001E0E49"/>
        </w:tc>
        <w:tc>
          <w:tcPr>
            <w:tcW w:w="1190" w:type="dxa"/>
          </w:tcPr>
          <w:p w14:paraId="40B80EF6" w14:textId="77777777" w:rsidR="001E0E49" w:rsidRDefault="001E0E49" w:rsidP="001E0E49"/>
        </w:tc>
        <w:tc>
          <w:tcPr>
            <w:tcW w:w="1808" w:type="dxa"/>
          </w:tcPr>
          <w:p w14:paraId="7022CACE" w14:textId="07CC9B07" w:rsidR="001E0E49" w:rsidRDefault="001E0E49" w:rsidP="001E0E49">
            <w:proofErr w:type="spellStart"/>
            <w:r>
              <w:t>Намалено</w:t>
            </w:r>
            <w:proofErr w:type="spellEnd"/>
            <w:r>
              <w:t xml:space="preserve"> </w:t>
            </w:r>
            <w:proofErr w:type="spellStart"/>
            <w:r>
              <w:t>съдържание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натрий</w:t>
            </w:r>
            <w:proofErr w:type="spellEnd"/>
            <w:r>
              <w:t xml:space="preserve"> в </w:t>
            </w:r>
            <w:proofErr w:type="spellStart"/>
            <w:r>
              <w:t>кръвта</w:t>
            </w:r>
            <w:proofErr w:type="spellEnd"/>
          </w:p>
        </w:tc>
      </w:tr>
      <w:tr w:rsidR="00567AEE" w14:paraId="69222947" w14:textId="77777777" w:rsidTr="00567AEE">
        <w:tc>
          <w:tcPr>
            <w:tcW w:w="1736" w:type="dxa"/>
          </w:tcPr>
          <w:p w14:paraId="6D659022" w14:textId="4F640E58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Психични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</w:p>
        </w:tc>
        <w:tc>
          <w:tcPr>
            <w:tcW w:w="1465" w:type="dxa"/>
          </w:tcPr>
          <w:p w14:paraId="6C575EE3" w14:textId="77777777" w:rsidR="001E0E49" w:rsidRDefault="001E0E49" w:rsidP="001E0E49"/>
        </w:tc>
        <w:tc>
          <w:tcPr>
            <w:tcW w:w="1703" w:type="dxa"/>
          </w:tcPr>
          <w:p w14:paraId="6EE02904" w14:textId="4C8725A7" w:rsidR="001E0E49" w:rsidRDefault="001E0E49" w:rsidP="001E0E49">
            <w:proofErr w:type="spellStart"/>
            <w:r>
              <w:t>Депресивно</w:t>
            </w:r>
            <w:proofErr w:type="spellEnd"/>
            <w:r>
              <w:t xml:space="preserve"> </w:t>
            </w:r>
            <w:proofErr w:type="spellStart"/>
            <w:r>
              <w:t>настроение</w:t>
            </w:r>
            <w:proofErr w:type="spellEnd"/>
            <w:r>
              <w:t xml:space="preserve">, </w:t>
            </w:r>
            <w:proofErr w:type="spellStart"/>
            <w:r>
              <w:t>тревожност</w:t>
            </w:r>
            <w:proofErr w:type="spellEnd"/>
            <w:r>
              <w:t xml:space="preserve">, </w:t>
            </w:r>
            <w:proofErr w:type="spellStart"/>
            <w:r>
              <w:t>нервност</w:t>
            </w:r>
            <w:proofErr w:type="spellEnd"/>
            <w:r>
              <w:t xml:space="preserve">, </w:t>
            </w:r>
            <w:proofErr w:type="spellStart"/>
            <w:r>
              <w:t>безпокойство</w:t>
            </w:r>
            <w:proofErr w:type="spellEnd"/>
            <w:r>
              <w:t xml:space="preserve">, </w:t>
            </w:r>
            <w:proofErr w:type="spellStart"/>
            <w:r>
              <w:t>нарушение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съня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сънливост</w:t>
            </w:r>
            <w:proofErr w:type="spellEnd"/>
          </w:p>
        </w:tc>
        <w:tc>
          <w:tcPr>
            <w:tcW w:w="1674" w:type="dxa"/>
          </w:tcPr>
          <w:p w14:paraId="289276B7" w14:textId="77BC4FC8" w:rsidR="001E0E49" w:rsidRDefault="001E0E49" w:rsidP="001E0E49">
            <w:proofErr w:type="spellStart"/>
            <w:r>
              <w:t>Объркване</w:t>
            </w:r>
            <w:proofErr w:type="spellEnd"/>
          </w:p>
        </w:tc>
        <w:tc>
          <w:tcPr>
            <w:tcW w:w="1190" w:type="dxa"/>
          </w:tcPr>
          <w:p w14:paraId="15E1127D" w14:textId="77777777" w:rsidR="001E0E49" w:rsidRDefault="001E0E49" w:rsidP="001E0E49"/>
        </w:tc>
        <w:tc>
          <w:tcPr>
            <w:tcW w:w="1808" w:type="dxa"/>
          </w:tcPr>
          <w:p w14:paraId="768F0E3D" w14:textId="0E4D9CE0" w:rsidR="001E0E49" w:rsidRDefault="001E0E49" w:rsidP="001E0E49">
            <w:proofErr w:type="spellStart"/>
            <w:r>
              <w:t>Нарушение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вниманието</w:t>
            </w:r>
            <w:proofErr w:type="spellEnd"/>
          </w:p>
        </w:tc>
      </w:tr>
      <w:tr w:rsidR="00567AEE" w14:paraId="3E6067B9" w14:textId="77777777" w:rsidTr="00567AEE">
        <w:tc>
          <w:tcPr>
            <w:tcW w:w="1736" w:type="dxa"/>
          </w:tcPr>
          <w:p w14:paraId="5E967104" w14:textId="227EBA01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нервната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система</w:t>
            </w:r>
            <w:proofErr w:type="spellEnd"/>
          </w:p>
        </w:tc>
        <w:tc>
          <w:tcPr>
            <w:tcW w:w="1465" w:type="dxa"/>
          </w:tcPr>
          <w:p w14:paraId="4C7A99B1" w14:textId="72B285FC" w:rsidR="001E0E49" w:rsidRDefault="001E0E49" w:rsidP="001E0E49">
            <w:proofErr w:type="spellStart"/>
            <w:r>
              <w:t>Главоболие</w:t>
            </w:r>
            <w:proofErr w:type="spellEnd"/>
            <w:r>
              <w:t xml:space="preserve">, </w:t>
            </w:r>
            <w:proofErr w:type="spellStart"/>
            <w:r>
              <w:t>замайване</w:t>
            </w:r>
            <w:proofErr w:type="spellEnd"/>
          </w:p>
        </w:tc>
        <w:tc>
          <w:tcPr>
            <w:tcW w:w="1703" w:type="dxa"/>
          </w:tcPr>
          <w:p w14:paraId="16670314" w14:textId="45CB1BA4" w:rsidR="001E0E49" w:rsidRDefault="001E0E49" w:rsidP="001E0E49">
            <w:proofErr w:type="spellStart"/>
            <w:r>
              <w:t>Световъртеж</w:t>
            </w:r>
            <w:proofErr w:type="spellEnd"/>
            <w:r>
              <w:t xml:space="preserve">, </w:t>
            </w:r>
            <w:proofErr w:type="spellStart"/>
            <w:r>
              <w:t>парестезия</w:t>
            </w:r>
            <w:proofErr w:type="spellEnd"/>
            <w:r>
              <w:t xml:space="preserve">, </w:t>
            </w:r>
            <w:proofErr w:type="spellStart"/>
            <w:r>
              <w:t>агеузия</w:t>
            </w:r>
            <w:proofErr w:type="spellEnd"/>
            <w:r>
              <w:t xml:space="preserve">, </w:t>
            </w:r>
            <w:proofErr w:type="spellStart"/>
            <w:r>
              <w:t>дисгеузия</w:t>
            </w:r>
            <w:proofErr w:type="spellEnd"/>
          </w:p>
        </w:tc>
        <w:tc>
          <w:tcPr>
            <w:tcW w:w="1674" w:type="dxa"/>
          </w:tcPr>
          <w:p w14:paraId="08EDDFB3" w14:textId="1BF04F9A" w:rsidR="001E0E49" w:rsidRDefault="001E0E49" w:rsidP="001E0E49">
            <w:proofErr w:type="spellStart"/>
            <w:r>
              <w:t>Тремор</w:t>
            </w:r>
            <w:proofErr w:type="spellEnd"/>
            <w:r>
              <w:t xml:space="preserve">, </w:t>
            </w:r>
            <w:proofErr w:type="spellStart"/>
            <w:r>
              <w:t>нарушено</w:t>
            </w:r>
            <w:proofErr w:type="spellEnd"/>
            <w:r>
              <w:t xml:space="preserve"> </w:t>
            </w:r>
            <w:proofErr w:type="spellStart"/>
            <w:r>
              <w:t>равновесие</w:t>
            </w:r>
            <w:proofErr w:type="spellEnd"/>
          </w:p>
        </w:tc>
        <w:tc>
          <w:tcPr>
            <w:tcW w:w="1190" w:type="dxa"/>
          </w:tcPr>
          <w:p w14:paraId="28AB89CE" w14:textId="77777777" w:rsidR="001E0E49" w:rsidRDefault="001E0E49" w:rsidP="001E0E49"/>
        </w:tc>
        <w:tc>
          <w:tcPr>
            <w:tcW w:w="1808" w:type="dxa"/>
            <w:vAlign w:val="bottom"/>
          </w:tcPr>
          <w:p w14:paraId="57D26B04" w14:textId="6D2A856F" w:rsidR="001E0E49" w:rsidRDefault="001E0E49" w:rsidP="001E0E49">
            <w:proofErr w:type="spellStart"/>
            <w:r>
              <w:t>Мозъчна</w:t>
            </w:r>
            <w:proofErr w:type="spellEnd"/>
            <w:r>
              <w:t xml:space="preserve"> </w:t>
            </w:r>
            <w:proofErr w:type="spellStart"/>
            <w:r>
              <w:t>исхемия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исхемичен</w:t>
            </w:r>
            <w:proofErr w:type="spellEnd"/>
            <w:r>
              <w:t xml:space="preserve"> </w:t>
            </w:r>
            <w:proofErr w:type="spellStart"/>
            <w:r>
              <w:t>инсулт</w:t>
            </w:r>
            <w:proofErr w:type="spellEnd"/>
            <w:r>
              <w:t xml:space="preserve"> и </w:t>
            </w:r>
            <w:proofErr w:type="spellStart"/>
            <w:r>
              <w:t>транзиторна</w:t>
            </w:r>
            <w:proofErr w:type="spellEnd"/>
            <w:r>
              <w:t xml:space="preserve"> </w:t>
            </w:r>
            <w:proofErr w:type="spellStart"/>
            <w:r>
              <w:t>исхемична</w:t>
            </w:r>
            <w:proofErr w:type="spellEnd"/>
            <w:r>
              <w:t xml:space="preserve"> </w:t>
            </w:r>
            <w:proofErr w:type="spellStart"/>
            <w:r>
              <w:t>атака</w:t>
            </w:r>
            <w:proofErr w:type="spellEnd"/>
            <w:r>
              <w:t xml:space="preserve">, </w:t>
            </w:r>
            <w:proofErr w:type="spellStart"/>
            <w:r>
              <w:t>психомоторни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  <w:r>
              <w:t xml:space="preserve">, </w:t>
            </w:r>
            <w:proofErr w:type="spellStart"/>
            <w:r>
              <w:t>усещане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парене</w:t>
            </w:r>
            <w:proofErr w:type="spellEnd"/>
            <w:r>
              <w:t xml:space="preserve">, </w:t>
            </w:r>
            <w:proofErr w:type="spellStart"/>
            <w:r>
              <w:t>паросмия</w:t>
            </w:r>
            <w:proofErr w:type="spellEnd"/>
          </w:p>
        </w:tc>
      </w:tr>
      <w:tr w:rsidR="00567AEE" w14:paraId="3BD7E2F9" w14:textId="77777777" w:rsidTr="00567AEE">
        <w:tc>
          <w:tcPr>
            <w:tcW w:w="1736" w:type="dxa"/>
          </w:tcPr>
          <w:p w14:paraId="1377F3EF" w14:textId="134DDFE6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очите</w:t>
            </w:r>
            <w:proofErr w:type="spellEnd"/>
          </w:p>
        </w:tc>
        <w:tc>
          <w:tcPr>
            <w:tcW w:w="1465" w:type="dxa"/>
          </w:tcPr>
          <w:p w14:paraId="7BD5D57D" w14:textId="77777777" w:rsidR="001E0E49" w:rsidRDefault="001E0E49" w:rsidP="001E0E49"/>
        </w:tc>
        <w:tc>
          <w:tcPr>
            <w:tcW w:w="1703" w:type="dxa"/>
            <w:vAlign w:val="bottom"/>
          </w:tcPr>
          <w:p w14:paraId="556C090E" w14:textId="2D9335AD" w:rsidR="001E0E49" w:rsidRDefault="001E0E49" w:rsidP="001E0E49">
            <w:proofErr w:type="spellStart"/>
            <w:r>
              <w:t>Зрителни</w:t>
            </w:r>
            <w:proofErr w:type="spellEnd"/>
            <w:r>
              <w:t xml:space="preserve"> </w:t>
            </w:r>
            <w:proofErr w:type="spellStart"/>
            <w:r>
              <w:t>смущения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замъглено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виждане</w:t>
            </w:r>
            <w:proofErr w:type="spellEnd"/>
          </w:p>
        </w:tc>
        <w:tc>
          <w:tcPr>
            <w:tcW w:w="1674" w:type="dxa"/>
          </w:tcPr>
          <w:p w14:paraId="2CA4469D" w14:textId="037EED64" w:rsidR="001E0E49" w:rsidRDefault="001E0E49" w:rsidP="001E0E49">
            <w:proofErr w:type="spellStart"/>
            <w:r>
              <w:lastRenderedPageBreak/>
              <w:t>Конюктивит</w:t>
            </w:r>
            <w:proofErr w:type="spellEnd"/>
          </w:p>
        </w:tc>
        <w:tc>
          <w:tcPr>
            <w:tcW w:w="1190" w:type="dxa"/>
          </w:tcPr>
          <w:p w14:paraId="3535B76C" w14:textId="77777777" w:rsidR="001E0E49" w:rsidRDefault="001E0E49" w:rsidP="001E0E49"/>
        </w:tc>
        <w:tc>
          <w:tcPr>
            <w:tcW w:w="1808" w:type="dxa"/>
          </w:tcPr>
          <w:p w14:paraId="68CA8186" w14:textId="77777777" w:rsidR="001E0E49" w:rsidRDefault="001E0E49" w:rsidP="001E0E49"/>
        </w:tc>
      </w:tr>
      <w:tr w:rsidR="00567AEE" w14:paraId="301C5740" w14:textId="77777777" w:rsidTr="00567AEE">
        <w:tc>
          <w:tcPr>
            <w:tcW w:w="1736" w:type="dxa"/>
            <w:vAlign w:val="bottom"/>
          </w:tcPr>
          <w:p w14:paraId="642B3682" w14:textId="3765CA01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ухото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</w:rPr>
              <w:t>лаб</w:t>
            </w:r>
            <w:r>
              <w:rPr>
                <w:i/>
                <w:iCs/>
                <w:u w:val="single"/>
              </w:rPr>
              <w:t>иринта</w:t>
            </w:r>
            <w:proofErr w:type="spellEnd"/>
          </w:p>
        </w:tc>
        <w:tc>
          <w:tcPr>
            <w:tcW w:w="1465" w:type="dxa"/>
          </w:tcPr>
          <w:p w14:paraId="68D70113" w14:textId="77777777" w:rsidR="001E0E49" w:rsidRDefault="001E0E49" w:rsidP="001E0E49"/>
        </w:tc>
        <w:tc>
          <w:tcPr>
            <w:tcW w:w="1703" w:type="dxa"/>
          </w:tcPr>
          <w:p w14:paraId="1B512CAB" w14:textId="77777777" w:rsidR="001E0E49" w:rsidRDefault="001E0E49" w:rsidP="001E0E49"/>
        </w:tc>
        <w:tc>
          <w:tcPr>
            <w:tcW w:w="1674" w:type="dxa"/>
          </w:tcPr>
          <w:p w14:paraId="142B4BC7" w14:textId="57035670" w:rsidR="001E0E49" w:rsidRDefault="001E0E49" w:rsidP="001E0E49">
            <w:proofErr w:type="spellStart"/>
            <w:r>
              <w:t>Увреждане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слуха</w:t>
            </w:r>
            <w:proofErr w:type="spellEnd"/>
            <w:r>
              <w:t xml:space="preserve">, </w:t>
            </w:r>
            <w:proofErr w:type="spellStart"/>
            <w:r>
              <w:t>тинитус</w:t>
            </w:r>
            <w:proofErr w:type="spellEnd"/>
          </w:p>
        </w:tc>
        <w:tc>
          <w:tcPr>
            <w:tcW w:w="1190" w:type="dxa"/>
          </w:tcPr>
          <w:p w14:paraId="5C06D8D9" w14:textId="77777777" w:rsidR="001E0E49" w:rsidRDefault="001E0E49" w:rsidP="001E0E49"/>
        </w:tc>
        <w:tc>
          <w:tcPr>
            <w:tcW w:w="1808" w:type="dxa"/>
          </w:tcPr>
          <w:p w14:paraId="0DB9E895" w14:textId="77777777" w:rsidR="001E0E49" w:rsidRDefault="001E0E49" w:rsidP="001E0E49"/>
        </w:tc>
      </w:tr>
      <w:tr w:rsidR="00567AEE" w14:paraId="11927048" w14:textId="77777777" w:rsidTr="00567AEE">
        <w:tc>
          <w:tcPr>
            <w:tcW w:w="1736" w:type="dxa"/>
          </w:tcPr>
          <w:p w14:paraId="4A4BF1CA" w14:textId="3617EADE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Сърдечни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</w:p>
        </w:tc>
        <w:tc>
          <w:tcPr>
            <w:tcW w:w="1465" w:type="dxa"/>
          </w:tcPr>
          <w:p w14:paraId="5E87AD6B" w14:textId="77777777" w:rsidR="001E0E49" w:rsidRDefault="001E0E49" w:rsidP="001E0E49"/>
        </w:tc>
        <w:tc>
          <w:tcPr>
            <w:tcW w:w="1703" w:type="dxa"/>
            <w:vAlign w:val="bottom"/>
          </w:tcPr>
          <w:p w14:paraId="1614D650" w14:textId="4E9A1ADE" w:rsidR="001E0E49" w:rsidRDefault="001E0E49" w:rsidP="001E0E49">
            <w:proofErr w:type="spellStart"/>
            <w:r>
              <w:t>Миокардна</w:t>
            </w:r>
            <w:proofErr w:type="spellEnd"/>
            <w:r>
              <w:t xml:space="preserve"> </w:t>
            </w:r>
            <w:proofErr w:type="spellStart"/>
            <w:r>
              <w:t>исхемия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ангина</w:t>
            </w:r>
            <w:proofErr w:type="spellEnd"/>
            <w:r>
              <w:t xml:space="preserve"> </w:t>
            </w:r>
            <w:proofErr w:type="spellStart"/>
            <w:r>
              <w:t>пекторис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миокарден</w:t>
            </w:r>
            <w:proofErr w:type="spellEnd"/>
            <w:r>
              <w:t xml:space="preserve"> </w:t>
            </w:r>
            <w:proofErr w:type="spellStart"/>
            <w:r>
              <w:t>инфаркт</w:t>
            </w:r>
            <w:proofErr w:type="spellEnd"/>
            <w:r>
              <w:t xml:space="preserve">, </w:t>
            </w:r>
            <w:proofErr w:type="spellStart"/>
            <w:r>
              <w:t>тахикардия</w:t>
            </w:r>
            <w:proofErr w:type="spellEnd"/>
            <w:r>
              <w:t xml:space="preserve">, </w:t>
            </w:r>
            <w:proofErr w:type="spellStart"/>
            <w:r>
              <w:t>аритмия</w:t>
            </w:r>
            <w:proofErr w:type="spellEnd"/>
            <w:r>
              <w:t xml:space="preserve">, </w:t>
            </w:r>
            <w:proofErr w:type="spellStart"/>
            <w:r>
              <w:t>палпитации</w:t>
            </w:r>
            <w:proofErr w:type="spellEnd"/>
            <w:r>
              <w:t xml:space="preserve">, </w:t>
            </w:r>
            <w:proofErr w:type="spellStart"/>
            <w:r>
              <w:t>периферен</w:t>
            </w:r>
            <w:proofErr w:type="spellEnd"/>
            <w:r>
              <w:t xml:space="preserve"> </w:t>
            </w:r>
            <w:proofErr w:type="spellStart"/>
            <w:r>
              <w:t>едем</w:t>
            </w:r>
            <w:proofErr w:type="spellEnd"/>
          </w:p>
        </w:tc>
        <w:tc>
          <w:tcPr>
            <w:tcW w:w="1674" w:type="dxa"/>
          </w:tcPr>
          <w:p w14:paraId="386E78E1" w14:textId="77777777" w:rsidR="001E0E49" w:rsidRDefault="001E0E49" w:rsidP="001E0E49"/>
        </w:tc>
        <w:tc>
          <w:tcPr>
            <w:tcW w:w="1190" w:type="dxa"/>
          </w:tcPr>
          <w:p w14:paraId="012023F6" w14:textId="77777777" w:rsidR="001E0E49" w:rsidRDefault="001E0E49" w:rsidP="001E0E49"/>
        </w:tc>
        <w:tc>
          <w:tcPr>
            <w:tcW w:w="1808" w:type="dxa"/>
          </w:tcPr>
          <w:p w14:paraId="49104E23" w14:textId="77777777" w:rsidR="001E0E49" w:rsidRDefault="001E0E49" w:rsidP="001E0E49"/>
        </w:tc>
      </w:tr>
      <w:tr w:rsidR="00567AEE" w14:paraId="4DE071EB" w14:textId="77777777" w:rsidTr="00567AEE">
        <w:tc>
          <w:tcPr>
            <w:tcW w:w="1736" w:type="dxa"/>
          </w:tcPr>
          <w:p w14:paraId="39EA37BF" w14:textId="407D818A" w:rsidR="001E0E49" w:rsidRDefault="001E0E49" w:rsidP="001E0E49">
            <w:proofErr w:type="spellStart"/>
            <w:r>
              <w:t>Съдови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1465" w:type="dxa"/>
            <w:vAlign w:val="bottom"/>
          </w:tcPr>
          <w:p w14:paraId="6799CB23" w14:textId="77777777" w:rsidR="001E0E49" w:rsidRPr="001E0E49" w:rsidRDefault="001E0E49" w:rsidP="001E0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t>Хипотония</w:t>
            </w:r>
            <w:proofErr w:type="spellEnd"/>
            <w:r>
              <w:t xml:space="preserve">, </w:t>
            </w:r>
            <w:proofErr w:type="spellStart"/>
            <w:r>
              <w:t>ортостатично</w:t>
            </w:r>
            <w:proofErr w:type="spellEnd"/>
            <w:r>
              <w:t xml:space="preserve"> </w:t>
            </w:r>
            <w:proofErr w:type="spellStart"/>
            <w:r>
              <w:t>намаляване</w:t>
            </w:r>
            <w:proofErr w:type="spellEnd"/>
            <w:r>
              <w:rPr>
                <w:lang w:val="bg-BG"/>
              </w:rPr>
              <w:t xml:space="preserve"> </w:t>
            </w:r>
            <w:r w:rsidRPr="001E0E49">
              <w:rPr>
                <w:lang w:val="bg-BG" w:eastAsia="bg-BG"/>
              </w:rPr>
              <w:t xml:space="preserve">на кръвното налягане, </w:t>
            </w:r>
            <w:proofErr w:type="spellStart"/>
            <w:r w:rsidRPr="001E0E49">
              <w:rPr>
                <w:lang w:val="bg-BG" w:eastAsia="bg-BG"/>
              </w:rPr>
              <w:t>синкоп</w:t>
            </w:r>
            <w:proofErr w:type="spellEnd"/>
          </w:p>
          <w:p w14:paraId="69698010" w14:textId="1212EE2F" w:rsidR="001E0E49" w:rsidRPr="001E0E49" w:rsidRDefault="001E0E49" w:rsidP="001E0E49">
            <w:pPr>
              <w:rPr>
                <w:lang w:val="bg-BG"/>
              </w:rPr>
            </w:pPr>
          </w:p>
        </w:tc>
        <w:tc>
          <w:tcPr>
            <w:tcW w:w="1703" w:type="dxa"/>
          </w:tcPr>
          <w:p w14:paraId="52BDF2FE" w14:textId="4D669F34" w:rsidR="001E0E49" w:rsidRDefault="001E0E49" w:rsidP="001E0E49">
            <w:proofErr w:type="spellStart"/>
            <w:r>
              <w:t>Зачервяване</w:t>
            </w:r>
            <w:proofErr w:type="spellEnd"/>
          </w:p>
          <w:p w14:paraId="0F62D250" w14:textId="57577F5D" w:rsidR="001E0E49" w:rsidRDefault="001E0E49" w:rsidP="001E0E49"/>
        </w:tc>
        <w:tc>
          <w:tcPr>
            <w:tcW w:w="1674" w:type="dxa"/>
            <w:vAlign w:val="bottom"/>
          </w:tcPr>
          <w:p w14:paraId="114A05AA" w14:textId="77777777" w:rsidR="001E0E49" w:rsidRDefault="001E0E49" w:rsidP="001E0E49">
            <w:proofErr w:type="spellStart"/>
            <w:r>
              <w:t>Съдова</w:t>
            </w:r>
            <w:proofErr w:type="spellEnd"/>
            <w:r>
              <w:t xml:space="preserve"> </w:t>
            </w:r>
            <w:proofErr w:type="spellStart"/>
            <w:r>
              <w:t>стеноза</w:t>
            </w:r>
            <w:proofErr w:type="spellEnd"/>
            <w:r>
              <w:t xml:space="preserve">, </w:t>
            </w:r>
            <w:proofErr w:type="spellStart"/>
            <w:r>
              <w:t>хипоперфузия</w:t>
            </w:r>
            <w:proofErr w:type="spellEnd"/>
            <w:r>
              <w:t>,</w:t>
            </w:r>
          </w:p>
          <w:p w14:paraId="3DF9B3B4" w14:textId="77777777" w:rsidR="001E0E49" w:rsidRPr="001E0E49" w:rsidRDefault="001E0E49" w:rsidP="001E0E49">
            <w:pPr>
              <w:rPr>
                <w:sz w:val="24"/>
                <w:szCs w:val="24"/>
                <w:lang w:val="bg-BG"/>
              </w:rPr>
            </w:pPr>
            <w:proofErr w:type="spellStart"/>
            <w:r w:rsidRPr="001E0E49">
              <w:rPr>
                <w:lang w:val="bg-BG" w:eastAsia="bg-BG"/>
              </w:rPr>
              <w:t>васкулит</w:t>
            </w:r>
            <w:proofErr w:type="spellEnd"/>
          </w:p>
          <w:p w14:paraId="5D2AFB23" w14:textId="7A11A092" w:rsidR="001E0E49" w:rsidRDefault="001E0E49" w:rsidP="001E0E49"/>
        </w:tc>
        <w:tc>
          <w:tcPr>
            <w:tcW w:w="1190" w:type="dxa"/>
          </w:tcPr>
          <w:p w14:paraId="54F150C5" w14:textId="77777777" w:rsidR="001E0E49" w:rsidRDefault="001E0E49" w:rsidP="001E0E49"/>
        </w:tc>
        <w:tc>
          <w:tcPr>
            <w:tcW w:w="1808" w:type="dxa"/>
          </w:tcPr>
          <w:p w14:paraId="2179530D" w14:textId="77777777" w:rsidR="001E0E49" w:rsidRPr="001E0E49" w:rsidRDefault="001E0E49" w:rsidP="001E0E49">
            <w:pPr>
              <w:rPr>
                <w:sz w:val="24"/>
                <w:szCs w:val="24"/>
                <w:lang w:val="bg-BG"/>
              </w:rPr>
            </w:pPr>
            <w:r w:rsidRPr="001E0E49">
              <w:rPr>
                <w:lang w:val="bg-BG" w:eastAsia="bg-BG"/>
              </w:rPr>
              <w:t>Синдром на</w:t>
            </w:r>
          </w:p>
          <w:p w14:paraId="48B4745A" w14:textId="4673E254" w:rsidR="001E0E49" w:rsidRDefault="001E0E49" w:rsidP="001E0E49">
            <w:r w:rsidRPr="001E0E49">
              <w:rPr>
                <w:lang w:val="bg-BG" w:eastAsia="bg-BG"/>
              </w:rPr>
              <w:t>Рейни</w:t>
            </w:r>
          </w:p>
        </w:tc>
      </w:tr>
      <w:tr w:rsidR="00567AEE" w14:paraId="00A2B35D" w14:textId="77777777" w:rsidTr="00567AEE">
        <w:tc>
          <w:tcPr>
            <w:tcW w:w="1736" w:type="dxa"/>
          </w:tcPr>
          <w:p w14:paraId="367F1A51" w14:textId="2DEEA8EC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Респираторни</w:t>
            </w:r>
            <w:proofErr w:type="spellEnd"/>
            <w:r>
              <w:rPr>
                <w:i/>
                <w:iCs/>
                <w:u w:val="single"/>
              </w:rPr>
              <w:t xml:space="preserve">, </w:t>
            </w:r>
            <w:proofErr w:type="spellStart"/>
            <w:r>
              <w:rPr>
                <w:i/>
                <w:iCs/>
                <w:u w:val="single"/>
              </w:rPr>
              <w:t>гръдни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медиастиналн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</w:p>
        </w:tc>
        <w:tc>
          <w:tcPr>
            <w:tcW w:w="1465" w:type="dxa"/>
          </w:tcPr>
          <w:p w14:paraId="45215604" w14:textId="37D3293F" w:rsidR="001E0E49" w:rsidRDefault="001E0E49" w:rsidP="001E0E49">
            <w:proofErr w:type="spellStart"/>
            <w:r>
              <w:t>Непродуктив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дразнеща</w:t>
            </w:r>
            <w:proofErr w:type="spellEnd"/>
            <w:r>
              <w:t xml:space="preserve"> </w:t>
            </w:r>
            <w:proofErr w:type="spellStart"/>
            <w:r>
              <w:t>кашлица</w:t>
            </w:r>
            <w:proofErr w:type="spellEnd"/>
            <w:r>
              <w:t xml:space="preserve">, </w:t>
            </w:r>
            <w:proofErr w:type="spellStart"/>
            <w:r>
              <w:t>бронхит</w:t>
            </w:r>
            <w:proofErr w:type="spellEnd"/>
            <w:r>
              <w:t xml:space="preserve">, </w:t>
            </w:r>
            <w:proofErr w:type="spellStart"/>
            <w:r>
              <w:t>синузит</w:t>
            </w:r>
            <w:proofErr w:type="spellEnd"/>
            <w:r>
              <w:t xml:space="preserve">, </w:t>
            </w:r>
            <w:proofErr w:type="spellStart"/>
            <w:r>
              <w:t>диспнея</w:t>
            </w:r>
            <w:proofErr w:type="spellEnd"/>
          </w:p>
        </w:tc>
        <w:tc>
          <w:tcPr>
            <w:tcW w:w="1703" w:type="dxa"/>
          </w:tcPr>
          <w:p w14:paraId="2AEDA0F6" w14:textId="3AE2229D" w:rsidR="001E0E49" w:rsidRDefault="001E0E49" w:rsidP="001E0E49">
            <w:proofErr w:type="spellStart"/>
            <w:r>
              <w:t>Бронхоспазъм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обострена</w:t>
            </w:r>
            <w:proofErr w:type="spellEnd"/>
            <w:r>
              <w:t xml:space="preserve"> </w:t>
            </w:r>
            <w:proofErr w:type="spellStart"/>
            <w:r>
              <w:t>астма</w:t>
            </w:r>
            <w:proofErr w:type="spellEnd"/>
            <w:r>
              <w:t xml:space="preserve">, </w:t>
            </w:r>
            <w:proofErr w:type="spellStart"/>
            <w:r>
              <w:t>запушен</w:t>
            </w:r>
            <w:proofErr w:type="spellEnd"/>
            <w:r>
              <w:t xml:space="preserve"> </w:t>
            </w:r>
            <w:proofErr w:type="spellStart"/>
            <w:r>
              <w:t>нос</w:t>
            </w:r>
            <w:proofErr w:type="spellEnd"/>
          </w:p>
        </w:tc>
        <w:tc>
          <w:tcPr>
            <w:tcW w:w="1674" w:type="dxa"/>
          </w:tcPr>
          <w:p w14:paraId="7944B81C" w14:textId="77777777" w:rsidR="001E0E49" w:rsidRDefault="001E0E49" w:rsidP="001E0E49"/>
        </w:tc>
        <w:tc>
          <w:tcPr>
            <w:tcW w:w="1190" w:type="dxa"/>
          </w:tcPr>
          <w:p w14:paraId="5C57F398" w14:textId="77777777" w:rsidR="001E0E49" w:rsidRDefault="001E0E49" w:rsidP="001E0E49"/>
        </w:tc>
        <w:tc>
          <w:tcPr>
            <w:tcW w:w="1808" w:type="dxa"/>
          </w:tcPr>
          <w:p w14:paraId="3528FDF0" w14:textId="77777777" w:rsidR="001E0E49" w:rsidRDefault="001E0E49" w:rsidP="001E0E49"/>
        </w:tc>
      </w:tr>
      <w:tr w:rsidR="00567AEE" w14:paraId="258009A7" w14:textId="77777777" w:rsidTr="00567AEE">
        <w:tc>
          <w:tcPr>
            <w:tcW w:w="1736" w:type="dxa"/>
          </w:tcPr>
          <w:p w14:paraId="7CC79BB9" w14:textId="1056BAE1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Стомашно</w:t>
            </w:r>
            <w:proofErr w:type="spellEnd"/>
            <w:r>
              <w:rPr>
                <w:i/>
                <w:iCs/>
                <w:u w:val="single"/>
              </w:rPr>
              <w:t xml:space="preserve">- </w:t>
            </w:r>
            <w:proofErr w:type="spellStart"/>
            <w:r>
              <w:rPr>
                <w:i/>
                <w:iCs/>
                <w:u w:val="single"/>
              </w:rPr>
              <w:t>чревни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</w:p>
        </w:tc>
        <w:tc>
          <w:tcPr>
            <w:tcW w:w="1465" w:type="dxa"/>
          </w:tcPr>
          <w:p w14:paraId="10ADF71B" w14:textId="6A4BF50B" w:rsidR="001E0E49" w:rsidRDefault="001E0E49" w:rsidP="001E0E49">
            <w:proofErr w:type="spellStart"/>
            <w:r>
              <w:t>Стомашно</w:t>
            </w:r>
            <w:proofErr w:type="spellEnd"/>
            <w:r>
              <w:t xml:space="preserve">- </w:t>
            </w:r>
            <w:proofErr w:type="spellStart"/>
            <w:r>
              <w:t>чревно</w:t>
            </w:r>
            <w:proofErr w:type="spellEnd"/>
            <w:r>
              <w:t xml:space="preserve"> </w:t>
            </w:r>
            <w:proofErr w:type="spellStart"/>
            <w:r>
              <w:t>възпаление</w:t>
            </w:r>
            <w:proofErr w:type="spellEnd"/>
            <w:r>
              <w:t xml:space="preserve">, </w:t>
            </w:r>
            <w:proofErr w:type="spellStart"/>
            <w:r>
              <w:t>храносмилат</w:t>
            </w:r>
            <w:proofErr w:type="spellEnd"/>
            <w:r>
              <w:t xml:space="preserve"> </w:t>
            </w:r>
            <w:proofErr w:type="spellStart"/>
            <w:r>
              <w:t>елни</w:t>
            </w:r>
            <w:proofErr w:type="spellEnd"/>
            <w:r>
              <w:t xml:space="preserve"> </w:t>
            </w:r>
            <w:proofErr w:type="spellStart"/>
            <w:r>
              <w:t>смущения</w:t>
            </w:r>
            <w:proofErr w:type="spellEnd"/>
            <w:r>
              <w:t xml:space="preserve">, </w:t>
            </w:r>
            <w:proofErr w:type="spellStart"/>
            <w:r>
              <w:t>коремен</w:t>
            </w:r>
            <w:proofErr w:type="spellEnd"/>
            <w:r>
              <w:t xml:space="preserve"> </w:t>
            </w:r>
            <w:proofErr w:type="spellStart"/>
            <w:r>
              <w:t>дискомфорт</w:t>
            </w:r>
            <w:proofErr w:type="spellEnd"/>
            <w:r>
              <w:t xml:space="preserve">, </w:t>
            </w:r>
            <w:proofErr w:type="spellStart"/>
            <w:r>
              <w:t>диспепсия</w:t>
            </w:r>
            <w:proofErr w:type="spellEnd"/>
            <w:r>
              <w:t xml:space="preserve">, </w:t>
            </w:r>
            <w:proofErr w:type="spellStart"/>
            <w:r>
              <w:t>диария</w:t>
            </w:r>
            <w:proofErr w:type="spellEnd"/>
            <w:r>
              <w:t xml:space="preserve">, </w:t>
            </w:r>
            <w:proofErr w:type="spellStart"/>
            <w:r>
              <w:t>гадене</w:t>
            </w:r>
            <w:proofErr w:type="spellEnd"/>
            <w:r>
              <w:t xml:space="preserve">, </w:t>
            </w:r>
            <w:proofErr w:type="spellStart"/>
            <w:r>
              <w:t>повръщане</w:t>
            </w:r>
            <w:proofErr w:type="spellEnd"/>
          </w:p>
        </w:tc>
        <w:tc>
          <w:tcPr>
            <w:tcW w:w="1703" w:type="dxa"/>
            <w:vAlign w:val="bottom"/>
          </w:tcPr>
          <w:p w14:paraId="7CED7F3A" w14:textId="7F04A6BF" w:rsidR="001E0E49" w:rsidRDefault="001E0E49" w:rsidP="001E0E49">
            <w:proofErr w:type="spellStart"/>
            <w:r>
              <w:t>Панкреатит</w:t>
            </w:r>
            <w:proofErr w:type="spellEnd"/>
            <w:r>
              <w:t xml:space="preserve"> (</w:t>
            </w:r>
            <w:proofErr w:type="spellStart"/>
            <w:r>
              <w:t>случаи</w:t>
            </w:r>
            <w:proofErr w:type="spellEnd"/>
            <w:r>
              <w:t xml:space="preserve"> с </w:t>
            </w:r>
            <w:proofErr w:type="spellStart"/>
            <w:r>
              <w:t>фатален</w:t>
            </w:r>
            <w:proofErr w:type="spellEnd"/>
            <w:r>
              <w:t xml:space="preserve"> </w:t>
            </w:r>
            <w:proofErr w:type="spellStart"/>
            <w:r>
              <w:t>изход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били</w:t>
            </w:r>
            <w:proofErr w:type="spellEnd"/>
            <w:r>
              <w:t xml:space="preserve"> </w:t>
            </w:r>
            <w:proofErr w:type="spellStart"/>
            <w:r>
              <w:t>съобщавани</w:t>
            </w:r>
            <w:proofErr w:type="spellEnd"/>
            <w:r>
              <w:t xml:space="preserve"> </w:t>
            </w:r>
            <w:proofErr w:type="spellStart"/>
            <w:r>
              <w:t>изключително</w:t>
            </w:r>
            <w:proofErr w:type="spellEnd"/>
            <w:r>
              <w:t xml:space="preserve"> </w:t>
            </w:r>
            <w:proofErr w:type="spellStart"/>
            <w:r>
              <w:t>рядко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лечение</w:t>
            </w:r>
            <w:proofErr w:type="spellEnd"/>
            <w:r>
              <w:t xml:space="preserve"> с АСЕ - </w:t>
            </w:r>
            <w:proofErr w:type="spellStart"/>
            <w:r>
              <w:t>инхибитори</w:t>
            </w:r>
            <w:proofErr w:type="spellEnd"/>
            <w:r>
              <w:t xml:space="preserve">), </w:t>
            </w:r>
            <w:proofErr w:type="spellStart"/>
            <w:r>
              <w:t>повишаване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панкреасните</w:t>
            </w:r>
            <w:proofErr w:type="spellEnd"/>
            <w:r>
              <w:t xml:space="preserve"> </w:t>
            </w:r>
            <w:proofErr w:type="spellStart"/>
            <w:r>
              <w:t>ензими</w:t>
            </w:r>
            <w:proofErr w:type="spellEnd"/>
            <w:r>
              <w:t xml:space="preserve">, </w:t>
            </w:r>
            <w:proofErr w:type="spellStart"/>
            <w:r>
              <w:t>ангиоедем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тънкото</w:t>
            </w:r>
            <w:proofErr w:type="spellEnd"/>
            <w:r>
              <w:t xml:space="preserve"> </w:t>
            </w:r>
            <w:proofErr w:type="spellStart"/>
            <w:r>
              <w:t>черво</w:t>
            </w:r>
            <w:proofErr w:type="spellEnd"/>
            <w:r>
              <w:t xml:space="preserve">, </w:t>
            </w:r>
            <w:proofErr w:type="spellStart"/>
            <w:r>
              <w:t>коремна</w:t>
            </w:r>
            <w:proofErr w:type="spellEnd"/>
            <w:r>
              <w:t xml:space="preserve"> </w:t>
            </w:r>
            <w:proofErr w:type="spellStart"/>
            <w:r>
              <w:t>болка</w:t>
            </w:r>
            <w:proofErr w:type="spellEnd"/>
            <w:r>
              <w:t xml:space="preserve"> в </w:t>
            </w:r>
            <w:proofErr w:type="spellStart"/>
            <w:r>
              <w:t>горната</w:t>
            </w:r>
            <w:proofErr w:type="spellEnd"/>
            <w:r>
              <w:t xml:space="preserve"> </w:t>
            </w:r>
            <w:proofErr w:type="spellStart"/>
            <w:r>
              <w:t>част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корема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гастрит</w:t>
            </w:r>
            <w:proofErr w:type="spellEnd"/>
            <w:r>
              <w:t xml:space="preserve">, </w:t>
            </w:r>
            <w:proofErr w:type="spellStart"/>
            <w:r>
              <w:t>запек</w:t>
            </w:r>
            <w:proofErr w:type="spellEnd"/>
            <w:r>
              <w:t xml:space="preserve">, </w:t>
            </w:r>
            <w:proofErr w:type="spellStart"/>
            <w:r>
              <w:t>сухота</w:t>
            </w:r>
            <w:proofErr w:type="spellEnd"/>
            <w:r>
              <w:t xml:space="preserve"> в </w:t>
            </w:r>
            <w:proofErr w:type="spellStart"/>
            <w:r>
              <w:t>устата</w:t>
            </w:r>
            <w:proofErr w:type="spellEnd"/>
          </w:p>
        </w:tc>
        <w:tc>
          <w:tcPr>
            <w:tcW w:w="1674" w:type="dxa"/>
          </w:tcPr>
          <w:p w14:paraId="3E36CBA8" w14:textId="707DE1F9" w:rsidR="001E0E49" w:rsidRDefault="001E0E49" w:rsidP="001E0E49">
            <w:proofErr w:type="spellStart"/>
            <w:r>
              <w:lastRenderedPageBreak/>
              <w:t>Глосит</w:t>
            </w:r>
            <w:proofErr w:type="spellEnd"/>
          </w:p>
        </w:tc>
        <w:tc>
          <w:tcPr>
            <w:tcW w:w="1190" w:type="dxa"/>
          </w:tcPr>
          <w:p w14:paraId="572FC1F9" w14:textId="77777777" w:rsidR="001E0E49" w:rsidRDefault="001E0E49" w:rsidP="001E0E49"/>
        </w:tc>
        <w:tc>
          <w:tcPr>
            <w:tcW w:w="1808" w:type="dxa"/>
          </w:tcPr>
          <w:p w14:paraId="5E315468" w14:textId="2852FF93" w:rsidR="001E0E49" w:rsidRDefault="001E0E49" w:rsidP="001E0E49">
            <w:proofErr w:type="spellStart"/>
            <w:r>
              <w:t>Афтозен</w:t>
            </w:r>
            <w:proofErr w:type="spellEnd"/>
            <w:r>
              <w:t xml:space="preserve"> </w:t>
            </w:r>
            <w:proofErr w:type="spellStart"/>
            <w:r>
              <w:t>стоматит</w:t>
            </w:r>
            <w:proofErr w:type="spellEnd"/>
          </w:p>
        </w:tc>
      </w:tr>
      <w:tr w:rsidR="00567AEE" w14:paraId="641DDD57" w14:textId="77777777" w:rsidTr="00567AEE">
        <w:tc>
          <w:tcPr>
            <w:tcW w:w="1736" w:type="dxa"/>
          </w:tcPr>
          <w:p w14:paraId="3BFF066A" w14:textId="13237675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Хепато</w:t>
            </w:r>
            <w:proofErr w:type="spellEnd"/>
            <w:r>
              <w:rPr>
                <w:i/>
                <w:iCs/>
                <w:u w:val="single"/>
              </w:rPr>
              <w:t xml:space="preserve">- </w:t>
            </w:r>
            <w:proofErr w:type="spellStart"/>
            <w:r>
              <w:rPr>
                <w:i/>
                <w:iCs/>
                <w:u w:val="single"/>
              </w:rPr>
              <w:t>билиарни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</w:p>
        </w:tc>
        <w:tc>
          <w:tcPr>
            <w:tcW w:w="1465" w:type="dxa"/>
          </w:tcPr>
          <w:p w14:paraId="41A5D392" w14:textId="77777777" w:rsidR="001E0E49" w:rsidRDefault="001E0E49" w:rsidP="001E0E49"/>
        </w:tc>
        <w:tc>
          <w:tcPr>
            <w:tcW w:w="1703" w:type="dxa"/>
          </w:tcPr>
          <w:p w14:paraId="11B25152" w14:textId="528427FE" w:rsidR="001E0E49" w:rsidRDefault="001E0E49" w:rsidP="001E0E49">
            <w:proofErr w:type="spellStart"/>
            <w:r>
              <w:t>Повишени</w:t>
            </w:r>
            <w:proofErr w:type="spellEnd"/>
            <w:r>
              <w:t xml:space="preserve"> </w:t>
            </w:r>
            <w:proofErr w:type="spellStart"/>
            <w:r>
              <w:t>нива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чернодробните</w:t>
            </w:r>
            <w:proofErr w:type="spellEnd"/>
            <w:r>
              <w:t xml:space="preserve"> </w:t>
            </w:r>
            <w:proofErr w:type="spellStart"/>
            <w:r>
              <w:t>ензими</w:t>
            </w:r>
            <w:proofErr w:type="spellEnd"/>
            <w:r>
              <w:t xml:space="preserve"> и/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свързания</w:t>
            </w:r>
            <w:proofErr w:type="spellEnd"/>
            <w:r>
              <w:t xml:space="preserve"> </w:t>
            </w:r>
            <w:proofErr w:type="spellStart"/>
            <w:r>
              <w:t>билирубин</w:t>
            </w:r>
            <w:proofErr w:type="spellEnd"/>
          </w:p>
        </w:tc>
        <w:tc>
          <w:tcPr>
            <w:tcW w:w="1674" w:type="dxa"/>
          </w:tcPr>
          <w:p w14:paraId="00E682FF" w14:textId="32FF0BAC" w:rsidR="001E0E49" w:rsidRDefault="001E0E49" w:rsidP="001E0E49">
            <w:proofErr w:type="spellStart"/>
            <w:r>
              <w:t>Жълтеница</w:t>
            </w:r>
            <w:proofErr w:type="spellEnd"/>
            <w:r>
              <w:t xml:space="preserve">, </w:t>
            </w:r>
            <w:proofErr w:type="spellStart"/>
            <w:r>
              <w:t>холестатично</w:t>
            </w:r>
            <w:proofErr w:type="spellEnd"/>
            <w:r>
              <w:t xml:space="preserve"> </w:t>
            </w:r>
            <w:proofErr w:type="spellStart"/>
            <w:r>
              <w:t>хепатоцелулар</w:t>
            </w:r>
            <w:proofErr w:type="spellEnd"/>
            <w:r>
              <w:t xml:space="preserve">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увреждане</w:t>
            </w:r>
            <w:proofErr w:type="spellEnd"/>
          </w:p>
        </w:tc>
        <w:tc>
          <w:tcPr>
            <w:tcW w:w="1190" w:type="dxa"/>
          </w:tcPr>
          <w:p w14:paraId="263C19B3" w14:textId="77777777" w:rsidR="001E0E49" w:rsidRDefault="001E0E49" w:rsidP="001E0E49"/>
        </w:tc>
        <w:tc>
          <w:tcPr>
            <w:tcW w:w="1808" w:type="dxa"/>
            <w:vAlign w:val="bottom"/>
          </w:tcPr>
          <w:p w14:paraId="6AB2B02F" w14:textId="7D6F9B80" w:rsidR="001E0E49" w:rsidRDefault="001E0E49" w:rsidP="001E0E49">
            <w:proofErr w:type="spellStart"/>
            <w:r>
              <w:t>Остра</w:t>
            </w:r>
            <w:proofErr w:type="spellEnd"/>
            <w:r>
              <w:t xml:space="preserve"> </w:t>
            </w:r>
            <w:proofErr w:type="spellStart"/>
            <w:r>
              <w:t>чернодробна</w:t>
            </w:r>
            <w:proofErr w:type="spellEnd"/>
            <w:r>
              <w:t xml:space="preserve"> </w:t>
            </w:r>
            <w:proofErr w:type="spellStart"/>
            <w:r>
              <w:t>недостатъчност</w:t>
            </w:r>
            <w:proofErr w:type="spellEnd"/>
            <w:r>
              <w:t xml:space="preserve">, </w:t>
            </w:r>
            <w:proofErr w:type="spellStart"/>
            <w:r>
              <w:t>холестатичен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цитолитичен</w:t>
            </w:r>
            <w:proofErr w:type="spellEnd"/>
            <w:r>
              <w:t xml:space="preserve"> </w:t>
            </w:r>
            <w:proofErr w:type="spellStart"/>
            <w:r>
              <w:t>хепатит</w:t>
            </w:r>
            <w:proofErr w:type="spellEnd"/>
            <w:r>
              <w:t xml:space="preserve"> (</w:t>
            </w:r>
            <w:proofErr w:type="spellStart"/>
            <w:r>
              <w:t>изключително</w:t>
            </w:r>
            <w:proofErr w:type="spellEnd"/>
            <w:r>
              <w:t xml:space="preserve"> </w:t>
            </w:r>
            <w:proofErr w:type="spellStart"/>
            <w:r>
              <w:t>рядко</w:t>
            </w:r>
            <w:proofErr w:type="spellEnd"/>
            <w:r>
              <w:t xml:space="preserve"> с </w:t>
            </w:r>
            <w:proofErr w:type="spellStart"/>
            <w:r>
              <w:t>фатален</w:t>
            </w:r>
            <w:proofErr w:type="spellEnd"/>
            <w:r>
              <w:t xml:space="preserve"> </w:t>
            </w:r>
            <w:proofErr w:type="spellStart"/>
            <w:r>
              <w:t>изход</w:t>
            </w:r>
            <w:proofErr w:type="spellEnd"/>
            <w:r>
              <w:t>).</w:t>
            </w:r>
          </w:p>
        </w:tc>
      </w:tr>
      <w:tr w:rsidR="00567AEE" w14:paraId="32EFF860" w14:textId="77777777" w:rsidTr="00567AEE">
        <w:tc>
          <w:tcPr>
            <w:tcW w:w="1736" w:type="dxa"/>
          </w:tcPr>
          <w:p w14:paraId="68C14817" w14:textId="3DAD6B6C" w:rsidR="001E0E49" w:rsidRDefault="001E0E49" w:rsidP="001E0E49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кожата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подкожната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тъкан</w:t>
            </w:r>
            <w:proofErr w:type="spellEnd"/>
          </w:p>
        </w:tc>
        <w:tc>
          <w:tcPr>
            <w:tcW w:w="1465" w:type="dxa"/>
          </w:tcPr>
          <w:p w14:paraId="40FED3B1" w14:textId="77777777" w:rsidR="001E0E49" w:rsidRDefault="001E0E49" w:rsidP="001E0E49">
            <w:proofErr w:type="spellStart"/>
            <w:r>
              <w:t>Обрив</w:t>
            </w:r>
            <w:proofErr w:type="spellEnd"/>
            <w:r>
              <w:t xml:space="preserve"> </w:t>
            </w:r>
            <w:proofErr w:type="spellStart"/>
            <w:r>
              <w:t>обикновено</w:t>
            </w:r>
            <w:proofErr w:type="spellEnd"/>
          </w:p>
          <w:p w14:paraId="59F7935D" w14:textId="0B0C15C1" w:rsidR="001E0E49" w:rsidRDefault="001E0E49" w:rsidP="001E0E49">
            <w:proofErr w:type="spellStart"/>
            <w:r>
              <w:t>макуло</w:t>
            </w:r>
            <w:proofErr w:type="spellEnd"/>
            <w:r>
              <w:t xml:space="preserve">- </w:t>
            </w:r>
            <w:proofErr w:type="spellStart"/>
            <w:r>
              <w:t>папулозен</w:t>
            </w:r>
            <w:proofErr w:type="spellEnd"/>
          </w:p>
        </w:tc>
        <w:tc>
          <w:tcPr>
            <w:tcW w:w="1703" w:type="dxa"/>
          </w:tcPr>
          <w:p w14:paraId="09DD3E0A" w14:textId="69AB4887" w:rsidR="001E0E49" w:rsidRDefault="001E0E49" w:rsidP="001E0E49">
            <w:proofErr w:type="spellStart"/>
            <w:r>
              <w:t>Ангиоедем</w:t>
            </w:r>
            <w:proofErr w:type="spellEnd"/>
            <w:r>
              <w:t xml:space="preserve">; </w:t>
            </w:r>
            <w:proofErr w:type="spellStart"/>
            <w:r>
              <w:t>изключително</w:t>
            </w:r>
            <w:proofErr w:type="spellEnd"/>
            <w:r>
              <w:t xml:space="preserve"> </w:t>
            </w:r>
            <w:proofErr w:type="spellStart"/>
            <w:r>
              <w:t>рядко</w:t>
            </w:r>
            <w:proofErr w:type="spellEnd"/>
            <w:r>
              <w:t xml:space="preserve"> </w:t>
            </w:r>
            <w:proofErr w:type="spellStart"/>
            <w:r>
              <w:t>обструкция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въздухоносните</w:t>
            </w:r>
            <w:proofErr w:type="spellEnd"/>
            <w:r>
              <w:t xml:space="preserve"> </w:t>
            </w:r>
            <w:proofErr w:type="spellStart"/>
            <w:r>
              <w:t>пътища</w:t>
            </w:r>
            <w:proofErr w:type="spellEnd"/>
            <w:r>
              <w:t xml:space="preserve"> в </w:t>
            </w:r>
            <w:proofErr w:type="spellStart"/>
            <w:r>
              <w:t>резултат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ангиоедем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фатален</w:t>
            </w:r>
            <w:proofErr w:type="spellEnd"/>
            <w:r>
              <w:t xml:space="preserve"> </w:t>
            </w:r>
            <w:proofErr w:type="spellStart"/>
            <w:r>
              <w:t>изход</w:t>
            </w:r>
            <w:proofErr w:type="spellEnd"/>
            <w:r>
              <w:t xml:space="preserve">; </w:t>
            </w:r>
            <w:proofErr w:type="spellStart"/>
            <w:r>
              <w:t>сърбеж</w:t>
            </w:r>
            <w:proofErr w:type="spellEnd"/>
            <w:r>
              <w:t xml:space="preserve">, </w:t>
            </w:r>
            <w:proofErr w:type="spellStart"/>
            <w:r>
              <w:t>хиперхидроза</w:t>
            </w:r>
            <w:proofErr w:type="spellEnd"/>
          </w:p>
        </w:tc>
        <w:tc>
          <w:tcPr>
            <w:tcW w:w="1674" w:type="dxa"/>
          </w:tcPr>
          <w:p w14:paraId="07A1C4A7" w14:textId="6B0A64D1" w:rsidR="001E0E49" w:rsidRDefault="001E0E49" w:rsidP="001E0E49">
            <w:proofErr w:type="spellStart"/>
            <w:r>
              <w:t>Ексфолиативен</w:t>
            </w:r>
            <w:proofErr w:type="spellEnd"/>
            <w:r>
              <w:t xml:space="preserve"> </w:t>
            </w:r>
            <w:proofErr w:type="spellStart"/>
            <w:r>
              <w:t>дерматит</w:t>
            </w:r>
            <w:proofErr w:type="spellEnd"/>
            <w:r>
              <w:t xml:space="preserve">, </w:t>
            </w:r>
            <w:proofErr w:type="spellStart"/>
            <w:r>
              <w:t>уртикария</w:t>
            </w:r>
            <w:proofErr w:type="spellEnd"/>
            <w:r>
              <w:t xml:space="preserve">, </w:t>
            </w:r>
            <w:proofErr w:type="spellStart"/>
            <w:r>
              <w:t>онихолиза</w:t>
            </w:r>
            <w:proofErr w:type="spellEnd"/>
          </w:p>
        </w:tc>
        <w:tc>
          <w:tcPr>
            <w:tcW w:w="1190" w:type="dxa"/>
            <w:vAlign w:val="bottom"/>
          </w:tcPr>
          <w:p w14:paraId="6401E4ED" w14:textId="08CA96D9" w:rsidR="001E0E49" w:rsidRDefault="001E0E49" w:rsidP="001E0E49">
            <w:proofErr w:type="spellStart"/>
            <w:r>
              <w:t>Реакция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фоточувст</w:t>
            </w:r>
            <w:proofErr w:type="spellEnd"/>
            <w:r>
              <w:t xml:space="preserve"> </w:t>
            </w:r>
            <w:proofErr w:type="spellStart"/>
            <w:r>
              <w:t>вителност</w:t>
            </w:r>
            <w:proofErr w:type="spellEnd"/>
          </w:p>
        </w:tc>
        <w:tc>
          <w:tcPr>
            <w:tcW w:w="1808" w:type="dxa"/>
          </w:tcPr>
          <w:p w14:paraId="5F09AC1E" w14:textId="77777777" w:rsidR="001E0E49" w:rsidRDefault="001E0E49" w:rsidP="001E0E49">
            <w:proofErr w:type="spellStart"/>
            <w:r>
              <w:t>Токсична</w:t>
            </w:r>
            <w:proofErr w:type="spellEnd"/>
            <w:r>
              <w:t xml:space="preserve"> </w:t>
            </w:r>
            <w:proofErr w:type="spellStart"/>
            <w:r>
              <w:t>епидермална</w:t>
            </w:r>
            <w:proofErr w:type="spellEnd"/>
            <w:r>
              <w:t xml:space="preserve"> </w:t>
            </w:r>
            <w:proofErr w:type="spellStart"/>
            <w:r>
              <w:t>некролиза</w:t>
            </w:r>
            <w:proofErr w:type="spellEnd"/>
            <w:r>
              <w:t xml:space="preserve">, </w:t>
            </w:r>
            <w:proofErr w:type="spellStart"/>
            <w:r>
              <w:t>синдром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Stevens-Johnson, </w:t>
            </w:r>
            <w:proofErr w:type="spellStart"/>
            <w:r>
              <w:t>еритема</w:t>
            </w:r>
            <w:proofErr w:type="spellEnd"/>
            <w:r>
              <w:t xml:space="preserve"> </w:t>
            </w:r>
            <w:proofErr w:type="spellStart"/>
            <w:r>
              <w:t>мултиформе</w:t>
            </w:r>
            <w:proofErr w:type="spellEnd"/>
            <w:r>
              <w:t xml:space="preserve">, </w:t>
            </w:r>
            <w:proofErr w:type="spellStart"/>
            <w:r>
              <w:t>пемфигус</w:t>
            </w:r>
            <w:proofErr w:type="spellEnd"/>
            <w:r>
              <w:t xml:space="preserve">, </w:t>
            </w:r>
            <w:proofErr w:type="spellStart"/>
            <w:r>
              <w:t>обострен</w:t>
            </w:r>
            <w:proofErr w:type="spellEnd"/>
            <w:r>
              <w:t xml:space="preserve"> </w:t>
            </w:r>
            <w:proofErr w:type="spellStart"/>
            <w:r>
              <w:t>псориазис</w:t>
            </w:r>
            <w:proofErr w:type="spellEnd"/>
            <w:r>
              <w:t xml:space="preserve">, </w:t>
            </w:r>
            <w:proofErr w:type="spellStart"/>
            <w:r>
              <w:t>псориазиформен</w:t>
            </w:r>
            <w:proofErr w:type="spellEnd"/>
            <w:r>
              <w:t xml:space="preserve"> </w:t>
            </w:r>
            <w:proofErr w:type="spellStart"/>
            <w:r>
              <w:t>дерматит</w:t>
            </w:r>
            <w:proofErr w:type="spellEnd"/>
            <w:r>
              <w:t>,</w:t>
            </w:r>
          </w:p>
          <w:p w14:paraId="111CD7F6" w14:textId="77777777" w:rsidR="001E0E49" w:rsidRDefault="001E0E49" w:rsidP="001E0E49">
            <w:proofErr w:type="spellStart"/>
            <w:r>
              <w:t>екзантем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</w:p>
          <w:p w14:paraId="1A95C2C6" w14:textId="77777777" w:rsidR="001E0E49" w:rsidRDefault="001E0E49" w:rsidP="001E0E49">
            <w:proofErr w:type="spellStart"/>
            <w:r>
              <w:t>енантем</w:t>
            </w:r>
            <w:proofErr w:type="spellEnd"/>
            <w:r>
              <w:t>,</w:t>
            </w:r>
          </w:p>
          <w:p w14:paraId="37B84305" w14:textId="7E5DE790" w:rsidR="001E0E49" w:rsidRDefault="001E0E49" w:rsidP="001E0E49">
            <w:proofErr w:type="spellStart"/>
            <w:r>
              <w:t>алопеция</w:t>
            </w:r>
            <w:proofErr w:type="spellEnd"/>
          </w:p>
        </w:tc>
      </w:tr>
      <w:tr w:rsidR="00567AEE" w14:paraId="02315645" w14:textId="77777777" w:rsidTr="00567AEE">
        <w:tc>
          <w:tcPr>
            <w:tcW w:w="1736" w:type="dxa"/>
            <w:vAlign w:val="bottom"/>
          </w:tcPr>
          <w:p w14:paraId="6D556848" w14:textId="77777777" w:rsidR="001E0E49" w:rsidRPr="001E0E49" w:rsidRDefault="001E0E49" w:rsidP="001E0E49">
            <w:pPr>
              <w:rPr>
                <w:sz w:val="24"/>
                <w:szCs w:val="24"/>
                <w:lang w:val="bg-BG"/>
              </w:rPr>
            </w:pPr>
            <w:proofErr w:type="spellStart"/>
            <w:r>
              <w:t>Нарушения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 w:rsidRPr="001E0E49">
              <w:rPr>
                <w:lang w:val="bg-BG"/>
              </w:rPr>
              <w:t xml:space="preserve"> </w:t>
            </w:r>
            <w:r w:rsidRPr="001E0E49">
              <w:rPr>
                <w:lang w:val="bg-BG" w:eastAsia="bg-BG"/>
              </w:rPr>
              <w:t>мускулно- скелетната</w:t>
            </w:r>
          </w:p>
          <w:p w14:paraId="78BFA319" w14:textId="4FEE4D63" w:rsidR="001E0E49" w:rsidRPr="001E0E49" w:rsidRDefault="001E0E49" w:rsidP="001E0E49">
            <w:pPr>
              <w:rPr>
                <w:sz w:val="24"/>
                <w:szCs w:val="24"/>
                <w:lang w:val="bg-BG"/>
              </w:rPr>
            </w:pPr>
            <w:r w:rsidRPr="001E0E49">
              <w:rPr>
                <w:lang w:val="bg-BG" w:eastAsia="bg-BG"/>
              </w:rPr>
              <w:t>система и съединителн</w:t>
            </w:r>
            <w:r w:rsidR="00567AEE">
              <w:rPr>
                <w:lang w:val="bg-BG" w:eastAsia="bg-BG"/>
              </w:rPr>
              <w:t>а</w:t>
            </w:r>
            <w:r w:rsidRPr="001E0E49">
              <w:rPr>
                <w:lang w:val="bg-BG" w:eastAsia="bg-BG"/>
              </w:rPr>
              <w:t>та тъкан</w:t>
            </w:r>
          </w:p>
          <w:p w14:paraId="3B184162" w14:textId="6AE0E13A" w:rsidR="001E0E49" w:rsidRPr="001E0E49" w:rsidRDefault="001E0E49" w:rsidP="001E0E49">
            <w:pPr>
              <w:rPr>
                <w:lang w:val="bg-BG"/>
              </w:rPr>
            </w:pPr>
          </w:p>
        </w:tc>
        <w:tc>
          <w:tcPr>
            <w:tcW w:w="1465" w:type="dxa"/>
            <w:vAlign w:val="bottom"/>
          </w:tcPr>
          <w:p w14:paraId="5CCDB38D" w14:textId="77777777" w:rsidR="001E0E49" w:rsidRDefault="001E0E49" w:rsidP="001E0E49">
            <w:pPr>
              <w:rPr>
                <w:lang w:val="bg-BG"/>
              </w:rPr>
            </w:pPr>
            <w:proofErr w:type="spellStart"/>
            <w:r>
              <w:t>Мускулни</w:t>
            </w:r>
            <w:proofErr w:type="spellEnd"/>
            <w:r w:rsidR="00567AEE">
              <w:rPr>
                <w:lang w:val="bg-BG"/>
              </w:rPr>
              <w:t xml:space="preserve"> спазми,</w:t>
            </w:r>
          </w:p>
          <w:p w14:paraId="2C912385" w14:textId="129BB52F" w:rsidR="00567AEE" w:rsidRPr="00567AEE" w:rsidRDefault="00567AEE" w:rsidP="001E0E4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миалгия</w:t>
            </w:r>
            <w:proofErr w:type="spellEnd"/>
          </w:p>
        </w:tc>
        <w:tc>
          <w:tcPr>
            <w:tcW w:w="1703" w:type="dxa"/>
            <w:vAlign w:val="bottom"/>
          </w:tcPr>
          <w:p w14:paraId="570C73C4" w14:textId="1FEDD0E7" w:rsidR="001E0E49" w:rsidRDefault="001E0E49" w:rsidP="001E0E49">
            <w:proofErr w:type="spellStart"/>
            <w:r>
              <w:t>Артралгия</w:t>
            </w:r>
            <w:proofErr w:type="spellEnd"/>
          </w:p>
        </w:tc>
        <w:tc>
          <w:tcPr>
            <w:tcW w:w="1674" w:type="dxa"/>
          </w:tcPr>
          <w:p w14:paraId="13C206DD" w14:textId="77777777" w:rsidR="001E0E49" w:rsidRDefault="001E0E49" w:rsidP="001E0E49"/>
        </w:tc>
        <w:tc>
          <w:tcPr>
            <w:tcW w:w="1190" w:type="dxa"/>
          </w:tcPr>
          <w:p w14:paraId="158E0BE7" w14:textId="77777777" w:rsidR="001E0E49" w:rsidRDefault="001E0E49" w:rsidP="001E0E49"/>
        </w:tc>
        <w:tc>
          <w:tcPr>
            <w:tcW w:w="1808" w:type="dxa"/>
          </w:tcPr>
          <w:p w14:paraId="056B5891" w14:textId="77777777" w:rsidR="001E0E49" w:rsidRDefault="001E0E49" w:rsidP="001E0E49"/>
        </w:tc>
      </w:tr>
      <w:tr w:rsidR="00567AEE" w14:paraId="62EAAA30" w14:textId="77777777" w:rsidTr="00567AEE">
        <w:tc>
          <w:tcPr>
            <w:tcW w:w="1736" w:type="dxa"/>
          </w:tcPr>
          <w:p w14:paraId="39C75342" w14:textId="74D7C356" w:rsidR="00567AEE" w:rsidRDefault="00567AEE" w:rsidP="00567AEE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бъбреците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пикочните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пътища</w:t>
            </w:r>
            <w:proofErr w:type="spellEnd"/>
          </w:p>
        </w:tc>
        <w:tc>
          <w:tcPr>
            <w:tcW w:w="1465" w:type="dxa"/>
          </w:tcPr>
          <w:p w14:paraId="2ED1DBAE" w14:textId="77777777" w:rsidR="00567AEE" w:rsidRDefault="00567AEE" w:rsidP="00567AEE"/>
        </w:tc>
        <w:tc>
          <w:tcPr>
            <w:tcW w:w="1703" w:type="dxa"/>
          </w:tcPr>
          <w:p w14:paraId="43E55E61" w14:textId="146DB38E" w:rsidR="00567AEE" w:rsidRDefault="00567AEE" w:rsidP="00567AEE">
            <w:proofErr w:type="spellStart"/>
            <w:r>
              <w:t>Бъбречно</w:t>
            </w:r>
            <w:proofErr w:type="spellEnd"/>
            <w:r>
              <w:t xml:space="preserve"> </w:t>
            </w:r>
            <w:proofErr w:type="spellStart"/>
            <w:r>
              <w:t>увреждане</w:t>
            </w:r>
            <w:proofErr w:type="spellEnd"/>
            <w:r>
              <w:t xml:space="preserve">, </w:t>
            </w:r>
            <w:proofErr w:type="spellStart"/>
            <w:r>
              <w:t>включително</w:t>
            </w:r>
            <w:proofErr w:type="spellEnd"/>
            <w:r>
              <w:t xml:space="preserve"> </w:t>
            </w:r>
            <w:proofErr w:type="spellStart"/>
            <w:r>
              <w:t>остра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бъбречна</w:t>
            </w:r>
            <w:proofErr w:type="spellEnd"/>
            <w:r>
              <w:t xml:space="preserve"> </w:t>
            </w:r>
            <w:proofErr w:type="spellStart"/>
            <w:r>
              <w:t>недостатъчност</w:t>
            </w:r>
            <w:proofErr w:type="spellEnd"/>
            <w:r>
              <w:t xml:space="preserve">, </w:t>
            </w:r>
            <w:proofErr w:type="spellStart"/>
            <w:r>
              <w:t>полиурия</w:t>
            </w:r>
            <w:proofErr w:type="spellEnd"/>
            <w:r>
              <w:t xml:space="preserve">, </w:t>
            </w:r>
            <w:proofErr w:type="spellStart"/>
            <w:r>
              <w:t>влошаване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съществуваща</w:t>
            </w:r>
            <w:proofErr w:type="spellEnd"/>
            <w:r>
              <w:t xml:space="preserve"> </w:t>
            </w:r>
            <w:proofErr w:type="spellStart"/>
            <w:r>
              <w:t>протеинурия</w:t>
            </w:r>
            <w:proofErr w:type="spellEnd"/>
            <w:r>
              <w:t xml:space="preserve">, </w:t>
            </w:r>
            <w:proofErr w:type="spellStart"/>
            <w:r>
              <w:t>повишена</w:t>
            </w:r>
            <w:proofErr w:type="spellEnd"/>
            <w:r>
              <w:t xml:space="preserve"> </w:t>
            </w:r>
            <w:proofErr w:type="spellStart"/>
            <w:r>
              <w:t>урея</w:t>
            </w:r>
            <w:proofErr w:type="spellEnd"/>
            <w:r>
              <w:t xml:space="preserve"> в </w:t>
            </w:r>
            <w:proofErr w:type="spellStart"/>
            <w:r>
              <w:t>кръвта</w:t>
            </w:r>
            <w:proofErr w:type="spellEnd"/>
            <w:r>
              <w:t xml:space="preserve">, </w:t>
            </w:r>
            <w:proofErr w:type="spellStart"/>
            <w:r>
              <w:t>повишен</w:t>
            </w:r>
            <w:proofErr w:type="spellEnd"/>
            <w:r>
              <w:t xml:space="preserve"> </w:t>
            </w:r>
            <w:proofErr w:type="spellStart"/>
            <w:r>
              <w:t>креатинин</w:t>
            </w:r>
            <w:proofErr w:type="spellEnd"/>
            <w:r>
              <w:t xml:space="preserve"> в </w:t>
            </w:r>
            <w:proofErr w:type="spellStart"/>
            <w:r>
              <w:t>кръвта</w:t>
            </w:r>
            <w:proofErr w:type="spellEnd"/>
          </w:p>
        </w:tc>
        <w:tc>
          <w:tcPr>
            <w:tcW w:w="1674" w:type="dxa"/>
          </w:tcPr>
          <w:p w14:paraId="5162839B" w14:textId="77777777" w:rsidR="00567AEE" w:rsidRDefault="00567AEE" w:rsidP="00567AEE"/>
        </w:tc>
        <w:tc>
          <w:tcPr>
            <w:tcW w:w="1190" w:type="dxa"/>
          </w:tcPr>
          <w:p w14:paraId="4B5FBF61" w14:textId="77777777" w:rsidR="00567AEE" w:rsidRDefault="00567AEE" w:rsidP="00567AEE"/>
        </w:tc>
        <w:tc>
          <w:tcPr>
            <w:tcW w:w="1808" w:type="dxa"/>
          </w:tcPr>
          <w:p w14:paraId="333DBF8F" w14:textId="77777777" w:rsidR="00567AEE" w:rsidRDefault="00567AEE" w:rsidP="00567AEE"/>
        </w:tc>
      </w:tr>
      <w:tr w:rsidR="00567AEE" w14:paraId="48671E97" w14:textId="77777777" w:rsidTr="00567AEE">
        <w:tc>
          <w:tcPr>
            <w:tcW w:w="1736" w:type="dxa"/>
          </w:tcPr>
          <w:p w14:paraId="5F8FDA16" w14:textId="4F8E050F" w:rsidR="00567AEE" w:rsidRDefault="00567AEE" w:rsidP="00567AEE"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възпризводите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лната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система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гърдата</w:t>
            </w:r>
            <w:proofErr w:type="spellEnd"/>
          </w:p>
        </w:tc>
        <w:tc>
          <w:tcPr>
            <w:tcW w:w="1465" w:type="dxa"/>
          </w:tcPr>
          <w:p w14:paraId="2CAE785A" w14:textId="77777777" w:rsidR="00567AEE" w:rsidRDefault="00567AEE" w:rsidP="00567AEE"/>
        </w:tc>
        <w:tc>
          <w:tcPr>
            <w:tcW w:w="1703" w:type="dxa"/>
          </w:tcPr>
          <w:p w14:paraId="3C4BDFED" w14:textId="1664EC50" w:rsidR="00567AEE" w:rsidRDefault="00567AEE" w:rsidP="00567AEE">
            <w:proofErr w:type="spellStart"/>
            <w:r>
              <w:t>Преходна</w:t>
            </w:r>
            <w:proofErr w:type="spellEnd"/>
            <w:r>
              <w:t xml:space="preserve"> </w:t>
            </w:r>
            <w:proofErr w:type="spellStart"/>
            <w:r>
              <w:t>еректилна</w:t>
            </w:r>
            <w:proofErr w:type="spellEnd"/>
            <w:r>
              <w:t xml:space="preserve"> </w:t>
            </w:r>
            <w:proofErr w:type="spellStart"/>
            <w:r>
              <w:t>импотенция</w:t>
            </w:r>
            <w:proofErr w:type="spellEnd"/>
            <w:r>
              <w:t xml:space="preserve">, </w:t>
            </w:r>
            <w:proofErr w:type="spellStart"/>
            <w:r>
              <w:t>понижено</w:t>
            </w:r>
            <w:proofErr w:type="spellEnd"/>
            <w:r>
              <w:t xml:space="preserve"> </w:t>
            </w:r>
            <w:proofErr w:type="spellStart"/>
            <w:r>
              <w:t>либидо</w:t>
            </w:r>
            <w:proofErr w:type="spellEnd"/>
          </w:p>
        </w:tc>
        <w:tc>
          <w:tcPr>
            <w:tcW w:w="1674" w:type="dxa"/>
          </w:tcPr>
          <w:p w14:paraId="45DA48A9" w14:textId="77777777" w:rsidR="00567AEE" w:rsidRDefault="00567AEE" w:rsidP="00567AEE"/>
        </w:tc>
        <w:tc>
          <w:tcPr>
            <w:tcW w:w="1190" w:type="dxa"/>
          </w:tcPr>
          <w:p w14:paraId="622252C2" w14:textId="77777777" w:rsidR="00567AEE" w:rsidRDefault="00567AEE" w:rsidP="00567AEE"/>
        </w:tc>
        <w:tc>
          <w:tcPr>
            <w:tcW w:w="1808" w:type="dxa"/>
          </w:tcPr>
          <w:p w14:paraId="59CDD4BC" w14:textId="38CA8710" w:rsidR="00567AEE" w:rsidRDefault="00567AEE" w:rsidP="00567AEE">
            <w:proofErr w:type="spellStart"/>
            <w:r>
              <w:t>Гинекомастия</w:t>
            </w:r>
            <w:proofErr w:type="spellEnd"/>
          </w:p>
        </w:tc>
      </w:tr>
      <w:tr w:rsidR="00567AEE" w14:paraId="4EBC3749" w14:textId="77777777" w:rsidTr="00567AEE">
        <w:tc>
          <w:tcPr>
            <w:tcW w:w="1736" w:type="dxa"/>
          </w:tcPr>
          <w:p w14:paraId="370D6F15" w14:textId="4CAC4E06" w:rsidR="00567AEE" w:rsidRDefault="00567AEE" w:rsidP="00567AEE">
            <w:proofErr w:type="spellStart"/>
            <w:r>
              <w:rPr>
                <w:i/>
                <w:iCs/>
                <w:u w:val="single"/>
              </w:rPr>
              <w:t>Общи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нарушения</w:t>
            </w:r>
            <w:proofErr w:type="spellEnd"/>
            <w:r>
              <w:rPr>
                <w:i/>
                <w:iCs/>
                <w:u w:val="single"/>
              </w:rPr>
              <w:t xml:space="preserve"> и </w:t>
            </w:r>
            <w:proofErr w:type="spellStart"/>
            <w:r>
              <w:rPr>
                <w:i/>
                <w:iCs/>
                <w:u w:val="single"/>
              </w:rPr>
              <w:t>ефекти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мястото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на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приложение</w:t>
            </w:r>
            <w:proofErr w:type="spellEnd"/>
          </w:p>
        </w:tc>
        <w:tc>
          <w:tcPr>
            <w:tcW w:w="1465" w:type="dxa"/>
          </w:tcPr>
          <w:p w14:paraId="196B4582" w14:textId="093A1486" w:rsidR="00567AEE" w:rsidRDefault="00567AEE" w:rsidP="00567AEE">
            <w:proofErr w:type="spellStart"/>
            <w:r>
              <w:t>Гръдна</w:t>
            </w:r>
            <w:proofErr w:type="spellEnd"/>
            <w:r>
              <w:t xml:space="preserve"> </w:t>
            </w:r>
            <w:proofErr w:type="spellStart"/>
            <w:r>
              <w:t>болка</w:t>
            </w:r>
            <w:proofErr w:type="spellEnd"/>
            <w:r>
              <w:t xml:space="preserve">, </w:t>
            </w:r>
            <w:proofErr w:type="spellStart"/>
            <w:r>
              <w:t>умора</w:t>
            </w:r>
            <w:proofErr w:type="spellEnd"/>
          </w:p>
        </w:tc>
        <w:tc>
          <w:tcPr>
            <w:tcW w:w="1703" w:type="dxa"/>
          </w:tcPr>
          <w:p w14:paraId="43564DA4" w14:textId="14321214" w:rsidR="00567AEE" w:rsidRDefault="00567AEE" w:rsidP="00567AEE">
            <w:proofErr w:type="spellStart"/>
            <w:r>
              <w:t>Повишена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</w:p>
        </w:tc>
        <w:tc>
          <w:tcPr>
            <w:tcW w:w="1674" w:type="dxa"/>
          </w:tcPr>
          <w:p w14:paraId="60ED5602" w14:textId="5FEC41FC" w:rsidR="00567AEE" w:rsidRDefault="00567AEE" w:rsidP="00567AEE">
            <w:proofErr w:type="spellStart"/>
            <w:r>
              <w:t>Астения</w:t>
            </w:r>
            <w:proofErr w:type="spellEnd"/>
          </w:p>
        </w:tc>
        <w:tc>
          <w:tcPr>
            <w:tcW w:w="1190" w:type="dxa"/>
          </w:tcPr>
          <w:p w14:paraId="0C0964DE" w14:textId="77777777" w:rsidR="00567AEE" w:rsidRDefault="00567AEE" w:rsidP="00567AEE"/>
        </w:tc>
        <w:tc>
          <w:tcPr>
            <w:tcW w:w="1808" w:type="dxa"/>
          </w:tcPr>
          <w:p w14:paraId="5F6F5FD4" w14:textId="77777777" w:rsidR="00567AEE" w:rsidRDefault="00567AEE" w:rsidP="00567AEE"/>
        </w:tc>
      </w:tr>
    </w:tbl>
    <w:p w14:paraId="39ECA05E" w14:textId="05AC4DA5" w:rsidR="001E0E49" w:rsidRDefault="001E0E49" w:rsidP="001E0E49"/>
    <w:p w14:paraId="31CCA37E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Педиатрична популация</w:t>
      </w:r>
    </w:p>
    <w:p w14:paraId="12A8F4A3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Безопасността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наблюдавана при 325 деца и юноши, на възраст 2-16 години в 2 клинични изпитвания. Въпреки че естеството и тежестта на нежеланите събития са сходни с тези при възрастните, честотата на следните е по-висока при децата:</w:t>
      </w:r>
    </w:p>
    <w:p w14:paraId="4080059C" w14:textId="77777777" w:rsidR="00567AEE" w:rsidRDefault="00567AEE" w:rsidP="00567AEE">
      <w:pPr>
        <w:rPr>
          <w:lang w:val="bg-BG" w:eastAsia="bg-BG"/>
        </w:rPr>
      </w:pPr>
    </w:p>
    <w:p w14:paraId="76BDDF36" w14:textId="1DC598B4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Тахикардия, назална конгестия и ринит, „чести” (от&gt; 1/100 до &lt; 1/10) при педиатричната популация, и „нечести” (&gt; 1/1,000 до &lt; 1/100) при възрастни.</w:t>
      </w:r>
    </w:p>
    <w:p w14:paraId="2A62723F" w14:textId="77777777" w:rsidR="00567AEE" w:rsidRDefault="00567AEE" w:rsidP="00567AEE">
      <w:pPr>
        <w:rPr>
          <w:lang w:val="bg-BG" w:eastAsia="bg-BG"/>
        </w:rPr>
      </w:pPr>
    </w:p>
    <w:p w14:paraId="6D291E30" w14:textId="567A3C26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Конюнктивит „чести” (от&gt; 1/100 до &lt; 1/10) при педиатричната популация докато „редки” (&gt; 1/10,000 до &lt; 1/1,000) при възрастни.</w:t>
      </w:r>
    </w:p>
    <w:p w14:paraId="0E00F9C2" w14:textId="77777777" w:rsidR="00567AEE" w:rsidRDefault="00567AEE" w:rsidP="00567AEE">
      <w:pPr>
        <w:rPr>
          <w:lang w:val="bg-BG" w:eastAsia="bg-BG"/>
        </w:rPr>
      </w:pPr>
    </w:p>
    <w:p w14:paraId="5D781624" w14:textId="2E08430C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Тремор и уртикария „нечести” (&gt; 1/1,000 до &lt; 1/100) при педиатричната популация, докато „редки” (&gt; 1/10,000 до &lt; 1/1,000) при възрастни.</w:t>
      </w:r>
    </w:p>
    <w:p w14:paraId="0255BB8A" w14:textId="77777777" w:rsidR="00567AEE" w:rsidRDefault="00567AEE" w:rsidP="00567AEE">
      <w:pPr>
        <w:rPr>
          <w:lang w:val="bg-BG" w:eastAsia="bg-BG"/>
        </w:rPr>
      </w:pPr>
    </w:p>
    <w:p w14:paraId="62F642E9" w14:textId="47F0F78D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Общият профил на безопасност за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при педиатрични пациенти не се различава значително от профила на безопасност при възрастни.</w:t>
      </w:r>
    </w:p>
    <w:p w14:paraId="02BDD715" w14:textId="77777777" w:rsidR="00567AEE" w:rsidRDefault="00567AEE" w:rsidP="00567AEE">
      <w:pPr>
        <w:rPr>
          <w:u w:val="single"/>
          <w:lang w:val="bg-BG" w:eastAsia="bg-BG"/>
        </w:rPr>
      </w:pPr>
    </w:p>
    <w:p w14:paraId="1C71CAB3" w14:textId="2B01E513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u w:val="single"/>
          <w:lang w:val="bg-BG" w:eastAsia="bg-BG"/>
        </w:rPr>
        <w:t>Съобщаване на подозирани нежелани реакции</w:t>
      </w:r>
    </w:p>
    <w:p w14:paraId="5479F7A3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2E589CBE" w14:textId="77252084" w:rsidR="00567AEE" w:rsidRPr="00567AEE" w:rsidRDefault="00567AEE" w:rsidP="00567AEE">
      <w:pPr>
        <w:rPr>
          <w:lang w:val="bg-BG" w:eastAsia="bg-BG"/>
        </w:rPr>
      </w:pPr>
      <w:r w:rsidRPr="00567AEE">
        <w:rPr>
          <w:lang w:val="bg-BG" w:eastAsia="bg-BG"/>
        </w:rPr>
        <w:t>Изпълнителна агенция по лекарствата,</w:t>
      </w:r>
      <w:r>
        <w:rPr>
          <w:lang w:val="bg-BG" w:eastAsia="bg-BG"/>
        </w:rPr>
        <w:t xml:space="preserve"> </w:t>
      </w:r>
      <w:r w:rsidRPr="00567AEE">
        <w:rPr>
          <w:lang w:val="bg-BG" w:eastAsia="bg-BG"/>
        </w:rPr>
        <w:t>ул. „Дамян Груев” № 8 1303 София,</w:t>
      </w:r>
    </w:p>
    <w:p w14:paraId="3C0BE766" w14:textId="1881FF77" w:rsidR="00567AEE" w:rsidRPr="001E0E49" w:rsidRDefault="00567AEE" w:rsidP="00567AEE">
      <w:r w:rsidRPr="00567AEE">
        <w:rPr>
          <w:lang w:val="bg-BG" w:eastAsia="bg-BG"/>
        </w:rPr>
        <w:t xml:space="preserve">тел.: + 359 2 890 34 17, уебсайт: </w:t>
      </w:r>
      <w:hyperlink r:id="rId5" w:history="1">
        <w:r w:rsidRPr="00567AEE">
          <w:rPr>
            <w:u w:val="single"/>
          </w:rPr>
          <w:t>www.bda.bg</w:t>
        </w:r>
      </w:hyperlink>
      <w:r w:rsidRPr="00567AEE">
        <w:t>.</w:t>
      </w:r>
    </w:p>
    <w:p w14:paraId="611C622D" w14:textId="665D5F89" w:rsidR="002C50EE" w:rsidRDefault="002C50EE" w:rsidP="002C50EE">
      <w:pPr>
        <w:pStyle w:val="Heading2"/>
      </w:pPr>
      <w:r>
        <w:lastRenderedPageBreak/>
        <w:t xml:space="preserve">4.9. </w:t>
      </w:r>
      <w:proofErr w:type="spellStart"/>
      <w:r>
        <w:t>Предозиране</w:t>
      </w:r>
      <w:proofErr w:type="spellEnd"/>
    </w:p>
    <w:p w14:paraId="4E85022B" w14:textId="77777777" w:rsidR="00567AEE" w:rsidRDefault="00567AEE" w:rsidP="00567AEE">
      <w:pPr>
        <w:rPr>
          <w:lang w:val="bg-BG" w:eastAsia="bg-BG"/>
        </w:rPr>
      </w:pPr>
    </w:p>
    <w:p w14:paraId="149786D0" w14:textId="223B0D96" w:rsidR="00567AEE" w:rsidRPr="00567AEE" w:rsidRDefault="00567AEE" w:rsidP="00567AEE">
      <w:pPr>
        <w:pStyle w:val="Heading3"/>
        <w:rPr>
          <w:rFonts w:eastAsia="Times New Roman"/>
          <w:u w:val="single"/>
          <w:lang w:val="bg-BG"/>
        </w:rPr>
      </w:pPr>
      <w:r w:rsidRPr="00567AEE">
        <w:rPr>
          <w:rFonts w:eastAsia="Times New Roman"/>
          <w:u w:val="single"/>
          <w:lang w:val="bg-BG" w:eastAsia="bg-BG"/>
        </w:rPr>
        <w:t>Симптоми</w:t>
      </w:r>
    </w:p>
    <w:p w14:paraId="141B871F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Симптомите, свързани с предозиране на АСЕ инхибитори могат да включват прекомерна периферна </w:t>
      </w:r>
      <w:proofErr w:type="spellStart"/>
      <w:r w:rsidRPr="00567AEE">
        <w:rPr>
          <w:lang w:val="bg-BG" w:eastAsia="bg-BG"/>
        </w:rPr>
        <w:t>вазодилатация</w:t>
      </w:r>
      <w:proofErr w:type="spellEnd"/>
      <w:r w:rsidRPr="00567AEE">
        <w:rPr>
          <w:lang w:val="bg-BG" w:eastAsia="bg-BG"/>
        </w:rPr>
        <w:t xml:space="preserve"> (с подчертана хипотония, шок), брадикардия, електролитни нарушения и бъбречна недостатъчност.</w:t>
      </w:r>
    </w:p>
    <w:p w14:paraId="2B34C374" w14:textId="77777777" w:rsidR="00567AEE" w:rsidRDefault="00567AEE" w:rsidP="00567AEE">
      <w:pPr>
        <w:rPr>
          <w:lang w:val="bg-BG" w:eastAsia="bg-BG"/>
        </w:rPr>
      </w:pPr>
    </w:p>
    <w:p w14:paraId="7F1B7485" w14:textId="73980CED" w:rsidR="00567AEE" w:rsidRPr="00567AEE" w:rsidRDefault="00567AEE" w:rsidP="00567AEE">
      <w:pPr>
        <w:pStyle w:val="Heading3"/>
        <w:rPr>
          <w:rFonts w:eastAsia="Times New Roman"/>
          <w:u w:val="single"/>
          <w:lang w:val="bg-BG"/>
        </w:rPr>
      </w:pPr>
      <w:r w:rsidRPr="00567AEE">
        <w:rPr>
          <w:rFonts w:eastAsia="Times New Roman"/>
          <w:u w:val="single"/>
          <w:lang w:val="bg-BG" w:eastAsia="bg-BG"/>
        </w:rPr>
        <w:t>Мерки при предозиране</w:t>
      </w:r>
    </w:p>
    <w:p w14:paraId="5B51FE5D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Пациентът трябва да бъде стриктно наблюдаван, лечението трябва да бъде </w:t>
      </w:r>
      <w:proofErr w:type="spellStart"/>
      <w:r w:rsidRPr="00567AEE">
        <w:rPr>
          <w:lang w:val="bg-BG" w:eastAsia="bg-BG"/>
        </w:rPr>
        <w:t>симтоматично</w:t>
      </w:r>
      <w:proofErr w:type="spellEnd"/>
      <w:r w:rsidRPr="00567AEE">
        <w:rPr>
          <w:lang w:val="bg-BG" w:eastAsia="bg-BG"/>
        </w:rPr>
        <w:t xml:space="preserve"> и поддържащо. Предлаганите мерки, включват първоначална </w:t>
      </w:r>
      <w:proofErr w:type="spellStart"/>
      <w:r w:rsidRPr="00567AEE">
        <w:rPr>
          <w:lang w:val="bg-BG" w:eastAsia="bg-BG"/>
        </w:rPr>
        <w:t>детоксикация</w:t>
      </w:r>
      <w:proofErr w:type="spellEnd"/>
      <w:r w:rsidRPr="00567AEE">
        <w:rPr>
          <w:lang w:val="bg-BG" w:eastAsia="bg-BG"/>
        </w:rPr>
        <w:t xml:space="preserve"> (стомашна промивка, прилагане на адсорбенти) и мерки за възстановяване на </w:t>
      </w:r>
      <w:proofErr w:type="spellStart"/>
      <w:r w:rsidRPr="00567AEE">
        <w:rPr>
          <w:lang w:val="bg-BG" w:eastAsia="bg-BG"/>
        </w:rPr>
        <w:t>хемодинамичната</w:t>
      </w:r>
      <w:proofErr w:type="spellEnd"/>
      <w:r w:rsidRPr="00567AEE">
        <w:rPr>
          <w:lang w:val="bg-BG" w:eastAsia="bg-BG"/>
        </w:rPr>
        <w:t xml:space="preserve"> стабилност, включително прилагане на алфа 1 -</w:t>
      </w:r>
      <w:proofErr w:type="spellStart"/>
      <w:r w:rsidRPr="00567AEE">
        <w:rPr>
          <w:lang w:val="bg-BG" w:eastAsia="bg-BG"/>
        </w:rPr>
        <w:t>адренергични</w:t>
      </w:r>
      <w:proofErr w:type="spellEnd"/>
      <w:r w:rsidRPr="00567AEE">
        <w:rPr>
          <w:lang w:val="bg-BG" w:eastAsia="bg-BG"/>
        </w:rPr>
        <w:t xml:space="preserve"> </w:t>
      </w:r>
      <w:proofErr w:type="spellStart"/>
      <w:r w:rsidRPr="00567AEE">
        <w:rPr>
          <w:lang w:val="bg-BG" w:eastAsia="bg-BG"/>
        </w:rPr>
        <w:t>агонисти</w:t>
      </w:r>
      <w:proofErr w:type="spellEnd"/>
      <w:r w:rsidRPr="00567AEE">
        <w:rPr>
          <w:lang w:val="bg-BG" w:eastAsia="bg-BG"/>
        </w:rPr>
        <w:t xml:space="preserve"> или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11 (</w:t>
      </w:r>
      <w:proofErr w:type="spellStart"/>
      <w:r w:rsidRPr="00567AEE">
        <w:rPr>
          <w:lang w:val="bg-BG" w:eastAsia="bg-BG"/>
        </w:rPr>
        <w:t>ангиотензинамид</w:t>
      </w:r>
      <w:proofErr w:type="spellEnd"/>
      <w:r w:rsidRPr="00567AEE">
        <w:rPr>
          <w:lang w:val="bg-BG" w:eastAsia="bg-BG"/>
        </w:rPr>
        <w:t xml:space="preserve">).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, активният метаболит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, се отстранява незадоволително чрез хемодиализа от общото </w:t>
      </w:r>
      <w:proofErr w:type="spellStart"/>
      <w:r w:rsidRPr="00567AEE">
        <w:rPr>
          <w:lang w:val="bg-BG" w:eastAsia="bg-BG"/>
        </w:rPr>
        <w:t>кръвообръщение</w:t>
      </w:r>
      <w:proofErr w:type="spellEnd"/>
      <w:r w:rsidRPr="00567AEE">
        <w:rPr>
          <w:lang w:val="bg-BG" w:eastAsia="bg-BG"/>
        </w:rPr>
        <w:t>.</w:t>
      </w:r>
    </w:p>
    <w:p w14:paraId="27270714" w14:textId="77777777" w:rsidR="00567AEE" w:rsidRPr="00567AEE" w:rsidRDefault="00567AEE" w:rsidP="00567AEE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5FB0FAD2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590B8231" w14:textId="77777777" w:rsidR="00567AEE" w:rsidRPr="00567AEE" w:rsidRDefault="00567AEE" w:rsidP="00567AEE">
      <w:pPr>
        <w:rPr>
          <w:sz w:val="24"/>
          <w:szCs w:val="24"/>
          <w:lang w:val="bg-BG"/>
        </w:rPr>
      </w:pPr>
      <w:proofErr w:type="spellStart"/>
      <w:r w:rsidRPr="00567AEE">
        <w:rPr>
          <w:lang w:val="bg-BG" w:eastAsia="bg-BG"/>
        </w:rPr>
        <w:t>Фармакотерапевтична</w:t>
      </w:r>
      <w:proofErr w:type="spellEnd"/>
      <w:r w:rsidRPr="00567AEE">
        <w:rPr>
          <w:lang w:val="bg-BG" w:eastAsia="bg-BG"/>
        </w:rPr>
        <w:t xml:space="preserve"> група: АСЕ -инхибитори, самостоятелно, АТС код :С09АА05.</w:t>
      </w:r>
    </w:p>
    <w:p w14:paraId="2B5E0E20" w14:textId="77777777" w:rsidR="00567AEE" w:rsidRDefault="00567AEE" w:rsidP="00567AEE">
      <w:pPr>
        <w:rPr>
          <w:i/>
          <w:iCs/>
          <w:u w:val="single"/>
          <w:lang w:val="bg-BG" w:eastAsia="bg-BG"/>
        </w:rPr>
      </w:pPr>
    </w:p>
    <w:p w14:paraId="298E7F46" w14:textId="7FC7B455" w:rsidR="00567AEE" w:rsidRPr="00567AEE" w:rsidRDefault="00567AEE" w:rsidP="00567AEE">
      <w:pPr>
        <w:pStyle w:val="Heading3"/>
        <w:rPr>
          <w:rFonts w:eastAsia="Times New Roman"/>
          <w:i/>
          <w:iCs/>
          <w:u w:val="single"/>
          <w:lang w:val="bg-BG"/>
        </w:rPr>
      </w:pPr>
      <w:r w:rsidRPr="00567AEE">
        <w:rPr>
          <w:rFonts w:eastAsia="Times New Roman"/>
          <w:i/>
          <w:iCs/>
          <w:u w:val="single"/>
          <w:lang w:val="bg-BG" w:eastAsia="bg-BG"/>
        </w:rPr>
        <w:t>Механизъм на действие</w:t>
      </w:r>
    </w:p>
    <w:p w14:paraId="2A5F5BED" w14:textId="77777777" w:rsidR="00567AEE" w:rsidRDefault="00567AEE" w:rsidP="00567AEE">
      <w:pPr>
        <w:rPr>
          <w:lang w:val="bg-BG" w:eastAsia="bg-BG"/>
        </w:rPr>
      </w:pPr>
    </w:p>
    <w:p w14:paraId="5AB5625E" w14:textId="754670B9" w:rsidR="00567AEE" w:rsidRPr="00567AEE" w:rsidRDefault="00567AEE" w:rsidP="00567AEE">
      <w:pPr>
        <w:rPr>
          <w:sz w:val="24"/>
          <w:szCs w:val="24"/>
          <w:lang w:val="bg-BG"/>
        </w:rPr>
      </w:pP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, активният метаболит на </w:t>
      </w:r>
      <w:proofErr w:type="spellStart"/>
      <w:r w:rsidRPr="00567AEE">
        <w:rPr>
          <w:lang w:val="bg-BG" w:eastAsia="bg-BG"/>
        </w:rPr>
        <w:t>предлекарството</w:t>
      </w:r>
      <w:proofErr w:type="spellEnd"/>
      <w:r w:rsidRPr="00567AEE">
        <w:rPr>
          <w:lang w:val="bg-BG" w:eastAsia="bg-BG"/>
        </w:rPr>
        <w:t xml:space="preserve">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, инхибира ензима </w:t>
      </w:r>
      <w:proofErr w:type="spellStart"/>
      <w:r w:rsidRPr="00567AEE">
        <w:rPr>
          <w:lang w:val="bg-BG" w:eastAsia="bg-BG"/>
        </w:rPr>
        <w:t>дипептидилкарбоксипептидаза</w:t>
      </w:r>
      <w:proofErr w:type="spellEnd"/>
      <w:r w:rsidRPr="00567AEE">
        <w:rPr>
          <w:lang w:val="bg-BG" w:eastAsia="bg-BG"/>
        </w:rPr>
        <w:t xml:space="preserve"> I (синоними: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-конвертиращ ензим; </w:t>
      </w:r>
      <w:proofErr w:type="spellStart"/>
      <w:r w:rsidRPr="00567AEE">
        <w:rPr>
          <w:lang w:val="bg-BG" w:eastAsia="bg-BG"/>
        </w:rPr>
        <w:t>кининаза</w:t>
      </w:r>
      <w:proofErr w:type="spellEnd"/>
      <w:r w:rsidRPr="00567AEE">
        <w:rPr>
          <w:lang w:val="bg-BG" w:eastAsia="bg-BG"/>
        </w:rPr>
        <w:t xml:space="preserve"> II). В плазмата и тъканите този ензим катализира конвертирането на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I до активния </w:t>
      </w:r>
      <w:proofErr w:type="spellStart"/>
      <w:r w:rsidRPr="00567AEE">
        <w:rPr>
          <w:lang w:val="bg-BG" w:eastAsia="bg-BG"/>
        </w:rPr>
        <w:t>вазоконстриктор</w:t>
      </w:r>
      <w:proofErr w:type="spellEnd"/>
      <w:r w:rsidRPr="00567AEE">
        <w:rPr>
          <w:lang w:val="bg-BG" w:eastAsia="bg-BG"/>
        </w:rPr>
        <w:t xml:space="preserve">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II, както и инхибира разграждането на активния </w:t>
      </w:r>
      <w:proofErr w:type="spellStart"/>
      <w:r w:rsidRPr="00567AEE">
        <w:rPr>
          <w:lang w:val="bg-BG" w:eastAsia="bg-BG"/>
        </w:rPr>
        <w:t>вазодилататор</w:t>
      </w:r>
      <w:proofErr w:type="spellEnd"/>
      <w:r w:rsidRPr="00567AEE">
        <w:rPr>
          <w:lang w:val="bg-BG" w:eastAsia="bg-BG"/>
        </w:rPr>
        <w:t xml:space="preserve"> </w:t>
      </w:r>
      <w:proofErr w:type="spellStart"/>
      <w:r w:rsidRPr="00567AEE">
        <w:rPr>
          <w:lang w:val="bg-BG" w:eastAsia="bg-BG"/>
        </w:rPr>
        <w:t>брадикинин</w:t>
      </w:r>
      <w:proofErr w:type="spellEnd"/>
      <w:r w:rsidRPr="00567AEE">
        <w:rPr>
          <w:lang w:val="bg-BG" w:eastAsia="bg-BG"/>
        </w:rPr>
        <w:t xml:space="preserve">. Пониженото образуване на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II и инхибиране на разграждането на </w:t>
      </w:r>
      <w:proofErr w:type="spellStart"/>
      <w:r w:rsidRPr="00567AEE">
        <w:rPr>
          <w:lang w:val="bg-BG" w:eastAsia="bg-BG"/>
        </w:rPr>
        <w:t>брадикинин</w:t>
      </w:r>
      <w:proofErr w:type="spellEnd"/>
      <w:r w:rsidRPr="00567AEE">
        <w:rPr>
          <w:lang w:val="bg-BG" w:eastAsia="bg-BG"/>
        </w:rPr>
        <w:t xml:space="preserve">, водят до </w:t>
      </w:r>
      <w:proofErr w:type="spellStart"/>
      <w:r w:rsidRPr="00567AEE">
        <w:rPr>
          <w:lang w:val="bg-BG" w:eastAsia="bg-BG"/>
        </w:rPr>
        <w:t>вазодилатация</w:t>
      </w:r>
      <w:proofErr w:type="spellEnd"/>
      <w:r w:rsidRPr="00567AEE">
        <w:rPr>
          <w:lang w:val="bg-BG" w:eastAsia="bg-BG"/>
        </w:rPr>
        <w:t>.</w:t>
      </w:r>
    </w:p>
    <w:p w14:paraId="7B8B83FD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Тъй като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II стимулира освобождаването на </w:t>
      </w:r>
      <w:proofErr w:type="spellStart"/>
      <w:r w:rsidRPr="00567AEE">
        <w:rPr>
          <w:lang w:val="bg-BG" w:eastAsia="bg-BG"/>
        </w:rPr>
        <w:t>алдостерон</w:t>
      </w:r>
      <w:proofErr w:type="spellEnd"/>
      <w:r w:rsidRPr="00567AEE">
        <w:rPr>
          <w:lang w:val="bg-BG" w:eastAsia="bg-BG"/>
        </w:rPr>
        <w:t xml:space="preserve">,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води до намаляване на </w:t>
      </w:r>
      <w:proofErr w:type="spellStart"/>
      <w:r w:rsidRPr="00567AEE">
        <w:rPr>
          <w:lang w:val="bg-BG" w:eastAsia="bg-BG"/>
        </w:rPr>
        <w:t>алдостероновата</w:t>
      </w:r>
      <w:proofErr w:type="spellEnd"/>
      <w:r w:rsidRPr="00567AEE">
        <w:rPr>
          <w:lang w:val="bg-BG" w:eastAsia="bg-BG"/>
        </w:rPr>
        <w:t xml:space="preserve"> секреция. Средностатистически повлияването от </w:t>
      </w:r>
      <w:proofErr w:type="spellStart"/>
      <w:r w:rsidRPr="00567AEE">
        <w:rPr>
          <w:lang w:val="bg-BG" w:eastAsia="bg-BG"/>
        </w:rPr>
        <w:t>монотерапия</w:t>
      </w:r>
      <w:proofErr w:type="spellEnd"/>
      <w:r w:rsidRPr="00567AEE">
        <w:rPr>
          <w:lang w:val="bg-BG" w:eastAsia="bg-BG"/>
        </w:rPr>
        <w:t xml:space="preserve"> с АСЕ инхибитор е по-слабо при чернокожи (</w:t>
      </w:r>
      <w:proofErr w:type="spellStart"/>
      <w:r w:rsidRPr="00567AEE">
        <w:rPr>
          <w:lang w:val="bg-BG" w:eastAsia="bg-BG"/>
        </w:rPr>
        <w:t>афро</w:t>
      </w:r>
      <w:proofErr w:type="spellEnd"/>
      <w:r w:rsidRPr="00567AEE">
        <w:rPr>
          <w:lang w:val="bg-BG" w:eastAsia="bg-BG"/>
        </w:rPr>
        <w:t>-карибска раса) хипертонични пациенти обикновено популация с хипертония с нисък ренин) отколкото при нечернокожи пациенти.</w:t>
      </w:r>
    </w:p>
    <w:p w14:paraId="7D4320C3" w14:textId="77777777" w:rsidR="00567AEE" w:rsidRDefault="00567AEE" w:rsidP="00567AEE">
      <w:pPr>
        <w:rPr>
          <w:i/>
          <w:iCs/>
          <w:u w:val="single"/>
          <w:lang w:val="bg-BG" w:eastAsia="bg-BG"/>
        </w:rPr>
      </w:pPr>
    </w:p>
    <w:p w14:paraId="32538AEE" w14:textId="5250B52B" w:rsidR="00567AEE" w:rsidRPr="00567AEE" w:rsidRDefault="00567AEE" w:rsidP="00567AEE">
      <w:pPr>
        <w:pStyle w:val="Heading3"/>
        <w:rPr>
          <w:rFonts w:eastAsia="Times New Roman"/>
          <w:i/>
          <w:iCs/>
          <w:u w:val="single"/>
          <w:lang w:val="bg-BG"/>
        </w:rPr>
      </w:pPr>
      <w:proofErr w:type="spellStart"/>
      <w:r w:rsidRPr="00567AEE">
        <w:rPr>
          <w:rFonts w:eastAsia="Times New Roman"/>
          <w:i/>
          <w:iCs/>
          <w:u w:val="single"/>
          <w:lang w:val="bg-BG" w:eastAsia="bg-BG"/>
        </w:rPr>
        <w:t>Фармакодинамични</w:t>
      </w:r>
      <w:proofErr w:type="spellEnd"/>
      <w:r w:rsidRPr="00567AEE">
        <w:rPr>
          <w:rFonts w:eastAsia="Times New Roman"/>
          <w:i/>
          <w:iCs/>
          <w:u w:val="single"/>
          <w:lang w:val="bg-BG" w:eastAsia="bg-BG"/>
        </w:rPr>
        <w:t xml:space="preserve"> ефекти</w:t>
      </w:r>
    </w:p>
    <w:p w14:paraId="06408BF9" w14:textId="77777777" w:rsidR="00567AEE" w:rsidRDefault="00567AEE" w:rsidP="00567AEE">
      <w:pPr>
        <w:rPr>
          <w:lang w:val="bg-BG" w:eastAsia="bg-BG"/>
        </w:rPr>
      </w:pPr>
    </w:p>
    <w:p w14:paraId="4A05966A" w14:textId="134CD97F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Антихипертензивни свойства:</w:t>
      </w:r>
    </w:p>
    <w:p w14:paraId="53684510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Прилагането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води до значително понижаване на периферната артериална резистентност. В повечето случаи няма значими промени в бъбречния кръвоток и скоростта на </w:t>
      </w:r>
      <w:proofErr w:type="spellStart"/>
      <w:r w:rsidRPr="00567AEE">
        <w:rPr>
          <w:lang w:val="bg-BG" w:eastAsia="bg-BG"/>
        </w:rPr>
        <w:t>гломерулната</w:t>
      </w:r>
      <w:proofErr w:type="spellEnd"/>
      <w:r w:rsidRPr="00567AEE">
        <w:rPr>
          <w:lang w:val="bg-BG" w:eastAsia="bg-BG"/>
        </w:rPr>
        <w:t xml:space="preserve"> филтрация. Прилагането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при пациенти с хипертония води до понижаване на кръвното налягане в изправено и легнало положение, без компенсаторно повишаване на сърдечната честота.</w:t>
      </w:r>
    </w:p>
    <w:p w14:paraId="622E4782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При повечето пациенти началото на антихипертензивния ефект на еднократната доза се проявява 1 до 2 часа след перорално приложение. Пиковият ефект на еднократната доза</w:t>
      </w:r>
    </w:p>
    <w:p w14:paraId="239323E8" w14:textId="27564A2C" w:rsidR="00567AEE" w:rsidRDefault="00567AEE" w:rsidP="00567AEE">
      <w:pPr>
        <w:rPr>
          <w:lang w:val="bg-BG" w:eastAsia="bg-BG"/>
        </w:rPr>
      </w:pPr>
      <w:r w:rsidRPr="00567AEE">
        <w:rPr>
          <w:lang w:val="bg-BG" w:eastAsia="bg-BG"/>
        </w:rPr>
        <w:t>обикновено се достига 3 до 6 часа след перорално приложение. Антихипертензивният ефект на еднократна доза обикновено продължава 24 часа.</w:t>
      </w:r>
    </w:p>
    <w:p w14:paraId="7666DB50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lastRenderedPageBreak/>
        <w:t xml:space="preserve">Максималният антихипертензивен ефект на продължително лечение с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обикновено настъпва след 3 до 4 седмици. Доказано е, че антихипертензивният ефект е постоянен при дълготрайна терапия продължаваща 2 години.</w:t>
      </w:r>
    </w:p>
    <w:p w14:paraId="62F8940E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Рязкото прекъсване приема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не води до бърз и прекомерен </w:t>
      </w:r>
      <w:proofErr w:type="spellStart"/>
      <w:r w:rsidRPr="00567AEE">
        <w:rPr>
          <w:lang w:val="bg-BG" w:eastAsia="bg-BG"/>
        </w:rPr>
        <w:t>ребаунд</w:t>
      </w:r>
      <w:proofErr w:type="spellEnd"/>
      <w:r w:rsidRPr="00567AEE">
        <w:rPr>
          <w:lang w:val="bg-BG" w:eastAsia="bg-BG"/>
        </w:rPr>
        <w:t xml:space="preserve"> ефект на повишаване на кръвното налягане.</w:t>
      </w:r>
    </w:p>
    <w:p w14:paraId="4A787B61" w14:textId="77777777" w:rsidR="00567AEE" w:rsidRDefault="00567AEE" w:rsidP="00567AEE">
      <w:pPr>
        <w:rPr>
          <w:lang w:val="bg-BG" w:eastAsia="bg-BG"/>
        </w:rPr>
      </w:pPr>
    </w:p>
    <w:p w14:paraId="7554D0FF" w14:textId="5AA015FD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Сърдечна недостатъчност:</w:t>
      </w:r>
    </w:p>
    <w:p w14:paraId="51E2C6C3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Като добавка към конвенционалната терапия с </w:t>
      </w:r>
      <w:proofErr w:type="spellStart"/>
      <w:r w:rsidRPr="00567AEE">
        <w:rPr>
          <w:lang w:val="bg-BG" w:eastAsia="bg-BG"/>
        </w:rPr>
        <w:t>диуретици</w:t>
      </w:r>
      <w:proofErr w:type="spellEnd"/>
      <w:r w:rsidRPr="00567AEE">
        <w:rPr>
          <w:lang w:val="bg-BG" w:eastAsia="bg-BG"/>
        </w:rPr>
        <w:t xml:space="preserve"> и изборно със сърдечни </w:t>
      </w:r>
      <w:proofErr w:type="spellStart"/>
      <w:r w:rsidRPr="00567AEE">
        <w:rPr>
          <w:lang w:val="bg-BG" w:eastAsia="bg-BG"/>
        </w:rPr>
        <w:t>гликозиди</w:t>
      </w:r>
      <w:proofErr w:type="spellEnd"/>
      <w:r w:rsidRPr="00567AEE">
        <w:rPr>
          <w:lang w:val="bg-BG" w:eastAsia="bg-BG"/>
        </w:rPr>
        <w:t xml:space="preserve">,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показва ефективност при пациенти с функционален клас </w:t>
      </w:r>
      <w:r w:rsidRPr="00567AEE">
        <w:t xml:space="preserve">II-IV </w:t>
      </w:r>
      <w:r w:rsidRPr="00567AEE">
        <w:rPr>
          <w:lang w:val="bg-BG" w:eastAsia="bg-BG"/>
        </w:rPr>
        <w:t xml:space="preserve">по </w:t>
      </w:r>
      <w:r w:rsidRPr="00567AEE">
        <w:t xml:space="preserve">New-York Heart Association. </w:t>
      </w:r>
      <w:r w:rsidRPr="00567AEE">
        <w:rPr>
          <w:lang w:val="bg-BG" w:eastAsia="bg-BG"/>
        </w:rPr>
        <w:t xml:space="preserve">Лекарството има ползотворни ефекти върху сърдечната хемодинамика (намаляване на налягането при пълнене на лява и дясна камера, намаляване на общата периферна съдова резистентност, повишаване на изходящия сърдечен кръвоток и подобрен сърдечен индекс). Понижава също </w:t>
      </w:r>
      <w:proofErr w:type="spellStart"/>
      <w:r w:rsidRPr="00567AEE">
        <w:rPr>
          <w:lang w:val="bg-BG" w:eastAsia="bg-BG"/>
        </w:rPr>
        <w:t>невроендокринната</w:t>
      </w:r>
      <w:proofErr w:type="spellEnd"/>
      <w:r w:rsidRPr="00567AEE">
        <w:rPr>
          <w:lang w:val="bg-BG" w:eastAsia="bg-BG"/>
        </w:rPr>
        <w:t xml:space="preserve"> активация.</w:t>
      </w:r>
    </w:p>
    <w:p w14:paraId="6CF0ADAF" w14:textId="77777777" w:rsidR="00567AEE" w:rsidRDefault="00567AEE" w:rsidP="00567AEE">
      <w:pPr>
        <w:rPr>
          <w:i/>
          <w:iCs/>
          <w:u w:val="single"/>
          <w:lang w:val="bg-BG" w:eastAsia="bg-BG"/>
        </w:rPr>
      </w:pPr>
    </w:p>
    <w:p w14:paraId="03F0180F" w14:textId="1280A96E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i/>
          <w:iCs/>
          <w:u w:val="single"/>
          <w:lang w:val="bg-BG" w:eastAsia="bg-BG"/>
        </w:rPr>
        <w:t>Клинична ефикасност и безопасност</w:t>
      </w:r>
    </w:p>
    <w:p w14:paraId="23F1E8E7" w14:textId="77777777" w:rsidR="00567AEE" w:rsidRDefault="00567AEE" w:rsidP="00567AEE">
      <w:pPr>
        <w:rPr>
          <w:u w:val="single"/>
          <w:lang w:val="bg-BG" w:eastAsia="bg-BG"/>
        </w:rPr>
      </w:pPr>
    </w:p>
    <w:p w14:paraId="2CD7BC89" w14:textId="385159E1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u w:val="single"/>
          <w:lang w:val="bg-BG" w:eastAsia="bg-BG"/>
        </w:rPr>
        <w:t>Сърдечно-съдова профилактика/</w:t>
      </w:r>
      <w:proofErr w:type="spellStart"/>
      <w:r w:rsidRPr="00567AEE">
        <w:rPr>
          <w:u w:val="single"/>
          <w:lang w:val="bg-BG" w:eastAsia="bg-BG"/>
        </w:rPr>
        <w:t>нефропротекция</w:t>
      </w:r>
      <w:proofErr w:type="spellEnd"/>
      <w:r w:rsidRPr="00567AEE">
        <w:rPr>
          <w:u w:val="single"/>
          <w:lang w:val="bg-BG" w:eastAsia="bg-BG"/>
        </w:rPr>
        <w:t>;</w:t>
      </w:r>
    </w:p>
    <w:p w14:paraId="16912E0B" w14:textId="77777777" w:rsidR="00567AEE" w:rsidRDefault="00567AEE" w:rsidP="00567AEE">
      <w:pPr>
        <w:rPr>
          <w:lang w:val="bg-BG" w:eastAsia="bg-BG"/>
        </w:rPr>
      </w:pPr>
    </w:p>
    <w:p w14:paraId="6B689960" w14:textId="684412C6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Проведено е плацебо контролирано проучване за профилактика (проучването НОРЕ), при което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бил добавен към стандартната терапия при повече от 9 200 пациенти. Пациентите с повишен риск от сърдечно-съдово заболяване, след </w:t>
      </w:r>
      <w:proofErr w:type="spellStart"/>
      <w:r w:rsidRPr="00567AEE">
        <w:rPr>
          <w:lang w:val="bg-BG" w:eastAsia="bg-BG"/>
        </w:rPr>
        <w:t>атеротромботична</w:t>
      </w:r>
      <w:proofErr w:type="spellEnd"/>
      <w:r w:rsidRPr="00567AEE">
        <w:rPr>
          <w:lang w:val="bg-BG" w:eastAsia="bg-BG"/>
        </w:rPr>
        <w:t xml:space="preserve"> </w:t>
      </w:r>
      <w:proofErr w:type="spellStart"/>
      <w:r w:rsidRPr="00567AEE">
        <w:rPr>
          <w:lang w:val="bg-BG" w:eastAsia="bg-BG"/>
        </w:rPr>
        <w:t>кардиоваскуларна</w:t>
      </w:r>
      <w:proofErr w:type="spellEnd"/>
      <w:r w:rsidRPr="00567AEE">
        <w:rPr>
          <w:lang w:val="bg-BG" w:eastAsia="bg-BG"/>
        </w:rPr>
        <w:t xml:space="preserve"> болест (анамнеза за коронарна артериална болест, инсулт или периферна артериална болест) или захарен диабет с поне един съпътстващ рисков фактор (доказана </w:t>
      </w:r>
      <w:proofErr w:type="spellStart"/>
      <w:r w:rsidRPr="00567AEE">
        <w:rPr>
          <w:lang w:val="bg-BG" w:eastAsia="bg-BG"/>
        </w:rPr>
        <w:t>микроалбуминурия</w:t>
      </w:r>
      <w:proofErr w:type="spellEnd"/>
      <w:r w:rsidRPr="00567AEE">
        <w:rPr>
          <w:lang w:val="bg-BG" w:eastAsia="bg-BG"/>
        </w:rPr>
        <w:t xml:space="preserve">, хипертония, повишени нива на общия холестерол, ниско ниво на </w:t>
      </w:r>
      <w:proofErr w:type="spellStart"/>
      <w:r w:rsidRPr="00567AEE">
        <w:rPr>
          <w:lang w:val="bg-BG" w:eastAsia="bg-BG"/>
        </w:rPr>
        <w:t>липопротеините</w:t>
      </w:r>
      <w:proofErr w:type="spellEnd"/>
      <w:r w:rsidRPr="00567AEE">
        <w:rPr>
          <w:lang w:val="bg-BG" w:eastAsia="bg-BG"/>
        </w:rPr>
        <w:t xml:space="preserve"> с висока плътност или тютюнопушене) са били включени в изпитването.</w:t>
      </w:r>
    </w:p>
    <w:p w14:paraId="26D0EE43" w14:textId="0B22045E" w:rsidR="00567AEE" w:rsidRDefault="00567AEE" w:rsidP="00567AEE">
      <w:pPr>
        <w:rPr>
          <w:lang w:val="bg-BG" w:eastAsia="bg-BG"/>
        </w:rPr>
      </w:pPr>
      <w:r w:rsidRPr="00567AEE">
        <w:rPr>
          <w:lang w:val="bg-BG" w:eastAsia="bg-BG"/>
        </w:rPr>
        <w:t xml:space="preserve">Изпитването показва, че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статистически значимо понижава честотата на миокарден инфаркт, сърдечно-съдова смърт и инсулт, самостоятелно или в комбинация (първично комбинирани събития).</w:t>
      </w:r>
    </w:p>
    <w:p w14:paraId="330E529B" w14:textId="4783D096" w:rsidR="00567AEE" w:rsidRDefault="00567AEE" w:rsidP="00567AEE">
      <w:pPr>
        <w:rPr>
          <w:lang w:val="bg-BG" w:eastAsia="bg-BG"/>
        </w:rPr>
      </w:pPr>
    </w:p>
    <w:p w14:paraId="26E5E0E3" w14:textId="77AA4834" w:rsidR="00567AEE" w:rsidRDefault="00567AEE" w:rsidP="00567AEE">
      <w:pPr>
        <w:jc w:val="center"/>
        <w:rPr>
          <w:b/>
          <w:bCs/>
        </w:rPr>
      </w:pPr>
      <w:proofErr w:type="spellStart"/>
      <w:r w:rsidRPr="00567AEE">
        <w:rPr>
          <w:b/>
          <w:bCs/>
        </w:rPr>
        <w:t>Основни</w:t>
      </w:r>
      <w:proofErr w:type="spellEnd"/>
      <w:r w:rsidRPr="00567AEE">
        <w:rPr>
          <w:b/>
          <w:bCs/>
        </w:rPr>
        <w:t xml:space="preserve"> </w:t>
      </w:r>
      <w:proofErr w:type="spellStart"/>
      <w:r w:rsidRPr="00567AEE">
        <w:rPr>
          <w:b/>
          <w:bCs/>
        </w:rPr>
        <w:t>резултати</w:t>
      </w:r>
      <w:proofErr w:type="spellEnd"/>
      <w:r w:rsidRPr="00567AEE">
        <w:rPr>
          <w:b/>
          <w:bCs/>
        </w:rPr>
        <w:t xml:space="preserve"> </w:t>
      </w:r>
      <w:proofErr w:type="spellStart"/>
      <w:r w:rsidRPr="00567AEE">
        <w:rPr>
          <w:b/>
          <w:bCs/>
        </w:rPr>
        <w:t>от</w:t>
      </w:r>
      <w:proofErr w:type="spellEnd"/>
      <w:r w:rsidRPr="00567AEE">
        <w:rPr>
          <w:b/>
          <w:bCs/>
        </w:rPr>
        <w:t xml:space="preserve"> </w:t>
      </w:r>
      <w:proofErr w:type="spellStart"/>
      <w:r w:rsidRPr="00567AEE">
        <w:rPr>
          <w:b/>
          <w:bCs/>
        </w:rPr>
        <w:t>изпитването</w:t>
      </w:r>
      <w:proofErr w:type="spellEnd"/>
      <w:r w:rsidRPr="00567AEE">
        <w:rPr>
          <w:b/>
          <w:bCs/>
        </w:rPr>
        <w:t xml:space="preserve"> НОРЕ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252"/>
        <w:gridCol w:w="1650"/>
        <w:gridCol w:w="2402"/>
        <w:gridCol w:w="1127"/>
      </w:tblGrid>
      <w:tr w:rsidR="00567AEE" w14:paraId="69EF338F" w14:textId="77777777" w:rsidTr="00567AEE">
        <w:tc>
          <w:tcPr>
            <w:tcW w:w="3145" w:type="dxa"/>
            <w:vMerge w:val="restart"/>
          </w:tcPr>
          <w:p w14:paraId="314A6A6A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52" w:type="dxa"/>
          </w:tcPr>
          <w:p w14:paraId="0EE11F1B" w14:textId="56AA8343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1650" w:type="dxa"/>
          </w:tcPr>
          <w:p w14:paraId="6D7303EE" w14:textId="667A79E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Плацебо</w:t>
            </w:r>
            <w:proofErr w:type="spellEnd"/>
          </w:p>
        </w:tc>
        <w:tc>
          <w:tcPr>
            <w:tcW w:w="2402" w:type="dxa"/>
            <w:vMerge w:val="restart"/>
          </w:tcPr>
          <w:p w14:paraId="03A38796" w14:textId="639EF132" w:rsidR="00567AEE" w:rsidRDefault="00567AEE" w:rsidP="00567AEE">
            <w:proofErr w:type="spellStart"/>
            <w:r>
              <w:t>Относителен</w:t>
            </w:r>
            <w:proofErr w:type="spellEnd"/>
            <w:r>
              <w:t xml:space="preserve"> </w:t>
            </w:r>
            <w:proofErr w:type="spellStart"/>
            <w:r>
              <w:t>риск</w:t>
            </w:r>
            <w:proofErr w:type="spellEnd"/>
            <w:r>
              <w:t xml:space="preserve"> (95%</w:t>
            </w:r>
            <w:r>
              <w:rPr>
                <w:lang w:val="bg-BG"/>
              </w:rPr>
              <w:t xml:space="preserve"> </w:t>
            </w:r>
            <w:proofErr w:type="spellStart"/>
            <w:r>
              <w:t>доверителен</w:t>
            </w:r>
            <w:proofErr w:type="spellEnd"/>
          </w:p>
          <w:p w14:paraId="706AB958" w14:textId="339531DA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t>интервал</w:t>
            </w:r>
            <w:proofErr w:type="spellEnd"/>
            <w:r>
              <w:t>)</w:t>
            </w:r>
          </w:p>
        </w:tc>
        <w:tc>
          <w:tcPr>
            <w:tcW w:w="1127" w:type="dxa"/>
            <w:vMerge w:val="restart"/>
          </w:tcPr>
          <w:p w14:paraId="495556C9" w14:textId="7DA6400C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t xml:space="preserve">Р- </w:t>
            </w:r>
            <w:proofErr w:type="spellStart"/>
            <w:r>
              <w:t>стойност</w:t>
            </w:r>
            <w:proofErr w:type="spellEnd"/>
          </w:p>
        </w:tc>
      </w:tr>
      <w:tr w:rsidR="00567AEE" w14:paraId="097D1CF0" w14:textId="77777777" w:rsidTr="00567AEE">
        <w:tc>
          <w:tcPr>
            <w:tcW w:w="3145" w:type="dxa"/>
            <w:vMerge/>
          </w:tcPr>
          <w:p w14:paraId="1899ED49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52" w:type="dxa"/>
          </w:tcPr>
          <w:p w14:paraId="6430D86B" w14:textId="5AE8FF95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%</w:t>
            </w:r>
          </w:p>
        </w:tc>
        <w:tc>
          <w:tcPr>
            <w:tcW w:w="1650" w:type="dxa"/>
          </w:tcPr>
          <w:p w14:paraId="40EB64FA" w14:textId="37A1E7AC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%</w:t>
            </w:r>
          </w:p>
        </w:tc>
        <w:tc>
          <w:tcPr>
            <w:tcW w:w="2402" w:type="dxa"/>
            <w:vMerge/>
          </w:tcPr>
          <w:p w14:paraId="218D9813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27" w:type="dxa"/>
            <w:vMerge/>
          </w:tcPr>
          <w:p w14:paraId="500FCECB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567AEE" w14:paraId="43D81CAD" w14:textId="77777777" w:rsidTr="00567AEE">
        <w:tc>
          <w:tcPr>
            <w:tcW w:w="3145" w:type="dxa"/>
            <w:vAlign w:val="bottom"/>
          </w:tcPr>
          <w:p w14:paraId="1FCBD8D7" w14:textId="5A15134D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bCs/>
              </w:rPr>
              <w:t>Всички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пациенти</w:t>
            </w:r>
            <w:proofErr w:type="spellEnd"/>
          </w:p>
        </w:tc>
        <w:tc>
          <w:tcPr>
            <w:tcW w:w="1252" w:type="dxa"/>
            <w:vAlign w:val="bottom"/>
          </w:tcPr>
          <w:p w14:paraId="6A4A65AD" w14:textId="7592473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</w:rPr>
              <w:t>n=4 645</w:t>
            </w:r>
          </w:p>
        </w:tc>
        <w:tc>
          <w:tcPr>
            <w:tcW w:w="1650" w:type="dxa"/>
            <w:vAlign w:val="bottom"/>
          </w:tcPr>
          <w:p w14:paraId="432B992E" w14:textId="07C2E572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</w:rPr>
              <w:t>N=4 652</w:t>
            </w:r>
          </w:p>
        </w:tc>
        <w:tc>
          <w:tcPr>
            <w:tcW w:w="2402" w:type="dxa"/>
          </w:tcPr>
          <w:p w14:paraId="7AA052CC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27" w:type="dxa"/>
          </w:tcPr>
          <w:p w14:paraId="73955B2F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567AEE" w14:paraId="356EFAEB" w14:textId="77777777" w:rsidTr="002B319C">
        <w:tc>
          <w:tcPr>
            <w:tcW w:w="3145" w:type="dxa"/>
            <w:vAlign w:val="bottom"/>
          </w:tcPr>
          <w:p w14:paraId="1590C425" w14:textId="77777777" w:rsidR="00567AEE" w:rsidRDefault="00567AEE" w:rsidP="00567AEE">
            <w:proofErr w:type="spellStart"/>
            <w:r>
              <w:rPr>
                <w:b/>
                <w:bCs/>
              </w:rPr>
              <w:t>Първично</w:t>
            </w:r>
            <w:proofErr w:type="spellEnd"/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комбинирани</w:t>
            </w:r>
            <w:proofErr w:type="spellEnd"/>
          </w:p>
          <w:p w14:paraId="54D0E366" w14:textId="6DC16A9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bCs/>
              </w:rPr>
              <w:t>събития</w:t>
            </w:r>
            <w:proofErr w:type="spellEnd"/>
          </w:p>
        </w:tc>
        <w:tc>
          <w:tcPr>
            <w:tcW w:w="1252" w:type="dxa"/>
          </w:tcPr>
          <w:p w14:paraId="6CB0B5FD" w14:textId="31C7F1B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650" w:type="dxa"/>
          </w:tcPr>
          <w:p w14:paraId="5242A75E" w14:textId="715FD00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</w:rPr>
              <w:t>17,8</w:t>
            </w:r>
          </w:p>
        </w:tc>
        <w:tc>
          <w:tcPr>
            <w:tcW w:w="2402" w:type="dxa"/>
          </w:tcPr>
          <w:p w14:paraId="621B8FBF" w14:textId="493BB454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</w:rPr>
              <w:t>0,78 (0,70-0,86)</w:t>
            </w:r>
          </w:p>
        </w:tc>
        <w:tc>
          <w:tcPr>
            <w:tcW w:w="1127" w:type="dxa"/>
          </w:tcPr>
          <w:p w14:paraId="566680FB" w14:textId="1F46FB3B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</w:rPr>
              <w:t>&lt;0,001</w:t>
            </w:r>
          </w:p>
        </w:tc>
      </w:tr>
      <w:tr w:rsidR="00567AEE" w14:paraId="2DFF6011" w14:textId="77777777" w:rsidTr="0048443A">
        <w:tc>
          <w:tcPr>
            <w:tcW w:w="3145" w:type="dxa"/>
            <w:vAlign w:val="bottom"/>
          </w:tcPr>
          <w:p w14:paraId="7D9CEC20" w14:textId="3023616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Миокарден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инфаркт</w:t>
            </w:r>
            <w:proofErr w:type="spellEnd"/>
          </w:p>
        </w:tc>
        <w:tc>
          <w:tcPr>
            <w:tcW w:w="1252" w:type="dxa"/>
            <w:vAlign w:val="bottom"/>
          </w:tcPr>
          <w:p w14:paraId="081B70E7" w14:textId="5E90C2E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9,9</w:t>
            </w:r>
          </w:p>
        </w:tc>
        <w:tc>
          <w:tcPr>
            <w:tcW w:w="1650" w:type="dxa"/>
            <w:vAlign w:val="bottom"/>
          </w:tcPr>
          <w:p w14:paraId="1FC70957" w14:textId="03BCE0C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12,3</w:t>
            </w:r>
          </w:p>
        </w:tc>
        <w:tc>
          <w:tcPr>
            <w:tcW w:w="2402" w:type="dxa"/>
            <w:vAlign w:val="bottom"/>
          </w:tcPr>
          <w:p w14:paraId="31BE03A8" w14:textId="1281CA8B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0,80(0,70-0,90)</w:t>
            </w:r>
          </w:p>
        </w:tc>
        <w:tc>
          <w:tcPr>
            <w:tcW w:w="1127" w:type="dxa"/>
            <w:vAlign w:val="bottom"/>
          </w:tcPr>
          <w:p w14:paraId="619F0E95" w14:textId="0120DB42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&lt;0,001</w:t>
            </w:r>
          </w:p>
        </w:tc>
      </w:tr>
      <w:tr w:rsidR="00567AEE" w14:paraId="3A7E0F47" w14:textId="77777777" w:rsidTr="0048443A">
        <w:tc>
          <w:tcPr>
            <w:tcW w:w="3145" w:type="dxa"/>
            <w:vAlign w:val="bottom"/>
          </w:tcPr>
          <w:p w14:paraId="39154245" w14:textId="585C5C9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Сърдечно-съдова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смърт</w:t>
            </w:r>
            <w:proofErr w:type="spellEnd"/>
          </w:p>
        </w:tc>
        <w:tc>
          <w:tcPr>
            <w:tcW w:w="1252" w:type="dxa"/>
            <w:vAlign w:val="bottom"/>
          </w:tcPr>
          <w:p w14:paraId="7F9C1F96" w14:textId="72923EC8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6,1</w:t>
            </w:r>
          </w:p>
        </w:tc>
        <w:tc>
          <w:tcPr>
            <w:tcW w:w="1650" w:type="dxa"/>
            <w:vAlign w:val="bottom"/>
          </w:tcPr>
          <w:p w14:paraId="2374CB7C" w14:textId="000827B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8,1</w:t>
            </w:r>
          </w:p>
        </w:tc>
        <w:tc>
          <w:tcPr>
            <w:tcW w:w="2402" w:type="dxa"/>
            <w:vAlign w:val="bottom"/>
          </w:tcPr>
          <w:p w14:paraId="52AF0F9D" w14:textId="1843E9AD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0,74(0,64-0,87)</w:t>
            </w:r>
          </w:p>
        </w:tc>
        <w:tc>
          <w:tcPr>
            <w:tcW w:w="1127" w:type="dxa"/>
            <w:vAlign w:val="bottom"/>
          </w:tcPr>
          <w:p w14:paraId="20F6E363" w14:textId="648817C4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&lt;0,001</w:t>
            </w:r>
          </w:p>
        </w:tc>
      </w:tr>
      <w:tr w:rsidR="00567AEE" w14:paraId="3B3E81DD" w14:textId="77777777" w:rsidTr="0048443A">
        <w:tc>
          <w:tcPr>
            <w:tcW w:w="3145" w:type="dxa"/>
            <w:vAlign w:val="bottom"/>
          </w:tcPr>
          <w:p w14:paraId="111CE71F" w14:textId="6A592B8D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Инсулт</w:t>
            </w:r>
            <w:proofErr w:type="spellEnd"/>
          </w:p>
        </w:tc>
        <w:tc>
          <w:tcPr>
            <w:tcW w:w="1252" w:type="dxa"/>
            <w:vAlign w:val="bottom"/>
          </w:tcPr>
          <w:p w14:paraId="1CDB38F3" w14:textId="6F7F6C33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3,4</w:t>
            </w:r>
          </w:p>
        </w:tc>
        <w:tc>
          <w:tcPr>
            <w:tcW w:w="1650" w:type="dxa"/>
            <w:vAlign w:val="bottom"/>
          </w:tcPr>
          <w:p w14:paraId="21248DF5" w14:textId="53E8166E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4,9</w:t>
            </w:r>
          </w:p>
        </w:tc>
        <w:tc>
          <w:tcPr>
            <w:tcW w:w="2402" w:type="dxa"/>
            <w:vAlign w:val="bottom"/>
          </w:tcPr>
          <w:p w14:paraId="1266B504" w14:textId="006847A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0,68 (0,56-0,84)</w:t>
            </w:r>
          </w:p>
        </w:tc>
        <w:tc>
          <w:tcPr>
            <w:tcW w:w="1127" w:type="dxa"/>
            <w:vAlign w:val="bottom"/>
          </w:tcPr>
          <w:p w14:paraId="093B1919" w14:textId="54049B2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&lt;0,001</w:t>
            </w:r>
          </w:p>
        </w:tc>
      </w:tr>
      <w:tr w:rsidR="00567AEE" w14:paraId="1A346979" w14:textId="77777777" w:rsidTr="00567AEE">
        <w:tc>
          <w:tcPr>
            <w:tcW w:w="3145" w:type="dxa"/>
          </w:tcPr>
          <w:p w14:paraId="6808D473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52" w:type="dxa"/>
          </w:tcPr>
          <w:p w14:paraId="35CB1F76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50" w:type="dxa"/>
          </w:tcPr>
          <w:p w14:paraId="4C82C9FB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402" w:type="dxa"/>
          </w:tcPr>
          <w:p w14:paraId="508B9366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27" w:type="dxa"/>
          </w:tcPr>
          <w:p w14:paraId="15A29B81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567AEE" w14:paraId="4FB9C4FE" w14:textId="77777777" w:rsidTr="00EC3FDC">
        <w:tc>
          <w:tcPr>
            <w:tcW w:w="3145" w:type="dxa"/>
            <w:vAlign w:val="bottom"/>
          </w:tcPr>
          <w:p w14:paraId="67BF16FA" w14:textId="79E8B57B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bCs/>
              </w:rPr>
              <w:t>Вторични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крайни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точки</w:t>
            </w:r>
            <w:proofErr w:type="spellEnd"/>
          </w:p>
        </w:tc>
        <w:tc>
          <w:tcPr>
            <w:tcW w:w="1252" w:type="dxa"/>
          </w:tcPr>
          <w:p w14:paraId="28E174BA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50" w:type="dxa"/>
          </w:tcPr>
          <w:p w14:paraId="6C47B95E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402" w:type="dxa"/>
          </w:tcPr>
          <w:p w14:paraId="169F3506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27" w:type="dxa"/>
          </w:tcPr>
          <w:p w14:paraId="74C1F3FA" w14:textId="7777777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567AEE" w14:paraId="17034533" w14:textId="77777777" w:rsidTr="0048443A">
        <w:tc>
          <w:tcPr>
            <w:tcW w:w="3145" w:type="dxa"/>
            <w:vAlign w:val="bottom"/>
          </w:tcPr>
          <w:p w14:paraId="24C711D4" w14:textId="6F873A2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Смърт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всякаква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причина</w:t>
            </w:r>
            <w:proofErr w:type="spellEnd"/>
          </w:p>
        </w:tc>
        <w:tc>
          <w:tcPr>
            <w:tcW w:w="1252" w:type="dxa"/>
            <w:vAlign w:val="bottom"/>
          </w:tcPr>
          <w:p w14:paraId="0403A56C" w14:textId="0666CFF3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10,4</w:t>
            </w:r>
          </w:p>
        </w:tc>
        <w:tc>
          <w:tcPr>
            <w:tcW w:w="1650" w:type="dxa"/>
            <w:vAlign w:val="bottom"/>
          </w:tcPr>
          <w:p w14:paraId="1AEDC494" w14:textId="09B1655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12,2</w:t>
            </w:r>
          </w:p>
        </w:tc>
        <w:tc>
          <w:tcPr>
            <w:tcW w:w="2402" w:type="dxa"/>
            <w:vAlign w:val="bottom"/>
          </w:tcPr>
          <w:p w14:paraId="2E9B18EA" w14:textId="3B916ED1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0,84(0,75-0,95)</w:t>
            </w:r>
          </w:p>
        </w:tc>
        <w:tc>
          <w:tcPr>
            <w:tcW w:w="1127" w:type="dxa"/>
            <w:vAlign w:val="bottom"/>
          </w:tcPr>
          <w:p w14:paraId="0F1796DD" w14:textId="4FC15AD8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0,005</w:t>
            </w:r>
          </w:p>
        </w:tc>
      </w:tr>
      <w:tr w:rsidR="00567AEE" w14:paraId="141EB646" w14:textId="77777777" w:rsidTr="00EC3FDC">
        <w:tc>
          <w:tcPr>
            <w:tcW w:w="3145" w:type="dxa"/>
            <w:vAlign w:val="bottom"/>
          </w:tcPr>
          <w:p w14:paraId="31CEB76C" w14:textId="77777777" w:rsidR="00567AEE" w:rsidRDefault="00567AEE" w:rsidP="00567AEE">
            <w:proofErr w:type="spellStart"/>
            <w:r>
              <w:rPr>
                <w:i/>
                <w:iCs/>
              </w:rPr>
              <w:t>Необходимост</w:t>
            </w:r>
            <w:proofErr w:type="spellEnd"/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от</w:t>
            </w:r>
            <w:proofErr w:type="spellEnd"/>
          </w:p>
          <w:p w14:paraId="73826FBE" w14:textId="625F6833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реваскуларизация</w:t>
            </w:r>
            <w:proofErr w:type="spellEnd"/>
          </w:p>
        </w:tc>
        <w:tc>
          <w:tcPr>
            <w:tcW w:w="1252" w:type="dxa"/>
          </w:tcPr>
          <w:p w14:paraId="6E05D165" w14:textId="314454A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16,0</w:t>
            </w:r>
          </w:p>
        </w:tc>
        <w:tc>
          <w:tcPr>
            <w:tcW w:w="1650" w:type="dxa"/>
          </w:tcPr>
          <w:p w14:paraId="703EF5D1" w14:textId="75896084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18,3</w:t>
            </w:r>
          </w:p>
        </w:tc>
        <w:tc>
          <w:tcPr>
            <w:tcW w:w="2402" w:type="dxa"/>
          </w:tcPr>
          <w:p w14:paraId="3A6942F2" w14:textId="555514A7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0,85 (0,77-0,94)</w:t>
            </w:r>
          </w:p>
        </w:tc>
        <w:tc>
          <w:tcPr>
            <w:tcW w:w="1127" w:type="dxa"/>
          </w:tcPr>
          <w:p w14:paraId="733A06AB" w14:textId="47C7005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0,002</w:t>
            </w:r>
          </w:p>
        </w:tc>
      </w:tr>
      <w:tr w:rsidR="00567AEE" w14:paraId="41FD92BB" w14:textId="77777777" w:rsidTr="00EC3FDC">
        <w:tc>
          <w:tcPr>
            <w:tcW w:w="3145" w:type="dxa"/>
            <w:vAlign w:val="bottom"/>
          </w:tcPr>
          <w:p w14:paraId="7943617C" w14:textId="012D4EB0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lastRenderedPageBreak/>
              <w:t>Хоспитализация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поради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нестабилна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ангина</w:t>
            </w:r>
            <w:proofErr w:type="spellEnd"/>
          </w:p>
        </w:tc>
        <w:tc>
          <w:tcPr>
            <w:tcW w:w="1252" w:type="dxa"/>
          </w:tcPr>
          <w:p w14:paraId="28FFCBE2" w14:textId="25704710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12,1</w:t>
            </w:r>
          </w:p>
        </w:tc>
        <w:tc>
          <w:tcPr>
            <w:tcW w:w="1650" w:type="dxa"/>
          </w:tcPr>
          <w:p w14:paraId="783D5E10" w14:textId="3248A4B6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12,3</w:t>
            </w:r>
          </w:p>
        </w:tc>
        <w:tc>
          <w:tcPr>
            <w:tcW w:w="2402" w:type="dxa"/>
          </w:tcPr>
          <w:p w14:paraId="654E7828" w14:textId="3C0632E5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0,98(0,87-1,10)</w:t>
            </w:r>
          </w:p>
        </w:tc>
        <w:tc>
          <w:tcPr>
            <w:tcW w:w="1127" w:type="dxa"/>
          </w:tcPr>
          <w:p w14:paraId="0E64898D" w14:textId="3864C45A" w:rsidR="00567AEE" w:rsidRDefault="00567AEE" w:rsidP="00567AEE">
            <w:pPr>
              <w:rPr>
                <w:sz w:val="24"/>
                <w:szCs w:val="24"/>
                <w:lang w:val="bg-BG"/>
              </w:rPr>
            </w:pPr>
            <w:r>
              <w:t>NS</w:t>
            </w:r>
          </w:p>
        </w:tc>
      </w:tr>
      <w:tr w:rsidR="00567AEE" w14:paraId="60341667" w14:textId="77777777" w:rsidTr="00EC3FDC">
        <w:tc>
          <w:tcPr>
            <w:tcW w:w="3145" w:type="dxa"/>
            <w:vAlign w:val="bottom"/>
          </w:tcPr>
          <w:p w14:paraId="42306777" w14:textId="77777777" w:rsidR="00567AEE" w:rsidRDefault="00567AEE" w:rsidP="00567AEE">
            <w:proofErr w:type="spellStart"/>
            <w:r>
              <w:rPr>
                <w:i/>
                <w:iCs/>
              </w:rPr>
              <w:t>Хоспитализация</w:t>
            </w:r>
            <w:proofErr w:type="spellEnd"/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поради</w:t>
            </w:r>
            <w:proofErr w:type="spellEnd"/>
          </w:p>
          <w:p w14:paraId="37F2E5BA" w14:textId="55FE1C8B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сърдечна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недостатъчност</w:t>
            </w:r>
            <w:proofErr w:type="spellEnd"/>
          </w:p>
        </w:tc>
        <w:tc>
          <w:tcPr>
            <w:tcW w:w="1252" w:type="dxa"/>
          </w:tcPr>
          <w:p w14:paraId="7C63E995" w14:textId="5F62F3B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3,2</w:t>
            </w:r>
          </w:p>
        </w:tc>
        <w:tc>
          <w:tcPr>
            <w:tcW w:w="1650" w:type="dxa"/>
          </w:tcPr>
          <w:p w14:paraId="2004F13E" w14:textId="27E39E3B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3,5</w:t>
            </w:r>
          </w:p>
        </w:tc>
        <w:tc>
          <w:tcPr>
            <w:tcW w:w="2402" w:type="dxa"/>
          </w:tcPr>
          <w:p w14:paraId="78A79197" w14:textId="54DB4811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0,88 (0,70-1,10)</w:t>
            </w:r>
          </w:p>
        </w:tc>
        <w:tc>
          <w:tcPr>
            <w:tcW w:w="1127" w:type="dxa"/>
          </w:tcPr>
          <w:p w14:paraId="4F89454A" w14:textId="0CCD73C2" w:rsidR="00567AEE" w:rsidRDefault="00567AEE" w:rsidP="00567AEE">
            <w:pPr>
              <w:rPr>
                <w:sz w:val="24"/>
                <w:szCs w:val="24"/>
                <w:lang w:val="bg-BG"/>
              </w:rPr>
            </w:pPr>
            <w:r>
              <w:t>0,25</w:t>
            </w:r>
          </w:p>
        </w:tc>
      </w:tr>
      <w:tr w:rsidR="00567AEE" w14:paraId="55CC8DD0" w14:textId="77777777" w:rsidTr="00567AEE">
        <w:tc>
          <w:tcPr>
            <w:tcW w:w="3145" w:type="dxa"/>
          </w:tcPr>
          <w:p w14:paraId="494C442F" w14:textId="1099DD6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iCs/>
              </w:rPr>
              <w:t>Усложнения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свързани</w:t>
            </w:r>
            <w:proofErr w:type="spellEnd"/>
            <w:r>
              <w:rPr>
                <w:i/>
                <w:iCs/>
              </w:rPr>
              <w:t xml:space="preserve"> с </w:t>
            </w:r>
            <w:proofErr w:type="spellStart"/>
            <w:r>
              <w:rPr>
                <w:i/>
                <w:iCs/>
              </w:rPr>
              <w:t>диабет</w:t>
            </w:r>
            <w:proofErr w:type="spellEnd"/>
          </w:p>
        </w:tc>
        <w:tc>
          <w:tcPr>
            <w:tcW w:w="1252" w:type="dxa"/>
          </w:tcPr>
          <w:p w14:paraId="0DE0A5F4" w14:textId="722CE1E9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6,4</w:t>
            </w:r>
          </w:p>
        </w:tc>
        <w:tc>
          <w:tcPr>
            <w:tcW w:w="1650" w:type="dxa"/>
          </w:tcPr>
          <w:p w14:paraId="7E4B442C" w14:textId="6239F52E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7,6</w:t>
            </w:r>
          </w:p>
        </w:tc>
        <w:tc>
          <w:tcPr>
            <w:tcW w:w="2402" w:type="dxa"/>
          </w:tcPr>
          <w:p w14:paraId="28835794" w14:textId="7B689BF3" w:rsidR="00567AEE" w:rsidRDefault="00567AEE" w:rsidP="00567AEE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i/>
                <w:iCs/>
              </w:rPr>
              <w:t>0,84 (0,72-0,98)</w:t>
            </w:r>
          </w:p>
        </w:tc>
        <w:tc>
          <w:tcPr>
            <w:tcW w:w="1127" w:type="dxa"/>
          </w:tcPr>
          <w:p w14:paraId="51C38B87" w14:textId="40DEA2C2" w:rsidR="00567AEE" w:rsidRDefault="00567AEE" w:rsidP="00567AEE">
            <w:pPr>
              <w:rPr>
                <w:sz w:val="24"/>
                <w:szCs w:val="24"/>
                <w:lang w:val="bg-BG"/>
              </w:rPr>
            </w:pPr>
            <w:r>
              <w:t>0,03</w:t>
            </w:r>
          </w:p>
        </w:tc>
      </w:tr>
    </w:tbl>
    <w:p w14:paraId="5AA0FA96" w14:textId="4A14AD5A" w:rsidR="00567AEE" w:rsidRDefault="00567AEE" w:rsidP="00567AEE">
      <w:pPr>
        <w:rPr>
          <w:b/>
          <w:bCs/>
          <w:sz w:val="24"/>
          <w:szCs w:val="24"/>
          <w:lang w:val="bg-BG"/>
        </w:rPr>
      </w:pPr>
    </w:p>
    <w:p w14:paraId="46CAFF70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Изпитването </w:t>
      </w:r>
      <w:r w:rsidRPr="00567AEE">
        <w:t xml:space="preserve">MICRO-HOPE, </w:t>
      </w:r>
      <w:r w:rsidRPr="00567AEE">
        <w:rPr>
          <w:lang w:val="bg-BG" w:eastAsia="bg-BG"/>
        </w:rPr>
        <w:t xml:space="preserve">предварително определено </w:t>
      </w:r>
      <w:proofErr w:type="spellStart"/>
      <w:r w:rsidRPr="00567AEE">
        <w:rPr>
          <w:lang w:val="bg-BG" w:eastAsia="bg-BG"/>
        </w:rPr>
        <w:t>подизпитване</w:t>
      </w:r>
      <w:proofErr w:type="spellEnd"/>
      <w:r w:rsidRPr="00567AEE">
        <w:rPr>
          <w:lang w:val="bg-BG" w:eastAsia="bg-BG"/>
        </w:rPr>
        <w:t xml:space="preserve"> от НОРЕ, изследва ефекта от добавянето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10 </w:t>
      </w:r>
      <w:r w:rsidRPr="00567AEE">
        <w:t xml:space="preserve">mg </w:t>
      </w:r>
      <w:r w:rsidRPr="00567AEE">
        <w:rPr>
          <w:lang w:val="bg-BG" w:eastAsia="bg-BG"/>
        </w:rPr>
        <w:t>към текущата схема на лечение спрямо плацебо при 3 577 пациенти на поне 55 годишна възраст и по-възрастни (без горна граница на възрастта), като мнозинството са с диабет тип 2 (и поне един сърдечно-съдов рисков фактор), с нормално артериално налягане или хипертоници.</w:t>
      </w:r>
    </w:p>
    <w:p w14:paraId="3018C4D4" w14:textId="77777777" w:rsidR="00567AEE" w:rsidRDefault="00567AEE" w:rsidP="00567AEE">
      <w:pPr>
        <w:rPr>
          <w:lang w:val="bg-BG" w:eastAsia="bg-BG"/>
        </w:rPr>
      </w:pPr>
    </w:p>
    <w:p w14:paraId="74B6435A" w14:textId="509CF2BB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Първичният анализ показва, че 117 (6,5%) от участниците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и 149 (8,4%) от тези на плацебо развиват доказана нефропатия, което съответства на </w:t>
      </w:r>
      <w:r w:rsidRPr="00567AEE">
        <w:t xml:space="preserve">RRR </w:t>
      </w:r>
      <w:r w:rsidRPr="00567AEE">
        <w:rPr>
          <w:lang w:val="bg-BG" w:eastAsia="bg-BG"/>
        </w:rPr>
        <w:t xml:space="preserve">24%,95% </w:t>
      </w:r>
      <w:r w:rsidRPr="00567AEE">
        <w:t xml:space="preserve">CI </w:t>
      </w:r>
      <w:r w:rsidRPr="00567AEE">
        <w:rPr>
          <w:lang w:val="bg-BG" w:eastAsia="bg-BG"/>
        </w:rPr>
        <w:t xml:space="preserve">[3-40], р=0,027. Изпитването </w:t>
      </w:r>
      <w:r w:rsidRPr="00567AEE">
        <w:t xml:space="preserve">REIN </w:t>
      </w:r>
      <w:r w:rsidRPr="00567AEE">
        <w:rPr>
          <w:lang w:val="bg-BG" w:eastAsia="bg-BG"/>
        </w:rPr>
        <w:t xml:space="preserve">е </w:t>
      </w:r>
      <w:proofErr w:type="spellStart"/>
      <w:r w:rsidRPr="00567AEE">
        <w:rPr>
          <w:lang w:val="bg-BG" w:eastAsia="bg-BG"/>
        </w:rPr>
        <w:t>многоцентрово</w:t>
      </w:r>
      <w:proofErr w:type="spellEnd"/>
      <w:r w:rsidRPr="00567AEE">
        <w:rPr>
          <w:lang w:val="bg-BG" w:eastAsia="bg-BG"/>
        </w:rPr>
        <w:t xml:space="preserve"> рандомизирано, двойно-сляпо, плацебо контролирано изпитване с паралелни групи, целящо оценяване на ефекта от лечението с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върху честотата на влошаване на степента на </w:t>
      </w:r>
      <w:proofErr w:type="spellStart"/>
      <w:r w:rsidRPr="00567AEE">
        <w:rPr>
          <w:lang w:val="bg-BG" w:eastAsia="bg-BG"/>
        </w:rPr>
        <w:t>гломерулна</w:t>
      </w:r>
      <w:proofErr w:type="spellEnd"/>
      <w:r w:rsidRPr="00567AEE">
        <w:rPr>
          <w:lang w:val="bg-BG" w:eastAsia="bg-BG"/>
        </w:rPr>
        <w:t xml:space="preserve"> филтрация (СГФ) при 352 пациенти с нормално артериално налягане или хипертоници (18-70 годишна възраст), страдащи от лека (т.е. средна екскреция на протеин в урина&gt; 1 и &lt; 3 </w:t>
      </w:r>
      <w:r w:rsidRPr="00567AEE">
        <w:t xml:space="preserve">g/24 </w:t>
      </w:r>
      <w:r w:rsidRPr="00567AEE">
        <w:rPr>
          <w:lang w:val="bg-BG" w:eastAsia="bg-BG"/>
        </w:rPr>
        <w:t xml:space="preserve">часа) или тежка </w:t>
      </w:r>
      <w:proofErr w:type="spellStart"/>
      <w:r w:rsidRPr="00567AEE">
        <w:rPr>
          <w:lang w:val="bg-BG" w:eastAsia="bg-BG"/>
        </w:rPr>
        <w:t>протеинурия</w:t>
      </w:r>
      <w:proofErr w:type="spellEnd"/>
      <w:r w:rsidRPr="00567AEE">
        <w:rPr>
          <w:lang w:val="bg-BG" w:eastAsia="bg-BG"/>
        </w:rPr>
        <w:t xml:space="preserve"> (</w:t>
      </w:r>
      <w:r w:rsidRPr="00567AEE">
        <w:t>≥</w:t>
      </w:r>
      <w:r w:rsidRPr="00567AEE">
        <w:rPr>
          <w:lang w:val="bg-BG" w:eastAsia="bg-BG"/>
        </w:rPr>
        <w:t xml:space="preserve"> 3 </w:t>
      </w:r>
      <w:r w:rsidRPr="00567AEE">
        <w:t xml:space="preserve">g/24 </w:t>
      </w:r>
      <w:r w:rsidRPr="00567AEE">
        <w:rPr>
          <w:lang w:val="bg-BG" w:eastAsia="bg-BG"/>
        </w:rPr>
        <w:t xml:space="preserve">часа) поради хронична недиабетна нефропатия. И двете субпопулации са били </w:t>
      </w:r>
      <w:proofErr w:type="spellStart"/>
      <w:r w:rsidRPr="00567AEE">
        <w:rPr>
          <w:lang w:val="bg-BG" w:eastAsia="bg-BG"/>
        </w:rPr>
        <w:t>проспективно</w:t>
      </w:r>
      <w:proofErr w:type="spellEnd"/>
      <w:r w:rsidRPr="00567AEE">
        <w:rPr>
          <w:lang w:val="bg-BG" w:eastAsia="bg-BG"/>
        </w:rPr>
        <w:t xml:space="preserve"> стратифицирани.</w:t>
      </w:r>
    </w:p>
    <w:p w14:paraId="60D4DA8D" w14:textId="77777777" w:rsidR="00567AEE" w:rsidRDefault="00567AEE" w:rsidP="00567AEE">
      <w:pPr>
        <w:rPr>
          <w:lang w:val="bg-BG" w:eastAsia="bg-BG"/>
        </w:rPr>
      </w:pPr>
    </w:p>
    <w:p w14:paraId="0F42C178" w14:textId="4143CB23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Основният анализ на пациентите с най-тежка </w:t>
      </w:r>
      <w:proofErr w:type="spellStart"/>
      <w:r w:rsidRPr="00567AEE">
        <w:rPr>
          <w:lang w:val="bg-BG" w:eastAsia="bg-BG"/>
        </w:rPr>
        <w:t>протеинурия</w:t>
      </w:r>
      <w:proofErr w:type="spellEnd"/>
      <w:r w:rsidRPr="00567AEE">
        <w:rPr>
          <w:lang w:val="bg-BG" w:eastAsia="bg-BG"/>
        </w:rPr>
        <w:t xml:space="preserve"> (частта от пациенти преждевременно отстранена, поради предимствата при групата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) показва, че средната честота на влошаване на СГФ за месец е била по-ниска при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, отколкото при плацебо; -0,54 (0,66) спрямо -0,88 (1,03) </w:t>
      </w:r>
      <w:r w:rsidRPr="00567AEE">
        <w:t xml:space="preserve">ml/min </w:t>
      </w:r>
      <w:r w:rsidRPr="00567AEE">
        <w:rPr>
          <w:lang w:val="bg-BG" w:eastAsia="bg-BG"/>
        </w:rPr>
        <w:t xml:space="preserve">/месец, р = 0,038. </w:t>
      </w:r>
      <w:proofErr w:type="spellStart"/>
      <w:r w:rsidRPr="00567AEE">
        <w:rPr>
          <w:lang w:val="bg-BG" w:eastAsia="bg-BG"/>
        </w:rPr>
        <w:t>Вътрегруповата</w:t>
      </w:r>
      <w:proofErr w:type="spellEnd"/>
      <w:r w:rsidRPr="00567AEE">
        <w:rPr>
          <w:lang w:val="bg-BG" w:eastAsia="bg-BG"/>
        </w:rPr>
        <w:t xml:space="preserve"> разлика е била 0,34 [0,03-0,65] за месец, и около 4 </w:t>
      </w:r>
      <w:r w:rsidRPr="00567AEE">
        <w:t xml:space="preserve">ml/ min </w:t>
      </w:r>
      <w:r w:rsidRPr="00567AEE">
        <w:rPr>
          <w:lang w:val="bg-BG" w:eastAsia="bg-BG"/>
        </w:rPr>
        <w:t xml:space="preserve">/година; 23,1% от пациентите в групата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достигат комбинираните вторични крайни точки на удвояване концентрацията на изходния серумен </w:t>
      </w:r>
      <w:proofErr w:type="spellStart"/>
      <w:r w:rsidRPr="00567AEE">
        <w:rPr>
          <w:lang w:val="bg-BG" w:eastAsia="bg-BG"/>
        </w:rPr>
        <w:t>креатинин</w:t>
      </w:r>
      <w:proofErr w:type="spellEnd"/>
      <w:r w:rsidRPr="00567AEE">
        <w:rPr>
          <w:lang w:val="bg-BG" w:eastAsia="bg-BG"/>
        </w:rPr>
        <w:t xml:space="preserve"> и/или терминална бъбречна недостатъчност (необходимост от диализа или бъбречна трансплантация) спрямо 45,5 % в групата на плацебо (р = 0,02).</w:t>
      </w:r>
    </w:p>
    <w:p w14:paraId="54082CFE" w14:textId="77777777" w:rsidR="00567AEE" w:rsidRDefault="00567AEE" w:rsidP="00567AEE">
      <w:pPr>
        <w:rPr>
          <w:i/>
          <w:iCs/>
          <w:lang w:val="bg-BG" w:eastAsia="bg-BG"/>
        </w:rPr>
      </w:pPr>
    </w:p>
    <w:p w14:paraId="0F04D01E" w14:textId="60D12F15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i/>
          <w:iCs/>
          <w:lang w:val="bg-BG" w:eastAsia="bg-BG"/>
        </w:rPr>
        <w:t>Двойна блокада на ренин-</w:t>
      </w:r>
      <w:proofErr w:type="spellStart"/>
      <w:r w:rsidRPr="00567AEE">
        <w:rPr>
          <w:i/>
          <w:iCs/>
          <w:lang w:val="bg-BG" w:eastAsia="bg-BG"/>
        </w:rPr>
        <w:t>ангиотензин</w:t>
      </w:r>
      <w:proofErr w:type="spellEnd"/>
      <w:r w:rsidRPr="00567AEE">
        <w:rPr>
          <w:i/>
          <w:iCs/>
          <w:lang w:val="bg-BG" w:eastAsia="bg-BG"/>
        </w:rPr>
        <w:t xml:space="preserve">- </w:t>
      </w:r>
      <w:proofErr w:type="spellStart"/>
      <w:r w:rsidRPr="00567AEE">
        <w:rPr>
          <w:i/>
          <w:iCs/>
          <w:lang w:val="bg-BG" w:eastAsia="bg-BG"/>
        </w:rPr>
        <w:t>алдостероновата</w:t>
      </w:r>
      <w:proofErr w:type="spellEnd"/>
      <w:r w:rsidRPr="00567AEE">
        <w:rPr>
          <w:i/>
          <w:iCs/>
          <w:lang w:val="bg-BG" w:eastAsia="bg-BG"/>
        </w:rPr>
        <w:t xml:space="preserve"> системата (РААС)</w:t>
      </w:r>
    </w:p>
    <w:p w14:paraId="46B0D93A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Две големи рандомизирани контролирани проучвания - </w:t>
      </w:r>
      <w:r w:rsidRPr="00567AEE">
        <w:t>ONTARGET (</w:t>
      </w:r>
      <w:proofErr w:type="spellStart"/>
      <w:r w:rsidRPr="00567AEE">
        <w:t>ONgoing</w:t>
      </w:r>
      <w:proofErr w:type="spellEnd"/>
      <w:r w:rsidRPr="00567AEE">
        <w:t xml:space="preserve"> Telmisartan Alone and in combination with Ramipril Global Endpoint Trial - </w:t>
      </w:r>
      <w:r w:rsidRPr="00567AEE">
        <w:rPr>
          <w:lang w:val="bg-BG" w:eastAsia="bg-BG"/>
        </w:rPr>
        <w:t xml:space="preserve">текущо глобално изпитване за крайни точки на </w:t>
      </w:r>
      <w:proofErr w:type="spellStart"/>
      <w:r w:rsidRPr="00567AEE">
        <w:rPr>
          <w:lang w:val="bg-BG" w:eastAsia="bg-BG"/>
        </w:rPr>
        <w:t>телмисартан</w:t>
      </w:r>
      <w:proofErr w:type="spellEnd"/>
      <w:r w:rsidRPr="00567AEE">
        <w:rPr>
          <w:lang w:val="bg-BG" w:eastAsia="bg-BG"/>
        </w:rPr>
        <w:t xml:space="preserve">, самостоятелно и в комбинация с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) и </w:t>
      </w:r>
      <w:r w:rsidRPr="00567AEE">
        <w:t xml:space="preserve">VA NEPHRON-D </w:t>
      </w:r>
      <w:r w:rsidRPr="00567AEE">
        <w:rPr>
          <w:lang w:val="bg-BG" w:eastAsia="bg-BG"/>
        </w:rPr>
        <w:t xml:space="preserve">(Клинично проучване свързано с развитие на нефропатия при диабет, проведено от Министерство по въпросите на ветераните) - проучват употребата на комбинацията от АСЕ инхибитор и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II-рецепторен </w:t>
      </w:r>
      <w:proofErr w:type="spellStart"/>
      <w:r w:rsidRPr="00567AEE">
        <w:rPr>
          <w:lang w:val="bg-BG" w:eastAsia="bg-BG"/>
        </w:rPr>
        <w:t>блокер</w:t>
      </w:r>
      <w:proofErr w:type="spellEnd"/>
      <w:r w:rsidRPr="00567AEE">
        <w:rPr>
          <w:lang w:val="bg-BG" w:eastAsia="bg-BG"/>
        </w:rPr>
        <w:t>.</w:t>
      </w:r>
    </w:p>
    <w:p w14:paraId="098A671B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t xml:space="preserve">ONTARGET </w:t>
      </w:r>
      <w:r w:rsidRPr="00567AEE">
        <w:rPr>
          <w:lang w:val="bg-BG" w:eastAsia="bg-BG"/>
        </w:rPr>
        <w:t xml:space="preserve">е проучване, проведено при пациенти с анамнеза за сърдечно-съдова или </w:t>
      </w:r>
      <w:proofErr w:type="spellStart"/>
      <w:r w:rsidRPr="00567AEE">
        <w:rPr>
          <w:lang w:val="bg-BG" w:eastAsia="bg-BG"/>
        </w:rPr>
        <w:t>мозъчносъдова</w:t>
      </w:r>
      <w:proofErr w:type="spellEnd"/>
      <w:r w:rsidRPr="00567AEE">
        <w:rPr>
          <w:lang w:val="bg-BG" w:eastAsia="bg-BG"/>
        </w:rPr>
        <w:t xml:space="preserve"> болест, или захарен диабет тип 2, придружени с данни за увреждане на таргетни органи. </w:t>
      </w:r>
      <w:r w:rsidRPr="00567AEE">
        <w:t xml:space="preserve">VA NEPHRON-D </w:t>
      </w:r>
      <w:r w:rsidRPr="00567AEE">
        <w:rPr>
          <w:lang w:val="bg-BG" w:eastAsia="bg-BG"/>
        </w:rPr>
        <w:t>е проучване при пациенти със захарен диабет тип 2 и диабетна нефропатия.</w:t>
      </w:r>
    </w:p>
    <w:p w14:paraId="1DA232E7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>Тези проучвания не показват значим благоприятен ефект върху бъбречните и/или сърдечно</w:t>
      </w:r>
      <w:r w:rsidRPr="00567AEE">
        <w:rPr>
          <w:lang w:val="bg-BG" w:eastAsia="bg-BG"/>
        </w:rPr>
        <w:softHyphen/>
        <w:t xml:space="preserve">съдовите последици и смъртност, като същевременно са наблюдавани повишен риск от </w:t>
      </w:r>
      <w:proofErr w:type="spellStart"/>
      <w:r w:rsidRPr="00567AEE">
        <w:rPr>
          <w:lang w:val="bg-BG" w:eastAsia="bg-BG"/>
        </w:rPr>
        <w:t>хиперкалиемия</w:t>
      </w:r>
      <w:proofErr w:type="spellEnd"/>
      <w:r w:rsidRPr="00567AEE">
        <w:rPr>
          <w:lang w:val="bg-BG" w:eastAsia="bg-BG"/>
        </w:rPr>
        <w:t xml:space="preserve">, остро увреждане на бъбреците и/или хипотония в сравнение с </w:t>
      </w:r>
      <w:proofErr w:type="spellStart"/>
      <w:r w:rsidRPr="00567AEE">
        <w:rPr>
          <w:lang w:val="bg-BG" w:eastAsia="bg-BG"/>
        </w:rPr>
        <w:lastRenderedPageBreak/>
        <w:t>монотерапията</w:t>
      </w:r>
      <w:proofErr w:type="spellEnd"/>
      <w:r w:rsidRPr="00567AEE">
        <w:rPr>
          <w:lang w:val="bg-BG" w:eastAsia="bg-BG"/>
        </w:rPr>
        <w:t xml:space="preserve">. Като се имат предвид сходните им </w:t>
      </w:r>
      <w:proofErr w:type="spellStart"/>
      <w:r w:rsidRPr="00567AEE">
        <w:rPr>
          <w:lang w:val="bg-BG" w:eastAsia="bg-BG"/>
        </w:rPr>
        <w:t>фармакодинамични</w:t>
      </w:r>
      <w:proofErr w:type="spellEnd"/>
      <w:r w:rsidRPr="00567AEE">
        <w:rPr>
          <w:lang w:val="bg-BG" w:eastAsia="bg-BG"/>
        </w:rPr>
        <w:t xml:space="preserve"> свойства, тези резултати са приложими и за други АСЕ инхибитори и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П-рецепторни </w:t>
      </w:r>
      <w:proofErr w:type="spellStart"/>
      <w:r w:rsidRPr="00567AEE">
        <w:rPr>
          <w:lang w:val="bg-BG" w:eastAsia="bg-BG"/>
        </w:rPr>
        <w:t>блокери</w:t>
      </w:r>
      <w:proofErr w:type="spellEnd"/>
      <w:r w:rsidRPr="00567AEE">
        <w:rPr>
          <w:lang w:val="bg-BG" w:eastAsia="bg-BG"/>
        </w:rPr>
        <w:t>.</w:t>
      </w:r>
    </w:p>
    <w:p w14:paraId="72879551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АСЕ инхибитори и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П-рецепторни </w:t>
      </w:r>
      <w:proofErr w:type="spellStart"/>
      <w:r w:rsidRPr="00567AEE">
        <w:rPr>
          <w:lang w:val="bg-BG" w:eastAsia="bg-BG"/>
        </w:rPr>
        <w:t>блокери</w:t>
      </w:r>
      <w:proofErr w:type="spellEnd"/>
      <w:r w:rsidRPr="00567AEE">
        <w:rPr>
          <w:lang w:val="bg-BG" w:eastAsia="bg-BG"/>
        </w:rPr>
        <w:t xml:space="preserve"> следователно не трябва да се използват едновременно при пациенти с диабетна нефропатия.</w:t>
      </w:r>
    </w:p>
    <w:p w14:paraId="5678369E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t xml:space="preserve">ALTITUDE </w:t>
      </w:r>
      <w:r w:rsidRPr="00567AEE">
        <w:rPr>
          <w:lang w:val="bg-BG" w:eastAsia="bg-BG"/>
        </w:rPr>
        <w:t xml:space="preserve">(Клинично проучване проведено с </w:t>
      </w:r>
      <w:proofErr w:type="spellStart"/>
      <w:r w:rsidRPr="00567AEE">
        <w:rPr>
          <w:lang w:val="bg-BG" w:eastAsia="bg-BG"/>
        </w:rPr>
        <w:t>алискирен</w:t>
      </w:r>
      <w:proofErr w:type="spellEnd"/>
      <w:r w:rsidRPr="00567AEE">
        <w:rPr>
          <w:lang w:val="bg-BG" w:eastAsia="bg-BG"/>
        </w:rPr>
        <w:t xml:space="preserve"> при пациенти със захарен диабет тип 2 с използване на сърдечно-съдови и бъбречни заболявания като крайни точки) е проучване, предназначено да изследва ползата от добавянето на </w:t>
      </w:r>
      <w:proofErr w:type="spellStart"/>
      <w:r w:rsidRPr="00567AEE">
        <w:rPr>
          <w:lang w:val="bg-BG" w:eastAsia="bg-BG"/>
        </w:rPr>
        <w:t>алискирен</w:t>
      </w:r>
      <w:proofErr w:type="spellEnd"/>
      <w:r w:rsidRPr="00567AEE">
        <w:rPr>
          <w:lang w:val="bg-BG" w:eastAsia="bg-BG"/>
        </w:rPr>
        <w:t xml:space="preserve"> към стандартна терапия с АСЕ инхибитор или </w:t>
      </w:r>
      <w:proofErr w:type="spellStart"/>
      <w:r w:rsidRPr="00567AEE">
        <w:rPr>
          <w:lang w:val="bg-BG" w:eastAsia="bg-BG"/>
        </w:rPr>
        <w:t>ангиотензин</w:t>
      </w:r>
      <w:proofErr w:type="spellEnd"/>
      <w:r w:rsidRPr="00567AEE">
        <w:rPr>
          <w:lang w:val="bg-BG" w:eastAsia="bg-BG"/>
        </w:rPr>
        <w:t xml:space="preserve"> П-</w:t>
      </w:r>
      <w:proofErr w:type="spellStart"/>
      <w:r w:rsidRPr="00567AEE">
        <w:rPr>
          <w:lang w:val="bg-BG" w:eastAsia="bg-BG"/>
        </w:rPr>
        <w:t>рецегггорен</w:t>
      </w:r>
      <w:proofErr w:type="spellEnd"/>
      <w:r w:rsidRPr="00567AEE">
        <w:rPr>
          <w:lang w:val="bg-BG" w:eastAsia="bg-BG"/>
        </w:rPr>
        <w:t xml:space="preserve"> </w:t>
      </w:r>
      <w:proofErr w:type="spellStart"/>
      <w:r w:rsidRPr="00567AEE">
        <w:rPr>
          <w:lang w:val="bg-BG" w:eastAsia="bg-BG"/>
        </w:rPr>
        <w:t>блокер</w:t>
      </w:r>
      <w:proofErr w:type="spellEnd"/>
      <w:r w:rsidRPr="00567AEE">
        <w:rPr>
          <w:lang w:val="bg-BG" w:eastAsia="bg-BG"/>
        </w:rPr>
        <w:t xml:space="preserve">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</w:t>
      </w:r>
      <w:proofErr w:type="spellStart"/>
      <w:r w:rsidRPr="00567AEE">
        <w:rPr>
          <w:lang w:val="bg-BG" w:eastAsia="bg-BG"/>
        </w:rPr>
        <w:t>алискирен</w:t>
      </w:r>
      <w:proofErr w:type="spellEnd"/>
      <w:r w:rsidRPr="00567AEE">
        <w:rPr>
          <w:lang w:val="bg-BG" w:eastAsia="bg-BG"/>
        </w:rPr>
        <w:t>, отколкото в групата на плацебо, а представляващите интерес нежелани събития и сериозни</w:t>
      </w:r>
      <w:r w:rsidRPr="00567AEE">
        <w:t xml:space="preserve"> </w:t>
      </w:r>
      <w:r w:rsidRPr="00567AEE">
        <w:rPr>
          <w:lang w:val="bg-BG" w:eastAsia="bg-BG"/>
        </w:rPr>
        <w:t>нежелани събития (</w:t>
      </w:r>
      <w:proofErr w:type="spellStart"/>
      <w:r w:rsidRPr="00567AEE">
        <w:rPr>
          <w:lang w:val="bg-BG" w:eastAsia="bg-BG"/>
        </w:rPr>
        <w:t>хиперкалиемия</w:t>
      </w:r>
      <w:proofErr w:type="spellEnd"/>
      <w:r w:rsidRPr="00567AEE">
        <w:rPr>
          <w:lang w:val="bg-BG" w:eastAsia="bg-BG"/>
        </w:rPr>
        <w:t xml:space="preserve">, хипотония и бъбречна дисфункция) се съобщават по-често в групата на </w:t>
      </w:r>
      <w:proofErr w:type="spellStart"/>
      <w:r w:rsidRPr="00567AEE">
        <w:rPr>
          <w:lang w:val="bg-BG" w:eastAsia="bg-BG"/>
        </w:rPr>
        <w:t>алискирен</w:t>
      </w:r>
      <w:proofErr w:type="spellEnd"/>
      <w:r w:rsidRPr="00567AEE">
        <w:rPr>
          <w:lang w:val="bg-BG" w:eastAsia="bg-BG"/>
        </w:rPr>
        <w:t>, отколкото в групата на плацебо.</w:t>
      </w:r>
    </w:p>
    <w:p w14:paraId="62B41263" w14:textId="77777777" w:rsidR="00567AEE" w:rsidRDefault="00567AEE" w:rsidP="00567AEE">
      <w:pPr>
        <w:rPr>
          <w:u w:val="single"/>
          <w:lang w:val="bg-BG" w:eastAsia="bg-BG"/>
        </w:rPr>
      </w:pPr>
    </w:p>
    <w:p w14:paraId="5CD41E58" w14:textId="31323FB9" w:rsidR="00567AEE" w:rsidRDefault="00567AEE" w:rsidP="00567AEE">
      <w:pPr>
        <w:rPr>
          <w:u w:val="single"/>
          <w:lang w:val="bg-BG" w:eastAsia="bg-BG"/>
        </w:rPr>
      </w:pPr>
      <w:r w:rsidRPr="00567AEE">
        <w:rPr>
          <w:u w:val="single"/>
          <w:lang w:val="bg-BG" w:eastAsia="bg-BG"/>
        </w:rPr>
        <w:t>Вторична профилактика след остър миокарден инфаркт</w:t>
      </w:r>
    </w:p>
    <w:p w14:paraId="27F3396A" w14:textId="77777777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Изпитването </w:t>
      </w:r>
      <w:r w:rsidRPr="00567AEE">
        <w:t xml:space="preserve">AIRE </w:t>
      </w:r>
      <w:r w:rsidRPr="00567AEE">
        <w:rPr>
          <w:lang w:val="bg-BG" w:eastAsia="bg-BG"/>
        </w:rPr>
        <w:t xml:space="preserve">включва повече от 2 000 пациенти с преходни/персистиращи клинични признаци на сърдечна недостатъчност след доказан миокарден инфаркт. Лечението с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започнато 3 до 10 дни след острия миокарден инфаркт. Изпитването, показва че след средно време на проследяване от 15 месеца, смъртността при пациентите лекувани с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била 16,9 %, а при пациентите на плацебо -22,6 %. Това означава несъмнено намаляване на смъртността с 5,7 % и намаляване на относителния риск с 27 % (95 % </w:t>
      </w:r>
      <w:r w:rsidRPr="00567AEE">
        <w:t xml:space="preserve">CI </w:t>
      </w:r>
      <w:r w:rsidRPr="00567AEE">
        <w:rPr>
          <w:lang w:val="bg-BG" w:eastAsia="bg-BG"/>
        </w:rPr>
        <w:t>[11-40%]).</w:t>
      </w:r>
    </w:p>
    <w:p w14:paraId="2EB8310A" w14:textId="77777777" w:rsidR="00567AEE" w:rsidRDefault="00567AEE" w:rsidP="00567AEE">
      <w:pPr>
        <w:rPr>
          <w:u w:val="single"/>
          <w:lang w:val="bg-BG" w:eastAsia="bg-BG"/>
        </w:rPr>
      </w:pPr>
    </w:p>
    <w:p w14:paraId="38EE69A1" w14:textId="0237B8C6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u w:val="single"/>
          <w:lang w:val="bg-BG" w:eastAsia="bg-BG"/>
        </w:rPr>
        <w:t>Педиатрична популация</w:t>
      </w:r>
    </w:p>
    <w:p w14:paraId="4696C3D4" w14:textId="77777777" w:rsidR="00567AEE" w:rsidRDefault="00567AEE" w:rsidP="00567AEE">
      <w:pPr>
        <w:rPr>
          <w:lang w:val="bg-BG" w:eastAsia="bg-BG"/>
        </w:rPr>
      </w:pPr>
    </w:p>
    <w:p w14:paraId="2D572253" w14:textId="6B3E0D72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В рандомизирано, двойно сляпо, плацебо контролирано клинично проучване включващо 244 педиатрични пациенти с хипертония (73% с първична хипертония), на възраст 6-16 години, пациентите са получили ниска доза, средна доза или висока доза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, за достигане на плазмени концентрации на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, отговарящи на </w:t>
      </w:r>
      <w:proofErr w:type="spellStart"/>
      <w:r w:rsidRPr="00567AEE">
        <w:rPr>
          <w:lang w:val="bg-BG" w:eastAsia="bg-BG"/>
        </w:rPr>
        <w:t>дозовия</w:t>
      </w:r>
      <w:proofErr w:type="spellEnd"/>
      <w:r w:rsidRPr="00567AEE">
        <w:rPr>
          <w:lang w:val="bg-BG" w:eastAsia="bg-BG"/>
        </w:rPr>
        <w:t xml:space="preserve"> диапазон за възрастни от 1,25 </w:t>
      </w:r>
      <w:r w:rsidRPr="00567AEE">
        <w:t xml:space="preserve">mg, </w:t>
      </w:r>
      <w:r w:rsidRPr="00567AEE">
        <w:rPr>
          <w:lang w:val="bg-BG" w:eastAsia="bg-BG"/>
        </w:rPr>
        <w:t xml:space="preserve">5 </w:t>
      </w:r>
      <w:r w:rsidRPr="00567AEE">
        <w:t xml:space="preserve">mg </w:t>
      </w:r>
      <w:r w:rsidRPr="00567AEE">
        <w:rPr>
          <w:lang w:val="bg-BG" w:eastAsia="bg-BG"/>
        </w:rPr>
        <w:t xml:space="preserve">и 20 </w:t>
      </w:r>
      <w:r w:rsidRPr="00567AEE">
        <w:t xml:space="preserve">mg </w:t>
      </w:r>
      <w:r w:rsidRPr="00567AEE">
        <w:rPr>
          <w:lang w:val="bg-BG" w:eastAsia="bg-BG"/>
        </w:rPr>
        <w:t xml:space="preserve">въз основа на телесното тегло. В края на четвъртата седмица,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бил неефективен за постигане на крайната цел за намаляване на </w:t>
      </w:r>
      <w:proofErr w:type="spellStart"/>
      <w:r w:rsidRPr="00567AEE">
        <w:rPr>
          <w:lang w:val="bg-BG" w:eastAsia="bg-BG"/>
        </w:rPr>
        <w:t>систолното</w:t>
      </w:r>
      <w:proofErr w:type="spellEnd"/>
      <w:r w:rsidRPr="00567AEE">
        <w:rPr>
          <w:lang w:val="bg-BG" w:eastAsia="bg-BG"/>
        </w:rPr>
        <w:t xml:space="preserve"> кръвно налягане, но при най-високата доза понижава диастолното кръвно налягане. При деца с потвърдена хипертония при средни и високи дози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показва значително понижаване на диастолното и </w:t>
      </w:r>
      <w:proofErr w:type="spellStart"/>
      <w:r w:rsidRPr="00567AEE">
        <w:rPr>
          <w:lang w:val="bg-BG" w:eastAsia="bg-BG"/>
        </w:rPr>
        <w:t>систолното</w:t>
      </w:r>
      <w:proofErr w:type="spellEnd"/>
      <w:r w:rsidRPr="00567AEE">
        <w:rPr>
          <w:lang w:val="bg-BG" w:eastAsia="bg-BG"/>
        </w:rPr>
        <w:t xml:space="preserve"> кръвно налягане.</w:t>
      </w:r>
    </w:p>
    <w:p w14:paraId="4F10BC8B" w14:textId="77777777" w:rsidR="00567AEE" w:rsidRDefault="00567AEE" w:rsidP="00567AEE">
      <w:pPr>
        <w:rPr>
          <w:lang w:val="bg-BG" w:eastAsia="bg-BG"/>
        </w:rPr>
      </w:pPr>
    </w:p>
    <w:p w14:paraId="02CCA605" w14:textId="20E367C5" w:rsidR="00567AEE" w:rsidRPr="00567AEE" w:rsidRDefault="00567AEE" w:rsidP="00567AEE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Този ефект не е наблюдаван в 4 седмично, с повишаване на дозата, рандомизирано, двойно сляпо, отнемащо изпитване при 218 педиатрични пациенти на възраст 6-16 години (75% с първична хипертония), където и диастолното, и </w:t>
      </w:r>
      <w:proofErr w:type="spellStart"/>
      <w:r w:rsidRPr="00567AEE">
        <w:rPr>
          <w:lang w:val="bg-BG" w:eastAsia="bg-BG"/>
        </w:rPr>
        <w:t>систолното</w:t>
      </w:r>
      <w:proofErr w:type="spellEnd"/>
      <w:r w:rsidRPr="00567AEE">
        <w:rPr>
          <w:lang w:val="bg-BG" w:eastAsia="bg-BG"/>
        </w:rPr>
        <w:t xml:space="preserve"> кръвно налягане са демонстрирали слабо, но не статистически значимо, връщане към началното ниво, при всичките три изпитвани </w:t>
      </w:r>
      <w:proofErr w:type="spellStart"/>
      <w:r w:rsidRPr="00567AEE">
        <w:rPr>
          <w:lang w:val="bg-BG" w:eastAsia="bg-BG"/>
        </w:rPr>
        <w:t>дозови</w:t>
      </w:r>
      <w:proofErr w:type="spellEnd"/>
      <w:r w:rsidRPr="00567AEE">
        <w:rPr>
          <w:lang w:val="bg-BG" w:eastAsia="bg-BG"/>
        </w:rPr>
        <w:t xml:space="preserve"> нива (ниска доза (0,625 </w:t>
      </w:r>
      <w:r w:rsidRPr="00567AEE">
        <w:t xml:space="preserve">mg </w:t>
      </w:r>
      <w:r w:rsidRPr="00567AEE">
        <w:rPr>
          <w:lang w:val="bg-BG" w:eastAsia="bg-BG"/>
        </w:rPr>
        <w:t xml:space="preserve">- 2,5 </w:t>
      </w:r>
      <w:r w:rsidRPr="00567AEE">
        <w:t xml:space="preserve">mg), </w:t>
      </w:r>
      <w:r w:rsidRPr="00567AEE">
        <w:rPr>
          <w:lang w:val="bg-BG" w:eastAsia="bg-BG"/>
        </w:rPr>
        <w:t xml:space="preserve">средна доза (2,5 </w:t>
      </w:r>
      <w:r w:rsidRPr="00567AEE">
        <w:t xml:space="preserve">mg </w:t>
      </w:r>
      <w:r w:rsidRPr="00567AEE">
        <w:rPr>
          <w:lang w:val="bg-BG" w:eastAsia="bg-BG"/>
        </w:rPr>
        <w:t xml:space="preserve">- 10 </w:t>
      </w:r>
      <w:r w:rsidRPr="00567AEE">
        <w:t xml:space="preserve">mg) </w:t>
      </w:r>
      <w:r w:rsidRPr="00567AEE">
        <w:rPr>
          <w:lang w:val="bg-BG" w:eastAsia="bg-BG"/>
        </w:rPr>
        <w:t xml:space="preserve">или висока доза (5 </w:t>
      </w:r>
      <w:r w:rsidRPr="00567AEE">
        <w:t xml:space="preserve">mg </w:t>
      </w:r>
      <w:r w:rsidRPr="00567AEE">
        <w:rPr>
          <w:lang w:val="bg-BG" w:eastAsia="bg-BG"/>
        </w:rPr>
        <w:t xml:space="preserve">- 20 </w:t>
      </w:r>
      <w:r w:rsidRPr="00567AEE">
        <w:t xml:space="preserve">mg)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на база теглото.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не е показал линеен </w:t>
      </w:r>
      <w:proofErr w:type="spellStart"/>
      <w:r w:rsidRPr="00567AEE">
        <w:rPr>
          <w:lang w:val="bg-BG" w:eastAsia="bg-BG"/>
        </w:rPr>
        <w:t>дозов</w:t>
      </w:r>
      <w:proofErr w:type="spellEnd"/>
      <w:r w:rsidRPr="00567AEE">
        <w:rPr>
          <w:lang w:val="bg-BG" w:eastAsia="bg-BG"/>
        </w:rPr>
        <w:t xml:space="preserve"> отговор при изпитваната педиатрична популация.</w:t>
      </w:r>
    </w:p>
    <w:p w14:paraId="6FC37B4A" w14:textId="77777777" w:rsidR="00567AEE" w:rsidRPr="00567AEE" w:rsidRDefault="00567AEE" w:rsidP="00567AEE">
      <w:pPr>
        <w:rPr>
          <w:sz w:val="24"/>
          <w:szCs w:val="24"/>
          <w:lang w:val="bg-BG"/>
        </w:rPr>
      </w:pPr>
    </w:p>
    <w:p w14:paraId="164B24F9" w14:textId="77777777" w:rsidR="00567AEE" w:rsidRPr="00567AEE" w:rsidRDefault="00567AEE" w:rsidP="00567AEE">
      <w:pPr>
        <w:rPr>
          <w:b/>
          <w:bCs/>
          <w:sz w:val="24"/>
          <w:szCs w:val="24"/>
          <w:lang w:val="bg-BG"/>
        </w:rPr>
      </w:pPr>
    </w:p>
    <w:p w14:paraId="346840DE" w14:textId="77777777" w:rsidR="00567AEE" w:rsidRPr="00567AEE" w:rsidRDefault="00567AEE" w:rsidP="00567AEE"/>
    <w:p w14:paraId="788B4E5E" w14:textId="501E0161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2C94B784" w14:textId="77777777" w:rsidR="00744549" w:rsidRDefault="00744549" w:rsidP="00567AEE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234BC39A" w14:textId="77777777" w:rsidR="00744549" w:rsidRPr="00744549" w:rsidRDefault="00567AEE" w:rsidP="00744549">
      <w:pPr>
        <w:pStyle w:val="Heading3"/>
        <w:rPr>
          <w:rFonts w:eastAsia="Times New Roman"/>
          <w:u w:val="single"/>
          <w:lang w:val="bg-BG" w:eastAsia="bg-BG"/>
        </w:rPr>
      </w:pPr>
      <w:r w:rsidRPr="00744549">
        <w:rPr>
          <w:rFonts w:eastAsia="Times New Roman"/>
          <w:u w:val="single"/>
          <w:lang w:val="bg-BG" w:eastAsia="bg-BG"/>
        </w:rPr>
        <w:t>Абсорбция</w:t>
      </w:r>
    </w:p>
    <w:p w14:paraId="6C6D17A6" w14:textId="6051202A" w:rsidR="00567AEE" w:rsidRPr="00567AEE" w:rsidRDefault="00567AEE" w:rsidP="00744549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След перорално приложение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се абсорбира бързо в стомашно-чревния тракт: пикова плазмена концентрация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се достига в рамките на един час. Въз основа на възстановяване в урината, степента на абсорбция е поне 56% и не се повлиява значимо от присъствието на храна в стомашно-чревния тракт. Бионаличността на активния метаболит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след перорално приложение на 2,5 </w:t>
      </w:r>
      <w:r w:rsidRPr="00567AEE">
        <w:t xml:space="preserve">mg </w:t>
      </w:r>
      <w:r w:rsidRPr="00567AEE">
        <w:rPr>
          <w:lang w:val="bg-BG" w:eastAsia="bg-BG"/>
        </w:rPr>
        <w:t xml:space="preserve">и 5 </w:t>
      </w:r>
      <w:r w:rsidRPr="00567AEE">
        <w:t xml:space="preserve">mg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45 %. Пикова плазмена концентрация на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, единствения активен метаболит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се достига 2-4 часа след приема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. Стационарните плазмени концентрации на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след прилагане веднъж дневно на обичайни дози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се достигат след около четири дни лечение.</w:t>
      </w:r>
    </w:p>
    <w:p w14:paraId="7A11CC9B" w14:textId="77777777" w:rsidR="00744549" w:rsidRDefault="00744549" w:rsidP="00744549">
      <w:pPr>
        <w:rPr>
          <w:lang w:val="bg-BG" w:eastAsia="bg-BG"/>
        </w:rPr>
      </w:pPr>
    </w:p>
    <w:p w14:paraId="30313344" w14:textId="4C0BC1AC" w:rsidR="00567AEE" w:rsidRPr="00744549" w:rsidRDefault="00567AEE" w:rsidP="00744549">
      <w:pPr>
        <w:pStyle w:val="Heading3"/>
        <w:rPr>
          <w:rFonts w:eastAsia="Times New Roman"/>
          <w:u w:val="single"/>
          <w:lang w:val="bg-BG"/>
        </w:rPr>
      </w:pPr>
      <w:r w:rsidRPr="00744549">
        <w:rPr>
          <w:rFonts w:eastAsia="Times New Roman"/>
          <w:u w:val="single"/>
          <w:lang w:val="bg-BG" w:eastAsia="bg-BG"/>
        </w:rPr>
        <w:t>Разпределение</w:t>
      </w:r>
    </w:p>
    <w:p w14:paraId="6A888A32" w14:textId="77777777" w:rsidR="00567AEE" w:rsidRPr="00567AEE" w:rsidRDefault="00567AEE" w:rsidP="00744549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Свързването с плазмените протеини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е около 73 %, а това на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около 56 %.</w:t>
      </w:r>
    </w:p>
    <w:p w14:paraId="41935409" w14:textId="77777777" w:rsidR="00744549" w:rsidRDefault="00744549" w:rsidP="00744549">
      <w:pPr>
        <w:rPr>
          <w:lang w:val="bg-BG" w:eastAsia="bg-BG"/>
        </w:rPr>
      </w:pPr>
    </w:p>
    <w:p w14:paraId="132A9FD8" w14:textId="6917653A" w:rsidR="00567AEE" w:rsidRPr="00744549" w:rsidRDefault="00567AEE" w:rsidP="00744549">
      <w:pPr>
        <w:pStyle w:val="Heading3"/>
        <w:rPr>
          <w:rFonts w:eastAsia="Times New Roman"/>
          <w:u w:val="single"/>
          <w:lang w:val="bg-BG"/>
        </w:rPr>
      </w:pPr>
      <w:r w:rsidRPr="00744549">
        <w:rPr>
          <w:rFonts w:eastAsia="Times New Roman"/>
          <w:u w:val="single"/>
          <w:lang w:val="bg-BG" w:eastAsia="bg-BG"/>
        </w:rPr>
        <w:t>Биотрансформация</w:t>
      </w:r>
    </w:p>
    <w:p w14:paraId="6542E8B9" w14:textId="77777777" w:rsidR="00567AEE" w:rsidRPr="00567AEE" w:rsidRDefault="00567AEE" w:rsidP="00744549">
      <w:pPr>
        <w:rPr>
          <w:sz w:val="24"/>
          <w:szCs w:val="24"/>
          <w:lang w:val="bg-BG"/>
        </w:rPr>
      </w:pP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почти напълно се </w:t>
      </w:r>
      <w:proofErr w:type="spellStart"/>
      <w:r w:rsidRPr="00567AEE">
        <w:rPr>
          <w:lang w:val="bg-BG" w:eastAsia="bg-BG"/>
        </w:rPr>
        <w:t>метаболизира</w:t>
      </w:r>
      <w:proofErr w:type="spellEnd"/>
      <w:r w:rsidRPr="00567AEE">
        <w:rPr>
          <w:lang w:val="bg-BG" w:eastAsia="bg-BG"/>
        </w:rPr>
        <w:t xml:space="preserve"> до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, и до </w:t>
      </w:r>
      <w:proofErr w:type="spellStart"/>
      <w:r w:rsidRPr="00567AEE">
        <w:rPr>
          <w:lang w:val="bg-BG" w:eastAsia="bg-BG"/>
        </w:rPr>
        <w:t>дикетопиперазинов</w:t>
      </w:r>
      <w:proofErr w:type="spellEnd"/>
      <w:r w:rsidRPr="00567AEE">
        <w:rPr>
          <w:lang w:val="bg-BG" w:eastAsia="bg-BG"/>
        </w:rPr>
        <w:t xml:space="preserve"> естер, </w:t>
      </w:r>
      <w:proofErr w:type="spellStart"/>
      <w:r w:rsidRPr="00567AEE">
        <w:rPr>
          <w:lang w:val="bg-BG" w:eastAsia="bg-BG"/>
        </w:rPr>
        <w:t>дикетопиперазинова</w:t>
      </w:r>
      <w:proofErr w:type="spellEnd"/>
      <w:r w:rsidRPr="00567AEE">
        <w:rPr>
          <w:lang w:val="bg-BG" w:eastAsia="bg-BG"/>
        </w:rPr>
        <w:t xml:space="preserve"> киселина, и </w:t>
      </w:r>
      <w:proofErr w:type="spellStart"/>
      <w:r w:rsidRPr="00567AEE">
        <w:rPr>
          <w:lang w:val="bg-BG" w:eastAsia="bg-BG"/>
        </w:rPr>
        <w:t>глюкуронидите</w:t>
      </w:r>
      <w:proofErr w:type="spellEnd"/>
      <w:r w:rsidRPr="00567AEE">
        <w:rPr>
          <w:lang w:val="bg-BG" w:eastAsia="bg-BG"/>
        </w:rPr>
        <w:t xml:space="preserve"> на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 и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>.</w:t>
      </w:r>
    </w:p>
    <w:p w14:paraId="5097BC7E" w14:textId="77777777" w:rsidR="00744549" w:rsidRDefault="00744549" w:rsidP="00744549">
      <w:pPr>
        <w:rPr>
          <w:lang w:val="bg-BG" w:eastAsia="bg-BG"/>
        </w:rPr>
      </w:pPr>
    </w:p>
    <w:p w14:paraId="52E6F771" w14:textId="33DD6C7D" w:rsidR="00567AEE" w:rsidRPr="00744549" w:rsidRDefault="00567AEE" w:rsidP="00744549">
      <w:pPr>
        <w:pStyle w:val="Heading3"/>
        <w:rPr>
          <w:rFonts w:eastAsia="Times New Roman"/>
          <w:u w:val="single"/>
          <w:lang w:val="bg-BG"/>
        </w:rPr>
      </w:pPr>
      <w:r w:rsidRPr="00744549">
        <w:rPr>
          <w:rFonts w:eastAsia="Times New Roman"/>
          <w:u w:val="single"/>
          <w:lang w:val="bg-BG" w:eastAsia="bg-BG"/>
        </w:rPr>
        <w:t>Елиминиране</w:t>
      </w:r>
    </w:p>
    <w:p w14:paraId="01AF9C05" w14:textId="4CAF9FAF" w:rsidR="00567AEE" w:rsidRPr="00567AEE" w:rsidRDefault="00567AEE" w:rsidP="00744549">
      <w:pPr>
        <w:rPr>
          <w:sz w:val="24"/>
          <w:szCs w:val="24"/>
          <w:lang w:val="bg-BG"/>
        </w:rPr>
      </w:pPr>
      <w:r w:rsidRPr="00567AEE">
        <w:rPr>
          <w:lang w:val="bg-BG" w:eastAsia="bg-BG"/>
        </w:rPr>
        <w:t xml:space="preserve">Екскрецията на метаболитите е предимно бъбречна. Плазмената концентрация на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намалява по </w:t>
      </w:r>
      <w:proofErr w:type="spellStart"/>
      <w:r w:rsidRPr="00567AEE">
        <w:rPr>
          <w:lang w:val="bg-BG" w:eastAsia="bg-BG"/>
        </w:rPr>
        <w:t>полифазов</w:t>
      </w:r>
      <w:proofErr w:type="spellEnd"/>
      <w:r w:rsidRPr="00567AEE">
        <w:rPr>
          <w:lang w:val="bg-BG" w:eastAsia="bg-BG"/>
        </w:rPr>
        <w:t xml:space="preserve"> начин. Поради неговото силно, насищащо свързване с АСЕ и бавното разделяне от ензима,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показва удължена терминална елиминационна фаза при много ниски плазмени концентрации.</w:t>
      </w:r>
    </w:p>
    <w:p w14:paraId="0691DBE4" w14:textId="77777777" w:rsidR="00744549" w:rsidRDefault="00744549" w:rsidP="00744549">
      <w:pPr>
        <w:rPr>
          <w:lang w:val="bg-BG" w:eastAsia="bg-BG"/>
        </w:rPr>
      </w:pPr>
    </w:p>
    <w:p w14:paraId="2A27BAC2" w14:textId="708C73BA" w:rsidR="00567AEE" w:rsidRDefault="00567AEE" w:rsidP="00744549">
      <w:pPr>
        <w:rPr>
          <w:lang w:val="bg-BG" w:eastAsia="bg-BG"/>
        </w:rPr>
      </w:pPr>
      <w:r w:rsidRPr="00567AEE">
        <w:rPr>
          <w:lang w:val="bg-BG" w:eastAsia="bg-BG"/>
        </w:rPr>
        <w:t xml:space="preserve">След многократно прилагане на дози </w:t>
      </w:r>
      <w:proofErr w:type="spellStart"/>
      <w:r w:rsidRPr="00567AEE">
        <w:rPr>
          <w:lang w:val="bg-BG" w:eastAsia="bg-BG"/>
        </w:rPr>
        <w:t>рамиприл</w:t>
      </w:r>
      <w:proofErr w:type="spellEnd"/>
      <w:r w:rsidRPr="00567AEE">
        <w:rPr>
          <w:lang w:val="bg-BG" w:eastAsia="bg-BG"/>
        </w:rPr>
        <w:t xml:space="preserve">, веднъж дневно, ефективният полуживот на </w:t>
      </w:r>
      <w:proofErr w:type="spellStart"/>
      <w:r w:rsidRPr="00567AEE">
        <w:rPr>
          <w:lang w:val="bg-BG" w:eastAsia="bg-BG"/>
        </w:rPr>
        <w:t>рамиприлат</w:t>
      </w:r>
      <w:proofErr w:type="spellEnd"/>
      <w:r w:rsidRPr="00567AEE">
        <w:rPr>
          <w:lang w:val="bg-BG" w:eastAsia="bg-BG"/>
        </w:rPr>
        <w:t xml:space="preserve"> е 13-17 часа за дози от 5-10 </w:t>
      </w:r>
      <w:r w:rsidRPr="00567AEE">
        <w:t xml:space="preserve">mg </w:t>
      </w:r>
      <w:r w:rsidRPr="00567AEE">
        <w:rPr>
          <w:lang w:val="bg-BG" w:eastAsia="bg-BG"/>
        </w:rPr>
        <w:t xml:space="preserve">и по-дълъг за по-ниските дози 1,25-2,5 </w:t>
      </w:r>
      <w:r w:rsidRPr="00567AEE">
        <w:t xml:space="preserve">mg. </w:t>
      </w:r>
      <w:r w:rsidRPr="00567AEE">
        <w:rPr>
          <w:lang w:val="bg-BG" w:eastAsia="bg-BG"/>
        </w:rPr>
        <w:t xml:space="preserve">Тази разлика е свързана с капацитета за насищане на ензима чрез свързване с </w:t>
      </w:r>
      <w:proofErr w:type="spellStart"/>
      <w:r w:rsidRPr="00567AEE">
        <w:rPr>
          <w:lang w:val="bg-BG" w:eastAsia="bg-BG"/>
        </w:rPr>
        <w:t>рамиприлант</w:t>
      </w:r>
      <w:proofErr w:type="spellEnd"/>
      <w:r w:rsidR="00744549">
        <w:rPr>
          <w:lang w:val="bg-BG" w:eastAsia="bg-BG"/>
        </w:rPr>
        <w:t>.</w:t>
      </w:r>
    </w:p>
    <w:p w14:paraId="57408F05" w14:textId="62BB94BF" w:rsidR="00744549" w:rsidRDefault="00744549" w:rsidP="00744549">
      <w:pPr>
        <w:rPr>
          <w:lang w:val="bg-BG" w:eastAsia="bg-BG"/>
        </w:rPr>
      </w:pPr>
    </w:p>
    <w:p w14:paraId="12B01AE6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>Пациенти с бъбречно увреждане (вж. точка 4.2)</w:t>
      </w:r>
    </w:p>
    <w:p w14:paraId="0904A3ED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Бъбречната екскреция на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 е намалена при пациенти с нарушена бъбречна функция, и бъбречният клирънс на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 е пропорционално свързан с </w:t>
      </w:r>
      <w:proofErr w:type="spellStart"/>
      <w:r w:rsidRPr="00744549">
        <w:rPr>
          <w:lang w:val="bg-BG" w:eastAsia="bg-BG"/>
        </w:rPr>
        <w:t>креатининовия</w:t>
      </w:r>
      <w:proofErr w:type="spellEnd"/>
      <w:r w:rsidRPr="00744549">
        <w:rPr>
          <w:lang w:val="bg-BG" w:eastAsia="bg-BG"/>
        </w:rPr>
        <w:t xml:space="preserve"> клирънс. Това води до повишена плазмена концентрация на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>, която намалява по-бавно отколкото при индивиди с нормална бъбречна функция.</w:t>
      </w:r>
    </w:p>
    <w:p w14:paraId="4F9ADBDB" w14:textId="77777777" w:rsidR="00744549" w:rsidRDefault="00744549" w:rsidP="00744549">
      <w:pPr>
        <w:rPr>
          <w:lang w:val="bg-BG" w:eastAsia="bg-BG"/>
        </w:rPr>
      </w:pPr>
    </w:p>
    <w:p w14:paraId="121181AF" w14:textId="4968ABFD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>Пациенти с чернодробно увреждане (вж. точка 4.2)</w:t>
      </w:r>
    </w:p>
    <w:p w14:paraId="44A8CE19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При пациенти с нарушена чернодробна функция, </w:t>
      </w:r>
      <w:proofErr w:type="spellStart"/>
      <w:r w:rsidRPr="00744549">
        <w:rPr>
          <w:lang w:val="bg-BG" w:eastAsia="bg-BG"/>
        </w:rPr>
        <w:t>метаболизирането</w:t>
      </w:r>
      <w:proofErr w:type="spellEnd"/>
      <w:r w:rsidRPr="00744549">
        <w:rPr>
          <w:lang w:val="bg-BG" w:eastAsia="bg-BG"/>
        </w:rPr>
        <w:t xml:space="preserve">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до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 е забавено, поради намалената активност на чернодробните </w:t>
      </w:r>
      <w:proofErr w:type="spellStart"/>
      <w:r w:rsidRPr="00744549">
        <w:rPr>
          <w:lang w:val="bg-BG" w:eastAsia="bg-BG"/>
        </w:rPr>
        <w:t>естерази</w:t>
      </w:r>
      <w:proofErr w:type="spellEnd"/>
      <w:r w:rsidRPr="00744549">
        <w:rPr>
          <w:lang w:val="bg-BG" w:eastAsia="bg-BG"/>
        </w:rPr>
        <w:t xml:space="preserve"> и плазмените нива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при тези пациенти са повишени. Пиковите концентрации на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 при тези пациенти, обаче не се различават от тези наблюдавани при индивиди с нормална чернодробна функция.</w:t>
      </w:r>
    </w:p>
    <w:p w14:paraId="7BCA47AE" w14:textId="77777777" w:rsidR="00744549" w:rsidRDefault="00744549" w:rsidP="00744549">
      <w:pPr>
        <w:rPr>
          <w:i/>
          <w:iCs/>
          <w:lang w:val="bg-BG" w:eastAsia="bg-BG"/>
        </w:rPr>
      </w:pPr>
    </w:p>
    <w:p w14:paraId="45355E94" w14:textId="77777777" w:rsidR="00744549" w:rsidRDefault="00744549" w:rsidP="00744549">
      <w:pPr>
        <w:rPr>
          <w:i/>
          <w:iCs/>
          <w:lang w:val="bg-BG" w:eastAsia="bg-BG"/>
        </w:rPr>
      </w:pPr>
    </w:p>
    <w:p w14:paraId="1AF75F6A" w14:textId="1A2CD6B3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i/>
          <w:iCs/>
          <w:lang w:val="bg-BG" w:eastAsia="bg-BG"/>
        </w:rPr>
        <w:t>Кърмене:</w:t>
      </w:r>
    </w:p>
    <w:p w14:paraId="1F14202E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Еднократна доза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перорално не води до откриване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и неговия метаболит в майчиното мляко. Въпреки това ефектът на няколко дози не е известен.</w:t>
      </w:r>
    </w:p>
    <w:p w14:paraId="0931851D" w14:textId="77777777" w:rsidR="00744549" w:rsidRDefault="00744549" w:rsidP="00744549">
      <w:pPr>
        <w:rPr>
          <w:i/>
          <w:iCs/>
          <w:lang w:val="bg-BG" w:eastAsia="bg-BG"/>
        </w:rPr>
      </w:pPr>
    </w:p>
    <w:p w14:paraId="622340CD" w14:textId="2B7A2D88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i/>
          <w:iCs/>
          <w:lang w:val="bg-BG" w:eastAsia="bg-BG"/>
        </w:rPr>
        <w:t>Педиатрична популация</w:t>
      </w:r>
    </w:p>
    <w:p w14:paraId="7D79EC3C" w14:textId="77777777" w:rsidR="00744549" w:rsidRPr="00744549" w:rsidRDefault="00744549" w:rsidP="00744549">
      <w:pPr>
        <w:rPr>
          <w:sz w:val="24"/>
          <w:szCs w:val="24"/>
          <w:lang w:val="bg-BG"/>
        </w:rPr>
      </w:pPr>
      <w:proofErr w:type="spellStart"/>
      <w:r w:rsidRPr="00744549">
        <w:rPr>
          <w:lang w:val="bg-BG" w:eastAsia="bg-BG"/>
        </w:rPr>
        <w:t>Фармакокинетичният</w:t>
      </w:r>
      <w:proofErr w:type="spellEnd"/>
      <w:r w:rsidRPr="00744549">
        <w:rPr>
          <w:lang w:val="bg-BG" w:eastAsia="bg-BG"/>
        </w:rPr>
        <w:t xml:space="preserve"> профил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е бил изследван при 30 педиатрични пациенти с хипертония, на възраст 2-16 години, с тегло </w:t>
      </w:r>
      <w:r w:rsidRPr="00744549">
        <w:t>≥</w:t>
      </w:r>
      <w:r w:rsidRPr="00744549">
        <w:rPr>
          <w:lang w:val="bg-BG" w:eastAsia="bg-BG"/>
        </w:rPr>
        <w:t xml:space="preserve">10 </w:t>
      </w:r>
      <w:r w:rsidRPr="00744549">
        <w:t xml:space="preserve">kg. </w:t>
      </w:r>
      <w:r w:rsidRPr="00744549">
        <w:rPr>
          <w:lang w:val="bg-BG" w:eastAsia="bg-BG"/>
        </w:rPr>
        <w:t xml:space="preserve">След дози от 0,05 до 0,2 </w:t>
      </w:r>
      <w:r w:rsidRPr="00744549">
        <w:t xml:space="preserve">mg/kg,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бързо и </w:t>
      </w:r>
      <w:proofErr w:type="spellStart"/>
      <w:r w:rsidRPr="00744549">
        <w:rPr>
          <w:lang w:val="bg-BG" w:eastAsia="bg-BG"/>
        </w:rPr>
        <w:t>ектензивно</w:t>
      </w:r>
      <w:proofErr w:type="spellEnd"/>
      <w:r w:rsidRPr="00744549">
        <w:rPr>
          <w:lang w:val="bg-BG" w:eastAsia="bg-BG"/>
        </w:rPr>
        <w:t xml:space="preserve"> се е </w:t>
      </w:r>
      <w:proofErr w:type="spellStart"/>
      <w:r w:rsidRPr="00744549">
        <w:rPr>
          <w:lang w:val="bg-BG" w:eastAsia="bg-BG"/>
        </w:rPr>
        <w:t>метаболизирал</w:t>
      </w:r>
      <w:proofErr w:type="spellEnd"/>
      <w:r w:rsidRPr="00744549">
        <w:rPr>
          <w:lang w:val="bg-BG" w:eastAsia="bg-BG"/>
        </w:rPr>
        <w:t xml:space="preserve"> до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. Максимални плазмени концентрации на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 са възникнали в рамките на 2-3 часа. </w:t>
      </w:r>
      <w:proofErr w:type="spellStart"/>
      <w:r w:rsidRPr="00744549">
        <w:rPr>
          <w:lang w:val="bg-BG" w:eastAsia="bg-BG"/>
        </w:rPr>
        <w:t>Клирънса</w:t>
      </w:r>
      <w:proofErr w:type="spellEnd"/>
      <w:r w:rsidRPr="00744549">
        <w:rPr>
          <w:lang w:val="bg-BG" w:eastAsia="bg-BG"/>
        </w:rPr>
        <w:t xml:space="preserve"> на </w:t>
      </w:r>
      <w:proofErr w:type="spellStart"/>
      <w:r w:rsidRPr="00744549">
        <w:rPr>
          <w:lang w:val="bg-BG" w:eastAsia="bg-BG"/>
        </w:rPr>
        <w:t>рамиприлат</w:t>
      </w:r>
      <w:proofErr w:type="spellEnd"/>
      <w:r w:rsidRPr="00744549">
        <w:rPr>
          <w:lang w:val="bg-BG" w:eastAsia="bg-BG"/>
        </w:rPr>
        <w:t xml:space="preserve"> е бил тясно свързан с дневника на телесното тегло (р&lt;0.01), също и с дозата (р&lt;0.001). </w:t>
      </w:r>
      <w:proofErr w:type="spellStart"/>
      <w:r w:rsidRPr="00744549">
        <w:rPr>
          <w:lang w:val="bg-BG" w:eastAsia="bg-BG"/>
        </w:rPr>
        <w:t>Клиърънса</w:t>
      </w:r>
      <w:proofErr w:type="spellEnd"/>
      <w:r w:rsidRPr="00744549">
        <w:rPr>
          <w:lang w:val="bg-BG" w:eastAsia="bg-BG"/>
        </w:rPr>
        <w:t xml:space="preserve"> и обема на разпределение се увеличават с увеличаване на възрастта на децата във всяка </w:t>
      </w:r>
      <w:proofErr w:type="spellStart"/>
      <w:r w:rsidRPr="00744549">
        <w:rPr>
          <w:lang w:val="bg-BG" w:eastAsia="bg-BG"/>
        </w:rPr>
        <w:t>дозова</w:t>
      </w:r>
      <w:proofErr w:type="spellEnd"/>
      <w:r w:rsidRPr="00744549">
        <w:rPr>
          <w:lang w:val="bg-BG" w:eastAsia="bg-BG"/>
        </w:rPr>
        <w:t xml:space="preserve"> група. Дозата от 0,05 </w:t>
      </w:r>
      <w:r w:rsidRPr="00744549">
        <w:t xml:space="preserve">mg /kg </w:t>
      </w:r>
      <w:r w:rsidRPr="00744549">
        <w:rPr>
          <w:lang w:val="bg-BG" w:eastAsia="bg-BG"/>
        </w:rPr>
        <w:t xml:space="preserve">при деца достига нива на експозиция сравними с тези при възрастни лекувани с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5 </w:t>
      </w:r>
      <w:r w:rsidRPr="00744549">
        <w:t xml:space="preserve">mg. </w:t>
      </w:r>
      <w:r w:rsidRPr="00744549">
        <w:rPr>
          <w:lang w:val="bg-BG" w:eastAsia="bg-BG"/>
        </w:rPr>
        <w:t xml:space="preserve">Дозата от 0,2 </w:t>
      </w:r>
      <w:r w:rsidRPr="00744549">
        <w:t xml:space="preserve">mg/kg </w:t>
      </w:r>
      <w:r w:rsidRPr="00744549">
        <w:rPr>
          <w:lang w:val="bg-BG" w:eastAsia="bg-BG"/>
        </w:rPr>
        <w:t xml:space="preserve">при деца води до нива на експозиция по-високи от максималната препоръчителна дневна доза от 10 </w:t>
      </w:r>
      <w:r w:rsidRPr="00744549">
        <w:t xml:space="preserve">mg </w:t>
      </w:r>
      <w:r w:rsidRPr="00744549">
        <w:rPr>
          <w:lang w:val="bg-BG" w:eastAsia="bg-BG"/>
        </w:rPr>
        <w:t>при възрастни.</w:t>
      </w:r>
    </w:p>
    <w:p w14:paraId="51464CBC" w14:textId="77777777" w:rsidR="00744549" w:rsidRDefault="00744549" w:rsidP="00744549">
      <w:pPr>
        <w:rPr>
          <w:lang w:val="bg-BG" w:eastAsia="bg-BG"/>
        </w:rPr>
      </w:pPr>
    </w:p>
    <w:p w14:paraId="69FC7CB0" w14:textId="77777777" w:rsidR="00744549" w:rsidRPr="00567AEE" w:rsidRDefault="00744549" w:rsidP="00744549"/>
    <w:p w14:paraId="134A69A8" w14:textId="4BCC60AF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7126119A" w14:textId="77777777" w:rsidR="00744549" w:rsidRDefault="00744549" w:rsidP="00744549">
      <w:pPr>
        <w:rPr>
          <w:lang w:val="bg-BG" w:eastAsia="bg-BG"/>
        </w:rPr>
      </w:pPr>
    </w:p>
    <w:p w14:paraId="1FC475AB" w14:textId="5F0F831E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Пероралното приложение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не показва остра токсичност при гризачи и кучета. Проучвания, включващи продължително перорално приложение са били провеждани при плъхове, кучета и маймуни. Промени в плазмените електролити и кръвната картина са били установени при трите вида.</w:t>
      </w:r>
    </w:p>
    <w:p w14:paraId="4EE2E348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При кучета и маймуни при дневни дози от 250 </w:t>
      </w:r>
      <w:r w:rsidRPr="00744549">
        <w:t>mg/kg</w:t>
      </w:r>
      <w:r w:rsidRPr="00744549">
        <w:rPr>
          <w:lang w:val="bg-BG" w:eastAsia="bg-BG"/>
        </w:rPr>
        <w:t xml:space="preserve">/ден е било наблюдавано значително уголемяване на </w:t>
      </w:r>
      <w:proofErr w:type="spellStart"/>
      <w:r w:rsidRPr="00744549">
        <w:rPr>
          <w:lang w:val="bg-BG" w:eastAsia="bg-BG"/>
        </w:rPr>
        <w:t>юкстагломеруларния</w:t>
      </w:r>
      <w:proofErr w:type="spellEnd"/>
      <w:r w:rsidRPr="00744549">
        <w:rPr>
          <w:lang w:val="bg-BG" w:eastAsia="bg-BG"/>
        </w:rPr>
        <w:t xml:space="preserve"> апарат вследствие </w:t>
      </w:r>
      <w:proofErr w:type="spellStart"/>
      <w:r w:rsidRPr="00744549">
        <w:rPr>
          <w:lang w:val="bg-BG" w:eastAsia="bg-BG"/>
        </w:rPr>
        <w:t>фармакодинамичната</w:t>
      </w:r>
      <w:proofErr w:type="spellEnd"/>
      <w:r w:rsidRPr="00744549">
        <w:rPr>
          <w:lang w:val="bg-BG" w:eastAsia="bg-BG"/>
        </w:rPr>
        <w:t xml:space="preserve"> активност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>. Плъхове, кучета и маймуни понасят дневни дози съответно от 2; 2,5 и</w:t>
      </w:r>
    </w:p>
    <w:p w14:paraId="713629E7" w14:textId="77777777" w:rsidR="00744549" w:rsidRPr="00744549" w:rsidRDefault="00744549" w:rsidP="00744549">
      <w:r w:rsidRPr="00744549">
        <w:t>mg/kg</w:t>
      </w:r>
      <w:r w:rsidRPr="00744549">
        <w:rPr>
          <w:lang w:val="bg-BG" w:eastAsia="bg-BG"/>
        </w:rPr>
        <w:t xml:space="preserve">/дневно без вредни ефекти. Необратимо бъбречно увреждане е наблюдавано при много млади плъхове получили еднократна доза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>.</w:t>
      </w:r>
    </w:p>
    <w:p w14:paraId="45F28093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>Изпитванията за репродуктивна токсичност при плъхове, зайци и маймуни не показват тератогенни свойства.</w:t>
      </w:r>
    </w:p>
    <w:p w14:paraId="033B5269" w14:textId="77777777" w:rsidR="00744549" w:rsidRPr="00744549" w:rsidRDefault="00744549" w:rsidP="00744549">
      <w:pPr>
        <w:rPr>
          <w:sz w:val="24"/>
          <w:szCs w:val="24"/>
          <w:lang w:val="bg-BG"/>
        </w:rPr>
      </w:pPr>
      <w:proofErr w:type="spellStart"/>
      <w:r w:rsidRPr="00744549">
        <w:rPr>
          <w:lang w:val="bg-BG" w:eastAsia="bg-BG"/>
        </w:rPr>
        <w:t>Фертилитетът</w:t>
      </w:r>
      <w:proofErr w:type="spellEnd"/>
      <w:r w:rsidRPr="00744549">
        <w:rPr>
          <w:lang w:val="bg-BG" w:eastAsia="bg-BG"/>
        </w:rPr>
        <w:t xml:space="preserve"> не се повлиява нито при мъжки, нито при женски плъхове.</w:t>
      </w:r>
    </w:p>
    <w:p w14:paraId="15D532CE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Прилагането на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върху женски плъхове по време на феталния период и лактацията причинява необратимо бъбречно увреждане (</w:t>
      </w:r>
      <w:proofErr w:type="spellStart"/>
      <w:r w:rsidRPr="00744549">
        <w:rPr>
          <w:lang w:val="bg-BG" w:eastAsia="bg-BG"/>
        </w:rPr>
        <w:t>дилатация</w:t>
      </w:r>
      <w:proofErr w:type="spellEnd"/>
      <w:r w:rsidRPr="00744549">
        <w:rPr>
          <w:lang w:val="bg-BG" w:eastAsia="bg-BG"/>
        </w:rPr>
        <w:t xml:space="preserve"> на бъбречното легенче) в потомството при дневни дози от 50 </w:t>
      </w:r>
      <w:r w:rsidRPr="00744549">
        <w:t xml:space="preserve">mg/kg </w:t>
      </w:r>
      <w:r w:rsidRPr="00744549">
        <w:rPr>
          <w:lang w:val="bg-BG" w:eastAsia="bg-BG"/>
        </w:rPr>
        <w:t>телесно тегло или по-високи.</w:t>
      </w:r>
    </w:p>
    <w:p w14:paraId="7AA5E76C" w14:textId="2F0AC635" w:rsidR="00744549" w:rsidRPr="00744549" w:rsidRDefault="00744549" w:rsidP="00744549">
      <w:r w:rsidRPr="00744549">
        <w:rPr>
          <w:lang w:val="bg-BG" w:eastAsia="bg-BG"/>
        </w:rPr>
        <w:t xml:space="preserve">Разширено изследване за </w:t>
      </w:r>
      <w:proofErr w:type="spellStart"/>
      <w:r w:rsidRPr="00744549">
        <w:rPr>
          <w:lang w:val="bg-BG" w:eastAsia="bg-BG"/>
        </w:rPr>
        <w:t>мутагенност</w:t>
      </w:r>
      <w:proofErr w:type="spellEnd"/>
      <w:r w:rsidRPr="00744549">
        <w:rPr>
          <w:lang w:val="bg-BG" w:eastAsia="bg-BG"/>
        </w:rPr>
        <w:t xml:space="preserve">, чрез използване на няколко системи за изследване, не показва, че </w:t>
      </w:r>
      <w:proofErr w:type="spellStart"/>
      <w:r w:rsidRPr="00744549">
        <w:rPr>
          <w:lang w:val="bg-BG" w:eastAsia="bg-BG"/>
        </w:rPr>
        <w:t>рамиприл</w:t>
      </w:r>
      <w:proofErr w:type="spellEnd"/>
      <w:r w:rsidRPr="00744549">
        <w:rPr>
          <w:lang w:val="bg-BG" w:eastAsia="bg-BG"/>
        </w:rPr>
        <w:t xml:space="preserve"> притежава мутагенни или </w:t>
      </w:r>
      <w:proofErr w:type="spellStart"/>
      <w:r w:rsidRPr="00744549">
        <w:rPr>
          <w:lang w:val="bg-BG" w:eastAsia="bg-BG"/>
        </w:rPr>
        <w:t>генотоксични</w:t>
      </w:r>
      <w:proofErr w:type="spellEnd"/>
      <w:r w:rsidRPr="00744549">
        <w:rPr>
          <w:lang w:val="bg-BG" w:eastAsia="bg-BG"/>
        </w:rPr>
        <w:t xml:space="preserve"> свойства.</w:t>
      </w:r>
    </w:p>
    <w:p w14:paraId="28C40F19" w14:textId="5C7E3CE0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1C6892DE" w14:textId="77777777" w:rsidR="00744549" w:rsidRDefault="00744549" w:rsidP="00744549">
      <w:pPr>
        <w:rPr>
          <w:lang w:val="bg-BG" w:eastAsia="bg-BG"/>
        </w:rPr>
      </w:pPr>
      <w:r w:rsidRPr="00744549">
        <w:rPr>
          <w:lang w:val="bg-BG" w:eastAsia="bg-BG"/>
        </w:rPr>
        <w:t xml:space="preserve">САНОФИ БЪЛГАРИЯ ЕООД </w:t>
      </w:r>
    </w:p>
    <w:p w14:paraId="30A7C50F" w14:textId="77777777" w:rsidR="00744549" w:rsidRDefault="00744549" w:rsidP="00744549">
      <w:pPr>
        <w:rPr>
          <w:lang w:val="bg-BG" w:eastAsia="bg-BG"/>
        </w:rPr>
      </w:pPr>
      <w:r w:rsidRPr="00744549">
        <w:rPr>
          <w:lang w:val="bg-BG" w:eastAsia="bg-BG"/>
        </w:rPr>
        <w:t xml:space="preserve">бул. „Цариградско шосе“ 90 </w:t>
      </w:r>
    </w:p>
    <w:p w14:paraId="180BE06B" w14:textId="64F546BE" w:rsidR="00744549" w:rsidRPr="00744549" w:rsidRDefault="00744549" w:rsidP="00744549">
      <w:pPr>
        <w:rPr>
          <w:lang w:val="bg-BG" w:eastAsia="bg-BG"/>
        </w:rPr>
      </w:pPr>
      <w:r w:rsidRPr="00744549">
        <w:rPr>
          <w:lang w:val="bg-BG" w:eastAsia="bg-BG"/>
        </w:rPr>
        <w:t>гр. София 1784</w:t>
      </w:r>
    </w:p>
    <w:p w14:paraId="1AAD2112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>България</w:t>
      </w:r>
    </w:p>
    <w:p w14:paraId="71F247FF" w14:textId="77777777" w:rsidR="00744549" w:rsidRPr="00744549" w:rsidRDefault="00744549" w:rsidP="00744549"/>
    <w:p w14:paraId="04840D59" w14:textId="2F3FA8B7" w:rsidR="002C50EE" w:rsidRDefault="002C50EE" w:rsidP="002C50EE">
      <w:pPr>
        <w:pStyle w:val="Heading1"/>
      </w:pPr>
      <w:r>
        <w:t>8. НОМЕР НА РАЗРЕШЕНИЕТО ЗА УПОТРЕБА</w:t>
      </w:r>
    </w:p>
    <w:p w14:paraId="2108A3D6" w14:textId="77777777" w:rsidR="00744549" w:rsidRDefault="00744549" w:rsidP="00744549"/>
    <w:p w14:paraId="5384CE17" w14:textId="305DFEE7" w:rsidR="00744549" w:rsidRPr="00744549" w:rsidRDefault="00744549" w:rsidP="00744549">
      <w:pPr>
        <w:rPr>
          <w:sz w:val="24"/>
          <w:szCs w:val="24"/>
        </w:rPr>
      </w:pPr>
      <w:proofErr w:type="spellStart"/>
      <w:r w:rsidRPr="00744549">
        <w:lastRenderedPageBreak/>
        <w:t>Tritace</w:t>
      </w:r>
      <w:proofErr w:type="spellEnd"/>
      <w:r w:rsidRPr="00744549">
        <w:t xml:space="preserve"> </w:t>
      </w:r>
      <w:r w:rsidRPr="00744549">
        <w:rPr>
          <w:lang w:val="bg-BG" w:eastAsia="bg-BG"/>
        </w:rPr>
        <w:t xml:space="preserve">5 </w:t>
      </w:r>
      <w:r w:rsidRPr="00744549">
        <w:t xml:space="preserve">mg </w:t>
      </w:r>
      <w:r w:rsidRPr="00744549">
        <w:rPr>
          <w:lang w:val="bg-BG" w:eastAsia="bg-BG"/>
        </w:rPr>
        <w:t>20011162</w:t>
      </w:r>
    </w:p>
    <w:p w14:paraId="28E33B13" w14:textId="77777777" w:rsidR="00744549" w:rsidRPr="00744549" w:rsidRDefault="00744549" w:rsidP="00744549">
      <w:pPr>
        <w:rPr>
          <w:sz w:val="24"/>
          <w:szCs w:val="24"/>
        </w:rPr>
      </w:pPr>
      <w:proofErr w:type="spellStart"/>
      <w:r w:rsidRPr="00744549">
        <w:t>Tritace</w:t>
      </w:r>
      <w:proofErr w:type="spellEnd"/>
      <w:r w:rsidRPr="00744549">
        <w:t xml:space="preserve"> </w:t>
      </w:r>
      <w:r w:rsidRPr="00744549">
        <w:rPr>
          <w:lang w:val="bg-BG" w:eastAsia="bg-BG"/>
        </w:rPr>
        <w:t xml:space="preserve">10 </w:t>
      </w:r>
      <w:r w:rsidRPr="00744549">
        <w:t>mg 20011163</w:t>
      </w:r>
    </w:p>
    <w:p w14:paraId="38384D45" w14:textId="77777777" w:rsidR="00744549" w:rsidRPr="00744549" w:rsidRDefault="00744549" w:rsidP="00744549"/>
    <w:p w14:paraId="5900CBF3" w14:textId="6381F9E5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595D094" w14:textId="77777777" w:rsidR="00744549" w:rsidRPr="00744549" w:rsidRDefault="00744549" w:rsidP="00744549">
      <w:pPr>
        <w:rPr>
          <w:b/>
          <w:bCs/>
          <w:sz w:val="24"/>
          <w:szCs w:val="24"/>
          <w:lang w:val="bg-BG"/>
        </w:rPr>
      </w:pPr>
      <w:r w:rsidRPr="00744549">
        <w:rPr>
          <w:b/>
          <w:bCs/>
          <w:lang w:val="bg-BG" w:eastAsia="bg-BG"/>
        </w:rPr>
        <w:t>Дата на първо разрешаване:</w:t>
      </w:r>
    </w:p>
    <w:p w14:paraId="7F6F822C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ТРИТЕЙС 5 </w:t>
      </w:r>
      <w:r w:rsidRPr="00744549">
        <w:t xml:space="preserve">mg </w:t>
      </w:r>
      <w:r w:rsidRPr="00744549">
        <w:rPr>
          <w:lang w:val="bg-BG" w:eastAsia="bg-BG"/>
        </w:rPr>
        <w:t>- 28.11.2001</w:t>
      </w:r>
    </w:p>
    <w:p w14:paraId="0C5CA607" w14:textId="385AB7D8" w:rsidR="00744549" w:rsidRDefault="00744549" w:rsidP="00744549">
      <w:pPr>
        <w:rPr>
          <w:lang w:val="bg-BG" w:eastAsia="bg-BG"/>
        </w:rPr>
      </w:pPr>
      <w:r w:rsidRPr="00744549">
        <w:rPr>
          <w:lang w:val="bg-BG" w:eastAsia="bg-BG"/>
        </w:rPr>
        <w:t xml:space="preserve">ТРИТЕЙС 10 </w:t>
      </w:r>
      <w:r w:rsidRPr="00744549">
        <w:t xml:space="preserve">mg </w:t>
      </w:r>
      <w:r w:rsidRPr="00744549">
        <w:rPr>
          <w:lang w:val="bg-BG" w:eastAsia="bg-BG"/>
        </w:rPr>
        <w:t>- 28.11.2001</w:t>
      </w:r>
    </w:p>
    <w:p w14:paraId="0B4BAFB7" w14:textId="71A0B593" w:rsidR="00744549" w:rsidRDefault="00744549" w:rsidP="00744549">
      <w:pPr>
        <w:rPr>
          <w:lang w:val="bg-BG" w:eastAsia="bg-BG"/>
        </w:rPr>
      </w:pPr>
    </w:p>
    <w:p w14:paraId="4B1F846A" w14:textId="77777777" w:rsidR="00744549" w:rsidRPr="00744549" w:rsidRDefault="00744549" w:rsidP="00744549">
      <w:pPr>
        <w:rPr>
          <w:b/>
          <w:bCs/>
          <w:sz w:val="24"/>
          <w:szCs w:val="24"/>
          <w:lang w:val="bg-BG"/>
        </w:rPr>
      </w:pPr>
      <w:r w:rsidRPr="00744549">
        <w:rPr>
          <w:b/>
          <w:bCs/>
          <w:lang w:val="bg-BG" w:eastAsia="bg-BG"/>
        </w:rPr>
        <w:t>Дата на подновяване на разрешението за употреба:</w:t>
      </w:r>
    </w:p>
    <w:p w14:paraId="1327BAB1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ТРИТЕЙС 5 </w:t>
      </w:r>
      <w:r w:rsidRPr="00744549">
        <w:t xml:space="preserve">mg </w:t>
      </w:r>
      <w:r w:rsidRPr="00744549">
        <w:rPr>
          <w:lang w:val="bg-BG" w:eastAsia="bg-BG"/>
        </w:rPr>
        <w:t>- 20.02.2012</w:t>
      </w:r>
    </w:p>
    <w:p w14:paraId="7631C627" w14:textId="77777777" w:rsidR="00744549" w:rsidRPr="00744549" w:rsidRDefault="00744549" w:rsidP="00744549">
      <w:pPr>
        <w:rPr>
          <w:sz w:val="24"/>
          <w:szCs w:val="24"/>
          <w:lang w:val="bg-BG"/>
        </w:rPr>
      </w:pPr>
      <w:r w:rsidRPr="00744549">
        <w:rPr>
          <w:lang w:val="bg-BG" w:eastAsia="bg-BG"/>
        </w:rPr>
        <w:t xml:space="preserve">ТРИТЕЙС 10 </w:t>
      </w:r>
      <w:r w:rsidRPr="00744549">
        <w:t xml:space="preserve">mg </w:t>
      </w:r>
      <w:r w:rsidRPr="00744549">
        <w:rPr>
          <w:lang w:val="bg-BG" w:eastAsia="bg-BG"/>
        </w:rPr>
        <w:t>- 20.02.2012</w:t>
      </w:r>
    </w:p>
    <w:p w14:paraId="3D62CE26" w14:textId="77777777" w:rsidR="00744549" w:rsidRPr="00744549" w:rsidRDefault="00744549" w:rsidP="00744549"/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383FCB10" w14:textId="1C213934" w:rsidR="002C50EE" w:rsidRPr="00744549" w:rsidRDefault="00744549" w:rsidP="002C50EE">
      <w:pPr>
        <w:rPr>
          <w:rFonts w:cs="Arial"/>
          <w:b/>
          <w:bCs/>
          <w:sz w:val="26"/>
          <w:szCs w:val="26"/>
          <w:lang w:val="bg-BG"/>
        </w:rPr>
      </w:pPr>
      <w:r>
        <w:t>21.02.2018</w:t>
      </w:r>
      <w:r>
        <w:rPr>
          <w:lang w:val="bg-BG"/>
        </w:rPr>
        <w:t>.</w:t>
      </w: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55F4E44"/>
    <w:multiLevelType w:val="hybridMultilevel"/>
    <w:tmpl w:val="847E5F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6F1617"/>
    <w:multiLevelType w:val="hybridMultilevel"/>
    <w:tmpl w:val="86BEA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5BC64A4"/>
    <w:multiLevelType w:val="hybridMultilevel"/>
    <w:tmpl w:val="6D20BE6C"/>
    <w:lvl w:ilvl="0" w:tplc="804AF8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4E331E"/>
    <w:multiLevelType w:val="hybridMultilevel"/>
    <w:tmpl w:val="B84E0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93B27"/>
    <w:multiLevelType w:val="hybridMultilevel"/>
    <w:tmpl w:val="657CA2D6"/>
    <w:lvl w:ilvl="0" w:tplc="804AF8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40EFA"/>
    <w:multiLevelType w:val="hybridMultilevel"/>
    <w:tmpl w:val="C0EA7EFE"/>
    <w:lvl w:ilvl="0" w:tplc="804AF8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371E"/>
    <w:multiLevelType w:val="hybridMultilevel"/>
    <w:tmpl w:val="12802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12"/>
  </w:num>
  <w:num w:numId="13">
    <w:abstractNumId w:val="16"/>
  </w:num>
  <w:num w:numId="14">
    <w:abstractNumId w:val="10"/>
  </w:num>
  <w:num w:numId="15">
    <w:abstractNumId w:val="20"/>
  </w:num>
  <w:num w:numId="16">
    <w:abstractNumId w:val="7"/>
  </w:num>
  <w:num w:numId="17">
    <w:abstractNumId w:val="18"/>
  </w:num>
  <w:num w:numId="18">
    <w:abstractNumId w:val="17"/>
  </w:num>
  <w:num w:numId="19">
    <w:abstractNumId w:val="23"/>
  </w:num>
  <w:num w:numId="20">
    <w:abstractNumId w:val="5"/>
  </w:num>
  <w:num w:numId="21">
    <w:abstractNumId w:val="15"/>
  </w:num>
  <w:num w:numId="22">
    <w:abstractNumId w:val="6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1E0E49"/>
    <w:rsid w:val="002B4DBB"/>
    <w:rsid w:val="002C50EE"/>
    <w:rsid w:val="00340A0A"/>
    <w:rsid w:val="003E3126"/>
    <w:rsid w:val="00517A5B"/>
    <w:rsid w:val="00567AEE"/>
    <w:rsid w:val="00593A00"/>
    <w:rsid w:val="00605BCA"/>
    <w:rsid w:val="006158A1"/>
    <w:rsid w:val="00617B1F"/>
    <w:rsid w:val="00672487"/>
    <w:rsid w:val="00672600"/>
    <w:rsid w:val="00681D4A"/>
    <w:rsid w:val="00685882"/>
    <w:rsid w:val="00744549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94AD2"/>
    <w:rsid w:val="00BF2600"/>
    <w:rsid w:val="00C07B84"/>
    <w:rsid w:val="00C33464"/>
    <w:rsid w:val="00C83063"/>
    <w:rsid w:val="00C87E90"/>
    <w:rsid w:val="00CB5226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2021-07-06T14:28:00Z</dcterms:created>
  <dcterms:modified xsi:type="dcterms:W3CDTF">2021-07-06T14:28:00Z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