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1456457D" w14:textId="6773042A"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Тритейс Плюс 10 </w:t>
      </w:r>
      <w:r w:rsidRPr="00367195">
        <w:rPr>
          <w:rFonts w:eastAsia="Times New Roman" w:cs="Arial"/>
          <w:color w:val="000000"/>
          <w:lang w:val="en-US"/>
        </w:rPr>
        <w:t xml:space="preserve">mg </w:t>
      </w:r>
      <w:r w:rsidR="00426428">
        <w:rPr>
          <w:rFonts w:eastAsia="Times New Roman" w:cs="Arial"/>
          <w:color w:val="000000"/>
          <w:lang w:eastAsia="bg-BG"/>
        </w:rPr>
        <w:t>/2</w:t>
      </w:r>
      <w:r w:rsidRPr="00367195">
        <w:rPr>
          <w:rFonts w:eastAsia="Times New Roman" w:cs="Arial"/>
          <w:color w:val="000000"/>
          <w:lang w:eastAsia="bg-BG"/>
        </w:rPr>
        <w:t xml:space="preserve">5 </w:t>
      </w:r>
      <w:r w:rsidRPr="00367195">
        <w:rPr>
          <w:rFonts w:eastAsia="Times New Roman" w:cs="Arial"/>
          <w:color w:val="000000"/>
          <w:lang w:val="en-US"/>
        </w:rPr>
        <w:t xml:space="preserve">mg </w:t>
      </w:r>
      <w:r w:rsidRPr="00367195">
        <w:rPr>
          <w:rFonts w:eastAsia="Times New Roman" w:cs="Arial"/>
          <w:color w:val="000000"/>
          <w:lang w:eastAsia="bg-BG"/>
        </w:rPr>
        <w:t>таблетки</w:t>
      </w:r>
    </w:p>
    <w:p w14:paraId="5015A1FD" w14:textId="7464FE36" w:rsidR="00A73575" w:rsidRPr="00367195" w:rsidRDefault="00367195" w:rsidP="00367195">
      <w:pPr>
        <w:rPr>
          <w:rFonts w:cs="Arial"/>
        </w:rPr>
      </w:pPr>
      <w:proofErr w:type="spellStart"/>
      <w:r w:rsidRPr="00367195">
        <w:rPr>
          <w:rFonts w:eastAsia="Times New Roman" w:cs="Arial"/>
          <w:color w:val="000000"/>
          <w:lang w:val="en-US"/>
        </w:rPr>
        <w:t>Tritace</w:t>
      </w:r>
      <w:proofErr w:type="spellEnd"/>
      <w:r w:rsidRPr="00367195">
        <w:rPr>
          <w:rFonts w:eastAsia="Times New Roman" w:cs="Arial"/>
          <w:color w:val="000000"/>
          <w:lang w:val="en-US"/>
        </w:rPr>
        <w:t xml:space="preserve"> </w:t>
      </w:r>
      <w:proofErr w:type="gramStart"/>
      <w:r w:rsidRPr="00367195">
        <w:rPr>
          <w:rFonts w:eastAsia="Times New Roman" w:cs="Arial"/>
          <w:color w:val="000000"/>
          <w:lang w:val="en-US"/>
        </w:rPr>
        <w:t>Plus</w:t>
      </w:r>
      <w:proofErr w:type="gramEnd"/>
      <w:r w:rsidRPr="00367195">
        <w:rPr>
          <w:rFonts w:eastAsia="Times New Roman" w:cs="Arial"/>
          <w:color w:val="000000"/>
          <w:lang w:val="en-US"/>
        </w:rPr>
        <w:t xml:space="preserve"> </w:t>
      </w:r>
      <w:r w:rsidRPr="00367195">
        <w:rPr>
          <w:rFonts w:eastAsia="Times New Roman" w:cs="Arial"/>
          <w:color w:val="000000"/>
          <w:lang w:eastAsia="bg-BG"/>
        </w:rPr>
        <w:t xml:space="preserve">10 </w:t>
      </w:r>
      <w:r w:rsidRPr="00367195">
        <w:rPr>
          <w:rFonts w:eastAsia="Times New Roman" w:cs="Arial"/>
          <w:color w:val="000000"/>
          <w:lang w:val="en-US"/>
        </w:rPr>
        <w:t xml:space="preserve">mg </w:t>
      </w:r>
      <w:r w:rsidR="00426428">
        <w:rPr>
          <w:rFonts w:eastAsia="Times New Roman" w:cs="Arial"/>
          <w:color w:val="000000"/>
          <w:lang w:eastAsia="bg-BG"/>
        </w:rPr>
        <w:t>/2</w:t>
      </w:r>
      <w:r w:rsidRPr="00367195">
        <w:rPr>
          <w:rFonts w:eastAsia="Times New Roman" w:cs="Arial"/>
          <w:color w:val="000000"/>
          <w:lang w:eastAsia="bg-BG"/>
        </w:rPr>
        <w:t xml:space="preserve">5 </w:t>
      </w:r>
      <w:r w:rsidRPr="00367195">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1FBD957" w14:textId="418A359D"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Всяка таблетка съдържа 10 </w:t>
      </w:r>
      <w:r w:rsidRPr="00367195">
        <w:rPr>
          <w:rFonts w:eastAsia="Times New Roman" w:cs="Arial"/>
          <w:color w:val="000000"/>
          <w:lang w:val="en-US"/>
        </w:rPr>
        <w:t xml:space="preserve">mg </w:t>
      </w:r>
      <w:r w:rsidR="00281701">
        <w:rPr>
          <w:rFonts w:eastAsia="Times New Roman" w:cs="Arial"/>
          <w:color w:val="000000"/>
          <w:lang w:eastAsia="bg-BG"/>
        </w:rPr>
        <w:t>рамиприл и 2</w:t>
      </w:r>
      <w:r w:rsidRPr="00367195">
        <w:rPr>
          <w:rFonts w:eastAsia="Times New Roman" w:cs="Arial"/>
          <w:color w:val="000000"/>
          <w:lang w:eastAsia="bg-BG"/>
        </w:rPr>
        <w:t xml:space="preserve">5 </w:t>
      </w:r>
      <w:r w:rsidRPr="00367195">
        <w:rPr>
          <w:rFonts w:eastAsia="Times New Roman" w:cs="Arial"/>
          <w:color w:val="000000"/>
          <w:lang w:val="en-US"/>
        </w:rPr>
        <w:t xml:space="preserve">mg </w:t>
      </w:r>
      <w:r w:rsidRPr="00367195">
        <w:rPr>
          <w:rFonts w:eastAsia="Times New Roman" w:cs="Arial"/>
          <w:color w:val="000000"/>
          <w:lang w:eastAsia="bg-BG"/>
        </w:rPr>
        <w:t xml:space="preserve">хидрохлоротиазид (10 </w:t>
      </w:r>
      <w:r w:rsidRPr="00367195">
        <w:rPr>
          <w:rFonts w:eastAsia="Times New Roman" w:cs="Arial"/>
          <w:color w:val="000000"/>
          <w:lang w:val="en-US"/>
        </w:rPr>
        <w:t xml:space="preserve">mg </w:t>
      </w:r>
      <w:proofErr w:type="spellStart"/>
      <w:r w:rsidRPr="00367195">
        <w:rPr>
          <w:rFonts w:eastAsia="Times New Roman" w:cs="Arial"/>
          <w:color w:val="000000"/>
          <w:lang w:val="en-US"/>
        </w:rPr>
        <w:t>ramipril</w:t>
      </w:r>
      <w:proofErr w:type="spellEnd"/>
      <w:r w:rsidRPr="00367195">
        <w:rPr>
          <w:rFonts w:eastAsia="Times New Roman" w:cs="Arial"/>
          <w:color w:val="000000"/>
          <w:lang w:val="en-US"/>
        </w:rPr>
        <w:t xml:space="preserve"> </w:t>
      </w:r>
      <w:r w:rsidR="00281701">
        <w:rPr>
          <w:rFonts w:eastAsia="Times New Roman" w:cs="Arial"/>
          <w:color w:val="000000"/>
          <w:lang w:eastAsia="bg-BG"/>
        </w:rPr>
        <w:t>/ 2</w:t>
      </w:r>
      <w:r w:rsidRPr="00367195">
        <w:rPr>
          <w:rFonts w:eastAsia="Times New Roman" w:cs="Arial"/>
          <w:color w:val="000000"/>
          <w:lang w:eastAsia="bg-BG"/>
        </w:rPr>
        <w:t xml:space="preserve">5 </w:t>
      </w:r>
      <w:r w:rsidRPr="00367195">
        <w:rPr>
          <w:rFonts w:eastAsia="Times New Roman" w:cs="Arial"/>
          <w:color w:val="000000"/>
          <w:lang w:val="en-US"/>
        </w:rPr>
        <w:t>mg hydrochlorothiazide)</w:t>
      </w:r>
    </w:p>
    <w:p w14:paraId="2E265E5D" w14:textId="77777777" w:rsidR="00367195" w:rsidRPr="00367195" w:rsidRDefault="00367195" w:rsidP="00367195">
      <w:pPr>
        <w:rPr>
          <w:rFonts w:eastAsia="Times New Roman" w:cs="Arial"/>
          <w:color w:val="000000"/>
          <w:lang w:eastAsia="bg-BG"/>
        </w:rPr>
      </w:pPr>
    </w:p>
    <w:p w14:paraId="03110A50" w14:textId="29B20995" w:rsidR="0091385D" w:rsidRPr="00367195" w:rsidRDefault="00367195" w:rsidP="00367195">
      <w:pPr>
        <w:rPr>
          <w:rFonts w:cs="Arial"/>
        </w:rPr>
      </w:pPr>
      <w:r w:rsidRPr="00367195">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8ED1BA2" w14:textId="2D1C011B"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Таблетка 10 </w:t>
      </w:r>
      <w:r w:rsidR="00281701">
        <w:rPr>
          <w:rFonts w:eastAsia="Times New Roman" w:cs="Arial"/>
          <w:color w:val="000000"/>
          <w:lang w:val="en-US"/>
        </w:rPr>
        <w:t>mg/2</w:t>
      </w:r>
      <w:r w:rsidRPr="00367195">
        <w:rPr>
          <w:rFonts w:eastAsia="Times New Roman" w:cs="Arial"/>
          <w:color w:val="000000"/>
          <w:lang w:val="en-US"/>
        </w:rPr>
        <w:t>5 mg</w:t>
      </w:r>
    </w:p>
    <w:p w14:paraId="4129ADBB" w14:textId="7B19FEE6" w:rsidR="0091385D" w:rsidRPr="00367195" w:rsidRDefault="00281701" w:rsidP="00367195">
      <w:pPr>
        <w:rPr>
          <w:rFonts w:cs="Arial"/>
        </w:rPr>
      </w:pPr>
      <w:r>
        <w:rPr>
          <w:rFonts w:eastAsia="Times New Roman" w:cs="Arial"/>
          <w:color w:val="000000"/>
          <w:lang w:eastAsia="bg-BG"/>
        </w:rPr>
        <w:t>Розови</w:t>
      </w:r>
      <w:r w:rsidR="00367195" w:rsidRPr="00367195">
        <w:rPr>
          <w:rFonts w:eastAsia="Times New Roman" w:cs="Arial"/>
          <w:color w:val="000000"/>
          <w:lang w:eastAsia="bg-BG"/>
        </w:rPr>
        <w:t xml:space="preserve">, бипланарни, продълговати таблетки с размери </w:t>
      </w:r>
      <w:r>
        <w:rPr>
          <w:rFonts w:eastAsia="Times New Roman" w:cs="Arial"/>
          <w:color w:val="000000"/>
          <w:lang w:eastAsia="bg-BG"/>
        </w:rPr>
        <w:t>10</w:t>
      </w:r>
      <w:r w:rsidR="00367195" w:rsidRPr="00367195">
        <w:rPr>
          <w:rFonts w:eastAsia="Times New Roman" w:cs="Arial"/>
          <w:color w:val="000000"/>
          <w:lang w:eastAsia="bg-BG"/>
        </w:rPr>
        <w:t xml:space="preserve"> </w:t>
      </w:r>
      <w:r w:rsidR="00367195" w:rsidRPr="00367195">
        <w:rPr>
          <w:rFonts w:eastAsia="Times New Roman" w:cs="Arial"/>
          <w:color w:val="000000"/>
          <w:lang w:val="en-US"/>
        </w:rPr>
        <w:t xml:space="preserve">mm </w:t>
      </w:r>
      <w:r w:rsidR="00367195" w:rsidRPr="00367195">
        <w:rPr>
          <w:rFonts w:eastAsia="Times New Roman" w:cs="Arial"/>
          <w:color w:val="000000"/>
          <w:lang w:eastAsia="bg-BG"/>
        </w:rPr>
        <w:t xml:space="preserve">х </w:t>
      </w:r>
      <w:r>
        <w:rPr>
          <w:rFonts w:eastAsia="Times New Roman" w:cs="Arial"/>
          <w:color w:val="000000"/>
          <w:lang w:val="en-US"/>
        </w:rPr>
        <w:t xml:space="preserve">5.6 </w:t>
      </w:r>
      <w:r w:rsidR="00367195" w:rsidRPr="00367195">
        <w:rPr>
          <w:rFonts w:eastAsia="Times New Roman" w:cs="Arial"/>
          <w:color w:val="000000"/>
          <w:lang w:val="en-US"/>
        </w:rPr>
        <w:t xml:space="preserve">mm, </w:t>
      </w:r>
      <w:r w:rsidR="00367195" w:rsidRPr="00367195">
        <w:rPr>
          <w:rFonts w:eastAsia="Times New Roman" w:cs="Arial"/>
          <w:color w:val="000000"/>
          <w:lang w:eastAsia="bg-BG"/>
        </w:rPr>
        <w:t xml:space="preserve">гравирани с </w:t>
      </w:r>
      <w:r>
        <w:rPr>
          <w:rFonts w:eastAsia="Times New Roman" w:cs="Arial"/>
          <w:color w:val="000000"/>
          <w:lang w:val="en-US"/>
        </w:rPr>
        <w:t>39/AV</w:t>
      </w:r>
      <w:r w:rsidR="00367195" w:rsidRPr="00367195">
        <w:rPr>
          <w:rFonts w:eastAsia="Times New Roman" w:cs="Arial"/>
          <w:color w:val="000000"/>
          <w:lang w:val="en-US"/>
        </w:rPr>
        <w:t xml:space="preserve"> </w:t>
      </w:r>
      <w:r>
        <w:rPr>
          <w:rFonts w:eastAsia="Times New Roman" w:cs="Arial"/>
          <w:color w:val="000000"/>
          <w:lang w:eastAsia="bg-BG"/>
        </w:rPr>
        <w:t xml:space="preserve">от едната страна и </w:t>
      </w:r>
      <w:r w:rsidR="00367195" w:rsidRPr="00367195">
        <w:rPr>
          <w:rFonts w:eastAsia="Times New Roman" w:cs="Arial"/>
          <w:color w:val="000000"/>
          <w:lang w:eastAsia="bg-BG"/>
        </w:rPr>
        <w:t>с делителна черта от двете страни. Делителната черта е с цел да улеснява чупенето на таблетката за по-лесно преглъщане, а не за разделяне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A2E2050"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Лечение на есенциална хипертония.</w:t>
      </w:r>
    </w:p>
    <w:p w14:paraId="04B2E99C" w14:textId="369A7DDF" w:rsidR="0091385D" w:rsidRPr="00367195" w:rsidRDefault="00367195" w:rsidP="00367195">
      <w:pPr>
        <w:rPr>
          <w:rFonts w:cs="Arial"/>
        </w:rPr>
      </w:pPr>
      <w:r w:rsidRPr="00367195">
        <w:rPr>
          <w:rFonts w:eastAsia="Times New Roman" w:cs="Arial"/>
          <w:color w:val="000000"/>
          <w:lang w:eastAsia="bg-BG"/>
        </w:rPr>
        <w:t>Комбинацията с фиксирани дози е показана при пациенти, чието кръвно налягане е достатъчно добре контролирано при прилагане на рамиприл и хидрохлоротиазид в същата дозировка.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A2BA403" w14:textId="77777777" w:rsidR="00367195" w:rsidRPr="00272B3D" w:rsidRDefault="00367195" w:rsidP="00272B3D">
      <w:pPr>
        <w:pStyle w:val="Heading3"/>
        <w:rPr>
          <w:rFonts w:eastAsia="Times New Roman"/>
          <w:u w:val="single"/>
          <w:lang w:eastAsia="bg-BG"/>
        </w:rPr>
      </w:pPr>
      <w:r w:rsidRPr="00272B3D">
        <w:rPr>
          <w:rFonts w:eastAsia="Times New Roman"/>
          <w:u w:val="single"/>
          <w:lang w:eastAsia="bg-BG"/>
        </w:rPr>
        <w:t>Дозировка</w:t>
      </w:r>
    </w:p>
    <w:p w14:paraId="7360E1A0" w14:textId="77777777" w:rsidR="00367195" w:rsidRPr="00367195" w:rsidRDefault="00367195" w:rsidP="00367195">
      <w:pPr>
        <w:spacing w:line="240" w:lineRule="auto"/>
        <w:rPr>
          <w:rFonts w:eastAsia="Times New Roman" w:cs="Arial"/>
          <w:color w:val="000000"/>
          <w:lang w:eastAsia="bg-BG"/>
        </w:rPr>
      </w:pPr>
    </w:p>
    <w:p w14:paraId="473FBAF1" w14:textId="13FD3181"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Препоръчва се Тритейс Плюс да бъде приеман веднъж дневно, по едно и също време всеки ден, обикновено сутрин.</w:t>
      </w:r>
    </w:p>
    <w:p w14:paraId="72F37DB3"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Тъй като приема на храна не променя бионаличността му, Тритейс Плюс може да бъде приеман преди, по време на или след хранене (вж. точка 5.2).</w:t>
      </w:r>
    </w:p>
    <w:p w14:paraId="022A272E"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Тритейс Плюс трябва да се поглъща с течност. Не трябва да се дъвче или разтрошава.</w:t>
      </w:r>
    </w:p>
    <w:p w14:paraId="6CC9C7A7" w14:textId="77777777" w:rsidR="00367195" w:rsidRPr="00367195" w:rsidRDefault="00367195" w:rsidP="00367195">
      <w:pPr>
        <w:spacing w:line="240" w:lineRule="auto"/>
        <w:rPr>
          <w:rFonts w:eastAsia="Times New Roman" w:cs="Arial"/>
          <w:i/>
          <w:iCs/>
          <w:color w:val="000000"/>
          <w:u w:val="single"/>
          <w:lang w:eastAsia="bg-BG"/>
        </w:rPr>
      </w:pPr>
    </w:p>
    <w:p w14:paraId="262DB999" w14:textId="768F26A0"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u w:val="single"/>
          <w:lang w:eastAsia="bg-BG"/>
        </w:rPr>
        <w:lastRenderedPageBreak/>
        <w:t>Възрастни</w:t>
      </w:r>
    </w:p>
    <w:p w14:paraId="4335EAAA"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Дозата трябва да бъде индивидуализирана според профила на пациента (вж. точка 4.4) и контрола на кръвното налягане.</w:t>
      </w:r>
    </w:p>
    <w:p w14:paraId="06786290" w14:textId="77777777" w:rsidR="00367195" w:rsidRPr="00367195" w:rsidRDefault="00367195" w:rsidP="00367195">
      <w:pPr>
        <w:spacing w:line="240" w:lineRule="auto"/>
        <w:rPr>
          <w:rFonts w:eastAsia="Times New Roman" w:cs="Arial"/>
          <w:sz w:val="24"/>
          <w:szCs w:val="24"/>
          <w:lang w:eastAsia="bg-BG"/>
        </w:rPr>
      </w:pPr>
      <w:r w:rsidRPr="00367195">
        <w:rPr>
          <w:rFonts w:eastAsia="Times New Roman" w:cs="Arial"/>
          <w:color w:val="000000"/>
          <w:lang w:eastAsia="bg-BG"/>
        </w:rPr>
        <w:t xml:space="preserve">Тритейс Плюс 10 </w:t>
      </w:r>
      <w:r w:rsidRPr="00367195">
        <w:rPr>
          <w:rFonts w:eastAsia="Times New Roman" w:cs="Arial"/>
          <w:color w:val="000000"/>
          <w:lang w:val="en-US"/>
        </w:rPr>
        <w:t xml:space="preserve">mg/12,5 mg </w:t>
      </w:r>
      <w:r w:rsidRPr="00367195">
        <w:rPr>
          <w:rFonts w:eastAsia="Times New Roman" w:cs="Arial"/>
          <w:color w:val="000000"/>
          <w:lang w:eastAsia="bg-BG"/>
        </w:rPr>
        <w:t xml:space="preserve">таблетки и Тритейс Плюс 10 </w:t>
      </w:r>
      <w:r w:rsidRPr="00367195">
        <w:rPr>
          <w:rFonts w:eastAsia="Times New Roman" w:cs="Arial"/>
          <w:color w:val="000000"/>
          <w:lang w:val="en-US"/>
        </w:rPr>
        <w:t xml:space="preserve">mg/25 mg </w:t>
      </w:r>
      <w:r w:rsidRPr="00367195">
        <w:rPr>
          <w:rFonts w:eastAsia="Times New Roman" w:cs="Arial"/>
          <w:color w:val="000000"/>
          <w:lang w:eastAsia="bg-BG"/>
        </w:rPr>
        <w:t xml:space="preserve">таблетки трябва да бъдат прилагани като една таблетка веднъж дневно. Максимално допустимите дози са 10 </w:t>
      </w:r>
      <w:r w:rsidRPr="00367195">
        <w:rPr>
          <w:rFonts w:eastAsia="Times New Roman" w:cs="Arial"/>
          <w:color w:val="000000"/>
          <w:lang w:val="en-US"/>
        </w:rPr>
        <w:t xml:space="preserve">mg </w:t>
      </w:r>
      <w:r w:rsidRPr="00367195">
        <w:rPr>
          <w:rFonts w:eastAsia="Times New Roman" w:cs="Arial"/>
          <w:color w:val="000000"/>
          <w:lang w:eastAsia="bg-BG"/>
        </w:rPr>
        <w:t xml:space="preserve">рамиприл и 25 </w:t>
      </w:r>
      <w:r w:rsidRPr="00367195">
        <w:rPr>
          <w:rFonts w:eastAsia="Times New Roman" w:cs="Arial"/>
          <w:color w:val="000000"/>
          <w:lang w:val="en-US"/>
        </w:rPr>
        <w:t xml:space="preserve">mg </w:t>
      </w:r>
      <w:r w:rsidRPr="00367195">
        <w:rPr>
          <w:rFonts w:eastAsia="Times New Roman" w:cs="Arial"/>
          <w:color w:val="000000"/>
          <w:lang w:eastAsia="bg-BG"/>
        </w:rPr>
        <w:t>хидрохлоротиазид дневно.</w:t>
      </w:r>
    </w:p>
    <w:p w14:paraId="47E9FCAC" w14:textId="77777777" w:rsidR="00367195" w:rsidRPr="00367195" w:rsidRDefault="00367195" w:rsidP="00367195">
      <w:pPr>
        <w:spacing w:line="240" w:lineRule="auto"/>
        <w:rPr>
          <w:rFonts w:eastAsia="Times New Roman" w:cs="Arial"/>
          <w:i/>
          <w:iCs/>
          <w:color w:val="000000"/>
          <w:u w:val="single"/>
          <w:lang w:eastAsia="bg-BG"/>
        </w:rPr>
      </w:pPr>
    </w:p>
    <w:p w14:paraId="5369E9E1" w14:textId="0B5145A8"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u w:val="single"/>
          <w:lang w:eastAsia="bg-BG"/>
        </w:rPr>
        <w:t>Специални популации</w:t>
      </w:r>
    </w:p>
    <w:p w14:paraId="24A28EE9" w14:textId="77777777" w:rsidR="00367195" w:rsidRPr="00367195" w:rsidRDefault="00367195" w:rsidP="00367195">
      <w:pPr>
        <w:spacing w:line="240" w:lineRule="auto"/>
        <w:rPr>
          <w:rFonts w:eastAsia="Times New Roman" w:cs="Arial"/>
          <w:i/>
          <w:iCs/>
          <w:color w:val="000000"/>
          <w:lang w:eastAsia="bg-BG"/>
        </w:rPr>
      </w:pPr>
    </w:p>
    <w:p w14:paraId="213E4617" w14:textId="2DB8C677" w:rsidR="00367195" w:rsidRPr="00367195" w:rsidRDefault="00367195" w:rsidP="00367195">
      <w:pPr>
        <w:spacing w:line="240" w:lineRule="auto"/>
        <w:rPr>
          <w:rFonts w:eastAsia="Times New Roman" w:cs="Arial"/>
          <w:sz w:val="24"/>
          <w:szCs w:val="24"/>
          <w:lang w:eastAsia="bg-BG"/>
        </w:rPr>
      </w:pPr>
      <w:r w:rsidRPr="00367195">
        <w:rPr>
          <w:rFonts w:eastAsia="Times New Roman" w:cs="Arial"/>
          <w:i/>
          <w:iCs/>
          <w:color w:val="000000"/>
          <w:lang w:eastAsia="bg-BG"/>
        </w:rPr>
        <w:t>Пациенти, лекувани с диуретици</w:t>
      </w:r>
    </w:p>
    <w:p w14:paraId="6493396E" w14:textId="77777777" w:rsidR="00501313" w:rsidRPr="00501313" w:rsidRDefault="00367195" w:rsidP="00501313">
      <w:pPr>
        <w:rPr>
          <w:rFonts w:ascii="Times New Roman" w:eastAsia="Times New Roman" w:hAnsi="Times New Roman" w:cs="Times New Roman"/>
          <w:sz w:val="24"/>
          <w:szCs w:val="24"/>
          <w:lang w:eastAsia="bg-BG"/>
        </w:rPr>
      </w:pPr>
      <w:r w:rsidRPr="00367195">
        <w:rPr>
          <w:rFonts w:eastAsia="Times New Roman" w:cs="Arial"/>
          <w:color w:val="000000"/>
          <w:lang w:eastAsia="bg-BG"/>
        </w:rPr>
        <w:t>При пациенти, едновременно лекувани с диуретици, се препоръчва повишено внимание, тъй</w:t>
      </w:r>
      <w:r>
        <w:rPr>
          <w:rFonts w:eastAsia="Times New Roman" w:cs="Arial"/>
          <w:sz w:val="24"/>
          <w:szCs w:val="24"/>
          <w:lang w:eastAsia="bg-BG"/>
        </w:rPr>
        <w:t xml:space="preserve"> </w:t>
      </w:r>
      <w:r w:rsidRPr="00367195">
        <w:rPr>
          <w:rFonts w:eastAsia="Times New Roman" w:cs="Arial"/>
          <w:color w:val="000000"/>
          <w:lang w:eastAsia="bg-BG"/>
        </w:rPr>
        <w:t>като може да възникне хипотония след започване на лечението. Трябва да се има предвид</w:t>
      </w:r>
      <w:r w:rsidR="00501313">
        <w:rPr>
          <w:rFonts w:eastAsia="Times New Roman" w:cs="Arial"/>
          <w:color w:val="000000"/>
          <w:lang w:eastAsia="bg-BG"/>
        </w:rPr>
        <w:t xml:space="preserve"> </w:t>
      </w:r>
      <w:r w:rsidR="00501313" w:rsidRPr="00501313">
        <w:rPr>
          <w:rFonts w:ascii="Times New Roman" w:eastAsia="Times New Roman" w:hAnsi="Times New Roman" w:cs="Times New Roman"/>
          <w:color w:val="000000"/>
          <w:lang w:eastAsia="bg-BG"/>
        </w:rPr>
        <w:t>намаляване на дозата на диуретика или спирането му, преди започване на лечение с Тритейс Плюс.</w:t>
      </w:r>
    </w:p>
    <w:p w14:paraId="38CAD403" w14:textId="77777777" w:rsidR="00501313" w:rsidRDefault="00501313" w:rsidP="00501313">
      <w:pPr>
        <w:spacing w:line="240" w:lineRule="auto"/>
        <w:rPr>
          <w:rFonts w:ascii="Times New Roman" w:eastAsia="Times New Roman" w:hAnsi="Times New Roman" w:cs="Times New Roman"/>
          <w:color w:val="000000"/>
          <w:lang w:eastAsia="bg-BG"/>
        </w:rPr>
      </w:pPr>
    </w:p>
    <w:p w14:paraId="7F0F2C84" w14:textId="58BF2A69"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Ако спирането не е възможно, се препоръчва лечението да бъде започнато с най-ниската възможна доза рамиприл (1,25 </w:t>
      </w:r>
      <w:r w:rsidRPr="00501313">
        <w:rPr>
          <w:rFonts w:eastAsia="Times New Roman" w:cs="Arial"/>
          <w:color w:val="000000"/>
          <w:lang w:val="en-US"/>
        </w:rPr>
        <w:t xml:space="preserve">mg </w:t>
      </w:r>
      <w:r w:rsidRPr="00501313">
        <w:rPr>
          <w:rFonts w:eastAsia="Times New Roman" w:cs="Arial"/>
          <w:color w:val="000000"/>
          <w:lang w:eastAsia="bg-BG"/>
        </w:rPr>
        <w:t xml:space="preserve">дневно) без да е във фиксирана комбинация. Препоръчва се в последствие да се премине към първоначална дневна доза от не повече от 2,5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/12,5 </w:t>
      </w:r>
      <w:r w:rsidRPr="00501313">
        <w:rPr>
          <w:rFonts w:eastAsia="Times New Roman" w:cs="Arial"/>
          <w:color w:val="000000"/>
          <w:lang w:val="en-US"/>
        </w:rPr>
        <w:t xml:space="preserve">mg </w:t>
      </w:r>
      <w:r w:rsidRPr="00501313">
        <w:rPr>
          <w:rFonts w:eastAsia="Times New Roman" w:cs="Arial"/>
          <w:color w:val="000000"/>
          <w:lang w:eastAsia="bg-BG"/>
        </w:rPr>
        <w:t>хидрохлоротиазид.</w:t>
      </w:r>
    </w:p>
    <w:p w14:paraId="6AFD4187" w14:textId="77777777" w:rsidR="00501313" w:rsidRPr="00501313" w:rsidRDefault="00501313" w:rsidP="00501313">
      <w:pPr>
        <w:spacing w:line="240" w:lineRule="auto"/>
        <w:rPr>
          <w:rFonts w:eastAsia="Times New Roman" w:cs="Arial"/>
          <w:i/>
          <w:iCs/>
          <w:color w:val="000000"/>
          <w:lang w:eastAsia="bg-BG"/>
        </w:rPr>
      </w:pPr>
    </w:p>
    <w:p w14:paraId="042BB1F4" w14:textId="58345712"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Пациенти е бъбречно увреждане</w:t>
      </w:r>
    </w:p>
    <w:p w14:paraId="1B5683A2"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Тежко бъбречно увреждане</w:t>
      </w:r>
    </w:p>
    <w:p w14:paraId="610494D9"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Тритейс Плюс е противопоказан при тежко бъбречно увреждане, поради хидрохлоротиазидната компонента (креатининов клирънс &lt;30 </w:t>
      </w:r>
      <w:r w:rsidRPr="00501313">
        <w:rPr>
          <w:rFonts w:eastAsia="Times New Roman" w:cs="Arial"/>
          <w:color w:val="000000"/>
          <w:lang w:val="en-US"/>
        </w:rPr>
        <w:t xml:space="preserve">ml/min) </w:t>
      </w:r>
      <w:r w:rsidRPr="00501313">
        <w:rPr>
          <w:rFonts w:eastAsia="Times New Roman" w:cs="Arial"/>
          <w:color w:val="000000"/>
          <w:lang w:eastAsia="bg-BG"/>
        </w:rPr>
        <w:t>(вж. точка 4.3)</w:t>
      </w:r>
    </w:p>
    <w:p w14:paraId="590870F3" w14:textId="77777777" w:rsidR="00501313" w:rsidRPr="00501313" w:rsidRDefault="00501313" w:rsidP="00501313">
      <w:pPr>
        <w:spacing w:line="240" w:lineRule="auto"/>
        <w:rPr>
          <w:rFonts w:eastAsia="Times New Roman" w:cs="Arial"/>
          <w:color w:val="000000"/>
          <w:lang w:eastAsia="bg-BG"/>
        </w:rPr>
      </w:pPr>
    </w:p>
    <w:p w14:paraId="07CF2F1D" w14:textId="10C7B8C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Умерено бъбречно увреждане</w:t>
      </w:r>
    </w:p>
    <w:p w14:paraId="324F1CB0"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Пациенти с нива на креатининов клирънс между 30 и 60 </w:t>
      </w:r>
      <w:r w:rsidRPr="00501313">
        <w:rPr>
          <w:rFonts w:eastAsia="Times New Roman" w:cs="Arial"/>
          <w:color w:val="000000"/>
          <w:lang w:val="en-US"/>
        </w:rPr>
        <w:t xml:space="preserve">ml/min </w:t>
      </w:r>
      <w:r w:rsidRPr="00501313">
        <w:rPr>
          <w:rFonts w:eastAsia="Times New Roman" w:cs="Arial"/>
          <w:color w:val="000000"/>
          <w:lang w:eastAsia="bg-BG"/>
        </w:rPr>
        <w:t xml:space="preserve">могат да бъдат лекувани само е най-ниските дози на фиксираната комбинация рамиприл и хидрохлоротиазид, след самостоятелно прилагане на рамиприл. Максималните допустими дози са 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и 25 </w:t>
      </w:r>
      <w:r w:rsidRPr="00501313">
        <w:rPr>
          <w:rFonts w:eastAsia="Times New Roman" w:cs="Arial"/>
          <w:color w:val="000000"/>
          <w:lang w:val="en-US"/>
        </w:rPr>
        <w:t xml:space="preserve">mg </w:t>
      </w:r>
      <w:r w:rsidRPr="00501313">
        <w:rPr>
          <w:rFonts w:eastAsia="Times New Roman" w:cs="Arial"/>
          <w:color w:val="000000"/>
          <w:lang w:eastAsia="bg-BG"/>
        </w:rPr>
        <w:t xml:space="preserve">хидрохлоротиазид дневно, поради това Тритейс Плюс </w:t>
      </w:r>
      <w:r w:rsidRPr="00501313">
        <w:rPr>
          <w:rFonts w:eastAsia="Times New Roman" w:cs="Arial"/>
          <w:color w:val="000000"/>
          <w:lang w:val="en-US"/>
        </w:rPr>
        <w:t xml:space="preserve">10mg/12,5 </w:t>
      </w:r>
      <w:r w:rsidRPr="00501313">
        <w:rPr>
          <w:rFonts w:eastAsia="Times New Roman" w:cs="Arial"/>
          <w:color w:val="000000"/>
          <w:lang w:eastAsia="bg-BG"/>
        </w:rPr>
        <w:t xml:space="preserve">и Тритейс Плюс 10 </w:t>
      </w:r>
      <w:r w:rsidRPr="00501313">
        <w:rPr>
          <w:rFonts w:eastAsia="Times New Roman" w:cs="Arial"/>
          <w:color w:val="000000"/>
          <w:lang w:val="en-US"/>
        </w:rPr>
        <w:t xml:space="preserve">mg </w:t>
      </w:r>
      <w:r w:rsidRPr="00501313">
        <w:rPr>
          <w:rFonts w:eastAsia="Times New Roman" w:cs="Arial"/>
          <w:color w:val="000000"/>
          <w:lang w:eastAsia="bg-BG"/>
        </w:rPr>
        <w:t xml:space="preserve">/25 </w:t>
      </w:r>
      <w:r w:rsidRPr="00501313">
        <w:rPr>
          <w:rFonts w:eastAsia="Times New Roman" w:cs="Arial"/>
          <w:color w:val="000000"/>
          <w:lang w:val="en-US"/>
        </w:rPr>
        <w:t xml:space="preserve">mg </w:t>
      </w:r>
      <w:r w:rsidRPr="00501313">
        <w:rPr>
          <w:rFonts w:eastAsia="Times New Roman" w:cs="Arial"/>
          <w:color w:val="000000"/>
          <w:lang w:eastAsia="bg-BG"/>
        </w:rPr>
        <w:t>таблетки не трябява да се прилагат при пациенти с умерено бъбречно увреждане.</w:t>
      </w:r>
    </w:p>
    <w:p w14:paraId="52B3DA01" w14:textId="77777777" w:rsidR="00501313" w:rsidRPr="00501313" w:rsidRDefault="00501313" w:rsidP="00501313">
      <w:pPr>
        <w:spacing w:line="240" w:lineRule="auto"/>
        <w:rPr>
          <w:rFonts w:eastAsia="Times New Roman" w:cs="Arial"/>
          <w:i/>
          <w:iCs/>
          <w:color w:val="000000"/>
          <w:lang w:eastAsia="bg-BG"/>
        </w:rPr>
      </w:pPr>
    </w:p>
    <w:p w14:paraId="200C6BC6" w14:textId="60B31EDC"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Пациенти с чернодробно увреждане</w:t>
      </w:r>
    </w:p>
    <w:p w14:paraId="178F4A9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Леко или умерено чернодробно увреждане</w:t>
      </w:r>
    </w:p>
    <w:p w14:paraId="6F2E785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 xml:space="preserve">При пациенти с леко до умерено чернодробно увреждане, лечението с рамиприл и хидрохлоротиазид трябва да бъде започнато само под стриктно медицинско наблюдение и максималните дневни дози са 2,5 </w:t>
      </w:r>
      <w:r w:rsidRPr="00501313">
        <w:rPr>
          <w:rFonts w:eastAsia="Times New Roman" w:cs="Arial"/>
          <w:color w:val="000000"/>
          <w:lang w:val="en-US"/>
        </w:rPr>
        <w:t xml:space="preserve">mg </w:t>
      </w:r>
      <w:r w:rsidRPr="00501313">
        <w:rPr>
          <w:rFonts w:eastAsia="Times New Roman" w:cs="Arial"/>
          <w:color w:val="000000"/>
          <w:lang w:eastAsia="bg-BG"/>
        </w:rPr>
        <w:t xml:space="preserve">рамиприл и 12,5 </w:t>
      </w:r>
      <w:r w:rsidRPr="00501313">
        <w:rPr>
          <w:rFonts w:eastAsia="Times New Roman" w:cs="Arial"/>
          <w:color w:val="000000"/>
          <w:lang w:val="en-US"/>
        </w:rPr>
        <w:t xml:space="preserve">mg </w:t>
      </w:r>
      <w:r w:rsidRPr="00501313">
        <w:rPr>
          <w:rFonts w:eastAsia="Times New Roman" w:cs="Arial"/>
          <w:color w:val="000000"/>
          <w:lang w:eastAsia="bg-BG"/>
        </w:rPr>
        <w:t xml:space="preserve">хидрохлоротиазид, поради съдържанието на по-високите дози Тритейс Плюс 10 </w:t>
      </w:r>
      <w:r w:rsidRPr="00501313">
        <w:rPr>
          <w:rFonts w:eastAsia="Times New Roman" w:cs="Arial"/>
          <w:color w:val="000000"/>
          <w:lang w:val="en-US"/>
        </w:rPr>
        <w:t xml:space="preserve">mg/12,5 mg </w:t>
      </w:r>
      <w:r w:rsidRPr="00501313">
        <w:rPr>
          <w:rFonts w:eastAsia="Times New Roman" w:cs="Arial"/>
          <w:color w:val="000000"/>
          <w:lang w:eastAsia="bg-BG"/>
        </w:rPr>
        <w:t xml:space="preserve">и Тритейс Плюс 10 </w:t>
      </w:r>
      <w:r w:rsidRPr="00501313">
        <w:rPr>
          <w:rFonts w:eastAsia="Times New Roman" w:cs="Arial"/>
          <w:color w:val="000000"/>
          <w:lang w:val="en-US"/>
        </w:rPr>
        <w:t xml:space="preserve">mg/25 mg </w:t>
      </w:r>
      <w:r w:rsidRPr="00501313">
        <w:rPr>
          <w:rFonts w:eastAsia="Times New Roman" w:cs="Arial"/>
          <w:color w:val="000000"/>
          <w:lang w:eastAsia="bg-BG"/>
        </w:rPr>
        <w:t>не трябва да се използват при пациенти с леко или умерено чернодробно увреждане.</w:t>
      </w:r>
    </w:p>
    <w:p w14:paraId="00058190" w14:textId="77777777" w:rsidR="00501313" w:rsidRPr="00501313" w:rsidRDefault="00501313" w:rsidP="00501313">
      <w:pPr>
        <w:spacing w:line="240" w:lineRule="auto"/>
        <w:rPr>
          <w:rFonts w:eastAsia="Times New Roman" w:cs="Arial"/>
          <w:color w:val="000000"/>
          <w:lang w:eastAsia="bg-BG"/>
        </w:rPr>
      </w:pPr>
    </w:p>
    <w:p w14:paraId="64CCC0B5" w14:textId="33E1FF22"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Тежко чернодробно увреждане</w:t>
      </w:r>
    </w:p>
    <w:p w14:paraId="1E09C4AF"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Тритейс Плюс е противопоказан при тежко чернодробно увреждане (вж. точка 4.3).</w:t>
      </w:r>
    </w:p>
    <w:p w14:paraId="61DA7DFE" w14:textId="77777777" w:rsidR="00501313" w:rsidRPr="00501313" w:rsidRDefault="00501313" w:rsidP="00501313">
      <w:pPr>
        <w:spacing w:line="240" w:lineRule="auto"/>
        <w:rPr>
          <w:rFonts w:eastAsia="Times New Roman" w:cs="Arial"/>
          <w:i/>
          <w:iCs/>
          <w:color w:val="000000"/>
          <w:lang w:eastAsia="bg-BG"/>
        </w:rPr>
      </w:pPr>
    </w:p>
    <w:p w14:paraId="77CB3ABF" w14:textId="6E482C5A"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Старческа възраст</w:t>
      </w:r>
    </w:p>
    <w:p w14:paraId="4A99B509"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Началните дози трябва да бъдат по-ниски и последващото титриране на дозата трябва да бъде по-бавно, поради по-голямата възможност от нежелани реакции, особено при много възрастни и немощни пациенти.</w:t>
      </w:r>
    </w:p>
    <w:p w14:paraId="74013019" w14:textId="77777777" w:rsidR="00501313" w:rsidRPr="00501313" w:rsidRDefault="00501313" w:rsidP="00501313">
      <w:pPr>
        <w:spacing w:line="240" w:lineRule="auto"/>
        <w:rPr>
          <w:rFonts w:eastAsia="Times New Roman" w:cs="Arial"/>
          <w:i/>
          <w:iCs/>
          <w:color w:val="000000"/>
          <w:lang w:eastAsia="bg-BG"/>
        </w:rPr>
      </w:pPr>
    </w:p>
    <w:p w14:paraId="05C2F9A8" w14:textId="1620664C" w:rsidR="00501313" w:rsidRPr="00501313" w:rsidRDefault="00501313" w:rsidP="00501313">
      <w:pPr>
        <w:spacing w:line="240" w:lineRule="auto"/>
        <w:rPr>
          <w:rFonts w:eastAsia="Times New Roman" w:cs="Arial"/>
          <w:sz w:val="24"/>
          <w:szCs w:val="24"/>
          <w:lang w:eastAsia="bg-BG"/>
        </w:rPr>
      </w:pPr>
      <w:r w:rsidRPr="00501313">
        <w:rPr>
          <w:rFonts w:eastAsia="Times New Roman" w:cs="Arial"/>
          <w:i/>
          <w:iCs/>
          <w:color w:val="000000"/>
          <w:lang w:eastAsia="bg-BG"/>
        </w:rPr>
        <w:t>Педиатрична популация</w:t>
      </w:r>
    </w:p>
    <w:p w14:paraId="23F05E47"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lastRenderedPageBreak/>
        <w:t>Тритейс Плюс не се препоръчва за употреба при деца и юноши до 18 години, поради недостатъчни данни за безопасност и ефикасност.</w:t>
      </w:r>
    </w:p>
    <w:p w14:paraId="459464AA" w14:textId="77777777" w:rsidR="00501313" w:rsidRPr="00501313" w:rsidRDefault="00501313" w:rsidP="00501313">
      <w:pPr>
        <w:spacing w:line="240" w:lineRule="auto"/>
        <w:rPr>
          <w:rFonts w:eastAsia="Times New Roman" w:cs="Arial"/>
          <w:i/>
          <w:iCs/>
          <w:color w:val="000000"/>
          <w:u w:val="single"/>
          <w:lang w:eastAsia="bg-BG"/>
        </w:rPr>
      </w:pPr>
    </w:p>
    <w:p w14:paraId="575D7EC4" w14:textId="7D2312C7" w:rsidR="00501313" w:rsidRPr="00272B3D" w:rsidRDefault="00501313" w:rsidP="00272B3D">
      <w:pPr>
        <w:pStyle w:val="Heading3"/>
        <w:rPr>
          <w:rFonts w:eastAsia="Times New Roman"/>
          <w:u w:val="single"/>
          <w:lang w:eastAsia="bg-BG"/>
        </w:rPr>
      </w:pPr>
      <w:r w:rsidRPr="00272B3D">
        <w:rPr>
          <w:rFonts w:eastAsia="Times New Roman"/>
          <w:u w:val="single"/>
          <w:lang w:eastAsia="bg-BG"/>
        </w:rPr>
        <w:t>Начин на приложение</w:t>
      </w:r>
    </w:p>
    <w:p w14:paraId="2EF4B727" w14:textId="77777777" w:rsidR="00501313" w:rsidRPr="00501313" w:rsidRDefault="00501313" w:rsidP="00501313">
      <w:pPr>
        <w:spacing w:line="240" w:lineRule="auto"/>
        <w:rPr>
          <w:rFonts w:eastAsia="Times New Roman" w:cs="Arial"/>
          <w:color w:val="000000"/>
          <w:lang w:eastAsia="bg-BG"/>
        </w:rPr>
      </w:pPr>
    </w:p>
    <w:p w14:paraId="475300EC" w14:textId="6C9F1BA7" w:rsidR="0091385D"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Перорално приложение.</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3AEC372"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Свръхчувствителност към активното вещество или към друг АСЕ инхибитор (инхибитор на ангиотензин конвертиращия ензим), хидрохлоротиазид, друг тиазиден диуретик, сулфонамиди или някое от помощните вещества, изброени в точка 6.1.</w:t>
      </w:r>
    </w:p>
    <w:p w14:paraId="26D2B71F"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 xml:space="preserve">Анамнеза за ангиоедем (наследствен, идиопатичен или вследствие лечение с </w:t>
      </w:r>
      <w:r w:rsidRPr="00501313">
        <w:rPr>
          <w:rFonts w:eastAsia="Times New Roman" w:cs="Arial"/>
          <w:color w:val="000000"/>
          <w:u w:val="single"/>
          <w:lang w:eastAsia="bg-BG"/>
        </w:rPr>
        <w:t xml:space="preserve">АСЕ </w:t>
      </w:r>
      <w:r w:rsidRPr="00501313">
        <w:rPr>
          <w:rFonts w:eastAsia="Times New Roman" w:cs="Arial"/>
          <w:color w:val="000000"/>
          <w:lang w:eastAsia="bg-BG"/>
        </w:rPr>
        <w:t xml:space="preserve">инхибитори или ангиотензин II рецепторни антагонисти </w:t>
      </w:r>
      <w:r w:rsidRPr="00501313">
        <w:rPr>
          <w:rFonts w:eastAsia="Times New Roman" w:cs="Arial"/>
          <w:color w:val="000000"/>
          <w:lang w:val="en-US"/>
        </w:rPr>
        <w:t>(AIIRAs))</w:t>
      </w:r>
    </w:p>
    <w:p w14:paraId="347B8814"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Едновременна терапия със сакубитрил / валсартан (вж. точки 4.4 и</w:t>
      </w:r>
      <w:r w:rsidRPr="00501313">
        <w:rPr>
          <w:rFonts w:eastAsia="Times New Roman" w:cs="Arial"/>
          <w:color w:val="000000"/>
          <w:lang w:val="en-US"/>
        </w:rPr>
        <w:t xml:space="preserve"> 4.5).</w:t>
      </w:r>
    </w:p>
    <w:p w14:paraId="46D99835" w14:textId="77777777"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05FE9DAC" w14:textId="0418CF69" w:rsidR="00501313" w:rsidRPr="00501313" w:rsidRDefault="00501313" w:rsidP="00501313">
      <w:pPr>
        <w:pStyle w:val="ListParagraph"/>
        <w:numPr>
          <w:ilvl w:val="0"/>
          <w:numId w:val="35"/>
        </w:numPr>
        <w:spacing w:line="240" w:lineRule="auto"/>
        <w:rPr>
          <w:rFonts w:eastAsia="Times New Roman" w:cs="Arial"/>
          <w:sz w:val="24"/>
          <w:szCs w:val="24"/>
          <w:lang w:eastAsia="bg-BG"/>
        </w:rPr>
      </w:pPr>
      <w:r w:rsidRPr="00501313">
        <w:rPr>
          <w:rFonts w:eastAsia="Times New Roman" w:cs="Arial"/>
          <w:color w:val="000000"/>
          <w:lang w:eastAsia="bg-BG"/>
        </w:rPr>
        <w:t>Значима двустранна стеноза на бъбречната артерия или стеноза на бъбречна артерия на единствен функциониращ бъбрек</w:t>
      </w:r>
    </w:p>
    <w:p w14:paraId="13F3764D"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Втори или трети триместър на бременността (вж. точки 4.4 и </w:t>
      </w:r>
      <w:r w:rsidRPr="00501313">
        <w:rPr>
          <w:rFonts w:eastAsia="Times New Roman" w:cs="Arial"/>
          <w:i/>
          <w:iCs/>
          <w:color w:val="000000"/>
          <w:lang w:eastAsia="bg-BG"/>
        </w:rPr>
        <w:t>4.6)</w:t>
      </w:r>
    </w:p>
    <w:p w14:paraId="7E0E1EE4" w14:textId="77777777" w:rsidR="00501313" w:rsidRPr="00501313" w:rsidRDefault="00501313" w:rsidP="00501313">
      <w:pPr>
        <w:numPr>
          <w:ilvl w:val="0"/>
          <w:numId w:val="35"/>
        </w:numPr>
        <w:spacing w:line="240" w:lineRule="auto"/>
        <w:rPr>
          <w:rFonts w:eastAsia="Times New Roman" w:cs="Arial"/>
          <w:color w:val="000000"/>
          <w:sz w:val="24"/>
          <w:szCs w:val="24"/>
          <w:lang w:eastAsia="bg-BG"/>
        </w:rPr>
      </w:pPr>
      <w:r w:rsidRPr="00501313">
        <w:rPr>
          <w:rFonts w:eastAsia="Times New Roman" w:cs="Arial"/>
          <w:color w:val="000000"/>
          <w:sz w:val="24"/>
          <w:szCs w:val="24"/>
          <w:lang w:eastAsia="bg-BG"/>
        </w:rPr>
        <w:t>Кърмене (вж. точка 4.6)</w:t>
      </w:r>
    </w:p>
    <w:p w14:paraId="7EC4167F"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Тежко увреждане на бъбречната функция (креатининов клирънс под 30 </w:t>
      </w:r>
      <w:r w:rsidRPr="00501313">
        <w:rPr>
          <w:rFonts w:eastAsia="Times New Roman" w:cs="Arial"/>
          <w:color w:val="000000"/>
          <w:lang w:val="en-US"/>
        </w:rPr>
        <w:t xml:space="preserve">ml/min </w:t>
      </w:r>
      <w:r w:rsidRPr="00501313">
        <w:rPr>
          <w:rFonts w:eastAsia="Times New Roman" w:cs="Arial"/>
          <w:color w:val="000000"/>
          <w:lang w:eastAsia="bg-BG"/>
        </w:rPr>
        <w:t>при недиализирани пациенти) (вж. точка 4.2)</w:t>
      </w:r>
    </w:p>
    <w:p w14:paraId="43A00823"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Клинично значими електролитни нарушения, които могат да се влошат след лечение с Тритейс Плюс (вж. точка 4.4)</w:t>
      </w:r>
    </w:p>
    <w:p w14:paraId="6D65063F" w14:textId="77777777"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Тежко увреждане на чернодробната функция (вж. точка 4.2)</w:t>
      </w:r>
    </w:p>
    <w:p w14:paraId="64FA6E6E" w14:textId="77777777" w:rsid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Чернодробна енцефалопатия</w:t>
      </w:r>
    </w:p>
    <w:p w14:paraId="161AE01F" w14:textId="1C3CD66A" w:rsidR="00501313" w:rsidRPr="00501313" w:rsidRDefault="00501313" w:rsidP="00501313">
      <w:pPr>
        <w:numPr>
          <w:ilvl w:val="0"/>
          <w:numId w:val="35"/>
        </w:numPr>
        <w:spacing w:line="240" w:lineRule="auto"/>
        <w:rPr>
          <w:rFonts w:eastAsia="Times New Roman" w:cs="Arial"/>
          <w:color w:val="000000"/>
          <w:lang w:eastAsia="bg-BG"/>
        </w:rPr>
      </w:pPr>
      <w:r w:rsidRPr="00501313">
        <w:rPr>
          <w:rFonts w:eastAsia="Times New Roman" w:cs="Arial"/>
          <w:color w:val="000000"/>
          <w:lang w:eastAsia="bg-BG"/>
        </w:rPr>
        <w:t xml:space="preserve">Едновременната употреба на Тритейс плюс с алискирен-съдържащи продукти е противопоказана при пациенти със захарен диабет или бъбречно увреждане </w:t>
      </w:r>
      <w:r w:rsidRPr="00501313">
        <w:rPr>
          <w:rFonts w:eastAsia="Times New Roman" w:cs="Arial"/>
          <w:color w:val="000000"/>
          <w:lang w:val="en-US"/>
        </w:rPr>
        <w:t xml:space="preserve">(GFR </w:t>
      </w:r>
      <w:r w:rsidRPr="00501313">
        <w:rPr>
          <w:rFonts w:eastAsia="Times New Roman" w:cs="Arial"/>
          <w:color w:val="000000"/>
          <w:lang w:eastAsia="bg-BG"/>
        </w:rPr>
        <w:t xml:space="preserve">&lt; 60 </w:t>
      </w:r>
      <w:r w:rsidRPr="00501313">
        <w:rPr>
          <w:rFonts w:eastAsia="Times New Roman" w:cs="Arial"/>
          <w:color w:val="000000"/>
          <w:lang w:val="en-US"/>
        </w:rPr>
        <w:t>ml/min/</w:t>
      </w:r>
      <w:r w:rsidRPr="00501313">
        <w:rPr>
          <w:rFonts w:eastAsia="Times New Roman" w:cs="Arial"/>
          <w:color w:val="000000"/>
          <w:lang w:eastAsia="bg-BG"/>
        </w:rPr>
        <w:t>1,73 m2) (вж. точки 4.5 и 5.1)</w:t>
      </w:r>
    </w:p>
    <w:p w14:paraId="214D5EC6" w14:textId="77777777" w:rsidR="00501313" w:rsidRPr="0091385D" w:rsidRDefault="00501313"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39E5303A" w14:textId="60211502" w:rsidR="00501313" w:rsidRPr="00E75482" w:rsidRDefault="00501313" w:rsidP="00501313">
      <w:pPr>
        <w:spacing w:line="240" w:lineRule="auto"/>
        <w:rPr>
          <w:rFonts w:eastAsia="Times New Roman" w:cs="Arial"/>
          <w:i/>
          <w:iCs/>
          <w:color w:val="000000"/>
          <w:u w:val="single"/>
          <w:lang w:eastAsia="bg-BG"/>
        </w:rPr>
      </w:pPr>
      <w:r w:rsidRPr="00501313">
        <w:rPr>
          <w:rFonts w:eastAsia="Times New Roman" w:cs="Arial"/>
          <w:i/>
          <w:iCs/>
          <w:color w:val="000000"/>
          <w:u w:val="single"/>
          <w:lang w:eastAsia="bg-BG"/>
        </w:rPr>
        <w:t>Специални популации</w:t>
      </w:r>
    </w:p>
    <w:p w14:paraId="702FD4C0" w14:textId="77777777" w:rsidR="00501313" w:rsidRPr="00501313" w:rsidRDefault="00501313" w:rsidP="00501313">
      <w:pPr>
        <w:spacing w:line="240" w:lineRule="auto"/>
        <w:rPr>
          <w:rFonts w:eastAsia="Times New Roman" w:cs="Arial"/>
          <w:sz w:val="24"/>
          <w:szCs w:val="24"/>
          <w:lang w:eastAsia="bg-BG"/>
        </w:rPr>
      </w:pPr>
    </w:p>
    <w:p w14:paraId="2877EDE0" w14:textId="77777777" w:rsidR="00501313" w:rsidRPr="00E75482" w:rsidRDefault="00501313" w:rsidP="00501313">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Бременност</w:t>
      </w:r>
    </w:p>
    <w:p w14:paraId="1BED64D2" w14:textId="7601C095" w:rsidR="00501313" w:rsidRPr="00E75482" w:rsidRDefault="00501313" w:rsidP="00501313">
      <w:pPr>
        <w:spacing w:line="240" w:lineRule="auto"/>
        <w:rPr>
          <w:rFonts w:eastAsia="Times New Roman" w:cs="Arial"/>
          <w:color w:val="000000"/>
          <w:lang w:eastAsia="bg-BG"/>
        </w:rPr>
      </w:pPr>
      <w:r w:rsidRPr="00501313">
        <w:rPr>
          <w:rFonts w:eastAsia="Times New Roman" w:cs="Arial"/>
          <w:color w:val="000000"/>
          <w:lang w:eastAsia="bg-BG"/>
        </w:rPr>
        <w:t xml:space="preserve">Лечение с АСЕ инхибитори като рамиприл или ангиотензин II рецепторни антагонисти </w:t>
      </w:r>
      <w:r w:rsidRPr="00501313">
        <w:rPr>
          <w:rFonts w:eastAsia="Times New Roman" w:cs="Arial"/>
          <w:color w:val="000000"/>
          <w:lang w:val="en-US"/>
        </w:rPr>
        <w:t xml:space="preserve">(AIIRAs) </w:t>
      </w:r>
      <w:r w:rsidRPr="00501313">
        <w:rPr>
          <w:rFonts w:eastAsia="Times New Roman" w:cs="Arial"/>
          <w:color w:val="000000"/>
          <w:lang w:eastAsia="bg-BG"/>
        </w:rPr>
        <w:t xml:space="preserve">не трябва да се започва по време бременност. При пациентките, планиращи да забременеят, терапията с АСЕ инхибитори </w:t>
      </w:r>
      <w:r w:rsidRPr="00501313">
        <w:rPr>
          <w:rFonts w:eastAsia="Times New Roman" w:cs="Arial"/>
          <w:color w:val="000000"/>
          <w:lang w:val="en-US"/>
        </w:rPr>
        <w:t xml:space="preserve">/AIIRAs </w:t>
      </w:r>
      <w:r w:rsidRPr="00501313">
        <w:rPr>
          <w:rFonts w:eastAsia="Times New Roman" w:cs="Arial"/>
          <w:color w:val="000000"/>
          <w:lang w:eastAsia="bg-BG"/>
        </w:rPr>
        <w:t xml:space="preserve">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w:t>
      </w:r>
      <w:r w:rsidRPr="00501313">
        <w:rPr>
          <w:rFonts w:eastAsia="Times New Roman" w:cs="Arial"/>
          <w:color w:val="000000"/>
          <w:lang w:val="en-US"/>
        </w:rPr>
        <w:t xml:space="preserve">AIIRAs </w:t>
      </w:r>
      <w:r w:rsidRPr="00501313">
        <w:rPr>
          <w:rFonts w:eastAsia="Times New Roman" w:cs="Arial"/>
          <w:color w:val="000000"/>
          <w:lang w:eastAsia="bg-BG"/>
        </w:rPr>
        <w:t>трябва да бъде спряно незабавно и, ако е уместно, трябва да бъде започната алтернативна терапия (вж. точки 4.3 и 4.6).</w:t>
      </w:r>
    </w:p>
    <w:p w14:paraId="4424EBB1" w14:textId="77777777" w:rsidR="00501313" w:rsidRPr="00E75482" w:rsidRDefault="00501313" w:rsidP="00501313">
      <w:pPr>
        <w:spacing w:line="240" w:lineRule="auto"/>
        <w:rPr>
          <w:rFonts w:eastAsia="Times New Roman" w:cs="Arial"/>
          <w:sz w:val="24"/>
          <w:szCs w:val="24"/>
          <w:lang w:eastAsia="bg-BG"/>
        </w:rPr>
      </w:pPr>
    </w:p>
    <w:p w14:paraId="7D4199D6" w14:textId="56F9B1C0" w:rsidR="00501313" w:rsidRPr="00E75482" w:rsidRDefault="00501313" w:rsidP="00501313">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Пациенти с особен риск от хипотония</w:t>
      </w:r>
    </w:p>
    <w:p w14:paraId="58B7A6DE" w14:textId="77777777" w:rsidR="00501313" w:rsidRPr="00E75482" w:rsidRDefault="00501313" w:rsidP="00501313">
      <w:pPr>
        <w:pStyle w:val="ListParagraph"/>
        <w:numPr>
          <w:ilvl w:val="0"/>
          <w:numId w:val="38"/>
        </w:numPr>
        <w:spacing w:line="240" w:lineRule="auto"/>
        <w:rPr>
          <w:rFonts w:eastAsia="Times New Roman" w:cs="Arial"/>
          <w:sz w:val="24"/>
          <w:szCs w:val="24"/>
          <w:lang w:eastAsia="bg-BG"/>
        </w:rPr>
      </w:pPr>
      <w:r w:rsidRPr="00E75482">
        <w:rPr>
          <w:rFonts w:eastAsia="Times New Roman" w:cs="Arial"/>
          <w:i/>
          <w:iCs/>
          <w:color w:val="000000"/>
          <w:lang w:eastAsia="bg-BG"/>
        </w:rPr>
        <w:t xml:space="preserve">Пациенти със повишена активност на ренин-ангиотензин-алдостерон системата </w:t>
      </w:r>
      <w:r w:rsidRPr="00E75482">
        <w:rPr>
          <w:rFonts w:eastAsia="Times New Roman" w:cs="Arial"/>
          <w:color w:val="000000"/>
          <w:lang w:eastAsia="bg-BG"/>
        </w:rPr>
        <w:t xml:space="preserve">Пациенти с повишена активност на ренин-ангиотензин-алдостерон </w:t>
      </w:r>
      <w:r w:rsidRPr="00E75482">
        <w:rPr>
          <w:rFonts w:eastAsia="Times New Roman" w:cs="Arial"/>
          <w:color w:val="000000"/>
          <w:lang w:eastAsia="bg-BG"/>
        </w:rPr>
        <w:lastRenderedPageBreak/>
        <w:t>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 Значима активност на ренин-ангиотензин- алдостерон системата може да се очаква и е необходимо медицинско наблюдение, включващо проследяване на кръвното налягане, при:</w:t>
      </w:r>
    </w:p>
    <w:p w14:paraId="583116D3" w14:textId="77777777" w:rsidR="00E75482" w:rsidRPr="00E75482" w:rsidRDefault="00E75482" w:rsidP="00E75482">
      <w:pPr>
        <w:pStyle w:val="ListParagraph"/>
        <w:numPr>
          <w:ilvl w:val="0"/>
          <w:numId w:val="39"/>
        </w:numPr>
        <w:spacing w:line="240" w:lineRule="auto"/>
        <w:rPr>
          <w:rFonts w:eastAsia="Times New Roman" w:cs="Arial"/>
          <w:color w:val="000000"/>
          <w:lang w:eastAsia="bg-BG"/>
        </w:rPr>
      </w:pPr>
      <w:r w:rsidRPr="00E75482">
        <w:rPr>
          <w:rFonts w:eastAsia="Times New Roman" w:cs="Arial"/>
          <w:i/>
          <w:iCs/>
          <w:color w:val="000000"/>
          <w:lang w:eastAsia="bg-BG"/>
        </w:rPr>
        <w:t xml:space="preserve"> </w:t>
      </w:r>
      <w:r w:rsidR="00501313" w:rsidRPr="00E75482">
        <w:rPr>
          <w:rFonts w:eastAsia="Times New Roman" w:cs="Arial"/>
          <w:color w:val="000000"/>
          <w:lang w:eastAsia="bg-BG"/>
        </w:rPr>
        <w:t>пациенти с тежка хипертония</w:t>
      </w:r>
    </w:p>
    <w:p w14:paraId="6D111C04" w14:textId="77777777" w:rsidR="00E75482" w:rsidRPr="00E75482" w:rsidRDefault="00501313" w:rsidP="00E75482">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декомпенсирана застойна сърдечна недостатъчност</w:t>
      </w:r>
    </w:p>
    <w:p w14:paraId="3601D4C7"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0A9A9C64"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с едностранна стеноза на бъбречната артери</w:t>
      </w:r>
      <w:r w:rsidR="00E75482" w:rsidRPr="00E75482">
        <w:rPr>
          <w:rFonts w:eastAsia="Times New Roman" w:cs="Arial"/>
          <w:color w:val="000000"/>
          <w:lang w:eastAsia="bg-BG"/>
        </w:rPr>
        <w:t xml:space="preserve">я с втори функциониращ бъбрек </w:t>
      </w:r>
    </w:p>
    <w:p w14:paraId="2D6CA9FE" w14:textId="77777777" w:rsidR="00E75482"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при които има или може да настъпи намален обем на телесните течности или соли (включително пациенти, приемащи диуретици) - пациенти с чернодробна цироза и/или асцит</w:t>
      </w:r>
    </w:p>
    <w:p w14:paraId="0D5586C0" w14:textId="6DCB5AF0" w:rsidR="00501313" w:rsidRPr="00E75482" w:rsidRDefault="00501313" w:rsidP="00501313">
      <w:pPr>
        <w:pStyle w:val="ListParagraph"/>
        <w:numPr>
          <w:ilvl w:val="0"/>
          <w:numId w:val="39"/>
        </w:numPr>
        <w:spacing w:line="240" w:lineRule="auto"/>
        <w:rPr>
          <w:rFonts w:eastAsia="Times New Roman" w:cs="Arial"/>
          <w:color w:val="000000"/>
          <w:lang w:eastAsia="bg-BG"/>
        </w:rPr>
      </w:pPr>
      <w:r w:rsidRPr="00E75482">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251F256E"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2AECF934" w14:textId="77777777" w:rsidR="00501313" w:rsidRPr="00E75482" w:rsidRDefault="00501313" w:rsidP="00501313">
      <w:pPr>
        <w:spacing w:line="240" w:lineRule="auto"/>
        <w:rPr>
          <w:rFonts w:eastAsia="Times New Roman" w:cs="Arial"/>
          <w:i/>
          <w:iCs/>
          <w:color w:val="000000"/>
          <w:lang w:eastAsia="bg-BG"/>
        </w:rPr>
      </w:pPr>
    </w:p>
    <w:p w14:paraId="36EBB0D9" w14:textId="35D797F2" w:rsidR="00501313" w:rsidRPr="00E75482" w:rsidRDefault="00501313" w:rsidP="00E75482">
      <w:pPr>
        <w:pStyle w:val="ListParagraph"/>
        <w:numPr>
          <w:ilvl w:val="0"/>
          <w:numId w:val="38"/>
        </w:numPr>
        <w:spacing w:line="240" w:lineRule="auto"/>
        <w:rPr>
          <w:rFonts w:eastAsia="Times New Roman" w:cs="Arial"/>
          <w:sz w:val="24"/>
          <w:szCs w:val="24"/>
          <w:lang w:eastAsia="bg-BG"/>
        </w:rPr>
      </w:pPr>
      <w:r w:rsidRPr="00E75482">
        <w:rPr>
          <w:rFonts w:eastAsia="Times New Roman" w:cs="Arial"/>
          <w:i/>
          <w:iCs/>
          <w:color w:val="000000"/>
          <w:lang w:eastAsia="bg-BG"/>
        </w:rPr>
        <w:t>Пациенти, изложени на риск от сърдечна или мозъчна исхемия в случай на остра хипотония</w:t>
      </w:r>
    </w:p>
    <w:p w14:paraId="0AEC3E0A" w14:textId="77777777" w:rsidR="00501313" w:rsidRPr="00501313" w:rsidRDefault="00501313" w:rsidP="00501313">
      <w:pPr>
        <w:spacing w:line="240" w:lineRule="auto"/>
        <w:rPr>
          <w:rFonts w:eastAsia="Times New Roman" w:cs="Arial"/>
          <w:sz w:val="24"/>
          <w:szCs w:val="24"/>
          <w:lang w:eastAsia="bg-BG"/>
        </w:rPr>
      </w:pPr>
      <w:r w:rsidRPr="00501313">
        <w:rPr>
          <w:rFonts w:eastAsia="Times New Roman" w:cs="Arial"/>
          <w:color w:val="000000"/>
          <w:lang w:eastAsia="bg-BG"/>
        </w:rPr>
        <w:t>Началото на терапията изисква строг медицински контрол.</w:t>
      </w:r>
    </w:p>
    <w:p w14:paraId="4273065E" w14:textId="77777777" w:rsidR="00E75482" w:rsidRPr="00E75482" w:rsidRDefault="00E75482" w:rsidP="00501313">
      <w:pPr>
        <w:rPr>
          <w:rFonts w:eastAsia="Times New Roman" w:cs="Arial"/>
          <w:sz w:val="24"/>
          <w:szCs w:val="24"/>
          <w:lang w:eastAsia="bg-BG"/>
        </w:rPr>
      </w:pPr>
    </w:p>
    <w:p w14:paraId="0B3BEE35" w14:textId="671C443F" w:rsidR="0091385D" w:rsidRPr="00E75482" w:rsidRDefault="00501313" w:rsidP="00E75482">
      <w:pPr>
        <w:pStyle w:val="ListParagraph"/>
        <w:numPr>
          <w:ilvl w:val="0"/>
          <w:numId w:val="37"/>
        </w:numPr>
        <w:rPr>
          <w:rFonts w:cs="Arial"/>
        </w:rPr>
      </w:pPr>
      <w:r w:rsidRPr="00E75482">
        <w:rPr>
          <w:rFonts w:eastAsia="Times New Roman" w:cs="Arial"/>
          <w:i/>
          <w:iCs/>
          <w:color w:val="000000"/>
          <w:lang w:eastAsia="bg-BG"/>
        </w:rPr>
        <w:t>Първичен хипералдостеронизъм</w:t>
      </w:r>
    </w:p>
    <w:p w14:paraId="24E3E82F" w14:textId="2485971D" w:rsidR="0091385D" w:rsidRDefault="0091385D" w:rsidP="0091385D"/>
    <w:p w14:paraId="01A2E594" w14:textId="7777777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Комбинацията рамиприл + хидрохлоротиазид не е избор за лечение при първичен хипералдостеронизъм. Ако рамиприл + хидрохлоротиазид се използва при пациенти с първичен хипералдостеронизъм се изисква внимателно проследяване на плазмените нива на калия.</w:t>
      </w:r>
    </w:p>
    <w:p w14:paraId="6A556ECA" w14:textId="77777777" w:rsidR="00E75482" w:rsidRPr="00E75482" w:rsidRDefault="00E75482" w:rsidP="00E75482">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 xml:space="preserve">Пациенти в старческа възраст </w:t>
      </w:r>
    </w:p>
    <w:p w14:paraId="5054B6E6" w14:textId="5CF97DA1" w:rsidR="00E75482" w:rsidRPr="00E75482" w:rsidRDefault="00E75482" w:rsidP="00E75482">
      <w:pPr>
        <w:spacing w:line="240" w:lineRule="auto"/>
        <w:rPr>
          <w:rFonts w:eastAsia="Times New Roman" w:cs="Arial"/>
          <w:i/>
          <w:iCs/>
          <w:color w:val="000000"/>
          <w:lang w:eastAsia="bg-BG"/>
        </w:rPr>
      </w:pPr>
      <w:r w:rsidRPr="00E75482">
        <w:rPr>
          <w:rFonts w:eastAsia="Times New Roman" w:cs="Arial"/>
          <w:color w:val="000000"/>
          <w:lang w:eastAsia="bg-BG"/>
        </w:rPr>
        <w:t>Вижте точка 4.2.</w:t>
      </w:r>
    </w:p>
    <w:p w14:paraId="07F12ACD" w14:textId="40C7E97A" w:rsidR="00E75482" w:rsidRPr="00E75482" w:rsidRDefault="00E75482" w:rsidP="00E75482">
      <w:pPr>
        <w:pStyle w:val="ListParagraph"/>
        <w:numPr>
          <w:ilvl w:val="0"/>
          <w:numId w:val="37"/>
        </w:numPr>
        <w:spacing w:line="240" w:lineRule="auto"/>
        <w:rPr>
          <w:rFonts w:eastAsia="Times New Roman" w:cs="Arial"/>
          <w:i/>
          <w:iCs/>
          <w:color w:val="000000"/>
          <w:lang w:eastAsia="bg-BG"/>
        </w:rPr>
      </w:pPr>
      <w:r w:rsidRPr="00E75482">
        <w:rPr>
          <w:rFonts w:eastAsia="Times New Roman" w:cs="Arial"/>
          <w:i/>
          <w:iCs/>
          <w:color w:val="000000"/>
          <w:lang w:eastAsia="bg-BG"/>
        </w:rPr>
        <w:t>Пациенти с чернодробно заболяване</w:t>
      </w:r>
    </w:p>
    <w:p w14:paraId="4A03A1F6" w14:textId="7777777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w:t>
      </w:r>
    </w:p>
    <w:p w14:paraId="66F69887" w14:textId="77777777" w:rsidR="00E75482" w:rsidRPr="00E75482" w:rsidRDefault="00E75482" w:rsidP="00E75482">
      <w:pPr>
        <w:spacing w:line="240" w:lineRule="auto"/>
        <w:rPr>
          <w:rFonts w:eastAsia="Times New Roman" w:cs="Arial"/>
          <w:i/>
          <w:iCs/>
          <w:color w:val="000000"/>
          <w:u w:val="single"/>
          <w:lang w:eastAsia="bg-BG"/>
        </w:rPr>
      </w:pPr>
    </w:p>
    <w:p w14:paraId="086929A5" w14:textId="08E8D316"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Хирургични интервенции</w:t>
      </w:r>
    </w:p>
    <w:p w14:paraId="32C2E96E" w14:textId="77777777" w:rsidR="00E75482" w:rsidRPr="00E75482" w:rsidRDefault="00E75482" w:rsidP="00E75482">
      <w:pPr>
        <w:spacing w:line="240" w:lineRule="auto"/>
        <w:rPr>
          <w:rFonts w:eastAsia="Times New Roman" w:cs="Arial"/>
          <w:color w:val="000000"/>
          <w:lang w:eastAsia="bg-BG"/>
        </w:rPr>
      </w:pPr>
    </w:p>
    <w:p w14:paraId="456F5929" w14:textId="1D467353"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66D00408" w14:textId="77777777" w:rsidR="00E75482" w:rsidRPr="00E75482" w:rsidRDefault="00E75482" w:rsidP="00E75482">
      <w:pPr>
        <w:spacing w:line="240" w:lineRule="auto"/>
        <w:rPr>
          <w:rFonts w:eastAsia="Times New Roman" w:cs="Arial"/>
          <w:i/>
          <w:iCs/>
          <w:color w:val="000000"/>
          <w:u w:val="single"/>
          <w:lang w:eastAsia="bg-BG"/>
        </w:rPr>
      </w:pPr>
    </w:p>
    <w:p w14:paraId="5BBC58E7" w14:textId="7A81F63A"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Проследяване на бъбречната функция</w:t>
      </w:r>
    </w:p>
    <w:p w14:paraId="50720D1B" w14:textId="77777777" w:rsidR="00E75482" w:rsidRPr="00E75482" w:rsidRDefault="00E75482" w:rsidP="00E75482">
      <w:pPr>
        <w:spacing w:line="240" w:lineRule="auto"/>
        <w:rPr>
          <w:rFonts w:eastAsia="Times New Roman" w:cs="Arial"/>
          <w:color w:val="000000"/>
          <w:lang w:eastAsia="bg-BG"/>
        </w:rPr>
      </w:pPr>
    </w:p>
    <w:p w14:paraId="63AB7C0B" w14:textId="55379593"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 xml:space="preserve">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w:t>
      </w:r>
      <w:r w:rsidRPr="00E75482">
        <w:rPr>
          <w:rFonts w:eastAsia="Times New Roman" w:cs="Arial"/>
          <w:color w:val="000000"/>
          <w:lang w:eastAsia="bg-BG"/>
        </w:rPr>
        <w:lastRenderedPageBreak/>
        <w:t>сърдечна недостатъчност или след бъбречна трансплантация или с реноваскуларно заболяване, включително пациенти с хемодинамично значима унилатерална стеноза на бъбречната артерия.</w:t>
      </w:r>
    </w:p>
    <w:p w14:paraId="03240FB4" w14:textId="77777777" w:rsidR="00E75482" w:rsidRPr="00E75482" w:rsidRDefault="00E75482" w:rsidP="00E75482">
      <w:pPr>
        <w:spacing w:line="240" w:lineRule="auto"/>
        <w:rPr>
          <w:rFonts w:eastAsia="Times New Roman" w:cs="Arial"/>
          <w:i/>
          <w:iCs/>
          <w:color w:val="000000"/>
          <w:u w:val="single"/>
          <w:lang w:eastAsia="bg-BG"/>
        </w:rPr>
      </w:pPr>
    </w:p>
    <w:p w14:paraId="44C2A1F0" w14:textId="426DA371"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Бъбречни увреждания</w:t>
      </w:r>
    </w:p>
    <w:p w14:paraId="242911D3" w14:textId="77777777" w:rsidR="00E75482" w:rsidRPr="00E75482" w:rsidRDefault="00E75482" w:rsidP="00E75482">
      <w:pPr>
        <w:spacing w:line="240" w:lineRule="auto"/>
        <w:rPr>
          <w:rFonts w:eastAsia="Times New Roman" w:cs="Arial"/>
          <w:color w:val="000000"/>
          <w:lang w:eastAsia="bg-BG"/>
        </w:rPr>
      </w:pPr>
    </w:p>
    <w:p w14:paraId="79CB5C42" w14:textId="197B2437"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При пациенти с бъбречно заболяване, тиазидите могат да предизвикат уремия. Кумулативни ефекти на активните вещества могат да се проявят при пациенти с нарушена бъбречна функция. Ако настъпи прогресия на бъбречното увреждане, установено чрез повишен небелтъчен азот е необходима внимателна преоценка на терапията с оглед на преустановяване на диуретичната терапия (вж. точки 4.2 и 4.3).</w:t>
      </w:r>
    </w:p>
    <w:p w14:paraId="7530EEFE" w14:textId="77777777" w:rsidR="00E75482" w:rsidRPr="00E75482" w:rsidRDefault="00E75482" w:rsidP="00E75482">
      <w:pPr>
        <w:spacing w:line="240" w:lineRule="auto"/>
        <w:rPr>
          <w:rFonts w:eastAsia="Times New Roman" w:cs="Arial"/>
          <w:i/>
          <w:iCs/>
          <w:color w:val="000000"/>
          <w:u w:val="single"/>
          <w:lang w:eastAsia="bg-BG"/>
        </w:rPr>
      </w:pPr>
    </w:p>
    <w:p w14:paraId="099F5BA6" w14:textId="569D8CD7" w:rsidR="00E75482" w:rsidRPr="00E75482" w:rsidRDefault="00E75482" w:rsidP="00E75482">
      <w:pPr>
        <w:spacing w:line="240" w:lineRule="auto"/>
        <w:rPr>
          <w:rFonts w:eastAsia="Times New Roman" w:cs="Arial"/>
          <w:sz w:val="24"/>
          <w:szCs w:val="24"/>
          <w:lang w:eastAsia="bg-BG"/>
        </w:rPr>
      </w:pPr>
      <w:r w:rsidRPr="00E75482">
        <w:rPr>
          <w:rFonts w:eastAsia="Times New Roman" w:cs="Arial"/>
          <w:i/>
          <w:iCs/>
          <w:color w:val="000000"/>
          <w:u w:val="single"/>
          <w:lang w:eastAsia="bg-BG"/>
        </w:rPr>
        <w:t>Електролитен дисбаланс</w:t>
      </w:r>
    </w:p>
    <w:p w14:paraId="4252D45A" w14:textId="77777777" w:rsidR="00E75482" w:rsidRPr="00E75482" w:rsidRDefault="00E75482" w:rsidP="00E75482">
      <w:pPr>
        <w:spacing w:line="240" w:lineRule="auto"/>
        <w:rPr>
          <w:rFonts w:eastAsia="Times New Roman" w:cs="Arial"/>
          <w:color w:val="000000"/>
          <w:lang w:eastAsia="bg-BG"/>
        </w:rPr>
      </w:pPr>
    </w:p>
    <w:p w14:paraId="418B9299" w14:textId="714D6CC6" w:rsidR="00E75482" w:rsidRPr="00E75482" w:rsidRDefault="00E75482" w:rsidP="00E75482">
      <w:pPr>
        <w:spacing w:line="240" w:lineRule="auto"/>
        <w:rPr>
          <w:rFonts w:eastAsia="Times New Roman" w:cs="Arial"/>
          <w:sz w:val="24"/>
          <w:szCs w:val="24"/>
          <w:lang w:eastAsia="bg-BG"/>
        </w:rPr>
      </w:pPr>
      <w:r w:rsidRPr="00E75482">
        <w:rPr>
          <w:rFonts w:eastAsia="Times New Roman" w:cs="Arial"/>
          <w:color w:val="000000"/>
          <w:lang w:eastAsia="bg-BG"/>
        </w:rPr>
        <w:t xml:space="preserve">Необходимо е да се извършва периодично изследване на серумните електролити през подходящи интервали, както при всеки пациент, приемащ диуретична терапия. Тиазидите, включително хидрохлоротиазид, могат да причинят дисбаланс на телесните течности или електролитен дисбаланс (хипокалиемия, хипонатриемия и хипохлоремична алкалоза). Въпреки че хипокалиемия може да се развие при употребата на тиазидни диуретици, съпътстващата терапия с рамиприл може да намали диуретик-индуцираната хипокалиемия. Рискът от хипокалиемия е най-голям при пациенти с чернодробна цироза, при пациенти с форсирана диуреза, при пациенти, приемащи неподходящи електролити и при пациенти, приемащи съпътстваща терапия с кортикостероиди или АКТХ (вж. точка 4.5). Първото определяне на плазмените нива на калия трябва да се извърши през първата седмица след започване на лечението. Препоръчва се коригиране, ако се установи ниско ниво на калия. Може да настъпи дилутационна хипонатриемия. В началото пониженото ниво на натрия може да бъде асимптомно и поради това е важно редовното му изследване. Изследването трябва да е по-често при пациенти в старческа възраст и циротични пациенти. Тиазидите водят до повишена екскреция на магнезий в урината, което може да доведе до хипомагнезиемия. </w:t>
      </w:r>
    </w:p>
    <w:p w14:paraId="4111964E" w14:textId="77777777" w:rsidR="00E75482" w:rsidRPr="00E75482" w:rsidRDefault="00E75482" w:rsidP="00E75482">
      <w:pPr>
        <w:rPr>
          <w:rFonts w:eastAsia="Times New Roman" w:cs="Arial"/>
          <w:i/>
          <w:iCs/>
          <w:color w:val="000000"/>
          <w:u w:val="single"/>
          <w:lang w:eastAsia="bg-BG"/>
        </w:rPr>
      </w:pPr>
    </w:p>
    <w:p w14:paraId="3402ED75" w14:textId="7EA9543D" w:rsidR="00E75482" w:rsidRPr="00E75482" w:rsidRDefault="00E75482" w:rsidP="00E75482">
      <w:pPr>
        <w:rPr>
          <w:rFonts w:cs="Arial"/>
        </w:rPr>
      </w:pPr>
      <w:r w:rsidRPr="00E75482">
        <w:rPr>
          <w:rFonts w:eastAsia="Times New Roman" w:cs="Arial"/>
          <w:i/>
          <w:iCs/>
          <w:color w:val="000000"/>
          <w:u w:val="single"/>
          <w:lang w:eastAsia="bg-BG"/>
        </w:rPr>
        <w:t>Проследяване на електролитите: Хиперкалиемия</w:t>
      </w:r>
    </w:p>
    <w:p w14:paraId="4D893A12" w14:textId="033F65E1" w:rsidR="00E75482" w:rsidRDefault="00E75482" w:rsidP="0091385D"/>
    <w:p w14:paraId="4EE2B7B9"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При някои пациенти, лекувани с АСЕ инхибитори, включително с Тритейс Плюс, се наблюдава хиперкалиемия. Риск от хиперкалиемия има при пациенти с бъбречна недостатъчност, на възраст &gt;70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 Ако едновременната употреба на посочените средства се счита за подходяща, препоръчва се редовно проследяване на серумния калий (вж. точка 4.5).</w:t>
      </w:r>
    </w:p>
    <w:p w14:paraId="1A72F1EB" w14:textId="77777777" w:rsidR="00E75482" w:rsidRPr="00E75482" w:rsidRDefault="00E75482" w:rsidP="00E75482">
      <w:pPr>
        <w:spacing w:line="240" w:lineRule="auto"/>
        <w:rPr>
          <w:rFonts w:eastAsia="Times New Roman" w:cs="Arial"/>
          <w:i/>
          <w:iCs/>
          <w:color w:val="000000"/>
          <w:u w:val="single"/>
          <w:lang w:eastAsia="bg-BG"/>
        </w:rPr>
      </w:pPr>
    </w:p>
    <w:p w14:paraId="6AAF1649" w14:textId="56E14077"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Проследяване на електролитите:Хипонатриемия</w:t>
      </w:r>
    </w:p>
    <w:p w14:paraId="6293B059" w14:textId="77777777" w:rsidR="00E75482" w:rsidRPr="00E75482" w:rsidRDefault="00E75482" w:rsidP="00E75482">
      <w:pPr>
        <w:spacing w:line="240" w:lineRule="auto"/>
        <w:rPr>
          <w:rFonts w:eastAsia="Times New Roman" w:cs="Arial"/>
          <w:color w:val="000000"/>
          <w:lang w:eastAsia="bg-BG"/>
        </w:rPr>
      </w:pPr>
    </w:p>
    <w:p w14:paraId="59F6E5CE" w14:textId="35F3BC83"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E75482">
        <w:rPr>
          <w:rFonts w:eastAsia="Times New Roman" w:cs="Arial"/>
          <w:color w:val="000000"/>
          <w:lang w:val="en-US"/>
        </w:rPr>
        <w:t xml:space="preserve">(SIADH) </w:t>
      </w:r>
      <w:r w:rsidRPr="00E75482">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383720D7" w14:textId="77777777" w:rsidR="00E75482" w:rsidRPr="00E75482" w:rsidRDefault="00E75482" w:rsidP="00E75482">
      <w:pPr>
        <w:spacing w:line="240" w:lineRule="auto"/>
        <w:rPr>
          <w:rFonts w:eastAsia="Times New Roman" w:cs="Arial"/>
          <w:i/>
          <w:iCs/>
          <w:color w:val="000000"/>
          <w:u w:val="single"/>
          <w:lang w:eastAsia="bg-BG"/>
        </w:rPr>
      </w:pPr>
    </w:p>
    <w:p w14:paraId="6FDAF044" w14:textId="26B63C61"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Чернодробна енцефалопатия</w:t>
      </w:r>
    </w:p>
    <w:p w14:paraId="1C313475" w14:textId="77777777" w:rsidR="00E75482" w:rsidRPr="00E75482" w:rsidRDefault="00E75482" w:rsidP="00E75482">
      <w:pPr>
        <w:spacing w:line="240" w:lineRule="auto"/>
        <w:rPr>
          <w:rFonts w:eastAsia="Times New Roman" w:cs="Arial"/>
          <w:color w:val="000000"/>
          <w:lang w:eastAsia="bg-BG"/>
        </w:rPr>
      </w:pPr>
    </w:p>
    <w:p w14:paraId="3D405824" w14:textId="0CF488CF"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lastRenderedPageBreak/>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 В случай на чернодробна енцефалопатия лечението трябва да се прекрати незабавно.</w:t>
      </w:r>
    </w:p>
    <w:p w14:paraId="46ED8C74" w14:textId="77777777" w:rsidR="00E75482" w:rsidRPr="00E75482" w:rsidRDefault="00E75482" w:rsidP="00E75482">
      <w:pPr>
        <w:spacing w:line="240" w:lineRule="auto"/>
        <w:rPr>
          <w:rFonts w:eastAsia="Times New Roman" w:cs="Arial"/>
          <w:i/>
          <w:iCs/>
          <w:color w:val="000000"/>
          <w:u w:val="single"/>
          <w:lang w:eastAsia="bg-BG"/>
        </w:rPr>
      </w:pPr>
    </w:p>
    <w:p w14:paraId="175AB261" w14:textId="77777777"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Хиперкалцием ия</w:t>
      </w:r>
    </w:p>
    <w:p w14:paraId="1CF8B997" w14:textId="77777777" w:rsidR="00E75482" w:rsidRPr="00E75482" w:rsidRDefault="00E75482" w:rsidP="00E75482">
      <w:pPr>
        <w:spacing w:line="240" w:lineRule="auto"/>
        <w:rPr>
          <w:rFonts w:eastAsia="Times New Roman" w:cs="Arial"/>
          <w:lang w:eastAsia="bg-BG"/>
        </w:rPr>
      </w:pPr>
    </w:p>
    <w:p w14:paraId="63DB4590" w14:textId="0D7A0404"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стимулира бъбречната реабсорбция на калция и може да причини хиперкалциемия. Това може да попречи при изследване на паратиреоидната функция.</w:t>
      </w:r>
    </w:p>
    <w:p w14:paraId="7C3C05C1" w14:textId="77777777" w:rsidR="00E75482" w:rsidRPr="00E75482" w:rsidRDefault="00E75482" w:rsidP="00E75482">
      <w:pPr>
        <w:spacing w:line="240" w:lineRule="auto"/>
        <w:rPr>
          <w:rFonts w:eastAsia="Times New Roman" w:cs="Arial"/>
          <w:i/>
          <w:iCs/>
          <w:color w:val="000000"/>
          <w:u w:val="single"/>
          <w:lang w:eastAsia="bg-BG"/>
        </w:rPr>
      </w:pPr>
    </w:p>
    <w:p w14:paraId="6E088C30" w14:textId="3F460509"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Ангиоедем</w:t>
      </w:r>
    </w:p>
    <w:p w14:paraId="3068CB25" w14:textId="77777777" w:rsidR="00E75482" w:rsidRPr="00E75482" w:rsidRDefault="00E75482" w:rsidP="00E75482">
      <w:pPr>
        <w:spacing w:line="240" w:lineRule="auto"/>
        <w:rPr>
          <w:rFonts w:eastAsia="Times New Roman" w:cs="Arial"/>
          <w:color w:val="000000"/>
          <w:lang w:eastAsia="bg-BG"/>
        </w:rPr>
      </w:pPr>
    </w:p>
    <w:p w14:paraId="58F6F656" w14:textId="6166662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 xml:space="preserve">Ангиоедем е съобщаван при пациенти, лекувани с АСЕ инхибитори, включително рамиприл (вж. точка 4.8). Този риск за ангиоедем (напр, подуване на дихателните пътища или езика, с или без дихателни нарушения) може да бъде увеличен при пациенти, приемащи едновременно лекарства, които могат да предизвикат ангиоедем като </w:t>
      </w:r>
      <w:proofErr w:type="spellStart"/>
      <w:r w:rsidRPr="00E75482">
        <w:rPr>
          <w:rFonts w:eastAsia="Times New Roman" w:cs="Arial"/>
          <w:color w:val="000000"/>
          <w:lang w:val="en-US"/>
        </w:rPr>
        <w:t>mTOR</w:t>
      </w:r>
      <w:proofErr w:type="spellEnd"/>
      <w:r w:rsidRPr="00E75482">
        <w:rPr>
          <w:rFonts w:eastAsia="Times New Roman" w:cs="Arial"/>
          <w:color w:val="000000"/>
          <w:lang w:val="en-US"/>
        </w:rPr>
        <w:t xml:space="preserve"> </w:t>
      </w:r>
      <w:r w:rsidRPr="00E75482">
        <w:rPr>
          <w:rFonts w:eastAsia="Times New Roman" w:cs="Arial"/>
          <w:color w:val="000000"/>
          <w:lang w:eastAsia="bg-BG"/>
        </w:rPr>
        <w:t xml:space="preserve">(таргетни на рапамицин, при бозайници) инхибитори (напр. темсиролимус, еверолимус, сиролимус), вилдаглиптин или инхибитори на неприлизин </w:t>
      </w:r>
      <w:r w:rsidRPr="00E75482">
        <w:rPr>
          <w:rFonts w:eastAsia="Times New Roman" w:cs="Arial"/>
          <w:color w:val="000000"/>
          <w:lang w:val="en-US"/>
        </w:rPr>
        <w:t xml:space="preserve">(NEP) </w:t>
      </w:r>
      <w:r w:rsidRPr="00E75482">
        <w:rPr>
          <w:rFonts w:eastAsia="Times New Roman" w:cs="Arial"/>
          <w:color w:val="000000"/>
          <w:lang w:eastAsia="bg-BG"/>
        </w:rPr>
        <w:t>(такива като рацекадотрил). Комбинацията рамиприл и сакубитрил/валсартан е противопоказана, поради повишения риск за ангиоедем (вж. точки 4.3 и 4.5).</w:t>
      </w:r>
    </w:p>
    <w:p w14:paraId="7F027218" w14:textId="77777777" w:rsidR="00E75482" w:rsidRPr="00E75482" w:rsidRDefault="00E75482" w:rsidP="00E75482">
      <w:pPr>
        <w:spacing w:line="240" w:lineRule="auto"/>
        <w:rPr>
          <w:rFonts w:eastAsia="Times New Roman" w:cs="Arial"/>
          <w:color w:val="000000"/>
          <w:lang w:eastAsia="bg-BG"/>
        </w:rPr>
      </w:pPr>
    </w:p>
    <w:p w14:paraId="15552679" w14:textId="7D173969"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В случай на ангиоедем приемът на Тритейс Плюс трябва да се прекрати.</w:t>
      </w:r>
    </w:p>
    <w:p w14:paraId="7EB1B2A4"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7998439A" w14:textId="77777777" w:rsidR="00E75482" w:rsidRPr="00E75482" w:rsidRDefault="00E75482" w:rsidP="00E75482">
      <w:pPr>
        <w:spacing w:line="240" w:lineRule="auto"/>
        <w:rPr>
          <w:rFonts w:eastAsia="Times New Roman" w:cs="Arial"/>
          <w:color w:val="000000"/>
          <w:lang w:eastAsia="bg-BG"/>
        </w:rPr>
      </w:pPr>
    </w:p>
    <w:p w14:paraId="021F30BF" w14:textId="1BDFF3CA"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Интестинален ангиоедем е съобщаван при пациенти, лекувани с АСЕ инхибитори, включително Тритейс Плюс (вж. точка 4.8). При тези пациенти се наблюдава абдоминална болка (със или без гадене и повръщане). Симптомите на интестинален ангиоедем преминават след спиране на АСЕ инхибитора.</w:t>
      </w:r>
    </w:p>
    <w:p w14:paraId="400B3FC7" w14:textId="77777777" w:rsidR="00E75482" w:rsidRPr="00E75482" w:rsidRDefault="00E75482" w:rsidP="00E75482">
      <w:pPr>
        <w:spacing w:line="240" w:lineRule="auto"/>
        <w:rPr>
          <w:rFonts w:eastAsia="Times New Roman" w:cs="Arial"/>
          <w:i/>
          <w:iCs/>
          <w:color w:val="000000"/>
          <w:u w:val="single"/>
          <w:lang w:eastAsia="bg-BG"/>
        </w:rPr>
      </w:pPr>
    </w:p>
    <w:p w14:paraId="019DC9E9" w14:textId="2572CC1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Анафилактични реакции по време на десенсибилизиране</w:t>
      </w:r>
    </w:p>
    <w:p w14:paraId="67B0EEAB" w14:textId="77777777" w:rsidR="00E75482" w:rsidRPr="00E75482" w:rsidRDefault="00E75482" w:rsidP="00E75482">
      <w:pPr>
        <w:spacing w:line="240" w:lineRule="auto"/>
        <w:rPr>
          <w:rFonts w:eastAsia="Times New Roman" w:cs="Arial"/>
          <w:color w:val="000000"/>
          <w:lang w:eastAsia="bg-BG"/>
        </w:rPr>
      </w:pPr>
    </w:p>
    <w:p w14:paraId="454DAE1D" w14:textId="1A2C2D0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Вероятността от поява и тежестта на анафилактични и анафилактоидни реакции към отровата</w:t>
      </w:r>
      <w:r w:rsidR="00272B3D">
        <w:rPr>
          <w:rFonts w:eastAsia="Times New Roman" w:cs="Arial"/>
          <w:lang w:val="en-US" w:eastAsia="bg-BG"/>
        </w:rPr>
        <w:t xml:space="preserve"> </w:t>
      </w:r>
      <w:r w:rsidRPr="00E75482">
        <w:rPr>
          <w:rFonts w:eastAsia="Times New Roman" w:cs="Arial"/>
          <w:color w:val="000000"/>
          <w:lang w:eastAsia="bg-BG"/>
        </w:rPr>
        <w:t>на насекоми и други алергени са повишени при АСЕ инхибиране. Трябва да се има предвид временно прекъсване на Тритейс Плюс преди десенсибилизация.</w:t>
      </w:r>
    </w:p>
    <w:p w14:paraId="4A215DC5" w14:textId="77777777" w:rsidR="00E75482" w:rsidRPr="00E75482" w:rsidRDefault="00E75482" w:rsidP="00E75482">
      <w:pPr>
        <w:spacing w:line="240" w:lineRule="auto"/>
        <w:rPr>
          <w:rFonts w:eastAsia="Times New Roman" w:cs="Arial"/>
          <w:i/>
          <w:iCs/>
          <w:color w:val="000000"/>
          <w:u w:val="single"/>
          <w:lang w:eastAsia="bg-BG"/>
        </w:rPr>
      </w:pPr>
    </w:p>
    <w:p w14:paraId="501D63C4" w14:textId="09C0F27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Остра респираторна токсичност</w:t>
      </w:r>
      <w:bookmarkStart w:id="1" w:name="bookmark0"/>
      <w:bookmarkEnd w:id="1"/>
    </w:p>
    <w:p w14:paraId="12893477" w14:textId="77777777" w:rsidR="00E75482" w:rsidRPr="00E75482" w:rsidRDefault="00E75482" w:rsidP="00E75482">
      <w:pPr>
        <w:spacing w:line="240" w:lineRule="auto"/>
        <w:rPr>
          <w:rFonts w:eastAsia="Times New Roman" w:cs="Arial"/>
          <w:lang w:eastAsia="bg-BG"/>
        </w:rPr>
      </w:pPr>
    </w:p>
    <w:p w14:paraId="4FB72ECA" w14:textId="77777777" w:rsidR="00E75482" w:rsidRPr="00E75482" w:rsidRDefault="00E75482" w:rsidP="00E75482">
      <w:pPr>
        <w:rPr>
          <w:rFonts w:eastAsia="Times New Roman" w:cs="Arial"/>
          <w:lang w:eastAsia="bg-BG"/>
        </w:rPr>
      </w:pPr>
      <w:r w:rsidRPr="00E75482">
        <w:rPr>
          <w:rFonts w:eastAsia="Times New Roman" w:cs="Arial"/>
          <w:color w:val="000000"/>
          <w:lang w:eastAsia="bg-BG"/>
        </w:rPr>
        <w:t>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Тритейс Плюс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79561969" w14:textId="77777777" w:rsidR="00E75482" w:rsidRPr="00E75482" w:rsidRDefault="00E75482" w:rsidP="00E75482">
      <w:pPr>
        <w:spacing w:line="240" w:lineRule="auto"/>
        <w:rPr>
          <w:rFonts w:eastAsia="Times New Roman" w:cs="Arial"/>
          <w:i/>
          <w:iCs/>
          <w:color w:val="000000"/>
          <w:u w:val="single"/>
          <w:lang w:eastAsia="bg-BG"/>
        </w:rPr>
      </w:pPr>
    </w:p>
    <w:p w14:paraId="418AD1A0" w14:textId="356EDE62"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Неутропения/агранулоцитоза</w:t>
      </w:r>
    </w:p>
    <w:p w14:paraId="30F79DBE" w14:textId="77777777" w:rsidR="00E75482" w:rsidRPr="00E75482" w:rsidRDefault="00E75482" w:rsidP="00E75482">
      <w:pPr>
        <w:spacing w:line="240" w:lineRule="auto"/>
        <w:rPr>
          <w:rFonts w:eastAsia="Times New Roman" w:cs="Arial"/>
          <w:color w:val="000000"/>
          <w:lang w:eastAsia="bg-BG"/>
        </w:rPr>
      </w:pPr>
    </w:p>
    <w:p w14:paraId="0598C397" w14:textId="7719B9BE"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lastRenderedPageBreak/>
        <w:t>Рядко са наблюдавани неутропения/агранулоцитоза, съобщавана е също и костно-мозъчна супресия.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при такива със съпътстваща колагеноза (напр. лупус еритематодес или склеродермия), и при лекувани с други лекарствени продукти, които могат да причинят промени в кръвната картина (вж. точка 4.5 и 4.8).</w:t>
      </w:r>
    </w:p>
    <w:p w14:paraId="03963B55" w14:textId="77777777" w:rsidR="00E75482" w:rsidRPr="00E75482" w:rsidRDefault="00E75482" w:rsidP="00E75482">
      <w:pPr>
        <w:spacing w:line="240" w:lineRule="auto"/>
        <w:rPr>
          <w:rFonts w:eastAsia="Times New Roman" w:cs="Arial"/>
          <w:i/>
          <w:iCs/>
          <w:color w:val="000000"/>
          <w:u w:val="single"/>
          <w:lang w:eastAsia="bg-BG"/>
        </w:rPr>
      </w:pPr>
    </w:p>
    <w:p w14:paraId="509430E0" w14:textId="0A3A8F4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Хориоидален излив, остра миопия и закритоъгълна глаукома</w:t>
      </w:r>
    </w:p>
    <w:p w14:paraId="7534EB7A" w14:textId="77777777" w:rsidR="00E75482" w:rsidRPr="00E75482" w:rsidRDefault="00E75482" w:rsidP="00E75482">
      <w:pPr>
        <w:spacing w:line="240" w:lineRule="auto"/>
        <w:rPr>
          <w:rFonts w:eastAsia="Times New Roman" w:cs="Arial"/>
          <w:color w:val="000000"/>
          <w:lang w:eastAsia="bg-BG"/>
        </w:rPr>
      </w:pPr>
    </w:p>
    <w:p w14:paraId="6023E3FB" w14:textId="047E1D41"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сулфонамид, може да причини идиосинкратична реакция, водеща до хориоидален излив с дефект на зрителното поле, остра преходна миопия и остра закритоъгълна глаукома. Симптомите включват остро начало на намалена зрителна острота или очна болка и обикновено настъпват в рамките на часове до седмици от началото на лечението. Нелекуваната остра закритоъгълна глаукома може да доведе до постоянна загуба на зрението. Основното лечение е спиране на хидрохлоротиазида колкото е възможно по-бързо. Навременно лекарствено или хирургично лечение може да се обмисли, ако вътреочното налягане остане неконтролирано. Рисковите фактори за развитие на остра закритоъгълна глаукома може да включват анамнеза за алергия към сулфонамиди или пеницилин.</w:t>
      </w:r>
    </w:p>
    <w:p w14:paraId="2AC93835" w14:textId="77777777" w:rsidR="00E75482" w:rsidRPr="00E75482" w:rsidRDefault="00E75482" w:rsidP="00E75482">
      <w:pPr>
        <w:spacing w:line="240" w:lineRule="auto"/>
        <w:rPr>
          <w:rFonts w:eastAsia="Times New Roman" w:cs="Arial"/>
          <w:i/>
          <w:iCs/>
          <w:color w:val="000000"/>
          <w:u w:val="single"/>
          <w:lang w:eastAsia="bg-BG"/>
        </w:rPr>
      </w:pPr>
    </w:p>
    <w:p w14:paraId="5BEDEF85" w14:textId="596FA2E6"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Етнически различия</w:t>
      </w:r>
    </w:p>
    <w:p w14:paraId="052AE3BE" w14:textId="77777777" w:rsidR="00E75482" w:rsidRPr="00E75482" w:rsidRDefault="00E75482" w:rsidP="00E75482">
      <w:pPr>
        <w:spacing w:line="240" w:lineRule="auto"/>
        <w:rPr>
          <w:rFonts w:eastAsia="Times New Roman" w:cs="Arial"/>
          <w:color w:val="000000"/>
          <w:lang w:eastAsia="bg-BG"/>
        </w:rPr>
      </w:pPr>
    </w:p>
    <w:p w14:paraId="520AAB44" w14:textId="7ED324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7087E3E3"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7E1B77E2" w14:textId="77777777" w:rsidR="00E75482" w:rsidRPr="00E75482" w:rsidRDefault="00E75482" w:rsidP="00E75482">
      <w:pPr>
        <w:spacing w:line="240" w:lineRule="auto"/>
        <w:rPr>
          <w:rFonts w:eastAsia="Times New Roman" w:cs="Arial"/>
          <w:lang w:eastAsia="bg-BG"/>
        </w:rPr>
      </w:pPr>
    </w:p>
    <w:p w14:paraId="3CAFD5C6" w14:textId="283E6E55"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Спортисти</w:t>
      </w:r>
    </w:p>
    <w:p w14:paraId="1BD3DC6D" w14:textId="29BBF872" w:rsidR="00E75482" w:rsidRPr="00E75482" w:rsidRDefault="00E75482" w:rsidP="00E75482">
      <w:pPr>
        <w:spacing w:line="240" w:lineRule="auto"/>
        <w:rPr>
          <w:rFonts w:eastAsia="Times New Roman" w:cs="Arial"/>
          <w:color w:val="000000"/>
          <w:lang w:eastAsia="bg-BG"/>
        </w:rPr>
      </w:pPr>
    </w:p>
    <w:p w14:paraId="40A8DEFA" w14:textId="449D7E39"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Хидрохлоротиазид може да даде положителен аналитичен резултат при антидопинг тестовете.</w:t>
      </w:r>
    </w:p>
    <w:p w14:paraId="5CE126E1" w14:textId="77777777" w:rsidR="00E75482" w:rsidRPr="00E75482" w:rsidRDefault="00E75482" w:rsidP="00E75482">
      <w:pPr>
        <w:spacing w:line="240" w:lineRule="auto"/>
        <w:rPr>
          <w:rFonts w:eastAsia="Times New Roman" w:cs="Arial"/>
          <w:i/>
          <w:iCs/>
          <w:color w:val="000000"/>
          <w:u w:val="single"/>
          <w:lang w:eastAsia="bg-BG"/>
        </w:rPr>
      </w:pPr>
    </w:p>
    <w:p w14:paraId="297EF2B1" w14:textId="6156E020"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Метаболитни и ендокринни ефекти</w:t>
      </w:r>
    </w:p>
    <w:p w14:paraId="195B5EF7" w14:textId="77777777" w:rsidR="00E75482" w:rsidRPr="00E75482" w:rsidRDefault="00E75482" w:rsidP="00E75482">
      <w:pPr>
        <w:spacing w:line="240" w:lineRule="auto"/>
        <w:rPr>
          <w:rFonts w:eastAsia="Times New Roman" w:cs="Arial"/>
          <w:color w:val="000000"/>
          <w:lang w:eastAsia="bg-BG"/>
        </w:rPr>
      </w:pPr>
    </w:p>
    <w:p w14:paraId="063129ED" w14:textId="0B8F73D5"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Тиазидната терапия може да наруши глюкозния толеранс. При пациенти с диабет може да се наложи коригиране на дозата на инсулина или пероралните антидиабетни средства. Латентен захарен диабет може да се прояви по време на тиазидната терапия.</w:t>
      </w:r>
    </w:p>
    <w:p w14:paraId="2722105D" w14:textId="77777777"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Повишени нива на холестерола и триглицеридите се свързват с тиазидна диуретична терапия. Може да настъпи хиперурикемия или де се ускори възникването на подагра при някои пациенти, приемащи тиазидна терапия.</w:t>
      </w:r>
    </w:p>
    <w:p w14:paraId="2012C800" w14:textId="77777777" w:rsidR="00E75482" w:rsidRPr="00E75482" w:rsidRDefault="00E75482" w:rsidP="00E75482">
      <w:pPr>
        <w:spacing w:line="240" w:lineRule="auto"/>
        <w:rPr>
          <w:rFonts w:eastAsia="Times New Roman" w:cs="Arial"/>
          <w:i/>
          <w:iCs/>
          <w:color w:val="000000"/>
          <w:u w:val="single"/>
          <w:lang w:eastAsia="bg-BG"/>
        </w:rPr>
      </w:pPr>
    </w:p>
    <w:p w14:paraId="60DA7A27" w14:textId="5387E96C" w:rsidR="00E75482" w:rsidRPr="00E75482" w:rsidRDefault="00E75482" w:rsidP="00E75482">
      <w:pPr>
        <w:spacing w:line="240" w:lineRule="auto"/>
        <w:rPr>
          <w:rFonts w:eastAsia="Times New Roman" w:cs="Arial"/>
          <w:lang w:eastAsia="bg-BG"/>
        </w:rPr>
      </w:pPr>
      <w:r w:rsidRPr="00E75482">
        <w:rPr>
          <w:rFonts w:eastAsia="Times New Roman" w:cs="Arial"/>
          <w:i/>
          <w:iCs/>
          <w:color w:val="000000"/>
          <w:u w:val="single"/>
          <w:lang w:eastAsia="bg-BG"/>
        </w:rPr>
        <w:t>Кашлица</w:t>
      </w:r>
    </w:p>
    <w:p w14:paraId="4AB9C358" w14:textId="77777777" w:rsidR="00E75482" w:rsidRPr="00E75482" w:rsidRDefault="00E75482" w:rsidP="00E75482">
      <w:pPr>
        <w:spacing w:line="240" w:lineRule="auto"/>
        <w:rPr>
          <w:rFonts w:eastAsia="Times New Roman" w:cs="Arial"/>
          <w:color w:val="000000"/>
          <w:lang w:eastAsia="bg-BG"/>
        </w:rPr>
      </w:pPr>
    </w:p>
    <w:p w14:paraId="388D171D" w14:textId="3823A690" w:rsidR="00E75482" w:rsidRPr="00E75482" w:rsidRDefault="00E75482" w:rsidP="00E75482">
      <w:pPr>
        <w:spacing w:line="240" w:lineRule="auto"/>
        <w:rPr>
          <w:rFonts w:eastAsia="Times New Roman" w:cs="Arial"/>
          <w:lang w:eastAsia="bg-BG"/>
        </w:rPr>
      </w:pPr>
      <w:r w:rsidRPr="00E75482">
        <w:rPr>
          <w:rFonts w:eastAsia="Times New Roman" w:cs="Arial"/>
          <w:color w:val="000000"/>
          <w:lang w:eastAsia="bg-BG"/>
        </w:rPr>
        <w:t>При употребата на АСЕ инхибитори е съобщавана кашлица. Характерно е, че тя</w:t>
      </w:r>
    </w:p>
    <w:p w14:paraId="44EE805B" w14:textId="77777777" w:rsidR="00DA5E7F" w:rsidRPr="00CE0671" w:rsidRDefault="00E75482" w:rsidP="00DA5E7F">
      <w:pPr>
        <w:rPr>
          <w:rFonts w:eastAsia="Times New Roman" w:cs="Arial"/>
          <w:sz w:val="24"/>
          <w:szCs w:val="24"/>
          <w:lang w:eastAsia="bg-BG"/>
        </w:rPr>
      </w:pPr>
      <w:r w:rsidRPr="00CE0671">
        <w:rPr>
          <w:rFonts w:eastAsia="Times New Roman" w:cs="Arial"/>
          <w:color w:val="000000"/>
          <w:lang w:eastAsia="bg-BG"/>
        </w:rPr>
        <w:t xml:space="preserve">непродуктивна, продължителна и отзвучава след прекратяване на терапията. Индуцираната от </w:t>
      </w:r>
      <w:r w:rsidR="00DA5E7F" w:rsidRPr="00CE0671">
        <w:rPr>
          <w:rFonts w:eastAsia="Times New Roman" w:cs="Arial"/>
          <w:color w:val="000000"/>
          <w:lang w:eastAsia="bg-BG"/>
        </w:rPr>
        <w:t>АСЕ инхибитор кашлица, трябва да се разглежда като част от диференциалната диагноза на кашлица.</w:t>
      </w:r>
    </w:p>
    <w:p w14:paraId="32EA75C2" w14:textId="77777777" w:rsidR="00DA5E7F" w:rsidRDefault="00DA5E7F" w:rsidP="00DA5E7F">
      <w:pPr>
        <w:spacing w:line="240" w:lineRule="auto"/>
        <w:rPr>
          <w:rFonts w:ascii="Times New Roman" w:eastAsia="Times New Roman" w:hAnsi="Times New Roman" w:cs="Times New Roman"/>
          <w:i/>
          <w:iCs/>
          <w:color w:val="000000"/>
          <w:u w:val="single"/>
          <w:lang w:eastAsia="bg-BG"/>
        </w:rPr>
      </w:pPr>
    </w:p>
    <w:p w14:paraId="0CBF0093" w14:textId="6B5B9184"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lastRenderedPageBreak/>
        <w:t>Други</w:t>
      </w:r>
    </w:p>
    <w:p w14:paraId="0B774048" w14:textId="77777777" w:rsidR="00DA5E7F" w:rsidRPr="00CE0671" w:rsidRDefault="00DA5E7F" w:rsidP="00DA5E7F">
      <w:pPr>
        <w:spacing w:line="240" w:lineRule="auto"/>
        <w:rPr>
          <w:rFonts w:eastAsia="Times New Roman" w:cs="Arial"/>
          <w:color w:val="000000"/>
          <w:lang w:eastAsia="bg-BG"/>
        </w:rPr>
      </w:pPr>
    </w:p>
    <w:p w14:paraId="1685AEE4" w14:textId="67B4503E"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Реакции на сенсибилизация могат да се проявят при пациенти със или без анамнеза за алергия или бронхиална астма. Съобщава се за възможност от обостряне или активиране на системен еритематозен лупус.</w:t>
      </w:r>
    </w:p>
    <w:p w14:paraId="75AC3AE0" w14:textId="77777777" w:rsidR="00DA5E7F" w:rsidRPr="00CE0671" w:rsidRDefault="00DA5E7F" w:rsidP="00DA5E7F">
      <w:pPr>
        <w:spacing w:line="240" w:lineRule="auto"/>
        <w:rPr>
          <w:rFonts w:eastAsia="Times New Roman" w:cs="Arial"/>
          <w:i/>
          <w:iCs/>
          <w:color w:val="000000"/>
          <w:u w:val="single"/>
          <w:lang w:eastAsia="bg-BG"/>
        </w:rPr>
      </w:pPr>
    </w:p>
    <w:p w14:paraId="2193301B" w14:textId="37774559"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t>Двойно блокиране наренин-ангиотензин-алдостероновата система (РААС)</w:t>
      </w:r>
    </w:p>
    <w:p w14:paraId="2302A4C1" w14:textId="77777777" w:rsidR="00DA5E7F" w:rsidRPr="00CE0671" w:rsidRDefault="00DA5E7F" w:rsidP="00DA5E7F">
      <w:pPr>
        <w:spacing w:line="240" w:lineRule="auto"/>
        <w:rPr>
          <w:rFonts w:eastAsia="Times New Roman" w:cs="Arial"/>
          <w:color w:val="000000"/>
          <w:lang w:eastAsia="bg-BG"/>
        </w:rPr>
      </w:pPr>
    </w:p>
    <w:p w14:paraId="26A93608" w14:textId="36DEF8FC"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448A898D"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1CBCC5A"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5DFC65EC" w14:textId="77777777" w:rsidR="00DA5E7F" w:rsidRPr="00CE0671" w:rsidRDefault="00DA5E7F" w:rsidP="00DA5E7F">
      <w:pPr>
        <w:spacing w:line="240" w:lineRule="auto"/>
        <w:rPr>
          <w:rFonts w:eastAsia="Times New Roman" w:cs="Arial"/>
          <w:i/>
          <w:iCs/>
          <w:color w:val="000000"/>
          <w:u w:val="single"/>
          <w:lang w:eastAsia="bg-BG"/>
        </w:rPr>
      </w:pPr>
    </w:p>
    <w:p w14:paraId="526B6246" w14:textId="5660E34A" w:rsidR="00DA5E7F" w:rsidRPr="00DA5E7F" w:rsidRDefault="00DA5E7F" w:rsidP="00DA5E7F">
      <w:pPr>
        <w:spacing w:line="240" w:lineRule="auto"/>
        <w:rPr>
          <w:rFonts w:eastAsia="Times New Roman" w:cs="Arial"/>
          <w:lang w:eastAsia="bg-BG"/>
        </w:rPr>
      </w:pPr>
      <w:r w:rsidRPr="00DA5E7F">
        <w:rPr>
          <w:rFonts w:eastAsia="Times New Roman" w:cs="Arial"/>
          <w:i/>
          <w:iCs/>
          <w:color w:val="000000"/>
          <w:u w:val="single"/>
          <w:lang w:eastAsia="bg-BG"/>
        </w:rPr>
        <w:t>Немеланомен рак на кожата</w:t>
      </w:r>
    </w:p>
    <w:p w14:paraId="7CA5FF80"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0747DD2C" w14:textId="7777777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38341782" w14:textId="77777777" w:rsidR="00DA5E7F" w:rsidRPr="00CE0671" w:rsidRDefault="00DA5E7F" w:rsidP="00DA5E7F">
      <w:pPr>
        <w:spacing w:line="240" w:lineRule="auto"/>
        <w:rPr>
          <w:rFonts w:eastAsia="Times New Roman" w:cs="Arial"/>
          <w:color w:val="000000"/>
          <w:u w:val="single"/>
          <w:lang w:eastAsia="bg-BG"/>
        </w:rPr>
      </w:pPr>
    </w:p>
    <w:p w14:paraId="6AFC8446" w14:textId="78E9B0E4" w:rsidR="00DA5E7F" w:rsidRPr="00DA5E7F" w:rsidRDefault="00DA5E7F" w:rsidP="00DA5E7F">
      <w:pPr>
        <w:spacing w:line="240" w:lineRule="auto"/>
        <w:rPr>
          <w:rFonts w:eastAsia="Times New Roman" w:cs="Arial"/>
          <w:lang w:eastAsia="bg-BG"/>
        </w:rPr>
      </w:pPr>
      <w:r w:rsidRPr="00DA5E7F">
        <w:rPr>
          <w:rFonts w:eastAsia="Times New Roman" w:cs="Arial"/>
          <w:color w:val="000000"/>
          <w:u w:val="single"/>
          <w:lang w:eastAsia="bg-BG"/>
        </w:rPr>
        <w:t xml:space="preserve">Съдържание </w:t>
      </w:r>
      <w:r w:rsidRPr="00DA5E7F">
        <w:rPr>
          <w:rFonts w:eastAsia="Times New Roman" w:cs="Arial"/>
          <w:i/>
          <w:iCs/>
          <w:color w:val="000000"/>
          <w:u w:val="single"/>
          <w:lang w:eastAsia="bg-BG"/>
        </w:rPr>
        <w:t>на натрий</w:t>
      </w:r>
    </w:p>
    <w:p w14:paraId="02BD3D4C" w14:textId="77777777" w:rsidR="00DA5E7F" w:rsidRPr="00CE0671" w:rsidRDefault="00DA5E7F" w:rsidP="00DA5E7F">
      <w:pPr>
        <w:rPr>
          <w:rFonts w:eastAsia="Times New Roman" w:cs="Arial"/>
          <w:color w:val="000000"/>
          <w:lang w:eastAsia="bg-BG"/>
        </w:rPr>
      </w:pPr>
    </w:p>
    <w:p w14:paraId="3234237C" w14:textId="4176B9A8" w:rsidR="00E75482" w:rsidRPr="00CE0671" w:rsidRDefault="00DA5E7F" w:rsidP="00DA5E7F">
      <w:pPr>
        <w:rPr>
          <w:rFonts w:cs="Arial"/>
        </w:rPr>
      </w:pPr>
      <w:r w:rsidRPr="00CE0671">
        <w:rPr>
          <w:rFonts w:eastAsia="Times New Roman" w:cs="Arial"/>
          <w:color w:val="000000"/>
          <w:lang w:eastAsia="bg-BG"/>
        </w:rPr>
        <w:t xml:space="preserve">Този лекарствен продукт съдържа по-малко от 1 </w:t>
      </w:r>
      <w:proofErr w:type="spellStart"/>
      <w:r w:rsidRPr="00CE0671">
        <w:rPr>
          <w:rFonts w:eastAsia="Times New Roman" w:cs="Arial"/>
          <w:color w:val="000000"/>
          <w:lang w:val="en-US"/>
        </w:rPr>
        <w:t>mmol</w:t>
      </w:r>
      <w:proofErr w:type="spellEnd"/>
      <w:r w:rsidRPr="00CE0671">
        <w:rPr>
          <w:rFonts w:eastAsia="Times New Roman" w:cs="Arial"/>
          <w:color w:val="000000"/>
          <w:lang w:val="en-US"/>
        </w:rPr>
        <w:t xml:space="preserve"> </w:t>
      </w:r>
      <w:r w:rsidRPr="00CE0671">
        <w:rPr>
          <w:rFonts w:eastAsia="Times New Roman" w:cs="Arial"/>
          <w:color w:val="000000"/>
          <w:lang w:eastAsia="bg-BG"/>
        </w:rPr>
        <w:t xml:space="preserve">натрий (23 </w:t>
      </w:r>
      <w:r w:rsidRPr="00CE0671">
        <w:rPr>
          <w:rFonts w:eastAsia="Times New Roman" w:cs="Arial"/>
          <w:color w:val="000000"/>
          <w:lang w:val="en-US"/>
        </w:rPr>
        <w:t xml:space="preserve">mg) </w:t>
      </w:r>
      <w:r w:rsidRPr="00CE0671">
        <w:rPr>
          <w:rFonts w:eastAsia="Times New Roman" w:cs="Arial"/>
          <w:color w:val="000000"/>
          <w:lang w:eastAsia="bg-BG"/>
        </w:rPr>
        <w:t>на таблетка, т.е. може да се приеме, че не съдържа натрий.</w:t>
      </w:r>
    </w:p>
    <w:p w14:paraId="25ECA9EB" w14:textId="77777777" w:rsidR="00E75482" w:rsidRPr="0091385D" w:rsidRDefault="00E75482"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C5E1144" w14:textId="5DE8A827" w:rsidR="00DA5E7F" w:rsidRPr="00DA5E7F" w:rsidRDefault="00DA5E7F" w:rsidP="00DA5E7F">
      <w:pPr>
        <w:spacing w:line="240" w:lineRule="auto"/>
        <w:rPr>
          <w:rFonts w:eastAsia="Times New Roman" w:cs="Arial"/>
          <w:lang w:eastAsia="bg-BG"/>
        </w:rPr>
      </w:pPr>
      <w:r w:rsidRPr="00DA5E7F">
        <w:rPr>
          <w:rFonts w:eastAsia="Times New Roman" w:cs="Arial"/>
          <w:color w:val="000000"/>
          <w:lang w:eastAsia="bg-BG"/>
        </w:rPr>
        <w:t>Данни от клинични проучвания показват, че двойното блокиране на ренин -ангиотензин - алдостероновата система (РААС) чрез комбинираната употреба на АСЕ инхибитори,</w:t>
      </w:r>
      <w:r w:rsidRPr="00DA5E7F">
        <w:rPr>
          <w:rFonts w:eastAsia="Times New Roman" w:cs="Arial"/>
          <w:color w:val="000000"/>
          <w:u w:val="single"/>
          <w:lang w:eastAsia="bg-BG"/>
        </w:rPr>
        <w:t xml:space="preserve"> </w:t>
      </w:r>
      <w:r w:rsidRPr="00CE0671">
        <w:rPr>
          <w:rFonts w:eastAsia="Times New Roman" w:cs="Arial"/>
          <w:color w:val="000000"/>
          <w:lang w:eastAsia="bg-BG"/>
        </w:rPr>
        <w:t xml:space="preserve">ангиотензин </w:t>
      </w:r>
      <w:r w:rsidRPr="00CE0671">
        <w:rPr>
          <w:rFonts w:cs="Arial"/>
          <w:color w:val="333333"/>
          <w:shd w:val="clear" w:color="auto" w:fill="FFFFFF"/>
        </w:rPr>
        <w:t>II</w:t>
      </w:r>
      <w:r w:rsidRPr="00DA5E7F">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w:t>
      </w:r>
      <w:r w:rsidR="00CE0671">
        <w:rPr>
          <w:rFonts w:eastAsia="Times New Roman" w:cs="Arial"/>
          <w:lang w:eastAsia="bg-BG"/>
        </w:rPr>
        <w:t xml:space="preserve"> </w:t>
      </w:r>
      <w:r w:rsidRPr="00DA5E7F">
        <w:rPr>
          <w:rFonts w:eastAsia="Times New Roman" w:cs="Arial"/>
          <w:color w:val="000000"/>
          <w:lang w:eastAsia="bg-BG"/>
        </w:rPr>
        <w:t>средство, действащо върху РААС (вж. точки 4.3, 4.4 и 5.1</w:t>
      </w:r>
    </w:p>
    <w:p w14:paraId="6FC95117" w14:textId="77777777" w:rsidR="00DA5E7F" w:rsidRPr="00DA5E7F" w:rsidRDefault="00DA5E7F" w:rsidP="00DA5E7F">
      <w:pPr>
        <w:spacing w:line="240" w:lineRule="auto"/>
        <w:rPr>
          <w:rFonts w:eastAsia="Times New Roman" w:cs="Arial"/>
          <w:lang w:eastAsia="bg-BG"/>
        </w:rPr>
      </w:pPr>
    </w:p>
    <w:p w14:paraId="172AE819" w14:textId="40C595AC" w:rsidR="0091385D" w:rsidRPr="00CE0671" w:rsidRDefault="00DA5E7F" w:rsidP="00DA5E7F">
      <w:pPr>
        <w:rPr>
          <w:rFonts w:eastAsia="Times New Roman" w:cs="Arial"/>
          <w:i/>
          <w:iCs/>
          <w:color w:val="000000"/>
          <w:u w:val="single"/>
          <w:lang w:eastAsia="bg-BG"/>
        </w:rPr>
      </w:pPr>
      <w:r w:rsidRPr="00CE0671">
        <w:rPr>
          <w:rFonts w:eastAsia="Times New Roman" w:cs="Arial"/>
          <w:i/>
          <w:iCs/>
          <w:color w:val="000000"/>
          <w:u w:val="single"/>
          <w:lang w:eastAsia="bg-BG"/>
        </w:rPr>
        <w:lastRenderedPageBreak/>
        <w:t>Противопоказани комбинации</w:t>
      </w:r>
    </w:p>
    <w:p w14:paraId="770BBEC6" w14:textId="18A2A339" w:rsidR="00CE0671" w:rsidRPr="00CE0671" w:rsidRDefault="00CE0671" w:rsidP="00DA5E7F">
      <w:pPr>
        <w:rPr>
          <w:rFonts w:cs="Arial"/>
        </w:rPr>
      </w:pPr>
    </w:p>
    <w:p w14:paraId="646886BD" w14:textId="77777777" w:rsidR="00CE0671" w:rsidRPr="00CE0671" w:rsidRDefault="00CE0671" w:rsidP="00CE0671">
      <w:pPr>
        <w:spacing w:line="240" w:lineRule="auto"/>
        <w:rPr>
          <w:rFonts w:eastAsia="Times New Roman" w:cs="Arial"/>
          <w:lang w:eastAsia="bg-BG"/>
        </w:rPr>
      </w:pPr>
      <w:r w:rsidRPr="00CE0671">
        <w:rPr>
          <w:rFonts w:eastAsia="Times New Roman" w:cs="Arial"/>
          <w:color w:val="000000"/>
          <w:lang w:eastAsia="bg-BG"/>
        </w:rPr>
        <w:t>Едновременната употреба на АСЕ инхибитор и сакубитрил/валсартан е противопоказана поради повишен риск за ангиоедем (вж. точки 4.3 и 4.4). Лечението с рамиприл не трябва да бъде започвано преди да са изминали 36 часа от приемането на последната доза от сакубитрил/валсартан. Сакубитрил /валсартан не трябва да бъде започван преди да са изминали 36 часа от приема на последната доза Тритейс Плюс.</w:t>
      </w:r>
    </w:p>
    <w:p w14:paraId="58D0AAAE" w14:textId="77777777" w:rsidR="00CE0671" w:rsidRPr="00CE0671" w:rsidRDefault="00CE0671" w:rsidP="00CE0671">
      <w:pPr>
        <w:spacing w:line="240" w:lineRule="auto"/>
        <w:rPr>
          <w:rFonts w:eastAsia="Times New Roman" w:cs="Arial"/>
          <w:color w:val="000000"/>
          <w:lang w:eastAsia="bg-BG"/>
        </w:rPr>
      </w:pPr>
    </w:p>
    <w:p w14:paraId="1905E4C4" w14:textId="629A6990" w:rsidR="00CE0671" w:rsidRPr="00CE0671" w:rsidRDefault="00CE0671" w:rsidP="00CE0671">
      <w:pPr>
        <w:spacing w:line="240" w:lineRule="auto"/>
        <w:rPr>
          <w:rFonts w:eastAsia="Times New Roman" w:cs="Arial"/>
          <w:lang w:eastAsia="bg-BG"/>
        </w:rPr>
      </w:pPr>
      <w:r w:rsidRPr="00CE0671">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анафилакгоидна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73496AFD" w14:textId="77777777" w:rsidR="00CE0671" w:rsidRPr="00CE0671" w:rsidRDefault="00CE0671" w:rsidP="00CE0671">
      <w:pPr>
        <w:spacing w:line="240" w:lineRule="auto"/>
        <w:rPr>
          <w:rFonts w:eastAsia="Times New Roman" w:cs="Arial"/>
          <w:i/>
          <w:iCs/>
          <w:color w:val="000000"/>
          <w:u w:val="single"/>
          <w:lang w:eastAsia="bg-BG"/>
        </w:rPr>
      </w:pPr>
    </w:p>
    <w:p w14:paraId="12260075" w14:textId="40D62B56" w:rsidR="00CE0671" w:rsidRPr="00CE0671" w:rsidRDefault="00CE0671" w:rsidP="00CE0671">
      <w:pPr>
        <w:spacing w:line="240" w:lineRule="auto"/>
        <w:rPr>
          <w:rFonts w:eastAsia="Times New Roman" w:cs="Arial"/>
          <w:lang w:eastAsia="bg-BG"/>
        </w:rPr>
      </w:pPr>
      <w:r w:rsidRPr="00CE0671">
        <w:rPr>
          <w:rFonts w:eastAsia="Times New Roman" w:cs="Arial"/>
          <w:i/>
          <w:iCs/>
          <w:color w:val="000000"/>
          <w:u w:val="single"/>
          <w:lang w:eastAsia="bg-BG"/>
        </w:rPr>
        <w:t>Предпазни мерки при употреба</w:t>
      </w:r>
    </w:p>
    <w:p w14:paraId="111A8111" w14:textId="77777777" w:rsidR="00CE0671" w:rsidRPr="00CE0671" w:rsidRDefault="00CE0671" w:rsidP="00CE0671">
      <w:pPr>
        <w:spacing w:line="240" w:lineRule="auto"/>
        <w:rPr>
          <w:rFonts w:eastAsia="Times New Roman" w:cs="Arial"/>
          <w:i/>
          <w:iCs/>
          <w:color w:val="000000"/>
          <w:lang w:eastAsia="bg-BG"/>
        </w:rPr>
      </w:pPr>
    </w:p>
    <w:p w14:paraId="56EC4665" w14:textId="1D7E4B46"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фиксирана дозова комбинация със сулфаметоксазол, такролимус, циклоспорин):</w:t>
      </w:r>
      <w:r w:rsidRPr="00CE0671">
        <w:rPr>
          <w:rFonts w:eastAsia="Times New Roman" w:cs="Arial"/>
          <w:color w:val="000000"/>
          <w:lang w:eastAsia="bg-BG"/>
        </w:rPr>
        <w:t xml:space="preserve"> възможно е да се прояви хиперкалиемия, поради което се изисква стрикно проследяване на серумния калий.</w:t>
      </w:r>
    </w:p>
    <w:p w14:paraId="0E8B9FCE" w14:textId="77777777" w:rsidR="00CE0671" w:rsidRPr="00CE0671" w:rsidRDefault="00CE0671" w:rsidP="00CE0671">
      <w:pPr>
        <w:spacing w:line="240" w:lineRule="auto"/>
        <w:rPr>
          <w:rFonts w:eastAsia="Times New Roman" w:cs="Arial"/>
          <w:i/>
          <w:iCs/>
          <w:color w:val="000000"/>
          <w:lang w:eastAsia="bg-BG"/>
        </w:rPr>
      </w:pPr>
    </w:p>
    <w:p w14:paraId="41556BE1" w14:textId="49564B1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(напр.нитрати, трициклични антидепресанти, анестетици, прекомерен прием на алкохол, баклофен, алфузозин, доксазозин, празозин, тамсулозин, теразозин):</w:t>
      </w:r>
      <w:r w:rsidRPr="00CE0671">
        <w:rPr>
          <w:rFonts w:eastAsia="Times New Roman" w:cs="Arial"/>
          <w:color w:val="000000"/>
          <w:lang w:eastAsia="bg-BG"/>
        </w:rPr>
        <w:t xml:space="preserve"> може да се очаква увеличаване на риска от хипотония (вж. точка 4.2 за диуретици)</w:t>
      </w:r>
    </w:p>
    <w:p w14:paraId="3B3708B8" w14:textId="77777777" w:rsidR="00CE0671" w:rsidRPr="00CE0671" w:rsidRDefault="00CE0671" w:rsidP="00CE0671">
      <w:pPr>
        <w:spacing w:line="240" w:lineRule="auto"/>
        <w:rPr>
          <w:rFonts w:eastAsia="Times New Roman" w:cs="Arial"/>
          <w:i/>
          <w:iCs/>
          <w:color w:val="000000"/>
          <w:lang w:eastAsia="bg-BG"/>
        </w:rPr>
      </w:pPr>
    </w:p>
    <w:p w14:paraId="051872C1" w14:textId="772756BA"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Вазопресорни симпатикомиметици и други вещества (епинефрин), които могат да намалят антихипертензивния ефект на рамиприл:</w:t>
      </w:r>
      <w:r w:rsidRPr="00CE0671">
        <w:rPr>
          <w:rFonts w:eastAsia="Times New Roman" w:cs="Arial"/>
          <w:color w:val="000000"/>
          <w:lang w:eastAsia="bg-BG"/>
        </w:rPr>
        <w:t xml:space="preserve"> препоръчва се стриктно проследяване на кръвното налягане. Освен това, ефектът на вазопресорните симпатикомиметици може да бъде отслабен от хидрохлоротиазид.</w:t>
      </w:r>
    </w:p>
    <w:p w14:paraId="136079A4" w14:textId="77777777" w:rsidR="00CE0671" w:rsidRPr="00CE0671" w:rsidRDefault="00CE0671" w:rsidP="00CE0671">
      <w:pPr>
        <w:spacing w:line="240" w:lineRule="auto"/>
        <w:rPr>
          <w:rFonts w:eastAsia="Times New Roman" w:cs="Arial"/>
          <w:i/>
          <w:iCs/>
          <w:color w:val="000000"/>
          <w:lang w:eastAsia="bg-BG"/>
        </w:rPr>
      </w:pPr>
    </w:p>
    <w:p w14:paraId="15F70BB1" w14:textId="4E75AC51"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CE0671">
        <w:rPr>
          <w:rFonts w:eastAsia="Times New Roman" w:cs="Arial"/>
          <w:color w:val="000000"/>
          <w:lang w:eastAsia="bg-BG"/>
        </w:rPr>
        <w:t xml:space="preserve"> повишена вероятност от поява на хематологични реакции (вж. точка 4.4).</w:t>
      </w:r>
    </w:p>
    <w:p w14:paraId="5DB2C329" w14:textId="77777777" w:rsidR="00CE0671" w:rsidRPr="00CE0671" w:rsidRDefault="00CE0671" w:rsidP="00CE0671">
      <w:pPr>
        <w:spacing w:line="240" w:lineRule="auto"/>
        <w:rPr>
          <w:rFonts w:eastAsia="Times New Roman" w:cs="Arial"/>
          <w:i/>
          <w:iCs/>
          <w:color w:val="000000"/>
          <w:lang w:eastAsia="bg-BG"/>
        </w:rPr>
      </w:pPr>
    </w:p>
    <w:p w14:paraId="418833E8" w14:textId="5830A83B"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Литиеви соли:</w:t>
      </w:r>
      <w:r w:rsidRPr="00CE0671">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 Едновременната употреба на тиазидни диуретици може да повиши риска от литиева токсичност и да усили вече повишения от АСЕ инхибитора риск от литиева токсичност. Поради това комбинацията от рамиприл и хидрохлоротиазид с литий не се препоръчва.</w:t>
      </w:r>
    </w:p>
    <w:p w14:paraId="4F794C67" w14:textId="77777777" w:rsidR="00CE0671" w:rsidRPr="00CE0671" w:rsidRDefault="00CE0671" w:rsidP="00CE0671">
      <w:pPr>
        <w:spacing w:line="240" w:lineRule="auto"/>
        <w:rPr>
          <w:rFonts w:eastAsia="Times New Roman" w:cs="Arial"/>
          <w:i/>
          <w:iCs/>
          <w:color w:val="000000"/>
          <w:lang w:eastAsia="bg-BG"/>
        </w:rPr>
      </w:pPr>
    </w:p>
    <w:p w14:paraId="213C2460" w14:textId="2DF5F30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Антидиабетни средства, включително инсулин:</w:t>
      </w:r>
      <w:r w:rsidRPr="00CE0671">
        <w:rPr>
          <w:rFonts w:eastAsia="Times New Roman" w:cs="Arial"/>
          <w:color w:val="000000"/>
          <w:lang w:eastAsia="bg-BG"/>
        </w:rPr>
        <w:t xml:space="preserve"> могат да възникнат хипогликемични реакции. Хидрохлоротиазидът може да отслаби ефекта на ангидиабетните лекарства. Поради това се препоръчва особено стриктно проследяване на нивата на кръвната захар през началния период на едновременното прилагане.</w:t>
      </w:r>
    </w:p>
    <w:p w14:paraId="4E77C78E" w14:textId="77777777" w:rsidR="00CE0671" w:rsidRPr="00CE0671" w:rsidRDefault="00CE0671" w:rsidP="00CE0671">
      <w:pPr>
        <w:spacing w:line="240" w:lineRule="auto"/>
        <w:rPr>
          <w:rFonts w:eastAsia="Times New Roman" w:cs="Arial"/>
          <w:i/>
          <w:iCs/>
          <w:color w:val="000000"/>
          <w:lang w:eastAsia="bg-BG"/>
        </w:rPr>
      </w:pPr>
    </w:p>
    <w:p w14:paraId="1B4C293B" w14:textId="7B74E4BB"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lastRenderedPageBreak/>
        <w:t>Нестероидни противовъзпалителни средства и ацетилсалицилова киселина:</w:t>
      </w:r>
      <w:r w:rsidRPr="00CE0671">
        <w:rPr>
          <w:rFonts w:eastAsia="Times New Roman" w:cs="Arial"/>
          <w:color w:val="000000"/>
          <w:lang w:eastAsia="bg-BG"/>
        </w:rPr>
        <w:t xml:space="preserve"> може да се очаква намаляване на антихипертензивния ефект на Тритейс Плюс.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08E3F458" w14:textId="77777777" w:rsidR="00CE0671" w:rsidRPr="00CE0671" w:rsidRDefault="00CE0671" w:rsidP="00CE0671">
      <w:pPr>
        <w:spacing w:line="240" w:lineRule="auto"/>
        <w:rPr>
          <w:rFonts w:eastAsia="Times New Roman" w:cs="Arial"/>
          <w:i/>
          <w:iCs/>
          <w:color w:val="000000"/>
          <w:lang w:eastAsia="bg-BG"/>
        </w:rPr>
      </w:pPr>
    </w:p>
    <w:p w14:paraId="53D6724E" w14:textId="642F628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Перорални антикоагуланти:</w:t>
      </w:r>
      <w:r w:rsidRPr="00CE0671">
        <w:rPr>
          <w:rFonts w:eastAsia="Times New Roman" w:cs="Arial"/>
          <w:color w:val="000000"/>
          <w:lang w:eastAsia="bg-BG"/>
        </w:rPr>
        <w:t xml:space="preserve"> антикоагулантният ефект може да бъде намален поради</w:t>
      </w:r>
    </w:p>
    <w:p w14:paraId="325C8DC3" w14:textId="64EC0B2D" w:rsidR="00CE0671" w:rsidRPr="00CE0671" w:rsidRDefault="00CE0671" w:rsidP="00CE0671">
      <w:pPr>
        <w:rPr>
          <w:rFonts w:cs="Arial"/>
        </w:rPr>
      </w:pPr>
      <w:r w:rsidRPr="00CE0671">
        <w:rPr>
          <w:rFonts w:eastAsia="Times New Roman" w:cs="Arial"/>
          <w:color w:val="000000"/>
          <w:lang w:eastAsia="bg-BG"/>
        </w:rPr>
        <w:t>едновременната употреба на хидрохлоротиазид.</w:t>
      </w:r>
    </w:p>
    <w:p w14:paraId="5B2761C5" w14:textId="2C218DE4" w:rsidR="0091385D" w:rsidRPr="00CE0671" w:rsidRDefault="0091385D" w:rsidP="0091385D">
      <w:pPr>
        <w:rPr>
          <w:rFonts w:cs="Arial"/>
        </w:rPr>
      </w:pPr>
    </w:p>
    <w:p w14:paraId="2C5F646A"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Кортикостероиди, АКТХ, амфотерицин В, карбеноксолон, големи количества сладък корен, лаксативи (в</w:t>
      </w:r>
      <w:r w:rsidRPr="00CE0671">
        <w:rPr>
          <w:rFonts w:eastAsia="Times New Roman" w:cs="Arial"/>
          <w:color w:val="000000"/>
          <w:lang w:eastAsia="bg-BG"/>
        </w:rPr>
        <w:t xml:space="preserve"> случай на продължителна употреба), и други средства, които увеличават уринната екскреция на </w:t>
      </w:r>
      <w:r w:rsidRPr="00CE0671">
        <w:rPr>
          <w:rFonts w:eastAsia="Times New Roman" w:cs="Arial"/>
          <w:i/>
          <w:iCs/>
          <w:color w:val="000000"/>
          <w:lang w:eastAsia="bg-BG"/>
        </w:rPr>
        <w:t>калий или намаляват плазмения калий:</w:t>
      </w:r>
      <w:r w:rsidRPr="00CE0671">
        <w:rPr>
          <w:rFonts w:eastAsia="Times New Roman" w:cs="Arial"/>
          <w:color w:val="000000"/>
          <w:lang w:eastAsia="bg-BG"/>
        </w:rPr>
        <w:t xml:space="preserve"> повишен риск от хипокалиемия.</w:t>
      </w:r>
    </w:p>
    <w:p w14:paraId="0DD5E618" w14:textId="77777777" w:rsidR="00CE0671" w:rsidRPr="00CE0671" w:rsidRDefault="00CE0671" w:rsidP="00CE0671">
      <w:pPr>
        <w:spacing w:line="240" w:lineRule="auto"/>
        <w:rPr>
          <w:rFonts w:eastAsia="Times New Roman" w:cs="Arial"/>
          <w:i/>
          <w:iCs/>
          <w:color w:val="000000"/>
          <w:lang w:eastAsia="bg-BG"/>
        </w:rPr>
      </w:pPr>
    </w:p>
    <w:p w14:paraId="629BFDC3" w14:textId="6DDE8D0C"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 xml:space="preserve">Дигиталисови препарати, активни вещества, за които е известно, че удължат </w:t>
      </w:r>
      <w:r w:rsidRPr="00CE0671">
        <w:rPr>
          <w:rFonts w:eastAsia="Times New Roman" w:cs="Arial"/>
          <w:i/>
          <w:iCs/>
          <w:color w:val="000000"/>
          <w:lang w:val="en-US"/>
        </w:rPr>
        <w:t xml:space="preserve">QT- </w:t>
      </w:r>
      <w:r w:rsidRPr="00CE0671">
        <w:rPr>
          <w:rFonts w:eastAsia="Times New Roman" w:cs="Arial"/>
          <w:i/>
          <w:iCs/>
          <w:color w:val="000000"/>
          <w:lang w:eastAsia="bg-BG"/>
        </w:rPr>
        <w:t>интервала и антиаритмици:</w:t>
      </w:r>
      <w:r w:rsidRPr="00CE0671">
        <w:rPr>
          <w:rFonts w:eastAsia="Times New Roman" w:cs="Arial"/>
          <w:color w:val="000000"/>
          <w:lang w:eastAsia="bg-BG"/>
        </w:rPr>
        <w:t xml:space="preserve"> тяхната проаритмична токсичност може да се повиши или антиаритмичният им ефект да намалее при наличие на електролитни нарушения (напр. хипокалиемия, хипомагнезиемия).</w:t>
      </w:r>
    </w:p>
    <w:p w14:paraId="16E86E5C" w14:textId="77777777" w:rsidR="00CE0671" w:rsidRPr="00CE0671" w:rsidRDefault="00CE0671" w:rsidP="00CE0671">
      <w:pPr>
        <w:spacing w:line="240" w:lineRule="auto"/>
        <w:rPr>
          <w:rFonts w:eastAsia="Times New Roman" w:cs="Arial"/>
          <w:i/>
          <w:iCs/>
          <w:color w:val="000000"/>
          <w:lang w:eastAsia="bg-BG"/>
        </w:rPr>
      </w:pPr>
    </w:p>
    <w:p w14:paraId="15631814" w14:textId="556821E0"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Метилдопа:</w:t>
      </w:r>
      <w:r w:rsidRPr="00CE0671">
        <w:rPr>
          <w:rFonts w:eastAsia="Times New Roman" w:cs="Arial"/>
          <w:color w:val="000000"/>
          <w:lang w:eastAsia="bg-BG"/>
        </w:rPr>
        <w:t xml:space="preserve"> възможна е хемолиза.</w:t>
      </w:r>
    </w:p>
    <w:p w14:paraId="1DBF77EB" w14:textId="77777777" w:rsidR="00CE0671" w:rsidRPr="00CE0671" w:rsidRDefault="00CE0671" w:rsidP="00CE0671">
      <w:pPr>
        <w:spacing w:line="240" w:lineRule="auto"/>
        <w:rPr>
          <w:rFonts w:eastAsia="Times New Roman" w:cs="Arial"/>
          <w:i/>
          <w:iCs/>
          <w:color w:val="000000"/>
          <w:lang w:eastAsia="bg-BG"/>
        </w:rPr>
      </w:pPr>
    </w:p>
    <w:p w14:paraId="159F82DF" w14:textId="104763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Холестирамин или други перорално прилагани йонообменни вещества:</w:t>
      </w:r>
      <w:r w:rsidRPr="00CE0671">
        <w:rPr>
          <w:rFonts w:eastAsia="Times New Roman" w:cs="Arial"/>
          <w:color w:val="000000"/>
          <w:lang w:eastAsia="bg-BG"/>
        </w:rPr>
        <w:t xml:space="preserve"> намалена абсорбция на хидрохлоротиазид. Сулфонамидните диуретици трябва да бъдат вземани поне един час преди или четири до шест часа след тези лекарства.</w:t>
      </w:r>
    </w:p>
    <w:p w14:paraId="6B64ACD5" w14:textId="77777777" w:rsidR="00CE0671" w:rsidRPr="00CE0671" w:rsidRDefault="00CE0671" w:rsidP="00CE0671">
      <w:pPr>
        <w:spacing w:line="240" w:lineRule="auto"/>
        <w:rPr>
          <w:rFonts w:eastAsia="Times New Roman" w:cs="Arial"/>
          <w:i/>
          <w:iCs/>
          <w:color w:val="000000"/>
          <w:lang w:eastAsia="bg-BG"/>
        </w:rPr>
      </w:pPr>
    </w:p>
    <w:p w14:paraId="236C630E" w14:textId="3F2AE374"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Кураре-подобни миорелаксанти:</w:t>
      </w:r>
      <w:r w:rsidRPr="00CE0671">
        <w:rPr>
          <w:rFonts w:eastAsia="Times New Roman" w:cs="Arial"/>
          <w:color w:val="000000"/>
          <w:lang w:eastAsia="bg-BG"/>
        </w:rPr>
        <w:t xml:space="preserve"> възможен е усилен и удължен миорелаксиращ ефект.</w:t>
      </w:r>
    </w:p>
    <w:p w14:paraId="1020D2DA"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Калциеви соли и повишаващи плазмения калции лекарствени продукти:</w:t>
      </w:r>
      <w:r w:rsidRPr="00CE0671">
        <w:rPr>
          <w:rFonts w:eastAsia="Times New Roman" w:cs="Arial"/>
          <w:color w:val="000000"/>
          <w:lang w:eastAsia="bg-BG"/>
        </w:rPr>
        <w:t xml:space="preserve"> в случай на едновременно прилагане с хидрохлоротиазид може да се очаква повишена серумна концентрация на калция, поради което се изисква стриктно проследяване на серумния калций.</w:t>
      </w:r>
    </w:p>
    <w:p w14:paraId="25B6C27D" w14:textId="77777777" w:rsidR="00CE0671" w:rsidRPr="00CE0671" w:rsidRDefault="00CE0671" w:rsidP="00CE0671">
      <w:pPr>
        <w:spacing w:line="240" w:lineRule="auto"/>
        <w:rPr>
          <w:rFonts w:eastAsia="Times New Roman" w:cs="Arial"/>
          <w:i/>
          <w:iCs/>
          <w:color w:val="000000"/>
          <w:lang w:eastAsia="bg-BG"/>
        </w:rPr>
      </w:pPr>
    </w:p>
    <w:p w14:paraId="68699557" w14:textId="77777777" w:rsidR="00CE0671" w:rsidRPr="00CE0671" w:rsidRDefault="00CE0671" w:rsidP="00CE0671">
      <w:pPr>
        <w:spacing w:line="240" w:lineRule="auto"/>
        <w:rPr>
          <w:rFonts w:eastAsia="Times New Roman" w:cs="Arial"/>
          <w:i/>
          <w:iCs/>
          <w:color w:val="000000"/>
          <w:lang w:eastAsia="bg-BG"/>
        </w:rPr>
      </w:pPr>
    </w:p>
    <w:p w14:paraId="5645A29A" w14:textId="6F4FEDFA"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Карбамазепин:</w:t>
      </w:r>
      <w:r w:rsidRPr="00CE0671">
        <w:rPr>
          <w:rFonts w:eastAsia="Times New Roman" w:cs="Arial"/>
          <w:color w:val="000000"/>
          <w:lang w:eastAsia="bg-BG"/>
        </w:rPr>
        <w:t xml:space="preserve"> риск от хипонатриемия поради адитивния ефект с хидрохлоротиазид.</w:t>
      </w:r>
    </w:p>
    <w:p w14:paraId="3FE760BB" w14:textId="77777777" w:rsidR="00CE0671" w:rsidRPr="00CE0671" w:rsidRDefault="00CE0671" w:rsidP="00CE0671">
      <w:pPr>
        <w:spacing w:line="240" w:lineRule="auto"/>
        <w:rPr>
          <w:rFonts w:eastAsia="Times New Roman" w:cs="Arial"/>
          <w:i/>
          <w:iCs/>
          <w:color w:val="000000"/>
          <w:lang w:eastAsia="bg-BG"/>
        </w:rPr>
      </w:pPr>
    </w:p>
    <w:p w14:paraId="487BCAA2" w14:textId="61E8ED60"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Йод-съдържащо контрастно вещество:</w:t>
      </w:r>
      <w:r w:rsidRPr="00CE0671">
        <w:rPr>
          <w:rFonts w:eastAsia="Times New Roman" w:cs="Arial"/>
          <w:color w:val="000000"/>
          <w:lang w:eastAsia="bg-BG"/>
        </w:rPr>
        <w:t xml:space="preserve"> в случай на дехидратация, предизвикана от диуретици, включително хидрохлоротиазид, има повишен риск от остро бъбречно увреждане, особено при употреба на значими дози йод-съдържащо контрастно вещество.</w:t>
      </w:r>
    </w:p>
    <w:p w14:paraId="4869A933" w14:textId="77777777" w:rsidR="00CE0671" w:rsidRPr="00CE0671" w:rsidRDefault="00CE0671" w:rsidP="00CE0671">
      <w:pPr>
        <w:spacing w:line="240" w:lineRule="auto"/>
        <w:rPr>
          <w:rFonts w:eastAsia="Times New Roman" w:cs="Arial"/>
          <w:i/>
          <w:iCs/>
          <w:color w:val="000000"/>
          <w:lang w:eastAsia="bg-BG"/>
        </w:rPr>
      </w:pPr>
    </w:p>
    <w:p w14:paraId="501976C7" w14:textId="1C6ACDE6"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Пеницилин:</w:t>
      </w:r>
      <w:r w:rsidRPr="00CE0671">
        <w:rPr>
          <w:rFonts w:eastAsia="Times New Roman" w:cs="Arial"/>
          <w:color w:val="000000"/>
          <w:lang w:eastAsia="bg-BG"/>
        </w:rPr>
        <w:t xml:space="preserve"> хидрохлоротиазид се екскретира в дисталните тубули и намалява екскрецията на пеницилина.</w:t>
      </w:r>
    </w:p>
    <w:p w14:paraId="68122D90" w14:textId="77777777" w:rsidR="00CE0671" w:rsidRPr="00CE0671" w:rsidRDefault="00CE0671" w:rsidP="00CE0671">
      <w:pPr>
        <w:spacing w:line="240" w:lineRule="auto"/>
        <w:rPr>
          <w:rFonts w:eastAsia="Times New Roman" w:cs="Arial"/>
          <w:i/>
          <w:iCs/>
          <w:color w:val="000000"/>
          <w:lang w:eastAsia="bg-BG"/>
        </w:rPr>
      </w:pPr>
    </w:p>
    <w:p w14:paraId="7BEE8688" w14:textId="35931ED2"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Хинин:</w:t>
      </w:r>
      <w:r w:rsidRPr="00CE0671">
        <w:rPr>
          <w:rFonts w:eastAsia="Times New Roman" w:cs="Arial"/>
          <w:color w:val="000000"/>
          <w:lang w:eastAsia="bg-BG"/>
        </w:rPr>
        <w:t xml:space="preserve"> хидрохлоротиазид намалява екскрецията на хинин.</w:t>
      </w:r>
    </w:p>
    <w:p w14:paraId="71D2C99C" w14:textId="77777777" w:rsidR="00CE0671" w:rsidRPr="00CE0671" w:rsidRDefault="00CE0671" w:rsidP="00CE0671">
      <w:pPr>
        <w:spacing w:line="240" w:lineRule="auto"/>
        <w:rPr>
          <w:rFonts w:eastAsia="Times New Roman" w:cs="Arial"/>
          <w:i/>
          <w:iCs/>
          <w:color w:val="000000"/>
          <w:lang w:eastAsia="bg-BG"/>
        </w:rPr>
      </w:pPr>
    </w:p>
    <w:p w14:paraId="08AC123C" w14:textId="188CEFA8"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t>Хепарин:</w:t>
      </w:r>
      <w:r w:rsidRPr="00CE0671">
        <w:rPr>
          <w:rFonts w:eastAsia="Times New Roman" w:cs="Arial"/>
          <w:color w:val="000000"/>
          <w:lang w:eastAsia="bg-BG"/>
        </w:rPr>
        <w:t xml:space="preserve"> Възможно е повишаване на серумните нива на калия.</w:t>
      </w:r>
    </w:p>
    <w:p w14:paraId="4DEC7DC4" w14:textId="77777777" w:rsidR="00CE0671" w:rsidRPr="00CE0671" w:rsidRDefault="00CE0671" w:rsidP="00CE0671">
      <w:pPr>
        <w:spacing w:line="240" w:lineRule="auto"/>
        <w:rPr>
          <w:rFonts w:eastAsia="Times New Roman" w:cs="Arial"/>
          <w:i/>
          <w:iCs/>
          <w:color w:val="000000"/>
          <w:lang w:val="en-US"/>
        </w:rPr>
      </w:pPr>
    </w:p>
    <w:p w14:paraId="4C4440F7" w14:textId="3E8D4DBF" w:rsidR="00CE0671" w:rsidRPr="00CE0671" w:rsidRDefault="00CE0671" w:rsidP="00CE0671">
      <w:pPr>
        <w:spacing w:line="240" w:lineRule="auto"/>
        <w:rPr>
          <w:rFonts w:eastAsia="Times New Roman" w:cs="Arial"/>
          <w:lang w:eastAsia="bg-BG"/>
        </w:rPr>
      </w:pPr>
      <w:proofErr w:type="spellStart"/>
      <w:proofErr w:type="gramStart"/>
      <w:r w:rsidRPr="00CE0671">
        <w:rPr>
          <w:rFonts w:eastAsia="Times New Roman" w:cs="Arial"/>
          <w:i/>
          <w:iCs/>
          <w:color w:val="000000"/>
          <w:lang w:val="en-US"/>
        </w:rPr>
        <w:t>mTOR</w:t>
      </w:r>
      <w:proofErr w:type="spellEnd"/>
      <w:proofErr w:type="gramEnd"/>
      <w:r w:rsidRPr="00CE0671">
        <w:rPr>
          <w:rFonts w:eastAsia="Times New Roman" w:cs="Arial"/>
          <w:i/>
          <w:iCs/>
          <w:color w:val="000000"/>
          <w:lang w:val="en-US"/>
        </w:rPr>
        <w:t xml:space="preserve"> </w:t>
      </w:r>
      <w:r w:rsidRPr="00CE0671">
        <w:rPr>
          <w:rFonts w:eastAsia="Times New Roman" w:cs="Arial"/>
          <w:i/>
          <w:iCs/>
          <w:color w:val="000000"/>
          <w:lang w:eastAsia="bg-BG"/>
        </w:rPr>
        <w:t>инхибитори или вилдаглиптин:</w:t>
      </w:r>
      <w:r w:rsidRPr="00CE0671">
        <w:rPr>
          <w:rFonts w:eastAsia="Times New Roman" w:cs="Arial"/>
          <w:color w:val="000000"/>
          <w:lang w:eastAsia="bg-BG"/>
        </w:rPr>
        <w:t xml:space="preserve"> повишен риск от развитие на ангиоедем е възможно при пациенти, приемащи едновременно лекарства, като </w:t>
      </w:r>
      <w:proofErr w:type="spellStart"/>
      <w:r w:rsidRPr="00CE0671">
        <w:rPr>
          <w:rFonts w:eastAsia="Times New Roman" w:cs="Arial"/>
          <w:color w:val="000000"/>
          <w:lang w:val="en-US"/>
        </w:rPr>
        <w:t>mTOR</w:t>
      </w:r>
      <w:proofErr w:type="spellEnd"/>
      <w:r w:rsidRPr="00CE0671">
        <w:rPr>
          <w:rFonts w:eastAsia="Times New Roman" w:cs="Arial"/>
          <w:color w:val="000000"/>
          <w:lang w:val="en-US"/>
        </w:rPr>
        <w:t xml:space="preserve"> </w:t>
      </w:r>
      <w:r w:rsidRPr="00CE0671">
        <w:rPr>
          <w:rFonts w:eastAsia="Times New Roman" w:cs="Arial"/>
          <w:color w:val="000000"/>
          <w:lang w:eastAsia="bg-BG"/>
        </w:rPr>
        <w:t>инхибитори (напр. темсиролимус, еверолимус, сиролимус) или вилдаглиптин. С повишено внимание трябва да се използва, когато се започва лечение (вж точка 4.4).</w:t>
      </w:r>
    </w:p>
    <w:p w14:paraId="4670C193" w14:textId="77777777" w:rsidR="00CE0671" w:rsidRPr="00CE0671" w:rsidRDefault="00CE0671" w:rsidP="00CE0671">
      <w:pPr>
        <w:spacing w:line="240" w:lineRule="auto"/>
        <w:rPr>
          <w:rFonts w:eastAsia="Times New Roman" w:cs="Arial"/>
          <w:i/>
          <w:iCs/>
          <w:color w:val="000000"/>
          <w:lang w:eastAsia="bg-BG"/>
        </w:rPr>
      </w:pPr>
    </w:p>
    <w:p w14:paraId="717D3445" w14:textId="04A198D4" w:rsidR="00CE0671" w:rsidRPr="00CE0671" w:rsidRDefault="00CE0671" w:rsidP="00CE0671">
      <w:pPr>
        <w:spacing w:line="240" w:lineRule="auto"/>
        <w:rPr>
          <w:rFonts w:eastAsia="Times New Roman" w:cs="Arial"/>
          <w:lang w:eastAsia="bg-BG"/>
        </w:rPr>
      </w:pPr>
      <w:r w:rsidRPr="00CE0671">
        <w:rPr>
          <w:rFonts w:eastAsia="Times New Roman" w:cs="Arial"/>
          <w:i/>
          <w:iCs/>
          <w:color w:val="000000"/>
          <w:lang w:eastAsia="bg-BG"/>
        </w:rPr>
        <w:lastRenderedPageBreak/>
        <w:t xml:space="preserve">Неприлизин </w:t>
      </w:r>
      <w:r w:rsidRPr="00CE0671">
        <w:rPr>
          <w:rFonts w:eastAsia="Times New Roman" w:cs="Arial"/>
          <w:i/>
          <w:iCs/>
          <w:color w:val="000000"/>
          <w:lang w:val="en-US"/>
        </w:rPr>
        <w:t xml:space="preserve">(NEP) </w:t>
      </w:r>
      <w:r w:rsidRPr="00CE0671">
        <w:rPr>
          <w:rFonts w:eastAsia="Times New Roman" w:cs="Arial"/>
          <w:i/>
          <w:iCs/>
          <w:color w:val="000000"/>
          <w:lang w:eastAsia="bg-BG"/>
        </w:rPr>
        <w:t>инхибитори:</w:t>
      </w:r>
      <w:r w:rsidRPr="00CE0671">
        <w:rPr>
          <w:rFonts w:eastAsia="Times New Roman" w:cs="Arial"/>
          <w:color w:val="000000"/>
          <w:lang w:eastAsia="bg-BG"/>
        </w:rPr>
        <w:t xml:space="preserve"> Потенциално повишен риск от развитие на ангиоедем е докладван при пациенти, приемащи едновременно АСЕ инхибитори и </w:t>
      </w:r>
      <w:r w:rsidRPr="00CE0671">
        <w:rPr>
          <w:rFonts w:eastAsia="Times New Roman" w:cs="Arial"/>
          <w:color w:val="000000"/>
          <w:lang w:val="en-US"/>
        </w:rPr>
        <w:t xml:space="preserve">NEP </w:t>
      </w:r>
      <w:r w:rsidRPr="00CE0671">
        <w:rPr>
          <w:rFonts w:eastAsia="Times New Roman" w:cs="Arial"/>
          <w:color w:val="000000"/>
          <w:lang w:eastAsia="bg-BG"/>
        </w:rPr>
        <w:t>инхибитори като рацекадотрил (вж. точка 4.4).</w:t>
      </w:r>
    </w:p>
    <w:p w14:paraId="315474E0" w14:textId="77777777" w:rsidR="00CE0671" w:rsidRPr="00CE0671" w:rsidRDefault="00CE0671" w:rsidP="00CE0671">
      <w:pPr>
        <w:rPr>
          <w:rFonts w:eastAsia="Times New Roman" w:cs="Arial"/>
          <w:i/>
          <w:iCs/>
          <w:color w:val="000000"/>
          <w:lang w:eastAsia="bg-BG"/>
        </w:rPr>
      </w:pPr>
    </w:p>
    <w:p w14:paraId="1E4D26F7" w14:textId="6EBF05F5" w:rsidR="00CE0671" w:rsidRPr="00CE0671" w:rsidRDefault="00CE0671" w:rsidP="00CE0671">
      <w:pPr>
        <w:rPr>
          <w:rFonts w:cs="Arial"/>
        </w:rPr>
      </w:pPr>
      <w:r w:rsidRPr="00CE0671">
        <w:rPr>
          <w:rFonts w:eastAsia="Times New Roman" w:cs="Arial"/>
          <w:i/>
          <w:iCs/>
          <w:color w:val="000000"/>
          <w:lang w:eastAsia="bg-BG"/>
        </w:rPr>
        <w:t>Сакубитрил /валсартан:</w:t>
      </w:r>
      <w:r w:rsidRPr="00CE0671">
        <w:rPr>
          <w:rFonts w:eastAsia="Times New Roman" w:cs="Arial"/>
          <w:color w:val="000000"/>
          <w:lang w:eastAsia="bg-BG"/>
        </w:rPr>
        <w:t xml:space="preserve"> Едновременното приложение на АСЕ инхибитори със сакубитрил/валсартан е противопоказано, тъй като това увеличава риска от ангиоедем.</w:t>
      </w:r>
    </w:p>
    <w:p w14:paraId="7B3EE243" w14:textId="77777777" w:rsidR="00CE0671" w:rsidRPr="0091385D" w:rsidRDefault="00CE0671"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A20A3EC" w14:textId="77777777" w:rsidR="00CE0671" w:rsidRPr="00CE0671" w:rsidRDefault="00CE0671" w:rsidP="00CE0671">
      <w:pPr>
        <w:pStyle w:val="Heading3"/>
        <w:rPr>
          <w:rFonts w:eastAsia="Times New Roman"/>
          <w:u w:val="single"/>
          <w:lang w:eastAsia="bg-BG"/>
        </w:rPr>
      </w:pPr>
      <w:r w:rsidRPr="00CE0671">
        <w:rPr>
          <w:rFonts w:eastAsia="Times New Roman"/>
          <w:u w:val="single"/>
          <w:lang w:eastAsia="bg-BG"/>
        </w:rPr>
        <w:t>Бременност</w:t>
      </w:r>
    </w:p>
    <w:p w14:paraId="2388361D" w14:textId="77777777" w:rsidR="00CE0671" w:rsidRPr="00CE0671" w:rsidRDefault="00CE0671" w:rsidP="00CE0671">
      <w:pPr>
        <w:rPr>
          <w:rFonts w:eastAsia="Times New Roman" w:cs="Arial"/>
          <w:color w:val="000000"/>
          <w:lang w:eastAsia="bg-BG"/>
        </w:rPr>
      </w:pPr>
    </w:p>
    <w:p w14:paraId="7A5A7106" w14:textId="7AAEEB5D" w:rsidR="00CE0671" w:rsidRPr="00CE0671" w:rsidRDefault="00CE0671" w:rsidP="00CE0671">
      <w:pPr>
        <w:rPr>
          <w:rFonts w:eastAsia="Times New Roman" w:cs="Arial"/>
          <w:color w:val="000000"/>
          <w:lang w:eastAsia="bg-BG"/>
        </w:rPr>
      </w:pPr>
      <w:r w:rsidRPr="00CE0671">
        <w:rPr>
          <w:rFonts w:eastAsia="Times New Roman" w:cs="Arial"/>
          <w:color w:val="000000"/>
          <w:lang w:eastAsia="bg-BG"/>
        </w:rPr>
        <w:t xml:space="preserve">Тритейс Плюс не се препоръчва по време на първия триместър на бременност (вж. точка 4.4) и е противопоказан по време на втория и третия триместьр на бременността (вж. точка 4.3). </w:t>
      </w:r>
    </w:p>
    <w:p w14:paraId="3A9FE6B1" w14:textId="77777777" w:rsidR="00CE0671" w:rsidRPr="00CE0671" w:rsidRDefault="00CE0671" w:rsidP="00CE0671">
      <w:pPr>
        <w:rPr>
          <w:rFonts w:eastAsia="Times New Roman" w:cs="Arial"/>
          <w:color w:val="000000"/>
          <w:lang w:eastAsia="bg-BG"/>
        </w:rPr>
      </w:pPr>
    </w:p>
    <w:p w14:paraId="65CBD685" w14:textId="77777777" w:rsidR="00CE0671" w:rsidRPr="00CE0671" w:rsidRDefault="00CE0671" w:rsidP="00CE0671">
      <w:pPr>
        <w:rPr>
          <w:rFonts w:eastAsia="Times New Roman" w:cs="Arial"/>
          <w:sz w:val="24"/>
          <w:szCs w:val="24"/>
          <w:lang w:eastAsia="bg-BG"/>
        </w:rPr>
      </w:pPr>
      <w:r w:rsidRPr="00CE0671">
        <w:rPr>
          <w:rFonts w:eastAsia="Times New Roman" w:cs="Arial"/>
          <w:color w:val="000000"/>
          <w:lang w:eastAsia="bg-BG"/>
        </w:rPr>
        <w:t>Епидемиологични данни относно риска от тератогенност след експозиция</w:t>
      </w:r>
      <w:r w:rsidRPr="00CE0671">
        <w:rPr>
          <w:rFonts w:eastAsia="Times New Roman" w:cs="Arial"/>
          <w:color w:val="000000"/>
          <w:lang w:val="en-US"/>
        </w:rPr>
        <w:t xml:space="preserve"> </w:t>
      </w:r>
      <w:r w:rsidRPr="00CE0671">
        <w:rPr>
          <w:rFonts w:eastAsia="Times New Roman" w:cs="Arial"/>
          <w:color w:val="000000"/>
          <w:lang w:eastAsia="bg-BG"/>
        </w:rPr>
        <w:t xml:space="preserve">на </w:t>
      </w:r>
      <w:r w:rsidRPr="00CE0671">
        <w:rPr>
          <w:rFonts w:eastAsia="Times New Roman" w:cs="Arial"/>
          <w:color w:val="000000"/>
          <w:lang w:val="en-US"/>
        </w:rPr>
        <w:t xml:space="preserve">ACE </w:t>
      </w:r>
      <w:r w:rsidRPr="00CE0671">
        <w:rPr>
          <w:rFonts w:eastAsia="Times New Roman" w:cs="Arial"/>
          <w:color w:val="000000"/>
          <w:lang w:eastAsia="bg-BG"/>
        </w:rPr>
        <w:t xml:space="preserve">инхибитори по време на първия триместьр от бременността не са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ангихипертензивно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инхибитор /ангиотензин II рецепторен антагонист </w:t>
      </w:r>
      <w:r w:rsidRPr="00CE0671">
        <w:rPr>
          <w:rFonts w:eastAsia="Times New Roman" w:cs="Arial"/>
          <w:color w:val="000000"/>
          <w:lang w:val="en-US"/>
        </w:rPr>
        <w:t xml:space="preserve">(AIIRA) </w:t>
      </w:r>
      <w:r w:rsidRPr="00CE0671">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точка 5.3). В случай на експозиция на АСЕ инхибитор през втория триместьр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174519CE" w14:textId="77777777" w:rsidR="00CE0671" w:rsidRPr="00CE0671" w:rsidRDefault="00CE0671" w:rsidP="00CE0671">
      <w:pPr>
        <w:spacing w:line="240" w:lineRule="auto"/>
        <w:rPr>
          <w:rFonts w:eastAsia="Times New Roman" w:cs="Arial"/>
          <w:color w:val="000000"/>
          <w:lang w:eastAsia="bg-BG"/>
        </w:rPr>
      </w:pPr>
    </w:p>
    <w:p w14:paraId="57F18E8C" w14:textId="00960B88"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Хидрохлоротиазидът, в случай на продължителна експозиция по време на третия триместьр на бременността, може да причини фетоплацентарна исхемия и риск от изоставане в растежа.</w:t>
      </w:r>
    </w:p>
    <w:p w14:paraId="68F66FB7"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Освен това, редки случаи на хипогликемия и тромбоцитопения при новородени са съобщавани в случай на експозиция непосредствено преди термина. Хидрохлоротиазидът може да намали обема на плазмата както и вътреплацентарния кръвен ток.</w:t>
      </w:r>
    </w:p>
    <w:p w14:paraId="2AAE6CF0" w14:textId="77777777" w:rsidR="00CE0671" w:rsidRPr="00CE0671" w:rsidRDefault="00CE0671" w:rsidP="00CE0671">
      <w:pPr>
        <w:spacing w:line="240" w:lineRule="auto"/>
        <w:rPr>
          <w:rFonts w:eastAsia="Times New Roman" w:cs="Arial"/>
          <w:i/>
          <w:iCs/>
          <w:color w:val="000000"/>
          <w:u w:val="single"/>
          <w:lang w:eastAsia="bg-BG"/>
        </w:rPr>
      </w:pPr>
    </w:p>
    <w:p w14:paraId="5128BE09" w14:textId="6C022E13" w:rsidR="00CE0671" w:rsidRPr="00CE0671" w:rsidRDefault="00CE0671" w:rsidP="00CE0671">
      <w:pPr>
        <w:pStyle w:val="Heading3"/>
        <w:rPr>
          <w:rFonts w:eastAsia="Times New Roman"/>
          <w:u w:val="single"/>
          <w:lang w:eastAsia="bg-BG"/>
        </w:rPr>
      </w:pPr>
      <w:r w:rsidRPr="00CE0671">
        <w:rPr>
          <w:rFonts w:eastAsia="Times New Roman"/>
          <w:u w:val="single"/>
          <w:lang w:eastAsia="bg-BG"/>
        </w:rPr>
        <w:t>Кърмене</w:t>
      </w:r>
    </w:p>
    <w:p w14:paraId="6B45B373" w14:textId="77777777" w:rsidR="00CE0671" w:rsidRPr="00CE0671" w:rsidRDefault="00CE0671" w:rsidP="00CE0671">
      <w:pPr>
        <w:spacing w:line="240" w:lineRule="auto"/>
        <w:rPr>
          <w:rFonts w:eastAsia="Times New Roman" w:cs="Arial"/>
          <w:color w:val="000000"/>
          <w:lang w:eastAsia="bg-BG"/>
        </w:rPr>
      </w:pPr>
    </w:p>
    <w:p w14:paraId="230F3118" w14:textId="2A67CD8F"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Тритейс Плюс е противопоказан по време на кърмене.</w:t>
      </w:r>
    </w:p>
    <w:p w14:paraId="776662C5" w14:textId="18DB26AF" w:rsidR="0091385D" w:rsidRPr="00CE0671" w:rsidRDefault="00CE0671" w:rsidP="00CE0671">
      <w:pPr>
        <w:rPr>
          <w:rFonts w:cs="Arial"/>
        </w:rPr>
      </w:pPr>
      <w:r w:rsidRPr="00CE0671">
        <w:rPr>
          <w:rFonts w:eastAsia="Times New Roman" w:cs="Arial"/>
          <w:color w:val="000000"/>
          <w:lang w:eastAsia="bg-BG"/>
        </w:rPr>
        <w:t xml:space="preserve">При прилагането на терапевтични дози рамиприл и хидрохлоротиазид на кърмещи жени е възможно рамиприл и хидрохлоротиазид да се екскретират в кърмата в такова количество, което да оказва ефект върху кърмачето. Поради недостатъчна информация относно употребата на рамиприл по време на кърмене за предпочитане е алтернативно лечение с по-добре установен профил на безопасност по бреме на кърмене, особено при </w:t>
      </w:r>
      <w:r w:rsidRPr="00CE0671">
        <w:rPr>
          <w:rFonts w:eastAsia="Times New Roman" w:cs="Arial"/>
          <w:color w:val="000000"/>
          <w:lang w:eastAsia="bg-BG"/>
        </w:rPr>
        <w:lastRenderedPageBreak/>
        <w:t>кърмене на новородено или недоносено кърмаче. Хидрохлоротиазид се екскретира в кърма. Тиазидите приемани от майки кърмачки се свързват с намаляване или дори подтискане на лактацията. Може да се прояви свръхчувствителност към активните вещества - деривати на сулфонамидите, хипокалиемия и иктер. Поради възможността за сериозни реакции при кърмачетата и от двете активни вещества, трябва да бъде взето решение дали да бъде прекратено кърменето или да бъде прекратена терапията, като се вземе предвид значението на терапията за майката.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04C2FC43"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Не са провеждани проучвания относно ефектите върху способността за шофиране и работа с машини. Някои странични ефекти (напр.симптоми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2B4135A6" w14:textId="475450C9" w:rsidR="0091385D" w:rsidRPr="00CE0671" w:rsidRDefault="00CE0671" w:rsidP="00CE0671">
      <w:pPr>
        <w:rPr>
          <w:rFonts w:cs="Arial"/>
        </w:rPr>
      </w:pPr>
      <w:r w:rsidRPr="00CE0671">
        <w:rPr>
          <w:rFonts w:eastAsia="Times New Roman" w:cs="Arial"/>
          <w:color w:val="000000"/>
          <w:lang w:eastAsia="bg-BG"/>
        </w:rPr>
        <w:t>Това може да се случи особено при начало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CA6E361"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i/>
          <w:iCs/>
          <w:color w:val="000000"/>
          <w:u w:val="single"/>
          <w:lang w:eastAsia="bg-BG"/>
        </w:rPr>
        <w:t>Обобщение на профила на безопасност</w:t>
      </w:r>
    </w:p>
    <w:p w14:paraId="62962C5A" w14:textId="77777777" w:rsidR="00CE0671" w:rsidRPr="00CE0671" w:rsidRDefault="00CE0671" w:rsidP="00CE0671">
      <w:pPr>
        <w:spacing w:line="240" w:lineRule="auto"/>
        <w:rPr>
          <w:rFonts w:eastAsia="Times New Roman" w:cs="Arial"/>
          <w:color w:val="000000"/>
          <w:lang w:eastAsia="bg-BG"/>
        </w:rPr>
      </w:pPr>
    </w:p>
    <w:p w14:paraId="37F2AE38" w14:textId="77777777" w:rsidR="00CE0671" w:rsidRPr="00CE0671" w:rsidRDefault="00CE0671" w:rsidP="00CE0671">
      <w:pPr>
        <w:rPr>
          <w:rFonts w:eastAsia="Times New Roman" w:cs="Arial"/>
          <w:sz w:val="24"/>
          <w:szCs w:val="24"/>
          <w:lang w:eastAsia="bg-BG"/>
        </w:rPr>
      </w:pPr>
      <w:r w:rsidRPr="00CE0671">
        <w:rPr>
          <w:rFonts w:eastAsia="Times New Roman" w:cs="Arial"/>
          <w:color w:val="000000"/>
          <w:lang w:eastAsia="bg-BG"/>
        </w:rPr>
        <w:t>Профилът на безопасност на рамиприл + хидрохлоротиазид включва нежелани лекарствени реакции, проявяващи се във връзка с хипотония и/или с намаляване на телесните течности, поради повишена диуреза. Активното вещество рамиприл може да причини упорита суха</w:t>
      </w:r>
      <w:r w:rsidRPr="00CE0671">
        <w:rPr>
          <w:rFonts w:eastAsia="Times New Roman" w:cs="Arial"/>
          <w:sz w:val="24"/>
          <w:szCs w:val="24"/>
          <w:lang w:eastAsia="bg-BG"/>
        </w:rPr>
        <w:t xml:space="preserve"> </w:t>
      </w:r>
      <w:r w:rsidRPr="00CE0671">
        <w:rPr>
          <w:rFonts w:eastAsia="Times New Roman" w:cs="Arial"/>
          <w:color w:val="000000"/>
          <w:lang w:eastAsia="bg-BG"/>
        </w:rPr>
        <w:t>кашлица, докато активното вещество хдрохлоротиазид може да доведе до влошаване метаболизма на глюкозата, липидите и пикочната киселина. Двете активни вещества имат противоположни ефекти върху плазмения калий. Сериозните нежелани лекарствени реакции включват ангиоедем или анафилактична реакция, бъбречно или чернодробно увреждане, панкратит, тежки кожни реакции и неутропения/агранулоцитоза.</w:t>
      </w:r>
    </w:p>
    <w:p w14:paraId="395BFB00" w14:textId="77777777" w:rsidR="00CE0671" w:rsidRPr="00CE0671" w:rsidRDefault="00CE0671" w:rsidP="00CE0671">
      <w:pPr>
        <w:spacing w:line="240" w:lineRule="auto"/>
        <w:rPr>
          <w:rFonts w:eastAsia="Times New Roman" w:cs="Arial"/>
          <w:i/>
          <w:iCs/>
          <w:color w:val="000000"/>
          <w:u w:val="single"/>
          <w:lang w:eastAsia="bg-BG"/>
        </w:rPr>
      </w:pPr>
    </w:p>
    <w:p w14:paraId="74127408" w14:textId="48427A55" w:rsidR="00CE0671" w:rsidRPr="00CE0671" w:rsidRDefault="00CE0671" w:rsidP="00CE0671">
      <w:pPr>
        <w:spacing w:line="240" w:lineRule="auto"/>
        <w:rPr>
          <w:rFonts w:eastAsia="Times New Roman" w:cs="Arial"/>
          <w:sz w:val="24"/>
          <w:szCs w:val="24"/>
          <w:lang w:eastAsia="bg-BG"/>
        </w:rPr>
      </w:pPr>
      <w:r w:rsidRPr="00CE0671">
        <w:rPr>
          <w:rFonts w:eastAsia="Times New Roman" w:cs="Arial"/>
          <w:i/>
          <w:iCs/>
          <w:color w:val="000000"/>
          <w:u w:val="single"/>
          <w:lang w:eastAsia="bg-BG"/>
        </w:rPr>
        <w:t>Табличен списък на нежеланите реакции</w:t>
      </w:r>
    </w:p>
    <w:p w14:paraId="0E330AAB" w14:textId="77777777" w:rsidR="00CE0671" w:rsidRPr="00CE0671" w:rsidRDefault="00CE0671" w:rsidP="00CE0671">
      <w:pPr>
        <w:spacing w:line="240" w:lineRule="auto"/>
        <w:rPr>
          <w:rFonts w:eastAsia="Times New Roman" w:cs="Arial"/>
          <w:color w:val="000000"/>
          <w:lang w:eastAsia="bg-BG"/>
        </w:rPr>
      </w:pPr>
    </w:p>
    <w:p w14:paraId="02FA4102" w14:textId="18B90CF6"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Честотата на нежеланите реакции се определя, чрез използване на следната конвенция:</w:t>
      </w:r>
    </w:p>
    <w:p w14:paraId="559CA4FE" w14:textId="77777777" w:rsidR="00CE0671"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734C9AF3" w14:textId="77777777" w:rsidR="00CE0671" w:rsidRPr="00CE0671" w:rsidRDefault="00CE0671" w:rsidP="00CE0671">
      <w:pPr>
        <w:spacing w:line="240" w:lineRule="auto"/>
        <w:rPr>
          <w:rFonts w:eastAsia="Times New Roman" w:cs="Arial"/>
          <w:color w:val="000000"/>
          <w:lang w:eastAsia="bg-BG"/>
        </w:rPr>
      </w:pPr>
    </w:p>
    <w:p w14:paraId="570508C4" w14:textId="572CF8AB" w:rsidR="0091385D" w:rsidRPr="00CE0671" w:rsidRDefault="00CE0671" w:rsidP="00CE0671">
      <w:pPr>
        <w:spacing w:line="240" w:lineRule="auto"/>
        <w:rPr>
          <w:rFonts w:eastAsia="Times New Roman" w:cs="Arial"/>
          <w:sz w:val="24"/>
          <w:szCs w:val="24"/>
          <w:lang w:eastAsia="bg-BG"/>
        </w:rPr>
      </w:pPr>
      <w:r w:rsidRPr="00CE0671">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3E3C48F" w14:textId="4A419D7A" w:rsidR="0091385D" w:rsidRDefault="0091385D" w:rsidP="0091385D"/>
    <w:tbl>
      <w:tblPr>
        <w:tblStyle w:val="TableGrid"/>
        <w:tblW w:w="0" w:type="auto"/>
        <w:tblLook w:val="04A0" w:firstRow="1" w:lastRow="0" w:firstColumn="1" w:lastColumn="0" w:noHBand="0" w:noVBand="1"/>
      </w:tblPr>
      <w:tblGrid>
        <w:gridCol w:w="1762"/>
        <w:gridCol w:w="1833"/>
        <w:gridCol w:w="2078"/>
        <w:gridCol w:w="1390"/>
        <w:gridCol w:w="2287"/>
      </w:tblGrid>
      <w:tr w:rsidR="00EA3CE1" w14:paraId="6161B53F" w14:textId="77777777" w:rsidTr="000A4948">
        <w:tc>
          <w:tcPr>
            <w:tcW w:w="1762" w:type="dxa"/>
          </w:tcPr>
          <w:p w14:paraId="201D5A25" w14:textId="77777777" w:rsidR="00EA3CE1" w:rsidRDefault="00EA3CE1" w:rsidP="00EA3CE1"/>
        </w:tc>
        <w:tc>
          <w:tcPr>
            <w:tcW w:w="1833" w:type="dxa"/>
          </w:tcPr>
          <w:p w14:paraId="211803BA" w14:textId="6B649A6E" w:rsidR="00EA3CE1" w:rsidRDefault="00EA3CE1" w:rsidP="00EA3CE1">
            <w:r>
              <w:t>Чести</w:t>
            </w:r>
          </w:p>
        </w:tc>
        <w:tc>
          <w:tcPr>
            <w:tcW w:w="2078" w:type="dxa"/>
          </w:tcPr>
          <w:p w14:paraId="3153B895" w14:textId="0D856793" w:rsidR="00EA3CE1" w:rsidRDefault="00EA3CE1" w:rsidP="00EA3CE1">
            <w:r>
              <w:t>Нечести</w:t>
            </w:r>
          </w:p>
        </w:tc>
        <w:tc>
          <w:tcPr>
            <w:tcW w:w="1390" w:type="dxa"/>
          </w:tcPr>
          <w:p w14:paraId="73DD06F0" w14:textId="51E31E62" w:rsidR="00EA3CE1" w:rsidRDefault="00EA3CE1" w:rsidP="00EA3CE1">
            <w:r>
              <w:t>Много редки</w:t>
            </w:r>
          </w:p>
        </w:tc>
        <w:tc>
          <w:tcPr>
            <w:tcW w:w="2287" w:type="dxa"/>
          </w:tcPr>
          <w:p w14:paraId="01602B17" w14:textId="11118759" w:rsidR="00EA3CE1" w:rsidRDefault="00EA3CE1" w:rsidP="00EA3CE1">
            <w:r>
              <w:t>С неизвестна честота</w:t>
            </w:r>
          </w:p>
        </w:tc>
      </w:tr>
      <w:tr w:rsidR="00EA3CE1" w14:paraId="18D288DC" w14:textId="77777777" w:rsidTr="000A4948">
        <w:tc>
          <w:tcPr>
            <w:tcW w:w="1762" w:type="dxa"/>
          </w:tcPr>
          <w:p w14:paraId="7C730BF3" w14:textId="68820A77" w:rsidR="00EA3CE1" w:rsidRDefault="00EA3CE1" w:rsidP="00EA3CE1">
            <w:r>
              <w:rPr>
                <w:i/>
                <w:iCs/>
                <w:u w:val="single"/>
              </w:rPr>
              <w:t xml:space="preserve">Неоплазми доброкачеств ени, </w:t>
            </w:r>
            <w:r>
              <w:rPr>
                <w:i/>
                <w:iCs/>
                <w:u w:val="single"/>
              </w:rPr>
              <w:lastRenderedPageBreak/>
              <w:t>злокачествени и</w:t>
            </w:r>
            <w:r>
              <w:t xml:space="preserve"> </w:t>
            </w:r>
            <w:r>
              <w:rPr>
                <w:i/>
                <w:iCs/>
                <w:u w:val="single"/>
              </w:rPr>
              <w:t>неопределени (вкл. кисти и полипи)</w:t>
            </w:r>
          </w:p>
        </w:tc>
        <w:tc>
          <w:tcPr>
            <w:tcW w:w="1833" w:type="dxa"/>
          </w:tcPr>
          <w:p w14:paraId="649E5B51" w14:textId="77777777" w:rsidR="00EA3CE1" w:rsidRDefault="00EA3CE1" w:rsidP="00EA3CE1"/>
        </w:tc>
        <w:tc>
          <w:tcPr>
            <w:tcW w:w="2078" w:type="dxa"/>
          </w:tcPr>
          <w:p w14:paraId="2A221DF3" w14:textId="77777777" w:rsidR="00EA3CE1" w:rsidRDefault="00EA3CE1" w:rsidP="00EA3CE1"/>
        </w:tc>
        <w:tc>
          <w:tcPr>
            <w:tcW w:w="1390" w:type="dxa"/>
          </w:tcPr>
          <w:p w14:paraId="79E3BFDA" w14:textId="77777777" w:rsidR="00EA3CE1" w:rsidRDefault="00EA3CE1" w:rsidP="00EA3CE1"/>
        </w:tc>
        <w:tc>
          <w:tcPr>
            <w:tcW w:w="2287" w:type="dxa"/>
          </w:tcPr>
          <w:p w14:paraId="5FD86CB7" w14:textId="77777777" w:rsidR="00EA3CE1" w:rsidRDefault="00EA3CE1" w:rsidP="00EA3CE1">
            <w:r>
              <w:t xml:space="preserve">Немеланомен рак на кожата (базално клетъчен карцином </w:t>
            </w:r>
            <w:r>
              <w:lastRenderedPageBreak/>
              <w:t>и сквамозноклетъчен карцином)</w:t>
            </w:r>
          </w:p>
          <w:p w14:paraId="31440076" w14:textId="0CCFA17E" w:rsidR="00EA3CE1" w:rsidRDefault="00EA3CE1" w:rsidP="00EA3CE1">
            <w:r>
              <w:t>* Немеланомен рак на кожата: Въз основа на наличните данни от епидемиологични проучвания, е наблюдава кумулативна дозо- зависима връзка между хидрохлоротиазид (ХХТЗ) и немеланомен рак на кожата (НМРК) (вж. точки 4.4 и 5.1)</w:t>
            </w:r>
          </w:p>
        </w:tc>
      </w:tr>
      <w:tr w:rsidR="00EA3CE1" w14:paraId="5FAAD219" w14:textId="77777777" w:rsidTr="000A4948">
        <w:tc>
          <w:tcPr>
            <w:tcW w:w="1762" w:type="dxa"/>
          </w:tcPr>
          <w:p w14:paraId="5FD9192A" w14:textId="14731FAA" w:rsidR="00EA3CE1" w:rsidRDefault="00EA3CE1" w:rsidP="00EA3CE1">
            <w:r>
              <w:rPr>
                <w:i/>
                <w:iCs/>
                <w:u w:val="single"/>
              </w:rPr>
              <w:lastRenderedPageBreak/>
              <w:t>Нарушения на кръвта и лимфната система</w:t>
            </w:r>
          </w:p>
        </w:tc>
        <w:tc>
          <w:tcPr>
            <w:tcW w:w="1833" w:type="dxa"/>
          </w:tcPr>
          <w:p w14:paraId="26A757C5" w14:textId="77777777" w:rsidR="00EA3CE1" w:rsidRDefault="00EA3CE1" w:rsidP="00EA3CE1"/>
        </w:tc>
        <w:tc>
          <w:tcPr>
            <w:tcW w:w="2078" w:type="dxa"/>
          </w:tcPr>
          <w:p w14:paraId="7CDEEF8A" w14:textId="1F927BC6" w:rsidR="00EA3CE1" w:rsidRDefault="00EA3CE1" w:rsidP="00EA3CE1">
            <w:r>
              <w:t>Понижен брой на белите кръвни клетки, понижен брой червени кръвни клетки, намален хемоглобин, хемолитична анемия, намален брой тромбоцити</w:t>
            </w:r>
          </w:p>
        </w:tc>
        <w:tc>
          <w:tcPr>
            <w:tcW w:w="1390" w:type="dxa"/>
          </w:tcPr>
          <w:p w14:paraId="0F986C35" w14:textId="77777777" w:rsidR="00EA3CE1" w:rsidRDefault="00EA3CE1" w:rsidP="00EA3CE1"/>
        </w:tc>
        <w:tc>
          <w:tcPr>
            <w:tcW w:w="2287" w:type="dxa"/>
          </w:tcPr>
          <w:p w14:paraId="657BF675" w14:textId="51A32B8D" w:rsidR="00EA3CE1" w:rsidRDefault="00EA3CE1" w:rsidP="00EA3CE1">
            <w:r>
              <w:t>Костно- мозъчна супресия, неутропения, влючително агранулоцитоза, панцитопения, еозинофилия, хемоконцентрация, свързана с намаляване на телесни течности</w:t>
            </w:r>
          </w:p>
        </w:tc>
      </w:tr>
      <w:tr w:rsidR="00EA3CE1" w14:paraId="3FB53572" w14:textId="77777777" w:rsidTr="000A4948">
        <w:trPr>
          <w:trHeight w:val="2698"/>
        </w:trPr>
        <w:tc>
          <w:tcPr>
            <w:tcW w:w="1762" w:type="dxa"/>
          </w:tcPr>
          <w:p w14:paraId="374B02FE" w14:textId="7BCAAB24" w:rsidR="00EA3CE1" w:rsidRDefault="00EA3CE1" w:rsidP="00EA3CE1">
            <w:r>
              <w:rPr>
                <w:i/>
                <w:iCs/>
                <w:u w:val="single"/>
              </w:rPr>
              <w:t>Нарушения на имунната система</w:t>
            </w:r>
          </w:p>
        </w:tc>
        <w:tc>
          <w:tcPr>
            <w:tcW w:w="1833" w:type="dxa"/>
          </w:tcPr>
          <w:p w14:paraId="53BE920E" w14:textId="77777777" w:rsidR="00EA3CE1" w:rsidRDefault="00EA3CE1" w:rsidP="00EA3CE1"/>
        </w:tc>
        <w:tc>
          <w:tcPr>
            <w:tcW w:w="2078" w:type="dxa"/>
          </w:tcPr>
          <w:p w14:paraId="50F5FD60" w14:textId="77777777" w:rsidR="00EA3CE1" w:rsidRDefault="00EA3CE1" w:rsidP="00EA3CE1"/>
        </w:tc>
        <w:tc>
          <w:tcPr>
            <w:tcW w:w="1390" w:type="dxa"/>
          </w:tcPr>
          <w:p w14:paraId="080620FF" w14:textId="77777777" w:rsidR="00EA3CE1" w:rsidRDefault="00EA3CE1" w:rsidP="00EA3CE1"/>
        </w:tc>
        <w:tc>
          <w:tcPr>
            <w:tcW w:w="2287" w:type="dxa"/>
          </w:tcPr>
          <w:p w14:paraId="29148C00" w14:textId="77777777" w:rsidR="00EA3CE1" w:rsidRDefault="00EA3CE1" w:rsidP="00EA3CE1">
            <w:r>
              <w:t>Анафилактични или анафилактоидни</w:t>
            </w:r>
          </w:p>
          <w:p w14:paraId="144BA2A9" w14:textId="77777777" w:rsidR="00EA3CE1" w:rsidRDefault="00EA3CE1" w:rsidP="00EA3CE1">
            <w:r>
              <w:t xml:space="preserve">реакции, свързани </w:t>
            </w:r>
          </w:p>
          <w:p w14:paraId="34ABEBE3" w14:textId="77777777" w:rsidR="00EA3CE1" w:rsidRDefault="00EA3CE1" w:rsidP="00EA3CE1">
            <w:r>
              <w:t xml:space="preserve">както с рамиприл, </w:t>
            </w:r>
          </w:p>
          <w:p w14:paraId="428529AC" w14:textId="77777777" w:rsidR="00EA3CE1" w:rsidRDefault="00EA3CE1" w:rsidP="00EA3CE1">
            <w:r>
              <w:t>така и с</w:t>
            </w:r>
          </w:p>
          <w:p w14:paraId="099C8CE5" w14:textId="77777777" w:rsidR="00EA3CE1" w:rsidRDefault="00EA3CE1" w:rsidP="00EA3CE1">
            <w:r>
              <w:t>хидрохлоротиазид</w:t>
            </w:r>
          </w:p>
          <w:p w14:paraId="4B97F37B" w14:textId="77777777" w:rsidR="00EA3CE1" w:rsidRDefault="00EA3CE1" w:rsidP="00EA3CE1">
            <w:r>
              <w:t>повишени</w:t>
            </w:r>
          </w:p>
          <w:p w14:paraId="6E2C974C" w14:textId="1F6487BB" w:rsidR="00EA3CE1" w:rsidRDefault="00EA3CE1" w:rsidP="00EA3CE1">
            <w:r>
              <w:t>антинуклеарни антитела</w:t>
            </w:r>
          </w:p>
        </w:tc>
      </w:tr>
      <w:tr w:rsidR="00EA3CE1" w14:paraId="0AABA0D5" w14:textId="77777777" w:rsidTr="000A4948">
        <w:tc>
          <w:tcPr>
            <w:tcW w:w="1762" w:type="dxa"/>
          </w:tcPr>
          <w:p w14:paraId="09B29565" w14:textId="5A4C49A9" w:rsidR="00EA3CE1" w:rsidRDefault="00EA3CE1" w:rsidP="00EA3CE1">
            <w:r>
              <w:rPr>
                <w:i/>
                <w:iCs/>
                <w:u w:val="single"/>
              </w:rPr>
              <w:t>Нарушения на ендокринната система</w:t>
            </w:r>
          </w:p>
        </w:tc>
        <w:tc>
          <w:tcPr>
            <w:tcW w:w="1833" w:type="dxa"/>
          </w:tcPr>
          <w:p w14:paraId="2319EA5C" w14:textId="77777777" w:rsidR="00EA3CE1" w:rsidRDefault="00EA3CE1" w:rsidP="00EA3CE1"/>
        </w:tc>
        <w:tc>
          <w:tcPr>
            <w:tcW w:w="2078" w:type="dxa"/>
          </w:tcPr>
          <w:p w14:paraId="34407FE9" w14:textId="77777777" w:rsidR="00EA3CE1" w:rsidRDefault="00EA3CE1" w:rsidP="00EA3CE1"/>
        </w:tc>
        <w:tc>
          <w:tcPr>
            <w:tcW w:w="1390" w:type="dxa"/>
          </w:tcPr>
          <w:p w14:paraId="2977DD7B" w14:textId="77777777" w:rsidR="00EA3CE1" w:rsidRDefault="00EA3CE1" w:rsidP="00EA3CE1"/>
        </w:tc>
        <w:tc>
          <w:tcPr>
            <w:tcW w:w="2287" w:type="dxa"/>
            <w:vAlign w:val="bottom"/>
          </w:tcPr>
          <w:p w14:paraId="767892FB" w14:textId="3BB2B648" w:rsidR="00EA3CE1" w:rsidRDefault="00EA3CE1" w:rsidP="00EA3CE1">
            <w:r>
              <w:t xml:space="preserve">Синдром на неадекватна секреция на антидиуретичен хормон </w:t>
            </w:r>
            <w:r>
              <w:rPr>
                <w:lang w:val="en-US"/>
              </w:rPr>
              <w:t>(SIADH)</w:t>
            </w:r>
          </w:p>
        </w:tc>
      </w:tr>
      <w:tr w:rsidR="00EA3CE1" w14:paraId="1BA144DB" w14:textId="77777777" w:rsidTr="000A4948">
        <w:tc>
          <w:tcPr>
            <w:tcW w:w="1762" w:type="dxa"/>
          </w:tcPr>
          <w:p w14:paraId="7545CDFD" w14:textId="5207B27C" w:rsidR="00EA3CE1" w:rsidRDefault="00EA3CE1" w:rsidP="00EA3CE1">
            <w:r>
              <w:rPr>
                <w:i/>
                <w:iCs/>
                <w:u w:val="single"/>
              </w:rPr>
              <w:t>Нарушения на метаболизма и храненето</w:t>
            </w:r>
          </w:p>
        </w:tc>
        <w:tc>
          <w:tcPr>
            <w:tcW w:w="1833" w:type="dxa"/>
            <w:vAlign w:val="bottom"/>
          </w:tcPr>
          <w:p w14:paraId="11FC4F1C" w14:textId="0C572015" w:rsidR="00EA3CE1" w:rsidRDefault="00EA3CE1" w:rsidP="00EA3CE1">
            <w:r>
              <w:t xml:space="preserve">Недобре контролиран захарен </w:t>
            </w:r>
            <w:r>
              <w:lastRenderedPageBreak/>
              <w:t>диабет, намален глюкозен толеранс, повишено ниво на кръвната захар, повишено ниво на пикочната киселина в кръвта, обострена подагра, повишени кръвни нива на холестерола и/ или триглицеридите поради хидрохлоротиаз ид</w:t>
            </w:r>
          </w:p>
        </w:tc>
        <w:tc>
          <w:tcPr>
            <w:tcW w:w="2078" w:type="dxa"/>
          </w:tcPr>
          <w:p w14:paraId="057681BA" w14:textId="77777777" w:rsidR="00EA3CE1" w:rsidRDefault="00EA3CE1" w:rsidP="00EA3CE1">
            <w:r>
              <w:lastRenderedPageBreak/>
              <w:t>Анорексия, понижен апетит</w:t>
            </w:r>
          </w:p>
          <w:p w14:paraId="1773A3BD" w14:textId="2E5B639C" w:rsidR="00EA3CE1" w:rsidRDefault="00EA3CE1" w:rsidP="00EA3CE1">
            <w:r>
              <w:lastRenderedPageBreak/>
              <w:t>Намален калий в кръвта, жажда поради хидрохлоротиазид</w:t>
            </w:r>
          </w:p>
        </w:tc>
        <w:tc>
          <w:tcPr>
            <w:tcW w:w="1390" w:type="dxa"/>
          </w:tcPr>
          <w:p w14:paraId="4A5D56D6" w14:textId="03092381" w:rsidR="00EA3CE1" w:rsidRDefault="00EA3CE1" w:rsidP="00EA3CE1">
            <w:r>
              <w:lastRenderedPageBreak/>
              <w:t xml:space="preserve">Повишено ниво на калий в </w:t>
            </w:r>
            <w:r>
              <w:lastRenderedPageBreak/>
              <w:t>кръвта поради рамиприл</w:t>
            </w:r>
          </w:p>
        </w:tc>
        <w:tc>
          <w:tcPr>
            <w:tcW w:w="2287" w:type="dxa"/>
          </w:tcPr>
          <w:p w14:paraId="10A3B873" w14:textId="77777777" w:rsidR="00EA3CE1" w:rsidRDefault="00EA3CE1" w:rsidP="00EA3CE1">
            <w:r>
              <w:lastRenderedPageBreak/>
              <w:t>Понижено ниво на натрия в кръвта</w:t>
            </w:r>
          </w:p>
          <w:p w14:paraId="79D92D06" w14:textId="73E7CA2D" w:rsidR="00EA3CE1" w:rsidRDefault="00EA3CE1" w:rsidP="00EA3CE1">
            <w:r>
              <w:lastRenderedPageBreak/>
              <w:t>Глюкозурия, метаболитна алкалоза, хипохлоремия, хипомагнезиемия, хиперкалциемия, дехидратация поради хидрохлоротиазид</w:t>
            </w:r>
          </w:p>
        </w:tc>
      </w:tr>
      <w:tr w:rsidR="00EA3CE1" w14:paraId="00E6A418" w14:textId="77777777" w:rsidTr="000A4948">
        <w:tc>
          <w:tcPr>
            <w:tcW w:w="1762" w:type="dxa"/>
          </w:tcPr>
          <w:p w14:paraId="14DB3AD6" w14:textId="1E440C3F" w:rsidR="00EA3CE1" w:rsidRDefault="00EA3CE1" w:rsidP="00EA3CE1">
            <w:r>
              <w:rPr>
                <w:i/>
                <w:iCs/>
                <w:u w:val="single"/>
              </w:rPr>
              <w:lastRenderedPageBreak/>
              <w:t>Психични нарушения</w:t>
            </w:r>
          </w:p>
        </w:tc>
        <w:tc>
          <w:tcPr>
            <w:tcW w:w="1833" w:type="dxa"/>
          </w:tcPr>
          <w:p w14:paraId="396CDCD7" w14:textId="77777777" w:rsidR="00EA3CE1" w:rsidRDefault="00EA3CE1" w:rsidP="00EA3CE1"/>
        </w:tc>
        <w:tc>
          <w:tcPr>
            <w:tcW w:w="2078" w:type="dxa"/>
            <w:vAlign w:val="bottom"/>
          </w:tcPr>
          <w:p w14:paraId="2060E752" w14:textId="339695F1" w:rsidR="00EA3CE1" w:rsidRDefault="00EA3CE1" w:rsidP="00EA3CE1">
            <w:r>
              <w:t>Понижено настроение, апатия, тревожност, нервност, нарушение на съня, включително сънливост</w:t>
            </w:r>
          </w:p>
        </w:tc>
        <w:tc>
          <w:tcPr>
            <w:tcW w:w="1390" w:type="dxa"/>
          </w:tcPr>
          <w:p w14:paraId="4096E5A5" w14:textId="77777777" w:rsidR="00EA3CE1" w:rsidRDefault="00EA3CE1" w:rsidP="00EA3CE1"/>
        </w:tc>
        <w:tc>
          <w:tcPr>
            <w:tcW w:w="2287" w:type="dxa"/>
          </w:tcPr>
          <w:p w14:paraId="77F4AEE6" w14:textId="33031C36" w:rsidR="00EA3CE1" w:rsidRDefault="00EA3CE1" w:rsidP="00EA3CE1">
            <w:r>
              <w:t>Състояние на обърканост, безпокойство, нарушено внимание</w:t>
            </w:r>
          </w:p>
        </w:tc>
      </w:tr>
      <w:tr w:rsidR="00EA3CE1" w14:paraId="0A0E9E27" w14:textId="77777777" w:rsidTr="000A4948">
        <w:tc>
          <w:tcPr>
            <w:tcW w:w="1762" w:type="dxa"/>
          </w:tcPr>
          <w:p w14:paraId="2B31EDFC" w14:textId="195E1F68" w:rsidR="00EA3CE1" w:rsidRDefault="00EA3CE1" w:rsidP="00EA3CE1">
            <w:r>
              <w:rPr>
                <w:i/>
                <w:iCs/>
                <w:u w:val="single"/>
              </w:rPr>
              <w:t>Нарушения на нервната система</w:t>
            </w:r>
          </w:p>
        </w:tc>
        <w:tc>
          <w:tcPr>
            <w:tcW w:w="1833" w:type="dxa"/>
          </w:tcPr>
          <w:p w14:paraId="3583980B" w14:textId="4AE79FD0" w:rsidR="00EA3CE1" w:rsidRDefault="00EA3CE1" w:rsidP="00EA3CE1">
            <w:r>
              <w:t>Главоболие, замайване</w:t>
            </w:r>
          </w:p>
        </w:tc>
        <w:tc>
          <w:tcPr>
            <w:tcW w:w="2078" w:type="dxa"/>
          </w:tcPr>
          <w:p w14:paraId="146CA585" w14:textId="32EACFE5" w:rsidR="00EA3CE1" w:rsidRDefault="00EA3CE1" w:rsidP="00EA3CE1">
            <w:r>
              <w:t>Световъртеж, парестезия, тремор, нарушено равновесие, усещане за парене, дисгеузия, агеузия</w:t>
            </w:r>
          </w:p>
        </w:tc>
        <w:tc>
          <w:tcPr>
            <w:tcW w:w="1390" w:type="dxa"/>
          </w:tcPr>
          <w:p w14:paraId="27168E13" w14:textId="77777777" w:rsidR="00EA3CE1" w:rsidRDefault="00EA3CE1" w:rsidP="00EA3CE1"/>
        </w:tc>
        <w:tc>
          <w:tcPr>
            <w:tcW w:w="2287" w:type="dxa"/>
            <w:vAlign w:val="bottom"/>
          </w:tcPr>
          <w:p w14:paraId="27552F91" w14:textId="75365C28" w:rsidR="00EA3CE1" w:rsidRDefault="00EA3CE1" w:rsidP="00EA3CE1">
            <w:r>
              <w:t>Мозъчна исхемия, включително исхемичен инсулт и транзиторна исхемична атака, психомоторни нарушения, паросмия</w:t>
            </w:r>
          </w:p>
        </w:tc>
      </w:tr>
      <w:tr w:rsidR="00EA3CE1" w14:paraId="2DCED0D5" w14:textId="77777777" w:rsidTr="000A4948">
        <w:tc>
          <w:tcPr>
            <w:tcW w:w="1762" w:type="dxa"/>
          </w:tcPr>
          <w:p w14:paraId="6DD5F4CA" w14:textId="417A4DD0" w:rsidR="00EA3CE1" w:rsidRDefault="00EA3CE1" w:rsidP="00EA3CE1">
            <w:r>
              <w:rPr>
                <w:i/>
                <w:iCs/>
                <w:u w:val="single"/>
              </w:rPr>
              <w:t>Нарушения на очите</w:t>
            </w:r>
          </w:p>
        </w:tc>
        <w:tc>
          <w:tcPr>
            <w:tcW w:w="1833" w:type="dxa"/>
          </w:tcPr>
          <w:p w14:paraId="441CD32E" w14:textId="77777777" w:rsidR="00EA3CE1" w:rsidRDefault="00EA3CE1" w:rsidP="00EA3CE1"/>
        </w:tc>
        <w:tc>
          <w:tcPr>
            <w:tcW w:w="2078" w:type="dxa"/>
          </w:tcPr>
          <w:p w14:paraId="20DE77D6" w14:textId="0C07F1F8" w:rsidR="00EA3CE1" w:rsidRDefault="00EA3CE1" w:rsidP="00EA3CE1">
            <w:r>
              <w:t>Зрителни смущения, включително замъглено виждане, конюктивит</w:t>
            </w:r>
          </w:p>
        </w:tc>
        <w:tc>
          <w:tcPr>
            <w:tcW w:w="1390" w:type="dxa"/>
          </w:tcPr>
          <w:p w14:paraId="11A80458" w14:textId="77777777" w:rsidR="00EA3CE1" w:rsidRDefault="00EA3CE1" w:rsidP="00EA3CE1"/>
        </w:tc>
        <w:tc>
          <w:tcPr>
            <w:tcW w:w="2287" w:type="dxa"/>
            <w:vAlign w:val="bottom"/>
          </w:tcPr>
          <w:p w14:paraId="27DA5C8F" w14:textId="77777777" w:rsidR="00EA3CE1" w:rsidRDefault="00EA3CE1" w:rsidP="00EA3CE1">
            <w:r>
              <w:t xml:space="preserve">Ксантопсия, намалена лакримация поради хидрохлоротиазид, хориоидален излив, </w:t>
            </w:r>
          </w:p>
          <w:p w14:paraId="7F1DACE4" w14:textId="77777777" w:rsidR="00EA3CE1" w:rsidRDefault="00EA3CE1" w:rsidP="00EA3CE1">
            <w:r>
              <w:t>вторична остра</w:t>
            </w:r>
          </w:p>
          <w:p w14:paraId="307EA9F4" w14:textId="77777777" w:rsidR="00EA3CE1" w:rsidRDefault="00EA3CE1" w:rsidP="00EA3CE1">
            <w:r>
              <w:t>закритоъгълна</w:t>
            </w:r>
          </w:p>
          <w:p w14:paraId="064ACAB0" w14:textId="77777777" w:rsidR="00EA3CE1" w:rsidRDefault="00EA3CE1" w:rsidP="00EA3CE1">
            <w:r>
              <w:t>глаукома и или</w:t>
            </w:r>
          </w:p>
          <w:p w14:paraId="7E4E7BA1" w14:textId="77777777" w:rsidR="00EA3CE1" w:rsidRDefault="00EA3CE1" w:rsidP="00EA3CE1">
            <w:r>
              <w:lastRenderedPageBreak/>
              <w:t>остра миопия</w:t>
            </w:r>
          </w:p>
          <w:p w14:paraId="23E9CA73" w14:textId="77777777" w:rsidR="00EA3CE1" w:rsidRDefault="00EA3CE1" w:rsidP="00EA3CE1">
            <w:r>
              <w:t>поради</w:t>
            </w:r>
          </w:p>
          <w:p w14:paraId="75BB4EE6" w14:textId="5B085419" w:rsidR="00EA3CE1" w:rsidRDefault="00EA3CE1" w:rsidP="00EA3CE1">
            <w:r>
              <w:t>хидрохлоротиазид</w:t>
            </w:r>
          </w:p>
        </w:tc>
      </w:tr>
      <w:tr w:rsidR="000A4948" w14:paraId="57AC408A" w14:textId="77777777" w:rsidTr="000A4948">
        <w:tc>
          <w:tcPr>
            <w:tcW w:w="1762" w:type="dxa"/>
            <w:vAlign w:val="bottom"/>
          </w:tcPr>
          <w:p w14:paraId="79E91567" w14:textId="429C7965" w:rsidR="000A4948" w:rsidRDefault="000A4948" w:rsidP="000A4948">
            <w:r>
              <w:rPr>
                <w:i/>
                <w:iCs/>
                <w:u w:val="single"/>
              </w:rPr>
              <w:lastRenderedPageBreak/>
              <w:t>Нарушения на ухото и лабиринта</w:t>
            </w:r>
          </w:p>
        </w:tc>
        <w:tc>
          <w:tcPr>
            <w:tcW w:w="1833" w:type="dxa"/>
          </w:tcPr>
          <w:p w14:paraId="7DE702C1" w14:textId="77777777" w:rsidR="000A4948" w:rsidRDefault="000A4948" w:rsidP="000A4948"/>
        </w:tc>
        <w:tc>
          <w:tcPr>
            <w:tcW w:w="2078" w:type="dxa"/>
          </w:tcPr>
          <w:p w14:paraId="2261AD83" w14:textId="07E9FF05" w:rsidR="000A4948" w:rsidRDefault="000A4948" w:rsidP="000A4948">
            <w:r>
              <w:t>Тинитус</w:t>
            </w:r>
          </w:p>
        </w:tc>
        <w:tc>
          <w:tcPr>
            <w:tcW w:w="1390" w:type="dxa"/>
          </w:tcPr>
          <w:p w14:paraId="184A36C3" w14:textId="77777777" w:rsidR="000A4948" w:rsidRDefault="000A4948" w:rsidP="000A4948"/>
        </w:tc>
        <w:tc>
          <w:tcPr>
            <w:tcW w:w="2287" w:type="dxa"/>
          </w:tcPr>
          <w:p w14:paraId="722384D8" w14:textId="36E928CD" w:rsidR="000A4948" w:rsidRDefault="000A4948" w:rsidP="000A4948">
            <w:r>
              <w:t>Увреждане на слуха</w:t>
            </w:r>
          </w:p>
        </w:tc>
      </w:tr>
      <w:tr w:rsidR="000A4948" w14:paraId="30F77892" w14:textId="77777777" w:rsidTr="000A4948">
        <w:tc>
          <w:tcPr>
            <w:tcW w:w="1762" w:type="dxa"/>
          </w:tcPr>
          <w:p w14:paraId="0634C188" w14:textId="29CF0CFA" w:rsidR="000A4948" w:rsidRDefault="000A4948" w:rsidP="000A4948">
            <w:r>
              <w:rPr>
                <w:i/>
                <w:iCs/>
                <w:u w:val="single"/>
              </w:rPr>
              <w:t>Сърдечни нарушения</w:t>
            </w:r>
          </w:p>
        </w:tc>
        <w:tc>
          <w:tcPr>
            <w:tcW w:w="1833" w:type="dxa"/>
          </w:tcPr>
          <w:p w14:paraId="30F13841" w14:textId="77777777" w:rsidR="000A4948" w:rsidRDefault="000A4948" w:rsidP="000A4948"/>
        </w:tc>
        <w:tc>
          <w:tcPr>
            <w:tcW w:w="2078" w:type="dxa"/>
            <w:vAlign w:val="bottom"/>
          </w:tcPr>
          <w:p w14:paraId="3107D1C8" w14:textId="073197C2" w:rsidR="000A4948" w:rsidRDefault="000A4948" w:rsidP="000A4948">
            <w:r>
              <w:t>Миокардна исхсмия, включително ангина пекторис, тахикардия, аритмия, палпитации, периферен едем</w:t>
            </w:r>
          </w:p>
        </w:tc>
        <w:tc>
          <w:tcPr>
            <w:tcW w:w="1390" w:type="dxa"/>
          </w:tcPr>
          <w:p w14:paraId="1407BA07" w14:textId="77777777" w:rsidR="000A4948" w:rsidRDefault="000A4948" w:rsidP="000A4948"/>
        </w:tc>
        <w:tc>
          <w:tcPr>
            <w:tcW w:w="2287" w:type="dxa"/>
          </w:tcPr>
          <w:p w14:paraId="07786641" w14:textId="1497A527" w:rsidR="000A4948" w:rsidRDefault="000A4948" w:rsidP="000A4948">
            <w:r>
              <w:t>Миокарден инфаркт</w:t>
            </w:r>
          </w:p>
        </w:tc>
      </w:tr>
      <w:tr w:rsidR="000A4948" w14:paraId="1226D40F" w14:textId="77777777" w:rsidTr="000A4948">
        <w:tc>
          <w:tcPr>
            <w:tcW w:w="1762" w:type="dxa"/>
          </w:tcPr>
          <w:p w14:paraId="20D95248" w14:textId="18A77B13" w:rsidR="000A4948" w:rsidRDefault="000A4948" w:rsidP="000A4948">
            <w:r>
              <w:rPr>
                <w:i/>
                <w:iCs/>
                <w:u w:val="single"/>
              </w:rPr>
              <w:t>Съдови нарушения</w:t>
            </w:r>
          </w:p>
        </w:tc>
        <w:tc>
          <w:tcPr>
            <w:tcW w:w="1833" w:type="dxa"/>
          </w:tcPr>
          <w:p w14:paraId="4C365472" w14:textId="77777777" w:rsidR="000A4948" w:rsidRDefault="000A4948" w:rsidP="000A4948"/>
        </w:tc>
        <w:tc>
          <w:tcPr>
            <w:tcW w:w="2078" w:type="dxa"/>
          </w:tcPr>
          <w:p w14:paraId="5B526D68" w14:textId="6C293A54" w:rsidR="000A4948" w:rsidRDefault="000A4948" w:rsidP="000A4948">
            <w:r>
              <w:t>Хипотония, ортостатично намаляване на кръвното налягане, синкоп, зачервяване</w:t>
            </w:r>
          </w:p>
        </w:tc>
        <w:tc>
          <w:tcPr>
            <w:tcW w:w="1390" w:type="dxa"/>
          </w:tcPr>
          <w:p w14:paraId="043C2060" w14:textId="77777777" w:rsidR="000A4948" w:rsidRDefault="000A4948" w:rsidP="000A4948"/>
        </w:tc>
        <w:tc>
          <w:tcPr>
            <w:tcW w:w="2287" w:type="dxa"/>
            <w:vAlign w:val="bottom"/>
          </w:tcPr>
          <w:p w14:paraId="11B2C471" w14:textId="04AF8BBA" w:rsidR="000A4948" w:rsidRDefault="000A4948" w:rsidP="000A4948">
            <w:r>
              <w:t xml:space="preserve">Тромбоза свързана със силно намален обем на телесните течности, стесняване на съдовете, хипоперфузия, феномен на </w:t>
            </w:r>
            <w:r>
              <w:rPr>
                <w:lang w:val="en-US"/>
              </w:rPr>
              <w:t xml:space="preserve">Raynaud, </w:t>
            </w:r>
            <w:r>
              <w:t>васкулит</w:t>
            </w:r>
          </w:p>
        </w:tc>
      </w:tr>
      <w:tr w:rsidR="000A4948" w14:paraId="2A61E669" w14:textId="77777777" w:rsidTr="000A4948">
        <w:tc>
          <w:tcPr>
            <w:tcW w:w="1762" w:type="dxa"/>
          </w:tcPr>
          <w:p w14:paraId="76A1EEFB" w14:textId="5D8FFE90" w:rsidR="000A4948" w:rsidRDefault="000A4948" w:rsidP="000A4948">
            <w:r>
              <w:rPr>
                <w:i/>
                <w:iCs/>
                <w:u w:val="single"/>
              </w:rPr>
              <w:t>Респираторни , гръдни и медиастиналн и нарушения</w:t>
            </w:r>
          </w:p>
        </w:tc>
        <w:tc>
          <w:tcPr>
            <w:tcW w:w="1833" w:type="dxa"/>
          </w:tcPr>
          <w:p w14:paraId="3D5A017B" w14:textId="7825C9A7" w:rsidR="000A4948" w:rsidRDefault="000A4948" w:rsidP="000A4948">
            <w:r>
              <w:t>Непродуктивна дразнеща кашлица, бронхит</w:t>
            </w:r>
          </w:p>
        </w:tc>
        <w:tc>
          <w:tcPr>
            <w:tcW w:w="2078" w:type="dxa"/>
          </w:tcPr>
          <w:p w14:paraId="40F78D8C" w14:textId="5CB608B9" w:rsidR="000A4948" w:rsidRDefault="000A4948" w:rsidP="000A4948">
            <w:r>
              <w:t>Синузит, диспнея, назална конгестия (запушен нос)</w:t>
            </w:r>
          </w:p>
        </w:tc>
        <w:tc>
          <w:tcPr>
            <w:tcW w:w="1390" w:type="dxa"/>
          </w:tcPr>
          <w:p w14:paraId="73FE00BC" w14:textId="4E798131" w:rsidR="000A4948" w:rsidRDefault="000A4948" w:rsidP="000A4948">
            <w:r>
              <w:t xml:space="preserve">Остър респиратор ен дистрес синдром </w:t>
            </w:r>
            <w:r>
              <w:rPr>
                <w:lang w:val="en-US"/>
              </w:rPr>
              <w:t xml:space="preserve">(ARDS) </w:t>
            </w:r>
            <w:r>
              <w:t>(вж. точка 4.4)</w:t>
            </w:r>
          </w:p>
        </w:tc>
        <w:tc>
          <w:tcPr>
            <w:tcW w:w="2287" w:type="dxa"/>
            <w:vAlign w:val="bottom"/>
          </w:tcPr>
          <w:p w14:paraId="265E026E" w14:textId="77777777" w:rsidR="000A4948" w:rsidRDefault="000A4948" w:rsidP="000A4948">
            <w:r>
              <w:t>Бронхоспазъм, включително обострена астма</w:t>
            </w:r>
          </w:p>
          <w:p w14:paraId="726F1412" w14:textId="7F8FF054" w:rsidR="000A4948" w:rsidRDefault="000A4948" w:rsidP="000A4948">
            <w:r>
              <w:t>Алергичен алвеолит, некардиогенен белодробен оток поради хидрохлоротиазид</w:t>
            </w:r>
          </w:p>
        </w:tc>
      </w:tr>
      <w:tr w:rsidR="000A4948" w14:paraId="794F2208" w14:textId="77777777" w:rsidTr="000A4948">
        <w:tc>
          <w:tcPr>
            <w:tcW w:w="1762" w:type="dxa"/>
          </w:tcPr>
          <w:p w14:paraId="08D104F8" w14:textId="5003B376" w:rsidR="000A4948" w:rsidRDefault="000A4948" w:rsidP="000A4948">
            <w:r>
              <w:rPr>
                <w:i/>
                <w:iCs/>
                <w:u w:val="single"/>
              </w:rPr>
              <w:t>Стомашно- чревни нарушения</w:t>
            </w:r>
          </w:p>
        </w:tc>
        <w:tc>
          <w:tcPr>
            <w:tcW w:w="1833" w:type="dxa"/>
          </w:tcPr>
          <w:p w14:paraId="55B841C2" w14:textId="77777777" w:rsidR="000A4948" w:rsidRDefault="000A4948" w:rsidP="000A4948"/>
        </w:tc>
        <w:tc>
          <w:tcPr>
            <w:tcW w:w="2078" w:type="dxa"/>
          </w:tcPr>
          <w:p w14:paraId="390893E7" w14:textId="77777777" w:rsidR="000A4948" w:rsidRDefault="000A4948" w:rsidP="000A4948">
            <w:r>
              <w:t>Стомашно-чревно възпаление, храносмилателни смущения, коремен дискомфорт, диспепсия, гастрит, гадене, запек</w:t>
            </w:r>
          </w:p>
          <w:p w14:paraId="18BF9B00" w14:textId="191EDD30" w:rsidR="000A4948" w:rsidRDefault="000A4948" w:rsidP="000A4948">
            <w:r>
              <w:t>Гингивит свързан с хидрохлоротиазид</w:t>
            </w:r>
          </w:p>
        </w:tc>
        <w:tc>
          <w:tcPr>
            <w:tcW w:w="1390" w:type="dxa"/>
          </w:tcPr>
          <w:p w14:paraId="09AA1B95" w14:textId="50182CDD" w:rsidR="000A4948" w:rsidRDefault="000A4948" w:rsidP="000A4948">
            <w:r>
              <w:t>Повръщане Афтозен стоматит, глосит, диария, болка в горната част на корема, сухота в устата</w:t>
            </w:r>
          </w:p>
        </w:tc>
        <w:tc>
          <w:tcPr>
            <w:tcW w:w="2287" w:type="dxa"/>
          </w:tcPr>
          <w:p w14:paraId="4A7DFD7D" w14:textId="77777777" w:rsidR="000A4948" w:rsidRDefault="000A4948" w:rsidP="000A4948">
            <w:r>
              <w:t>Панкреатит (случаи с фатален изход са съобщавани изключително рядко при лечение с АСЕ инхибитори), повишаване на панкреасните ензими, ангиоедем на тънкото черво</w:t>
            </w:r>
          </w:p>
          <w:p w14:paraId="5DF0C8AB" w14:textId="5E729121" w:rsidR="000A4948" w:rsidRDefault="000A4948" w:rsidP="000A4948">
            <w:r>
              <w:t>Сиалоаденит свързан с хидрохлоротиазид</w:t>
            </w:r>
          </w:p>
        </w:tc>
      </w:tr>
      <w:tr w:rsidR="000A4948" w14:paraId="01F52100" w14:textId="77777777" w:rsidTr="000A4948">
        <w:tc>
          <w:tcPr>
            <w:tcW w:w="1762" w:type="dxa"/>
          </w:tcPr>
          <w:p w14:paraId="6BD98BE8" w14:textId="6C368E54" w:rsidR="000A4948" w:rsidRDefault="000A4948" w:rsidP="000A4948">
            <w:r>
              <w:rPr>
                <w:i/>
                <w:iCs/>
                <w:u w:val="single"/>
              </w:rPr>
              <w:lastRenderedPageBreak/>
              <w:t>Хепато- билиарни нарушения</w:t>
            </w:r>
          </w:p>
        </w:tc>
        <w:tc>
          <w:tcPr>
            <w:tcW w:w="1833" w:type="dxa"/>
          </w:tcPr>
          <w:p w14:paraId="13D93EFE" w14:textId="77777777" w:rsidR="000A4948" w:rsidRDefault="000A4948" w:rsidP="000A4948"/>
        </w:tc>
        <w:tc>
          <w:tcPr>
            <w:tcW w:w="2078" w:type="dxa"/>
            <w:vAlign w:val="bottom"/>
          </w:tcPr>
          <w:p w14:paraId="03FF2993" w14:textId="77777777" w:rsidR="000A4948" w:rsidRDefault="000A4948" w:rsidP="000A4948">
            <w:r>
              <w:t>Холестатичен или цитолитичен хепатит (изключително рядко с фатален изход), повишени нива на чернодробните ензими и/ или конюгирания билирубин</w:t>
            </w:r>
          </w:p>
          <w:p w14:paraId="1052458E" w14:textId="6EEAA605" w:rsidR="000A4948" w:rsidRDefault="000A4948" w:rsidP="000A4948">
            <w:r>
              <w:t>Калкулозен</w:t>
            </w:r>
          </w:p>
        </w:tc>
        <w:tc>
          <w:tcPr>
            <w:tcW w:w="1390" w:type="dxa"/>
          </w:tcPr>
          <w:p w14:paraId="3F4323AA" w14:textId="77777777" w:rsidR="000A4948" w:rsidRDefault="000A4948" w:rsidP="000A4948"/>
        </w:tc>
        <w:tc>
          <w:tcPr>
            <w:tcW w:w="2287" w:type="dxa"/>
          </w:tcPr>
          <w:p w14:paraId="3AF001CE" w14:textId="77777777" w:rsidR="000A4948" w:rsidRDefault="000A4948" w:rsidP="000A4948">
            <w:r>
              <w:t>Остра чернодробна недостатъчност, холестатична жълтеница, хепатоцелуларно</w:t>
            </w:r>
          </w:p>
          <w:p w14:paraId="0DBC0AC0" w14:textId="24821C92" w:rsidR="000A4948" w:rsidRDefault="000A4948" w:rsidP="000A4948">
            <w:r>
              <w:t>увреждане</w:t>
            </w:r>
          </w:p>
        </w:tc>
      </w:tr>
      <w:tr w:rsidR="000A4948" w14:paraId="59C5CB0D" w14:textId="77777777" w:rsidTr="000A4948">
        <w:tc>
          <w:tcPr>
            <w:tcW w:w="1762" w:type="dxa"/>
          </w:tcPr>
          <w:p w14:paraId="33FFA7C9" w14:textId="77777777" w:rsidR="000A4948" w:rsidRDefault="000A4948" w:rsidP="000A4948"/>
        </w:tc>
        <w:tc>
          <w:tcPr>
            <w:tcW w:w="1833" w:type="dxa"/>
          </w:tcPr>
          <w:p w14:paraId="71D498FE" w14:textId="77777777" w:rsidR="000A4948" w:rsidRDefault="000A4948" w:rsidP="000A4948"/>
        </w:tc>
        <w:tc>
          <w:tcPr>
            <w:tcW w:w="2078" w:type="dxa"/>
            <w:vAlign w:val="bottom"/>
          </w:tcPr>
          <w:p w14:paraId="03FE4A5A" w14:textId="16E4C1EB" w:rsidR="000A4948" w:rsidRDefault="000A4948" w:rsidP="000A4948">
            <w:r>
              <w:t>холецистит поради хидрохлоротиазид</w:t>
            </w:r>
          </w:p>
        </w:tc>
        <w:tc>
          <w:tcPr>
            <w:tcW w:w="1390" w:type="dxa"/>
          </w:tcPr>
          <w:p w14:paraId="4D771EC2" w14:textId="77777777" w:rsidR="000A4948" w:rsidRDefault="000A4948" w:rsidP="000A4948"/>
        </w:tc>
        <w:tc>
          <w:tcPr>
            <w:tcW w:w="2287" w:type="dxa"/>
          </w:tcPr>
          <w:p w14:paraId="6DE3DDED" w14:textId="77777777" w:rsidR="000A4948" w:rsidRDefault="000A4948" w:rsidP="000A4948"/>
        </w:tc>
      </w:tr>
      <w:tr w:rsidR="000A4948" w14:paraId="07F122C8" w14:textId="77777777" w:rsidTr="000A4948">
        <w:tc>
          <w:tcPr>
            <w:tcW w:w="1762" w:type="dxa"/>
          </w:tcPr>
          <w:p w14:paraId="140B989A" w14:textId="5E328380" w:rsidR="000A4948" w:rsidRDefault="000A4948" w:rsidP="000A4948">
            <w:r>
              <w:rPr>
                <w:i/>
                <w:iCs/>
                <w:u w:val="single"/>
              </w:rPr>
              <w:t>Нарушения на кожата и подкожната тъкан</w:t>
            </w:r>
          </w:p>
        </w:tc>
        <w:tc>
          <w:tcPr>
            <w:tcW w:w="1833" w:type="dxa"/>
          </w:tcPr>
          <w:p w14:paraId="1BEA0E7C" w14:textId="77777777" w:rsidR="000A4948" w:rsidRDefault="000A4948" w:rsidP="000A4948"/>
        </w:tc>
        <w:tc>
          <w:tcPr>
            <w:tcW w:w="2078" w:type="dxa"/>
          </w:tcPr>
          <w:p w14:paraId="7D3A69E9" w14:textId="52EBB2E5" w:rsidR="000A4948" w:rsidRDefault="000A4948" w:rsidP="000A4948">
            <w:r>
              <w:t>Ангиоедем; изключително рядко обструкция на въздухоносните пътища в резултат от ангиоедем може да има фатален изход; псориатичен дерматит, хиперхидроза, обрив в частност макуло- папулозен, пруритус, алопеция</w:t>
            </w:r>
          </w:p>
        </w:tc>
        <w:tc>
          <w:tcPr>
            <w:tcW w:w="1390" w:type="dxa"/>
          </w:tcPr>
          <w:p w14:paraId="44FDF8B2" w14:textId="77777777" w:rsidR="000A4948" w:rsidRDefault="000A4948" w:rsidP="000A4948"/>
        </w:tc>
        <w:tc>
          <w:tcPr>
            <w:tcW w:w="2287" w:type="dxa"/>
            <w:vAlign w:val="bottom"/>
          </w:tcPr>
          <w:p w14:paraId="373AE7FD" w14:textId="77777777" w:rsidR="000A4948" w:rsidRDefault="000A4948" w:rsidP="000A4948">
            <w:r>
              <w:t xml:space="preserve">Токсична епидермална некролиза, синдром на </w:t>
            </w:r>
            <w:r>
              <w:rPr>
                <w:lang w:val="en-US"/>
              </w:rPr>
              <w:t xml:space="preserve">Stevens-Johnson, </w:t>
            </w:r>
            <w:r>
              <w:t>еритема мултиформе, пемфигус, обострен псориазис, ексфолиативен дерматит, реакция на фоточувствителност , онихолиза, пемфигоиден или лихеноиден екзантем или енантем, уртикария</w:t>
            </w:r>
          </w:p>
          <w:p w14:paraId="5E3A919D" w14:textId="69E2A4DB" w:rsidR="000A4948" w:rsidRDefault="000A4948" w:rsidP="000A4948">
            <w:r>
              <w:t>Системен еритематозен лупус поради хидрохлоротиазид</w:t>
            </w:r>
          </w:p>
        </w:tc>
      </w:tr>
      <w:tr w:rsidR="000A4948" w14:paraId="14E73842" w14:textId="77777777" w:rsidTr="000A4948">
        <w:tc>
          <w:tcPr>
            <w:tcW w:w="1762" w:type="dxa"/>
          </w:tcPr>
          <w:p w14:paraId="48D017F7" w14:textId="36DB5E7E" w:rsidR="000A4948" w:rsidRDefault="000A4948" w:rsidP="000A4948">
            <w:r>
              <w:rPr>
                <w:i/>
                <w:iCs/>
                <w:u w:val="single"/>
              </w:rPr>
              <w:t>Нарушения на мускулно- скелетната система и съединителна та тъкан</w:t>
            </w:r>
          </w:p>
        </w:tc>
        <w:tc>
          <w:tcPr>
            <w:tcW w:w="1833" w:type="dxa"/>
          </w:tcPr>
          <w:p w14:paraId="7234393E" w14:textId="77777777" w:rsidR="000A4948" w:rsidRDefault="000A4948" w:rsidP="000A4948"/>
        </w:tc>
        <w:tc>
          <w:tcPr>
            <w:tcW w:w="2078" w:type="dxa"/>
          </w:tcPr>
          <w:p w14:paraId="5884E98C" w14:textId="18C4E80F" w:rsidR="000A4948" w:rsidRDefault="000A4948" w:rsidP="000A4948">
            <w:r>
              <w:t>Миалгия</w:t>
            </w:r>
          </w:p>
        </w:tc>
        <w:tc>
          <w:tcPr>
            <w:tcW w:w="1390" w:type="dxa"/>
          </w:tcPr>
          <w:p w14:paraId="7E007A98" w14:textId="77777777" w:rsidR="000A4948" w:rsidRDefault="000A4948" w:rsidP="000A4948"/>
        </w:tc>
        <w:tc>
          <w:tcPr>
            <w:tcW w:w="2287" w:type="dxa"/>
            <w:vAlign w:val="bottom"/>
          </w:tcPr>
          <w:p w14:paraId="55074A96" w14:textId="77777777" w:rsidR="000A4948" w:rsidRDefault="000A4948" w:rsidP="000A4948">
            <w:r>
              <w:t>Артралгия, мускулни спазми</w:t>
            </w:r>
          </w:p>
          <w:p w14:paraId="736C1825" w14:textId="13C52CBE" w:rsidR="000A4948" w:rsidRDefault="000A4948" w:rsidP="000A4948">
            <w:r>
              <w:t>Мускулна слабост, скелетно-мускулна скованост, тетания поради хидрохлоротиазид</w:t>
            </w:r>
          </w:p>
        </w:tc>
      </w:tr>
      <w:tr w:rsidR="000A4948" w14:paraId="722BDEC9" w14:textId="77777777" w:rsidTr="000A4948">
        <w:tc>
          <w:tcPr>
            <w:tcW w:w="1762" w:type="dxa"/>
          </w:tcPr>
          <w:p w14:paraId="0565F659" w14:textId="0E523D1C" w:rsidR="000A4948" w:rsidRDefault="000A4948" w:rsidP="000A4948">
            <w:r>
              <w:rPr>
                <w:i/>
                <w:iCs/>
                <w:u w:val="single"/>
              </w:rPr>
              <w:t xml:space="preserve">Нарушения на бъбреците и </w:t>
            </w:r>
            <w:r>
              <w:rPr>
                <w:i/>
                <w:iCs/>
                <w:u w:val="single"/>
              </w:rPr>
              <w:lastRenderedPageBreak/>
              <w:t>пикочните пътища</w:t>
            </w:r>
          </w:p>
        </w:tc>
        <w:tc>
          <w:tcPr>
            <w:tcW w:w="1833" w:type="dxa"/>
          </w:tcPr>
          <w:p w14:paraId="33A87AEA" w14:textId="77777777" w:rsidR="000A4948" w:rsidRDefault="000A4948" w:rsidP="000A4948"/>
        </w:tc>
        <w:tc>
          <w:tcPr>
            <w:tcW w:w="2078" w:type="dxa"/>
          </w:tcPr>
          <w:p w14:paraId="618040E4" w14:textId="03FF049C" w:rsidR="000A4948" w:rsidRDefault="000A4948" w:rsidP="000A4948">
            <w:r>
              <w:t xml:space="preserve">Бъбречно увреждане, включително </w:t>
            </w:r>
            <w:r>
              <w:lastRenderedPageBreak/>
              <w:t>остра бъбречна недостатъчност, полиурия, повишена урея в кръвта, повишен креатинин в кръвта</w:t>
            </w:r>
          </w:p>
        </w:tc>
        <w:tc>
          <w:tcPr>
            <w:tcW w:w="1390" w:type="dxa"/>
          </w:tcPr>
          <w:p w14:paraId="10465B86" w14:textId="77777777" w:rsidR="000A4948" w:rsidRDefault="000A4948" w:rsidP="000A4948"/>
        </w:tc>
        <w:tc>
          <w:tcPr>
            <w:tcW w:w="2287" w:type="dxa"/>
          </w:tcPr>
          <w:p w14:paraId="6960994E" w14:textId="77777777" w:rsidR="000A4948" w:rsidRDefault="000A4948" w:rsidP="000A4948">
            <w:r>
              <w:t>Влошаване на съществуваща протеинурия</w:t>
            </w:r>
          </w:p>
          <w:p w14:paraId="7631DE58" w14:textId="39E62DDD" w:rsidR="000A4948" w:rsidRDefault="000A4948" w:rsidP="000A4948">
            <w:r>
              <w:lastRenderedPageBreak/>
              <w:t>Интерстициален нефрит свързан с хидрохлоротиазид</w:t>
            </w:r>
          </w:p>
        </w:tc>
      </w:tr>
      <w:tr w:rsidR="000A4948" w14:paraId="26BA617D" w14:textId="77777777" w:rsidTr="000A4948">
        <w:tc>
          <w:tcPr>
            <w:tcW w:w="1762" w:type="dxa"/>
          </w:tcPr>
          <w:p w14:paraId="180EB8F0" w14:textId="4E7A39AC" w:rsidR="000A4948" w:rsidRDefault="000A4948" w:rsidP="000A4948">
            <w:r>
              <w:rPr>
                <w:i/>
                <w:iCs/>
                <w:u w:val="single"/>
              </w:rPr>
              <w:lastRenderedPageBreak/>
              <w:t>Нарушения на възпризводит едната система и гърдата</w:t>
            </w:r>
          </w:p>
        </w:tc>
        <w:tc>
          <w:tcPr>
            <w:tcW w:w="1833" w:type="dxa"/>
          </w:tcPr>
          <w:p w14:paraId="07D982AB" w14:textId="77777777" w:rsidR="000A4948" w:rsidRDefault="000A4948" w:rsidP="000A4948"/>
        </w:tc>
        <w:tc>
          <w:tcPr>
            <w:tcW w:w="2078" w:type="dxa"/>
          </w:tcPr>
          <w:p w14:paraId="3E76856E" w14:textId="420352C7" w:rsidR="000A4948" w:rsidRDefault="000A4948" w:rsidP="000A4948">
            <w:r>
              <w:t>Преходна еректилна импотенция</w:t>
            </w:r>
          </w:p>
        </w:tc>
        <w:tc>
          <w:tcPr>
            <w:tcW w:w="1390" w:type="dxa"/>
          </w:tcPr>
          <w:p w14:paraId="63E9A659" w14:textId="77777777" w:rsidR="000A4948" w:rsidRDefault="000A4948" w:rsidP="000A4948"/>
        </w:tc>
        <w:tc>
          <w:tcPr>
            <w:tcW w:w="2287" w:type="dxa"/>
          </w:tcPr>
          <w:p w14:paraId="159F98EC" w14:textId="148B6739" w:rsidR="000A4948" w:rsidRDefault="000A4948" w:rsidP="000A4948">
            <w:r>
              <w:t>Понижено либидо, гинекомастия</w:t>
            </w:r>
          </w:p>
        </w:tc>
      </w:tr>
      <w:tr w:rsidR="000A4948" w14:paraId="26D14091" w14:textId="77777777" w:rsidTr="000A4948">
        <w:tc>
          <w:tcPr>
            <w:tcW w:w="1762" w:type="dxa"/>
          </w:tcPr>
          <w:p w14:paraId="573AC463" w14:textId="5D8C3669" w:rsidR="000A4948" w:rsidRDefault="000A4948" w:rsidP="000A4948">
            <w:r>
              <w:rPr>
                <w:i/>
                <w:iCs/>
                <w:u w:val="single"/>
              </w:rPr>
              <w:t>Общи нарушения и ефекти на мястото на приложение</w:t>
            </w:r>
          </w:p>
        </w:tc>
        <w:tc>
          <w:tcPr>
            <w:tcW w:w="1833" w:type="dxa"/>
          </w:tcPr>
          <w:p w14:paraId="048CEADA" w14:textId="671036FB" w:rsidR="000A4948" w:rsidRDefault="000A4948" w:rsidP="000A4948">
            <w:r>
              <w:t>Умора, астения</w:t>
            </w:r>
          </w:p>
        </w:tc>
        <w:tc>
          <w:tcPr>
            <w:tcW w:w="2078" w:type="dxa"/>
          </w:tcPr>
          <w:p w14:paraId="2D1A5B5A" w14:textId="741A170B" w:rsidR="000A4948" w:rsidRDefault="000A4948" w:rsidP="000A4948">
            <w:r>
              <w:t>Гръдна болка, пирексия</w:t>
            </w:r>
          </w:p>
        </w:tc>
        <w:tc>
          <w:tcPr>
            <w:tcW w:w="1390" w:type="dxa"/>
          </w:tcPr>
          <w:p w14:paraId="672F6156" w14:textId="77777777" w:rsidR="000A4948" w:rsidRDefault="000A4948" w:rsidP="000A4948"/>
        </w:tc>
        <w:tc>
          <w:tcPr>
            <w:tcW w:w="2287" w:type="dxa"/>
          </w:tcPr>
          <w:p w14:paraId="1FB611B0" w14:textId="77777777" w:rsidR="000A4948" w:rsidRDefault="000A4948" w:rsidP="000A4948"/>
        </w:tc>
      </w:tr>
    </w:tbl>
    <w:p w14:paraId="52433A98" w14:textId="782BBAEC" w:rsidR="00CE0671" w:rsidRDefault="00CE0671" w:rsidP="0091385D"/>
    <w:p w14:paraId="223154A4" w14:textId="77777777" w:rsidR="00CE0671" w:rsidRPr="00CE0671" w:rsidRDefault="00CE0671" w:rsidP="00CE0671">
      <w:pPr>
        <w:spacing w:line="240" w:lineRule="auto"/>
        <w:rPr>
          <w:rFonts w:eastAsia="Times New Roman" w:cs="Arial"/>
          <w:lang w:eastAsia="bg-BG"/>
        </w:rPr>
      </w:pPr>
      <w:r w:rsidRPr="00CE0671">
        <w:rPr>
          <w:rFonts w:eastAsia="Times New Roman" w:cs="Arial"/>
          <w:i/>
          <w:iCs/>
          <w:color w:val="000000"/>
          <w:u w:val="single"/>
          <w:lang w:eastAsia="bg-BG"/>
        </w:rPr>
        <w:t>Съобщаване на подозирани нежелани реакции</w:t>
      </w:r>
    </w:p>
    <w:p w14:paraId="2C3F6F17" w14:textId="77777777" w:rsidR="00CE0671" w:rsidRPr="00CE0671" w:rsidRDefault="00CE0671" w:rsidP="00CE0671">
      <w:pPr>
        <w:rPr>
          <w:rFonts w:eastAsia="Times New Roman" w:cs="Arial"/>
          <w:color w:val="000000"/>
          <w:lang w:eastAsia="bg-BG"/>
        </w:rPr>
      </w:pPr>
    </w:p>
    <w:p w14:paraId="40AEEA8B" w14:textId="714CD976" w:rsidR="00CE0671" w:rsidRPr="00CE0671" w:rsidRDefault="00CE0671" w:rsidP="00CE0671">
      <w:pPr>
        <w:rPr>
          <w:rFonts w:cs="Arial"/>
        </w:rPr>
      </w:pPr>
      <w:r w:rsidRPr="00CE067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CE0671">
        <w:rPr>
          <w:rFonts w:eastAsia="Times New Roman" w:cs="Arial"/>
          <w:lang w:eastAsia="bg-BG"/>
        </w:rPr>
        <w:fldChar w:fldCharType="begin"/>
      </w:r>
      <w:r w:rsidRPr="00CE0671">
        <w:rPr>
          <w:rFonts w:eastAsia="Times New Roman" w:cs="Arial"/>
          <w:lang w:eastAsia="bg-BG"/>
        </w:rPr>
        <w:instrText xml:space="preserve"> HYPERLINK "http://www.bda.bg" </w:instrText>
      </w:r>
      <w:r w:rsidRPr="00CE0671">
        <w:rPr>
          <w:rFonts w:eastAsia="Times New Roman" w:cs="Arial"/>
          <w:lang w:eastAsia="bg-BG"/>
        </w:rPr>
      </w:r>
      <w:r w:rsidRPr="00CE0671">
        <w:rPr>
          <w:rFonts w:eastAsia="Times New Roman" w:cs="Arial"/>
          <w:lang w:eastAsia="bg-BG"/>
        </w:rPr>
        <w:fldChar w:fldCharType="separate"/>
      </w:r>
      <w:r w:rsidRPr="00CE0671">
        <w:rPr>
          <w:rFonts w:eastAsia="Times New Roman" w:cs="Arial"/>
          <w:color w:val="000000"/>
          <w:lang w:val="en-US"/>
        </w:rPr>
        <w:t>www.bda.bg</w:t>
      </w:r>
      <w:r w:rsidRPr="00CE0671">
        <w:rPr>
          <w:rFonts w:eastAsia="Times New Roman" w:cs="Arial"/>
          <w:lang w:eastAsia="bg-BG"/>
        </w:rPr>
        <w:fldChar w:fldCharType="end"/>
      </w:r>
      <w:r w:rsidRPr="00CE0671">
        <w:rPr>
          <w:rFonts w:eastAsia="Times New Roman" w:cs="Arial"/>
          <w:color w:val="000000"/>
          <w:lang w:val="en-US"/>
        </w:rPr>
        <w:t>.</w:t>
      </w:r>
    </w:p>
    <w:p w14:paraId="4A5135E2" w14:textId="77777777" w:rsidR="00CE0671" w:rsidRPr="0091385D" w:rsidRDefault="00CE067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6E9C2FFC" w14:textId="77777777" w:rsidR="00955B93" w:rsidRPr="00955B93" w:rsidRDefault="00955B93" w:rsidP="00955B93">
      <w:pPr>
        <w:pStyle w:val="Heading3"/>
        <w:rPr>
          <w:rFonts w:eastAsia="Times New Roman"/>
          <w:u w:val="single"/>
          <w:lang w:eastAsia="bg-BG"/>
        </w:rPr>
      </w:pPr>
      <w:r w:rsidRPr="00955B93">
        <w:rPr>
          <w:rFonts w:eastAsia="Times New Roman"/>
          <w:u w:val="single"/>
          <w:lang w:eastAsia="bg-BG"/>
        </w:rPr>
        <w:t>Симптоми</w:t>
      </w:r>
    </w:p>
    <w:p w14:paraId="227577CB" w14:textId="77777777" w:rsidR="00955B93" w:rsidRPr="00955B93" w:rsidRDefault="00955B93" w:rsidP="00955B93">
      <w:pPr>
        <w:spacing w:line="240" w:lineRule="auto"/>
        <w:rPr>
          <w:rFonts w:eastAsia="Times New Roman" w:cs="Arial"/>
          <w:color w:val="000000"/>
          <w:lang w:eastAsia="bg-BG"/>
        </w:rPr>
      </w:pPr>
    </w:p>
    <w:p w14:paraId="78E9C5E3" w14:textId="63DCA366"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бъбречна недостатъчност, сърдечна аритмия, нарушение на съзнанието, включително кома, церебрални конвулсии, парези и паралитичен илеус.</w:t>
      </w:r>
    </w:p>
    <w:p w14:paraId="3B5992AC"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При предразположени пациенти (напр. простатна хиперплазия) предозирането на хидрохлоротиазид може да предизвика остра ретенция на урина.</w:t>
      </w:r>
    </w:p>
    <w:p w14:paraId="2CBFB57D" w14:textId="77777777" w:rsidR="00955B93" w:rsidRPr="00955B93" w:rsidRDefault="00955B93" w:rsidP="00955B93">
      <w:pPr>
        <w:spacing w:line="240" w:lineRule="auto"/>
        <w:rPr>
          <w:rFonts w:eastAsia="Times New Roman" w:cs="Arial"/>
          <w:i/>
          <w:iCs/>
          <w:color w:val="000000"/>
          <w:u w:val="single"/>
          <w:lang w:eastAsia="bg-BG"/>
        </w:rPr>
      </w:pPr>
    </w:p>
    <w:p w14:paraId="765C980A" w14:textId="4625A1DF" w:rsidR="00955B93" w:rsidRPr="00955B93" w:rsidRDefault="00955B93" w:rsidP="00955B93">
      <w:pPr>
        <w:pStyle w:val="Heading3"/>
        <w:rPr>
          <w:rFonts w:eastAsia="Times New Roman"/>
          <w:u w:val="single"/>
          <w:lang w:eastAsia="bg-BG"/>
        </w:rPr>
      </w:pPr>
      <w:r w:rsidRPr="00955B93">
        <w:rPr>
          <w:rFonts w:eastAsia="Times New Roman"/>
          <w:u w:val="single"/>
          <w:lang w:eastAsia="bg-BG"/>
        </w:rPr>
        <w:t>Лечение</w:t>
      </w:r>
    </w:p>
    <w:p w14:paraId="5AC57314" w14:textId="77777777" w:rsidR="00955B93" w:rsidRPr="00955B93" w:rsidRDefault="00955B93" w:rsidP="00955B93">
      <w:pPr>
        <w:rPr>
          <w:rFonts w:eastAsia="Times New Roman" w:cs="Arial"/>
          <w:color w:val="000000"/>
          <w:lang w:eastAsia="bg-BG"/>
        </w:rPr>
      </w:pPr>
    </w:p>
    <w:p w14:paraId="0F0079CB" w14:textId="51A24F35" w:rsidR="0091385D" w:rsidRPr="00955B93" w:rsidRDefault="00955B93" w:rsidP="00955B93">
      <w:pPr>
        <w:rPr>
          <w:rFonts w:cs="Arial"/>
        </w:rPr>
      </w:pPr>
      <w:r w:rsidRPr="00955B93">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 кръвообръщение.</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778A1FC"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Фармакотерапевтична група: АСЕ инхибитори и диуретици, рамиприл и диуретици, АТС код : С09ВА05</w:t>
      </w:r>
    </w:p>
    <w:p w14:paraId="3C128175" w14:textId="77777777" w:rsidR="00955B93" w:rsidRPr="00955B93" w:rsidRDefault="00955B93" w:rsidP="00955B93">
      <w:pPr>
        <w:spacing w:line="240" w:lineRule="auto"/>
        <w:rPr>
          <w:rFonts w:eastAsia="Times New Roman" w:cs="Arial"/>
          <w:i/>
          <w:iCs/>
          <w:color w:val="000000"/>
          <w:u w:val="single"/>
          <w:lang w:eastAsia="bg-BG"/>
        </w:rPr>
      </w:pPr>
    </w:p>
    <w:p w14:paraId="19EB281A" w14:textId="4E7D682E"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u w:val="single"/>
          <w:lang w:eastAsia="bg-BG"/>
        </w:rPr>
        <w:t>Механизъм на действие</w:t>
      </w:r>
    </w:p>
    <w:p w14:paraId="07352A05" w14:textId="77777777" w:rsidR="00955B93" w:rsidRPr="00955B93" w:rsidRDefault="00955B93" w:rsidP="00955B93">
      <w:pPr>
        <w:spacing w:line="240" w:lineRule="auto"/>
        <w:rPr>
          <w:rFonts w:eastAsia="Times New Roman" w:cs="Arial"/>
          <w:i/>
          <w:iCs/>
          <w:color w:val="000000"/>
          <w:lang w:eastAsia="bg-BG"/>
        </w:rPr>
      </w:pPr>
    </w:p>
    <w:p w14:paraId="6D6E21F8" w14:textId="2CFD29B1"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lang w:eastAsia="bg-BG"/>
        </w:rPr>
        <w:t>Рамиприл</w:t>
      </w:r>
    </w:p>
    <w:p w14:paraId="351A0D99" w14:textId="77777777"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1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2CFDADB9" w14:textId="77777777" w:rsidR="00955B93" w:rsidRPr="00955B93" w:rsidRDefault="00955B93" w:rsidP="00955B93">
      <w:pPr>
        <w:spacing w:line="240" w:lineRule="auto"/>
        <w:rPr>
          <w:rFonts w:eastAsia="Times New Roman" w:cs="Arial"/>
          <w:color w:val="000000"/>
          <w:lang w:eastAsia="bg-BG"/>
        </w:rPr>
      </w:pPr>
    </w:p>
    <w:p w14:paraId="43886CA4" w14:textId="1D99B691" w:rsidR="00955B93" w:rsidRPr="00955B93" w:rsidRDefault="00955B93" w:rsidP="00955B93">
      <w:pPr>
        <w:spacing w:line="240" w:lineRule="auto"/>
        <w:rPr>
          <w:rFonts w:eastAsia="Times New Roman" w:cs="Arial"/>
          <w:sz w:val="24"/>
          <w:szCs w:val="24"/>
          <w:lang w:eastAsia="bg-BG"/>
        </w:rPr>
      </w:pPr>
      <w:r w:rsidRPr="00955B93">
        <w:rPr>
          <w:rFonts w:eastAsia="Times New Roman" w:cs="Arial"/>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w:t>
      </w:r>
      <w:r w:rsidRPr="00955B93">
        <w:rPr>
          <w:rFonts w:eastAsia="Times New Roman" w:cs="Arial"/>
          <w:b/>
          <w:bCs/>
          <w:color w:val="000000"/>
          <w:lang w:eastAsia="bg-BG"/>
        </w:rPr>
        <w:t xml:space="preserve"> </w:t>
      </w:r>
      <w:r w:rsidRPr="00955B93">
        <w:rPr>
          <w:rFonts w:eastAsia="Times New Roman" w:cs="Arial"/>
          <w:color w:val="000000"/>
          <w:lang w:eastAsia="bg-BG"/>
        </w:rPr>
        <w:t>(обикновено популация с хипертония с нисък ренин), отколкото при нечернокожни пациенти.</w:t>
      </w:r>
    </w:p>
    <w:p w14:paraId="28B2B184" w14:textId="77777777" w:rsidR="00955B93" w:rsidRPr="00955B93" w:rsidRDefault="00955B93" w:rsidP="00955B93">
      <w:pPr>
        <w:spacing w:line="240" w:lineRule="auto"/>
        <w:rPr>
          <w:rFonts w:eastAsia="Times New Roman" w:cs="Arial"/>
          <w:i/>
          <w:iCs/>
          <w:color w:val="000000"/>
          <w:lang w:eastAsia="bg-BG"/>
        </w:rPr>
      </w:pPr>
    </w:p>
    <w:p w14:paraId="63BCA30C" w14:textId="1AFE4BE8" w:rsidR="00955B93" w:rsidRPr="00955B93" w:rsidRDefault="00955B93" w:rsidP="00955B93">
      <w:pPr>
        <w:spacing w:line="240" w:lineRule="auto"/>
        <w:rPr>
          <w:rFonts w:eastAsia="Times New Roman" w:cs="Arial"/>
          <w:sz w:val="24"/>
          <w:szCs w:val="24"/>
          <w:lang w:eastAsia="bg-BG"/>
        </w:rPr>
      </w:pPr>
      <w:r w:rsidRPr="00955B93">
        <w:rPr>
          <w:rFonts w:eastAsia="Times New Roman" w:cs="Arial"/>
          <w:i/>
          <w:iCs/>
          <w:color w:val="000000"/>
          <w:lang w:eastAsia="bg-BG"/>
        </w:rPr>
        <w:t>Хидрохлоротиазид</w:t>
      </w:r>
    </w:p>
    <w:p w14:paraId="3D70E10E" w14:textId="77777777" w:rsidR="001C3D11" w:rsidRPr="001C3D11" w:rsidRDefault="00955B93" w:rsidP="001C3D11">
      <w:pPr>
        <w:rPr>
          <w:rFonts w:eastAsia="Times New Roman" w:cs="Arial"/>
          <w:sz w:val="24"/>
          <w:szCs w:val="24"/>
          <w:lang w:eastAsia="bg-BG"/>
        </w:rPr>
      </w:pPr>
      <w:r w:rsidRPr="00955B93">
        <w:rPr>
          <w:rFonts w:eastAsia="Times New Roman" w:cs="Arial"/>
          <w:color w:val="000000"/>
          <w:lang w:eastAsia="bg-BG"/>
        </w:rPr>
        <w:t xml:space="preserve">Хидрохлоротиазид е тиазиден диуретик. Механизмът на антихипертензивния ефект на </w:t>
      </w:r>
      <w:r w:rsidRPr="00955B93">
        <w:rPr>
          <w:rFonts w:eastAsia="Times New Roman" w:cs="Arial"/>
          <w:b/>
          <w:bCs/>
          <w:color w:val="000000"/>
          <w:lang w:eastAsia="bg-BG"/>
        </w:rPr>
        <w:t xml:space="preserve"> </w:t>
      </w:r>
      <w:r w:rsidRPr="00955B93">
        <w:rPr>
          <w:rFonts w:eastAsia="Times New Roman" w:cs="Arial"/>
          <w:color w:val="000000"/>
          <w:lang w:eastAsia="bg-BG"/>
        </w:rPr>
        <w:t xml:space="preserve">тиазидните диуретици не е напълно изяснен. Те инхибират реабсорбцията на натрий и </w:t>
      </w:r>
      <w:r w:rsidRPr="001C3D11">
        <w:rPr>
          <w:rFonts w:eastAsia="Times New Roman" w:cs="Arial"/>
          <w:color w:val="000000"/>
          <w:lang w:eastAsia="bg-BG"/>
        </w:rPr>
        <w:t>хлориди</w:t>
      </w:r>
      <w:r w:rsidR="001C3D11" w:rsidRPr="001C3D11">
        <w:rPr>
          <w:rFonts w:eastAsia="Times New Roman" w:cs="Arial"/>
          <w:color w:val="000000"/>
          <w:lang w:eastAsia="bg-BG"/>
        </w:rPr>
        <w:t xml:space="preserve"> в дисталните тубули. Повишената бъбречна екскреция на тези йони се съпътства от повишено отделяне на урина (поради осмотичното свързване на вода). Калиевата и магнезиева екскреция се повишават, намалява се екскрецията на пикочна киселина. Възможен механизъм на антихипертензивно действие на хидрохлоротиазида може да бъде: променен натриев баланс, намаляване количеството на екстрацелуларната течност и плазмения обем, промяна в бъбречната съдовата резистентност, както и понижен отговор към норепинефрин и ангиотензин II.</w:t>
      </w:r>
    </w:p>
    <w:p w14:paraId="55D29C6F" w14:textId="77777777" w:rsidR="001C3D11" w:rsidRPr="001C3D11" w:rsidRDefault="001C3D11" w:rsidP="001C3D11">
      <w:pPr>
        <w:spacing w:line="240" w:lineRule="auto"/>
        <w:rPr>
          <w:rFonts w:eastAsia="Times New Roman" w:cs="Arial"/>
          <w:i/>
          <w:iCs/>
          <w:color w:val="000000"/>
          <w:u w:val="single"/>
          <w:lang w:eastAsia="bg-BG"/>
        </w:rPr>
      </w:pPr>
    </w:p>
    <w:p w14:paraId="2E76A2AA" w14:textId="7496BCB7"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u w:val="single"/>
          <w:lang w:eastAsia="bg-BG"/>
        </w:rPr>
        <w:t>Фармакодинамични ефекти</w:t>
      </w:r>
    </w:p>
    <w:p w14:paraId="44AB2427" w14:textId="77777777" w:rsidR="001C3D11" w:rsidRPr="001C3D11" w:rsidRDefault="001C3D11" w:rsidP="001C3D11">
      <w:pPr>
        <w:spacing w:line="240" w:lineRule="auto"/>
        <w:rPr>
          <w:rFonts w:eastAsia="Times New Roman" w:cs="Arial"/>
          <w:i/>
          <w:iCs/>
          <w:color w:val="000000"/>
          <w:lang w:eastAsia="bg-BG"/>
        </w:rPr>
      </w:pPr>
    </w:p>
    <w:p w14:paraId="184B1FAA" w14:textId="2B7F1090"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Рамиприл</w:t>
      </w:r>
    </w:p>
    <w:p w14:paraId="150A7050"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4C835F57"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66ED61DF"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3BD09CFA"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lastRenderedPageBreak/>
        <w:t>Рязкото прекъсване приема на рамиприл не води до бърз и прекомерен ребаунд ефект на повишаване на кръвното налягане.</w:t>
      </w:r>
    </w:p>
    <w:p w14:paraId="392715E0" w14:textId="77777777" w:rsidR="001C3D11" w:rsidRPr="001C3D11" w:rsidRDefault="001C3D11" w:rsidP="001C3D11">
      <w:pPr>
        <w:spacing w:line="240" w:lineRule="auto"/>
        <w:rPr>
          <w:rFonts w:eastAsia="Times New Roman" w:cs="Arial"/>
          <w:i/>
          <w:iCs/>
          <w:color w:val="000000"/>
          <w:lang w:eastAsia="bg-BG"/>
        </w:rPr>
      </w:pPr>
    </w:p>
    <w:p w14:paraId="4D22EB0D" w14:textId="710A7493"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Хидрохлоротиазид</w:t>
      </w:r>
    </w:p>
    <w:p w14:paraId="4FA02F75"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С</w:t>
      </w:r>
      <w:r w:rsidRPr="001C3D11">
        <w:rPr>
          <w:rFonts w:eastAsia="Times New Roman" w:cs="Arial"/>
          <w:color w:val="000000"/>
          <w:lang w:eastAsia="bg-BG"/>
        </w:rPr>
        <w:t xml:space="preserve"> хидрохлоротиазид началото на диурезата настъпва до 2 часа и пиковият ефект настъпва до 4 часа, като действието продължава приблизително 6 до 12 часа.</w:t>
      </w:r>
    </w:p>
    <w:p w14:paraId="4F497E42"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Началото на антихипертензивния ефект настъпва след 3 до 4 дни и може да продължи до една седмица след прекратяване на терапията.</w:t>
      </w:r>
    </w:p>
    <w:p w14:paraId="517D9340"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Ефектът на понижаване на кръвното налягане се придружава от леко повишаване на фракцията на филтриране, бъбречната съдовата резистентност и активността на плазмения ренин.</w:t>
      </w:r>
    </w:p>
    <w:p w14:paraId="24BFE6EA" w14:textId="77777777" w:rsidR="001C3D11" w:rsidRPr="001C3D11" w:rsidRDefault="001C3D11" w:rsidP="001C3D11">
      <w:pPr>
        <w:spacing w:line="240" w:lineRule="auto"/>
        <w:rPr>
          <w:rFonts w:eastAsia="Times New Roman" w:cs="Arial"/>
          <w:i/>
          <w:iCs/>
          <w:color w:val="000000"/>
          <w:lang w:eastAsia="bg-BG"/>
        </w:rPr>
      </w:pPr>
    </w:p>
    <w:p w14:paraId="5986DFF5" w14:textId="25DCDAB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Едновременно прилагане на рамиприл-хидрохлоротиазид</w:t>
      </w:r>
    </w:p>
    <w:p w14:paraId="264A8E73"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При клинични изпитвания, комбинацията води до по-голямо намаляване на кръвното налягане, отколкото при самостоятелното прилагане на продуктите. Вероятно чрез блокиране на рснин- ангиотензин-алдостерон системата, едновременното прилагане на рамиприл и хидрохлоротиазид води до обратима загуба на калий, свързана с този клас диуретици. Комбинацията от АСЕ -инхибитор с тиазиден диуретик дава синергичен ефект и намаляване на риска от хипокалиемия, провокирана при самостоятелна употреба на диуретика.</w:t>
      </w:r>
    </w:p>
    <w:p w14:paraId="23A75DD4" w14:textId="77777777" w:rsidR="001C3D11" w:rsidRPr="001C3D11" w:rsidRDefault="001C3D11" w:rsidP="001C3D11">
      <w:pPr>
        <w:spacing w:line="240" w:lineRule="auto"/>
        <w:rPr>
          <w:rFonts w:eastAsia="Times New Roman" w:cs="Arial"/>
          <w:i/>
          <w:iCs/>
          <w:color w:val="000000"/>
          <w:u w:val="single"/>
          <w:lang w:eastAsia="bg-BG"/>
        </w:rPr>
      </w:pPr>
    </w:p>
    <w:p w14:paraId="1547A074" w14:textId="694553A9"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u w:val="single"/>
          <w:lang w:eastAsia="bg-BG"/>
        </w:rPr>
        <w:t>Клинична ефикасност и безопасност</w:t>
      </w:r>
    </w:p>
    <w:p w14:paraId="055EEDFE" w14:textId="77777777" w:rsidR="001C3D11" w:rsidRPr="001C3D11" w:rsidRDefault="001C3D11" w:rsidP="001C3D11">
      <w:pPr>
        <w:spacing w:line="240" w:lineRule="auto"/>
        <w:rPr>
          <w:rFonts w:eastAsia="Times New Roman" w:cs="Arial"/>
          <w:i/>
          <w:iCs/>
          <w:color w:val="000000"/>
          <w:lang w:eastAsia="bg-BG"/>
        </w:rPr>
      </w:pPr>
    </w:p>
    <w:p w14:paraId="77E35156" w14:textId="66C742E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Лека до умерена есенциална хипертония</w:t>
      </w:r>
    </w:p>
    <w:p w14:paraId="66B45038"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Ефикасността на Тритейс Плюс е демонстрирана в две проучвания, включващи пациенти с лека до умерена есенциална хипертония. Първото проучване (534 пацинти) е проучване на дозовия диапазон, сравняващо самостоятелното приложение на рамиприл (2,5 </w:t>
      </w:r>
      <w:r w:rsidRPr="001C3D11">
        <w:rPr>
          <w:rFonts w:eastAsia="Times New Roman" w:cs="Arial"/>
          <w:color w:val="000000"/>
          <w:lang w:val="en-US"/>
        </w:rPr>
        <w:t xml:space="preserve">mg </w:t>
      </w:r>
      <w:r w:rsidRPr="001C3D11">
        <w:rPr>
          <w:rFonts w:eastAsia="Times New Roman" w:cs="Arial"/>
          <w:color w:val="000000"/>
          <w:lang w:eastAsia="bg-BG"/>
        </w:rPr>
        <w:t xml:space="preserve">до 10 </w:t>
      </w:r>
      <w:r w:rsidRPr="001C3D11">
        <w:rPr>
          <w:rFonts w:eastAsia="Times New Roman" w:cs="Arial"/>
          <w:color w:val="000000"/>
          <w:lang w:val="en-US"/>
        </w:rPr>
        <w:t xml:space="preserve">mg) </w:t>
      </w:r>
      <w:r w:rsidRPr="001C3D11">
        <w:rPr>
          <w:rFonts w:eastAsia="Times New Roman" w:cs="Arial"/>
          <w:color w:val="000000"/>
          <w:lang w:eastAsia="bg-BG"/>
        </w:rPr>
        <w:t xml:space="preserve">и хидрохлоротиазид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 xml:space="preserve">mg) </w:t>
      </w:r>
      <w:r w:rsidRPr="001C3D11">
        <w:rPr>
          <w:rFonts w:eastAsia="Times New Roman" w:cs="Arial"/>
          <w:color w:val="000000"/>
          <w:lang w:eastAsia="bg-BG"/>
        </w:rPr>
        <w:t xml:space="preserve">или в комбинация. Лечението е прилагано шест </w:t>
      </w:r>
      <w:r w:rsidRPr="001C3D11">
        <w:rPr>
          <w:rFonts w:eastAsia="Times New Roman" w:cs="Arial"/>
          <w:color w:val="000000"/>
          <w:u w:val="single"/>
          <w:lang w:eastAsia="bg-BG"/>
        </w:rPr>
        <w:t xml:space="preserve"> </w:t>
      </w:r>
      <w:r w:rsidRPr="001C3D11">
        <w:rPr>
          <w:rFonts w:eastAsia="Times New Roman" w:cs="Arial"/>
          <w:color w:val="000000"/>
          <w:lang w:eastAsia="bg-BG"/>
        </w:rPr>
        <w:t>седмици след две до 4 седмици начална фаза на плацебо.</w:t>
      </w:r>
    </w:p>
    <w:p w14:paraId="214044A5" w14:textId="5DFCA57C" w:rsidR="001C3D11" w:rsidRPr="001C3D11" w:rsidRDefault="001C3D11" w:rsidP="008E6D0C">
      <w:pPr>
        <w:spacing w:line="240" w:lineRule="auto"/>
        <w:rPr>
          <w:rFonts w:eastAsia="Times New Roman" w:cs="Arial"/>
          <w:sz w:val="24"/>
          <w:szCs w:val="24"/>
          <w:lang w:eastAsia="bg-BG"/>
        </w:rPr>
      </w:pPr>
      <w:r w:rsidRPr="001C3D11">
        <w:rPr>
          <w:rFonts w:eastAsia="Times New Roman" w:cs="Arial"/>
          <w:color w:val="000000"/>
          <w:lang w:eastAsia="bg-BG"/>
        </w:rPr>
        <w:t>Ефикасността е оценена чрез измерване намаляването на кръвното налягане в изправено и</w:t>
      </w:r>
      <w:r w:rsidRPr="001C3D11">
        <w:rPr>
          <w:rFonts w:eastAsia="Times New Roman" w:cs="Arial"/>
          <w:color w:val="000000"/>
          <w:vertAlign w:val="subscript"/>
          <w:lang w:eastAsia="bg-BG"/>
        </w:rPr>
        <w:t xml:space="preserve"> </w:t>
      </w:r>
      <w:r w:rsidRPr="001C3D11">
        <w:rPr>
          <w:rFonts w:eastAsia="Times New Roman" w:cs="Arial"/>
          <w:color w:val="000000"/>
          <w:lang w:eastAsia="bg-BG"/>
        </w:rPr>
        <w:t>легнало положение от края на плацебо фазата до приключването на проучването (последното измерване на всеки пациент). За най-ефективната антихипертензивна доза са потвърдени десет</w:t>
      </w:r>
      <w:r w:rsidR="008E6D0C">
        <w:rPr>
          <w:rFonts w:eastAsia="Times New Roman" w:cs="Arial"/>
          <w:sz w:val="24"/>
          <w:szCs w:val="24"/>
          <w:lang w:eastAsia="bg-BG"/>
        </w:rPr>
        <w:t xml:space="preserve"> </w:t>
      </w:r>
      <w:r w:rsidRPr="001C3D11">
        <w:rPr>
          <w:rFonts w:eastAsia="Times New Roman" w:cs="Arial"/>
          <w:color w:val="000000"/>
          <w:lang w:eastAsia="bg-BG"/>
        </w:rPr>
        <w:t xml:space="preserve">(10) </w:t>
      </w:r>
      <w:r w:rsidRPr="001C3D11">
        <w:rPr>
          <w:rFonts w:eastAsia="Times New Roman" w:cs="Arial"/>
          <w:color w:val="000000"/>
          <w:lang w:val="en-US"/>
        </w:rPr>
        <w:t xml:space="preserve">mg </w:t>
      </w:r>
      <w:r w:rsidRPr="001C3D11">
        <w:rPr>
          <w:rFonts w:eastAsia="Times New Roman" w:cs="Arial"/>
          <w:color w:val="000000"/>
          <w:lang w:eastAsia="bg-BG"/>
        </w:rPr>
        <w:t>рамиприл. Комбинираната терапия с рамиприл и хидрохлоротиазид предизвиква</w:t>
      </w:r>
      <w:r w:rsidR="008E6D0C">
        <w:rPr>
          <w:rFonts w:eastAsia="Times New Roman" w:cs="Arial"/>
          <w:sz w:val="24"/>
          <w:szCs w:val="24"/>
          <w:lang w:eastAsia="bg-BG"/>
        </w:rPr>
        <w:t xml:space="preserve"> </w:t>
      </w:r>
      <w:r w:rsidRPr="001C3D11">
        <w:rPr>
          <w:rFonts w:eastAsia="Times New Roman" w:cs="Arial"/>
          <w:color w:val="000000"/>
          <w:lang w:eastAsia="bg-BG"/>
        </w:rPr>
        <w:t xml:space="preserve">значително по-голямо понижение в кръвното налягане спрямо рамиприл или хидрохлоротиазид, прилагани самостоятелно (р&lt;0,05 за повечето от сравненията);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е по-ефективен, когато е комбиниран с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 xml:space="preserve">mg </w:t>
      </w:r>
      <w:r w:rsidRPr="001C3D11">
        <w:rPr>
          <w:rFonts w:eastAsia="Times New Roman" w:cs="Arial"/>
          <w:color w:val="000000"/>
          <w:lang w:eastAsia="bg-BG"/>
        </w:rPr>
        <w:t xml:space="preserve">хидрохлоротиазид, отколкото прилаган самостоятелно. Като цяло най-обширното значимо намаляване в систоличното кръвно налягане </w:t>
      </w:r>
      <w:r w:rsidRPr="001C3D11">
        <w:rPr>
          <w:rFonts w:eastAsia="Times New Roman" w:cs="Arial"/>
          <w:color w:val="000000"/>
          <w:lang w:val="en-US"/>
        </w:rPr>
        <w:t xml:space="preserve">(SBP) </w:t>
      </w:r>
      <w:r w:rsidRPr="001C3D11">
        <w:rPr>
          <w:rFonts w:eastAsia="Times New Roman" w:cs="Arial"/>
          <w:color w:val="000000"/>
          <w:lang w:eastAsia="bg-BG"/>
        </w:rPr>
        <w:t xml:space="preserve">и диастоличното кръвно налягане </w:t>
      </w:r>
      <w:r w:rsidRPr="001C3D11">
        <w:rPr>
          <w:rFonts w:eastAsia="Times New Roman" w:cs="Arial"/>
          <w:color w:val="000000"/>
          <w:lang w:val="en-US"/>
        </w:rPr>
        <w:t xml:space="preserve">(DBP) </w:t>
      </w:r>
      <w:r w:rsidRPr="001C3D11">
        <w:rPr>
          <w:rFonts w:eastAsia="Times New Roman" w:cs="Arial"/>
          <w:color w:val="000000"/>
          <w:lang w:eastAsia="bg-BG"/>
        </w:rPr>
        <w:t xml:space="preserve">е постигнато с рамиприл 5 </w:t>
      </w:r>
      <w:r w:rsidRPr="001C3D11">
        <w:rPr>
          <w:rFonts w:eastAsia="Times New Roman" w:cs="Arial"/>
          <w:color w:val="000000"/>
          <w:lang w:val="en-US"/>
        </w:rPr>
        <w:t xml:space="preserve">mg </w:t>
      </w:r>
      <w:r w:rsidRPr="001C3D11">
        <w:rPr>
          <w:rFonts w:eastAsia="Times New Roman" w:cs="Arial"/>
          <w:color w:val="000000"/>
          <w:lang w:eastAsia="bg-BG"/>
        </w:rPr>
        <w:t xml:space="preserve">или 10 </w:t>
      </w:r>
      <w:r w:rsidRPr="001C3D11">
        <w:rPr>
          <w:rFonts w:eastAsia="Times New Roman" w:cs="Arial"/>
          <w:color w:val="000000"/>
          <w:lang w:val="en-US"/>
        </w:rPr>
        <w:t xml:space="preserve">mg </w:t>
      </w:r>
      <w:r w:rsidRPr="001C3D11">
        <w:rPr>
          <w:rFonts w:eastAsia="Times New Roman" w:cs="Arial"/>
          <w:color w:val="000000"/>
          <w:lang w:eastAsia="bg-BG"/>
        </w:rPr>
        <w:t xml:space="preserve">комбинирни с хидрохлоротиазид 12,5 </w:t>
      </w:r>
      <w:r w:rsidRPr="001C3D11">
        <w:rPr>
          <w:rFonts w:eastAsia="Times New Roman" w:cs="Arial"/>
          <w:color w:val="000000"/>
          <w:lang w:val="en-US"/>
        </w:rPr>
        <w:t xml:space="preserve">mg </w:t>
      </w:r>
      <w:r w:rsidRPr="001C3D11">
        <w:rPr>
          <w:rFonts w:eastAsia="Times New Roman" w:cs="Arial"/>
          <w:color w:val="000000"/>
          <w:lang w:eastAsia="bg-BG"/>
        </w:rPr>
        <w:t xml:space="preserve">или 25 </w:t>
      </w:r>
      <w:r w:rsidRPr="001C3D11">
        <w:rPr>
          <w:rFonts w:eastAsia="Times New Roman" w:cs="Arial"/>
          <w:color w:val="000000"/>
          <w:lang w:val="en-US"/>
        </w:rPr>
        <w:t>mg.</w:t>
      </w:r>
    </w:p>
    <w:p w14:paraId="39964097"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Второто проучване (192 пациенти) е двойно-сляпо, рандомизирано, паралелно групово с четири седмичен начален период на плацебо, последван от 12 седмици активно лечение. По време на първите 6 седмици от фазата на активно лечение, пациентите приемат или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или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самостоятелно.</w:t>
      </w:r>
    </w:p>
    <w:p w14:paraId="5438A1BE"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Ефикасността се определя чрез измерване на </w:t>
      </w:r>
      <w:r w:rsidRPr="001C3D11">
        <w:rPr>
          <w:rFonts w:eastAsia="Times New Roman" w:cs="Arial"/>
          <w:color w:val="000000"/>
          <w:lang w:val="en-US"/>
        </w:rPr>
        <w:t xml:space="preserve">SBP </w:t>
      </w:r>
      <w:r w:rsidRPr="001C3D11">
        <w:rPr>
          <w:rFonts w:eastAsia="Times New Roman" w:cs="Arial"/>
          <w:color w:val="000000"/>
          <w:lang w:eastAsia="bg-BG"/>
        </w:rPr>
        <w:t xml:space="preserve">и </w:t>
      </w:r>
      <w:r w:rsidRPr="001C3D11">
        <w:rPr>
          <w:rFonts w:eastAsia="Times New Roman" w:cs="Arial"/>
          <w:color w:val="000000"/>
          <w:lang w:val="en-US"/>
        </w:rPr>
        <w:t xml:space="preserve">DBP </w:t>
      </w:r>
      <w:r w:rsidRPr="001C3D11">
        <w:rPr>
          <w:rFonts w:eastAsia="Times New Roman" w:cs="Arial"/>
          <w:color w:val="000000"/>
          <w:lang w:eastAsia="bg-BG"/>
        </w:rPr>
        <w:t xml:space="preserve">в изправено и легнало положение. Като отговор на лечението се дефинира </w:t>
      </w:r>
      <w:r w:rsidRPr="001C3D11">
        <w:rPr>
          <w:rFonts w:eastAsia="Times New Roman" w:cs="Arial"/>
          <w:color w:val="000000"/>
          <w:lang w:val="en-US"/>
        </w:rPr>
        <w:t xml:space="preserve">DBP </w:t>
      </w:r>
      <w:r w:rsidRPr="001C3D11">
        <w:rPr>
          <w:rFonts w:eastAsia="Times New Roman" w:cs="Arial"/>
          <w:color w:val="000000"/>
          <w:lang w:eastAsia="bg-BG"/>
        </w:rPr>
        <w:t xml:space="preserve">≤90 </w:t>
      </w:r>
      <w:r w:rsidRPr="001C3D11">
        <w:rPr>
          <w:rFonts w:eastAsia="Times New Roman" w:cs="Arial"/>
          <w:color w:val="000000"/>
          <w:lang w:val="en-US"/>
        </w:rPr>
        <w:t xml:space="preserve">mm Hg </w:t>
      </w:r>
      <w:r w:rsidRPr="001C3D11">
        <w:rPr>
          <w:rFonts w:eastAsia="Times New Roman" w:cs="Arial"/>
          <w:color w:val="000000"/>
          <w:lang w:eastAsia="bg-BG"/>
        </w:rPr>
        <w:t xml:space="preserve">в изправено и легнало положение в края на първата фаза на монотерапията. По време на втората активна фаза на лечение, пациентите, неотговорили в края на шест седмичната фаза на монотерапия получават свободна комбинация от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и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В края на първата шестседмична фаза на монотерапия, средното понижаване на </w:t>
      </w:r>
      <w:r w:rsidRPr="001C3D11">
        <w:rPr>
          <w:rFonts w:eastAsia="Times New Roman" w:cs="Arial"/>
          <w:color w:val="000000"/>
          <w:lang w:val="en-US"/>
        </w:rPr>
        <w:t xml:space="preserve">SBP </w:t>
      </w:r>
      <w:r w:rsidRPr="001C3D11">
        <w:rPr>
          <w:rFonts w:eastAsia="Times New Roman" w:cs="Arial"/>
          <w:color w:val="000000"/>
          <w:lang w:eastAsia="bg-BG"/>
        </w:rPr>
        <w:t xml:space="preserve">в легнало положение е 15,5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хидрохлоротиязид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11,1 </w:t>
      </w:r>
      <w:r w:rsidRPr="001C3D11">
        <w:rPr>
          <w:rFonts w:eastAsia="Times New Roman" w:cs="Arial"/>
          <w:color w:val="000000"/>
          <w:lang w:val="en-US"/>
        </w:rPr>
        <w:t xml:space="preserve">mm Hg </w:t>
      </w:r>
      <w:r w:rsidRPr="001C3D11">
        <w:rPr>
          <w:rFonts w:eastAsia="Times New Roman" w:cs="Arial"/>
          <w:color w:val="000000"/>
          <w:lang w:eastAsia="bg-BG"/>
        </w:rPr>
        <w:lastRenderedPageBreak/>
        <w:t xml:space="preserve">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съответните стойности на </w:t>
      </w:r>
      <w:r w:rsidRPr="001C3D11">
        <w:rPr>
          <w:rFonts w:eastAsia="Times New Roman" w:cs="Arial"/>
          <w:color w:val="000000"/>
          <w:lang w:val="en-US"/>
        </w:rPr>
        <w:t xml:space="preserve">SBP </w:t>
      </w:r>
      <w:r w:rsidRPr="001C3D11">
        <w:rPr>
          <w:rFonts w:eastAsia="Times New Roman" w:cs="Arial"/>
          <w:color w:val="000000"/>
          <w:lang w:eastAsia="bg-BG"/>
        </w:rPr>
        <w:t xml:space="preserve">в изправено положение са 14,5 и 8,4 </w:t>
      </w:r>
      <w:r w:rsidRPr="001C3D11">
        <w:rPr>
          <w:rFonts w:eastAsia="Times New Roman" w:cs="Arial"/>
          <w:color w:val="000000"/>
          <w:lang w:val="en-US"/>
        </w:rPr>
        <w:t xml:space="preserve">mm Hg. </w:t>
      </w:r>
      <w:r w:rsidRPr="001C3D11">
        <w:rPr>
          <w:rFonts w:eastAsia="Times New Roman" w:cs="Arial"/>
          <w:color w:val="000000"/>
          <w:lang w:eastAsia="bg-BG"/>
        </w:rPr>
        <w:t xml:space="preserve">Средното понижение на </w:t>
      </w:r>
      <w:r w:rsidRPr="001C3D11">
        <w:rPr>
          <w:rFonts w:eastAsia="Times New Roman" w:cs="Arial"/>
          <w:color w:val="000000"/>
          <w:lang w:val="en-US"/>
        </w:rPr>
        <w:t xml:space="preserve">DBP </w:t>
      </w:r>
      <w:r w:rsidRPr="001C3D11">
        <w:rPr>
          <w:rFonts w:eastAsia="Times New Roman" w:cs="Arial"/>
          <w:color w:val="000000"/>
          <w:lang w:eastAsia="bg-BG"/>
        </w:rPr>
        <w:t xml:space="preserve">в легнало положение е 10,7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9,0 </w:t>
      </w:r>
      <w:r w:rsidRPr="001C3D11">
        <w:rPr>
          <w:rFonts w:eastAsia="Times New Roman" w:cs="Arial"/>
          <w:color w:val="000000"/>
          <w:lang w:val="en-US"/>
        </w:rPr>
        <w:t xml:space="preserve">mm Hg </w:t>
      </w:r>
      <w:r w:rsidRPr="001C3D11">
        <w:rPr>
          <w:rFonts w:eastAsia="Times New Roman" w:cs="Arial"/>
          <w:color w:val="000000"/>
          <w:lang w:eastAsia="bg-BG"/>
        </w:rPr>
        <w:t xml:space="preserve">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съответните стойности за </w:t>
      </w:r>
      <w:r w:rsidRPr="001C3D11">
        <w:rPr>
          <w:rFonts w:eastAsia="Times New Roman" w:cs="Arial"/>
          <w:color w:val="000000"/>
          <w:lang w:val="en-US"/>
        </w:rPr>
        <w:t xml:space="preserve">DBP </w:t>
      </w:r>
      <w:r w:rsidRPr="001C3D11">
        <w:rPr>
          <w:rFonts w:eastAsia="Times New Roman" w:cs="Arial"/>
          <w:color w:val="000000"/>
          <w:lang w:eastAsia="bg-BG"/>
        </w:rPr>
        <w:t xml:space="preserve">в изправено положение са 11,3 и 7,9 </w:t>
      </w:r>
      <w:r w:rsidRPr="001C3D11">
        <w:rPr>
          <w:rFonts w:eastAsia="Times New Roman" w:cs="Arial"/>
          <w:color w:val="000000"/>
          <w:lang w:val="en-US"/>
        </w:rPr>
        <w:t xml:space="preserve">mm Hg. </w:t>
      </w:r>
      <w:r w:rsidRPr="001C3D11">
        <w:rPr>
          <w:rFonts w:eastAsia="Times New Roman" w:cs="Arial"/>
          <w:color w:val="000000"/>
          <w:lang w:eastAsia="bg-BG"/>
        </w:rPr>
        <w:t xml:space="preserve">Честотата на отговор след шест седмици е 52,1% при групата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и 37,7% при групата на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(тест за точност по </w:t>
      </w:r>
      <w:r w:rsidRPr="001C3D11">
        <w:rPr>
          <w:rFonts w:eastAsia="Times New Roman" w:cs="Arial"/>
          <w:color w:val="000000"/>
          <w:lang w:val="en-US"/>
        </w:rPr>
        <w:t xml:space="preserve">Fisher </w:t>
      </w:r>
      <w:r w:rsidRPr="001C3D11">
        <w:rPr>
          <w:rFonts w:eastAsia="Times New Roman" w:cs="Arial"/>
          <w:color w:val="000000"/>
          <w:lang w:eastAsia="bg-BG"/>
        </w:rPr>
        <w:t xml:space="preserve">р=0,061). Сред 49-те пациенти, които не са отговорили в края на шестседмичната фаза на монотерапия с рамиприл 10 </w:t>
      </w:r>
      <w:r w:rsidRPr="001C3D11">
        <w:rPr>
          <w:rFonts w:eastAsia="Times New Roman" w:cs="Arial"/>
          <w:color w:val="000000"/>
          <w:lang w:val="en-US"/>
        </w:rPr>
        <w:t xml:space="preserve">mg, </w:t>
      </w:r>
      <w:r w:rsidRPr="001C3D11">
        <w:rPr>
          <w:rFonts w:eastAsia="Times New Roman" w:cs="Arial"/>
          <w:color w:val="000000"/>
          <w:lang w:eastAsia="bg-BG"/>
        </w:rPr>
        <w:t xml:space="preserve">21 (42,9%) са отговорили след добавяне на хидрохлоротиазид 50 </w:t>
      </w:r>
      <w:r w:rsidRPr="001C3D11">
        <w:rPr>
          <w:rFonts w:eastAsia="Times New Roman" w:cs="Arial"/>
          <w:color w:val="000000"/>
          <w:lang w:val="en-US"/>
        </w:rPr>
        <w:t xml:space="preserve">mg </w:t>
      </w:r>
      <w:r w:rsidRPr="001C3D11">
        <w:rPr>
          <w:rFonts w:eastAsia="Times New Roman" w:cs="Arial"/>
          <w:color w:val="000000"/>
          <w:lang w:eastAsia="bg-BG"/>
        </w:rPr>
        <w:t xml:space="preserve">към тази доза рамиприл. По същия начин, сред 35-те пациенти, които не са отговорили на терапията в края на шест седмичната фаза на монотерапия с 50 </w:t>
      </w:r>
      <w:r w:rsidRPr="001C3D11">
        <w:rPr>
          <w:rFonts w:eastAsia="Times New Roman" w:cs="Arial"/>
          <w:color w:val="000000"/>
          <w:lang w:val="en-US"/>
        </w:rPr>
        <w:t xml:space="preserve">mg </w:t>
      </w:r>
      <w:r w:rsidRPr="001C3D11">
        <w:rPr>
          <w:rFonts w:eastAsia="Times New Roman" w:cs="Arial"/>
          <w:color w:val="000000"/>
          <w:lang w:eastAsia="bg-BG"/>
        </w:rPr>
        <w:t xml:space="preserve">хидрохлоротиазид 13 пациенти (37,1%) са отговорили след добавяне на 10 </w:t>
      </w:r>
      <w:r w:rsidRPr="001C3D11">
        <w:rPr>
          <w:rFonts w:eastAsia="Times New Roman" w:cs="Arial"/>
          <w:color w:val="000000"/>
          <w:lang w:val="en-US"/>
        </w:rPr>
        <w:t xml:space="preserve">mg </w:t>
      </w:r>
      <w:r w:rsidRPr="001C3D11">
        <w:rPr>
          <w:rFonts w:eastAsia="Times New Roman" w:cs="Arial"/>
          <w:color w:val="000000"/>
          <w:lang w:eastAsia="bg-BG"/>
        </w:rPr>
        <w:t>рамиприл към дозата им хидрохлоротиазид.</w:t>
      </w:r>
    </w:p>
    <w:p w14:paraId="4245F052" w14:textId="77777777" w:rsidR="008E6D0C" w:rsidRDefault="008E6D0C" w:rsidP="001C3D11">
      <w:pPr>
        <w:spacing w:line="240" w:lineRule="auto"/>
        <w:rPr>
          <w:rFonts w:eastAsia="Times New Roman" w:cs="Arial"/>
          <w:i/>
          <w:iCs/>
          <w:color w:val="000000"/>
          <w:lang w:eastAsia="bg-BG"/>
        </w:rPr>
      </w:pPr>
    </w:p>
    <w:p w14:paraId="1BA1DB67" w14:textId="2D8E2C4A" w:rsidR="001C3D11" w:rsidRPr="001C3D11" w:rsidRDefault="001C3D11" w:rsidP="001C3D11">
      <w:pPr>
        <w:spacing w:line="240" w:lineRule="auto"/>
        <w:rPr>
          <w:rFonts w:eastAsia="Times New Roman" w:cs="Arial"/>
          <w:sz w:val="24"/>
          <w:szCs w:val="24"/>
          <w:lang w:eastAsia="bg-BG"/>
        </w:rPr>
      </w:pPr>
      <w:r w:rsidRPr="001C3D11">
        <w:rPr>
          <w:rFonts w:eastAsia="Times New Roman" w:cs="Arial"/>
          <w:i/>
          <w:iCs/>
          <w:color w:val="000000"/>
          <w:lang w:eastAsia="bg-BG"/>
        </w:rPr>
        <w:t>Проучването НОРЕ</w:t>
      </w:r>
    </w:p>
    <w:p w14:paraId="2B6ACF0B"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 xml:space="preserve">В допълнение към антихипертензивния му ефект, рамиприл 10 </w:t>
      </w:r>
      <w:r w:rsidRPr="001C3D11">
        <w:rPr>
          <w:rFonts w:eastAsia="Times New Roman" w:cs="Arial"/>
          <w:color w:val="000000"/>
          <w:lang w:val="en-US"/>
        </w:rPr>
        <w:t xml:space="preserve">mg </w:t>
      </w:r>
      <w:r w:rsidRPr="001C3D11">
        <w:rPr>
          <w:rFonts w:eastAsia="Times New Roman" w:cs="Arial"/>
          <w:color w:val="000000"/>
          <w:lang w:eastAsia="bg-BG"/>
        </w:rPr>
        <w:t>проявява положителен протективен ефект върху сърдечносъдовата система и бъбреците, който е независим от намаляването на кръвното налягане.</w:t>
      </w:r>
    </w:p>
    <w:p w14:paraId="3B959D8E" w14:textId="77777777"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Проведено е профилактично плацебо-контролирано проучване (проучването НОРЕ), при което е добавен рамиприл към стандартната терапия при повече от 9200 пациенти. В проучването са включени пациенти с повишен риск от сърдечносъдово заболяване след или атеротромботично сърдечносъдово заболяване (анамнеза за коронарна болест на сърцето, инсулт или периферно съдово заболяване) или захарен диабет с поне един допълнителен рисков фактор (документирана микроалбуминурия, хипертония, повишено ниво на общия холестсрол, ниско ниво на липопротеин с висока плътност или тютюнопушене).</w:t>
      </w:r>
    </w:p>
    <w:p w14:paraId="0834838F" w14:textId="77777777" w:rsidR="001C3D11" w:rsidRPr="001C3D11" w:rsidRDefault="001C3D11" w:rsidP="001C3D11">
      <w:pPr>
        <w:spacing w:line="240" w:lineRule="auto"/>
        <w:rPr>
          <w:rFonts w:eastAsia="Times New Roman" w:cs="Arial"/>
          <w:color w:val="000000"/>
          <w:lang w:eastAsia="bg-BG"/>
        </w:rPr>
      </w:pPr>
    </w:p>
    <w:p w14:paraId="75CA3224" w14:textId="768FDD95" w:rsidR="001C3D11" w:rsidRPr="001C3D11" w:rsidRDefault="001C3D11" w:rsidP="001C3D11">
      <w:pPr>
        <w:spacing w:line="240" w:lineRule="auto"/>
        <w:rPr>
          <w:rFonts w:eastAsia="Times New Roman" w:cs="Arial"/>
          <w:sz w:val="24"/>
          <w:szCs w:val="24"/>
          <w:lang w:eastAsia="bg-BG"/>
        </w:rPr>
      </w:pPr>
      <w:r w:rsidRPr="001C3D11">
        <w:rPr>
          <w:rFonts w:eastAsia="Times New Roman" w:cs="Arial"/>
          <w:color w:val="000000"/>
          <w:lang w:eastAsia="bg-BG"/>
        </w:rPr>
        <w:t>Проучването показва, че рамиприл статистически значимо намалява инцидентите на миокарден инфаркт, смърт поради сърдечносъдови причини и инсулт, самостоятелно и в комбинация (първично свързани събития).</w:t>
      </w:r>
    </w:p>
    <w:p w14:paraId="7BD35C7B" w14:textId="77777777" w:rsidR="001C3D11" w:rsidRPr="001C3D11" w:rsidRDefault="001C3D11" w:rsidP="001C3D11">
      <w:pPr>
        <w:rPr>
          <w:rFonts w:eastAsia="Times New Roman" w:cs="Arial"/>
          <w:b/>
          <w:bCs/>
          <w:color w:val="000000"/>
          <w:lang w:eastAsia="bg-BG"/>
        </w:rPr>
      </w:pPr>
      <w:r w:rsidRPr="001C3D11">
        <w:rPr>
          <w:rFonts w:eastAsia="Times New Roman" w:cs="Arial"/>
          <w:b/>
          <w:bCs/>
          <w:color w:val="000000"/>
          <w:lang w:eastAsia="bg-BG"/>
        </w:rPr>
        <w:tab/>
      </w:r>
      <w:r w:rsidRPr="001C3D11">
        <w:rPr>
          <w:rFonts w:eastAsia="Times New Roman" w:cs="Arial"/>
          <w:b/>
          <w:bCs/>
          <w:color w:val="000000"/>
          <w:lang w:eastAsia="bg-BG"/>
        </w:rPr>
        <w:tab/>
      </w:r>
    </w:p>
    <w:p w14:paraId="28252AA0" w14:textId="3989F045" w:rsidR="0091385D" w:rsidRPr="001C3D11" w:rsidRDefault="001C3D11" w:rsidP="001C3D11">
      <w:pPr>
        <w:jc w:val="center"/>
        <w:rPr>
          <w:rFonts w:cs="Arial"/>
        </w:rPr>
      </w:pPr>
      <w:r w:rsidRPr="001C3D11">
        <w:rPr>
          <w:rFonts w:eastAsia="Times New Roman" w:cs="Arial"/>
          <w:b/>
          <w:bCs/>
          <w:color w:val="000000"/>
          <w:u w:val="single"/>
          <w:lang w:eastAsia="bg-BG"/>
        </w:rPr>
        <w:t>Проучване НОРЕ: Основни резултати</w:t>
      </w:r>
    </w:p>
    <w:tbl>
      <w:tblPr>
        <w:tblStyle w:val="TableGrid"/>
        <w:tblW w:w="0" w:type="auto"/>
        <w:tblLook w:val="04A0" w:firstRow="1" w:lastRow="0" w:firstColumn="1" w:lastColumn="0" w:noHBand="0" w:noVBand="1"/>
      </w:tblPr>
      <w:tblGrid>
        <w:gridCol w:w="2106"/>
        <w:gridCol w:w="1803"/>
        <w:gridCol w:w="1802"/>
        <w:gridCol w:w="1831"/>
        <w:gridCol w:w="1808"/>
      </w:tblGrid>
      <w:tr w:rsidR="008E6D0C" w14:paraId="391EF56E" w14:textId="77777777" w:rsidTr="008E6D0C">
        <w:tc>
          <w:tcPr>
            <w:tcW w:w="2106" w:type="dxa"/>
          </w:tcPr>
          <w:p w14:paraId="128EDA3A" w14:textId="77777777" w:rsidR="008E6D0C" w:rsidRDefault="008E6D0C" w:rsidP="008E6D0C"/>
        </w:tc>
        <w:tc>
          <w:tcPr>
            <w:tcW w:w="1803" w:type="dxa"/>
          </w:tcPr>
          <w:p w14:paraId="0D56A576" w14:textId="1F8A5C66" w:rsidR="008E6D0C" w:rsidRDefault="008E6D0C" w:rsidP="008E6D0C">
            <w:r>
              <w:rPr>
                <w:u w:val="single"/>
              </w:rPr>
              <w:t>Рамиприл</w:t>
            </w:r>
          </w:p>
        </w:tc>
        <w:tc>
          <w:tcPr>
            <w:tcW w:w="1802" w:type="dxa"/>
          </w:tcPr>
          <w:p w14:paraId="501650CB" w14:textId="1A0784DB" w:rsidR="008E6D0C" w:rsidRDefault="008E6D0C" w:rsidP="008E6D0C">
            <w:r>
              <w:rPr>
                <w:u w:val="single"/>
              </w:rPr>
              <w:t>Плацебо</w:t>
            </w:r>
          </w:p>
        </w:tc>
        <w:tc>
          <w:tcPr>
            <w:tcW w:w="1831" w:type="dxa"/>
            <w:vAlign w:val="bottom"/>
          </w:tcPr>
          <w:p w14:paraId="03266D0B" w14:textId="2D808A32" w:rsidR="008E6D0C" w:rsidRDefault="008E6D0C" w:rsidP="008E6D0C">
            <w:r>
              <w:rPr>
                <w:u w:val="single"/>
              </w:rPr>
              <w:t xml:space="preserve">Свързан риск (95% интервал на </w:t>
            </w:r>
            <w:r>
              <w:t>доверителност)</w:t>
            </w:r>
          </w:p>
        </w:tc>
        <w:tc>
          <w:tcPr>
            <w:tcW w:w="1808" w:type="dxa"/>
            <w:vAlign w:val="center"/>
          </w:tcPr>
          <w:p w14:paraId="7431E4AF" w14:textId="37426254" w:rsidR="008E6D0C" w:rsidRDefault="008E6D0C" w:rsidP="008E6D0C">
            <w:r>
              <w:t xml:space="preserve">Р- </w:t>
            </w:r>
            <w:r>
              <w:rPr>
                <w:u w:val="single"/>
              </w:rPr>
              <w:t>стойност</w:t>
            </w:r>
          </w:p>
        </w:tc>
      </w:tr>
      <w:tr w:rsidR="008E6D0C" w14:paraId="11209DAB" w14:textId="77777777" w:rsidTr="008E6D0C">
        <w:tc>
          <w:tcPr>
            <w:tcW w:w="2106" w:type="dxa"/>
          </w:tcPr>
          <w:p w14:paraId="73BA3E12" w14:textId="77777777" w:rsidR="008E6D0C" w:rsidRDefault="008E6D0C" w:rsidP="008E6D0C"/>
        </w:tc>
        <w:tc>
          <w:tcPr>
            <w:tcW w:w="1803" w:type="dxa"/>
            <w:vAlign w:val="center"/>
          </w:tcPr>
          <w:p w14:paraId="4AEC32D2" w14:textId="08C2F2E8" w:rsidR="008E6D0C" w:rsidRDefault="008E6D0C" w:rsidP="008E6D0C">
            <w:r>
              <w:t>%</w:t>
            </w:r>
          </w:p>
        </w:tc>
        <w:tc>
          <w:tcPr>
            <w:tcW w:w="1802" w:type="dxa"/>
            <w:vAlign w:val="center"/>
          </w:tcPr>
          <w:p w14:paraId="62668CE9" w14:textId="39ED5F36" w:rsidR="008E6D0C" w:rsidRDefault="008E6D0C" w:rsidP="008E6D0C">
            <w:r>
              <w:t>%</w:t>
            </w:r>
          </w:p>
        </w:tc>
        <w:tc>
          <w:tcPr>
            <w:tcW w:w="1831" w:type="dxa"/>
          </w:tcPr>
          <w:p w14:paraId="1338B2B2" w14:textId="77777777" w:rsidR="008E6D0C" w:rsidRDefault="008E6D0C" w:rsidP="008E6D0C"/>
        </w:tc>
        <w:tc>
          <w:tcPr>
            <w:tcW w:w="1808" w:type="dxa"/>
          </w:tcPr>
          <w:p w14:paraId="012C074C" w14:textId="77777777" w:rsidR="008E6D0C" w:rsidRDefault="008E6D0C" w:rsidP="008E6D0C"/>
        </w:tc>
      </w:tr>
      <w:tr w:rsidR="008E6D0C" w14:paraId="6BEECB5D" w14:textId="77777777" w:rsidTr="008E6D0C">
        <w:tc>
          <w:tcPr>
            <w:tcW w:w="2106" w:type="dxa"/>
            <w:vAlign w:val="bottom"/>
          </w:tcPr>
          <w:p w14:paraId="2B4D5F4C" w14:textId="31D28539" w:rsidR="008E6D0C" w:rsidRPr="008E6D0C" w:rsidRDefault="008E6D0C" w:rsidP="008E6D0C">
            <w:r w:rsidRPr="008E6D0C">
              <w:rPr>
                <w:b/>
                <w:bCs/>
              </w:rPr>
              <w:t>Всички пациенти</w:t>
            </w:r>
          </w:p>
        </w:tc>
        <w:tc>
          <w:tcPr>
            <w:tcW w:w="1803" w:type="dxa"/>
            <w:vAlign w:val="bottom"/>
          </w:tcPr>
          <w:p w14:paraId="524DB219" w14:textId="2ABCF19F" w:rsidR="008E6D0C" w:rsidRPr="008E6D0C" w:rsidRDefault="008E6D0C" w:rsidP="008E6D0C">
            <w:r>
              <w:rPr>
                <w:b/>
                <w:bCs/>
                <w:lang w:val="en-US"/>
              </w:rPr>
              <w:t>n</w:t>
            </w:r>
            <w:r w:rsidRPr="008E6D0C">
              <w:rPr>
                <w:b/>
                <w:bCs/>
              </w:rPr>
              <w:t>=4,645</w:t>
            </w:r>
          </w:p>
        </w:tc>
        <w:tc>
          <w:tcPr>
            <w:tcW w:w="1802" w:type="dxa"/>
            <w:vAlign w:val="bottom"/>
          </w:tcPr>
          <w:p w14:paraId="09B65638" w14:textId="644BCCC1" w:rsidR="008E6D0C" w:rsidRPr="008E6D0C" w:rsidRDefault="008E6D0C" w:rsidP="008E6D0C">
            <w:r w:rsidRPr="008E6D0C">
              <w:rPr>
                <w:b/>
                <w:bCs/>
                <w:lang w:val="en-US"/>
              </w:rPr>
              <w:t>N=4,652</w:t>
            </w:r>
          </w:p>
        </w:tc>
        <w:tc>
          <w:tcPr>
            <w:tcW w:w="1831" w:type="dxa"/>
          </w:tcPr>
          <w:p w14:paraId="33165825" w14:textId="77777777" w:rsidR="008E6D0C" w:rsidRPr="008E6D0C" w:rsidRDefault="008E6D0C" w:rsidP="008E6D0C"/>
        </w:tc>
        <w:tc>
          <w:tcPr>
            <w:tcW w:w="1808" w:type="dxa"/>
          </w:tcPr>
          <w:p w14:paraId="7B4046F3" w14:textId="77777777" w:rsidR="008E6D0C" w:rsidRPr="008E6D0C" w:rsidRDefault="008E6D0C" w:rsidP="008E6D0C"/>
        </w:tc>
      </w:tr>
      <w:tr w:rsidR="008E6D0C" w14:paraId="01F24C41" w14:textId="77777777" w:rsidTr="008E6D0C">
        <w:tc>
          <w:tcPr>
            <w:tcW w:w="2106" w:type="dxa"/>
            <w:vAlign w:val="bottom"/>
          </w:tcPr>
          <w:p w14:paraId="42FCAEFD" w14:textId="4AFAEF24" w:rsidR="008E6D0C" w:rsidRPr="008E6D0C" w:rsidRDefault="008E6D0C" w:rsidP="008E6D0C">
            <w:r w:rsidRPr="008E6D0C">
              <w:rPr>
                <w:b/>
                <w:bCs/>
              </w:rPr>
              <w:t>Първични комбинирани събития</w:t>
            </w:r>
          </w:p>
        </w:tc>
        <w:tc>
          <w:tcPr>
            <w:tcW w:w="1803" w:type="dxa"/>
          </w:tcPr>
          <w:p w14:paraId="72D1F1A7" w14:textId="17B5088E" w:rsidR="008E6D0C" w:rsidRPr="008E6D0C" w:rsidRDefault="008E6D0C" w:rsidP="008E6D0C">
            <w:r w:rsidRPr="008E6D0C">
              <w:rPr>
                <w:b/>
                <w:bCs/>
              </w:rPr>
              <w:t>14,0</w:t>
            </w:r>
          </w:p>
        </w:tc>
        <w:tc>
          <w:tcPr>
            <w:tcW w:w="1802" w:type="dxa"/>
          </w:tcPr>
          <w:p w14:paraId="7B309A63" w14:textId="1715E636" w:rsidR="008E6D0C" w:rsidRPr="008E6D0C" w:rsidRDefault="008E6D0C" w:rsidP="008E6D0C">
            <w:r w:rsidRPr="008E6D0C">
              <w:rPr>
                <w:b/>
                <w:bCs/>
              </w:rPr>
              <w:t>17,8</w:t>
            </w:r>
          </w:p>
        </w:tc>
        <w:tc>
          <w:tcPr>
            <w:tcW w:w="1831" w:type="dxa"/>
          </w:tcPr>
          <w:p w14:paraId="129FB896" w14:textId="3E2D690E" w:rsidR="008E6D0C" w:rsidRPr="008E6D0C" w:rsidRDefault="008E6D0C" w:rsidP="008E6D0C">
            <w:r w:rsidRPr="008E6D0C">
              <w:rPr>
                <w:b/>
                <w:bCs/>
              </w:rPr>
              <w:t>0,78 (0,70-0,86)</w:t>
            </w:r>
          </w:p>
        </w:tc>
        <w:tc>
          <w:tcPr>
            <w:tcW w:w="1808" w:type="dxa"/>
          </w:tcPr>
          <w:p w14:paraId="14790645" w14:textId="6F2403D7" w:rsidR="008E6D0C" w:rsidRPr="008E6D0C" w:rsidRDefault="008E6D0C" w:rsidP="008E6D0C">
            <w:r w:rsidRPr="008E6D0C">
              <w:rPr>
                <w:rFonts w:cs="Arial"/>
                <w:lang w:val="en-US"/>
              </w:rPr>
              <w:t>&lt;0,001</w:t>
            </w:r>
          </w:p>
        </w:tc>
      </w:tr>
      <w:tr w:rsidR="008E6D0C" w14:paraId="357814B1" w14:textId="77777777" w:rsidTr="008E6D0C">
        <w:tc>
          <w:tcPr>
            <w:tcW w:w="2106" w:type="dxa"/>
            <w:vAlign w:val="bottom"/>
          </w:tcPr>
          <w:p w14:paraId="4763FC28" w14:textId="53B4536E" w:rsidR="008E6D0C" w:rsidRPr="008E6D0C" w:rsidRDefault="008E6D0C" w:rsidP="008E6D0C">
            <w:r w:rsidRPr="008E6D0C">
              <w:t>Миокарден инфаркт</w:t>
            </w:r>
          </w:p>
        </w:tc>
        <w:tc>
          <w:tcPr>
            <w:tcW w:w="1803" w:type="dxa"/>
            <w:vAlign w:val="bottom"/>
          </w:tcPr>
          <w:p w14:paraId="61CD5A41" w14:textId="47F17468" w:rsidR="008E6D0C" w:rsidRPr="008E6D0C" w:rsidRDefault="008E6D0C" w:rsidP="008E6D0C">
            <w:r w:rsidRPr="008E6D0C">
              <w:t>9,9</w:t>
            </w:r>
          </w:p>
        </w:tc>
        <w:tc>
          <w:tcPr>
            <w:tcW w:w="1802" w:type="dxa"/>
            <w:vAlign w:val="bottom"/>
          </w:tcPr>
          <w:p w14:paraId="1E0C6AA6" w14:textId="150BA4A2" w:rsidR="008E6D0C" w:rsidRPr="008E6D0C" w:rsidRDefault="008E6D0C" w:rsidP="008E6D0C">
            <w:r w:rsidRPr="008E6D0C">
              <w:t>12,3</w:t>
            </w:r>
          </w:p>
        </w:tc>
        <w:tc>
          <w:tcPr>
            <w:tcW w:w="1831" w:type="dxa"/>
            <w:vAlign w:val="bottom"/>
          </w:tcPr>
          <w:p w14:paraId="5D641F85" w14:textId="7AB78F13" w:rsidR="008E6D0C" w:rsidRPr="008E6D0C" w:rsidRDefault="008E6D0C" w:rsidP="008E6D0C">
            <w:r w:rsidRPr="008E6D0C">
              <w:t>0,80 (0,70-0,90)</w:t>
            </w:r>
          </w:p>
        </w:tc>
        <w:tc>
          <w:tcPr>
            <w:tcW w:w="1808" w:type="dxa"/>
          </w:tcPr>
          <w:p w14:paraId="651A1A84" w14:textId="6EF8BCE4" w:rsidR="008E6D0C" w:rsidRPr="008E6D0C" w:rsidRDefault="008E6D0C" w:rsidP="008E6D0C">
            <w:r w:rsidRPr="008E6D0C">
              <w:rPr>
                <w:rFonts w:cs="Arial"/>
                <w:lang w:val="en-US"/>
              </w:rPr>
              <w:t>&lt;0,001</w:t>
            </w:r>
          </w:p>
        </w:tc>
      </w:tr>
      <w:tr w:rsidR="008E6D0C" w14:paraId="4611E8EC" w14:textId="77777777" w:rsidTr="008E6D0C">
        <w:tc>
          <w:tcPr>
            <w:tcW w:w="2106" w:type="dxa"/>
            <w:vAlign w:val="bottom"/>
          </w:tcPr>
          <w:p w14:paraId="577373BC" w14:textId="77777777" w:rsidR="008E6D0C" w:rsidRPr="008E6D0C" w:rsidRDefault="008E6D0C" w:rsidP="008E6D0C">
            <w:r w:rsidRPr="008E6D0C">
              <w:t>Смърт поради</w:t>
            </w:r>
          </w:p>
          <w:p w14:paraId="5ABEA2DD" w14:textId="032BC559" w:rsidR="008E6D0C" w:rsidRPr="008E6D0C" w:rsidRDefault="008E6D0C" w:rsidP="008E6D0C">
            <w:r w:rsidRPr="008E6D0C">
              <w:t>сърдечносъдови причини</w:t>
            </w:r>
          </w:p>
        </w:tc>
        <w:tc>
          <w:tcPr>
            <w:tcW w:w="1803" w:type="dxa"/>
          </w:tcPr>
          <w:p w14:paraId="5E7AECF2" w14:textId="413E96D6" w:rsidR="008E6D0C" w:rsidRPr="008E6D0C" w:rsidRDefault="008E6D0C" w:rsidP="008E6D0C">
            <w:r w:rsidRPr="008E6D0C">
              <w:t>6,1</w:t>
            </w:r>
          </w:p>
        </w:tc>
        <w:tc>
          <w:tcPr>
            <w:tcW w:w="1802" w:type="dxa"/>
          </w:tcPr>
          <w:p w14:paraId="2CE0F900" w14:textId="192D6FBB" w:rsidR="008E6D0C" w:rsidRPr="008E6D0C" w:rsidRDefault="008E6D0C" w:rsidP="008E6D0C">
            <w:r w:rsidRPr="008E6D0C">
              <w:t>8,1</w:t>
            </w:r>
          </w:p>
        </w:tc>
        <w:tc>
          <w:tcPr>
            <w:tcW w:w="1831" w:type="dxa"/>
          </w:tcPr>
          <w:p w14:paraId="4DBD3CDB" w14:textId="7F241732" w:rsidR="008E6D0C" w:rsidRPr="008E6D0C" w:rsidRDefault="008E6D0C" w:rsidP="008E6D0C">
            <w:r w:rsidRPr="008E6D0C">
              <w:t>0,74 (0,64-0,87)</w:t>
            </w:r>
          </w:p>
        </w:tc>
        <w:tc>
          <w:tcPr>
            <w:tcW w:w="1808" w:type="dxa"/>
          </w:tcPr>
          <w:p w14:paraId="6FD47ED0" w14:textId="269AD732" w:rsidR="008E6D0C" w:rsidRPr="008E6D0C" w:rsidRDefault="008E6D0C" w:rsidP="008E6D0C">
            <w:r w:rsidRPr="008E6D0C">
              <w:rPr>
                <w:rFonts w:cs="Arial"/>
                <w:lang w:val="en-US"/>
              </w:rPr>
              <w:t>&lt;0,001</w:t>
            </w:r>
          </w:p>
        </w:tc>
      </w:tr>
      <w:tr w:rsidR="008E6D0C" w14:paraId="5DF2FF1B" w14:textId="77777777" w:rsidTr="008E6D0C">
        <w:tc>
          <w:tcPr>
            <w:tcW w:w="2106" w:type="dxa"/>
            <w:vAlign w:val="bottom"/>
          </w:tcPr>
          <w:p w14:paraId="38218D36" w14:textId="1D3E60B9" w:rsidR="008E6D0C" w:rsidRPr="008E6D0C" w:rsidRDefault="008E6D0C" w:rsidP="008E6D0C">
            <w:r w:rsidRPr="008E6D0C">
              <w:t>Инсулт</w:t>
            </w:r>
          </w:p>
        </w:tc>
        <w:tc>
          <w:tcPr>
            <w:tcW w:w="1803" w:type="dxa"/>
            <w:vAlign w:val="bottom"/>
          </w:tcPr>
          <w:p w14:paraId="7A332489" w14:textId="7D115E96" w:rsidR="008E6D0C" w:rsidRPr="008E6D0C" w:rsidRDefault="008E6D0C" w:rsidP="008E6D0C">
            <w:r w:rsidRPr="008E6D0C">
              <w:t>3,4</w:t>
            </w:r>
          </w:p>
        </w:tc>
        <w:tc>
          <w:tcPr>
            <w:tcW w:w="1802" w:type="dxa"/>
            <w:vAlign w:val="bottom"/>
          </w:tcPr>
          <w:p w14:paraId="170D8665" w14:textId="1E66A857" w:rsidR="008E6D0C" w:rsidRPr="008E6D0C" w:rsidRDefault="008E6D0C" w:rsidP="008E6D0C">
            <w:r w:rsidRPr="008E6D0C">
              <w:t>19</w:t>
            </w:r>
          </w:p>
        </w:tc>
        <w:tc>
          <w:tcPr>
            <w:tcW w:w="1831" w:type="dxa"/>
          </w:tcPr>
          <w:p w14:paraId="7CE99672" w14:textId="6354D138" w:rsidR="008E6D0C" w:rsidRPr="008E6D0C" w:rsidRDefault="008E6D0C" w:rsidP="008E6D0C">
            <w:r w:rsidRPr="008E6D0C">
              <w:t>0,68 (0,56- 0,84)</w:t>
            </w:r>
          </w:p>
        </w:tc>
        <w:tc>
          <w:tcPr>
            <w:tcW w:w="1808" w:type="dxa"/>
          </w:tcPr>
          <w:p w14:paraId="283D97BD" w14:textId="47EB335A" w:rsidR="008E6D0C" w:rsidRPr="008E6D0C" w:rsidRDefault="008E6D0C" w:rsidP="008E6D0C">
            <w:r w:rsidRPr="008E6D0C">
              <w:rPr>
                <w:rFonts w:cs="Arial"/>
              </w:rPr>
              <w:t xml:space="preserve"> &lt;0,001</w:t>
            </w:r>
          </w:p>
        </w:tc>
      </w:tr>
      <w:tr w:rsidR="008E6D0C" w14:paraId="646DB090" w14:textId="77777777" w:rsidTr="008E6D0C">
        <w:tc>
          <w:tcPr>
            <w:tcW w:w="2106" w:type="dxa"/>
          </w:tcPr>
          <w:p w14:paraId="7754A384" w14:textId="559095C1" w:rsidR="008E6D0C" w:rsidRDefault="008E6D0C" w:rsidP="008E6D0C">
            <w:r>
              <w:rPr>
                <w:b/>
                <w:bCs/>
              </w:rPr>
              <w:t>Вторични крайни точки</w:t>
            </w:r>
          </w:p>
        </w:tc>
        <w:tc>
          <w:tcPr>
            <w:tcW w:w="1803" w:type="dxa"/>
          </w:tcPr>
          <w:p w14:paraId="0511F292" w14:textId="77777777" w:rsidR="008E6D0C" w:rsidRDefault="008E6D0C" w:rsidP="008E6D0C"/>
        </w:tc>
        <w:tc>
          <w:tcPr>
            <w:tcW w:w="1802" w:type="dxa"/>
          </w:tcPr>
          <w:p w14:paraId="1C938902" w14:textId="77777777" w:rsidR="008E6D0C" w:rsidRDefault="008E6D0C" w:rsidP="008E6D0C"/>
        </w:tc>
        <w:tc>
          <w:tcPr>
            <w:tcW w:w="1831" w:type="dxa"/>
          </w:tcPr>
          <w:p w14:paraId="62FBCD84" w14:textId="77777777" w:rsidR="008E6D0C" w:rsidRDefault="008E6D0C" w:rsidP="008E6D0C"/>
        </w:tc>
        <w:tc>
          <w:tcPr>
            <w:tcW w:w="1808" w:type="dxa"/>
          </w:tcPr>
          <w:p w14:paraId="71083F34" w14:textId="77777777" w:rsidR="008E6D0C" w:rsidRDefault="008E6D0C" w:rsidP="008E6D0C"/>
        </w:tc>
      </w:tr>
      <w:tr w:rsidR="008E6D0C" w14:paraId="08214DB1" w14:textId="77777777" w:rsidTr="008E6D0C">
        <w:tc>
          <w:tcPr>
            <w:tcW w:w="2106" w:type="dxa"/>
          </w:tcPr>
          <w:p w14:paraId="5F1B7C1F" w14:textId="26CDFF75" w:rsidR="008E6D0C" w:rsidRDefault="008E6D0C" w:rsidP="008E6D0C">
            <w:r>
              <w:rPr>
                <w:u w:val="single"/>
              </w:rPr>
              <w:lastRenderedPageBreak/>
              <w:t xml:space="preserve">Смърт поради някаква </w:t>
            </w:r>
            <w:r>
              <w:t>причина</w:t>
            </w:r>
          </w:p>
        </w:tc>
        <w:tc>
          <w:tcPr>
            <w:tcW w:w="1803" w:type="dxa"/>
          </w:tcPr>
          <w:p w14:paraId="3C759C1C" w14:textId="47CDE606" w:rsidR="008E6D0C" w:rsidRDefault="008E6D0C" w:rsidP="008E6D0C">
            <w:r>
              <w:rPr>
                <w:u w:val="single"/>
              </w:rPr>
              <w:t>10,4</w:t>
            </w:r>
          </w:p>
        </w:tc>
        <w:tc>
          <w:tcPr>
            <w:tcW w:w="1802" w:type="dxa"/>
          </w:tcPr>
          <w:p w14:paraId="06F2B8C4" w14:textId="40FE48B3" w:rsidR="008E6D0C" w:rsidRDefault="008E6D0C" w:rsidP="008E6D0C">
            <w:r>
              <w:rPr>
                <w:u w:val="single"/>
              </w:rPr>
              <w:t>12,2</w:t>
            </w:r>
          </w:p>
        </w:tc>
        <w:tc>
          <w:tcPr>
            <w:tcW w:w="1831" w:type="dxa"/>
          </w:tcPr>
          <w:p w14:paraId="28A6DB78" w14:textId="7637D0AB" w:rsidR="008E6D0C" w:rsidRDefault="008E6D0C" w:rsidP="008E6D0C">
            <w:r>
              <w:rPr>
                <w:u w:val="single"/>
              </w:rPr>
              <w:t>0,84 (0,75-0,95)</w:t>
            </w:r>
          </w:p>
        </w:tc>
        <w:tc>
          <w:tcPr>
            <w:tcW w:w="1808" w:type="dxa"/>
          </w:tcPr>
          <w:p w14:paraId="243E6123" w14:textId="564D2190" w:rsidR="008E6D0C" w:rsidRDefault="008E6D0C" w:rsidP="008E6D0C">
            <w:r>
              <w:rPr>
                <w:u w:val="single"/>
              </w:rPr>
              <w:t>0,005</w:t>
            </w:r>
          </w:p>
        </w:tc>
      </w:tr>
      <w:tr w:rsidR="008E6D0C" w14:paraId="4B12012D" w14:textId="77777777" w:rsidTr="008E6D0C">
        <w:tc>
          <w:tcPr>
            <w:tcW w:w="2106" w:type="dxa"/>
          </w:tcPr>
          <w:p w14:paraId="00AE27D7" w14:textId="680D6B73" w:rsidR="008E6D0C" w:rsidRDefault="008E6D0C" w:rsidP="008E6D0C">
            <w:r>
              <w:rPr>
                <w:u w:val="single"/>
              </w:rPr>
              <w:t>Необходимост от реваскуларизация</w:t>
            </w:r>
          </w:p>
        </w:tc>
        <w:tc>
          <w:tcPr>
            <w:tcW w:w="1803" w:type="dxa"/>
          </w:tcPr>
          <w:p w14:paraId="343B20D9" w14:textId="65E00852" w:rsidR="008E6D0C" w:rsidRDefault="008E6D0C" w:rsidP="008E6D0C">
            <w:r>
              <w:rPr>
                <w:u w:val="single"/>
              </w:rPr>
              <w:t>16,0</w:t>
            </w:r>
          </w:p>
        </w:tc>
        <w:tc>
          <w:tcPr>
            <w:tcW w:w="1802" w:type="dxa"/>
          </w:tcPr>
          <w:p w14:paraId="5B67F215" w14:textId="5EAC210E" w:rsidR="008E6D0C" w:rsidRDefault="008E6D0C" w:rsidP="008E6D0C">
            <w:r>
              <w:rPr>
                <w:u w:val="single"/>
              </w:rPr>
              <w:t>18,3</w:t>
            </w:r>
          </w:p>
        </w:tc>
        <w:tc>
          <w:tcPr>
            <w:tcW w:w="1831" w:type="dxa"/>
          </w:tcPr>
          <w:p w14:paraId="3DBEFF63" w14:textId="0C7D0C2D" w:rsidR="008E6D0C" w:rsidRDefault="008E6D0C" w:rsidP="008E6D0C">
            <w:r>
              <w:rPr>
                <w:u w:val="single"/>
              </w:rPr>
              <w:t>0,85 (0,77-0,94)</w:t>
            </w:r>
          </w:p>
        </w:tc>
        <w:tc>
          <w:tcPr>
            <w:tcW w:w="1808" w:type="dxa"/>
          </w:tcPr>
          <w:p w14:paraId="63583C66" w14:textId="3448D804" w:rsidR="008E6D0C" w:rsidRDefault="008E6D0C" w:rsidP="008E6D0C">
            <w:r>
              <w:rPr>
                <w:u w:val="single"/>
              </w:rPr>
              <w:t>0,002</w:t>
            </w:r>
          </w:p>
        </w:tc>
      </w:tr>
      <w:tr w:rsidR="008E6D0C" w14:paraId="7B6D924B" w14:textId="77777777" w:rsidTr="008E6D0C">
        <w:tc>
          <w:tcPr>
            <w:tcW w:w="2106" w:type="dxa"/>
          </w:tcPr>
          <w:p w14:paraId="0CC3F950" w14:textId="6993D7BC" w:rsidR="008E6D0C" w:rsidRDefault="008E6D0C" w:rsidP="008E6D0C">
            <w:r>
              <w:rPr>
                <w:u w:val="single"/>
              </w:rPr>
              <w:t xml:space="preserve">Хоспитализация поради </w:t>
            </w:r>
            <w:r>
              <w:t>нестабилна стенокардия</w:t>
            </w:r>
          </w:p>
        </w:tc>
        <w:tc>
          <w:tcPr>
            <w:tcW w:w="1803" w:type="dxa"/>
          </w:tcPr>
          <w:p w14:paraId="55401CFF" w14:textId="67C82FAB" w:rsidR="008E6D0C" w:rsidRDefault="008E6D0C" w:rsidP="008E6D0C">
            <w:r>
              <w:rPr>
                <w:u w:val="single"/>
              </w:rPr>
              <w:t>12,1</w:t>
            </w:r>
          </w:p>
        </w:tc>
        <w:tc>
          <w:tcPr>
            <w:tcW w:w="1802" w:type="dxa"/>
          </w:tcPr>
          <w:p w14:paraId="17A53F8D" w14:textId="05D9B44D" w:rsidR="008E6D0C" w:rsidRDefault="008E6D0C" w:rsidP="008E6D0C">
            <w:r>
              <w:rPr>
                <w:u w:val="single"/>
              </w:rPr>
              <w:t>12,3</w:t>
            </w:r>
          </w:p>
        </w:tc>
        <w:tc>
          <w:tcPr>
            <w:tcW w:w="1831" w:type="dxa"/>
          </w:tcPr>
          <w:p w14:paraId="3983C0B1" w14:textId="0BE6A725" w:rsidR="008E6D0C" w:rsidRDefault="008E6D0C" w:rsidP="008E6D0C">
            <w:r>
              <w:rPr>
                <w:u w:val="single"/>
              </w:rPr>
              <w:t>0,98 (0,87-1,10)</w:t>
            </w:r>
          </w:p>
        </w:tc>
        <w:tc>
          <w:tcPr>
            <w:tcW w:w="1808" w:type="dxa"/>
          </w:tcPr>
          <w:p w14:paraId="0E84102F" w14:textId="2AA7009F" w:rsidR="008E6D0C" w:rsidRDefault="008E6D0C" w:rsidP="008E6D0C">
            <w:r>
              <w:rPr>
                <w:u w:val="single"/>
                <w:lang w:val="en-US"/>
              </w:rPr>
              <w:t>NS</w:t>
            </w:r>
          </w:p>
        </w:tc>
      </w:tr>
      <w:tr w:rsidR="008E6D0C" w14:paraId="32A70BBD" w14:textId="77777777" w:rsidTr="008E6D0C">
        <w:tc>
          <w:tcPr>
            <w:tcW w:w="2106" w:type="dxa"/>
          </w:tcPr>
          <w:p w14:paraId="3592426E" w14:textId="63CFA6DB" w:rsidR="008E6D0C" w:rsidRDefault="008E6D0C" w:rsidP="008E6D0C">
            <w:r>
              <w:rPr>
                <w:u w:val="single"/>
              </w:rPr>
              <w:t>Хоспитализация поради сърдечна недостатъчност</w:t>
            </w:r>
          </w:p>
        </w:tc>
        <w:tc>
          <w:tcPr>
            <w:tcW w:w="1803" w:type="dxa"/>
          </w:tcPr>
          <w:p w14:paraId="470B411D" w14:textId="30410A42" w:rsidR="008E6D0C" w:rsidRDefault="008E6D0C" w:rsidP="008E6D0C">
            <w:r>
              <w:rPr>
                <w:u w:val="single"/>
              </w:rPr>
              <w:t>3,2</w:t>
            </w:r>
          </w:p>
        </w:tc>
        <w:tc>
          <w:tcPr>
            <w:tcW w:w="1802" w:type="dxa"/>
          </w:tcPr>
          <w:p w14:paraId="15CDD67F" w14:textId="4A3352A1" w:rsidR="008E6D0C" w:rsidRDefault="008E6D0C" w:rsidP="008E6D0C">
            <w:r>
              <w:rPr>
                <w:u w:val="single"/>
              </w:rPr>
              <w:t>3,5</w:t>
            </w:r>
          </w:p>
        </w:tc>
        <w:tc>
          <w:tcPr>
            <w:tcW w:w="1831" w:type="dxa"/>
          </w:tcPr>
          <w:p w14:paraId="14AA7B44" w14:textId="2DF5BD5C" w:rsidR="008E6D0C" w:rsidRDefault="008E6D0C" w:rsidP="008E6D0C">
            <w:r>
              <w:rPr>
                <w:u w:val="single"/>
              </w:rPr>
              <w:t>0,88 (0,70-1,10)</w:t>
            </w:r>
          </w:p>
        </w:tc>
        <w:tc>
          <w:tcPr>
            <w:tcW w:w="1808" w:type="dxa"/>
          </w:tcPr>
          <w:p w14:paraId="6B478ADC" w14:textId="476E4837" w:rsidR="008E6D0C" w:rsidRDefault="008E6D0C" w:rsidP="008E6D0C">
            <w:r>
              <w:rPr>
                <w:u w:val="single"/>
              </w:rPr>
              <w:t>0,25</w:t>
            </w:r>
          </w:p>
        </w:tc>
      </w:tr>
      <w:tr w:rsidR="008E6D0C" w14:paraId="6ED4BA9E" w14:textId="77777777" w:rsidTr="008E6D0C">
        <w:trPr>
          <w:trHeight w:val="70"/>
        </w:trPr>
        <w:tc>
          <w:tcPr>
            <w:tcW w:w="2106" w:type="dxa"/>
          </w:tcPr>
          <w:p w14:paraId="4D7A2834" w14:textId="6CD53EFE" w:rsidR="008E6D0C" w:rsidRDefault="008E6D0C" w:rsidP="008E6D0C">
            <w:r>
              <w:rPr>
                <w:u w:val="single"/>
              </w:rPr>
              <w:t xml:space="preserve">Усложнения свързани с </w:t>
            </w:r>
            <w:r>
              <w:t>диабет</w:t>
            </w:r>
          </w:p>
        </w:tc>
        <w:tc>
          <w:tcPr>
            <w:tcW w:w="1803" w:type="dxa"/>
          </w:tcPr>
          <w:p w14:paraId="626524DC" w14:textId="4BDE8E62" w:rsidR="008E6D0C" w:rsidRDefault="008E6D0C" w:rsidP="008E6D0C">
            <w:r>
              <w:rPr>
                <w:u w:val="single"/>
              </w:rPr>
              <w:t>6,4</w:t>
            </w:r>
          </w:p>
        </w:tc>
        <w:tc>
          <w:tcPr>
            <w:tcW w:w="1802" w:type="dxa"/>
          </w:tcPr>
          <w:p w14:paraId="5D44012F" w14:textId="34092609" w:rsidR="008E6D0C" w:rsidRDefault="008E6D0C" w:rsidP="008E6D0C">
            <w:r>
              <w:rPr>
                <w:u w:val="single"/>
              </w:rPr>
              <w:t>7,6</w:t>
            </w:r>
          </w:p>
        </w:tc>
        <w:tc>
          <w:tcPr>
            <w:tcW w:w="1831" w:type="dxa"/>
          </w:tcPr>
          <w:p w14:paraId="14EE4C2E" w14:textId="5E04F857" w:rsidR="008E6D0C" w:rsidRDefault="008E6D0C" w:rsidP="008E6D0C">
            <w:r>
              <w:rPr>
                <w:u w:val="single"/>
              </w:rPr>
              <w:t>0,84 (0,72-0,98)</w:t>
            </w:r>
          </w:p>
        </w:tc>
        <w:tc>
          <w:tcPr>
            <w:tcW w:w="1808" w:type="dxa"/>
          </w:tcPr>
          <w:p w14:paraId="14ED4DF7" w14:textId="7FB80FF9" w:rsidR="008E6D0C" w:rsidRDefault="008E6D0C" w:rsidP="008E6D0C">
            <w:r>
              <w:t>0,03</w:t>
            </w:r>
          </w:p>
        </w:tc>
      </w:tr>
    </w:tbl>
    <w:p w14:paraId="36152471" w14:textId="42E85A66" w:rsidR="0091385D" w:rsidRDefault="0091385D" w:rsidP="0091385D"/>
    <w:p w14:paraId="3B54935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u w:val="single"/>
          <w:lang w:eastAsia="bg-BG"/>
        </w:rPr>
        <w:t>Двойно блокиране наренин-ангиотензин-алдостероновата система (РААС)</w:t>
      </w:r>
    </w:p>
    <w:p w14:paraId="36A4B650"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Две големи рандомизирани контролирани проучвания - </w:t>
      </w:r>
      <w:r w:rsidRPr="008E6D0C">
        <w:rPr>
          <w:rFonts w:eastAsia="Times New Roman" w:cs="Arial"/>
          <w:color w:val="000000"/>
          <w:lang w:val="en-US"/>
        </w:rPr>
        <w:t>ONTARGET (</w:t>
      </w:r>
      <w:proofErr w:type="spellStart"/>
      <w:r w:rsidRPr="008E6D0C">
        <w:rPr>
          <w:rFonts w:eastAsia="Times New Roman" w:cs="Arial"/>
          <w:color w:val="000000"/>
          <w:lang w:val="en-US"/>
        </w:rPr>
        <w:t>ONgoing</w:t>
      </w:r>
      <w:proofErr w:type="spellEnd"/>
      <w:r w:rsidRPr="008E6D0C">
        <w:rPr>
          <w:rFonts w:eastAsia="Times New Roman" w:cs="Arial"/>
          <w:color w:val="000000"/>
          <w:lang w:val="en-US"/>
        </w:rPr>
        <w:t xml:space="preserve"> </w:t>
      </w:r>
      <w:proofErr w:type="spellStart"/>
      <w:r w:rsidRPr="008E6D0C">
        <w:rPr>
          <w:rFonts w:eastAsia="Times New Roman" w:cs="Arial"/>
          <w:color w:val="000000"/>
          <w:lang w:val="en-US"/>
        </w:rPr>
        <w:t>Telmisartan</w:t>
      </w:r>
      <w:proofErr w:type="spellEnd"/>
      <w:r w:rsidRPr="008E6D0C">
        <w:rPr>
          <w:rFonts w:eastAsia="Times New Roman" w:cs="Arial"/>
          <w:color w:val="000000"/>
          <w:lang w:val="en-US"/>
        </w:rPr>
        <w:t xml:space="preserve"> Alone and in combination with Ramipril Global Endpoint Trial - </w:t>
      </w:r>
      <w:r w:rsidRPr="008E6D0C">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8E6D0C">
        <w:rPr>
          <w:rFonts w:eastAsia="Times New Roman" w:cs="Arial"/>
          <w:color w:val="000000"/>
          <w:lang w:val="en-US"/>
        </w:rPr>
        <w:t xml:space="preserve">VA NEPHRON-D </w:t>
      </w:r>
      <w:r w:rsidRPr="008E6D0C">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67F2E8C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val="en-US"/>
        </w:rPr>
        <w:t xml:space="preserve">ONTARGET </w:t>
      </w:r>
      <w:r w:rsidRPr="008E6D0C">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8E6D0C">
        <w:rPr>
          <w:rFonts w:eastAsia="Times New Roman" w:cs="Arial"/>
          <w:color w:val="000000"/>
          <w:lang w:val="en-US"/>
        </w:rPr>
        <w:t xml:space="preserve">VA NEPHRON-D </w:t>
      </w:r>
      <w:r w:rsidRPr="008E6D0C">
        <w:rPr>
          <w:rFonts w:eastAsia="Times New Roman" w:cs="Arial"/>
          <w:color w:val="000000"/>
          <w:lang w:eastAsia="bg-BG"/>
        </w:rPr>
        <w:t>е проучване при пациенти със захарен диабет тип 2 и диабетна нефропатия.</w:t>
      </w:r>
    </w:p>
    <w:p w14:paraId="6CD8688A"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Тези проучвания не показват значим благоприятен ефект върху бъбречните и/или сърдечно</w:t>
      </w:r>
      <w:r w:rsidRPr="008E6D0C">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452F5EF5"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455ABB57"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val="en-US"/>
        </w:rPr>
        <w:t xml:space="preserve">ALTITUDE </w:t>
      </w:r>
      <w:r w:rsidRPr="008E6D0C">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765895C" w14:textId="77777777" w:rsidR="008E6D0C" w:rsidRPr="008E6D0C" w:rsidRDefault="008E6D0C" w:rsidP="008E6D0C">
      <w:pPr>
        <w:spacing w:line="240" w:lineRule="auto"/>
        <w:rPr>
          <w:rFonts w:eastAsia="Times New Roman" w:cs="Arial"/>
          <w:color w:val="000000"/>
          <w:u w:val="single"/>
          <w:lang w:eastAsia="bg-BG"/>
        </w:rPr>
      </w:pPr>
    </w:p>
    <w:p w14:paraId="44D1C662" w14:textId="53A6F72E"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u w:val="single"/>
          <w:lang w:eastAsia="bg-BG"/>
        </w:rPr>
        <w:t>Немеланомен рак на кожата:</w:t>
      </w:r>
    </w:p>
    <w:p w14:paraId="66E0DD6F" w14:textId="053BDE24" w:rsidR="001C3D11"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w:t>
      </w:r>
      <w:r w:rsidRPr="008E6D0C">
        <w:rPr>
          <w:rFonts w:eastAsia="Times New Roman" w:cs="Arial"/>
          <w:color w:val="000000"/>
          <w:lang w:eastAsia="bg-BG"/>
        </w:rPr>
        <w:lastRenderedPageBreak/>
        <w:t xml:space="preserve">съответно 1 430 833 и 172 462 подходящи контроли. Високата употреба на ХХТЗ (кумулативно ≥ 50 000 </w:t>
      </w:r>
      <w:r w:rsidRPr="008E6D0C">
        <w:rPr>
          <w:rFonts w:eastAsia="Times New Roman" w:cs="Arial"/>
          <w:color w:val="000000"/>
          <w:lang w:val="en-US"/>
        </w:rPr>
        <w:t xml:space="preserve">mg) </w:t>
      </w:r>
      <w:r w:rsidRPr="008E6D0C">
        <w:rPr>
          <w:rFonts w:eastAsia="Times New Roman" w:cs="Arial"/>
          <w:color w:val="000000"/>
          <w:lang w:eastAsia="bg-BG"/>
        </w:rPr>
        <w:t xml:space="preserve">е свързана с коригиран </w:t>
      </w:r>
      <w:r w:rsidRPr="008E6D0C">
        <w:rPr>
          <w:rFonts w:eastAsia="Times New Roman" w:cs="Arial"/>
          <w:color w:val="000000"/>
          <w:lang w:val="en-US"/>
        </w:rPr>
        <w:t xml:space="preserve">OR </w:t>
      </w:r>
      <w:r w:rsidRPr="008E6D0C">
        <w:rPr>
          <w:rFonts w:eastAsia="Times New Roman" w:cs="Arial"/>
          <w:color w:val="000000"/>
          <w:lang w:eastAsia="bg-BG"/>
        </w:rPr>
        <w:t>1,29 (95% ДИ: 1,23-1,35) за БКК и 3,98 (95% ДИ: 3,68-4 31) за СКК. Наблюдавана е ясна връзка кумулативна доза-отговор както за БКК, така и</w:t>
      </w:r>
      <w:r w:rsidRPr="008E6D0C">
        <w:rPr>
          <w:rFonts w:eastAsia="Times New Roman" w:cs="Arial"/>
          <w:color w:val="000000"/>
          <w:lang w:val="en-US"/>
        </w:rPr>
        <w:t xml:space="preserve"> </w:t>
      </w:r>
      <w:r w:rsidRPr="008E6D0C">
        <w:rPr>
          <w:rFonts w:eastAsia="Times New Roman" w:cs="Arial"/>
          <w:color w:val="000000"/>
          <w:lang w:eastAsia="bg-BG"/>
        </w:rPr>
        <w:t xml:space="preserve">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w:t>
      </w:r>
      <w:r w:rsidRPr="008E6D0C">
        <w:rPr>
          <w:rFonts w:eastAsia="Times New Roman" w:cs="Arial"/>
          <w:b/>
          <w:bCs/>
          <w:color w:val="000000"/>
          <w:lang w:eastAsia="bg-BG"/>
        </w:rPr>
        <w:t xml:space="preserve">подходящи контроли </w:t>
      </w:r>
      <w:r w:rsidRPr="008E6D0C">
        <w:rPr>
          <w:rFonts w:eastAsia="Times New Roman" w:cs="Arial"/>
          <w:color w:val="000000"/>
          <w:lang w:eastAsia="bg-BG"/>
        </w:rPr>
        <w:t xml:space="preserve">като се използва стратегия за вземане на проби, определена от риска. Демонстрирана връзка кумулативна доза-отговор с коригиран </w:t>
      </w:r>
      <w:r w:rsidRPr="008E6D0C">
        <w:rPr>
          <w:rFonts w:eastAsia="Times New Roman" w:cs="Arial"/>
          <w:color w:val="000000"/>
          <w:lang w:val="en-US"/>
        </w:rPr>
        <w:t xml:space="preserve">OR </w:t>
      </w:r>
      <w:r w:rsidRPr="008E6D0C">
        <w:rPr>
          <w:rFonts w:eastAsia="Times New Roman" w:cs="Arial"/>
          <w:color w:val="000000"/>
          <w:lang w:eastAsia="bg-BG"/>
        </w:rPr>
        <w:t xml:space="preserve">2,1 (95% ДИ: 1,7-2,6), нарастващ до </w:t>
      </w:r>
      <w:r w:rsidRPr="008E6D0C">
        <w:rPr>
          <w:rFonts w:eastAsia="Times New Roman" w:cs="Arial"/>
          <w:color w:val="000000"/>
          <w:lang w:val="en-US"/>
        </w:rPr>
        <w:t>OR 3,9 (3,0-4,9)</w:t>
      </w:r>
      <w:r w:rsidRPr="008E6D0C">
        <w:rPr>
          <w:rFonts w:eastAsia="Times New Roman" w:cs="Arial"/>
          <w:sz w:val="24"/>
          <w:szCs w:val="24"/>
          <w:lang w:val="en-US" w:eastAsia="bg-BG"/>
        </w:rPr>
        <w:t xml:space="preserve"> </w:t>
      </w:r>
      <w:r w:rsidRPr="008E6D0C">
        <w:rPr>
          <w:rFonts w:eastAsia="Times New Roman" w:cs="Arial"/>
          <w:color w:val="000000"/>
          <w:lang w:eastAsia="bg-BG"/>
        </w:rPr>
        <w:t xml:space="preserve">за висока употреба (~ 25 000 </w:t>
      </w:r>
      <w:r w:rsidRPr="008E6D0C">
        <w:rPr>
          <w:rFonts w:eastAsia="Times New Roman" w:cs="Arial"/>
          <w:color w:val="000000"/>
          <w:lang w:val="en-US"/>
        </w:rPr>
        <w:t xml:space="preserve">mg) </w:t>
      </w:r>
      <w:r w:rsidRPr="008E6D0C">
        <w:rPr>
          <w:rFonts w:eastAsia="Times New Roman" w:cs="Arial"/>
          <w:color w:val="000000"/>
          <w:lang w:eastAsia="bg-BG"/>
        </w:rPr>
        <w:t xml:space="preserve">и </w:t>
      </w:r>
      <w:r w:rsidRPr="008E6D0C">
        <w:rPr>
          <w:rFonts w:eastAsia="Times New Roman" w:cs="Arial"/>
          <w:color w:val="000000"/>
          <w:lang w:val="en-US"/>
        </w:rPr>
        <w:t xml:space="preserve">OR </w:t>
      </w:r>
      <w:r w:rsidRPr="008E6D0C">
        <w:rPr>
          <w:rFonts w:eastAsia="Times New Roman" w:cs="Arial"/>
          <w:color w:val="000000"/>
          <w:lang w:eastAsia="bg-BG"/>
        </w:rPr>
        <w:t xml:space="preserve">7,7 (5,7-10,5) за най-високата кумулативна доза (~ 100 000 </w:t>
      </w:r>
      <w:r w:rsidRPr="008E6D0C">
        <w:rPr>
          <w:rFonts w:eastAsia="Times New Roman" w:cs="Arial"/>
          <w:color w:val="000000"/>
          <w:lang w:val="en-US"/>
        </w:rPr>
        <w:t xml:space="preserve">mg) </w:t>
      </w:r>
      <w:r w:rsidRPr="008E6D0C">
        <w:rPr>
          <w:rFonts w:eastAsia="Times New Roman" w:cs="Arial"/>
          <w:color w:val="000000"/>
          <w:lang w:eastAsia="bg-BG"/>
        </w:rPr>
        <w:t>(вж. също точка 4.4).</w:t>
      </w:r>
    </w:p>
    <w:p w14:paraId="7C1B6B17" w14:textId="77777777" w:rsidR="001C3D11" w:rsidRPr="0091385D" w:rsidRDefault="001C3D11"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FEB70E0"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u w:val="single"/>
          <w:lang w:eastAsia="bg-BG"/>
        </w:rPr>
        <w:t>Фармакокинетика и матаболизъм</w:t>
      </w:r>
    </w:p>
    <w:p w14:paraId="7C7D8765" w14:textId="77777777" w:rsidR="008E6D0C" w:rsidRPr="008E6D0C" w:rsidRDefault="008E6D0C" w:rsidP="008E6D0C">
      <w:pPr>
        <w:spacing w:line="240" w:lineRule="auto"/>
        <w:rPr>
          <w:rFonts w:eastAsia="Times New Roman" w:cs="Arial"/>
          <w:i/>
          <w:iCs/>
          <w:color w:val="000000"/>
          <w:lang w:eastAsia="bg-BG"/>
        </w:rPr>
      </w:pPr>
    </w:p>
    <w:p w14:paraId="46562687" w14:textId="53804FAD"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Рамиприл</w:t>
      </w:r>
    </w:p>
    <w:p w14:paraId="3E155590" w14:textId="77777777" w:rsidR="008E6D0C" w:rsidRPr="008E6D0C" w:rsidRDefault="008E6D0C" w:rsidP="008E6D0C">
      <w:pPr>
        <w:spacing w:line="240" w:lineRule="auto"/>
        <w:rPr>
          <w:rFonts w:eastAsia="Times New Roman" w:cs="Arial"/>
          <w:color w:val="000000"/>
          <w:u w:val="single"/>
          <w:lang w:eastAsia="bg-BG"/>
        </w:rPr>
      </w:pPr>
    </w:p>
    <w:p w14:paraId="7210EB1F" w14:textId="01874958" w:rsidR="008E6D0C" w:rsidRPr="008E6D0C" w:rsidRDefault="008E6D0C" w:rsidP="008E6D0C">
      <w:pPr>
        <w:pStyle w:val="Heading3"/>
        <w:rPr>
          <w:rFonts w:eastAsia="Times New Roman"/>
          <w:u w:val="single"/>
          <w:lang w:eastAsia="bg-BG"/>
        </w:rPr>
      </w:pPr>
      <w:r w:rsidRPr="008E6D0C">
        <w:rPr>
          <w:rFonts w:eastAsia="Times New Roman"/>
          <w:u w:val="single"/>
          <w:lang w:eastAsia="bg-BG"/>
        </w:rPr>
        <w:t>Абсорбция</w:t>
      </w:r>
    </w:p>
    <w:p w14:paraId="0E18FB8D"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8E6D0C">
        <w:rPr>
          <w:rFonts w:eastAsia="Times New Roman" w:cs="Arial"/>
          <w:color w:val="000000"/>
          <w:lang w:val="en-US"/>
        </w:rPr>
        <w:t xml:space="preserve">mg </w:t>
      </w:r>
      <w:r w:rsidRPr="008E6D0C">
        <w:rPr>
          <w:rFonts w:eastAsia="Times New Roman" w:cs="Arial"/>
          <w:color w:val="000000"/>
          <w:lang w:eastAsia="bg-BG"/>
        </w:rPr>
        <w:t xml:space="preserve">и 5 </w:t>
      </w:r>
      <w:r w:rsidRPr="008E6D0C">
        <w:rPr>
          <w:rFonts w:eastAsia="Times New Roman" w:cs="Arial"/>
          <w:color w:val="000000"/>
          <w:lang w:val="en-US"/>
        </w:rPr>
        <w:t xml:space="preserve">mg </w:t>
      </w:r>
      <w:r w:rsidRPr="008E6D0C">
        <w:rPr>
          <w:rFonts w:eastAsia="Times New Roman" w:cs="Arial"/>
          <w:color w:val="000000"/>
          <w:lang w:eastAsia="bg-BG"/>
        </w:rPr>
        <w:t>рамиприл е 45%.</w:t>
      </w:r>
    </w:p>
    <w:p w14:paraId="6F770A4A"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73EC8ACF" w14:textId="77777777" w:rsidR="008E6D0C" w:rsidRPr="008E6D0C" w:rsidRDefault="008E6D0C" w:rsidP="008E6D0C">
      <w:pPr>
        <w:spacing w:line="240" w:lineRule="auto"/>
        <w:rPr>
          <w:rFonts w:eastAsia="Times New Roman" w:cs="Arial"/>
          <w:color w:val="000000"/>
          <w:u w:val="single"/>
          <w:lang w:eastAsia="bg-BG"/>
        </w:rPr>
      </w:pPr>
    </w:p>
    <w:p w14:paraId="44D2B052" w14:textId="51F660CD" w:rsidR="008E6D0C" w:rsidRPr="008E6D0C" w:rsidRDefault="008E6D0C" w:rsidP="008E6D0C">
      <w:pPr>
        <w:pStyle w:val="Heading3"/>
        <w:rPr>
          <w:rFonts w:eastAsia="Times New Roman"/>
          <w:u w:val="single"/>
          <w:lang w:eastAsia="bg-BG"/>
        </w:rPr>
      </w:pPr>
      <w:r w:rsidRPr="008E6D0C">
        <w:rPr>
          <w:rFonts w:eastAsia="Times New Roman"/>
          <w:u w:val="single"/>
          <w:lang w:eastAsia="bg-BG"/>
        </w:rPr>
        <w:t>Разпределение</w:t>
      </w:r>
    </w:p>
    <w:p w14:paraId="61C301F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Свързването с плазмените протеини на рамиприл е около 73%, а това на рамиприлат около 56 %.</w:t>
      </w:r>
    </w:p>
    <w:p w14:paraId="2080A003" w14:textId="77777777" w:rsidR="008E6D0C" w:rsidRPr="008E6D0C" w:rsidRDefault="008E6D0C" w:rsidP="008E6D0C">
      <w:pPr>
        <w:spacing w:line="240" w:lineRule="auto"/>
        <w:rPr>
          <w:rFonts w:eastAsia="Times New Roman" w:cs="Arial"/>
          <w:color w:val="000000"/>
          <w:u w:val="single"/>
          <w:lang w:eastAsia="bg-BG"/>
        </w:rPr>
      </w:pPr>
    </w:p>
    <w:p w14:paraId="112E77AF" w14:textId="54962E72" w:rsidR="008E6D0C" w:rsidRPr="008E6D0C" w:rsidRDefault="008E6D0C" w:rsidP="008E6D0C">
      <w:pPr>
        <w:pStyle w:val="Heading3"/>
        <w:rPr>
          <w:rFonts w:eastAsia="Times New Roman"/>
          <w:u w:val="single"/>
          <w:lang w:eastAsia="bg-BG"/>
        </w:rPr>
      </w:pPr>
      <w:r w:rsidRPr="008E6D0C">
        <w:rPr>
          <w:rFonts w:eastAsia="Times New Roman"/>
          <w:u w:val="single"/>
          <w:lang w:eastAsia="bg-BG"/>
        </w:rPr>
        <w:t>Биотрансформация</w:t>
      </w:r>
    </w:p>
    <w:p w14:paraId="3EB2351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6AA4DE70" w14:textId="77777777" w:rsidR="008E6D0C" w:rsidRPr="008E6D0C" w:rsidRDefault="008E6D0C" w:rsidP="008E6D0C">
      <w:pPr>
        <w:spacing w:line="240" w:lineRule="auto"/>
        <w:rPr>
          <w:rFonts w:eastAsia="Times New Roman" w:cs="Arial"/>
          <w:color w:val="000000"/>
          <w:u w:val="single"/>
          <w:lang w:eastAsia="bg-BG"/>
        </w:rPr>
      </w:pPr>
    </w:p>
    <w:p w14:paraId="55AB75E4" w14:textId="07DDFFA4"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u w:val="single"/>
          <w:lang w:eastAsia="bg-BG"/>
        </w:rPr>
        <w:t>Елиминиране</w:t>
      </w:r>
    </w:p>
    <w:p w14:paraId="2DD6910F"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1B87AF23"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8E6D0C">
        <w:rPr>
          <w:rFonts w:eastAsia="Times New Roman" w:cs="Arial"/>
          <w:color w:val="000000"/>
          <w:lang w:val="en-US"/>
        </w:rPr>
        <w:t xml:space="preserve">mg </w:t>
      </w:r>
      <w:r w:rsidRPr="008E6D0C">
        <w:rPr>
          <w:rFonts w:eastAsia="Times New Roman" w:cs="Arial"/>
          <w:color w:val="000000"/>
          <w:lang w:eastAsia="bg-BG"/>
        </w:rPr>
        <w:t xml:space="preserve">и по-дълъг за по-ниските дози 1,25-2,5 </w:t>
      </w:r>
      <w:r w:rsidRPr="008E6D0C">
        <w:rPr>
          <w:rFonts w:eastAsia="Times New Roman" w:cs="Arial"/>
          <w:color w:val="000000"/>
          <w:lang w:val="en-US"/>
        </w:rPr>
        <w:t xml:space="preserve">mg. </w:t>
      </w:r>
      <w:r w:rsidRPr="008E6D0C">
        <w:rPr>
          <w:rFonts w:eastAsia="Times New Roman" w:cs="Arial"/>
          <w:color w:val="000000"/>
          <w:lang w:eastAsia="bg-BG"/>
        </w:rPr>
        <w:t>Тази разлика е свързана с капацитета за насищане на ензима чрез свързване с рамиприлат.</w:t>
      </w:r>
    </w:p>
    <w:p w14:paraId="3F569E84"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77FDB5AB" w14:textId="196C5008" w:rsidR="008E6D0C" w:rsidRPr="008E6D0C" w:rsidRDefault="008E6D0C" w:rsidP="008E6D0C">
      <w:pPr>
        <w:spacing w:line="240" w:lineRule="auto"/>
        <w:rPr>
          <w:rFonts w:eastAsia="Times New Roman" w:cs="Arial"/>
          <w:color w:val="000000"/>
          <w:lang w:eastAsia="bg-BG"/>
        </w:rPr>
      </w:pPr>
    </w:p>
    <w:p w14:paraId="790C0EC2" w14:textId="3352511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lastRenderedPageBreak/>
        <w:t>Пациенти с бъбречно увреждане (вж. точка 4.2)</w:t>
      </w:r>
    </w:p>
    <w:p w14:paraId="51FA7E1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DE4E3E" w14:textId="77777777" w:rsidR="008E6D0C" w:rsidRPr="008E6D0C" w:rsidRDefault="008E6D0C" w:rsidP="008E6D0C">
      <w:pPr>
        <w:spacing w:line="240" w:lineRule="auto"/>
        <w:rPr>
          <w:rFonts w:eastAsia="Times New Roman" w:cs="Arial"/>
          <w:sz w:val="24"/>
          <w:szCs w:val="24"/>
          <w:lang w:eastAsia="bg-BG"/>
        </w:rPr>
      </w:pPr>
    </w:p>
    <w:p w14:paraId="1911022B" w14:textId="11C327E6"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чернодробно увреждане (вж. точка 4.2)</w:t>
      </w:r>
    </w:p>
    <w:p w14:paraId="148BA3FC" w14:textId="6B46FC86" w:rsidR="0091385D" w:rsidRPr="008E6D0C" w:rsidRDefault="008E6D0C" w:rsidP="008E6D0C">
      <w:pPr>
        <w:rPr>
          <w:rFonts w:eastAsia="Times New Roman" w:cs="Arial"/>
          <w:color w:val="000000"/>
          <w:lang w:eastAsia="bg-BG"/>
        </w:rPr>
      </w:pPr>
      <w:r w:rsidRPr="008E6D0C">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1D5294AC" w14:textId="041E44DC" w:rsidR="008E6D0C" w:rsidRPr="008E6D0C" w:rsidRDefault="008E6D0C" w:rsidP="008E6D0C">
      <w:pPr>
        <w:rPr>
          <w:rFonts w:eastAsia="Times New Roman" w:cs="Arial"/>
          <w:color w:val="000000"/>
          <w:lang w:eastAsia="bg-BG"/>
        </w:rPr>
      </w:pPr>
    </w:p>
    <w:p w14:paraId="524B260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Хидрохлоротпиаз ид</w:t>
      </w:r>
    </w:p>
    <w:p w14:paraId="63E9C09C" w14:textId="77777777" w:rsidR="008E6D0C" w:rsidRPr="008E6D0C" w:rsidRDefault="008E6D0C" w:rsidP="008E6D0C">
      <w:pPr>
        <w:spacing w:line="240" w:lineRule="auto"/>
        <w:rPr>
          <w:rFonts w:eastAsia="Times New Roman" w:cs="Arial"/>
          <w:color w:val="000000"/>
          <w:u w:val="single"/>
          <w:lang w:eastAsia="bg-BG"/>
        </w:rPr>
      </w:pPr>
    </w:p>
    <w:p w14:paraId="27FE83FB" w14:textId="014F8D3B" w:rsidR="008E6D0C" w:rsidRPr="008E6D0C" w:rsidRDefault="008E6D0C" w:rsidP="008E6D0C">
      <w:pPr>
        <w:pStyle w:val="Heading3"/>
        <w:rPr>
          <w:rFonts w:eastAsia="Times New Roman"/>
          <w:u w:val="single"/>
          <w:lang w:eastAsia="bg-BG"/>
        </w:rPr>
      </w:pPr>
      <w:r w:rsidRPr="008E6D0C">
        <w:rPr>
          <w:rFonts w:eastAsia="Times New Roman"/>
          <w:u w:val="single"/>
          <w:lang w:eastAsia="bg-BG"/>
        </w:rPr>
        <w:t>Абсорбция</w:t>
      </w:r>
    </w:p>
    <w:p w14:paraId="6A19F8D1"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След перорално приложение около 70 % от хидрохлоротиазида се абсорбират от стомашно- чревния тракт. Пикова плазмена концентрация на хидрохлоротиазид се достига в рамките на 1,5 до 5 часа.</w:t>
      </w:r>
    </w:p>
    <w:p w14:paraId="235B516D" w14:textId="77777777" w:rsidR="008E6D0C" w:rsidRPr="008E6D0C" w:rsidRDefault="008E6D0C" w:rsidP="008E6D0C">
      <w:pPr>
        <w:spacing w:line="240" w:lineRule="auto"/>
        <w:rPr>
          <w:rFonts w:eastAsia="Times New Roman" w:cs="Arial"/>
          <w:color w:val="000000"/>
          <w:u w:val="single"/>
          <w:lang w:eastAsia="bg-BG"/>
        </w:rPr>
      </w:pPr>
    </w:p>
    <w:p w14:paraId="016B5274" w14:textId="03C478CF" w:rsidR="008E6D0C" w:rsidRPr="008E6D0C" w:rsidRDefault="008E6D0C" w:rsidP="008E6D0C">
      <w:pPr>
        <w:pStyle w:val="Heading3"/>
        <w:rPr>
          <w:rFonts w:eastAsia="Times New Roman"/>
          <w:u w:val="single"/>
          <w:lang w:eastAsia="bg-BG"/>
        </w:rPr>
      </w:pPr>
      <w:r w:rsidRPr="008E6D0C">
        <w:rPr>
          <w:rFonts w:eastAsia="Times New Roman"/>
          <w:u w:val="single"/>
          <w:lang w:eastAsia="bg-BG"/>
        </w:rPr>
        <w:t>Разпределение</w:t>
      </w:r>
    </w:p>
    <w:p w14:paraId="0D46EE88"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Свързването с плазмените протеини на хидрохлоротиазид е 40 %.</w:t>
      </w:r>
    </w:p>
    <w:p w14:paraId="5C7B5DA5" w14:textId="77777777" w:rsidR="008E6D0C" w:rsidRPr="008E6D0C" w:rsidRDefault="008E6D0C" w:rsidP="008E6D0C">
      <w:pPr>
        <w:spacing w:line="240" w:lineRule="auto"/>
        <w:rPr>
          <w:rFonts w:eastAsia="Times New Roman" w:cs="Arial"/>
          <w:color w:val="000000"/>
          <w:u w:val="single"/>
          <w:lang w:eastAsia="bg-BG"/>
        </w:rPr>
      </w:pPr>
    </w:p>
    <w:p w14:paraId="75398855" w14:textId="00BC8D0A" w:rsidR="008E6D0C" w:rsidRPr="008E6D0C" w:rsidRDefault="008E6D0C" w:rsidP="008E6D0C">
      <w:pPr>
        <w:pStyle w:val="Heading3"/>
        <w:rPr>
          <w:rFonts w:eastAsia="Times New Roman"/>
          <w:u w:val="single"/>
          <w:lang w:eastAsia="bg-BG"/>
        </w:rPr>
      </w:pPr>
      <w:r w:rsidRPr="008E6D0C">
        <w:rPr>
          <w:rFonts w:eastAsia="Times New Roman"/>
          <w:u w:val="single"/>
          <w:lang w:eastAsia="bg-BG"/>
        </w:rPr>
        <w:t>Биотрансформация</w:t>
      </w:r>
    </w:p>
    <w:p w14:paraId="3B3021AC"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Хидрохлоротиазид претърпява незначителен чернодробен метаболизъм.</w:t>
      </w:r>
    </w:p>
    <w:p w14:paraId="2A079A70" w14:textId="77777777" w:rsidR="008E6D0C" w:rsidRPr="008E6D0C" w:rsidRDefault="008E6D0C" w:rsidP="008E6D0C">
      <w:pPr>
        <w:spacing w:line="240" w:lineRule="auto"/>
        <w:rPr>
          <w:rFonts w:eastAsia="Times New Roman" w:cs="Arial"/>
          <w:color w:val="000000"/>
          <w:u w:val="single"/>
          <w:lang w:eastAsia="bg-BG"/>
        </w:rPr>
      </w:pPr>
    </w:p>
    <w:p w14:paraId="40889E39" w14:textId="6C30DFD3" w:rsidR="008E6D0C" w:rsidRPr="008E6D0C" w:rsidRDefault="008E6D0C" w:rsidP="008E6D0C">
      <w:pPr>
        <w:pStyle w:val="Heading3"/>
        <w:rPr>
          <w:rFonts w:eastAsia="Times New Roman"/>
          <w:u w:val="single"/>
          <w:lang w:eastAsia="bg-BG"/>
        </w:rPr>
      </w:pPr>
      <w:r w:rsidRPr="008E6D0C">
        <w:rPr>
          <w:rFonts w:eastAsia="Times New Roman"/>
          <w:u w:val="single"/>
          <w:lang w:eastAsia="bg-BG"/>
        </w:rPr>
        <w:t>Елиминиране</w:t>
      </w:r>
    </w:p>
    <w:p w14:paraId="542AC945"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Хидрохлоротиазид се елиминира почти напълно (&gt;95%) в непроменена форма през бъбреците; 50 до 70% от еднократна перорална доза се елиминират в рамките на 24 часа. Елиминационният полуживот е 5 до 6 часа.</w:t>
      </w:r>
    </w:p>
    <w:p w14:paraId="6AA58D76" w14:textId="77777777" w:rsidR="008E6D0C" w:rsidRPr="008E6D0C" w:rsidRDefault="008E6D0C" w:rsidP="008E6D0C">
      <w:pPr>
        <w:spacing w:line="240" w:lineRule="auto"/>
        <w:rPr>
          <w:rFonts w:eastAsia="Times New Roman" w:cs="Arial"/>
          <w:color w:val="000000"/>
          <w:lang w:eastAsia="bg-BG"/>
        </w:rPr>
      </w:pPr>
    </w:p>
    <w:p w14:paraId="087850BC" w14:textId="1CAB1732"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бъбречно увреждане (вж. точка 4.2)</w:t>
      </w:r>
    </w:p>
    <w:p w14:paraId="0ABDE8A8"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Бъбречната екскреция на хидрохлоротиазид е понижена при пациенти с нарушена бъбречна функция и бъбречния клирънс на хидрохлоротиазид е свързан пропорционално с креатининоваия клирънс. Това води до повишена плазмена концентрация на хидрохлоротиазид, която намалява по-бавно, отколкото при индивиди с нормална бъбречна функция.</w:t>
      </w:r>
    </w:p>
    <w:p w14:paraId="3D2A5928" w14:textId="77777777" w:rsidR="008E6D0C" w:rsidRPr="008E6D0C" w:rsidRDefault="008E6D0C" w:rsidP="008E6D0C">
      <w:pPr>
        <w:spacing w:line="240" w:lineRule="auto"/>
        <w:rPr>
          <w:rFonts w:eastAsia="Times New Roman" w:cs="Arial"/>
          <w:color w:val="000000"/>
          <w:lang w:eastAsia="bg-BG"/>
        </w:rPr>
      </w:pPr>
    </w:p>
    <w:p w14:paraId="32933CE3" w14:textId="16B1C6F5"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Пациенти с чернодробно увреждане (вж. точка 4.2)</w:t>
      </w:r>
    </w:p>
    <w:p w14:paraId="5593B1B9"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При пациенти с чернодробна цироза фармакокинетиката на хидрохлоротиазид не се променя значимо. Фармакокинетиката на хидрохлоротиазид не е проучвана при пациенти със сърдечна недостатъчност.</w:t>
      </w:r>
    </w:p>
    <w:p w14:paraId="385B03E9" w14:textId="77777777" w:rsidR="008E6D0C" w:rsidRPr="008E6D0C" w:rsidRDefault="008E6D0C" w:rsidP="008E6D0C">
      <w:pPr>
        <w:spacing w:line="240" w:lineRule="auto"/>
        <w:rPr>
          <w:rFonts w:eastAsia="Times New Roman" w:cs="Arial"/>
          <w:i/>
          <w:iCs/>
          <w:color w:val="000000"/>
          <w:lang w:eastAsia="bg-BG"/>
        </w:rPr>
      </w:pPr>
    </w:p>
    <w:p w14:paraId="1E15D735" w14:textId="2BE98333" w:rsidR="008E6D0C" w:rsidRPr="008E6D0C" w:rsidRDefault="008E6D0C" w:rsidP="008E6D0C">
      <w:pPr>
        <w:spacing w:line="240" w:lineRule="auto"/>
        <w:rPr>
          <w:rFonts w:eastAsia="Times New Roman" w:cs="Arial"/>
          <w:sz w:val="24"/>
          <w:szCs w:val="24"/>
          <w:lang w:eastAsia="bg-BG"/>
        </w:rPr>
      </w:pPr>
      <w:r w:rsidRPr="008E6D0C">
        <w:rPr>
          <w:rFonts w:eastAsia="Times New Roman" w:cs="Arial"/>
          <w:i/>
          <w:iCs/>
          <w:color w:val="000000"/>
          <w:lang w:eastAsia="bg-BG"/>
        </w:rPr>
        <w:t>Рамиприл и хидрохлоротиазид</w:t>
      </w:r>
    </w:p>
    <w:p w14:paraId="18444C25" w14:textId="46EDCD4B" w:rsidR="008E6D0C" w:rsidRPr="008E6D0C" w:rsidRDefault="008E6D0C" w:rsidP="008E6D0C">
      <w:pPr>
        <w:rPr>
          <w:rFonts w:cs="Arial"/>
        </w:rPr>
      </w:pPr>
      <w:r w:rsidRPr="008E6D0C">
        <w:rPr>
          <w:rFonts w:eastAsia="Times New Roman" w:cs="Arial"/>
          <w:color w:val="000000"/>
          <w:lang w:eastAsia="bg-BG"/>
        </w:rPr>
        <w:t>Едновременното прилагане на рамиприл и хидрохлоротиазид не засяга тяхната бионаличност. Комбинираният продукт може да се счита като биоеквивалентен на продуктите, съдържащи отделните компоненти.</w:t>
      </w:r>
    </w:p>
    <w:p w14:paraId="4EE1BB0B" w14:textId="77777777" w:rsidR="0091385D" w:rsidRPr="0091385D" w:rsidRDefault="0091385D" w:rsidP="0091385D"/>
    <w:p w14:paraId="648E39DA" w14:textId="44D16CBD" w:rsidR="00CF77F7" w:rsidRDefault="002C50EE" w:rsidP="004A448E">
      <w:pPr>
        <w:pStyle w:val="Heading2"/>
      </w:pPr>
      <w:r>
        <w:lastRenderedPageBreak/>
        <w:t>5.3. Предклинични данни за безопасност</w:t>
      </w:r>
    </w:p>
    <w:p w14:paraId="31455D09" w14:textId="4D0EFBF5" w:rsidR="0091385D" w:rsidRDefault="0091385D" w:rsidP="0091385D"/>
    <w:p w14:paraId="734FF966"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 xml:space="preserve">При плъхове и мишки комбинацията от рамиприл и хидрохлоротиазид няма остра токсичност до 10 000 </w:t>
      </w:r>
      <w:r w:rsidRPr="008E6D0C">
        <w:rPr>
          <w:rFonts w:eastAsia="Times New Roman" w:cs="Arial"/>
          <w:color w:val="000000"/>
          <w:lang w:val="en-US"/>
        </w:rPr>
        <w:t xml:space="preserve">mg/kg. </w:t>
      </w:r>
      <w:r w:rsidRPr="008E6D0C">
        <w:rPr>
          <w:rFonts w:eastAsia="Times New Roman" w:cs="Arial"/>
          <w:color w:val="000000"/>
          <w:lang w:eastAsia="bg-BG"/>
        </w:rPr>
        <w:t>Проучванията при многократна прилагане, проведени при плъхове и маймуни, показват само нарушения в електролитния баланс.</w:t>
      </w:r>
    </w:p>
    <w:p w14:paraId="5E1FB0FF"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Не са провеждани проучвания за мутагенност и карциногенност с комбинацията, като проучванията с отделните компоненти не показват риск.</w:t>
      </w:r>
    </w:p>
    <w:p w14:paraId="52E4D01A" w14:textId="00D5FE15" w:rsidR="0091385D" w:rsidRPr="008E6D0C" w:rsidRDefault="008E6D0C" w:rsidP="008E6D0C">
      <w:pPr>
        <w:rPr>
          <w:rFonts w:cs="Arial"/>
        </w:rPr>
      </w:pPr>
      <w:r w:rsidRPr="008E6D0C">
        <w:rPr>
          <w:rFonts w:eastAsia="Times New Roman" w:cs="Arial"/>
          <w:color w:val="000000"/>
          <w:lang w:eastAsia="bg-BG"/>
        </w:rPr>
        <w:t>Репродуктивни проучвания при плъхове и зайци показват, че комбинацията е донякъде по- токсична от самостоятелните компоненти, но нито едно от проучванията не показва тератогенен ефект на комбинацията.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3BAD296" w14:textId="77777777" w:rsidR="008E6D0C" w:rsidRPr="008E6D0C" w:rsidRDefault="008E6D0C" w:rsidP="008E6D0C">
      <w:pPr>
        <w:spacing w:line="240" w:lineRule="auto"/>
        <w:rPr>
          <w:rFonts w:eastAsia="Times New Roman" w:cs="Arial"/>
          <w:sz w:val="24"/>
          <w:szCs w:val="24"/>
          <w:lang w:val="en-US" w:eastAsia="bg-BG"/>
        </w:rPr>
      </w:pPr>
      <w:proofErr w:type="spellStart"/>
      <w:proofErr w:type="gramStart"/>
      <w:r w:rsidRPr="008E6D0C">
        <w:rPr>
          <w:rFonts w:eastAsia="Times New Roman" w:cs="Arial"/>
          <w:color w:val="000000"/>
          <w:lang w:val="en-US"/>
        </w:rPr>
        <w:t>sanofi-aventis</w:t>
      </w:r>
      <w:proofErr w:type="spellEnd"/>
      <w:proofErr w:type="gramEnd"/>
      <w:r w:rsidRPr="008E6D0C">
        <w:rPr>
          <w:rFonts w:eastAsia="Times New Roman" w:cs="Arial"/>
          <w:color w:val="000000"/>
          <w:lang w:val="en-US"/>
        </w:rPr>
        <w:t xml:space="preserve"> </w:t>
      </w:r>
      <w:proofErr w:type="spellStart"/>
      <w:r w:rsidRPr="008E6D0C">
        <w:rPr>
          <w:rFonts w:eastAsia="Times New Roman" w:cs="Arial"/>
          <w:color w:val="000000"/>
          <w:lang w:val="en-US"/>
        </w:rPr>
        <w:t>groupe</w:t>
      </w:r>
      <w:proofErr w:type="spellEnd"/>
    </w:p>
    <w:p w14:paraId="212D9B09" w14:textId="77777777" w:rsidR="008E6D0C" w:rsidRPr="008E6D0C" w:rsidRDefault="008E6D0C" w:rsidP="008E6D0C">
      <w:pPr>
        <w:spacing w:line="240" w:lineRule="auto"/>
        <w:rPr>
          <w:rFonts w:eastAsia="Times New Roman" w:cs="Arial"/>
          <w:sz w:val="24"/>
          <w:szCs w:val="24"/>
          <w:lang w:val="en-US" w:eastAsia="bg-BG"/>
        </w:rPr>
      </w:pPr>
      <w:r w:rsidRPr="008E6D0C">
        <w:rPr>
          <w:rFonts w:eastAsia="Times New Roman" w:cs="Arial"/>
          <w:color w:val="000000"/>
          <w:lang w:eastAsia="bg-BG"/>
        </w:rPr>
        <w:t xml:space="preserve">54 </w:t>
      </w:r>
      <w:r w:rsidRPr="008E6D0C">
        <w:rPr>
          <w:rFonts w:eastAsia="Times New Roman" w:cs="Arial"/>
          <w:color w:val="000000"/>
          <w:lang w:val="en-US"/>
        </w:rPr>
        <w:t xml:space="preserve">rue La </w:t>
      </w:r>
      <w:proofErr w:type="spellStart"/>
      <w:r w:rsidRPr="008E6D0C">
        <w:rPr>
          <w:rFonts w:eastAsia="Times New Roman" w:cs="Arial"/>
          <w:color w:val="000000"/>
          <w:lang w:val="en-US"/>
        </w:rPr>
        <w:t>Boetie</w:t>
      </w:r>
      <w:proofErr w:type="spellEnd"/>
    </w:p>
    <w:p w14:paraId="6DA17A3D" w14:textId="77777777" w:rsidR="008E6D0C" w:rsidRPr="008E6D0C" w:rsidRDefault="008E6D0C" w:rsidP="008E6D0C">
      <w:pPr>
        <w:spacing w:line="240" w:lineRule="auto"/>
        <w:rPr>
          <w:rFonts w:eastAsia="Times New Roman" w:cs="Arial"/>
          <w:sz w:val="24"/>
          <w:szCs w:val="24"/>
          <w:lang w:val="en-US" w:eastAsia="bg-BG"/>
        </w:rPr>
      </w:pPr>
      <w:r w:rsidRPr="008E6D0C">
        <w:rPr>
          <w:rFonts w:eastAsia="Times New Roman" w:cs="Arial"/>
          <w:color w:val="000000"/>
          <w:lang w:val="en-US"/>
        </w:rPr>
        <w:t>75008 Paris</w:t>
      </w:r>
    </w:p>
    <w:p w14:paraId="3FD825DB" w14:textId="66DB6B6C" w:rsidR="0091385D" w:rsidRPr="008E6D0C" w:rsidRDefault="008E6D0C" w:rsidP="008E6D0C">
      <w:pPr>
        <w:rPr>
          <w:rFonts w:cs="Arial"/>
        </w:rPr>
      </w:pPr>
      <w:r w:rsidRPr="008E6D0C">
        <w:rPr>
          <w:rFonts w:eastAsia="Times New Roman" w:cs="Arial"/>
          <w:color w:val="000000"/>
          <w:lang w:eastAsia="bg-BG"/>
        </w:rPr>
        <w:t>Франция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6AF5488C" w:rsidR="0091385D" w:rsidRPr="008E6D0C" w:rsidRDefault="008E6D0C" w:rsidP="0091385D">
      <w:pPr>
        <w:rPr>
          <w:rFonts w:cs="Arial"/>
        </w:rPr>
      </w:pPr>
      <w:r w:rsidRPr="008E6D0C">
        <w:rPr>
          <w:rFonts w:cs="Arial"/>
          <w:lang w:val="en-US"/>
        </w:rPr>
        <w:t xml:space="preserve">Per. </w:t>
      </w:r>
      <w:r w:rsidR="00281701">
        <w:rPr>
          <w:rFonts w:cs="Arial"/>
        </w:rPr>
        <w:t>№20120437</w:t>
      </w:r>
      <w:bookmarkStart w:id="2" w:name="_GoBack"/>
      <w:bookmarkEnd w:id="2"/>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086D34BB" w14:textId="77777777" w:rsidR="008E6D0C" w:rsidRPr="008E6D0C" w:rsidRDefault="008E6D0C" w:rsidP="008E6D0C">
      <w:pPr>
        <w:spacing w:line="240" w:lineRule="auto"/>
        <w:rPr>
          <w:rFonts w:eastAsia="Times New Roman" w:cs="Arial"/>
          <w:sz w:val="24"/>
          <w:szCs w:val="24"/>
          <w:lang w:eastAsia="bg-BG"/>
        </w:rPr>
      </w:pPr>
      <w:r w:rsidRPr="008E6D0C">
        <w:rPr>
          <w:rFonts w:eastAsia="Times New Roman" w:cs="Arial"/>
          <w:color w:val="000000"/>
          <w:lang w:eastAsia="bg-BG"/>
        </w:rPr>
        <w:t>Дата на първо разрешаване: 17.09.2012г.</w:t>
      </w:r>
    </w:p>
    <w:p w14:paraId="497007FA" w14:textId="608CA4C0" w:rsidR="0091385D" w:rsidRPr="008E6D0C" w:rsidRDefault="008E6D0C" w:rsidP="008E6D0C">
      <w:pPr>
        <w:rPr>
          <w:rFonts w:cs="Arial"/>
        </w:rPr>
      </w:pPr>
      <w:r w:rsidRPr="008E6D0C">
        <w:rPr>
          <w:rFonts w:eastAsia="Times New Roman" w:cs="Arial"/>
          <w:color w:val="000000"/>
          <w:lang w:eastAsia="bg-BG"/>
        </w:rPr>
        <w:t>Дата на подновяване на разрешението за употреба: 20.12.2018г.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E73B75F" w:rsidR="0091385D" w:rsidRPr="008E6D0C" w:rsidRDefault="008E6D0C" w:rsidP="0091385D">
      <w:pPr>
        <w:rPr>
          <w:rFonts w:cs="Arial"/>
        </w:rPr>
      </w:pPr>
      <w:r w:rsidRPr="008E6D0C">
        <w:rPr>
          <w:rFonts w:cs="Arial"/>
        </w:rPr>
        <w:t>01.01.2022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305F0"/>
    <w:multiLevelType w:val="hybridMultilevel"/>
    <w:tmpl w:val="12A80BB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636"/>
    <w:multiLevelType w:val="hybridMultilevel"/>
    <w:tmpl w:val="E444BE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260CDE"/>
    <w:multiLevelType w:val="hybridMultilevel"/>
    <w:tmpl w:val="8FE4A418"/>
    <w:lvl w:ilvl="0" w:tplc="E672239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3181"/>
    <w:multiLevelType w:val="hybridMultilevel"/>
    <w:tmpl w:val="3ABED5B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42E64"/>
    <w:multiLevelType w:val="hybridMultilevel"/>
    <w:tmpl w:val="01C2B7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7"/>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0"/>
  </w:num>
  <w:num w:numId="34">
    <w:abstractNumId w:val="36"/>
  </w:num>
  <w:num w:numId="35">
    <w:abstractNumId w:val="8"/>
  </w:num>
  <w:num w:numId="36">
    <w:abstractNumId w:val="34"/>
  </w:num>
  <w:num w:numId="37">
    <w:abstractNumId w:val="10"/>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4948"/>
    <w:rsid w:val="00185A46"/>
    <w:rsid w:val="001915B6"/>
    <w:rsid w:val="001C3D11"/>
    <w:rsid w:val="001D1B23"/>
    <w:rsid w:val="00272B3D"/>
    <w:rsid w:val="00281701"/>
    <w:rsid w:val="002B3C38"/>
    <w:rsid w:val="002B4DBB"/>
    <w:rsid w:val="002C50EE"/>
    <w:rsid w:val="00340A0A"/>
    <w:rsid w:val="00367195"/>
    <w:rsid w:val="003765DC"/>
    <w:rsid w:val="00395555"/>
    <w:rsid w:val="003E3126"/>
    <w:rsid w:val="00426428"/>
    <w:rsid w:val="00426E5F"/>
    <w:rsid w:val="004A448E"/>
    <w:rsid w:val="004D4D6B"/>
    <w:rsid w:val="004F1CE7"/>
    <w:rsid w:val="004F498A"/>
    <w:rsid w:val="00501313"/>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E6D0C"/>
    <w:rsid w:val="008F1AF3"/>
    <w:rsid w:val="0091385D"/>
    <w:rsid w:val="00955B93"/>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40B73"/>
    <w:rsid w:val="00C809A7"/>
    <w:rsid w:val="00C83063"/>
    <w:rsid w:val="00C87E90"/>
    <w:rsid w:val="00CA1B57"/>
    <w:rsid w:val="00CE0671"/>
    <w:rsid w:val="00CF77F7"/>
    <w:rsid w:val="00D86297"/>
    <w:rsid w:val="00DA5E7F"/>
    <w:rsid w:val="00DD466D"/>
    <w:rsid w:val="00E75482"/>
    <w:rsid w:val="00EA3CE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7854</Words>
  <Characters>44770</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2022-12-06T02:47:00Z</dcterms:created>
  <dcterms:modified xsi:type="dcterms:W3CDTF">2022-12-06T02:47:00Z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