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76F3ADE1"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Тромбекс 75 </w:t>
      </w:r>
      <w:r w:rsidRPr="009C6C16">
        <w:rPr>
          <w:rFonts w:eastAsia="Times New Roman" w:cs="Arial"/>
          <w:color w:val="000000"/>
          <w:lang w:val="en-US"/>
        </w:rPr>
        <w:t xml:space="preserve">mg </w:t>
      </w:r>
      <w:r w:rsidRPr="009C6C16">
        <w:rPr>
          <w:rFonts w:eastAsia="Times New Roman" w:cs="Arial"/>
          <w:color w:val="000000"/>
          <w:lang w:eastAsia="bg-BG"/>
        </w:rPr>
        <w:t>филмирани таблетки</w:t>
      </w:r>
    </w:p>
    <w:p w14:paraId="5015A1FD" w14:textId="7D628D44" w:rsidR="00A73575" w:rsidRPr="009C6C16" w:rsidRDefault="009C6C16" w:rsidP="009C6C16">
      <w:pPr>
        <w:rPr>
          <w:rFonts w:cs="Arial"/>
        </w:rPr>
      </w:pPr>
      <w:proofErr w:type="spellStart"/>
      <w:r w:rsidRPr="009C6C16">
        <w:rPr>
          <w:rFonts w:eastAsia="Times New Roman" w:cs="Arial"/>
          <w:color w:val="000000"/>
          <w:lang w:val="en-US"/>
        </w:rPr>
        <w:t>Trombex</w:t>
      </w:r>
      <w:proofErr w:type="spellEnd"/>
      <w:r w:rsidRPr="009C6C16">
        <w:rPr>
          <w:rFonts w:eastAsia="Times New Roman" w:cs="Arial"/>
          <w:color w:val="000000"/>
          <w:lang w:val="en-US"/>
        </w:rPr>
        <w:t xml:space="preserve"> </w:t>
      </w:r>
      <w:r w:rsidRPr="009C6C16">
        <w:rPr>
          <w:rFonts w:eastAsia="Times New Roman" w:cs="Arial"/>
          <w:color w:val="000000"/>
          <w:lang w:eastAsia="bg-BG"/>
        </w:rPr>
        <w:t xml:space="preserve">75 </w:t>
      </w:r>
      <w:r w:rsidRPr="009C6C16">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549C7E1A"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Всяка филмирана таблетка съдържа 75 </w:t>
      </w:r>
      <w:r w:rsidRPr="009C6C16">
        <w:rPr>
          <w:rFonts w:eastAsia="Times New Roman" w:cs="Arial"/>
          <w:color w:val="000000"/>
          <w:lang w:val="en-US"/>
        </w:rPr>
        <w:t xml:space="preserve">mg </w:t>
      </w:r>
      <w:r w:rsidRPr="009C6C16">
        <w:rPr>
          <w:rFonts w:eastAsia="Times New Roman" w:cs="Arial"/>
          <w:color w:val="000000"/>
          <w:lang w:eastAsia="bg-BG"/>
        </w:rPr>
        <w:t xml:space="preserve">клопидогрел </w:t>
      </w:r>
      <w:r w:rsidRPr="009C6C16">
        <w:rPr>
          <w:rFonts w:eastAsia="Times New Roman" w:cs="Arial"/>
          <w:i/>
          <w:iCs/>
          <w:color w:val="000000"/>
          <w:lang w:val="en-US"/>
        </w:rPr>
        <w:t>(</w:t>
      </w:r>
      <w:proofErr w:type="spellStart"/>
      <w:r w:rsidRPr="009C6C16">
        <w:rPr>
          <w:rFonts w:eastAsia="Times New Roman" w:cs="Arial"/>
          <w:i/>
          <w:iCs/>
          <w:color w:val="000000"/>
          <w:lang w:val="en-US"/>
        </w:rPr>
        <w:t>clopidogrel</w:t>
      </w:r>
      <w:proofErr w:type="spellEnd"/>
      <w:r w:rsidRPr="009C6C16">
        <w:rPr>
          <w:rFonts w:eastAsia="Times New Roman" w:cs="Arial"/>
          <w:i/>
          <w:iCs/>
          <w:color w:val="000000"/>
          <w:lang w:val="en-US"/>
        </w:rPr>
        <w:t>)</w:t>
      </w:r>
      <w:r w:rsidRPr="009C6C16">
        <w:rPr>
          <w:rFonts w:eastAsia="Times New Roman" w:cs="Arial"/>
          <w:color w:val="000000"/>
          <w:lang w:val="en-US"/>
        </w:rPr>
        <w:t xml:space="preserve"> </w:t>
      </w:r>
      <w:r w:rsidRPr="009C6C16">
        <w:rPr>
          <w:rFonts w:eastAsia="Times New Roman" w:cs="Arial"/>
          <w:color w:val="000000"/>
          <w:lang w:eastAsia="bg-BG"/>
        </w:rPr>
        <w:t>(като хидрогенсулфат).</w:t>
      </w:r>
    </w:p>
    <w:p w14:paraId="129E8B22"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Помощни вещества с известно действие:</w:t>
      </w:r>
    </w:p>
    <w:p w14:paraId="674C491A"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Всяка филмирана таблетка съдържа 3 </w:t>
      </w:r>
      <w:r w:rsidRPr="009C6C16">
        <w:rPr>
          <w:rFonts w:eastAsia="Times New Roman" w:cs="Arial"/>
          <w:color w:val="000000"/>
          <w:lang w:val="en-US"/>
        </w:rPr>
        <w:t xml:space="preserve">mg </w:t>
      </w:r>
      <w:r w:rsidRPr="009C6C16">
        <w:rPr>
          <w:rFonts w:eastAsia="Times New Roman" w:cs="Arial"/>
          <w:color w:val="000000"/>
          <w:lang w:eastAsia="bg-BG"/>
        </w:rPr>
        <w:t xml:space="preserve">лактоза и 3,3 </w:t>
      </w:r>
      <w:r w:rsidRPr="009C6C16">
        <w:rPr>
          <w:rFonts w:eastAsia="Times New Roman" w:cs="Arial"/>
          <w:color w:val="000000"/>
          <w:lang w:val="en-US"/>
        </w:rPr>
        <w:t xml:space="preserve">mg </w:t>
      </w:r>
      <w:r w:rsidRPr="009C6C16">
        <w:rPr>
          <w:rFonts w:eastAsia="Times New Roman" w:cs="Arial"/>
          <w:color w:val="000000"/>
          <w:lang w:eastAsia="bg-BG"/>
        </w:rPr>
        <w:t>хидрогенирано рициново масло.</w:t>
      </w:r>
    </w:p>
    <w:p w14:paraId="03110A50" w14:textId="749D5BA9" w:rsidR="0091385D" w:rsidRPr="009C6C16" w:rsidRDefault="009C6C16" w:rsidP="009C6C16">
      <w:pPr>
        <w:rPr>
          <w:rFonts w:cs="Arial"/>
        </w:rPr>
      </w:pPr>
      <w:r w:rsidRPr="009C6C16">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Pr="009C6C16" w:rsidRDefault="0091385D" w:rsidP="0091385D">
      <w:pPr>
        <w:rPr>
          <w:rFonts w:cs="Arial"/>
        </w:rPr>
      </w:pPr>
    </w:p>
    <w:p w14:paraId="05D6042E"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Филмирана таблетка</w:t>
      </w:r>
    </w:p>
    <w:p w14:paraId="4129ADBB" w14:textId="37A69D8E" w:rsidR="0091385D" w:rsidRPr="009C6C16" w:rsidRDefault="009C6C16" w:rsidP="009C6C16">
      <w:pPr>
        <w:rPr>
          <w:rFonts w:cs="Arial"/>
        </w:rPr>
      </w:pPr>
      <w:r w:rsidRPr="009C6C16">
        <w:rPr>
          <w:rFonts w:eastAsia="Times New Roman" w:cs="Arial"/>
          <w:color w:val="000000"/>
          <w:lang w:eastAsia="bg-BG"/>
        </w:rPr>
        <w:t>Розови, кръгли, двойно-изпъкнали, с гравиран надпис “75“ на едната страна и “1171” на другата страна.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1FD799BE"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Вторично предпазване от атеротромботични инциденти</w:t>
      </w:r>
    </w:p>
    <w:p w14:paraId="2D31D415"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Клопидогрел е показан при:</w:t>
      </w:r>
    </w:p>
    <w:p w14:paraId="586CD155" w14:textId="77777777" w:rsidR="00043C31" w:rsidRDefault="009C6C16" w:rsidP="00043C31">
      <w:pPr>
        <w:pStyle w:val="ListParagraph"/>
        <w:numPr>
          <w:ilvl w:val="0"/>
          <w:numId w:val="39"/>
        </w:numPr>
        <w:spacing w:line="240" w:lineRule="auto"/>
        <w:rPr>
          <w:rFonts w:eastAsia="Times New Roman" w:cs="Arial"/>
          <w:color w:val="000000"/>
          <w:lang w:eastAsia="bg-BG"/>
        </w:rPr>
      </w:pPr>
      <w:r w:rsidRPr="00043C31">
        <w:rPr>
          <w:rFonts w:eastAsia="Times New Roman" w:cs="Arial"/>
          <w:color w:val="000000"/>
          <w:lang w:eastAsia="bg-BG"/>
        </w:rPr>
        <w:t>възрастни пациенти с анамнеза за миокарден инфаркт (от няколко дни до 35 дни), исхемичен инсулт (от 7-мия ден до 6-тия месец) или установено периферно артериално заболяване.</w:t>
      </w:r>
    </w:p>
    <w:p w14:paraId="411DC968" w14:textId="77777777" w:rsidR="00043C31" w:rsidRDefault="009C6C16" w:rsidP="009C6C16">
      <w:pPr>
        <w:pStyle w:val="ListParagraph"/>
        <w:numPr>
          <w:ilvl w:val="0"/>
          <w:numId w:val="39"/>
        </w:numPr>
        <w:spacing w:line="240" w:lineRule="auto"/>
        <w:rPr>
          <w:rFonts w:eastAsia="Times New Roman" w:cs="Arial"/>
          <w:color w:val="000000"/>
          <w:lang w:eastAsia="bg-BG"/>
        </w:rPr>
      </w:pPr>
      <w:r w:rsidRPr="00043C31">
        <w:rPr>
          <w:rFonts w:eastAsia="Times New Roman" w:cs="Arial"/>
          <w:color w:val="000000"/>
          <w:lang w:eastAsia="bg-BG"/>
        </w:rPr>
        <w:t>възрастни пациенти с остър коронарен синдром:</w:t>
      </w:r>
    </w:p>
    <w:p w14:paraId="47F18185" w14:textId="77777777" w:rsidR="00043C31" w:rsidRDefault="009C6C16" w:rsidP="009C6C16">
      <w:pPr>
        <w:pStyle w:val="ListParagraph"/>
        <w:numPr>
          <w:ilvl w:val="0"/>
          <w:numId w:val="41"/>
        </w:numPr>
        <w:spacing w:line="240" w:lineRule="auto"/>
        <w:rPr>
          <w:rFonts w:eastAsia="Times New Roman" w:cs="Arial"/>
          <w:color w:val="000000"/>
          <w:lang w:eastAsia="bg-BG"/>
        </w:rPr>
      </w:pPr>
      <w:r w:rsidRPr="00043C31">
        <w:rPr>
          <w:rFonts w:eastAsia="Times New Roman" w:cs="Arial"/>
          <w:color w:val="000000"/>
          <w:lang w:eastAsia="bg-BG"/>
        </w:rPr>
        <w:t xml:space="preserve">Остър коронарен синдром без елевация на </w:t>
      </w:r>
      <w:r w:rsidRPr="00043C31">
        <w:rPr>
          <w:rFonts w:eastAsia="Times New Roman" w:cs="Arial"/>
          <w:color w:val="000000"/>
          <w:lang w:val="en-US"/>
        </w:rPr>
        <w:t>ST-</w:t>
      </w:r>
      <w:r w:rsidRPr="00043C31">
        <w:rPr>
          <w:rFonts w:eastAsia="Times New Roman" w:cs="Arial"/>
          <w:color w:val="000000"/>
          <w:lang w:eastAsia="bg-BG"/>
        </w:rPr>
        <w:t xml:space="preserve">сегмента (нестабилна стенокардия или миокарден инфаркт без </w:t>
      </w:r>
      <w:r w:rsidRPr="00043C31">
        <w:rPr>
          <w:rFonts w:eastAsia="Times New Roman" w:cs="Arial"/>
          <w:color w:val="000000"/>
          <w:lang w:val="en-US"/>
        </w:rPr>
        <w:t>Q</w:t>
      </w:r>
      <w:r w:rsidRPr="00043C31">
        <w:rPr>
          <w:rFonts w:eastAsia="Times New Roman" w:cs="Arial"/>
          <w:color w:val="000000"/>
          <w:lang w:eastAsia="bg-BG"/>
        </w:rPr>
        <w:t>-зъбец), включително пациенти на които е поставен стент след перкутанна коронарна интервенция, в комбинация с ацетилсалицилова киселина (АСК).</w:t>
      </w:r>
    </w:p>
    <w:p w14:paraId="66A14B94" w14:textId="1A1F905A" w:rsidR="009C6C16" w:rsidRPr="00043C31" w:rsidRDefault="009C6C16" w:rsidP="009C6C16">
      <w:pPr>
        <w:pStyle w:val="ListParagraph"/>
        <w:numPr>
          <w:ilvl w:val="0"/>
          <w:numId w:val="41"/>
        </w:numPr>
        <w:spacing w:line="240" w:lineRule="auto"/>
        <w:rPr>
          <w:rFonts w:eastAsia="Times New Roman" w:cs="Arial"/>
          <w:color w:val="000000"/>
          <w:lang w:eastAsia="bg-BG"/>
        </w:rPr>
      </w:pPr>
      <w:r w:rsidRPr="00043C31">
        <w:rPr>
          <w:rFonts w:eastAsia="Times New Roman" w:cs="Arial"/>
          <w:color w:val="000000"/>
          <w:lang w:eastAsia="bg-BG"/>
        </w:rPr>
        <w:t xml:space="preserve">Остър миокарден инфаркт с елевация на </w:t>
      </w:r>
      <w:r w:rsidRPr="00043C31">
        <w:rPr>
          <w:rFonts w:eastAsia="Times New Roman" w:cs="Arial"/>
          <w:color w:val="000000"/>
          <w:lang w:val="en-US"/>
        </w:rPr>
        <w:t>ST</w:t>
      </w:r>
      <w:r w:rsidRPr="00043C31">
        <w:rPr>
          <w:rFonts w:eastAsia="Times New Roman" w:cs="Arial"/>
          <w:color w:val="000000"/>
          <w:lang w:eastAsia="bg-BG"/>
        </w:rPr>
        <w:t>-сегмента, в комбинация с АСК при медикаментозно лекувани пациенти, подходящи за тромболитична терапия.</w:t>
      </w:r>
    </w:p>
    <w:p w14:paraId="772BE4B7" w14:textId="77777777" w:rsidR="009C6C16" w:rsidRPr="009C6C16" w:rsidRDefault="009C6C16" w:rsidP="009C6C16">
      <w:pPr>
        <w:spacing w:line="240" w:lineRule="auto"/>
        <w:rPr>
          <w:rFonts w:eastAsia="Times New Roman" w:cs="Arial"/>
          <w:color w:val="000000"/>
          <w:u w:val="single"/>
          <w:lang w:eastAsia="bg-BG"/>
        </w:rPr>
      </w:pPr>
    </w:p>
    <w:p w14:paraId="54DD5331" w14:textId="0C85F876"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lastRenderedPageBreak/>
        <w:t xml:space="preserve">При пациенти с преходна исхемична атака </w:t>
      </w:r>
      <w:r w:rsidRPr="009C6C16">
        <w:rPr>
          <w:rFonts w:eastAsia="Times New Roman" w:cs="Arial"/>
          <w:color w:val="000000"/>
          <w:u w:val="single"/>
          <w:lang w:val="en-US"/>
        </w:rPr>
        <w:t xml:space="preserve">(Transient Ischemic Attack, TIA) c </w:t>
      </w:r>
      <w:r w:rsidRPr="009C6C16">
        <w:rPr>
          <w:rFonts w:eastAsia="Times New Roman" w:cs="Arial"/>
          <w:color w:val="000000"/>
          <w:u w:val="single"/>
          <w:lang w:eastAsia="bg-BG"/>
        </w:rPr>
        <w:t xml:space="preserve">умерен до висок риск или лек исхемичен инсулт </w:t>
      </w:r>
      <w:r w:rsidRPr="009C6C16">
        <w:rPr>
          <w:rFonts w:eastAsia="Times New Roman" w:cs="Arial"/>
          <w:color w:val="000000"/>
          <w:u w:val="single"/>
          <w:lang w:val="en-US"/>
        </w:rPr>
        <w:t xml:space="preserve">(Ischemic Stroke, IS) </w:t>
      </w:r>
      <w:r w:rsidRPr="009C6C16">
        <w:rPr>
          <w:rFonts w:eastAsia="Times New Roman" w:cs="Arial"/>
          <w:color w:val="000000"/>
          <w:lang w:eastAsia="bg-BG"/>
        </w:rPr>
        <w:t>Клопидогрел в комбинация с АСК е показан при:</w:t>
      </w:r>
    </w:p>
    <w:p w14:paraId="49CD6441" w14:textId="59A8C01C" w:rsidR="009C6C16" w:rsidRPr="00043C31" w:rsidRDefault="009C6C16" w:rsidP="00043C31">
      <w:pPr>
        <w:pStyle w:val="ListParagraph"/>
        <w:numPr>
          <w:ilvl w:val="0"/>
          <w:numId w:val="42"/>
        </w:numPr>
        <w:spacing w:line="240" w:lineRule="auto"/>
        <w:rPr>
          <w:rFonts w:eastAsia="Times New Roman" w:cs="Arial"/>
          <w:lang w:eastAsia="bg-BG"/>
        </w:rPr>
      </w:pPr>
      <w:r w:rsidRPr="00043C31">
        <w:rPr>
          <w:rFonts w:eastAsia="Times New Roman" w:cs="Arial"/>
          <w:color w:val="000000"/>
          <w:lang w:eastAsia="bg-BG"/>
        </w:rPr>
        <w:t xml:space="preserve">Възрастни пациенти с </w:t>
      </w:r>
      <w:r w:rsidRPr="00043C31">
        <w:rPr>
          <w:rFonts w:eastAsia="Times New Roman" w:cs="Arial"/>
          <w:color w:val="000000"/>
          <w:lang w:val="en-US"/>
        </w:rPr>
        <w:t xml:space="preserve">TIA </w:t>
      </w:r>
      <w:r w:rsidRPr="00043C31">
        <w:rPr>
          <w:rFonts w:eastAsia="Times New Roman" w:cs="Arial"/>
          <w:color w:val="000000"/>
          <w:lang w:eastAsia="bg-BG"/>
        </w:rPr>
        <w:t xml:space="preserve">с умерен до висок риск </w:t>
      </w:r>
      <w:r w:rsidRPr="00043C31">
        <w:rPr>
          <w:rFonts w:eastAsia="Times New Roman" w:cs="Arial"/>
          <w:color w:val="000000"/>
          <w:lang w:val="en-US"/>
        </w:rPr>
        <w:t>(ABCD2</w:t>
      </w:r>
      <w:r w:rsidRPr="00043C31">
        <w:rPr>
          <w:rFonts w:eastAsia="Times New Roman" w:cs="Arial"/>
          <w:color w:val="000000"/>
          <w:vertAlign w:val="superscript"/>
          <w:lang w:val="en-US"/>
        </w:rPr>
        <w:t>1</w:t>
      </w:r>
      <w:r w:rsidRPr="00043C31">
        <w:rPr>
          <w:rFonts w:eastAsia="Times New Roman" w:cs="Arial"/>
          <w:color w:val="000000"/>
          <w:lang w:val="en-US"/>
        </w:rPr>
        <w:t xml:space="preserve"> </w:t>
      </w:r>
      <w:r w:rsidRPr="00043C31">
        <w:rPr>
          <w:rFonts w:eastAsia="Times New Roman" w:cs="Arial"/>
          <w:color w:val="000000"/>
          <w:lang w:eastAsia="bg-BG"/>
        </w:rPr>
        <w:t xml:space="preserve">скор ≥4) или с лек </w:t>
      </w:r>
      <w:r w:rsidRPr="00043C31">
        <w:rPr>
          <w:rFonts w:eastAsia="Times New Roman" w:cs="Arial"/>
          <w:color w:val="000000"/>
          <w:lang w:val="en-US"/>
        </w:rPr>
        <w:t>IS (NIHSS</w:t>
      </w:r>
      <w:r w:rsidRPr="00043C31">
        <w:rPr>
          <w:rFonts w:eastAsia="Times New Roman" w:cs="Arial"/>
          <w:color w:val="000000"/>
          <w:vertAlign w:val="superscript"/>
          <w:lang w:val="en-US"/>
        </w:rPr>
        <w:t>2</w:t>
      </w:r>
      <w:r w:rsidRPr="00043C31">
        <w:rPr>
          <w:rFonts w:eastAsia="Times New Roman" w:cs="Arial"/>
          <w:color w:val="000000"/>
          <w:lang w:val="en-US"/>
        </w:rPr>
        <w:t xml:space="preserve"> </w:t>
      </w:r>
      <w:r w:rsidRPr="00043C31">
        <w:rPr>
          <w:rFonts w:eastAsia="Times New Roman" w:cs="Arial"/>
          <w:color w:val="000000"/>
          <w:lang w:eastAsia="bg-BG"/>
        </w:rPr>
        <w:t xml:space="preserve">≤3) в рамките на 24 часа от </w:t>
      </w:r>
      <w:r w:rsidRPr="00043C31">
        <w:rPr>
          <w:rFonts w:eastAsia="Times New Roman" w:cs="Arial"/>
          <w:color w:val="000000"/>
          <w:lang w:val="en-US"/>
        </w:rPr>
        <w:t xml:space="preserve">TIA </w:t>
      </w:r>
      <w:r w:rsidRPr="00043C31">
        <w:rPr>
          <w:rFonts w:eastAsia="Times New Roman" w:cs="Arial"/>
          <w:color w:val="000000"/>
          <w:lang w:eastAsia="bg-BG"/>
        </w:rPr>
        <w:t xml:space="preserve">или от </w:t>
      </w:r>
      <w:r w:rsidRPr="00043C31">
        <w:rPr>
          <w:rFonts w:eastAsia="Times New Roman" w:cs="Arial"/>
          <w:color w:val="000000"/>
          <w:lang w:val="en-US"/>
        </w:rPr>
        <w:t xml:space="preserve">IS </w:t>
      </w:r>
      <w:r w:rsidRPr="00043C31">
        <w:rPr>
          <w:rFonts w:eastAsia="Times New Roman" w:cs="Arial"/>
          <w:color w:val="000000"/>
          <w:lang w:eastAsia="bg-BG"/>
        </w:rPr>
        <w:t>събитието.</w:t>
      </w:r>
    </w:p>
    <w:p w14:paraId="40337C09" w14:textId="77777777" w:rsidR="009C6C16" w:rsidRPr="009C6C16" w:rsidRDefault="009C6C16" w:rsidP="009C6C16">
      <w:pPr>
        <w:spacing w:line="240" w:lineRule="auto"/>
        <w:rPr>
          <w:rFonts w:eastAsia="Times New Roman" w:cs="Arial"/>
          <w:color w:val="000000"/>
          <w:u w:val="single"/>
          <w:lang w:eastAsia="bg-BG"/>
        </w:rPr>
      </w:pPr>
    </w:p>
    <w:p w14:paraId="678BE934" w14:textId="69F391F6"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 xml:space="preserve">Предпазване от атеротромботични и тромбоемболични инциденти при предсърдно мъждене </w:t>
      </w:r>
      <w:r w:rsidRPr="009C6C16">
        <w:rPr>
          <w:rFonts w:eastAsia="Times New Roman" w:cs="Arial"/>
          <w:color w:val="000000"/>
          <w:lang w:eastAsia="bg-BG"/>
        </w:rPr>
        <w:t xml:space="preserve">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sidRPr="009C6C16">
        <w:rPr>
          <w:rFonts w:eastAsia="Times New Roman" w:cs="Arial"/>
          <w:color w:val="000000"/>
          <w:lang w:val="en-US"/>
        </w:rPr>
        <w:t xml:space="preserve">(VKA) </w:t>
      </w:r>
      <w:r w:rsidRPr="009C6C16">
        <w:rPr>
          <w:rFonts w:eastAsia="Times New Roman" w:cs="Arial"/>
          <w:color w:val="000000"/>
          <w:lang w:eastAsia="bg-BG"/>
        </w:rPr>
        <w:t>и които имат нисък риск за кървене, клопидогрел е показан в комбинация с АСК за предпазване от атеротромботични и тромбоемболични инциденти, включително инсулт.</w:t>
      </w:r>
    </w:p>
    <w:p w14:paraId="72D0A63B" w14:textId="526E01BF" w:rsidR="009C6C16" w:rsidRPr="009C6C16" w:rsidRDefault="009C6C16" w:rsidP="009C6C16">
      <w:pPr>
        <w:spacing w:line="240" w:lineRule="auto"/>
        <w:rPr>
          <w:rFonts w:eastAsia="Times New Roman" w:cs="Arial"/>
          <w:lang w:eastAsia="bg-BG"/>
        </w:rPr>
      </w:pPr>
      <w:bookmarkStart w:id="1" w:name="bookmark0"/>
      <w:r w:rsidRPr="009C6C16">
        <w:rPr>
          <w:rFonts w:eastAsia="Times New Roman" w:cs="Arial"/>
          <w:color w:val="000000"/>
          <w:lang w:eastAsia="bg-BG"/>
        </w:rPr>
        <w:tab/>
      </w:r>
      <w:r w:rsidRPr="009C6C16">
        <w:rPr>
          <w:rFonts w:eastAsia="Times New Roman" w:cs="Arial"/>
          <w:color w:val="000000"/>
          <w:lang w:eastAsia="bg-BG"/>
        </w:rPr>
        <w:tab/>
      </w:r>
      <w:bookmarkEnd w:id="1"/>
    </w:p>
    <w:p w14:paraId="49860EDC" w14:textId="55A52EB4" w:rsidR="009C6C16" w:rsidRPr="009C6C16" w:rsidRDefault="009C6C16" w:rsidP="009C6C16">
      <w:pPr>
        <w:spacing w:line="240" w:lineRule="auto"/>
        <w:rPr>
          <w:rFonts w:eastAsia="Times New Roman" w:cs="Arial"/>
          <w:color w:val="000000"/>
          <w:sz w:val="20"/>
          <w:lang w:eastAsia="bg-BG"/>
        </w:rPr>
      </w:pPr>
      <w:r w:rsidRPr="009C6C16">
        <w:rPr>
          <w:rFonts w:eastAsia="Times New Roman" w:cs="Arial"/>
          <w:color w:val="000000"/>
          <w:sz w:val="20"/>
          <w:vertAlign w:val="superscript"/>
          <w:lang w:eastAsia="bg-BG"/>
        </w:rPr>
        <w:t>1</w:t>
      </w:r>
      <w:r w:rsidRPr="009C6C16">
        <w:rPr>
          <w:rFonts w:eastAsia="Times New Roman" w:cs="Arial"/>
          <w:color w:val="000000"/>
          <w:sz w:val="20"/>
          <w:lang w:eastAsia="bg-BG"/>
        </w:rPr>
        <w:t>Възраст, кръвно налягане, клинични характеристики, продължителност и диагноза захарен диабет</w:t>
      </w:r>
    </w:p>
    <w:p w14:paraId="04B2E99C" w14:textId="3CFDA434" w:rsidR="0091385D" w:rsidRPr="009C6C16" w:rsidRDefault="009C6C16" w:rsidP="009C6C16">
      <w:pPr>
        <w:rPr>
          <w:rFonts w:cs="Arial"/>
          <w:sz w:val="20"/>
        </w:rPr>
      </w:pPr>
      <w:r w:rsidRPr="009C6C16">
        <w:rPr>
          <w:rFonts w:eastAsia="Times New Roman" w:cs="Arial"/>
          <w:color w:val="000000"/>
          <w:sz w:val="20"/>
          <w:vertAlign w:val="superscript"/>
          <w:lang w:eastAsia="bg-BG"/>
        </w:rPr>
        <w:t>2</w:t>
      </w:r>
      <w:r w:rsidRPr="009C6C16">
        <w:rPr>
          <w:rFonts w:eastAsia="Times New Roman" w:cs="Arial"/>
          <w:color w:val="000000"/>
          <w:sz w:val="20"/>
          <w:lang w:eastAsia="bg-BG"/>
        </w:rPr>
        <w:t>Скала за инсулт на Националните институти по здравеопазване</w:t>
      </w:r>
    </w:p>
    <w:p w14:paraId="6DFA4B9D" w14:textId="6145E9A1" w:rsidR="0091385D" w:rsidRDefault="0091385D" w:rsidP="0091385D"/>
    <w:p w14:paraId="5220BF3F" w14:textId="034303A8" w:rsidR="009C6C16" w:rsidRPr="009C6C16" w:rsidRDefault="009C6C16" w:rsidP="0091385D">
      <w:r w:rsidRPr="009C6C16">
        <w:t>За допълнителна информация вижте точка 5.1.</w:t>
      </w:r>
    </w:p>
    <w:p w14:paraId="6BEADF3F" w14:textId="77777777" w:rsidR="009C6C16" w:rsidRPr="0091385D" w:rsidRDefault="009C6C16"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928BF58" w14:textId="77777777" w:rsidR="009C6C16" w:rsidRPr="009C6C16" w:rsidRDefault="009C6C16" w:rsidP="009C6C16">
      <w:pPr>
        <w:pStyle w:val="Heading3"/>
        <w:rPr>
          <w:rFonts w:eastAsia="Times New Roman"/>
          <w:sz w:val="28"/>
          <w:u w:val="single"/>
          <w:lang w:eastAsia="bg-BG"/>
        </w:rPr>
      </w:pPr>
      <w:r w:rsidRPr="009C6C16">
        <w:rPr>
          <w:rFonts w:eastAsia="Times New Roman"/>
          <w:u w:val="single"/>
          <w:lang w:eastAsia="bg-BG"/>
        </w:rPr>
        <w:t>Дозировка</w:t>
      </w:r>
    </w:p>
    <w:p w14:paraId="4B41465F"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Възрастни и хора в старческа възраст</w:t>
      </w:r>
    </w:p>
    <w:p w14:paraId="22357538"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Клопидогрел трябва да се прилага като единична дневна доза от 75 </w:t>
      </w:r>
      <w:r w:rsidRPr="009C6C16">
        <w:rPr>
          <w:rFonts w:eastAsia="Times New Roman" w:cs="Arial"/>
          <w:color w:val="000000"/>
          <w:szCs w:val="20"/>
          <w:lang w:val="en-US"/>
        </w:rPr>
        <w:t>mg.</w:t>
      </w:r>
    </w:p>
    <w:p w14:paraId="77DE9C7D"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При пациенти с остър коронарен синдром:</w:t>
      </w:r>
    </w:p>
    <w:p w14:paraId="32265BA0"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-Остър коронарен синдром без елевация на </w:t>
      </w:r>
      <w:r w:rsidRPr="009C6C16">
        <w:rPr>
          <w:rFonts w:eastAsia="Times New Roman" w:cs="Arial"/>
          <w:color w:val="000000"/>
          <w:szCs w:val="20"/>
          <w:lang w:val="en-US"/>
        </w:rPr>
        <w:t>ST</w:t>
      </w:r>
      <w:r w:rsidRPr="009C6C16">
        <w:rPr>
          <w:rFonts w:eastAsia="Times New Roman" w:cs="Arial"/>
          <w:color w:val="000000"/>
          <w:szCs w:val="20"/>
          <w:lang w:eastAsia="bg-BG"/>
        </w:rPr>
        <w:t xml:space="preserve">-сегмента (нестабилна стенокардия или миокарден инфаркт без </w:t>
      </w:r>
      <w:r w:rsidRPr="009C6C16">
        <w:rPr>
          <w:rFonts w:eastAsia="Times New Roman" w:cs="Arial"/>
          <w:color w:val="000000"/>
          <w:szCs w:val="20"/>
          <w:lang w:val="en-US"/>
        </w:rPr>
        <w:t>Q</w:t>
      </w:r>
      <w:r w:rsidRPr="009C6C16">
        <w:rPr>
          <w:rFonts w:eastAsia="Times New Roman" w:cs="Arial"/>
          <w:color w:val="000000"/>
          <w:szCs w:val="20"/>
          <w:lang w:eastAsia="bg-BG"/>
        </w:rPr>
        <w:t xml:space="preserve">-зъбец): лечението с клопидогрел трябва да започне с единична натоварваща доза от 300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или 600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При пациенти на възраст &lt;75 години може да се обмисли натоварваща доза 600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когато се предвижда перкутанна коронарна интервенция (вж. точка 4.4). Лечението с клопидогрел трябва да бъде продължено със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веднъж дневно (с ацетилсалицилова киселина (АСК)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- 325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дневно). Тъй като по-високите дози на АСК се свързват с повишен риск от кървене, се препоръчва дозата на АСК да не превишава 100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Оптималната продължителност на лечението не е официално установена. Данните от клинични проучвания са в подкрепа на употребата на клопидогрел до 12 месеца, като максимален ефект се наблюдава на 3-ия месец (вж. точка 5.1).</w:t>
      </w:r>
    </w:p>
    <w:p w14:paraId="0495D87A" w14:textId="77777777" w:rsidR="009C6C16" w:rsidRPr="009C6C16" w:rsidRDefault="009C6C16" w:rsidP="009C6C16">
      <w:pPr>
        <w:pStyle w:val="ListParagraph"/>
        <w:numPr>
          <w:ilvl w:val="0"/>
          <w:numId w:val="36"/>
        </w:numPr>
        <w:spacing w:line="240" w:lineRule="auto"/>
        <w:rPr>
          <w:rFonts w:eastAsia="Times New Roman" w:cs="Arial"/>
          <w:sz w:val="28"/>
          <w:szCs w:val="24"/>
          <w:lang w:eastAsia="bg-BG"/>
        </w:rPr>
      </w:pPr>
      <w:r w:rsidRPr="009C6C16">
        <w:rPr>
          <w:rFonts w:eastAsia="Times New Roman" w:cs="Arial"/>
          <w:color w:val="000000"/>
          <w:szCs w:val="20"/>
          <w:lang w:eastAsia="bg-BG"/>
        </w:rPr>
        <w:t xml:space="preserve">Остър миокарден инфаркт с елевация на </w:t>
      </w:r>
      <w:r w:rsidRPr="009C6C16">
        <w:rPr>
          <w:rFonts w:eastAsia="Times New Roman" w:cs="Arial"/>
          <w:color w:val="000000"/>
          <w:szCs w:val="20"/>
          <w:lang w:val="en-US"/>
        </w:rPr>
        <w:t>ST</w:t>
      </w:r>
      <w:r w:rsidRPr="009C6C16">
        <w:rPr>
          <w:rFonts w:eastAsia="Times New Roman" w:cs="Arial"/>
          <w:color w:val="000000"/>
          <w:szCs w:val="20"/>
          <w:lang w:eastAsia="bg-BG"/>
        </w:rPr>
        <w:t xml:space="preserve">-сегмента: клопидогрел трябва да бъде прилаган като еднократна дневна доза от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като се започва с 300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натоварваща доза в комбинация с АСК и с/без тромболитици. За медикаментозно лекувани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w:t>
      </w:r>
    </w:p>
    <w:p w14:paraId="039E8183"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Ползата от комбинирането на клопидогрел с АСК за повече от четири седмици не е била проучвана при това показание (вж. точка 5.1).</w:t>
      </w:r>
    </w:p>
    <w:p w14:paraId="1F6A75E2" w14:textId="77777777" w:rsidR="009C6C16" w:rsidRPr="009C6C16" w:rsidRDefault="009C6C16" w:rsidP="009C6C16">
      <w:pPr>
        <w:spacing w:line="240" w:lineRule="auto"/>
        <w:rPr>
          <w:rFonts w:eastAsia="Times New Roman" w:cs="Arial"/>
          <w:color w:val="000000"/>
          <w:szCs w:val="20"/>
          <w:lang w:eastAsia="bg-BG"/>
        </w:rPr>
      </w:pPr>
    </w:p>
    <w:p w14:paraId="72DB331D" w14:textId="653AE4DA"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Възрастни пациенти с </w:t>
      </w:r>
      <w:r w:rsidRPr="009C6C16">
        <w:rPr>
          <w:rFonts w:eastAsia="Times New Roman" w:cs="Arial"/>
          <w:color w:val="000000"/>
          <w:szCs w:val="20"/>
          <w:lang w:val="en-US"/>
        </w:rPr>
        <w:t xml:space="preserve">TIA </w:t>
      </w:r>
      <w:r w:rsidRPr="009C6C16">
        <w:rPr>
          <w:rFonts w:eastAsia="Times New Roman" w:cs="Arial"/>
          <w:color w:val="000000"/>
          <w:szCs w:val="20"/>
          <w:lang w:eastAsia="bg-BG"/>
        </w:rPr>
        <w:t xml:space="preserve">с умерен до висок риск или лек </w:t>
      </w:r>
      <w:r w:rsidRPr="009C6C16">
        <w:rPr>
          <w:rFonts w:eastAsia="Times New Roman" w:cs="Arial"/>
          <w:color w:val="000000"/>
          <w:szCs w:val="20"/>
          <w:lang w:val="en-US"/>
        </w:rPr>
        <w:t>IS:</w:t>
      </w:r>
    </w:p>
    <w:p w14:paraId="0F6E33B2" w14:textId="39B87C9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При възрастни пациенти с </w:t>
      </w:r>
      <w:r w:rsidRPr="009C6C16">
        <w:rPr>
          <w:rFonts w:eastAsia="Times New Roman" w:cs="Arial"/>
          <w:color w:val="000000"/>
          <w:szCs w:val="20"/>
          <w:lang w:val="en-US"/>
        </w:rPr>
        <w:t xml:space="preserve">TIA </w:t>
      </w:r>
      <w:r w:rsidRPr="009C6C16">
        <w:rPr>
          <w:rFonts w:eastAsia="Times New Roman" w:cs="Arial"/>
          <w:color w:val="000000"/>
          <w:szCs w:val="20"/>
          <w:lang w:eastAsia="bg-BG"/>
        </w:rPr>
        <w:t xml:space="preserve">с умерен до висок риск </w:t>
      </w:r>
      <w:r w:rsidRPr="009C6C16">
        <w:rPr>
          <w:rFonts w:eastAsia="Times New Roman" w:cs="Arial"/>
          <w:color w:val="000000"/>
          <w:szCs w:val="20"/>
          <w:lang w:val="en-US"/>
        </w:rPr>
        <w:t xml:space="preserve">(ABCD2 </w:t>
      </w:r>
      <w:r w:rsidRPr="009C6C16">
        <w:rPr>
          <w:rFonts w:eastAsia="Times New Roman" w:cs="Arial"/>
          <w:color w:val="000000"/>
          <w:szCs w:val="20"/>
          <w:lang w:eastAsia="bg-BG"/>
        </w:rPr>
        <w:t xml:space="preserve">скор ≥4) или с лек </w:t>
      </w:r>
      <w:r w:rsidRPr="009C6C16">
        <w:rPr>
          <w:rFonts w:eastAsia="Times New Roman" w:cs="Arial"/>
          <w:color w:val="000000"/>
          <w:szCs w:val="20"/>
          <w:lang w:val="en-US"/>
        </w:rPr>
        <w:t>IS (NIHSS</w:t>
      </w:r>
      <w:r w:rsidRPr="009C6C16">
        <w:rPr>
          <w:rFonts w:eastAsia="Times New Roman" w:cs="Arial"/>
          <w:color w:val="000000"/>
          <w:szCs w:val="20"/>
          <w:lang w:eastAsia="bg-BG"/>
        </w:rPr>
        <w:t xml:space="preserve">≤3) трябва да се приложи натоварваща доза клопидогрел 300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последвана от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веднъж дневно и АСК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- 100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веднъж дневно). Лечението с клопидогрел и </w:t>
      </w:r>
      <w:r w:rsidRPr="009C6C16">
        <w:rPr>
          <w:rFonts w:eastAsia="Times New Roman" w:cs="Arial"/>
          <w:color w:val="000000"/>
          <w:szCs w:val="20"/>
          <w:lang w:eastAsia="bg-BG"/>
        </w:rPr>
        <w:lastRenderedPageBreak/>
        <w:t>АСК трябва да започне в рамките на 24 часа след събитието и да продължи 21 дни, последвано от антитромбоцитна монотерапия.</w:t>
      </w:r>
    </w:p>
    <w:p w14:paraId="3F240E06" w14:textId="77777777" w:rsidR="009C6C16" w:rsidRPr="009C6C16" w:rsidRDefault="009C6C16" w:rsidP="009C6C16">
      <w:pPr>
        <w:spacing w:line="240" w:lineRule="auto"/>
        <w:rPr>
          <w:rFonts w:eastAsia="Times New Roman" w:cs="Arial"/>
          <w:color w:val="000000"/>
          <w:szCs w:val="20"/>
          <w:lang w:eastAsia="bg-BG"/>
        </w:rPr>
      </w:pPr>
    </w:p>
    <w:p w14:paraId="11C1E0C6" w14:textId="57DC7291"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При пациенти с предсърдно мъждене, клопидогрел трябва да се прилага като еднократна дневна доза от 75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АСК (75 - 100 </w:t>
      </w:r>
      <w:r w:rsidRPr="009C6C16">
        <w:rPr>
          <w:rFonts w:eastAsia="Times New Roman" w:cs="Arial"/>
          <w:color w:val="000000"/>
          <w:szCs w:val="20"/>
          <w:lang w:val="en-US"/>
        </w:rPr>
        <w:t xml:space="preserve">mg </w:t>
      </w:r>
      <w:r w:rsidRPr="009C6C16">
        <w:rPr>
          <w:rFonts w:eastAsia="Times New Roman" w:cs="Arial"/>
          <w:color w:val="000000"/>
          <w:szCs w:val="20"/>
          <w:lang w:eastAsia="bg-BG"/>
        </w:rPr>
        <w:t>дневно) трябва да се започне и да продължи в комбинация с клопидогрел (вж. точка 5.1).</w:t>
      </w:r>
    </w:p>
    <w:p w14:paraId="5AC522FF" w14:textId="77777777" w:rsidR="009C6C16" w:rsidRPr="009C6C16" w:rsidRDefault="009C6C16" w:rsidP="009C6C16">
      <w:pPr>
        <w:spacing w:line="240" w:lineRule="auto"/>
        <w:rPr>
          <w:rFonts w:eastAsia="Times New Roman" w:cs="Arial"/>
          <w:color w:val="000000"/>
          <w:szCs w:val="20"/>
          <w:lang w:eastAsia="bg-BG"/>
        </w:rPr>
      </w:pPr>
    </w:p>
    <w:p w14:paraId="55D8CCBE" w14:textId="253AC5DB"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Ако е пропусната доза:</w:t>
      </w:r>
    </w:p>
    <w:p w14:paraId="0DFEF590" w14:textId="77777777" w:rsidR="009C6C16" w:rsidRPr="009C6C16" w:rsidRDefault="009C6C16" w:rsidP="009C6C16">
      <w:pPr>
        <w:pStyle w:val="ListParagraph"/>
        <w:numPr>
          <w:ilvl w:val="0"/>
          <w:numId w:val="36"/>
        </w:numPr>
        <w:spacing w:line="240" w:lineRule="auto"/>
        <w:rPr>
          <w:rFonts w:eastAsia="Times New Roman" w:cs="Arial"/>
          <w:sz w:val="28"/>
          <w:szCs w:val="24"/>
          <w:lang w:eastAsia="bg-BG"/>
        </w:rPr>
      </w:pPr>
      <w:r w:rsidRPr="009C6C16">
        <w:rPr>
          <w:rFonts w:eastAsia="Times New Roman" w:cs="Arial"/>
          <w:color w:val="000000"/>
          <w:szCs w:val="20"/>
          <w:lang w:eastAsia="bg-BG"/>
        </w:rPr>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14:paraId="45E03E11" w14:textId="4378D7E3" w:rsidR="009C6C16" w:rsidRPr="009C6C16" w:rsidRDefault="009C6C16" w:rsidP="009C6C16">
      <w:pPr>
        <w:pStyle w:val="ListParagraph"/>
        <w:numPr>
          <w:ilvl w:val="0"/>
          <w:numId w:val="36"/>
        </w:numPr>
        <w:spacing w:line="240" w:lineRule="auto"/>
        <w:rPr>
          <w:rFonts w:eastAsia="Times New Roman" w:cs="Arial"/>
          <w:sz w:val="28"/>
          <w:szCs w:val="24"/>
          <w:lang w:eastAsia="bg-BG"/>
        </w:rPr>
      </w:pPr>
      <w:r w:rsidRPr="009C6C16">
        <w:rPr>
          <w:rFonts w:eastAsia="Times New Roman" w:cs="Arial"/>
          <w:color w:val="000000"/>
          <w:szCs w:val="20"/>
          <w:lang w:eastAsia="bg-BG"/>
        </w:rPr>
        <w:t>при повече от 12 часа: пациентите трябва да приемат следващата доза в редовно определеното време и не трябва да удвояват дозата.</w:t>
      </w:r>
    </w:p>
    <w:p w14:paraId="0687DD20" w14:textId="77777777" w:rsidR="009C6C16" w:rsidRPr="009C6C16" w:rsidRDefault="009C6C16" w:rsidP="009C6C16">
      <w:pPr>
        <w:spacing w:line="240" w:lineRule="auto"/>
        <w:rPr>
          <w:rFonts w:eastAsia="Times New Roman" w:cs="Arial"/>
          <w:i/>
          <w:iCs/>
          <w:color w:val="000000"/>
          <w:szCs w:val="20"/>
          <w:lang w:eastAsia="bg-BG"/>
        </w:rPr>
      </w:pPr>
    </w:p>
    <w:p w14:paraId="46B9FCCC" w14:textId="22C8A5A8"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Педиатрична популация</w:t>
      </w:r>
    </w:p>
    <w:p w14:paraId="68240A27"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Клопидогрел не трябва да се прилага при деца поради съображения относно ефикасността (вж. точка 5.1).</w:t>
      </w:r>
    </w:p>
    <w:p w14:paraId="5ABD1482" w14:textId="77777777" w:rsidR="009C6C16" w:rsidRPr="009C6C16" w:rsidRDefault="009C6C16" w:rsidP="009C6C16">
      <w:pPr>
        <w:spacing w:line="240" w:lineRule="auto"/>
        <w:rPr>
          <w:rFonts w:eastAsia="Times New Roman" w:cs="Arial"/>
          <w:i/>
          <w:iCs/>
          <w:color w:val="000000"/>
          <w:szCs w:val="20"/>
          <w:lang w:eastAsia="bg-BG"/>
        </w:rPr>
      </w:pPr>
    </w:p>
    <w:p w14:paraId="49A67786" w14:textId="23FA773D"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Бъбречно увреждане</w:t>
      </w:r>
    </w:p>
    <w:p w14:paraId="1244251A"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Терапевтичният опит е ограничен при пациенти с бъбречно увреждане (вж. точка 4.4).</w:t>
      </w:r>
    </w:p>
    <w:p w14:paraId="0E863296" w14:textId="77777777" w:rsidR="009C6C16" w:rsidRPr="009C6C16" w:rsidRDefault="009C6C16" w:rsidP="009C6C16">
      <w:pPr>
        <w:spacing w:line="240" w:lineRule="auto"/>
        <w:rPr>
          <w:rFonts w:eastAsia="Times New Roman" w:cs="Arial"/>
          <w:i/>
          <w:iCs/>
          <w:color w:val="000000"/>
          <w:szCs w:val="20"/>
          <w:lang w:eastAsia="bg-BG"/>
        </w:rPr>
      </w:pPr>
    </w:p>
    <w:p w14:paraId="5B500C9E" w14:textId="091F3D7A"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Чернодробно увреждане</w:t>
      </w:r>
    </w:p>
    <w:p w14:paraId="475300EC" w14:textId="2900EFC1" w:rsidR="0091385D" w:rsidRPr="009C6C16" w:rsidRDefault="009C6C16" w:rsidP="009C6C16">
      <w:pPr>
        <w:rPr>
          <w:rFonts w:cs="Arial"/>
          <w:sz w:val="24"/>
        </w:rPr>
      </w:pPr>
      <w:r w:rsidRPr="009C6C16">
        <w:rPr>
          <w:rFonts w:eastAsia="Times New Roman" w:cs="Arial"/>
          <w:color w:val="000000"/>
          <w:szCs w:val="20"/>
          <w:lang w:eastAsia="bg-BG"/>
        </w:rPr>
        <w:t>Терапевтичният опит е ограничен при пациенти с умерено изразено чернодробно заболяване, при които може да има хеморагичнадиатеза (вж. точка 4.4).</w:t>
      </w:r>
    </w:p>
    <w:p w14:paraId="6ACAF645" w14:textId="75906FFD" w:rsidR="0091385D" w:rsidRDefault="0091385D" w:rsidP="0091385D"/>
    <w:p w14:paraId="38ECD320" w14:textId="77777777" w:rsidR="009C6C16" w:rsidRPr="009C6C16" w:rsidRDefault="009C6C16" w:rsidP="009C6C16">
      <w:pPr>
        <w:pStyle w:val="Heading3"/>
        <w:rPr>
          <w:u w:val="single"/>
        </w:rPr>
      </w:pPr>
      <w:r w:rsidRPr="009C6C16">
        <w:rPr>
          <w:u w:val="single"/>
        </w:rPr>
        <w:t>Начин на приложен</w:t>
      </w:r>
      <w:bookmarkStart w:id="2" w:name="_GoBack"/>
      <w:bookmarkEnd w:id="2"/>
      <w:r w:rsidRPr="009C6C16">
        <w:rPr>
          <w:u w:val="single"/>
        </w:rPr>
        <w:t xml:space="preserve">ие </w:t>
      </w:r>
    </w:p>
    <w:p w14:paraId="41253386" w14:textId="3757A8A0" w:rsidR="009C6C16" w:rsidRPr="009C6C16" w:rsidRDefault="009C6C16" w:rsidP="0091385D">
      <w:pPr>
        <w:rPr>
          <w:sz w:val="24"/>
        </w:rPr>
      </w:pPr>
      <w:r w:rsidRPr="009C6C16">
        <w:rPr>
          <w:szCs w:val="20"/>
        </w:rPr>
        <w:t>За перорално приложение. Може да се прилага със или без храна.</w:t>
      </w:r>
    </w:p>
    <w:p w14:paraId="00A0DF83" w14:textId="77777777" w:rsidR="009C6C16" w:rsidRPr="0091385D" w:rsidRDefault="009C6C1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369A8F2D"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w:t>
      </w:r>
      <w:r w:rsidRPr="009C6C16">
        <w:rPr>
          <w:rFonts w:eastAsia="Times New Roman" w:cs="Arial"/>
          <w:color w:val="000000"/>
          <w:lang w:eastAsia="bg-BG"/>
        </w:rPr>
        <w:tab/>
        <w:t>Свръхчувствителност към активното вещество или към някое от помощните вещества, описани в точка 2 или точка 6.1,</w:t>
      </w:r>
    </w:p>
    <w:p w14:paraId="62738318"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w:t>
      </w:r>
      <w:r w:rsidRPr="009C6C16">
        <w:rPr>
          <w:rFonts w:eastAsia="Times New Roman" w:cs="Arial"/>
          <w:color w:val="000000"/>
          <w:lang w:eastAsia="bg-BG"/>
        </w:rPr>
        <w:tab/>
        <w:t>Тежко чернодробно увреждане.</w:t>
      </w:r>
    </w:p>
    <w:p w14:paraId="2309EAB0" w14:textId="04791015" w:rsidR="0091385D" w:rsidRPr="009C6C16" w:rsidRDefault="009C6C16" w:rsidP="009C6C16">
      <w:pPr>
        <w:rPr>
          <w:rFonts w:cs="Arial"/>
        </w:rPr>
      </w:pPr>
      <w:r w:rsidRPr="009C6C16">
        <w:rPr>
          <w:rFonts w:eastAsia="Times New Roman" w:cs="Arial"/>
          <w:color w:val="000000"/>
          <w:lang w:eastAsia="bg-BG"/>
        </w:rPr>
        <w:t>•</w:t>
      </w:r>
      <w:r w:rsidRPr="009C6C16">
        <w:rPr>
          <w:rFonts w:eastAsia="Times New Roman" w:cs="Arial"/>
          <w:color w:val="000000"/>
          <w:lang w:eastAsia="bg-BG"/>
        </w:rPr>
        <w:tab/>
        <w:t>Активно патологично кървене като пептична язва или интракраниална хеморагия.</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25A4C7B1"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Кървене и хематологични нарушения</w:t>
      </w:r>
    </w:p>
    <w:p w14:paraId="3D8DA9CB"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АСК, хепарин, глюкопротеин II</w:t>
      </w:r>
      <w:r w:rsidRPr="009C6C16">
        <w:rPr>
          <w:rFonts w:eastAsia="Times New Roman" w:cs="Arial"/>
          <w:color w:val="000000"/>
          <w:lang w:val="en-US"/>
        </w:rPr>
        <w:t>b/</w:t>
      </w:r>
      <w:proofErr w:type="spellStart"/>
      <w:r w:rsidRPr="009C6C16">
        <w:rPr>
          <w:rFonts w:eastAsia="Times New Roman" w:cs="Arial"/>
          <w:color w:val="000000"/>
          <w:lang w:val="en-US"/>
        </w:rPr>
        <w:t>IIIa</w:t>
      </w:r>
      <w:proofErr w:type="spellEnd"/>
      <w:r w:rsidRPr="009C6C16">
        <w:rPr>
          <w:rFonts w:eastAsia="Times New Roman" w:cs="Arial"/>
          <w:color w:val="000000"/>
          <w:lang w:val="en-US"/>
        </w:rPr>
        <w:t xml:space="preserve"> </w:t>
      </w:r>
      <w:r w:rsidRPr="009C6C16">
        <w:rPr>
          <w:rFonts w:eastAsia="Times New Roman" w:cs="Arial"/>
          <w:color w:val="000000"/>
          <w:lang w:eastAsia="bg-BG"/>
        </w:rPr>
        <w:t xml:space="preserve">инхибитори или нестероидни противовъзпалителни лекарства (НСПВЛ), включително СОХ-2 инхибитори или селективни инхибитори на обратното захващане на серотонина </w:t>
      </w:r>
      <w:r w:rsidRPr="009C6C16">
        <w:rPr>
          <w:rFonts w:eastAsia="Times New Roman" w:cs="Arial"/>
          <w:color w:val="000000"/>
          <w:lang w:val="en-US"/>
        </w:rPr>
        <w:t xml:space="preserve">(SSRIs), </w:t>
      </w:r>
      <w:r w:rsidRPr="009C6C16">
        <w:rPr>
          <w:rFonts w:eastAsia="Times New Roman" w:cs="Arial"/>
          <w:color w:val="000000"/>
          <w:lang w:eastAsia="bg-BG"/>
        </w:rPr>
        <w:t xml:space="preserve">или силни индуктори на </w:t>
      </w:r>
      <w:r w:rsidRPr="009C6C16">
        <w:rPr>
          <w:rFonts w:eastAsia="Times New Roman" w:cs="Arial"/>
          <w:color w:val="000000"/>
          <w:lang w:val="en-US"/>
        </w:rPr>
        <w:t xml:space="preserve">CYP2C19 </w:t>
      </w:r>
      <w:r w:rsidRPr="009C6C16">
        <w:rPr>
          <w:rFonts w:eastAsia="Times New Roman" w:cs="Arial"/>
          <w:color w:val="000000"/>
          <w:lang w:eastAsia="bg-BG"/>
        </w:rPr>
        <w:t xml:space="preserve">или други лекарствени продукти, свързани с риск от кървене, като </w:t>
      </w:r>
      <w:r w:rsidRPr="009C6C16">
        <w:rPr>
          <w:rFonts w:eastAsia="Times New Roman" w:cs="Arial"/>
          <w:color w:val="000000"/>
          <w:lang w:eastAsia="bg-BG"/>
        </w:rPr>
        <w:lastRenderedPageBreak/>
        <w:t>пентоксифилин(вж. точка 4.5). 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14:paraId="0C047331" w14:textId="77777777" w:rsidR="009C6C16" w:rsidRPr="009C6C16" w:rsidRDefault="009C6C16" w:rsidP="009C6C16">
      <w:pPr>
        <w:spacing w:line="240" w:lineRule="auto"/>
        <w:rPr>
          <w:rFonts w:eastAsia="Times New Roman" w:cs="Arial"/>
          <w:color w:val="000000"/>
          <w:lang w:eastAsia="bg-BG"/>
        </w:rPr>
      </w:pPr>
    </w:p>
    <w:p w14:paraId="7EB79813" w14:textId="312FA61D"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14:paraId="4131DE73" w14:textId="77777777" w:rsidR="009C6C16" w:rsidRPr="009C6C16" w:rsidRDefault="009C6C16" w:rsidP="009C6C16">
      <w:pPr>
        <w:spacing w:line="240" w:lineRule="auto"/>
        <w:rPr>
          <w:rFonts w:eastAsia="Times New Roman" w:cs="Arial"/>
          <w:color w:val="000000"/>
          <w:lang w:eastAsia="bg-BG"/>
        </w:rPr>
      </w:pPr>
    </w:p>
    <w:p w14:paraId="64520E1B" w14:textId="245A8F22"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Пациентите трябва да бъдат уведомени, че времето за спиране на кървенето е по- продължително от обичайното при лечение с клопидогрел (самостоятелно или в комбинация с АСК), а те от своя страна трябва да информират своя лекар за всяко необичайно кървене (локализация или продължителност).</w:t>
      </w:r>
    </w:p>
    <w:p w14:paraId="40E82184" w14:textId="77777777" w:rsidR="009C6C16" w:rsidRPr="009C6C16" w:rsidRDefault="009C6C16" w:rsidP="009C6C16">
      <w:pPr>
        <w:spacing w:line="240" w:lineRule="auto"/>
        <w:rPr>
          <w:rFonts w:eastAsia="Times New Roman" w:cs="Arial"/>
          <w:color w:val="000000"/>
          <w:lang w:eastAsia="bg-BG"/>
        </w:rPr>
      </w:pPr>
    </w:p>
    <w:p w14:paraId="3AF40FBB" w14:textId="6166D43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Употребата на клопидогрел 600 </w:t>
      </w:r>
      <w:r w:rsidRPr="009C6C16">
        <w:rPr>
          <w:rFonts w:eastAsia="Times New Roman" w:cs="Arial"/>
          <w:color w:val="000000"/>
          <w:lang w:val="en-US"/>
        </w:rPr>
        <w:t xml:space="preserve">mg </w:t>
      </w:r>
      <w:r w:rsidRPr="009C6C16">
        <w:rPr>
          <w:rFonts w:eastAsia="Times New Roman" w:cs="Arial"/>
          <w:color w:val="000000"/>
          <w:lang w:eastAsia="bg-BG"/>
        </w:rPr>
        <w:t xml:space="preserve">натоварваща доза не се препоръчва при пациенти с остър коронарен синдром без елевация на </w:t>
      </w:r>
      <w:r w:rsidRPr="009C6C16">
        <w:rPr>
          <w:rFonts w:eastAsia="Times New Roman" w:cs="Arial"/>
          <w:color w:val="000000"/>
          <w:lang w:val="en-US"/>
        </w:rPr>
        <w:t>ST</w:t>
      </w:r>
      <w:r w:rsidRPr="009C6C16">
        <w:rPr>
          <w:rFonts w:eastAsia="Times New Roman" w:cs="Arial"/>
          <w:color w:val="000000"/>
          <w:lang w:eastAsia="bg-BG"/>
        </w:rPr>
        <w:t>-сегмента и на възраст &gt;75 години поради повишен риск от кървене при тази популация.</w:t>
      </w:r>
    </w:p>
    <w:p w14:paraId="75C6A9A3" w14:textId="77777777" w:rsidR="009C6C16" w:rsidRPr="009C6C16" w:rsidRDefault="009C6C16" w:rsidP="009C6C16">
      <w:pPr>
        <w:spacing w:line="240" w:lineRule="auto"/>
        <w:rPr>
          <w:rFonts w:eastAsia="Times New Roman" w:cs="Arial"/>
          <w:color w:val="000000"/>
          <w:u w:val="single"/>
          <w:lang w:eastAsia="bg-BG"/>
        </w:rPr>
      </w:pPr>
    </w:p>
    <w:p w14:paraId="400C3E51" w14:textId="78051369"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Тромботична тробоцитопенична пурпура (ТТП)</w:t>
      </w:r>
    </w:p>
    <w:p w14:paraId="30BF8AE9"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Случаи на тромботична тромбоцитопенична пурпура (ТТП)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потенциално фатално състояние, изискващо бързо лечение, включително ллазмафереза.</w:t>
      </w:r>
    </w:p>
    <w:p w14:paraId="0914A4DB" w14:textId="77777777" w:rsidR="009C6C16" w:rsidRPr="009C6C16" w:rsidRDefault="009C6C16" w:rsidP="009C6C16">
      <w:pPr>
        <w:spacing w:line="240" w:lineRule="auto"/>
        <w:rPr>
          <w:rFonts w:eastAsia="Times New Roman" w:cs="Arial"/>
          <w:color w:val="000000"/>
          <w:u w:val="single"/>
          <w:lang w:eastAsia="bg-BG"/>
        </w:rPr>
      </w:pPr>
    </w:p>
    <w:p w14:paraId="3F40CC2F" w14:textId="19EBE09D"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Придобита хемофилия</w:t>
      </w:r>
    </w:p>
    <w:p w14:paraId="0B3BEE35" w14:textId="33E6021D" w:rsidR="0091385D" w:rsidRPr="009C6C16" w:rsidRDefault="009C6C16" w:rsidP="009C6C16">
      <w:pPr>
        <w:rPr>
          <w:rFonts w:cs="Arial"/>
        </w:rPr>
      </w:pPr>
      <w:r w:rsidRPr="009C6C16">
        <w:rPr>
          <w:rFonts w:eastAsia="Times New Roman" w:cs="Arial"/>
          <w:color w:val="000000"/>
          <w:lang w:eastAsia="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тромбопластиово време (</w:t>
      </w:r>
      <w:proofErr w:type="spellStart"/>
      <w:r w:rsidRPr="009C6C16">
        <w:rPr>
          <w:rFonts w:eastAsia="Times New Roman" w:cs="Arial"/>
          <w:color w:val="000000"/>
          <w:lang w:val="en-US"/>
        </w:rPr>
        <w:t>aPTT</w:t>
      </w:r>
      <w:proofErr w:type="spellEnd"/>
      <w:r w:rsidRPr="009C6C16">
        <w:rPr>
          <w:rFonts w:eastAsia="Times New Roman" w:cs="Arial"/>
          <w:color w:val="000000"/>
          <w:lang w:eastAsia="bg-BG"/>
        </w:rPr>
        <w:t>).</w:t>
      </w:r>
    </w:p>
    <w:p w14:paraId="24E3E82F" w14:textId="213799CA" w:rsidR="0091385D" w:rsidRPr="009C6C16" w:rsidRDefault="0091385D" w:rsidP="0091385D">
      <w:pPr>
        <w:rPr>
          <w:rFonts w:cs="Arial"/>
        </w:rPr>
      </w:pPr>
    </w:p>
    <w:p w14:paraId="0C7C2515" w14:textId="77777777" w:rsidR="009C6C16" w:rsidRPr="009C6C16" w:rsidRDefault="009C6C16" w:rsidP="009C6C16">
      <w:pPr>
        <w:rPr>
          <w:rFonts w:cs="Arial"/>
        </w:rPr>
      </w:pPr>
      <w:r w:rsidRPr="009C6C16">
        <w:rPr>
          <w:rFonts w:cs="Arial"/>
        </w:rPr>
        <w:t>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трябвала се преустанови.</w:t>
      </w:r>
    </w:p>
    <w:p w14:paraId="2FEC2A39" w14:textId="77777777" w:rsidR="009C6C16" w:rsidRPr="009C6C16" w:rsidRDefault="009C6C16" w:rsidP="009C6C16">
      <w:pPr>
        <w:rPr>
          <w:rFonts w:cs="Arial"/>
          <w:u w:val="single"/>
        </w:rPr>
      </w:pPr>
    </w:p>
    <w:p w14:paraId="11A73ECB" w14:textId="2E8498F1" w:rsidR="009C6C16" w:rsidRPr="009C6C16" w:rsidRDefault="009C6C16" w:rsidP="009C6C16">
      <w:pPr>
        <w:rPr>
          <w:rFonts w:cs="Arial"/>
        </w:rPr>
      </w:pPr>
      <w:r w:rsidRPr="009C6C16">
        <w:rPr>
          <w:rFonts w:cs="Arial"/>
          <w:u w:val="single"/>
        </w:rPr>
        <w:t>Скорошен исхемичен инсулт</w:t>
      </w:r>
    </w:p>
    <w:p w14:paraId="5820B302" w14:textId="77777777" w:rsidR="009C6C16" w:rsidRPr="009C6C16" w:rsidRDefault="009C6C16" w:rsidP="009C6C16">
      <w:pPr>
        <w:rPr>
          <w:rFonts w:cs="Arial"/>
        </w:rPr>
      </w:pPr>
      <w:r w:rsidRPr="009C6C16">
        <w:rPr>
          <w:rFonts w:cs="Arial"/>
          <w:i/>
          <w:iCs/>
        </w:rPr>
        <w:t>Започване на терапията</w:t>
      </w:r>
    </w:p>
    <w:p w14:paraId="3E824F5A" w14:textId="77777777" w:rsidR="009C6C16" w:rsidRDefault="009C6C16" w:rsidP="009C6C16">
      <w:pPr>
        <w:pStyle w:val="ListParagraph"/>
        <w:numPr>
          <w:ilvl w:val="0"/>
          <w:numId w:val="37"/>
        </w:numPr>
        <w:rPr>
          <w:rFonts w:cs="Arial"/>
        </w:rPr>
      </w:pPr>
      <w:r w:rsidRPr="009C6C16">
        <w:rPr>
          <w:rFonts w:cs="Arial"/>
        </w:rPr>
        <w:t xml:space="preserve">При пациенти с остър лек </w:t>
      </w:r>
      <w:r w:rsidRPr="009C6C16">
        <w:rPr>
          <w:rFonts w:cs="Arial"/>
          <w:lang w:val="en-US"/>
        </w:rPr>
        <w:t xml:space="preserve">IS </w:t>
      </w:r>
      <w:r w:rsidRPr="009C6C16">
        <w:rPr>
          <w:rFonts w:cs="Arial"/>
        </w:rPr>
        <w:t xml:space="preserve">или с </w:t>
      </w:r>
      <w:r w:rsidRPr="009C6C16">
        <w:rPr>
          <w:rFonts w:cs="Arial"/>
          <w:lang w:val="en-US"/>
        </w:rPr>
        <w:t xml:space="preserve">TIA </w:t>
      </w:r>
      <w:r w:rsidRPr="009C6C16">
        <w:rPr>
          <w:rFonts w:cs="Arial"/>
        </w:rPr>
        <w:t>с умерен до висок риск, двойната антиромбоцитна терапия (клопидогрел и АСК) трябва да започне не по-късно от 24 часа след началото на събитието.</w:t>
      </w:r>
    </w:p>
    <w:p w14:paraId="6A55940F" w14:textId="77777777" w:rsidR="009C6C16" w:rsidRDefault="009C6C16" w:rsidP="009C6C16">
      <w:pPr>
        <w:pStyle w:val="ListParagraph"/>
        <w:numPr>
          <w:ilvl w:val="0"/>
          <w:numId w:val="37"/>
        </w:numPr>
        <w:rPr>
          <w:rFonts w:cs="Arial"/>
        </w:rPr>
      </w:pPr>
      <w:r w:rsidRPr="009C6C16">
        <w:rPr>
          <w:rFonts w:cs="Arial"/>
        </w:rPr>
        <w:t xml:space="preserve">Липсват данни относно съотношението полза-риск при краткосрочна двойна антитромбоцитна терапия при пациенти с остър лек </w:t>
      </w:r>
      <w:r w:rsidRPr="009C6C16">
        <w:rPr>
          <w:rFonts w:cs="Arial"/>
          <w:lang w:val="en-US"/>
        </w:rPr>
        <w:t xml:space="preserve">IS </w:t>
      </w:r>
      <w:r w:rsidRPr="009C6C16">
        <w:rPr>
          <w:rFonts w:cs="Arial"/>
        </w:rPr>
        <w:t xml:space="preserve">или с </w:t>
      </w:r>
      <w:r w:rsidRPr="009C6C16">
        <w:rPr>
          <w:rFonts w:cs="Arial"/>
          <w:lang w:val="en-US"/>
        </w:rPr>
        <w:t xml:space="preserve">TIA </w:t>
      </w:r>
      <w:r w:rsidRPr="009C6C16">
        <w:rPr>
          <w:rFonts w:cs="Arial"/>
        </w:rPr>
        <w:t>с умерен до висок риск с анамнеза за (нетравматичен) вътречерепен кръвоизлив.</w:t>
      </w:r>
    </w:p>
    <w:p w14:paraId="48B9A319" w14:textId="0EA851C4" w:rsidR="009C6C16" w:rsidRPr="009C6C16" w:rsidRDefault="009C6C16" w:rsidP="009C6C16">
      <w:pPr>
        <w:pStyle w:val="ListParagraph"/>
        <w:numPr>
          <w:ilvl w:val="0"/>
          <w:numId w:val="37"/>
        </w:numPr>
        <w:rPr>
          <w:rFonts w:cs="Arial"/>
        </w:rPr>
      </w:pPr>
      <w:r w:rsidRPr="009C6C16">
        <w:rPr>
          <w:rFonts w:cs="Arial"/>
        </w:rPr>
        <w:t xml:space="preserve">При пациенти с </w:t>
      </w:r>
      <w:r w:rsidRPr="009C6C16">
        <w:rPr>
          <w:rFonts w:cs="Arial"/>
          <w:lang w:val="en-US"/>
        </w:rPr>
        <w:t xml:space="preserve">IS, </w:t>
      </w:r>
      <w:r w:rsidRPr="009C6C16">
        <w:rPr>
          <w:rFonts w:cs="Arial"/>
        </w:rPr>
        <w:t>който не е лек, монотерапията с клопидогрел трябва да започне само след първите 7 дни от събитието.</w:t>
      </w:r>
    </w:p>
    <w:p w14:paraId="63FAFB39" w14:textId="77777777" w:rsidR="009C6C16" w:rsidRPr="009C6C16" w:rsidRDefault="009C6C16" w:rsidP="009C6C16">
      <w:pPr>
        <w:rPr>
          <w:rFonts w:cs="Arial"/>
          <w:i/>
          <w:iCs/>
        </w:rPr>
      </w:pPr>
    </w:p>
    <w:p w14:paraId="14B2CD00" w14:textId="5880E5C1" w:rsidR="009C6C16" w:rsidRPr="009C6C16" w:rsidRDefault="009C6C16" w:rsidP="009C6C16">
      <w:pPr>
        <w:rPr>
          <w:rFonts w:cs="Arial"/>
        </w:rPr>
      </w:pPr>
      <w:r w:rsidRPr="009C6C16">
        <w:rPr>
          <w:rFonts w:cs="Arial"/>
          <w:i/>
          <w:iCs/>
        </w:rPr>
        <w:t xml:space="preserve">Пациенти с </w:t>
      </w:r>
      <w:r w:rsidRPr="009C6C16">
        <w:rPr>
          <w:rFonts w:cs="Arial"/>
          <w:i/>
          <w:iCs/>
          <w:lang w:val="en-US"/>
        </w:rPr>
        <w:t xml:space="preserve">IS, </w:t>
      </w:r>
      <w:r w:rsidRPr="009C6C16">
        <w:rPr>
          <w:rFonts w:cs="Arial"/>
          <w:i/>
          <w:iCs/>
        </w:rPr>
        <w:t xml:space="preserve">които не е лек </w:t>
      </w:r>
      <w:r w:rsidRPr="009C6C16">
        <w:rPr>
          <w:rFonts w:cs="Arial"/>
          <w:i/>
          <w:iCs/>
          <w:lang w:val="en-US"/>
        </w:rPr>
        <w:t>(NIHSS&gt;4)</w:t>
      </w:r>
    </w:p>
    <w:p w14:paraId="2A6F4774" w14:textId="77777777" w:rsidR="009C6C16" w:rsidRPr="009C6C16" w:rsidRDefault="009C6C16" w:rsidP="009C6C16">
      <w:pPr>
        <w:rPr>
          <w:rFonts w:cs="Arial"/>
        </w:rPr>
      </w:pPr>
      <w:r w:rsidRPr="009C6C16">
        <w:rPr>
          <w:rFonts w:cs="Arial"/>
        </w:rPr>
        <w:t>Предвид липсата на данни, не се препоръчва използването на двойна антитромбоцитна терапия (вж. точка 4.1).</w:t>
      </w:r>
    </w:p>
    <w:p w14:paraId="2234A3E9" w14:textId="77777777" w:rsidR="009C6C16" w:rsidRPr="009C6C16" w:rsidRDefault="009C6C16" w:rsidP="009C6C16">
      <w:pPr>
        <w:rPr>
          <w:rFonts w:cs="Arial"/>
          <w:i/>
          <w:iCs/>
        </w:rPr>
      </w:pPr>
    </w:p>
    <w:p w14:paraId="0A14E770" w14:textId="45B09443" w:rsidR="009C6C16" w:rsidRPr="009C6C16" w:rsidRDefault="009C6C16" w:rsidP="009C6C16">
      <w:pPr>
        <w:rPr>
          <w:rFonts w:cs="Arial"/>
        </w:rPr>
      </w:pPr>
      <w:r w:rsidRPr="009C6C16">
        <w:rPr>
          <w:rFonts w:cs="Arial"/>
          <w:i/>
          <w:iCs/>
        </w:rPr>
        <w:t xml:space="preserve">Скорошен лек </w:t>
      </w:r>
      <w:r w:rsidRPr="009C6C16">
        <w:rPr>
          <w:rFonts w:cs="Arial"/>
          <w:i/>
          <w:iCs/>
          <w:lang w:val="en-US"/>
        </w:rPr>
        <w:t xml:space="preserve">IS </w:t>
      </w:r>
      <w:r w:rsidRPr="009C6C16">
        <w:rPr>
          <w:rFonts w:cs="Arial"/>
          <w:i/>
          <w:iCs/>
        </w:rPr>
        <w:t xml:space="preserve">или </w:t>
      </w:r>
      <w:r w:rsidRPr="009C6C16">
        <w:rPr>
          <w:rFonts w:cs="Arial"/>
          <w:i/>
          <w:iCs/>
          <w:lang w:val="en-US"/>
        </w:rPr>
        <w:t xml:space="preserve">TIA </w:t>
      </w:r>
      <w:r w:rsidRPr="009C6C16">
        <w:rPr>
          <w:rFonts w:cs="Arial"/>
          <w:i/>
          <w:iCs/>
        </w:rPr>
        <w:t>с умерен до висок риск при пациенти, за които е показана или планирана интервенция</w:t>
      </w:r>
    </w:p>
    <w:p w14:paraId="5EFF734D" w14:textId="77777777" w:rsidR="009C6C16" w:rsidRPr="009C6C16" w:rsidRDefault="009C6C16" w:rsidP="009C6C16">
      <w:pPr>
        <w:rPr>
          <w:rFonts w:cs="Arial"/>
        </w:rPr>
      </w:pPr>
      <w:r w:rsidRPr="009C6C16">
        <w:rPr>
          <w:rFonts w:cs="Arial"/>
        </w:rPr>
        <w:t>Липсват данни в подкрепа на използването на двойна антитромбоцитна терапия при пациенти, за които е показано лечение с каротндна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14:paraId="281195E7" w14:textId="77777777" w:rsidR="009C6C16" w:rsidRPr="009C6C16" w:rsidRDefault="009C6C16" w:rsidP="009C6C16">
      <w:pPr>
        <w:rPr>
          <w:rFonts w:cs="Arial"/>
          <w:u w:val="single"/>
        </w:rPr>
      </w:pPr>
    </w:p>
    <w:p w14:paraId="08F732FC" w14:textId="7AA5072F" w:rsidR="009C6C16" w:rsidRPr="009C6C16" w:rsidRDefault="009C6C16" w:rsidP="009C6C16">
      <w:pPr>
        <w:rPr>
          <w:rFonts w:cs="Arial"/>
        </w:rPr>
      </w:pPr>
      <w:r w:rsidRPr="009C6C16">
        <w:rPr>
          <w:rFonts w:cs="Arial"/>
          <w:u w:val="single"/>
        </w:rPr>
        <w:t xml:space="preserve">Цитохром Р450 2С19 </w:t>
      </w:r>
      <w:r w:rsidRPr="009C6C16">
        <w:rPr>
          <w:rFonts w:cs="Arial"/>
          <w:u w:val="single"/>
          <w:lang w:val="en-US"/>
        </w:rPr>
        <w:t>(CYP2C19)</w:t>
      </w:r>
    </w:p>
    <w:p w14:paraId="0E6B9124" w14:textId="77777777" w:rsidR="009C6C16" w:rsidRPr="009C6C16" w:rsidRDefault="009C6C16" w:rsidP="009C6C16">
      <w:pPr>
        <w:rPr>
          <w:rFonts w:cs="Arial"/>
        </w:rPr>
      </w:pPr>
      <w:r w:rsidRPr="009C6C16">
        <w:rPr>
          <w:rFonts w:cs="Arial"/>
        </w:rPr>
        <w:t xml:space="preserve">Фармакогенетика: При пациентите, които са слаби </w:t>
      </w:r>
      <w:r w:rsidRPr="009C6C16">
        <w:rPr>
          <w:rFonts w:cs="Arial"/>
          <w:lang w:val="en-US"/>
        </w:rPr>
        <w:t>CYP2C</w:t>
      </w:r>
      <w:r w:rsidRPr="009C6C16">
        <w:rPr>
          <w:rFonts w:cs="Arial"/>
        </w:rPr>
        <w:t xml:space="preserve">19 метаболизатори, клопидогрел в препоръчителните дози образува по-малко от активния метаболит на клопидогрел и има по- малък ефект върху тромбоцитната функция. Съществуват тестове за идентифициране на </w:t>
      </w:r>
      <w:r w:rsidRPr="009C6C16">
        <w:rPr>
          <w:rFonts w:cs="Arial"/>
          <w:lang w:val="en-US"/>
        </w:rPr>
        <w:t xml:space="preserve">CYP2C19 </w:t>
      </w:r>
      <w:r w:rsidRPr="009C6C16">
        <w:rPr>
          <w:rFonts w:cs="Arial"/>
        </w:rPr>
        <w:t>генотипа на пациента.</w:t>
      </w:r>
    </w:p>
    <w:p w14:paraId="5B0C1C42" w14:textId="77777777" w:rsidR="009C6C16" w:rsidRPr="009C6C16" w:rsidRDefault="009C6C16" w:rsidP="009C6C16">
      <w:pPr>
        <w:rPr>
          <w:rFonts w:cs="Arial"/>
        </w:rPr>
      </w:pPr>
    </w:p>
    <w:p w14:paraId="4FABD045" w14:textId="7DC07316" w:rsidR="009C6C16" w:rsidRPr="009C6C16" w:rsidRDefault="009C6C16" w:rsidP="009C6C16">
      <w:pPr>
        <w:rPr>
          <w:rFonts w:cs="Arial"/>
        </w:rPr>
      </w:pPr>
      <w:r w:rsidRPr="009C6C16">
        <w:rPr>
          <w:rFonts w:cs="Arial"/>
        </w:rPr>
        <w:t xml:space="preserve">Тъй като клопидогрел се метаболизира частично до своя активен метаболит от </w:t>
      </w:r>
      <w:r w:rsidRPr="009C6C16">
        <w:rPr>
          <w:rFonts w:cs="Arial"/>
          <w:lang w:val="en-US"/>
        </w:rPr>
        <w:t xml:space="preserve">CYP2C19, </w:t>
      </w:r>
      <w:r w:rsidRPr="009C6C16">
        <w:rPr>
          <w:rFonts w:cs="Arial"/>
        </w:rPr>
        <w:t xml:space="preserve">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9C6C16">
        <w:rPr>
          <w:rFonts w:cs="Arial"/>
          <w:lang w:val="en-US"/>
        </w:rPr>
        <w:t>CYP2C1</w:t>
      </w:r>
      <w:r w:rsidRPr="009C6C16">
        <w:rPr>
          <w:rFonts w:cs="Arial"/>
        </w:rPr>
        <w:t xml:space="preserve">9 инхибитори (вж. точка 4.5 за списък на </w:t>
      </w:r>
      <w:r w:rsidRPr="009C6C16">
        <w:rPr>
          <w:rFonts w:cs="Arial"/>
          <w:lang w:val="en-US"/>
        </w:rPr>
        <w:t xml:space="preserve">CYP2C19 </w:t>
      </w:r>
      <w:r w:rsidRPr="009C6C16">
        <w:rPr>
          <w:rFonts w:cs="Arial"/>
        </w:rPr>
        <w:t>инхибитори, вж. също точка 5.2).</w:t>
      </w:r>
    </w:p>
    <w:p w14:paraId="6BE40BEE" w14:textId="77777777" w:rsidR="009C6C16" w:rsidRPr="009C6C16" w:rsidRDefault="009C6C16" w:rsidP="009C6C16">
      <w:pPr>
        <w:rPr>
          <w:rFonts w:cs="Arial"/>
        </w:rPr>
      </w:pPr>
    </w:p>
    <w:p w14:paraId="0D61B7C5" w14:textId="121C89ED" w:rsidR="009C6C16" w:rsidRPr="009C6C16" w:rsidRDefault="009C6C16" w:rsidP="009C6C16">
      <w:pPr>
        <w:rPr>
          <w:rFonts w:cs="Arial"/>
        </w:rPr>
      </w:pPr>
      <w:r w:rsidRPr="009C6C16">
        <w:rPr>
          <w:rFonts w:cs="Arial"/>
        </w:rPr>
        <w:t xml:space="preserve">Употребата на лекарствени продукти, които индуцират активността на </w:t>
      </w:r>
      <w:r w:rsidRPr="009C6C16">
        <w:rPr>
          <w:rFonts w:cs="Arial"/>
          <w:lang w:val="en-US"/>
        </w:rPr>
        <w:t xml:space="preserve">CYP2C19 </w:t>
      </w:r>
      <w:r w:rsidRPr="009C6C16">
        <w:rPr>
          <w:rFonts w:cs="Arial"/>
        </w:rPr>
        <w:t xml:space="preserve">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w:t>
      </w:r>
      <w:r w:rsidRPr="009C6C16">
        <w:rPr>
          <w:rFonts w:cs="Arial"/>
          <w:lang w:val="en-US"/>
        </w:rPr>
        <w:t xml:space="preserve">CYP2C19 </w:t>
      </w:r>
      <w:r w:rsidRPr="009C6C16">
        <w:rPr>
          <w:rFonts w:cs="Arial"/>
        </w:rPr>
        <w:t>(вж. точка 4.5).</w:t>
      </w:r>
    </w:p>
    <w:p w14:paraId="7C5E2EF3" w14:textId="77777777" w:rsidR="009C6C16" w:rsidRPr="009C6C16" w:rsidRDefault="009C6C16" w:rsidP="009C6C16">
      <w:pPr>
        <w:rPr>
          <w:rFonts w:cs="Arial"/>
          <w:u w:val="single"/>
        </w:rPr>
      </w:pPr>
    </w:p>
    <w:p w14:paraId="78D3A5BA" w14:textId="26AAAA90" w:rsidR="009C6C16" w:rsidRPr="009C6C16" w:rsidRDefault="009C6C16" w:rsidP="009C6C16">
      <w:pPr>
        <w:rPr>
          <w:rFonts w:cs="Arial"/>
        </w:rPr>
      </w:pPr>
      <w:r w:rsidRPr="009C6C16">
        <w:rPr>
          <w:rFonts w:cs="Arial"/>
          <w:u w:val="single"/>
        </w:rPr>
        <w:t xml:space="preserve">Субстрати на </w:t>
      </w:r>
      <w:r w:rsidRPr="009C6C16">
        <w:rPr>
          <w:rFonts w:cs="Arial"/>
          <w:u w:val="single"/>
          <w:lang w:val="en-US"/>
        </w:rPr>
        <w:t>CYP2C8</w:t>
      </w:r>
    </w:p>
    <w:p w14:paraId="6A89D45E" w14:textId="77777777" w:rsidR="009C6C16" w:rsidRPr="009C6C16" w:rsidRDefault="009C6C16" w:rsidP="009C6C16">
      <w:pPr>
        <w:rPr>
          <w:rFonts w:cs="Arial"/>
        </w:rPr>
      </w:pPr>
      <w:r w:rsidRPr="009C6C16">
        <w:rPr>
          <w:rFonts w:cs="Arial"/>
        </w:rPr>
        <w:t xml:space="preserve">Необходимо е повишено внимание при пациенти, лекувани едновременно с клопидогрел и лекарствени продукти, субстрати на </w:t>
      </w:r>
      <w:r w:rsidRPr="009C6C16">
        <w:rPr>
          <w:rFonts w:cs="Arial"/>
          <w:lang w:val="en-US"/>
        </w:rPr>
        <w:t xml:space="preserve">CYP2C8 </w:t>
      </w:r>
      <w:r w:rsidRPr="009C6C16">
        <w:rPr>
          <w:rFonts w:cs="Arial"/>
        </w:rPr>
        <w:t>(вж. точка 4.5).</w:t>
      </w:r>
    </w:p>
    <w:p w14:paraId="51078865" w14:textId="77777777" w:rsidR="009C6C16" w:rsidRPr="009C6C16" w:rsidRDefault="009C6C16" w:rsidP="009C6C16">
      <w:pPr>
        <w:rPr>
          <w:rFonts w:cs="Arial"/>
          <w:u w:val="single"/>
        </w:rPr>
      </w:pPr>
    </w:p>
    <w:p w14:paraId="44A50778" w14:textId="443C1BE9" w:rsidR="009C6C16" w:rsidRPr="009C6C16" w:rsidRDefault="009C6C16" w:rsidP="009C6C16">
      <w:pPr>
        <w:rPr>
          <w:rFonts w:cs="Arial"/>
        </w:rPr>
      </w:pPr>
      <w:r w:rsidRPr="009C6C16">
        <w:rPr>
          <w:rFonts w:cs="Arial"/>
          <w:u w:val="single"/>
        </w:rPr>
        <w:t>Кръстосана реактивност между тиенопиридините</w:t>
      </w:r>
    </w:p>
    <w:p w14:paraId="53533242" w14:textId="77777777" w:rsidR="009C6C16" w:rsidRPr="009C6C16" w:rsidRDefault="009C6C16" w:rsidP="009C6C16">
      <w:pPr>
        <w:rPr>
          <w:rFonts w:eastAsia="Times New Roman" w:cs="Arial"/>
          <w:lang w:eastAsia="bg-BG"/>
        </w:rPr>
      </w:pPr>
      <w:r w:rsidRPr="009C6C16">
        <w:rPr>
          <w:rFonts w:cs="Arial"/>
        </w:rPr>
        <w:t>На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 Тиенопиридините могат да причинят леки до тежки алергични реакции, като обрив, ангиоедем или хематологични кръстосани реакции,</w:t>
      </w:r>
      <w:r w:rsidRPr="009C6C16">
        <w:rPr>
          <w:rFonts w:cs="Arial"/>
          <w:lang w:val="en-US"/>
        </w:rPr>
        <w:t xml:space="preserve"> </w:t>
      </w:r>
      <w:r w:rsidRPr="009C6C16">
        <w:rPr>
          <w:rFonts w:cs="Arial"/>
        </w:rPr>
        <w:t>като</w:t>
      </w:r>
      <w:r w:rsidRPr="009C6C16">
        <w:rPr>
          <w:rFonts w:cs="Arial"/>
          <w:lang w:val="en-US"/>
        </w:rPr>
        <w:t xml:space="preserve"> </w:t>
      </w:r>
      <w:r w:rsidRPr="009C6C16">
        <w:rPr>
          <w:rFonts w:cs="Arial"/>
        </w:rPr>
        <w:t xml:space="preserve"> тромбоцитопения и неутропения. Пациенти, които са развили предишна алергична реакция</w:t>
      </w:r>
      <w:r w:rsidRPr="009C6C16">
        <w:rPr>
          <w:rFonts w:cs="Arial"/>
          <w:i/>
          <w:iCs/>
          <w:smallCaps/>
        </w:rPr>
        <w:t xml:space="preserve"> </w:t>
      </w:r>
      <w:r w:rsidRPr="009C6C16">
        <w:rPr>
          <w:rFonts w:cs="Arial"/>
          <w:iCs/>
          <w:smallCaps/>
        </w:rPr>
        <w:t>и/или</w:t>
      </w:r>
      <w:r w:rsidRPr="009C6C16">
        <w:rPr>
          <w:rFonts w:cs="Arial"/>
          <w:i/>
          <w:iCs/>
          <w:smallCaps/>
        </w:rPr>
        <w:t xml:space="preserve"> </w:t>
      </w:r>
      <w:r w:rsidRPr="009C6C16">
        <w:rPr>
          <w:rFonts w:cs="Arial"/>
        </w:rPr>
        <w:t xml:space="preserve">хематологична реакция към един тиенопиридин, може да имат повишен риск от развитие </w:t>
      </w:r>
      <w:r w:rsidRPr="009C6C16">
        <w:rPr>
          <w:rFonts w:eastAsia="Times New Roman" w:cs="Arial"/>
          <w:color w:val="000000"/>
          <w:lang w:eastAsia="bg-BG"/>
        </w:rPr>
        <w:t>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14:paraId="47255E2D" w14:textId="77777777" w:rsidR="009C6C16" w:rsidRPr="009C6C16" w:rsidRDefault="009C6C16" w:rsidP="009C6C16">
      <w:pPr>
        <w:spacing w:line="240" w:lineRule="auto"/>
        <w:rPr>
          <w:rFonts w:eastAsia="Times New Roman" w:cs="Arial"/>
          <w:color w:val="000000"/>
          <w:u w:val="single"/>
          <w:lang w:eastAsia="bg-BG"/>
        </w:rPr>
      </w:pPr>
    </w:p>
    <w:p w14:paraId="39BBE7AB" w14:textId="64E52E12"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Бъбречно увреждане</w:t>
      </w:r>
    </w:p>
    <w:p w14:paraId="78B34EDA"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lastRenderedPageBreak/>
        <w:t>Терапевтичният опит при пациенти с бъбречно увреждане е ограничен. Следователно при такива пациенти клопидогрел се прилага с повишено внимание (вж. точка 4.2).</w:t>
      </w:r>
    </w:p>
    <w:p w14:paraId="6F81BD78" w14:textId="77777777" w:rsidR="009C6C16" w:rsidRPr="009C6C16" w:rsidRDefault="009C6C16" w:rsidP="009C6C16">
      <w:pPr>
        <w:spacing w:line="240" w:lineRule="auto"/>
        <w:rPr>
          <w:rFonts w:eastAsia="Times New Roman" w:cs="Arial"/>
          <w:color w:val="000000"/>
          <w:u w:val="single"/>
          <w:lang w:eastAsia="bg-BG"/>
        </w:rPr>
      </w:pPr>
    </w:p>
    <w:p w14:paraId="11E50931" w14:textId="7F9AC4ED"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Чернодробно увреждане</w:t>
      </w:r>
    </w:p>
    <w:p w14:paraId="1A9E6A5B"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14:paraId="632CA4DC" w14:textId="77777777" w:rsidR="009C6C16" w:rsidRPr="009C6C16" w:rsidRDefault="009C6C16" w:rsidP="009C6C16">
      <w:pPr>
        <w:spacing w:line="240" w:lineRule="auto"/>
        <w:rPr>
          <w:rFonts w:eastAsia="Times New Roman" w:cs="Arial"/>
          <w:color w:val="000000"/>
          <w:u w:val="single"/>
          <w:lang w:eastAsia="bg-BG"/>
        </w:rPr>
      </w:pPr>
    </w:p>
    <w:p w14:paraId="4A62D876" w14:textId="5F4E8AB8"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Помощни вещества</w:t>
      </w:r>
    </w:p>
    <w:p w14:paraId="4D16F192"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Тромбекс съдържа лактоза. Пациенти с редки наследствени проблеми на галактозна непоносимост, обща лактазна недостатъчност или глюкозо-галактозна малабсорбция, не трябва да приемат това лекарство.</w:t>
      </w:r>
    </w:p>
    <w:p w14:paraId="6D13AC21" w14:textId="043E4B8E" w:rsidR="009C6C16" w:rsidRPr="009C6C16" w:rsidRDefault="009C6C16" w:rsidP="009C6C16">
      <w:pPr>
        <w:rPr>
          <w:rFonts w:cs="Arial"/>
        </w:rPr>
      </w:pPr>
      <w:r w:rsidRPr="009C6C16">
        <w:rPr>
          <w:rFonts w:eastAsia="Times New Roman" w:cs="Arial"/>
          <w:color w:val="000000"/>
          <w:lang w:eastAsia="bg-BG"/>
        </w:rPr>
        <w:t>Този лекарствен продукт съдържа хидрогенирано рициново масло, което може да причини стомашно разстройство и диария.</w:t>
      </w:r>
    </w:p>
    <w:p w14:paraId="6F5B6B7D" w14:textId="77777777" w:rsidR="009C6C16" w:rsidRPr="0091385D" w:rsidRDefault="009C6C16"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88F5ED3"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u w:val="single"/>
          <w:lang w:eastAsia="bg-BG"/>
        </w:rPr>
        <w:t>Лекарствени продукти, свързани с риск от кървене</w:t>
      </w:r>
    </w:p>
    <w:p w14:paraId="4F358B16"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14:paraId="56717C6E" w14:textId="77777777" w:rsidR="009C6C16" w:rsidRPr="009C6C16" w:rsidRDefault="009C6C16" w:rsidP="009C6C16">
      <w:pPr>
        <w:spacing w:line="240" w:lineRule="auto"/>
        <w:rPr>
          <w:rFonts w:eastAsia="Times New Roman" w:cs="Arial"/>
          <w:i/>
          <w:iCs/>
          <w:color w:val="000000"/>
          <w:lang w:eastAsia="bg-BG"/>
        </w:rPr>
      </w:pPr>
    </w:p>
    <w:p w14:paraId="54259AF1" w14:textId="60667A5F" w:rsidR="009C6C16" w:rsidRPr="009C6C16" w:rsidRDefault="009C6C16" w:rsidP="009C6C16">
      <w:pPr>
        <w:spacing w:line="240" w:lineRule="auto"/>
        <w:rPr>
          <w:rFonts w:eastAsia="Times New Roman" w:cs="Arial"/>
          <w:lang w:eastAsia="bg-BG"/>
        </w:rPr>
      </w:pPr>
      <w:r w:rsidRPr="009C6C16">
        <w:rPr>
          <w:rFonts w:eastAsia="Times New Roman" w:cs="Arial"/>
          <w:i/>
          <w:iCs/>
          <w:color w:val="000000"/>
          <w:lang w:eastAsia="bg-BG"/>
        </w:rPr>
        <w:t>Перорални антикоагуланти</w:t>
      </w:r>
    </w:p>
    <w:p w14:paraId="41B5E21F"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sidRPr="009C6C16">
        <w:rPr>
          <w:rFonts w:eastAsia="Times New Roman" w:cs="Arial"/>
          <w:color w:val="000000"/>
          <w:lang w:val="en-US"/>
        </w:rPr>
        <w:t>mg</w:t>
      </w:r>
      <w:r w:rsidRPr="009C6C16">
        <w:rPr>
          <w:rFonts w:eastAsia="Times New Roman" w:cs="Arial"/>
          <w:color w:val="000000"/>
          <w:lang w:eastAsia="bg-BG"/>
        </w:rPr>
        <w:t xml:space="preserve">/дневно не променя фармакокинетиката на </w:t>
      </w:r>
      <w:r w:rsidRPr="009C6C16">
        <w:rPr>
          <w:rFonts w:eastAsia="Times New Roman" w:cs="Arial"/>
          <w:color w:val="000000"/>
          <w:lang w:val="en-US"/>
        </w:rPr>
        <w:t>S</w:t>
      </w:r>
      <w:r w:rsidRPr="009C6C16">
        <w:rPr>
          <w:rFonts w:eastAsia="Times New Roman" w:cs="Arial"/>
          <w:color w:val="000000"/>
          <w:lang w:eastAsia="bg-BG"/>
        </w:rPr>
        <w:t xml:space="preserve">-варфарин или Международното Нормализирано Съотношение </w:t>
      </w:r>
      <w:r w:rsidRPr="009C6C16">
        <w:rPr>
          <w:rFonts w:eastAsia="Times New Roman" w:cs="Arial"/>
          <w:color w:val="000000"/>
          <w:lang w:val="en-US"/>
        </w:rPr>
        <w:t xml:space="preserve">(INR) </w:t>
      </w:r>
      <w:r w:rsidRPr="009C6C16">
        <w:rPr>
          <w:rFonts w:eastAsia="Times New Roman" w:cs="Arial"/>
          <w:color w:val="000000"/>
          <w:lang w:eastAsia="bg-BG"/>
        </w:rPr>
        <w:t>при пациенти, получаващи продължителна терапия с варфарин, едновременното приложение на клопидогрел с варфарин повишава риска от кървене поради независими ефекти върху хемостазата.</w:t>
      </w:r>
    </w:p>
    <w:p w14:paraId="36A7DA17" w14:textId="77777777" w:rsidR="009C6C16" w:rsidRPr="009C6C16" w:rsidRDefault="009C6C16" w:rsidP="009C6C16">
      <w:pPr>
        <w:spacing w:line="240" w:lineRule="auto"/>
        <w:rPr>
          <w:rFonts w:eastAsia="Times New Roman" w:cs="Arial"/>
          <w:i/>
          <w:iCs/>
          <w:color w:val="000000"/>
          <w:lang w:eastAsia="bg-BG"/>
        </w:rPr>
      </w:pPr>
    </w:p>
    <w:p w14:paraId="79B09F8B" w14:textId="2A4F1365" w:rsidR="009C6C16" w:rsidRPr="009C6C16" w:rsidRDefault="009C6C16" w:rsidP="009C6C16">
      <w:pPr>
        <w:spacing w:line="240" w:lineRule="auto"/>
        <w:rPr>
          <w:rFonts w:eastAsia="Times New Roman" w:cs="Arial"/>
          <w:lang w:eastAsia="bg-BG"/>
        </w:rPr>
      </w:pPr>
      <w:r w:rsidRPr="009C6C16">
        <w:rPr>
          <w:rFonts w:eastAsia="Times New Roman" w:cs="Arial"/>
          <w:i/>
          <w:iCs/>
          <w:color w:val="000000"/>
          <w:lang w:eastAsia="bg-BG"/>
        </w:rPr>
        <w:t>Глюкопротеин II</w:t>
      </w:r>
      <w:r w:rsidRPr="009C6C16">
        <w:rPr>
          <w:rFonts w:eastAsia="Times New Roman" w:cs="Arial"/>
          <w:i/>
          <w:iCs/>
          <w:color w:val="000000"/>
          <w:lang w:val="en-US"/>
        </w:rPr>
        <w:t>b</w:t>
      </w:r>
      <w:r w:rsidRPr="009C6C16">
        <w:rPr>
          <w:rFonts w:eastAsia="Times New Roman" w:cs="Arial"/>
          <w:i/>
          <w:iCs/>
          <w:color w:val="000000"/>
          <w:lang w:eastAsia="bg-BG"/>
        </w:rPr>
        <w:t>/IIIа инхибитори</w:t>
      </w:r>
    </w:p>
    <w:p w14:paraId="07E58100"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Клопидогрел трябва се прилага с повишено внимание при пациенти, които приемат едновременно глюкопротеин </w:t>
      </w:r>
      <w:proofErr w:type="spellStart"/>
      <w:r w:rsidRPr="009C6C16">
        <w:rPr>
          <w:rFonts w:eastAsia="Times New Roman" w:cs="Arial"/>
          <w:color w:val="000000"/>
          <w:lang w:val="en-US"/>
        </w:rPr>
        <w:t>IIb</w:t>
      </w:r>
      <w:proofErr w:type="spellEnd"/>
      <w:r w:rsidRPr="009C6C16">
        <w:rPr>
          <w:rFonts w:eastAsia="Times New Roman" w:cs="Arial"/>
          <w:color w:val="000000"/>
          <w:lang w:eastAsia="bg-BG"/>
        </w:rPr>
        <w:t>/IIIа инхибитори (вж. точка 4.4).</w:t>
      </w:r>
    </w:p>
    <w:p w14:paraId="1015AB08" w14:textId="77777777" w:rsidR="009C6C16" w:rsidRPr="009C6C16" w:rsidRDefault="009C6C16" w:rsidP="009C6C16">
      <w:pPr>
        <w:spacing w:line="240" w:lineRule="auto"/>
        <w:rPr>
          <w:rFonts w:eastAsia="Times New Roman" w:cs="Arial"/>
          <w:i/>
          <w:iCs/>
          <w:color w:val="000000"/>
          <w:lang w:eastAsia="bg-BG"/>
        </w:rPr>
      </w:pPr>
    </w:p>
    <w:p w14:paraId="0A9286E3" w14:textId="31B53742" w:rsidR="009C6C16" w:rsidRPr="009C6C16" w:rsidRDefault="009C6C16" w:rsidP="009C6C16">
      <w:pPr>
        <w:spacing w:line="240" w:lineRule="auto"/>
        <w:rPr>
          <w:rFonts w:eastAsia="Times New Roman" w:cs="Arial"/>
          <w:lang w:eastAsia="bg-BG"/>
        </w:rPr>
      </w:pPr>
      <w:r w:rsidRPr="009C6C16">
        <w:rPr>
          <w:rFonts w:eastAsia="Times New Roman" w:cs="Arial"/>
          <w:i/>
          <w:iCs/>
          <w:color w:val="000000"/>
          <w:lang w:eastAsia="bg-BG"/>
        </w:rPr>
        <w:t>Ацетилсалицилова киселина (АСК)</w:t>
      </w:r>
    </w:p>
    <w:p w14:paraId="324D7A8C" w14:textId="77777777" w:rsidR="009C6C16"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АСК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w:t>
      </w:r>
      <w:r w:rsidRPr="009C6C16">
        <w:rPr>
          <w:rFonts w:eastAsia="Times New Roman" w:cs="Arial"/>
          <w:color w:val="000000"/>
          <w:lang w:val="en-US"/>
        </w:rPr>
        <w:t xml:space="preserve">mg </w:t>
      </w:r>
      <w:r w:rsidRPr="009C6C16">
        <w:rPr>
          <w:rFonts w:eastAsia="Times New Roman" w:cs="Arial"/>
          <w:color w:val="000000"/>
          <w:lang w:eastAsia="bg-BG"/>
        </w:rPr>
        <w:t>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14:paraId="06883065" w14:textId="77777777" w:rsidR="009C6C16" w:rsidRPr="009C6C16" w:rsidRDefault="009C6C16" w:rsidP="009C6C16">
      <w:pPr>
        <w:spacing w:line="240" w:lineRule="auto"/>
        <w:rPr>
          <w:rFonts w:eastAsia="Times New Roman" w:cs="Arial"/>
          <w:i/>
          <w:iCs/>
          <w:color w:val="000000"/>
          <w:lang w:eastAsia="bg-BG"/>
        </w:rPr>
      </w:pPr>
    </w:p>
    <w:p w14:paraId="61631CA8" w14:textId="42EFD9ED" w:rsidR="009C6C16" w:rsidRPr="009C6C16" w:rsidRDefault="009C6C16" w:rsidP="009C6C16">
      <w:pPr>
        <w:spacing w:line="240" w:lineRule="auto"/>
        <w:rPr>
          <w:rFonts w:eastAsia="Times New Roman" w:cs="Arial"/>
          <w:lang w:eastAsia="bg-BG"/>
        </w:rPr>
      </w:pPr>
      <w:r w:rsidRPr="009C6C16">
        <w:rPr>
          <w:rFonts w:eastAsia="Times New Roman" w:cs="Arial"/>
          <w:i/>
          <w:iCs/>
          <w:color w:val="000000"/>
          <w:lang w:eastAsia="bg-BG"/>
        </w:rPr>
        <w:t>Хепарин</w:t>
      </w:r>
    </w:p>
    <w:p w14:paraId="172AE819" w14:textId="6C882D10" w:rsidR="0091385D" w:rsidRPr="009C6C16" w:rsidRDefault="009C6C16" w:rsidP="009C6C16">
      <w:pPr>
        <w:spacing w:line="240" w:lineRule="auto"/>
        <w:rPr>
          <w:rFonts w:eastAsia="Times New Roman" w:cs="Arial"/>
          <w:lang w:eastAsia="bg-BG"/>
        </w:rPr>
      </w:pPr>
      <w:r w:rsidRPr="009C6C16">
        <w:rPr>
          <w:rFonts w:eastAsia="Times New Roman" w:cs="Arial"/>
          <w:color w:val="000000"/>
          <w:lang w:eastAsia="bg-BG"/>
        </w:rPr>
        <w:t xml:space="preserve">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w:t>
      </w:r>
      <w:r w:rsidRPr="009C6C16">
        <w:rPr>
          <w:rFonts w:eastAsia="Times New Roman" w:cs="Arial"/>
          <w:color w:val="000000"/>
          <w:lang w:eastAsia="bg-BG"/>
        </w:rPr>
        <w:lastRenderedPageBreak/>
        <w:t>хепарин не е довело до ефект върху потискането на тромбоцитната агрегация предизвикано от клопидогрел. Възможно е фармакодинамично взаимодействие между клопидогрел и хепарин, което увеличава риска от кървене. Следователно, едновременната им употреба трябва да става с повишено внимание (вж. точка 4.4).</w:t>
      </w:r>
    </w:p>
    <w:p w14:paraId="5B2761C5" w14:textId="13846871" w:rsidR="0091385D" w:rsidRDefault="0091385D" w:rsidP="0091385D"/>
    <w:p w14:paraId="677BF4FD"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Тромболитици</w:t>
      </w:r>
    </w:p>
    <w:p w14:paraId="19728486"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Безопасността на едновременно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агента и хепарин с АСК (вж. точка 4.8).</w:t>
      </w:r>
    </w:p>
    <w:p w14:paraId="6CD258AB" w14:textId="77777777" w:rsidR="009C6C16" w:rsidRPr="009C6C16" w:rsidRDefault="009C6C16" w:rsidP="009C6C16">
      <w:pPr>
        <w:spacing w:line="240" w:lineRule="auto"/>
        <w:rPr>
          <w:rFonts w:eastAsia="Times New Roman" w:cs="Arial"/>
          <w:i/>
          <w:iCs/>
          <w:color w:val="000000"/>
          <w:szCs w:val="20"/>
          <w:lang w:eastAsia="bg-BG"/>
        </w:rPr>
      </w:pPr>
    </w:p>
    <w:p w14:paraId="5952D0C2" w14:textId="56B80631"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Нестероидни противовъзпалителни средства (НСПВС)</w:t>
      </w:r>
    </w:p>
    <w:p w14:paraId="591F98A3" w14:textId="4C6A12FE"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В клинично проучване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СОХ-2 инхибитори, и клопидогрел трябва да се прилагат едновременно с пов</w:t>
      </w:r>
      <w:r>
        <w:rPr>
          <w:rFonts w:eastAsia="Times New Roman" w:cs="Arial"/>
          <w:color w:val="000000"/>
          <w:szCs w:val="20"/>
          <w:lang w:eastAsia="bg-BG"/>
        </w:rPr>
        <w:t>ишено внимание (вж. точка 4.4).</w:t>
      </w:r>
    </w:p>
    <w:p w14:paraId="3BD43312" w14:textId="77777777" w:rsidR="009C6C16" w:rsidRPr="009C6C16" w:rsidRDefault="009C6C16" w:rsidP="009C6C16">
      <w:pPr>
        <w:spacing w:line="240" w:lineRule="auto"/>
        <w:rPr>
          <w:rFonts w:eastAsia="Times New Roman" w:cs="Arial"/>
          <w:i/>
          <w:iCs/>
          <w:color w:val="000000"/>
          <w:szCs w:val="20"/>
          <w:lang w:eastAsia="bg-BG"/>
        </w:rPr>
      </w:pPr>
    </w:p>
    <w:p w14:paraId="2C2F9037" w14:textId="50B145EB"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 xml:space="preserve">Селективни инхибитори на обратното захващане на серотонина </w:t>
      </w:r>
      <w:r w:rsidRPr="009C6C16">
        <w:rPr>
          <w:rFonts w:eastAsia="Times New Roman" w:cs="Arial"/>
          <w:i/>
          <w:iCs/>
          <w:color w:val="000000"/>
          <w:szCs w:val="20"/>
          <w:lang w:val="en-US"/>
        </w:rPr>
        <w:t>(SSRIs)</w:t>
      </w:r>
    </w:p>
    <w:p w14:paraId="37BC5025"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Тъй като </w:t>
      </w:r>
      <w:r w:rsidRPr="009C6C16">
        <w:rPr>
          <w:rFonts w:eastAsia="Times New Roman" w:cs="Arial"/>
          <w:color w:val="000000"/>
          <w:szCs w:val="20"/>
          <w:lang w:val="en-US"/>
        </w:rPr>
        <w:t xml:space="preserve">SSRIs </w:t>
      </w:r>
      <w:r w:rsidRPr="009C6C16">
        <w:rPr>
          <w:rFonts w:eastAsia="Times New Roman" w:cs="Arial"/>
          <w:color w:val="000000"/>
          <w:szCs w:val="20"/>
          <w:lang w:eastAsia="bg-BG"/>
        </w:rPr>
        <w:t xml:space="preserve">повлияват тромбоцитната активация и повишават риска от кървене, едновременното приложение на </w:t>
      </w:r>
      <w:r w:rsidRPr="009C6C16">
        <w:rPr>
          <w:rFonts w:eastAsia="Times New Roman" w:cs="Arial"/>
          <w:color w:val="000000"/>
          <w:szCs w:val="20"/>
          <w:lang w:val="en-US"/>
        </w:rPr>
        <w:t xml:space="preserve">SSRIs </w:t>
      </w:r>
      <w:r w:rsidRPr="009C6C16">
        <w:rPr>
          <w:rFonts w:eastAsia="Times New Roman" w:cs="Arial"/>
          <w:color w:val="000000"/>
          <w:szCs w:val="20"/>
          <w:lang w:eastAsia="bg-BG"/>
        </w:rPr>
        <w:t>с клопидогрел трябва да става с повишено внимание.</w:t>
      </w:r>
    </w:p>
    <w:p w14:paraId="21F50AEF" w14:textId="77777777" w:rsidR="009C6C16" w:rsidRPr="009C6C16" w:rsidRDefault="009C6C16" w:rsidP="009C6C16">
      <w:pPr>
        <w:spacing w:line="240" w:lineRule="auto"/>
        <w:rPr>
          <w:rFonts w:eastAsia="Times New Roman" w:cs="Arial"/>
          <w:color w:val="000000"/>
          <w:szCs w:val="20"/>
          <w:u w:val="single"/>
          <w:lang w:eastAsia="bg-BG"/>
        </w:rPr>
      </w:pPr>
    </w:p>
    <w:p w14:paraId="4E5B5DD4" w14:textId="18CD95B5"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u w:val="single"/>
          <w:lang w:eastAsia="bg-BG"/>
        </w:rPr>
        <w:t>Друго съпътстващо лечение</w:t>
      </w:r>
    </w:p>
    <w:p w14:paraId="222B654F"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 xml:space="preserve">Индуктори на </w:t>
      </w:r>
      <w:r w:rsidRPr="009C6C16">
        <w:rPr>
          <w:rFonts w:eastAsia="Times New Roman" w:cs="Arial"/>
          <w:i/>
          <w:iCs/>
          <w:color w:val="000000"/>
          <w:szCs w:val="20"/>
          <w:lang w:val="en-US"/>
        </w:rPr>
        <w:t>CYP2C19</w:t>
      </w:r>
    </w:p>
    <w:p w14:paraId="75DA52A0"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Тъй като клопидогрел се метаболизира до неговия активен метаболит частично от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14:paraId="175E541D" w14:textId="77777777" w:rsidR="009C6C16" w:rsidRPr="009C6C16" w:rsidRDefault="009C6C16" w:rsidP="009C6C16">
      <w:pPr>
        <w:spacing w:line="240" w:lineRule="auto"/>
        <w:rPr>
          <w:rFonts w:eastAsia="Times New Roman" w:cs="Arial"/>
          <w:color w:val="000000"/>
          <w:szCs w:val="20"/>
          <w:lang w:eastAsia="bg-BG"/>
        </w:rPr>
      </w:pPr>
    </w:p>
    <w:p w14:paraId="53A0B68A" w14:textId="0F7BB1BD"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Рифампицин силно индуцира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 xml:space="preserve">което води както до повишени нива на активния метаболит на клопидогрел, така и до инхибиране на тромбоцитите, което в частност може да увеличи риска от кървене. Като предпазна мярка трябва да се избягва съпътстващата употреба на силни индукгори на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(вж. точка 4.4).</w:t>
      </w:r>
    </w:p>
    <w:p w14:paraId="5FB7210C" w14:textId="77777777" w:rsidR="009C6C16" w:rsidRPr="009C6C16" w:rsidRDefault="009C6C16" w:rsidP="009C6C16">
      <w:pPr>
        <w:spacing w:line="240" w:lineRule="auto"/>
        <w:rPr>
          <w:rFonts w:eastAsia="Times New Roman" w:cs="Arial"/>
          <w:i/>
          <w:iCs/>
          <w:color w:val="000000"/>
          <w:szCs w:val="20"/>
          <w:lang w:eastAsia="bg-BG"/>
        </w:rPr>
      </w:pPr>
    </w:p>
    <w:p w14:paraId="5787B40F" w14:textId="19A81194"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 xml:space="preserve">Инхибитори на </w:t>
      </w:r>
      <w:r w:rsidRPr="009C6C16">
        <w:rPr>
          <w:rFonts w:eastAsia="Times New Roman" w:cs="Arial"/>
          <w:i/>
          <w:iCs/>
          <w:color w:val="000000"/>
          <w:szCs w:val="20"/>
          <w:lang w:val="en-US"/>
        </w:rPr>
        <w:t>CYP2C19</w:t>
      </w:r>
    </w:p>
    <w:p w14:paraId="0C137AD2"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Тъй като клопидогрел се метаболизира частично от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 xml:space="preserve">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инхибитори (вж. точки 4.4 и 5.2).</w:t>
      </w:r>
    </w:p>
    <w:p w14:paraId="0CE072FD" w14:textId="77777777" w:rsidR="009C6C16" w:rsidRPr="009C6C16" w:rsidRDefault="009C6C16" w:rsidP="009C6C16">
      <w:pPr>
        <w:spacing w:line="240" w:lineRule="auto"/>
        <w:rPr>
          <w:rFonts w:eastAsia="Times New Roman" w:cs="Arial"/>
          <w:color w:val="000000"/>
          <w:szCs w:val="20"/>
          <w:lang w:eastAsia="bg-BG"/>
        </w:rPr>
      </w:pPr>
    </w:p>
    <w:p w14:paraId="625B75D2" w14:textId="5A5F161E"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Лекарствените продукти, които са силни или умерени инхибитори на </w:t>
      </w:r>
      <w:r w:rsidRPr="009C6C16">
        <w:rPr>
          <w:rFonts w:eastAsia="Times New Roman" w:cs="Arial"/>
          <w:color w:val="000000"/>
          <w:szCs w:val="20"/>
          <w:lang w:val="en-US"/>
        </w:rPr>
        <w:t xml:space="preserve">CYP2C19 </w:t>
      </w:r>
      <w:r w:rsidRPr="009C6C16">
        <w:rPr>
          <w:rFonts w:eastAsia="Times New Roman" w:cs="Arial"/>
          <w:color w:val="000000"/>
          <w:szCs w:val="20"/>
          <w:lang w:eastAsia="bg-BG"/>
        </w:rPr>
        <w:t>включват например омепразол и езомепразол, флувоксамин, флуоксетнн, моклобемид, вориконазол, флуконазол, тиклопидин, карбамазепин и ефавиренц.</w:t>
      </w:r>
    </w:p>
    <w:p w14:paraId="58C360A2" w14:textId="77777777" w:rsidR="009C6C16" w:rsidRPr="009C6C16" w:rsidRDefault="009C6C16" w:rsidP="009C6C16">
      <w:pPr>
        <w:spacing w:line="240" w:lineRule="auto"/>
        <w:rPr>
          <w:rFonts w:eastAsia="Times New Roman" w:cs="Arial"/>
          <w:i/>
          <w:iCs/>
          <w:color w:val="000000"/>
          <w:szCs w:val="20"/>
          <w:lang w:eastAsia="bg-BG"/>
        </w:rPr>
      </w:pPr>
    </w:p>
    <w:p w14:paraId="69C3E795" w14:textId="2D2E0004" w:rsidR="009C6C16" w:rsidRPr="009C6C16" w:rsidRDefault="009C6C16" w:rsidP="009C6C16">
      <w:pPr>
        <w:spacing w:line="240" w:lineRule="auto"/>
        <w:rPr>
          <w:rFonts w:eastAsia="Times New Roman" w:cs="Arial"/>
          <w:sz w:val="28"/>
          <w:szCs w:val="24"/>
          <w:lang w:eastAsia="bg-BG"/>
        </w:rPr>
      </w:pPr>
      <w:r w:rsidRPr="009C6C16">
        <w:rPr>
          <w:rFonts w:eastAsia="Times New Roman" w:cs="Arial"/>
          <w:i/>
          <w:iCs/>
          <w:color w:val="000000"/>
          <w:szCs w:val="20"/>
          <w:lang w:eastAsia="bg-BG"/>
        </w:rPr>
        <w:t xml:space="preserve">Инхибитори на протонната помпа </w:t>
      </w:r>
      <w:r w:rsidRPr="009C6C16">
        <w:rPr>
          <w:rFonts w:eastAsia="Times New Roman" w:cs="Arial"/>
          <w:i/>
          <w:iCs/>
          <w:color w:val="000000"/>
          <w:szCs w:val="20"/>
          <w:lang w:val="en-US"/>
        </w:rPr>
        <w:t>(PPI)</w:t>
      </w:r>
    </w:p>
    <w:p w14:paraId="1B98275B"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 xml:space="preserve">Омепразол 80 </w:t>
      </w:r>
      <w:r w:rsidRPr="009C6C16">
        <w:rPr>
          <w:rFonts w:eastAsia="Times New Roman" w:cs="Arial"/>
          <w:color w:val="000000"/>
          <w:szCs w:val="20"/>
          <w:lang w:val="en-US"/>
        </w:rPr>
        <w:t xml:space="preserve">mg </w:t>
      </w:r>
      <w:r w:rsidRPr="009C6C16">
        <w:rPr>
          <w:rFonts w:eastAsia="Times New Roman" w:cs="Arial"/>
          <w:color w:val="000000"/>
          <w:szCs w:val="20"/>
          <w:lang w:eastAsia="bg-BG"/>
        </w:rPr>
        <w:t xml:space="preserve">веднъж дневно, приложен по едно и също време с клопидогрел или с интервал от 12 часа между приложението на двете лекарства, намалява експозицията на активния метаболит с 45% (натоварваща доза) и 40% (поддържаща доза). Намалението е </w:t>
      </w:r>
      <w:r w:rsidRPr="009C6C16">
        <w:rPr>
          <w:rFonts w:eastAsia="Times New Roman" w:cs="Arial"/>
          <w:color w:val="000000"/>
          <w:szCs w:val="20"/>
          <w:lang w:eastAsia="bg-BG"/>
        </w:rPr>
        <w:lastRenderedPageBreak/>
        <w:t>свързано с 39% (натоварваща доза) и 21% (поддържаща доза) понижаване на инхибирането на тромбоцитната агрегация. Очаква се езомепразол да показва подобно взаимодействие с клопидогрел.</w:t>
      </w:r>
    </w:p>
    <w:p w14:paraId="372A9AF0" w14:textId="77777777" w:rsidR="009C6C16" w:rsidRPr="009C6C16" w:rsidRDefault="009C6C16" w:rsidP="009C6C16">
      <w:pPr>
        <w:spacing w:line="240" w:lineRule="auto"/>
        <w:rPr>
          <w:rFonts w:eastAsia="Times New Roman" w:cs="Arial"/>
          <w:sz w:val="28"/>
          <w:szCs w:val="24"/>
          <w:lang w:eastAsia="bg-BG"/>
        </w:rPr>
      </w:pPr>
      <w:r w:rsidRPr="009C6C16">
        <w:rPr>
          <w:rFonts w:eastAsia="Times New Roman" w:cs="Arial"/>
          <w:color w:val="000000"/>
          <w:szCs w:val="20"/>
          <w:lang w:eastAsia="bg-BG"/>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14:paraId="222D1AB1" w14:textId="77777777" w:rsidR="00167707" w:rsidRPr="00167707" w:rsidRDefault="009C6C16" w:rsidP="00167707">
      <w:pPr>
        <w:rPr>
          <w:rFonts w:eastAsia="Times New Roman" w:cs="Arial"/>
          <w:lang w:eastAsia="bg-BG"/>
        </w:rPr>
      </w:pPr>
      <w:r w:rsidRPr="009C6C16">
        <w:rPr>
          <w:rFonts w:eastAsia="Times New Roman" w:cs="Arial"/>
          <w:color w:val="000000"/>
          <w:szCs w:val="20"/>
          <w:lang w:eastAsia="bg-BG"/>
        </w:rPr>
        <w:t>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w:t>
      </w:r>
      <w:r w:rsidR="00167707">
        <w:rPr>
          <w:rFonts w:eastAsia="Times New Roman" w:cs="Arial"/>
          <w:sz w:val="28"/>
          <w:szCs w:val="24"/>
          <w:lang w:eastAsia="bg-BG"/>
        </w:rPr>
        <w:t xml:space="preserve"> </w:t>
      </w:r>
      <w:r w:rsidRPr="009C6C16">
        <w:rPr>
          <w:rFonts w:eastAsia="Times New Roman" w:cs="Arial"/>
          <w:color w:val="000000"/>
          <w:szCs w:val="20"/>
          <w:lang w:eastAsia="bg-BG"/>
        </w:rPr>
        <w:t xml:space="preserve">(натоварваща доза) и с 14% (поддържаща доза) по време на </w:t>
      </w:r>
      <w:r w:rsidRPr="00167707">
        <w:rPr>
          <w:rFonts w:eastAsia="Times New Roman" w:cs="Arial"/>
          <w:color w:val="000000"/>
          <w:lang w:eastAsia="bg-BG"/>
        </w:rPr>
        <w:t xml:space="preserve">съпътстващо лечение с пантопразол 80 </w:t>
      </w:r>
      <w:r w:rsidRPr="00167707">
        <w:rPr>
          <w:rFonts w:eastAsia="Times New Roman" w:cs="Arial"/>
          <w:color w:val="000000"/>
          <w:lang w:val="en-US"/>
        </w:rPr>
        <w:t xml:space="preserve">mg </w:t>
      </w:r>
      <w:r w:rsidRPr="00167707">
        <w:rPr>
          <w:rFonts w:eastAsia="Times New Roman" w:cs="Arial"/>
          <w:color w:val="000000"/>
          <w:lang w:eastAsia="bg-BG"/>
        </w:rPr>
        <w:t>веднъж дневно. Това е свързано с понижение на средното инхибиране на тромбоцитната</w:t>
      </w:r>
      <w:r w:rsidR="00167707" w:rsidRPr="00167707">
        <w:rPr>
          <w:rFonts w:eastAsia="Times New Roman" w:cs="Arial"/>
          <w:color w:val="000000"/>
          <w:lang w:eastAsia="bg-BG"/>
        </w:rPr>
        <w:t xml:space="preserve"> агрегация с 15% и 11% съответно. Тези резултати показват, че клопидогрел може да бъде прилаган с пантопразол.</w:t>
      </w:r>
    </w:p>
    <w:p w14:paraId="3765AB8D"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Няма доказателства, че други лекарствени продукти, намаляващи стомашната киселинност като </w:t>
      </w:r>
      <w:r w:rsidRPr="00167707">
        <w:rPr>
          <w:rFonts w:eastAsia="Times New Roman" w:cs="Arial"/>
          <w:color w:val="000000"/>
          <w:lang w:val="en-US"/>
        </w:rPr>
        <w:t>H</w:t>
      </w:r>
      <w:r w:rsidRPr="00167707">
        <w:rPr>
          <w:rFonts w:eastAsia="Times New Roman" w:cs="Arial"/>
          <w:color w:val="000000"/>
          <w:vertAlign w:val="subscript"/>
          <w:lang w:val="en-US"/>
        </w:rPr>
        <w:t>2</w:t>
      </w:r>
      <w:r w:rsidRPr="00167707">
        <w:rPr>
          <w:rFonts w:eastAsia="Times New Roman" w:cs="Arial"/>
          <w:color w:val="000000"/>
          <w:lang w:val="en-US"/>
        </w:rPr>
        <w:t xml:space="preserve"> </w:t>
      </w:r>
      <w:r w:rsidRPr="00167707">
        <w:rPr>
          <w:rFonts w:eastAsia="Times New Roman" w:cs="Arial"/>
          <w:color w:val="000000"/>
          <w:lang w:eastAsia="bg-BG"/>
        </w:rPr>
        <w:t>блокерите или антиацидите повлияват антитромбоцитната активност на клопидогрел.</w:t>
      </w:r>
    </w:p>
    <w:p w14:paraId="3DDE2B01" w14:textId="77777777" w:rsidR="00167707" w:rsidRPr="00167707" w:rsidRDefault="00167707" w:rsidP="00167707">
      <w:pPr>
        <w:spacing w:line="240" w:lineRule="auto"/>
        <w:rPr>
          <w:rFonts w:eastAsia="Times New Roman" w:cs="Arial"/>
          <w:i/>
          <w:iCs/>
          <w:color w:val="000000"/>
          <w:lang w:eastAsia="bg-BG"/>
        </w:rPr>
      </w:pPr>
    </w:p>
    <w:p w14:paraId="5273235A" w14:textId="55F54829" w:rsidR="00167707" w:rsidRPr="00167707" w:rsidRDefault="00167707" w:rsidP="00167707">
      <w:pPr>
        <w:spacing w:line="240" w:lineRule="auto"/>
        <w:rPr>
          <w:rFonts w:eastAsia="Times New Roman" w:cs="Arial"/>
          <w:lang w:eastAsia="bg-BG"/>
        </w:rPr>
      </w:pPr>
      <w:r w:rsidRPr="00167707">
        <w:rPr>
          <w:rFonts w:eastAsia="Times New Roman" w:cs="Arial"/>
          <w:i/>
          <w:iCs/>
          <w:color w:val="000000"/>
          <w:lang w:eastAsia="bg-BG"/>
        </w:rPr>
        <w:t xml:space="preserve">Антиретровирусна терапия </w:t>
      </w:r>
      <w:r w:rsidRPr="00167707">
        <w:rPr>
          <w:rFonts w:eastAsia="Times New Roman" w:cs="Arial"/>
          <w:i/>
          <w:iCs/>
          <w:color w:val="000000"/>
          <w:lang w:val="en-US"/>
        </w:rPr>
        <w:t xml:space="preserve">(APT), </w:t>
      </w:r>
      <w:r w:rsidRPr="00167707">
        <w:rPr>
          <w:rFonts w:eastAsia="Times New Roman" w:cs="Arial"/>
          <w:i/>
          <w:iCs/>
          <w:color w:val="000000"/>
          <w:lang w:eastAsia="bg-BG"/>
        </w:rPr>
        <w:t xml:space="preserve">комбинирана с фармакокинетичен енхансер </w:t>
      </w:r>
      <w:r w:rsidRPr="00167707">
        <w:rPr>
          <w:rFonts w:eastAsia="Times New Roman" w:cs="Arial"/>
          <w:color w:val="000000"/>
          <w:lang w:eastAsia="bg-BG"/>
        </w:rPr>
        <w:t xml:space="preserve">Пациенти с </w:t>
      </w:r>
      <w:r w:rsidRPr="00167707">
        <w:rPr>
          <w:rFonts w:eastAsia="Times New Roman" w:cs="Arial"/>
          <w:color w:val="000000"/>
          <w:lang w:val="en-US"/>
        </w:rPr>
        <w:t xml:space="preserve">HIV, </w:t>
      </w:r>
      <w:r w:rsidRPr="00167707">
        <w:rPr>
          <w:rFonts w:eastAsia="Times New Roman" w:cs="Arial"/>
          <w:color w:val="000000"/>
          <w:lang w:eastAsia="bg-BG"/>
        </w:rPr>
        <w:t xml:space="preserve">лекувани с антиретровирусна терапия </w:t>
      </w:r>
      <w:r w:rsidRPr="00167707">
        <w:rPr>
          <w:rFonts w:eastAsia="Times New Roman" w:cs="Arial"/>
          <w:color w:val="000000"/>
          <w:lang w:val="en-US"/>
        </w:rPr>
        <w:t xml:space="preserve">(APT), </w:t>
      </w:r>
      <w:r w:rsidRPr="00167707">
        <w:rPr>
          <w:rFonts w:eastAsia="Times New Roman" w:cs="Arial"/>
          <w:color w:val="000000"/>
          <w:lang w:eastAsia="bg-BG"/>
        </w:rPr>
        <w:t xml:space="preserve">комбинирана с фармакокинетичен енхансер, са изложени на висок риск от съдови събития. Наблюдавана е значително намалена тромбоцитна инхибиция при пациенти с </w:t>
      </w:r>
      <w:r w:rsidRPr="00167707">
        <w:rPr>
          <w:rFonts w:eastAsia="Times New Roman" w:cs="Arial"/>
          <w:color w:val="000000"/>
          <w:lang w:val="en-US"/>
        </w:rPr>
        <w:t xml:space="preserve">HIV, </w:t>
      </w:r>
      <w:r w:rsidRPr="00167707">
        <w:rPr>
          <w:rFonts w:eastAsia="Times New Roman" w:cs="Arial"/>
          <w:color w:val="000000"/>
          <w:lang w:eastAsia="bg-BG"/>
        </w:rPr>
        <w:t xml:space="preserve">лекувани с </w:t>
      </w:r>
      <w:r w:rsidRPr="00167707">
        <w:rPr>
          <w:rFonts w:eastAsia="Times New Roman" w:cs="Arial"/>
          <w:color w:val="000000"/>
          <w:lang w:val="en-US"/>
        </w:rPr>
        <w:t xml:space="preserve">APT, </w:t>
      </w:r>
      <w:r w:rsidRPr="00167707">
        <w:rPr>
          <w:rFonts w:eastAsia="Times New Roman" w:cs="Arial"/>
          <w:color w:val="000000"/>
          <w:lang w:eastAsia="bg-BG"/>
        </w:rPr>
        <w:t xml:space="preserve">подсилена с ритонавир или кобицистат. Въпреки че клиничното значение на тези находки е несигурно, има спонтанни съобщения за </w:t>
      </w:r>
      <w:r w:rsidRPr="00167707">
        <w:rPr>
          <w:rFonts w:eastAsia="Times New Roman" w:cs="Arial"/>
          <w:color w:val="000000"/>
          <w:lang w:val="en-US"/>
        </w:rPr>
        <w:t>HIV</w:t>
      </w:r>
      <w:r w:rsidRPr="00167707">
        <w:rPr>
          <w:rFonts w:eastAsia="Times New Roman" w:cs="Arial"/>
          <w:color w:val="000000"/>
          <w:lang w:eastAsia="bg-BG"/>
        </w:rPr>
        <w:t xml:space="preserve">-инфектирани пациенти, лекувани с </w:t>
      </w:r>
      <w:r w:rsidRPr="00167707">
        <w:rPr>
          <w:rFonts w:eastAsia="Times New Roman" w:cs="Arial"/>
          <w:color w:val="000000"/>
          <w:lang w:val="en-US"/>
        </w:rPr>
        <w:t xml:space="preserve">APT, </w:t>
      </w:r>
      <w:r w:rsidRPr="00167707">
        <w:rPr>
          <w:rFonts w:eastAsia="Times New Roman" w:cs="Arial"/>
          <w:color w:val="000000"/>
          <w:lang w:eastAsia="bg-BG"/>
        </w:rPr>
        <w:t xml:space="preserve">подсилена с ритонавир, които са получили повторни оклузивни събития след възстановяване на проходимостта, или са претърпели тромботични събития при натоварващата схема на лечение с клопидогрел. Средната тромбоцитна инхибиция може да бъде намалена при съпътстваща употреба на клопидогрел и ритонавир. Следователно, съпътстващата употреба на клопидогрел с подсилени </w:t>
      </w:r>
      <w:r w:rsidRPr="00167707">
        <w:rPr>
          <w:rFonts w:eastAsia="Times New Roman" w:cs="Arial"/>
          <w:color w:val="000000"/>
          <w:lang w:val="en-US"/>
        </w:rPr>
        <w:t xml:space="preserve">APT </w:t>
      </w:r>
      <w:r w:rsidRPr="00167707">
        <w:rPr>
          <w:rFonts w:eastAsia="Times New Roman" w:cs="Arial"/>
          <w:color w:val="000000"/>
          <w:lang w:eastAsia="bg-BG"/>
        </w:rPr>
        <w:t>терапии не се препоръчва.</w:t>
      </w:r>
    </w:p>
    <w:p w14:paraId="0BCB5641" w14:textId="77777777" w:rsidR="00167707" w:rsidRPr="00167707" w:rsidRDefault="00167707" w:rsidP="00167707">
      <w:pPr>
        <w:spacing w:line="240" w:lineRule="auto"/>
        <w:rPr>
          <w:rFonts w:eastAsia="Times New Roman" w:cs="Arial"/>
          <w:color w:val="000000"/>
          <w:u w:val="single"/>
          <w:lang w:eastAsia="bg-BG"/>
        </w:rPr>
      </w:pPr>
    </w:p>
    <w:p w14:paraId="26201973" w14:textId="0F24A49A" w:rsidR="00167707" w:rsidRPr="00167707" w:rsidRDefault="00167707" w:rsidP="00167707">
      <w:pPr>
        <w:spacing w:line="240" w:lineRule="auto"/>
        <w:rPr>
          <w:rFonts w:eastAsia="Times New Roman" w:cs="Arial"/>
          <w:lang w:eastAsia="bg-BG"/>
        </w:rPr>
      </w:pPr>
      <w:r w:rsidRPr="00167707">
        <w:rPr>
          <w:rFonts w:eastAsia="Times New Roman" w:cs="Arial"/>
          <w:color w:val="000000"/>
          <w:u w:val="single"/>
          <w:lang w:eastAsia="bg-BG"/>
        </w:rPr>
        <w:t>Други лекарствени продукти</w:t>
      </w:r>
    </w:p>
    <w:p w14:paraId="387D1DE1"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14:paraId="53978637" w14:textId="77777777" w:rsidR="00167707" w:rsidRPr="00167707" w:rsidRDefault="00167707" w:rsidP="00167707">
      <w:pPr>
        <w:spacing w:line="240" w:lineRule="auto"/>
        <w:rPr>
          <w:rFonts w:eastAsia="Times New Roman" w:cs="Arial"/>
          <w:color w:val="000000"/>
          <w:lang w:eastAsia="bg-BG"/>
        </w:rPr>
      </w:pPr>
    </w:p>
    <w:p w14:paraId="32F0170F" w14:textId="12B8B8D5"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14:paraId="0D48596A" w14:textId="77777777" w:rsidR="00167707" w:rsidRPr="00167707" w:rsidRDefault="00167707" w:rsidP="00167707">
      <w:pPr>
        <w:spacing w:line="240" w:lineRule="auto"/>
        <w:rPr>
          <w:rFonts w:eastAsia="Times New Roman" w:cs="Arial"/>
          <w:color w:val="000000"/>
          <w:lang w:eastAsia="bg-BG"/>
        </w:rPr>
      </w:pPr>
    </w:p>
    <w:p w14:paraId="3FB15784" w14:textId="7704C6B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Данни от проучването </w:t>
      </w:r>
      <w:r w:rsidRPr="00167707">
        <w:rPr>
          <w:rFonts w:eastAsia="Times New Roman" w:cs="Arial"/>
          <w:color w:val="000000"/>
          <w:lang w:val="en-US"/>
        </w:rPr>
        <w:t xml:space="preserve">CAPRIE </w:t>
      </w:r>
      <w:r w:rsidRPr="00167707">
        <w:rPr>
          <w:rFonts w:eastAsia="Times New Roman" w:cs="Arial"/>
          <w:color w:val="000000"/>
          <w:lang w:eastAsia="bg-BG"/>
        </w:rPr>
        <w:t xml:space="preserve">показват, че фенитоин и толбутамид, които се метаболизират от </w:t>
      </w:r>
      <w:r w:rsidRPr="00167707">
        <w:rPr>
          <w:rFonts w:eastAsia="Times New Roman" w:cs="Arial"/>
          <w:color w:val="000000"/>
          <w:lang w:val="en-US"/>
        </w:rPr>
        <w:t xml:space="preserve">CYP2C9, </w:t>
      </w:r>
      <w:r w:rsidRPr="00167707">
        <w:rPr>
          <w:rFonts w:eastAsia="Times New Roman" w:cs="Arial"/>
          <w:color w:val="000000"/>
          <w:lang w:eastAsia="bg-BG"/>
        </w:rPr>
        <w:t>могат безопасно да се прилагат едновременно с клопидогрел.</w:t>
      </w:r>
    </w:p>
    <w:p w14:paraId="6F80AAE0" w14:textId="77777777" w:rsidR="00167707" w:rsidRPr="00167707" w:rsidRDefault="00167707" w:rsidP="00167707">
      <w:pPr>
        <w:spacing w:line="240" w:lineRule="auto"/>
        <w:rPr>
          <w:rFonts w:eastAsia="Times New Roman" w:cs="Arial"/>
          <w:i/>
          <w:iCs/>
          <w:color w:val="000000"/>
          <w:lang w:eastAsia="bg-BG"/>
        </w:rPr>
      </w:pPr>
    </w:p>
    <w:p w14:paraId="11773E38" w14:textId="2B9ADF99" w:rsidR="00167707" w:rsidRPr="00167707" w:rsidRDefault="00167707" w:rsidP="00167707">
      <w:pPr>
        <w:spacing w:line="240" w:lineRule="auto"/>
        <w:rPr>
          <w:rFonts w:eastAsia="Times New Roman" w:cs="Arial"/>
          <w:lang w:eastAsia="bg-BG"/>
        </w:rPr>
      </w:pPr>
      <w:r w:rsidRPr="00167707">
        <w:rPr>
          <w:rFonts w:eastAsia="Times New Roman" w:cs="Arial"/>
          <w:i/>
          <w:iCs/>
          <w:color w:val="000000"/>
          <w:lang w:eastAsia="bg-BG"/>
        </w:rPr>
        <w:t xml:space="preserve">Лекарствени продукти, субстрати на </w:t>
      </w:r>
      <w:r w:rsidRPr="00167707">
        <w:rPr>
          <w:rFonts w:eastAsia="Times New Roman" w:cs="Arial"/>
          <w:i/>
          <w:iCs/>
          <w:color w:val="000000"/>
          <w:lang w:val="en-US"/>
        </w:rPr>
        <w:t>CYP2C8</w:t>
      </w:r>
    </w:p>
    <w:p w14:paraId="269AA6F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Показано е, че клопидогрел повишава експозицията на репаглинид при здрави доброволци. </w:t>
      </w:r>
      <w:r w:rsidRPr="00167707">
        <w:rPr>
          <w:rFonts w:eastAsia="Times New Roman" w:cs="Arial"/>
          <w:i/>
          <w:iCs/>
          <w:color w:val="000000"/>
          <w:lang w:val="en-US"/>
        </w:rPr>
        <w:t>In vitro</w:t>
      </w:r>
      <w:r w:rsidRPr="00167707">
        <w:rPr>
          <w:rFonts w:eastAsia="Times New Roman" w:cs="Arial"/>
          <w:color w:val="000000"/>
          <w:lang w:val="en-US"/>
        </w:rPr>
        <w:t xml:space="preserve"> </w:t>
      </w:r>
      <w:r w:rsidRPr="00167707">
        <w:rPr>
          <w:rFonts w:eastAsia="Times New Roman" w:cs="Arial"/>
          <w:color w:val="000000"/>
          <w:lang w:eastAsia="bg-BG"/>
        </w:rPr>
        <w:t xml:space="preserve">проучвания показват, че повишаването на експозицията на репаглинид се дължи на инхибиране на </w:t>
      </w:r>
      <w:r w:rsidRPr="00167707">
        <w:rPr>
          <w:rFonts w:eastAsia="Times New Roman" w:cs="Arial"/>
          <w:color w:val="000000"/>
          <w:lang w:val="en-US"/>
        </w:rPr>
        <w:t xml:space="preserve">CYP2C8 </w:t>
      </w:r>
      <w:r w:rsidRPr="00167707">
        <w:rPr>
          <w:rFonts w:eastAsia="Times New Roman" w:cs="Arial"/>
          <w:color w:val="000000"/>
          <w:lang w:eastAsia="bg-BG"/>
        </w:rPr>
        <w:t xml:space="preserve">от глюкуроновия метаболит на клопидогрел. Поради риска от повишаване на плазмените концентрации, едновременното </w:t>
      </w:r>
      <w:r w:rsidRPr="00167707">
        <w:rPr>
          <w:rFonts w:eastAsia="Times New Roman" w:cs="Arial"/>
          <w:color w:val="000000"/>
          <w:lang w:eastAsia="bg-BG"/>
        </w:rPr>
        <w:lastRenderedPageBreak/>
        <w:t xml:space="preserve">приложение на клопидогрел и лекарства, които се елиминират предимно чрез </w:t>
      </w:r>
      <w:r w:rsidRPr="00167707">
        <w:rPr>
          <w:rFonts w:eastAsia="Times New Roman" w:cs="Arial"/>
          <w:color w:val="000000"/>
          <w:lang w:val="en-US"/>
        </w:rPr>
        <w:t xml:space="preserve">CYP2C8 </w:t>
      </w:r>
      <w:r w:rsidRPr="00167707">
        <w:rPr>
          <w:rFonts w:eastAsia="Times New Roman" w:cs="Arial"/>
          <w:color w:val="000000"/>
          <w:lang w:eastAsia="bg-BG"/>
        </w:rPr>
        <w:t>метаболизъм (напр. репаглинид, паклитаксел), трябва да се предприема с повишено внимание (вж. точка 4.4).</w:t>
      </w:r>
    </w:p>
    <w:p w14:paraId="402D13C7" w14:textId="77777777" w:rsidR="00167707" w:rsidRPr="00167707" w:rsidRDefault="00167707" w:rsidP="00167707">
      <w:pPr>
        <w:spacing w:line="240" w:lineRule="auto"/>
        <w:rPr>
          <w:rFonts w:eastAsia="Times New Roman" w:cs="Arial"/>
          <w:color w:val="000000"/>
          <w:lang w:eastAsia="bg-BG"/>
        </w:rPr>
      </w:pPr>
    </w:p>
    <w:p w14:paraId="16040330" w14:textId="3628395A"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 прилагани често при пациенти с атеротромботични заболявания не са провеждани. Пациентите, участвали в клиничните проучвания с клопидогрел обаче, са получавали голям брой съпътстващи лекарствени продукти, включващи диуретици, бета блокери, АСЕ-инхибитори, калциеви антагонисти, холестерол понижаващи лекарства, коронарни вазодилатори, антидиабетни лекарства (включително инсулин), антиепилептични лекарства, и </w:t>
      </w:r>
      <w:proofErr w:type="spellStart"/>
      <w:r w:rsidRPr="00167707">
        <w:rPr>
          <w:rFonts w:eastAsia="Times New Roman" w:cs="Arial"/>
          <w:color w:val="000000"/>
          <w:lang w:val="en-US"/>
        </w:rPr>
        <w:t>GPIIb</w:t>
      </w:r>
      <w:proofErr w:type="spellEnd"/>
      <w:r w:rsidRPr="00167707">
        <w:rPr>
          <w:rFonts w:eastAsia="Times New Roman" w:cs="Arial"/>
          <w:color w:val="000000"/>
          <w:lang w:val="en-US"/>
        </w:rPr>
        <w:t>/</w:t>
      </w:r>
      <w:r w:rsidRPr="00167707">
        <w:rPr>
          <w:rFonts w:eastAsia="Times New Roman" w:cs="Arial"/>
          <w:color w:val="000000"/>
          <w:lang w:eastAsia="bg-BG"/>
        </w:rPr>
        <w:t>II</w:t>
      </w:r>
      <w:proofErr w:type="spellStart"/>
      <w:r w:rsidRPr="00167707">
        <w:rPr>
          <w:rFonts w:eastAsia="Times New Roman" w:cs="Arial"/>
          <w:color w:val="000000"/>
          <w:lang w:val="en-US"/>
        </w:rPr>
        <w:t>Ia</w:t>
      </w:r>
      <w:proofErr w:type="spellEnd"/>
      <w:r w:rsidRPr="00167707">
        <w:rPr>
          <w:rFonts w:eastAsia="Times New Roman" w:cs="Arial"/>
          <w:color w:val="000000"/>
          <w:lang w:val="en-US"/>
        </w:rPr>
        <w:t xml:space="preserve"> </w:t>
      </w:r>
      <w:r w:rsidRPr="00167707">
        <w:rPr>
          <w:rFonts w:eastAsia="Times New Roman" w:cs="Arial"/>
          <w:color w:val="000000"/>
          <w:lang w:eastAsia="bg-BG"/>
        </w:rPr>
        <w:t>антагонисти без доказателства за клинично значими нежелани взаимодействия.</w:t>
      </w:r>
    </w:p>
    <w:p w14:paraId="32FAF76B"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Както и при други перорални </w:t>
      </w:r>
      <w:r w:rsidRPr="00167707">
        <w:rPr>
          <w:rFonts w:eastAsia="Times New Roman" w:cs="Arial"/>
          <w:color w:val="000000"/>
          <w:lang w:val="en-US"/>
        </w:rPr>
        <w:t xml:space="preserve">P2Y12 </w:t>
      </w:r>
      <w:r w:rsidRPr="00167707">
        <w:rPr>
          <w:rFonts w:eastAsia="Times New Roman" w:cs="Arial"/>
          <w:color w:val="000000"/>
          <w:lang w:eastAsia="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антигромбоцитно средство при пациенти с остър коронарен синдром, изискващи едновременно приложение на морфин или други опиоидни агонисти.</w:t>
      </w:r>
    </w:p>
    <w:p w14:paraId="252F406A" w14:textId="77777777" w:rsidR="00167707" w:rsidRPr="00167707" w:rsidRDefault="00167707" w:rsidP="00167707">
      <w:pPr>
        <w:spacing w:line="240" w:lineRule="auto"/>
        <w:rPr>
          <w:rFonts w:eastAsia="Times New Roman" w:cs="Arial"/>
          <w:i/>
          <w:iCs/>
          <w:color w:val="000000"/>
          <w:u w:val="single"/>
          <w:lang w:eastAsia="bg-BG"/>
        </w:rPr>
      </w:pPr>
    </w:p>
    <w:p w14:paraId="59A76222" w14:textId="1C5C8A38" w:rsidR="009C6C16" w:rsidRPr="00167707" w:rsidRDefault="00167707" w:rsidP="00167707">
      <w:pPr>
        <w:spacing w:line="240" w:lineRule="auto"/>
        <w:rPr>
          <w:rFonts w:eastAsia="Times New Roman" w:cs="Arial"/>
          <w:lang w:eastAsia="bg-BG"/>
        </w:rPr>
      </w:pPr>
      <w:r w:rsidRPr="00167707">
        <w:rPr>
          <w:rFonts w:eastAsia="Times New Roman" w:cs="Arial"/>
          <w:i/>
          <w:iCs/>
          <w:color w:val="000000"/>
          <w:u w:val="single"/>
          <w:lang w:eastAsia="bg-BG"/>
        </w:rPr>
        <w:t>Розувастатин</w:t>
      </w:r>
    </w:p>
    <w:p w14:paraId="03E05E97" w14:textId="0294B9DF" w:rsidR="009C6C16" w:rsidRPr="00167707" w:rsidRDefault="00167707" w:rsidP="0091385D">
      <w:pPr>
        <w:rPr>
          <w:rFonts w:cs="Arial"/>
        </w:rPr>
      </w:pPr>
      <w:r w:rsidRPr="00167707">
        <w:rPr>
          <w:rFonts w:cs="Arial"/>
        </w:rPr>
        <w:t xml:space="preserve">Установено е, че клопидогрел повишава експозицията на розувастатин при пациентите 2 пъти </w:t>
      </w:r>
      <w:r w:rsidRPr="00167707">
        <w:rPr>
          <w:rFonts w:cs="Arial"/>
          <w:lang w:val="en-US"/>
        </w:rPr>
        <w:t xml:space="preserve">(AUC) </w:t>
      </w:r>
      <w:r w:rsidRPr="00167707">
        <w:rPr>
          <w:rFonts w:cs="Arial"/>
        </w:rPr>
        <w:t>и 1,3 пъти (С</w:t>
      </w:r>
      <w:r w:rsidRPr="00167707">
        <w:rPr>
          <w:rFonts w:cs="Arial"/>
          <w:lang w:val="en-US"/>
        </w:rPr>
        <w:t>m</w:t>
      </w:r>
      <w:r w:rsidRPr="00167707">
        <w:rPr>
          <w:rFonts w:cs="Arial"/>
        </w:rPr>
        <w:t xml:space="preserve">ах) след прилагане на доза 300 </w:t>
      </w:r>
      <w:r w:rsidRPr="00167707">
        <w:rPr>
          <w:rFonts w:cs="Arial"/>
          <w:lang w:val="en-US"/>
        </w:rPr>
        <w:t xml:space="preserve">mg </w:t>
      </w:r>
      <w:r w:rsidRPr="00167707">
        <w:rPr>
          <w:rFonts w:cs="Arial"/>
        </w:rPr>
        <w:t xml:space="preserve">клопидогрел и 1,4 пъти </w:t>
      </w:r>
      <w:r w:rsidRPr="00167707">
        <w:rPr>
          <w:rFonts w:cs="Arial"/>
          <w:lang w:val="en-US"/>
        </w:rPr>
        <w:t xml:space="preserve">(AUC) </w:t>
      </w:r>
      <w:r w:rsidRPr="00167707">
        <w:rPr>
          <w:rFonts w:cs="Arial"/>
        </w:rPr>
        <w:t>без ефект върху С</w:t>
      </w:r>
      <w:r w:rsidRPr="00167707">
        <w:rPr>
          <w:rFonts w:cs="Arial"/>
          <w:lang w:val="en-US"/>
        </w:rPr>
        <w:t>m</w:t>
      </w:r>
      <w:r w:rsidRPr="00167707">
        <w:rPr>
          <w:rFonts w:cs="Arial"/>
        </w:rPr>
        <w:t xml:space="preserve">ах след многократно прилагане на доза 75 </w:t>
      </w:r>
      <w:r w:rsidRPr="00167707">
        <w:rPr>
          <w:rFonts w:cs="Arial"/>
          <w:lang w:val="en-US"/>
        </w:rPr>
        <w:t xml:space="preserve">mg </w:t>
      </w:r>
      <w:r w:rsidRPr="00167707">
        <w:rPr>
          <w:rFonts w:cs="Arial"/>
        </w:rPr>
        <w:t>клопидогрел.</w:t>
      </w:r>
    </w:p>
    <w:p w14:paraId="0B7B6323" w14:textId="77777777" w:rsidR="00167707" w:rsidRPr="0091385D" w:rsidRDefault="00167707"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59F76AB3" w14:textId="77777777" w:rsidR="00167707" w:rsidRPr="00167707" w:rsidRDefault="00167707" w:rsidP="00167707">
      <w:pPr>
        <w:pStyle w:val="Heading3"/>
        <w:rPr>
          <w:rFonts w:eastAsia="Times New Roman"/>
          <w:sz w:val="28"/>
          <w:u w:val="single"/>
          <w:lang w:eastAsia="bg-BG"/>
        </w:rPr>
      </w:pPr>
      <w:r w:rsidRPr="00167707">
        <w:rPr>
          <w:rFonts w:eastAsia="Times New Roman"/>
          <w:u w:val="single"/>
          <w:lang w:eastAsia="bg-BG"/>
        </w:rPr>
        <w:t>Бременност</w:t>
      </w:r>
    </w:p>
    <w:p w14:paraId="03C542E1"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клоридогрел по време на бременност.</w:t>
      </w:r>
    </w:p>
    <w:p w14:paraId="41A35541"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14:paraId="5853B9B7" w14:textId="77777777" w:rsidR="00167707" w:rsidRPr="00167707" w:rsidRDefault="00167707" w:rsidP="00167707">
      <w:pPr>
        <w:spacing w:line="240" w:lineRule="auto"/>
        <w:rPr>
          <w:rFonts w:eastAsia="Times New Roman" w:cs="Arial"/>
          <w:color w:val="000000"/>
          <w:szCs w:val="20"/>
          <w:u w:val="single"/>
          <w:lang w:eastAsia="bg-BG"/>
        </w:rPr>
      </w:pPr>
    </w:p>
    <w:p w14:paraId="320A7C33" w14:textId="254161DA" w:rsidR="00167707" w:rsidRPr="00167707" w:rsidRDefault="00167707" w:rsidP="00167707">
      <w:pPr>
        <w:pStyle w:val="Heading3"/>
        <w:rPr>
          <w:rFonts w:eastAsia="Times New Roman"/>
          <w:sz w:val="28"/>
          <w:u w:val="single"/>
          <w:lang w:eastAsia="bg-BG"/>
        </w:rPr>
      </w:pPr>
      <w:r w:rsidRPr="00167707">
        <w:rPr>
          <w:rFonts w:eastAsia="Times New Roman"/>
          <w:u w:val="single"/>
          <w:lang w:eastAsia="bg-BG"/>
        </w:rPr>
        <w:t>Кърмене</w:t>
      </w:r>
    </w:p>
    <w:p w14:paraId="574B8558"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Не е известно дали клопидогрел се екскретира в кърмата. Проучванията при животни показват, че клопидогрел се екскретира в кърмата. Като предпазна мярка, кърменето не трябва да продължава по време на лечението с Тромбекс.</w:t>
      </w:r>
    </w:p>
    <w:p w14:paraId="2707A114" w14:textId="77777777" w:rsidR="00167707" w:rsidRPr="00167707" w:rsidRDefault="00167707" w:rsidP="00167707">
      <w:pPr>
        <w:spacing w:line="240" w:lineRule="auto"/>
        <w:rPr>
          <w:rFonts w:eastAsia="Times New Roman" w:cs="Arial"/>
          <w:color w:val="000000"/>
          <w:szCs w:val="20"/>
          <w:u w:val="single"/>
          <w:lang w:eastAsia="bg-BG"/>
        </w:rPr>
      </w:pPr>
    </w:p>
    <w:p w14:paraId="0747727D" w14:textId="1F08934D" w:rsidR="00167707" w:rsidRPr="00167707" w:rsidRDefault="00167707" w:rsidP="00167707">
      <w:pPr>
        <w:pStyle w:val="Heading3"/>
        <w:rPr>
          <w:rFonts w:eastAsia="Times New Roman"/>
          <w:sz w:val="28"/>
          <w:u w:val="single"/>
          <w:lang w:eastAsia="bg-BG"/>
        </w:rPr>
      </w:pPr>
      <w:r w:rsidRPr="00167707">
        <w:rPr>
          <w:rFonts w:eastAsia="Times New Roman"/>
          <w:u w:val="single"/>
          <w:lang w:eastAsia="bg-BG"/>
        </w:rPr>
        <w:t>Фертилитет</w:t>
      </w:r>
    </w:p>
    <w:p w14:paraId="776662C5" w14:textId="5AFFE001" w:rsidR="0091385D" w:rsidRPr="00167707" w:rsidRDefault="00167707" w:rsidP="00167707">
      <w:pPr>
        <w:rPr>
          <w:rFonts w:cs="Arial"/>
          <w:sz w:val="24"/>
        </w:rPr>
      </w:pPr>
      <w:r w:rsidRPr="00167707">
        <w:rPr>
          <w:rFonts w:eastAsia="Times New Roman" w:cs="Arial"/>
          <w:color w:val="000000"/>
          <w:szCs w:val="20"/>
          <w:lang w:eastAsia="bg-BG"/>
        </w:rPr>
        <w:t>Проучвания при животни не са показали, че клопидогрел повлиява фертилитета.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1DE162D5" w:rsidR="0091385D" w:rsidRPr="00167707" w:rsidRDefault="00167707" w:rsidP="0091385D">
      <w:pPr>
        <w:rPr>
          <w:rFonts w:cs="Arial"/>
          <w:sz w:val="24"/>
        </w:rPr>
      </w:pPr>
      <w:r w:rsidRPr="00167707">
        <w:rPr>
          <w:rFonts w:cs="Arial"/>
          <w:szCs w:val="20"/>
        </w:rPr>
        <w:t>Клопидогрел не повлиява или повлиява пренебрежимо способността за шофиране и работа с машини.</w:t>
      </w:r>
    </w:p>
    <w:p w14:paraId="35801A15" w14:textId="77777777" w:rsidR="0091385D" w:rsidRPr="0091385D" w:rsidRDefault="0091385D" w:rsidP="0091385D"/>
    <w:p w14:paraId="37A3FD9F" w14:textId="0E7561E3" w:rsidR="00CF77F7" w:rsidRDefault="002C50EE" w:rsidP="004A448E">
      <w:pPr>
        <w:pStyle w:val="Heading2"/>
      </w:pPr>
      <w:r>
        <w:lastRenderedPageBreak/>
        <w:t>4.8. Нежелани лекарствени реакции</w:t>
      </w:r>
    </w:p>
    <w:p w14:paraId="4838F52A" w14:textId="4C2232D6" w:rsidR="0091385D" w:rsidRDefault="0091385D" w:rsidP="0091385D"/>
    <w:p w14:paraId="00734F9E"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Обобщение на профила на безопасност</w:t>
      </w:r>
    </w:p>
    <w:p w14:paraId="62C21FC9"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Безопасността на клопидогрел е била оценена при повече от 44 000 пациенти, които са участвали в клинични проучвания, включващи над 12 000 пациенти, лекувани за 1 година или повече. Като цяло, клопидогрел 75 </w:t>
      </w:r>
      <w:r w:rsidRPr="00167707">
        <w:rPr>
          <w:rFonts w:eastAsia="Times New Roman" w:cs="Arial"/>
          <w:color w:val="000000"/>
          <w:szCs w:val="20"/>
          <w:lang w:val="en-US"/>
        </w:rPr>
        <w:t>mg</w:t>
      </w:r>
      <w:r w:rsidRPr="00167707">
        <w:rPr>
          <w:rFonts w:eastAsia="Times New Roman" w:cs="Arial"/>
          <w:color w:val="000000"/>
          <w:szCs w:val="20"/>
          <w:lang w:eastAsia="bg-BG"/>
        </w:rPr>
        <w:t xml:space="preserve">/дневно е сравним с АСК 325 </w:t>
      </w:r>
      <w:r w:rsidRPr="00167707">
        <w:rPr>
          <w:rFonts w:eastAsia="Times New Roman" w:cs="Arial"/>
          <w:color w:val="000000"/>
          <w:szCs w:val="20"/>
          <w:lang w:val="en-US"/>
        </w:rPr>
        <w:t>mg</w:t>
      </w:r>
      <w:r w:rsidRPr="00167707">
        <w:rPr>
          <w:rFonts w:eastAsia="Times New Roman" w:cs="Arial"/>
          <w:color w:val="000000"/>
          <w:szCs w:val="20"/>
          <w:lang w:eastAsia="bg-BG"/>
        </w:rPr>
        <w:t xml:space="preserve">/дневно в </w:t>
      </w:r>
      <w:r w:rsidRPr="00167707">
        <w:rPr>
          <w:rFonts w:eastAsia="Times New Roman" w:cs="Arial"/>
          <w:color w:val="000000"/>
          <w:szCs w:val="20"/>
          <w:lang w:val="en-US"/>
        </w:rPr>
        <w:t xml:space="preserve">CAPRIE </w:t>
      </w:r>
      <w:r w:rsidRPr="00167707">
        <w:rPr>
          <w:rFonts w:eastAsia="Times New Roman" w:cs="Arial"/>
          <w:color w:val="000000"/>
          <w:szCs w:val="20"/>
          <w:lang w:eastAsia="bg-BG"/>
        </w:rPr>
        <w:t xml:space="preserve">независимо от възрастта, пола и расата. Клинично значимите нежелани лекарствени реакции наблюдавани в проучванията </w:t>
      </w:r>
      <w:r w:rsidRPr="00167707">
        <w:rPr>
          <w:rFonts w:eastAsia="Times New Roman" w:cs="Arial"/>
          <w:color w:val="000000"/>
          <w:szCs w:val="20"/>
          <w:lang w:val="en-US"/>
        </w:rPr>
        <w:t xml:space="preserve">CAPRIE, CURE, CLARITY, COMMIT </w:t>
      </w:r>
      <w:r w:rsidRPr="00167707">
        <w:rPr>
          <w:rFonts w:eastAsia="Times New Roman" w:cs="Arial"/>
          <w:color w:val="000000"/>
          <w:szCs w:val="20"/>
          <w:lang w:eastAsia="bg-BG"/>
        </w:rPr>
        <w:t xml:space="preserve">и </w:t>
      </w:r>
      <w:r w:rsidRPr="00167707">
        <w:rPr>
          <w:rFonts w:eastAsia="Times New Roman" w:cs="Arial"/>
          <w:color w:val="000000"/>
          <w:szCs w:val="20"/>
          <w:lang w:val="en-US"/>
        </w:rPr>
        <w:t xml:space="preserve">ACTIVE-A </w:t>
      </w:r>
      <w:r w:rsidRPr="00167707">
        <w:rPr>
          <w:rFonts w:eastAsia="Times New Roman" w:cs="Arial"/>
          <w:color w:val="000000"/>
          <w:szCs w:val="20"/>
          <w:lang w:eastAsia="bg-BG"/>
        </w:rPr>
        <w:t>са обсъдени по-долу. В допълнение към опита от клиничните проучвания, нежелани лекарствени реакции са съобщавани и спонтанно.</w:t>
      </w:r>
    </w:p>
    <w:p w14:paraId="4C4A557C"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 В </w:t>
      </w:r>
      <w:r w:rsidRPr="00167707">
        <w:rPr>
          <w:rFonts w:eastAsia="Times New Roman" w:cs="Arial"/>
          <w:color w:val="000000"/>
          <w:szCs w:val="20"/>
          <w:lang w:val="en-US"/>
        </w:rPr>
        <w:t xml:space="preserve">CAPRIE, </w:t>
      </w:r>
      <w:r w:rsidRPr="00167707">
        <w:rPr>
          <w:rFonts w:eastAsia="Times New Roman" w:cs="Arial"/>
          <w:color w:val="000000"/>
          <w:szCs w:val="20"/>
          <w:lang w:eastAsia="bg-BG"/>
        </w:rPr>
        <w:t>при пациенти лекувани с клопидогрел или АСК, общата честота на кървене е 9,3%. Честотата на тежките случаи е сходна при клопидогрел и АСК.</w:t>
      </w:r>
    </w:p>
    <w:p w14:paraId="5ABE57D4"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В </w:t>
      </w:r>
      <w:r w:rsidRPr="00167707">
        <w:rPr>
          <w:rFonts w:eastAsia="Times New Roman" w:cs="Arial"/>
          <w:color w:val="000000"/>
          <w:szCs w:val="20"/>
          <w:lang w:val="en-US"/>
        </w:rPr>
        <w:t xml:space="preserve">CURE, </w:t>
      </w:r>
      <w:r w:rsidRPr="00167707">
        <w:rPr>
          <w:rFonts w:eastAsia="Times New Roman" w:cs="Arial"/>
          <w:color w:val="000000"/>
          <w:szCs w:val="20"/>
          <w:lang w:eastAsia="bg-BG"/>
        </w:rPr>
        <w:t>не е наблюдаван по-голям брой на случаи на масивно кървене с клопидогрел +АСК през първите 7 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+АСК, и 6,3% за плацебо плюс АСК.</w:t>
      </w:r>
    </w:p>
    <w:p w14:paraId="533C3B6D"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В </w:t>
      </w:r>
      <w:r w:rsidRPr="00167707">
        <w:rPr>
          <w:rFonts w:eastAsia="Times New Roman" w:cs="Arial"/>
          <w:color w:val="000000"/>
          <w:szCs w:val="20"/>
          <w:lang w:val="en-US"/>
        </w:rPr>
        <w:t xml:space="preserve">CLARITY </w:t>
      </w:r>
      <w:r w:rsidRPr="00167707">
        <w:rPr>
          <w:rFonts w:eastAsia="Times New Roman" w:cs="Arial"/>
          <w:color w:val="000000"/>
          <w:szCs w:val="20"/>
          <w:lang w:eastAsia="bg-BG"/>
        </w:rPr>
        <w:t>е наблюдавано общо увеличение на кървенето в групата клопидогрел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14:paraId="48C0B584"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В </w:t>
      </w:r>
      <w:r w:rsidRPr="00167707">
        <w:rPr>
          <w:rFonts w:eastAsia="Times New Roman" w:cs="Arial"/>
          <w:color w:val="000000"/>
          <w:szCs w:val="20"/>
          <w:lang w:val="en-US"/>
        </w:rPr>
        <w:t xml:space="preserve">COMMIT, </w:t>
      </w:r>
      <w:r w:rsidRPr="00167707">
        <w:rPr>
          <w:rFonts w:eastAsia="Times New Roman" w:cs="Arial"/>
          <w:color w:val="000000"/>
          <w:szCs w:val="20"/>
          <w:lang w:eastAsia="bg-BG"/>
        </w:rPr>
        <w:t>общата честота на нецеребрално масивно кървене или церебрално кървене е ниска и сходна и при двете групи.</w:t>
      </w:r>
    </w:p>
    <w:p w14:paraId="570508C4" w14:textId="24005887" w:rsidR="0091385D" w:rsidRPr="00167707" w:rsidRDefault="00167707" w:rsidP="00167707">
      <w:pPr>
        <w:rPr>
          <w:rFonts w:cs="Arial"/>
          <w:sz w:val="24"/>
        </w:rPr>
      </w:pPr>
      <w:r w:rsidRPr="00167707">
        <w:rPr>
          <w:rFonts w:eastAsia="Times New Roman" w:cs="Arial"/>
          <w:color w:val="000000"/>
          <w:szCs w:val="20"/>
          <w:lang w:eastAsia="bg-BG"/>
        </w:rPr>
        <w:t xml:space="preserve">В </w:t>
      </w:r>
      <w:r w:rsidRPr="00167707">
        <w:rPr>
          <w:rFonts w:eastAsia="Times New Roman" w:cs="Arial"/>
          <w:color w:val="000000"/>
          <w:szCs w:val="20"/>
          <w:lang w:val="en-US"/>
        </w:rPr>
        <w:t xml:space="preserve">ACTIVE-A </w:t>
      </w:r>
      <w:r w:rsidRPr="00167707">
        <w:rPr>
          <w:rFonts w:eastAsia="Times New Roman" w:cs="Arial"/>
          <w:color w:val="000000"/>
          <w:szCs w:val="20"/>
          <w:lang w:eastAsia="bg-BG"/>
        </w:rPr>
        <w:t xml:space="preserve">честотата на масивно кървене е по-висока в групата на клопидогрел </w:t>
      </w:r>
      <w:r w:rsidRPr="00167707">
        <w:rPr>
          <w:rFonts w:eastAsia="Times New Roman" w:cs="Arial"/>
          <w:i/>
          <w:iCs/>
          <w:color w:val="000000"/>
          <w:szCs w:val="20"/>
          <w:lang w:eastAsia="bg-BG"/>
        </w:rPr>
        <w:t xml:space="preserve">+ АСК, </w:t>
      </w:r>
      <w:r w:rsidRPr="00167707">
        <w:rPr>
          <w:rFonts w:eastAsia="Times New Roman" w:cs="Arial"/>
          <w:color w:val="000000"/>
          <w:szCs w:val="20"/>
          <w:lang w:eastAsia="bg-BG"/>
        </w:rPr>
        <w:t xml:space="preserve">отколкото в групата на плацебо + АСК (6,7% спрямо 4,3%). Масивното кървене е било главно от екстракраниален произход в двете групи (5,3% в групата на клопидогрел + </w:t>
      </w:r>
      <w:r w:rsidRPr="00167707">
        <w:rPr>
          <w:rFonts w:eastAsia="Times New Roman" w:cs="Arial"/>
          <w:color w:val="000000"/>
          <w:szCs w:val="20"/>
          <w:lang w:val="en-US"/>
        </w:rPr>
        <w:t>ACK,</w:t>
      </w:r>
      <w:r w:rsidRPr="00167707">
        <w:rPr>
          <w:rFonts w:eastAsia="Times New Roman" w:cs="Arial"/>
          <w:color w:val="000000"/>
          <w:szCs w:val="20"/>
          <w:lang w:eastAsia="bg-BG"/>
        </w:rPr>
        <w:t xml:space="preserve"> 3,5%</w:t>
      </w:r>
      <w:r w:rsidRPr="00167707">
        <w:rPr>
          <w:rFonts w:eastAsia="Times New Roman" w:cs="Arial"/>
          <w:color w:val="000000"/>
          <w:szCs w:val="20"/>
          <w:lang w:val="en-US"/>
        </w:rPr>
        <w:t xml:space="preserve"> </w:t>
      </w:r>
      <w:r w:rsidRPr="00167707">
        <w:rPr>
          <w:rFonts w:eastAsia="Times New Roman" w:cs="Arial"/>
          <w:color w:val="000000"/>
          <w:szCs w:val="20"/>
          <w:lang w:eastAsia="bg-BG"/>
        </w:rPr>
        <w:t>в групата на плацебо + АСК), главно от гастро-интестиналния тракт (3,5% спрямо 1,8</w:t>
      </w:r>
      <w:r w:rsidRPr="00167707">
        <w:rPr>
          <w:rFonts w:eastAsia="Times New Roman" w:cs="Arial"/>
          <w:color w:val="000000"/>
          <w:szCs w:val="20"/>
          <w:lang w:val="en-US"/>
        </w:rPr>
        <w:t xml:space="preserve"> %).</w:t>
      </w:r>
    </w:p>
    <w:p w14:paraId="43E3C48F" w14:textId="6C84B0C1" w:rsidR="0091385D" w:rsidRDefault="0091385D" w:rsidP="0091385D"/>
    <w:p w14:paraId="48237C8E"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Наблюдавано е прекомерно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(0,8% и 0,6%, респективно) между двете групи.</w:t>
      </w:r>
    </w:p>
    <w:p w14:paraId="46D28520" w14:textId="77777777" w:rsidR="00167707" w:rsidRPr="00167707" w:rsidRDefault="00167707" w:rsidP="00167707">
      <w:pPr>
        <w:spacing w:line="240" w:lineRule="auto"/>
        <w:rPr>
          <w:rFonts w:eastAsia="Times New Roman" w:cs="Arial"/>
          <w:color w:val="000000"/>
          <w:szCs w:val="20"/>
          <w:u w:val="single"/>
          <w:lang w:eastAsia="bg-BG"/>
        </w:rPr>
      </w:pPr>
    </w:p>
    <w:p w14:paraId="146E32BF" w14:textId="52BA0EB1"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Табличен списък на нежеланите реакции</w:t>
      </w:r>
    </w:p>
    <w:p w14:paraId="397DC8E9" w14:textId="47E052DB" w:rsidR="00167707" w:rsidRDefault="00167707" w:rsidP="00167707">
      <w:pPr>
        <w:rPr>
          <w:rFonts w:eastAsia="Times New Roman" w:cs="Arial"/>
          <w:color w:val="000000"/>
          <w:szCs w:val="20"/>
          <w:lang w:eastAsia="bg-BG"/>
        </w:rPr>
      </w:pPr>
      <w:r w:rsidRPr="00167707">
        <w:rPr>
          <w:rFonts w:eastAsia="Times New Roman" w:cs="Arial"/>
          <w:color w:val="000000"/>
          <w:szCs w:val="20"/>
          <w:lang w:eastAsia="bg-BG"/>
        </w:rPr>
        <w:t>Нежелани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&lt;1/10); нечести (≥1/1 000 до&lt;1/100); редки (≥1/10 000 до &lt;1/1 000); много редки (&lt;1/10 000), с неизвестна честота (от наличните данни не може да бъде направена оценка). При всяко групиране в зависимост от честотата, нежеланите реакции се изброяват в низходящ ред по отношение на тяхната сериозност.</w:t>
      </w:r>
    </w:p>
    <w:p w14:paraId="03D77FE4" w14:textId="7D52099E" w:rsidR="00167707" w:rsidRDefault="00167707" w:rsidP="00167707">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863"/>
        <w:gridCol w:w="1510"/>
        <w:gridCol w:w="2091"/>
        <w:gridCol w:w="1750"/>
        <w:gridCol w:w="2362"/>
      </w:tblGrid>
      <w:tr w:rsidR="00167707" w14:paraId="5A22B6B4" w14:textId="77777777" w:rsidTr="00167707">
        <w:tc>
          <w:tcPr>
            <w:tcW w:w="1814" w:type="dxa"/>
          </w:tcPr>
          <w:p w14:paraId="42627984" w14:textId="426C71B6" w:rsidR="00167707" w:rsidRPr="00167707" w:rsidRDefault="00167707" w:rsidP="00167707">
            <w:pPr>
              <w:rPr>
                <w:rFonts w:cs="Arial"/>
              </w:rPr>
            </w:pPr>
            <w:r w:rsidRPr="00167707">
              <w:rPr>
                <w:b/>
                <w:bCs/>
                <w:szCs w:val="20"/>
              </w:rPr>
              <w:t>Системо- органен клас</w:t>
            </w:r>
          </w:p>
        </w:tc>
        <w:tc>
          <w:tcPr>
            <w:tcW w:w="1429" w:type="dxa"/>
          </w:tcPr>
          <w:p w14:paraId="56DCA614" w14:textId="55531EF2" w:rsidR="00167707" w:rsidRPr="00167707" w:rsidRDefault="00167707" w:rsidP="00167707">
            <w:pPr>
              <w:rPr>
                <w:rFonts w:cs="Arial"/>
              </w:rPr>
            </w:pPr>
            <w:r w:rsidRPr="00167707">
              <w:rPr>
                <w:b/>
                <w:bCs/>
                <w:szCs w:val="20"/>
              </w:rPr>
              <w:t>Чести</w:t>
            </w:r>
          </w:p>
        </w:tc>
        <w:tc>
          <w:tcPr>
            <w:tcW w:w="2133" w:type="dxa"/>
          </w:tcPr>
          <w:p w14:paraId="69DC2109" w14:textId="70D6FCDB" w:rsidR="00167707" w:rsidRPr="00167707" w:rsidRDefault="00167707" w:rsidP="00167707">
            <w:pPr>
              <w:rPr>
                <w:rFonts w:cs="Arial"/>
              </w:rPr>
            </w:pPr>
            <w:r w:rsidRPr="00167707">
              <w:rPr>
                <w:b/>
                <w:bCs/>
                <w:szCs w:val="20"/>
              </w:rPr>
              <w:t>Нечести</w:t>
            </w:r>
          </w:p>
        </w:tc>
        <w:tc>
          <w:tcPr>
            <w:tcW w:w="1789" w:type="dxa"/>
          </w:tcPr>
          <w:p w14:paraId="3CEC32F5" w14:textId="02AF60B0" w:rsidR="00167707" w:rsidRPr="00167707" w:rsidRDefault="00167707" w:rsidP="00167707">
            <w:pPr>
              <w:rPr>
                <w:rFonts w:cs="Arial"/>
              </w:rPr>
            </w:pPr>
            <w:r w:rsidRPr="00167707">
              <w:rPr>
                <w:b/>
                <w:bCs/>
                <w:szCs w:val="20"/>
              </w:rPr>
              <w:t>Редки</w:t>
            </w:r>
          </w:p>
        </w:tc>
        <w:tc>
          <w:tcPr>
            <w:tcW w:w="2411" w:type="dxa"/>
          </w:tcPr>
          <w:p w14:paraId="4C6BAEEE" w14:textId="1D1CEE9F" w:rsidR="00167707" w:rsidRPr="00167707" w:rsidRDefault="00167707" w:rsidP="00167707">
            <w:pPr>
              <w:rPr>
                <w:rFonts w:cs="Arial"/>
              </w:rPr>
            </w:pPr>
            <w:r w:rsidRPr="00167707">
              <w:rPr>
                <w:b/>
                <w:bCs/>
                <w:szCs w:val="20"/>
              </w:rPr>
              <w:t>Много редки, с неизвестна честота*</w:t>
            </w:r>
          </w:p>
        </w:tc>
      </w:tr>
      <w:tr w:rsidR="00167707" w14:paraId="61ECB080" w14:textId="77777777" w:rsidTr="00167707">
        <w:tc>
          <w:tcPr>
            <w:tcW w:w="1814" w:type="dxa"/>
          </w:tcPr>
          <w:p w14:paraId="00C7F3DB" w14:textId="79FB0375" w:rsidR="00167707" w:rsidRPr="00167707" w:rsidRDefault="00167707" w:rsidP="00167707">
            <w:pPr>
              <w:rPr>
                <w:rFonts w:cs="Arial"/>
              </w:rPr>
            </w:pPr>
            <w:r w:rsidRPr="00167707">
              <w:rPr>
                <w:szCs w:val="20"/>
              </w:rPr>
              <w:t xml:space="preserve">Нарушения на </w:t>
            </w:r>
            <w:r w:rsidRPr="00167707">
              <w:rPr>
                <w:szCs w:val="20"/>
              </w:rPr>
              <w:lastRenderedPageBreak/>
              <w:t>кръвта и лимфната система</w:t>
            </w:r>
          </w:p>
        </w:tc>
        <w:tc>
          <w:tcPr>
            <w:tcW w:w="1429" w:type="dxa"/>
          </w:tcPr>
          <w:p w14:paraId="11E2D195" w14:textId="77777777" w:rsidR="00167707" w:rsidRPr="00167707" w:rsidRDefault="00167707" w:rsidP="00167707">
            <w:pPr>
              <w:rPr>
                <w:rFonts w:cs="Arial"/>
              </w:rPr>
            </w:pPr>
          </w:p>
        </w:tc>
        <w:tc>
          <w:tcPr>
            <w:tcW w:w="2133" w:type="dxa"/>
          </w:tcPr>
          <w:p w14:paraId="458EFD5F" w14:textId="2DC08B1A" w:rsidR="00167707" w:rsidRPr="00167707" w:rsidRDefault="00167707" w:rsidP="00167707">
            <w:pPr>
              <w:rPr>
                <w:rFonts w:cs="Arial"/>
              </w:rPr>
            </w:pPr>
            <w:r w:rsidRPr="00167707">
              <w:rPr>
                <w:szCs w:val="20"/>
              </w:rPr>
              <w:t>Тромбоцитопения</w:t>
            </w:r>
            <w:r w:rsidRPr="00167707">
              <w:rPr>
                <w:szCs w:val="20"/>
              </w:rPr>
              <w:lastRenderedPageBreak/>
              <w:t>, левкопения, еозинофилия</w:t>
            </w:r>
          </w:p>
        </w:tc>
        <w:tc>
          <w:tcPr>
            <w:tcW w:w="1789" w:type="dxa"/>
          </w:tcPr>
          <w:p w14:paraId="199B0C5A" w14:textId="4EA537FD" w:rsidR="00167707" w:rsidRPr="00167707" w:rsidRDefault="00167707" w:rsidP="00167707">
            <w:pPr>
              <w:rPr>
                <w:rFonts w:cs="Arial"/>
              </w:rPr>
            </w:pPr>
            <w:r w:rsidRPr="00167707">
              <w:rPr>
                <w:szCs w:val="20"/>
              </w:rPr>
              <w:lastRenderedPageBreak/>
              <w:t xml:space="preserve">Неутропения, </w:t>
            </w:r>
            <w:r w:rsidRPr="00167707">
              <w:rPr>
                <w:szCs w:val="20"/>
              </w:rPr>
              <w:lastRenderedPageBreak/>
              <w:t>включително тежка неутропения</w:t>
            </w:r>
          </w:p>
        </w:tc>
        <w:tc>
          <w:tcPr>
            <w:tcW w:w="2411" w:type="dxa"/>
          </w:tcPr>
          <w:p w14:paraId="6C35AAF7" w14:textId="3361D30E" w:rsidR="00167707" w:rsidRPr="00167707" w:rsidRDefault="00167707" w:rsidP="00167707">
            <w:pPr>
              <w:rPr>
                <w:rFonts w:cs="Arial"/>
              </w:rPr>
            </w:pPr>
            <w:r w:rsidRPr="00167707">
              <w:rPr>
                <w:szCs w:val="20"/>
              </w:rPr>
              <w:lastRenderedPageBreak/>
              <w:t xml:space="preserve">Тромботична </w:t>
            </w:r>
            <w:r w:rsidRPr="00167707">
              <w:rPr>
                <w:szCs w:val="20"/>
              </w:rPr>
              <w:lastRenderedPageBreak/>
              <w:t>тромбоцитопенична пурпура (ТТП) (вж. точка 4.4), апластична анемия, панцитопения, агранулоцитоза, тежка тромбоцитопения, придобита хемофилия А, гранулоцитопения, анемия</w:t>
            </w:r>
          </w:p>
        </w:tc>
      </w:tr>
      <w:tr w:rsidR="00167707" w14:paraId="2D272352" w14:textId="77777777" w:rsidTr="00167707">
        <w:tc>
          <w:tcPr>
            <w:tcW w:w="1814" w:type="dxa"/>
          </w:tcPr>
          <w:p w14:paraId="503C188F" w14:textId="4AEA9A60" w:rsidR="00167707" w:rsidRPr="00167707" w:rsidRDefault="00167707" w:rsidP="00167707">
            <w:pPr>
              <w:rPr>
                <w:rFonts w:cs="Arial"/>
              </w:rPr>
            </w:pPr>
            <w:r w:rsidRPr="00167707">
              <w:rPr>
                <w:szCs w:val="20"/>
              </w:rPr>
              <w:lastRenderedPageBreak/>
              <w:t>Сърдечни нарушения</w:t>
            </w:r>
          </w:p>
        </w:tc>
        <w:tc>
          <w:tcPr>
            <w:tcW w:w="1429" w:type="dxa"/>
          </w:tcPr>
          <w:p w14:paraId="2C86FBAB" w14:textId="77777777" w:rsidR="00167707" w:rsidRPr="00167707" w:rsidRDefault="00167707" w:rsidP="00167707">
            <w:pPr>
              <w:rPr>
                <w:rFonts w:cs="Arial"/>
              </w:rPr>
            </w:pPr>
          </w:p>
        </w:tc>
        <w:tc>
          <w:tcPr>
            <w:tcW w:w="2133" w:type="dxa"/>
          </w:tcPr>
          <w:p w14:paraId="5171A12B" w14:textId="77777777" w:rsidR="00167707" w:rsidRPr="00167707" w:rsidRDefault="00167707" w:rsidP="00167707">
            <w:pPr>
              <w:rPr>
                <w:rFonts w:cs="Arial"/>
              </w:rPr>
            </w:pPr>
          </w:p>
        </w:tc>
        <w:tc>
          <w:tcPr>
            <w:tcW w:w="1789" w:type="dxa"/>
          </w:tcPr>
          <w:p w14:paraId="0F40C47E" w14:textId="77777777" w:rsidR="00167707" w:rsidRPr="00167707" w:rsidRDefault="00167707" w:rsidP="00167707">
            <w:pPr>
              <w:rPr>
                <w:rFonts w:cs="Arial"/>
              </w:rPr>
            </w:pPr>
          </w:p>
        </w:tc>
        <w:tc>
          <w:tcPr>
            <w:tcW w:w="2411" w:type="dxa"/>
          </w:tcPr>
          <w:p w14:paraId="253129FF" w14:textId="77777777" w:rsidR="00167707" w:rsidRPr="00167707" w:rsidRDefault="00167707" w:rsidP="00167707">
            <w:r w:rsidRPr="00167707">
              <w:rPr>
                <w:szCs w:val="20"/>
              </w:rPr>
              <w:t xml:space="preserve">Синдром на </w:t>
            </w:r>
            <w:proofErr w:type="spellStart"/>
            <w:r w:rsidRPr="00167707">
              <w:rPr>
                <w:szCs w:val="20"/>
                <w:lang w:val="en-US"/>
              </w:rPr>
              <w:t>Kounis</w:t>
            </w:r>
            <w:proofErr w:type="spellEnd"/>
            <w:r w:rsidRPr="00167707">
              <w:rPr>
                <w:szCs w:val="20"/>
              </w:rPr>
              <w:t xml:space="preserve"> (вазоспастична алергична ангина/алергичен миокарден инфаркт) във връзка с реакция на</w:t>
            </w:r>
          </w:p>
          <w:p w14:paraId="42BECF65" w14:textId="6A24DC4C" w:rsidR="00167707" w:rsidRPr="00167707" w:rsidRDefault="00167707" w:rsidP="00167707">
            <w:pPr>
              <w:rPr>
                <w:rFonts w:cs="Arial"/>
              </w:rPr>
            </w:pPr>
            <w:r w:rsidRPr="00167707">
              <w:rPr>
                <w:szCs w:val="20"/>
              </w:rPr>
              <w:t>свръхчувствителност към клопидогрел*</w:t>
            </w:r>
          </w:p>
        </w:tc>
      </w:tr>
      <w:tr w:rsidR="00167707" w14:paraId="1EB6D36D" w14:textId="77777777" w:rsidTr="00167707">
        <w:tc>
          <w:tcPr>
            <w:tcW w:w="1814" w:type="dxa"/>
          </w:tcPr>
          <w:p w14:paraId="5182BB28" w14:textId="23244673" w:rsidR="00167707" w:rsidRPr="00167707" w:rsidRDefault="00167707" w:rsidP="00167707">
            <w:pPr>
              <w:rPr>
                <w:rFonts w:cs="Arial"/>
              </w:rPr>
            </w:pPr>
            <w:r w:rsidRPr="00167707">
              <w:rPr>
                <w:szCs w:val="20"/>
              </w:rPr>
              <w:t>Нарушения на имунната система</w:t>
            </w:r>
          </w:p>
        </w:tc>
        <w:tc>
          <w:tcPr>
            <w:tcW w:w="1429" w:type="dxa"/>
          </w:tcPr>
          <w:p w14:paraId="1F52DA7B" w14:textId="77777777" w:rsidR="00167707" w:rsidRPr="00167707" w:rsidRDefault="00167707" w:rsidP="00167707">
            <w:pPr>
              <w:rPr>
                <w:rFonts w:cs="Arial"/>
              </w:rPr>
            </w:pPr>
          </w:p>
        </w:tc>
        <w:tc>
          <w:tcPr>
            <w:tcW w:w="2133" w:type="dxa"/>
          </w:tcPr>
          <w:p w14:paraId="48945835" w14:textId="77777777" w:rsidR="00167707" w:rsidRPr="00167707" w:rsidRDefault="00167707" w:rsidP="00167707">
            <w:pPr>
              <w:rPr>
                <w:rFonts w:cs="Arial"/>
              </w:rPr>
            </w:pPr>
          </w:p>
        </w:tc>
        <w:tc>
          <w:tcPr>
            <w:tcW w:w="1789" w:type="dxa"/>
          </w:tcPr>
          <w:p w14:paraId="7E08B394" w14:textId="77777777" w:rsidR="00167707" w:rsidRPr="00167707" w:rsidRDefault="00167707" w:rsidP="00167707">
            <w:pPr>
              <w:rPr>
                <w:rFonts w:cs="Arial"/>
              </w:rPr>
            </w:pPr>
          </w:p>
        </w:tc>
        <w:tc>
          <w:tcPr>
            <w:tcW w:w="2411" w:type="dxa"/>
          </w:tcPr>
          <w:p w14:paraId="2EDE3C2A" w14:textId="41AF6066" w:rsidR="00167707" w:rsidRPr="00167707" w:rsidRDefault="00167707" w:rsidP="00167707">
            <w:pPr>
              <w:rPr>
                <w:rFonts w:cs="Arial"/>
              </w:rPr>
            </w:pPr>
            <w:r w:rsidRPr="00167707">
              <w:rPr>
                <w:szCs w:val="20"/>
              </w:rPr>
              <w:t xml:space="preserve">Серумна болест, анафилактоидни реакции, кръстосано реактивна лекарствена свръхчувствителност между тиенопиридините (като тиклопидин, прасугрел) (вж. точка 4.4)*, инсулин автоимунен синдром, който може да доведе до тежка хипогликемия, особено при пациенти с </w:t>
            </w:r>
            <w:r w:rsidRPr="00167707">
              <w:rPr>
                <w:szCs w:val="20"/>
                <w:lang w:val="en-US"/>
              </w:rPr>
              <w:t xml:space="preserve">HLA DRA4 </w:t>
            </w:r>
            <w:r w:rsidRPr="00167707">
              <w:rPr>
                <w:szCs w:val="20"/>
              </w:rPr>
              <w:t>подтип (по-чест при японската популация)*</w:t>
            </w:r>
          </w:p>
        </w:tc>
      </w:tr>
      <w:tr w:rsidR="00167707" w14:paraId="1978A686" w14:textId="77777777" w:rsidTr="00167707">
        <w:tc>
          <w:tcPr>
            <w:tcW w:w="1814" w:type="dxa"/>
          </w:tcPr>
          <w:p w14:paraId="66D9D0F7" w14:textId="001212DC" w:rsidR="00167707" w:rsidRPr="00167707" w:rsidRDefault="00167707" w:rsidP="00167707">
            <w:pPr>
              <w:rPr>
                <w:rFonts w:cs="Arial"/>
              </w:rPr>
            </w:pPr>
            <w:r w:rsidRPr="00167707">
              <w:rPr>
                <w:szCs w:val="20"/>
              </w:rPr>
              <w:t>Психични нарушения</w:t>
            </w:r>
          </w:p>
        </w:tc>
        <w:tc>
          <w:tcPr>
            <w:tcW w:w="1429" w:type="dxa"/>
          </w:tcPr>
          <w:p w14:paraId="4D3281CD" w14:textId="77777777" w:rsidR="00167707" w:rsidRPr="00167707" w:rsidRDefault="00167707" w:rsidP="00167707">
            <w:pPr>
              <w:rPr>
                <w:rFonts w:cs="Arial"/>
              </w:rPr>
            </w:pPr>
          </w:p>
        </w:tc>
        <w:tc>
          <w:tcPr>
            <w:tcW w:w="2133" w:type="dxa"/>
          </w:tcPr>
          <w:p w14:paraId="25AA68CB" w14:textId="77777777" w:rsidR="00167707" w:rsidRPr="00167707" w:rsidRDefault="00167707" w:rsidP="00167707">
            <w:pPr>
              <w:rPr>
                <w:rFonts w:cs="Arial"/>
              </w:rPr>
            </w:pPr>
          </w:p>
        </w:tc>
        <w:tc>
          <w:tcPr>
            <w:tcW w:w="1789" w:type="dxa"/>
          </w:tcPr>
          <w:p w14:paraId="15830CFD" w14:textId="77777777" w:rsidR="00167707" w:rsidRPr="00167707" w:rsidRDefault="00167707" w:rsidP="00167707">
            <w:pPr>
              <w:rPr>
                <w:rFonts w:cs="Arial"/>
              </w:rPr>
            </w:pPr>
          </w:p>
        </w:tc>
        <w:tc>
          <w:tcPr>
            <w:tcW w:w="2411" w:type="dxa"/>
          </w:tcPr>
          <w:p w14:paraId="506A2151" w14:textId="77777777" w:rsidR="00167707" w:rsidRPr="00167707" w:rsidRDefault="00167707" w:rsidP="00167707">
            <w:r w:rsidRPr="00167707">
              <w:rPr>
                <w:szCs w:val="20"/>
              </w:rPr>
              <w:t>Халюцинации,</w:t>
            </w:r>
          </w:p>
          <w:p w14:paraId="5F960632" w14:textId="128CFE64" w:rsidR="00167707" w:rsidRPr="00167707" w:rsidRDefault="00167707" w:rsidP="00167707">
            <w:pPr>
              <w:rPr>
                <w:rFonts w:cs="Arial"/>
              </w:rPr>
            </w:pPr>
            <w:r w:rsidRPr="00167707">
              <w:rPr>
                <w:szCs w:val="20"/>
              </w:rPr>
              <w:t>обърканост</w:t>
            </w:r>
          </w:p>
        </w:tc>
      </w:tr>
      <w:tr w:rsidR="00167707" w14:paraId="292BB161" w14:textId="77777777" w:rsidTr="00167707">
        <w:tc>
          <w:tcPr>
            <w:tcW w:w="1814" w:type="dxa"/>
          </w:tcPr>
          <w:p w14:paraId="44992DE8" w14:textId="4243FF07" w:rsidR="00167707" w:rsidRPr="00167707" w:rsidRDefault="00167707" w:rsidP="00167707">
            <w:pPr>
              <w:rPr>
                <w:rFonts w:cs="Arial"/>
              </w:rPr>
            </w:pPr>
            <w:r w:rsidRPr="00167707">
              <w:rPr>
                <w:szCs w:val="20"/>
              </w:rPr>
              <w:t>Нарушения на нервната система</w:t>
            </w:r>
          </w:p>
        </w:tc>
        <w:tc>
          <w:tcPr>
            <w:tcW w:w="1429" w:type="dxa"/>
          </w:tcPr>
          <w:p w14:paraId="43830535" w14:textId="77777777" w:rsidR="00167707" w:rsidRPr="00167707" w:rsidRDefault="00167707" w:rsidP="00167707">
            <w:pPr>
              <w:rPr>
                <w:rFonts w:cs="Arial"/>
              </w:rPr>
            </w:pPr>
          </w:p>
        </w:tc>
        <w:tc>
          <w:tcPr>
            <w:tcW w:w="2133" w:type="dxa"/>
            <w:vAlign w:val="bottom"/>
          </w:tcPr>
          <w:p w14:paraId="146B99A0" w14:textId="459B918D" w:rsidR="00167707" w:rsidRPr="00167707" w:rsidRDefault="00167707" w:rsidP="00167707">
            <w:pPr>
              <w:rPr>
                <w:rFonts w:cs="Arial"/>
              </w:rPr>
            </w:pPr>
            <w:r w:rsidRPr="00167707">
              <w:rPr>
                <w:szCs w:val="20"/>
              </w:rPr>
              <w:t xml:space="preserve">Интракраниално кървене (съобщени са няколко случаи с </w:t>
            </w:r>
            <w:r w:rsidRPr="00167707">
              <w:rPr>
                <w:szCs w:val="20"/>
              </w:rPr>
              <w:lastRenderedPageBreak/>
              <w:t>фатален изход), главоболие, парестезия, замаяност</w:t>
            </w:r>
          </w:p>
        </w:tc>
        <w:tc>
          <w:tcPr>
            <w:tcW w:w="1789" w:type="dxa"/>
          </w:tcPr>
          <w:p w14:paraId="7EF13AA8" w14:textId="77777777" w:rsidR="00167707" w:rsidRPr="00167707" w:rsidRDefault="00167707" w:rsidP="00167707">
            <w:pPr>
              <w:rPr>
                <w:rFonts w:cs="Arial"/>
              </w:rPr>
            </w:pPr>
          </w:p>
        </w:tc>
        <w:tc>
          <w:tcPr>
            <w:tcW w:w="2411" w:type="dxa"/>
          </w:tcPr>
          <w:p w14:paraId="07642D54" w14:textId="7C2B982C" w:rsidR="00167707" w:rsidRPr="00167707" w:rsidRDefault="00167707" w:rsidP="00167707">
            <w:pPr>
              <w:rPr>
                <w:rFonts w:cs="Arial"/>
              </w:rPr>
            </w:pPr>
            <w:r w:rsidRPr="00167707">
              <w:rPr>
                <w:szCs w:val="20"/>
              </w:rPr>
              <w:t>Нарушения във вкусовите възприятия, агеузия</w:t>
            </w:r>
          </w:p>
        </w:tc>
      </w:tr>
      <w:tr w:rsidR="00167707" w14:paraId="0B0D50A8" w14:textId="77777777" w:rsidTr="00167707">
        <w:tc>
          <w:tcPr>
            <w:tcW w:w="1814" w:type="dxa"/>
          </w:tcPr>
          <w:p w14:paraId="0C40A31E" w14:textId="2F79DAE7" w:rsidR="00167707" w:rsidRPr="00167707" w:rsidRDefault="00167707" w:rsidP="00167707">
            <w:pPr>
              <w:rPr>
                <w:rFonts w:cs="Arial"/>
              </w:rPr>
            </w:pPr>
            <w:r w:rsidRPr="00167707">
              <w:rPr>
                <w:szCs w:val="20"/>
              </w:rPr>
              <w:t>Нарушения на очите</w:t>
            </w:r>
          </w:p>
        </w:tc>
        <w:tc>
          <w:tcPr>
            <w:tcW w:w="1429" w:type="dxa"/>
          </w:tcPr>
          <w:p w14:paraId="26BE7750" w14:textId="77777777" w:rsidR="00167707" w:rsidRPr="00167707" w:rsidRDefault="00167707" w:rsidP="00167707">
            <w:pPr>
              <w:rPr>
                <w:rFonts w:cs="Arial"/>
              </w:rPr>
            </w:pPr>
          </w:p>
        </w:tc>
        <w:tc>
          <w:tcPr>
            <w:tcW w:w="2133" w:type="dxa"/>
            <w:vAlign w:val="bottom"/>
          </w:tcPr>
          <w:p w14:paraId="73F4017D" w14:textId="70CFA0C3" w:rsidR="00167707" w:rsidRPr="00167707" w:rsidRDefault="00167707" w:rsidP="00167707">
            <w:pPr>
              <w:rPr>
                <w:rFonts w:cs="Arial"/>
              </w:rPr>
            </w:pPr>
            <w:r w:rsidRPr="00167707">
              <w:rPr>
                <w:szCs w:val="20"/>
              </w:rPr>
              <w:t>Кръвоизлив в очите (конюнктивата, окото,ретината)</w:t>
            </w:r>
          </w:p>
        </w:tc>
        <w:tc>
          <w:tcPr>
            <w:tcW w:w="1789" w:type="dxa"/>
          </w:tcPr>
          <w:p w14:paraId="72EA18E9" w14:textId="77777777" w:rsidR="00167707" w:rsidRPr="00167707" w:rsidRDefault="00167707" w:rsidP="00167707">
            <w:pPr>
              <w:rPr>
                <w:rFonts w:cs="Arial"/>
              </w:rPr>
            </w:pPr>
          </w:p>
        </w:tc>
        <w:tc>
          <w:tcPr>
            <w:tcW w:w="2411" w:type="dxa"/>
          </w:tcPr>
          <w:p w14:paraId="19CA9044" w14:textId="77777777" w:rsidR="00167707" w:rsidRPr="00167707" w:rsidRDefault="00167707" w:rsidP="00167707">
            <w:pPr>
              <w:rPr>
                <w:rFonts w:cs="Arial"/>
              </w:rPr>
            </w:pPr>
          </w:p>
        </w:tc>
      </w:tr>
      <w:tr w:rsidR="00167707" w14:paraId="71389B4D" w14:textId="77777777" w:rsidTr="00167707">
        <w:tc>
          <w:tcPr>
            <w:tcW w:w="1814" w:type="dxa"/>
            <w:vAlign w:val="bottom"/>
          </w:tcPr>
          <w:p w14:paraId="18DBE93E" w14:textId="685758AA" w:rsidR="00167707" w:rsidRPr="00167707" w:rsidRDefault="00167707" w:rsidP="00167707">
            <w:pPr>
              <w:rPr>
                <w:rFonts w:cs="Arial"/>
              </w:rPr>
            </w:pPr>
            <w:r w:rsidRPr="00167707">
              <w:rPr>
                <w:szCs w:val="20"/>
              </w:rPr>
              <w:t>Нарушения на ухото и лабиринта</w:t>
            </w:r>
          </w:p>
        </w:tc>
        <w:tc>
          <w:tcPr>
            <w:tcW w:w="1429" w:type="dxa"/>
          </w:tcPr>
          <w:p w14:paraId="478FA971" w14:textId="77777777" w:rsidR="00167707" w:rsidRPr="00167707" w:rsidRDefault="00167707" w:rsidP="00167707">
            <w:pPr>
              <w:rPr>
                <w:rFonts w:cs="Arial"/>
              </w:rPr>
            </w:pPr>
          </w:p>
        </w:tc>
        <w:tc>
          <w:tcPr>
            <w:tcW w:w="2133" w:type="dxa"/>
          </w:tcPr>
          <w:p w14:paraId="6D643D8C" w14:textId="77777777" w:rsidR="00167707" w:rsidRPr="00167707" w:rsidRDefault="00167707" w:rsidP="00167707">
            <w:pPr>
              <w:rPr>
                <w:rFonts w:cs="Arial"/>
              </w:rPr>
            </w:pPr>
          </w:p>
        </w:tc>
        <w:tc>
          <w:tcPr>
            <w:tcW w:w="1789" w:type="dxa"/>
          </w:tcPr>
          <w:p w14:paraId="399A1A79" w14:textId="79F16D76" w:rsidR="00167707" w:rsidRPr="00167707" w:rsidRDefault="00167707" w:rsidP="00167707">
            <w:pPr>
              <w:rPr>
                <w:rFonts w:cs="Arial"/>
              </w:rPr>
            </w:pPr>
            <w:r w:rsidRPr="00167707">
              <w:rPr>
                <w:szCs w:val="20"/>
              </w:rPr>
              <w:t>Вертиго</w:t>
            </w:r>
          </w:p>
        </w:tc>
        <w:tc>
          <w:tcPr>
            <w:tcW w:w="2411" w:type="dxa"/>
          </w:tcPr>
          <w:p w14:paraId="67F65C1C" w14:textId="77777777" w:rsidR="00167707" w:rsidRPr="00167707" w:rsidRDefault="00167707" w:rsidP="00167707">
            <w:pPr>
              <w:rPr>
                <w:rFonts w:cs="Arial"/>
              </w:rPr>
            </w:pPr>
          </w:p>
        </w:tc>
      </w:tr>
      <w:tr w:rsidR="00167707" w14:paraId="533690A8" w14:textId="77777777" w:rsidTr="00167707">
        <w:tc>
          <w:tcPr>
            <w:tcW w:w="1814" w:type="dxa"/>
          </w:tcPr>
          <w:p w14:paraId="23AABFDA" w14:textId="3E0143CD" w:rsidR="00167707" w:rsidRPr="00167707" w:rsidRDefault="00167707" w:rsidP="00167707">
            <w:pPr>
              <w:rPr>
                <w:rFonts w:cs="Arial"/>
              </w:rPr>
            </w:pPr>
            <w:r w:rsidRPr="00167707">
              <w:rPr>
                <w:szCs w:val="20"/>
              </w:rPr>
              <w:t>Съдови нарушения</w:t>
            </w:r>
          </w:p>
        </w:tc>
        <w:tc>
          <w:tcPr>
            <w:tcW w:w="1429" w:type="dxa"/>
          </w:tcPr>
          <w:p w14:paraId="688ED0CE" w14:textId="5192D3BB" w:rsidR="00167707" w:rsidRPr="00167707" w:rsidRDefault="00167707" w:rsidP="00167707">
            <w:pPr>
              <w:rPr>
                <w:rFonts w:cs="Arial"/>
              </w:rPr>
            </w:pPr>
            <w:r w:rsidRPr="00167707">
              <w:rPr>
                <w:szCs w:val="20"/>
              </w:rPr>
              <w:t>Хематом</w:t>
            </w:r>
          </w:p>
        </w:tc>
        <w:tc>
          <w:tcPr>
            <w:tcW w:w="2133" w:type="dxa"/>
          </w:tcPr>
          <w:p w14:paraId="49ED5B08" w14:textId="77777777" w:rsidR="00167707" w:rsidRPr="00167707" w:rsidRDefault="00167707" w:rsidP="00167707">
            <w:pPr>
              <w:rPr>
                <w:rFonts w:cs="Arial"/>
              </w:rPr>
            </w:pPr>
          </w:p>
        </w:tc>
        <w:tc>
          <w:tcPr>
            <w:tcW w:w="1789" w:type="dxa"/>
          </w:tcPr>
          <w:p w14:paraId="31CA26D6" w14:textId="77777777" w:rsidR="00167707" w:rsidRPr="00167707" w:rsidRDefault="00167707" w:rsidP="00167707">
            <w:pPr>
              <w:rPr>
                <w:rFonts w:cs="Arial"/>
              </w:rPr>
            </w:pPr>
          </w:p>
        </w:tc>
        <w:tc>
          <w:tcPr>
            <w:tcW w:w="2411" w:type="dxa"/>
            <w:vAlign w:val="bottom"/>
          </w:tcPr>
          <w:p w14:paraId="3340ACEB" w14:textId="08D198FC" w:rsidR="00167707" w:rsidRPr="00167707" w:rsidRDefault="00167707" w:rsidP="00167707">
            <w:pPr>
              <w:rPr>
                <w:rFonts w:cs="Arial"/>
              </w:rPr>
            </w:pPr>
            <w:r w:rsidRPr="00167707">
              <w:rPr>
                <w:szCs w:val="20"/>
              </w:rPr>
              <w:t>Сериозна хеморагия, кървене от оперативна рана, васкулит, хипотония</w:t>
            </w:r>
          </w:p>
        </w:tc>
      </w:tr>
      <w:tr w:rsidR="00167707" w14:paraId="24F789D4" w14:textId="77777777" w:rsidTr="00167707">
        <w:tc>
          <w:tcPr>
            <w:tcW w:w="1814" w:type="dxa"/>
          </w:tcPr>
          <w:p w14:paraId="6F585C56" w14:textId="6BE6AC2C" w:rsidR="00167707" w:rsidRPr="00167707" w:rsidRDefault="00167707" w:rsidP="00167707">
            <w:pPr>
              <w:rPr>
                <w:rFonts w:cs="Arial"/>
              </w:rPr>
            </w:pPr>
            <w:r w:rsidRPr="00167707">
              <w:rPr>
                <w:szCs w:val="20"/>
              </w:rPr>
              <w:t>Респираторни, гръдни и медиастинални нарушения</w:t>
            </w:r>
          </w:p>
        </w:tc>
        <w:tc>
          <w:tcPr>
            <w:tcW w:w="1429" w:type="dxa"/>
          </w:tcPr>
          <w:p w14:paraId="2BDB513F" w14:textId="0B680FC5" w:rsidR="00167707" w:rsidRPr="00167707" w:rsidRDefault="00167707" w:rsidP="00167707">
            <w:pPr>
              <w:rPr>
                <w:rFonts w:cs="Arial"/>
              </w:rPr>
            </w:pPr>
            <w:r w:rsidRPr="00167707">
              <w:rPr>
                <w:szCs w:val="20"/>
              </w:rPr>
              <w:t>Епистаксис</w:t>
            </w:r>
          </w:p>
        </w:tc>
        <w:tc>
          <w:tcPr>
            <w:tcW w:w="2133" w:type="dxa"/>
          </w:tcPr>
          <w:p w14:paraId="17C8970F" w14:textId="77777777" w:rsidR="00167707" w:rsidRPr="00167707" w:rsidRDefault="00167707" w:rsidP="00167707">
            <w:pPr>
              <w:rPr>
                <w:rFonts w:cs="Arial"/>
              </w:rPr>
            </w:pPr>
          </w:p>
        </w:tc>
        <w:tc>
          <w:tcPr>
            <w:tcW w:w="1789" w:type="dxa"/>
          </w:tcPr>
          <w:p w14:paraId="0557E4A2" w14:textId="77777777" w:rsidR="00167707" w:rsidRPr="00167707" w:rsidRDefault="00167707" w:rsidP="00167707">
            <w:pPr>
              <w:rPr>
                <w:rFonts w:cs="Arial"/>
              </w:rPr>
            </w:pPr>
          </w:p>
        </w:tc>
        <w:tc>
          <w:tcPr>
            <w:tcW w:w="2411" w:type="dxa"/>
            <w:vAlign w:val="bottom"/>
          </w:tcPr>
          <w:p w14:paraId="17EAC796" w14:textId="3231AEBE" w:rsidR="00167707" w:rsidRPr="00167707" w:rsidRDefault="00167707" w:rsidP="00167707">
            <w:pPr>
              <w:rPr>
                <w:rFonts w:cs="Arial"/>
              </w:rPr>
            </w:pPr>
            <w:r w:rsidRPr="00167707">
              <w:rPr>
                <w:szCs w:val="20"/>
              </w:rPr>
              <w:t>Кръвоизливи в дихателната система, (хемоптиза, белодробна хеморагия), бронхоспазъм, интестициален пневмонит, еозинофилна пневмония</w:t>
            </w:r>
          </w:p>
        </w:tc>
      </w:tr>
      <w:tr w:rsidR="00167707" w14:paraId="005C3B39" w14:textId="77777777" w:rsidTr="00167707">
        <w:tc>
          <w:tcPr>
            <w:tcW w:w="1814" w:type="dxa"/>
          </w:tcPr>
          <w:p w14:paraId="476F56AB" w14:textId="37096F03" w:rsidR="00167707" w:rsidRPr="00167707" w:rsidRDefault="00167707" w:rsidP="00167707">
            <w:pPr>
              <w:rPr>
                <w:rFonts w:cs="Arial"/>
              </w:rPr>
            </w:pPr>
            <w:r w:rsidRPr="00167707">
              <w:rPr>
                <w:szCs w:val="20"/>
              </w:rPr>
              <w:t>Стомашно- чревни нарушения</w:t>
            </w:r>
          </w:p>
        </w:tc>
        <w:tc>
          <w:tcPr>
            <w:tcW w:w="1429" w:type="dxa"/>
          </w:tcPr>
          <w:p w14:paraId="155CB0FF" w14:textId="7FF4A492" w:rsidR="00167707" w:rsidRPr="00167707" w:rsidRDefault="00167707" w:rsidP="00167707">
            <w:pPr>
              <w:rPr>
                <w:rFonts w:cs="Arial"/>
              </w:rPr>
            </w:pPr>
            <w:r w:rsidRPr="00167707">
              <w:rPr>
                <w:szCs w:val="20"/>
              </w:rPr>
              <w:t>Стомашно- чревна хеморагия, диария, коремна болка, диспепсия</w:t>
            </w:r>
          </w:p>
        </w:tc>
        <w:tc>
          <w:tcPr>
            <w:tcW w:w="2133" w:type="dxa"/>
          </w:tcPr>
          <w:p w14:paraId="1FFED612" w14:textId="675A771D" w:rsidR="00167707" w:rsidRPr="00167707" w:rsidRDefault="00167707" w:rsidP="00167707">
            <w:pPr>
              <w:rPr>
                <w:rFonts w:cs="Arial"/>
              </w:rPr>
            </w:pPr>
            <w:r w:rsidRPr="00167707">
              <w:rPr>
                <w:szCs w:val="20"/>
              </w:rPr>
              <w:t>Стомашна и дуоденална язва, гастрит, повръщане, гадене, запек, флатуленция</w:t>
            </w:r>
          </w:p>
        </w:tc>
        <w:tc>
          <w:tcPr>
            <w:tcW w:w="1789" w:type="dxa"/>
          </w:tcPr>
          <w:p w14:paraId="0E672332" w14:textId="149879F7" w:rsidR="00167707" w:rsidRPr="00167707" w:rsidRDefault="00167707" w:rsidP="00167707">
            <w:pPr>
              <w:rPr>
                <w:rFonts w:cs="Arial"/>
              </w:rPr>
            </w:pPr>
            <w:r w:rsidRPr="00167707">
              <w:rPr>
                <w:szCs w:val="20"/>
              </w:rPr>
              <w:t>Ретроперитоне ална хеморагия</w:t>
            </w:r>
          </w:p>
        </w:tc>
        <w:tc>
          <w:tcPr>
            <w:tcW w:w="2411" w:type="dxa"/>
            <w:vAlign w:val="bottom"/>
          </w:tcPr>
          <w:p w14:paraId="25BDE08D" w14:textId="388BB7D2" w:rsidR="00167707" w:rsidRPr="00167707" w:rsidRDefault="00167707" w:rsidP="00167707">
            <w:pPr>
              <w:rPr>
                <w:rFonts w:cs="Arial"/>
              </w:rPr>
            </w:pPr>
            <w:r w:rsidRPr="00167707">
              <w:rPr>
                <w:szCs w:val="20"/>
              </w:rPr>
              <w:t>Стомашно-чревна и ретроперитонеална хеморагия с фатален изход, панкреатит, колит (включително язвен или лимфоцитен колит), стоматит.</w:t>
            </w:r>
          </w:p>
        </w:tc>
      </w:tr>
      <w:tr w:rsidR="00167707" w14:paraId="60347C22" w14:textId="77777777" w:rsidTr="00167707">
        <w:tc>
          <w:tcPr>
            <w:tcW w:w="1814" w:type="dxa"/>
          </w:tcPr>
          <w:p w14:paraId="6D589D72" w14:textId="6317CAE1" w:rsidR="00167707" w:rsidRPr="00167707" w:rsidRDefault="00167707" w:rsidP="00167707">
            <w:pPr>
              <w:rPr>
                <w:rFonts w:cs="Arial"/>
              </w:rPr>
            </w:pPr>
            <w:r w:rsidRPr="00167707">
              <w:rPr>
                <w:szCs w:val="20"/>
              </w:rPr>
              <w:t>Хепато- билиарни нарушения</w:t>
            </w:r>
          </w:p>
        </w:tc>
        <w:tc>
          <w:tcPr>
            <w:tcW w:w="1429" w:type="dxa"/>
          </w:tcPr>
          <w:p w14:paraId="7B9D10E7" w14:textId="77777777" w:rsidR="00167707" w:rsidRPr="00167707" w:rsidRDefault="00167707" w:rsidP="00167707">
            <w:pPr>
              <w:rPr>
                <w:rFonts w:cs="Arial"/>
              </w:rPr>
            </w:pPr>
          </w:p>
        </w:tc>
        <w:tc>
          <w:tcPr>
            <w:tcW w:w="2133" w:type="dxa"/>
          </w:tcPr>
          <w:p w14:paraId="539E6B1F" w14:textId="77777777" w:rsidR="00167707" w:rsidRPr="00167707" w:rsidRDefault="00167707" w:rsidP="00167707">
            <w:pPr>
              <w:rPr>
                <w:rFonts w:cs="Arial"/>
              </w:rPr>
            </w:pPr>
          </w:p>
        </w:tc>
        <w:tc>
          <w:tcPr>
            <w:tcW w:w="1789" w:type="dxa"/>
          </w:tcPr>
          <w:p w14:paraId="7F80722E" w14:textId="77777777" w:rsidR="00167707" w:rsidRPr="00167707" w:rsidRDefault="00167707" w:rsidP="00167707">
            <w:pPr>
              <w:rPr>
                <w:rFonts w:cs="Arial"/>
              </w:rPr>
            </w:pPr>
          </w:p>
        </w:tc>
        <w:tc>
          <w:tcPr>
            <w:tcW w:w="2411" w:type="dxa"/>
            <w:vAlign w:val="bottom"/>
          </w:tcPr>
          <w:p w14:paraId="7DA93A74" w14:textId="22CF008B" w:rsidR="00167707" w:rsidRPr="00167707" w:rsidRDefault="00167707" w:rsidP="00167707">
            <w:pPr>
              <w:rPr>
                <w:rFonts w:cs="Arial"/>
              </w:rPr>
            </w:pPr>
            <w:r w:rsidRPr="00167707">
              <w:rPr>
                <w:szCs w:val="20"/>
              </w:rPr>
              <w:t>Остра чернодробна недостатъчност, хепатит, отклонения в в чернодробните функционални тестове</w:t>
            </w:r>
          </w:p>
        </w:tc>
      </w:tr>
      <w:tr w:rsidR="00167707" w14:paraId="784F81A4" w14:textId="77777777" w:rsidTr="00167707">
        <w:tc>
          <w:tcPr>
            <w:tcW w:w="1814" w:type="dxa"/>
          </w:tcPr>
          <w:p w14:paraId="588B1844" w14:textId="063F9195" w:rsidR="00167707" w:rsidRPr="00167707" w:rsidRDefault="00167707" w:rsidP="00167707">
            <w:pPr>
              <w:rPr>
                <w:rFonts w:cs="Arial"/>
              </w:rPr>
            </w:pPr>
            <w:r w:rsidRPr="00167707">
              <w:rPr>
                <w:szCs w:val="20"/>
              </w:rPr>
              <w:t>Нарушения на кожата и подкожната тъкан</w:t>
            </w:r>
          </w:p>
        </w:tc>
        <w:tc>
          <w:tcPr>
            <w:tcW w:w="1429" w:type="dxa"/>
          </w:tcPr>
          <w:p w14:paraId="6B2EC277" w14:textId="4FC0C397" w:rsidR="00167707" w:rsidRPr="00167707" w:rsidRDefault="00167707" w:rsidP="00167707">
            <w:pPr>
              <w:rPr>
                <w:rFonts w:cs="Arial"/>
              </w:rPr>
            </w:pPr>
            <w:r w:rsidRPr="00167707">
              <w:rPr>
                <w:szCs w:val="20"/>
              </w:rPr>
              <w:t>Образуване на синини</w:t>
            </w:r>
          </w:p>
        </w:tc>
        <w:tc>
          <w:tcPr>
            <w:tcW w:w="2133" w:type="dxa"/>
          </w:tcPr>
          <w:p w14:paraId="7BE7404B" w14:textId="311C561E" w:rsidR="00167707" w:rsidRPr="00167707" w:rsidRDefault="00167707" w:rsidP="00167707">
            <w:pPr>
              <w:rPr>
                <w:rFonts w:cs="Arial"/>
              </w:rPr>
            </w:pPr>
            <w:r w:rsidRPr="00167707">
              <w:rPr>
                <w:szCs w:val="20"/>
              </w:rPr>
              <w:t>Обрив, сърбеж, кожни кръвоизливи (пурпура)</w:t>
            </w:r>
          </w:p>
        </w:tc>
        <w:tc>
          <w:tcPr>
            <w:tcW w:w="1789" w:type="dxa"/>
          </w:tcPr>
          <w:p w14:paraId="719A8131" w14:textId="77777777" w:rsidR="00167707" w:rsidRPr="00167707" w:rsidRDefault="00167707" w:rsidP="00167707">
            <w:pPr>
              <w:rPr>
                <w:rFonts w:cs="Arial"/>
              </w:rPr>
            </w:pPr>
          </w:p>
        </w:tc>
        <w:tc>
          <w:tcPr>
            <w:tcW w:w="2411" w:type="dxa"/>
          </w:tcPr>
          <w:p w14:paraId="4F5B300F" w14:textId="272083B5" w:rsidR="00167707" w:rsidRPr="00167707" w:rsidRDefault="00167707" w:rsidP="00167707">
            <w:pPr>
              <w:rPr>
                <w:rFonts w:cs="Arial"/>
              </w:rPr>
            </w:pPr>
            <w:r w:rsidRPr="00167707">
              <w:rPr>
                <w:szCs w:val="20"/>
              </w:rPr>
              <w:t xml:space="preserve">Булозен дерматит (токсична епидермална некролиза, синдром на </w:t>
            </w:r>
            <w:r w:rsidRPr="00167707">
              <w:rPr>
                <w:szCs w:val="20"/>
                <w:lang w:val="en-US"/>
              </w:rPr>
              <w:t xml:space="preserve">Stevens-Johnson, </w:t>
            </w:r>
            <w:r w:rsidRPr="00167707">
              <w:rPr>
                <w:szCs w:val="20"/>
              </w:rPr>
              <w:t xml:space="preserve">еритема мултиформе, остра </w:t>
            </w:r>
            <w:r w:rsidRPr="00167707">
              <w:rPr>
                <w:szCs w:val="20"/>
              </w:rPr>
              <w:lastRenderedPageBreak/>
              <w:t>генерализирана екзантематозна пустулоза (</w:t>
            </w:r>
            <w:r w:rsidRPr="00167707">
              <w:rPr>
                <w:szCs w:val="20"/>
                <w:lang w:val="en-US"/>
              </w:rPr>
              <w:t xml:space="preserve">AGEP) </w:t>
            </w:r>
            <w:r w:rsidRPr="00167707">
              <w:rPr>
                <w:szCs w:val="20"/>
              </w:rPr>
              <w:t xml:space="preserve">ангиоедем, лекарствено индуциран синдром на с връхчу вствителност, лекарствен обрив с еозинофилия и системни симптоми </w:t>
            </w:r>
            <w:r w:rsidRPr="00167707">
              <w:rPr>
                <w:szCs w:val="20"/>
                <w:lang w:val="en-US"/>
              </w:rPr>
              <w:t xml:space="preserve">(DRESS), </w:t>
            </w:r>
            <w:r w:rsidRPr="00167707">
              <w:rPr>
                <w:szCs w:val="20"/>
              </w:rPr>
              <w:t>еритематозен обрив или ексфолиативен обрив, екзема, лихен планус</w:t>
            </w:r>
          </w:p>
        </w:tc>
      </w:tr>
      <w:tr w:rsidR="00167707" w14:paraId="28DDD4A7" w14:textId="77777777" w:rsidTr="00167707">
        <w:tc>
          <w:tcPr>
            <w:tcW w:w="1814" w:type="dxa"/>
          </w:tcPr>
          <w:p w14:paraId="1D2D7AC0" w14:textId="2569832F" w:rsidR="00167707" w:rsidRPr="00167707" w:rsidRDefault="00167707" w:rsidP="00167707">
            <w:pPr>
              <w:rPr>
                <w:rFonts w:cs="Arial"/>
              </w:rPr>
            </w:pPr>
            <w:r w:rsidRPr="00167707">
              <w:rPr>
                <w:szCs w:val="20"/>
              </w:rPr>
              <w:lastRenderedPageBreak/>
              <w:t>Нарушения на възпроизводите лната система и гърдата</w:t>
            </w:r>
          </w:p>
        </w:tc>
        <w:tc>
          <w:tcPr>
            <w:tcW w:w="1429" w:type="dxa"/>
          </w:tcPr>
          <w:p w14:paraId="74CAC920" w14:textId="77777777" w:rsidR="00167707" w:rsidRPr="00167707" w:rsidRDefault="00167707" w:rsidP="00167707">
            <w:pPr>
              <w:rPr>
                <w:rFonts w:cs="Arial"/>
              </w:rPr>
            </w:pPr>
          </w:p>
        </w:tc>
        <w:tc>
          <w:tcPr>
            <w:tcW w:w="2133" w:type="dxa"/>
          </w:tcPr>
          <w:p w14:paraId="2292C55E" w14:textId="77777777" w:rsidR="00167707" w:rsidRPr="00167707" w:rsidRDefault="00167707" w:rsidP="00167707">
            <w:pPr>
              <w:rPr>
                <w:rFonts w:cs="Arial"/>
              </w:rPr>
            </w:pPr>
          </w:p>
        </w:tc>
        <w:tc>
          <w:tcPr>
            <w:tcW w:w="1789" w:type="dxa"/>
          </w:tcPr>
          <w:p w14:paraId="73AA5A9F" w14:textId="5BDA600A" w:rsidR="00167707" w:rsidRPr="00167707" w:rsidRDefault="00167707" w:rsidP="00167707">
            <w:pPr>
              <w:rPr>
                <w:rFonts w:cs="Arial"/>
              </w:rPr>
            </w:pPr>
            <w:r w:rsidRPr="00167707">
              <w:rPr>
                <w:szCs w:val="20"/>
              </w:rPr>
              <w:t>Гинекомастия</w:t>
            </w:r>
          </w:p>
        </w:tc>
        <w:tc>
          <w:tcPr>
            <w:tcW w:w="2411" w:type="dxa"/>
          </w:tcPr>
          <w:p w14:paraId="69637DCB" w14:textId="77777777" w:rsidR="00167707" w:rsidRPr="00167707" w:rsidRDefault="00167707" w:rsidP="00167707">
            <w:pPr>
              <w:rPr>
                <w:rFonts w:cs="Arial"/>
              </w:rPr>
            </w:pPr>
          </w:p>
        </w:tc>
      </w:tr>
      <w:tr w:rsidR="00167707" w14:paraId="406E435C" w14:textId="77777777" w:rsidTr="00167707">
        <w:tc>
          <w:tcPr>
            <w:tcW w:w="1814" w:type="dxa"/>
          </w:tcPr>
          <w:p w14:paraId="6133C077" w14:textId="63A341C9" w:rsidR="00167707" w:rsidRPr="00167707" w:rsidRDefault="00167707" w:rsidP="00167707">
            <w:pPr>
              <w:rPr>
                <w:rFonts w:cs="Arial"/>
              </w:rPr>
            </w:pPr>
            <w:r w:rsidRPr="00167707">
              <w:rPr>
                <w:szCs w:val="20"/>
              </w:rPr>
              <w:t>Нарушения на мускулно- скелетната система и съединителната тъкан</w:t>
            </w:r>
          </w:p>
        </w:tc>
        <w:tc>
          <w:tcPr>
            <w:tcW w:w="1429" w:type="dxa"/>
          </w:tcPr>
          <w:p w14:paraId="196B7F1B" w14:textId="77777777" w:rsidR="00167707" w:rsidRPr="00167707" w:rsidRDefault="00167707" w:rsidP="00167707">
            <w:pPr>
              <w:rPr>
                <w:rFonts w:cs="Arial"/>
              </w:rPr>
            </w:pPr>
          </w:p>
        </w:tc>
        <w:tc>
          <w:tcPr>
            <w:tcW w:w="2133" w:type="dxa"/>
          </w:tcPr>
          <w:p w14:paraId="4BF7FB89" w14:textId="77777777" w:rsidR="00167707" w:rsidRPr="00167707" w:rsidRDefault="00167707" w:rsidP="00167707">
            <w:pPr>
              <w:rPr>
                <w:rFonts w:cs="Arial"/>
              </w:rPr>
            </w:pPr>
          </w:p>
        </w:tc>
        <w:tc>
          <w:tcPr>
            <w:tcW w:w="1789" w:type="dxa"/>
          </w:tcPr>
          <w:p w14:paraId="0379909D" w14:textId="77777777" w:rsidR="00167707" w:rsidRPr="00167707" w:rsidRDefault="00167707" w:rsidP="00167707">
            <w:pPr>
              <w:rPr>
                <w:rFonts w:cs="Arial"/>
              </w:rPr>
            </w:pPr>
          </w:p>
        </w:tc>
        <w:tc>
          <w:tcPr>
            <w:tcW w:w="2411" w:type="dxa"/>
          </w:tcPr>
          <w:p w14:paraId="69AD8257" w14:textId="091FBA47" w:rsidR="00167707" w:rsidRPr="00167707" w:rsidRDefault="00167707" w:rsidP="00167707">
            <w:pPr>
              <w:rPr>
                <w:rFonts w:cs="Arial"/>
              </w:rPr>
            </w:pPr>
            <w:r w:rsidRPr="00167707">
              <w:rPr>
                <w:szCs w:val="20"/>
              </w:rPr>
              <w:t>Кръвоизливи в мускулно-скелетната система (хемартроза), артрит, артралгия, миалгия</w:t>
            </w:r>
          </w:p>
        </w:tc>
      </w:tr>
      <w:tr w:rsidR="00167707" w14:paraId="59BE5688" w14:textId="77777777" w:rsidTr="00167707">
        <w:tc>
          <w:tcPr>
            <w:tcW w:w="1814" w:type="dxa"/>
          </w:tcPr>
          <w:p w14:paraId="611AEEA5" w14:textId="2139EBBE" w:rsidR="00167707" w:rsidRPr="00167707" w:rsidRDefault="00167707" w:rsidP="00167707">
            <w:pPr>
              <w:rPr>
                <w:rFonts w:cs="Arial"/>
              </w:rPr>
            </w:pPr>
            <w:r w:rsidRPr="00167707">
              <w:rPr>
                <w:szCs w:val="20"/>
              </w:rPr>
              <w:t>Нарушения на бъбреците и пикочните пътища</w:t>
            </w:r>
          </w:p>
        </w:tc>
        <w:tc>
          <w:tcPr>
            <w:tcW w:w="1429" w:type="dxa"/>
          </w:tcPr>
          <w:p w14:paraId="6142220E" w14:textId="77777777" w:rsidR="00167707" w:rsidRPr="00167707" w:rsidRDefault="00167707" w:rsidP="00167707">
            <w:pPr>
              <w:rPr>
                <w:rFonts w:cs="Arial"/>
              </w:rPr>
            </w:pPr>
          </w:p>
        </w:tc>
        <w:tc>
          <w:tcPr>
            <w:tcW w:w="2133" w:type="dxa"/>
          </w:tcPr>
          <w:p w14:paraId="4121656D" w14:textId="4615A978" w:rsidR="00167707" w:rsidRPr="00167707" w:rsidRDefault="00167707" w:rsidP="00167707">
            <w:pPr>
              <w:rPr>
                <w:rFonts w:cs="Arial"/>
              </w:rPr>
            </w:pPr>
            <w:r w:rsidRPr="00167707">
              <w:rPr>
                <w:szCs w:val="20"/>
              </w:rPr>
              <w:t>Хематурия</w:t>
            </w:r>
          </w:p>
        </w:tc>
        <w:tc>
          <w:tcPr>
            <w:tcW w:w="1789" w:type="dxa"/>
          </w:tcPr>
          <w:p w14:paraId="393CE77B" w14:textId="77777777" w:rsidR="00167707" w:rsidRPr="00167707" w:rsidRDefault="00167707" w:rsidP="00167707">
            <w:pPr>
              <w:rPr>
                <w:rFonts w:cs="Arial"/>
              </w:rPr>
            </w:pPr>
          </w:p>
        </w:tc>
        <w:tc>
          <w:tcPr>
            <w:tcW w:w="2411" w:type="dxa"/>
          </w:tcPr>
          <w:p w14:paraId="70892E33" w14:textId="48134B71" w:rsidR="00167707" w:rsidRPr="00167707" w:rsidRDefault="00167707" w:rsidP="00167707">
            <w:pPr>
              <w:rPr>
                <w:rFonts w:cs="Arial"/>
              </w:rPr>
            </w:pPr>
            <w:r w:rsidRPr="00167707">
              <w:rPr>
                <w:szCs w:val="20"/>
              </w:rPr>
              <w:t>Гломерулонефрит, повишен креатинин в кръвта -</w:t>
            </w:r>
          </w:p>
        </w:tc>
      </w:tr>
      <w:tr w:rsidR="00167707" w14:paraId="22BDAF2C" w14:textId="77777777" w:rsidTr="00167707">
        <w:tc>
          <w:tcPr>
            <w:tcW w:w="1814" w:type="dxa"/>
          </w:tcPr>
          <w:p w14:paraId="760A90EB" w14:textId="274208A4" w:rsidR="00167707" w:rsidRPr="00167707" w:rsidRDefault="00167707" w:rsidP="00167707">
            <w:pPr>
              <w:rPr>
                <w:rFonts w:cs="Arial"/>
              </w:rPr>
            </w:pPr>
            <w:r w:rsidRPr="00167707">
              <w:rPr>
                <w:szCs w:val="20"/>
              </w:rPr>
              <w:t>Общи нарушения и ефекти на мястото на приложение</w:t>
            </w:r>
          </w:p>
        </w:tc>
        <w:tc>
          <w:tcPr>
            <w:tcW w:w="1429" w:type="dxa"/>
          </w:tcPr>
          <w:p w14:paraId="0E668EB2" w14:textId="2B524635" w:rsidR="00167707" w:rsidRPr="00167707" w:rsidRDefault="00167707" w:rsidP="00167707">
            <w:pPr>
              <w:rPr>
                <w:rFonts w:cs="Arial"/>
              </w:rPr>
            </w:pPr>
            <w:r w:rsidRPr="00167707">
              <w:rPr>
                <w:szCs w:val="20"/>
              </w:rPr>
              <w:t>Кръвоизлив на мястото на инжектиране</w:t>
            </w:r>
          </w:p>
        </w:tc>
        <w:tc>
          <w:tcPr>
            <w:tcW w:w="2133" w:type="dxa"/>
          </w:tcPr>
          <w:p w14:paraId="0F7CF7F1" w14:textId="77777777" w:rsidR="00167707" w:rsidRPr="00167707" w:rsidRDefault="00167707" w:rsidP="00167707">
            <w:pPr>
              <w:rPr>
                <w:rFonts w:cs="Arial"/>
              </w:rPr>
            </w:pPr>
          </w:p>
        </w:tc>
        <w:tc>
          <w:tcPr>
            <w:tcW w:w="1789" w:type="dxa"/>
          </w:tcPr>
          <w:p w14:paraId="484091A5" w14:textId="77777777" w:rsidR="00167707" w:rsidRPr="00167707" w:rsidRDefault="00167707" w:rsidP="00167707">
            <w:pPr>
              <w:rPr>
                <w:rFonts w:cs="Arial"/>
              </w:rPr>
            </w:pPr>
          </w:p>
        </w:tc>
        <w:tc>
          <w:tcPr>
            <w:tcW w:w="2411" w:type="dxa"/>
          </w:tcPr>
          <w:p w14:paraId="70205083" w14:textId="0E5C35CD" w:rsidR="00167707" w:rsidRPr="00167707" w:rsidRDefault="00167707" w:rsidP="00167707">
            <w:pPr>
              <w:rPr>
                <w:rFonts w:cs="Arial"/>
              </w:rPr>
            </w:pPr>
            <w:r w:rsidRPr="00167707">
              <w:rPr>
                <w:szCs w:val="20"/>
              </w:rPr>
              <w:t>Треска</w:t>
            </w:r>
          </w:p>
        </w:tc>
      </w:tr>
      <w:tr w:rsidR="00167707" w14:paraId="7F6F0FA9" w14:textId="77777777" w:rsidTr="00167707">
        <w:tc>
          <w:tcPr>
            <w:tcW w:w="1814" w:type="dxa"/>
          </w:tcPr>
          <w:p w14:paraId="61F5EEF1" w14:textId="0288A516" w:rsidR="00167707" w:rsidRPr="00167707" w:rsidRDefault="00167707" w:rsidP="00167707">
            <w:pPr>
              <w:rPr>
                <w:rFonts w:cs="Arial"/>
              </w:rPr>
            </w:pPr>
            <w:r w:rsidRPr="00167707">
              <w:rPr>
                <w:szCs w:val="20"/>
              </w:rPr>
              <w:t>Изследвания</w:t>
            </w:r>
          </w:p>
        </w:tc>
        <w:tc>
          <w:tcPr>
            <w:tcW w:w="1429" w:type="dxa"/>
          </w:tcPr>
          <w:p w14:paraId="32DC8A17" w14:textId="77777777" w:rsidR="00167707" w:rsidRPr="00167707" w:rsidRDefault="00167707" w:rsidP="00167707">
            <w:pPr>
              <w:rPr>
                <w:rFonts w:cs="Arial"/>
              </w:rPr>
            </w:pPr>
          </w:p>
        </w:tc>
        <w:tc>
          <w:tcPr>
            <w:tcW w:w="2133" w:type="dxa"/>
          </w:tcPr>
          <w:p w14:paraId="51AA5578" w14:textId="4F31E587" w:rsidR="00167707" w:rsidRPr="00167707" w:rsidRDefault="00167707" w:rsidP="00167707">
            <w:pPr>
              <w:rPr>
                <w:rFonts w:cs="Arial"/>
              </w:rPr>
            </w:pPr>
            <w:r w:rsidRPr="00167707">
              <w:rPr>
                <w:szCs w:val="20"/>
              </w:rPr>
              <w:t>Удължено време на кървене, понижен брой неутрофили, понижен брой тромбоцити</w:t>
            </w:r>
          </w:p>
        </w:tc>
        <w:tc>
          <w:tcPr>
            <w:tcW w:w="1789" w:type="dxa"/>
          </w:tcPr>
          <w:p w14:paraId="0E9DB084" w14:textId="77777777" w:rsidR="00167707" w:rsidRPr="00167707" w:rsidRDefault="00167707" w:rsidP="00167707">
            <w:pPr>
              <w:rPr>
                <w:rFonts w:cs="Arial"/>
              </w:rPr>
            </w:pPr>
          </w:p>
        </w:tc>
        <w:tc>
          <w:tcPr>
            <w:tcW w:w="2411" w:type="dxa"/>
          </w:tcPr>
          <w:p w14:paraId="52897C36" w14:textId="77777777" w:rsidR="00167707" w:rsidRPr="00167707" w:rsidRDefault="00167707" w:rsidP="00167707">
            <w:pPr>
              <w:rPr>
                <w:rFonts w:cs="Arial"/>
              </w:rPr>
            </w:pPr>
          </w:p>
        </w:tc>
      </w:tr>
    </w:tbl>
    <w:p w14:paraId="184B7CDD"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Данни, свързани с клопидогрел с неизвестна честота</w:t>
      </w:r>
    </w:p>
    <w:p w14:paraId="4DAAC7E9" w14:textId="77777777" w:rsidR="00167707" w:rsidRPr="00167707" w:rsidRDefault="00167707" w:rsidP="00167707">
      <w:pPr>
        <w:spacing w:line="240" w:lineRule="auto"/>
        <w:rPr>
          <w:rFonts w:eastAsia="Times New Roman" w:cs="Arial"/>
          <w:color w:val="000000"/>
          <w:szCs w:val="20"/>
          <w:u w:val="single"/>
          <w:lang w:eastAsia="bg-BG"/>
        </w:rPr>
      </w:pPr>
    </w:p>
    <w:p w14:paraId="2301DFDC" w14:textId="108B5E3B"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Съобщаване на подозирани нежелани реакции</w:t>
      </w:r>
    </w:p>
    <w:p w14:paraId="4F47F0A7" w14:textId="259CD31A"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Съобщаването на подозирани нежелани реакции след разрешаване за употреба на лекарствения</w:t>
      </w:r>
      <w:r>
        <w:rPr>
          <w:rFonts w:eastAsia="Times New Roman" w:cs="Arial"/>
          <w:sz w:val="28"/>
          <w:szCs w:val="24"/>
          <w:lang w:eastAsia="bg-BG"/>
        </w:rPr>
        <w:t xml:space="preserve"> </w:t>
      </w:r>
      <w:r w:rsidRPr="00167707">
        <w:rPr>
          <w:rFonts w:eastAsia="Times New Roman" w:cs="Arial"/>
          <w:color w:val="000000"/>
          <w:szCs w:val="20"/>
          <w:lang w:eastAsia="bg-BG"/>
        </w:rPr>
        <w:t>продукт е важно. Това позволява да продължи наблюдението на съотношението полза/риск за</w:t>
      </w:r>
      <w:r>
        <w:rPr>
          <w:rFonts w:eastAsia="Times New Roman" w:cs="Arial"/>
          <w:sz w:val="28"/>
          <w:szCs w:val="24"/>
          <w:lang w:eastAsia="bg-BG"/>
        </w:rPr>
        <w:t xml:space="preserve"> </w:t>
      </w:r>
      <w:r w:rsidRPr="00167707">
        <w:rPr>
          <w:rFonts w:eastAsia="Times New Roman" w:cs="Arial"/>
          <w:color w:val="000000"/>
          <w:szCs w:val="20"/>
          <w:lang w:eastAsia="bg-BG"/>
        </w:rPr>
        <w:t xml:space="preserve">лекарствения продукт. От медицинските специалисти се </w:t>
      </w:r>
      <w:r w:rsidRPr="00167707">
        <w:rPr>
          <w:rFonts w:eastAsia="Times New Roman" w:cs="Arial"/>
          <w:color w:val="000000"/>
          <w:lang w:eastAsia="bg-BG"/>
        </w:rPr>
        <w:lastRenderedPageBreak/>
        <w:t xml:space="preserve">изисква да съобщават всяка </w:t>
      </w:r>
      <w:r w:rsidRPr="00167707">
        <w:t xml:space="preserve">подозирана нежелана реакция чрез Изпълнителна агенция по лекарствата ул.,Дамян Груев” № 8, 1303 София, Тел.: +35 928903417, уебсайт: </w:t>
      </w:r>
      <w:r w:rsidRPr="00167707">
        <w:fldChar w:fldCharType="begin"/>
      </w:r>
      <w:r w:rsidRPr="00167707">
        <w:instrText xml:space="preserve"> HYPERLINK "http://www.bda.bg" </w:instrText>
      </w:r>
      <w:r w:rsidRPr="00167707">
        <w:fldChar w:fldCharType="separate"/>
      </w:r>
      <w:r w:rsidRPr="00167707">
        <w:rPr>
          <w:u w:val="single"/>
          <w:lang w:val="en-US"/>
        </w:rPr>
        <w:t>www.bda.bg</w:t>
      </w:r>
      <w:r w:rsidRPr="00167707">
        <w:fldChar w:fldCharType="end"/>
      </w:r>
      <w:r w:rsidRPr="00167707">
        <w:rPr>
          <w:lang w:val="en-US"/>
        </w:rPr>
        <w:t>.</w:t>
      </w:r>
    </w:p>
    <w:p w14:paraId="498033CA" w14:textId="77777777" w:rsidR="00167707" w:rsidRPr="0091385D" w:rsidRDefault="00167707"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24C5A081" w:rsidR="0091385D" w:rsidRPr="00167707" w:rsidRDefault="00167707" w:rsidP="0091385D">
      <w:pPr>
        <w:rPr>
          <w:rFonts w:cs="Arial"/>
          <w:sz w:val="24"/>
        </w:rPr>
      </w:pPr>
      <w:r w:rsidRPr="00167707">
        <w:rPr>
          <w:rFonts w:cs="Arial"/>
          <w:szCs w:val="20"/>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 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5AA7FDB7"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Фармакотерапевтична група: инхибитори на тромбоцитната агрегация, с изключение на хепарин:</w:t>
      </w:r>
    </w:p>
    <w:p w14:paraId="79BD43EC"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АТС код: В01АС04.</w:t>
      </w:r>
    </w:p>
    <w:p w14:paraId="4FF17364" w14:textId="77777777" w:rsidR="00167707" w:rsidRPr="00167707" w:rsidRDefault="00167707" w:rsidP="00167707">
      <w:pPr>
        <w:spacing w:line="240" w:lineRule="auto"/>
        <w:rPr>
          <w:rFonts w:eastAsia="Times New Roman" w:cs="Arial"/>
          <w:color w:val="000000"/>
          <w:szCs w:val="20"/>
          <w:u w:val="single"/>
          <w:lang w:eastAsia="bg-BG"/>
        </w:rPr>
      </w:pPr>
    </w:p>
    <w:p w14:paraId="6CE3AAE5" w14:textId="3CF9A310"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Механизъм на действие</w:t>
      </w:r>
    </w:p>
    <w:p w14:paraId="751FFE43"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Клопидогрел е предлекарство, един от чийто метаболити е инхнбитор на тромбоцитната агрегация. Клопидогрел трябва да бъде метаболизиран от </w:t>
      </w:r>
      <w:r w:rsidRPr="00167707">
        <w:rPr>
          <w:rFonts w:eastAsia="Times New Roman" w:cs="Arial"/>
          <w:color w:val="000000"/>
          <w:szCs w:val="20"/>
          <w:lang w:val="en-US"/>
        </w:rPr>
        <w:t xml:space="preserve">CYP450 </w:t>
      </w:r>
      <w:r w:rsidRPr="00167707">
        <w:rPr>
          <w:rFonts w:eastAsia="Times New Roman" w:cs="Arial"/>
          <w:color w:val="000000"/>
          <w:szCs w:val="20"/>
          <w:lang w:eastAsia="bg-BG"/>
        </w:rPr>
        <w:t xml:space="preserve">ензимите до получаване на активния метаболит, който инхибира тромбоцитната агрегация. Активният метаболит на клопидогрел селективно инхибира свързването на аденозин дифосфат (АДФ) към тромбоцитните му </w:t>
      </w:r>
      <w:r w:rsidRPr="00167707">
        <w:rPr>
          <w:rFonts w:eastAsia="Times New Roman" w:cs="Arial"/>
          <w:color w:val="000000"/>
          <w:szCs w:val="20"/>
          <w:lang w:val="en-US"/>
        </w:rPr>
        <w:t xml:space="preserve">P2Y13 </w:t>
      </w:r>
      <w:r w:rsidRPr="00167707">
        <w:rPr>
          <w:rFonts w:eastAsia="Times New Roman" w:cs="Arial"/>
          <w:color w:val="000000"/>
          <w:szCs w:val="20"/>
          <w:lang w:eastAsia="bg-BG"/>
        </w:rPr>
        <w:t xml:space="preserve">рецептори, и последващата АДФ-медиирана активация на гликопротеин </w:t>
      </w:r>
      <w:proofErr w:type="spellStart"/>
      <w:r w:rsidRPr="00167707">
        <w:rPr>
          <w:rFonts w:eastAsia="Times New Roman" w:cs="Arial"/>
          <w:color w:val="000000"/>
          <w:szCs w:val="20"/>
          <w:lang w:val="en-US"/>
        </w:rPr>
        <w:t>GPIIb</w:t>
      </w:r>
      <w:proofErr w:type="spellEnd"/>
      <w:r w:rsidRPr="00167707">
        <w:rPr>
          <w:rFonts w:eastAsia="Times New Roman" w:cs="Arial"/>
          <w:color w:val="000000"/>
          <w:szCs w:val="20"/>
          <w:lang w:eastAsia="bg-BG"/>
        </w:rPr>
        <w:t>/IIIа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14:paraId="676A3FE8"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Тъй като активният метаболит се образува чрез </w:t>
      </w:r>
      <w:r w:rsidRPr="00167707">
        <w:rPr>
          <w:rFonts w:eastAsia="Times New Roman" w:cs="Arial"/>
          <w:color w:val="000000"/>
          <w:szCs w:val="20"/>
          <w:lang w:val="en-US"/>
        </w:rPr>
        <w:t xml:space="preserve">CYP450 </w:t>
      </w:r>
      <w:r w:rsidRPr="00167707">
        <w:rPr>
          <w:rFonts w:eastAsia="Times New Roman" w:cs="Arial"/>
          <w:color w:val="000000"/>
          <w:szCs w:val="20"/>
          <w:lang w:eastAsia="bg-BG"/>
        </w:rPr>
        <w:t>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14:paraId="2100F667" w14:textId="77777777" w:rsidR="00167707" w:rsidRPr="00167707" w:rsidRDefault="00167707" w:rsidP="00167707">
      <w:pPr>
        <w:spacing w:line="240" w:lineRule="auto"/>
        <w:rPr>
          <w:rFonts w:eastAsia="Times New Roman" w:cs="Arial"/>
          <w:color w:val="000000"/>
          <w:szCs w:val="20"/>
          <w:u w:val="single"/>
          <w:lang w:eastAsia="bg-BG"/>
        </w:rPr>
      </w:pPr>
    </w:p>
    <w:p w14:paraId="722292F3" w14:textId="0186874B"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Фармакодинамични ефекти</w:t>
      </w:r>
    </w:p>
    <w:p w14:paraId="336C7528"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Многократното приложение на 75 </w:t>
      </w:r>
      <w:r w:rsidRPr="00167707">
        <w:rPr>
          <w:rFonts w:eastAsia="Times New Roman" w:cs="Arial"/>
          <w:color w:val="000000"/>
          <w:szCs w:val="20"/>
          <w:lang w:val="en-US"/>
        </w:rPr>
        <w:t xml:space="preserve">mg </w:t>
      </w:r>
      <w:r w:rsidRPr="00167707">
        <w:rPr>
          <w:rFonts w:eastAsia="Times New Roman" w:cs="Arial"/>
          <w:color w:val="000000"/>
          <w:szCs w:val="20"/>
          <w:lang w:eastAsia="bg-BG"/>
        </w:rPr>
        <w:t xml:space="preserve">дневно води до устойчиво инхибиране на АДФ- 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 </w:t>
      </w:r>
      <w:r w:rsidRPr="00167707">
        <w:rPr>
          <w:rFonts w:eastAsia="Times New Roman" w:cs="Arial"/>
          <w:color w:val="000000"/>
          <w:szCs w:val="20"/>
          <w:lang w:val="en-US"/>
        </w:rPr>
        <w:t xml:space="preserve">mg </w:t>
      </w:r>
      <w:r w:rsidRPr="00167707">
        <w:rPr>
          <w:rFonts w:eastAsia="Times New Roman" w:cs="Arial"/>
          <w:color w:val="000000"/>
          <w:szCs w:val="20"/>
          <w:lang w:eastAsia="bg-BG"/>
        </w:rPr>
        <w:t>дневно е между 40% и 60%. Тромбоцитната агрегация и времето на кървене постепенно се възвръщат към изходните стойности обикновено 5 дни след прекъсване на лечението.</w:t>
      </w:r>
    </w:p>
    <w:p w14:paraId="107C0989" w14:textId="77777777" w:rsidR="00167707" w:rsidRPr="00167707" w:rsidRDefault="00167707" w:rsidP="00167707">
      <w:pPr>
        <w:spacing w:line="240" w:lineRule="auto"/>
        <w:rPr>
          <w:rFonts w:eastAsia="Times New Roman" w:cs="Arial"/>
          <w:color w:val="000000"/>
          <w:szCs w:val="20"/>
          <w:u w:val="single"/>
          <w:lang w:eastAsia="bg-BG"/>
        </w:rPr>
      </w:pPr>
    </w:p>
    <w:p w14:paraId="62D74331" w14:textId="0F677EE6"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u w:val="single"/>
          <w:lang w:eastAsia="bg-BG"/>
        </w:rPr>
        <w:t>Клинична ефикасност и безопасност</w:t>
      </w:r>
    </w:p>
    <w:p w14:paraId="77398976"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Безопасността и ефикасността на клопидогрел са били оценени в 7 двойно-слепи проучвания, включили над </w:t>
      </w:r>
      <w:r w:rsidRPr="00167707">
        <w:rPr>
          <w:rFonts w:eastAsia="Times New Roman" w:cs="Arial"/>
          <w:i/>
          <w:iCs/>
          <w:color w:val="000000"/>
          <w:szCs w:val="20"/>
          <w:lang w:eastAsia="bg-BG"/>
        </w:rPr>
        <w:t>100</w:t>
      </w:r>
      <w:r w:rsidRPr="00167707">
        <w:rPr>
          <w:rFonts w:eastAsia="Times New Roman" w:cs="Arial"/>
          <w:color w:val="000000"/>
          <w:szCs w:val="20"/>
          <w:lang w:eastAsia="bg-BG"/>
        </w:rPr>
        <w:t xml:space="preserve"> 000 пациенти: проучването </w:t>
      </w:r>
      <w:r w:rsidRPr="00167707">
        <w:rPr>
          <w:rFonts w:eastAsia="Times New Roman" w:cs="Arial"/>
          <w:color w:val="000000"/>
          <w:szCs w:val="20"/>
          <w:lang w:val="en-US"/>
        </w:rPr>
        <w:t xml:space="preserve">CAPRIE, </w:t>
      </w:r>
      <w:r w:rsidRPr="00167707">
        <w:rPr>
          <w:rFonts w:eastAsia="Times New Roman" w:cs="Arial"/>
          <w:color w:val="000000"/>
          <w:szCs w:val="20"/>
          <w:lang w:eastAsia="bg-BG"/>
        </w:rPr>
        <w:t xml:space="preserve">сравнение на </w:t>
      </w:r>
      <w:r w:rsidRPr="00167707">
        <w:rPr>
          <w:rFonts w:eastAsia="Times New Roman" w:cs="Arial"/>
          <w:color w:val="000000"/>
          <w:szCs w:val="20"/>
          <w:lang w:eastAsia="bg-BG"/>
        </w:rPr>
        <w:lastRenderedPageBreak/>
        <w:t xml:space="preserve">клопидогрел и АСК, и проучванията </w:t>
      </w:r>
      <w:r w:rsidRPr="00167707">
        <w:rPr>
          <w:rFonts w:eastAsia="Times New Roman" w:cs="Arial"/>
          <w:color w:val="000000"/>
          <w:szCs w:val="20"/>
          <w:lang w:val="en-US"/>
        </w:rPr>
        <w:t xml:space="preserve">CURE, CLARITY COMMIT, CHANCE, POINT </w:t>
      </w:r>
      <w:r w:rsidRPr="00167707">
        <w:rPr>
          <w:rFonts w:eastAsia="Times New Roman" w:cs="Arial"/>
          <w:color w:val="000000"/>
          <w:szCs w:val="20"/>
          <w:lang w:eastAsia="bg-BG"/>
        </w:rPr>
        <w:t xml:space="preserve">и </w:t>
      </w:r>
      <w:r w:rsidRPr="00167707">
        <w:rPr>
          <w:rFonts w:eastAsia="Times New Roman" w:cs="Arial"/>
          <w:color w:val="000000"/>
          <w:szCs w:val="20"/>
          <w:lang w:val="en-US"/>
        </w:rPr>
        <w:t xml:space="preserve">ACTIVE-A, </w:t>
      </w:r>
      <w:r w:rsidRPr="00167707">
        <w:rPr>
          <w:rFonts w:eastAsia="Times New Roman" w:cs="Arial"/>
          <w:color w:val="000000"/>
          <w:szCs w:val="20"/>
          <w:lang w:eastAsia="bg-BG"/>
        </w:rPr>
        <w:t>сравняващи клопидогрел и плацебо и двата лекарствени продукта в комбинация с АСК и друго стандартно лечение.</w:t>
      </w:r>
    </w:p>
    <w:p w14:paraId="19F96369" w14:textId="77777777" w:rsidR="00167707" w:rsidRPr="00167707" w:rsidRDefault="00167707" w:rsidP="00167707">
      <w:pPr>
        <w:spacing w:line="240" w:lineRule="auto"/>
        <w:rPr>
          <w:rFonts w:eastAsia="Times New Roman" w:cs="Arial"/>
          <w:i/>
          <w:iCs/>
          <w:color w:val="000000"/>
          <w:szCs w:val="20"/>
          <w:lang w:eastAsia="bg-BG"/>
        </w:rPr>
      </w:pPr>
    </w:p>
    <w:p w14:paraId="755B6BD3" w14:textId="108358FC" w:rsidR="00167707" w:rsidRPr="00167707" w:rsidRDefault="00167707" w:rsidP="00167707">
      <w:pPr>
        <w:spacing w:line="240" w:lineRule="auto"/>
        <w:rPr>
          <w:rFonts w:eastAsia="Times New Roman" w:cs="Arial"/>
          <w:sz w:val="28"/>
          <w:szCs w:val="24"/>
          <w:lang w:eastAsia="bg-BG"/>
        </w:rPr>
      </w:pPr>
      <w:r w:rsidRPr="00167707">
        <w:rPr>
          <w:rFonts w:eastAsia="Times New Roman" w:cs="Arial"/>
          <w:i/>
          <w:iCs/>
          <w:color w:val="000000"/>
          <w:szCs w:val="20"/>
          <w:lang w:eastAsia="bg-BG"/>
        </w:rPr>
        <w:t xml:space="preserve">Пресен миокарден инфаркт </w:t>
      </w:r>
      <w:r w:rsidRPr="00167707">
        <w:rPr>
          <w:rFonts w:eastAsia="Times New Roman" w:cs="Arial"/>
          <w:i/>
          <w:iCs/>
          <w:color w:val="000000"/>
          <w:szCs w:val="20"/>
          <w:lang w:val="en-US"/>
        </w:rPr>
        <w:t xml:space="preserve">(MI), </w:t>
      </w:r>
      <w:r w:rsidRPr="00167707">
        <w:rPr>
          <w:rFonts w:eastAsia="Times New Roman" w:cs="Arial"/>
          <w:i/>
          <w:iCs/>
          <w:color w:val="000000"/>
          <w:szCs w:val="20"/>
          <w:lang w:eastAsia="bg-BG"/>
        </w:rPr>
        <w:t>пресен мозъчен инсулт или установена периферна артериална болест</w:t>
      </w:r>
    </w:p>
    <w:p w14:paraId="44EC784E" w14:textId="77777777" w:rsidR="00167707" w:rsidRPr="00167707" w:rsidRDefault="00167707" w:rsidP="00167707">
      <w:pPr>
        <w:rPr>
          <w:rFonts w:eastAsia="Times New Roman" w:cs="Arial"/>
          <w:sz w:val="28"/>
          <w:szCs w:val="24"/>
          <w:lang w:eastAsia="bg-BG"/>
        </w:rPr>
      </w:pPr>
      <w:r w:rsidRPr="00167707">
        <w:rPr>
          <w:rFonts w:eastAsia="Times New Roman" w:cs="Arial"/>
          <w:color w:val="000000"/>
          <w:szCs w:val="20"/>
          <w:lang w:eastAsia="bg-BG"/>
        </w:rPr>
        <w:t xml:space="preserve">Проучването </w:t>
      </w:r>
      <w:r w:rsidRPr="00167707">
        <w:rPr>
          <w:rFonts w:eastAsia="Times New Roman" w:cs="Arial"/>
          <w:color w:val="000000"/>
          <w:szCs w:val="20"/>
          <w:lang w:val="en-US"/>
        </w:rPr>
        <w:t xml:space="preserve">CAPRIE </w:t>
      </w:r>
      <w:r w:rsidRPr="00167707">
        <w:rPr>
          <w:rFonts w:eastAsia="Times New Roman" w:cs="Arial"/>
          <w:color w:val="000000"/>
          <w:szCs w:val="20"/>
          <w:lang w:eastAsia="bg-BG"/>
        </w:rPr>
        <w:t>включва 19 185 пациенти с атеротромбоза манифестирана, с пресен миокарден инфаркт (&lt;35 дни), пресен исхемичен инсулт (между 7 дни и 6 месеца)</w:t>
      </w:r>
      <w:r w:rsidRPr="00167707">
        <w:rPr>
          <w:rFonts w:eastAsia="Times New Roman" w:cs="Arial"/>
          <w:color w:val="000000"/>
          <w:szCs w:val="20"/>
          <w:lang w:val="en-US"/>
        </w:rPr>
        <w:t xml:space="preserve"> </w:t>
      </w:r>
      <w:r w:rsidRPr="00167707">
        <w:rPr>
          <w:rFonts w:eastAsia="Times New Roman" w:cs="Arial"/>
          <w:color w:val="000000"/>
          <w:szCs w:val="20"/>
          <w:lang w:eastAsia="bg-BG"/>
        </w:rPr>
        <w:t xml:space="preserve">или доказана периферна артериална болест (ПАБ). Пациентите са рандомизирани на 75 </w:t>
      </w:r>
      <w:r w:rsidRPr="00167707">
        <w:rPr>
          <w:rFonts w:eastAsia="Times New Roman" w:cs="Arial"/>
          <w:color w:val="000000"/>
          <w:szCs w:val="20"/>
          <w:lang w:val="en-US"/>
        </w:rPr>
        <w:t xml:space="preserve">mg </w:t>
      </w:r>
      <w:r w:rsidRPr="00167707">
        <w:rPr>
          <w:rFonts w:eastAsia="Times New Roman" w:cs="Arial"/>
          <w:color w:val="000000"/>
          <w:szCs w:val="20"/>
          <w:lang w:eastAsia="bg-BG"/>
        </w:rPr>
        <w:t xml:space="preserve">клопидогрел дневно или на 325 </w:t>
      </w:r>
      <w:r w:rsidRPr="00167707">
        <w:rPr>
          <w:rFonts w:eastAsia="Times New Roman" w:cs="Arial"/>
          <w:color w:val="000000"/>
          <w:szCs w:val="20"/>
          <w:lang w:val="en-US"/>
        </w:rPr>
        <w:t xml:space="preserve">mg </w:t>
      </w:r>
      <w:r w:rsidRPr="00167707">
        <w:rPr>
          <w:rFonts w:eastAsia="Times New Roman" w:cs="Arial"/>
          <w:color w:val="000000"/>
          <w:szCs w:val="20"/>
          <w:lang w:eastAsia="bg-BG"/>
        </w:rPr>
        <w:t>АСК дневно и са проследени за период от една до три години. В подгрупата с миокарден инфаркт, повечето от пациентите са получавали АСК през първите дни след острия инфаркт на миокарда.</w:t>
      </w:r>
    </w:p>
    <w:p w14:paraId="3ED02E3D"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xml:space="preserve">с 8,7%; 95%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0,2 до 16,4]; р=0,045), което съответства за всеки 1 000 пациента лекувани две години, допълнително предотвратени исхемични инциденти при 10 пациенти </w:t>
      </w:r>
      <w:r w:rsidRPr="00167707">
        <w:rPr>
          <w:rFonts w:eastAsia="Times New Roman" w:cs="Arial"/>
          <w:color w:val="000000"/>
          <w:szCs w:val="20"/>
          <w:lang w:val="en-US"/>
        </w:rPr>
        <w:t xml:space="preserve">(CI: </w:t>
      </w:r>
      <w:r w:rsidRPr="00167707">
        <w:rPr>
          <w:rFonts w:eastAsia="Times New Roman" w:cs="Arial"/>
          <w:color w:val="000000"/>
          <w:szCs w:val="20"/>
          <w:lang w:eastAsia="bg-BG"/>
        </w:rPr>
        <w:t>0 до 20]. Анализът на общата смъртност като вторична крайна точка не показва значителна разлика между клопидогрел (5,8%) и АСК (6%).</w:t>
      </w:r>
    </w:p>
    <w:p w14:paraId="538AB532"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В подгрупов анализ според състоянието (миокарден инфаркт, исхемичен инсулт или ПАБ) най- благоприятен е ефекта при пациентите с ПАБ (достига се статистическа значимост при р=0,003), (особено тези, които са с анамнеза и за миокарден инфаркт)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xml:space="preserve">23,7 %;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8,9 до 36,2) и по-слаб (без значима разлика спрямо АСК) при пациентите с инсулт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xml:space="preserve">= 7,3%;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-5,7 до 18,7) [р=О,258]. При пациентите включени поради скоро прекаран миокарден инфаркт, клопидогрел е по-малко ефективен, но без статистическа разлика спрямо АСК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-4 %;С</w:t>
      </w:r>
      <w:r w:rsidRPr="00167707">
        <w:rPr>
          <w:rFonts w:eastAsia="Times New Roman" w:cs="Arial"/>
          <w:color w:val="000000"/>
          <w:szCs w:val="20"/>
          <w:lang w:val="en-US"/>
        </w:rPr>
        <w:t>I</w:t>
      </w:r>
      <w:r w:rsidRPr="00167707">
        <w:rPr>
          <w:rFonts w:eastAsia="Times New Roman" w:cs="Arial"/>
          <w:color w:val="000000"/>
          <w:szCs w:val="20"/>
          <w:lang w:eastAsia="bg-BG"/>
        </w:rPr>
        <w:t>: -22,5 до 11,7 [р=0,639]).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пациентите &lt;75 години.</w:t>
      </w:r>
    </w:p>
    <w:p w14:paraId="0B56339B"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Тъй като в проучването </w:t>
      </w:r>
      <w:r w:rsidRPr="00167707">
        <w:rPr>
          <w:rFonts w:eastAsia="Times New Roman" w:cs="Arial"/>
          <w:color w:val="000000"/>
          <w:szCs w:val="20"/>
          <w:lang w:val="en-US"/>
        </w:rPr>
        <w:t xml:space="preserve">CAPRIE </w:t>
      </w:r>
      <w:r w:rsidRPr="00167707">
        <w:rPr>
          <w:rFonts w:eastAsia="Times New Roman" w:cs="Arial"/>
          <w:color w:val="000000"/>
          <w:szCs w:val="20"/>
          <w:lang w:eastAsia="bg-BG"/>
        </w:rPr>
        <w:t>не е имало възможност за оценка на ефикасността в отделните подгрупи, не е ясно дали различията в редукцията на относителния риск при отделните състояния са реални или са случайни.</w:t>
      </w:r>
    </w:p>
    <w:p w14:paraId="19F73510" w14:textId="77777777" w:rsidR="00167707" w:rsidRPr="00167707" w:rsidRDefault="00167707" w:rsidP="00167707">
      <w:pPr>
        <w:spacing w:line="240" w:lineRule="auto"/>
        <w:rPr>
          <w:rFonts w:eastAsia="Times New Roman" w:cs="Arial"/>
          <w:i/>
          <w:iCs/>
          <w:color w:val="000000"/>
          <w:szCs w:val="20"/>
          <w:lang w:eastAsia="bg-BG"/>
        </w:rPr>
      </w:pPr>
    </w:p>
    <w:p w14:paraId="05067F21" w14:textId="32D7C040" w:rsidR="00167707" w:rsidRPr="00167707" w:rsidRDefault="00167707" w:rsidP="00167707">
      <w:pPr>
        <w:spacing w:line="240" w:lineRule="auto"/>
        <w:rPr>
          <w:rFonts w:eastAsia="Times New Roman" w:cs="Arial"/>
          <w:sz w:val="28"/>
          <w:szCs w:val="24"/>
          <w:lang w:eastAsia="bg-BG"/>
        </w:rPr>
      </w:pPr>
      <w:r w:rsidRPr="00167707">
        <w:rPr>
          <w:rFonts w:eastAsia="Times New Roman" w:cs="Arial"/>
          <w:i/>
          <w:iCs/>
          <w:color w:val="000000"/>
          <w:szCs w:val="20"/>
          <w:lang w:eastAsia="bg-BG"/>
        </w:rPr>
        <w:t>Остър коронарен синдром</w:t>
      </w:r>
    </w:p>
    <w:p w14:paraId="6547C2D8"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Проучването </w:t>
      </w:r>
      <w:r w:rsidRPr="00167707">
        <w:rPr>
          <w:rFonts w:eastAsia="Times New Roman" w:cs="Arial"/>
          <w:color w:val="000000"/>
          <w:szCs w:val="20"/>
          <w:lang w:val="en-US"/>
        </w:rPr>
        <w:t xml:space="preserve">CURE </w:t>
      </w:r>
      <w:r w:rsidRPr="00167707">
        <w:rPr>
          <w:rFonts w:eastAsia="Times New Roman" w:cs="Arial"/>
          <w:color w:val="000000"/>
          <w:szCs w:val="20"/>
          <w:lang w:eastAsia="bg-BG"/>
        </w:rPr>
        <w:t xml:space="preserve">включва 12 562 пациенти с остър коронарен синдром без елевация на </w:t>
      </w:r>
      <w:r w:rsidRPr="00167707">
        <w:rPr>
          <w:rFonts w:eastAsia="Times New Roman" w:cs="Arial"/>
          <w:color w:val="000000"/>
          <w:szCs w:val="20"/>
          <w:lang w:val="en-US"/>
        </w:rPr>
        <w:t>ST</w:t>
      </w:r>
      <w:r w:rsidRPr="00167707">
        <w:rPr>
          <w:rFonts w:eastAsia="Times New Roman" w:cs="Arial"/>
          <w:color w:val="000000"/>
          <w:szCs w:val="20"/>
          <w:lang w:eastAsia="bg-BG"/>
        </w:rPr>
        <w:t xml:space="preserve">- сегмента (нестабилна стенокардия или миокарден инфаркт без </w:t>
      </w:r>
      <w:r w:rsidRPr="00167707">
        <w:rPr>
          <w:rFonts w:eastAsia="Times New Roman" w:cs="Arial"/>
          <w:color w:val="000000"/>
          <w:szCs w:val="20"/>
          <w:lang w:val="en-US"/>
        </w:rPr>
        <w:t xml:space="preserve">Q </w:t>
      </w:r>
      <w:r w:rsidRPr="00167707">
        <w:rPr>
          <w:rFonts w:eastAsia="Times New Roman" w:cs="Arial"/>
          <w:color w:val="000000"/>
          <w:szCs w:val="20"/>
          <w:lang w:eastAsia="bg-BG"/>
        </w:rPr>
        <w:t xml:space="preserve">зъбец) и наличието в първите 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са рандомизирани на клопидогрел (300 </w:t>
      </w:r>
      <w:r w:rsidRPr="00167707">
        <w:rPr>
          <w:rFonts w:eastAsia="Times New Roman" w:cs="Arial"/>
          <w:color w:val="000000"/>
          <w:szCs w:val="20"/>
          <w:lang w:val="en-US"/>
        </w:rPr>
        <w:t xml:space="preserve">mg </w:t>
      </w:r>
      <w:r w:rsidRPr="00167707">
        <w:rPr>
          <w:rFonts w:eastAsia="Times New Roman" w:cs="Arial"/>
          <w:color w:val="000000"/>
          <w:szCs w:val="20"/>
          <w:lang w:eastAsia="bg-BG"/>
        </w:rPr>
        <w:t xml:space="preserve">натоварваща доза, последвана от 75 </w:t>
      </w:r>
      <w:r w:rsidRPr="00167707">
        <w:rPr>
          <w:rFonts w:eastAsia="Times New Roman" w:cs="Arial"/>
          <w:color w:val="000000"/>
          <w:szCs w:val="20"/>
          <w:lang w:val="en-US"/>
        </w:rPr>
        <w:t xml:space="preserve">mg </w:t>
      </w:r>
      <w:r w:rsidRPr="00167707">
        <w:rPr>
          <w:rFonts w:eastAsia="Times New Roman" w:cs="Arial"/>
          <w:color w:val="000000"/>
          <w:szCs w:val="20"/>
          <w:lang w:eastAsia="bg-BG"/>
        </w:rPr>
        <w:t xml:space="preserve">дневно, </w:t>
      </w:r>
      <w:r w:rsidRPr="00167707">
        <w:rPr>
          <w:rFonts w:eastAsia="Times New Roman" w:cs="Arial"/>
          <w:color w:val="000000"/>
          <w:szCs w:val="20"/>
          <w:lang w:val="en-US"/>
        </w:rPr>
        <w:t>N =</w:t>
      </w:r>
      <w:r w:rsidRPr="00167707">
        <w:rPr>
          <w:rFonts w:eastAsia="Times New Roman" w:cs="Arial"/>
          <w:color w:val="000000"/>
          <w:szCs w:val="20"/>
          <w:lang w:eastAsia="bg-BG"/>
        </w:rPr>
        <w:t xml:space="preserve"> 6 259) или плацебо </w:t>
      </w:r>
      <w:r w:rsidRPr="00167707">
        <w:rPr>
          <w:rFonts w:eastAsia="Times New Roman" w:cs="Arial"/>
          <w:color w:val="000000"/>
          <w:szCs w:val="20"/>
          <w:lang w:val="en-US"/>
        </w:rPr>
        <w:t xml:space="preserve">(N </w:t>
      </w:r>
      <w:r w:rsidRPr="00167707">
        <w:rPr>
          <w:rFonts w:eastAsia="Times New Roman" w:cs="Arial"/>
          <w:color w:val="000000"/>
          <w:szCs w:val="20"/>
          <w:lang w:eastAsia="bg-BG"/>
        </w:rPr>
        <w:t xml:space="preserve">= 6 303), и двете групи в комбинация с АСК (75 - 325 </w:t>
      </w:r>
      <w:r w:rsidRPr="00167707">
        <w:rPr>
          <w:rFonts w:eastAsia="Times New Roman" w:cs="Arial"/>
          <w:color w:val="000000"/>
          <w:szCs w:val="20"/>
          <w:lang w:val="en-US"/>
        </w:rPr>
        <w:t xml:space="preserve">mg </w:t>
      </w:r>
      <w:r w:rsidRPr="00167707">
        <w:rPr>
          <w:rFonts w:eastAsia="Times New Roman" w:cs="Arial"/>
          <w:color w:val="000000"/>
          <w:szCs w:val="20"/>
          <w:lang w:eastAsia="bg-BG"/>
        </w:rPr>
        <w:t xml:space="preserve">веднъж дневно) и други стандартни терапии. Пациентите са лекувани до една година. В проучването </w:t>
      </w:r>
      <w:r w:rsidRPr="00167707">
        <w:rPr>
          <w:rFonts w:eastAsia="Times New Roman" w:cs="Arial"/>
          <w:color w:val="000000"/>
          <w:szCs w:val="20"/>
          <w:lang w:val="en-US"/>
        </w:rPr>
        <w:t xml:space="preserve">CURE, </w:t>
      </w:r>
      <w:r w:rsidRPr="00167707">
        <w:rPr>
          <w:rFonts w:eastAsia="Times New Roman" w:cs="Arial"/>
          <w:color w:val="000000"/>
          <w:szCs w:val="20"/>
          <w:lang w:eastAsia="bg-BG"/>
        </w:rPr>
        <w:t xml:space="preserve">823 (6,6%) пациенти получават едновременно и </w:t>
      </w:r>
      <w:r w:rsidRPr="00167707">
        <w:rPr>
          <w:rFonts w:eastAsia="Times New Roman" w:cs="Arial"/>
          <w:color w:val="000000"/>
          <w:szCs w:val="20"/>
          <w:lang w:val="en-US"/>
        </w:rPr>
        <w:t>GPII/I</w:t>
      </w:r>
      <w:r w:rsidRPr="00167707">
        <w:rPr>
          <w:rFonts w:eastAsia="Times New Roman" w:cs="Arial"/>
          <w:color w:val="000000"/>
          <w:szCs w:val="20"/>
          <w:lang w:eastAsia="bg-BG"/>
        </w:rPr>
        <w:t>II</w:t>
      </w:r>
      <w:r w:rsidRPr="00167707">
        <w:rPr>
          <w:rFonts w:eastAsia="Times New Roman" w:cs="Arial"/>
          <w:color w:val="000000"/>
          <w:szCs w:val="20"/>
          <w:lang w:val="en-US"/>
        </w:rPr>
        <w:t xml:space="preserve">a </w:t>
      </w:r>
      <w:r w:rsidRPr="00167707">
        <w:rPr>
          <w:rFonts w:eastAsia="Times New Roman" w:cs="Arial"/>
          <w:color w:val="000000"/>
          <w:szCs w:val="20"/>
          <w:lang w:eastAsia="bg-BG"/>
        </w:rPr>
        <w:t>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14:paraId="0D0AB89B"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Броят пациенти, при които са наблюдавани състояния отговарящи на критериите на първичната крайна точка [сърдечно-съдова смърт (С V), миокарден инфаркт </w:t>
      </w:r>
      <w:r w:rsidRPr="00167707">
        <w:rPr>
          <w:rFonts w:eastAsia="Times New Roman" w:cs="Arial"/>
          <w:color w:val="000000"/>
          <w:szCs w:val="20"/>
          <w:lang w:val="en-US"/>
        </w:rPr>
        <w:t xml:space="preserve">(MI) </w:t>
      </w:r>
      <w:r w:rsidRPr="00167707">
        <w:rPr>
          <w:rFonts w:eastAsia="Times New Roman" w:cs="Arial"/>
          <w:color w:val="000000"/>
          <w:szCs w:val="20"/>
          <w:lang w:eastAsia="bg-BG"/>
        </w:rPr>
        <w:t xml:space="preserve">или инсулт] са 582 (9,3%) в групата на клопидогрел и 719 (11,4%) в плацебо групата, редукция </w:t>
      </w:r>
      <w:r w:rsidRPr="00167707">
        <w:rPr>
          <w:rFonts w:eastAsia="Times New Roman" w:cs="Arial"/>
          <w:color w:val="000000"/>
          <w:szCs w:val="20"/>
          <w:lang w:eastAsia="bg-BG"/>
        </w:rPr>
        <w:lastRenderedPageBreak/>
        <w:t xml:space="preserve">на относителния риск с 20% (95 %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10-28%; р=0,00009) в групата на клопидогрел (17% редукция на относителния риск при консервативно лечение на пациентите, 29% при направена перкутанна транслуминална коронарна ангиопластика </w:t>
      </w:r>
      <w:r w:rsidRPr="00167707">
        <w:rPr>
          <w:rFonts w:eastAsia="Times New Roman" w:cs="Arial"/>
          <w:color w:val="000000"/>
          <w:szCs w:val="20"/>
          <w:lang w:val="en-US"/>
        </w:rPr>
        <w:t>(PTC</w:t>
      </w:r>
      <w:r w:rsidRPr="00167707">
        <w:rPr>
          <w:rFonts w:eastAsia="Times New Roman" w:cs="Arial"/>
          <w:color w:val="000000"/>
          <w:szCs w:val="20"/>
          <w:lang w:eastAsia="bg-BG"/>
        </w:rPr>
        <w:t xml:space="preserve">А) с или без стент и 10% при направен коронарно-артериален байпас </w:t>
      </w:r>
      <w:r w:rsidRPr="00167707">
        <w:rPr>
          <w:rFonts w:eastAsia="Times New Roman" w:cs="Arial"/>
          <w:color w:val="000000"/>
          <w:szCs w:val="20"/>
          <w:lang w:val="en-US"/>
        </w:rPr>
        <w:t xml:space="preserve">(CABG)). </w:t>
      </w:r>
      <w:r w:rsidRPr="00167707">
        <w:rPr>
          <w:rFonts w:eastAsia="Times New Roman" w:cs="Arial"/>
          <w:color w:val="000000"/>
          <w:szCs w:val="20"/>
          <w:lang w:eastAsia="bg-BG"/>
        </w:rPr>
        <w:t xml:space="preserve">Нови сърдечно-съдови инциденти (първична крайна точка) са предотвратени с редукция на относителния риск с 22%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8,6, 33,4;), 32%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12,8, 46,4), 4%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-26,9,26,7), 6% (СГ. -33,5, 34,3;) и 14% </w:t>
      </w:r>
      <w:r w:rsidRPr="00167707">
        <w:rPr>
          <w:rFonts w:eastAsia="Times New Roman" w:cs="Arial"/>
          <w:color w:val="000000"/>
          <w:szCs w:val="20"/>
          <w:lang w:val="en-US"/>
        </w:rPr>
        <w:t xml:space="preserve">(CI: </w:t>
      </w:r>
      <w:r w:rsidRPr="00167707">
        <w:rPr>
          <w:rFonts w:eastAsia="Times New Roman" w:cs="Arial"/>
          <w:color w:val="000000"/>
          <w:szCs w:val="20"/>
          <w:lang w:eastAsia="bg-BG"/>
        </w:rPr>
        <w:t>-31,6,44,2) съответно през 0-1, 1-3, 3- 6, 6-9 и 9-12 месечни интервали на проучването. След третия месец благоприятният ефект, наблюдаван в групата на клопидогрел +АСК не нараства повече, но рискът от хеморагия остава (вж. точка 4.4).</w:t>
      </w:r>
    </w:p>
    <w:p w14:paraId="6F58C781" w14:textId="77777777" w:rsidR="00167707" w:rsidRPr="00167707" w:rsidRDefault="00167707" w:rsidP="00167707">
      <w:pPr>
        <w:spacing w:line="240" w:lineRule="auto"/>
        <w:rPr>
          <w:rFonts w:eastAsia="Times New Roman" w:cs="Arial"/>
          <w:sz w:val="28"/>
          <w:szCs w:val="24"/>
          <w:lang w:eastAsia="bg-BG"/>
        </w:rPr>
      </w:pPr>
      <w:r w:rsidRPr="00167707">
        <w:rPr>
          <w:rFonts w:eastAsia="Times New Roman" w:cs="Arial"/>
          <w:color w:val="000000"/>
          <w:szCs w:val="20"/>
          <w:lang w:eastAsia="bg-BG"/>
        </w:rPr>
        <w:t xml:space="preserve">Употребата на клопидогрел в проучването </w:t>
      </w:r>
      <w:r w:rsidRPr="00167707">
        <w:rPr>
          <w:rFonts w:eastAsia="Times New Roman" w:cs="Arial"/>
          <w:color w:val="000000"/>
          <w:szCs w:val="20"/>
          <w:lang w:val="en-US"/>
        </w:rPr>
        <w:t xml:space="preserve">CURE </w:t>
      </w:r>
      <w:r w:rsidRPr="00167707">
        <w:rPr>
          <w:rFonts w:eastAsia="Times New Roman" w:cs="Arial"/>
          <w:color w:val="000000"/>
          <w:szCs w:val="20"/>
          <w:lang w:eastAsia="bg-BG"/>
        </w:rPr>
        <w:t xml:space="preserve">е свързана с намаляване на необходимостта от тромболитична терапия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xml:space="preserve">= 43,3%; </w:t>
      </w:r>
      <w:r w:rsidRPr="00167707">
        <w:rPr>
          <w:rFonts w:eastAsia="Times New Roman" w:cs="Arial"/>
          <w:color w:val="000000"/>
          <w:szCs w:val="20"/>
          <w:lang w:val="en-US"/>
        </w:rPr>
        <w:t xml:space="preserve">CI: </w:t>
      </w:r>
      <w:r w:rsidRPr="00167707">
        <w:rPr>
          <w:rFonts w:eastAsia="Times New Roman" w:cs="Arial"/>
          <w:color w:val="000000"/>
          <w:szCs w:val="20"/>
          <w:lang w:eastAsia="bg-BG"/>
        </w:rPr>
        <w:t xml:space="preserve">24,3%, 57,5%) и </w:t>
      </w:r>
      <w:proofErr w:type="spellStart"/>
      <w:r w:rsidRPr="00167707">
        <w:rPr>
          <w:rFonts w:eastAsia="Times New Roman" w:cs="Arial"/>
          <w:color w:val="000000"/>
          <w:szCs w:val="20"/>
          <w:lang w:val="en-US"/>
        </w:rPr>
        <w:t>GPIIb</w:t>
      </w:r>
      <w:proofErr w:type="spellEnd"/>
      <w:r w:rsidRPr="00167707">
        <w:rPr>
          <w:rFonts w:eastAsia="Times New Roman" w:cs="Arial"/>
          <w:color w:val="000000"/>
          <w:szCs w:val="20"/>
          <w:lang w:val="en-US"/>
        </w:rPr>
        <w:t>/I</w:t>
      </w:r>
      <w:r w:rsidRPr="00167707">
        <w:rPr>
          <w:rFonts w:eastAsia="Times New Roman" w:cs="Arial"/>
          <w:color w:val="000000"/>
          <w:szCs w:val="20"/>
          <w:lang w:eastAsia="bg-BG"/>
        </w:rPr>
        <w:t>II</w:t>
      </w:r>
      <w:r w:rsidRPr="00167707">
        <w:rPr>
          <w:rFonts w:eastAsia="Times New Roman" w:cs="Arial"/>
          <w:color w:val="000000"/>
          <w:szCs w:val="20"/>
          <w:lang w:val="en-US"/>
        </w:rPr>
        <w:t xml:space="preserve">a </w:t>
      </w:r>
      <w:r w:rsidRPr="00167707">
        <w:rPr>
          <w:rFonts w:eastAsia="Times New Roman" w:cs="Arial"/>
          <w:color w:val="000000"/>
          <w:szCs w:val="20"/>
          <w:lang w:eastAsia="bg-BG"/>
        </w:rPr>
        <w:t xml:space="preserve">инхибитори </w:t>
      </w:r>
      <w:r w:rsidRPr="00167707">
        <w:rPr>
          <w:rFonts w:eastAsia="Times New Roman" w:cs="Arial"/>
          <w:color w:val="000000"/>
          <w:szCs w:val="20"/>
          <w:lang w:val="en-US"/>
        </w:rPr>
        <w:t xml:space="preserve">(RRR </w:t>
      </w:r>
      <w:r w:rsidRPr="00167707">
        <w:rPr>
          <w:rFonts w:eastAsia="Times New Roman" w:cs="Arial"/>
          <w:color w:val="000000"/>
          <w:szCs w:val="20"/>
          <w:lang w:eastAsia="bg-BG"/>
        </w:rPr>
        <w:t xml:space="preserve">= 18,2%; </w:t>
      </w:r>
      <w:r w:rsidRPr="00167707">
        <w:rPr>
          <w:rFonts w:eastAsia="Times New Roman" w:cs="Arial"/>
          <w:color w:val="000000"/>
          <w:szCs w:val="20"/>
          <w:lang w:val="en-US"/>
        </w:rPr>
        <w:t xml:space="preserve">CI: </w:t>
      </w:r>
      <w:r w:rsidRPr="00167707">
        <w:rPr>
          <w:rFonts w:eastAsia="Times New Roman" w:cs="Arial"/>
          <w:color w:val="000000"/>
          <w:szCs w:val="20"/>
          <w:lang w:eastAsia="bg-BG"/>
        </w:rPr>
        <w:t>6,5%, 28,3%).</w:t>
      </w:r>
    </w:p>
    <w:p w14:paraId="267EF906" w14:textId="77777777" w:rsidR="00167707" w:rsidRPr="00167707" w:rsidRDefault="00167707" w:rsidP="00167707">
      <w:pPr>
        <w:rPr>
          <w:rFonts w:eastAsia="Times New Roman" w:cs="Arial"/>
          <w:lang w:eastAsia="bg-BG"/>
        </w:rPr>
      </w:pPr>
      <w:r w:rsidRPr="00167707">
        <w:rPr>
          <w:rFonts w:eastAsia="Times New Roman" w:cs="Arial"/>
          <w:color w:val="000000"/>
          <w:lang w:eastAsia="bg-BG"/>
        </w:rPr>
        <w:t xml:space="preserve">Броят на пациентите, при които са настъпили състояния, отговарящи на критериите за съпътстваща първична крайна точка </w:t>
      </w:r>
      <w:r w:rsidRPr="00167707">
        <w:rPr>
          <w:rFonts w:eastAsia="Times New Roman" w:cs="Arial"/>
          <w:color w:val="000000"/>
          <w:lang w:val="en-US"/>
        </w:rPr>
        <w:t xml:space="preserve">(CV </w:t>
      </w:r>
      <w:r w:rsidRPr="00167707">
        <w:rPr>
          <w:rFonts w:eastAsia="Times New Roman" w:cs="Arial"/>
          <w:color w:val="000000"/>
          <w:lang w:eastAsia="bg-BG"/>
        </w:rPr>
        <w:t xml:space="preserve">смърт, </w:t>
      </w:r>
      <w:r w:rsidRPr="00167707">
        <w:rPr>
          <w:rFonts w:eastAsia="Times New Roman" w:cs="Arial"/>
          <w:color w:val="000000"/>
          <w:lang w:val="en-US"/>
        </w:rPr>
        <w:t xml:space="preserve">MI, </w:t>
      </w:r>
      <w:r w:rsidRPr="00167707">
        <w:rPr>
          <w:rFonts w:eastAsia="Times New Roman" w:cs="Arial"/>
          <w:color w:val="000000"/>
          <w:lang w:eastAsia="bg-BG"/>
        </w:rPr>
        <w:t xml:space="preserve">мозъчен инсулт или рефрактерна исхемия). е 1 035 (16,5%) в групата на клопидогрел и 1 187 (18,8%) в плацебо групата, редукция на  относителния риск с 14% (95% </w:t>
      </w:r>
      <w:r w:rsidRPr="00167707">
        <w:rPr>
          <w:rFonts w:eastAsia="Times New Roman" w:cs="Arial"/>
          <w:color w:val="000000"/>
          <w:lang w:val="en-US"/>
        </w:rPr>
        <w:t xml:space="preserve">CI </w:t>
      </w:r>
      <w:r w:rsidRPr="00167707">
        <w:rPr>
          <w:rFonts w:eastAsia="Times New Roman" w:cs="Arial"/>
          <w:color w:val="000000"/>
          <w:lang w:eastAsia="bg-BG"/>
        </w:rPr>
        <w:t xml:space="preserve">от 6% - 21 %, р=0,0005) в групата на клопидопрел. Този благоприятен ефект се дължи предимно статистически значимо намаление на честотата на миокардния инфаркт [287 </w:t>
      </w:r>
      <w:r w:rsidRPr="00167707">
        <w:rPr>
          <w:rFonts w:eastAsia="Times New Roman" w:cs="Arial"/>
          <w:i/>
          <w:iCs/>
          <w:color w:val="000000"/>
          <w:lang w:eastAsia="bg-BG"/>
        </w:rPr>
        <w:t>(4,6%)</w:t>
      </w:r>
      <w:r w:rsidRPr="00167707">
        <w:rPr>
          <w:rFonts w:eastAsia="Times New Roman" w:cs="Arial"/>
          <w:color w:val="000000"/>
          <w:lang w:eastAsia="bg-BG"/>
        </w:rPr>
        <w:t xml:space="preserve"> при групата на клопидрогел и 363 (5,8%) при плацебо]. Не е наблюдаван ефект върху честотата на рехоспитализацията по повод на нестабилна стенокардия. Резултатите получени в групите с различни характеристики (напр. нестабилна стенокардия или </w:t>
      </w:r>
      <w:r w:rsidRPr="00167707">
        <w:rPr>
          <w:rFonts w:eastAsia="Times New Roman" w:cs="Arial"/>
          <w:color w:val="000000"/>
          <w:lang w:val="en-US"/>
        </w:rPr>
        <w:t xml:space="preserve">MI </w:t>
      </w:r>
      <w:r w:rsidRPr="00167707">
        <w:rPr>
          <w:rFonts w:eastAsia="Times New Roman" w:cs="Arial"/>
          <w:color w:val="000000"/>
          <w:lang w:eastAsia="bg-BG"/>
        </w:rPr>
        <w:t xml:space="preserve">без </w:t>
      </w:r>
      <w:r w:rsidRPr="00167707">
        <w:rPr>
          <w:rFonts w:eastAsia="Times New Roman" w:cs="Arial"/>
          <w:color w:val="000000"/>
          <w:lang w:val="en-US"/>
        </w:rPr>
        <w:t xml:space="preserve">Q </w:t>
      </w:r>
      <w:r w:rsidRPr="00167707">
        <w:rPr>
          <w:rFonts w:eastAsia="Times New Roman" w:cs="Arial"/>
          <w:color w:val="000000"/>
          <w:lang w:eastAsia="bg-BG"/>
        </w:rPr>
        <w:t xml:space="preserve">зъбец, различна степен на риск, диабет, необходимост от реваскуларизация, възраст, пол) са сходни с резултатите от първичните анализи. По-специално, в </w:t>
      </w:r>
      <w:r w:rsidRPr="00167707">
        <w:rPr>
          <w:rFonts w:eastAsia="Times New Roman" w:cs="Arial"/>
          <w:i/>
          <w:iCs/>
          <w:color w:val="000000"/>
          <w:lang w:val="en-US"/>
        </w:rPr>
        <w:t>post-hoc</w:t>
      </w:r>
      <w:r w:rsidRPr="00167707">
        <w:rPr>
          <w:rFonts w:eastAsia="Times New Roman" w:cs="Arial"/>
          <w:color w:val="000000"/>
          <w:lang w:val="en-US"/>
        </w:rPr>
        <w:t xml:space="preserve"> </w:t>
      </w:r>
      <w:r w:rsidRPr="00167707">
        <w:rPr>
          <w:rFonts w:eastAsia="Times New Roman" w:cs="Arial"/>
          <w:color w:val="000000"/>
          <w:lang w:eastAsia="bg-BG"/>
        </w:rPr>
        <w:t xml:space="preserve">анализ при 2 172 пациенти (17% от цялата </w:t>
      </w:r>
      <w:r w:rsidRPr="00167707">
        <w:rPr>
          <w:rFonts w:eastAsia="Times New Roman" w:cs="Arial"/>
          <w:color w:val="000000"/>
          <w:lang w:val="en-US"/>
        </w:rPr>
        <w:t xml:space="preserve">CURE </w:t>
      </w:r>
      <w:r w:rsidRPr="00167707">
        <w:rPr>
          <w:rFonts w:eastAsia="Times New Roman" w:cs="Arial"/>
          <w:color w:val="000000"/>
          <w:lang w:eastAsia="bg-BG"/>
        </w:rPr>
        <w:t xml:space="preserve">популация) на които им е поставен стент </w:t>
      </w:r>
      <w:r w:rsidRPr="00167707">
        <w:rPr>
          <w:rFonts w:eastAsia="Times New Roman" w:cs="Arial"/>
          <w:color w:val="000000"/>
          <w:lang w:val="en-US"/>
        </w:rPr>
        <w:t xml:space="preserve">(Stent-CURE), </w:t>
      </w:r>
      <w:r w:rsidRPr="00167707">
        <w:rPr>
          <w:rFonts w:eastAsia="Times New Roman" w:cs="Arial"/>
          <w:color w:val="000000"/>
          <w:lang w:eastAsia="bg-BG"/>
        </w:rPr>
        <w:t xml:space="preserve">данните показват, че клопидогрел сравнен с плацебо, демонстрира значимо </w:t>
      </w:r>
      <w:r w:rsidRPr="00167707">
        <w:rPr>
          <w:rFonts w:eastAsia="Times New Roman" w:cs="Arial"/>
          <w:color w:val="000000"/>
          <w:lang w:val="en-US"/>
        </w:rPr>
        <w:t xml:space="preserve">RRR </w:t>
      </w:r>
      <w:r w:rsidRPr="00167707">
        <w:rPr>
          <w:rFonts w:eastAsia="Times New Roman" w:cs="Arial"/>
          <w:color w:val="000000"/>
          <w:lang w:eastAsia="bg-BG"/>
        </w:rPr>
        <w:t xml:space="preserve">от 26,2% в полза на клопидогрел за съпътстващата първична крайна точка </w:t>
      </w:r>
      <w:r w:rsidRPr="00167707">
        <w:rPr>
          <w:rFonts w:eastAsia="Times New Roman" w:cs="Arial"/>
          <w:color w:val="000000"/>
          <w:lang w:val="en-US"/>
        </w:rPr>
        <w:t xml:space="preserve">(CV </w:t>
      </w:r>
      <w:r w:rsidRPr="00167707">
        <w:rPr>
          <w:rFonts w:eastAsia="Times New Roman" w:cs="Arial"/>
          <w:color w:val="000000"/>
          <w:lang w:eastAsia="bg-BG"/>
        </w:rPr>
        <w:t xml:space="preserve">смърт, </w:t>
      </w:r>
      <w:r w:rsidRPr="00167707">
        <w:rPr>
          <w:rFonts w:eastAsia="Times New Roman" w:cs="Arial"/>
          <w:color w:val="000000"/>
          <w:lang w:val="en-US"/>
        </w:rPr>
        <w:t xml:space="preserve">MI, </w:t>
      </w:r>
      <w:r w:rsidRPr="00167707">
        <w:rPr>
          <w:rFonts w:eastAsia="Times New Roman" w:cs="Arial"/>
          <w:color w:val="000000"/>
          <w:lang w:eastAsia="bg-BG"/>
        </w:rPr>
        <w:t xml:space="preserve">мозъчен инсулт) и също значима </w:t>
      </w:r>
      <w:r w:rsidRPr="00167707">
        <w:rPr>
          <w:rFonts w:eastAsia="Times New Roman" w:cs="Arial"/>
          <w:color w:val="000000"/>
          <w:lang w:val="en-US"/>
        </w:rPr>
        <w:t xml:space="preserve">RRR </w:t>
      </w:r>
      <w:r w:rsidRPr="00167707">
        <w:rPr>
          <w:rFonts w:eastAsia="Times New Roman" w:cs="Arial"/>
          <w:color w:val="000000"/>
          <w:lang w:eastAsia="bg-BG"/>
        </w:rPr>
        <w:t xml:space="preserve">от 23,9% за съпътстващата вторична крайна точка </w:t>
      </w:r>
      <w:r w:rsidRPr="00167707">
        <w:rPr>
          <w:rFonts w:eastAsia="Times New Roman" w:cs="Arial"/>
          <w:color w:val="000000"/>
          <w:lang w:val="en-US"/>
        </w:rPr>
        <w:t xml:space="preserve">(CV </w:t>
      </w:r>
      <w:r w:rsidRPr="00167707">
        <w:rPr>
          <w:rFonts w:eastAsia="Times New Roman" w:cs="Arial"/>
          <w:color w:val="000000"/>
          <w:lang w:eastAsia="bg-BG"/>
        </w:rPr>
        <w:t xml:space="preserve">смърт, </w:t>
      </w:r>
      <w:r w:rsidRPr="00167707">
        <w:rPr>
          <w:rFonts w:eastAsia="Times New Roman" w:cs="Arial"/>
          <w:color w:val="000000"/>
          <w:lang w:val="en-US"/>
        </w:rPr>
        <w:t xml:space="preserve">MI, </w:t>
      </w:r>
      <w:r w:rsidRPr="00167707">
        <w:rPr>
          <w:rFonts w:eastAsia="Times New Roman" w:cs="Arial"/>
          <w:color w:val="000000"/>
          <w:lang w:eastAsia="bg-BG"/>
        </w:rPr>
        <w:t>мозъчен инсулт или рефрактерна исхемия). Освен това, профила на безопасност на клопидогрел при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14:paraId="70242488"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Благоприятният ефект на клопидогрел е независим от друго спешно и продължително сърдечно-съдово лечение (като хепарин</w:t>
      </w:r>
      <w:r w:rsidRPr="00167707">
        <w:rPr>
          <w:rFonts w:eastAsia="Times New Roman" w:cs="Arial"/>
          <w:color w:val="000000"/>
          <w:lang w:val="en-US"/>
        </w:rPr>
        <w:t xml:space="preserve">/LMWH, </w:t>
      </w:r>
      <w:proofErr w:type="spellStart"/>
      <w:r w:rsidRPr="00167707">
        <w:rPr>
          <w:rFonts w:eastAsia="Times New Roman" w:cs="Arial"/>
          <w:color w:val="000000"/>
          <w:lang w:val="en-US"/>
        </w:rPr>
        <w:t>GPIIb</w:t>
      </w:r>
      <w:proofErr w:type="spellEnd"/>
      <w:r w:rsidRPr="00167707">
        <w:rPr>
          <w:rFonts w:eastAsia="Times New Roman" w:cs="Arial"/>
          <w:color w:val="000000"/>
          <w:lang w:val="en-US"/>
        </w:rPr>
        <w:t>/</w:t>
      </w:r>
      <w:proofErr w:type="spellStart"/>
      <w:r w:rsidRPr="00167707">
        <w:rPr>
          <w:rFonts w:eastAsia="Times New Roman" w:cs="Arial"/>
          <w:color w:val="000000"/>
          <w:lang w:val="en-US"/>
        </w:rPr>
        <w:t>IIIa</w:t>
      </w:r>
      <w:proofErr w:type="spellEnd"/>
      <w:r w:rsidRPr="00167707">
        <w:rPr>
          <w:rFonts w:eastAsia="Times New Roman" w:cs="Arial"/>
          <w:color w:val="000000"/>
          <w:lang w:val="en-US"/>
        </w:rPr>
        <w:t xml:space="preserve"> </w:t>
      </w:r>
      <w:r w:rsidRPr="00167707">
        <w:rPr>
          <w:rFonts w:eastAsia="Times New Roman" w:cs="Arial"/>
          <w:color w:val="000000"/>
          <w:lang w:eastAsia="bg-BG"/>
        </w:rPr>
        <w:t xml:space="preserve">антагонисти, липидо-редуциращи лекарствени продукти, бета-блокери и АСЕ инхибитори). Ефикасността на клопидогрел е оценена независимо от дозата на АСК (75 - 325 </w:t>
      </w:r>
      <w:r w:rsidRPr="00167707">
        <w:rPr>
          <w:rFonts w:eastAsia="Times New Roman" w:cs="Arial"/>
          <w:color w:val="000000"/>
          <w:lang w:val="en-US"/>
        </w:rPr>
        <w:t xml:space="preserve">mg </w:t>
      </w:r>
      <w:r w:rsidRPr="00167707">
        <w:rPr>
          <w:rFonts w:eastAsia="Times New Roman" w:cs="Arial"/>
          <w:color w:val="000000"/>
          <w:lang w:eastAsia="bg-BG"/>
        </w:rPr>
        <w:t>веднъж дневно).</w:t>
      </w:r>
    </w:p>
    <w:p w14:paraId="359A6EF1"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При пациенти с остър </w:t>
      </w:r>
      <w:r w:rsidRPr="00167707">
        <w:rPr>
          <w:rFonts w:eastAsia="Times New Roman" w:cs="Arial"/>
          <w:color w:val="000000"/>
          <w:lang w:val="en-US"/>
        </w:rPr>
        <w:t xml:space="preserve">MI </w:t>
      </w:r>
      <w:r w:rsidRPr="00167707">
        <w:rPr>
          <w:rFonts w:eastAsia="Times New Roman" w:cs="Arial"/>
          <w:color w:val="000000"/>
          <w:lang w:eastAsia="bg-BG"/>
        </w:rPr>
        <w:t xml:space="preserve">с елевация на </w:t>
      </w:r>
      <w:r w:rsidRPr="00167707">
        <w:rPr>
          <w:rFonts w:eastAsia="Times New Roman" w:cs="Arial"/>
          <w:color w:val="000000"/>
          <w:lang w:val="en-US"/>
        </w:rPr>
        <w:t>ST</w:t>
      </w:r>
      <w:r w:rsidRPr="00167707">
        <w:rPr>
          <w:rFonts w:eastAsia="Times New Roman" w:cs="Arial"/>
          <w:color w:val="000000"/>
          <w:lang w:eastAsia="bg-BG"/>
        </w:rPr>
        <w:t xml:space="preserve">-сегмента, безопасността и ефикасността на клопидогрел са били оценени в 2 рандомизирани, плацебо-контролирани двойно-слепи изпитвания, </w:t>
      </w:r>
      <w:r w:rsidRPr="00167707">
        <w:rPr>
          <w:rFonts w:eastAsia="Times New Roman" w:cs="Arial"/>
          <w:color w:val="000000"/>
          <w:lang w:val="en-US"/>
        </w:rPr>
        <w:t xml:space="preserve">CLARITY </w:t>
      </w:r>
      <w:r w:rsidRPr="00167707">
        <w:rPr>
          <w:rFonts w:eastAsia="Times New Roman" w:cs="Arial"/>
          <w:color w:val="000000"/>
          <w:lang w:eastAsia="bg-BG"/>
        </w:rPr>
        <w:t xml:space="preserve">и </w:t>
      </w:r>
      <w:r w:rsidRPr="00167707">
        <w:rPr>
          <w:rFonts w:eastAsia="Times New Roman" w:cs="Arial"/>
          <w:color w:val="000000"/>
          <w:lang w:val="en-US"/>
        </w:rPr>
        <w:t>COMMIT.</w:t>
      </w:r>
    </w:p>
    <w:p w14:paraId="009EDF02"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Проучването </w:t>
      </w:r>
      <w:r w:rsidRPr="00167707">
        <w:rPr>
          <w:rFonts w:eastAsia="Times New Roman" w:cs="Arial"/>
          <w:color w:val="000000"/>
          <w:lang w:val="en-US"/>
        </w:rPr>
        <w:t xml:space="preserve">CLARITY </w:t>
      </w:r>
      <w:r w:rsidRPr="00167707">
        <w:rPr>
          <w:rFonts w:eastAsia="Times New Roman" w:cs="Arial"/>
          <w:color w:val="000000"/>
          <w:lang w:eastAsia="bg-BG"/>
        </w:rPr>
        <w:t xml:space="preserve">включва 3 491 пациенти с начало на </w:t>
      </w:r>
      <w:r w:rsidRPr="00167707">
        <w:rPr>
          <w:rFonts w:eastAsia="Times New Roman" w:cs="Arial"/>
          <w:color w:val="000000"/>
          <w:lang w:val="en-US"/>
        </w:rPr>
        <w:t xml:space="preserve">MI </w:t>
      </w:r>
      <w:r w:rsidRPr="00167707">
        <w:rPr>
          <w:rFonts w:eastAsia="Times New Roman" w:cs="Arial"/>
          <w:color w:val="000000"/>
          <w:lang w:eastAsia="bg-BG"/>
        </w:rPr>
        <w:t xml:space="preserve">с </w:t>
      </w:r>
      <w:r w:rsidRPr="00167707">
        <w:rPr>
          <w:rFonts w:eastAsia="Times New Roman" w:cs="Arial"/>
          <w:color w:val="000000"/>
          <w:lang w:val="en-US"/>
        </w:rPr>
        <w:t xml:space="preserve">ST </w:t>
      </w:r>
      <w:r w:rsidRPr="00167707">
        <w:rPr>
          <w:rFonts w:eastAsia="Times New Roman" w:cs="Arial"/>
          <w:color w:val="000000"/>
          <w:lang w:eastAsia="bg-BG"/>
        </w:rPr>
        <w:t xml:space="preserve">елевация в рамките на последните 12 часа и запланувано тромболитично лечение. Пациентите са получили клопидогрел (300 </w:t>
      </w:r>
      <w:r w:rsidRPr="00167707">
        <w:rPr>
          <w:rFonts w:eastAsia="Times New Roman" w:cs="Arial"/>
          <w:color w:val="000000"/>
          <w:lang w:val="en-US"/>
        </w:rPr>
        <w:t xml:space="preserve">mg </w:t>
      </w:r>
      <w:r w:rsidRPr="00167707">
        <w:rPr>
          <w:rFonts w:eastAsia="Times New Roman" w:cs="Arial"/>
          <w:color w:val="000000"/>
          <w:lang w:eastAsia="bg-BG"/>
        </w:rPr>
        <w:t xml:space="preserve">натоварваща доза, последвана от 75 </w:t>
      </w:r>
      <w:r w:rsidRPr="00167707">
        <w:rPr>
          <w:rFonts w:eastAsia="Times New Roman" w:cs="Arial"/>
          <w:color w:val="000000"/>
          <w:lang w:val="en-US"/>
        </w:rPr>
        <w:t>mg</w:t>
      </w:r>
      <w:r w:rsidRPr="00167707">
        <w:rPr>
          <w:rFonts w:eastAsia="Times New Roman" w:cs="Arial"/>
          <w:color w:val="000000"/>
          <w:lang w:eastAsia="bg-BG"/>
        </w:rPr>
        <w:t xml:space="preserve">/ден, </w:t>
      </w:r>
      <w:r w:rsidRPr="00167707">
        <w:rPr>
          <w:rFonts w:eastAsia="Times New Roman" w:cs="Arial"/>
          <w:color w:val="000000"/>
          <w:lang w:val="en-US"/>
        </w:rPr>
        <w:t xml:space="preserve">n </w:t>
      </w:r>
      <w:r w:rsidRPr="00167707">
        <w:rPr>
          <w:rFonts w:eastAsia="Times New Roman" w:cs="Arial"/>
          <w:color w:val="000000"/>
          <w:lang w:eastAsia="bg-BG"/>
        </w:rPr>
        <w:t>= 1 752) или плацебо (</w:t>
      </w:r>
      <w:r w:rsidRPr="00167707">
        <w:rPr>
          <w:rFonts w:eastAsia="Times New Roman" w:cs="Arial"/>
          <w:color w:val="000000"/>
          <w:lang w:val="en-US"/>
        </w:rPr>
        <w:t>n</w:t>
      </w:r>
      <w:r w:rsidRPr="00167707">
        <w:rPr>
          <w:rFonts w:eastAsia="Times New Roman" w:cs="Arial"/>
          <w:color w:val="000000"/>
          <w:lang w:eastAsia="bg-BG"/>
        </w:rPr>
        <w:t xml:space="preserve"> =1 739), и двете в комбинация с АСК (150 до 325 </w:t>
      </w:r>
      <w:r w:rsidRPr="00167707">
        <w:rPr>
          <w:rFonts w:eastAsia="Times New Roman" w:cs="Arial"/>
          <w:color w:val="000000"/>
          <w:lang w:val="en-US"/>
        </w:rPr>
        <w:t xml:space="preserve">mg </w:t>
      </w:r>
      <w:r w:rsidRPr="00167707">
        <w:rPr>
          <w:rFonts w:eastAsia="Times New Roman" w:cs="Arial"/>
          <w:color w:val="000000"/>
          <w:lang w:eastAsia="bg-BG"/>
        </w:rPr>
        <w:t xml:space="preserve">като натоварваща доза, последвана от 75 до 162 </w:t>
      </w:r>
      <w:r w:rsidRPr="00167707">
        <w:rPr>
          <w:rFonts w:eastAsia="Times New Roman" w:cs="Arial"/>
          <w:color w:val="000000"/>
          <w:lang w:val="en-US"/>
        </w:rPr>
        <w:t>mg</w:t>
      </w:r>
      <w:r w:rsidRPr="00167707">
        <w:rPr>
          <w:rFonts w:eastAsia="Times New Roman" w:cs="Arial"/>
          <w:color w:val="000000"/>
          <w:lang w:eastAsia="bg-BG"/>
        </w:rPr>
        <w:t xml:space="preserve">/ден), фибринолитичен агент, и когато е било подходящо хепарин. Пациентите са проследени за 30 дни. Първичната крайна точка е комбинирана поява на запушена артерия, свързана с инфаркта, на ангиограмата при изписване или смърт или повторен </w:t>
      </w:r>
      <w:r w:rsidRPr="00167707">
        <w:rPr>
          <w:rFonts w:eastAsia="Times New Roman" w:cs="Arial"/>
          <w:color w:val="000000"/>
          <w:lang w:val="en-US"/>
        </w:rPr>
        <w:t xml:space="preserve">MI </w:t>
      </w:r>
      <w:r w:rsidRPr="00167707">
        <w:rPr>
          <w:rFonts w:eastAsia="Times New Roman" w:cs="Arial"/>
          <w:color w:val="000000"/>
          <w:lang w:eastAsia="bg-BG"/>
        </w:rPr>
        <w:t xml:space="preserve">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 8 или до изписването. Популацията пациенти е включвала 19,7% жени и 29,2% пациенти ≥65 години. Общо 99,7% от пациентите са получили фибринолитици </w:t>
      </w:r>
      <w:r w:rsidRPr="00167707">
        <w:rPr>
          <w:rFonts w:eastAsia="Times New Roman" w:cs="Arial"/>
          <w:color w:val="000000"/>
          <w:lang w:eastAsia="bg-BG"/>
        </w:rPr>
        <w:lastRenderedPageBreak/>
        <w:t>(фибрин специфични: 68,7%, не-фибрин специфични: 31,1%), 89,5% хепарин, 78,7% бетаблокери, 54,7% АСЕ инхибитори и 63% статини.</w:t>
      </w:r>
    </w:p>
    <w:p w14:paraId="69DDFFD4"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Петнадесет процента(15,0%)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 (95% </w:t>
      </w:r>
      <w:r w:rsidRPr="00167707">
        <w:rPr>
          <w:rFonts w:eastAsia="Times New Roman" w:cs="Arial"/>
          <w:color w:val="000000"/>
          <w:lang w:val="en-US"/>
        </w:rPr>
        <w:t xml:space="preserve">CI: </w:t>
      </w:r>
      <w:r w:rsidRPr="00167707">
        <w:rPr>
          <w:rFonts w:eastAsia="Times New Roman" w:cs="Arial"/>
          <w:color w:val="000000"/>
          <w:lang w:eastAsia="bg-BG"/>
        </w:rPr>
        <w:t>24,47%; р&lt;0,001),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изпилзваното фибринолитично лечение или хепарин.</w:t>
      </w:r>
    </w:p>
    <w:p w14:paraId="04AC5963"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Проучването с </w:t>
      </w:r>
      <w:r w:rsidRPr="00167707">
        <w:rPr>
          <w:rFonts w:eastAsia="Times New Roman" w:cs="Arial"/>
          <w:color w:val="000000"/>
          <w:lang w:val="en-US"/>
        </w:rPr>
        <w:t xml:space="preserve">2x2 </w:t>
      </w:r>
      <w:r w:rsidRPr="00167707">
        <w:rPr>
          <w:rFonts w:eastAsia="Times New Roman" w:cs="Arial"/>
          <w:color w:val="000000"/>
          <w:lang w:eastAsia="bg-BG"/>
        </w:rPr>
        <w:t xml:space="preserve">факториален дизайн </w:t>
      </w:r>
      <w:r w:rsidRPr="00167707">
        <w:rPr>
          <w:rFonts w:eastAsia="Times New Roman" w:cs="Arial"/>
          <w:color w:val="000000"/>
          <w:lang w:val="en-US"/>
        </w:rPr>
        <w:t xml:space="preserve">COMMIT </w:t>
      </w:r>
      <w:r w:rsidRPr="00167707">
        <w:rPr>
          <w:rFonts w:eastAsia="Times New Roman" w:cs="Arial"/>
          <w:color w:val="000000"/>
          <w:lang w:eastAsia="bg-BG"/>
        </w:rPr>
        <w:t xml:space="preserve">е включило 45 852 пациенти с начало на симптоми подозрителни за </w:t>
      </w:r>
      <w:r w:rsidRPr="00167707">
        <w:rPr>
          <w:rFonts w:eastAsia="Times New Roman" w:cs="Arial"/>
          <w:color w:val="000000"/>
          <w:lang w:val="en-US"/>
        </w:rPr>
        <w:t xml:space="preserve">MI </w:t>
      </w:r>
      <w:r w:rsidRPr="00167707">
        <w:rPr>
          <w:rFonts w:eastAsia="Times New Roman" w:cs="Arial"/>
          <w:color w:val="000000"/>
          <w:lang w:eastAsia="bg-BG"/>
        </w:rPr>
        <w:t xml:space="preserve">с подкрепящи ЕКГ абнормни находки (напр. </w:t>
      </w:r>
      <w:r w:rsidRPr="00167707">
        <w:rPr>
          <w:rFonts w:eastAsia="Times New Roman" w:cs="Arial"/>
          <w:color w:val="000000"/>
          <w:lang w:val="en-US"/>
        </w:rPr>
        <w:t>ST</w:t>
      </w:r>
      <w:r w:rsidRPr="00167707">
        <w:rPr>
          <w:rFonts w:eastAsia="Times New Roman" w:cs="Arial"/>
          <w:color w:val="000000"/>
          <w:lang w:eastAsia="bg-BG"/>
        </w:rPr>
        <w:t xml:space="preserve">-елевация, </w:t>
      </w:r>
      <w:r w:rsidRPr="00167707">
        <w:rPr>
          <w:rFonts w:eastAsia="Times New Roman" w:cs="Arial"/>
          <w:color w:val="000000"/>
          <w:lang w:val="en-US"/>
        </w:rPr>
        <w:t xml:space="preserve">ST- </w:t>
      </w:r>
      <w:proofErr w:type="gramStart"/>
      <w:r w:rsidRPr="00167707">
        <w:rPr>
          <w:rFonts w:eastAsia="Times New Roman" w:cs="Arial"/>
          <w:color w:val="000000"/>
          <w:lang w:eastAsia="bg-BG"/>
        </w:rPr>
        <w:t>депресия</w:t>
      </w:r>
      <w:proofErr w:type="gramEnd"/>
      <w:r w:rsidRPr="00167707">
        <w:rPr>
          <w:rFonts w:eastAsia="Times New Roman" w:cs="Arial"/>
          <w:color w:val="000000"/>
          <w:lang w:eastAsia="bg-BG"/>
        </w:rPr>
        <w:t xml:space="preserve"> или ляв бедрен блок) в рамките на последните 24 часа. Пациентите са получили клопидогрел (75 </w:t>
      </w:r>
      <w:r w:rsidRPr="00167707">
        <w:rPr>
          <w:rFonts w:eastAsia="Times New Roman" w:cs="Arial"/>
          <w:color w:val="000000"/>
          <w:lang w:val="en-US"/>
        </w:rPr>
        <w:t>mg/</w:t>
      </w:r>
      <w:r w:rsidRPr="00167707">
        <w:rPr>
          <w:rFonts w:eastAsia="Times New Roman" w:cs="Arial"/>
          <w:color w:val="000000"/>
          <w:lang w:eastAsia="bg-BG"/>
        </w:rPr>
        <w:t xml:space="preserve">ден, </w:t>
      </w:r>
      <w:r w:rsidRPr="00167707">
        <w:rPr>
          <w:rFonts w:eastAsia="Times New Roman" w:cs="Arial"/>
          <w:color w:val="000000"/>
          <w:lang w:val="en-US"/>
        </w:rPr>
        <w:t>n</w:t>
      </w:r>
      <w:r w:rsidRPr="00167707">
        <w:rPr>
          <w:rFonts w:eastAsia="Times New Roman" w:cs="Arial"/>
          <w:color w:val="000000"/>
          <w:lang w:eastAsia="bg-BG"/>
        </w:rPr>
        <w:t xml:space="preserve"> = 22 961) или плацебо (</w:t>
      </w:r>
      <w:r w:rsidRPr="00167707">
        <w:rPr>
          <w:rFonts w:eastAsia="Times New Roman" w:cs="Arial"/>
          <w:color w:val="000000"/>
          <w:lang w:val="en-US"/>
        </w:rPr>
        <w:t>n</w:t>
      </w:r>
      <w:r w:rsidRPr="00167707">
        <w:rPr>
          <w:rFonts w:eastAsia="Times New Roman" w:cs="Arial"/>
          <w:color w:val="000000"/>
          <w:lang w:eastAsia="bg-BG"/>
        </w:rPr>
        <w:t xml:space="preserve"> = 22 891), в комбинация с АСК (162 </w:t>
      </w:r>
      <w:r w:rsidRPr="00167707">
        <w:rPr>
          <w:rFonts w:eastAsia="Times New Roman" w:cs="Arial"/>
          <w:color w:val="000000"/>
          <w:lang w:val="en-US"/>
        </w:rPr>
        <w:t>mg</w:t>
      </w:r>
      <w:r w:rsidRPr="00167707">
        <w:rPr>
          <w:rFonts w:eastAsia="Times New Roman" w:cs="Arial"/>
          <w:color w:val="000000"/>
          <w:lang w:eastAsia="bg-BG"/>
        </w:rPr>
        <w:t>/ден), за 28 дни или до изписване от болницата. Съпътстващите първични крайни точки са били смърт по всякаква причина и първа поява на ре-инфаркт, инсулт или смърт.</w:t>
      </w:r>
    </w:p>
    <w:p w14:paraId="62EDE31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Популацията е включила 27,8% жени, 58,4% пациенти ≥60 години (26% ≥70 години) и 54,5% пациенти, които са получили фибринолитици.</w:t>
      </w:r>
    </w:p>
    <w:p w14:paraId="5B2D9EB4"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Клопидогрел значимо намалява относителния риск от смърт по всякаква причина със 7% (р=0,029), и относителния риск за комбинацията от ре-инфаркт, инсулт или смърт с 9% (р=0,002), 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14:paraId="07ACA605" w14:textId="77777777" w:rsidR="00167707" w:rsidRPr="00167707" w:rsidRDefault="00167707" w:rsidP="00167707">
      <w:pPr>
        <w:spacing w:line="240" w:lineRule="auto"/>
        <w:rPr>
          <w:rFonts w:eastAsia="Times New Roman" w:cs="Arial"/>
          <w:i/>
          <w:iCs/>
          <w:color w:val="000000"/>
          <w:lang w:eastAsia="bg-BG"/>
        </w:rPr>
      </w:pPr>
    </w:p>
    <w:p w14:paraId="002E45D2" w14:textId="0D802233" w:rsidR="00167707" w:rsidRPr="00167707" w:rsidRDefault="00167707" w:rsidP="00167707">
      <w:pPr>
        <w:spacing w:line="240" w:lineRule="auto"/>
        <w:rPr>
          <w:rFonts w:eastAsia="Times New Roman" w:cs="Arial"/>
          <w:lang w:eastAsia="bg-BG"/>
        </w:rPr>
      </w:pPr>
      <w:r w:rsidRPr="00167707">
        <w:rPr>
          <w:rFonts w:eastAsia="Times New Roman" w:cs="Arial"/>
          <w:i/>
          <w:iCs/>
          <w:color w:val="000000"/>
          <w:lang w:eastAsia="bg-BG"/>
        </w:rPr>
        <w:t xml:space="preserve">Деескалация на </w:t>
      </w:r>
      <w:r w:rsidRPr="00167707">
        <w:rPr>
          <w:rFonts w:eastAsia="Times New Roman" w:cs="Arial"/>
          <w:i/>
          <w:iCs/>
          <w:color w:val="000000"/>
          <w:lang w:val="en-US"/>
        </w:rPr>
        <w:t>P2Y</w:t>
      </w:r>
      <w:r w:rsidRPr="00167707">
        <w:rPr>
          <w:rFonts w:eastAsia="Times New Roman" w:cs="Arial"/>
          <w:i/>
          <w:iCs/>
          <w:color w:val="000000"/>
          <w:lang w:eastAsia="bg-BG"/>
        </w:rPr>
        <w:t>12рецепторни инхибитори при остър коронарен синдром</w:t>
      </w:r>
    </w:p>
    <w:p w14:paraId="399E8022" w14:textId="77777777" w:rsidR="00167707" w:rsidRPr="00167707" w:rsidRDefault="00167707" w:rsidP="00167707">
      <w:pPr>
        <w:rPr>
          <w:rFonts w:eastAsia="Times New Roman" w:cs="Arial"/>
          <w:lang w:eastAsia="bg-BG"/>
        </w:rPr>
      </w:pPr>
      <w:r w:rsidRPr="00167707">
        <w:rPr>
          <w:rFonts w:eastAsia="Times New Roman" w:cs="Arial"/>
          <w:color w:val="000000"/>
          <w:lang w:eastAsia="bg-BG"/>
        </w:rPr>
        <w:t xml:space="preserve">Преминаването от по-мощен </w:t>
      </w:r>
      <w:r w:rsidRPr="00167707">
        <w:rPr>
          <w:rFonts w:eastAsia="Times New Roman" w:cs="Arial"/>
          <w:color w:val="000000"/>
          <w:lang w:val="en-US"/>
        </w:rPr>
        <w:t xml:space="preserve">P2Y12 </w:t>
      </w:r>
      <w:r w:rsidRPr="00167707">
        <w:rPr>
          <w:rFonts w:eastAsia="Times New Roman" w:cs="Arial"/>
          <w:color w:val="000000"/>
          <w:lang w:eastAsia="bg-BG"/>
        </w:rPr>
        <w:t>рецепторен инхибитор към клопидогрел в комбинация с</w:t>
      </w:r>
      <w:r w:rsidRPr="00167707">
        <w:rPr>
          <w:rFonts w:eastAsia="Times New Roman" w:cs="Arial"/>
          <w:lang w:eastAsia="bg-BG"/>
        </w:rPr>
        <w:t xml:space="preserve"> </w:t>
      </w:r>
      <w:r w:rsidRPr="00167707">
        <w:rPr>
          <w:rFonts w:eastAsia="Times New Roman" w:cs="Arial"/>
          <w:color w:val="000000"/>
          <w:lang w:eastAsia="bg-BG"/>
        </w:rPr>
        <w:t xml:space="preserve">аспирин след остра фаза при остър коронарен синдром </w:t>
      </w:r>
      <w:r w:rsidRPr="00167707">
        <w:rPr>
          <w:rFonts w:eastAsia="Times New Roman" w:cs="Arial"/>
          <w:color w:val="000000"/>
          <w:lang w:val="en-US"/>
        </w:rPr>
        <w:t xml:space="preserve">(ACS) </w:t>
      </w:r>
      <w:r w:rsidRPr="00167707">
        <w:rPr>
          <w:rFonts w:eastAsia="Times New Roman" w:cs="Arial"/>
          <w:color w:val="000000"/>
          <w:lang w:eastAsia="bg-BG"/>
        </w:rPr>
        <w:t xml:space="preserve">е оценено в две рандомизирани, спонсорирани от изследователя проучвания </w:t>
      </w:r>
      <w:r w:rsidRPr="00167707">
        <w:rPr>
          <w:rFonts w:eastAsia="Times New Roman" w:cs="Arial"/>
          <w:color w:val="000000"/>
          <w:lang w:val="en-US"/>
        </w:rPr>
        <w:t xml:space="preserve">(investigator-sponsored studies, ISS) </w:t>
      </w:r>
      <w:r w:rsidRPr="00167707">
        <w:rPr>
          <w:rFonts w:eastAsia="Times New Roman" w:cs="Arial"/>
          <w:color w:val="000000"/>
          <w:lang w:eastAsia="bg-BG"/>
        </w:rPr>
        <w:t xml:space="preserve">- </w:t>
      </w:r>
      <w:r w:rsidRPr="00167707">
        <w:rPr>
          <w:rFonts w:eastAsia="Times New Roman" w:cs="Arial"/>
          <w:color w:val="000000"/>
          <w:lang w:val="en-US"/>
        </w:rPr>
        <w:t xml:space="preserve">TOPIC </w:t>
      </w:r>
      <w:r w:rsidRPr="00167707">
        <w:rPr>
          <w:rFonts w:eastAsia="Times New Roman" w:cs="Arial"/>
          <w:color w:val="000000"/>
          <w:lang w:eastAsia="bg-BG"/>
        </w:rPr>
        <w:t xml:space="preserve">и </w:t>
      </w:r>
      <w:r w:rsidRPr="00167707">
        <w:rPr>
          <w:rFonts w:eastAsia="Times New Roman" w:cs="Arial"/>
          <w:color w:val="000000"/>
          <w:lang w:val="en-US"/>
        </w:rPr>
        <w:t xml:space="preserve">TROPICAL- ACS c </w:t>
      </w:r>
      <w:r w:rsidRPr="00167707">
        <w:rPr>
          <w:rFonts w:eastAsia="Times New Roman" w:cs="Arial"/>
          <w:color w:val="000000"/>
          <w:lang w:eastAsia="bg-BG"/>
        </w:rPr>
        <w:t>данни за клиничен резултат.</w:t>
      </w:r>
    </w:p>
    <w:p w14:paraId="051767C6" w14:textId="77777777" w:rsidR="00167707" w:rsidRPr="00167707" w:rsidRDefault="00167707" w:rsidP="00167707">
      <w:pPr>
        <w:spacing w:line="240" w:lineRule="auto"/>
        <w:rPr>
          <w:rFonts w:eastAsia="Times New Roman" w:cs="Arial"/>
          <w:color w:val="000000"/>
          <w:lang w:eastAsia="bg-BG"/>
        </w:rPr>
      </w:pPr>
    </w:p>
    <w:p w14:paraId="10A67B1C" w14:textId="116FB249"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Клиничната полза, която показват по-мощните </w:t>
      </w:r>
      <w:r w:rsidRPr="00167707">
        <w:rPr>
          <w:rFonts w:eastAsia="Times New Roman" w:cs="Arial"/>
          <w:color w:val="000000"/>
          <w:lang w:val="en-US"/>
        </w:rPr>
        <w:t xml:space="preserve">P2Y12 </w:t>
      </w:r>
      <w:r w:rsidRPr="00167707">
        <w:rPr>
          <w:rFonts w:eastAsia="Times New Roman" w:cs="Arial"/>
          <w:color w:val="000000"/>
          <w:lang w:eastAsia="bg-BG"/>
        </w:rPr>
        <w:t xml:space="preserve">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 </w:t>
      </w:r>
      <w:r w:rsidRPr="00167707">
        <w:rPr>
          <w:rFonts w:eastAsia="Times New Roman" w:cs="Arial"/>
          <w:color w:val="000000"/>
          <w:lang w:val="en-US"/>
        </w:rPr>
        <w:t xml:space="preserve">ST, </w:t>
      </w:r>
      <w:r w:rsidRPr="00167707">
        <w:rPr>
          <w:rFonts w:eastAsia="Times New Roman" w:cs="Arial"/>
          <w:color w:val="000000"/>
          <w:lang w:eastAsia="bg-BG"/>
        </w:rPr>
        <w:t xml:space="preserve">миокарден инфаркт - </w:t>
      </w:r>
      <w:r w:rsidRPr="00167707">
        <w:rPr>
          <w:rFonts w:eastAsia="Times New Roman" w:cs="Arial"/>
          <w:color w:val="000000"/>
          <w:lang w:val="en-US"/>
        </w:rPr>
        <w:t xml:space="preserve">MI </w:t>
      </w:r>
      <w:r w:rsidRPr="00167707">
        <w:rPr>
          <w:rFonts w:eastAsia="Times New Roman" w:cs="Arial"/>
          <w:color w:val="000000"/>
          <w:lang w:eastAsia="bg-BG"/>
        </w:rPr>
        <w:t xml:space="preserve">и спешна реваскуларизация). Въпреки, че исхемичната полза е последователна през първата година, по-голямо намаление на исхемичните рецидиви след </w:t>
      </w:r>
      <w:r w:rsidRPr="00167707">
        <w:rPr>
          <w:rFonts w:eastAsia="Times New Roman" w:cs="Arial"/>
          <w:color w:val="000000"/>
          <w:lang w:val="en-US"/>
        </w:rPr>
        <w:t xml:space="preserve">ACS </w:t>
      </w:r>
      <w:r w:rsidRPr="00167707">
        <w:rPr>
          <w:rFonts w:eastAsia="Times New Roman" w:cs="Arial"/>
          <w:color w:val="000000"/>
          <w:lang w:eastAsia="bg-BG"/>
        </w:rPr>
        <w:t xml:space="preserve">е наблюдавано през първите дни след започване на лечението. Обратно, последващите </w:t>
      </w:r>
      <w:r w:rsidRPr="00167707">
        <w:rPr>
          <w:rFonts w:eastAsia="Times New Roman" w:cs="Arial"/>
          <w:i/>
          <w:iCs/>
          <w:color w:val="000000"/>
          <w:lang w:val="en-US"/>
        </w:rPr>
        <w:t>(post- hoc)</w:t>
      </w:r>
      <w:r w:rsidRPr="00167707">
        <w:rPr>
          <w:rFonts w:eastAsia="Times New Roman" w:cs="Arial"/>
          <w:color w:val="000000"/>
          <w:lang w:val="en-US"/>
        </w:rPr>
        <w:t xml:space="preserve"> </w:t>
      </w:r>
      <w:r w:rsidRPr="00167707">
        <w:rPr>
          <w:rFonts w:eastAsia="Times New Roman" w:cs="Arial"/>
          <w:color w:val="000000"/>
          <w:lang w:eastAsia="bg-BG"/>
        </w:rPr>
        <w:t xml:space="preserve">анализи показват статистически значимо увеличение на риска от кървене при по-мощните </w:t>
      </w:r>
      <w:r w:rsidRPr="00167707">
        <w:rPr>
          <w:rFonts w:eastAsia="Times New Roman" w:cs="Arial"/>
          <w:color w:val="000000"/>
          <w:lang w:val="en-US"/>
        </w:rPr>
        <w:t xml:space="preserve">P2Y12 </w:t>
      </w:r>
      <w:r w:rsidRPr="00167707">
        <w:rPr>
          <w:rFonts w:eastAsia="Times New Roman" w:cs="Arial"/>
          <w:color w:val="000000"/>
          <w:lang w:eastAsia="bg-BG"/>
        </w:rPr>
        <w:t xml:space="preserve">рецепторни инхибитори, което се появява предимно по време на поддържащата фаза, след първия месец след </w:t>
      </w:r>
      <w:r w:rsidRPr="00167707">
        <w:rPr>
          <w:rFonts w:eastAsia="Times New Roman" w:cs="Arial"/>
          <w:color w:val="000000"/>
          <w:lang w:val="en-US"/>
        </w:rPr>
        <w:t xml:space="preserve">ACS. TOPIC </w:t>
      </w:r>
      <w:r w:rsidRPr="00167707">
        <w:rPr>
          <w:rFonts w:eastAsia="Times New Roman" w:cs="Arial"/>
          <w:color w:val="000000"/>
          <w:lang w:eastAsia="bg-BG"/>
        </w:rPr>
        <w:t xml:space="preserve">и </w:t>
      </w:r>
      <w:r w:rsidRPr="00167707">
        <w:rPr>
          <w:rFonts w:eastAsia="Times New Roman" w:cs="Arial"/>
          <w:color w:val="000000"/>
          <w:lang w:val="en-US"/>
        </w:rPr>
        <w:t xml:space="preserve">TROP1CAL-ACS </w:t>
      </w:r>
      <w:r w:rsidRPr="00167707">
        <w:rPr>
          <w:rFonts w:eastAsia="Times New Roman" w:cs="Arial"/>
          <w:color w:val="000000"/>
          <w:lang w:eastAsia="bg-BG"/>
        </w:rPr>
        <w:t>са предназначени да изследват как да се намалят събитията на кървене, като се запази ефикасността.</w:t>
      </w:r>
    </w:p>
    <w:p w14:paraId="71F0742F" w14:textId="77777777" w:rsidR="00167707" w:rsidRPr="00167707" w:rsidRDefault="00167707" w:rsidP="00167707">
      <w:pPr>
        <w:spacing w:line="240" w:lineRule="auto"/>
        <w:rPr>
          <w:rFonts w:eastAsia="Times New Roman" w:cs="Arial"/>
          <w:i/>
          <w:iCs/>
          <w:color w:val="000000"/>
          <w:u w:val="single"/>
          <w:lang w:val="en-US"/>
        </w:rPr>
      </w:pPr>
    </w:p>
    <w:p w14:paraId="5DCDA415" w14:textId="3C4303AA" w:rsidR="00167707" w:rsidRPr="00167707" w:rsidRDefault="00167707" w:rsidP="00167707">
      <w:pPr>
        <w:spacing w:line="240" w:lineRule="auto"/>
        <w:rPr>
          <w:rFonts w:eastAsia="Times New Roman" w:cs="Arial"/>
          <w:lang w:eastAsia="bg-BG"/>
        </w:rPr>
      </w:pPr>
      <w:r w:rsidRPr="00167707">
        <w:rPr>
          <w:rFonts w:eastAsia="Times New Roman" w:cs="Arial"/>
          <w:i/>
          <w:iCs/>
          <w:color w:val="000000"/>
          <w:u w:val="single"/>
          <w:lang w:val="en-US"/>
        </w:rPr>
        <w:t xml:space="preserve">TOPIC </w:t>
      </w:r>
      <w:r w:rsidRPr="00167707">
        <w:rPr>
          <w:rFonts w:eastAsia="Times New Roman" w:cs="Arial"/>
          <w:i/>
          <w:iCs/>
          <w:color w:val="000000"/>
          <w:u w:val="single"/>
          <w:lang w:eastAsia="bg-BG"/>
        </w:rPr>
        <w:t xml:space="preserve">(Време на тромбоцитна инхибиция след остър коронарен синдром - </w:t>
      </w:r>
      <w:r w:rsidRPr="00167707">
        <w:rPr>
          <w:rFonts w:eastAsia="Times New Roman" w:cs="Arial"/>
          <w:i/>
          <w:iCs/>
          <w:color w:val="000000"/>
          <w:u w:val="single"/>
          <w:lang w:val="en-US"/>
        </w:rPr>
        <w:t xml:space="preserve">Timing </w:t>
      </w:r>
      <w:proofErr w:type="gramStart"/>
      <w:r w:rsidRPr="00167707">
        <w:rPr>
          <w:rFonts w:eastAsia="Times New Roman" w:cs="Arial"/>
          <w:i/>
          <w:iCs/>
          <w:color w:val="000000"/>
          <w:u w:val="single"/>
          <w:lang w:val="en-US"/>
        </w:rPr>
        <w:t>Of</w:t>
      </w:r>
      <w:proofErr w:type="gramEnd"/>
      <w:r w:rsidRPr="00167707">
        <w:rPr>
          <w:rFonts w:eastAsia="Times New Roman" w:cs="Arial"/>
          <w:i/>
          <w:iCs/>
          <w:color w:val="000000"/>
          <w:u w:val="single"/>
          <w:lang w:val="en-US"/>
        </w:rPr>
        <w:t xml:space="preserve"> Platelet Inhibition after acute Coronary syndrome)</w:t>
      </w:r>
    </w:p>
    <w:p w14:paraId="351C9B5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Това рандомизирано, открито изпитване включва пациенти с </w:t>
      </w:r>
      <w:r w:rsidRPr="00167707">
        <w:rPr>
          <w:rFonts w:eastAsia="Times New Roman" w:cs="Arial"/>
          <w:color w:val="000000"/>
          <w:lang w:val="en-US"/>
        </w:rPr>
        <w:t xml:space="preserve">ACS, </w:t>
      </w:r>
      <w:r w:rsidRPr="00167707">
        <w:rPr>
          <w:rFonts w:eastAsia="Times New Roman" w:cs="Arial"/>
          <w:color w:val="000000"/>
          <w:lang w:eastAsia="bg-BG"/>
        </w:rPr>
        <w:t xml:space="preserve">които се нуждаят от перкутанна коронарна интервенция </w:t>
      </w:r>
      <w:r w:rsidRPr="00167707">
        <w:rPr>
          <w:rFonts w:eastAsia="Times New Roman" w:cs="Arial"/>
          <w:color w:val="000000"/>
          <w:lang w:val="en-US"/>
        </w:rPr>
        <w:t xml:space="preserve">(PCI). </w:t>
      </w:r>
      <w:r w:rsidRPr="00167707">
        <w:rPr>
          <w:rFonts w:eastAsia="Times New Roman" w:cs="Arial"/>
          <w:color w:val="000000"/>
          <w:lang w:eastAsia="bg-BG"/>
        </w:rPr>
        <w:t xml:space="preserve">Пациентите на аспирин и по-мощен </w:t>
      </w:r>
      <w:r w:rsidRPr="00167707">
        <w:rPr>
          <w:rFonts w:eastAsia="Times New Roman" w:cs="Arial"/>
          <w:color w:val="000000"/>
          <w:lang w:val="en-US"/>
        </w:rPr>
        <w:t xml:space="preserve">P2Y12 </w:t>
      </w:r>
      <w:r w:rsidRPr="00167707">
        <w:rPr>
          <w:rFonts w:eastAsia="Times New Roman" w:cs="Arial"/>
          <w:color w:val="000000"/>
          <w:lang w:eastAsia="bg-BG"/>
        </w:rPr>
        <w:t xml:space="preserve">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sidRPr="00167707">
        <w:rPr>
          <w:rFonts w:eastAsia="Times New Roman" w:cs="Arial"/>
          <w:color w:val="000000"/>
          <w:lang w:val="en-US"/>
        </w:rPr>
        <w:t xml:space="preserve">de-escalated dual antiplatelet therapy, DAPT) </w:t>
      </w:r>
      <w:r w:rsidRPr="00167707">
        <w:rPr>
          <w:rFonts w:eastAsia="Times New Roman" w:cs="Arial"/>
          <w:color w:val="000000"/>
          <w:lang w:eastAsia="bg-BG"/>
        </w:rPr>
        <w:t xml:space="preserve">или да продължат своята лекарствена схема (непроменена </w:t>
      </w:r>
      <w:r w:rsidRPr="00167707">
        <w:rPr>
          <w:rFonts w:eastAsia="Times New Roman" w:cs="Arial"/>
          <w:color w:val="000000"/>
          <w:lang w:val="en-US"/>
        </w:rPr>
        <w:t>DAPT).</w:t>
      </w:r>
    </w:p>
    <w:p w14:paraId="258006B0"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lastRenderedPageBreak/>
        <w:t xml:space="preserve">Анализирани са общо, 645 от 646 пациенти с </w:t>
      </w:r>
      <w:r w:rsidRPr="00167707">
        <w:rPr>
          <w:rFonts w:eastAsia="Times New Roman" w:cs="Arial"/>
          <w:color w:val="000000"/>
          <w:lang w:val="en-US"/>
        </w:rPr>
        <w:t xml:space="preserve">MI </w:t>
      </w:r>
      <w:r w:rsidRPr="00167707">
        <w:rPr>
          <w:rFonts w:eastAsia="Times New Roman" w:cs="Arial"/>
          <w:color w:val="000000"/>
          <w:lang w:eastAsia="bg-BG"/>
        </w:rPr>
        <w:t xml:space="preserve">с </w:t>
      </w:r>
      <w:r w:rsidRPr="00167707">
        <w:rPr>
          <w:rFonts w:eastAsia="Times New Roman" w:cs="Arial"/>
          <w:color w:val="000000"/>
          <w:lang w:val="en-US"/>
        </w:rPr>
        <w:t xml:space="preserve">ST </w:t>
      </w:r>
      <w:r w:rsidRPr="00167707">
        <w:rPr>
          <w:rFonts w:eastAsia="Times New Roman" w:cs="Arial"/>
          <w:color w:val="000000"/>
          <w:lang w:eastAsia="bg-BG"/>
        </w:rPr>
        <w:t xml:space="preserve">елевация </w:t>
      </w:r>
      <w:r w:rsidRPr="00167707">
        <w:rPr>
          <w:rFonts w:eastAsia="Times New Roman" w:cs="Arial"/>
          <w:color w:val="000000"/>
          <w:lang w:val="en-US"/>
        </w:rPr>
        <w:t xml:space="preserve">(STEM1) </w:t>
      </w:r>
      <w:r w:rsidRPr="00167707">
        <w:rPr>
          <w:rFonts w:eastAsia="Times New Roman" w:cs="Arial"/>
          <w:color w:val="000000"/>
          <w:lang w:eastAsia="bg-BG"/>
        </w:rPr>
        <w:t xml:space="preserve">или </w:t>
      </w:r>
      <w:r w:rsidRPr="00167707">
        <w:rPr>
          <w:rFonts w:eastAsia="Times New Roman" w:cs="Arial"/>
          <w:color w:val="000000"/>
          <w:lang w:val="en-US"/>
        </w:rPr>
        <w:t xml:space="preserve">Ml </w:t>
      </w:r>
      <w:r w:rsidRPr="00167707">
        <w:rPr>
          <w:rFonts w:eastAsia="Times New Roman" w:cs="Arial"/>
          <w:color w:val="000000"/>
          <w:lang w:eastAsia="bg-BG"/>
        </w:rPr>
        <w:t xml:space="preserve">без </w:t>
      </w:r>
      <w:r w:rsidRPr="00167707">
        <w:rPr>
          <w:rFonts w:eastAsia="Times New Roman" w:cs="Arial"/>
          <w:color w:val="000000"/>
          <w:lang w:val="en-US"/>
        </w:rPr>
        <w:t xml:space="preserve">ST </w:t>
      </w:r>
      <w:r w:rsidRPr="00167707">
        <w:rPr>
          <w:rFonts w:eastAsia="Times New Roman" w:cs="Arial"/>
          <w:color w:val="000000"/>
          <w:lang w:eastAsia="bg-BG"/>
        </w:rPr>
        <w:t xml:space="preserve">елевация </w:t>
      </w:r>
      <w:r w:rsidRPr="00167707">
        <w:rPr>
          <w:rFonts w:eastAsia="Times New Roman" w:cs="Arial"/>
          <w:color w:val="000000"/>
          <w:lang w:val="en-US"/>
        </w:rPr>
        <w:t xml:space="preserve">(NSTEMI), </w:t>
      </w:r>
      <w:r w:rsidRPr="00167707">
        <w:rPr>
          <w:rFonts w:eastAsia="Times New Roman" w:cs="Arial"/>
          <w:color w:val="000000"/>
          <w:lang w:eastAsia="bg-BG"/>
        </w:rPr>
        <w:t xml:space="preserve">или нестабилна стенокардия (деескалирана </w:t>
      </w:r>
      <w:r w:rsidRPr="00167707">
        <w:rPr>
          <w:rFonts w:eastAsia="Times New Roman" w:cs="Arial"/>
          <w:color w:val="000000"/>
          <w:lang w:val="en-US"/>
        </w:rPr>
        <w:t xml:space="preserve">DAPT </w:t>
      </w:r>
      <w:r w:rsidRPr="00167707">
        <w:rPr>
          <w:rFonts w:eastAsia="Times New Roman" w:cs="Arial"/>
          <w:color w:val="000000"/>
          <w:lang w:eastAsia="bg-BG"/>
        </w:rPr>
        <w:t>(</w:t>
      </w:r>
      <w:r w:rsidRPr="00167707">
        <w:rPr>
          <w:rFonts w:eastAsia="Times New Roman" w:cs="Arial"/>
          <w:color w:val="000000"/>
          <w:lang w:val="en-US"/>
        </w:rPr>
        <w:t>n</w:t>
      </w:r>
      <w:r w:rsidRPr="00167707">
        <w:rPr>
          <w:rFonts w:eastAsia="Times New Roman" w:cs="Arial"/>
          <w:color w:val="000000"/>
          <w:lang w:eastAsia="bg-BG"/>
        </w:rPr>
        <w:t xml:space="preserve"> = 322); непроменена </w:t>
      </w:r>
      <w:r w:rsidRPr="00167707">
        <w:rPr>
          <w:rFonts w:eastAsia="Times New Roman" w:cs="Arial"/>
          <w:color w:val="000000"/>
          <w:lang w:val="en-US"/>
        </w:rPr>
        <w:t xml:space="preserve">DAPT </w:t>
      </w:r>
      <w:r w:rsidRPr="00167707">
        <w:rPr>
          <w:rFonts w:eastAsia="Times New Roman" w:cs="Arial"/>
          <w:color w:val="000000"/>
          <w:lang w:eastAsia="bg-BG"/>
        </w:rPr>
        <w:t>(</w:t>
      </w:r>
      <w:r w:rsidRPr="00167707">
        <w:rPr>
          <w:rFonts w:eastAsia="Times New Roman" w:cs="Arial"/>
          <w:color w:val="000000"/>
          <w:lang w:val="en-US"/>
        </w:rPr>
        <w:t>n</w:t>
      </w:r>
      <w:r w:rsidRPr="00167707">
        <w:rPr>
          <w:rFonts w:eastAsia="Times New Roman" w:cs="Arial"/>
          <w:color w:val="000000"/>
          <w:lang w:eastAsia="bg-BG"/>
        </w:rPr>
        <w:t xml:space="preserve"> = 323)). Проследяване на първата година е извършено при 316 пациенти (98,1 %) в групата на деескалирана </w:t>
      </w:r>
      <w:r w:rsidRPr="00167707">
        <w:rPr>
          <w:rFonts w:eastAsia="Times New Roman" w:cs="Arial"/>
          <w:color w:val="000000"/>
          <w:lang w:val="en-US"/>
        </w:rPr>
        <w:t xml:space="preserve">DAPT </w:t>
      </w:r>
      <w:r w:rsidRPr="00167707">
        <w:rPr>
          <w:rFonts w:eastAsia="Times New Roman" w:cs="Arial"/>
          <w:color w:val="000000"/>
          <w:lang w:eastAsia="bg-BG"/>
        </w:rPr>
        <w:t xml:space="preserve">и 318 пациенти (98,5%) в групата на непроменена </w:t>
      </w:r>
      <w:r w:rsidRPr="00167707">
        <w:rPr>
          <w:rFonts w:eastAsia="Times New Roman" w:cs="Arial"/>
          <w:color w:val="000000"/>
          <w:lang w:val="en-US"/>
        </w:rPr>
        <w:t xml:space="preserve">DAPT. </w:t>
      </w:r>
      <w:r w:rsidRPr="00167707">
        <w:rPr>
          <w:rFonts w:eastAsia="Times New Roman" w:cs="Arial"/>
          <w:color w:val="000000"/>
          <w:lang w:eastAsia="bg-BG"/>
        </w:rPr>
        <w:t>Медианата на проследяване за двете групи е 359 дни. Характеристиките на изследваната кохорта са сходни в двете групи.</w:t>
      </w:r>
    </w:p>
    <w:p w14:paraId="72A72628" w14:textId="77777777" w:rsidR="00167707" w:rsidRPr="00167707" w:rsidRDefault="00167707" w:rsidP="00167707">
      <w:pPr>
        <w:spacing w:line="240" w:lineRule="auto"/>
        <w:rPr>
          <w:rFonts w:eastAsia="Times New Roman" w:cs="Arial"/>
          <w:color w:val="000000"/>
          <w:lang w:eastAsia="bg-BG"/>
        </w:rPr>
      </w:pPr>
    </w:p>
    <w:p w14:paraId="3B8D5C9D" w14:textId="30A630B4"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Първичният резултат, съставна точка от сърдечносъдова смърт, инсулт, спешна реваскуларизация и кървене </w:t>
      </w:r>
      <w:r w:rsidRPr="00167707">
        <w:rPr>
          <w:rFonts w:eastAsia="Times New Roman" w:cs="Arial"/>
          <w:color w:val="000000"/>
          <w:lang w:val="en-US"/>
        </w:rPr>
        <w:t xml:space="preserve">no BARC </w:t>
      </w:r>
      <w:r w:rsidRPr="00167707">
        <w:rPr>
          <w:rFonts w:eastAsia="Times New Roman" w:cs="Arial"/>
          <w:color w:val="000000"/>
          <w:lang w:eastAsia="bg-BG"/>
        </w:rPr>
        <w:t xml:space="preserve">(академичен изследователски консорциум по кървене - </w:t>
      </w:r>
      <w:r w:rsidRPr="00167707">
        <w:rPr>
          <w:rFonts w:eastAsia="Times New Roman" w:cs="Arial"/>
          <w:color w:val="000000"/>
          <w:lang w:val="en-US"/>
        </w:rPr>
        <w:t xml:space="preserve">Bleeding Academic Research Consortium) </w:t>
      </w:r>
      <w:r w:rsidRPr="00167707">
        <w:rPr>
          <w:rFonts w:eastAsia="Times New Roman" w:cs="Arial"/>
          <w:color w:val="000000"/>
          <w:lang w:eastAsia="bg-BG"/>
        </w:rPr>
        <w:t>≥</w:t>
      </w:r>
      <w:r w:rsidRPr="00167707">
        <w:rPr>
          <w:rFonts w:eastAsia="Times New Roman" w:cs="Arial"/>
          <w:color w:val="000000"/>
          <w:lang w:val="en-US"/>
        </w:rPr>
        <w:t xml:space="preserve"> 2 </w:t>
      </w:r>
      <w:r w:rsidRPr="00167707">
        <w:rPr>
          <w:rFonts w:eastAsia="Times New Roman" w:cs="Arial"/>
          <w:color w:val="000000"/>
          <w:lang w:eastAsia="bg-BG"/>
        </w:rPr>
        <w:t xml:space="preserve">на 1-вата година след </w:t>
      </w:r>
      <w:r w:rsidRPr="00167707">
        <w:rPr>
          <w:rFonts w:eastAsia="Times New Roman" w:cs="Arial"/>
          <w:color w:val="000000"/>
          <w:lang w:val="en-US"/>
        </w:rPr>
        <w:t xml:space="preserve">ACS, </w:t>
      </w:r>
      <w:r w:rsidRPr="00167707">
        <w:rPr>
          <w:rFonts w:eastAsia="Times New Roman" w:cs="Arial"/>
          <w:color w:val="000000"/>
          <w:lang w:eastAsia="bg-BG"/>
        </w:rPr>
        <w:t xml:space="preserve">е настъпил при 43 пациенти (13,4%) в групата на деескалирана </w:t>
      </w:r>
      <w:r w:rsidRPr="00167707">
        <w:rPr>
          <w:rFonts w:eastAsia="Times New Roman" w:cs="Arial"/>
          <w:color w:val="000000"/>
          <w:lang w:val="en-US"/>
        </w:rPr>
        <w:t xml:space="preserve">DAPT </w:t>
      </w:r>
      <w:r w:rsidRPr="00167707">
        <w:rPr>
          <w:rFonts w:eastAsia="Times New Roman" w:cs="Arial"/>
          <w:color w:val="000000"/>
          <w:lang w:eastAsia="bg-BG"/>
        </w:rPr>
        <w:t xml:space="preserve">и 85 пациенти (26,3%) в групата на непроменена </w:t>
      </w:r>
      <w:r w:rsidRPr="00167707">
        <w:rPr>
          <w:rFonts w:eastAsia="Times New Roman" w:cs="Arial"/>
          <w:color w:val="000000"/>
          <w:lang w:val="en-US"/>
        </w:rPr>
        <w:t xml:space="preserve">DAPT </w:t>
      </w:r>
      <w:r w:rsidRPr="00167707">
        <w:rPr>
          <w:rFonts w:eastAsia="Times New Roman" w:cs="Arial"/>
          <w:color w:val="000000"/>
          <w:lang w:eastAsia="bg-BG"/>
        </w:rPr>
        <w:t xml:space="preserve">(р&lt;0,01). Тази статистически значима разлика се дължи основно на по- малко събития на кървене, без да се наблюдава разлика при крайните точки за исхемия (р=0,36), докато кървене по В </w:t>
      </w:r>
      <w:r w:rsidRPr="00167707">
        <w:rPr>
          <w:rFonts w:eastAsia="Times New Roman" w:cs="Arial"/>
          <w:color w:val="000000"/>
          <w:lang w:val="en-US"/>
        </w:rPr>
        <w:t xml:space="preserve">ARC </w:t>
      </w:r>
      <w:r w:rsidRPr="00167707">
        <w:rPr>
          <w:rFonts w:eastAsia="Times New Roman" w:cs="Arial"/>
          <w:color w:val="000000"/>
          <w:lang w:eastAsia="bg-BG"/>
        </w:rPr>
        <w:t>≥</w:t>
      </w:r>
      <w:r w:rsidRPr="00167707">
        <w:rPr>
          <w:rFonts w:eastAsia="Times New Roman" w:cs="Arial"/>
          <w:color w:val="000000"/>
          <w:lang w:val="en-US"/>
        </w:rPr>
        <w:t xml:space="preserve"> </w:t>
      </w:r>
      <w:r w:rsidRPr="00167707">
        <w:rPr>
          <w:rFonts w:eastAsia="Times New Roman" w:cs="Arial"/>
          <w:color w:val="000000"/>
          <w:lang w:eastAsia="bg-BG"/>
        </w:rPr>
        <w:t xml:space="preserve">2 се наблюдава по-рядко в групата на деескалирана </w:t>
      </w:r>
      <w:r w:rsidRPr="00167707">
        <w:rPr>
          <w:rFonts w:eastAsia="Times New Roman" w:cs="Arial"/>
          <w:color w:val="000000"/>
          <w:lang w:val="en-US"/>
        </w:rPr>
        <w:t xml:space="preserve">DAPT </w:t>
      </w:r>
      <w:r w:rsidRPr="00167707">
        <w:rPr>
          <w:rFonts w:eastAsia="Times New Roman" w:cs="Arial"/>
          <w:color w:val="000000"/>
          <w:lang w:eastAsia="bg-BG"/>
        </w:rPr>
        <w:t xml:space="preserve">(4,0%), спрямо 14,9% в групата на непроменена </w:t>
      </w:r>
      <w:r w:rsidRPr="00167707">
        <w:rPr>
          <w:rFonts w:eastAsia="Times New Roman" w:cs="Arial"/>
          <w:color w:val="000000"/>
          <w:lang w:val="en-US"/>
        </w:rPr>
        <w:t xml:space="preserve">DAPT </w:t>
      </w:r>
      <w:r w:rsidRPr="00167707">
        <w:rPr>
          <w:rFonts w:eastAsia="Times New Roman" w:cs="Arial"/>
          <w:color w:val="000000"/>
          <w:lang w:eastAsia="bg-BG"/>
        </w:rPr>
        <w:t xml:space="preserve">(р&lt;0,01). Събития на кървене, определени като всички степени по </w:t>
      </w:r>
      <w:r w:rsidRPr="00167707">
        <w:rPr>
          <w:rFonts w:eastAsia="Times New Roman" w:cs="Arial"/>
          <w:color w:val="000000"/>
          <w:lang w:val="en-US"/>
        </w:rPr>
        <w:t xml:space="preserve">BARC </w:t>
      </w:r>
      <w:r w:rsidRPr="00167707">
        <w:rPr>
          <w:rFonts w:eastAsia="Times New Roman" w:cs="Arial"/>
          <w:color w:val="000000"/>
          <w:lang w:eastAsia="bg-BG"/>
        </w:rPr>
        <w:t xml:space="preserve">се наблюдават при 30 пациенти (9,3%) в групата на деескалирана </w:t>
      </w:r>
      <w:r w:rsidRPr="00167707">
        <w:rPr>
          <w:rFonts w:eastAsia="Times New Roman" w:cs="Arial"/>
          <w:color w:val="000000"/>
          <w:lang w:val="en-US"/>
        </w:rPr>
        <w:t xml:space="preserve">DAPT </w:t>
      </w:r>
      <w:r w:rsidRPr="00167707">
        <w:rPr>
          <w:rFonts w:eastAsia="Times New Roman" w:cs="Arial"/>
          <w:color w:val="000000"/>
          <w:lang w:eastAsia="bg-BG"/>
        </w:rPr>
        <w:t xml:space="preserve">и 76 пациенти (23,5%) в групата на непроменена </w:t>
      </w:r>
      <w:r w:rsidRPr="00167707">
        <w:rPr>
          <w:rFonts w:eastAsia="Times New Roman" w:cs="Arial"/>
          <w:color w:val="000000"/>
          <w:lang w:val="en-US"/>
        </w:rPr>
        <w:t xml:space="preserve">DAPT </w:t>
      </w:r>
      <w:r w:rsidRPr="00167707">
        <w:rPr>
          <w:rFonts w:eastAsia="Times New Roman" w:cs="Arial"/>
          <w:color w:val="000000"/>
          <w:lang w:eastAsia="bg-BG"/>
        </w:rPr>
        <w:t>(р&lt;0,01).</w:t>
      </w:r>
    </w:p>
    <w:p w14:paraId="44383B2D" w14:textId="77777777" w:rsidR="00167707" w:rsidRPr="00167707" w:rsidRDefault="00167707" w:rsidP="00167707">
      <w:pPr>
        <w:spacing w:line="240" w:lineRule="auto"/>
        <w:rPr>
          <w:rFonts w:eastAsia="Times New Roman" w:cs="Arial"/>
          <w:i/>
          <w:iCs/>
          <w:color w:val="000000"/>
          <w:u w:val="single"/>
          <w:lang w:val="en-US"/>
        </w:rPr>
      </w:pPr>
    </w:p>
    <w:p w14:paraId="3926C23C" w14:textId="4C49BF2F" w:rsidR="00167707" w:rsidRPr="00167707" w:rsidRDefault="00167707" w:rsidP="00167707">
      <w:pPr>
        <w:spacing w:line="240" w:lineRule="auto"/>
        <w:rPr>
          <w:rFonts w:eastAsia="Times New Roman" w:cs="Arial"/>
          <w:lang w:eastAsia="bg-BG"/>
        </w:rPr>
      </w:pPr>
      <w:r w:rsidRPr="00167707">
        <w:rPr>
          <w:rFonts w:eastAsia="Times New Roman" w:cs="Arial"/>
          <w:i/>
          <w:iCs/>
          <w:color w:val="000000"/>
          <w:u w:val="single"/>
          <w:lang w:val="en-US"/>
        </w:rPr>
        <w:t xml:space="preserve">TROPICAL-ACS </w:t>
      </w:r>
      <w:r w:rsidRPr="00167707">
        <w:rPr>
          <w:rFonts w:eastAsia="Times New Roman" w:cs="Arial"/>
          <w:i/>
          <w:iCs/>
          <w:color w:val="000000"/>
          <w:u w:val="single"/>
          <w:lang w:eastAsia="bg-BG"/>
        </w:rPr>
        <w:t xml:space="preserve">(Изследване на отговора към тромбоцитна инхибиция при хронична антитромбоцитна терапия за остър коронарен синдром - </w:t>
      </w:r>
      <w:r w:rsidRPr="00167707">
        <w:rPr>
          <w:rFonts w:eastAsia="Times New Roman" w:cs="Arial"/>
          <w:i/>
          <w:iCs/>
          <w:color w:val="000000"/>
          <w:u w:val="single"/>
          <w:lang w:val="en-US"/>
        </w:rPr>
        <w:t>Testing Responsiveness to Platelet Inhibition on Chronic Antiplatelet Treatment for Acute Coronary Syndromes)</w:t>
      </w:r>
    </w:p>
    <w:p w14:paraId="28252AA0" w14:textId="5049BF68" w:rsidR="0091385D"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Това рандомизирано, открито изпитване включва 2 610 положителни за биомаркер пациенти с </w:t>
      </w:r>
      <w:r w:rsidRPr="00167707">
        <w:rPr>
          <w:rFonts w:eastAsia="Times New Roman" w:cs="Arial"/>
          <w:color w:val="000000"/>
          <w:lang w:val="en-US"/>
        </w:rPr>
        <w:t xml:space="preserve">ACS </w:t>
      </w:r>
      <w:r w:rsidRPr="00167707">
        <w:rPr>
          <w:rFonts w:eastAsia="Times New Roman" w:cs="Arial"/>
          <w:color w:val="000000"/>
          <w:lang w:eastAsia="bg-BG"/>
        </w:rPr>
        <w:t xml:space="preserve">след успешна </w:t>
      </w:r>
      <w:r w:rsidRPr="00167707">
        <w:rPr>
          <w:rFonts w:eastAsia="Times New Roman" w:cs="Arial"/>
          <w:color w:val="000000"/>
          <w:lang w:val="en-US"/>
        </w:rPr>
        <w:t xml:space="preserve">PCI. </w:t>
      </w:r>
      <w:r w:rsidRPr="00167707">
        <w:rPr>
          <w:rFonts w:eastAsia="Times New Roman" w:cs="Arial"/>
          <w:color w:val="000000"/>
          <w:lang w:eastAsia="bg-BG"/>
        </w:rPr>
        <w:t xml:space="preserve">Пациентите са рандомизирани да получават празугрел 5 или 10 </w:t>
      </w:r>
      <w:r w:rsidRPr="00167707">
        <w:rPr>
          <w:rFonts w:eastAsia="Times New Roman" w:cs="Arial"/>
          <w:color w:val="000000"/>
          <w:lang w:val="en-US"/>
        </w:rPr>
        <w:t>mg</w:t>
      </w:r>
      <w:r w:rsidRPr="00167707">
        <w:rPr>
          <w:rFonts w:eastAsia="Times New Roman" w:cs="Arial"/>
          <w:color w:val="000000"/>
          <w:lang w:eastAsia="bg-BG"/>
        </w:rPr>
        <w:t>/ден (Дни 0-14) (</w:t>
      </w:r>
      <w:r w:rsidRPr="00167707">
        <w:rPr>
          <w:rFonts w:eastAsia="Times New Roman" w:cs="Arial"/>
          <w:color w:val="000000"/>
          <w:lang w:val="en-US"/>
        </w:rPr>
        <w:t>n</w:t>
      </w:r>
      <w:r w:rsidRPr="00167707">
        <w:rPr>
          <w:rFonts w:eastAsia="Times New Roman" w:cs="Arial"/>
          <w:color w:val="000000"/>
          <w:lang w:eastAsia="bg-BG"/>
        </w:rPr>
        <w:t xml:space="preserve"> = 1306), или празугрел 5 или 10 </w:t>
      </w:r>
      <w:r w:rsidRPr="00167707">
        <w:rPr>
          <w:rFonts w:eastAsia="Times New Roman" w:cs="Arial"/>
          <w:color w:val="000000"/>
          <w:lang w:val="en-US"/>
        </w:rPr>
        <w:t>mg</w:t>
      </w:r>
      <w:r w:rsidRPr="00167707">
        <w:rPr>
          <w:rFonts w:eastAsia="Times New Roman" w:cs="Arial"/>
          <w:color w:val="000000"/>
          <w:lang w:eastAsia="bg-BG"/>
        </w:rPr>
        <w:t xml:space="preserve">/ден (Дни 0-7), след което са деескалирани на клопидогрел 75 </w:t>
      </w:r>
      <w:r w:rsidRPr="00167707">
        <w:rPr>
          <w:rFonts w:eastAsia="Times New Roman" w:cs="Arial"/>
          <w:color w:val="000000"/>
          <w:lang w:val="en-US"/>
        </w:rPr>
        <w:t>mg</w:t>
      </w:r>
      <w:r w:rsidRPr="00167707">
        <w:rPr>
          <w:rFonts w:eastAsia="Times New Roman" w:cs="Arial"/>
          <w:color w:val="000000"/>
          <w:lang w:eastAsia="bg-BG"/>
        </w:rPr>
        <w:t>/ден (Дни 8-14) (</w:t>
      </w:r>
      <w:r w:rsidRPr="00167707">
        <w:rPr>
          <w:rFonts w:eastAsia="Times New Roman" w:cs="Arial"/>
          <w:color w:val="000000"/>
          <w:lang w:val="en-US"/>
        </w:rPr>
        <w:t>n</w:t>
      </w:r>
      <w:r w:rsidRPr="00167707">
        <w:rPr>
          <w:rFonts w:eastAsia="Times New Roman" w:cs="Arial"/>
          <w:color w:val="000000"/>
          <w:lang w:eastAsia="bg-BG"/>
        </w:rPr>
        <w:t xml:space="preserve"> = 1304), в комбинация с АСК (&lt;100 </w:t>
      </w:r>
      <w:r w:rsidRPr="00167707">
        <w:rPr>
          <w:rFonts w:eastAsia="Times New Roman" w:cs="Arial"/>
          <w:color w:val="000000"/>
          <w:lang w:val="en-US"/>
        </w:rPr>
        <w:t>mg/</w:t>
      </w:r>
      <w:r w:rsidRPr="00167707">
        <w:rPr>
          <w:rFonts w:eastAsia="Times New Roman" w:cs="Arial"/>
          <w:color w:val="000000"/>
          <w:lang w:eastAsia="bg-BG"/>
        </w:rPr>
        <w:t xml:space="preserve">ден). На 14-ия ден е проведено изследване на тромбоцитната функция </w:t>
      </w:r>
      <w:r w:rsidRPr="00167707">
        <w:rPr>
          <w:rFonts w:eastAsia="Times New Roman" w:cs="Arial"/>
          <w:color w:val="000000"/>
          <w:lang w:val="en-US"/>
        </w:rPr>
        <w:t xml:space="preserve">(platelet function testing, PFT). </w:t>
      </w:r>
      <w:r w:rsidRPr="00167707">
        <w:rPr>
          <w:rFonts w:eastAsia="Times New Roman" w:cs="Arial"/>
          <w:color w:val="000000"/>
          <w:lang w:eastAsia="bg-BG"/>
        </w:rPr>
        <w:t xml:space="preserve">Пациентите, лекувани само с празугрел са продължили на празугрел в продължение на 11,5 месеца. Деескалираните пациенти са били подложени на високочувствителен тест на тромбоцитна реактивност </w:t>
      </w:r>
      <w:r w:rsidRPr="00167707">
        <w:rPr>
          <w:rFonts w:eastAsia="Times New Roman" w:cs="Arial"/>
          <w:color w:val="000000"/>
          <w:lang w:val="en-US"/>
        </w:rPr>
        <w:t xml:space="preserve">(high platelet reactivity, HPR). </w:t>
      </w:r>
      <w:r w:rsidRPr="00167707">
        <w:rPr>
          <w:rFonts w:eastAsia="Times New Roman" w:cs="Arial"/>
          <w:color w:val="000000"/>
          <w:lang w:eastAsia="bg-BG"/>
        </w:rPr>
        <w:t xml:space="preserve">Ако </w:t>
      </w:r>
      <w:r w:rsidRPr="00167707">
        <w:rPr>
          <w:rFonts w:eastAsia="Times New Roman" w:cs="Arial"/>
          <w:color w:val="000000"/>
          <w:lang w:val="en-US"/>
        </w:rPr>
        <w:t xml:space="preserve">HPR </w:t>
      </w:r>
      <w:r w:rsidRPr="00167707">
        <w:rPr>
          <w:rFonts w:eastAsia="Times New Roman" w:cs="Arial"/>
          <w:color w:val="000000"/>
          <w:lang w:eastAsia="bg-BG"/>
        </w:rPr>
        <w:t>е ≥</w:t>
      </w:r>
      <w:r w:rsidRPr="00167707">
        <w:rPr>
          <w:rFonts w:eastAsia="Times New Roman" w:cs="Arial"/>
          <w:color w:val="000000"/>
          <w:lang w:val="en-US"/>
        </w:rPr>
        <w:t xml:space="preserve">46 </w:t>
      </w:r>
      <w:r w:rsidRPr="00167707">
        <w:rPr>
          <w:rFonts w:eastAsia="Times New Roman" w:cs="Arial"/>
          <w:color w:val="000000"/>
          <w:lang w:eastAsia="bg-BG"/>
        </w:rPr>
        <w:t xml:space="preserve">единици, пациентите са били ескалирани обратно на празугрел 5 или 10 </w:t>
      </w:r>
      <w:r w:rsidRPr="00167707">
        <w:rPr>
          <w:rFonts w:eastAsia="Times New Roman" w:cs="Arial"/>
          <w:color w:val="000000"/>
          <w:lang w:val="en-US"/>
        </w:rPr>
        <w:t>mg</w:t>
      </w:r>
      <w:r w:rsidRPr="00167707">
        <w:rPr>
          <w:rFonts w:eastAsia="Times New Roman" w:cs="Arial"/>
          <w:color w:val="000000"/>
          <w:lang w:eastAsia="bg-BG"/>
        </w:rPr>
        <w:t xml:space="preserve">/ден за 11,5 месеца; ако </w:t>
      </w:r>
      <w:r w:rsidRPr="00167707">
        <w:rPr>
          <w:rFonts w:eastAsia="Times New Roman" w:cs="Arial"/>
          <w:color w:val="000000"/>
          <w:lang w:val="en-US"/>
        </w:rPr>
        <w:t xml:space="preserve">HPR </w:t>
      </w:r>
      <w:r w:rsidRPr="00167707">
        <w:rPr>
          <w:rFonts w:eastAsia="Times New Roman" w:cs="Arial"/>
          <w:color w:val="000000"/>
          <w:lang w:eastAsia="bg-BG"/>
        </w:rPr>
        <w:t xml:space="preserve">е &lt;46 единици, пациентите са продължили на клопидогрел 75 </w:t>
      </w:r>
      <w:r w:rsidRPr="00167707">
        <w:rPr>
          <w:rFonts w:eastAsia="Times New Roman" w:cs="Arial"/>
          <w:color w:val="000000"/>
          <w:lang w:val="en-US"/>
        </w:rPr>
        <w:t>mg</w:t>
      </w:r>
      <w:r w:rsidRPr="00167707">
        <w:rPr>
          <w:rFonts w:eastAsia="Times New Roman" w:cs="Arial"/>
          <w:color w:val="000000"/>
          <w:lang w:eastAsia="bg-BG"/>
        </w:rPr>
        <w:t>/ден за 11,5 месеца. Следователно водещата група на деескалация включва пациенти на празугрел (40%) или клопидогрел (60%). Всички</w:t>
      </w:r>
      <w:r w:rsidRPr="00167707">
        <w:rPr>
          <w:rFonts w:eastAsia="Times New Roman" w:cs="Arial"/>
          <w:lang w:eastAsia="bg-BG"/>
        </w:rPr>
        <w:t xml:space="preserve"> </w:t>
      </w:r>
      <w:r w:rsidRPr="00167707">
        <w:rPr>
          <w:rFonts w:eastAsia="Times New Roman" w:cs="Arial"/>
          <w:color w:val="000000"/>
          <w:lang w:eastAsia="bg-BG"/>
        </w:rPr>
        <w:t>пациенти са продължили на аспирин и са проследени в продължение на една година.</w:t>
      </w:r>
    </w:p>
    <w:p w14:paraId="36152471" w14:textId="3840DBB0" w:rsidR="0091385D" w:rsidRPr="00167707" w:rsidRDefault="0091385D" w:rsidP="0091385D">
      <w:pPr>
        <w:rPr>
          <w:rFonts w:cs="Arial"/>
        </w:rPr>
      </w:pPr>
    </w:p>
    <w:p w14:paraId="637FD82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Първичната крайна точка (комбинирана честота на сърдечносъдова смърт, </w:t>
      </w:r>
      <w:r w:rsidRPr="00167707">
        <w:rPr>
          <w:rFonts w:eastAsia="Times New Roman" w:cs="Arial"/>
          <w:color w:val="000000"/>
          <w:lang w:val="en-US"/>
        </w:rPr>
        <w:t xml:space="preserve">MI, </w:t>
      </w:r>
      <w:r w:rsidRPr="00167707">
        <w:rPr>
          <w:rFonts w:eastAsia="Times New Roman" w:cs="Arial"/>
          <w:color w:val="000000"/>
          <w:lang w:eastAsia="bg-BG"/>
        </w:rPr>
        <w:t xml:space="preserve">инсулт и кървене по </w:t>
      </w:r>
      <w:r w:rsidRPr="00167707">
        <w:rPr>
          <w:rFonts w:eastAsia="Times New Roman" w:cs="Arial"/>
          <w:color w:val="000000"/>
          <w:lang w:val="en-US"/>
        </w:rPr>
        <w:t xml:space="preserve">BARC </w:t>
      </w:r>
      <w:r w:rsidRPr="00167707">
        <w:rPr>
          <w:rFonts w:eastAsia="Times New Roman" w:cs="Arial"/>
          <w:color w:val="000000"/>
          <w:lang w:eastAsia="bg-BG"/>
        </w:rPr>
        <w:t xml:space="preserve">≥2 степен на 12 месеца) е изпълнена, което показва не по-малка ефикасност. Деветдесет и пет пациенти (7%) във водещата хрупа на деескалация и 118 пациенти (9%) в контролната група (р на неинфериорност=0,0004)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р на неинфериорност=0,0115), нито на основната вторична крайна точка кървене по </w:t>
      </w:r>
      <w:r w:rsidRPr="00167707">
        <w:rPr>
          <w:rFonts w:eastAsia="Times New Roman" w:cs="Arial"/>
          <w:color w:val="000000"/>
          <w:lang w:val="en-US"/>
        </w:rPr>
        <w:t xml:space="preserve">BARC </w:t>
      </w:r>
      <w:r w:rsidRPr="00167707">
        <w:rPr>
          <w:rFonts w:eastAsia="Times New Roman" w:cs="Arial"/>
          <w:color w:val="000000"/>
          <w:lang w:eastAsia="bg-BG"/>
        </w:rPr>
        <w:t xml:space="preserve">≥2 степен ((5%) в групата на деескалация спрямо 6% в контролната група (р=О,23)). Кумулативната честота на събития на кървене от всички степени (клас по </w:t>
      </w:r>
      <w:r w:rsidRPr="00167707">
        <w:rPr>
          <w:rFonts w:eastAsia="Times New Roman" w:cs="Arial"/>
          <w:color w:val="000000"/>
          <w:lang w:val="en-US"/>
        </w:rPr>
        <w:t xml:space="preserve">BARC </w:t>
      </w:r>
      <w:r w:rsidRPr="00167707">
        <w:rPr>
          <w:rFonts w:eastAsia="Times New Roman" w:cs="Arial"/>
          <w:color w:val="000000"/>
          <w:lang w:eastAsia="bg-BG"/>
        </w:rPr>
        <w:t>1 до 5) е 9% (114 събития) във водещата група на деескалация, спрямо 11% (137 събития) в контролната група (р=0,14).</w:t>
      </w:r>
    </w:p>
    <w:p w14:paraId="2FF66A70" w14:textId="77777777" w:rsidR="00167707" w:rsidRPr="00167707" w:rsidRDefault="00167707" w:rsidP="00167707">
      <w:pPr>
        <w:spacing w:line="240" w:lineRule="auto"/>
        <w:rPr>
          <w:rFonts w:eastAsia="Times New Roman" w:cs="Arial"/>
          <w:i/>
          <w:iCs/>
          <w:color w:val="000000"/>
          <w:lang w:eastAsia="bg-BG"/>
        </w:rPr>
      </w:pPr>
    </w:p>
    <w:p w14:paraId="3A940525" w14:textId="6A5A9441" w:rsidR="00167707" w:rsidRPr="00167707" w:rsidRDefault="00167707" w:rsidP="00167707">
      <w:pPr>
        <w:spacing w:line="240" w:lineRule="auto"/>
        <w:rPr>
          <w:rFonts w:eastAsia="Times New Roman" w:cs="Arial"/>
          <w:lang w:eastAsia="bg-BG"/>
        </w:rPr>
      </w:pPr>
      <w:r w:rsidRPr="00167707">
        <w:rPr>
          <w:rFonts w:eastAsia="Times New Roman" w:cs="Arial"/>
          <w:i/>
          <w:iCs/>
          <w:color w:val="000000"/>
          <w:lang w:eastAsia="bg-BG"/>
        </w:rPr>
        <w:t xml:space="preserve">Двойна антитромбоцитна терапия </w:t>
      </w:r>
      <w:r w:rsidRPr="00167707">
        <w:rPr>
          <w:rFonts w:eastAsia="Times New Roman" w:cs="Arial"/>
          <w:i/>
          <w:iCs/>
          <w:color w:val="000000"/>
          <w:lang w:val="en-US"/>
        </w:rPr>
        <w:t xml:space="preserve">(Dual Antiplatelet Therapy, DAPT) </w:t>
      </w:r>
      <w:r w:rsidRPr="00167707">
        <w:rPr>
          <w:rFonts w:eastAsia="Times New Roman" w:cs="Arial"/>
          <w:i/>
          <w:iCs/>
          <w:color w:val="000000"/>
          <w:lang w:eastAsia="bg-BG"/>
        </w:rPr>
        <w:t xml:space="preserve">при остър лек </w:t>
      </w:r>
      <w:r w:rsidRPr="00167707">
        <w:rPr>
          <w:rFonts w:eastAsia="Times New Roman" w:cs="Arial"/>
          <w:i/>
          <w:iCs/>
          <w:color w:val="000000"/>
          <w:lang w:val="en-US"/>
        </w:rPr>
        <w:t xml:space="preserve">IS </w:t>
      </w:r>
      <w:r w:rsidRPr="00167707">
        <w:rPr>
          <w:rFonts w:eastAsia="Times New Roman" w:cs="Arial"/>
          <w:i/>
          <w:iCs/>
          <w:color w:val="000000"/>
          <w:lang w:eastAsia="bg-BG"/>
        </w:rPr>
        <w:t>или Т1А с умерен до висок риск</w:t>
      </w:r>
    </w:p>
    <w:p w14:paraId="5B96200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val="en-US"/>
        </w:rPr>
        <w:lastRenderedPageBreak/>
        <w:t xml:space="preserve">DAPT </w:t>
      </w:r>
      <w:r w:rsidRPr="00167707">
        <w:rPr>
          <w:rFonts w:eastAsia="Times New Roman" w:cs="Arial"/>
          <w:color w:val="000000"/>
          <w:lang w:eastAsia="bg-BG"/>
        </w:rPr>
        <w:t xml:space="preserve">с комбинация клопидогрел и АСК като лечение за предотвратяване на инсулт след остър лек </w:t>
      </w:r>
      <w:r w:rsidRPr="00167707">
        <w:rPr>
          <w:rFonts w:eastAsia="Times New Roman" w:cs="Arial"/>
          <w:color w:val="000000"/>
          <w:lang w:val="en-US"/>
        </w:rPr>
        <w:t xml:space="preserve">1S </w:t>
      </w:r>
      <w:r w:rsidRPr="00167707">
        <w:rPr>
          <w:rFonts w:eastAsia="Times New Roman" w:cs="Arial"/>
          <w:color w:val="000000"/>
          <w:lang w:eastAsia="bg-BG"/>
        </w:rPr>
        <w:t xml:space="preserve">или </w:t>
      </w:r>
      <w:r w:rsidRPr="00167707">
        <w:rPr>
          <w:rFonts w:eastAsia="Times New Roman" w:cs="Arial"/>
          <w:color w:val="000000"/>
          <w:lang w:val="en-US"/>
        </w:rPr>
        <w:t xml:space="preserve">TIA </w:t>
      </w:r>
      <w:r w:rsidRPr="00167707">
        <w:rPr>
          <w:rFonts w:eastAsia="Times New Roman" w:cs="Arial"/>
          <w:color w:val="000000"/>
          <w:lang w:eastAsia="bg-BG"/>
        </w:rPr>
        <w:t xml:space="preserve">с умерен до висок риск е оценена в две рандомизирани проучвания, спонсорирани от изследователя </w:t>
      </w:r>
      <w:r w:rsidRPr="00167707">
        <w:rPr>
          <w:rFonts w:eastAsia="Times New Roman" w:cs="Arial"/>
          <w:color w:val="000000"/>
          <w:lang w:val="en-US"/>
        </w:rPr>
        <w:t xml:space="preserve">(investigator-sponsored studies, ISS) </w:t>
      </w:r>
      <w:r w:rsidRPr="00167707">
        <w:rPr>
          <w:rFonts w:eastAsia="Times New Roman" w:cs="Arial"/>
          <w:color w:val="000000"/>
          <w:lang w:eastAsia="bg-BG"/>
        </w:rPr>
        <w:t xml:space="preserve">- </w:t>
      </w:r>
      <w:r w:rsidRPr="00167707">
        <w:rPr>
          <w:rFonts w:eastAsia="Times New Roman" w:cs="Arial"/>
          <w:color w:val="000000"/>
          <w:lang w:val="en-US"/>
        </w:rPr>
        <w:t xml:space="preserve">CHANCE </w:t>
      </w:r>
      <w:r w:rsidRPr="00167707">
        <w:rPr>
          <w:rFonts w:eastAsia="Times New Roman" w:cs="Arial"/>
          <w:color w:val="000000"/>
          <w:lang w:eastAsia="bg-BG"/>
        </w:rPr>
        <w:t xml:space="preserve">и </w:t>
      </w:r>
      <w:r w:rsidRPr="00167707">
        <w:rPr>
          <w:rFonts w:eastAsia="Times New Roman" w:cs="Arial"/>
          <w:color w:val="000000"/>
          <w:lang w:val="en-US"/>
        </w:rPr>
        <w:t xml:space="preserve">POINT - c </w:t>
      </w:r>
      <w:r w:rsidRPr="00167707">
        <w:rPr>
          <w:rFonts w:eastAsia="Times New Roman" w:cs="Arial"/>
          <w:color w:val="000000"/>
          <w:lang w:eastAsia="bg-BG"/>
        </w:rPr>
        <w:t>данни за клинични резултати за безопасност и ефикасност.</w:t>
      </w:r>
    </w:p>
    <w:p w14:paraId="261AB9E7" w14:textId="77777777" w:rsidR="00167707" w:rsidRPr="00167707" w:rsidRDefault="00167707" w:rsidP="00167707">
      <w:pPr>
        <w:spacing w:line="240" w:lineRule="auto"/>
        <w:rPr>
          <w:rFonts w:eastAsia="Times New Roman" w:cs="Arial"/>
          <w:i/>
          <w:iCs/>
          <w:color w:val="000000"/>
          <w:u w:val="single"/>
          <w:lang w:val="en-US"/>
        </w:rPr>
      </w:pPr>
    </w:p>
    <w:p w14:paraId="1CDF79E1" w14:textId="3CA39DDA" w:rsidR="00167707" w:rsidRPr="00167707" w:rsidRDefault="00167707" w:rsidP="00167707">
      <w:pPr>
        <w:spacing w:line="240" w:lineRule="auto"/>
        <w:rPr>
          <w:rFonts w:eastAsia="Times New Roman" w:cs="Arial"/>
          <w:lang w:eastAsia="bg-BG"/>
        </w:rPr>
      </w:pPr>
      <w:r w:rsidRPr="00167707">
        <w:rPr>
          <w:rFonts w:eastAsia="Times New Roman" w:cs="Arial"/>
          <w:i/>
          <w:iCs/>
          <w:color w:val="000000"/>
          <w:u w:val="single"/>
          <w:lang w:val="en-US"/>
        </w:rPr>
        <w:t xml:space="preserve">CHANCE </w:t>
      </w:r>
      <w:r w:rsidRPr="00167707">
        <w:rPr>
          <w:rFonts w:eastAsia="Times New Roman" w:cs="Arial"/>
          <w:i/>
          <w:iCs/>
          <w:color w:val="000000"/>
          <w:u w:val="single"/>
          <w:lang w:eastAsia="bg-BG"/>
        </w:rPr>
        <w:t xml:space="preserve">(клопидогрел при високооискови пациенти с остри неинвалидизираши мозъчносъдови събития - </w:t>
      </w:r>
      <w:proofErr w:type="spellStart"/>
      <w:r w:rsidRPr="00167707">
        <w:rPr>
          <w:rFonts w:eastAsia="Times New Roman" w:cs="Arial"/>
          <w:i/>
          <w:iCs/>
          <w:color w:val="000000"/>
          <w:u w:val="single"/>
          <w:lang w:val="en-US"/>
        </w:rPr>
        <w:t>Clopidogrel</w:t>
      </w:r>
      <w:proofErr w:type="spellEnd"/>
      <w:r w:rsidRPr="00167707">
        <w:rPr>
          <w:rFonts w:eastAsia="Times New Roman" w:cs="Arial"/>
          <w:i/>
          <w:iCs/>
          <w:color w:val="000000"/>
          <w:u w:val="single"/>
          <w:lang w:val="en-US"/>
        </w:rPr>
        <w:t xml:space="preserve"> in High-risk patients with Acute Non-disabling Cerebrovascular Events) </w:t>
      </w:r>
      <w:r w:rsidRPr="00167707">
        <w:rPr>
          <w:rFonts w:eastAsia="Times New Roman" w:cs="Arial"/>
          <w:color w:val="000000"/>
          <w:lang w:eastAsia="bg-BG"/>
        </w:rPr>
        <w:t xml:space="preserve">Това рандомизирано, двойносляпо, многоцентрово, плацебо-контролирано клинично изпитване включва 5 170 пациенти от Китай с остра </w:t>
      </w:r>
      <w:r w:rsidRPr="00167707">
        <w:rPr>
          <w:rFonts w:eastAsia="Times New Roman" w:cs="Arial"/>
          <w:color w:val="000000"/>
          <w:lang w:val="en-US"/>
        </w:rPr>
        <w:t xml:space="preserve">TIA (ABCD2 </w:t>
      </w:r>
      <w:r w:rsidRPr="00167707">
        <w:rPr>
          <w:rFonts w:eastAsia="Times New Roman" w:cs="Arial"/>
          <w:color w:val="000000"/>
          <w:lang w:eastAsia="bg-BG"/>
        </w:rPr>
        <w:t xml:space="preserve">скор ≥4) или остър лек инсулт </w:t>
      </w:r>
      <w:r w:rsidRPr="00167707">
        <w:rPr>
          <w:rFonts w:eastAsia="Times New Roman" w:cs="Arial"/>
          <w:color w:val="000000"/>
          <w:lang w:val="en-US"/>
        </w:rPr>
        <w:t>(NIHSS</w:t>
      </w:r>
      <w:r w:rsidR="00043C31">
        <w:rPr>
          <w:rFonts w:eastAsia="Times New Roman" w:cs="Arial"/>
          <w:lang w:eastAsia="bg-BG"/>
        </w:rPr>
        <w:t xml:space="preserve"> </w:t>
      </w:r>
      <w:r w:rsidRPr="00167707">
        <w:rPr>
          <w:rFonts w:eastAsia="Times New Roman" w:cs="Arial"/>
          <w:color w:val="000000"/>
          <w:lang w:eastAsia="bg-BG"/>
        </w:rPr>
        <w:t xml:space="preserve">≤3). Пациентите в двете групи са получили открито АСК на ден 1 (в доза, варираща от 75 до 300 </w:t>
      </w:r>
      <w:r w:rsidRPr="00167707">
        <w:rPr>
          <w:rFonts w:eastAsia="Times New Roman" w:cs="Arial"/>
          <w:color w:val="000000"/>
          <w:lang w:val="en-US"/>
        </w:rPr>
        <w:t xml:space="preserve">mg, </w:t>
      </w:r>
      <w:r w:rsidRPr="00167707">
        <w:rPr>
          <w:rFonts w:eastAsia="Times New Roman" w:cs="Arial"/>
          <w:color w:val="000000"/>
          <w:lang w:eastAsia="bg-BG"/>
        </w:rPr>
        <w:t xml:space="preserve">по преценка на лекуващия лекар). Пациентите, рандомизирани в групата на клопидогрел - АСК, са получили натоварваща доза 300 </w:t>
      </w:r>
      <w:r w:rsidRPr="00167707">
        <w:rPr>
          <w:rFonts w:eastAsia="Times New Roman" w:cs="Arial"/>
          <w:color w:val="000000"/>
          <w:lang w:val="en-US"/>
        </w:rPr>
        <w:t xml:space="preserve">mg </w:t>
      </w:r>
      <w:r w:rsidRPr="00167707">
        <w:rPr>
          <w:rFonts w:eastAsia="Times New Roman" w:cs="Arial"/>
          <w:color w:val="000000"/>
          <w:lang w:eastAsia="bg-BG"/>
        </w:rPr>
        <w:t xml:space="preserve">клопидогрел на ден 1, последвана от доза 75 </w:t>
      </w:r>
      <w:r w:rsidRPr="00167707">
        <w:rPr>
          <w:rFonts w:eastAsia="Times New Roman" w:cs="Arial"/>
          <w:color w:val="000000"/>
          <w:lang w:val="en-US"/>
        </w:rPr>
        <w:t xml:space="preserve">mg </w:t>
      </w:r>
      <w:r w:rsidRPr="00167707">
        <w:rPr>
          <w:rFonts w:eastAsia="Times New Roman" w:cs="Arial"/>
          <w:color w:val="000000"/>
          <w:lang w:eastAsia="bg-BG"/>
        </w:rPr>
        <w:t xml:space="preserve">клопидогрел на ден в дните от 2-ри до 90-ти, и АСК в доза 75 </w:t>
      </w:r>
      <w:r w:rsidRPr="00167707">
        <w:rPr>
          <w:rFonts w:eastAsia="Times New Roman" w:cs="Arial"/>
          <w:color w:val="000000"/>
          <w:lang w:val="en-US"/>
        </w:rPr>
        <w:t xml:space="preserve">mg </w:t>
      </w:r>
      <w:r w:rsidRPr="00167707">
        <w:rPr>
          <w:rFonts w:eastAsia="Times New Roman" w:cs="Arial"/>
          <w:color w:val="000000"/>
          <w:lang w:eastAsia="bg-BG"/>
        </w:rPr>
        <w:t xml:space="preserve">на ден в дните от 2-ри до 21 -ви. Пациентите, рандомизирани в групата на АСК, са получавали плацебо версия на клопидогрел в дните от 1-ви до 90-ти и АСК в доза 75 </w:t>
      </w:r>
      <w:r w:rsidRPr="00167707">
        <w:rPr>
          <w:rFonts w:eastAsia="Times New Roman" w:cs="Arial"/>
          <w:color w:val="000000"/>
          <w:lang w:val="en-US"/>
        </w:rPr>
        <w:t xml:space="preserve">mg </w:t>
      </w:r>
      <w:r w:rsidRPr="00167707">
        <w:rPr>
          <w:rFonts w:eastAsia="Times New Roman" w:cs="Arial"/>
          <w:color w:val="000000"/>
          <w:lang w:eastAsia="bg-BG"/>
        </w:rPr>
        <w:t>на ден в дните от 2-ри до 90-ти.</w:t>
      </w:r>
    </w:p>
    <w:p w14:paraId="4380B0DE" w14:textId="77777777" w:rsidR="00167707" w:rsidRPr="00167707" w:rsidRDefault="00167707" w:rsidP="00167707">
      <w:pPr>
        <w:spacing w:line="240" w:lineRule="auto"/>
        <w:rPr>
          <w:rFonts w:eastAsia="Times New Roman" w:cs="Arial"/>
          <w:color w:val="000000"/>
          <w:lang w:eastAsia="bg-BG"/>
        </w:rPr>
      </w:pPr>
    </w:p>
    <w:p w14:paraId="44537EC9" w14:textId="33223CBB"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Първичният резултат за ефикасност е всяко ново събитие на инсулт (исхемичен и хеморагичен) пред първите 90 дни след остър лек </w:t>
      </w:r>
      <w:r w:rsidRPr="00167707">
        <w:rPr>
          <w:rFonts w:eastAsia="Times New Roman" w:cs="Arial"/>
          <w:color w:val="000000"/>
          <w:lang w:val="en-US"/>
        </w:rPr>
        <w:t xml:space="preserve">IS </w:t>
      </w:r>
      <w:r w:rsidRPr="00167707">
        <w:rPr>
          <w:rFonts w:eastAsia="Times New Roman" w:cs="Arial"/>
          <w:color w:val="000000"/>
          <w:lang w:eastAsia="bg-BG"/>
        </w:rPr>
        <w:t xml:space="preserve">или </w:t>
      </w:r>
      <w:r w:rsidRPr="00167707">
        <w:rPr>
          <w:rFonts w:eastAsia="Times New Roman" w:cs="Arial"/>
          <w:color w:val="000000"/>
          <w:lang w:val="en-US"/>
        </w:rPr>
        <w:t xml:space="preserve">TIA </w:t>
      </w:r>
      <w:r w:rsidRPr="00167707">
        <w:rPr>
          <w:rFonts w:eastAsia="Times New Roman" w:cs="Arial"/>
          <w:color w:val="000000"/>
          <w:lang w:eastAsia="bg-BG"/>
        </w:rPr>
        <w:t xml:space="preserve">с висок риск. Това е настъпило при 212 пациенти (8,2%) в групата на клопидогрел - АСК в сравнение с 303 пациенти (11,7%) в групата на АСК (коефициент на риск </w:t>
      </w:r>
      <w:r w:rsidRPr="00167707">
        <w:rPr>
          <w:rFonts w:eastAsia="Times New Roman" w:cs="Arial"/>
          <w:color w:val="000000"/>
          <w:lang w:val="en-US"/>
        </w:rPr>
        <w:t xml:space="preserve">[HR], </w:t>
      </w:r>
      <w:r w:rsidRPr="00167707">
        <w:rPr>
          <w:rFonts w:eastAsia="Times New Roman" w:cs="Arial"/>
          <w:color w:val="000000"/>
          <w:lang w:eastAsia="bg-BG"/>
        </w:rPr>
        <w:t xml:space="preserve">0,68; 95% доверителен интервал </w:t>
      </w:r>
      <w:r w:rsidRPr="00167707">
        <w:rPr>
          <w:rFonts w:eastAsia="Times New Roman" w:cs="Arial"/>
          <w:color w:val="000000"/>
          <w:lang w:val="en-US"/>
        </w:rPr>
        <w:t xml:space="preserve">[CI], </w:t>
      </w:r>
      <w:r w:rsidRPr="00167707">
        <w:rPr>
          <w:rFonts w:eastAsia="Times New Roman" w:cs="Arial"/>
          <w:color w:val="000000"/>
          <w:lang w:eastAsia="bg-BG"/>
        </w:rPr>
        <w:t xml:space="preserve">0,57 до 0,81; р&lt;0,001). </w:t>
      </w:r>
      <w:r w:rsidRPr="00167707">
        <w:rPr>
          <w:rFonts w:eastAsia="Times New Roman" w:cs="Arial"/>
          <w:color w:val="000000"/>
          <w:lang w:val="en-US"/>
        </w:rPr>
        <w:t xml:space="preserve">IS </w:t>
      </w:r>
      <w:r w:rsidRPr="00167707">
        <w:rPr>
          <w:rFonts w:eastAsia="Times New Roman" w:cs="Arial"/>
          <w:color w:val="000000"/>
          <w:lang w:eastAsia="bg-BG"/>
        </w:rPr>
        <w:t>е настъпил при 204 пациенти (7</w:t>
      </w:r>
      <w:proofErr w:type="gramStart"/>
      <w:r w:rsidRPr="00167707">
        <w:rPr>
          <w:rFonts w:eastAsia="Times New Roman" w:cs="Arial"/>
          <w:color w:val="000000"/>
          <w:lang w:eastAsia="bg-BG"/>
        </w:rPr>
        <w:t>,9</w:t>
      </w:r>
      <w:proofErr w:type="gramEnd"/>
      <w:r w:rsidRPr="00167707">
        <w:rPr>
          <w:rFonts w:eastAsia="Times New Roman" w:cs="Arial"/>
          <w:color w:val="000000"/>
          <w:lang w:eastAsia="bg-BG"/>
        </w:rPr>
        <w:t xml:space="preserve">%) в групата на клопидогрел - АСК в сравнение с 295 (11,4%) в групата на АСК </w:t>
      </w:r>
      <w:r w:rsidRPr="00167707">
        <w:rPr>
          <w:rFonts w:eastAsia="Times New Roman" w:cs="Arial"/>
          <w:color w:val="000000"/>
          <w:lang w:val="en-US"/>
        </w:rPr>
        <w:t xml:space="preserve">(HR, </w:t>
      </w:r>
      <w:r w:rsidRPr="00167707">
        <w:rPr>
          <w:rFonts w:eastAsia="Times New Roman" w:cs="Arial"/>
          <w:color w:val="000000"/>
          <w:lang w:eastAsia="bg-BG"/>
        </w:rPr>
        <w:t xml:space="preserve">0,67; 95% </w:t>
      </w:r>
      <w:r w:rsidRPr="00167707">
        <w:rPr>
          <w:rFonts w:eastAsia="Times New Roman" w:cs="Arial"/>
          <w:color w:val="000000"/>
          <w:lang w:val="en-US"/>
        </w:rPr>
        <w:t xml:space="preserve">CI, </w:t>
      </w:r>
      <w:r w:rsidRPr="00167707">
        <w:rPr>
          <w:rFonts w:eastAsia="Times New Roman" w:cs="Arial"/>
          <w:color w:val="000000"/>
          <w:lang w:eastAsia="bg-BG"/>
        </w:rPr>
        <w:t>0,56 до 0,81; р&lt;0,001). Хеморагичен инсулт е наблюдаван при 8 пациенти във всяка от двете групи в изпитването (0,3% от всяка група).</w:t>
      </w:r>
    </w:p>
    <w:p w14:paraId="5233BAE3"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Умерен или тежък кръвоизлив е наблюдаван при седем пациенти (0,3%) в групата на клопвдогрел - АСК и при осем (0,3%) в групата на АСК (р=0,73). Честотата на всяко събитие на кървене е 2,3% в групата на клопидогрел - АСК, в сравнение с 1,6% в групата на АСК </w:t>
      </w:r>
      <w:r w:rsidRPr="00167707">
        <w:rPr>
          <w:rFonts w:eastAsia="Times New Roman" w:cs="Arial"/>
          <w:color w:val="000000"/>
          <w:lang w:val="en-US"/>
        </w:rPr>
        <w:t xml:space="preserve">(HR, </w:t>
      </w:r>
      <w:r w:rsidRPr="00167707">
        <w:rPr>
          <w:rFonts w:eastAsia="Times New Roman" w:cs="Arial"/>
          <w:color w:val="000000"/>
          <w:lang w:eastAsia="bg-BG"/>
        </w:rPr>
        <w:t xml:space="preserve">1,41; 95% </w:t>
      </w:r>
      <w:r w:rsidRPr="00167707">
        <w:rPr>
          <w:rFonts w:eastAsia="Times New Roman" w:cs="Arial"/>
          <w:color w:val="000000"/>
          <w:lang w:val="en-US"/>
        </w:rPr>
        <w:t xml:space="preserve">CI, </w:t>
      </w:r>
      <w:r w:rsidRPr="00167707">
        <w:rPr>
          <w:rFonts w:eastAsia="Times New Roman" w:cs="Arial"/>
          <w:color w:val="000000"/>
          <w:lang w:eastAsia="bg-BG"/>
        </w:rPr>
        <w:t>0,95 до 2,10; р= 0,09).</w:t>
      </w:r>
    </w:p>
    <w:p w14:paraId="293A0D70" w14:textId="77777777" w:rsidR="00167707" w:rsidRPr="00167707" w:rsidRDefault="00167707" w:rsidP="00167707">
      <w:pPr>
        <w:spacing w:line="240" w:lineRule="auto"/>
        <w:rPr>
          <w:rFonts w:eastAsia="Times New Roman" w:cs="Arial"/>
          <w:i/>
          <w:iCs/>
          <w:color w:val="000000"/>
          <w:u w:val="single"/>
          <w:lang w:val="en-US"/>
        </w:rPr>
      </w:pPr>
    </w:p>
    <w:p w14:paraId="25957673" w14:textId="0FCC3C82" w:rsidR="00167707" w:rsidRPr="00167707" w:rsidRDefault="00167707" w:rsidP="00167707">
      <w:pPr>
        <w:spacing w:line="240" w:lineRule="auto"/>
        <w:rPr>
          <w:rFonts w:eastAsia="Times New Roman" w:cs="Arial"/>
          <w:lang w:eastAsia="bg-BG"/>
        </w:rPr>
      </w:pPr>
      <w:r w:rsidRPr="00167707">
        <w:rPr>
          <w:rFonts w:eastAsia="Times New Roman" w:cs="Arial"/>
          <w:i/>
          <w:iCs/>
          <w:color w:val="000000"/>
          <w:u w:val="single"/>
          <w:lang w:val="en-US"/>
        </w:rPr>
        <w:t xml:space="preserve">POINT </w:t>
      </w:r>
      <w:r w:rsidRPr="00167707">
        <w:rPr>
          <w:rFonts w:eastAsia="Times New Roman" w:cs="Arial"/>
          <w:i/>
          <w:iCs/>
          <w:color w:val="000000"/>
          <w:u w:val="single"/>
          <w:lang w:eastAsia="bg-BG"/>
        </w:rPr>
        <w:t xml:space="preserve">(Инхибиране, насочено към тромбоцитите пои новопоявила се </w:t>
      </w:r>
      <w:r w:rsidRPr="00167707">
        <w:rPr>
          <w:rFonts w:eastAsia="Times New Roman" w:cs="Arial"/>
          <w:i/>
          <w:iCs/>
          <w:color w:val="000000"/>
          <w:u w:val="single"/>
          <w:lang w:val="en-US"/>
        </w:rPr>
        <w:t xml:space="preserve">TIA </w:t>
      </w:r>
      <w:r w:rsidRPr="00167707">
        <w:rPr>
          <w:rFonts w:eastAsia="Times New Roman" w:cs="Arial"/>
          <w:i/>
          <w:iCs/>
          <w:color w:val="000000"/>
          <w:u w:val="single"/>
          <w:lang w:eastAsia="bg-BG"/>
        </w:rPr>
        <w:t xml:space="preserve">и лек исхемичен инсулт - </w:t>
      </w:r>
      <w:r w:rsidRPr="00167707">
        <w:rPr>
          <w:rFonts w:eastAsia="Times New Roman" w:cs="Arial"/>
          <w:i/>
          <w:iCs/>
          <w:color w:val="000000"/>
          <w:u w:val="single"/>
          <w:lang w:val="en-US"/>
        </w:rPr>
        <w:t>Platelet-Oriented Inhibition in New TIA and Minor Ischemic Stroke)</w:t>
      </w:r>
    </w:p>
    <w:p w14:paraId="71EDE766" w14:textId="77777777" w:rsidR="00167707" w:rsidRPr="00167707" w:rsidRDefault="00167707" w:rsidP="00167707">
      <w:pPr>
        <w:spacing w:line="240" w:lineRule="auto"/>
        <w:rPr>
          <w:rFonts w:eastAsia="Times New Roman" w:cs="Arial"/>
          <w:lang w:eastAsia="bg-BG"/>
        </w:rPr>
      </w:pPr>
      <w:r w:rsidRPr="00167707">
        <w:rPr>
          <w:rFonts w:eastAsia="Times New Roman" w:cs="Arial"/>
          <w:color w:val="000000"/>
          <w:lang w:eastAsia="bg-BG"/>
        </w:rPr>
        <w:t xml:space="preserve">Това рандомизирано, двойносляпо, многоцентрово, плацебо-контролирано клинично изпитване включва 4 881 пациенти от цял свят с остра </w:t>
      </w:r>
      <w:r w:rsidRPr="00167707">
        <w:rPr>
          <w:rFonts w:eastAsia="Times New Roman" w:cs="Arial"/>
          <w:color w:val="000000"/>
          <w:lang w:val="en-US"/>
        </w:rPr>
        <w:t xml:space="preserve">TIA (ABCD2 </w:t>
      </w:r>
      <w:r w:rsidRPr="00167707">
        <w:rPr>
          <w:rFonts w:eastAsia="Times New Roman" w:cs="Arial"/>
          <w:color w:val="000000"/>
          <w:lang w:eastAsia="bg-BG"/>
        </w:rPr>
        <w:t xml:space="preserve">скор ≥4) или лек инсулт </w:t>
      </w:r>
      <w:r w:rsidRPr="00167707">
        <w:rPr>
          <w:rFonts w:eastAsia="Times New Roman" w:cs="Arial"/>
          <w:color w:val="000000"/>
          <w:lang w:val="en-US"/>
        </w:rPr>
        <w:t xml:space="preserve">(NIHSS </w:t>
      </w:r>
      <w:r w:rsidRPr="00167707">
        <w:rPr>
          <w:rFonts w:eastAsia="Times New Roman" w:cs="Arial"/>
          <w:color w:val="000000"/>
          <w:lang w:eastAsia="bg-BG"/>
        </w:rPr>
        <w:t xml:space="preserve">≤3). Всички пациенти в двете групи са получавали открито АСК в дните от 1-ви до 90-ти (50 - 325 </w:t>
      </w:r>
      <w:r w:rsidRPr="00167707">
        <w:rPr>
          <w:rFonts w:eastAsia="Times New Roman" w:cs="Arial"/>
          <w:color w:val="000000"/>
          <w:lang w:val="en-US"/>
        </w:rPr>
        <w:t xml:space="preserve">mg </w:t>
      </w:r>
      <w:r w:rsidRPr="00167707">
        <w:rPr>
          <w:rFonts w:eastAsia="Times New Roman" w:cs="Arial"/>
          <w:color w:val="000000"/>
          <w:lang w:eastAsia="bg-BG"/>
        </w:rPr>
        <w:t xml:space="preserve">по преценка на лекуващия лекар). Пациентите, рандомизирани в групата на клопидогрел, са получили натоварваща доза 600 </w:t>
      </w:r>
      <w:r w:rsidRPr="00167707">
        <w:rPr>
          <w:rFonts w:eastAsia="Times New Roman" w:cs="Arial"/>
          <w:color w:val="000000"/>
          <w:lang w:val="en-US"/>
        </w:rPr>
        <w:t xml:space="preserve">mg </w:t>
      </w:r>
      <w:r w:rsidRPr="00167707">
        <w:rPr>
          <w:rFonts w:eastAsia="Times New Roman" w:cs="Arial"/>
          <w:color w:val="000000"/>
          <w:lang w:eastAsia="bg-BG"/>
        </w:rPr>
        <w:t xml:space="preserve">клопидогрел на 1-ви ден, последвана от 75 </w:t>
      </w:r>
      <w:r w:rsidRPr="00167707">
        <w:rPr>
          <w:rFonts w:eastAsia="Times New Roman" w:cs="Arial"/>
          <w:color w:val="000000"/>
          <w:lang w:val="en-US"/>
        </w:rPr>
        <w:t xml:space="preserve">mg </w:t>
      </w:r>
      <w:r w:rsidRPr="00167707">
        <w:rPr>
          <w:rFonts w:eastAsia="Times New Roman" w:cs="Arial"/>
          <w:color w:val="000000"/>
          <w:lang w:eastAsia="bg-BG"/>
        </w:rPr>
        <w:t>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14:paraId="0655B917" w14:textId="77777777" w:rsidR="00167707" w:rsidRPr="00167707" w:rsidRDefault="00167707" w:rsidP="00167707">
      <w:pPr>
        <w:spacing w:line="240" w:lineRule="auto"/>
        <w:rPr>
          <w:rFonts w:eastAsia="Times New Roman" w:cs="Arial"/>
          <w:color w:val="000000"/>
          <w:lang w:eastAsia="bg-BG"/>
        </w:rPr>
      </w:pPr>
    </w:p>
    <w:p w14:paraId="0789E9E9" w14:textId="77777777" w:rsidR="00043C31" w:rsidRPr="00043C31" w:rsidRDefault="00167707" w:rsidP="00043C31">
      <w:pPr>
        <w:rPr>
          <w:rFonts w:eastAsia="Times New Roman" w:cs="Arial"/>
          <w:lang w:eastAsia="bg-BG"/>
        </w:rPr>
      </w:pPr>
      <w:r w:rsidRPr="00167707">
        <w:rPr>
          <w:rFonts w:eastAsia="Times New Roman" w:cs="Arial"/>
          <w:color w:val="000000"/>
          <w:lang w:eastAsia="bg-BG"/>
        </w:rPr>
        <w:t xml:space="preserve">Първичният резултат за ефикасност е съставна от големи исхемични събития </w:t>
      </w:r>
      <w:r w:rsidRPr="00167707">
        <w:rPr>
          <w:rFonts w:eastAsia="Times New Roman" w:cs="Arial"/>
          <w:color w:val="000000"/>
          <w:lang w:val="en-US"/>
        </w:rPr>
        <w:t xml:space="preserve">(IS, MI </w:t>
      </w:r>
      <w:r w:rsidRPr="00167707">
        <w:rPr>
          <w:rFonts w:eastAsia="Times New Roman" w:cs="Arial"/>
          <w:color w:val="000000"/>
          <w:lang w:eastAsia="bg-BG"/>
        </w:rPr>
        <w:t xml:space="preserve">или смърт от исхемично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sidRPr="00167707">
        <w:rPr>
          <w:rFonts w:eastAsia="Times New Roman" w:cs="Arial"/>
          <w:color w:val="000000"/>
          <w:lang w:val="en-US"/>
        </w:rPr>
        <w:t xml:space="preserve">(HR, </w:t>
      </w:r>
      <w:r w:rsidRPr="00167707">
        <w:rPr>
          <w:rFonts w:eastAsia="Times New Roman" w:cs="Arial"/>
          <w:color w:val="000000"/>
          <w:lang w:eastAsia="bg-BG"/>
        </w:rPr>
        <w:t xml:space="preserve">0,75; 95% </w:t>
      </w:r>
      <w:r w:rsidRPr="00167707">
        <w:rPr>
          <w:rFonts w:eastAsia="Times New Roman" w:cs="Arial"/>
          <w:color w:val="000000"/>
          <w:lang w:val="en-US"/>
        </w:rPr>
        <w:t xml:space="preserve">CI, </w:t>
      </w:r>
      <w:r w:rsidRPr="00167707">
        <w:rPr>
          <w:rFonts w:eastAsia="Times New Roman" w:cs="Arial"/>
          <w:color w:val="000000"/>
          <w:lang w:eastAsia="bg-BG"/>
        </w:rPr>
        <w:t xml:space="preserve">0,59 до 0,95; р=0,02). Вторичният </w:t>
      </w:r>
      <w:r w:rsidRPr="00043C31">
        <w:rPr>
          <w:rFonts w:eastAsia="Times New Roman" w:cs="Arial"/>
          <w:color w:val="000000"/>
          <w:lang w:eastAsia="bg-BG"/>
        </w:rPr>
        <w:t xml:space="preserve">резултат </w:t>
      </w:r>
      <w:r w:rsidRPr="00043C31">
        <w:rPr>
          <w:rFonts w:eastAsia="Times New Roman" w:cs="Arial"/>
          <w:color w:val="000000"/>
          <w:lang w:val="en-US"/>
        </w:rPr>
        <w:t xml:space="preserve">IS </w:t>
      </w:r>
      <w:r w:rsidRPr="00043C31">
        <w:rPr>
          <w:rFonts w:eastAsia="Times New Roman" w:cs="Arial"/>
          <w:color w:val="000000"/>
          <w:lang w:eastAsia="bg-BG"/>
        </w:rPr>
        <w:t>е настъпил при</w:t>
      </w:r>
      <w:r w:rsidRPr="00043C31">
        <w:rPr>
          <w:rFonts w:eastAsia="Times New Roman" w:cs="Arial"/>
          <w:lang w:eastAsia="bg-BG"/>
        </w:rPr>
        <w:t xml:space="preserve"> </w:t>
      </w:r>
      <w:r w:rsidRPr="00043C31">
        <w:rPr>
          <w:rFonts w:eastAsia="Times New Roman" w:cs="Arial"/>
          <w:color w:val="000000"/>
          <w:lang w:eastAsia="bg-BG"/>
        </w:rPr>
        <w:t>112 пациенти (4,6%), получавали клопидогрел плюс АСК, в сравнение с 155 пациенти (6,3%),</w:t>
      </w:r>
      <w:r w:rsidR="00043C31" w:rsidRPr="00043C31">
        <w:rPr>
          <w:rFonts w:eastAsia="Times New Roman" w:cs="Arial"/>
          <w:color w:val="000000"/>
          <w:lang w:eastAsia="bg-BG"/>
        </w:rPr>
        <w:t xml:space="preserve"> получавали АСК самостоятелно </w:t>
      </w:r>
      <w:r w:rsidR="00043C31" w:rsidRPr="00043C31">
        <w:rPr>
          <w:rFonts w:eastAsia="Times New Roman" w:cs="Arial"/>
          <w:color w:val="000000"/>
          <w:lang w:val="en-US"/>
        </w:rPr>
        <w:t xml:space="preserve">(HR, </w:t>
      </w:r>
      <w:r w:rsidR="00043C31" w:rsidRPr="00043C31">
        <w:rPr>
          <w:rFonts w:eastAsia="Times New Roman" w:cs="Arial"/>
          <w:color w:val="000000"/>
          <w:lang w:eastAsia="bg-BG"/>
        </w:rPr>
        <w:t xml:space="preserve">0,72; 95% </w:t>
      </w:r>
      <w:r w:rsidR="00043C31" w:rsidRPr="00043C31">
        <w:rPr>
          <w:rFonts w:eastAsia="Times New Roman" w:cs="Arial"/>
          <w:color w:val="000000"/>
          <w:lang w:val="en-US"/>
        </w:rPr>
        <w:t xml:space="preserve">CI, </w:t>
      </w:r>
      <w:r w:rsidR="00043C31" w:rsidRPr="00043C31">
        <w:rPr>
          <w:rFonts w:eastAsia="Times New Roman" w:cs="Arial"/>
          <w:color w:val="000000"/>
          <w:lang w:eastAsia="bg-BG"/>
        </w:rPr>
        <w:t xml:space="preserve">0,56 до 0,92; р=0,01).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sidR="00043C31" w:rsidRPr="00043C31">
        <w:rPr>
          <w:rFonts w:eastAsia="Times New Roman" w:cs="Arial"/>
          <w:color w:val="000000"/>
          <w:lang w:val="en-US"/>
        </w:rPr>
        <w:t xml:space="preserve">(HR, </w:t>
      </w:r>
      <w:r w:rsidR="00043C31" w:rsidRPr="00043C31">
        <w:rPr>
          <w:rFonts w:eastAsia="Times New Roman" w:cs="Arial"/>
          <w:color w:val="000000"/>
          <w:lang w:eastAsia="bg-BG"/>
        </w:rPr>
        <w:t xml:space="preserve">2,32; 95% </w:t>
      </w:r>
      <w:r w:rsidR="00043C31" w:rsidRPr="00043C31">
        <w:rPr>
          <w:rFonts w:eastAsia="Times New Roman" w:cs="Arial"/>
          <w:color w:val="000000"/>
          <w:lang w:val="en-US"/>
        </w:rPr>
        <w:t xml:space="preserve">CI, </w:t>
      </w:r>
      <w:r w:rsidR="00043C31" w:rsidRPr="00043C31">
        <w:rPr>
          <w:rFonts w:eastAsia="Times New Roman" w:cs="Arial"/>
          <w:color w:val="000000"/>
          <w:lang w:eastAsia="bg-BG"/>
        </w:rPr>
        <w:t xml:space="preserve">1,10 до 4,87; р=0,02). </w:t>
      </w:r>
      <w:r w:rsidR="00043C31" w:rsidRPr="00043C31">
        <w:rPr>
          <w:rFonts w:eastAsia="Times New Roman" w:cs="Arial"/>
          <w:color w:val="000000"/>
          <w:lang w:eastAsia="bg-BG"/>
        </w:rPr>
        <w:lastRenderedPageBreak/>
        <w:t xml:space="preserve">Неголям кръвоизлив е настъпил при 40 пациенти (1,6%), получавали клопидогрел плюс АСК и при 13 (0,5%), получавали АСК самостоятелно </w:t>
      </w:r>
      <w:r w:rsidR="00043C31" w:rsidRPr="00043C31">
        <w:rPr>
          <w:rFonts w:eastAsia="Times New Roman" w:cs="Arial"/>
          <w:color w:val="000000"/>
          <w:lang w:val="en-US"/>
        </w:rPr>
        <w:t xml:space="preserve">(HR, </w:t>
      </w:r>
      <w:r w:rsidR="00043C31" w:rsidRPr="00043C31">
        <w:rPr>
          <w:rFonts w:eastAsia="Times New Roman" w:cs="Arial"/>
          <w:color w:val="000000"/>
          <w:lang w:eastAsia="bg-BG"/>
        </w:rPr>
        <w:t xml:space="preserve">3,12; 95% </w:t>
      </w:r>
      <w:r w:rsidR="00043C31" w:rsidRPr="00043C31">
        <w:rPr>
          <w:rFonts w:eastAsia="Times New Roman" w:cs="Arial"/>
          <w:color w:val="000000"/>
          <w:lang w:val="en-US"/>
        </w:rPr>
        <w:t xml:space="preserve">CI, </w:t>
      </w:r>
      <w:r w:rsidR="00043C31" w:rsidRPr="00043C31">
        <w:rPr>
          <w:rFonts w:eastAsia="Times New Roman" w:cs="Arial"/>
          <w:color w:val="000000"/>
          <w:lang w:eastAsia="bg-BG"/>
        </w:rPr>
        <w:t>1,67 до 5,83; р=0,001).</w:t>
      </w:r>
    </w:p>
    <w:p w14:paraId="24A415A2" w14:textId="77777777" w:rsidR="00043C31" w:rsidRPr="00043C31" w:rsidRDefault="00043C31" w:rsidP="00043C31">
      <w:pPr>
        <w:spacing w:line="240" w:lineRule="auto"/>
        <w:rPr>
          <w:rFonts w:eastAsia="Times New Roman" w:cs="Arial"/>
          <w:i/>
          <w:iCs/>
          <w:color w:val="000000"/>
          <w:u w:val="single"/>
          <w:lang w:eastAsia="bg-BG"/>
        </w:rPr>
      </w:pPr>
    </w:p>
    <w:p w14:paraId="50DF3B54" w14:textId="46862E1E" w:rsidR="00043C31" w:rsidRPr="00043C31" w:rsidRDefault="00043C31" w:rsidP="00043C31">
      <w:pPr>
        <w:spacing w:line="240" w:lineRule="auto"/>
        <w:rPr>
          <w:rFonts w:eastAsia="Times New Roman" w:cs="Arial"/>
          <w:lang w:eastAsia="bg-BG"/>
        </w:rPr>
      </w:pPr>
      <w:r w:rsidRPr="00043C31">
        <w:rPr>
          <w:rFonts w:eastAsia="Times New Roman" w:cs="Arial"/>
          <w:i/>
          <w:iCs/>
          <w:color w:val="000000"/>
          <w:u w:val="single"/>
          <w:lang w:eastAsia="bg-BG"/>
        </w:rPr>
        <w:t xml:space="preserve">Анализ във времето на проучванията </w:t>
      </w:r>
      <w:r w:rsidRPr="00043C31">
        <w:rPr>
          <w:rFonts w:eastAsia="Times New Roman" w:cs="Arial"/>
          <w:i/>
          <w:iCs/>
          <w:color w:val="000000"/>
          <w:u w:val="single"/>
          <w:lang w:val="en-US"/>
        </w:rPr>
        <w:t xml:space="preserve">CHANCE </w:t>
      </w:r>
      <w:r w:rsidRPr="00043C31">
        <w:rPr>
          <w:rFonts w:eastAsia="Times New Roman" w:cs="Arial"/>
          <w:i/>
          <w:iCs/>
          <w:color w:val="000000"/>
          <w:u w:val="single"/>
          <w:lang w:eastAsia="bg-BG"/>
        </w:rPr>
        <w:t xml:space="preserve">и </w:t>
      </w:r>
      <w:r w:rsidRPr="00043C31">
        <w:rPr>
          <w:rFonts w:eastAsia="Times New Roman" w:cs="Arial"/>
          <w:i/>
          <w:iCs/>
          <w:color w:val="000000"/>
          <w:u w:val="single"/>
          <w:lang w:val="en-US"/>
        </w:rPr>
        <w:t>POINT</w:t>
      </w:r>
    </w:p>
    <w:p w14:paraId="1EF3DB63"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Не е наблюдавана полза по отношение на ефикасността от продължаването на </w:t>
      </w:r>
      <w:r w:rsidRPr="00043C31">
        <w:rPr>
          <w:rFonts w:eastAsia="Times New Roman" w:cs="Arial"/>
          <w:color w:val="000000"/>
          <w:lang w:val="en-US"/>
        </w:rPr>
        <w:t xml:space="preserve">DAPT </w:t>
      </w:r>
      <w:r w:rsidRPr="00043C31">
        <w:rPr>
          <w:rFonts w:eastAsia="Times New Roman" w:cs="Arial"/>
          <w:color w:val="000000"/>
          <w:lang w:eastAsia="bg-BG"/>
        </w:rPr>
        <w:t xml:space="preserve">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краткосрочнния курс на </w:t>
      </w:r>
      <w:r w:rsidRPr="00043C31">
        <w:rPr>
          <w:rFonts w:eastAsia="Times New Roman" w:cs="Arial"/>
          <w:color w:val="000000"/>
          <w:lang w:val="en-US"/>
        </w:rPr>
        <w:t>DAPT.</w:t>
      </w:r>
    </w:p>
    <w:p w14:paraId="0AD6B637" w14:textId="77777777" w:rsidR="00043C31" w:rsidRPr="00043C31" w:rsidRDefault="00043C31" w:rsidP="00043C31">
      <w:pPr>
        <w:spacing w:line="240" w:lineRule="auto"/>
        <w:rPr>
          <w:rFonts w:eastAsia="Times New Roman" w:cs="Arial"/>
          <w:color w:val="000000"/>
          <w:lang w:eastAsia="bg-BG"/>
        </w:rPr>
      </w:pPr>
    </w:p>
    <w:p w14:paraId="2B38BFC9" w14:textId="45DEAE6F" w:rsidR="00167707" w:rsidRPr="00043C31" w:rsidRDefault="00043C31" w:rsidP="00043C31">
      <w:pPr>
        <w:spacing w:line="240" w:lineRule="auto"/>
        <w:jc w:val="center"/>
        <w:rPr>
          <w:rFonts w:eastAsia="Times New Roman" w:cs="Arial"/>
          <w:lang w:eastAsia="bg-BG"/>
        </w:rPr>
      </w:pPr>
      <w:r w:rsidRPr="00043C31">
        <w:rPr>
          <w:rFonts w:eastAsia="Times New Roman" w:cs="Arial"/>
          <w:color w:val="000000"/>
          <w:lang w:eastAsia="bg-BG"/>
        </w:rPr>
        <w:t xml:space="preserve">Таблица 1- Разпределение във времето на големи исхемични събития и големи кръвоизливи според назначеното лечение в проучванията </w:t>
      </w:r>
      <w:r w:rsidRPr="00043C31">
        <w:rPr>
          <w:rFonts w:eastAsia="Times New Roman" w:cs="Arial"/>
          <w:color w:val="000000"/>
          <w:lang w:val="en-US"/>
        </w:rPr>
        <w:t xml:space="preserve">CHANCE </w:t>
      </w:r>
      <w:r w:rsidRPr="00043C31">
        <w:rPr>
          <w:rFonts w:eastAsia="Times New Roman" w:cs="Arial"/>
          <w:color w:val="000000"/>
          <w:lang w:eastAsia="bg-BG"/>
        </w:rPr>
        <w:t xml:space="preserve">и </w:t>
      </w:r>
      <w:r w:rsidRPr="00043C31">
        <w:rPr>
          <w:rFonts w:eastAsia="Times New Roman" w:cs="Arial"/>
          <w:color w:val="000000"/>
          <w:lang w:val="en-US"/>
        </w:rPr>
        <w:t>POINT</w:t>
      </w:r>
    </w:p>
    <w:p w14:paraId="301C793E" w14:textId="1913DAD7" w:rsidR="00167707" w:rsidRDefault="00167707" w:rsidP="0091385D"/>
    <w:tbl>
      <w:tblPr>
        <w:tblStyle w:val="TableGrid"/>
        <w:tblW w:w="0" w:type="auto"/>
        <w:tblLook w:val="04A0" w:firstRow="1" w:lastRow="0" w:firstColumn="1" w:lastColumn="0" w:noHBand="0" w:noVBand="1"/>
      </w:tblPr>
      <w:tblGrid>
        <w:gridCol w:w="1583"/>
        <w:gridCol w:w="1583"/>
        <w:gridCol w:w="1583"/>
        <w:gridCol w:w="1583"/>
        <w:gridCol w:w="1584"/>
        <w:gridCol w:w="1584"/>
      </w:tblGrid>
      <w:tr w:rsidR="00043C31" w14:paraId="697DE542" w14:textId="77777777" w:rsidTr="004925B7">
        <w:tc>
          <w:tcPr>
            <w:tcW w:w="9500" w:type="dxa"/>
            <w:gridSpan w:val="6"/>
          </w:tcPr>
          <w:p w14:paraId="4D62FC82" w14:textId="6073695E" w:rsidR="00043C31" w:rsidRPr="00043C31" w:rsidRDefault="00043C31" w:rsidP="00043C31">
            <w:pPr>
              <w:jc w:val="center"/>
            </w:pPr>
            <w:r w:rsidRPr="00043C31">
              <w:rPr>
                <w:szCs w:val="20"/>
              </w:rPr>
              <w:t>Брой събития</w:t>
            </w:r>
          </w:p>
        </w:tc>
      </w:tr>
      <w:tr w:rsidR="00043C31" w14:paraId="06A5B67F" w14:textId="77777777" w:rsidTr="00043C31">
        <w:tc>
          <w:tcPr>
            <w:tcW w:w="1583" w:type="dxa"/>
          </w:tcPr>
          <w:p w14:paraId="1DD1139C" w14:textId="44ED0359" w:rsidR="00043C31" w:rsidRPr="00043C31" w:rsidRDefault="00043C31" w:rsidP="00043C31">
            <w:r w:rsidRPr="00043C31">
              <w:rPr>
                <w:szCs w:val="20"/>
              </w:rPr>
              <w:t xml:space="preserve">Резултати в </w:t>
            </w:r>
            <w:r w:rsidRPr="00043C31">
              <w:rPr>
                <w:szCs w:val="20"/>
                <w:lang w:val="en-US"/>
              </w:rPr>
              <w:t xml:space="preserve">CHANCE </w:t>
            </w:r>
            <w:r w:rsidRPr="00043C31">
              <w:rPr>
                <w:szCs w:val="20"/>
              </w:rPr>
              <w:t xml:space="preserve">и </w:t>
            </w:r>
            <w:r w:rsidRPr="00043C31">
              <w:rPr>
                <w:szCs w:val="20"/>
                <w:lang w:val="en-US"/>
              </w:rPr>
              <w:t>POINT</w:t>
            </w:r>
          </w:p>
        </w:tc>
        <w:tc>
          <w:tcPr>
            <w:tcW w:w="1583" w:type="dxa"/>
          </w:tcPr>
          <w:p w14:paraId="78E9FA18" w14:textId="6E7F8285" w:rsidR="00043C31" w:rsidRPr="00043C31" w:rsidRDefault="00043C31" w:rsidP="00043C31">
            <w:r w:rsidRPr="00043C31">
              <w:rPr>
                <w:szCs w:val="20"/>
              </w:rPr>
              <w:t>Назначено лечение</w:t>
            </w:r>
          </w:p>
        </w:tc>
        <w:tc>
          <w:tcPr>
            <w:tcW w:w="1583" w:type="dxa"/>
          </w:tcPr>
          <w:p w14:paraId="432C744A" w14:textId="2CBF12A4" w:rsidR="00043C31" w:rsidRPr="00043C31" w:rsidRDefault="00043C31" w:rsidP="00043C31">
            <w:r w:rsidRPr="00043C31">
              <w:rPr>
                <w:szCs w:val="20"/>
              </w:rPr>
              <w:t>Общо</w:t>
            </w:r>
          </w:p>
        </w:tc>
        <w:tc>
          <w:tcPr>
            <w:tcW w:w="1583" w:type="dxa"/>
          </w:tcPr>
          <w:p w14:paraId="1B76013E" w14:textId="393AEDD4" w:rsidR="00043C31" w:rsidRPr="00043C31" w:rsidRDefault="00043C31" w:rsidP="00043C31">
            <w:r w:rsidRPr="00043C31">
              <w:rPr>
                <w:szCs w:val="20"/>
              </w:rPr>
              <w:t>1-ва седмица</w:t>
            </w:r>
          </w:p>
        </w:tc>
        <w:tc>
          <w:tcPr>
            <w:tcW w:w="1584" w:type="dxa"/>
          </w:tcPr>
          <w:p w14:paraId="191A7082" w14:textId="24C2A619" w:rsidR="00043C31" w:rsidRPr="00043C31" w:rsidRDefault="00043C31" w:rsidP="00043C31">
            <w:r w:rsidRPr="00043C31">
              <w:rPr>
                <w:szCs w:val="20"/>
              </w:rPr>
              <w:t>2-ра седмица</w:t>
            </w:r>
          </w:p>
        </w:tc>
        <w:tc>
          <w:tcPr>
            <w:tcW w:w="1584" w:type="dxa"/>
          </w:tcPr>
          <w:p w14:paraId="265ADB8F" w14:textId="5A6ADCE1" w:rsidR="00043C31" w:rsidRPr="00043C31" w:rsidRDefault="00043C31" w:rsidP="00043C31">
            <w:r w:rsidRPr="00043C31">
              <w:rPr>
                <w:szCs w:val="20"/>
              </w:rPr>
              <w:t>3-та седмица</w:t>
            </w:r>
          </w:p>
        </w:tc>
      </w:tr>
      <w:tr w:rsidR="00043C31" w14:paraId="726F001E" w14:textId="77777777" w:rsidTr="00043C31">
        <w:tc>
          <w:tcPr>
            <w:tcW w:w="1583" w:type="dxa"/>
            <w:vMerge w:val="restart"/>
          </w:tcPr>
          <w:p w14:paraId="1E56ECCC" w14:textId="53A64479" w:rsidR="00043C31" w:rsidRPr="00043C31" w:rsidRDefault="00043C31" w:rsidP="00043C31">
            <w:r w:rsidRPr="00043C31">
              <w:rPr>
                <w:szCs w:val="20"/>
              </w:rPr>
              <w:t>Големи исхемични събития</w:t>
            </w:r>
          </w:p>
        </w:tc>
        <w:tc>
          <w:tcPr>
            <w:tcW w:w="1583" w:type="dxa"/>
          </w:tcPr>
          <w:p w14:paraId="07C70C9A" w14:textId="50A88EBC" w:rsidR="00043C31" w:rsidRPr="00043C31" w:rsidRDefault="00043C31" w:rsidP="00043C31">
            <w:r w:rsidRPr="00043C31">
              <w:rPr>
                <w:szCs w:val="20"/>
              </w:rPr>
              <w:t>АСК (</w:t>
            </w:r>
            <w:r w:rsidRPr="00043C31">
              <w:rPr>
                <w:szCs w:val="20"/>
                <w:lang w:val="en-US"/>
              </w:rPr>
              <w:t>n</w:t>
            </w:r>
            <w:r w:rsidRPr="00043C31">
              <w:rPr>
                <w:szCs w:val="20"/>
              </w:rPr>
              <w:t xml:space="preserve"> = 5 035)</w:t>
            </w:r>
          </w:p>
        </w:tc>
        <w:tc>
          <w:tcPr>
            <w:tcW w:w="1583" w:type="dxa"/>
          </w:tcPr>
          <w:p w14:paraId="7A3B3626" w14:textId="6D78AAD2" w:rsidR="00043C31" w:rsidRPr="00043C31" w:rsidRDefault="00043C31" w:rsidP="00043C31">
            <w:r w:rsidRPr="00043C31">
              <w:rPr>
                <w:szCs w:val="20"/>
              </w:rPr>
              <w:t>458</w:t>
            </w:r>
          </w:p>
        </w:tc>
        <w:tc>
          <w:tcPr>
            <w:tcW w:w="1583" w:type="dxa"/>
          </w:tcPr>
          <w:p w14:paraId="4C995793" w14:textId="493E230A" w:rsidR="00043C31" w:rsidRPr="00043C31" w:rsidRDefault="00043C31" w:rsidP="00043C31">
            <w:r w:rsidRPr="00043C31">
              <w:rPr>
                <w:szCs w:val="20"/>
              </w:rPr>
              <w:t>330</w:t>
            </w:r>
          </w:p>
        </w:tc>
        <w:tc>
          <w:tcPr>
            <w:tcW w:w="1584" w:type="dxa"/>
          </w:tcPr>
          <w:p w14:paraId="31C18156" w14:textId="6FD30E12" w:rsidR="00043C31" w:rsidRPr="00043C31" w:rsidRDefault="00043C31" w:rsidP="00043C31">
            <w:r w:rsidRPr="00043C31">
              <w:rPr>
                <w:szCs w:val="20"/>
              </w:rPr>
              <w:t>36</w:t>
            </w:r>
          </w:p>
        </w:tc>
        <w:tc>
          <w:tcPr>
            <w:tcW w:w="1584" w:type="dxa"/>
          </w:tcPr>
          <w:p w14:paraId="678B9F66" w14:textId="0ECFC7C5" w:rsidR="00043C31" w:rsidRPr="00043C31" w:rsidRDefault="00043C31" w:rsidP="00043C31">
            <w:r w:rsidRPr="00043C31">
              <w:rPr>
                <w:szCs w:val="20"/>
              </w:rPr>
              <w:t>21</w:t>
            </w:r>
          </w:p>
        </w:tc>
      </w:tr>
      <w:tr w:rsidR="00043C31" w14:paraId="232F892B" w14:textId="77777777" w:rsidTr="00043C31">
        <w:tc>
          <w:tcPr>
            <w:tcW w:w="1583" w:type="dxa"/>
            <w:vMerge/>
          </w:tcPr>
          <w:p w14:paraId="2764669A" w14:textId="77777777" w:rsidR="00043C31" w:rsidRPr="00043C31" w:rsidRDefault="00043C31" w:rsidP="00043C31"/>
        </w:tc>
        <w:tc>
          <w:tcPr>
            <w:tcW w:w="1583" w:type="dxa"/>
          </w:tcPr>
          <w:p w14:paraId="51C0E468" w14:textId="542F9487" w:rsidR="00043C31" w:rsidRPr="00043C31" w:rsidRDefault="00043C31" w:rsidP="00043C31">
            <w:r w:rsidRPr="00043C31">
              <w:rPr>
                <w:szCs w:val="20"/>
                <w:lang w:val="en-US"/>
              </w:rPr>
              <w:t xml:space="preserve">CLP+ACK </w:t>
            </w:r>
            <w:r w:rsidRPr="00043C31">
              <w:rPr>
                <w:szCs w:val="20"/>
              </w:rPr>
              <w:t>(</w:t>
            </w:r>
            <w:r w:rsidRPr="00043C31">
              <w:rPr>
                <w:szCs w:val="20"/>
                <w:lang w:val="en-US"/>
              </w:rPr>
              <w:t>n</w:t>
            </w:r>
            <w:r w:rsidRPr="00043C31">
              <w:rPr>
                <w:szCs w:val="20"/>
              </w:rPr>
              <w:t xml:space="preserve"> = 5 016)</w:t>
            </w:r>
          </w:p>
        </w:tc>
        <w:tc>
          <w:tcPr>
            <w:tcW w:w="1583" w:type="dxa"/>
          </w:tcPr>
          <w:p w14:paraId="7007480A" w14:textId="4061CF37" w:rsidR="00043C31" w:rsidRPr="00043C31" w:rsidRDefault="00043C31" w:rsidP="00043C31">
            <w:r w:rsidRPr="00043C31">
              <w:rPr>
                <w:szCs w:val="20"/>
              </w:rPr>
              <w:t>328</w:t>
            </w:r>
          </w:p>
        </w:tc>
        <w:tc>
          <w:tcPr>
            <w:tcW w:w="1583" w:type="dxa"/>
          </w:tcPr>
          <w:p w14:paraId="626394CD" w14:textId="03575876" w:rsidR="00043C31" w:rsidRPr="00043C31" w:rsidRDefault="00043C31" w:rsidP="00043C31">
            <w:r w:rsidRPr="00043C31">
              <w:rPr>
                <w:szCs w:val="20"/>
              </w:rPr>
              <w:t>217</w:t>
            </w:r>
          </w:p>
        </w:tc>
        <w:tc>
          <w:tcPr>
            <w:tcW w:w="1584" w:type="dxa"/>
          </w:tcPr>
          <w:p w14:paraId="21506F57" w14:textId="48E9546C" w:rsidR="00043C31" w:rsidRPr="00043C31" w:rsidRDefault="00043C31" w:rsidP="00043C31">
            <w:r w:rsidRPr="00043C31">
              <w:rPr>
                <w:szCs w:val="20"/>
              </w:rPr>
              <w:t>30</w:t>
            </w:r>
          </w:p>
        </w:tc>
        <w:tc>
          <w:tcPr>
            <w:tcW w:w="1584" w:type="dxa"/>
          </w:tcPr>
          <w:p w14:paraId="25CC218B" w14:textId="3A589DDC" w:rsidR="00043C31" w:rsidRPr="00043C31" w:rsidRDefault="00043C31" w:rsidP="00043C31">
            <w:r w:rsidRPr="00043C31">
              <w:rPr>
                <w:szCs w:val="20"/>
              </w:rPr>
              <w:t>14</w:t>
            </w:r>
          </w:p>
        </w:tc>
      </w:tr>
      <w:tr w:rsidR="00043C31" w14:paraId="366D97E5" w14:textId="77777777" w:rsidTr="00043C31">
        <w:tc>
          <w:tcPr>
            <w:tcW w:w="1583" w:type="dxa"/>
            <w:vMerge/>
          </w:tcPr>
          <w:p w14:paraId="71AE0EE2" w14:textId="77777777" w:rsidR="00043C31" w:rsidRPr="00043C31" w:rsidRDefault="00043C31" w:rsidP="00043C31"/>
        </w:tc>
        <w:tc>
          <w:tcPr>
            <w:tcW w:w="1583" w:type="dxa"/>
          </w:tcPr>
          <w:p w14:paraId="3D7DF341" w14:textId="74ACC69A" w:rsidR="00043C31" w:rsidRPr="00043C31" w:rsidRDefault="00043C31" w:rsidP="00043C31">
            <w:r w:rsidRPr="00043C31">
              <w:rPr>
                <w:szCs w:val="20"/>
              </w:rPr>
              <w:t>Разлика</w:t>
            </w:r>
          </w:p>
        </w:tc>
        <w:tc>
          <w:tcPr>
            <w:tcW w:w="1583" w:type="dxa"/>
          </w:tcPr>
          <w:p w14:paraId="23E9E7E5" w14:textId="234BFF4D" w:rsidR="00043C31" w:rsidRPr="00043C31" w:rsidRDefault="00043C31" w:rsidP="00043C31">
            <w:r w:rsidRPr="00043C31">
              <w:rPr>
                <w:szCs w:val="20"/>
              </w:rPr>
              <w:t>130</w:t>
            </w:r>
          </w:p>
        </w:tc>
        <w:tc>
          <w:tcPr>
            <w:tcW w:w="1583" w:type="dxa"/>
          </w:tcPr>
          <w:p w14:paraId="5F720984" w14:textId="358E0278" w:rsidR="00043C31" w:rsidRPr="00043C31" w:rsidRDefault="00043C31" w:rsidP="00043C31">
            <w:r w:rsidRPr="00043C31">
              <w:rPr>
                <w:szCs w:val="20"/>
              </w:rPr>
              <w:t>113</w:t>
            </w:r>
          </w:p>
        </w:tc>
        <w:tc>
          <w:tcPr>
            <w:tcW w:w="1584" w:type="dxa"/>
          </w:tcPr>
          <w:p w14:paraId="34E3F82D" w14:textId="240172BD" w:rsidR="00043C31" w:rsidRPr="00043C31" w:rsidRDefault="00043C31" w:rsidP="00043C31">
            <w:r w:rsidRPr="00043C31">
              <w:rPr>
                <w:szCs w:val="20"/>
              </w:rPr>
              <w:t>6</w:t>
            </w:r>
          </w:p>
        </w:tc>
        <w:tc>
          <w:tcPr>
            <w:tcW w:w="1584" w:type="dxa"/>
          </w:tcPr>
          <w:p w14:paraId="28B4AD6B" w14:textId="669B7887" w:rsidR="00043C31" w:rsidRPr="00043C31" w:rsidRDefault="00043C31" w:rsidP="00043C31">
            <w:r w:rsidRPr="00043C31">
              <w:rPr>
                <w:szCs w:val="20"/>
              </w:rPr>
              <w:t>7</w:t>
            </w:r>
          </w:p>
        </w:tc>
      </w:tr>
      <w:tr w:rsidR="00043C31" w14:paraId="0798DC2C" w14:textId="77777777" w:rsidTr="00043C31">
        <w:tc>
          <w:tcPr>
            <w:tcW w:w="1583" w:type="dxa"/>
            <w:vMerge w:val="restart"/>
          </w:tcPr>
          <w:p w14:paraId="2569049C" w14:textId="2C9DB950" w:rsidR="00043C31" w:rsidRPr="00043C31" w:rsidRDefault="00043C31" w:rsidP="00043C31">
            <w:r w:rsidRPr="00043C31">
              <w:rPr>
                <w:szCs w:val="20"/>
              </w:rPr>
              <w:t>Голям кръвоизлив</w:t>
            </w:r>
          </w:p>
        </w:tc>
        <w:tc>
          <w:tcPr>
            <w:tcW w:w="1583" w:type="dxa"/>
          </w:tcPr>
          <w:p w14:paraId="48E29509" w14:textId="756BB1E6" w:rsidR="00043C31" w:rsidRPr="00043C31" w:rsidRDefault="00043C31" w:rsidP="00043C31">
            <w:r w:rsidRPr="00043C31">
              <w:rPr>
                <w:szCs w:val="20"/>
              </w:rPr>
              <w:t>АСК (</w:t>
            </w:r>
            <w:r w:rsidRPr="00043C31">
              <w:rPr>
                <w:szCs w:val="20"/>
                <w:lang w:val="en-US"/>
              </w:rPr>
              <w:t>n</w:t>
            </w:r>
            <w:r w:rsidRPr="00043C31">
              <w:rPr>
                <w:szCs w:val="20"/>
              </w:rPr>
              <w:t xml:space="preserve"> = 5 035)</w:t>
            </w:r>
          </w:p>
        </w:tc>
        <w:tc>
          <w:tcPr>
            <w:tcW w:w="1583" w:type="dxa"/>
          </w:tcPr>
          <w:p w14:paraId="377C553C" w14:textId="3F94C31C" w:rsidR="00043C31" w:rsidRPr="00043C31" w:rsidRDefault="00043C31" w:rsidP="00043C31">
            <w:r w:rsidRPr="00043C31">
              <w:rPr>
                <w:szCs w:val="20"/>
              </w:rPr>
              <w:t>18</w:t>
            </w:r>
          </w:p>
        </w:tc>
        <w:tc>
          <w:tcPr>
            <w:tcW w:w="1583" w:type="dxa"/>
          </w:tcPr>
          <w:p w14:paraId="37DEA5E8" w14:textId="490DDB11" w:rsidR="00043C31" w:rsidRPr="00043C31" w:rsidRDefault="00043C31" w:rsidP="00043C31">
            <w:r w:rsidRPr="00043C31">
              <w:rPr>
                <w:szCs w:val="20"/>
              </w:rPr>
              <w:t>4</w:t>
            </w:r>
          </w:p>
        </w:tc>
        <w:tc>
          <w:tcPr>
            <w:tcW w:w="1584" w:type="dxa"/>
          </w:tcPr>
          <w:p w14:paraId="738F7737" w14:textId="339A0979" w:rsidR="00043C31" w:rsidRPr="00043C31" w:rsidRDefault="00043C31" w:rsidP="00043C31">
            <w:r w:rsidRPr="00043C31">
              <w:rPr>
                <w:szCs w:val="20"/>
              </w:rPr>
              <w:t>2</w:t>
            </w:r>
          </w:p>
        </w:tc>
        <w:tc>
          <w:tcPr>
            <w:tcW w:w="1584" w:type="dxa"/>
          </w:tcPr>
          <w:p w14:paraId="61DD7330" w14:textId="376A28D2" w:rsidR="00043C31" w:rsidRPr="00043C31" w:rsidRDefault="00043C31" w:rsidP="00043C31">
            <w:r w:rsidRPr="00043C31">
              <w:rPr>
                <w:szCs w:val="20"/>
              </w:rPr>
              <w:t>1</w:t>
            </w:r>
          </w:p>
        </w:tc>
      </w:tr>
      <w:tr w:rsidR="00043C31" w14:paraId="58F28014" w14:textId="77777777" w:rsidTr="00043C31">
        <w:tc>
          <w:tcPr>
            <w:tcW w:w="1583" w:type="dxa"/>
            <w:vMerge/>
          </w:tcPr>
          <w:p w14:paraId="0E432E66" w14:textId="77777777" w:rsidR="00043C31" w:rsidRPr="00043C31" w:rsidRDefault="00043C31" w:rsidP="00043C31"/>
        </w:tc>
        <w:tc>
          <w:tcPr>
            <w:tcW w:w="1583" w:type="dxa"/>
          </w:tcPr>
          <w:p w14:paraId="4257AB30" w14:textId="7EACCD29" w:rsidR="00043C31" w:rsidRPr="00043C31" w:rsidRDefault="00043C31" w:rsidP="00043C31">
            <w:r w:rsidRPr="00043C31">
              <w:rPr>
                <w:szCs w:val="20"/>
                <w:lang w:val="en-US"/>
              </w:rPr>
              <w:t xml:space="preserve">CLP+ACK </w:t>
            </w:r>
            <w:r w:rsidRPr="00043C31">
              <w:rPr>
                <w:szCs w:val="20"/>
              </w:rPr>
              <w:t>(</w:t>
            </w:r>
            <w:r w:rsidRPr="00043C31">
              <w:rPr>
                <w:szCs w:val="20"/>
                <w:lang w:val="en-US"/>
              </w:rPr>
              <w:t>n</w:t>
            </w:r>
            <w:r w:rsidRPr="00043C31">
              <w:rPr>
                <w:szCs w:val="20"/>
              </w:rPr>
              <w:t xml:space="preserve"> = 5 016)</w:t>
            </w:r>
          </w:p>
        </w:tc>
        <w:tc>
          <w:tcPr>
            <w:tcW w:w="1583" w:type="dxa"/>
          </w:tcPr>
          <w:p w14:paraId="384F29C1" w14:textId="4647AC09" w:rsidR="00043C31" w:rsidRPr="00043C31" w:rsidRDefault="00043C31" w:rsidP="00043C31">
            <w:r w:rsidRPr="00043C31">
              <w:rPr>
                <w:szCs w:val="20"/>
              </w:rPr>
              <w:t>30</w:t>
            </w:r>
          </w:p>
        </w:tc>
        <w:tc>
          <w:tcPr>
            <w:tcW w:w="1583" w:type="dxa"/>
          </w:tcPr>
          <w:p w14:paraId="5001985F" w14:textId="469F9EC6" w:rsidR="00043C31" w:rsidRPr="00043C31" w:rsidRDefault="00043C31" w:rsidP="00043C31">
            <w:r w:rsidRPr="00043C31">
              <w:rPr>
                <w:szCs w:val="20"/>
              </w:rPr>
              <w:t>10</w:t>
            </w:r>
          </w:p>
        </w:tc>
        <w:tc>
          <w:tcPr>
            <w:tcW w:w="1584" w:type="dxa"/>
          </w:tcPr>
          <w:p w14:paraId="683F4462" w14:textId="749AF309" w:rsidR="00043C31" w:rsidRPr="00043C31" w:rsidRDefault="00043C31" w:rsidP="00043C31">
            <w:r w:rsidRPr="00043C31">
              <w:rPr>
                <w:szCs w:val="20"/>
              </w:rPr>
              <w:t>4</w:t>
            </w:r>
          </w:p>
        </w:tc>
        <w:tc>
          <w:tcPr>
            <w:tcW w:w="1584" w:type="dxa"/>
          </w:tcPr>
          <w:p w14:paraId="5E2F5591" w14:textId="776A89B1" w:rsidR="00043C31" w:rsidRPr="00043C31" w:rsidRDefault="00043C31" w:rsidP="00043C31">
            <w:r w:rsidRPr="00043C31">
              <w:rPr>
                <w:szCs w:val="20"/>
              </w:rPr>
              <w:t>2</w:t>
            </w:r>
          </w:p>
        </w:tc>
      </w:tr>
      <w:tr w:rsidR="00043C31" w14:paraId="35B9CB64" w14:textId="77777777" w:rsidTr="00043C31">
        <w:tc>
          <w:tcPr>
            <w:tcW w:w="1583" w:type="dxa"/>
            <w:vMerge/>
          </w:tcPr>
          <w:p w14:paraId="6A286863" w14:textId="77777777" w:rsidR="00043C31" w:rsidRPr="00043C31" w:rsidRDefault="00043C31" w:rsidP="00043C31"/>
        </w:tc>
        <w:tc>
          <w:tcPr>
            <w:tcW w:w="1583" w:type="dxa"/>
          </w:tcPr>
          <w:p w14:paraId="2B399819" w14:textId="4D313B05" w:rsidR="00043C31" w:rsidRPr="00043C31" w:rsidRDefault="00043C31" w:rsidP="00043C31">
            <w:r w:rsidRPr="00043C31">
              <w:rPr>
                <w:szCs w:val="20"/>
              </w:rPr>
              <w:t>Разлика</w:t>
            </w:r>
          </w:p>
        </w:tc>
        <w:tc>
          <w:tcPr>
            <w:tcW w:w="1583" w:type="dxa"/>
          </w:tcPr>
          <w:p w14:paraId="5B8CD3C4" w14:textId="74B2020F" w:rsidR="00043C31" w:rsidRPr="00043C31" w:rsidRDefault="00043C31" w:rsidP="00043C31">
            <w:r w:rsidRPr="00043C31">
              <w:rPr>
                <w:szCs w:val="20"/>
              </w:rPr>
              <w:t>-12</w:t>
            </w:r>
          </w:p>
        </w:tc>
        <w:tc>
          <w:tcPr>
            <w:tcW w:w="1583" w:type="dxa"/>
          </w:tcPr>
          <w:p w14:paraId="44A4FA7E" w14:textId="6C05F215" w:rsidR="00043C31" w:rsidRPr="00043C31" w:rsidRDefault="00043C31" w:rsidP="00043C31">
            <w:r w:rsidRPr="00043C31">
              <w:rPr>
                <w:szCs w:val="20"/>
              </w:rPr>
              <w:t>-6</w:t>
            </w:r>
          </w:p>
        </w:tc>
        <w:tc>
          <w:tcPr>
            <w:tcW w:w="1584" w:type="dxa"/>
          </w:tcPr>
          <w:p w14:paraId="082A8A05" w14:textId="3B24FA8D" w:rsidR="00043C31" w:rsidRPr="00043C31" w:rsidRDefault="00043C31" w:rsidP="00043C31">
            <w:r w:rsidRPr="00043C31">
              <w:rPr>
                <w:szCs w:val="20"/>
              </w:rPr>
              <w:t>-2</w:t>
            </w:r>
          </w:p>
        </w:tc>
        <w:tc>
          <w:tcPr>
            <w:tcW w:w="1584" w:type="dxa"/>
          </w:tcPr>
          <w:p w14:paraId="62FD97EA" w14:textId="14ACD4DB" w:rsidR="00043C31" w:rsidRPr="00043C31" w:rsidRDefault="00043C31" w:rsidP="00043C31">
            <w:r w:rsidRPr="00043C31">
              <w:rPr>
                <w:szCs w:val="20"/>
              </w:rPr>
              <w:t>-1</w:t>
            </w:r>
          </w:p>
        </w:tc>
      </w:tr>
    </w:tbl>
    <w:p w14:paraId="29BF16B1" w14:textId="22D63AB3" w:rsidR="00043C31" w:rsidRDefault="00043C31" w:rsidP="0091385D"/>
    <w:p w14:paraId="2512726C"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i/>
          <w:iCs/>
          <w:color w:val="000000"/>
          <w:szCs w:val="20"/>
          <w:lang w:eastAsia="bg-BG"/>
        </w:rPr>
        <w:t>Предсърдно мъждене</w:t>
      </w:r>
    </w:p>
    <w:p w14:paraId="4FBC703A"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Проучванията </w:t>
      </w:r>
      <w:r w:rsidRPr="00043C31">
        <w:rPr>
          <w:rFonts w:eastAsia="Times New Roman" w:cs="Arial"/>
          <w:color w:val="000000"/>
          <w:szCs w:val="20"/>
          <w:lang w:val="en-US"/>
        </w:rPr>
        <w:t xml:space="preserve">ACTIVE-W </w:t>
      </w:r>
      <w:r w:rsidRPr="00043C31">
        <w:rPr>
          <w:rFonts w:eastAsia="Times New Roman" w:cs="Arial"/>
          <w:color w:val="000000"/>
          <w:szCs w:val="20"/>
          <w:lang w:eastAsia="bg-BG"/>
        </w:rPr>
        <w:t xml:space="preserve">и </w:t>
      </w:r>
      <w:r w:rsidRPr="00043C31">
        <w:rPr>
          <w:rFonts w:eastAsia="Times New Roman" w:cs="Arial"/>
          <w:color w:val="000000"/>
          <w:szCs w:val="20"/>
          <w:lang w:val="en-US"/>
        </w:rPr>
        <w:t xml:space="preserve">ACTIVE-A, </w:t>
      </w:r>
      <w:r w:rsidRPr="00043C31">
        <w:rPr>
          <w:rFonts w:eastAsia="Times New Roman" w:cs="Arial"/>
          <w:color w:val="000000"/>
          <w:szCs w:val="20"/>
          <w:lang w:eastAsia="bg-BG"/>
        </w:rPr>
        <w:t xml:space="preserve">отделни проучвания в програмата </w:t>
      </w:r>
      <w:r w:rsidRPr="00043C31">
        <w:rPr>
          <w:rFonts w:eastAsia="Times New Roman" w:cs="Arial"/>
          <w:color w:val="000000"/>
          <w:szCs w:val="20"/>
          <w:lang w:val="en-US"/>
        </w:rPr>
        <w:t xml:space="preserve">ACTIVE, </w:t>
      </w:r>
      <w:r w:rsidRPr="00043C31">
        <w:rPr>
          <w:rFonts w:eastAsia="Times New Roman" w:cs="Arial"/>
          <w:color w:val="000000"/>
          <w:szCs w:val="20"/>
          <w:lang w:eastAsia="bg-BG"/>
        </w:rPr>
        <w:t xml:space="preserve">включват пациенти с предсърдно мъждене </w:t>
      </w:r>
      <w:r w:rsidRPr="00043C31">
        <w:rPr>
          <w:rFonts w:eastAsia="Times New Roman" w:cs="Arial"/>
          <w:color w:val="000000"/>
          <w:szCs w:val="20"/>
          <w:lang w:val="en-US"/>
        </w:rPr>
        <w:t xml:space="preserve">(AF), </w:t>
      </w:r>
      <w:r w:rsidRPr="00043C31">
        <w:rPr>
          <w:rFonts w:eastAsia="Times New Roman" w:cs="Arial"/>
          <w:color w:val="000000"/>
          <w:szCs w:val="20"/>
          <w:lang w:eastAsia="bg-BG"/>
        </w:rPr>
        <w:t xml:space="preserve">които имат поне един рисков фактор за съдови инциденти. Въз основа на включващите критерии, лекарите са включвали в </w:t>
      </w:r>
      <w:r w:rsidRPr="00043C31">
        <w:rPr>
          <w:rFonts w:eastAsia="Times New Roman" w:cs="Arial"/>
          <w:color w:val="000000"/>
          <w:szCs w:val="20"/>
          <w:lang w:val="en-US"/>
        </w:rPr>
        <w:t xml:space="preserve">ACTFVE-W </w:t>
      </w:r>
      <w:r w:rsidRPr="00043C31">
        <w:rPr>
          <w:rFonts w:eastAsia="Times New Roman" w:cs="Arial"/>
          <w:color w:val="000000"/>
          <w:szCs w:val="20"/>
          <w:lang w:eastAsia="bg-BG"/>
        </w:rPr>
        <w:t xml:space="preserve">пациенти, ако са кандидати за терапия с антагонист на витамин К </w:t>
      </w:r>
      <w:r w:rsidRPr="00043C31">
        <w:rPr>
          <w:rFonts w:eastAsia="Times New Roman" w:cs="Arial"/>
          <w:color w:val="000000"/>
          <w:szCs w:val="20"/>
          <w:lang w:val="en-US"/>
        </w:rPr>
        <w:t xml:space="preserve">(VKA) </w:t>
      </w:r>
      <w:r w:rsidRPr="00043C31">
        <w:rPr>
          <w:rFonts w:eastAsia="Times New Roman" w:cs="Arial"/>
          <w:color w:val="000000"/>
          <w:szCs w:val="20"/>
          <w:lang w:eastAsia="bg-BG"/>
        </w:rPr>
        <w:t xml:space="preserve">(като варфарин). Проучването </w:t>
      </w:r>
      <w:r w:rsidRPr="00043C31">
        <w:rPr>
          <w:rFonts w:eastAsia="Times New Roman" w:cs="Arial"/>
          <w:color w:val="000000"/>
          <w:szCs w:val="20"/>
          <w:lang w:val="en-US"/>
        </w:rPr>
        <w:t xml:space="preserve">ACTIVE-A </w:t>
      </w:r>
      <w:r w:rsidRPr="00043C31">
        <w:rPr>
          <w:rFonts w:eastAsia="Times New Roman" w:cs="Arial"/>
          <w:color w:val="000000"/>
          <w:szCs w:val="20"/>
          <w:lang w:eastAsia="bg-BG"/>
        </w:rPr>
        <w:t xml:space="preserve">включва пациенти, които не могат да получават лечение с </w:t>
      </w:r>
      <w:r w:rsidRPr="00043C31">
        <w:rPr>
          <w:rFonts w:eastAsia="Times New Roman" w:cs="Arial"/>
          <w:color w:val="000000"/>
          <w:szCs w:val="20"/>
          <w:lang w:val="en-US"/>
        </w:rPr>
        <w:t xml:space="preserve">VKA </w:t>
      </w:r>
      <w:r w:rsidRPr="00043C31">
        <w:rPr>
          <w:rFonts w:eastAsia="Times New Roman" w:cs="Arial"/>
          <w:color w:val="000000"/>
          <w:szCs w:val="20"/>
          <w:lang w:eastAsia="bg-BG"/>
        </w:rPr>
        <w:t xml:space="preserve">поради невъзможност или нежелание. Проучването </w:t>
      </w:r>
      <w:r w:rsidRPr="00043C31">
        <w:rPr>
          <w:rFonts w:eastAsia="Times New Roman" w:cs="Arial"/>
          <w:color w:val="000000"/>
          <w:szCs w:val="20"/>
          <w:lang w:val="en-US"/>
        </w:rPr>
        <w:t xml:space="preserve">ACTIVE-W </w:t>
      </w:r>
      <w:r w:rsidRPr="00043C31">
        <w:rPr>
          <w:rFonts w:eastAsia="Times New Roman" w:cs="Arial"/>
          <w:color w:val="000000"/>
          <w:szCs w:val="20"/>
          <w:lang w:eastAsia="bg-BG"/>
        </w:rPr>
        <w:t>показва, че лечението с антагонист на витамин К е по-ефективно от това с клопидогрел и АСК.</w:t>
      </w:r>
    </w:p>
    <w:p w14:paraId="0B2A367E"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Проучването </w:t>
      </w:r>
      <w:r w:rsidRPr="00043C31">
        <w:rPr>
          <w:rFonts w:eastAsia="Times New Roman" w:cs="Arial"/>
          <w:color w:val="000000"/>
          <w:szCs w:val="20"/>
          <w:lang w:val="en-US"/>
        </w:rPr>
        <w:t xml:space="preserve">ACTIVE-A (N=7 </w:t>
      </w:r>
      <w:r w:rsidRPr="00043C31">
        <w:rPr>
          <w:rFonts w:eastAsia="Times New Roman" w:cs="Arial"/>
          <w:color w:val="000000"/>
          <w:szCs w:val="20"/>
          <w:lang w:eastAsia="bg-BG"/>
        </w:rPr>
        <w:t xml:space="preserve">554) е многоцентрово, рандомизирано, двойно-сляпо, плацебо- контролирано проучване, което сравнява клопидогрел (75 </w:t>
      </w:r>
      <w:r w:rsidRPr="00043C31">
        <w:rPr>
          <w:rFonts w:eastAsia="Times New Roman" w:cs="Arial"/>
          <w:color w:val="000000"/>
          <w:szCs w:val="20"/>
          <w:lang w:val="en-US"/>
        </w:rPr>
        <w:t>mg</w:t>
      </w:r>
      <w:r w:rsidRPr="00043C31">
        <w:rPr>
          <w:rFonts w:eastAsia="Times New Roman" w:cs="Arial"/>
          <w:color w:val="000000"/>
          <w:szCs w:val="20"/>
          <w:lang w:eastAsia="bg-BG"/>
        </w:rPr>
        <w:t xml:space="preserve">/дневно) + АСК </w:t>
      </w:r>
      <w:r w:rsidRPr="00043C31">
        <w:rPr>
          <w:rFonts w:eastAsia="Times New Roman" w:cs="Arial"/>
          <w:color w:val="000000"/>
          <w:szCs w:val="20"/>
          <w:lang w:val="en-US"/>
        </w:rPr>
        <w:t xml:space="preserve">(N=3 </w:t>
      </w:r>
      <w:r w:rsidRPr="00043C31">
        <w:rPr>
          <w:rFonts w:eastAsia="Times New Roman" w:cs="Arial"/>
          <w:color w:val="000000"/>
          <w:szCs w:val="20"/>
          <w:lang w:eastAsia="bg-BG"/>
        </w:rPr>
        <w:t>772) с плацебо + АСК (</w:t>
      </w:r>
      <w:r w:rsidRPr="00043C31">
        <w:rPr>
          <w:rFonts w:eastAsia="Times New Roman" w:cs="Arial"/>
          <w:color w:val="000000"/>
          <w:szCs w:val="20"/>
          <w:lang w:val="en-US"/>
        </w:rPr>
        <w:t>N</w:t>
      </w:r>
      <w:r w:rsidRPr="00043C31">
        <w:rPr>
          <w:rFonts w:eastAsia="Times New Roman" w:cs="Arial"/>
          <w:color w:val="000000"/>
          <w:szCs w:val="20"/>
          <w:lang w:eastAsia="bg-BG"/>
        </w:rPr>
        <w:t xml:space="preserve">=3 782). Препоръчителната доза за АСК е 75 до 100 </w:t>
      </w:r>
      <w:r w:rsidRPr="00043C31">
        <w:rPr>
          <w:rFonts w:eastAsia="Times New Roman" w:cs="Arial"/>
          <w:color w:val="000000"/>
          <w:szCs w:val="20"/>
          <w:lang w:val="en-US"/>
        </w:rPr>
        <w:t>mg</w:t>
      </w:r>
      <w:r w:rsidRPr="00043C31">
        <w:rPr>
          <w:rFonts w:eastAsia="Times New Roman" w:cs="Arial"/>
          <w:color w:val="000000"/>
          <w:szCs w:val="20"/>
          <w:lang w:eastAsia="bg-BG"/>
        </w:rPr>
        <w:t>/дневно. Пациентите са лекувани в продължение на 5 години.</w:t>
      </w:r>
    </w:p>
    <w:p w14:paraId="6D7935F2"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Пациентите, рандомизирани в програмата </w:t>
      </w:r>
      <w:r w:rsidRPr="00043C31">
        <w:rPr>
          <w:rFonts w:eastAsia="Times New Roman" w:cs="Arial"/>
          <w:color w:val="000000"/>
          <w:szCs w:val="20"/>
          <w:lang w:val="en-US"/>
        </w:rPr>
        <w:t xml:space="preserve">ACTIVE, </w:t>
      </w:r>
      <w:r w:rsidRPr="00043C31">
        <w:rPr>
          <w:rFonts w:eastAsia="Times New Roman" w:cs="Arial"/>
          <w:color w:val="000000"/>
          <w:szCs w:val="20"/>
          <w:lang w:eastAsia="bg-BG"/>
        </w:rPr>
        <w:t xml:space="preserve">са били пациенти с доказано предсърдно мъждене </w:t>
      </w:r>
      <w:r w:rsidRPr="00043C31">
        <w:rPr>
          <w:rFonts w:eastAsia="Times New Roman" w:cs="Arial"/>
          <w:color w:val="000000"/>
          <w:szCs w:val="20"/>
          <w:lang w:val="en-US"/>
        </w:rPr>
        <w:t xml:space="preserve">(AF), </w:t>
      </w:r>
      <w:r w:rsidRPr="00043C31">
        <w:rPr>
          <w:rFonts w:eastAsia="Times New Roman" w:cs="Arial"/>
          <w:color w:val="000000"/>
          <w:szCs w:val="20"/>
          <w:lang w:eastAsia="bg-BG"/>
        </w:rPr>
        <w:t xml:space="preserve">т.е. или персистиращо </w:t>
      </w:r>
      <w:r w:rsidRPr="00043C31">
        <w:rPr>
          <w:rFonts w:eastAsia="Times New Roman" w:cs="Arial"/>
          <w:color w:val="000000"/>
          <w:szCs w:val="20"/>
          <w:lang w:val="en-US"/>
        </w:rPr>
        <w:t xml:space="preserve">AF </w:t>
      </w:r>
      <w:r w:rsidRPr="00043C31">
        <w:rPr>
          <w:rFonts w:eastAsia="Times New Roman" w:cs="Arial"/>
          <w:color w:val="000000"/>
          <w:szCs w:val="20"/>
          <w:lang w:eastAsia="bg-BG"/>
        </w:rPr>
        <w:t xml:space="preserve">или най-малко 2 епизода на интермитентно </w:t>
      </w:r>
      <w:r w:rsidRPr="00043C31">
        <w:rPr>
          <w:rFonts w:eastAsia="Times New Roman" w:cs="Arial"/>
          <w:color w:val="000000"/>
          <w:szCs w:val="20"/>
          <w:lang w:val="en-US"/>
        </w:rPr>
        <w:t xml:space="preserve">AF </w:t>
      </w:r>
      <w:r w:rsidRPr="00043C31">
        <w:rPr>
          <w:rFonts w:eastAsia="Times New Roman" w:cs="Arial"/>
          <w:color w:val="000000"/>
          <w:szCs w:val="20"/>
          <w:lang w:eastAsia="bg-BG"/>
        </w:rPr>
        <w:t xml:space="preserve">през последните 6 месеца, и са имали поне един от следните рискови фактори: възраст ≥75 години или възраст 55 до 74 години; захарен диабет, изискващ лечение, или доказан прекаран </w:t>
      </w:r>
      <w:r w:rsidRPr="00043C31">
        <w:rPr>
          <w:rFonts w:eastAsia="Times New Roman" w:cs="Arial"/>
          <w:color w:val="000000"/>
          <w:szCs w:val="20"/>
          <w:lang w:val="en-US"/>
        </w:rPr>
        <w:t xml:space="preserve">MI, </w:t>
      </w:r>
      <w:r w:rsidRPr="00043C31">
        <w:rPr>
          <w:rFonts w:eastAsia="Times New Roman" w:cs="Arial"/>
          <w:color w:val="000000"/>
          <w:szCs w:val="20"/>
          <w:lang w:eastAsia="bg-BG"/>
        </w:rPr>
        <w:t xml:space="preserve">или доказано коронарно артериално заболяване; лекувани за системна хипертония; прекаран инсулт, преходна исхемична атака </w:t>
      </w:r>
      <w:r w:rsidRPr="00043C31">
        <w:rPr>
          <w:rFonts w:eastAsia="Times New Roman" w:cs="Arial"/>
          <w:color w:val="000000"/>
          <w:szCs w:val="20"/>
          <w:lang w:val="en-US"/>
        </w:rPr>
        <w:t xml:space="preserve">(TIA), </w:t>
      </w:r>
      <w:r w:rsidRPr="00043C31">
        <w:rPr>
          <w:rFonts w:eastAsia="Times New Roman" w:cs="Arial"/>
          <w:color w:val="000000"/>
          <w:szCs w:val="20"/>
          <w:lang w:eastAsia="bg-BG"/>
        </w:rPr>
        <w:t xml:space="preserve">или системен ембол, който не засяга ЦНС; левокамерна дисфункция с фракция на изтласкване на лява камера &lt;45%, или доказана периферна съдова болест. Средният </w:t>
      </w:r>
      <w:proofErr w:type="spellStart"/>
      <w:r w:rsidRPr="00043C31">
        <w:rPr>
          <w:rFonts w:eastAsia="Times New Roman" w:cs="Arial"/>
          <w:color w:val="000000"/>
          <w:szCs w:val="20"/>
          <w:lang w:val="en-US"/>
        </w:rPr>
        <w:t>CHADS</w:t>
      </w:r>
      <w:r w:rsidRPr="00043C31">
        <w:rPr>
          <w:rFonts w:eastAsia="Times New Roman" w:cs="Arial"/>
          <w:color w:val="000000"/>
          <w:szCs w:val="20"/>
          <w:vertAlign w:val="subscript"/>
          <w:lang w:val="en-US"/>
        </w:rPr>
        <w:t>z</w:t>
      </w:r>
      <w:proofErr w:type="spellEnd"/>
      <w:r w:rsidRPr="00043C31">
        <w:rPr>
          <w:rFonts w:eastAsia="Times New Roman" w:cs="Arial"/>
          <w:color w:val="000000"/>
          <w:szCs w:val="20"/>
          <w:lang w:val="en-US"/>
        </w:rPr>
        <w:t xml:space="preserve"> </w:t>
      </w:r>
      <w:r w:rsidRPr="00043C31">
        <w:rPr>
          <w:rFonts w:eastAsia="Times New Roman" w:cs="Arial"/>
          <w:color w:val="000000"/>
          <w:szCs w:val="20"/>
          <w:lang w:eastAsia="bg-BG"/>
        </w:rPr>
        <w:t>резултат е 2,0 (граници 0-6).</w:t>
      </w:r>
    </w:p>
    <w:p w14:paraId="3BE4C0C2" w14:textId="77777777" w:rsidR="00043C31" w:rsidRPr="00043C31" w:rsidRDefault="00043C31" w:rsidP="00043C31">
      <w:pPr>
        <w:rPr>
          <w:rFonts w:eastAsia="Times New Roman" w:cs="Arial"/>
          <w:lang w:eastAsia="bg-BG"/>
        </w:rPr>
      </w:pPr>
      <w:r w:rsidRPr="00043C31">
        <w:rPr>
          <w:rFonts w:eastAsia="Times New Roman" w:cs="Arial"/>
          <w:color w:val="000000"/>
          <w:lang w:eastAsia="bg-BG"/>
        </w:rPr>
        <w:lastRenderedPageBreak/>
        <w:t>Главните изключващи критерии за пациентите са били доказана пептична язвена болест и</w:t>
      </w:r>
      <w:r w:rsidRPr="00043C31">
        <w:rPr>
          <w:rFonts w:eastAsia="Times New Roman" w:cs="Arial"/>
          <w:lang w:eastAsia="bg-BG"/>
        </w:rPr>
        <w:t xml:space="preserve"> </w:t>
      </w:r>
      <w:r w:rsidRPr="00043C31">
        <w:rPr>
          <w:rFonts w:eastAsia="Times New Roman" w:cs="Arial"/>
          <w:color w:val="000000"/>
          <w:lang w:eastAsia="bg-BG"/>
        </w:rPr>
        <w:t>рамките на предходните 6 месеца, предшестващ интрацеребрален кръвоизлив, значима тромбоцитопения (брой тромбоцити &lt; 50 х 10</w:t>
      </w:r>
      <w:r w:rsidRPr="00043C31">
        <w:rPr>
          <w:rFonts w:eastAsia="Times New Roman" w:cs="Arial"/>
          <w:color w:val="000000"/>
          <w:vertAlign w:val="superscript"/>
          <w:lang w:eastAsia="bg-BG"/>
        </w:rPr>
        <w:t>9</w:t>
      </w:r>
      <w:r w:rsidRPr="00043C31">
        <w:rPr>
          <w:rFonts w:eastAsia="Times New Roman" w:cs="Arial"/>
          <w:color w:val="000000"/>
          <w:lang w:val="en-US"/>
        </w:rPr>
        <w:t>/l</w:t>
      </w:r>
      <w:r w:rsidRPr="00043C31">
        <w:rPr>
          <w:rFonts w:eastAsia="Times New Roman" w:cs="Arial"/>
          <w:color w:val="000000"/>
          <w:lang w:eastAsia="bg-BG"/>
        </w:rPr>
        <w:t>), необходимост от клопидогрел или перорални антисоагуланти (ОАС) или непоносимост към някое от двете съединения.</w:t>
      </w:r>
    </w:p>
    <w:p w14:paraId="51C39C94"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Седемдесет и три процента (73%) от пациентите, включени в проучването </w:t>
      </w:r>
      <w:r w:rsidRPr="00043C31">
        <w:rPr>
          <w:rFonts w:eastAsia="Times New Roman" w:cs="Arial"/>
          <w:color w:val="000000"/>
          <w:lang w:val="en-US"/>
        </w:rPr>
        <w:t xml:space="preserve">ACTIVE-A, </w:t>
      </w:r>
      <w:r w:rsidRPr="00043C31">
        <w:rPr>
          <w:rFonts w:eastAsia="Times New Roman" w:cs="Arial"/>
          <w:color w:val="000000"/>
          <w:lang w:eastAsia="bg-BG"/>
        </w:rPr>
        <w:t xml:space="preserve">не са били в състояние да приемат </w:t>
      </w:r>
      <w:r w:rsidRPr="00043C31">
        <w:rPr>
          <w:rFonts w:eastAsia="Times New Roman" w:cs="Arial"/>
          <w:color w:val="000000"/>
          <w:lang w:val="en-US"/>
        </w:rPr>
        <w:t xml:space="preserve">VKA </w:t>
      </w:r>
      <w:r w:rsidRPr="00043C31">
        <w:rPr>
          <w:rFonts w:eastAsia="Times New Roman" w:cs="Arial"/>
          <w:color w:val="000000"/>
          <w:lang w:eastAsia="bg-BG"/>
        </w:rPr>
        <w:t xml:space="preserve">поради преценка на лекаря, невъзможност за мониториране на </w:t>
      </w:r>
      <w:r w:rsidRPr="00043C31">
        <w:rPr>
          <w:rFonts w:eastAsia="Times New Roman" w:cs="Arial"/>
          <w:color w:val="000000"/>
          <w:lang w:val="en-US"/>
        </w:rPr>
        <w:t xml:space="preserve">INR </w:t>
      </w:r>
      <w:r w:rsidRPr="00043C31">
        <w:rPr>
          <w:rFonts w:eastAsia="Times New Roman" w:cs="Arial"/>
          <w:color w:val="000000"/>
          <w:lang w:eastAsia="bg-BG"/>
        </w:rPr>
        <w:t xml:space="preserve">(международно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sidRPr="00043C31">
        <w:rPr>
          <w:rFonts w:eastAsia="Times New Roman" w:cs="Arial"/>
          <w:color w:val="000000"/>
          <w:lang w:val="en-US"/>
        </w:rPr>
        <w:t>VKA.</w:t>
      </w:r>
    </w:p>
    <w:p w14:paraId="585ACC41"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Популацията пациенти е включвала 41,8 % жени. Средната възраст е била 71 години, 41,6% от пациентите са били ≥</w:t>
      </w:r>
      <w:r w:rsidRPr="00043C31">
        <w:rPr>
          <w:rFonts w:eastAsia="Times New Roman" w:cs="Arial"/>
          <w:color w:val="000000"/>
          <w:lang w:val="en-US"/>
        </w:rPr>
        <w:t xml:space="preserve"> </w:t>
      </w:r>
      <w:r w:rsidRPr="00043C31">
        <w:rPr>
          <w:rFonts w:eastAsia="Times New Roman" w:cs="Arial"/>
          <w:color w:val="000000"/>
          <w:lang w:eastAsia="bg-BG"/>
        </w:rPr>
        <w:t>75 години. Общо 23,0% от пациентите са получавали антиаритмици, 52,1% бета-блокери, 54,6% АСЕ-инхибитори, и 25,4% статини.</w:t>
      </w:r>
    </w:p>
    <w:p w14:paraId="2E5AC86F"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Броят на пациентите, които са достигнали първичната крайна точка (време до първа поява на инсулт, </w:t>
      </w:r>
      <w:r w:rsidRPr="00043C31">
        <w:rPr>
          <w:rFonts w:eastAsia="Times New Roman" w:cs="Arial"/>
          <w:color w:val="000000"/>
          <w:lang w:val="en-US"/>
        </w:rPr>
        <w:t xml:space="preserve">MI, </w:t>
      </w:r>
      <w:r w:rsidRPr="00043C31">
        <w:rPr>
          <w:rFonts w:eastAsia="Times New Roman" w:cs="Arial"/>
          <w:color w:val="000000"/>
          <w:lang w:eastAsia="bg-BG"/>
        </w:rPr>
        <w:t xml:space="preserve">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С1 от 2,4% -19,1%; р=0,013),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sidRPr="00043C31">
        <w:rPr>
          <w:rFonts w:eastAsia="Times New Roman" w:cs="Arial"/>
          <w:color w:val="000000"/>
          <w:lang w:val="en-US"/>
        </w:rPr>
        <w:t xml:space="preserve">CI, </w:t>
      </w:r>
      <w:r w:rsidRPr="00043C31">
        <w:rPr>
          <w:rFonts w:eastAsia="Times New Roman" w:cs="Arial"/>
          <w:color w:val="000000"/>
          <w:lang w:eastAsia="bg-BG"/>
        </w:rPr>
        <w:t>от 16,8% - 38,3%; р=0,00001).</w:t>
      </w:r>
    </w:p>
    <w:p w14:paraId="2005B3EB" w14:textId="77777777" w:rsidR="00043C31" w:rsidRPr="00043C31" w:rsidRDefault="00043C31" w:rsidP="00043C31">
      <w:pPr>
        <w:spacing w:line="240" w:lineRule="auto"/>
        <w:rPr>
          <w:rFonts w:eastAsia="Times New Roman" w:cs="Arial"/>
          <w:i/>
          <w:iCs/>
          <w:color w:val="000000"/>
          <w:lang w:eastAsia="bg-BG"/>
        </w:rPr>
      </w:pPr>
    </w:p>
    <w:p w14:paraId="6BC81699" w14:textId="6E17BEF5" w:rsidR="00043C31" w:rsidRPr="00043C31" w:rsidRDefault="00043C31" w:rsidP="00043C31">
      <w:pPr>
        <w:spacing w:line="240" w:lineRule="auto"/>
        <w:rPr>
          <w:rFonts w:eastAsia="Times New Roman" w:cs="Arial"/>
          <w:lang w:eastAsia="bg-BG"/>
        </w:rPr>
      </w:pPr>
      <w:r w:rsidRPr="00043C31">
        <w:rPr>
          <w:rFonts w:eastAsia="Times New Roman" w:cs="Arial"/>
          <w:i/>
          <w:iCs/>
          <w:color w:val="000000"/>
          <w:lang w:eastAsia="bg-BG"/>
        </w:rPr>
        <w:t>Педиатрична популация</w:t>
      </w:r>
    </w:p>
    <w:p w14:paraId="7617E856"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В проучване с повишаване на дозата при 86 новородени или деца до 24 месеца с риск за тромбоза </w:t>
      </w:r>
      <w:r w:rsidRPr="00043C31">
        <w:rPr>
          <w:rFonts w:eastAsia="Times New Roman" w:cs="Arial"/>
          <w:color w:val="000000"/>
          <w:lang w:val="en-US"/>
        </w:rPr>
        <w:t xml:space="preserve">(PICOLO), </w:t>
      </w:r>
      <w:r w:rsidRPr="00043C31">
        <w:rPr>
          <w:rFonts w:eastAsia="Times New Roman" w:cs="Arial"/>
          <w:color w:val="000000"/>
          <w:lang w:eastAsia="bg-BG"/>
        </w:rPr>
        <w:t xml:space="preserve">клопидогрел е оценяван в последователни дози от 0,01, 0,1 и 0,2 </w:t>
      </w:r>
      <w:r w:rsidRPr="00043C31">
        <w:rPr>
          <w:rFonts w:eastAsia="Times New Roman" w:cs="Arial"/>
          <w:color w:val="000000"/>
          <w:lang w:val="en-US"/>
        </w:rPr>
        <w:t xml:space="preserve">mg/kg </w:t>
      </w:r>
      <w:r w:rsidRPr="00043C31">
        <w:rPr>
          <w:rFonts w:eastAsia="Times New Roman" w:cs="Arial"/>
          <w:color w:val="000000"/>
          <w:lang w:eastAsia="bg-BG"/>
        </w:rPr>
        <w:t xml:space="preserve">при новородени и деца и 0,15 </w:t>
      </w:r>
      <w:r w:rsidRPr="00043C31">
        <w:rPr>
          <w:rFonts w:eastAsia="Times New Roman" w:cs="Arial"/>
          <w:color w:val="000000"/>
          <w:lang w:val="en-US"/>
        </w:rPr>
        <w:t xml:space="preserve">mg/kg </w:t>
      </w:r>
      <w:r w:rsidRPr="00043C31">
        <w:rPr>
          <w:rFonts w:eastAsia="Times New Roman" w:cs="Arial"/>
          <w:color w:val="000000"/>
          <w:lang w:eastAsia="bg-BG"/>
        </w:rPr>
        <w:t xml:space="preserve">само при новородени. Дозата от 0,2 </w:t>
      </w:r>
      <w:r w:rsidRPr="00043C31">
        <w:rPr>
          <w:rFonts w:eastAsia="Times New Roman" w:cs="Arial"/>
          <w:color w:val="000000"/>
          <w:lang w:val="en-US"/>
        </w:rPr>
        <w:t xml:space="preserve">mg/kg </w:t>
      </w:r>
      <w:r w:rsidRPr="00043C31">
        <w:rPr>
          <w:rFonts w:eastAsia="Times New Roman" w:cs="Arial"/>
          <w:color w:val="000000"/>
          <w:lang w:eastAsia="bg-BG"/>
        </w:rPr>
        <w:t xml:space="preserve">достига среден процент на инхибиране 49,3% (5 μМ АДФ-индуцирана тромбоцитна агрегация), който е сравним с този при възрастни, приемащи Тромбекс 75 </w:t>
      </w:r>
      <w:r w:rsidRPr="00043C31">
        <w:rPr>
          <w:rFonts w:eastAsia="Times New Roman" w:cs="Arial"/>
          <w:color w:val="000000"/>
          <w:lang w:val="en-US"/>
        </w:rPr>
        <w:t>mg</w:t>
      </w:r>
      <w:r w:rsidRPr="00043C31">
        <w:rPr>
          <w:rFonts w:eastAsia="Times New Roman" w:cs="Arial"/>
          <w:color w:val="000000"/>
          <w:lang w:eastAsia="bg-BG"/>
        </w:rPr>
        <w:t>/дневно.</w:t>
      </w:r>
    </w:p>
    <w:p w14:paraId="0E3915B8"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В рандомизирано двойно-сляпо, паралелно групово проучване </w:t>
      </w:r>
      <w:r w:rsidRPr="00043C31">
        <w:rPr>
          <w:rFonts w:eastAsia="Times New Roman" w:cs="Arial"/>
          <w:color w:val="000000"/>
          <w:lang w:val="en-US"/>
        </w:rPr>
        <w:t xml:space="preserve">(CLARINET) </w:t>
      </w:r>
      <w:r w:rsidRPr="00043C31">
        <w:rPr>
          <w:rFonts w:eastAsia="Times New Roman" w:cs="Arial"/>
          <w:color w:val="000000"/>
          <w:lang w:eastAsia="bg-BG"/>
        </w:rPr>
        <w:t xml:space="preserve">906 педиатрични пациенти (новородени и деца), с цианотично вродено сърдечно заболяване, с палиативно поставен системно-белодробен артериален шънт, са рандомизирани да приемат клопидогрел 0,2 </w:t>
      </w:r>
      <w:r w:rsidRPr="00043C31">
        <w:rPr>
          <w:rFonts w:eastAsia="Times New Roman" w:cs="Arial"/>
          <w:color w:val="000000"/>
          <w:lang w:val="en-US"/>
        </w:rPr>
        <w:t xml:space="preserve">mg/kg </w:t>
      </w:r>
      <w:r w:rsidRPr="00043C31">
        <w:rPr>
          <w:rFonts w:eastAsia="Times New Roman" w:cs="Arial"/>
          <w:color w:val="000000"/>
          <w:lang w:eastAsia="bg-BG"/>
        </w:rPr>
        <w:t>(</w:t>
      </w:r>
      <w:r w:rsidRPr="00043C31">
        <w:rPr>
          <w:rFonts w:eastAsia="Times New Roman" w:cs="Arial"/>
          <w:color w:val="000000"/>
          <w:lang w:val="en-US"/>
        </w:rPr>
        <w:t>n</w:t>
      </w:r>
      <w:r w:rsidRPr="00043C31">
        <w:rPr>
          <w:rFonts w:eastAsia="Times New Roman" w:cs="Arial"/>
          <w:color w:val="000000"/>
          <w:lang w:eastAsia="bg-BG"/>
        </w:rPr>
        <w:t xml:space="preserve"> = 467) или плацебо (</w:t>
      </w:r>
      <w:r w:rsidRPr="00043C31">
        <w:rPr>
          <w:rFonts w:eastAsia="Times New Roman" w:cs="Arial"/>
          <w:color w:val="000000"/>
          <w:lang w:val="en-US"/>
        </w:rPr>
        <w:t>n</w:t>
      </w:r>
      <w:r w:rsidRPr="00043C31">
        <w:rPr>
          <w:rFonts w:eastAsia="Times New Roman" w:cs="Arial"/>
          <w:color w:val="000000"/>
          <w:lang w:eastAsia="bg-BG"/>
        </w:rPr>
        <w:t xml:space="preserve"> = 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sidRPr="00043C31">
        <w:rPr>
          <w:rFonts w:eastAsia="Times New Roman" w:cs="Arial"/>
          <w:color w:val="000000"/>
          <w:lang w:val="en-US"/>
        </w:rPr>
        <w:t>mg/kg</w:t>
      </w:r>
      <w:r w:rsidRPr="00043C31">
        <w:rPr>
          <w:rFonts w:eastAsia="Times New Roman" w:cs="Arial"/>
          <w:color w:val="000000"/>
          <w:lang w:eastAsia="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18-месечна възраст. Не са наблюдавани нови съображения относно безопасността по време на това дългосрочно проследяване.</w:t>
      </w:r>
    </w:p>
    <w:p w14:paraId="0F96B9ED" w14:textId="3F02EBAA"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Изпитванията </w:t>
      </w:r>
      <w:r w:rsidRPr="00043C31">
        <w:rPr>
          <w:rFonts w:eastAsia="Times New Roman" w:cs="Arial"/>
          <w:color w:val="000000"/>
          <w:lang w:val="en-US"/>
        </w:rPr>
        <w:t xml:space="preserve">CLARINET </w:t>
      </w:r>
      <w:r w:rsidRPr="00043C31">
        <w:rPr>
          <w:rFonts w:eastAsia="Times New Roman" w:cs="Arial"/>
          <w:color w:val="000000"/>
          <w:lang w:eastAsia="bg-BG"/>
        </w:rPr>
        <w:t xml:space="preserve">и </w:t>
      </w:r>
      <w:r w:rsidRPr="00043C31">
        <w:rPr>
          <w:rFonts w:eastAsia="Times New Roman" w:cs="Arial"/>
          <w:color w:val="000000"/>
          <w:lang w:val="en-US"/>
        </w:rPr>
        <w:t xml:space="preserve">PICOLO </w:t>
      </w:r>
      <w:r w:rsidRPr="00043C31">
        <w:rPr>
          <w:rFonts w:eastAsia="Times New Roman" w:cs="Arial"/>
          <w:color w:val="000000"/>
          <w:lang w:eastAsia="bg-BG"/>
        </w:rPr>
        <w:t>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14:paraId="3DDC4E70" w14:textId="77777777" w:rsidR="00043C31" w:rsidRPr="0091385D" w:rsidRDefault="00043C31"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C78039F" w14:textId="77777777" w:rsidR="00043C31" w:rsidRPr="00043C31" w:rsidRDefault="00043C31" w:rsidP="00043C31">
      <w:pPr>
        <w:pStyle w:val="Heading3"/>
        <w:rPr>
          <w:rFonts w:eastAsia="Times New Roman"/>
          <w:u w:val="single"/>
          <w:lang w:eastAsia="bg-BG"/>
        </w:rPr>
      </w:pPr>
      <w:r w:rsidRPr="00043C31">
        <w:rPr>
          <w:rFonts w:eastAsia="Times New Roman"/>
          <w:u w:val="single"/>
          <w:lang w:eastAsia="bg-BG"/>
        </w:rPr>
        <w:t>Абсорбция</w:t>
      </w:r>
    </w:p>
    <w:p w14:paraId="332FB5B2"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След еднократно и многократно перорално приложение на дози от 75 </w:t>
      </w:r>
      <w:r w:rsidRPr="00043C31">
        <w:rPr>
          <w:rFonts w:eastAsia="Times New Roman" w:cs="Arial"/>
          <w:color w:val="000000"/>
          <w:lang w:val="en-US"/>
        </w:rPr>
        <w:t xml:space="preserve">mg </w:t>
      </w:r>
      <w:r w:rsidRPr="00043C31">
        <w:rPr>
          <w:rFonts w:eastAsia="Times New Roman" w:cs="Arial"/>
          <w:color w:val="000000"/>
          <w:lang w:eastAsia="bg-BG"/>
        </w:rPr>
        <w:t xml:space="preserve">дневно, клопидогрел се абсорбира бързо. Средните максимални плазмени нива на непроменения клопидогрел (приблизително 2,2-2,5 </w:t>
      </w:r>
      <w:r w:rsidRPr="00043C31">
        <w:rPr>
          <w:rFonts w:eastAsia="Times New Roman" w:cs="Arial"/>
          <w:color w:val="000000"/>
          <w:lang w:val="en-US"/>
        </w:rPr>
        <w:t xml:space="preserve">ng/ml </w:t>
      </w:r>
      <w:r w:rsidRPr="00043C31">
        <w:rPr>
          <w:rFonts w:eastAsia="Times New Roman" w:cs="Arial"/>
          <w:color w:val="000000"/>
          <w:lang w:eastAsia="bg-BG"/>
        </w:rPr>
        <w:t xml:space="preserve">след еднократна перорална доза от 75 </w:t>
      </w:r>
      <w:r w:rsidRPr="00043C31">
        <w:rPr>
          <w:rFonts w:eastAsia="Times New Roman" w:cs="Arial"/>
          <w:color w:val="000000"/>
          <w:lang w:val="en-US"/>
        </w:rPr>
        <w:t xml:space="preserve">mg) </w:t>
      </w:r>
      <w:r w:rsidRPr="00043C31">
        <w:rPr>
          <w:rFonts w:eastAsia="Times New Roman" w:cs="Arial"/>
          <w:color w:val="000000"/>
          <w:lang w:eastAsia="bg-BG"/>
        </w:rPr>
        <w:t>настъпват приблизително 45 минути след прием. Абсорбцията е най-малко 50 %, въз основа на екскрецията с урината на метаболитите на клопидогрел.</w:t>
      </w:r>
    </w:p>
    <w:p w14:paraId="485A2A5B" w14:textId="77777777" w:rsidR="00043C31" w:rsidRPr="00043C31" w:rsidRDefault="00043C31" w:rsidP="00043C31">
      <w:pPr>
        <w:spacing w:line="240" w:lineRule="auto"/>
        <w:rPr>
          <w:rFonts w:eastAsia="Times New Roman" w:cs="Arial"/>
          <w:lang w:eastAsia="bg-BG"/>
        </w:rPr>
      </w:pPr>
    </w:p>
    <w:p w14:paraId="148BA3FC" w14:textId="4617C3D8" w:rsidR="0091385D" w:rsidRPr="00043C31" w:rsidRDefault="00043C31" w:rsidP="00043C31">
      <w:pPr>
        <w:pStyle w:val="Heading3"/>
        <w:rPr>
          <w:u w:val="single"/>
        </w:rPr>
      </w:pPr>
      <w:r w:rsidRPr="00043C31">
        <w:rPr>
          <w:rFonts w:eastAsia="Times New Roman"/>
          <w:u w:val="single"/>
          <w:lang w:eastAsia="bg-BG"/>
        </w:rPr>
        <w:t>Разпределение</w:t>
      </w:r>
    </w:p>
    <w:p w14:paraId="7F5F83CC"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Клопидогрел и главният циркулиращ (неактивен) метаболит се свързват обратимо </w:t>
      </w:r>
      <w:r w:rsidRPr="00043C31">
        <w:rPr>
          <w:rFonts w:eastAsia="Times New Roman" w:cs="Arial"/>
          <w:i/>
          <w:iCs/>
          <w:color w:val="000000"/>
          <w:lang w:val="en-US"/>
        </w:rPr>
        <w:t>in vitro</w:t>
      </w:r>
      <w:r w:rsidRPr="00043C31">
        <w:rPr>
          <w:rFonts w:eastAsia="Times New Roman" w:cs="Arial"/>
          <w:color w:val="000000"/>
          <w:lang w:val="en-US"/>
        </w:rPr>
        <w:t xml:space="preserve"> </w:t>
      </w:r>
      <w:r w:rsidRPr="00043C31">
        <w:rPr>
          <w:rFonts w:eastAsia="Times New Roman" w:cs="Arial"/>
          <w:color w:val="000000"/>
          <w:lang w:eastAsia="bg-BG"/>
        </w:rPr>
        <w:t xml:space="preserve">с човешките плазмени протеини (съответно 98% и 94%). </w:t>
      </w:r>
      <w:r w:rsidRPr="00043C31">
        <w:rPr>
          <w:rFonts w:eastAsia="Times New Roman" w:cs="Arial"/>
          <w:i/>
          <w:iCs/>
          <w:color w:val="000000"/>
          <w:lang w:val="en-US"/>
        </w:rPr>
        <w:t>In vitro,</w:t>
      </w:r>
      <w:r w:rsidRPr="00043C31">
        <w:rPr>
          <w:rFonts w:eastAsia="Times New Roman" w:cs="Arial"/>
          <w:color w:val="000000"/>
          <w:lang w:val="en-US"/>
        </w:rPr>
        <w:t xml:space="preserve"> </w:t>
      </w:r>
      <w:r w:rsidRPr="00043C31">
        <w:rPr>
          <w:rFonts w:eastAsia="Times New Roman" w:cs="Arial"/>
          <w:color w:val="000000"/>
          <w:lang w:eastAsia="bg-BG"/>
        </w:rPr>
        <w:t>свързването не зависи от степента на насищане, при широки граници на концентрацията.</w:t>
      </w:r>
    </w:p>
    <w:p w14:paraId="1D91B781" w14:textId="77777777" w:rsidR="00043C31" w:rsidRPr="00043C31" w:rsidRDefault="00043C31" w:rsidP="00043C31">
      <w:pPr>
        <w:spacing w:line="240" w:lineRule="auto"/>
        <w:rPr>
          <w:rFonts w:eastAsia="Times New Roman" w:cs="Arial"/>
          <w:color w:val="000000"/>
          <w:u w:val="single"/>
          <w:lang w:eastAsia="bg-BG"/>
        </w:rPr>
      </w:pPr>
    </w:p>
    <w:p w14:paraId="0E50221F" w14:textId="222C6E57" w:rsidR="00043C31" w:rsidRPr="00043C31" w:rsidRDefault="00043C31" w:rsidP="00043C31">
      <w:pPr>
        <w:pStyle w:val="Heading3"/>
        <w:rPr>
          <w:rFonts w:eastAsia="Times New Roman"/>
          <w:u w:val="single"/>
          <w:lang w:eastAsia="bg-BG"/>
        </w:rPr>
      </w:pPr>
      <w:r w:rsidRPr="00043C31">
        <w:rPr>
          <w:rFonts w:eastAsia="Times New Roman"/>
          <w:u w:val="single"/>
          <w:lang w:eastAsia="bg-BG"/>
        </w:rPr>
        <w:t>Биотрансформация</w:t>
      </w:r>
    </w:p>
    <w:p w14:paraId="3339C03A"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Клопидогрел екстензивно се метаболизира в черния дроб. </w:t>
      </w:r>
      <w:r w:rsidRPr="00043C31">
        <w:rPr>
          <w:rFonts w:eastAsia="Times New Roman" w:cs="Arial"/>
          <w:i/>
          <w:iCs/>
          <w:color w:val="000000"/>
          <w:lang w:val="en-US"/>
        </w:rPr>
        <w:t>In vitro</w:t>
      </w:r>
      <w:r w:rsidRPr="00043C31">
        <w:rPr>
          <w:rFonts w:eastAsia="Times New Roman" w:cs="Arial"/>
          <w:color w:val="000000"/>
          <w:lang w:val="en-US"/>
        </w:rPr>
        <w:t xml:space="preserve"> </w:t>
      </w:r>
      <w:r w:rsidRPr="00043C31">
        <w:rPr>
          <w:rFonts w:eastAsia="Times New Roman" w:cs="Arial"/>
          <w:color w:val="000000"/>
          <w:lang w:eastAsia="bg-BG"/>
        </w:rPr>
        <w:t xml:space="preserve">и </w:t>
      </w:r>
      <w:r w:rsidRPr="00043C31">
        <w:rPr>
          <w:rFonts w:eastAsia="Times New Roman" w:cs="Arial"/>
          <w:i/>
          <w:iCs/>
          <w:color w:val="000000"/>
          <w:lang w:val="en-US"/>
        </w:rPr>
        <w:t>In vivo</w:t>
      </w:r>
      <w:r w:rsidRPr="00043C31">
        <w:rPr>
          <w:rFonts w:eastAsia="Times New Roman" w:cs="Arial"/>
          <w:color w:val="000000"/>
          <w:lang w:val="en-US"/>
        </w:rPr>
        <w:t xml:space="preserve"> </w:t>
      </w:r>
      <w:r w:rsidRPr="00043C31">
        <w:rPr>
          <w:rFonts w:eastAsia="Times New Roman" w:cs="Arial"/>
          <w:color w:val="000000"/>
          <w:lang w:eastAsia="bg-BG"/>
        </w:rPr>
        <w:t>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w:t>
      </w:r>
    </w:p>
    <w:p w14:paraId="4990370E"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Клопидогрел първо се метаболизира до 2-оксо-клопидогрел междинен метаболит.</w:t>
      </w:r>
    </w:p>
    <w:p w14:paraId="3C9CE097"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w:t>
      </w:r>
      <w:r w:rsidRPr="00043C31">
        <w:rPr>
          <w:rFonts w:eastAsia="Times New Roman" w:cs="Arial"/>
          <w:color w:val="000000"/>
          <w:lang w:val="en-US"/>
        </w:rPr>
        <w:t xml:space="preserve">CYP2C19 </w:t>
      </w:r>
      <w:r w:rsidRPr="00043C31">
        <w:rPr>
          <w:rFonts w:eastAsia="Times New Roman" w:cs="Arial"/>
          <w:color w:val="000000"/>
          <w:lang w:eastAsia="bg-BG"/>
        </w:rPr>
        <w:t xml:space="preserve">с участието на няколко други </w:t>
      </w:r>
      <w:r w:rsidRPr="00043C31">
        <w:rPr>
          <w:rFonts w:eastAsia="Times New Roman" w:cs="Arial"/>
          <w:color w:val="000000"/>
          <w:lang w:val="en-US"/>
        </w:rPr>
        <w:t xml:space="preserve">CYP </w:t>
      </w:r>
      <w:r w:rsidRPr="00043C31">
        <w:rPr>
          <w:rFonts w:eastAsia="Times New Roman" w:cs="Arial"/>
          <w:color w:val="000000"/>
          <w:lang w:eastAsia="bg-BG"/>
        </w:rPr>
        <w:t xml:space="preserve">ензими, включително </w:t>
      </w:r>
      <w:proofErr w:type="spellStart"/>
      <w:r w:rsidRPr="00043C31">
        <w:rPr>
          <w:rFonts w:eastAsia="Times New Roman" w:cs="Arial"/>
          <w:color w:val="000000"/>
          <w:lang w:val="en-US"/>
        </w:rPr>
        <w:t>CYPl</w:t>
      </w:r>
      <w:proofErr w:type="spellEnd"/>
      <w:r w:rsidRPr="00043C31">
        <w:rPr>
          <w:rFonts w:eastAsia="Times New Roman" w:cs="Arial"/>
          <w:color w:val="000000"/>
          <w:lang w:val="en-US"/>
        </w:rPr>
        <w:t xml:space="preserve"> </w:t>
      </w:r>
      <w:r w:rsidRPr="00043C31">
        <w:rPr>
          <w:rFonts w:eastAsia="Times New Roman" w:cs="Arial"/>
          <w:color w:val="000000"/>
          <w:lang w:eastAsia="bg-BG"/>
        </w:rPr>
        <w:t xml:space="preserve">А2, </w:t>
      </w:r>
      <w:r w:rsidRPr="00043C31">
        <w:rPr>
          <w:rFonts w:eastAsia="Times New Roman" w:cs="Arial"/>
          <w:color w:val="000000"/>
          <w:lang w:val="en-US"/>
        </w:rPr>
        <w:t xml:space="preserve">CYP2B6 </w:t>
      </w:r>
      <w:r w:rsidRPr="00043C31">
        <w:rPr>
          <w:rFonts w:eastAsia="Times New Roman" w:cs="Arial"/>
          <w:color w:val="000000"/>
          <w:lang w:eastAsia="bg-BG"/>
        </w:rPr>
        <w:t xml:space="preserve">и </w:t>
      </w:r>
      <w:r w:rsidRPr="00043C31">
        <w:rPr>
          <w:rFonts w:eastAsia="Times New Roman" w:cs="Arial"/>
          <w:color w:val="000000"/>
          <w:lang w:val="en-US"/>
        </w:rPr>
        <w:t xml:space="preserve">CYP3 </w:t>
      </w:r>
      <w:r w:rsidRPr="00043C31">
        <w:rPr>
          <w:rFonts w:eastAsia="Times New Roman" w:cs="Arial"/>
          <w:color w:val="000000"/>
          <w:lang w:eastAsia="bg-BG"/>
        </w:rPr>
        <w:t xml:space="preserve">А4. Активният тиолов метаболит, който е изолиран </w:t>
      </w:r>
      <w:r w:rsidRPr="00043C31">
        <w:rPr>
          <w:rFonts w:eastAsia="Times New Roman" w:cs="Arial"/>
          <w:i/>
          <w:iCs/>
          <w:color w:val="000000"/>
          <w:lang w:val="en-US"/>
        </w:rPr>
        <w:t>in vitro,</w:t>
      </w:r>
      <w:r w:rsidRPr="00043C31">
        <w:rPr>
          <w:rFonts w:eastAsia="Times New Roman" w:cs="Arial"/>
          <w:color w:val="000000"/>
          <w:lang w:val="en-US"/>
        </w:rPr>
        <w:t xml:space="preserve"> </w:t>
      </w:r>
      <w:r w:rsidRPr="00043C31">
        <w:rPr>
          <w:rFonts w:eastAsia="Times New Roman" w:cs="Arial"/>
          <w:color w:val="000000"/>
          <w:lang w:eastAsia="bg-BG"/>
        </w:rPr>
        <w:t>се свързва бързо и необратимо към тромбоцитните рецептори, което инхибира тромбоцитната агрегация.</w:t>
      </w:r>
    </w:p>
    <w:p w14:paraId="6960C5CA"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С</w:t>
      </w:r>
      <w:r w:rsidRPr="00043C31">
        <w:rPr>
          <w:rFonts w:eastAsia="Times New Roman" w:cs="Arial"/>
          <w:color w:val="000000"/>
          <w:lang w:val="en-US"/>
        </w:rPr>
        <w:t>m</w:t>
      </w:r>
      <w:r w:rsidRPr="00043C31">
        <w:rPr>
          <w:rFonts w:eastAsia="Times New Roman" w:cs="Arial"/>
          <w:color w:val="000000"/>
          <w:lang w:eastAsia="bg-BG"/>
        </w:rPr>
        <w:t xml:space="preserve">ах на активния метаболит е два пъти по-висока след еднократна натоварваща доза от 300 </w:t>
      </w:r>
      <w:r w:rsidRPr="00043C31">
        <w:rPr>
          <w:rFonts w:eastAsia="Times New Roman" w:cs="Arial"/>
          <w:color w:val="000000"/>
          <w:lang w:val="en-US"/>
        </w:rPr>
        <w:t xml:space="preserve">mg </w:t>
      </w:r>
      <w:r w:rsidRPr="00043C31">
        <w:rPr>
          <w:rFonts w:eastAsia="Times New Roman" w:cs="Arial"/>
          <w:color w:val="000000"/>
          <w:lang w:eastAsia="bg-BG"/>
        </w:rPr>
        <w:t xml:space="preserve">клопидогрел, отколкото след прилагане на поддържаща доза от 75 </w:t>
      </w:r>
      <w:r w:rsidRPr="00043C31">
        <w:rPr>
          <w:rFonts w:eastAsia="Times New Roman" w:cs="Arial"/>
          <w:color w:val="000000"/>
          <w:lang w:val="en-US"/>
        </w:rPr>
        <w:t xml:space="preserve">mg </w:t>
      </w:r>
      <w:r w:rsidRPr="00043C31">
        <w:rPr>
          <w:rFonts w:eastAsia="Times New Roman" w:cs="Arial"/>
          <w:color w:val="000000"/>
          <w:lang w:eastAsia="bg-BG"/>
        </w:rPr>
        <w:t xml:space="preserve">за четири дни. </w:t>
      </w:r>
      <w:proofErr w:type="spellStart"/>
      <w:r w:rsidRPr="00043C31">
        <w:rPr>
          <w:rFonts w:eastAsia="Times New Roman" w:cs="Arial"/>
          <w:color w:val="000000"/>
          <w:lang w:val="en-US"/>
        </w:rPr>
        <w:t>C</w:t>
      </w:r>
      <w:r w:rsidRPr="00043C31">
        <w:rPr>
          <w:rFonts w:eastAsia="Times New Roman" w:cs="Arial"/>
          <w:color w:val="000000"/>
          <w:vertAlign w:val="subscript"/>
          <w:lang w:val="en-US"/>
        </w:rPr>
        <w:t>max</w:t>
      </w:r>
      <w:proofErr w:type="spellEnd"/>
      <w:r w:rsidRPr="00043C31">
        <w:rPr>
          <w:rFonts w:eastAsia="Times New Roman" w:cs="Arial"/>
          <w:color w:val="000000"/>
          <w:lang w:val="en-US"/>
        </w:rPr>
        <w:t xml:space="preserve"> </w:t>
      </w:r>
      <w:r w:rsidRPr="00043C31">
        <w:rPr>
          <w:rFonts w:eastAsia="Times New Roman" w:cs="Arial"/>
          <w:color w:val="000000"/>
          <w:lang w:eastAsia="bg-BG"/>
        </w:rPr>
        <w:t>се достига приблизително 30 до 60 минути след прилагане.</w:t>
      </w:r>
    </w:p>
    <w:p w14:paraId="588FDD5F" w14:textId="77777777" w:rsidR="00043C31" w:rsidRPr="00043C31" w:rsidRDefault="00043C31" w:rsidP="00043C31">
      <w:pPr>
        <w:spacing w:line="240" w:lineRule="auto"/>
        <w:rPr>
          <w:rFonts w:eastAsia="Times New Roman" w:cs="Arial"/>
          <w:color w:val="000000"/>
          <w:u w:val="single"/>
          <w:lang w:eastAsia="bg-BG"/>
        </w:rPr>
      </w:pPr>
    </w:p>
    <w:p w14:paraId="4090B46B" w14:textId="796CA8AD" w:rsidR="00043C31" w:rsidRPr="00043C31" w:rsidRDefault="00043C31" w:rsidP="00043C31">
      <w:pPr>
        <w:pStyle w:val="Heading3"/>
        <w:rPr>
          <w:rFonts w:eastAsia="Times New Roman"/>
          <w:u w:val="single"/>
          <w:lang w:eastAsia="bg-BG"/>
        </w:rPr>
      </w:pPr>
      <w:r w:rsidRPr="00043C31">
        <w:rPr>
          <w:rFonts w:eastAsia="Times New Roman"/>
          <w:u w:val="single"/>
          <w:lang w:eastAsia="bg-BG"/>
        </w:rPr>
        <w:t>Елиминиране</w:t>
      </w:r>
    </w:p>
    <w:p w14:paraId="0A664524"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След перорален прием на маркиран с С14 клопидогрел при хора приблизително 50% се екскретира в урината и около 46% през фекалиите за 120-часов интервал след приема. След еднократна перорална доза от 75 </w:t>
      </w:r>
      <w:r w:rsidRPr="00043C31">
        <w:rPr>
          <w:rFonts w:eastAsia="Times New Roman" w:cs="Arial"/>
          <w:color w:val="000000"/>
          <w:lang w:val="en-US"/>
        </w:rPr>
        <w:t xml:space="preserve">mg </w:t>
      </w:r>
      <w:r w:rsidRPr="00043C31">
        <w:rPr>
          <w:rFonts w:eastAsia="Times New Roman" w:cs="Arial"/>
          <w:color w:val="000000"/>
          <w:lang w:eastAsia="bg-BG"/>
        </w:rPr>
        <w:t>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14:paraId="7523CC97" w14:textId="77777777" w:rsidR="00043C31" w:rsidRPr="00043C31" w:rsidRDefault="00043C31" w:rsidP="00043C31">
      <w:pPr>
        <w:spacing w:line="240" w:lineRule="auto"/>
        <w:rPr>
          <w:rFonts w:eastAsia="Times New Roman" w:cs="Arial"/>
          <w:color w:val="000000"/>
          <w:u w:val="single"/>
          <w:lang w:eastAsia="bg-BG"/>
        </w:rPr>
      </w:pPr>
    </w:p>
    <w:p w14:paraId="10772882" w14:textId="6F49969C" w:rsidR="00043C31" w:rsidRPr="00043C31" w:rsidRDefault="00043C31" w:rsidP="00043C31">
      <w:pPr>
        <w:pStyle w:val="Heading3"/>
        <w:rPr>
          <w:rFonts w:eastAsia="Times New Roman"/>
          <w:u w:val="single"/>
          <w:lang w:eastAsia="bg-BG"/>
        </w:rPr>
      </w:pPr>
      <w:r w:rsidRPr="00043C31">
        <w:rPr>
          <w:rFonts w:eastAsia="Times New Roman"/>
          <w:u w:val="single"/>
          <w:lang w:eastAsia="bg-BG"/>
        </w:rPr>
        <w:t>Фармакогенетика</w:t>
      </w:r>
    </w:p>
    <w:p w14:paraId="7C2A38E5" w14:textId="371D1D49" w:rsidR="00043C31" w:rsidRPr="00043C31" w:rsidRDefault="00043C31" w:rsidP="00043C31">
      <w:pPr>
        <w:spacing w:line="240" w:lineRule="auto"/>
        <w:rPr>
          <w:rFonts w:eastAsia="Times New Roman" w:cs="Arial"/>
          <w:lang w:eastAsia="bg-BG"/>
        </w:rPr>
      </w:pPr>
      <w:r w:rsidRPr="00043C31">
        <w:rPr>
          <w:rFonts w:eastAsia="Times New Roman" w:cs="Arial"/>
          <w:color w:val="000000"/>
          <w:lang w:val="en-US"/>
        </w:rPr>
        <w:t xml:space="preserve">CYP2C19 </w:t>
      </w:r>
      <w:r w:rsidRPr="00043C31">
        <w:rPr>
          <w:rFonts w:eastAsia="Times New Roman" w:cs="Arial"/>
          <w:color w:val="000000"/>
          <w:lang w:eastAsia="bg-BG"/>
        </w:rPr>
        <w:t xml:space="preserve">е включен във формирането на активния метаболит и на междинния метаболит 2- оксо-клопидогрел. Фармакокинетиката на активния метаболит на клопидогрел и антитромбоцитните ефекти на клопидогрел, измерени чрез анализ на </w:t>
      </w:r>
      <w:r w:rsidRPr="00043C31">
        <w:rPr>
          <w:rFonts w:eastAsia="Times New Roman" w:cs="Arial"/>
          <w:i/>
          <w:iCs/>
          <w:color w:val="000000"/>
          <w:lang w:val="en-US"/>
        </w:rPr>
        <w:t>ex vivo</w:t>
      </w:r>
      <w:r w:rsidRPr="00043C31">
        <w:rPr>
          <w:rFonts w:eastAsia="Times New Roman" w:cs="Arial"/>
          <w:color w:val="000000"/>
          <w:lang w:val="en-US"/>
        </w:rPr>
        <w:t xml:space="preserve"> </w:t>
      </w:r>
      <w:r w:rsidRPr="00043C31">
        <w:rPr>
          <w:rFonts w:eastAsia="Times New Roman" w:cs="Arial"/>
          <w:color w:val="000000"/>
          <w:lang w:eastAsia="bg-BG"/>
        </w:rPr>
        <w:t>тромбоцитна агрегация, се различават в зависимост от С</w:t>
      </w:r>
      <w:r w:rsidRPr="00043C31">
        <w:rPr>
          <w:rFonts w:eastAsia="Times New Roman" w:cs="Arial"/>
          <w:color w:val="000000"/>
          <w:lang w:val="en-US"/>
        </w:rPr>
        <w:t>YP2C19</w:t>
      </w:r>
      <w:r w:rsidRPr="00043C31">
        <w:rPr>
          <w:rFonts w:eastAsia="Times New Roman" w:cs="Arial"/>
          <w:color w:val="000000"/>
          <w:lang w:eastAsia="bg-BG"/>
        </w:rPr>
        <w:t xml:space="preserve"> генотипа,</w:t>
      </w:r>
      <w:r w:rsidRPr="00043C31">
        <w:rPr>
          <w:rFonts w:eastAsia="Times New Roman" w:cs="Arial"/>
          <w:lang w:eastAsia="bg-BG"/>
        </w:rPr>
        <w:t xml:space="preserve"> </w:t>
      </w:r>
      <w:r w:rsidRPr="00043C31">
        <w:rPr>
          <w:rFonts w:eastAsia="Times New Roman" w:cs="Arial"/>
          <w:color w:val="000000"/>
          <w:lang w:val="en-US"/>
        </w:rPr>
        <w:t xml:space="preserve">CYP2C19* J </w:t>
      </w:r>
      <w:r w:rsidRPr="00043C31">
        <w:rPr>
          <w:rFonts w:eastAsia="Times New Roman" w:cs="Arial"/>
          <w:color w:val="000000"/>
          <w:lang w:eastAsia="bg-BG"/>
        </w:rPr>
        <w:t xml:space="preserve">алелът съответства на цялостен функционален метаболизъм, докато </w:t>
      </w:r>
      <w:r w:rsidRPr="00043C31">
        <w:rPr>
          <w:rFonts w:eastAsia="Times New Roman" w:cs="Arial"/>
          <w:color w:val="000000"/>
          <w:lang w:val="en-US"/>
        </w:rPr>
        <w:t xml:space="preserve">CYP2C19*2 </w:t>
      </w:r>
      <w:r w:rsidRPr="00043C31">
        <w:rPr>
          <w:rFonts w:eastAsia="Times New Roman" w:cs="Arial"/>
          <w:color w:val="000000"/>
          <w:lang w:eastAsia="bg-BG"/>
        </w:rPr>
        <w:t xml:space="preserve">и </w:t>
      </w:r>
      <w:r w:rsidRPr="00043C31">
        <w:rPr>
          <w:rFonts w:eastAsia="Times New Roman" w:cs="Arial"/>
          <w:color w:val="000000"/>
          <w:lang w:val="en-US"/>
        </w:rPr>
        <w:t xml:space="preserve">CYP2C19*3 </w:t>
      </w:r>
      <w:r w:rsidRPr="00043C31">
        <w:rPr>
          <w:rFonts w:eastAsia="Times New Roman" w:cs="Arial"/>
          <w:color w:val="000000"/>
          <w:lang w:eastAsia="bg-BG"/>
        </w:rPr>
        <w:t xml:space="preserve">алелитеса нефункционални. </w:t>
      </w:r>
      <w:r w:rsidRPr="00043C31">
        <w:rPr>
          <w:rFonts w:eastAsia="Times New Roman" w:cs="Arial"/>
          <w:color w:val="000000"/>
          <w:lang w:val="en-US"/>
        </w:rPr>
        <w:t xml:space="preserve">CYP2C19*2 </w:t>
      </w:r>
      <w:r w:rsidRPr="00043C31">
        <w:rPr>
          <w:rFonts w:eastAsia="Times New Roman" w:cs="Arial"/>
          <w:color w:val="000000"/>
          <w:lang w:eastAsia="bg-BG"/>
        </w:rPr>
        <w:t xml:space="preserve">и </w:t>
      </w:r>
      <w:r w:rsidRPr="00043C31">
        <w:rPr>
          <w:rFonts w:eastAsia="Times New Roman" w:cs="Arial"/>
          <w:color w:val="000000"/>
          <w:lang w:val="en-US"/>
        </w:rPr>
        <w:t xml:space="preserve">CYP2C19*3 </w:t>
      </w:r>
      <w:r w:rsidRPr="00043C31">
        <w:rPr>
          <w:rFonts w:eastAsia="Times New Roman" w:cs="Arial"/>
          <w:color w:val="000000"/>
          <w:lang w:eastAsia="bg-BG"/>
        </w:rPr>
        <w:t xml:space="preserve">алелите са отговорни за по- голямата част от намалената функция при слабите метаболизатори от бялата (85%) и азиатската (99%) раса. Други алели, свързани с липсващ или намален метаболизъм, са </w:t>
      </w:r>
      <w:r w:rsidRPr="00043C31">
        <w:rPr>
          <w:rFonts w:eastAsia="Times New Roman" w:cs="Arial"/>
          <w:color w:val="000000"/>
          <w:lang w:eastAsia="bg-BG"/>
        </w:rPr>
        <w:lastRenderedPageBreak/>
        <w:t xml:space="preserve">по-малко чести и включват </w:t>
      </w:r>
      <w:r w:rsidRPr="00043C31">
        <w:rPr>
          <w:rFonts w:eastAsia="Times New Roman" w:cs="Arial"/>
          <w:color w:val="000000"/>
          <w:lang w:val="en-US"/>
        </w:rPr>
        <w:t xml:space="preserve">CYP2C19*4, </w:t>
      </w:r>
      <w:r w:rsidRPr="00043C31">
        <w:rPr>
          <w:rFonts w:eastAsia="Times New Roman" w:cs="Arial"/>
          <w:color w:val="000000"/>
          <w:lang w:eastAsia="bg-BG"/>
        </w:rPr>
        <w:t xml:space="preserve">*5,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sidRPr="00043C31">
        <w:rPr>
          <w:rFonts w:eastAsia="Times New Roman" w:cs="Arial"/>
          <w:color w:val="000000"/>
          <w:lang w:val="en-US"/>
        </w:rPr>
        <w:t>CYP2C1</w:t>
      </w:r>
      <w:r w:rsidRPr="00043C31">
        <w:rPr>
          <w:rFonts w:eastAsia="Times New Roman" w:cs="Arial"/>
          <w:color w:val="000000"/>
          <w:lang w:eastAsia="bg-BG"/>
        </w:rPr>
        <w:t xml:space="preserve">9 метаболизиращи генотипове са приблизително 2% за бялата раса, 4% за черната раса и 14% за китайците. Съществуват тестове за определяне на </w:t>
      </w:r>
      <w:r w:rsidRPr="00043C31">
        <w:rPr>
          <w:rFonts w:eastAsia="Times New Roman" w:cs="Arial"/>
          <w:color w:val="000000"/>
          <w:lang w:val="en-US"/>
        </w:rPr>
        <w:t xml:space="preserve">CYP2C19 </w:t>
      </w:r>
      <w:r w:rsidRPr="00043C31">
        <w:rPr>
          <w:rFonts w:eastAsia="Times New Roman" w:cs="Arial"/>
          <w:color w:val="000000"/>
          <w:lang w:eastAsia="bg-BG"/>
        </w:rPr>
        <w:t>генотипа на пациента.</w:t>
      </w:r>
    </w:p>
    <w:p w14:paraId="5711A07A" w14:textId="77777777" w:rsidR="00043C31" w:rsidRPr="00043C31" w:rsidRDefault="00043C31" w:rsidP="00043C31">
      <w:pPr>
        <w:rPr>
          <w:rFonts w:eastAsia="Times New Roman" w:cs="Arial"/>
          <w:lang w:eastAsia="bg-BG"/>
        </w:rPr>
      </w:pPr>
      <w:r w:rsidRPr="00043C31">
        <w:rPr>
          <w:rFonts w:eastAsia="Times New Roman" w:cs="Arial"/>
          <w:color w:val="000000"/>
          <w:lang w:eastAsia="bg-BG"/>
        </w:rPr>
        <w:t xml:space="preserve">Кръстосано проучване при 40 здрави доброволци, по 10 във всяка от четирите </w:t>
      </w:r>
      <w:r w:rsidRPr="00043C31">
        <w:rPr>
          <w:rFonts w:eastAsia="Times New Roman" w:cs="Arial"/>
          <w:color w:val="000000"/>
          <w:lang w:val="en-US"/>
        </w:rPr>
        <w:t>CYP2C</w:t>
      </w:r>
      <w:r w:rsidRPr="00043C31">
        <w:rPr>
          <w:rFonts w:eastAsia="Times New Roman" w:cs="Arial"/>
          <w:color w:val="000000"/>
          <w:lang w:eastAsia="bg-BG"/>
        </w:rPr>
        <w:t xml:space="preserve">19 метаболизиращи групи (крайно бързи, екстензивни, междинни и слаби метаболизатори) оценява фармакокинетиката и антитромбоцитните отговори при доза от 300 </w:t>
      </w:r>
      <w:r w:rsidRPr="00043C31">
        <w:rPr>
          <w:rFonts w:eastAsia="Times New Roman" w:cs="Arial"/>
          <w:color w:val="000000"/>
          <w:lang w:val="en-US"/>
        </w:rPr>
        <w:t xml:space="preserve">mg, </w:t>
      </w:r>
      <w:r w:rsidRPr="00043C31">
        <w:rPr>
          <w:rFonts w:eastAsia="Times New Roman" w:cs="Arial"/>
          <w:color w:val="000000"/>
          <w:lang w:eastAsia="bg-BG"/>
        </w:rPr>
        <w:t xml:space="preserve">последвана от 75 </w:t>
      </w:r>
      <w:r w:rsidRPr="00043C31">
        <w:rPr>
          <w:rFonts w:eastAsia="Times New Roman" w:cs="Arial"/>
          <w:color w:val="000000"/>
          <w:lang w:val="en-US"/>
        </w:rPr>
        <w:t>mg</w:t>
      </w:r>
      <w:r w:rsidRPr="00043C31">
        <w:rPr>
          <w:rFonts w:eastAsia="Times New Roman" w:cs="Arial"/>
          <w:color w:val="000000"/>
          <w:lang w:eastAsia="bg-BG"/>
        </w:rPr>
        <w:t xml:space="preserve">/дневно и 600 </w:t>
      </w:r>
      <w:r w:rsidRPr="00043C31">
        <w:rPr>
          <w:rFonts w:eastAsia="Times New Roman" w:cs="Arial"/>
          <w:color w:val="000000"/>
          <w:lang w:val="en-US"/>
        </w:rPr>
        <w:t xml:space="preserve">mg, </w:t>
      </w:r>
      <w:r w:rsidRPr="00043C31">
        <w:rPr>
          <w:rFonts w:eastAsia="Times New Roman" w:cs="Arial"/>
          <w:color w:val="000000"/>
          <w:lang w:eastAsia="bg-BG"/>
        </w:rPr>
        <w:t xml:space="preserve">последвана от 150 </w:t>
      </w:r>
      <w:r w:rsidRPr="00043C31">
        <w:rPr>
          <w:rFonts w:eastAsia="Times New Roman" w:cs="Arial"/>
          <w:color w:val="000000"/>
          <w:lang w:val="en-US"/>
        </w:rPr>
        <w:t>mg</w:t>
      </w:r>
      <w:r w:rsidRPr="00043C31">
        <w:rPr>
          <w:rFonts w:eastAsia="Times New Roman" w:cs="Arial"/>
          <w:color w:val="000000"/>
          <w:lang w:eastAsia="bg-BG"/>
        </w:rPr>
        <w:t xml:space="preserve">/дневно, всяка за общо 5 дни (стационарно състояние). Не са наблюдавани съществени разлики в експозицията на активния метаболит и средното инхибиране на тромбоцитната агрегация </w:t>
      </w:r>
      <w:r w:rsidRPr="00043C31">
        <w:rPr>
          <w:rFonts w:eastAsia="Times New Roman" w:cs="Arial"/>
          <w:color w:val="000000"/>
          <w:lang w:val="en-US"/>
        </w:rPr>
        <w:t>(IP</w:t>
      </w:r>
      <w:r w:rsidRPr="00043C31">
        <w:rPr>
          <w:rFonts w:eastAsia="Times New Roman" w:cs="Arial"/>
          <w:color w:val="000000"/>
          <w:lang w:eastAsia="bg-BG"/>
        </w:rPr>
        <w:t xml:space="preserve">А) между крайно бързите, екстензивните и междинните метаболизатори. При слабите метаболизатори експозицията на активния метаболит е намалена с 63 - 71% в сравнение с екстензивните метаболизатори. След схема на прилагане 300 </w:t>
      </w:r>
      <w:r w:rsidRPr="00043C31">
        <w:rPr>
          <w:rFonts w:eastAsia="Times New Roman" w:cs="Arial"/>
          <w:color w:val="000000"/>
          <w:lang w:val="en-US"/>
        </w:rPr>
        <w:t xml:space="preserve">mg/75 mg </w:t>
      </w:r>
      <w:r w:rsidRPr="00043C31">
        <w:rPr>
          <w:rFonts w:eastAsia="Times New Roman" w:cs="Arial"/>
          <w:color w:val="000000"/>
          <w:lang w:eastAsia="bg-BG"/>
        </w:rPr>
        <w:t xml:space="preserve">антитромбоцитните отговори са понижени при слабите метаболизатори със средно </w:t>
      </w:r>
      <w:r w:rsidRPr="00043C31">
        <w:rPr>
          <w:rFonts w:eastAsia="Times New Roman" w:cs="Arial"/>
          <w:color w:val="000000"/>
          <w:lang w:val="en-US"/>
        </w:rPr>
        <w:t xml:space="preserve">IPA </w:t>
      </w:r>
      <w:r w:rsidRPr="00043C31">
        <w:rPr>
          <w:rFonts w:eastAsia="Times New Roman" w:cs="Arial"/>
          <w:color w:val="000000"/>
          <w:lang w:eastAsia="bg-BG"/>
        </w:rPr>
        <w:t xml:space="preserve">(5 μМ </w:t>
      </w:r>
      <w:r w:rsidRPr="00043C31">
        <w:rPr>
          <w:rFonts w:eastAsia="Times New Roman" w:cs="Arial"/>
          <w:color w:val="000000"/>
          <w:lang w:val="en-US"/>
        </w:rPr>
        <w:t xml:space="preserve">ADP) </w:t>
      </w:r>
      <w:r w:rsidRPr="00043C31">
        <w:rPr>
          <w:rFonts w:eastAsia="Times New Roman" w:cs="Arial"/>
          <w:color w:val="000000"/>
          <w:lang w:eastAsia="bg-BG"/>
        </w:rPr>
        <w:t xml:space="preserve">от 24% (24 час) и 37% (ден 5) в сравнение с </w:t>
      </w:r>
      <w:r w:rsidRPr="00043C31">
        <w:rPr>
          <w:rFonts w:eastAsia="Times New Roman" w:cs="Arial"/>
          <w:color w:val="000000"/>
          <w:lang w:val="en-US"/>
        </w:rPr>
        <w:t xml:space="preserve">IPA </w:t>
      </w:r>
      <w:r w:rsidRPr="00043C31">
        <w:rPr>
          <w:rFonts w:eastAsia="Times New Roman" w:cs="Arial"/>
          <w:color w:val="000000"/>
          <w:lang w:eastAsia="bg-BG"/>
        </w:rPr>
        <w:t>от 39% (24 час) и 58% (ден 5) при екстензивните метаболизатори и 37% (24 час) и 60% (ден 5)</w:t>
      </w:r>
      <w:r w:rsidRPr="00043C31">
        <w:rPr>
          <w:rFonts w:eastAsia="Times New Roman" w:cs="Arial"/>
          <w:color w:val="000000"/>
          <w:lang w:val="en-US"/>
        </w:rPr>
        <w:t xml:space="preserve"> </w:t>
      </w:r>
      <w:r w:rsidRPr="00043C31">
        <w:rPr>
          <w:rFonts w:eastAsia="Times New Roman" w:cs="Arial"/>
          <w:color w:val="000000"/>
          <w:lang w:eastAsia="bg-BG"/>
        </w:rPr>
        <w:t>при</w:t>
      </w:r>
      <w:r w:rsidRPr="00043C31">
        <w:rPr>
          <w:rFonts w:eastAsia="Times New Roman" w:cs="Arial"/>
          <w:color w:val="000000"/>
          <w:u w:val="single"/>
          <w:lang w:eastAsia="bg-BG"/>
        </w:rPr>
        <w:t xml:space="preserve"> </w:t>
      </w:r>
      <w:r w:rsidRPr="00043C31">
        <w:rPr>
          <w:rFonts w:eastAsia="Times New Roman" w:cs="Arial"/>
          <w:color w:val="000000"/>
          <w:lang w:eastAsia="bg-BG"/>
        </w:rPr>
        <w:t xml:space="preserve">междинните метаболизатори, Когато слабите метаболизатори приемат по схема 600 </w:t>
      </w:r>
      <w:r w:rsidRPr="00043C31">
        <w:rPr>
          <w:rFonts w:eastAsia="Times New Roman" w:cs="Arial"/>
          <w:color w:val="000000"/>
          <w:lang w:val="en-US"/>
        </w:rPr>
        <w:t>mg/150 mg,</w:t>
      </w:r>
      <w:r w:rsidRPr="00043C31">
        <w:rPr>
          <w:rFonts w:eastAsia="Times New Roman" w:cs="Arial"/>
          <w:color w:val="000000"/>
          <w:lang w:eastAsia="bg-BG"/>
        </w:rPr>
        <w:t xml:space="preserve"> експозицията на активния метаболит е по-голяма отколкото при схемата 300 </w:t>
      </w:r>
      <w:r w:rsidRPr="00043C31">
        <w:rPr>
          <w:rFonts w:eastAsia="Times New Roman" w:cs="Arial"/>
          <w:color w:val="000000"/>
          <w:lang w:val="en-US"/>
        </w:rPr>
        <w:t xml:space="preserve">mg/75 mg. </w:t>
      </w:r>
      <w:r w:rsidRPr="00043C31">
        <w:rPr>
          <w:rFonts w:eastAsia="Times New Roman" w:cs="Arial"/>
          <w:color w:val="000000"/>
          <w:lang w:eastAsia="bg-BG"/>
        </w:rPr>
        <w:t xml:space="preserve">В допълнение, </w:t>
      </w:r>
      <w:r w:rsidRPr="00043C31">
        <w:rPr>
          <w:rFonts w:eastAsia="Times New Roman" w:cs="Arial"/>
          <w:color w:val="000000"/>
          <w:lang w:val="en-US"/>
        </w:rPr>
        <w:t xml:space="preserve">IPA </w:t>
      </w:r>
      <w:r w:rsidRPr="00043C31">
        <w:rPr>
          <w:rFonts w:eastAsia="Times New Roman" w:cs="Arial"/>
          <w:color w:val="000000"/>
          <w:lang w:eastAsia="bg-BG"/>
        </w:rPr>
        <w:t xml:space="preserve">е 32% (24 час) и 61% (ден 5), стойности, по-големи отколкото при слабите метаболизатори, получаващи по схема 300 </w:t>
      </w:r>
      <w:r w:rsidRPr="00043C31">
        <w:rPr>
          <w:rFonts w:eastAsia="Times New Roman" w:cs="Arial"/>
          <w:color w:val="000000"/>
          <w:lang w:val="en-US"/>
        </w:rPr>
        <w:t xml:space="preserve">mg/75 mg </w:t>
      </w:r>
      <w:r w:rsidRPr="00043C31">
        <w:rPr>
          <w:rFonts w:eastAsia="Times New Roman" w:cs="Arial"/>
          <w:color w:val="000000"/>
          <w:lang w:eastAsia="bg-BG"/>
        </w:rPr>
        <w:t xml:space="preserve">и сходни на тези при другите </w:t>
      </w:r>
      <w:r w:rsidRPr="00043C31">
        <w:rPr>
          <w:rFonts w:eastAsia="Times New Roman" w:cs="Arial"/>
          <w:color w:val="000000"/>
          <w:lang w:val="en-US"/>
        </w:rPr>
        <w:t>CYP2C19</w:t>
      </w:r>
      <w:r w:rsidRPr="00043C31">
        <w:rPr>
          <w:rFonts w:eastAsia="Times New Roman" w:cs="Arial"/>
          <w:color w:val="000000"/>
        </w:rPr>
        <w:t xml:space="preserve"> </w:t>
      </w:r>
      <w:r w:rsidRPr="00043C31">
        <w:rPr>
          <w:rFonts w:eastAsia="Times New Roman" w:cs="Arial"/>
          <w:color w:val="000000"/>
          <w:lang w:eastAsia="bg-BG"/>
        </w:rPr>
        <w:t xml:space="preserve">метаболизиращи групи, получаващи по схема 300 </w:t>
      </w:r>
      <w:r w:rsidRPr="00043C31">
        <w:rPr>
          <w:rFonts w:eastAsia="Times New Roman" w:cs="Arial"/>
          <w:color w:val="000000"/>
          <w:lang w:val="en-US"/>
        </w:rPr>
        <w:t xml:space="preserve">mg/75 mg. </w:t>
      </w:r>
      <w:r w:rsidRPr="00043C31">
        <w:rPr>
          <w:rFonts w:eastAsia="Times New Roman" w:cs="Arial"/>
          <w:color w:val="000000"/>
          <w:lang w:eastAsia="bg-BG"/>
        </w:rPr>
        <w:t xml:space="preserve">Подходяща схема на прилагане при тази популация пациенти все още не е определена в изпитвания за клинични резултати. 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w:t>
      </w:r>
      <w:r w:rsidRPr="00043C31">
        <w:rPr>
          <w:rFonts w:eastAsia="Times New Roman" w:cs="Arial"/>
          <w:i/>
          <w:iCs/>
          <w:color w:val="000000"/>
          <w:lang w:eastAsia="bg-BG"/>
        </w:rPr>
        <w:t>28% за междинните</w:t>
      </w:r>
      <w:r w:rsidRPr="00043C31">
        <w:rPr>
          <w:rFonts w:eastAsia="Times New Roman" w:cs="Arial"/>
          <w:color w:val="000000"/>
          <w:lang w:eastAsia="bg-BG"/>
        </w:rPr>
        <w:t xml:space="preserve"> метаболизатори и 72% за слабите метаболизатори, докато инхибирането на тромбоцитната агрегация (5 μМ </w:t>
      </w:r>
      <w:r w:rsidRPr="00043C31">
        <w:rPr>
          <w:rFonts w:eastAsia="Times New Roman" w:cs="Arial"/>
          <w:color w:val="000000"/>
          <w:lang w:val="en-US"/>
        </w:rPr>
        <w:t xml:space="preserve">ADP) </w:t>
      </w:r>
      <w:r w:rsidRPr="00043C31">
        <w:rPr>
          <w:rFonts w:eastAsia="Times New Roman" w:cs="Arial"/>
          <w:color w:val="000000"/>
          <w:lang w:eastAsia="bg-BG"/>
        </w:rPr>
        <w:t xml:space="preserve">е понижено с разлики в </w:t>
      </w:r>
      <w:r w:rsidRPr="00043C31">
        <w:rPr>
          <w:rFonts w:eastAsia="Times New Roman" w:cs="Arial"/>
          <w:color w:val="000000"/>
          <w:lang w:val="en-US"/>
        </w:rPr>
        <w:t xml:space="preserve">IPA </w:t>
      </w:r>
      <w:r w:rsidRPr="00043C31">
        <w:rPr>
          <w:rFonts w:eastAsia="Times New Roman" w:cs="Arial"/>
          <w:color w:val="000000"/>
          <w:lang w:eastAsia="bg-BG"/>
        </w:rPr>
        <w:t>от 5,9% и 21,4% съответно, в сравнение с екстензивните метаболизатори.</w:t>
      </w:r>
    </w:p>
    <w:p w14:paraId="5A464A07"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Влиянието на </w:t>
      </w:r>
      <w:r w:rsidRPr="00043C31">
        <w:rPr>
          <w:rFonts w:eastAsia="Times New Roman" w:cs="Arial"/>
          <w:color w:val="000000"/>
          <w:lang w:val="en-US"/>
        </w:rPr>
        <w:t>CYP2C</w:t>
      </w:r>
      <w:r w:rsidRPr="00043C31">
        <w:rPr>
          <w:rFonts w:eastAsia="Times New Roman" w:cs="Arial"/>
          <w:color w:val="000000"/>
          <w:lang w:eastAsia="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sidRPr="00043C31">
        <w:rPr>
          <w:rFonts w:eastAsia="Times New Roman" w:cs="Arial"/>
          <w:color w:val="000000"/>
          <w:lang w:val="en-US"/>
        </w:rPr>
        <w:t xml:space="preserve">CURE </w:t>
      </w:r>
      <w:r w:rsidRPr="00043C31">
        <w:rPr>
          <w:rFonts w:eastAsia="Times New Roman" w:cs="Arial"/>
          <w:color w:val="000000"/>
          <w:lang w:eastAsia="bg-BG"/>
        </w:rPr>
        <w:t>(</w:t>
      </w:r>
      <w:r w:rsidRPr="00043C31">
        <w:rPr>
          <w:rFonts w:eastAsia="Times New Roman" w:cs="Arial"/>
          <w:color w:val="000000"/>
          <w:lang w:val="en-US"/>
        </w:rPr>
        <w:t>n</w:t>
      </w:r>
      <w:r w:rsidRPr="00043C31">
        <w:rPr>
          <w:rFonts w:eastAsia="Times New Roman" w:cs="Arial"/>
          <w:color w:val="000000"/>
          <w:lang w:eastAsia="bg-BG"/>
        </w:rPr>
        <w:t xml:space="preserve"> = 2 721), </w:t>
      </w:r>
      <w:r w:rsidRPr="00043C31">
        <w:rPr>
          <w:rFonts w:eastAsia="Times New Roman" w:cs="Arial"/>
          <w:color w:val="000000"/>
          <w:lang w:val="en-US"/>
        </w:rPr>
        <w:t xml:space="preserve">CHARISMA </w:t>
      </w:r>
      <w:r w:rsidRPr="00043C31">
        <w:rPr>
          <w:rFonts w:eastAsia="Times New Roman" w:cs="Arial"/>
          <w:color w:val="000000"/>
          <w:lang w:eastAsia="bg-BG"/>
        </w:rPr>
        <w:t>(</w:t>
      </w:r>
      <w:r w:rsidRPr="00043C31">
        <w:rPr>
          <w:rFonts w:eastAsia="Times New Roman" w:cs="Arial"/>
          <w:color w:val="000000"/>
          <w:lang w:val="en-US"/>
        </w:rPr>
        <w:t>n</w:t>
      </w:r>
      <w:r w:rsidRPr="00043C31">
        <w:rPr>
          <w:rFonts w:eastAsia="Times New Roman" w:cs="Arial"/>
          <w:color w:val="000000"/>
          <w:lang w:eastAsia="bg-BG"/>
        </w:rPr>
        <w:t xml:space="preserve"> = 2 428), </w:t>
      </w:r>
      <w:r w:rsidRPr="00043C31">
        <w:rPr>
          <w:rFonts w:eastAsia="Times New Roman" w:cs="Arial"/>
          <w:color w:val="000000"/>
          <w:lang w:val="en-US"/>
        </w:rPr>
        <w:t>CLARITY-TIMI</w:t>
      </w:r>
      <w:r w:rsidRPr="00043C31">
        <w:rPr>
          <w:rFonts w:eastAsia="Times New Roman" w:cs="Arial"/>
          <w:color w:val="000000"/>
          <w:lang w:eastAsia="bg-BG"/>
        </w:rPr>
        <w:t>28 (</w:t>
      </w:r>
      <w:r w:rsidRPr="00043C31">
        <w:rPr>
          <w:rFonts w:eastAsia="Times New Roman" w:cs="Arial"/>
          <w:color w:val="000000"/>
          <w:lang w:val="en-US"/>
        </w:rPr>
        <w:t>n</w:t>
      </w:r>
      <w:r w:rsidRPr="00043C31">
        <w:rPr>
          <w:rFonts w:eastAsia="Times New Roman" w:cs="Arial"/>
          <w:color w:val="000000"/>
          <w:lang w:eastAsia="bg-BG"/>
        </w:rPr>
        <w:t xml:space="preserve">= 227), </w:t>
      </w:r>
      <w:r w:rsidRPr="00043C31">
        <w:rPr>
          <w:rFonts w:eastAsia="Times New Roman" w:cs="Arial"/>
          <w:color w:val="000000"/>
          <w:lang w:val="en-US"/>
        </w:rPr>
        <w:t xml:space="preserve">TRITON-TIMI </w:t>
      </w:r>
      <w:r w:rsidRPr="00043C31">
        <w:rPr>
          <w:rFonts w:eastAsia="Times New Roman" w:cs="Arial"/>
          <w:color w:val="000000"/>
          <w:lang w:eastAsia="bg-BG"/>
        </w:rPr>
        <w:t xml:space="preserve">38 </w:t>
      </w:r>
      <w:r w:rsidRPr="00043C31">
        <w:rPr>
          <w:rFonts w:eastAsia="Times New Roman" w:cs="Arial"/>
          <w:color w:val="000000"/>
          <w:lang w:val="en-US"/>
        </w:rPr>
        <w:t xml:space="preserve">(n </w:t>
      </w:r>
      <w:r w:rsidRPr="00043C31">
        <w:rPr>
          <w:rFonts w:eastAsia="Times New Roman" w:cs="Arial"/>
          <w:color w:val="000000"/>
          <w:lang w:eastAsia="bg-BG"/>
        </w:rPr>
        <w:t xml:space="preserve">= 1 477), и </w:t>
      </w:r>
      <w:r w:rsidRPr="00043C31">
        <w:rPr>
          <w:rFonts w:eastAsia="Times New Roman" w:cs="Arial"/>
          <w:color w:val="000000"/>
          <w:lang w:val="en-US"/>
        </w:rPr>
        <w:t xml:space="preserve">ACTIVE-A </w:t>
      </w:r>
      <w:r w:rsidRPr="00043C31">
        <w:rPr>
          <w:rFonts w:eastAsia="Times New Roman" w:cs="Arial"/>
          <w:color w:val="000000"/>
          <w:lang w:eastAsia="bg-BG"/>
        </w:rPr>
        <w:t>(</w:t>
      </w:r>
      <w:r w:rsidRPr="00043C31">
        <w:rPr>
          <w:rFonts w:eastAsia="Times New Roman" w:cs="Arial"/>
          <w:color w:val="000000"/>
          <w:lang w:val="en-US"/>
        </w:rPr>
        <w:t>n</w:t>
      </w:r>
      <w:r w:rsidRPr="00043C31">
        <w:rPr>
          <w:rFonts w:eastAsia="Times New Roman" w:cs="Arial"/>
          <w:color w:val="000000"/>
          <w:lang w:eastAsia="bg-BG"/>
        </w:rPr>
        <w:t xml:space="preserve"> = 601), както и известен брой публикувани кохортни проучвания.</w:t>
      </w:r>
    </w:p>
    <w:p w14:paraId="5592C2FC"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В </w:t>
      </w:r>
      <w:r w:rsidRPr="00043C31">
        <w:rPr>
          <w:rFonts w:eastAsia="Times New Roman" w:cs="Arial"/>
          <w:color w:val="000000"/>
          <w:lang w:val="en-US"/>
        </w:rPr>
        <w:t xml:space="preserve">TRITON-TIMI </w:t>
      </w:r>
      <w:r w:rsidRPr="00043C31">
        <w:rPr>
          <w:rFonts w:eastAsia="Times New Roman" w:cs="Arial"/>
          <w:color w:val="000000"/>
          <w:lang w:eastAsia="bg-BG"/>
        </w:rPr>
        <w:t xml:space="preserve">38 и 3 от кохортните проучвания </w:t>
      </w:r>
      <w:r w:rsidRPr="00043C31">
        <w:rPr>
          <w:rFonts w:eastAsia="Times New Roman" w:cs="Arial"/>
          <w:color w:val="000000"/>
          <w:lang w:val="en-US"/>
        </w:rPr>
        <w:t xml:space="preserve">(Collet, </w:t>
      </w:r>
      <w:proofErr w:type="spellStart"/>
      <w:r w:rsidRPr="00043C31">
        <w:rPr>
          <w:rFonts w:eastAsia="Times New Roman" w:cs="Arial"/>
          <w:color w:val="000000"/>
          <w:lang w:val="en-US"/>
        </w:rPr>
        <w:t>Sibbing</w:t>
      </w:r>
      <w:proofErr w:type="spellEnd"/>
      <w:r w:rsidRPr="00043C31">
        <w:rPr>
          <w:rFonts w:eastAsia="Times New Roman" w:cs="Arial"/>
          <w:color w:val="000000"/>
          <w:lang w:val="en-US"/>
        </w:rPr>
        <w:t xml:space="preserve">, </w:t>
      </w:r>
      <w:proofErr w:type="spellStart"/>
      <w:r w:rsidRPr="00043C31">
        <w:rPr>
          <w:rFonts w:eastAsia="Times New Roman" w:cs="Arial"/>
          <w:color w:val="000000"/>
          <w:lang w:val="en-US"/>
        </w:rPr>
        <w:t>Giusti</w:t>
      </w:r>
      <w:proofErr w:type="spellEnd"/>
      <w:r w:rsidRPr="00043C31">
        <w:rPr>
          <w:rFonts w:eastAsia="Times New Roman" w:cs="Arial"/>
          <w:color w:val="000000"/>
          <w:lang w:val="en-US"/>
        </w:rPr>
        <w:t xml:space="preserve">) </w:t>
      </w:r>
      <w:r w:rsidRPr="00043C31">
        <w:rPr>
          <w:rFonts w:eastAsia="Times New Roman" w:cs="Arial"/>
          <w:color w:val="000000"/>
          <w:lang w:eastAsia="bg-BG"/>
        </w:rPr>
        <w:t>комбинираната група пациенти с междинен или слаб метаболизиращ статус са имали по-висока честота на сърдечно</w:t>
      </w:r>
      <w:r w:rsidRPr="00043C31">
        <w:rPr>
          <w:rFonts w:eastAsia="Times New Roman" w:cs="Arial"/>
          <w:color w:val="000000"/>
          <w:lang w:eastAsia="bg-BG"/>
        </w:rPr>
        <w:softHyphen/>
        <w:t>съдови инциденти (смърт, миокарден инфаркт и инсулт) или тромбоза на стента, в сравнение с екстензивните метаболизатори.</w:t>
      </w:r>
    </w:p>
    <w:p w14:paraId="7A4F3295"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В </w:t>
      </w:r>
      <w:r w:rsidRPr="00043C31">
        <w:rPr>
          <w:rFonts w:eastAsia="Times New Roman" w:cs="Arial"/>
          <w:color w:val="000000"/>
          <w:lang w:val="en-US"/>
        </w:rPr>
        <w:t xml:space="preserve">CHARISMA </w:t>
      </w:r>
      <w:r w:rsidRPr="00043C31">
        <w:rPr>
          <w:rFonts w:eastAsia="Times New Roman" w:cs="Arial"/>
          <w:color w:val="000000"/>
          <w:lang w:eastAsia="bg-BG"/>
        </w:rPr>
        <w:t xml:space="preserve">и едно кохортно проучване </w:t>
      </w:r>
      <w:r w:rsidRPr="00043C31">
        <w:rPr>
          <w:rFonts w:eastAsia="Times New Roman" w:cs="Arial"/>
          <w:color w:val="000000"/>
          <w:lang w:val="en-US"/>
        </w:rPr>
        <w:t xml:space="preserve">(Simon) </w:t>
      </w:r>
      <w:r w:rsidRPr="00043C31">
        <w:rPr>
          <w:rFonts w:eastAsia="Times New Roman" w:cs="Arial"/>
          <w:color w:val="000000"/>
          <w:lang w:eastAsia="bg-BG"/>
        </w:rPr>
        <w:t xml:space="preserve">повишена честота на инциденти е наблюдавана само при слаби метаболизатори в сравнение с екстензивните метаболизатори. В </w:t>
      </w:r>
      <w:r w:rsidRPr="00043C31">
        <w:rPr>
          <w:rFonts w:eastAsia="Times New Roman" w:cs="Arial"/>
          <w:color w:val="000000"/>
          <w:lang w:val="en-US"/>
        </w:rPr>
        <w:t xml:space="preserve">CURE, CLARITY, ACTIVE-A </w:t>
      </w:r>
      <w:r w:rsidRPr="00043C31">
        <w:rPr>
          <w:rFonts w:eastAsia="Times New Roman" w:cs="Arial"/>
          <w:color w:val="000000"/>
          <w:lang w:eastAsia="bg-BG"/>
        </w:rPr>
        <w:t xml:space="preserve">и едно от кохортните проучвания </w:t>
      </w:r>
      <w:r w:rsidRPr="00043C31">
        <w:rPr>
          <w:rFonts w:eastAsia="Times New Roman" w:cs="Arial"/>
          <w:color w:val="000000"/>
          <w:lang w:val="en-US"/>
        </w:rPr>
        <w:t>(</w:t>
      </w:r>
      <w:proofErr w:type="spellStart"/>
      <w:r w:rsidRPr="00043C31">
        <w:rPr>
          <w:rFonts w:eastAsia="Times New Roman" w:cs="Arial"/>
          <w:color w:val="000000"/>
          <w:lang w:val="en-US"/>
        </w:rPr>
        <w:t>Trenk</w:t>
      </w:r>
      <w:proofErr w:type="spellEnd"/>
      <w:r w:rsidRPr="00043C31">
        <w:rPr>
          <w:rFonts w:eastAsia="Times New Roman" w:cs="Arial"/>
          <w:color w:val="000000"/>
          <w:lang w:val="en-US"/>
        </w:rPr>
        <w:t xml:space="preserve">) </w:t>
      </w:r>
      <w:r w:rsidRPr="00043C31">
        <w:rPr>
          <w:rFonts w:eastAsia="Times New Roman" w:cs="Arial"/>
          <w:color w:val="000000"/>
          <w:lang w:eastAsia="bg-BG"/>
        </w:rPr>
        <w:t>не е наблюдавана повишена честота на инцидентите въз основа на статуса на метаболизатора.</w:t>
      </w:r>
    </w:p>
    <w:p w14:paraId="4B5473B1"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Нито един от тези анализи не е бил с адекватен брой пациенти, за да открие разлики в изхода при слабите метаболизатори.</w:t>
      </w:r>
    </w:p>
    <w:p w14:paraId="73CCEEA6" w14:textId="77777777" w:rsidR="00043C31" w:rsidRPr="00043C31" w:rsidRDefault="00043C31" w:rsidP="00043C31">
      <w:pPr>
        <w:spacing w:line="240" w:lineRule="auto"/>
        <w:rPr>
          <w:rFonts w:eastAsia="Times New Roman" w:cs="Arial"/>
          <w:color w:val="000000"/>
          <w:u w:val="single"/>
          <w:lang w:eastAsia="bg-BG"/>
        </w:rPr>
      </w:pPr>
    </w:p>
    <w:p w14:paraId="01E726FE" w14:textId="61C23DE2" w:rsidR="00043C31" w:rsidRPr="00043C31" w:rsidRDefault="00043C31" w:rsidP="00043C31">
      <w:pPr>
        <w:pStyle w:val="Heading3"/>
        <w:rPr>
          <w:rFonts w:eastAsia="Times New Roman"/>
          <w:u w:val="single"/>
          <w:lang w:eastAsia="bg-BG"/>
        </w:rPr>
      </w:pPr>
      <w:r w:rsidRPr="00043C31">
        <w:rPr>
          <w:rFonts w:eastAsia="Times New Roman"/>
          <w:u w:val="single"/>
          <w:lang w:eastAsia="bg-BG"/>
        </w:rPr>
        <w:lastRenderedPageBreak/>
        <w:t>Специални популации</w:t>
      </w:r>
    </w:p>
    <w:p w14:paraId="1BCFA203"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Фармакокинетиката на активният метаболит на клопидогрел не е известна при тези специални популации.</w:t>
      </w:r>
    </w:p>
    <w:p w14:paraId="5D780E1C" w14:textId="77777777" w:rsidR="00043C31" w:rsidRPr="00043C31" w:rsidRDefault="00043C31" w:rsidP="00043C31">
      <w:pPr>
        <w:spacing w:line="240" w:lineRule="auto"/>
        <w:rPr>
          <w:rFonts w:eastAsia="Times New Roman" w:cs="Arial"/>
          <w:i/>
          <w:iCs/>
          <w:color w:val="000000"/>
          <w:lang w:eastAsia="bg-BG"/>
        </w:rPr>
      </w:pPr>
    </w:p>
    <w:p w14:paraId="0787085D" w14:textId="7E2B480D" w:rsidR="00043C31" w:rsidRPr="00043C31" w:rsidRDefault="00043C31" w:rsidP="00043C31">
      <w:pPr>
        <w:spacing w:line="240" w:lineRule="auto"/>
        <w:rPr>
          <w:rFonts w:eastAsia="Times New Roman" w:cs="Arial"/>
          <w:lang w:eastAsia="bg-BG"/>
        </w:rPr>
      </w:pPr>
      <w:r w:rsidRPr="00043C31">
        <w:rPr>
          <w:rFonts w:eastAsia="Times New Roman" w:cs="Arial"/>
          <w:i/>
          <w:iCs/>
          <w:color w:val="000000"/>
          <w:lang w:eastAsia="bg-BG"/>
        </w:rPr>
        <w:t>Бъбречно увреждане</w:t>
      </w:r>
    </w:p>
    <w:p w14:paraId="625895E6"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След многократно приложение на дози от 75 </w:t>
      </w:r>
      <w:r w:rsidRPr="00043C31">
        <w:rPr>
          <w:rFonts w:eastAsia="Times New Roman" w:cs="Arial"/>
          <w:color w:val="000000"/>
          <w:lang w:val="en-US"/>
        </w:rPr>
        <w:t xml:space="preserve">mg </w:t>
      </w:r>
      <w:r w:rsidRPr="00043C31">
        <w:rPr>
          <w:rFonts w:eastAsia="Times New Roman" w:cs="Arial"/>
          <w:color w:val="000000"/>
          <w:lang w:eastAsia="bg-BG"/>
        </w:rPr>
        <w:t xml:space="preserve">клопидогрел дневно при пациенти с тежка бъбречна недостатъчност (креатининов клирънс между 5 и 15 </w:t>
      </w:r>
      <w:r w:rsidRPr="00043C31">
        <w:rPr>
          <w:rFonts w:eastAsia="Times New Roman" w:cs="Arial"/>
          <w:color w:val="000000"/>
          <w:lang w:val="en-US"/>
        </w:rPr>
        <w:t xml:space="preserve">ml/min) </w:t>
      </w:r>
      <w:r w:rsidRPr="00043C31">
        <w:rPr>
          <w:rFonts w:eastAsia="Times New Roman" w:cs="Arial"/>
          <w:color w:val="000000"/>
          <w:lang w:eastAsia="bg-BG"/>
        </w:rPr>
        <w:t xml:space="preserve">инхибирането на АДФ- индуцираната тромбоцитна агрегация е по-ниско (25%) отколкото наблюдаваното при здрави индивиди, въпреки това удължаването на времето на кървене е сходно с това, наблюдавано при здрави индивиди, приемащи 75 </w:t>
      </w:r>
      <w:r w:rsidRPr="00043C31">
        <w:rPr>
          <w:rFonts w:eastAsia="Times New Roman" w:cs="Arial"/>
          <w:color w:val="000000"/>
          <w:lang w:val="en-US"/>
        </w:rPr>
        <w:t xml:space="preserve">mg </w:t>
      </w:r>
      <w:r w:rsidRPr="00043C31">
        <w:rPr>
          <w:rFonts w:eastAsia="Times New Roman" w:cs="Arial"/>
          <w:color w:val="000000"/>
          <w:lang w:eastAsia="bg-BG"/>
        </w:rPr>
        <w:t>клопидрогел дневно. Освен това, при всички пациенти клиничната поносимост е била добра.</w:t>
      </w:r>
    </w:p>
    <w:p w14:paraId="50739BC2" w14:textId="77777777" w:rsidR="00043C31" w:rsidRPr="00043C31" w:rsidRDefault="00043C31" w:rsidP="00043C31">
      <w:pPr>
        <w:spacing w:line="240" w:lineRule="auto"/>
        <w:rPr>
          <w:rFonts w:eastAsia="Times New Roman" w:cs="Arial"/>
          <w:i/>
          <w:iCs/>
          <w:color w:val="000000"/>
          <w:lang w:eastAsia="bg-BG"/>
        </w:rPr>
      </w:pPr>
    </w:p>
    <w:p w14:paraId="7B7B88A5" w14:textId="4400095A" w:rsidR="00043C31" w:rsidRPr="00043C31" w:rsidRDefault="00043C31" w:rsidP="00043C31">
      <w:pPr>
        <w:spacing w:line="240" w:lineRule="auto"/>
        <w:rPr>
          <w:rFonts w:eastAsia="Times New Roman" w:cs="Arial"/>
          <w:lang w:eastAsia="bg-BG"/>
        </w:rPr>
      </w:pPr>
      <w:r w:rsidRPr="00043C31">
        <w:rPr>
          <w:rFonts w:eastAsia="Times New Roman" w:cs="Arial"/>
          <w:i/>
          <w:iCs/>
          <w:color w:val="000000"/>
          <w:lang w:eastAsia="bg-BG"/>
        </w:rPr>
        <w:t>Чернодробно увреждане</w:t>
      </w:r>
    </w:p>
    <w:p w14:paraId="4D3617F4" w14:textId="77777777" w:rsidR="00043C31" w:rsidRPr="00043C31" w:rsidRDefault="00043C31" w:rsidP="00043C31">
      <w:pPr>
        <w:spacing w:line="240" w:lineRule="auto"/>
        <w:rPr>
          <w:rFonts w:eastAsia="Times New Roman" w:cs="Arial"/>
          <w:lang w:eastAsia="bg-BG"/>
        </w:rPr>
      </w:pPr>
      <w:r w:rsidRPr="00043C31">
        <w:rPr>
          <w:rFonts w:eastAsia="Times New Roman" w:cs="Arial"/>
          <w:color w:val="000000"/>
          <w:lang w:eastAsia="bg-BG"/>
        </w:rPr>
        <w:t xml:space="preserve">След многократно прилагане на доза от 75 </w:t>
      </w:r>
      <w:r w:rsidRPr="00043C31">
        <w:rPr>
          <w:rFonts w:eastAsia="Times New Roman" w:cs="Arial"/>
          <w:color w:val="000000"/>
          <w:lang w:val="en-US"/>
        </w:rPr>
        <w:t xml:space="preserve">mg </w:t>
      </w:r>
      <w:r w:rsidRPr="00043C31">
        <w:rPr>
          <w:rFonts w:eastAsia="Times New Roman" w:cs="Arial"/>
          <w:color w:val="000000"/>
          <w:lang w:eastAsia="bg-BG"/>
        </w:rPr>
        <w:t>клопидогрел дневно в продължение на 10 дни при пациенти с тежко чернодробно увреждане, инхибирането на АДФ-индуцираната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14:paraId="3E3CF7ED" w14:textId="77777777" w:rsidR="00043C31" w:rsidRPr="00043C31" w:rsidRDefault="00043C31" w:rsidP="00043C31">
      <w:pPr>
        <w:spacing w:line="240" w:lineRule="auto"/>
        <w:rPr>
          <w:rFonts w:eastAsia="Times New Roman" w:cs="Arial"/>
          <w:i/>
          <w:iCs/>
          <w:color w:val="000000"/>
          <w:lang w:eastAsia="bg-BG"/>
        </w:rPr>
      </w:pPr>
    </w:p>
    <w:p w14:paraId="2F41C8C7" w14:textId="31239CA3" w:rsidR="00043C31" w:rsidRPr="00043C31" w:rsidRDefault="00043C31" w:rsidP="00043C31">
      <w:pPr>
        <w:spacing w:line="240" w:lineRule="auto"/>
        <w:rPr>
          <w:rFonts w:eastAsia="Times New Roman" w:cs="Arial"/>
          <w:lang w:eastAsia="bg-BG"/>
        </w:rPr>
      </w:pPr>
      <w:r w:rsidRPr="00043C31">
        <w:rPr>
          <w:rFonts w:eastAsia="Times New Roman" w:cs="Arial"/>
          <w:i/>
          <w:iCs/>
          <w:color w:val="000000"/>
          <w:lang w:eastAsia="bg-BG"/>
        </w:rPr>
        <w:t>Раса</w:t>
      </w:r>
    </w:p>
    <w:p w14:paraId="4EE1BB0B" w14:textId="09C04BAB" w:rsidR="0091385D" w:rsidRPr="00043C31" w:rsidRDefault="00043C31" w:rsidP="00043C31">
      <w:pPr>
        <w:rPr>
          <w:rFonts w:cs="Arial"/>
        </w:rPr>
      </w:pPr>
      <w:r w:rsidRPr="00043C31">
        <w:rPr>
          <w:rFonts w:eastAsia="Times New Roman" w:cs="Arial"/>
          <w:color w:val="000000"/>
          <w:lang w:eastAsia="bg-BG"/>
        </w:rPr>
        <w:t xml:space="preserve">Преобладаването на алелите на </w:t>
      </w:r>
      <w:r w:rsidRPr="00043C31">
        <w:rPr>
          <w:rFonts w:eastAsia="Times New Roman" w:cs="Arial"/>
          <w:color w:val="000000"/>
          <w:lang w:val="en-US"/>
        </w:rPr>
        <w:t xml:space="preserve">CYP2C19, </w:t>
      </w:r>
      <w:r w:rsidRPr="00043C31">
        <w:rPr>
          <w:rFonts w:eastAsia="Times New Roman" w:cs="Arial"/>
          <w:color w:val="000000"/>
          <w:lang w:eastAsia="bg-BG"/>
        </w:rPr>
        <w:t xml:space="preserve">определящи междинен и слаб </w:t>
      </w:r>
      <w:r w:rsidRPr="00043C31">
        <w:rPr>
          <w:rFonts w:eastAsia="Times New Roman" w:cs="Arial"/>
          <w:color w:val="000000"/>
          <w:lang w:val="en-US"/>
        </w:rPr>
        <w:t xml:space="preserve">CYP2C19 </w:t>
      </w:r>
      <w:r w:rsidRPr="00043C31">
        <w:rPr>
          <w:rFonts w:eastAsia="Times New Roman" w:cs="Arial"/>
          <w:color w:val="000000"/>
          <w:lang w:eastAsia="bg-BG"/>
        </w:rPr>
        <w:t xml:space="preserve">метаболизъм се различават в зависимост от расата/ етноса (вж. Фармакогенетика). Налични са ограничени данни от литературата за азиатските популации за оценяване на клиничната значимост на това </w:t>
      </w:r>
      <w:r w:rsidRPr="00043C31">
        <w:rPr>
          <w:rFonts w:eastAsia="Times New Roman" w:cs="Arial"/>
          <w:color w:val="000000"/>
          <w:lang w:val="en-US"/>
        </w:rPr>
        <w:t xml:space="preserve">CYP </w:t>
      </w:r>
      <w:r w:rsidRPr="00043C31">
        <w:rPr>
          <w:rFonts w:eastAsia="Times New Roman" w:cs="Arial"/>
          <w:color w:val="000000"/>
          <w:lang w:eastAsia="bg-BG"/>
        </w:rPr>
        <w:t>генотипизиране по отношение на изхода от клиничните инциденти.</w:t>
      </w:r>
    </w:p>
    <w:p w14:paraId="6D3127E2" w14:textId="77777777" w:rsidR="00043C31" w:rsidRPr="0091385D" w:rsidRDefault="00043C31"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09B1804"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При предклиничните проучвания при плъхове и маймуни най-често наблюдаваните ефекти са чернодробни промени.Те възникват при дози надвишаващи най-малко 25 пъти експозицията при хора приемащи терапевтичната доза от 75 </w:t>
      </w:r>
      <w:r w:rsidRPr="00043C31">
        <w:rPr>
          <w:rFonts w:eastAsia="Times New Roman" w:cs="Arial"/>
          <w:color w:val="000000"/>
          <w:szCs w:val="20"/>
          <w:lang w:val="en-US"/>
        </w:rPr>
        <w:t>mg</w:t>
      </w:r>
      <w:r w:rsidRPr="00043C31">
        <w:rPr>
          <w:rFonts w:eastAsia="Times New Roman" w:cs="Arial"/>
          <w:color w:val="000000"/>
          <w:szCs w:val="20"/>
          <w:lang w:eastAsia="bg-BG"/>
        </w:rPr>
        <w:t>/дневно, и са в резултат на ефект върху чернодробните метаболизиращи ензими. Не е наблюдаване ефект върху чернодробните метаболизиращи ензими при хора, приемащи терапевтична доза клопидогрел.</w:t>
      </w:r>
    </w:p>
    <w:p w14:paraId="58F5108B"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При много високи дози е установена и нарушена стомашна поносимост (гастрит, стомашни ерозии и/или повръщане) на клопидогрел при плъхове и маймуни.</w:t>
      </w:r>
    </w:p>
    <w:p w14:paraId="4C887C17"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Няма данни за карциногенен ефект при прилагане на клопидогрел 78 седмици на мишки и 104 седмици на плъхове в дози до 77 </w:t>
      </w:r>
      <w:r w:rsidRPr="00043C31">
        <w:rPr>
          <w:rFonts w:eastAsia="Times New Roman" w:cs="Arial"/>
          <w:color w:val="000000"/>
          <w:szCs w:val="20"/>
          <w:lang w:val="en-US"/>
        </w:rPr>
        <w:t xml:space="preserve">mg/kg </w:t>
      </w:r>
      <w:r w:rsidRPr="00043C31">
        <w:rPr>
          <w:rFonts w:eastAsia="Times New Roman" w:cs="Arial"/>
          <w:color w:val="000000"/>
          <w:szCs w:val="20"/>
          <w:lang w:eastAsia="bg-BG"/>
        </w:rPr>
        <w:t xml:space="preserve">дневно (съответстващо на най-малко 25 пъти експозицията при хора, приемащи терапевтичната доза от 75 </w:t>
      </w:r>
      <w:r w:rsidRPr="00043C31">
        <w:rPr>
          <w:rFonts w:eastAsia="Times New Roman" w:cs="Arial"/>
          <w:color w:val="000000"/>
          <w:szCs w:val="20"/>
          <w:lang w:val="en-US"/>
        </w:rPr>
        <w:t>mg</w:t>
      </w:r>
      <w:r w:rsidRPr="00043C31">
        <w:rPr>
          <w:rFonts w:eastAsia="Times New Roman" w:cs="Arial"/>
          <w:color w:val="000000"/>
          <w:szCs w:val="20"/>
          <w:lang w:eastAsia="bg-BG"/>
        </w:rPr>
        <w:t>/дневно).</w:t>
      </w:r>
    </w:p>
    <w:p w14:paraId="2B0D4A42"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 xml:space="preserve">Множеството </w:t>
      </w:r>
      <w:r w:rsidRPr="00043C31">
        <w:rPr>
          <w:rFonts w:eastAsia="Times New Roman" w:cs="Arial"/>
          <w:i/>
          <w:iCs/>
          <w:color w:val="000000"/>
          <w:szCs w:val="20"/>
          <w:lang w:val="en-US"/>
        </w:rPr>
        <w:t>in vitro</w:t>
      </w:r>
      <w:r w:rsidRPr="00043C31">
        <w:rPr>
          <w:rFonts w:eastAsia="Times New Roman" w:cs="Arial"/>
          <w:color w:val="000000"/>
          <w:szCs w:val="20"/>
          <w:lang w:val="en-US"/>
        </w:rPr>
        <w:t xml:space="preserve"> u </w:t>
      </w:r>
      <w:r w:rsidRPr="00043C31">
        <w:rPr>
          <w:rFonts w:eastAsia="Times New Roman" w:cs="Arial"/>
          <w:i/>
          <w:iCs/>
          <w:color w:val="000000"/>
          <w:szCs w:val="20"/>
          <w:lang w:val="en-US"/>
        </w:rPr>
        <w:t>in vivo</w:t>
      </w:r>
      <w:r w:rsidRPr="00043C31">
        <w:rPr>
          <w:rFonts w:eastAsia="Times New Roman" w:cs="Arial"/>
          <w:color w:val="000000"/>
          <w:szCs w:val="20"/>
          <w:lang w:val="en-US"/>
        </w:rPr>
        <w:t xml:space="preserve"> </w:t>
      </w:r>
      <w:r w:rsidRPr="00043C31">
        <w:rPr>
          <w:rFonts w:eastAsia="Times New Roman" w:cs="Arial"/>
          <w:color w:val="000000"/>
          <w:szCs w:val="20"/>
          <w:lang w:eastAsia="bg-BG"/>
        </w:rPr>
        <w:t>проучвания за генотоксичност показват, че клопидогрел няма генотоксичен ефект.</w:t>
      </w:r>
    </w:p>
    <w:p w14:paraId="52E4D01A" w14:textId="37E69FE4" w:rsidR="0091385D" w:rsidRPr="00043C31" w:rsidRDefault="00043C31" w:rsidP="00043C31">
      <w:pPr>
        <w:rPr>
          <w:rFonts w:cs="Arial"/>
          <w:sz w:val="24"/>
        </w:rPr>
      </w:pPr>
      <w:r w:rsidRPr="00043C31">
        <w:rPr>
          <w:rFonts w:eastAsia="Times New Roman" w:cs="Arial"/>
          <w:color w:val="000000"/>
          <w:szCs w:val="20"/>
          <w:lang w:eastAsia="bg-BG"/>
        </w:rPr>
        <w:t>Клопидрогел не влияе върху фертилитета на мъжки и женски плъхове и няма тератогенен ефект при плъхове или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изходното съединение или неговите метаболити се екскретират в млякото. Следователно не може да се изключи пряк (слаба токсичност) или косвен ефект (леко вкусово усещане).</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54921E10" w14:textId="77777777" w:rsidR="00043C31" w:rsidRPr="00043C31" w:rsidRDefault="00043C31" w:rsidP="00043C31">
      <w:pPr>
        <w:spacing w:line="240" w:lineRule="auto"/>
        <w:rPr>
          <w:rFonts w:eastAsia="Times New Roman" w:cs="Arial"/>
          <w:sz w:val="28"/>
          <w:szCs w:val="24"/>
          <w:lang w:val="en-US" w:eastAsia="bg-BG"/>
        </w:rPr>
      </w:pPr>
      <w:proofErr w:type="spellStart"/>
      <w:r w:rsidRPr="00043C31">
        <w:rPr>
          <w:rFonts w:eastAsia="Times New Roman" w:cs="Arial"/>
          <w:color w:val="000000"/>
          <w:szCs w:val="20"/>
          <w:lang w:val="en-US"/>
        </w:rPr>
        <w:t>Zentiva</w:t>
      </w:r>
      <w:proofErr w:type="spellEnd"/>
      <w:r w:rsidRPr="00043C31">
        <w:rPr>
          <w:rFonts w:eastAsia="Times New Roman" w:cs="Arial"/>
          <w:color w:val="000000"/>
          <w:szCs w:val="20"/>
          <w:lang w:val="en-US"/>
        </w:rPr>
        <w:t xml:space="preserve">. </w:t>
      </w:r>
      <w:proofErr w:type="spellStart"/>
      <w:r w:rsidRPr="00043C31">
        <w:rPr>
          <w:rFonts w:eastAsia="Times New Roman" w:cs="Arial"/>
          <w:color w:val="000000"/>
          <w:szCs w:val="20"/>
          <w:lang w:val="en-US"/>
        </w:rPr>
        <w:t>k.s</w:t>
      </w:r>
      <w:proofErr w:type="spellEnd"/>
      <w:r w:rsidRPr="00043C31">
        <w:rPr>
          <w:rFonts w:eastAsia="Times New Roman" w:cs="Arial"/>
          <w:color w:val="000000"/>
          <w:szCs w:val="20"/>
          <w:lang w:val="en-US"/>
        </w:rPr>
        <w:t>.</w:t>
      </w:r>
    </w:p>
    <w:p w14:paraId="1A698594" w14:textId="77777777" w:rsidR="00043C31" w:rsidRPr="00043C31" w:rsidRDefault="00043C31" w:rsidP="00043C31">
      <w:pPr>
        <w:rPr>
          <w:rFonts w:eastAsia="Times New Roman" w:cs="Arial"/>
          <w:color w:val="000000"/>
          <w:szCs w:val="20"/>
          <w:lang w:eastAsia="bg-BG"/>
        </w:rPr>
      </w:pPr>
      <w:r w:rsidRPr="00043C31">
        <w:rPr>
          <w:rFonts w:eastAsia="Times New Roman" w:cs="Arial"/>
          <w:color w:val="000000"/>
          <w:szCs w:val="20"/>
          <w:lang w:val="en-US"/>
        </w:rPr>
        <w:t xml:space="preserve">U </w:t>
      </w:r>
      <w:proofErr w:type="spellStart"/>
      <w:r w:rsidRPr="00043C31">
        <w:rPr>
          <w:rFonts w:eastAsia="Times New Roman" w:cs="Arial"/>
          <w:color w:val="000000"/>
          <w:szCs w:val="20"/>
          <w:lang w:val="en-US"/>
        </w:rPr>
        <w:t>Kabelovny</w:t>
      </w:r>
      <w:proofErr w:type="spellEnd"/>
      <w:r w:rsidRPr="00043C31">
        <w:rPr>
          <w:rFonts w:eastAsia="Times New Roman" w:cs="Arial"/>
          <w:color w:val="000000"/>
          <w:szCs w:val="20"/>
          <w:lang w:val="en-US"/>
        </w:rPr>
        <w:t xml:space="preserve"> </w:t>
      </w:r>
      <w:r w:rsidRPr="00043C31">
        <w:rPr>
          <w:rFonts w:eastAsia="Times New Roman" w:cs="Arial"/>
          <w:color w:val="000000"/>
          <w:szCs w:val="20"/>
          <w:lang w:eastAsia="bg-BG"/>
        </w:rPr>
        <w:t xml:space="preserve">130, </w:t>
      </w:r>
    </w:p>
    <w:p w14:paraId="173A0BFE" w14:textId="7094E030" w:rsidR="00043C31" w:rsidRPr="00043C31" w:rsidRDefault="00043C31" w:rsidP="00043C31">
      <w:pPr>
        <w:rPr>
          <w:rFonts w:eastAsia="Times New Roman" w:cs="Arial"/>
          <w:color w:val="000000"/>
          <w:szCs w:val="20"/>
          <w:lang w:eastAsia="bg-BG"/>
        </w:rPr>
      </w:pPr>
      <w:r w:rsidRPr="00043C31">
        <w:rPr>
          <w:rFonts w:eastAsia="Times New Roman" w:cs="Arial"/>
          <w:color w:val="000000"/>
          <w:szCs w:val="20"/>
          <w:lang w:eastAsia="bg-BG"/>
        </w:rPr>
        <w:t xml:space="preserve">102 37 </w:t>
      </w:r>
      <w:r w:rsidRPr="00043C31">
        <w:rPr>
          <w:rFonts w:eastAsia="Times New Roman" w:cs="Arial"/>
          <w:color w:val="000000"/>
          <w:szCs w:val="20"/>
          <w:lang w:val="en-US"/>
        </w:rPr>
        <w:t xml:space="preserve">Prague </w:t>
      </w:r>
      <w:r w:rsidRPr="00043C31">
        <w:rPr>
          <w:rFonts w:eastAsia="Times New Roman" w:cs="Arial"/>
          <w:color w:val="000000"/>
          <w:szCs w:val="20"/>
          <w:lang w:eastAsia="bg-BG"/>
        </w:rPr>
        <w:t xml:space="preserve">10, </w:t>
      </w:r>
    </w:p>
    <w:p w14:paraId="3FD825DB" w14:textId="5F67411E" w:rsidR="0091385D" w:rsidRPr="00043C31" w:rsidRDefault="00043C31" w:rsidP="00043C31">
      <w:pPr>
        <w:rPr>
          <w:rFonts w:cs="Arial"/>
          <w:sz w:val="24"/>
        </w:rPr>
      </w:pPr>
      <w:r w:rsidRPr="00043C31">
        <w:rPr>
          <w:rFonts w:eastAsia="Times New Roman" w:cs="Arial"/>
          <w:color w:val="000000"/>
          <w:szCs w:val="20"/>
          <w:lang w:eastAsia="bg-BG"/>
        </w:rPr>
        <w:t>Чешка република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6126D10C" w:rsidR="0091385D" w:rsidRPr="00043C31" w:rsidRDefault="00043C31" w:rsidP="0091385D">
      <w:pPr>
        <w:rPr>
          <w:rFonts w:cs="Arial"/>
          <w:sz w:val="24"/>
        </w:rPr>
      </w:pPr>
      <w:proofErr w:type="spellStart"/>
      <w:r w:rsidRPr="00043C31">
        <w:rPr>
          <w:rFonts w:cs="Arial"/>
          <w:szCs w:val="20"/>
          <w:lang w:val="en-US"/>
        </w:rPr>
        <w:t>Pe</w:t>
      </w:r>
      <w:proofErr w:type="spellEnd"/>
      <w:r w:rsidRPr="00043C31">
        <w:rPr>
          <w:rFonts w:cs="Arial"/>
          <w:szCs w:val="20"/>
        </w:rPr>
        <w:t>г</w:t>
      </w:r>
      <w:r w:rsidRPr="00043C31">
        <w:rPr>
          <w:rFonts w:cs="Arial"/>
          <w:szCs w:val="20"/>
          <w:lang w:val="en-US"/>
        </w:rPr>
        <w:t xml:space="preserve">. </w:t>
      </w:r>
      <w:r w:rsidRPr="00043C31">
        <w:rPr>
          <w:rFonts w:cs="Arial"/>
          <w:szCs w:val="20"/>
        </w:rPr>
        <w:t>№20090170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4CC0A9B" w14:textId="77777777" w:rsidR="00043C31" w:rsidRPr="00043C31" w:rsidRDefault="00043C31" w:rsidP="00043C31">
      <w:pPr>
        <w:spacing w:line="240" w:lineRule="auto"/>
        <w:rPr>
          <w:rFonts w:eastAsia="Times New Roman" w:cs="Arial"/>
          <w:sz w:val="28"/>
          <w:szCs w:val="24"/>
          <w:lang w:eastAsia="bg-BG"/>
        </w:rPr>
      </w:pPr>
      <w:r w:rsidRPr="00043C31">
        <w:rPr>
          <w:rFonts w:eastAsia="Times New Roman" w:cs="Arial"/>
          <w:color w:val="000000"/>
          <w:szCs w:val="20"/>
          <w:lang w:eastAsia="bg-BG"/>
        </w:rPr>
        <w:t>Дата на първо разрешаване; 11.05.2009 г.</w:t>
      </w:r>
    </w:p>
    <w:p w14:paraId="497007FA" w14:textId="62BFC8CE" w:rsidR="0091385D" w:rsidRPr="00043C31" w:rsidRDefault="00043C31" w:rsidP="00043C31">
      <w:pPr>
        <w:rPr>
          <w:rFonts w:cs="Arial"/>
          <w:sz w:val="24"/>
        </w:rPr>
      </w:pPr>
      <w:r w:rsidRPr="00043C31">
        <w:rPr>
          <w:rFonts w:eastAsia="Times New Roman" w:cs="Arial"/>
          <w:color w:val="000000"/>
          <w:szCs w:val="20"/>
          <w:lang w:eastAsia="bg-BG"/>
        </w:rPr>
        <w:t>Дата на подновяване: 07.08.2014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374373F5" w:rsidR="0091385D" w:rsidRPr="00043C31" w:rsidRDefault="00043C31" w:rsidP="0091385D">
      <w:pPr>
        <w:rPr>
          <w:rFonts w:cs="Arial"/>
        </w:rPr>
      </w:pPr>
      <w:r w:rsidRPr="00043C31">
        <w:rPr>
          <w:rFonts w:cs="Arial"/>
          <w:szCs w:val="20"/>
        </w:rPr>
        <w:t>21.06.2022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C1D21"/>
    <w:multiLevelType w:val="hybridMultilevel"/>
    <w:tmpl w:val="1F52F2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46698"/>
    <w:multiLevelType w:val="hybridMultilevel"/>
    <w:tmpl w:val="29FC09A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E3328"/>
    <w:multiLevelType w:val="hybridMultilevel"/>
    <w:tmpl w:val="71BA60C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6AB"/>
    <w:multiLevelType w:val="hybridMultilevel"/>
    <w:tmpl w:val="99FE0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4D35BE2"/>
    <w:multiLevelType w:val="hybridMultilevel"/>
    <w:tmpl w:val="FBF695C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32F8B"/>
    <w:multiLevelType w:val="hybridMultilevel"/>
    <w:tmpl w:val="5ECE74D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74D72"/>
    <w:multiLevelType w:val="hybridMultilevel"/>
    <w:tmpl w:val="8FBEE454"/>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1065D"/>
    <w:multiLevelType w:val="hybridMultilevel"/>
    <w:tmpl w:val="AE80034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5"/>
  </w:num>
  <w:num w:numId="12">
    <w:abstractNumId w:val="15"/>
  </w:num>
  <w:num w:numId="13">
    <w:abstractNumId w:val="21"/>
  </w:num>
  <w:num w:numId="14">
    <w:abstractNumId w:val="13"/>
  </w:num>
  <w:num w:numId="15">
    <w:abstractNumId w:val="34"/>
  </w:num>
  <w:num w:numId="16">
    <w:abstractNumId w:val="11"/>
  </w:num>
  <w:num w:numId="17">
    <w:abstractNumId w:val="26"/>
  </w:num>
  <w:num w:numId="18">
    <w:abstractNumId w:val="8"/>
  </w:num>
  <w:num w:numId="19">
    <w:abstractNumId w:val="30"/>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7"/>
  </w:num>
  <w:num w:numId="28">
    <w:abstractNumId w:val="7"/>
  </w:num>
  <w:num w:numId="29">
    <w:abstractNumId w:val="22"/>
  </w:num>
  <w:num w:numId="30">
    <w:abstractNumId w:val="41"/>
  </w:num>
  <w:num w:numId="31">
    <w:abstractNumId w:val="5"/>
  </w:num>
  <w:num w:numId="32">
    <w:abstractNumId w:val="40"/>
  </w:num>
  <w:num w:numId="33">
    <w:abstractNumId w:val="32"/>
  </w:num>
  <w:num w:numId="34">
    <w:abstractNumId w:val="38"/>
  </w:num>
  <w:num w:numId="35">
    <w:abstractNumId w:val="28"/>
  </w:num>
  <w:num w:numId="36">
    <w:abstractNumId w:val="29"/>
  </w:num>
  <w:num w:numId="37">
    <w:abstractNumId w:val="39"/>
  </w:num>
  <w:num w:numId="38">
    <w:abstractNumId w:val="33"/>
  </w:num>
  <w:num w:numId="39">
    <w:abstractNumId w:val="6"/>
  </w:num>
  <w:num w:numId="40">
    <w:abstractNumId w:val="10"/>
  </w:num>
  <w:num w:numId="41">
    <w:abstractNumId w:val="3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43C31"/>
    <w:rsid w:val="00167707"/>
    <w:rsid w:val="00184485"/>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773E4"/>
    <w:rsid w:val="009B171C"/>
    <w:rsid w:val="009C6C16"/>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9761</Words>
  <Characters>55643</Characters>
  <Application>Microsoft Office Word</Application>
  <DocSecurity>0</DocSecurity>
  <Lines>463</Lines>
  <Paragraphs>130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2023-01-05T16:39:00Z</dcterms:created>
  <dcterms:modified xsi:type="dcterms:W3CDTF">2023-01-05T16:39:00Z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