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010EBC6A" w14:textId="77777777" w:rsidR="002B199B" w:rsidRPr="002B199B" w:rsidRDefault="002B199B" w:rsidP="002B199B">
      <w:pPr>
        <w:spacing w:line="240" w:lineRule="auto"/>
        <w:rPr>
          <w:rFonts w:eastAsia="Times New Roman" w:cs="Arial"/>
          <w:sz w:val="24"/>
          <w:szCs w:val="24"/>
          <w:lang w:val="en-US" w:eastAsia="bg-BG"/>
        </w:rPr>
      </w:pPr>
      <w:r w:rsidRPr="002B199B">
        <w:rPr>
          <w:rFonts w:eastAsia="Times New Roman" w:cs="Arial"/>
          <w:color w:val="000000"/>
          <w:lang w:eastAsia="bg-BG"/>
        </w:rPr>
        <w:t xml:space="preserve">Трузор 5 </w:t>
      </w:r>
      <w:r w:rsidRPr="002B199B">
        <w:rPr>
          <w:rFonts w:eastAsia="Times New Roman" w:cs="Arial"/>
          <w:color w:val="000000"/>
          <w:lang w:val="en-US"/>
        </w:rPr>
        <w:t xml:space="preserve">mg </w:t>
      </w:r>
      <w:r w:rsidRPr="002B199B">
        <w:rPr>
          <w:rFonts w:eastAsia="Times New Roman" w:cs="Arial"/>
          <w:color w:val="000000"/>
          <w:lang w:eastAsia="bg-BG"/>
        </w:rPr>
        <w:t>филмирани таблетки</w:t>
      </w:r>
    </w:p>
    <w:p w14:paraId="5015A1FD" w14:textId="2D5EF05F" w:rsidR="00A73575" w:rsidRPr="002B199B" w:rsidRDefault="002B199B" w:rsidP="002B199B">
      <w:pPr>
        <w:rPr>
          <w:rFonts w:cs="Arial"/>
        </w:rPr>
      </w:pPr>
      <w:proofErr w:type="spellStart"/>
      <w:r w:rsidRPr="002B199B">
        <w:rPr>
          <w:rFonts w:eastAsia="Times New Roman" w:cs="Arial"/>
          <w:color w:val="000000"/>
          <w:lang w:val="en-US"/>
        </w:rPr>
        <w:t>Truzor</w:t>
      </w:r>
      <w:proofErr w:type="spellEnd"/>
      <w:r w:rsidRPr="002B199B">
        <w:rPr>
          <w:rFonts w:eastAsia="Times New Roman" w:cs="Arial"/>
          <w:color w:val="000000"/>
          <w:lang w:val="en-US"/>
        </w:rPr>
        <w:t xml:space="preserve"> </w:t>
      </w:r>
      <w:r w:rsidRPr="002B199B">
        <w:rPr>
          <w:rFonts w:eastAsia="Times New Roman" w:cs="Arial"/>
          <w:color w:val="000000"/>
          <w:lang w:eastAsia="bg-BG"/>
        </w:rPr>
        <w:t xml:space="preserve">5 </w:t>
      </w:r>
      <w:r w:rsidRPr="002B199B">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607471F1"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Всяка филмирана таблетка Трузор от 5 </w:t>
      </w:r>
      <w:r w:rsidRPr="002B199B">
        <w:rPr>
          <w:rFonts w:eastAsia="Times New Roman" w:cs="Arial"/>
          <w:color w:val="000000"/>
          <w:lang w:val="en-US"/>
        </w:rPr>
        <w:t xml:space="preserve">mg </w:t>
      </w:r>
      <w:r w:rsidRPr="002B199B">
        <w:rPr>
          <w:rFonts w:eastAsia="Times New Roman" w:cs="Arial"/>
          <w:color w:val="000000"/>
          <w:lang w:eastAsia="bg-BG"/>
        </w:rPr>
        <w:t xml:space="preserve">съдържа 5 </w:t>
      </w:r>
      <w:r w:rsidRPr="002B199B">
        <w:rPr>
          <w:rFonts w:eastAsia="Times New Roman" w:cs="Arial"/>
          <w:color w:val="000000"/>
          <w:lang w:val="en-US"/>
        </w:rPr>
        <w:t xml:space="preserve">mg </w:t>
      </w:r>
      <w:r w:rsidRPr="002B199B">
        <w:rPr>
          <w:rFonts w:eastAsia="Times New Roman" w:cs="Arial"/>
          <w:color w:val="000000"/>
          <w:lang w:eastAsia="bg-BG"/>
        </w:rPr>
        <w:t xml:space="preserve">солифенацинов сукцинат </w:t>
      </w:r>
      <w:r w:rsidRPr="002B199B">
        <w:rPr>
          <w:rFonts w:eastAsia="Times New Roman" w:cs="Arial"/>
          <w:color w:val="000000"/>
          <w:lang w:val="en-US"/>
        </w:rPr>
        <w:t>(</w:t>
      </w:r>
      <w:proofErr w:type="spellStart"/>
      <w:r w:rsidRPr="002B199B">
        <w:rPr>
          <w:rFonts w:eastAsia="Times New Roman" w:cs="Arial"/>
          <w:color w:val="000000"/>
          <w:lang w:val="en-US"/>
        </w:rPr>
        <w:t>solifenacin</w:t>
      </w:r>
      <w:proofErr w:type="spellEnd"/>
      <w:r w:rsidRPr="002B199B">
        <w:rPr>
          <w:rFonts w:eastAsia="Times New Roman" w:cs="Arial"/>
          <w:color w:val="000000"/>
          <w:lang w:val="en-US"/>
        </w:rPr>
        <w:t xml:space="preserve"> succinate), </w:t>
      </w:r>
      <w:r w:rsidRPr="002B199B">
        <w:rPr>
          <w:rFonts w:eastAsia="Times New Roman" w:cs="Arial"/>
          <w:color w:val="000000"/>
          <w:lang w:eastAsia="bg-BG"/>
        </w:rPr>
        <w:t xml:space="preserve">съответстващ на 3,8 </w:t>
      </w:r>
      <w:r w:rsidRPr="002B199B">
        <w:rPr>
          <w:rFonts w:eastAsia="Times New Roman" w:cs="Arial"/>
          <w:color w:val="000000"/>
          <w:lang w:val="en-US"/>
        </w:rPr>
        <w:t xml:space="preserve">mg </w:t>
      </w:r>
      <w:r w:rsidRPr="002B199B">
        <w:rPr>
          <w:rFonts w:eastAsia="Times New Roman" w:cs="Arial"/>
          <w:color w:val="000000"/>
          <w:lang w:eastAsia="bg-BG"/>
        </w:rPr>
        <w:t>солифенацин.</w:t>
      </w:r>
    </w:p>
    <w:p w14:paraId="6E441878"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Помощно вещество с известно действие:</w:t>
      </w:r>
    </w:p>
    <w:p w14:paraId="456B9F57"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Всяка филмирана таблетка съдържа 49,04 </w:t>
      </w:r>
      <w:r w:rsidRPr="002B199B">
        <w:rPr>
          <w:rFonts w:eastAsia="Times New Roman" w:cs="Arial"/>
          <w:color w:val="000000"/>
          <w:lang w:val="en-US"/>
        </w:rPr>
        <w:t xml:space="preserve">mg </w:t>
      </w:r>
      <w:r w:rsidRPr="002B199B">
        <w:rPr>
          <w:rFonts w:eastAsia="Times New Roman" w:cs="Arial"/>
          <w:color w:val="000000"/>
          <w:lang w:eastAsia="bg-BG"/>
        </w:rPr>
        <w:t>лактоза (като монохидрат).</w:t>
      </w:r>
    </w:p>
    <w:p w14:paraId="6F0E6B02" w14:textId="77777777" w:rsidR="002B199B" w:rsidRPr="002B199B" w:rsidRDefault="002B199B" w:rsidP="002B199B">
      <w:pPr>
        <w:rPr>
          <w:rFonts w:eastAsia="Times New Roman" w:cs="Arial"/>
          <w:color w:val="000000"/>
          <w:lang w:eastAsia="bg-BG"/>
        </w:rPr>
      </w:pPr>
    </w:p>
    <w:p w14:paraId="03110A50" w14:textId="634527A2" w:rsidR="0091385D" w:rsidRPr="002B199B" w:rsidRDefault="002B199B" w:rsidP="002B199B">
      <w:pPr>
        <w:rPr>
          <w:rFonts w:cs="Arial"/>
        </w:rPr>
      </w:pPr>
      <w:r w:rsidRPr="002B199B">
        <w:rPr>
          <w:rFonts w:eastAsia="Times New Roman" w:cs="Arial"/>
          <w:color w:val="00000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5AC7C685"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Филмирана таблетка</w:t>
      </w:r>
    </w:p>
    <w:p w14:paraId="217E97DC" w14:textId="77777777" w:rsidR="002B199B" w:rsidRPr="002B199B" w:rsidRDefault="002B199B" w:rsidP="002B199B">
      <w:pPr>
        <w:rPr>
          <w:rFonts w:eastAsia="Times New Roman" w:cs="Arial"/>
          <w:color w:val="000000"/>
          <w:lang w:eastAsia="bg-BG"/>
        </w:rPr>
      </w:pPr>
    </w:p>
    <w:p w14:paraId="4129ADBB" w14:textId="41F6C605" w:rsidR="0091385D" w:rsidRPr="002B199B" w:rsidRDefault="002B199B" w:rsidP="002B199B">
      <w:pPr>
        <w:rPr>
          <w:rFonts w:cs="Arial"/>
          <w:lang w:val="en-US"/>
        </w:rPr>
      </w:pPr>
      <w:r w:rsidRPr="002B199B">
        <w:rPr>
          <w:rFonts w:eastAsia="Times New Roman" w:cs="Arial"/>
          <w:color w:val="000000"/>
          <w:lang w:eastAsia="bg-BG"/>
        </w:rPr>
        <w:t>Кръгла, светложълта таблетка, с вдлъбнато релефно обозначение 05 от едната страна</w:t>
      </w:r>
      <w:r>
        <w:rPr>
          <w:rFonts w:eastAsia="Times New Roman" w:cs="Arial"/>
          <w:color w:val="000000"/>
          <w:lang w:val="en-US" w:eastAsia="bg-BG"/>
        </w:rPr>
        <w:t>.</w:t>
      </w:r>
    </w:p>
    <w:p w14:paraId="7D287A22" w14:textId="77777777" w:rsidR="00A73575" w:rsidRPr="0091385D" w:rsidRDefault="00A73575"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193207C8" w:rsidR="0091385D" w:rsidRDefault="002B199B" w:rsidP="0091385D">
      <w:r>
        <w:t>Симптоматично лечение на инконтиненция на урина при позиви за уриниране и/или увеличена честота на уриниране и позиви за уриниране, срещащи се при пациенти със синдром на свръхактивен пикочен мехур.</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532ADCB9" w14:textId="77777777" w:rsidR="002B199B" w:rsidRPr="002B199B" w:rsidRDefault="002B199B" w:rsidP="002B199B">
      <w:pPr>
        <w:pStyle w:val="Heading3"/>
        <w:rPr>
          <w:rFonts w:eastAsia="Times New Roman"/>
          <w:u w:val="single"/>
          <w:lang w:eastAsia="bg-BG"/>
        </w:rPr>
      </w:pPr>
      <w:r w:rsidRPr="002B199B">
        <w:rPr>
          <w:rFonts w:eastAsia="Times New Roman"/>
          <w:u w:val="single"/>
          <w:lang w:eastAsia="bg-BG"/>
        </w:rPr>
        <w:t>Дозировка</w:t>
      </w:r>
    </w:p>
    <w:p w14:paraId="2E6295C0"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lang w:eastAsia="bg-BG"/>
        </w:rPr>
        <w:t>Възрастни, включително старческа възраст</w:t>
      </w:r>
    </w:p>
    <w:p w14:paraId="475300EC" w14:textId="1717B9D9" w:rsidR="0091385D" w:rsidRPr="002B199B" w:rsidRDefault="002B199B" w:rsidP="002B199B">
      <w:pPr>
        <w:rPr>
          <w:rFonts w:cs="Arial"/>
        </w:rPr>
      </w:pPr>
      <w:r w:rsidRPr="002B199B">
        <w:rPr>
          <w:rFonts w:eastAsia="Times New Roman" w:cs="Arial"/>
          <w:color w:val="000000"/>
          <w:lang w:eastAsia="bg-BG"/>
        </w:rPr>
        <w:t xml:space="preserve">Препоръчителната доза е 5 </w:t>
      </w:r>
      <w:r w:rsidRPr="002B199B">
        <w:rPr>
          <w:rFonts w:eastAsia="Times New Roman" w:cs="Arial"/>
          <w:color w:val="000000"/>
          <w:lang w:val="en-US"/>
        </w:rPr>
        <w:t xml:space="preserve">mg </w:t>
      </w:r>
      <w:r w:rsidRPr="002B199B">
        <w:rPr>
          <w:rFonts w:eastAsia="Times New Roman" w:cs="Arial"/>
          <w:color w:val="000000"/>
          <w:lang w:eastAsia="bg-BG"/>
        </w:rPr>
        <w:t xml:space="preserve">солифенацин сукцинат веднъж дневно. При необходимост дозата може да се увеличи до 10 </w:t>
      </w:r>
      <w:r w:rsidRPr="002B199B">
        <w:rPr>
          <w:rFonts w:eastAsia="Times New Roman" w:cs="Arial"/>
          <w:color w:val="000000"/>
          <w:lang w:val="en-US"/>
        </w:rPr>
        <w:t xml:space="preserve">mg </w:t>
      </w:r>
      <w:r w:rsidRPr="002B199B">
        <w:rPr>
          <w:rFonts w:eastAsia="Times New Roman" w:cs="Arial"/>
          <w:color w:val="000000"/>
          <w:lang w:eastAsia="bg-BG"/>
        </w:rPr>
        <w:t>солифенацин сукцинат веднъж дневно.</w:t>
      </w:r>
    </w:p>
    <w:p w14:paraId="6ACAF645" w14:textId="5B31FF50" w:rsidR="0091385D" w:rsidRPr="002B199B" w:rsidRDefault="0091385D" w:rsidP="0091385D">
      <w:pPr>
        <w:rPr>
          <w:rFonts w:cs="Arial"/>
        </w:rPr>
      </w:pPr>
    </w:p>
    <w:p w14:paraId="281C9122" w14:textId="6DE8A4C9" w:rsidR="002B199B" w:rsidRPr="002B199B" w:rsidRDefault="002B199B" w:rsidP="0091385D">
      <w:pPr>
        <w:rPr>
          <w:rFonts w:cs="Arial"/>
        </w:rPr>
      </w:pPr>
      <w:bookmarkStart w:id="1" w:name="bookmark0"/>
      <w:r w:rsidRPr="002B199B">
        <w:rPr>
          <w:rFonts w:cs="Arial"/>
          <w:b/>
          <w:bCs/>
        </w:rPr>
        <w:t>Специални популации</w:t>
      </w:r>
      <w:bookmarkEnd w:id="1"/>
    </w:p>
    <w:p w14:paraId="59CD0859" w14:textId="77777777" w:rsidR="002B199B" w:rsidRPr="002B199B" w:rsidRDefault="002B199B" w:rsidP="0091385D">
      <w:pPr>
        <w:rPr>
          <w:rFonts w:cs="Arial"/>
        </w:rPr>
      </w:pPr>
    </w:p>
    <w:p w14:paraId="4E0A0E2A"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u w:val="single"/>
          <w:lang w:eastAsia="bg-BG"/>
        </w:rPr>
        <w:t>Педиатрична популация</w:t>
      </w:r>
    </w:p>
    <w:p w14:paraId="72CE4E20"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lastRenderedPageBreak/>
        <w:t>Безопасността и ефективността при деца и юноши на възраст под 18 години все още не са установени. Поради това Трузор не трябва да се прилага при деца.</w:t>
      </w:r>
    </w:p>
    <w:p w14:paraId="2CE4A8F1" w14:textId="77777777" w:rsidR="002B199B" w:rsidRPr="002B199B" w:rsidRDefault="002B199B" w:rsidP="002B199B">
      <w:pPr>
        <w:spacing w:line="240" w:lineRule="auto"/>
        <w:rPr>
          <w:rFonts w:eastAsia="Times New Roman" w:cs="Arial"/>
          <w:i/>
          <w:iCs/>
          <w:color w:val="000000"/>
          <w:u w:val="single"/>
          <w:lang w:eastAsia="bg-BG"/>
        </w:rPr>
      </w:pPr>
    </w:p>
    <w:p w14:paraId="6F981EE7" w14:textId="2ADE4AB4"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u w:val="single"/>
          <w:lang w:eastAsia="bg-BG"/>
        </w:rPr>
        <w:t>Пациенти с бъбречна недостатъчност</w:t>
      </w:r>
    </w:p>
    <w:p w14:paraId="39E678BB"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Не е необходимо адаптиране на дозата при пациенти с лека до умерена бъбречна недостатъчност (креатининов клирънс &gt; 30 </w:t>
      </w:r>
      <w:r w:rsidRPr="002B199B">
        <w:rPr>
          <w:rFonts w:eastAsia="Times New Roman" w:cs="Arial"/>
          <w:color w:val="000000"/>
          <w:lang w:val="en-US"/>
        </w:rPr>
        <w:t xml:space="preserve">ml/min). </w:t>
      </w:r>
      <w:r w:rsidRPr="002B199B">
        <w:rPr>
          <w:rFonts w:eastAsia="Times New Roman" w:cs="Arial"/>
          <w:color w:val="000000"/>
          <w:lang w:eastAsia="bg-BG"/>
        </w:rPr>
        <w:t>Пациенти с тежка бъбречна</w:t>
      </w:r>
    </w:p>
    <w:p w14:paraId="59B27EAA"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недостатъчност (креатининов клирънс ≤ 30 </w:t>
      </w:r>
      <w:r w:rsidRPr="002B199B">
        <w:rPr>
          <w:rFonts w:eastAsia="Times New Roman" w:cs="Arial"/>
          <w:color w:val="000000"/>
          <w:lang w:val="en-US"/>
        </w:rPr>
        <w:t xml:space="preserve">ml/min) </w:t>
      </w:r>
      <w:r w:rsidRPr="002B199B">
        <w:rPr>
          <w:rFonts w:eastAsia="Times New Roman" w:cs="Arial"/>
          <w:color w:val="000000"/>
          <w:lang w:eastAsia="bg-BG"/>
        </w:rPr>
        <w:t>трябва да се лекуват с повишено</w:t>
      </w:r>
      <w:r w:rsidRPr="002B199B">
        <w:rPr>
          <w:rFonts w:eastAsia="Times New Roman" w:cs="Arial"/>
          <w:color w:val="000000"/>
          <w:lang w:val="en-US"/>
        </w:rPr>
        <w:t xml:space="preserve"> </w:t>
      </w:r>
      <w:r w:rsidRPr="002B199B">
        <w:rPr>
          <w:rFonts w:eastAsia="Times New Roman" w:cs="Arial"/>
          <w:color w:val="000000"/>
          <w:lang w:eastAsia="bg-BG"/>
        </w:rPr>
        <w:t xml:space="preserve">внимание и дозата не трябва да надвишава 5 </w:t>
      </w:r>
      <w:r w:rsidRPr="002B199B">
        <w:rPr>
          <w:rFonts w:eastAsia="Times New Roman" w:cs="Arial"/>
          <w:color w:val="000000"/>
          <w:lang w:val="en-US"/>
        </w:rPr>
        <w:t xml:space="preserve">mg </w:t>
      </w:r>
      <w:r w:rsidRPr="002B199B">
        <w:rPr>
          <w:rFonts w:eastAsia="Times New Roman" w:cs="Arial"/>
          <w:color w:val="000000"/>
          <w:lang w:eastAsia="bg-BG"/>
        </w:rPr>
        <w:t>веднъж дневно (вж. точка 5.2).</w:t>
      </w:r>
    </w:p>
    <w:p w14:paraId="76C6274A" w14:textId="77777777" w:rsidR="002B199B" w:rsidRPr="002B199B" w:rsidRDefault="002B199B" w:rsidP="002B199B">
      <w:pPr>
        <w:spacing w:line="240" w:lineRule="auto"/>
        <w:rPr>
          <w:rFonts w:eastAsia="Times New Roman" w:cs="Arial"/>
          <w:i/>
          <w:iCs/>
          <w:color w:val="000000"/>
          <w:u w:val="single"/>
          <w:lang w:eastAsia="bg-BG"/>
        </w:rPr>
      </w:pPr>
    </w:p>
    <w:p w14:paraId="2FB22CB4" w14:textId="33DB151F"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u w:val="single"/>
          <w:lang w:eastAsia="bg-BG"/>
        </w:rPr>
        <w:t>Пациенти с чернодробна недостатъчност</w:t>
      </w:r>
    </w:p>
    <w:p w14:paraId="22A5F8C9" w14:textId="77777777" w:rsidR="002B199B" w:rsidRPr="002B199B" w:rsidRDefault="002B199B" w:rsidP="002B199B">
      <w:pPr>
        <w:rPr>
          <w:rFonts w:eastAsia="Times New Roman" w:cs="Arial"/>
          <w:sz w:val="24"/>
          <w:szCs w:val="24"/>
          <w:lang w:eastAsia="bg-BG"/>
        </w:rPr>
      </w:pPr>
      <w:r w:rsidRPr="002B199B">
        <w:rPr>
          <w:rFonts w:eastAsia="Times New Roman" w:cs="Arial"/>
          <w:color w:val="000000"/>
          <w:lang w:eastAsia="bg-BG"/>
        </w:rPr>
        <w:t xml:space="preserve">Не е необходимо адаптиране на дозата при пациенти с лека чернодробна недостатъчност, Пациенти с умерена чернодробна недостатъчност (сбор от точки по </w:t>
      </w:r>
      <w:r w:rsidRPr="002B199B">
        <w:rPr>
          <w:rFonts w:eastAsia="Times New Roman" w:cs="Arial"/>
          <w:i/>
          <w:iCs/>
          <w:color w:val="000000"/>
          <w:lang w:val="en-US"/>
        </w:rPr>
        <w:t>Child-Pugh</w:t>
      </w:r>
      <w:r w:rsidRPr="002B199B">
        <w:rPr>
          <w:rFonts w:eastAsia="Times New Roman" w:cs="Arial"/>
          <w:color w:val="000000"/>
          <w:lang w:val="en-US"/>
        </w:rPr>
        <w:t xml:space="preserve"> </w:t>
      </w:r>
      <w:r w:rsidRPr="002B199B">
        <w:rPr>
          <w:rFonts w:eastAsia="Times New Roman" w:cs="Arial"/>
          <w:color w:val="000000"/>
          <w:lang w:eastAsia="bg-BG"/>
        </w:rPr>
        <w:t>от 7 до 9)</w:t>
      </w:r>
      <w:r w:rsidRPr="002B199B">
        <w:rPr>
          <w:rFonts w:eastAsia="Times New Roman" w:cs="Arial"/>
          <w:color w:val="000000"/>
          <w:lang w:val="en-US" w:eastAsia="bg-BG"/>
        </w:rPr>
        <w:t xml:space="preserve"> </w:t>
      </w:r>
      <w:r w:rsidRPr="002B199B">
        <w:rPr>
          <w:rFonts w:eastAsia="Times New Roman" w:cs="Arial"/>
          <w:color w:val="000000"/>
          <w:lang w:eastAsia="bg-BG"/>
        </w:rPr>
        <w:t xml:space="preserve">трябва да се лекуват с повишено внимание и дозата не трябва да надвишава 5 </w:t>
      </w:r>
      <w:r w:rsidRPr="002B199B">
        <w:rPr>
          <w:rFonts w:eastAsia="Times New Roman" w:cs="Arial"/>
          <w:color w:val="000000"/>
          <w:lang w:val="en-US"/>
        </w:rPr>
        <w:t xml:space="preserve">mg </w:t>
      </w:r>
      <w:r w:rsidRPr="002B199B">
        <w:rPr>
          <w:rFonts w:eastAsia="Times New Roman" w:cs="Arial"/>
          <w:color w:val="000000"/>
          <w:lang w:eastAsia="bg-BG"/>
        </w:rPr>
        <w:t>веднъж дневно (вж. точка 5.2).</w:t>
      </w:r>
    </w:p>
    <w:p w14:paraId="25F538AA" w14:textId="77777777" w:rsidR="002B199B" w:rsidRPr="002B199B" w:rsidRDefault="002B199B" w:rsidP="002B199B">
      <w:pPr>
        <w:spacing w:line="240" w:lineRule="auto"/>
        <w:rPr>
          <w:rFonts w:eastAsia="Times New Roman" w:cs="Arial"/>
          <w:i/>
          <w:iCs/>
          <w:color w:val="000000"/>
          <w:u w:val="single"/>
          <w:lang w:eastAsia="bg-BG"/>
        </w:rPr>
      </w:pPr>
    </w:p>
    <w:p w14:paraId="5445F56F" w14:textId="4DDCAD67"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u w:val="single"/>
          <w:lang w:eastAsia="bg-BG"/>
        </w:rPr>
        <w:t>Мощни инхибитори на иитохром Р450 ЗА4</w:t>
      </w:r>
    </w:p>
    <w:p w14:paraId="1AE588EE"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Максималната доза на Трузор трябва да бъде ограничена до 5 </w:t>
      </w:r>
      <w:r w:rsidRPr="002B199B">
        <w:rPr>
          <w:rFonts w:eastAsia="Times New Roman" w:cs="Arial"/>
          <w:color w:val="000000"/>
          <w:lang w:val="en-US"/>
        </w:rPr>
        <w:t xml:space="preserve">mg, </w:t>
      </w:r>
      <w:r w:rsidRPr="002B199B">
        <w:rPr>
          <w:rFonts w:eastAsia="Times New Roman" w:cs="Arial"/>
          <w:color w:val="000000"/>
          <w:lang w:eastAsia="bg-BG"/>
        </w:rPr>
        <w:t xml:space="preserve">когато пациентите се лекуват едновременно с кетоконазол или терапевтични дози на други мощни инхибитори на </w:t>
      </w:r>
      <w:r w:rsidRPr="002B199B">
        <w:rPr>
          <w:rFonts w:eastAsia="Times New Roman" w:cs="Arial"/>
          <w:color w:val="000000"/>
          <w:lang w:val="en-US"/>
        </w:rPr>
        <w:t>CYP3</w:t>
      </w:r>
      <w:r w:rsidRPr="002B199B">
        <w:rPr>
          <w:rFonts w:eastAsia="Times New Roman" w:cs="Arial"/>
          <w:color w:val="000000"/>
          <w:lang w:eastAsia="bg-BG"/>
        </w:rPr>
        <w:t>А4, напр. ритонавир, нелфинавир, итраконазол (вж. точка 4.5).</w:t>
      </w:r>
    </w:p>
    <w:p w14:paraId="4312DA01" w14:textId="77777777" w:rsidR="002B199B" w:rsidRDefault="002B199B" w:rsidP="002B199B">
      <w:pPr>
        <w:spacing w:line="240" w:lineRule="auto"/>
        <w:rPr>
          <w:rFonts w:ascii="Times New Roman" w:eastAsia="Times New Roman" w:hAnsi="Times New Roman" w:cs="Times New Roman"/>
          <w:color w:val="000000"/>
          <w:u w:val="single"/>
          <w:lang w:eastAsia="bg-BG"/>
        </w:rPr>
      </w:pPr>
    </w:p>
    <w:p w14:paraId="72C2D19F" w14:textId="4B8B88FB" w:rsidR="002B199B" w:rsidRPr="002B199B" w:rsidRDefault="002B199B" w:rsidP="002B199B">
      <w:pPr>
        <w:pStyle w:val="Heading3"/>
        <w:rPr>
          <w:rFonts w:eastAsia="Times New Roman"/>
          <w:u w:val="single"/>
          <w:lang w:eastAsia="bg-BG"/>
        </w:rPr>
      </w:pPr>
      <w:r w:rsidRPr="002B199B">
        <w:rPr>
          <w:rFonts w:eastAsia="Times New Roman"/>
          <w:u w:val="single"/>
          <w:lang w:eastAsia="bg-BG"/>
        </w:rPr>
        <w:t>Начин на приложение</w:t>
      </w:r>
    </w:p>
    <w:p w14:paraId="5F920445" w14:textId="36F0C5AF" w:rsidR="002B199B" w:rsidRPr="002B199B" w:rsidRDefault="002B199B" w:rsidP="002B199B">
      <w:pPr>
        <w:rPr>
          <w:rFonts w:cs="Arial"/>
          <w:lang w:val="en-US"/>
        </w:rPr>
      </w:pPr>
      <w:r w:rsidRPr="002B199B">
        <w:rPr>
          <w:rFonts w:eastAsia="Times New Roman" w:cs="Arial"/>
          <w:color w:val="000000"/>
          <w:lang w:eastAsia="bg-BG"/>
        </w:rPr>
        <w:t>Трузор се приема перорално без да се дъвчат или разчупват и таблетките се гълтат цели с течности. Може да се приема със или без храна.</w:t>
      </w:r>
    </w:p>
    <w:p w14:paraId="3B0993C4" w14:textId="77777777" w:rsidR="002B199B" w:rsidRPr="0091385D" w:rsidRDefault="002B199B"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45673A73"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Солифенацин е противопоказан при пациенти:</w:t>
      </w:r>
    </w:p>
    <w:p w14:paraId="243A2239" w14:textId="77777777" w:rsidR="002B199B" w:rsidRPr="002B199B" w:rsidRDefault="002B199B" w:rsidP="002B199B">
      <w:pPr>
        <w:pStyle w:val="ListParagraph"/>
        <w:numPr>
          <w:ilvl w:val="0"/>
          <w:numId w:val="36"/>
        </w:numPr>
        <w:spacing w:line="240" w:lineRule="auto"/>
        <w:rPr>
          <w:rFonts w:eastAsia="Times New Roman" w:cs="Arial"/>
          <w:sz w:val="24"/>
          <w:szCs w:val="24"/>
          <w:lang w:eastAsia="bg-BG"/>
        </w:rPr>
      </w:pPr>
      <w:r w:rsidRPr="002B199B">
        <w:rPr>
          <w:rFonts w:eastAsia="Times New Roman" w:cs="Arial"/>
          <w:color w:val="000000"/>
          <w:lang w:eastAsia="bg-BG"/>
        </w:rPr>
        <w:t>със задръжка на урина, с тежки стомашно-чревни заболявалия (включително токсичен мегаколон), миастения гравис или тесноъгълна глаукома, както и при пациенти с риск за тези заболявания;</w:t>
      </w:r>
    </w:p>
    <w:p w14:paraId="653F85A1" w14:textId="77777777" w:rsidR="002B199B" w:rsidRPr="002B199B" w:rsidRDefault="002B199B" w:rsidP="002B199B">
      <w:pPr>
        <w:pStyle w:val="ListParagraph"/>
        <w:numPr>
          <w:ilvl w:val="0"/>
          <w:numId w:val="36"/>
        </w:numPr>
        <w:spacing w:line="240" w:lineRule="auto"/>
        <w:rPr>
          <w:rFonts w:eastAsia="Times New Roman" w:cs="Arial"/>
          <w:color w:val="000000"/>
          <w:lang w:eastAsia="bg-BG"/>
        </w:rPr>
      </w:pPr>
      <w:r w:rsidRPr="002B199B">
        <w:rPr>
          <w:rFonts w:eastAsia="Times New Roman" w:cs="Arial"/>
          <w:color w:val="000000"/>
          <w:lang w:eastAsia="bg-BG"/>
        </w:rPr>
        <w:t>със свръхчувствителност към активното вещество или към някое от помощните вещества изброени в точка 6.1:</w:t>
      </w:r>
    </w:p>
    <w:p w14:paraId="62BC433B" w14:textId="77777777" w:rsidR="002B199B" w:rsidRPr="002B199B" w:rsidRDefault="002B199B" w:rsidP="002B199B">
      <w:pPr>
        <w:pStyle w:val="ListParagraph"/>
        <w:numPr>
          <w:ilvl w:val="0"/>
          <w:numId w:val="36"/>
        </w:numPr>
        <w:spacing w:line="240" w:lineRule="auto"/>
        <w:rPr>
          <w:rFonts w:eastAsia="Times New Roman" w:cs="Arial"/>
          <w:color w:val="000000"/>
          <w:lang w:eastAsia="bg-BG"/>
        </w:rPr>
      </w:pPr>
      <w:r w:rsidRPr="002B199B">
        <w:rPr>
          <w:rFonts w:eastAsia="Times New Roman" w:cs="Arial"/>
          <w:color w:val="000000"/>
          <w:lang w:eastAsia="bg-BG"/>
        </w:rPr>
        <w:t>подложени на хемодиализа (вж. точка 5.2).</w:t>
      </w:r>
    </w:p>
    <w:p w14:paraId="4A29BB7A" w14:textId="77777777" w:rsidR="002B199B" w:rsidRPr="002B199B" w:rsidRDefault="002B199B" w:rsidP="002B199B">
      <w:pPr>
        <w:pStyle w:val="ListParagraph"/>
        <w:numPr>
          <w:ilvl w:val="0"/>
          <w:numId w:val="36"/>
        </w:numPr>
        <w:spacing w:line="240" w:lineRule="auto"/>
        <w:rPr>
          <w:rFonts w:eastAsia="Times New Roman" w:cs="Arial"/>
          <w:color w:val="000000"/>
          <w:lang w:eastAsia="bg-BG"/>
        </w:rPr>
      </w:pPr>
      <w:r w:rsidRPr="002B199B">
        <w:rPr>
          <w:rFonts w:eastAsia="Times New Roman" w:cs="Arial"/>
          <w:color w:val="000000"/>
          <w:lang w:eastAsia="bg-BG"/>
        </w:rPr>
        <w:t>с тежка чернодробна недостатъчност (вж. точка 5.2).</w:t>
      </w:r>
    </w:p>
    <w:p w14:paraId="2309EAB0" w14:textId="2FC59674" w:rsidR="0091385D" w:rsidRPr="002B199B" w:rsidRDefault="002B199B" w:rsidP="002B199B">
      <w:pPr>
        <w:pStyle w:val="ListParagraph"/>
        <w:numPr>
          <w:ilvl w:val="0"/>
          <w:numId w:val="36"/>
        </w:numPr>
        <w:spacing w:line="240" w:lineRule="auto"/>
        <w:rPr>
          <w:rFonts w:eastAsia="Times New Roman" w:cs="Arial"/>
          <w:color w:val="000000"/>
          <w:lang w:eastAsia="bg-BG"/>
        </w:rPr>
      </w:pPr>
      <w:r w:rsidRPr="002B199B">
        <w:rPr>
          <w:rFonts w:eastAsia="Times New Roman" w:cs="Arial"/>
          <w:color w:val="000000"/>
          <w:lang w:eastAsia="bg-BG"/>
        </w:rPr>
        <w:t xml:space="preserve">с тежка бъбречна или умерена чернодробна недостатъчност, които в момента се лекуват с мощен инхибитор на </w:t>
      </w:r>
      <w:r w:rsidRPr="002B199B">
        <w:rPr>
          <w:rFonts w:eastAsia="Times New Roman" w:cs="Arial"/>
          <w:color w:val="000000"/>
          <w:lang w:val="en-US"/>
        </w:rPr>
        <w:t xml:space="preserve">CYP3A4, </w:t>
      </w:r>
      <w:r w:rsidRPr="002B199B">
        <w:rPr>
          <w:rFonts w:eastAsia="Times New Roman" w:cs="Arial"/>
          <w:color w:val="000000"/>
          <w:lang w:eastAsia="bg-BG"/>
        </w:rPr>
        <w:t>напр. кетоконазол (вж. точка 4.5).</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7D3BFD96" w14:textId="77777777" w:rsidR="002B199B" w:rsidRDefault="002B199B" w:rsidP="002B199B">
      <w:pPr>
        <w:spacing w:line="240" w:lineRule="auto"/>
        <w:rPr>
          <w:rFonts w:ascii="Times New Roman" w:eastAsia="Times New Roman" w:hAnsi="Times New Roman" w:cs="Times New Roman"/>
          <w:color w:val="000000"/>
          <w:lang w:eastAsia="bg-BG"/>
        </w:rPr>
      </w:pPr>
    </w:p>
    <w:p w14:paraId="325EDF3C" w14:textId="499BE8BA"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Преди започване на лечение със Трузор трябва да се установи дали честото уриниране не се дължи на други причини (сърдечна недостатъчност или бъбречно заболяване). При наличие на инфекция на пикочните пътища трябва да се започне подходящо антибактериално лечение.</w:t>
      </w:r>
    </w:p>
    <w:p w14:paraId="194C14F8" w14:textId="77777777" w:rsidR="002B199B" w:rsidRPr="002B199B" w:rsidRDefault="002B199B" w:rsidP="002B199B">
      <w:pPr>
        <w:spacing w:line="240" w:lineRule="auto"/>
        <w:rPr>
          <w:rFonts w:eastAsia="Times New Roman" w:cs="Arial"/>
          <w:color w:val="000000"/>
          <w:lang w:eastAsia="bg-BG"/>
        </w:rPr>
      </w:pPr>
    </w:p>
    <w:p w14:paraId="7CA6C354" w14:textId="017C516B"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Трузор трябва да се прилага е повишено внимание при пациенти с:</w:t>
      </w:r>
    </w:p>
    <w:p w14:paraId="48852C79" w14:textId="77777777" w:rsidR="002B199B" w:rsidRPr="002B199B" w:rsidRDefault="002B199B" w:rsidP="002B199B">
      <w:pPr>
        <w:pStyle w:val="ListParagraph"/>
        <w:numPr>
          <w:ilvl w:val="0"/>
          <w:numId w:val="37"/>
        </w:numPr>
        <w:spacing w:line="240" w:lineRule="auto"/>
        <w:rPr>
          <w:rFonts w:eastAsia="Times New Roman" w:cs="Arial"/>
          <w:sz w:val="24"/>
          <w:szCs w:val="24"/>
          <w:lang w:eastAsia="bg-BG"/>
        </w:rPr>
      </w:pPr>
      <w:r w:rsidRPr="002B199B">
        <w:rPr>
          <w:rFonts w:eastAsia="Times New Roman" w:cs="Arial"/>
          <w:color w:val="000000"/>
          <w:lang w:eastAsia="bg-BG"/>
        </w:rPr>
        <w:t>клинично значима обструкция на изпразването на пикочния мехур с риск за задръжка на урина;</w:t>
      </w:r>
    </w:p>
    <w:p w14:paraId="65400B91" w14:textId="77777777" w:rsidR="002B199B" w:rsidRPr="002B199B" w:rsidRDefault="002B199B" w:rsidP="002B199B">
      <w:pPr>
        <w:pStyle w:val="ListParagraph"/>
        <w:numPr>
          <w:ilvl w:val="0"/>
          <w:numId w:val="37"/>
        </w:numPr>
        <w:spacing w:line="240" w:lineRule="auto"/>
        <w:rPr>
          <w:rFonts w:eastAsia="Times New Roman" w:cs="Arial"/>
          <w:sz w:val="24"/>
          <w:szCs w:val="24"/>
          <w:lang w:eastAsia="bg-BG"/>
        </w:rPr>
      </w:pPr>
      <w:r w:rsidRPr="002B199B">
        <w:rPr>
          <w:rFonts w:eastAsia="Times New Roman" w:cs="Arial"/>
          <w:color w:val="000000"/>
          <w:lang w:eastAsia="bg-BG"/>
        </w:rPr>
        <w:t>стомашно-чревни обструктивни нарушения;</w:t>
      </w:r>
    </w:p>
    <w:p w14:paraId="563681B9" w14:textId="77777777" w:rsidR="002B199B" w:rsidRPr="002B199B" w:rsidRDefault="002B199B" w:rsidP="002B199B">
      <w:pPr>
        <w:pStyle w:val="ListParagraph"/>
        <w:numPr>
          <w:ilvl w:val="0"/>
          <w:numId w:val="37"/>
        </w:numPr>
        <w:spacing w:line="240" w:lineRule="auto"/>
        <w:rPr>
          <w:rFonts w:eastAsia="Times New Roman" w:cs="Arial"/>
          <w:sz w:val="24"/>
          <w:szCs w:val="24"/>
          <w:lang w:eastAsia="bg-BG"/>
        </w:rPr>
      </w:pPr>
      <w:r w:rsidRPr="002B199B">
        <w:rPr>
          <w:rFonts w:eastAsia="Times New Roman" w:cs="Arial"/>
          <w:color w:val="000000"/>
          <w:lang w:eastAsia="bg-BG"/>
        </w:rPr>
        <w:lastRenderedPageBreak/>
        <w:t>риск от намален стомашно-чревен мотилитет;</w:t>
      </w:r>
    </w:p>
    <w:p w14:paraId="4DF58E84" w14:textId="77777777" w:rsidR="002B199B" w:rsidRPr="002B199B" w:rsidRDefault="002B199B" w:rsidP="002B199B">
      <w:pPr>
        <w:pStyle w:val="ListParagraph"/>
        <w:numPr>
          <w:ilvl w:val="0"/>
          <w:numId w:val="37"/>
        </w:numPr>
        <w:spacing w:line="240" w:lineRule="auto"/>
        <w:rPr>
          <w:rFonts w:eastAsia="Times New Roman" w:cs="Arial"/>
          <w:sz w:val="24"/>
          <w:szCs w:val="24"/>
          <w:lang w:eastAsia="bg-BG"/>
        </w:rPr>
      </w:pPr>
      <w:r w:rsidRPr="002B199B">
        <w:rPr>
          <w:rFonts w:eastAsia="Times New Roman" w:cs="Arial"/>
          <w:color w:val="000000"/>
          <w:lang w:eastAsia="bg-BG"/>
        </w:rPr>
        <w:t xml:space="preserve">тежка бъбречна недостатъчност (креатининов клирънс &lt; 30 </w:t>
      </w:r>
      <w:r w:rsidRPr="002B199B">
        <w:rPr>
          <w:rFonts w:eastAsia="Times New Roman" w:cs="Arial"/>
          <w:color w:val="000000"/>
          <w:lang w:val="en-US"/>
        </w:rPr>
        <w:t xml:space="preserve">ml/min; </w:t>
      </w:r>
      <w:r w:rsidRPr="002B199B">
        <w:rPr>
          <w:rFonts w:eastAsia="Times New Roman" w:cs="Arial"/>
          <w:color w:val="000000"/>
          <w:lang w:eastAsia="bg-BG"/>
        </w:rPr>
        <w:t xml:space="preserve">вж. точки 4.2 и 5.2), като дозите за тези пациенти не трябва да надвишават 5 </w:t>
      </w:r>
      <w:r w:rsidRPr="002B199B">
        <w:rPr>
          <w:rFonts w:eastAsia="Times New Roman" w:cs="Arial"/>
          <w:color w:val="000000"/>
          <w:lang w:val="en-US"/>
        </w:rPr>
        <w:t>mg</w:t>
      </w:r>
    </w:p>
    <w:p w14:paraId="593F1A48" w14:textId="2994D67F" w:rsidR="002B199B" w:rsidRPr="002B199B" w:rsidRDefault="002B199B" w:rsidP="002B199B">
      <w:pPr>
        <w:pStyle w:val="ListParagraph"/>
        <w:numPr>
          <w:ilvl w:val="0"/>
          <w:numId w:val="37"/>
        </w:numPr>
        <w:spacing w:line="240" w:lineRule="auto"/>
        <w:rPr>
          <w:rFonts w:eastAsia="Times New Roman" w:cs="Arial"/>
          <w:sz w:val="24"/>
          <w:szCs w:val="24"/>
          <w:lang w:eastAsia="bg-BG"/>
        </w:rPr>
      </w:pPr>
      <w:r w:rsidRPr="002B199B">
        <w:rPr>
          <w:rFonts w:eastAsia="Times New Roman" w:cs="Arial"/>
          <w:color w:val="000000"/>
          <w:lang w:eastAsia="bg-BG"/>
        </w:rPr>
        <w:t xml:space="preserve">умерена чернодробна недостатъчност (сбор от точки по </w:t>
      </w:r>
      <w:r w:rsidRPr="002B199B">
        <w:rPr>
          <w:rFonts w:eastAsia="Times New Roman" w:cs="Arial"/>
          <w:i/>
          <w:iCs/>
          <w:color w:val="000000"/>
          <w:lang w:val="en-US"/>
        </w:rPr>
        <w:t>Child-Pugh</w:t>
      </w:r>
      <w:r w:rsidRPr="002B199B">
        <w:rPr>
          <w:rFonts w:eastAsia="Times New Roman" w:cs="Arial"/>
          <w:color w:val="000000"/>
          <w:lang w:val="en-US"/>
        </w:rPr>
        <w:t xml:space="preserve"> </w:t>
      </w:r>
      <w:r w:rsidRPr="002B199B">
        <w:rPr>
          <w:rFonts w:eastAsia="Times New Roman" w:cs="Arial"/>
          <w:color w:val="000000"/>
          <w:lang w:eastAsia="bg-BG"/>
        </w:rPr>
        <w:t>от 7 до 9; вж. точки</w:t>
      </w:r>
    </w:p>
    <w:p w14:paraId="64E0195D"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4.2 и 5.2), като дозите за тези пациенти не трябва да надвишават 5 </w:t>
      </w:r>
      <w:r w:rsidRPr="002B199B">
        <w:rPr>
          <w:rFonts w:eastAsia="Times New Roman" w:cs="Arial"/>
          <w:color w:val="000000"/>
          <w:lang w:val="en-US"/>
        </w:rPr>
        <w:t>mg</w:t>
      </w:r>
    </w:p>
    <w:p w14:paraId="043A037E" w14:textId="423A59A3" w:rsidR="002B199B" w:rsidRPr="002B199B" w:rsidRDefault="002B199B" w:rsidP="002B199B">
      <w:pPr>
        <w:pStyle w:val="ListParagraph"/>
        <w:numPr>
          <w:ilvl w:val="0"/>
          <w:numId w:val="38"/>
        </w:numPr>
        <w:spacing w:line="240" w:lineRule="auto"/>
        <w:rPr>
          <w:rFonts w:eastAsia="Times New Roman" w:cs="Arial"/>
          <w:sz w:val="24"/>
          <w:szCs w:val="24"/>
          <w:lang w:eastAsia="bg-BG"/>
        </w:rPr>
      </w:pPr>
      <w:r w:rsidRPr="002B199B">
        <w:rPr>
          <w:rFonts w:eastAsia="Times New Roman" w:cs="Arial"/>
          <w:color w:val="000000"/>
          <w:lang w:eastAsia="bg-BG"/>
        </w:rPr>
        <w:t xml:space="preserve">едновременна употреба на мощен инхибитор на </w:t>
      </w:r>
      <w:r w:rsidRPr="002B199B">
        <w:rPr>
          <w:rFonts w:eastAsia="Times New Roman" w:cs="Arial"/>
          <w:color w:val="000000"/>
          <w:lang w:val="en-US"/>
        </w:rPr>
        <w:t xml:space="preserve">CYP3A4, </w:t>
      </w:r>
      <w:r w:rsidRPr="002B199B">
        <w:rPr>
          <w:rFonts w:eastAsia="Times New Roman" w:cs="Arial"/>
          <w:color w:val="000000"/>
          <w:lang w:eastAsia="bg-BG"/>
        </w:rPr>
        <w:t>напр. кетоконазол (вж. точки</w:t>
      </w:r>
    </w:p>
    <w:p w14:paraId="6DF7D15C"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4.2 и 4.5)</w:t>
      </w:r>
    </w:p>
    <w:p w14:paraId="780D110F" w14:textId="77777777" w:rsidR="002B199B" w:rsidRPr="002B199B" w:rsidRDefault="002B199B" w:rsidP="002B199B">
      <w:pPr>
        <w:pStyle w:val="ListParagraph"/>
        <w:numPr>
          <w:ilvl w:val="0"/>
          <w:numId w:val="38"/>
        </w:numPr>
        <w:spacing w:line="240" w:lineRule="auto"/>
        <w:rPr>
          <w:rFonts w:eastAsia="Times New Roman" w:cs="Arial"/>
          <w:sz w:val="24"/>
          <w:szCs w:val="24"/>
          <w:lang w:eastAsia="bg-BG"/>
        </w:rPr>
      </w:pPr>
      <w:r w:rsidRPr="002B199B">
        <w:rPr>
          <w:rFonts w:eastAsia="Times New Roman" w:cs="Arial"/>
          <w:color w:val="000000"/>
          <w:lang w:eastAsia="bg-BG"/>
        </w:rPr>
        <w:t>хиатусна херния/гастроезофагеален рефлукс и/или такива, които към момента приемат лекарствени продукти (например бифосфонати), които могат да предизвикат или обострят езофагит</w:t>
      </w:r>
    </w:p>
    <w:p w14:paraId="75C5B87C" w14:textId="1753771B" w:rsidR="002B199B" w:rsidRPr="002B199B" w:rsidRDefault="002B199B" w:rsidP="002B199B">
      <w:pPr>
        <w:pStyle w:val="ListParagraph"/>
        <w:numPr>
          <w:ilvl w:val="0"/>
          <w:numId w:val="38"/>
        </w:numPr>
        <w:spacing w:line="240" w:lineRule="auto"/>
        <w:rPr>
          <w:rFonts w:eastAsia="Times New Roman" w:cs="Arial"/>
          <w:sz w:val="24"/>
          <w:szCs w:val="24"/>
          <w:lang w:eastAsia="bg-BG"/>
        </w:rPr>
      </w:pPr>
      <w:r w:rsidRPr="002B199B">
        <w:rPr>
          <w:rFonts w:eastAsia="Times New Roman" w:cs="Arial"/>
          <w:color w:val="000000"/>
          <w:lang w:eastAsia="bg-BG"/>
        </w:rPr>
        <w:t>вегетативна невропатия.</w:t>
      </w:r>
    </w:p>
    <w:p w14:paraId="34C6CC64" w14:textId="77777777" w:rsidR="002B199B" w:rsidRPr="002B199B" w:rsidRDefault="002B199B" w:rsidP="002B199B">
      <w:pPr>
        <w:spacing w:line="240" w:lineRule="auto"/>
        <w:rPr>
          <w:rFonts w:eastAsia="Times New Roman" w:cs="Arial"/>
          <w:color w:val="000000"/>
          <w:lang w:eastAsia="bg-BG"/>
        </w:rPr>
      </w:pPr>
    </w:p>
    <w:p w14:paraId="3D4358DF" w14:textId="347CDA13"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При някои пациенти, приемащи солифенацин са били докладвани случаи на ангиоедем с обструкция на въздухоносните пътища. Ако се прояви ангиоедем, приемът на солифенацин трябва да бъде преустановен и да се предприемат подходящо лечение и/или мерки.</w:t>
      </w:r>
    </w:p>
    <w:p w14:paraId="05BCBBCA" w14:textId="77777777" w:rsidR="002B199B" w:rsidRPr="002B199B" w:rsidRDefault="002B199B" w:rsidP="002B199B">
      <w:pPr>
        <w:spacing w:line="240" w:lineRule="auto"/>
        <w:rPr>
          <w:rFonts w:eastAsia="Times New Roman" w:cs="Arial"/>
          <w:color w:val="000000"/>
          <w:lang w:eastAsia="bg-BG"/>
        </w:rPr>
      </w:pPr>
    </w:p>
    <w:p w14:paraId="5BB5252C" w14:textId="2EC9909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Безопасността и ефективността при пациенти с неврогенна причина за свръхактивност на</w:t>
      </w:r>
    </w:p>
    <w:p w14:paraId="0AAC2B60" w14:textId="4F5FF1BC" w:rsidR="0091385D" w:rsidRPr="002B199B" w:rsidRDefault="002B199B" w:rsidP="002B199B">
      <w:pPr>
        <w:rPr>
          <w:rFonts w:cs="Arial"/>
        </w:rPr>
      </w:pPr>
      <w:r w:rsidRPr="002B199B">
        <w:rPr>
          <w:rFonts w:eastAsia="Times New Roman" w:cs="Arial"/>
          <w:color w:val="000000"/>
          <w:lang w:eastAsia="bg-BG"/>
        </w:rPr>
        <w:t>детрузора все още не са установени.</w:t>
      </w:r>
    </w:p>
    <w:p w14:paraId="0B3BEE35" w14:textId="72C72468" w:rsidR="0091385D" w:rsidRPr="002B199B" w:rsidRDefault="0091385D" w:rsidP="0091385D">
      <w:pPr>
        <w:rPr>
          <w:rFonts w:cs="Arial"/>
        </w:rPr>
      </w:pPr>
    </w:p>
    <w:p w14:paraId="2975E9A6"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При пациенти с рискови фактори като предварително съществуващ удължен </w:t>
      </w:r>
      <w:r w:rsidRPr="002B199B">
        <w:rPr>
          <w:rFonts w:eastAsia="Times New Roman" w:cs="Arial"/>
          <w:color w:val="000000"/>
          <w:lang w:val="en-US"/>
        </w:rPr>
        <w:t>QT</w:t>
      </w:r>
      <w:r w:rsidRPr="002B199B">
        <w:rPr>
          <w:rFonts w:eastAsia="Times New Roman" w:cs="Arial"/>
          <w:color w:val="000000"/>
          <w:lang w:eastAsia="bg-BG"/>
        </w:rPr>
        <w:t xml:space="preserve">-интервал и хипокалиемия са били наблюдавани удължаване на </w:t>
      </w:r>
      <w:r w:rsidRPr="002B199B">
        <w:rPr>
          <w:rFonts w:eastAsia="Times New Roman" w:cs="Arial"/>
          <w:color w:val="000000"/>
          <w:lang w:val="en-US"/>
        </w:rPr>
        <w:t>QT</w:t>
      </w:r>
      <w:r w:rsidRPr="002B199B">
        <w:rPr>
          <w:rFonts w:eastAsia="Times New Roman" w:cs="Arial"/>
          <w:color w:val="000000"/>
          <w:lang w:eastAsia="bg-BG"/>
        </w:rPr>
        <w:t xml:space="preserve">-интервала и </w:t>
      </w:r>
      <w:r w:rsidRPr="002B199B">
        <w:rPr>
          <w:rFonts w:eastAsia="Times New Roman" w:cs="Arial"/>
          <w:i/>
          <w:iCs/>
          <w:color w:val="000000"/>
          <w:lang w:val="en-US"/>
        </w:rPr>
        <w:t>Torsade de Pointes.</w:t>
      </w:r>
    </w:p>
    <w:p w14:paraId="77885A7E" w14:textId="77777777" w:rsidR="002B199B" w:rsidRPr="002B199B" w:rsidRDefault="002B199B" w:rsidP="002B199B">
      <w:pPr>
        <w:spacing w:line="240" w:lineRule="auto"/>
        <w:rPr>
          <w:rFonts w:eastAsia="Times New Roman" w:cs="Arial"/>
          <w:color w:val="000000"/>
          <w:lang w:eastAsia="bg-BG"/>
        </w:rPr>
      </w:pPr>
    </w:p>
    <w:p w14:paraId="2B913C01" w14:textId="619DA323"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При някои пациенти лекувани със солифенацин са наблюдавани и анафилактични реакции. При пациентите, които развият анафилактична реакция, приемът на солифенацин трябва да бъде преустановен и да се предприемат подходящо лечение и/или мерки.</w:t>
      </w:r>
    </w:p>
    <w:p w14:paraId="57B13D67" w14:textId="77777777" w:rsidR="002B199B" w:rsidRPr="002B199B" w:rsidRDefault="002B199B" w:rsidP="002B199B">
      <w:pPr>
        <w:spacing w:line="240" w:lineRule="auto"/>
        <w:rPr>
          <w:rFonts w:eastAsia="Times New Roman" w:cs="Arial"/>
          <w:color w:val="000000"/>
          <w:lang w:eastAsia="bg-BG"/>
        </w:rPr>
      </w:pPr>
    </w:p>
    <w:p w14:paraId="7DB7BCC3" w14:textId="45047960"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Пациенти с редки наследствени проблеми на непоносимост към галактоза, обща лактазна недостатъчност или глюкозо-галактозна малабсорбция не трябва да приемат това лекарство.</w:t>
      </w:r>
    </w:p>
    <w:p w14:paraId="79C04ED8" w14:textId="77777777" w:rsidR="002B199B" w:rsidRPr="002B199B" w:rsidRDefault="002B199B" w:rsidP="002B199B">
      <w:pPr>
        <w:rPr>
          <w:rFonts w:eastAsia="Times New Roman" w:cs="Arial"/>
          <w:color w:val="000000"/>
          <w:lang w:eastAsia="bg-BG"/>
        </w:rPr>
      </w:pPr>
    </w:p>
    <w:p w14:paraId="5CCC9740" w14:textId="5F091039" w:rsidR="002B199B" w:rsidRPr="002B199B" w:rsidRDefault="002B199B" w:rsidP="002B199B">
      <w:pPr>
        <w:rPr>
          <w:rFonts w:cs="Arial"/>
        </w:rPr>
      </w:pPr>
      <w:r w:rsidRPr="002B199B">
        <w:rPr>
          <w:rFonts w:eastAsia="Times New Roman" w:cs="Arial"/>
          <w:color w:val="000000"/>
          <w:lang w:eastAsia="bg-BG"/>
        </w:rPr>
        <w:t>Максималният ефект на Трузор може да се установи най-рано след 4 седмици.</w:t>
      </w:r>
    </w:p>
    <w:p w14:paraId="5A4886F0" w14:textId="77777777" w:rsidR="002B199B" w:rsidRDefault="002B199B"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3AD2A6DE"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u w:val="single"/>
          <w:lang w:eastAsia="bg-BG"/>
        </w:rPr>
        <w:t>Фармакологични взаимодействия</w:t>
      </w:r>
    </w:p>
    <w:p w14:paraId="3E587302"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Едновременното приложение с други лекарствени продукти с антихолинергични свойства може да засили терапевтичните ефекти и нежеланите реакции. Трябва да се предвиди интервал от около 1 седмица след спиране на лечението с Трузор, преди да се започне друго антихолинергично лечение. Терапевтичният ефект на солифенацин може да се понижи при едновременно прилагане на агонисти на холинергичните рецептори.</w:t>
      </w:r>
    </w:p>
    <w:p w14:paraId="5EF44021" w14:textId="77777777" w:rsidR="002B199B" w:rsidRPr="002B199B" w:rsidRDefault="002B199B" w:rsidP="002B199B">
      <w:pPr>
        <w:spacing w:line="240" w:lineRule="auto"/>
        <w:rPr>
          <w:rFonts w:eastAsia="Times New Roman" w:cs="Arial"/>
          <w:color w:val="000000"/>
          <w:lang w:eastAsia="bg-BG"/>
        </w:rPr>
      </w:pPr>
    </w:p>
    <w:p w14:paraId="6240DDD4" w14:textId="14E2E191"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Солифенацин може да намали ефекта на лекарствените продукти, които стимулират мотилитета на стомашно-чревния тракт, например метоклопрамид и цизаприд.</w:t>
      </w:r>
    </w:p>
    <w:p w14:paraId="39830AE2" w14:textId="77777777" w:rsidR="002B199B" w:rsidRPr="002B199B" w:rsidRDefault="002B199B" w:rsidP="002B199B">
      <w:pPr>
        <w:spacing w:line="240" w:lineRule="auto"/>
        <w:rPr>
          <w:rFonts w:eastAsia="Times New Roman" w:cs="Arial"/>
          <w:color w:val="000000"/>
          <w:u w:val="single"/>
          <w:lang w:eastAsia="bg-BG"/>
        </w:rPr>
      </w:pPr>
    </w:p>
    <w:p w14:paraId="6D8B0081" w14:textId="5B4D24A1"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u w:val="single"/>
          <w:lang w:eastAsia="bg-BG"/>
        </w:rPr>
        <w:lastRenderedPageBreak/>
        <w:t>Фармакокинетични взаимодействия</w:t>
      </w:r>
    </w:p>
    <w:p w14:paraId="089F43B0"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lang w:val="en-US"/>
        </w:rPr>
        <w:t>In vitro</w:t>
      </w:r>
      <w:r w:rsidRPr="002B199B">
        <w:rPr>
          <w:rFonts w:eastAsia="Times New Roman" w:cs="Arial"/>
          <w:color w:val="000000"/>
          <w:lang w:val="en-US"/>
        </w:rPr>
        <w:t xml:space="preserve"> </w:t>
      </w:r>
      <w:r w:rsidRPr="002B199B">
        <w:rPr>
          <w:rFonts w:eastAsia="Times New Roman" w:cs="Arial"/>
          <w:color w:val="000000"/>
          <w:lang w:eastAsia="bg-BG"/>
        </w:rPr>
        <w:t xml:space="preserve">проучвания показват, че солифенацин в терапевтични концентрации не инхибира </w:t>
      </w:r>
      <w:r w:rsidRPr="002B199B">
        <w:rPr>
          <w:rFonts w:eastAsia="Times New Roman" w:cs="Arial"/>
          <w:color w:val="000000"/>
          <w:lang w:val="en-US"/>
        </w:rPr>
        <w:t xml:space="preserve">CYP1A1/2, </w:t>
      </w:r>
      <w:r w:rsidRPr="002B199B">
        <w:rPr>
          <w:rFonts w:eastAsia="Times New Roman" w:cs="Arial"/>
          <w:color w:val="000000"/>
          <w:lang w:eastAsia="bg-BG"/>
        </w:rPr>
        <w:t>2С9</w:t>
      </w:r>
      <w:proofErr w:type="gramStart"/>
      <w:r w:rsidRPr="002B199B">
        <w:rPr>
          <w:rFonts w:eastAsia="Times New Roman" w:cs="Arial"/>
          <w:color w:val="000000"/>
          <w:lang w:eastAsia="bg-BG"/>
        </w:rPr>
        <w:t>,2С19</w:t>
      </w:r>
      <w:proofErr w:type="gramEnd"/>
      <w:r w:rsidRPr="002B199B">
        <w:rPr>
          <w:rFonts w:eastAsia="Times New Roman" w:cs="Arial"/>
          <w:color w:val="000000"/>
          <w:lang w:eastAsia="bg-BG"/>
        </w:rPr>
        <w:t xml:space="preserve">, </w:t>
      </w:r>
      <w:r w:rsidRPr="002B199B">
        <w:rPr>
          <w:rFonts w:eastAsia="Times New Roman" w:cs="Arial"/>
          <w:color w:val="000000"/>
          <w:lang w:val="en-US"/>
        </w:rPr>
        <w:t xml:space="preserve">2D6 </w:t>
      </w:r>
      <w:r w:rsidRPr="002B199B">
        <w:rPr>
          <w:rFonts w:eastAsia="Times New Roman" w:cs="Arial"/>
          <w:color w:val="000000"/>
          <w:lang w:eastAsia="bg-BG"/>
        </w:rPr>
        <w:t xml:space="preserve">или 3А4, получени от човешки чернодробни микрозоми. Поради това не се очаква солифенацин да променя клирънса на лекарствата, метаболизирани от тези </w:t>
      </w:r>
      <w:r w:rsidRPr="002B199B">
        <w:rPr>
          <w:rFonts w:eastAsia="Times New Roman" w:cs="Arial"/>
          <w:color w:val="000000"/>
          <w:lang w:val="en-US"/>
        </w:rPr>
        <w:t xml:space="preserve">CYP </w:t>
      </w:r>
      <w:r w:rsidRPr="002B199B">
        <w:rPr>
          <w:rFonts w:eastAsia="Times New Roman" w:cs="Arial"/>
          <w:color w:val="000000"/>
          <w:lang w:eastAsia="bg-BG"/>
        </w:rPr>
        <w:t>ензими.</w:t>
      </w:r>
    </w:p>
    <w:p w14:paraId="4353C9DB" w14:textId="77777777" w:rsidR="002B199B" w:rsidRPr="002B199B" w:rsidRDefault="002B199B" w:rsidP="002B199B">
      <w:pPr>
        <w:spacing w:line="240" w:lineRule="auto"/>
        <w:rPr>
          <w:rFonts w:eastAsia="Times New Roman" w:cs="Arial"/>
          <w:color w:val="000000"/>
          <w:u w:val="single"/>
          <w:lang w:eastAsia="bg-BG"/>
        </w:rPr>
      </w:pPr>
    </w:p>
    <w:p w14:paraId="60F45CED" w14:textId="73454422"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u w:val="single"/>
          <w:lang w:eastAsia="bg-BG"/>
        </w:rPr>
        <w:t>Ефект на други лекарствени продукти върху фармакокинетиката на солифенацин</w:t>
      </w:r>
    </w:p>
    <w:p w14:paraId="199DCD76" w14:textId="11D43430"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Солифенацин се метаболизира от </w:t>
      </w:r>
      <w:r w:rsidRPr="002B199B">
        <w:rPr>
          <w:rFonts w:eastAsia="Times New Roman" w:cs="Arial"/>
          <w:color w:val="000000"/>
          <w:lang w:val="en-US"/>
        </w:rPr>
        <w:t xml:space="preserve">CYP3A4. </w:t>
      </w:r>
      <w:r w:rsidRPr="002B199B">
        <w:rPr>
          <w:rFonts w:eastAsia="Times New Roman" w:cs="Arial"/>
          <w:color w:val="000000"/>
          <w:lang w:eastAsia="bg-BG"/>
        </w:rPr>
        <w:t xml:space="preserve">Едновременното прилагане на кетоконазол (200 </w:t>
      </w:r>
      <w:r w:rsidRPr="002B199B">
        <w:rPr>
          <w:rFonts w:eastAsia="Times New Roman" w:cs="Arial"/>
          <w:color w:val="000000"/>
          <w:lang w:val="en-US"/>
        </w:rPr>
        <w:t xml:space="preserve">mg </w:t>
      </w:r>
      <w:r w:rsidRPr="002B199B">
        <w:rPr>
          <w:rFonts w:eastAsia="Times New Roman" w:cs="Arial"/>
          <w:color w:val="000000"/>
          <w:lang w:eastAsia="bg-BG"/>
        </w:rPr>
        <w:t xml:space="preserve">дневно), който е мощен инхибитор на СУР3А4, предизвиква двукратно увеличение на </w:t>
      </w:r>
      <w:r w:rsidRPr="002B199B">
        <w:rPr>
          <w:rFonts w:eastAsia="Times New Roman" w:cs="Arial"/>
          <w:color w:val="000000"/>
          <w:lang w:val="en-US"/>
        </w:rPr>
        <w:t xml:space="preserve">AUC </w:t>
      </w:r>
      <w:r w:rsidRPr="002B199B">
        <w:rPr>
          <w:rFonts w:eastAsia="Times New Roman" w:cs="Arial"/>
          <w:color w:val="000000"/>
          <w:lang w:eastAsia="bg-BG"/>
        </w:rPr>
        <w:t xml:space="preserve">на солифенацин, а кетоконазол в дневна доза 400 </w:t>
      </w:r>
      <w:r w:rsidRPr="002B199B">
        <w:rPr>
          <w:rFonts w:eastAsia="Times New Roman" w:cs="Arial"/>
          <w:color w:val="000000"/>
          <w:lang w:val="en-US"/>
        </w:rPr>
        <w:t xml:space="preserve">mg </w:t>
      </w:r>
      <w:r w:rsidRPr="002B199B">
        <w:rPr>
          <w:rFonts w:eastAsia="Times New Roman" w:cs="Arial"/>
          <w:color w:val="000000"/>
          <w:lang w:eastAsia="bg-BG"/>
        </w:rPr>
        <w:t xml:space="preserve">предизвиква трикратно увеличение на </w:t>
      </w:r>
      <w:r w:rsidRPr="002B199B">
        <w:rPr>
          <w:rFonts w:eastAsia="Times New Roman" w:cs="Arial"/>
          <w:color w:val="000000"/>
          <w:lang w:val="en-US"/>
        </w:rPr>
        <w:t xml:space="preserve">AUC </w:t>
      </w:r>
      <w:r w:rsidRPr="002B199B">
        <w:rPr>
          <w:rFonts w:eastAsia="Times New Roman" w:cs="Arial"/>
          <w:color w:val="000000"/>
          <w:lang w:eastAsia="bg-BG"/>
        </w:rPr>
        <w:t xml:space="preserve">на солифенацин. Поради това максималната доза на Трузор трябва да бъде ограничена до 5 </w:t>
      </w:r>
      <w:r w:rsidRPr="002B199B">
        <w:rPr>
          <w:rFonts w:eastAsia="Times New Roman" w:cs="Arial"/>
          <w:color w:val="000000"/>
          <w:lang w:val="en-US"/>
        </w:rPr>
        <w:t xml:space="preserve">mg, </w:t>
      </w:r>
      <w:r w:rsidRPr="002B199B">
        <w:rPr>
          <w:rFonts w:eastAsia="Times New Roman" w:cs="Arial"/>
          <w:color w:val="000000"/>
          <w:lang w:eastAsia="bg-BG"/>
        </w:rPr>
        <w:t xml:space="preserve">когато се прилага едновременно с кетоконазол или терапевтични дози на други мощни инхибитори на </w:t>
      </w:r>
      <w:r w:rsidRPr="002B199B">
        <w:rPr>
          <w:rFonts w:eastAsia="Times New Roman" w:cs="Arial"/>
          <w:color w:val="000000"/>
          <w:lang w:val="en-US"/>
        </w:rPr>
        <w:t xml:space="preserve">CYP3A4 </w:t>
      </w:r>
      <w:r w:rsidRPr="002B199B">
        <w:rPr>
          <w:rFonts w:eastAsia="Times New Roman" w:cs="Arial"/>
          <w:color w:val="000000"/>
          <w:lang w:eastAsia="bg-BG"/>
        </w:rPr>
        <w:t>(напр. ритонавир, нелфинавир, итраконазол) (вж. точка 4.2).</w:t>
      </w:r>
    </w:p>
    <w:p w14:paraId="55DFE7C8"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Едновременното лечение със солифенацин и мощен инхибитор на С</w:t>
      </w:r>
      <w:r w:rsidRPr="002B199B">
        <w:rPr>
          <w:rFonts w:eastAsia="Times New Roman" w:cs="Arial"/>
          <w:color w:val="000000"/>
          <w:lang w:val="en-US"/>
        </w:rPr>
        <w:t>Y</w:t>
      </w:r>
      <w:r w:rsidRPr="002B199B">
        <w:rPr>
          <w:rFonts w:eastAsia="Times New Roman" w:cs="Arial"/>
          <w:color w:val="000000"/>
          <w:lang w:eastAsia="bg-BG"/>
        </w:rPr>
        <w:t>Р3А4 е противопоказано при пациенти с тежка бъбречна недостатъчност или умерена чернодробна недостатъчност.</w:t>
      </w:r>
    </w:p>
    <w:p w14:paraId="16C48C8B" w14:textId="77777777" w:rsidR="002B199B" w:rsidRPr="002B199B" w:rsidRDefault="002B199B" w:rsidP="002B199B">
      <w:pPr>
        <w:spacing w:line="240" w:lineRule="auto"/>
        <w:rPr>
          <w:rFonts w:eastAsia="Times New Roman" w:cs="Arial"/>
          <w:color w:val="000000"/>
          <w:lang w:eastAsia="bg-BG"/>
        </w:rPr>
      </w:pPr>
    </w:p>
    <w:p w14:paraId="09CBBB2D" w14:textId="713B9B5F"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Ефектите на ензимната индукция върху фармакокинетиката на солифенацин и неговите метаболити не е изследвана, какго и ефектът на субстратите на С</w:t>
      </w:r>
      <w:r w:rsidRPr="002B199B">
        <w:rPr>
          <w:rFonts w:eastAsia="Times New Roman" w:cs="Arial"/>
          <w:color w:val="000000"/>
          <w:lang w:val="en-US"/>
        </w:rPr>
        <w:t>Y</w:t>
      </w:r>
      <w:r w:rsidRPr="002B199B">
        <w:rPr>
          <w:rFonts w:eastAsia="Times New Roman" w:cs="Arial"/>
          <w:color w:val="000000"/>
          <w:lang w:eastAsia="bg-BG"/>
        </w:rPr>
        <w:t>Р3А4 с по-висок афинитет върху експозицията на солифенацин. Тъй като солифенацин се метаболизира от С</w:t>
      </w:r>
      <w:r w:rsidRPr="002B199B">
        <w:rPr>
          <w:rFonts w:eastAsia="Times New Roman" w:cs="Arial"/>
          <w:color w:val="000000"/>
          <w:lang w:val="en-US"/>
        </w:rPr>
        <w:t>Y</w:t>
      </w:r>
      <w:r w:rsidRPr="002B199B">
        <w:rPr>
          <w:rFonts w:eastAsia="Times New Roman" w:cs="Arial"/>
          <w:color w:val="000000"/>
          <w:lang w:eastAsia="bg-BG"/>
        </w:rPr>
        <w:t>Р3А4, възможни са фармакокинетични взаимодействия с други субстрати на С</w:t>
      </w:r>
      <w:r w:rsidRPr="002B199B">
        <w:rPr>
          <w:rFonts w:eastAsia="Times New Roman" w:cs="Arial"/>
          <w:color w:val="000000"/>
          <w:lang w:val="en-US"/>
        </w:rPr>
        <w:t>Y</w:t>
      </w:r>
      <w:r w:rsidRPr="002B199B">
        <w:rPr>
          <w:rFonts w:eastAsia="Times New Roman" w:cs="Arial"/>
          <w:color w:val="000000"/>
          <w:lang w:eastAsia="bg-BG"/>
        </w:rPr>
        <w:t>РЗА4 с по-висок афинитет (напр. верапамил, дилтиазем) и индуктори на С</w:t>
      </w:r>
      <w:r w:rsidRPr="002B199B">
        <w:rPr>
          <w:rFonts w:eastAsia="Times New Roman" w:cs="Arial"/>
          <w:color w:val="000000"/>
          <w:lang w:val="en-US"/>
        </w:rPr>
        <w:t>Y</w:t>
      </w:r>
      <w:r w:rsidRPr="002B199B">
        <w:rPr>
          <w:rFonts w:eastAsia="Times New Roman" w:cs="Arial"/>
          <w:color w:val="000000"/>
          <w:lang w:eastAsia="bg-BG"/>
        </w:rPr>
        <w:t>Р3А4 (напр. рифампицин, фенитоин, карбамазепин).</w:t>
      </w:r>
    </w:p>
    <w:p w14:paraId="57E46D22" w14:textId="77777777" w:rsidR="002B199B" w:rsidRPr="002B199B" w:rsidRDefault="002B199B" w:rsidP="002B199B">
      <w:pPr>
        <w:spacing w:line="240" w:lineRule="auto"/>
        <w:rPr>
          <w:rFonts w:eastAsia="Times New Roman" w:cs="Arial"/>
          <w:color w:val="000000"/>
          <w:u w:val="single"/>
          <w:lang w:eastAsia="bg-BG"/>
        </w:rPr>
      </w:pPr>
    </w:p>
    <w:p w14:paraId="67D866D1" w14:textId="784DB34C"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u w:val="single"/>
          <w:lang w:eastAsia="bg-BG"/>
        </w:rPr>
        <w:t xml:space="preserve">Ефект на солифенацин върху фармакокинетиката на други лекарствени продукти </w:t>
      </w:r>
      <w:r w:rsidRPr="002B199B">
        <w:rPr>
          <w:rFonts w:eastAsia="Times New Roman" w:cs="Arial"/>
          <w:i/>
          <w:iCs/>
          <w:color w:val="000000"/>
          <w:u w:val="single"/>
          <w:lang w:eastAsia="bg-BG"/>
        </w:rPr>
        <w:t>Перорални контрацептиви</w:t>
      </w:r>
    </w:p>
    <w:p w14:paraId="73ED45FA"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След прием на Трузор не се наблюдава фармакокинетично взаимодействие на солифенацин с комбинираните перорални контрацептиви (етинилестрадиол/левоноргестрел).</w:t>
      </w:r>
    </w:p>
    <w:p w14:paraId="70A270CB" w14:textId="77777777" w:rsidR="002B199B" w:rsidRPr="002B199B" w:rsidRDefault="002B199B" w:rsidP="002B199B">
      <w:pPr>
        <w:spacing w:line="240" w:lineRule="auto"/>
        <w:rPr>
          <w:rFonts w:eastAsia="Times New Roman" w:cs="Arial"/>
          <w:sz w:val="24"/>
          <w:szCs w:val="24"/>
          <w:lang w:eastAsia="bg-BG"/>
        </w:rPr>
      </w:pPr>
    </w:p>
    <w:p w14:paraId="22CE0805"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u w:val="single"/>
          <w:lang w:eastAsia="bg-BG"/>
        </w:rPr>
        <w:t>Варфарин</w:t>
      </w:r>
    </w:p>
    <w:p w14:paraId="172AE819" w14:textId="2CA99729" w:rsidR="0091385D"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Приемът на Трузор не променя фармакокинетиката на </w:t>
      </w:r>
      <w:r w:rsidRPr="002B199B">
        <w:rPr>
          <w:rFonts w:eastAsia="Times New Roman" w:cs="Arial"/>
          <w:color w:val="000000"/>
          <w:lang w:val="en-US"/>
        </w:rPr>
        <w:t>R</w:t>
      </w:r>
      <w:r w:rsidRPr="002B199B">
        <w:rPr>
          <w:rFonts w:eastAsia="Times New Roman" w:cs="Arial"/>
          <w:color w:val="000000"/>
          <w:lang w:eastAsia="bg-BG"/>
        </w:rPr>
        <w:t xml:space="preserve">-варфарин или </w:t>
      </w:r>
      <w:r w:rsidRPr="002B199B">
        <w:rPr>
          <w:rFonts w:eastAsia="Times New Roman" w:cs="Arial"/>
          <w:color w:val="000000"/>
          <w:lang w:val="en-US"/>
        </w:rPr>
        <w:t>S-</w:t>
      </w:r>
      <w:r w:rsidRPr="002B199B">
        <w:rPr>
          <w:rFonts w:eastAsia="Times New Roman" w:cs="Arial"/>
          <w:color w:val="000000"/>
          <w:lang w:eastAsia="bg-BG"/>
        </w:rPr>
        <w:t>варфарин, както и</w:t>
      </w:r>
      <w:r>
        <w:rPr>
          <w:rFonts w:eastAsia="Times New Roman" w:cs="Arial"/>
          <w:sz w:val="24"/>
          <w:szCs w:val="24"/>
          <w:lang w:val="en-US" w:eastAsia="bg-BG"/>
        </w:rPr>
        <w:t xml:space="preserve"> </w:t>
      </w:r>
      <w:r w:rsidRPr="002B199B">
        <w:rPr>
          <w:rFonts w:eastAsia="Times New Roman" w:cs="Arial"/>
          <w:color w:val="000000"/>
          <w:lang w:eastAsia="bg-BG"/>
        </w:rPr>
        <w:t>техния ефект върху протромбиновото време.</w:t>
      </w:r>
    </w:p>
    <w:p w14:paraId="5B2761C5" w14:textId="0118BC84" w:rsidR="0091385D" w:rsidRDefault="0091385D" w:rsidP="0091385D"/>
    <w:p w14:paraId="7553C623"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i/>
          <w:iCs/>
          <w:color w:val="000000"/>
          <w:u w:val="single"/>
          <w:lang w:eastAsia="bg-BG"/>
        </w:rPr>
        <w:t>Дигоксин</w:t>
      </w:r>
    </w:p>
    <w:p w14:paraId="2D04C568" w14:textId="29E52534" w:rsidR="002B199B" w:rsidRPr="002B199B" w:rsidRDefault="002B199B" w:rsidP="002B199B">
      <w:pPr>
        <w:rPr>
          <w:rFonts w:cs="Arial"/>
        </w:rPr>
      </w:pPr>
      <w:r w:rsidRPr="002B199B">
        <w:rPr>
          <w:rFonts w:eastAsia="Times New Roman" w:cs="Arial"/>
          <w:color w:val="000000"/>
          <w:lang w:eastAsia="bg-BG"/>
        </w:rPr>
        <w:t>След прием на Трузор не се наблюдава ефект върху фармакокинетиката на дигоксин.</w:t>
      </w:r>
    </w:p>
    <w:p w14:paraId="057638B3" w14:textId="77777777" w:rsidR="002B199B" w:rsidRPr="0091385D" w:rsidRDefault="002B199B"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2CF4F3EF" w14:textId="77777777" w:rsidR="002B199B" w:rsidRPr="002B199B" w:rsidRDefault="002B199B" w:rsidP="002B199B">
      <w:pPr>
        <w:pStyle w:val="Heading3"/>
        <w:rPr>
          <w:rFonts w:eastAsia="Times New Roman"/>
          <w:u w:val="single"/>
          <w:lang w:eastAsia="bg-BG"/>
        </w:rPr>
      </w:pPr>
      <w:r w:rsidRPr="002B199B">
        <w:rPr>
          <w:rFonts w:eastAsia="Times New Roman"/>
          <w:u w:val="single"/>
          <w:lang w:eastAsia="bg-BG"/>
        </w:rPr>
        <w:t>Бременност</w:t>
      </w:r>
    </w:p>
    <w:p w14:paraId="4C3EEE37"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Няма клинични данни за жени, които са забременели докато са били лекувани със солифенацин. Проучванията при животни не демонстрират увреждащи ефекти спрямо фертилитета, ембрионалното/феталното развитие или раждането (виж точка 5.3). Потенциалния риск за човека не е известен. Трузор не се препоръчва по време на бременност и при жени с детероден потенциал, които не използват контрацепция.</w:t>
      </w:r>
    </w:p>
    <w:p w14:paraId="7C4C4DA9" w14:textId="77777777" w:rsidR="002B199B" w:rsidRPr="002B199B" w:rsidRDefault="002B199B" w:rsidP="002B199B">
      <w:pPr>
        <w:spacing w:line="240" w:lineRule="auto"/>
        <w:rPr>
          <w:rFonts w:eastAsia="Times New Roman" w:cs="Arial"/>
          <w:i/>
          <w:iCs/>
          <w:color w:val="000000"/>
          <w:u w:val="single"/>
          <w:lang w:eastAsia="bg-BG"/>
        </w:rPr>
      </w:pPr>
    </w:p>
    <w:p w14:paraId="25459E61" w14:textId="0F9C5A99" w:rsidR="002B199B" w:rsidRPr="002B199B" w:rsidRDefault="002B199B" w:rsidP="002B199B">
      <w:pPr>
        <w:pStyle w:val="Heading3"/>
        <w:rPr>
          <w:rFonts w:eastAsia="Times New Roman"/>
          <w:u w:val="single"/>
          <w:lang w:eastAsia="bg-BG"/>
        </w:rPr>
      </w:pPr>
      <w:r w:rsidRPr="002B199B">
        <w:rPr>
          <w:rFonts w:eastAsia="Times New Roman"/>
          <w:u w:val="single"/>
          <w:lang w:eastAsia="bg-BG"/>
        </w:rPr>
        <w:lastRenderedPageBreak/>
        <w:t>Кърмене</w:t>
      </w:r>
    </w:p>
    <w:p w14:paraId="776662C5" w14:textId="7AD9C660" w:rsidR="0091385D" w:rsidRPr="002B199B" w:rsidRDefault="002B199B" w:rsidP="002B199B">
      <w:pPr>
        <w:rPr>
          <w:rFonts w:cs="Arial"/>
        </w:rPr>
      </w:pPr>
      <w:r w:rsidRPr="002B199B">
        <w:rPr>
          <w:rFonts w:eastAsia="Times New Roman" w:cs="Arial"/>
          <w:color w:val="000000"/>
          <w:lang w:eastAsia="bg-BG"/>
        </w:rPr>
        <w:t>Няма данни за отделяне на солифенацин в кърмата. При мишки солифенацин и/или неговите метаболити са били екскретирани в млякото и са предизвикали дозозависимо изоставане в растежа при новородени мишки (виж точка 5.3). Затова употребата на Трузор не трябва да се използва по време на кърмене.</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1D566204"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Трузор има слабо до умерено въздействие върху способността за шофиране и работа с машини.</w:t>
      </w:r>
    </w:p>
    <w:p w14:paraId="56E27B35" w14:textId="77777777" w:rsidR="002B199B" w:rsidRPr="002B199B" w:rsidRDefault="002B199B" w:rsidP="002B199B">
      <w:pPr>
        <w:rPr>
          <w:rFonts w:eastAsia="Times New Roman" w:cs="Arial"/>
          <w:color w:val="000000"/>
          <w:lang w:eastAsia="bg-BG"/>
        </w:rPr>
      </w:pPr>
    </w:p>
    <w:p w14:paraId="2B4135A6" w14:textId="59D837D3" w:rsidR="0091385D" w:rsidRPr="002B199B" w:rsidRDefault="002B199B" w:rsidP="002B199B">
      <w:pPr>
        <w:rPr>
          <w:rFonts w:cs="Arial"/>
        </w:rPr>
      </w:pPr>
      <w:r w:rsidRPr="002B199B">
        <w:rPr>
          <w:rFonts w:eastAsia="Times New Roman" w:cs="Arial"/>
          <w:color w:val="000000"/>
          <w:lang w:eastAsia="bg-BG"/>
        </w:rPr>
        <w:t>Тъй като солифенацин подобно на другите антихолинергични средства може да предизвика замъгляване на зрението и по-рядко сънливост и умора (вж. точка 4.8 Нежелани реакции), ефектите върху способността за шофиране и работа с машини могат да бъдат отрицателни.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A0DF48C"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u w:val="single"/>
          <w:lang w:eastAsia="bg-BG"/>
        </w:rPr>
        <w:t>Обобщение на профила на безопасност</w:t>
      </w:r>
    </w:p>
    <w:p w14:paraId="046B8A63" w14:textId="77777777" w:rsidR="002B199B" w:rsidRPr="002B199B" w:rsidRDefault="002B199B" w:rsidP="002B199B">
      <w:pPr>
        <w:spacing w:line="240" w:lineRule="auto"/>
        <w:rPr>
          <w:rFonts w:eastAsia="Times New Roman" w:cs="Arial"/>
          <w:sz w:val="24"/>
          <w:szCs w:val="24"/>
          <w:lang w:eastAsia="bg-BG"/>
        </w:rPr>
      </w:pPr>
      <w:r w:rsidRPr="002B199B">
        <w:rPr>
          <w:rFonts w:eastAsia="Times New Roman" w:cs="Arial"/>
          <w:color w:val="000000"/>
          <w:lang w:eastAsia="bg-BG"/>
        </w:rPr>
        <w:t xml:space="preserve">Поради фармакологичния ефект на солифенацин, Трузор може да предизвика антихолинергични нежелани лекарствени реакции, които (като цяло) са леки или умерени по тежест. Честотата на антихолинергичните нежелани реакции е свързана с дозата. Най-често съобщаваната нежелана реакция при прилагане на солифенацин е сухота в устата. Тя се появява при 11% от пациентите, лекувани с дневна доза 5 </w:t>
      </w:r>
      <w:r w:rsidRPr="002B199B">
        <w:rPr>
          <w:rFonts w:eastAsia="Times New Roman" w:cs="Arial"/>
          <w:color w:val="000000"/>
          <w:lang w:val="en-US"/>
        </w:rPr>
        <w:t xml:space="preserve">mg, </w:t>
      </w:r>
      <w:r w:rsidRPr="002B199B">
        <w:rPr>
          <w:rFonts w:eastAsia="Times New Roman" w:cs="Arial"/>
          <w:color w:val="000000"/>
          <w:lang w:eastAsia="bg-BG"/>
        </w:rPr>
        <w:t xml:space="preserve">при 22% от лекуваните с дневна доза 10 </w:t>
      </w:r>
      <w:r w:rsidRPr="002B199B">
        <w:rPr>
          <w:rFonts w:eastAsia="Times New Roman" w:cs="Arial"/>
          <w:color w:val="000000"/>
          <w:lang w:val="en-US"/>
        </w:rPr>
        <w:t xml:space="preserve">mg </w:t>
      </w:r>
      <w:r w:rsidRPr="002B199B">
        <w:rPr>
          <w:rFonts w:eastAsia="Times New Roman" w:cs="Arial"/>
          <w:color w:val="000000"/>
          <w:lang w:eastAsia="bg-BG"/>
        </w:rPr>
        <w:t>и при 4% от пациентите, лекувани с плацебо. Като цяло сухотата в устата е лека и само в редки случаи е наложила прекратяване на лечението. Като цяло лекарственият продукт се приема много добре (приблизително 99%), а приблизително 90% от пациентите, лекувани със солифенацин, провеждат пълния период на 12-седмично лечение по време на проучването.</w:t>
      </w:r>
    </w:p>
    <w:p w14:paraId="3ABBC8D7" w14:textId="77777777" w:rsidR="002B199B" w:rsidRPr="002B199B" w:rsidRDefault="002B199B" w:rsidP="002B199B">
      <w:pPr>
        <w:rPr>
          <w:rFonts w:eastAsia="Times New Roman" w:cs="Arial"/>
          <w:color w:val="000000"/>
          <w:u w:val="single"/>
          <w:lang w:eastAsia="bg-BG"/>
        </w:rPr>
      </w:pPr>
    </w:p>
    <w:p w14:paraId="570508C4" w14:textId="5BCBF67C" w:rsidR="0091385D" w:rsidRPr="002B199B" w:rsidRDefault="002B199B" w:rsidP="002B199B">
      <w:pPr>
        <w:rPr>
          <w:rFonts w:cs="Arial"/>
        </w:rPr>
      </w:pPr>
      <w:r w:rsidRPr="002B199B">
        <w:rPr>
          <w:rFonts w:eastAsia="Times New Roman" w:cs="Arial"/>
          <w:color w:val="000000"/>
          <w:u w:val="single"/>
          <w:lang w:eastAsia="bg-BG"/>
        </w:rPr>
        <w:t>Схематично обобщение на нежеланите лекарствени реакции</w:t>
      </w:r>
    </w:p>
    <w:tbl>
      <w:tblPr>
        <w:tblStyle w:val="TableGrid"/>
        <w:tblW w:w="0" w:type="auto"/>
        <w:tblLook w:val="04A0" w:firstRow="1" w:lastRow="0" w:firstColumn="1" w:lastColumn="0" w:noHBand="0" w:noVBand="1"/>
      </w:tblPr>
      <w:tblGrid>
        <w:gridCol w:w="1719"/>
        <w:gridCol w:w="909"/>
        <w:gridCol w:w="920"/>
        <w:gridCol w:w="1846"/>
        <w:gridCol w:w="1309"/>
        <w:gridCol w:w="1470"/>
        <w:gridCol w:w="1403"/>
      </w:tblGrid>
      <w:tr w:rsidR="00D47F29" w14:paraId="65ADB797" w14:textId="77777777" w:rsidTr="00D47F29">
        <w:tc>
          <w:tcPr>
            <w:tcW w:w="1710" w:type="dxa"/>
          </w:tcPr>
          <w:p w14:paraId="50457369" w14:textId="54CA5A85" w:rsidR="00D47F29" w:rsidRDefault="00D47F29" w:rsidP="0091385D">
            <w:r>
              <w:rPr>
                <w:b/>
                <w:bCs/>
              </w:rPr>
              <w:t>Честота</w:t>
            </w:r>
          </w:p>
        </w:tc>
        <w:tc>
          <w:tcPr>
            <w:tcW w:w="910" w:type="dxa"/>
            <w:vMerge w:val="restart"/>
          </w:tcPr>
          <w:p w14:paraId="10E1B0A4" w14:textId="77777777" w:rsidR="00D47F29" w:rsidRDefault="00D47F29" w:rsidP="00D47F29">
            <w:r>
              <w:rPr>
                <w:b/>
                <w:bCs/>
              </w:rPr>
              <w:t>Много чести</w:t>
            </w:r>
          </w:p>
          <w:p w14:paraId="13696AA9" w14:textId="3D422C1D" w:rsidR="00D47F29" w:rsidRDefault="00D47F29" w:rsidP="00D47F29">
            <w:r>
              <w:rPr>
                <w:b/>
                <w:bCs/>
              </w:rPr>
              <w:t>≥1/10</w:t>
            </w:r>
          </w:p>
        </w:tc>
        <w:tc>
          <w:tcPr>
            <w:tcW w:w="921" w:type="dxa"/>
            <w:vMerge w:val="restart"/>
          </w:tcPr>
          <w:p w14:paraId="3AE2E91A" w14:textId="77777777" w:rsidR="00D47F29" w:rsidRDefault="00D47F29" w:rsidP="00D47F29">
            <w:r>
              <w:rPr>
                <w:b/>
                <w:bCs/>
              </w:rPr>
              <w:t>Чести</w:t>
            </w:r>
          </w:p>
          <w:p w14:paraId="4E2D9994" w14:textId="2E1566AF" w:rsidR="00D47F29" w:rsidRDefault="00D47F29" w:rsidP="00D47F29">
            <w:r>
              <w:rPr>
                <w:b/>
                <w:bCs/>
              </w:rPr>
              <w:t>≥1/100 до &lt;1/10</w:t>
            </w:r>
          </w:p>
        </w:tc>
        <w:tc>
          <w:tcPr>
            <w:tcW w:w="1848" w:type="dxa"/>
            <w:vMerge w:val="restart"/>
          </w:tcPr>
          <w:p w14:paraId="015CBB4A" w14:textId="77777777" w:rsidR="00D47F29" w:rsidRDefault="00D47F29" w:rsidP="00D47F29">
            <w:r>
              <w:rPr>
                <w:b/>
                <w:bCs/>
              </w:rPr>
              <w:t>Нечести</w:t>
            </w:r>
          </w:p>
          <w:p w14:paraId="5D89C5F2" w14:textId="77777777" w:rsidR="00D47F29" w:rsidRDefault="00D47F29" w:rsidP="00D47F29">
            <w:r>
              <w:rPr>
                <w:b/>
                <w:bCs/>
              </w:rPr>
              <w:t>≥</w:t>
            </w:r>
          </w:p>
          <w:p w14:paraId="4669A7D8" w14:textId="097BBA5F" w:rsidR="00D47F29" w:rsidRDefault="00D47F29" w:rsidP="00D47F29">
            <w:r>
              <w:rPr>
                <w:b/>
                <w:bCs/>
              </w:rPr>
              <w:t>1/1 000 до &lt;1/100</w:t>
            </w:r>
          </w:p>
        </w:tc>
        <w:tc>
          <w:tcPr>
            <w:tcW w:w="1310" w:type="dxa"/>
            <w:vMerge w:val="restart"/>
          </w:tcPr>
          <w:p w14:paraId="1788C5D2" w14:textId="77777777" w:rsidR="00D47F29" w:rsidRDefault="00D47F29" w:rsidP="00D47F29">
            <w:r>
              <w:rPr>
                <w:b/>
                <w:bCs/>
              </w:rPr>
              <w:t>Редки</w:t>
            </w:r>
          </w:p>
          <w:p w14:paraId="5E58E494" w14:textId="7519C634" w:rsidR="00D47F29" w:rsidRDefault="00D47F29" w:rsidP="00D47F29">
            <w:r>
              <w:rPr>
                <w:b/>
                <w:bCs/>
              </w:rPr>
              <w:t>≥1/10 000 до &lt;1/1 000</w:t>
            </w:r>
          </w:p>
        </w:tc>
        <w:tc>
          <w:tcPr>
            <w:tcW w:w="1472" w:type="dxa"/>
            <w:vMerge w:val="restart"/>
          </w:tcPr>
          <w:p w14:paraId="1345FD2D" w14:textId="6CC3391F" w:rsidR="00D47F29" w:rsidRDefault="00D47F29" w:rsidP="00D47F29">
            <w:r>
              <w:rPr>
                <w:b/>
                <w:bCs/>
              </w:rPr>
              <w:t>Много редки &lt;1/10 000</w:t>
            </w:r>
          </w:p>
        </w:tc>
        <w:tc>
          <w:tcPr>
            <w:tcW w:w="1405" w:type="dxa"/>
            <w:vMerge w:val="restart"/>
          </w:tcPr>
          <w:p w14:paraId="7F0E610A" w14:textId="05E57AEF" w:rsidR="00D47F29" w:rsidRDefault="00D47F29" w:rsidP="00D47F29">
            <w:r>
              <w:rPr>
                <w:b/>
                <w:bCs/>
              </w:rPr>
              <w:t>с неизвестна честота (от наличните данни не може да бъде направена оценка)</w:t>
            </w:r>
          </w:p>
        </w:tc>
      </w:tr>
      <w:tr w:rsidR="00D47F29" w14:paraId="29B1EE16" w14:textId="77777777" w:rsidTr="00D47F29">
        <w:tc>
          <w:tcPr>
            <w:tcW w:w="1710" w:type="dxa"/>
          </w:tcPr>
          <w:p w14:paraId="5468F88A" w14:textId="5415768C" w:rsidR="00D47F29" w:rsidRDefault="00D47F29" w:rsidP="00D47F29">
            <w:r>
              <w:rPr>
                <w:b/>
                <w:bCs/>
              </w:rPr>
              <w:t xml:space="preserve">Система- органни класове по </w:t>
            </w:r>
            <w:proofErr w:type="spellStart"/>
            <w:r>
              <w:rPr>
                <w:b/>
                <w:bCs/>
                <w:lang w:val="en-US"/>
              </w:rPr>
              <w:t>MedDRA</w:t>
            </w:r>
            <w:proofErr w:type="spellEnd"/>
          </w:p>
        </w:tc>
        <w:tc>
          <w:tcPr>
            <w:tcW w:w="910" w:type="dxa"/>
            <w:vMerge/>
          </w:tcPr>
          <w:p w14:paraId="5A13BA6C" w14:textId="5A5BDAB1" w:rsidR="00D47F29" w:rsidRDefault="00D47F29" w:rsidP="00D47F29"/>
        </w:tc>
        <w:tc>
          <w:tcPr>
            <w:tcW w:w="921" w:type="dxa"/>
            <w:vMerge/>
          </w:tcPr>
          <w:p w14:paraId="41E3977A" w14:textId="440625BF" w:rsidR="00D47F29" w:rsidRDefault="00D47F29" w:rsidP="00D47F29"/>
        </w:tc>
        <w:tc>
          <w:tcPr>
            <w:tcW w:w="1848" w:type="dxa"/>
            <w:vMerge/>
          </w:tcPr>
          <w:p w14:paraId="5336FFC8" w14:textId="07A5DEB0" w:rsidR="00D47F29" w:rsidRDefault="00D47F29" w:rsidP="00D47F29"/>
        </w:tc>
        <w:tc>
          <w:tcPr>
            <w:tcW w:w="1310" w:type="dxa"/>
            <w:vMerge/>
          </w:tcPr>
          <w:p w14:paraId="7FFF7B09" w14:textId="5989D3A2" w:rsidR="00D47F29" w:rsidRDefault="00D47F29" w:rsidP="00D47F29"/>
        </w:tc>
        <w:tc>
          <w:tcPr>
            <w:tcW w:w="1472" w:type="dxa"/>
            <w:vMerge/>
          </w:tcPr>
          <w:p w14:paraId="0720113E" w14:textId="24A5192A" w:rsidR="00D47F29" w:rsidRDefault="00D47F29" w:rsidP="00D47F29"/>
        </w:tc>
        <w:tc>
          <w:tcPr>
            <w:tcW w:w="1405" w:type="dxa"/>
            <w:vMerge/>
          </w:tcPr>
          <w:p w14:paraId="74422C7F" w14:textId="0AFC235E" w:rsidR="00D47F29" w:rsidRDefault="00D47F29" w:rsidP="00D47F29"/>
        </w:tc>
      </w:tr>
      <w:tr w:rsidR="00D47F29" w14:paraId="7EC815D2" w14:textId="77777777" w:rsidTr="00D47F29">
        <w:tc>
          <w:tcPr>
            <w:tcW w:w="1710" w:type="dxa"/>
          </w:tcPr>
          <w:p w14:paraId="2A0795D7" w14:textId="16EA3B9E" w:rsidR="00D47F29" w:rsidRDefault="00D47F29" w:rsidP="00D47F29">
            <w:r>
              <w:rPr>
                <w:b/>
                <w:bCs/>
              </w:rPr>
              <w:t>Инфекции и инфестации</w:t>
            </w:r>
          </w:p>
        </w:tc>
        <w:tc>
          <w:tcPr>
            <w:tcW w:w="910" w:type="dxa"/>
          </w:tcPr>
          <w:p w14:paraId="000C1667" w14:textId="77777777" w:rsidR="00D47F29" w:rsidRDefault="00D47F29" w:rsidP="00D47F29"/>
        </w:tc>
        <w:tc>
          <w:tcPr>
            <w:tcW w:w="921" w:type="dxa"/>
          </w:tcPr>
          <w:p w14:paraId="6AC410DB" w14:textId="77777777" w:rsidR="00D47F29" w:rsidRDefault="00D47F29" w:rsidP="00D47F29"/>
        </w:tc>
        <w:tc>
          <w:tcPr>
            <w:tcW w:w="1848" w:type="dxa"/>
          </w:tcPr>
          <w:p w14:paraId="42828096" w14:textId="77777777" w:rsidR="00D47F29" w:rsidRDefault="00D47F29" w:rsidP="00D47F29">
            <w:r>
              <w:t xml:space="preserve">Инфекция на пикочните пътища </w:t>
            </w:r>
          </w:p>
          <w:p w14:paraId="7EC79E89" w14:textId="2C292BCF" w:rsidR="00D47F29" w:rsidRDefault="00D47F29" w:rsidP="00D47F29">
            <w:r>
              <w:t>Цистит</w:t>
            </w:r>
          </w:p>
        </w:tc>
        <w:tc>
          <w:tcPr>
            <w:tcW w:w="1310" w:type="dxa"/>
          </w:tcPr>
          <w:p w14:paraId="4B19FAB6" w14:textId="77777777" w:rsidR="00D47F29" w:rsidRDefault="00D47F29" w:rsidP="00D47F29"/>
        </w:tc>
        <w:tc>
          <w:tcPr>
            <w:tcW w:w="1472" w:type="dxa"/>
          </w:tcPr>
          <w:p w14:paraId="3EB3E538" w14:textId="77777777" w:rsidR="00D47F29" w:rsidRDefault="00D47F29" w:rsidP="00D47F29"/>
        </w:tc>
        <w:tc>
          <w:tcPr>
            <w:tcW w:w="1405" w:type="dxa"/>
          </w:tcPr>
          <w:p w14:paraId="166D6BAA" w14:textId="77777777" w:rsidR="00D47F29" w:rsidRDefault="00D47F29" w:rsidP="00D47F29"/>
        </w:tc>
      </w:tr>
      <w:tr w:rsidR="00D47F29" w14:paraId="122F6A95" w14:textId="77777777" w:rsidTr="00D47F29">
        <w:trPr>
          <w:trHeight w:val="820"/>
        </w:trPr>
        <w:tc>
          <w:tcPr>
            <w:tcW w:w="1710" w:type="dxa"/>
          </w:tcPr>
          <w:p w14:paraId="2B40B81F" w14:textId="77777777" w:rsidR="00D47F29" w:rsidRDefault="00D47F29" w:rsidP="00D47F29">
            <w:r>
              <w:rPr>
                <w:b/>
                <w:bCs/>
              </w:rPr>
              <w:lastRenderedPageBreak/>
              <w:t>Нарушения</w:t>
            </w:r>
          </w:p>
          <w:p w14:paraId="5CFA1AEA" w14:textId="6CE43468" w:rsidR="00D47F29" w:rsidRDefault="00D47F29" w:rsidP="00D47F29">
            <w:r>
              <w:rPr>
                <w:b/>
                <w:bCs/>
              </w:rPr>
              <w:t>на имунната система</w:t>
            </w:r>
          </w:p>
        </w:tc>
        <w:tc>
          <w:tcPr>
            <w:tcW w:w="910" w:type="dxa"/>
          </w:tcPr>
          <w:p w14:paraId="01E76624" w14:textId="77777777" w:rsidR="00D47F29" w:rsidRDefault="00D47F29" w:rsidP="00D47F29"/>
        </w:tc>
        <w:tc>
          <w:tcPr>
            <w:tcW w:w="921" w:type="dxa"/>
          </w:tcPr>
          <w:p w14:paraId="25463278" w14:textId="77777777" w:rsidR="00D47F29" w:rsidRDefault="00D47F29" w:rsidP="00D47F29"/>
        </w:tc>
        <w:tc>
          <w:tcPr>
            <w:tcW w:w="1848" w:type="dxa"/>
          </w:tcPr>
          <w:p w14:paraId="110AF2B3" w14:textId="77777777" w:rsidR="00D47F29" w:rsidRDefault="00D47F29" w:rsidP="00D47F29"/>
        </w:tc>
        <w:tc>
          <w:tcPr>
            <w:tcW w:w="1310" w:type="dxa"/>
          </w:tcPr>
          <w:p w14:paraId="6C0D83FB" w14:textId="77777777" w:rsidR="00D47F29" w:rsidRDefault="00D47F29" w:rsidP="00D47F29"/>
        </w:tc>
        <w:tc>
          <w:tcPr>
            <w:tcW w:w="1472" w:type="dxa"/>
            <w:textDirection w:val="btLr"/>
          </w:tcPr>
          <w:p w14:paraId="5D8D34E9" w14:textId="77777777" w:rsidR="00D47F29" w:rsidRDefault="00D47F29" w:rsidP="00D47F29"/>
        </w:tc>
        <w:tc>
          <w:tcPr>
            <w:tcW w:w="1405" w:type="dxa"/>
          </w:tcPr>
          <w:p w14:paraId="565EEA45" w14:textId="6A431FD5" w:rsidR="00D47F29" w:rsidRPr="00D47F29" w:rsidRDefault="00D47F29" w:rsidP="00D47F29">
            <w:r>
              <w:t>Анафилак-</w:t>
            </w:r>
          </w:p>
          <w:p w14:paraId="0D33AAE2" w14:textId="67F252C9" w:rsidR="00D47F29" w:rsidRDefault="00D47F29" w:rsidP="00D47F29">
            <w:r>
              <w:t>тични реакции*</w:t>
            </w:r>
          </w:p>
        </w:tc>
      </w:tr>
      <w:tr w:rsidR="00D47F29" w14:paraId="2A21A700" w14:textId="77777777" w:rsidTr="00D47F29">
        <w:tc>
          <w:tcPr>
            <w:tcW w:w="1710" w:type="dxa"/>
            <w:vAlign w:val="bottom"/>
          </w:tcPr>
          <w:p w14:paraId="710DE8A1" w14:textId="0762891D" w:rsidR="00D47F29" w:rsidRDefault="00D47F29" w:rsidP="00D47F29">
            <w:r>
              <w:rPr>
                <w:b/>
                <w:bCs/>
              </w:rPr>
              <w:t>Нарушения на метаболизма и храненето</w:t>
            </w:r>
          </w:p>
        </w:tc>
        <w:tc>
          <w:tcPr>
            <w:tcW w:w="910" w:type="dxa"/>
          </w:tcPr>
          <w:p w14:paraId="3DA2513D" w14:textId="77777777" w:rsidR="00D47F29" w:rsidRDefault="00D47F29" w:rsidP="00D47F29"/>
        </w:tc>
        <w:tc>
          <w:tcPr>
            <w:tcW w:w="921" w:type="dxa"/>
          </w:tcPr>
          <w:p w14:paraId="1713689B" w14:textId="77777777" w:rsidR="00D47F29" w:rsidRDefault="00D47F29" w:rsidP="00D47F29"/>
        </w:tc>
        <w:tc>
          <w:tcPr>
            <w:tcW w:w="1848" w:type="dxa"/>
          </w:tcPr>
          <w:p w14:paraId="5EA0B4CF" w14:textId="77777777" w:rsidR="00D47F29" w:rsidRDefault="00D47F29" w:rsidP="00D47F29"/>
        </w:tc>
        <w:tc>
          <w:tcPr>
            <w:tcW w:w="1310" w:type="dxa"/>
          </w:tcPr>
          <w:p w14:paraId="5645535F" w14:textId="77777777" w:rsidR="00D47F29" w:rsidRDefault="00D47F29" w:rsidP="00D47F29"/>
        </w:tc>
        <w:tc>
          <w:tcPr>
            <w:tcW w:w="1472" w:type="dxa"/>
          </w:tcPr>
          <w:p w14:paraId="3C9C4C1D" w14:textId="77777777" w:rsidR="00D47F29" w:rsidRDefault="00D47F29" w:rsidP="00D47F29"/>
        </w:tc>
        <w:tc>
          <w:tcPr>
            <w:tcW w:w="1405" w:type="dxa"/>
            <w:vAlign w:val="bottom"/>
          </w:tcPr>
          <w:p w14:paraId="5320BDE4" w14:textId="6A32C77E" w:rsidR="00D47F29" w:rsidRDefault="00D47F29" w:rsidP="00D47F29">
            <w:r>
              <w:t>Намален апетит*, Хиперка- лиемия*,</w:t>
            </w:r>
          </w:p>
        </w:tc>
      </w:tr>
      <w:tr w:rsidR="00D47F29" w14:paraId="7B81015D" w14:textId="77777777" w:rsidTr="00D47F29">
        <w:tc>
          <w:tcPr>
            <w:tcW w:w="1710" w:type="dxa"/>
          </w:tcPr>
          <w:p w14:paraId="6810764D" w14:textId="391C2230" w:rsidR="00D47F29" w:rsidRDefault="00D47F29" w:rsidP="00D47F29">
            <w:r>
              <w:rPr>
                <w:b/>
                <w:bCs/>
              </w:rPr>
              <w:t>Психични нарушения</w:t>
            </w:r>
          </w:p>
        </w:tc>
        <w:tc>
          <w:tcPr>
            <w:tcW w:w="910" w:type="dxa"/>
          </w:tcPr>
          <w:p w14:paraId="5A9756DD" w14:textId="77777777" w:rsidR="00D47F29" w:rsidRDefault="00D47F29" w:rsidP="00D47F29"/>
        </w:tc>
        <w:tc>
          <w:tcPr>
            <w:tcW w:w="921" w:type="dxa"/>
          </w:tcPr>
          <w:p w14:paraId="7AEC55E4" w14:textId="77777777" w:rsidR="00D47F29" w:rsidRDefault="00D47F29" w:rsidP="00D47F29"/>
        </w:tc>
        <w:tc>
          <w:tcPr>
            <w:tcW w:w="1848" w:type="dxa"/>
          </w:tcPr>
          <w:p w14:paraId="57A80476" w14:textId="77777777" w:rsidR="00D47F29" w:rsidRDefault="00D47F29" w:rsidP="00D47F29"/>
        </w:tc>
        <w:tc>
          <w:tcPr>
            <w:tcW w:w="1310" w:type="dxa"/>
          </w:tcPr>
          <w:p w14:paraId="63C00DCA" w14:textId="77777777" w:rsidR="00D47F29" w:rsidRDefault="00D47F29" w:rsidP="00D47F29"/>
        </w:tc>
        <w:tc>
          <w:tcPr>
            <w:tcW w:w="1472" w:type="dxa"/>
            <w:vAlign w:val="bottom"/>
          </w:tcPr>
          <w:p w14:paraId="0758571E" w14:textId="77777777" w:rsidR="00D47F29" w:rsidRDefault="00D47F29" w:rsidP="00D47F29">
            <w:r>
              <w:t>Халюцина</w:t>
            </w:r>
            <w:r>
              <w:softHyphen/>
              <w:t>ции*</w:t>
            </w:r>
          </w:p>
          <w:p w14:paraId="59DDDFF0" w14:textId="6312DEE8" w:rsidR="00D47F29" w:rsidRDefault="00D47F29" w:rsidP="00D47F29">
            <w:r>
              <w:t>Състояние на обърканост*</w:t>
            </w:r>
          </w:p>
        </w:tc>
        <w:tc>
          <w:tcPr>
            <w:tcW w:w="1405" w:type="dxa"/>
          </w:tcPr>
          <w:p w14:paraId="2FE4E70F" w14:textId="65FE4F48" w:rsidR="00D47F29" w:rsidRDefault="00D47F29" w:rsidP="00D47F29">
            <w:r>
              <w:t>Делир*</w:t>
            </w:r>
          </w:p>
        </w:tc>
      </w:tr>
      <w:tr w:rsidR="00D47F29" w14:paraId="2E74A501" w14:textId="77777777" w:rsidTr="00D47F29">
        <w:tc>
          <w:tcPr>
            <w:tcW w:w="1710" w:type="dxa"/>
          </w:tcPr>
          <w:p w14:paraId="1F1E419A" w14:textId="683477A9" w:rsidR="00D47F29" w:rsidRDefault="00D47F29" w:rsidP="00D47F29">
            <w:r>
              <w:rPr>
                <w:b/>
                <w:bCs/>
              </w:rPr>
              <w:t>Нарушения на нервната система</w:t>
            </w:r>
          </w:p>
        </w:tc>
        <w:tc>
          <w:tcPr>
            <w:tcW w:w="910" w:type="dxa"/>
          </w:tcPr>
          <w:p w14:paraId="66C76B50" w14:textId="77777777" w:rsidR="00D47F29" w:rsidRDefault="00D47F29" w:rsidP="00D47F29"/>
        </w:tc>
        <w:tc>
          <w:tcPr>
            <w:tcW w:w="921" w:type="dxa"/>
          </w:tcPr>
          <w:p w14:paraId="0B6CC903" w14:textId="77777777" w:rsidR="00D47F29" w:rsidRDefault="00D47F29" w:rsidP="00D47F29"/>
        </w:tc>
        <w:tc>
          <w:tcPr>
            <w:tcW w:w="1848" w:type="dxa"/>
          </w:tcPr>
          <w:p w14:paraId="3FDF8DEC" w14:textId="77777777" w:rsidR="00D47F29" w:rsidRDefault="00D47F29" w:rsidP="00D47F29">
            <w:r>
              <w:t>Сомнолентност</w:t>
            </w:r>
          </w:p>
          <w:p w14:paraId="67682F9C" w14:textId="7E54766A" w:rsidR="00D47F29" w:rsidRDefault="00D47F29" w:rsidP="00D47F29">
            <w:r>
              <w:t>Дисгеузия</w:t>
            </w:r>
          </w:p>
        </w:tc>
        <w:tc>
          <w:tcPr>
            <w:tcW w:w="1310" w:type="dxa"/>
            <w:vAlign w:val="bottom"/>
          </w:tcPr>
          <w:p w14:paraId="22F7645E" w14:textId="094FBEFE" w:rsidR="00D47F29" w:rsidRDefault="00D47F29" w:rsidP="00D47F29">
            <w:r>
              <w:t>Замая</w:t>
            </w:r>
            <w:r>
              <w:softHyphen/>
              <w:t>ност,* Главобо</w:t>
            </w:r>
            <w:r>
              <w:softHyphen/>
              <w:t>лие*</w:t>
            </w:r>
          </w:p>
        </w:tc>
        <w:tc>
          <w:tcPr>
            <w:tcW w:w="1472" w:type="dxa"/>
          </w:tcPr>
          <w:p w14:paraId="07D224D2" w14:textId="77777777" w:rsidR="00D47F29" w:rsidRDefault="00D47F29" w:rsidP="00D47F29"/>
        </w:tc>
        <w:tc>
          <w:tcPr>
            <w:tcW w:w="1405" w:type="dxa"/>
          </w:tcPr>
          <w:p w14:paraId="23DB4862" w14:textId="77777777" w:rsidR="00D47F29" w:rsidRDefault="00D47F29" w:rsidP="00D47F29"/>
        </w:tc>
      </w:tr>
      <w:tr w:rsidR="00D47F29" w14:paraId="2E349200" w14:textId="77777777" w:rsidTr="00D47F29">
        <w:tc>
          <w:tcPr>
            <w:tcW w:w="1710" w:type="dxa"/>
          </w:tcPr>
          <w:p w14:paraId="4BEAE331" w14:textId="535EBAC3" w:rsidR="00D47F29" w:rsidRDefault="00D47F29" w:rsidP="00D47F29">
            <w:r>
              <w:rPr>
                <w:b/>
                <w:bCs/>
              </w:rPr>
              <w:t>Нарушения на очите</w:t>
            </w:r>
          </w:p>
        </w:tc>
        <w:tc>
          <w:tcPr>
            <w:tcW w:w="910" w:type="dxa"/>
          </w:tcPr>
          <w:p w14:paraId="0D1AA1C0" w14:textId="77777777" w:rsidR="00D47F29" w:rsidRDefault="00D47F29" w:rsidP="00D47F29"/>
        </w:tc>
        <w:tc>
          <w:tcPr>
            <w:tcW w:w="921" w:type="dxa"/>
            <w:vAlign w:val="bottom"/>
          </w:tcPr>
          <w:p w14:paraId="51BBF926" w14:textId="742FB649" w:rsidR="00D47F29" w:rsidRDefault="00D47F29" w:rsidP="00D47F29">
            <w:r>
              <w:t>Замъг</w:t>
            </w:r>
            <w:r>
              <w:softHyphen/>
              <w:t>лено зрение</w:t>
            </w:r>
          </w:p>
        </w:tc>
        <w:tc>
          <w:tcPr>
            <w:tcW w:w="1848" w:type="dxa"/>
          </w:tcPr>
          <w:p w14:paraId="3351FBB3" w14:textId="6570FA7D" w:rsidR="00D47F29" w:rsidRDefault="00D47F29" w:rsidP="00D47F29">
            <w:r>
              <w:t>Сухота в очите</w:t>
            </w:r>
          </w:p>
        </w:tc>
        <w:tc>
          <w:tcPr>
            <w:tcW w:w="1310" w:type="dxa"/>
          </w:tcPr>
          <w:p w14:paraId="6B31D425" w14:textId="77777777" w:rsidR="00D47F29" w:rsidRDefault="00D47F29" w:rsidP="00D47F29"/>
        </w:tc>
        <w:tc>
          <w:tcPr>
            <w:tcW w:w="1472" w:type="dxa"/>
          </w:tcPr>
          <w:p w14:paraId="71A492A3" w14:textId="77777777" w:rsidR="00D47F29" w:rsidRDefault="00D47F29" w:rsidP="00D47F29"/>
        </w:tc>
        <w:tc>
          <w:tcPr>
            <w:tcW w:w="1405" w:type="dxa"/>
          </w:tcPr>
          <w:p w14:paraId="519A7984" w14:textId="3A4683DF" w:rsidR="00D47F29" w:rsidRDefault="00D47F29" w:rsidP="00D47F29">
            <w:r>
              <w:t>Глаукома*</w:t>
            </w:r>
          </w:p>
        </w:tc>
      </w:tr>
      <w:tr w:rsidR="00D47F29" w14:paraId="46B26F08" w14:textId="77777777" w:rsidTr="00D47F29">
        <w:tc>
          <w:tcPr>
            <w:tcW w:w="1710" w:type="dxa"/>
          </w:tcPr>
          <w:p w14:paraId="31D1C3B2" w14:textId="59C5FDAD" w:rsidR="00D47F29" w:rsidRDefault="00D47F29" w:rsidP="00D47F29">
            <w:r>
              <w:rPr>
                <w:b/>
                <w:bCs/>
              </w:rPr>
              <w:t>Сърдечни н</w:t>
            </w:r>
            <w:bookmarkStart w:id="2" w:name="_GoBack"/>
            <w:bookmarkEnd w:id="2"/>
            <w:r>
              <w:rPr>
                <w:b/>
                <w:bCs/>
              </w:rPr>
              <w:t>арушения</w:t>
            </w:r>
          </w:p>
        </w:tc>
        <w:tc>
          <w:tcPr>
            <w:tcW w:w="910" w:type="dxa"/>
          </w:tcPr>
          <w:p w14:paraId="574D5842" w14:textId="77777777" w:rsidR="00D47F29" w:rsidRDefault="00D47F29" w:rsidP="00D47F29"/>
        </w:tc>
        <w:tc>
          <w:tcPr>
            <w:tcW w:w="921" w:type="dxa"/>
          </w:tcPr>
          <w:p w14:paraId="4D3FB896" w14:textId="77777777" w:rsidR="00D47F29" w:rsidRDefault="00D47F29" w:rsidP="00D47F29"/>
        </w:tc>
        <w:tc>
          <w:tcPr>
            <w:tcW w:w="1848" w:type="dxa"/>
          </w:tcPr>
          <w:p w14:paraId="20993FD1" w14:textId="77777777" w:rsidR="00D47F29" w:rsidRDefault="00D47F29" w:rsidP="00D47F29"/>
        </w:tc>
        <w:tc>
          <w:tcPr>
            <w:tcW w:w="1310" w:type="dxa"/>
          </w:tcPr>
          <w:p w14:paraId="3231E8ED" w14:textId="77777777" w:rsidR="00D47F29" w:rsidRDefault="00D47F29" w:rsidP="00D47F29"/>
        </w:tc>
        <w:tc>
          <w:tcPr>
            <w:tcW w:w="1472" w:type="dxa"/>
          </w:tcPr>
          <w:p w14:paraId="3FC1A82F" w14:textId="77777777" w:rsidR="00D47F29" w:rsidRDefault="00D47F29" w:rsidP="00D47F29"/>
        </w:tc>
        <w:tc>
          <w:tcPr>
            <w:tcW w:w="1405" w:type="dxa"/>
            <w:vAlign w:val="bottom"/>
          </w:tcPr>
          <w:p w14:paraId="035DF5FC" w14:textId="1BA1A9FF" w:rsidR="00D47F29" w:rsidRDefault="00D47F29" w:rsidP="00D47F29">
            <w:proofErr w:type="spellStart"/>
            <w:r>
              <w:rPr>
                <w:i/>
                <w:iCs/>
                <w:lang w:val="en-US"/>
              </w:rPr>
              <w:t>Torsades</w:t>
            </w:r>
            <w:proofErr w:type="spellEnd"/>
            <w:r>
              <w:rPr>
                <w:i/>
                <w:iCs/>
                <w:lang w:val="en-US"/>
              </w:rPr>
              <w:t xml:space="preserve"> de Pointes* </w:t>
            </w:r>
            <w:r>
              <w:t xml:space="preserve">Удължава не на </w:t>
            </w:r>
            <w:r>
              <w:rPr>
                <w:lang w:val="en-US"/>
              </w:rPr>
              <w:t xml:space="preserve">QT </w:t>
            </w:r>
            <w:r>
              <w:t>интервала* Предсърд- но мъждене*, Палпита- ции*, Тахикар- дия*</w:t>
            </w:r>
          </w:p>
        </w:tc>
      </w:tr>
      <w:tr w:rsidR="00D47F29" w14:paraId="02179876" w14:textId="77777777" w:rsidTr="00D47F29">
        <w:tc>
          <w:tcPr>
            <w:tcW w:w="1710" w:type="dxa"/>
            <w:vAlign w:val="bottom"/>
          </w:tcPr>
          <w:p w14:paraId="465A5F5F" w14:textId="24034E71" w:rsidR="00D47F29" w:rsidRDefault="00D47F29" w:rsidP="00D47F29">
            <w:r>
              <w:rPr>
                <w:b/>
                <w:bCs/>
              </w:rPr>
              <w:t>Респираторни ,гръдни и мед настинали и нарушения</w:t>
            </w:r>
          </w:p>
        </w:tc>
        <w:tc>
          <w:tcPr>
            <w:tcW w:w="910" w:type="dxa"/>
          </w:tcPr>
          <w:p w14:paraId="140994B5" w14:textId="77777777" w:rsidR="00D47F29" w:rsidRDefault="00D47F29" w:rsidP="00D47F29"/>
        </w:tc>
        <w:tc>
          <w:tcPr>
            <w:tcW w:w="921" w:type="dxa"/>
          </w:tcPr>
          <w:p w14:paraId="4E9AAB63" w14:textId="77777777" w:rsidR="00D47F29" w:rsidRDefault="00D47F29" w:rsidP="00D47F29"/>
        </w:tc>
        <w:tc>
          <w:tcPr>
            <w:tcW w:w="1848" w:type="dxa"/>
          </w:tcPr>
          <w:p w14:paraId="1EADC152" w14:textId="2DE4FE5F" w:rsidR="00D47F29" w:rsidRDefault="00D47F29" w:rsidP="00D47F29">
            <w:r>
              <w:t>Сухота в носа</w:t>
            </w:r>
          </w:p>
        </w:tc>
        <w:tc>
          <w:tcPr>
            <w:tcW w:w="1310" w:type="dxa"/>
          </w:tcPr>
          <w:p w14:paraId="0ADE1DCA" w14:textId="77777777" w:rsidR="00D47F29" w:rsidRDefault="00D47F29" w:rsidP="00D47F29"/>
        </w:tc>
        <w:tc>
          <w:tcPr>
            <w:tcW w:w="1472" w:type="dxa"/>
          </w:tcPr>
          <w:p w14:paraId="06298E4D" w14:textId="77777777" w:rsidR="00D47F29" w:rsidRDefault="00D47F29" w:rsidP="00D47F29"/>
        </w:tc>
        <w:tc>
          <w:tcPr>
            <w:tcW w:w="1405" w:type="dxa"/>
          </w:tcPr>
          <w:p w14:paraId="0344D121" w14:textId="44FF5AA1" w:rsidR="00D47F29" w:rsidRDefault="00D47F29" w:rsidP="00D47F29">
            <w:r>
              <w:t>Дисфо- ния*</w:t>
            </w:r>
          </w:p>
        </w:tc>
      </w:tr>
      <w:tr w:rsidR="00D47F29" w14:paraId="0F1AC732" w14:textId="77777777" w:rsidTr="00D47F29">
        <w:tc>
          <w:tcPr>
            <w:tcW w:w="1710" w:type="dxa"/>
          </w:tcPr>
          <w:p w14:paraId="5E40A68F" w14:textId="13449D58" w:rsidR="00D47F29" w:rsidRDefault="00D47F29" w:rsidP="00D47F29">
            <w:r>
              <w:rPr>
                <w:b/>
                <w:bCs/>
              </w:rPr>
              <w:t>Стомашно- чревни нарушения</w:t>
            </w:r>
          </w:p>
        </w:tc>
        <w:tc>
          <w:tcPr>
            <w:tcW w:w="910" w:type="dxa"/>
          </w:tcPr>
          <w:p w14:paraId="7142958E" w14:textId="4A54FE0D" w:rsidR="00D47F29" w:rsidRDefault="00D47F29" w:rsidP="00D47F29">
            <w:r>
              <w:t>Сухота в устата</w:t>
            </w:r>
          </w:p>
        </w:tc>
        <w:tc>
          <w:tcPr>
            <w:tcW w:w="921" w:type="dxa"/>
          </w:tcPr>
          <w:p w14:paraId="39A324B2" w14:textId="77777777" w:rsidR="00D47F29" w:rsidRDefault="00D47F29" w:rsidP="00D47F29">
            <w:r>
              <w:t>Запек Гадене</w:t>
            </w:r>
          </w:p>
          <w:p w14:paraId="22706A70" w14:textId="42C390B0" w:rsidR="00D47F29" w:rsidRDefault="00D47F29" w:rsidP="00D47F29">
            <w:r>
              <w:t>Дис</w:t>
            </w:r>
            <w:r>
              <w:softHyphen/>
              <w:t>пепсия Болка в корем</w:t>
            </w:r>
            <w:r>
              <w:lastRenderedPageBreak/>
              <w:t>а</w:t>
            </w:r>
          </w:p>
        </w:tc>
        <w:tc>
          <w:tcPr>
            <w:tcW w:w="1848" w:type="dxa"/>
          </w:tcPr>
          <w:p w14:paraId="4DB01C49" w14:textId="6392897A" w:rsidR="00D47F29" w:rsidRDefault="00D47F29" w:rsidP="00D47F29">
            <w:r>
              <w:lastRenderedPageBreak/>
              <w:t>Заболявания гастроезофагеа- лен рефлукс Сухота в гърлото</w:t>
            </w:r>
          </w:p>
        </w:tc>
        <w:tc>
          <w:tcPr>
            <w:tcW w:w="1310" w:type="dxa"/>
            <w:vAlign w:val="bottom"/>
          </w:tcPr>
          <w:p w14:paraId="7839EEF0" w14:textId="07B0E97C" w:rsidR="00D47F29" w:rsidRDefault="00D47F29" w:rsidP="00D47F29">
            <w:r>
              <w:t>Запушване на дебелото черво Фекално задръства</w:t>
            </w:r>
            <w:r>
              <w:softHyphen/>
              <w:t>не, Повръща</w:t>
            </w:r>
            <w:r>
              <w:softHyphen/>
              <w:t>не*</w:t>
            </w:r>
          </w:p>
        </w:tc>
        <w:tc>
          <w:tcPr>
            <w:tcW w:w="1472" w:type="dxa"/>
          </w:tcPr>
          <w:p w14:paraId="619065E5" w14:textId="77777777" w:rsidR="00D47F29" w:rsidRDefault="00D47F29" w:rsidP="00D47F29"/>
        </w:tc>
        <w:tc>
          <w:tcPr>
            <w:tcW w:w="1405" w:type="dxa"/>
          </w:tcPr>
          <w:p w14:paraId="7BA1F401" w14:textId="28F9FD8F" w:rsidR="00D47F29" w:rsidRDefault="00D47F29" w:rsidP="00D47F29">
            <w:r>
              <w:t>Илеус* Коремен диском- форт</w:t>
            </w:r>
          </w:p>
        </w:tc>
      </w:tr>
      <w:tr w:rsidR="00D47F29" w14:paraId="5202768F" w14:textId="77777777" w:rsidTr="00D47F29">
        <w:tc>
          <w:tcPr>
            <w:tcW w:w="1710" w:type="dxa"/>
          </w:tcPr>
          <w:p w14:paraId="11589452" w14:textId="198123AE" w:rsidR="00D47F29" w:rsidRDefault="00D47F29" w:rsidP="00D47F29">
            <w:r>
              <w:rPr>
                <w:b/>
                <w:bCs/>
              </w:rPr>
              <w:t>Хепато- билиарни нарушения</w:t>
            </w:r>
          </w:p>
        </w:tc>
        <w:tc>
          <w:tcPr>
            <w:tcW w:w="910" w:type="dxa"/>
          </w:tcPr>
          <w:p w14:paraId="0E3EC863" w14:textId="77777777" w:rsidR="00D47F29" w:rsidRDefault="00D47F29" w:rsidP="00D47F29"/>
        </w:tc>
        <w:tc>
          <w:tcPr>
            <w:tcW w:w="921" w:type="dxa"/>
          </w:tcPr>
          <w:p w14:paraId="199A3317" w14:textId="77777777" w:rsidR="00D47F29" w:rsidRDefault="00D47F29" w:rsidP="00D47F29"/>
        </w:tc>
        <w:tc>
          <w:tcPr>
            <w:tcW w:w="1848" w:type="dxa"/>
          </w:tcPr>
          <w:p w14:paraId="4BA6CAE1" w14:textId="77777777" w:rsidR="00D47F29" w:rsidRDefault="00D47F29" w:rsidP="00D47F29"/>
        </w:tc>
        <w:tc>
          <w:tcPr>
            <w:tcW w:w="1310" w:type="dxa"/>
          </w:tcPr>
          <w:p w14:paraId="58C1E531" w14:textId="77777777" w:rsidR="00D47F29" w:rsidRDefault="00D47F29" w:rsidP="00D47F29"/>
        </w:tc>
        <w:tc>
          <w:tcPr>
            <w:tcW w:w="1472" w:type="dxa"/>
          </w:tcPr>
          <w:p w14:paraId="21825F45" w14:textId="77777777" w:rsidR="00D47F29" w:rsidRDefault="00D47F29" w:rsidP="00D47F29"/>
        </w:tc>
        <w:tc>
          <w:tcPr>
            <w:tcW w:w="1405" w:type="dxa"/>
            <w:vAlign w:val="bottom"/>
          </w:tcPr>
          <w:p w14:paraId="218DA512" w14:textId="0A427DB1" w:rsidR="00D47F29" w:rsidRDefault="00D47F29" w:rsidP="00D47F29">
            <w:r>
              <w:t>Черно</w:t>
            </w:r>
            <w:r>
              <w:softHyphen/>
              <w:t>дробни наруше</w:t>
            </w:r>
            <w:r>
              <w:softHyphen/>
              <w:t>ния* Абнормни показатели на черно- дробната функция*</w:t>
            </w:r>
          </w:p>
        </w:tc>
      </w:tr>
      <w:tr w:rsidR="00D47F29" w14:paraId="4818C6D3" w14:textId="77777777" w:rsidTr="00D47F29">
        <w:tc>
          <w:tcPr>
            <w:tcW w:w="1710" w:type="dxa"/>
          </w:tcPr>
          <w:p w14:paraId="438B2FAE" w14:textId="33DC9A9C" w:rsidR="00D47F29" w:rsidRDefault="00D47F29" w:rsidP="00D47F29">
            <w:r>
              <w:rPr>
                <w:b/>
                <w:bCs/>
              </w:rPr>
              <w:t>Нарушения на кожата и подкожната тъкан</w:t>
            </w:r>
          </w:p>
        </w:tc>
        <w:tc>
          <w:tcPr>
            <w:tcW w:w="910" w:type="dxa"/>
          </w:tcPr>
          <w:p w14:paraId="4DB0F6FC" w14:textId="77777777" w:rsidR="00D47F29" w:rsidRDefault="00D47F29" w:rsidP="00D47F29"/>
        </w:tc>
        <w:tc>
          <w:tcPr>
            <w:tcW w:w="921" w:type="dxa"/>
          </w:tcPr>
          <w:p w14:paraId="18FFF40C" w14:textId="77777777" w:rsidR="00D47F29" w:rsidRDefault="00D47F29" w:rsidP="00D47F29"/>
        </w:tc>
        <w:tc>
          <w:tcPr>
            <w:tcW w:w="1848" w:type="dxa"/>
          </w:tcPr>
          <w:p w14:paraId="2E422350" w14:textId="31242C10" w:rsidR="00D47F29" w:rsidRDefault="00D47F29" w:rsidP="00D47F29">
            <w:r>
              <w:t>Сухота на кожата</w:t>
            </w:r>
          </w:p>
        </w:tc>
        <w:tc>
          <w:tcPr>
            <w:tcW w:w="1310" w:type="dxa"/>
          </w:tcPr>
          <w:p w14:paraId="53BB3009" w14:textId="77777777" w:rsidR="00D47F29" w:rsidRDefault="00D47F29" w:rsidP="00D47F29">
            <w:r>
              <w:t>Сърбеж*</w:t>
            </w:r>
          </w:p>
          <w:p w14:paraId="3A517B52" w14:textId="4F2EBB62" w:rsidR="00D47F29" w:rsidRDefault="00D47F29" w:rsidP="00D47F29">
            <w:r>
              <w:t>Обрив</w:t>
            </w:r>
          </w:p>
        </w:tc>
        <w:tc>
          <w:tcPr>
            <w:tcW w:w="1472" w:type="dxa"/>
            <w:vAlign w:val="center"/>
          </w:tcPr>
          <w:p w14:paraId="4ED790F1" w14:textId="77777777" w:rsidR="00D47F29" w:rsidRDefault="00D47F29" w:rsidP="00D47F29">
            <w:r>
              <w:t>Еритема</w:t>
            </w:r>
          </w:p>
          <w:p w14:paraId="3EE04E6F" w14:textId="77777777" w:rsidR="00D47F29" w:rsidRDefault="00D47F29" w:rsidP="00D47F29">
            <w:r>
              <w:t>мултиформе</w:t>
            </w:r>
          </w:p>
          <w:p w14:paraId="3E2DCCD8" w14:textId="77777777" w:rsidR="00D47F29" w:rsidRDefault="00D47F29" w:rsidP="00D47F29">
            <w:r>
              <w:t>Уртикардия</w:t>
            </w:r>
          </w:p>
          <w:p w14:paraId="62F4C8A9" w14:textId="7E18501C" w:rsidR="00D47F29" w:rsidRDefault="00D47F29" w:rsidP="00D47F29">
            <w:r>
              <w:t>Антиседема</w:t>
            </w:r>
          </w:p>
        </w:tc>
        <w:tc>
          <w:tcPr>
            <w:tcW w:w="1405" w:type="dxa"/>
          </w:tcPr>
          <w:p w14:paraId="05C6339E" w14:textId="77777777" w:rsidR="00D47F29" w:rsidRDefault="00D47F29" w:rsidP="00D47F29">
            <w:r>
              <w:t>Ексфолиа-</w:t>
            </w:r>
          </w:p>
          <w:p w14:paraId="1FB6E82D" w14:textId="77777777" w:rsidR="00D47F29" w:rsidRDefault="00D47F29" w:rsidP="00D47F29">
            <w:r>
              <w:t>тивен</w:t>
            </w:r>
          </w:p>
          <w:p w14:paraId="46F5CD88" w14:textId="77777777" w:rsidR="00D47F29" w:rsidRDefault="00D47F29" w:rsidP="00D47F29">
            <w:r>
              <w:t>дерматит</w:t>
            </w:r>
          </w:p>
          <w:p w14:paraId="63C2ED5C" w14:textId="77777777" w:rsidR="00D47F29" w:rsidRDefault="00D47F29" w:rsidP="00D47F29"/>
        </w:tc>
      </w:tr>
      <w:tr w:rsidR="00D47F29" w14:paraId="30B3C9DE" w14:textId="77777777" w:rsidTr="00D47F29">
        <w:tc>
          <w:tcPr>
            <w:tcW w:w="1710" w:type="dxa"/>
          </w:tcPr>
          <w:p w14:paraId="799075C6" w14:textId="74766751" w:rsidR="00D47F29" w:rsidRDefault="00D47F29" w:rsidP="00D47F29">
            <w:r>
              <w:rPr>
                <w:b/>
                <w:bCs/>
              </w:rPr>
              <w:t>Нарушения на мускулно- скелетната система и съединителна та тъкан</w:t>
            </w:r>
          </w:p>
        </w:tc>
        <w:tc>
          <w:tcPr>
            <w:tcW w:w="910" w:type="dxa"/>
          </w:tcPr>
          <w:p w14:paraId="36032710" w14:textId="77777777" w:rsidR="00D47F29" w:rsidRDefault="00D47F29" w:rsidP="00D47F29"/>
        </w:tc>
        <w:tc>
          <w:tcPr>
            <w:tcW w:w="921" w:type="dxa"/>
          </w:tcPr>
          <w:p w14:paraId="31FE6DA6" w14:textId="77777777" w:rsidR="00D47F29" w:rsidRDefault="00D47F29" w:rsidP="00D47F29"/>
        </w:tc>
        <w:tc>
          <w:tcPr>
            <w:tcW w:w="1848" w:type="dxa"/>
          </w:tcPr>
          <w:p w14:paraId="08C1552C" w14:textId="77777777" w:rsidR="00D47F29" w:rsidRDefault="00D47F29" w:rsidP="00D47F29"/>
        </w:tc>
        <w:tc>
          <w:tcPr>
            <w:tcW w:w="1310" w:type="dxa"/>
          </w:tcPr>
          <w:p w14:paraId="7BED209E" w14:textId="77777777" w:rsidR="00D47F29" w:rsidRDefault="00D47F29" w:rsidP="00D47F29"/>
        </w:tc>
        <w:tc>
          <w:tcPr>
            <w:tcW w:w="1472" w:type="dxa"/>
          </w:tcPr>
          <w:p w14:paraId="530950F9" w14:textId="77777777" w:rsidR="00D47F29" w:rsidRDefault="00D47F29" w:rsidP="00D47F29"/>
        </w:tc>
        <w:tc>
          <w:tcPr>
            <w:tcW w:w="1405" w:type="dxa"/>
          </w:tcPr>
          <w:p w14:paraId="277438CD" w14:textId="7D667AD8" w:rsidR="00D47F29" w:rsidRDefault="00D47F29" w:rsidP="00D47F29">
            <w:r>
              <w:t>Мускулна слабост*</w:t>
            </w:r>
          </w:p>
        </w:tc>
      </w:tr>
      <w:tr w:rsidR="00D47F29" w14:paraId="51066A93" w14:textId="77777777" w:rsidTr="00D47F29">
        <w:tc>
          <w:tcPr>
            <w:tcW w:w="1710" w:type="dxa"/>
          </w:tcPr>
          <w:p w14:paraId="7C5428BB" w14:textId="5F83AA60" w:rsidR="00D47F29" w:rsidRDefault="00D47F29" w:rsidP="00D47F29">
            <w:r>
              <w:rPr>
                <w:b/>
                <w:bCs/>
              </w:rPr>
              <w:t>Нарушения на бъбреците и пикочните пътища</w:t>
            </w:r>
          </w:p>
        </w:tc>
        <w:tc>
          <w:tcPr>
            <w:tcW w:w="910" w:type="dxa"/>
          </w:tcPr>
          <w:p w14:paraId="43AB7B07" w14:textId="77777777" w:rsidR="00D47F29" w:rsidRDefault="00D47F29" w:rsidP="00D47F29"/>
        </w:tc>
        <w:tc>
          <w:tcPr>
            <w:tcW w:w="921" w:type="dxa"/>
          </w:tcPr>
          <w:p w14:paraId="249BA75E" w14:textId="77777777" w:rsidR="00D47F29" w:rsidRDefault="00D47F29" w:rsidP="00D47F29"/>
        </w:tc>
        <w:tc>
          <w:tcPr>
            <w:tcW w:w="1848" w:type="dxa"/>
          </w:tcPr>
          <w:p w14:paraId="0270833D" w14:textId="592C1318" w:rsidR="00D47F29" w:rsidRDefault="00D47F29" w:rsidP="00D47F29">
            <w:r>
              <w:t>Трудно уриниране</w:t>
            </w:r>
          </w:p>
        </w:tc>
        <w:tc>
          <w:tcPr>
            <w:tcW w:w="1310" w:type="dxa"/>
          </w:tcPr>
          <w:p w14:paraId="31677694" w14:textId="0AE560FB" w:rsidR="00D47F29" w:rsidRDefault="00D47F29" w:rsidP="00D47F29">
            <w:r>
              <w:t>Задръжка на урина</w:t>
            </w:r>
          </w:p>
        </w:tc>
        <w:tc>
          <w:tcPr>
            <w:tcW w:w="1472" w:type="dxa"/>
          </w:tcPr>
          <w:p w14:paraId="693CE72E" w14:textId="77777777" w:rsidR="00D47F29" w:rsidRDefault="00D47F29" w:rsidP="00D47F29"/>
        </w:tc>
        <w:tc>
          <w:tcPr>
            <w:tcW w:w="1405" w:type="dxa"/>
          </w:tcPr>
          <w:p w14:paraId="607DB144" w14:textId="1CC627D2" w:rsidR="00D47F29" w:rsidRDefault="00D47F29" w:rsidP="00D47F29">
            <w:r>
              <w:t>Бъбречно наруше</w:t>
            </w:r>
            <w:r>
              <w:softHyphen/>
              <w:t>ние*</w:t>
            </w:r>
          </w:p>
        </w:tc>
      </w:tr>
      <w:tr w:rsidR="00D47F29" w14:paraId="75CA5E65" w14:textId="77777777" w:rsidTr="00D47F29">
        <w:tc>
          <w:tcPr>
            <w:tcW w:w="1710" w:type="dxa"/>
          </w:tcPr>
          <w:p w14:paraId="7E336051" w14:textId="78F26453" w:rsidR="00D47F29" w:rsidRDefault="00D47F29" w:rsidP="00D47F29">
            <w:r>
              <w:rPr>
                <w:b/>
                <w:bCs/>
              </w:rPr>
              <w:t>Общи нарушения и ефекти на мястото на приложение</w:t>
            </w:r>
          </w:p>
        </w:tc>
        <w:tc>
          <w:tcPr>
            <w:tcW w:w="910" w:type="dxa"/>
          </w:tcPr>
          <w:p w14:paraId="1402F83E" w14:textId="77777777" w:rsidR="00D47F29" w:rsidRDefault="00D47F29" w:rsidP="00D47F29"/>
        </w:tc>
        <w:tc>
          <w:tcPr>
            <w:tcW w:w="921" w:type="dxa"/>
          </w:tcPr>
          <w:p w14:paraId="50FA1CE4" w14:textId="77777777" w:rsidR="00D47F29" w:rsidRDefault="00D47F29" w:rsidP="00D47F29"/>
        </w:tc>
        <w:tc>
          <w:tcPr>
            <w:tcW w:w="1848" w:type="dxa"/>
          </w:tcPr>
          <w:p w14:paraId="05FFB779" w14:textId="77777777" w:rsidR="00D47F29" w:rsidRDefault="00D47F29" w:rsidP="00D47F29">
            <w:r>
              <w:t>Умора</w:t>
            </w:r>
          </w:p>
          <w:p w14:paraId="263343C7" w14:textId="3E2E3F0D" w:rsidR="00D47F29" w:rsidRDefault="00D47F29" w:rsidP="00D47F29">
            <w:r>
              <w:t>Периферен оток</w:t>
            </w:r>
          </w:p>
        </w:tc>
        <w:tc>
          <w:tcPr>
            <w:tcW w:w="1310" w:type="dxa"/>
          </w:tcPr>
          <w:p w14:paraId="17BBE0D1" w14:textId="77777777" w:rsidR="00D47F29" w:rsidRDefault="00D47F29" w:rsidP="00D47F29"/>
        </w:tc>
        <w:tc>
          <w:tcPr>
            <w:tcW w:w="1472" w:type="dxa"/>
          </w:tcPr>
          <w:p w14:paraId="1DAC7C42" w14:textId="77777777" w:rsidR="00D47F29" w:rsidRDefault="00D47F29" w:rsidP="00D47F29"/>
        </w:tc>
        <w:tc>
          <w:tcPr>
            <w:tcW w:w="1405" w:type="dxa"/>
          </w:tcPr>
          <w:p w14:paraId="7D27AAA4" w14:textId="77777777" w:rsidR="00D47F29" w:rsidRDefault="00D47F29" w:rsidP="00D47F29"/>
        </w:tc>
      </w:tr>
    </w:tbl>
    <w:p w14:paraId="43E3C48F" w14:textId="1B60B63C" w:rsidR="0091385D" w:rsidRDefault="0091385D" w:rsidP="0091385D"/>
    <w:p w14:paraId="683E4589" w14:textId="77777777" w:rsidR="00D47F29" w:rsidRPr="00D47F29" w:rsidRDefault="00D47F29" w:rsidP="00D47F29">
      <w:pPr>
        <w:spacing w:line="240" w:lineRule="auto"/>
        <w:rPr>
          <w:rFonts w:eastAsia="Times New Roman" w:cs="Arial"/>
          <w:lang w:eastAsia="bg-BG"/>
        </w:rPr>
      </w:pPr>
      <w:r w:rsidRPr="00D47F29">
        <w:rPr>
          <w:rFonts w:eastAsia="Times New Roman" w:cs="Arial"/>
          <w:color w:val="000000"/>
          <w:lang w:eastAsia="bg-BG"/>
        </w:rPr>
        <w:t>* наблюдавани след пускане на пазара</w:t>
      </w:r>
    </w:p>
    <w:p w14:paraId="58903DF0" w14:textId="77777777" w:rsidR="00D47F29" w:rsidRPr="00D47F29" w:rsidRDefault="00D47F29" w:rsidP="00D47F29">
      <w:pPr>
        <w:spacing w:line="240" w:lineRule="auto"/>
        <w:rPr>
          <w:rFonts w:eastAsia="Times New Roman" w:cs="Arial"/>
          <w:color w:val="000000"/>
          <w:u w:val="single"/>
          <w:lang w:eastAsia="bg-BG"/>
        </w:rPr>
      </w:pPr>
    </w:p>
    <w:p w14:paraId="37FE7A7A" w14:textId="707F23E0" w:rsidR="00D47F29" w:rsidRPr="00D47F29" w:rsidRDefault="00D47F29" w:rsidP="00D47F29">
      <w:pPr>
        <w:spacing w:line="240" w:lineRule="auto"/>
        <w:rPr>
          <w:rFonts w:eastAsia="Times New Roman" w:cs="Arial"/>
          <w:lang w:eastAsia="bg-BG"/>
        </w:rPr>
      </w:pPr>
      <w:r w:rsidRPr="00D47F29">
        <w:rPr>
          <w:rFonts w:eastAsia="Times New Roman" w:cs="Arial"/>
          <w:color w:val="000000"/>
          <w:u w:val="single"/>
          <w:lang w:eastAsia="bg-BG"/>
        </w:rPr>
        <w:t>Съобщаване на подозирани нежелани реакции</w:t>
      </w:r>
    </w:p>
    <w:p w14:paraId="683BE7FF" w14:textId="38AD6EC4" w:rsidR="00D47F29" w:rsidRPr="00D47F29" w:rsidRDefault="00D47F29" w:rsidP="00D47F29">
      <w:pPr>
        <w:rPr>
          <w:rFonts w:cs="Arial"/>
        </w:rPr>
      </w:pPr>
      <w:r w:rsidRPr="00D47F2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D47F29">
        <w:rPr>
          <w:rFonts w:eastAsia="Times New Roman" w:cs="Arial"/>
          <w:lang w:eastAsia="bg-BG"/>
        </w:rPr>
        <w:fldChar w:fldCharType="begin"/>
      </w:r>
      <w:r w:rsidRPr="00D47F29">
        <w:rPr>
          <w:rFonts w:eastAsia="Times New Roman" w:cs="Arial"/>
          <w:lang w:eastAsia="bg-BG"/>
        </w:rPr>
        <w:instrText xml:space="preserve"> HYPERLINK "http://www.bda.bg" </w:instrText>
      </w:r>
      <w:r w:rsidRPr="00D47F29">
        <w:rPr>
          <w:rFonts w:eastAsia="Times New Roman" w:cs="Arial"/>
          <w:lang w:eastAsia="bg-BG"/>
        </w:rPr>
      </w:r>
      <w:r w:rsidRPr="00D47F29">
        <w:rPr>
          <w:rFonts w:eastAsia="Times New Roman" w:cs="Arial"/>
          <w:lang w:eastAsia="bg-BG"/>
        </w:rPr>
        <w:fldChar w:fldCharType="separate"/>
      </w:r>
      <w:r w:rsidRPr="00D47F29">
        <w:rPr>
          <w:rFonts w:eastAsia="Times New Roman" w:cs="Arial"/>
          <w:color w:val="000000"/>
          <w:u w:val="single"/>
          <w:lang w:val="en-US"/>
        </w:rPr>
        <w:t>www.bda.bg</w:t>
      </w:r>
      <w:r w:rsidRPr="00D47F29">
        <w:rPr>
          <w:rFonts w:eastAsia="Times New Roman" w:cs="Arial"/>
          <w:lang w:eastAsia="bg-BG"/>
        </w:rPr>
        <w:fldChar w:fldCharType="end"/>
      </w:r>
      <w:r w:rsidRPr="00D47F29">
        <w:rPr>
          <w:rFonts w:eastAsia="Times New Roman" w:cs="Arial"/>
          <w:color w:val="000000"/>
          <w:lang w:val="en-US"/>
        </w:rPr>
        <w:t>.</w:t>
      </w:r>
    </w:p>
    <w:p w14:paraId="5E30F212" w14:textId="77777777" w:rsidR="002B199B" w:rsidRPr="0091385D" w:rsidRDefault="002B199B"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63E4D6D9" w14:textId="77777777" w:rsidR="00D47F29" w:rsidRPr="008A0D98" w:rsidRDefault="00D47F29" w:rsidP="008A0D98">
      <w:pPr>
        <w:pStyle w:val="Heading3"/>
        <w:rPr>
          <w:rFonts w:eastAsia="Times New Roman"/>
          <w:u w:val="single"/>
          <w:lang w:eastAsia="bg-BG"/>
        </w:rPr>
      </w:pPr>
      <w:r w:rsidRPr="008A0D98">
        <w:rPr>
          <w:rFonts w:eastAsia="Times New Roman"/>
          <w:u w:val="single"/>
          <w:lang w:eastAsia="bg-BG"/>
        </w:rPr>
        <w:t>Симптоми</w:t>
      </w:r>
    </w:p>
    <w:p w14:paraId="5D1321D7" w14:textId="77777777"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 xml:space="preserve">Предозирането на солифенацин сукцинат потенциално може да доведе до тежки антихолинергични реакции. Най-високата доза солифенацин сукцинат, приложена </w:t>
      </w:r>
      <w:r w:rsidRPr="00D47F29">
        <w:rPr>
          <w:rFonts w:eastAsia="Times New Roman" w:cs="Arial"/>
          <w:color w:val="000000"/>
          <w:lang w:eastAsia="bg-BG"/>
        </w:rPr>
        <w:lastRenderedPageBreak/>
        <w:t xml:space="preserve">случайно на пациент, е 280 </w:t>
      </w:r>
      <w:r w:rsidRPr="00D47F29">
        <w:rPr>
          <w:rFonts w:eastAsia="Times New Roman" w:cs="Arial"/>
          <w:color w:val="000000"/>
          <w:lang w:val="en-US"/>
        </w:rPr>
        <w:t xml:space="preserve">mg </w:t>
      </w:r>
      <w:r w:rsidRPr="00D47F29">
        <w:rPr>
          <w:rFonts w:eastAsia="Times New Roman" w:cs="Arial"/>
          <w:color w:val="000000"/>
          <w:lang w:eastAsia="bg-BG"/>
        </w:rPr>
        <w:t>за период от 5 часа; тази доза води до промени в психичното състояние, неизискващи хоспитализация.</w:t>
      </w:r>
    </w:p>
    <w:p w14:paraId="6771E307" w14:textId="77777777" w:rsidR="00D47F29" w:rsidRPr="00D47F29" w:rsidRDefault="00D47F29" w:rsidP="00D47F29">
      <w:pPr>
        <w:spacing w:line="240" w:lineRule="auto"/>
        <w:rPr>
          <w:rFonts w:eastAsia="Times New Roman" w:cs="Arial"/>
          <w:color w:val="000000"/>
          <w:u w:val="single"/>
          <w:lang w:eastAsia="bg-BG"/>
        </w:rPr>
      </w:pPr>
    </w:p>
    <w:p w14:paraId="42061B3C" w14:textId="68E655AE" w:rsidR="00D47F29" w:rsidRPr="008A0D98" w:rsidRDefault="00D47F29" w:rsidP="008A0D98">
      <w:pPr>
        <w:pStyle w:val="Heading3"/>
        <w:rPr>
          <w:rFonts w:eastAsia="Times New Roman"/>
          <w:u w:val="single"/>
          <w:lang w:eastAsia="bg-BG"/>
        </w:rPr>
      </w:pPr>
      <w:r w:rsidRPr="008A0D98">
        <w:rPr>
          <w:rFonts w:eastAsia="Times New Roman"/>
          <w:u w:val="single"/>
          <w:lang w:eastAsia="bg-BG"/>
        </w:rPr>
        <w:t>Третиране</w:t>
      </w:r>
    </w:p>
    <w:p w14:paraId="7F4F965F" w14:textId="77777777"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В случай на предозиране на солифенацин сукцинат на пациента трябва да се даде активен въглен. Стомашната промивка е целесъобразна, ако се направи до 1 час, но не трябва да се предизвиква повръщане.</w:t>
      </w:r>
    </w:p>
    <w:p w14:paraId="766A5907" w14:textId="77777777" w:rsidR="00D47F29" w:rsidRPr="00D47F29" w:rsidRDefault="00D47F29" w:rsidP="00D47F29">
      <w:pPr>
        <w:spacing w:line="240" w:lineRule="auto"/>
        <w:rPr>
          <w:rFonts w:eastAsia="Times New Roman" w:cs="Arial"/>
          <w:color w:val="000000"/>
          <w:lang w:eastAsia="bg-BG"/>
        </w:rPr>
      </w:pPr>
    </w:p>
    <w:p w14:paraId="2B48C8F4" w14:textId="2FD4165A"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Както и при другите антихолинергични средства, симптомите може да се лекуват по следния начин:</w:t>
      </w:r>
    </w:p>
    <w:p w14:paraId="7E25F1FD" w14:textId="77777777" w:rsidR="00D47F29" w:rsidRPr="00D47F29" w:rsidRDefault="00D47F29" w:rsidP="00D47F29">
      <w:pPr>
        <w:pStyle w:val="ListParagraph"/>
        <w:numPr>
          <w:ilvl w:val="0"/>
          <w:numId w:val="39"/>
        </w:numPr>
        <w:spacing w:line="240" w:lineRule="auto"/>
        <w:rPr>
          <w:rFonts w:eastAsia="Times New Roman" w:cs="Arial"/>
          <w:sz w:val="24"/>
          <w:szCs w:val="24"/>
          <w:lang w:eastAsia="bg-BG"/>
        </w:rPr>
      </w:pPr>
      <w:r w:rsidRPr="00D47F29">
        <w:rPr>
          <w:rFonts w:eastAsia="Times New Roman" w:cs="Arial"/>
          <w:color w:val="000000"/>
          <w:lang w:eastAsia="bg-BG"/>
        </w:rPr>
        <w:t>Тежки централни антихолинергични ефекти, като халюцинации или силна възбуда: прилагане на физостигмин или карбахол.</w:t>
      </w:r>
    </w:p>
    <w:p w14:paraId="1E34E66D" w14:textId="77777777" w:rsidR="00D47F29" w:rsidRPr="00D47F29" w:rsidRDefault="00D47F29" w:rsidP="00D47F29">
      <w:pPr>
        <w:pStyle w:val="ListParagraph"/>
        <w:numPr>
          <w:ilvl w:val="0"/>
          <w:numId w:val="39"/>
        </w:numPr>
        <w:spacing w:line="240" w:lineRule="auto"/>
        <w:rPr>
          <w:rFonts w:eastAsia="Times New Roman" w:cs="Arial"/>
          <w:sz w:val="24"/>
          <w:szCs w:val="24"/>
          <w:lang w:eastAsia="bg-BG"/>
        </w:rPr>
      </w:pPr>
      <w:r w:rsidRPr="00D47F29">
        <w:rPr>
          <w:rFonts w:eastAsia="Times New Roman" w:cs="Arial"/>
          <w:color w:val="000000"/>
          <w:lang w:eastAsia="bg-BG"/>
        </w:rPr>
        <w:t>Конвулсии или силна възбуда: бензодиазепини.</w:t>
      </w:r>
    </w:p>
    <w:p w14:paraId="2FDFABE2" w14:textId="77777777" w:rsidR="00D47F29" w:rsidRPr="00D47F29" w:rsidRDefault="00D47F29" w:rsidP="00D47F29">
      <w:pPr>
        <w:pStyle w:val="ListParagraph"/>
        <w:numPr>
          <w:ilvl w:val="0"/>
          <w:numId w:val="39"/>
        </w:numPr>
        <w:spacing w:line="240" w:lineRule="auto"/>
        <w:rPr>
          <w:rFonts w:eastAsia="Times New Roman" w:cs="Arial"/>
          <w:sz w:val="24"/>
          <w:szCs w:val="24"/>
          <w:lang w:eastAsia="bg-BG"/>
        </w:rPr>
      </w:pPr>
      <w:r w:rsidRPr="00D47F29">
        <w:rPr>
          <w:rFonts w:eastAsia="Times New Roman" w:cs="Arial"/>
          <w:color w:val="000000"/>
          <w:lang w:eastAsia="bg-BG"/>
        </w:rPr>
        <w:t>Дихателна недостатъчност: изкуствено дишане.</w:t>
      </w:r>
    </w:p>
    <w:p w14:paraId="32738FD6" w14:textId="77777777" w:rsidR="00D47F29" w:rsidRPr="00D47F29" w:rsidRDefault="00D47F29" w:rsidP="00D47F29">
      <w:pPr>
        <w:pStyle w:val="ListParagraph"/>
        <w:numPr>
          <w:ilvl w:val="0"/>
          <w:numId w:val="39"/>
        </w:numPr>
        <w:spacing w:line="240" w:lineRule="auto"/>
        <w:rPr>
          <w:rFonts w:eastAsia="Times New Roman" w:cs="Arial"/>
          <w:sz w:val="24"/>
          <w:szCs w:val="24"/>
          <w:lang w:eastAsia="bg-BG"/>
        </w:rPr>
      </w:pPr>
      <w:r w:rsidRPr="00D47F29">
        <w:rPr>
          <w:rFonts w:eastAsia="Times New Roman" w:cs="Arial"/>
          <w:color w:val="000000"/>
          <w:lang w:eastAsia="bg-BG"/>
        </w:rPr>
        <w:t>Тахикардия: бета-блокери.</w:t>
      </w:r>
    </w:p>
    <w:p w14:paraId="6CAC0D9F" w14:textId="77777777" w:rsidR="00D47F29" w:rsidRPr="00D47F29" w:rsidRDefault="00D47F29" w:rsidP="00D47F29">
      <w:pPr>
        <w:pStyle w:val="ListParagraph"/>
        <w:numPr>
          <w:ilvl w:val="0"/>
          <w:numId w:val="39"/>
        </w:numPr>
        <w:spacing w:line="240" w:lineRule="auto"/>
        <w:rPr>
          <w:rFonts w:eastAsia="Times New Roman" w:cs="Arial"/>
          <w:sz w:val="24"/>
          <w:szCs w:val="24"/>
          <w:lang w:eastAsia="bg-BG"/>
        </w:rPr>
      </w:pPr>
      <w:r w:rsidRPr="00D47F29">
        <w:rPr>
          <w:rFonts w:eastAsia="Times New Roman" w:cs="Arial"/>
          <w:color w:val="000000"/>
          <w:lang w:eastAsia="bg-BG"/>
        </w:rPr>
        <w:t>Задръжка на урина: катетеризация.</w:t>
      </w:r>
    </w:p>
    <w:p w14:paraId="7481D45F" w14:textId="4F864258" w:rsidR="00D47F29" w:rsidRPr="00D47F29" w:rsidRDefault="00D47F29" w:rsidP="00D47F29">
      <w:pPr>
        <w:pStyle w:val="ListParagraph"/>
        <w:numPr>
          <w:ilvl w:val="0"/>
          <w:numId w:val="39"/>
        </w:numPr>
        <w:spacing w:line="240" w:lineRule="auto"/>
        <w:rPr>
          <w:rFonts w:eastAsia="Times New Roman" w:cs="Arial"/>
          <w:sz w:val="24"/>
          <w:szCs w:val="24"/>
          <w:lang w:eastAsia="bg-BG"/>
        </w:rPr>
      </w:pPr>
      <w:r w:rsidRPr="00D47F29">
        <w:rPr>
          <w:rFonts w:eastAsia="Times New Roman" w:cs="Arial"/>
          <w:color w:val="000000"/>
          <w:lang w:eastAsia="bg-BG"/>
        </w:rPr>
        <w:t>Мидриаза: пилокарпин капки за очи и/или поставяне на пациента в тъмна стая,</w:t>
      </w:r>
    </w:p>
    <w:p w14:paraId="2D05BF78" w14:textId="77777777" w:rsidR="00D47F29" w:rsidRPr="00D47F29" w:rsidRDefault="00D47F29" w:rsidP="00D47F29">
      <w:pPr>
        <w:spacing w:line="240" w:lineRule="auto"/>
        <w:rPr>
          <w:rFonts w:eastAsia="Times New Roman" w:cs="Arial"/>
          <w:color w:val="000000"/>
          <w:lang w:eastAsia="bg-BG"/>
        </w:rPr>
      </w:pPr>
    </w:p>
    <w:p w14:paraId="0F0079CB" w14:textId="7C81C30F" w:rsidR="0091385D"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 xml:space="preserve">Както и при другите антимускаринови средства, в случай на предозиране трябва да се обърне  специално внимание на пациенти с риск от удължаване на </w:t>
      </w:r>
      <w:r w:rsidRPr="00D47F29">
        <w:rPr>
          <w:rFonts w:eastAsia="Times New Roman" w:cs="Arial"/>
          <w:color w:val="000000"/>
          <w:lang w:val="en-US"/>
        </w:rPr>
        <w:t xml:space="preserve">QT </w:t>
      </w:r>
      <w:r w:rsidRPr="00D47F29">
        <w:rPr>
          <w:rFonts w:eastAsia="Times New Roman" w:cs="Arial"/>
          <w:color w:val="000000"/>
          <w:lang w:eastAsia="bg-BG"/>
        </w:rPr>
        <w:t>интервала (т.е. хипокалиемия, брадикардия и едновременно прилагане на лекарствени продукти, за които е известно, че</w:t>
      </w:r>
      <w:r w:rsidRPr="00D47F29">
        <w:rPr>
          <w:rFonts w:eastAsia="Times New Roman" w:cs="Arial"/>
          <w:b/>
          <w:bCs/>
          <w:color w:val="000000"/>
          <w:lang w:eastAsia="bg-BG"/>
        </w:rPr>
        <w:t xml:space="preserve"> </w:t>
      </w:r>
      <w:r w:rsidRPr="00D47F29">
        <w:rPr>
          <w:rFonts w:eastAsia="Times New Roman" w:cs="Arial"/>
          <w:color w:val="000000"/>
          <w:lang w:eastAsia="bg-BG"/>
        </w:rPr>
        <w:t xml:space="preserve">удължават </w:t>
      </w:r>
      <w:r w:rsidRPr="00D47F29">
        <w:rPr>
          <w:rFonts w:eastAsia="Times New Roman" w:cs="Arial"/>
          <w:color w:val="000000"/>
          <w:lang w:val="en-US"/>
        </w:rPr>
        <w:t>QT</w:t>
      </w:r>
      <w:r w:rsidRPr="00D47F29">
        <w:rPr>
          <w:rFonts w:eastAsia="Times New Roman" w:cs="Arial"/>
          <w:color w:val="000000"/>
          <w:lang w:eastAsia="bg-BG"/>
        </w:rPr>
        <w:t>-интерва</w:t>
      </w:r>
      <w:r>
        <w:rPr>
          <w:rFonts w:eastAsia="Times New Roman" w:cs="Arial"/>
          <w:color w:val="000000"/>
          <w:lang w:eastAsia="bg-BG"/>
        </w:rPr>
        <w:t xml:space="preserve">ла) и значими предишни сърдечни </w:t>
      </w:r>
      <w:r w:rsidRPr="00D47F29">
        <w:rPr>
          <w:rFonts w:eastAsia="Times New Roman" w:cs="Arial"/>
          <w:color w:val="000000"/>
          <w:lang w:eastAsia="bg-BG"/>
        </w:rPr>
        <w:t>заболявания (т.е.исхемия на</w:t>
      </w:r>
      <w:r>
        <w:rPr>
          <w:rFonts w:eastAsia="Times New Roman" w:cs="Arial"/>
          <w:sz w:val="24"/>
          <w:szCs w:val="24"/>
          <w:lang w:val="en-US" w:eastAsia="bg-BG"/>
        </w:rPr>
        <w:t xml:space="preserve"> </w:t>
      </w:r>
      <w:r w:rsidRPr="00D47F29">
        <w:rPr>
          <w:rFonts w:eastAsia="Times New Roman" w:cs="Arial"/>
          <w:color w:val="000000"/>
          <w:lang w:eastAsia="bg-BG"/>
        </w:rPr>
        <w:t>миокарда, аритмия, конгестивна сърдечна недостатъчност).</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05F0E03" w14:textId="77777777"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 xml:space="preserve">Фармакотерапевтична група: Урологични средства, Лекарства при често уриниране и инконтиненция, АТС код: </w:t>
      </w:r>
      <w:r w:rsidRPr="00D47F29">
        <w:rPr>
          <w:rFonts w:eastAsia="Times New Roman" w:cs="Arial"/>
          <w:color w:val="000000"/>
          <w:lang w:val="en-US"/>
        </w:rPr>
        <w:t>G04B D08.</w:t>
      </w:r>
    </w:p>
    <w:p w14:paraId="0B16331B" w14:textId="77777777" w:rsidR="00D47F29" w:rsidRPr="008A0D98" w:rsidRDefault="00D47F29" w:rsidP="00D47F29">
      <w:pPr>
        <w:spacing w:line="240" w:lineRule="auto"/>
        <w:rPr>
          <w:rFonts w:eastAsia="Times New Roman" w:cs="Arial"/>
          <w:i/>
          <w:iCs/>
          <w:color w:val="000000"/>
          <w:u w:val="single"/>
          <w:lang w:eastAsia="bg-BG"/>
        </w:rPr>
      </w:pPr>
    </w:p>
    <w:p w14:paraId="19A94E67" w14:textId="6DDB248D" w:rsidR="00D47F29" w:rsidRPr="00D47F29" w:rsidRDefault="00D47F29" w:rsidP="00D47F29">
      <w:pPr>
        <w:spacing w:line="240" w:lineRule="auto"/>
        <w:rPr>
          <w:rFonts w:eastAsia="Times New Roman" w:cs="Arial"/>
          <w:sz w:val="24"/>
          <w:szCs w:val="24"/>
          <w:lang w:eastAsia="bg-BG"/>
        </w:rPr>
      </w:pPr>
      <w:r w:rsidRPr="00D47F29">
        <w:rPr>
          <w:rFonts w:eastAsia="Times New Roman" w:cs="Arial"/>
          <w:i/>
          <w:iCs/>
          <w:color w:val="000000"/>
          <w:u w:val="single"/>
          <w:lang w:eastAsia="bg-BG"/>
        </w:rPr>
        <w:t>Механизъм на действие</w:t>
      </w:r>
    </w:p>
    <w:p w14:paraId="0F317992" w14:textId="77777777"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Солифенацин е компетитивен, специфичен антагонист на холинергичните рецептори.</w:t>
      </w:r>
    </w:p>
    <w:p w14:paraId="128225D9" w14:textId="77777777" w:rsidR="00D47F29" w:rsidRPr="008A0D98" w:rsidRDefault="00D47F29" w:rsidP="00D47F29">
      <w:pPr>
        <w:spacing w:line="240" w:lineRule="auto"/>
        <w:rPr>
          <w:rFonts w:eastAsia="Times New Roman" w:cs="Arial"/>
          <w:color w:val="000000"/>
          <w:lang w:eastAsia="bg-BG"/>
        </w:rPr>
      </w:pPr>
    </w:p>
    <w:p w14:paraId="781199B2" w14:textId="6DB34C47"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Пикочният мехур се инервира от парасимпатикови холинергични нерви. Ацетилхолинът предизвиква свиване на гладкия мускул на детрузора чрез мускариновите рецептори, предимно от М</w:t>
      </w:r>
      <w:r w:rsidRPr="00D47F29">
        <w:rPr>
          <w:rFonts w:eastAsia="Times New Roman" w:cs="Arial"/>
          <w:color w:val="000000"/>
          <w:vertAlign w:val="subscript"/>
          <w:lang w:eastAsia="bg-BG"/>
        </w:rPr>
        <w:t>3</w:t>
      </w:r>
      <w:r w:rsidRPr="00D47F29">
        <w:rPr>
          <w:rFonts w:eastAsia="Times New Roman" w:cs="Arial"/>
          <w:color w:val="000000"/>
          <w:lang w:eastAsia="bg-BG"/>
        </w:rPr>
        <w:t xml:space="preserve"> подтип. </w:t>
      </w:r>
      <w:r w:rsidRPr="00D47F29">
        <w:rPr>
          <w:rFonts w:eastAsia="Times New Roman" w:cs="Arial"/>
          <w:i/>
          <w:iCs/>
          <w:color w:val="000000"/>
          <w:lang w:val="en-US"/>
        </w:rPr>
        <w:t>In vitro</w:t>
      </w:r>
      <w:r w:rsidRPr="00D47F29">
        <w:rPr>
          <w:rFonts w:eastAsia="Times New Roman" w:cs="Arial"/>
          <w:color w:val="000000"/>
          <w:lang w:val="en-US"/>
        </w:rPr>
        <w:t xml:space="preserve"> </w:t>
      </w:r>
      <w:r w:rsidRPr="00D47F29">
        <w:rPr>
          <w:rFonts w:eastAsia="Times New Roman" w:cs="Arial"/>
          <w:color w:val="000000"/>
          <w:lang w:eastAsia="bg-BG"/>
        </w:rPr>
        <w:t xml:space="preserve">и </w:t>
      </w:r>
      <w:r w:rsidRPr="00D47F29">
        <w:rPr>
          <w:rFonts w:eastAsia="Times New Roman" w:cs="Arial"/>
          <w:i/>
          <w:iCs/>
          <w:color w:val="000000"/>
          <w:lang w:val="en-US"/>
        </w:rPr>
        <w:t>in vivo</w:t>
      </w:r>
      <w:r w:rsidRPr="00D47F29">
        <w:rPr>
          <w:rFonts w:eastAsia="Times New Roman" w:cs="Arial"/>
          <w:color w:val="000000"/>
          <w:lang w:val="en-US"/>
        </w:rPr>
        <w:t xml:space="preserve"> </w:t>
      </w:r>
      <w:r w:rsidRPr="00D47F29">
        <w:rPr>
          <w:rFonts w:eastAsia="Times New Roman" w:cs="Arial"/>
          <w:color w:val="000000"/>
          <w:lang w:eastAsia="bg-BG"/>
        </w:rPr>
        <w:t>фармакологични проучвания показват, че солифенацин е компетитивен инхибитор на мускариновите рецептори от Мз подтип. Освен това той е специфичен антагонист на мускариновите рецептори, като показва малък или никакъв афинитет към други изследвани рецептори и йонни канали.</w:t>
      </w:r>
    </w:p>
    <w:p w14:paraId="0C8BE4F4" w14:textId="77777777" w:rsidR="00D47F29" w:rsidRPr="008A0D98" w:rsidRDefault="00D47F29" w:rsidP="00D47F29">
      <w:pPr>
        <w:spacing w:line="240" w:lineRule="auto"/>
        <w:rPr>
          <w:rFonts w:eastAsia="Times New Roman" w:cs="Arial"/>
          <w:i/>
          <w:iCs/>
          <w:color w:val="000000"/>
          <w:u w:val="single"/>
          <w:lang w:eastAsia="bg-BG"/>
        </w:rPr>
      </w:pPr>
    </w:p>
    <w:p w14:paraId="564242B1" w14:textId="68D69E83" w:rsidR="00D47F29" w:rsidRPr="00D47F29" w:rsidRDefault="00D47F29" w:rsidP="00D47F29">
      <w:pPr>
        <w:spacing w:line="240" w:lineRule="auto"/>
        <w:rPr>
          <w:rFonts w:eastAsia="Times New Roman" w:cs="Arial"/>
          <w:sz w:val="24"/>
          <w:szCs w:val="24"/>
          <w:lang w:eastAsia="bg-BG"/>
        </w:rPr>
      </w:pPr>
      <w:r w:rsidRPr="00D47F29">
        <w:rPr>
          <w:rFonts w:eastAsia="Times New Roman" w:cs="Arial"/>
          <w:i/>
          <w:iCs/>
          <w:color w:val="000000"/>
          <w:u w:val="single"/>
          <w:lang w:eastAsia="bg-BG"/>
        </w:rPr>
        <w:t>Фармакодинамични ефекти</w:t>
      </w:r>
    </w:p>
    <w:p w14:paraId="4705520C" w14:textId="0568309A"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 xml:space="preserve">Лечението със солифенацин в дози 5 </w:t>
      </w:r>
      <w:r w:rsidRPr="00D47F29">
        <w:rPr>
          <w:rFonts w:eastAsia="Times New Roman" w:cs="Arial"/>
          <w:color w:val="000000"/>
          <w:lang w:val="en-US"/>
        </w:rPr>
        <w:t xml:space="preserve">mg </w:t>
      </w:r>
      <w:r w:rsidRPr="00D47F29">
        <w:rPr>
          <w:rFonts w:eastAsia="Times New Roman" w:cs="Arial"/>
          <w:color w:val="000000"/>
          <w:lang w:eastAsia="bg-BG"/>
        </w:rPr>
        <w:t xml:space="preserve">и 10 </w:t>
      </w:r>
      <w:r w:rsidRPr="00D47F29">
        <w:rPr>
          <w:rFonts w:eastAsia="Times New Roman" w:cs="Arial"/>
          <w:color w:val="000000"/>
          <w:lang w:val="en-US"/>
        </w:rPr>
        <w:t xml:space="preserve">mg </w:t>
      </w:r>
      <w:r w:rsidRPr="00D47F29">
        <w:rPr>
          <w:rFonts w:eastAsia="Times New Roman" w:cs="Arial"/>
          <w:color w:val="000000"/>
          <w:lang w:eastAsia="bg-BG"/>
        </w:rPr>
        <w:t>дневно е проучено в няколко двойно-слепи, рандомизирани, контролирани клинични изпитвания при мъже и жени</w:t>
      </w:r>
      <w:r w:rsidRPr="008A0D98">
        <w:rPr>
          <w:rFonts w:eastAsia="Times New Roman" w:cs="Arial"/>
          <w:color w:val="000000"/>
          <w:lang w:eastAsia="bg-BG"/>
        </w:rPr>
        <w:t xml:space="preserve"> със свръхактивен пикочен мехур.</w:t>
      </w:r>
    </w:p>
    <w:p w14:paraId="322976B8" w14:textId="77777777" w:rsidR="00D47F29" w:rsidRPr="00D47F29" w:rsidRDefault="00D47F29" w:rsidP="00D47F29">
      <w:pPr>
        <w:spacing w:line="240" w:lineRule="auto"/>
        <w:rPr>
          <w:rFonts w:eastAsia="Times New Roman" w:cs="Arial"/>
          <w:sz w:val="24"/>
          <w:szCs w:val="24"/>
          <w:lang w:eastAsia="bg-BG"/>
        </w:rPr>
      </w:pPr>
      <w:r w:rsidRPr="00D47F29">
        <w:rPr>
          <w:rFonts w:eastAsia="Times New Roman" w:cs="Arial"/>
          <w:color w:val="000000"/>
          <w:lang w:eastAsia="bg-BG"/>
        </w:rPr>
        <w:t xml:space="preserve">Както е показано в таблицата по-долу, и двете дози от 5 </w:t>
      </w:r>
      <w:r w:rsidRPr="00D47F29">
        <w:rPr>
          <w:rFonts w:eastAsia="Times New Roman" w:cs="Arial"/>
          <w:color w:val="000000"/>
          <w:lang w:val="en-US"/>
        </w:rPr>
        <w:t xml:space="preserve">mg </w:t>
      </w:r>
      <w:r w:rsidRPr="00D47F29">
        <w:rPr>
          <w:rFonts w:eastAsia="Times New Roman" w:cs="Arial"/>
          <w:color w:val="000000"/>
          <w:lang w:eastAsia="bg-BG"/>
        </w:rPr>
        <w:t xml:space="preserve">и 10 </w:t>
      </w:r>
      <w:r w:rsidRPr="00D47F29">
        <w:rPr>
          <w:rFonts w:eastAsia="Times New Roman" w:cs="Arial"/>
          <w:color w:val="000000"/>
          <w:lang w:val="en-US"/>
        </w:rPr>
        <w:t xml:space="preserve">mg </w:t>
      </w:r>
      <w:r w:rsidRPr="00D47F29">
        <w:rPr>
          <w:rFonts w:eastAsia="Times New Roman" w:cs="Arial"/>
          <w:color w:val="000000"/>
          <w:lang w:eastAsia="bg-BG"/>
        </w:rPr>
        <w:t xml:space="preserve">солифенацин предизвикват статистически значими подобрения в първичните и вторичните крайни точки </w:t>
      </w:r>
      <w:r w:rsidRPr="00D47F29">
        <w:rPr>
          <w:rFonts w:eastAsia="Times New Roman" w:cs="Arial"/>
          <w:color w:val="000000"/>
          <w:lang w:eastAsia="bg-BG"/>
        </w:rPr>
        <w:lastRenderedPageBreak/>
        <w:t>в сравнение с плацебо. Резултати за ефикасност се отчитат до една седмица от началото на лечението и се стабилизират за период от 12 седмици. Дългосрочно открито проучване показва, че ефикасността се поддържа в продължение на най-малко 12 месеца. След 12-седмично лечение приблизително 50% от пациентите, страдащи от инконтиненция преди лечението, нямат вече епизоди на инконтиненция, като освен това 35% от пациентите постигат честота на уриниране по-малко от 8 пъти дневно. Лечението на симптомите на свръхактивен пикочен мехур се отразява благоприятно върху няколко показателя за качеството на живот, например цялостно усещане за здраве, влияние върху инконтиненцията, ролеви ограничения, физически ограничения, социални ограничения, емоции, тежест на симптомите, показатели за тежестта и сън/енергия.</w:t>
      </w:r>
    </w:p>
    <w:p w14:paraId="2D9C863D" w14:textId="77777777" w:rsidR="00D47F29" w:rsidRPr="008A0D98" w:rsidRDefault="00D47F29" w:rsidP="00D47F29">
      <w:pPr>
        <w:rPr>
          <w:rFonts w:eastAsia="Times New Roman" w:cs="Arial"/>
          <w:i/>
          <w:iCs/>
          <w:color w:val="000000"/>
          <w:u w:val="single"/>
          <w:lang w:eastAsia="bg-BG"/>
        </w:rPr>
      </w:pPr>
    </w:p>
    <w:p w14:paraId="28252AA0" w14:textId="7F2E4867" w:rsidR="0091385D" w:rsidRPr="008A0D98" w:rsidRDefault="00D47F29" w:rsidP="00D47F29">
      <w:pPr>
        <w:rPr>
          <w:rFonts w:cs="Arial"/>
        </w:rPr>
      </w:pPr>
      <w:r w:rsidRPr="008A0D98">
        <w:rPr>
          <w:rFonts w:eastAsia="Times New Roman" w:cs="Arial"/>
          <w:i/>
          <w:iCs/>
          <w:color w:val="000000"/>
          <w:u w:val="single"/>
          <w:lang w:eastAsia="bg-BG"/>
        </w:rPr>
        <w:t>Резултати (сборни данни) от четири контролирани Фаза 3 проучвания с продължителност на лечението 12 седмици</w:t>
      </w:r>
    </w:p>
    <w:tbl>
      <w:tblPr>
        <w:tblStyle w:val="TableGrid"/>
        <w:tblW w:w="0" w:type="auto"/>
        <w:tblLook w:val="04A0" w:firstRow="1" w:lastRow="0" w:firstColumn="1" w:lastColumn="0" w:noHBand="0" w:noVBand="1"/>
      </w:tblPr>
      <w:tblGrid>
        <w:gridCol w:w="1905"/>
        <w:gridCol w:w="1900"/>
        <w:gridCol w:w="1900"/>
        <w:gridCol w:w="1900"/>
        <w:gridCol w:w="1905"/>
      </w:tblGrid>
      <w:tr w:rsidR="008A0D98" w14:paraId="40C10A6D" w14:textId="77777777" w:rsidTr="008A0D98">
        <w:tc>
          <w:tcPr>
            <w:tcW w:w="1905" w:type="dxa"/>
          </w:tcPr>
          <w:p w14:paraId="40AA9553" w14:textId="77777777" w:rsidR="008A0D98" w:rsidRDefault="008A0D98" w:rsidP="008A0D98"/>
        </w:tc>
        <w:tc>
          <w:tcPr>
            <w:tcW w:w="1900" w:type="dxa"/>
          </w:tcPr>
          <w:p w14:paraId="6B2F6359" w14:textId="5E7D9FFC" w:rsidR="008A0D98" w:rsidRDefault="008A0D98" w:rsidP="008A0D98">
            <w:r>
              <w:rPr>
                <w:b/>
                <w:bCs/>
              </w:rPr>
              <w:t>Плацебо</w:t>
            </w:r>
          </w:p>
        </w:tc>
        <w:tc>
          <w:tcPr>
            <w:tcW w:w="1900" w:type="dxa"/>
          </w:tcPr>
          <w:p w14:paraId="14033124" w14:textId="146F6EDA" w:rsidR="008A0D98" w:rsidRDefault="008A0D98" w:rsidP="008A0D98">
            <w:r>
              <w:rPr>
                <w:b/>
                <w:bCs/>
              </w:rPr>
              <w:t xml:space="preserve">Солифенацин 5 </w:t>
            </w:r>
            <w:r>
              <w:rPr>
                <w:b/>
                <w:bCs/>
                <w:lang w:val="en-US"/>
              </w:rPr>
              <w:t xml:space="preserve">mg </w:t>
            </w:r>
            <w:r>
              <w:rPr>
                <w:b/>
                <w:bCs/>
              </w:rPr>
              <w:t>веднъж дневно</w:t>
            </w:r>
          </w:p>
        </w:tc>
        <w:tc>
          <w:tcPr>
            <w:tcW w:w="1900" w:type="dxa"/>
          </w:tcPr>
          <w:p w14:paraId="5980E374" w14:textId="11FC4EAE" w:rsidR="008A0D98" w:rsidRDefault="008A0D98" w:rsidP="008A0D98">
            <w:r>
              <w:rPr>
                <w:b/>
                <w:bCs/>
              </w:rPr>
              <w:t xml:space="preserve">Солифенацин 10 </w:t>
            </w:r>
            <w:r>
              <w:rPr>
                <w:b/>
                <w:bCs/>
                <w:lang w:val="en-US"/>
              </w:rPr>
              <w:t xml:space="preserve">mg </w:t>
            </w:r>
            <w:r>
              <w:rPr>
                <w:b/>
                <w:bCs/>
              </w:rPr>
              <w:t>веднъж дневно</w:t>
            </w:r>
          </w:p>
        </w:tc>
        <w:tc>
          <w:tcPr>
            <w:tcW w:w="1905" w:type="dxa"/>
          </w:tcPr>
          <w:p w14:paraId="40A2CDE1" w14:textId="17632681" w:rsidR="008A0D98" w:rsidRDefault="008A0D98" w:rsidP="008A0D98">
            <w:r>
              <w:rPr>
                <w:b/>
                <w:bCs/>
              </w:rPr>
              <w:t xml:space="preserve">Толтеродин 2 </w:t>
            </w:r>
            <w:r>
              <w:rPr>
                <w:b/>
                <w:bCs/>
                <w:lang w:val="en-US"/>
              </w:rPr>
              <w:t xml:space="preserve">mg </w:t>
            </w:r>
            <w:r>
              <w:rPr>
                <w:b/>
                <w:bCs/>
              </w:rPr>
              <w:t>два пъти дневно</w:t>
            </w:r>
          </w:p>
        </w:tc>
      </w:tr>
      <w:tr w:rsidR="00D47F29" w14:paraId="4FFFD064" w14:textId="77777777" w:rsidTr="008A0D98">
        <w:tc>
          <w:tcPr>
            <w:tcW w:w="9510" w:type="dxa"/>
            <w:gridSpan w:val="5"/>
          </w:tcPr>
          <w:p w14:paraId="47A2EA35" w14:textId="4E0A8979" w:rsidR="00D47F29" w:rsidRDefault="008A0D98" w:rsidP="0091385D">
            <w:r>
              <w:rPr>
                <w:b/>
                <w:bCs/>
              </w:rPr>
              <w:t xml:space="preserve">Брой случаи на уриниране/24 </w:t>
            </w:r>
            <w:r>
              <w:rPr>
                <w:b/>
                <w:bCs/>
                <w:lang w:val="en-US"/>
              </w:rPr>
              <w:t>h</w:t>
            </w:r>
          </w:p>
        </w:tc>
      </w:tr>
      <w:tr w:rsidR="00D47F29" w14:paraId="277D7655" w14:textId="77777777" w:rsidTr="008A0D98">
        <w:tc>
          <w:tcPr>
            <w:tcW w:w="1905" w:type="dxa"/>
          </w:tcPr>
          <w:p w14:paraId="6BF59FC4" w14:textId="77777777" w:rsidR="00D47F29" w:rsidRDefault="00D47F29" w:rsidP="00D47F29">
            <w:r>
              <w:t>Средна изходна стойност Средно намаление спрямо изходната стойност % промяна спрямо изходната стойност</w:t>
            </w:r>
          </w:p>
          <w:p w14:paraId="48FF22B4" w14:textId="77777777" w:rsidR="00D47F29" w:rsidRDefault="00D47F29" w:rsidP="00D47F29">
            <w:r>
              <w:t>п</w:t>
            </w:r>
          </w:p>
          <w:p w14:paraId="23EA5DB4" w14:textId="7EE34102" w:rsidR="00D47F29" w:rsidRDefault="00D47F29" w:rsidP="00D47F29">
            <w:r>
              <w:t>р-стойност*</w:t>
            </w:r>
          </w:p>
        </w:tc>
        <w:tc>
          <w:tcPr>
            <w:tcW w:w="1900" w:type="dxa"/>
          </w:tcPr>
          <w:p w14:paraId="6F41DFF6" w14:textId="77777777" w:rsidR="00D47F29" w:rsidRDefault="00D47F29" w:rsidP="00D47F29">
            <w:r>
              <w:t>11,9</w:t>
            </w:r>
          </w:p>
          <w:p w14:paraId="4D39D27C" w14:textId="77777777" w:rsidR="00D47F29" w:rsidRDefault="00D47F29" w:rsidP="00D47F29">
            <w:r>
              <w:t>1,4</w:t>
            </w:r>
          </w:p>
          <w:p w14:paraId="3E4CAB19" w14:textId="77777777" w:rsidR="00D47F29" w:rsidRDefault="00D47F29" w:rsidP="00D47F29">
            <w:r>
              <w:t>(12%)</w:t>
            </w:r>
          </w:p>
          <w:p w14:paraId="71197FE7" w14:textId="1E4CC5EF" w:rsidR="00D47F29" w:rsidRDefault="00D47F29" w:rsidP="00D47F29">
            <w:r>
              <w:t>1138</w:t>
            </w:r>
          </w:p>
        </w:tc>
        <w:tc>
          <w:tcPr>
            <w:tcW w:w="1900" w:type="dxa"/>
          </w:tcPr>
          <w:p w14:paraId="0252323A" w14:textId="77777777" w:rsidR="00D47F29" w:rsidRDefault="00D47F29" w:rsidP="00D47F29">
            <w:r>
              <w:t>12,1</w:t>
            </w:r>
          </w:p>
          <w:p w14:paraId="265D8ABA" w14:textId="77777777" w:rsidR="00D47F29" w:rsidRDefault="00D47F29" w:rsidP="00D47F29">
            <w:r>
              <w:t>2,3</w:t>
            </w:r>
          </w:p>
          <w:p w14:paraId="6D9FC920" w14:textId="77777777" w:rsidR="00D47F29" w:rsidRDefault="00D47F29" w:rsidP="00D47F29">
            <w:r>
              <w:t>(19%)</w:t>
            </w:r>
          </w:p>
          <w:p w14:paraId="7A4CC5FD" w14:textId="25F3D360" w:rsidR="00D47F29" w:rsidRDefault="00D47F29" w:rsidP="00D47F29">
            <w:r>
              <w:t>552 &lt;0,001</w:t>
            </w:r>
          </w:p>
        </w:tc>
        <w:tc>
          <w:tcPr>
            <w:tcW w:w="1900" w:type="dxa"/>
          </w:tcPr>
          <w:p w14:paraId="1600E25E" w14:textId="77777777" w:rsidR="00D47F29" w:rsidRDefault="00D47F29" w:rsidP="00D47F29">
            <w:r>
              <w:t>11,9</w:t>
            </w:r>
          </w:p>
          <w:p w14:paraId="3AF8F77B" w14:textId="77777777" w:rsidR="00D47F29" w:rsidRDefault="00D47F29" w:rsidP="00D47F29">
            <w:r>
              <w:t>2,7</w:t>
            </w:r>
          </w:p>
          <w:p w14:paraId="7C3B0086" w14:textId="77777777" w:rsidR="00D47F29" w:rsidRDefault="00D47F29" w:rsidP="00D47F29">
            <w:r>
              <w:t>(23%)</w:t>
            </w:r>
          </w:p>
          <w:p w14:paraId="7E900285" w14:textId="77777777" w:rsidR="00D47F29" w:rsidRDefault="00D47F29" w:rsidP="00D47F29">
            <w:r>
              <w:t>1158</w:t>
            </w:r>
          </w:p>
          <w:p w14:paraId="6E546B86" w14:textId="75BDB39B" w:rsidR="00D47F29" w:rsidRDefault="00D47F29" w:rsidP="00D47F29">
            <w:r>
              <w:t>&lt;0,001</w:t>
            </w:r>
          </w:p>
        </w:tc>
        <w:tc>
          <w:tcPr>
            <w:tcW w:w="1905" w:type="dxa"/>
          </w:tcPr>
          <w:p w14:paraId="09A034ED" w14:textId="77777777" w:rsidR="00D47F29" w:rsidRDefault="00D47F29" w:rsidP="00D47F29">
            <w:r>
              <w:t>12,1</w:t>
            </w:r>
          </w:p>
          <w:p w14:paraId="621B2610" w14:textId="77777777" w:rsidR="00D47F29" w:rsidRDefault="00D47F29" w:rsidP="00D47F29">
            <w:r>
              <w:t>1,9</w:t>
            </w:r>
          </w:p>
          <w:p w14:paraId="469015F8" w14:textId="77777777" w:rsidR="00D47F29" w:rsidRDefault="00D47F29" w:rsidP="00D47F29">
            <w:r>
              <w:t>(16%)</w:t>
            </w:r>
          </w:p>
          <w:p w14:paraId="37ADF42F" w14:textId="20A7A2FD" w:rsidR="00D47F29" w:rsidRDefault="00D47F29" w:rsidP="00D47F29">
            <w:r>
              <w:t>250 0,004</w:t>
            </w:r>
          </w:p>
        </w:tc>
      </w:tr>
      <w:tr w:rsidR="00D47F29" w14:paraId="63CB60F1" w14:textId="77777777" w:rsidTr="008A0D98">
        <w:tc>
          <w:tcPr>
            <w:tcW w:w="9510" w:type="dxa"/>
            <w:gridSpan w:val="5"/>
          </w:tcPr>
          <w:p w14:paraId="731ABCD6" w14:textId="134F7CA2" w:rsidR="00D47F29" w:rsidRDefault="008A0D98" w:rsidP="0091385D">
            <w:r>
              <w:rPr>
                <w:b/>
                <w:bCs/>
              </w:rPr>
              <w:t xml:space="preserve">Брой епизоди на позиви за урнниране/24 </w:t>
            </w:r>
            <w:r>
              <w:rPr>
                <w:b/>
                <w:bCs/>
                <w:lang w:val="en-US"/>
              </w:rPr>
              <w:t>h</w:t>
            </w:r>
          </w:p>
        </w:tc>
      </w:tr>
      <w:tr w:rsidR="008A0D98" w14:paraId="51621DF6" w14:textId="77777777" w:rsidTr="0039292F">
        <w:trPr>
          <w:trHeight w:val="2698"/>
        </w:trPr>
        <w:tc>
          <w:tcPr>
            <w:tcW w:w="1905" w:type="dxa"/>
          </w:tcPr>
          <w:p w14:paraId="57ACFF25" w14:textId="77777777" w:rsidR="008A0D98" w:rsidRDefault="008A0D98" w:rsidP="00D47F29">
            <w:r>
              <w:t>Средна изходна стойност Средно намаление спрямо изходната стойност % промяна спрямо изходната</w:t>
            </w:r>
          </w:p>
          <w:p w14:paraId="0C52D97E" w14:textId="22C50AC1" w:rsidR="008A0D98" w:rsidRDefault="008A0D98" w:rsidP="008A0D98">
            <w:r>
              <w:t>стойност</w:t>
            </w:r>
          </w:p>
        </w:tc>
        <w:tc>
          <w:tcPr>
            <w:tcW w:w="1900" w:type="dxa"/>
          </w:tcPr>
          <w:p w14:paraId="408E681A" w14:textId="77777777" w:rsidR="008A0D98" w:rsidRDefault="008A0D98" w:rsidP="00D47F29">
            <w:r>
              <w:t>6,3</w:t>
            </w:r>
          </w:p>
          <w:p w14:paraId="323C8F14" w14:textId="77777777" w:rsidR="008A0D98" w:rsidRDefault="008A0D98" w:rsidP="00D47F29">
            <w:r>
              <w:t>2,0</w:t>
            </w:r>
          </w:p>
          <w:p w14:paraId="616E6561" w14:textId="5849BFBE" w:rsidR="008A0D98" w:rsidRDefault="008A0D98" w:rsidP="00D47F29">
            <w:r>
              <w:t>(32%)</w:t>
            </w:r>
          </w:p>
        </w:tc>
        <w:tc>
          <w:tcPr>
            <w:tcW w:w="1900" w:type="dxa"/>
          </w:tcPr>
          <w:p w14:paraId="204DAED2" w14:textId="77777777" w:rsidR="008A0D98" w:rsidRDefault="008A0D98" w:rsidP="00D47F29">
            <w:r>
              <w:t>5,9</w:t>
            </w:r>
          </w:p>
          <w:p w14:paraId="5F387D1D" w14:textId="77777777" w:rsidR="008A0D98" w:rsidRDefault="008A0D98" w:rsidP="00D47F29">
            <w:r>
              <w:t>2,9</w:t>
            </w:r>
          </w:p>
          <w:p w14:paraId="63341354" w14:textId="15249EAD" w:rsidR="008A0D98" w:rsidRDefault="008A0D98" w:rsidP="00D47F29">
            <w:r>
              <w:t>(49%)</w:t>
            </w:r>
          </w:p>
        </w:tc>
        <w:tc>
          <w:tcPr>
            <w:tcW w:w="1900" w:type="dxa"/>
          </w:tcPr>
          <w:p w14:paraId="38E7FDDB" w14:textId="77777777" w:rsidR="008A0D98" w:rsidRDefault="008A0D98" w:rsidP="00D47F29">
            <w:r>
              <w:t>6,2</w:t>
            </w:r>
          </w:p>
          <w:p w14:paraId="37029E70" w14:textId="77777777" w:rsidR="008A0D98" w:rsidRDefault="008A0D98" w:rsidP="00D47F29">
            <w:r>
              <w:t>3,4</w:t>
            </w:r>
          </w:p>
          <w:p w14:paraId="5FD6563B" w14:textId="7A850D65" w:rsidR="008A0D98" w:rsidRDefault="008A0D98" w:rsidP="00D47F29">
            <w:r>
              <w:t>(55%)</w:t>
            </w:r>
          </w:p>
        </w:tc>
        <w:tc>
          <w:tcPr>
            <w:tcW w:w="1905" w:type="dxa"/>
          </w:tcPr>
          <w:p w14:paraId="5D5FCC4F" w14:textId="77777777" w:rsidR="008A0D98" w:rsidRDefault="008A0D98" w:rsidP="00D47F29">
            <w:r>
              <w:rPr>
                <w:i/>
                <w:iCs/>
              </w:rPr>
              <w:t>5,4</w:t>
            </w:r>
          </w:p>
          <w:p w14:paraId="3F2DCCD7" w14:textId="77777777" w:rsidR="008A0D98" w:rsidRDefault="008A0D98" w:rsidP="00D47F29">
            <w:r>
              <w:rPr>
                <w:i/>
                <w:iCs/>
              </w:rPr>
              <w:t>2,1</w:t>
            </w:r>
          </w:p>
          <w:p w14:paraId="5B181B49" w14:textId="77777777" w:rsidR="008A0D98" w:rsidRDefault="008A0D98" w:rsidP="00D47F29"/>
          <w:p w14:paraId="3CB6F1AC" w14:textId="46DBAECA" w:rsidR="008A0D98" w:rsidRDefault="008A0D98" w:rsidP="00D47F29">
            <w:r>
              <w:rPr>
                <w:i/>
                <w:iCs/>
              </w:rPr>
              <w:t>(39%)</w:t>
            </w:r>
          </w:p>
        </w:tc>
      </w:tr>
      <w:tr w:rsidR="008A0D98" w14:paraId="13EA3890" w14:textId="77777777" w:rsidTr="008A0D98">
        <w:tc>
          <w:tcPr>
            <w:tcW w:w="1905" w:type="dxa"/>
          </w:tcPr>
          <w:p w14:paraId="55361224" w14:textId="21519D6E" w:rsidR="008A0D98" w:rsidRDefault="008A0D98" w:rsidP="008A0D98">
            <w:r>
              <w:rPr>
                <w:lang w:val="en-US"/>
              </w:rPr>
              <w:t>n</w:t>
            </w:r>
          </w:p>
        </w:tc>
        <w:tc>
          <w:tcPr>
            <w:tcW w:w="1900" w:type="dxa"/>
          </w:tcPr>
          <w:p w14:paraId="1662C2A0" w14:textId="5311415A" w:rsidR="008A0D98" w:rsidRDefault="008A0D98" w:rsidP="008A0D98">
            <w:r>
              <w:rPr>
                <w:i/>
                <w:iCs/>
              </w:rPr>
              <w:t>1124</w:t>
            </w:r>
          </w:p>
        </w:tc>
        <w:tc>
          <w:tcPr>
            <w:tcW w:w="1900" w:type="dxa"/>
          </w:tcPr>
          <w:p w14:paraId="65D13BE8" w14:textId="580502F8" w:rsidR="008A0D98" w:rsidRDefault="008A0D98" w:rsidP="008A0D98">
            <w:r>
              <w:t>548</w:t>
            </w:r>
          </w:p>
        </w:tc>
        <w:tc>
          <w:tcPr>
            <w:tcW w:w="1900" w:type="dxa"/>
          </w:tcPr>
          <w:p w14:paraId="26F40D92" w14:textId="534FC5CD" w:rsidR="008A0D98" w:rsidRDefault="008A0D98" w:rsidP="008A0D98">
            <w:r>
              <w:rPr>
                <w:lang w:val="en-US"/>
              </w:rPr>
              <w:t>1151</w:t>
            </w:r>
          </w:p>
        </w:tc>
        <w:tc>
          <w:tcPr>
            <w:tcW w:w="1905" w:type="dxa"/>
          </w:tcPr>
          <w:p w14:paraId="7BB96F27" w14:textId="36641DEB" w:rsidR="008A0D98" w:rsidRDefault="008A0D98" w:rsidP="008A0D98">
            <w:r>
              <w:rPr>
                <w:lang w:val="en-US"/>
              </w:rPr>
              <w:t>250</w:t>
            </w:r>
          </w:p>
        </w:tc>
      </w:tr>
      <w:tr w:rsidR="008A0D98" w14:paraId="03F3D29E" w14:textId="77777777" w:rsidTr="008A0D98">
        <w:tc>
          <w:tcPr>
            <w:tcW w:w="1905" w:type="dxa"/>
          </w:tcPr>
          <w:p w14:paraId="1B889680" w14:textId="39DC8F0C" w:rsidR="008A0D98" w:rsidRDefault="008A0D98" w:rsidP="008A0D98">
            <w:r>
              <w:t>р-стойност*</w:t>
            </w:r>
          </w:p>
        </w:tc>
        <w:tc>
          <w:tcPr>
            <w:tcW w:w="1900" w:type="dxa"/>
          </w:tcPr>
          <w:p w14:paraId="62026A17" w14:textId="77777777" w:rsidR="008A0D98" w:rsidRDefault="008A0D98" w:rsidP="008A0D98"/>
        </w:tc>
        <w:tc>
          <w:tcPr>
            <w:tcW w:w="1900" w:type="dxa"/>
          </w:tcPr>
          <w:p w14:paraId="11ACDA09" w14:textId="5D688E8F" w:rsidR="008A0D98" w:rsidRDefault="008A0D98" w:rsidP="008A0D98">
            <w:r>
              <w:t>&lt;0,001</w:t>
            </w:r>
          </w:p>
        </w:tc>
        <w:tc>
          <w:tcPr>
            <w:tcW w:w="1900" w:type="dxa"/>
          </w:tcPr>
          <w:p w14:paraId="2F355167" w14:textId="0F31DD91" w:rsidR="008A0D98" w:rsidRDefault="008A0D98" w:rsidP="008A0D98">
            <w:r>
              <w:rPr>
                <w:lang w:val="en-US"/>
              </w:rPr>
              <w:t>&lt;0,001</w:t>
            </w:r>
          </w:p>
        </w:tc>
        <w:tc>
          <w:tcPr>
            <w:tcW w:w="1905" w:type="dxa"/>
          </w:tcPr>
          <w:p w14:paraId="2B80B6DC" w14:textId="070DC072" w:rsidR="008A0D98" w:rsidRDefault="008A0D98" w:rsidP="008A0D98">
            <w:r>
              <w:rPr>
                <w:lang w:val="en-US"/>
              </w:rPr>
              <w:t>0,031</w:t>
            </w:r>
          </w:p>
        </w:tc>
      </w:tr>
      <w:tr w:rsidR="008A0D98" w14:paraId="2F3AE635" w14:textId="77777777" w:rsidTr="00087E20">
        <w:tc>
          <w:tcPr>
            <w:tcW w:w="9510" w:type="dxa"/>
            <w:gridSpan w:val="5"/>
          </w:tcPr>
          <w:p w14:paraId="206A75EE" w14:textId="77777777" w:rsidR="008A0D98" w:rsidRDefault="008A0D98" w:rsidP="0091385D"/>
        </w:tc>
      </w:tr>
      <w:tr w:rsidR="008A0D98" w14:paraId="727B293A" w14:textId="77777777" w:rsidTr="008A0D98">
        <w:tc>
          <w:tcPr>
            <w:tcW w:w="1905" w:type="dxa"/>
          </w:tcPr>
          <w:p w14:paraId="019E4252" w14:textId="147CFEC5" w:rsidR="008A0D98" w:rsidRDefault="008A0D98" w:rsidP="008A0D98">
            <w:r>
              <w:t>Средна изходна стойност</w:t>
            </w:r>
          </w:p>
        </w:tc>
        <w:tc>
          <w:tcPr>
            <w:tcW w:w="1900" w:type="dxa"/>
          </w:tcPr>
          <w:p w14:paraId="2F62E6B5" w14:textId="1A4683B1" w:rsidR="008A0D98" w:rsidRDefault="008A0D98" w:rsidP="008A0D98">
            <w:r>
              <w:t>2,9</w:t>
            </w:r>
          </w:p>
        </w:tc>
        <w:tc>
          <w:tcPr>
            <w:tcW w:w="1900" w:type="dxa"/>
          </w:tcPr>
          <w:p w14:paraId="003979F6" w14:textId="1E36D2A7" w:rsidR="008A0D98" w:rsidRDefault="008A0D98" w:rsidP="008A0D98">
            <w:r>
              <w:t>2,6</w:t>
            </w:r>
          </w:p>
        </w:tc>
        <w:tc>
          <w:tcPr>
            <w:tcW w:w="1900" w:type="dxa"/>
          </w:tcPr>
          <w:p w14:paraId="380886EE" w14:textId="383C10BC" w:rsidR="008A0D98" w:rsidRDefault="008A0D98" w:rsidP="008A0D98">
            <w:r>
              <w:rPr>
                <w:lang w:val="en-US"/>
              </w:rPr>
              <w:t>2,9</w:t>
            </w:r>
          </w:p>
        </w:tc>
        <w:tc>
          <w:tcPr>
            <w:tcW w:w="1905" w:type="dxa"/>
          </w:tcPr>
          <w:p w14:paraId="3A2D2F44" w14:textId="735ABB62" w:rsidR="008A0D98" w:rsidRDefault="008A0D98" w:rsidP="008A0D98">
            <w:r>
              <w:rPr>
                <w:lang w:val="en-US"/>
              </w:rPr>
              <w:t>2,3</w:t>
            </w:r>
          </w:p>
        </w:tc>
      </w:tr>
      <w:tr w:rsidR="008A0D98" w14:paraId="1043F1DC" w14:textId="77777777" w:rsidTr="008A0D98">
        <w:tc>
          <w:tcPr>
            <w:tcW w:w="1905" w:type="dxa"/>
          </w:tcPr>
          <w:p w14:paraId="79E99AFD" w14:textId="7AD39C8E" w:rsidR="008A0D98" w:rsidRDefault="008A0D98" w:rsidP="008A0D98">
            <w:r>
              <w:t xml:space="preserve">Средно намаление спрямо </w:t>
            </w:r>
            <w:r>
              <w:lastRenderedPageBreak/>
              <w:t>изходната стойност</w:t>
            </w:r>
          </w:p>
        </w:tc>
        <w:tc>
          <w:tcPr>
            <w:tcW w:w="1900" w:type="dxa"/>
          </w:tcPr>
          <w:p w14:paraId="11EBE51B" w14:textId="2329DA77" w:rsidR="008A0D98" w:rsidRDefault="008A0D98" w:rsidP="008A0D98">
            <w:r>
              <w:lastRenderedPageBreak/>
              <w:t>1,1</w:t>
            </w:r>
          </w:p>
        </w:tc>
        <w:tc>
          <w:tcPr>
            <w:tcW w:w="1900" w:type="dxa"/>
          </w:tcPr>
          <w:p w14:paraId="21C106C4" w14:textId="17AEC9D8" w:rsidR="008A0D98" w:rsidRDefault="008A0D98" w:rsidP="008A0D98">
            <w:r>
              <w:t>1,5</w:t>
            </w:r>
          </w:p>
        </w:tc>
        <w:tc>
          <w:tcPr>
            <w:tcW w:w="1900" w:type="dxa"/>
          </w:tcPr>
          <w:p w14:paraId="052D4B66" w14:textId="2782294E" w:rsidR="008A0D98" w:rsidRDefault="008A0D98" w:rsidP="008A0D98">
            <w:r>
              <w:rPr>
                <w:lang w:val="en-US"/>
              </w:rPr>
              <w:t>1,8</w:t>
            </w:r>
          </w:p>
        </w:tc>
        <w:tc>
          <w:tcPr>
            <w:tcW w:w="1905" w:type="dxa"/>
          </w:tcPr>
          <w:p w14:paraId="35B23264" w14:textId="477753E7" w:rsidR="008A0D98" w:rsidRDefault="008A0D98" w:rsidP="008A0D98">
            <w:r>
              <w:rPr>
                <w:lang w:val="en-US"/>
              </w:rPr>
              <w:t>1,1</w:t>
            </w:r>
          </w:p>
        </w:tc>
      </w:tr>
      <w:tr w:rsidR="008A0D98" w14:paraId="76BEE8C7" w14:textId="77777777" w:rsidTr="008A0D98">
        <w:tc>
          <w:tcPr>
            <w:tcW w:w="1905" w:type="dxa"/>
          </w:tcPr>
          <w:p w14:paraId="19A23BFF" w14:textId="47DA9218" w:rsidR="008A0D98" w:rsidRDefault="008A0D98" w:rsidP="008A0D98">
            <w:r>
              <w:t>% промяна спрямо изходната стойност</w:t>
            </w:r>
          </w:p>
        </w:tc>
        <w:tc>
          <w:tcPr>
            <w:tcW w:w="1900" w:type="dxa"/>
          </w:tcPr>
          <w:p w14:paraId="7FE46C84" w14:textId="27238002" w:rsidR="008A0D98" w:rsidRDefault="008A0D98" w:rsidP="008A0D98">
            <w:r>
              <w:t>(38%)</w:t>
            </w:r>
          </w:p>
        </w:tc>
        <w:tc>
          <w:tcPr>
            <w:tcW w:w="1900" w:type="dxa"/>
          </w:tcPr>
          <w:p w14:paraId="7923FDB5" w14:textId="17F285AD" w:rsidR="008A0D98" w:rsidRDefault="008A0D98" w:rsidP="008A0D98">
            <w:r>
              <w:t>(58%)</w:t>
            </w:r>
          </w:p>
        </w:tc>
        <w:tc>
          <w:tcPr>
            <w:tcW w:w="1900" w:type="dxa"/>
          </w:tcPr>
          <w:p w14:paraId="74C90F66" w14:textId="4DFEF31F" w:rsidR="008A0D98" w:rsidRDefault="008A0D98" w:rsidP="008A0D98">
            <w:r>
              <w:rPr>
                <w:lang w:val="en-US"/>
              </w:rPr>
              <w:t>(62%)</w:t>
            </w:r>
          </w:p>
        </w:tc>
        <w:tc>
          <w:tcPr>
            <w:tcW w:w="1905" w:type="dxa"/>
          </w:tcPr>
          <w:p w14:paraId="6060A5A1" w14:textId="48C1CBB8" w:rsidR="008A0D98" w:rsidRDefault="008A0D98" w:rsidP="008A0D98">
            <w:r>
              <w:rPr>
                <w:lang w:val="en-US"/>
              </w:rPr>
              <w:t>(48%)</w:t>
            </w:r>
          </w:p>
        </w:tc>
      </w:tr>
      <w:tr w:rsidR="008A0D98" w14:paraId="3D8EBE33" w14:textId="77777777" w:rsidTr="008A0D98">
        <w:tc>
          <w:tcPr>
            <w:tcW w:w="1905" w:type="dxa"/>
          </w:tcPr>
          <w:p w14:paraId="14F50B96" w14:textId="4DB13B6B" w:rsidR="008A0D98" w:rsidRDefault="008A0D98" w:rsidP="008A0D98">
            <w:r>
              <w:rPr>
                <w:lang w:val="en-US"/>
              </w:rPr>
              <w:t>n</w:t>
            </w:r>
          </w:p>
        </w:tc>
        <w:tc>
          <w:tcPr>
            <w:tcW w:w="1900" w:type="dxa"/>
          </w:tcPr>
          <w:p w14:paraId="17CA458C" w14:textId="23414F17" w:rsidR="008A0D98" w:rsidRDefault="008A0D98" w:rsidP="008A0D98">
            <w:r>
              <w:t>781</w:t>
            </w:r>
          </w:p>
        </w:tc>
        <w:tc>
          <w:tcPr>
            <w:tcW w:w="1900" w:type="dxa"/>
          </w:tcPr>
          <w:p w14:paraId="45DACD59" w14:textId="1B83E951" w:rsidR="008A0D98" w:rsidRDefault="008A0D98" w:rsidP="008A0D98">
            <w:r>
              <w:t>314</w:t>
            </w:r>
          </w:p>
        </w:tc>
        <w:tc>
          <w:tcPr>
            <w:tcW w:w="1900" w:type="dxa"/>
          </w:tcPr>
          <w:p w14:paraId="76049FBA" w14:textId="2E9A989A" w:rsidR="008A0D98" w:rsidRDefault="008A0D98" w:rsidP="008A0D98">
            <w:r>
              <w:rPr>
                <w:lang w:val="en-US"/>
              </w:rPr>
              <w:t>778</w:t>
            </w:r>
          </w:p>
        </w:tc>
        <w:tc>
          <w:tcPr>
            <w:tcW w:w="1905" w:type="dxa"/>
          </w:tcPr>
          <w:p w14:paraId="2A709EF4" w14:textId="7BDD0D0E" w:rsidR="008A0D98" w:rsidRDefault="008A0D98" w:rsidP="008A0D98">
            <w:r>
              <w:rPr>
                <w:lang w:val="en-US"/>
              </w:rPr>
              <w:t>157</w:t>
            </w:r>
          </w:p>
        </w:tc>
      </w:tr>
      <w:tr w:rsidR="008A0D98" w14:paraId="3C492E92" w14:textId="77777777" w:rsidTr="008A0D98">
        <w:tc>
          <w:tcPr>
            <w:tcW w:w="1905" w:type="dxa"/>
          </w:tcPr>
          <w:p w14:paraId="28236FEA" w14:textId="6A4ACC5E" w:rsidR="008A0D98" w:rsidRDefault="008A0D98" w:rsidP="008A0D98">
            <w:r>
              <w:t>р-стойност*</w:t>
            </w:r>
          </w:p>
        </w:tc>
        <w:tc>
          <w:tcPr>
            <w:tcW w:w="1900" w:type="dxa"/>
          </w:tcPr>
          <w:p w14:paraId="72891F20" w14:textId="77777777" w:rsidR="008A0D98" w:rsidRDefault="008A0D98" w:rsidP="008A0D98"/>
        </w:tc>
        <w:tc>
          <w:tcPr>
            <w:tcW w:w="1900" w:type="dxa"/>
          </w:tcPr>
          <w:p w14:paraId="117BF488" w14:textId="528F1CC5" w:rsidR="008A0D98" w:rsidRDefault="008A0D98" w:rsidP="008A0D98">
            <w:r>
              <w:t>&lt;0,001</w:t>
            </w:r>
          </w:p>
        </w:tc>
        <w:tc>
          <w:tcPr>
            <w:tcW w:w="1900" w:type="dxa"/>
          </w:tcPr>
          <w:p w14:paraId="5B60BA14" w14:textId="574F9D9D" w:rsidR="008A0D98" w:rsidRDefault="008A0D98" w:rsidP="008A0D98">
            <w:r>
              <w:rPr>
                <w:lang w:val="en-US"/>
              </w:rPr>
              <w:t>&lt;0,001</w:t>
            </w:r>
          </w:p>
        </w:tc>
        <w:tc>
          <w:tcPr>
            <w:tcW w:w="1905" w:type="dxa"/>
          </w:tcPr>
          <w:p w14:paraId="28CF85B5" w14:textId="245E6707" w:rsidR="008A0D98" w:rsidRDefault="008A0D98" w:rsidP="008A0D98">
            <w:r>
              <w:rPr>
                <w:lang w:val="en-US"/>
              </w:rPr>
              <w:t>0,009</w:t>
            </w:r>
          </w:p>
        </w:tc>
      </w:tr>
      <w:tr w:rsidR="008A0D98" w14:paraId="2C3E1753" w14:textId="77777777" w:rsidTr="009879CE">
        <w:tc>
          <w:tcPr>
            <w:tcW w:w="9510" w:type="dxa"/>
            <w:gridSpan w:val="5"/>
          </w:tcPr>
          <w:p w14:paraId="05E7E4B8" w14:textId="77777777" w:rsidR="008A0D98" w:rsidRDefault="008A0D98" w:rsidP="0091385D"/>
        </w:tc>
      </w:tr>
      <w:tr w:rsidR="008A0D98" w14:paraId="3CA23413" w14:textId="77777777" w:rsidTr="008A0D98">
        <w:tc>
          <w:tcPr>
            <w:tcW w:w="1905" w:type="dxa"/>
          </w:tcPr>
          <w:p w14:paraId="651192A2" w14:textId="20A76840" w:rsidR="008A0D98" w:rsidRDefault="008A0D98" w:rsidP="008A0D98">
            <w:r>
              <w:t>Средна изходна стойност</w:t>
            </w:r>
          </w:p>
        </w:tc>
        <w:tc>
          <w:tcPr>
            <w:tcW w:w="1900" w:type="dxa"/>
          </w:tcPr>
          <w:p w14:paraId="6E3335A1" w14:textId="5157217C" w:rsidR="008A0D98" w:rsidRDefault="008A0D98" w:rsidP="008A0D98">
            <w:r>
              <w:t>1,8</w:t>
            </w:r>
          </w:p>
        </w:tc>
        <w:tc>
          <w:tcPr>
            <w:tcW w:w="1900" w:type="dxa"/>
          </w:tcPr>
          <w:p w14:paraId="3D9D4717" w14:textId="16AC81C5" w:rsidR="008A0D98" w:rsidRDefault="008A0D98" w:rsidP="008A0D98">
            <w:r>
              <w:t>2,0</w:t>
            </w:r>
          </w:p>
        </w:tc>
        <w:tc>
          <w:tcPr>
            <w:tcW w:w="1900" w:type="dxa"/>
          </w:tcPr>
          <w:p w14:paraId="55BD22E2" w14:textId="72FB0F5F" w:rsidR="008A0D98" w:rsidRDefault="008A0D98" w:rsidP="008A0D98">
            <w:r>
              <w:rPr>
                <w:lang w:val="en-US"/>
              </w:rPr>
              <w:t>1,8</w:t>
            </w:r>
          </w:p>
        </w:tc>
        <w:tc>
          <w:tcPr>
            <w:tcW w:w="1905" w:type="dxa"/>
          </w:tcPr>
          <w:p w14:paraId="53F016A9" w14:textId="2489A12E" w:rsidR="008A0D98" w:rsidRDefault="008A0D98" w:rsidP="008A0D98">
            <w:r>
              <w:rPr>
                <w:lang w:val="en-US"/>
              </w:rPr>
              <w:t>1,9</w:t>
            </w:r>
          </w:p>
        </w:tc>
      </w:tr>
      <w:tr w:rsidR="008A0D98" w14:paraId="3913671D" w14:textId="77777777" w:rsidTr="008A0D98">
        <w:tc>
          <w:tcPr>
            <w:tcW w:w="1905" w:type="dxa"/>
          </w:tcPr>
          <w:p w14:paraId="35B49F36" w14:textId="4EF92A51" w:rsidR="008A0D98" w:rsidRDefault="008A0D98" w:rsidP="008A0D98">
            <w:r>
              <w:t>Средно намаление спрямо изходната стойност</w:t>
            </w:r>
          </w:p>
        </w:tc>
        <w:tc>
          <w:tcPr>
            <w:tcW w:w="1900" w:type="dxa"/>
          </w:tcPr>
          <w:p w14:paraId="6D4C9A14" w14:textId="47D93FA4" w:rsidR="008A0D98" w:rsidRDefault="008A0D98" w:rsidP="008A0D98">
            <w:r>
              <w:t>0,4</w:t>
            </w:r>
          </w:p>
        </w:tc>
        <w:tc>
          <w:tcPr>
            <w:tcW w:w="1900" w:type="dxa"/>
          </w:tcPr>
          <w:p w14:paraId="2EBFEBB3" w14:textId="746B44BA" w:rsidR="008A0D98" w:rsidRDefault="008A0D98" w:rsidP="008A0D98">
            <w:r>
              <w:t>0,6</w:t>
            </w:r>
          </w:p>
        </w:tc>
        <w:tc>
          <w:tcPr>
            <w:tcW w:w="1900" w:type="dxa"/>
          </w:tcPr>
          <w:p w14:paraId="13C20460" w14:textId="52387EB8" w:rsidR="008A0D98" w:rsidRDefault="008A0D98" w:rsidP="008A0D98">
            <w:r>
              <w:rPr>
                <w:lang w:val="en-US"/>
              </w:rPr>
              <w:t>0,6</w:t>
            </w:r>
          </w:p>
        </w:tc>
        <w:tc>
          <w:tcPr>
            <w:tcW w:w="1905" w:type="dxa"/>
          </w:tcPr>
          <w:p w14:paraId="152EA241" w14:textId="5C622917" w:rsidR="008A0D98" w:rsidRDefault="008A0D98" w:rsidP="008A0D98">
            <w:r>
              <w:rPr>
                <w:lang w:val="en-US"/>
              </w:rPr>
              <w:t>0,5</w:t>
            </w:r>
          </w:p>
        </w:tc>
      </w:tr>
      <w:tr w:rsidR="008A0D98" w14:paraId="6F889B0A" w14:textId="77777777" w:rsidTr="008A0D98">
        <w:tc>
          <w:tcPr>
            <w:tcW w:w="1905" w:type="dxa"/>
          </w:tcPr>
          <w:p w14:paraId="386792A9" w14:textId="3CCF45CD" w:rsidR="008A0D98" w:rsidRDefault="008A0D98" w:rsidP="008A0D98">
            <w:r>
              <w:t>% промяна спрямо изходната стойност</w:t>
            </w:r>
          </w:p>
        </w:tc>
        <w:tc>
          <w:tcPr>
            <w:tcW w:w="1900" w:type="dxa"/>
          </w:tcPr>
          <w:p w14:paraId="7872300A" w14:textId="76B59945" w:rsidR="008A0D98" w:rsidRDefault="008A0D98" w:rsidP="008A0D98">
            <w:r>
              <w:t>(22%)</w:t>
            </w:r>
          </w:p>
        </w:tc>
        <w:tc>
          <w:tcPr>
            <w:tcW w:w="1900" w:type="dxa"/>
          </w:tcPr>
          <w:p w14:paraId="4FA9D6E2" w14:textId="2FC5D711" w:rsidR="008A0D98" w:rsidRDefault="008A0D98" w:rsidP="008A0D98">
            <w:r>
              <w:t>(30%)</w:t>
            </w:r>
          </w:p>
        </w:tc>
        <w:tc>
          <w:tcPr>
            <w:tcW w:w="1900" w:type="dxa"/>
          </w:tcPr>
          <w:p w14:paraId="41A581A1" w14:textId="53D86956" w:rsidR="008A0D98" w:rsidRDefault="008A0D98" w:rsidP="008A0D98">
            <w:r>
              <w:rPr>
                <w:lang w:val="en-US"/>
              </w:rPr>
              <w:t>(33%)</w:t>
            </w:r>
          </w:p>
        </w:tc>
        <w:tc>
          <w:tcPr>
            <w:tcW w:w="1905" w:type="dxa"/>
          </w:tcPr>
          <w:p w14:paraId="056ADC0D" w14:textId="304DF0FE" w:rsidR="008A0D98" w:rsidRDefault="008A0D98" w:rsidP="008A0D98">
            <w:r>
              <w:rPr>
                <w:lang w:val="en-US"/>
              </w:rPr>
              <w:t>(26%)</w:t>
            </w:r>
          </w:p>
        </w:tc>
      </w:tr>
      <w:tr w:rsidR="008A0D98" w14:paraId="5B025173" w14:textId="77777777" w:rsidTr="008A0D98">
        <w:tc>
          <w:tcPr>
            <w:tcW w:w="1905" w:type="dxa"/>
          </w:tcPr>
          <w:p w14:paraId="66B0B0F0" w14:textId="39231791" w:rsidR="008A0D98" w:rsidRDefault="008A0D98" w:rsidP="008A0D98">
            <w:r>
              <w:rPr>
                <w:lang w:val="en-US"/>
              </w:rPr>
              <w:t>n</w:t>
            </w:r>
          </w:p>
        </w:tc>
        <w:tc>
          <w:tcPr>
            <w:tcW w:w="1900" w:type="dxa"/>
          </w:tcPr>
          <w:p w14:paraId="2380CD04" w14:textId="124BE09B" w:rsidR="008A0D98" w:rsidRDefault="008A0D98" w:rsidP="008A0D98">
            <w:r>
              <w:t>1005</w:t>
            </w:r>
          </w:p>
        </w:tc>
        <w:tc>
          <w:tcPr>
            <w:tcW w:w="1900" w:type="dxa"/>
          </w:tcPr>
          <w:p w14:paraId="1F45E686" w14:textId="03F4665D" w:rsidR="008A0D98" w:rsidRDefault="008A0D98" w:rsidP="008A0D98">
            <w:r>
              <w:t>494</w:t>
            </w:r>
          </w:p>
        </w:tc>
        <w:tc>
          <w:tcPr>
            <w:tcW w:w="1900" w:type="dxa"/>
          </w:tcPr>
          <w:p w14:paraId="57A974E0" w14:textId="5207BF46" w:rsidR="008A0D98" w:rsidRDefault="008A0D98" w:rsidP="008A0D98">
            <w:r>
              <w:rPr>
                <w:lang w:val="en-US"/>
              </w:rPr>
              <w:t>1035</w:t>
            </w:r>
          </w:p>
        </w:tc>
        <w:tc>
          <w:tcPr>
            <w:tcW w:w="1905" w:type="dxa"/>
          </w:tcPr>
          <w:p w14:paraId="1AF5992F" w14:textId="0E41B0D5" w:rsidR="008A0D98" w:rsidRDefault="008A0D98" w:rsidP="008A0D98">
            <w:r>
              <w:rPr>
                <w:lang w:val="en-US"/>
              </w:rPr>
              <w:t>232</w:t>
            </w:r>
          </w:p>
        </w:tc>
      </w:tr>
      <w:tr w:rsidR="008A0D98" w14:paraId="7193EBE5" w14:textId="77777777" w:rsidTr="008A0D98">
        <w:tc>
          <w:tcPr>
            <w:tcW w:w="1905" w:type="dxa"/>
          </w:tcPr>
          <w:p w14:paraId="02FB9D85" w14:textId="09298B09" w:rsidR="008A0D98" w:rsidRDefault="008A0D98" w:rsidP="008A0D98">
            <w:r>
              <w:t>р-стойност*</w:t>
            </w:r>
          </w:p>
        </w:tc>
        <w:tc>
          <w:tcPr>
            <w:tcW w:w="1900" w:type="dxa"/>
          </w:tcPr>
          <w:p w14:paraId="09D6AAA5" w14:textId="77777777" w:rsidR="008A0D98" w:rsidRDefault="008A0D98" w:rsidP="008A0D98"/>
        </w:tc>
        <w:tc>
          <w:tcPr>
            <w:tcW w:w="1900" w:type="dxa"/>
          </w:tcPr>
          <w:p w14:paraId="0B5D3FAF" w14:textId="19C79FD4" w:rsidR="008A0D98" w:rsidRDefault="008A0D98" w:rsidP="008A0D98">
            <w:r>
              <w:t>0,025</w:t>
            </w:r>
          </w:p>
        </w:tc>
        <w:tc>
          <w:tcPr>
            <w:tcW w:w="1900" w:type="dxa"/>
          </w:tcPr>
          <w:p w14:paraId="1360C87A" w14:textId="1A4B4D67" w:rsidR="008A0D98" w:rsidRDefault="008A0D98" w:rsidP="008A0D98">
            <w:r>
              <w:rPr>
                <w:lang w:val="en-US"/>
              </w:rPr>
              <w:t>&lt;0,001</w:t>
            </w:r>
          </w:p>
        </w:tc>
        <w:tc>
          <w:tcPr>
            <w:tcW w:w="1905" w:type="dxa"/>
          </w:tcPr>
          <w:p w14:paraId="02F7A57A" w14:textId="55E52389" w:rsidR="008A0D98" w:rsidRDefault="008A0D98" w:rsidP="008A0D98">
            <w:r>
              <w:rPr>
                <w:lang w:val="en-US"/>
              </w:rPr>
              <w:t>0,199</w:t>
            </w:r>
          </w:p>
        </w:tc>
      </w:tr>
      <w:tr w:rsidR="008A0D98" w14:paraId="3E3103F7" w14:textId="77777777" w:rsidTr="000C1C04">
        <w:tc>
          <w:tcPr>
            <w:tcW w:w="9510" w:type="dxa"/>
            <w:gridSpan w:val="5"/>
          </w:tcPr>
          <w:p w14:paraId="76E15970" w14:textId="77777777" w:rsidR="008A0D98" w:rsidRDefault="008A0D98" w:rsidP="0091385D"/>
        </w:tc>
      </w:tr>
      <w:tr w:rsidR="008A0D98" w14:paraId="4CB6C0FA" w14:textId="77777777" w:rsidTr="008A0D98">
        <w:tc>
          <w:tcPr>
            <w:tcW w:w="1905" w:type="dxa"/>
          </w:tcPr>
          <w:p w14:paraId="7971F252" w14:textId="59D7AAEC" w:rsidR="008A0D98" w:rsidRDefault="008A0D98" w:rsidP="008A0D98">
            <w:r>
              <w:t>Средна изходна стойност</w:t>
            </w:r>
          </w:p>
        </w:tc>
        <w:tc>
          <w:tcPr>
            <w:tcW w:w="1900" w:type="dxa"/>
          </w:tcPr>
          <w:p w14:paraId="236A1A98" w14:textId="41C50603" w:rsidR="008A0D98" w:rsidRDefault="008A0D98" w:rsidP="008A0D98">
            <w:r>
              <w:t xml:space="preserve">166 </w:t>
            </w:r>
            <w:r>
              <w:rPr>
                <w:lang w:val="en-US"/>
              </w:rPr>
              <w:t>ml</w:t>
            </w:r>
          </w:p>
        </w:tc>
        <w:tc>
          <w:tcPr>
            <w:tcW w:w="1900" w:type="dxa"/>
          </w:tcPr>
          <w:p w14:paraId="388AF4CA" w14:textId="3E84789B" w:rsidR="008A0D98" w:rsidRDefault="008A0D98" w:rsidP="008A0D98">
            <w:r>
              <w:t xml:space="preserve">146 </w:t>
            </w:r>
            <w:r>
              <w:rPr>
                <w:lang w:val="en-US"/>
              </w:rPr>
              <w:t>ml</w:t>
            </w:r>
          </w:p>
        </w:tc>
        <w:tc>
          <w:tcPr>
            <w:tcW w:w="1900" w:type="dxa"/>
          </w:tcPr>
          <w:p w14:paraId="45DDAC5E" w14:textId="7B13B223" w:rsidR="008A0D98" w:rsidRDefault="008A0D98" w:rsidP="008A0D98">
            <w:r>
              <w:rPr>
                <w:lang w:val="en-US"/>
              </w:rPr>
              <w:t>163 ml</w:t>
            </w:r>
          </w:p>
        </w:tc>
        <w:tc>
          <w:tcPr>
            <w:tcW w:w="1905" w:type="dxa"/>
          </w:tcPr>
          <w:p w14:paraId="642A7AD2" w14:textId="3DA5F522" w:rsidR="008A0D98" w:rsidRDefault="008A0D98" w:rsidP="008A0D98">
            <w:r>
              <w:rPr>
                <w:lang w:val="en-US"/>
              </w:rPr>
              <w:t>147 ml</w:t>
            </w:r>
          </w:p>
        </w:tc>
      </w:tr>
      <w:tr w:rsidR="008A0D98" w14:paraId="3A5DDAEF" w14:textId="77777777" w:rsidTr="008A0D98">
        <w:tc>
          <w:tcPr>
            <w:tcW w:w="1905" w:type="dxa"/>
          </w:tcPr>
          <w:p w14:paraId="1A1605DF" w14:textId="22B9DC1D" w:rsidR="008A0D98" w:rsidRDefault="008A0D98" w:rsidP="008A0D98">
            <w:r>
              <w:t>Средно увеличение спрямо</w:t>
            </w:r>
          </w:p>
        </w:tc>
        <w:tc>
          <w:tcPr>
            <w:tcW w:w="1900" w:type="dxa"/>
          </w:tcPr>
          <w:p w14:paraId="59EC07B0" w14:textId="4F3E184E" w:rsidR="008A0D98" w:rsidRDefault="008A0D98" w:rsidP="008A0D98">
            <w:r>
              <w:t xml:space="preserve">9 </w:t>
            </w:r>
            <w:r>
              <w:rPr>
                <w:lang w:val="en-US"/>
              </w:rPr>
              <w:t>ml</w:t>
            </w:r>
          </w:p>
        </w:tc>
        <w:tc>
          <w:tcPr>
            <w:tcW w:w="1900" w:type="dxa"/>
          </w:tcPr>
          <w:p w14:paraId="4EEFD64F" w14:textId="1C374506" w:rsidR="008A0D98" w:rsidRDefault="008A0D98" w:rsidP="008A0D98">
            <w:r>
              <w:t xml:space="preserve">32 </w:t>
            </w:r>
            <w:r>
              <w:rPr>
                <w:lang w:val="en-US"/>
              </w:rPr>
              <w:t>ml</w:t>
            </w:r>
          </w:p>
        </w:tc>
        <w:tc>
          <w:tcPr>
            <w:tcW w:w="1900" w:type="dxa"/>
          </w:tcPr>
          <w:p w14:paraId="61FD79B3" w14:textId="0F5FC51C" w:rsidR="008A0D98" w:rsidRDefault="008A0D98" w:rsidP="008A0D98">
            <w:r>
              <w:rPr>
                <w:lang w:val="en-US"/>
              </w:rPr>
              <w:t>43 ml</w:t>
            </w:r>
          </w:p>
        </w:tc>
        <w:tc>
          <w:tcPr>
            <w:tcW w:w="1905" w:type="dxa"/>
          </w:tcPr>
          <w:p w14:paraId="5432C289" w14:textId="6819730D" w:rsidR="008A0D98" w:rsidRDefault="008A0D98" w:rsidP="008A0D98">
            <w:r>
              <w:rPr>
                <w:lang w:val="en-US"/>
              </w:rPr>
              <w:t>24 ml</w:t>
            </w:r>
          </w:p>
        </w:tc>
      </w:tr>
      <w:tr w:rsidR="008A0D98" w14:paraId="2403EE7C" w14:textId="77777777" w:rsidTr="008A0D98">
        <w:tc>
          <w:tcPr>
            <w:tcW w:w="1905" w:type="dxa"/>
          </w:tcPr>
          <w:p w14:paraId="335F962F" w14:textId="77777777" w:rsidR="008A0D98" w:rsidRDefault="008A0D98" w:rsidP="008A0D98">
            <w:r>
              <w:t>изходната стойност</w:t>
            </w:r>
          </w:p>
          <w:p w14:paraId="75116874" w14:textId="77777777" w:rsidR="008A0D98" w:rsidRDefault="008A0D98" w:rsidP="008A0D98">
            <w:r>
              <w:t>% промяна спрямо изходната</w:t>
            </w:r>
          </w:p>
          <w:p w14:paraId="3DA4E282" w14:textId="37E1331C" w:rsidR="008A0D98" w:rsidRDefault="008A0D98" w:rsidP="008A0D98">
            <w:r>
              <w:t>стойност</w:t>
            </w:r>
          </w:p>
        </w:tc>
        <w:tc>
          <w:tcPr>
            <w:tcW w:w="1900" w:type="dxa"/>
          </w:tcPr>
          <w:p w14:paraId="79926D57" w14:textId="55729482" w:rsidR="008A0D98" w:rsidRDefault="008A0D98" w:rsidP="008A0D98">
            <w:r>
              <w:t>(5%)</w:t>
            </w:r>
          </w:p>
        </w:tc>
        <w:tc>
          <w:tcPr>
            <w:tcW w:w="1900" w:type="dxa"/>
          </w:tcPr>
          <w:p w14:paraId="017993D4" w14:textId="27B8292D" w:rsidR="008A0D98" w:rsidRDefault="008A0D98" w:rsidP="008A0D98">
            <w:r>
              <w:rPr>
                <w:lang w:val="en-US"/>
              </w:rPr>
              <w:t>(21%)</w:t>
            </w:r>
          </w:p>
        </w:tc>
        <w:tc>
          <w:tcPr>
            <w:tcW w:w="1900" w:type="dxa"/>
          </w:tcPr>
          <w:p w14:paraId="3028CAD0" w14:textId="5F10770A" w:rsidR="008A0D98" w:rsidRDefault="008A0D98" w:rsidP="008A0D98">
            <w:r>
              <w:rPr>
                <w:lang w:val="en-US"/>
              </w:rPr>
              <w:t>(26%)</w:t>
            </w:r>
          </w:p>
        </w:tc>
        <w:tc>
          <w:tcPr>
            <w:tcW w:w="1905" w:type="dxa"/>
          </w:tcPr>
          <w:p w14:paraId="27F95A24" w14:textId="15B3B6B8" w:rsidR="008A0D98" w:rsidRDefault="008A0D98" w:rsidP="008A0D98">
            <w:r>
              <w:rPr>
                <w:lang w:val="en-US"/>
              </w:rPr>
              <w:t>(16%)</w:t>
            </w:r>
          </w:p>
        </w:tc>
      </w:tr>
      <w:tr w:rsidR="008A0D98" w14:paraId="738F4246" w14:textId="77777777" w:rsidTr="008A0D98">
        <w:tc>
          <w:tcPr>
            <w:tcW w:w="1905" w:type="dxa"/>
          </w:tcPr>
          <w:p w14:paraId="45E0CD3F" w14:textId="2A755C87" w:rsidR="008A0D98" w:rsidRDefault="008A0D98" w:rsidP="008A0D98">
            <w:r>
              <w:rPr>
                <w:b/>
                <w:bCs/>
                <w:lang w:val="en-US"/>
              </w:rPr>
              <w:t>n</w:t>
            </w:r>
          </w:p>
        </w:tc>
        <w:tc>
          <w:tcPr>
            <w:tcW w:w="1900" w:type="dxa"/>
          </w:tcPr>
          <w:p w14:paraId="5C2EC2F0" w14:textId="736B7CE8" w:rsidR="008A0D98" w:rsidRDefault="008A0D98" w:rsidP="008A0D98">
            <w:r>
              <w:t>1135</w:t>
            </w:r>
          </w:p>
        </w:tc>
        <w:tc>
          <w:tcPr>
            <w:tcW w:w="1900" w:type="dxa"/>
          </w:tcPr>
          <w:p w14:paraId="08F959A4" w14:textId="7DA3D6A0" w:rsidR="008A0D98" w:rsidRDefault="008A0D98" w:rsidP="008A0D98">
            <w:r>
              <w:rPr>
                <w:lang w:val="en-US"/>
              </w:rPr>
              <w:t>552</w:t>
            </w:r>
          </w:p>
        </w:tc>
        <w:tc>
          <w:tcPr>
            <w:tcW w:w="1900" w:type="dxa"/>
          </w:tcPr>
          <w:p w14:paraId="60F0A3FF" w14:textId="116DAC31" w:rsidR="008A0D98" w:rsidRDefault="008A0D98" w:rsidP="008A0D98">
            <w:r>
              <w:rPr>
                <w:lang w:val="en-US"/>
              </w:rPr>
              <w:t>1156</w:t>
            </w:r>
          </w:p>
        </w:tc>
        <w:tc>
          <w:tcPr>
            <w:tcW w:w="1905" w:type="dxa"/>
          </w:tcPr>
          <w:p w14:paraId="0AD0490E" w14:textId="37739537" w:rsidR="008A0D98" w:rsidRDefault="008A0D98" w:rsidP="008A0D98">
            <w:r>
              <w:rPr>
                <w:lang w:val="en-US"/>
              </w:rPr>
              <w:t>250</w:t>
            </w:r>
          </w:p>
        </w:tc>
      </w:tr>
      <w:tr w:rsidR="008A0D98" w14:paraId="7F9F8E89" w14:textId="77777777" w:rsidTr="008A0D98">
        <w:tc>
          <w:tcPr>
            <w:tcW w:w="1905" w:type="dxa"/>
          </w:tcPr>
          <w:p w14:paraId="59EE6D5E" w14:textId="68302868" w:rsidR="008A0D98" w:rsidRDefault="008A0D98" w:rsidP="008A0D98">
            <w:r>
              <w:t>р-стойност*</w:t>
            </w:r>
          </w:p>
        </w:tc>
        <w:tc>
          <w:tcPr>
            <w:tcW w:w="1900" w:type="dxa"/>
          </w:tcPr>
          <w:p w14:paraId="2AE68564" w14:textId="77777777" w:rsidR="008A0D98" w:rsidRDefault="008A0D98" w:rsidP="008A0D98"/>
        </w:tc>
        <w:tc>
          <w:tcPr>
            <w:tcW w:w="1900" w:type="dxa"/>
          </w:tcPr>
          <w:p w14:paraId="689829CA" w14:textId="1A8B1E49" w:rsidR="008A0D98" w:rsidRDefault="008A0D98" w:rsidP="008A0D98">
            <w:r>
              <w:rPr>
                <w:lang w:val="en-US"/>
              </w:rPr>
              <w:t>&lt;0,001</w:t>
            </w:r>
          </w:p>
        </w:tc>
        <w:tc>
          <w:tcPr>
            <w:tcW w:w="1900" w:type="dxa"/>
          </w:tcPr>
          <w:p w14:paraId="308809C5" w14:textId="66159DB3" w:rsidR="008A0D98" w:rsidRDefault="008A0D98" w:rsidP="008A0D98">
            <w:r>
              <w:rPr>
                <w:lang w:val="en-US"/>
              </w:rPr>
              <w:t>&lt;0,001</w:t>
            </w:r>
          </w:p>
        </w:tc>
        <w:tc>
          <w:tcPr>
            <w:tcW w:w="1905" w:type="dxa"/>
          </w:tcPr>
          <w:p w14:paraId="6DEB86CE" w14:textId="664FCB4B" w:rsidR="008A0D98" w:rsidRDefault="008A0D98" w:rsidP="008A0D98">
            <w:r>
              <w:rPr>
                <w:lang w:val="en-US"/>
              </w:rPr>
              <w:t>&lt;0,001</w:t>
            </w:r>
          </w:p>
        </w:tc>
      </w:tr>
      <w:tr w:rsidR="008A0D98" w14:paraId="6FD80B96" w14:textId="77777777" w:rsidTr="00A92C3A">
        <w:tc>
          <w:tcPr>
            <w:tcW w:w="9510" w:type="dxa"/>
            <w:gridSpan w:val="5"/>
          </w:tcPr>
          <w:p w14:paraId="485B40F6" w14:textId="77777777" w:rsidR="008A0D98" w:rsidRDefault="008A0D98" w:rsidP="0091385D"/>
        </w:tc>
      </w:tr>
      <w:tr w:rsidR="008A0D98" w14:paraId="0E9EF50C" w14:textId="77777777" w:rsidTr="008A0D98">
        <w:tc>
          <w:tcPr>
            <w:tcW w:w="1905" w:type="dxa"/>
          </w:tcPr>
          <w:p w14:paraId="4E415AC0" w14:textId="5011FB88" w:rsidR="008A0D98" w:rsidRDefault="008A0D98" w:rsidP="008A0D98">
            <w:r>
              <w:t>Средна изходна стойност</w:t>
            </w:r>
          </w:p>
        </w:tc>
        <w:tc>
          <w:tcPr>
            <w:tcW w:w="1900" w:type="dxa"/>
          </w:tcPr>
          <w:p w14:paraId="3C4348E6" w14:textId="5CEB6928" w:rsidR="008A0D98" w:rsidRDefault="008A0D98" w:rsidP="008A0D98">
            <w:r>
              <w:t>3,0</w:t>
            </w:r>
          </w:p>
        </w:tc>
        <w:tc>
          <w:tcPr>
            <w:tcW w:w="1900" w:type="dxa"/>
          </w:tcPr>
          <w:p w14:paraId="7C506E87" w14:textId="4E2E1679" w:rsidR="008A0D98" w:rsidRDefault="008A0D98" w:rsidP="008A0D98">
            <w:r>
              <w:rPr>
                <w:lang w:val="en-US"/>
              </w:rPr>
              <w:t>2,8</w:t>
            </w:r>
          </w:p>
        </w:tc>
        <w:tc>
          <w:tcPr>
            <w:tcW w:w="1900" w:type="dxa"/>
          </w:tcPr>
          <w:p w14:paraId="34AD1C1E" w14:textId="5920EBDC" w:rsidR="008A0D98" w:rsidRDefault="008A0D98" w:rsidP="008A0D98">
            <w:r>
              <w:rPr>
                <w:lang w:val="en-US"/>
              </w:rPr>
              <w:t>2,7</w:t>
            </w:r>
          </w:p>
        </w:tc>
        <w:tc>
          <w:tcPr>
            <w:tcW w:w="1905" w:type="dxa"/>
          </w:tcPr>
          <w:p w14:paraId="701C741A" w14:textId="5F0530D6" w:rsidR="008A0D98" w:rsidRDefault="008A0D98" w:rsidP="008A0D98">
            <w:r>
              <w:rPr>
                <w:lang w:val="en-US"/>
              </w:rPr>
              <w:t>2,7</w:t>
            </w:r>
          </w:p>
        </w:tc>
      </w:tr>
      <w:tr w:rsidR="008A0D98" w14:paraId="23966B6B" w14:textId="77777777" w:rsidTr="008A0D98">
        <w:tc>
          <w:tcPr>
            <w:tcW w:w="1905" w:type="dxa"/>
          </w:tcPr>
          <w:p w14:paraId="032B7A8C" w14:textId="652F5A61" w:rsidR="008A0D98" w:rsidRDefault="008A0D98" w:rsidP="008A0D98">
            <w:r>
              <w:t>Средно намаление спрямо изходната стойност</w:t>
            </w:r>
          </w:p>
        </w:tc>
        <w:tc>
          <w:tcPr>
            <w:tcW w:w="1900" w:type="dxa"/>
          </w:tcPr>
          <w:p w14:paraId="3608EE47" w14:textId="64AB36DE" w:rsidR="008A0D98" w:rsidRDefault="008A0D98" w:rsidP="008A0D98">
            <w:r>
              <w:t>0,8</w:t>
            </w:r>
          </w:p>
        </w:tc>
        <w:tc>
          <w:tcPr>
            <w:tcW w:w="1900" w:type="dxa"/>
          </w:tcPr>
          <w:p w14:paraId="0FA9F416" w14:textId="1764D79D" w:rsidR="008A0D98" w:rsidRDefault="008A0D98" w:rsidP="008A0D98">
            <w:r>
              <w:rPr>
                <w:lang w:val="en-US"/>
              </w:rPr>
              <w:t>1,3</w:t>
            </w:r>
          </w:p>
        </w:tc>
        <w:tc>
          <w:tcPr>
            <w:tcW w:w="1900" w:type="dxa"/>
          </w:tcPr>
          <w:p w14:paraId="0605B5C1" w14:textId="12B06A45" w:rsidR="008A0D98" w:rsidRDefault="008A0D98" w:rsidP="008A0D98">
            <w:r>
              <w:rPr>
                <w:lang w:val="en-US"/>
              </w:rPr>
              <w:t>1,3</w:t>
            </w:r>
          </w:p>
        </w:tc>
        <w:tc>
          <w:tcPr>
            <w:tcW w:w="1905" w:type="dxa"/>
          </w:tcPr>
          <w:p w14:paraId="241A64B6" w14:textId="14E99071" w:rsidR="008A0D98" w:rsidRDefault="008A0D98" w:rsidP="008A0D98">
            <w:r>
              <w:rPr>
                <w:lang w:val="en-US"/>
              </w:rPr>
              <w:t>1,0</w:t>
            </w:r>
          </w:p>
        </w:tc>
      </w:tr>
      <w:tr w:rsidR="008A0D98" w14:paraId="0EC6D991" w14:textId="77777777" w:rsidTr="008A0D98">
        <w:tc>
          <w:tcPr>
            <w:tcW w:w="1905" w:type="dxa"/>
          </w:tcPr>
          <w:p w14:paraId="5CA39E6B" w14:textId="5F56FB71" w:rsidR="008A0D98" w:rsidRDefault="008A0D98" w:rsidP="008A0D98">
            <w:r>
              <w:t xml:space="preserve">% промяна спрямо изходната </w:t>
            </w:r>
            <w:r>
              <w:lastRenderedPageBreak/>
              <w:t>стойност</w:t>
            </w:r>
          </w:p>
        </w:tc>
        <w:tc>
          <w:tcPr>
            <w:tcW w:w="1900" w:type="dxa"/>
          </w:tcPr>
          <w:p w14:paraId="0C0151B4" w14:textId="26F90754" w:rsidR="008A0D98" w:rsidRDefault="008A0D98" w:rsidP="008A0D98">
            <w:r>
              <w:lastRenderedPageBreak/>
              <w:t>(27%)</w:t>
            </w:r>
          </w:p>
        </w:tc>
        <w:tc>
          <w:tcPr>
            <w:tcW w:w="1900" w:type="dxa"/>
          </w:tcPr>
          <w:p w14:paraId="29A83046" w14:textId="3A9ADCDC" w:rsidR="008A0D98" w:rsidRDefault="008A0D98" w:rsidP="008A0D98">
            <w:r>
              <w:rPr>
                <w:lang w:val="en-US"/>
              </w:rPr>
              <w:t>(46%)</w:t>
            </w:r>
          </w:p>
        </w:tc>
        <w:tc>
          <w:tcPr>
            <w:tcW w:w="1900" w:type="dxa"/>
          </w:tcPr>
          <w:p w14:paraId="3450A4A7" w14:textId="6217B85D" w:rsidR="008A0D98" w:rsidRDefault="008A0D98" w:rsidP="008A0D98">
            <w:r>
              <w:rPr>
                <w:lang w:val="en-US"/>
              </w:rPr>
              <w:t>(48%)</w:t>
            </w:r>
          </w:p>
        </w:tc>
        <w:tc>
          <w:tcPr>
            <w:tcW w:w="1905" w:type="dxa"/>
          </w:tcPr>
          <w:p w14:paraId="14C96F7D" w14:textId="4308BCD3" w:rsidR="008A0D98" w:rsidRDefault="008A0D98" w:rsidP="008A0D98">
            <w:r>
              <w:rPr>
                <w:lang w:val="en-US"/>
              </w:rPr>
              <w:t>(37%)</w:t>
            </w:r>
          </w:p>
        </w:tc>
      </w:tr>
      <w:tr w:rsidR="008A0D98" w14:paraId="2A9CE86D" w14:textId="77777777" w:rsidTr="008A0D98">
        <w:tc>
          <w:tcPr>
            <w:tcW w:w="1905" w:type="dxa"/>
          </w:tcPr>
          <w:p w14:paraId="7D954A44" w14:textId="4140B9DA" w:rsidR="008A0D98" w:rsidRDefault="008A0D98" w:rsidP="008A0D98">
            <w:r>
              <w:rPr>
                <w:lang w:val="en-US"/>
              </w:rPr>
              <w:t>n</w:t>
            </w:r>
          </w:p>
        </w:tc>
        <w:tc>
          <w:tcPr>
            <w:tcW w:w="1900" w:type="dxa"/>
          </w:tcPr>
          <w:p w14:paraId="634F148D" w14:textId="6B26B9CF" w:rsidR="008A0D98" w:rsidRDefault="008A0D98" w:rsidP="008A0D98">
            <w:r>
              <w:t>238</w:t>
            </w:r>
          </w:p>
        </w:tc>
        <w:tc>
          <w:tcPr>
            <w:tcW w:w="1900" w:type="dxa"/>
          </w:tcPr>
          <w:p w14:paraId="6BD45D2E" w14:textId="47B31D54" w:rsidR="008A0D98" w:rsidRDefault="008A0D98" w:rsidP="008A0D98">
            <w:r>
              <w:rPr>
                <w:lang w:val="en-US"/>
              </w:rPr>
              <w:t>236</w:t>
            </w:r>
          </w:p>
        </w:tc>
        <w:tc>
          <w:tcPr>
            <w:tcW w:w="1900" w:type="dxa"/>
          </w:tcPr>
          <w:p w14:paraId="4D07A67F" w14:textId="3D790558" w:rsidR="008A0D98" w:rsidRDefault="008A0D98" w:rsidP="008A0D98">
            <w:r>
              <w:rPr>
                <w:lang w:val="en-US"/>
              </w:rPr>
              <w:t>242</w:t>
            </w:r>
          </w:p>
        </w:tc>
        <w:tc>
          <w:tcPr>
            <w:tcW w:w="1905" w:type="dxa"/>
          </w:tcPr>
          <w:p w14:paraId="398B287C" w14:textId="66CED509" w:rsidR="008A0D98" w:rsidRDefault="008A0D98" w:rsidP="008A0D98">
            <w:r>
              <w:rPr>
                <w:lang w:val="en-US"/>
              </w:rPr>
              <w:t>250</w:t>
            </w:r>
          </w:p>
        </w:tc>
      </w:tr>
      <w:tr w:rsidR="008A0D98" w14:paraId="3B0F7658" w14:textId="77777777" w:rsidTr="008A0D98">
        <w:tc>
          <w:tcPr>
            <w:tcW w:w="1905" w:type="dxa"/>
          </w:tcPr>
          <w:p w14:paraId="608D6D18" w14:textId="27CFB2D5" w:rsidR="008A0D98" w:rsidRDefault="008A0D98" w:rsidP="008A0D98">
            <w:r>
              <w:t>р-стойност*</w:t>
            </w:r>
          </w:p>
        </w:tc>
        <w:tc>
          <w:tcPr>
            <w:tcW w:w="1900" w:type="dxa"/>
          </w:tcPr>
          <w:p w14:paraId="2C9F2735" w14:textId="77777777" w:rsidR="008A0D98" w:rsidRDefault="008A0D98" w:rsidP="008A0D98"/>
        </w:tc>
        <w:tc>
          <w:tcPr>
            <w:tcW w:w="1900" w:type="dxa"/>
          </w:tcPr>
          <w:p w14:paraId="70AFEEE6" w14:textId="660C52D1" w:rsidR="008A0D98" w:rsidRDefault="008A0D98" w:rsidP="008A0D98">
            <w:r>
              <w:rPr>
                <w:lang w:val="en-US"/>
              </w:rPr>
              <w:t>&lt;0,001</w:t>
            </w:r>
          </w:p>
        </w:tc>
        <w:tc>
          <w:tcPr>
            <w:tcW w:w="1900" w:type="dxa"/>
          </w:tcPr>
          <w:p w14:paraId="286CD4CF" w14:textId="01D21A09" w:rsidR="008A0D98" w:rsidRDefault="008A0D98" w:rsidP="008A0D98">
            <w:r>
              <w:rPr>
                <w:lang w:val="en-US"/>
              </w:rPr>
              <w:t>&lt;0,001</w:t>
            </w:r>
          </w:p>
        </w:tc>
        <w:tc>
          <w:tcPr>
            <w:tcW w:w="1905" w:type="dxa"/>
          </w:tcPr>
          <w:p w14:paraId="722CC85C" w14:textId="743D7347" w:rsidR="008A0D98" w:rsidRDefault="008A0D98" w:rsidP="008A0D98">
            <w:r>
              <w:rPr>
                <w:lang w:val="en-US"/>
              </w:rPr>
              <w:t>0,010</w:t>
            </w:r>
          </w:p>
        </w:tc>
      </w:tr>
    </w:tbl>
    <w:p w14:paraId="106B5892" w14:textId="77777777" w:rsidR="008A0D98" w:rsidRPr="008A0D98" w:rsidRDefault="008A0D98" w:rsidP="008A0D98">
      <w:pPr>
        <w:spacing w:line="240" w:lineRule="auto"/>
        <w:rPr>
          <w:rFonts w:eastAsia="Times New Roman" w:cs="Arial"/>
          <w:sz w:val="24"/>
          <w:szCs w:val="24"/>
          <w:lang w:eastAsia="bg-BG"/>
        </w:rPr>
      </w:pPr>
      <w:r w:rsidRPr="008A0D98">
        <w:rPr>
          <w:rFonts w:eastAsia="Times New Roman" w:cs="Arial"/>
          <w:color w:val="000000"/>
          <w:lang w:eastAsia="bg-BG"/>
        </w:rPr>
        <w:t xml:space="preserve">Забележка: В 4 от основните проучвания са прилагани солифенацин 10 </w:t>
      </w:r>
      <w:r w:rsidRPr="008A0D98">
        <w:rPr>
          <w:rFonts w:eastAsia="Times New Roman" w:cs="Arial"/>
          <w:color w:val="000000"/>
          <w:lang w:val="en-US"/>
        </w:rPr>
        <w:t xml:space="preserve">mg </w:t>
      </w:r>
      <w:r w:rsidRPr="008A0D98">
        <w:rPr>
          <w:rFonts w:eastAsia="Times New Roman" w:cs="Arial"/>
          <w:color w:val="000000"/>
          <w:lang w:eastAsia="bg-BG"/>
        </w:rPr>
        <w:t xml:space="preserve">филмирани таблетки и плацебо. В 2 от 4-те проучвания е прилаган солифенацин 5 </w:t>
      </w:r>
      <w:r w:rsidRPr="008A0D98">
        <w:rPr>
          <w:rFonts w:eastAsia="Times New Roman" w:cs="Arial"/>
          <w:color w:val="000000"/>
          <w:lang w:val="en-US"/>
        </w:rPr>
        <w:t xml:space="preserve">mg </w:t>
      </w:r>
      <w:r w:rsidRPr="008A0D98">
        <w:rPr>
          <w:rFonts w:eastAsia="Times New Roman" w:cs="Arial"/>
          <w:color w:val="000000"/>
          <w:lang w:eastAsia="bg-BG"/>
        </w:rPr>
        <w:t xml:space="preserve">филмирани таблетки, а в едно от проучванията е включен толтеродин 2 </w:t>
      </w:r>
      <w:r w:rsidRPr="008A0D98">
        <w:rPr>
          <w:rFonts w:eastAsia="Times New Roman" w:cs="Arial"/>
          <w:color w:val="000000"/>
          <w:lang w:val="en-US"/>
        </w:rPr>
        <w:t xml:space="preserve">mg </w:t>
      </w:r>
      <w:r w:rsidRPr="008A0D98">
        <w:rPr>
          <w:rFonts w:eastAsia="Times New Roman" w:cs="Arial"/>
          <w:color w:val="000000"/>
          <w:lang w:eastAsia="bg-BG"/>
        </w:rPr>
        <w:t>два пъти дневно.</w:t>
      </w:r>
    </w:p>
    <w:p w14:paraId="1BFCDE58" w14:textId="77777777" w:rsidR="008A0D98" w:rsidRPr="008A0D98" w:rsidRDefault="008A0D98" w:rsidP="008A0D98">
      <w:pPr>
        <w:spacing w:line="240" w:lineRule="auto"/>
        <w:rPr>
          <w:rFonts w:eastAsia="Times New Roman" w:cs="Arial"/>
          <w:color w:val="000000"/>
          <w:lang w:eastAsia="bg-BG"/>
        </w:rPr>
      </w:pPr>
    </w:p>
    <w:p w14:paraId="013189D2" w14:textId="430E7074" w:rsidR="008A0D98" w:rsidRPr="008A0D98" w:rsidRDefault="008A0D98" w:rsidP="008A0D98">
      <w:pPr>
        <w:spacing w:line="240" w:lineRule="auto"/>
        <w:rPr>
          <w:rFonts w:eastAsia="Times New Roman" w:cs="Arial"/>
          <w:sz w:val="24"/>
          <w:szCs w:val="24"/>
          <w:lang w:eastAsia="bg-BG"/>
        </w:rPr>
      </w:pPr>
      <w:r w:rsidRPr="008A0D98">
        <w:rPr>
          <w:rFonts w:eastAsia="Times New Roman" w:cs="Arial"/>
          <w:color w:val="000000"/>
          <w:lang w:eastAsia="bg-BG"/>
        </w:rPr>
        <w:t>Не всички показатели и групи за лечение са оценявани във всяко отделно проучване. Поради това посоченият брой пациенти може да се различава по отношение на показателите и групите за лечение.</w:t>
      </w:r>
    </w:p>
    <w:p w14:paraId="36152471" w14:textId="6480FA47" w:rsidR="0091385D" w:rsidRPr="008A0D98" w:rsidRDefault="008A0D98" w:rsidP="008A0D98">
      <w:pPr>
        <w:rPr>
          <w:rFonts w:cs="Arial"/>
        </w:rPr>
      </w:pPr>
      <w:r w:rsidRPr="008A0D98">
        <w:rPr>
          <w:rFonts w:eastAsia="Times New Roman" w:cs="Arial"/>
          <w:color w:val="000000"/>
          <w:lang w:eastAsia="bg-BG"/>
        </w:rPr>
        <w:t>* Р-стойността е за сравнението по двойки с плацебо.</w:t>
      </w:r>
    </w:p>
    <w:p w14:paraId="3F1DD057" w14:textId="77777777" w:rsidR="00D47F29" w:rsidRPr="0091385D" w:rsidRDefault="00D47F29" w:rsidP="0091385D"/>
    <w:p w14:paraId="35F84B81" w14:textId="6423E5BB" w:rsidR="00CF77F7" w:rsidRDefault="002C50EE" w:rsidP="004A448E">
      <w:pPr>
        <w:pStyle w:val="Heading2"/>
      </w:pPr>
      <w:r>
        <w:t>5.2. Фармакокинетични свойства</w:t>
      </w:r>
    </w:p>
    <w:p w14:paraId="68231A0A" w14:textId="764864C2" w:rsidR="008A0D98" w:rsidRPr="008A0D98" w:rsidRDefault="008A0D98" w:rsidP="008A0D98">
      <w:pPr>
        <w:spacing w:line="240" w:lineRule="auto"/>
        <w:rPr>
          <w:rFonts w:ascii="Times New Roman" w:eastAsia="Times New Roman" w:hAnsi="Times New Roman" w:cs="Times New Roman"/>
          <w:sz w:val="24"/>
          <w:szCs w:val="24"/>
          <w:lang w:eastAsia="bg-BG"/>
        </w:rPr>
      </w:pPr>
    </w:p>
    <w:p w14:paraId="25AAEBEB" w14:textId="77777777" w:rsidR="008A0D98" w:rsidRPr="008A0D98" w:rsidRDefault="008A0D98" w:rsidP="008A0D98">
      <w:pPr>
        <w:spacing w:line="240" w:lineRule="auto"/>
        <w:rPr>
          <w:rFonts w:eastAsia="Times New Roman" w:cs="Arial"/>
          <w:sz w:val="24"/>
          <w:szCs w:val="24"/>
          <w:lang w:eastAsia="bg-BG"/>
        </w:rPr>
      </w:pPr>
      <w:r w:rsidRPr="008A0D98">
        <w:rPr>
          <w:rFonts w:eastAsia="Times New Roman" w:cs="Arial"/>
          <w:color w:val="000000"/>
          <w:u w:val="single"/>
          <w:lang w:eastAsia="bg-BG"/>
        </w:rPr>
        <w:t>Абсорбция</w:t>
      </w:r>
    </w:p>
    <w:p w14:paraId="29295AA2" w14:textId="77777777" w:rsidR="008A0D98" w:rsidRPr="008A0D98" w:rsidRDefault="008A0D98" w:rsidP="008A0D98">
      <w:pPr>
        <w:spacing w:line="240" w:lineRule="auto"/>
        <w:rPr>
          <w:rFonts w:eastAsia="Times New Roman" w:cs="Arial"/>
          <w:sz w:val="24"/>
          <w:szCs w:val="24"/>
          <w:lang w:eastAsia="bg-BG"/>
        </w:rPr>
      </w:pPr>
      <w:r w:rsidRPr="008A0D98">
        <w:rPr>
          <w:rFonts w:eastAsia="Times New Roman" w:cs="Arial"/>
          <w:color w:val="000000"/>
          <w:lang w:eastAsia="bg-BG"/>
        </w:rPr>
        <w:t>След прием на солифенацин таблетки максимални плазмени концентрации на</w:t>
      </w:r>
    </w:p>
    <w:p w14:paraId="0AF892C7" w14:textId="77777777" w:rsidR="008A0D98" w:rsidRPr="008A0D98" w:rsidRDefault="008A0D98" w:rsidP="008A0D98">
      <w:pPr>
        <w:rPr>
          <w:rFonts w:eastAsia="Times New Roman" w:cs="Arial"/>
          <w:sz w:val="24"/>
          <w:szCs w:val="24"/>
          <w:lang w:eastAsia="bg-BG"/>
        </w:rPr>
      </w:pPr>
      <w:r w:rsidRPr="008A0D98">
        <w:rPr>
          <w:rFonts w:eastAsia="Times New Roman" w:cs="Arial"/>
          <w:color w:val="000000"/>
          <w:lang w:eastAsia="bg-BG"/>
        </w:rPr>
        <w:t xml:space="preserve">(Сщах) се достигат след 3 до 8 часа. Стойността на </w:t>
      </w:r>
      <w:proofErr w:type="spellStart"/>
      <w:r w:rsidRPr="008A0D98">
        <w:rPr>
          <w:rFonts w:eastAsia="Times New Roman" w:cs="Arial"/>
          <w:color w:val="000000"/>
          <w:lang w:val="en-US"/>
        </w:rPr>
        <w:t>tmax</w:t>
      </w:r>
      <w:proofErr w:type="spellEnd"/>
      <w:r w:rsidRPr="008A0D98">
        <w:rPr>
          <w:rFonts w:eastAsia="Times New Roman" w:cs="Arial"/>
          <w:color w:val="000000"/>
          <w:lang w:val="en-US"/>
        </w:rPr>
        <w:t xml:space="preserve"> </w:t>
      </w:r>
      <w:r w:rsidRPr="008A0D98">
        <w:rPr>
          <w:rFonts w:eastAsia="Times New Roman" w:cs="Arial"/>
          <w:color w:val="000000"/>
          <w:lang w:eastAsia="bg-BG"/>
        </w:rPr>
        <w:t>не зависи от дозата. С</w:t>
      </w:r>
      <w:r w:rsidRPr="008A0D98">
        <w:rPr>
          <w:rFonts w:eastAsia="Times New Roman" w:cs="Arial"/>
          <w:color w:val="000000"/>
          <w:lang w:val="en-US"/>
        </w:rPr>
        <w:t xml:space="preserve">max </w:t>
      </w:r>
      <w:r w:rsidRPr="008A0D98">
        <w:rPr>
          <w:rFonts w:eastAsia="Times New Roman" w:cs="Arial"/>
          <w:color w:val="000000"/>
          <w:lang w:eastAsia="bg-BG"/>
        </w:rPr>
        <w:t xml:space="preserve">и площта под кривата </w:t>
      </w:r>
      <w:r w:rsidRPr="008A0D98">
        <w:rPr>
          <w:rFonts w:eastAsia="Times New Roman" w:cs="Arial"/>
          <w:color w:val="000000"/>
          <w:lang w:val="en-US"/>
        </w:rPr>
        <w:t xml:space="preserve">(AUC) </w:t>
      </w:r>
      <w:r w:rsidRPr="008A0D98">
        <w:rPr>
          <w:rFonts w:eastAsia="Times New Roman" w:cs="Arial"/>
          <w:color w:val="000000"/>
          <w:lang w:eastAsia="bg-BG"/>
        </w:rPr>
        <w:t xml:space="preserve">нарастват пропорционално на дозата между 5 </w:t>
      </w:r>
      <w:r w:rsidRPr="008A0D98">
        <w:rPr>
          <w:rFonts w:eastAsia="Times New Roman" w:cs="Arial"/>
          <w:color w:val="000000"/>
          <w:lang w:val="en-US"/>
        </w:rPr>
        <w:t xml:space="preserve">mg </w:t>
      </w:r>
      <w:r w:rsidRPr="008A0D98">
        <w:rPr>
          <w:rFonts w:eastAsia="Times New Roman" w:cs="Arial"/>
          <w:color w:val="000000"/>
          <w:lang w:eastAsia="bg-BG"/>
        </w:rPr>
        <w:t xml:space="preserve">и 40 </w:t>
      </w:r>
      <w:r w:rsidRPr="008A0D98">
        <w:rPr>
          <w:rFonts w:eastAsia="Times New Roman" w:cs="Arial"/>
          <w:color w:val="000000"/>
          <w:lang w:val="en-US"/>
        </w:rPr>
        <w:t xml:space="preserve">mg. </w:t>
      </w:r>
      <w:r w:rsidRPr="008A0D98">
        <w:rPr>
          <w:rFonts w:eastAsia="Times New Roman" w:cs="Arial"/>
          <w:color w:val="000000"/>
          <w:lang w:eastAsia="bg-BG"/>
        </w:rPr>
        <w:t xml:space="preserve">Абсолютната бионаличност е приблизително 90%. Приемът на храна не променя </w:t>
      </w:r>
      <w:proofErr w:type="spellStart"/>
      <w:r w:rsidRPr="008A0D98">
        <w:rPr>
          <w:rFonts w:eastAsia="Times New Roman" w:cs="Arial"/>
          <w:color w:val="000000"/>
          <w:lang w:val="en-US"/>
        </w:rPr>
        <w:t>Cmax</w:t>
      </w:r>
      <w:proofErr w:type="spellEnd"/>
      <w:r w:rsidRPr="008A0D98">
        <w:rPr>
          <w:rFonts w:eastAsia="Times New Roman" w:cs="Arial"/>
          <w:color w:val="000000"/>
          <w:lang w:eastAsia="bg-BG"/>
        </w:rPr>
        <w:t xml:space="preserve"> </w:t>
      </w:r>
      <w:r w:rsidRPr="008A0D98">
        <w:rPr>
          <w:rFonts w:eastAsia="Times New Roman" w:cs="Arial"/>
          <w:color w:val="000000"/>
          <w:lang w:val="en-US"/>
        </w:rPr>
        <w:t xml:space="preserve">u AUC </w:t>
      </w:r>
      <w:r w:rsidRPr="008A0D98">
        <w:rPr>
          <w:rFonts w:eastAsia="Times New Roman" w:cs="Arial"/>
          <w:color w:val="000000"/>
          <w:lang w:eastAsia="bg-BG"/>
        </w:rPr>
        <w:t>на солифенацин.</w:t>
      </w:r>
    </w:p>
    <w:p w14:paraId="42F77A39" w14:textId="77777777" w:rsidR="008A0D98" w:rsidRPr="008A0D98" w:rsidRDefault="008A0D98" w:rsidP="008A0D98">
      <w:pPr>
        <w:spacing w:line="240" w:lineRule="auto"/>
        <w:rPr>
          <w:rFonts w:eastAsia="Times New Roman" w:cs="Arial"/>
          <w:color w:val="000000"/>
          <w:u w:val="single"/>
          <w:lang w:eastAsia="bg-BG"/>
        </w:rPr>
      </w:pPr>
    </w:p>
    <w:p w14:paraId="7D2386C6" w14:textId="6C959EBC" w:rsidR="008A0D98" w:rsidRPr="008A0D98" w:rsidRDefault="008A0D98" w:rsidP="008A0D98">
      <w:pPr>
        <w:spacing w:line="240" w:lineRule="auto"/>
        <w:rPr>
          <w:rFonts w:eastAsia="Times New Roman" w:cs="Arial"/>
          <w:lang w:eastAsia="bg-BG"/>
        </w:rPr>
      </w:pPr>
      <w:r w:rsidRPr="008A0D98">
        <w:rPr>
          <w:rFonts w:eastAsia="Times New Roman" w:cs="Arial"/>
          <w:color w:val="000000"/>
          <w:u w:val="single"/>
          <w:lang w:eastAsia="bg-BG"/>
        </w:rPr>
        <w:t>Разпределение</w:t>
      </w:r>
    </w:p>
    <w:p w14:paraId="56F659C2"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Привидният обем на разпределение на солифенацин след интравенозно приложение е около 600 1. Солифенацин е до голяма степен (приблизително 98%) свързан с плазмените протеини, предимно алфа-1-кисел гликопротеин.</w:t>
      </w:r>
    </w:p>
    <w:p w14:paraId="31CBA56A" w14:textId="77777777" w:rsidR="008A0D98" w:rsidRPr="008A0D98" w:rsidRDefault="008A0D98" w:rsidP="008A0D98">
      <w:pPr>
        <w:spacing w:line="240" w:lineRule="auto"/>
        <w:rPr>
          <w:rFonts w:eastAsia="Times New Roman" w:cs="Arial"/>
          <w:color w:val="000000"/>
          <w:u w:val="single"/>
          <w:lang w:eastAsia="bg-BG"/>
        </w:rPr>
      </w:pPr>
    </w:p>
    <w:p w14:paraId="43DE3CD2" w14:textId="3F72CA67" w:rsidR="008A0D98" w:rsidRPr="008A0D98" w:rsidRDefault="008A0D98" w:rsidP="008A0D98">
      <w:pPr>
        <w:spacing w:line="240" w:lineRule="auto"/>
        <w:rPr>
          <w:rFonts w:eastAsia="Times New Roman" w:cs="Arial"/>
          <w:lang w:eastAsia="bg-BG"/>
        </w:rPr>
      </w:pPr>
      <w:r w:rsidRPr="008A0D98">
        <w:rPr>
          <w:rFonts w:eastAsia="Times New Roman" w:cs="Arial"/>
          <w:color w:val="000000"/>
          <w:u w:val="single"/>
          <w:lang w:eastAsia="bg-BG"/>
        </w:rPr>
        <w:t>Биотрансформация</w:t>
      </w:r>
    </w:p>
    <w:p w14:paraId="3FD019DC"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 xml:space="preserve">Солифенацин се метаболизира основно в черния дроб, предимно от цитохром Р450 ЗА4 (СУРЗА4). Съществуват обаче и алтернативни метаболитни пътища, които могат да допринасят за метаболизма на солифенацин. Системният клирънс на солифенацин е около 9,5 </w:t>
      </w:r>
      <w:r w:rsidRPr="008A0D98">
        <w:rPr>
          <w:rFonts w:eastAsia="Times New Roman" w:cs="Arial"/>
          <w:color w:val="000000"/>
          <w:lang w:val="en-US"/>
        </w:rPr>
        <w:t xml:space="preserve">1/h, </w:t>
      </w:r>
      <w:r w:rsidRPr="008A0D98">
        <w:rPr>
          <w:rFonts w:eastAsia="Times New Roman" w:cs="Arial"/>
          <w:color w:val="000000"/>
          <w:lang w:eastAsia="bg-BG"/>
        </w:rPr>
        <w:t>а времето на полуживот е 45-68 часа. След перорален прием в плазмата освен солифенацин са идентифицирани един фармакологично активен (4</w:t>
      </w:r>
      <w:r w:rsidRPr="008A0D98">
        <w:rPr>
          <w:rFonts w:eastAsia="Times New Roman" w:cs="Arial"/>
          <w:color w:val="000000"/>
          <w:lang w:val="en-US"/>
        </w:rPr>
        <w:t>R</w:t>
      </w:r>
      <w:r w:rsidRPr="008A0D98">
        <w:rPr>
          <w:rFonts w:eastAsia="Times New Roman" w:cs="Arial"/>
          <w:color w:val="000000"/>
          <w:lang w:eastAsia="bg-BG"/>
        </w:rPr>
        <w:t xml:space="preserve">-хидроксисолифенацин) и 3 неактивни метаболита </w:t>
      </w:r>
      <w:r w:rsidRPr="008A0D98">
        <w:rPr>
          <w:rFonts w:eastAsia="Times New Roman" w:cs="Arial"/>
          <w:color w:val="000000"/>
          <w:lang w:val="en-US"/>
        </w:rPr>
        <w:t>(N</w:t>
      </w:r>
      <w:r w:rsidRPr="008A0D98">
        <w:rPr>
          <w:rFonts w:eastAsia="Times New Roman" w:cs="Arial"/>
          <w:color w:val="000000"/>
          <w:lang w:eastAsia="bg-BG"/>
        </w:rPr>
        <w:t xml:space="preserve">-глюкуронид, </w:t>
      </w:r>
      <w:r w:rsidRPr="008A0D98">
        <w:rPr>
          <w:rFonts w:eastAsia="Times New Roman" w:cs="Arial"/>
          <w:color w:val="000000"/>
          <w:lang w:val="en-US"/>
        </w:rPr>
        <w:t>N</w:t>
      </w:r>
      <w:r w:rsidRPr="008A0D98">
        <w:rPr>
          <w:rFonts w:eastAsia="Times New Roman" w:cs="Arial"/>
          <w:color w:val="000000"/>
          <w:lang w:eastAsia="bg-BG"/>
        </w:rPr>
        <w:t>-оксид и 4</w:t>
      </w:r>
      <w:r w:rsidRPr="008A0D98">
        <w:rPr>
          <w:rFonts w:eastAsia="Times New Roman" w:cs="Arial"/>
          <w:color w:val="000000"/>
          <w:lang w:val="en-US"/>
        </w:rPr>
        <w:t>R</w:t>
      </w:r>
      <w:r w:rsidRPr="008A0D98">
        <w:rPr>
          <w:rFonts w:eastAsia="Times New Roman" w:cs="Arial"/>
          <w:color w:val="000000"/>
          <w:lang w:eastAsia="bg-BG"/>
        </w:rPr>
        <w:t>-хидрокси-</w:t>
      </w:r>
      <w:r w:rsidRPr="008A0D98">
        <w:rPr>
          <w:rFonts w:eastAsia="Times New Roman" w:cs="Arial"/>
          <w:color w:val="000000"/>
          <w:lang w:val="en-US"/>
        </w:rPr>
        <w:t>N</w:t>
      </w:r>
      <w:r w:rsidRPr="008A0D98">
        <w:rPr>
          <w:rFonts w:eastAsia="Times New Roman" w:cs="Arial"/>
          <w:color w:val="000000"/>
          <w:lang w:eastAsia="bg-BG"/>
        </w:rPr>
        <w:t>-оксид на солифенацин).</w:t>
      </w:r>
    </w:p>
    <w:p w14:paraId="36DFB6C1" w14:textId="77777777" w:rsidR="008A0D98" w:rsidRPr="008A0D98" w:rsidRDefault="008A0D98" w:rsidP="008A0D98">
      <w:pPr>
        <w:spacing w:line="240" w:lineRule="auto"/>
        <w:rPr>
          <w:rFonts w:eastAsia="Times New Roman" w:cs="Arial"/>
          <w:color w:val="000000"/>
          <w:u w:val="single"/>
          <w:lang w:eastAsia="bg-BG"/>
        </w:rPr>
      </w:pPr>
    </w:p>
    <w:p w14:paraId="2D7CD108" w14:textId="532B155F" w:rsidR="008A0D98" w:rsidRPr="008A0D98" w:rsidRDefault="008A0D98" w:rsidP="008A0D98">
      <w:pPr>
        <w:spacing w:line="240" w:lineRule="auto"/>
        <w:rPr>
          <w:rFonts w:eastAsia="Times New Roman" w:cs="Arial"/>
          <w:lang w:eastAsia="bg-BG"/>
        </w:rPr>
      </w:pPr>
      <w:r w:rsidRPr="008A0D98">
        <w:rPr>
          <w:rFonts w:eastAsia="Times New Roman" w:cs="Arial"/>
          <w:color w:val="000000"/>
          <w:u w:val="single"/>
          <w:lang w:eastAsia="bg-BG"/>
        </w:rPr>
        <w:t>Елиминиране</w:t>
      </w:r>
    </w:p>
    <w:p w14:paraId="286BFE05"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 xml:space="preserve">След единично прилагане на 10 </w:t>
      </w:r>
      <w:r w:rsidRPr="008A0D98">
        <w:rPr>
          <w:rFonts w:eastAsia="Times New Roman" w:cs="Arial"/>
          <w:color w:val="000000"/>
          <w:lang w:val="en-US"/>
        </w:rPr>
        <w:t xml:space="preserve">mg </w:t>
      </w:r>
      <w:r w:rsidRPr="008A0D98">
        <w:rPr>
          <w:rFonts w:eastAsia="Times New Roman" w:cs="Arial"/>
          <w:color w:val="000000"/>
          <w:lang w:eastAsia="bg-BG"/>
        </w:rPr>
        <w:t>[</w:t>
      </w:r>
      <w:r w:rsidRPr="008A0D98">
        <w:rPr>
          <w:rFonts w:eastAsia="Times New Roman" w:cs="Arial"/>
          <w:color w:val="000000"/>
          <w:vertAlign w:val="superscript"/>
          <w:lang w:eastAsia="bg-BG"/>
        </w:rPr>
        <w:t>14</w:t>
      </w:r>
      <w:r w:rsidRPr="008A0D98">
        <w:rPr>
          <w:rFonts w:eastAsia="Times New Roman" w:cs="Arial"/>
          <w:color w:val="000000"/>
          <w:lang w:eastAsia="bg-BG"/>
        </w:rPr>
        <w:t xml:space="preserve">С-белязан] -солифенацин около 70% от радиоактивността се наблюдава в урината, а 23% във фекалиите в продължение на 26 дни. В урината приблизително 11% от радиоактивността се открива като непроменено активно вещество, около 18% под формата на метаболита </w:t>
      </w:r>
      <w:r w:rsidRPr="008A0D98">
        <w:rPr>
          <w:rFonts w:eastAsia="Times New Roman" w:cs="Arial"/>
          <w:color w:val="000000"/>
          <w:lang w:val="en-US"/>
        </w:rPr>
        <w:t>N</w:t>
      </w:r>
      <w:r w:rsidRPr="008A0D98">
        <w:rPr>
          <w:rFonts w:eastAsia="Times New Roman" w:cs="Arial"/>
          <w:color w:val="000000"/>
          <w:lang w:eastAsia="bg-BG"/>
        </w:rPr>
        <w:t>-оксид, 9% под формата на метаболита 4</w:t>
      </w:r>
      <w:r w:rsidRPr="008A0D98">
        <w:rPr>
          <w:rFonts w:eastAsia="Times New Roman" w:cs="Arial"/>
          <w:color w:val="000000"/>
          <w:lang w:val="en-US"/>
        </w:rPr>
        <w:t>R</w:t>
      </w:r>
      <w:r w:rsidRPr="008A0D98">
        <w:rPr>
          <w:rFonts w:eastAsia="Times New Roman" w:cs="Arial"/>
          <w:color w:val="000000"/>
          <w:lang w:eastAsia="bg-BG"/>
        </w:rPr>
        <w:t xml:space="preserve">-хидрокси- </w:t>
      </w:r>
      <w:r w:rsidRPr="008A0D98">
        <w:rPr>
          <w:rFonts w:eastAsia="Times New Roman" w:cs="Arial"/>
          <w:color w:val="000000"/>
          <w:lang w:val="en-US"/>
        </w:rPr>
        <w:t>N</w:t>
      </w:r>
      <w:r w:rsidRPr="008A0D98">
        <w:rPr>
          <w:rFonts w:eastAsia="Times New Roman" w:cs="Arial"/>
          <w:color w:val="000000"/>
          <w:lang w:eastAsia="bg-BG"/>
        </w:rPr>
        <w:t>-оксид и 8% под формата на 4</w:t>
      </w:r>
      <w:r w:rsidRPr="008A0D98">
        <w:rPr>
          <w:rFonts w:eastAsia="Times New Roman" w:cs="Arial"/>
          <w:color w:val="000000"/>
          <w:lang w:val="en-US"/>
        </w:rPr>
        <w:t>R</w:t>
      </w:r>
      <w:r w:rsidRPr="008A0D98">
        <w:rPr>
          <w:rFonts w:eastAsia="Times New Roman" w:cs="Arial"/>
          <w:color w:val="000000"/>
          <w:lang w:eastAsia="bg-BG"/>
        </w:rPr>
        <w:t>-хидроксиметаболит (активен метаболит).</w:t>
      </w:r>
    </w:p>
    <w:p w14:paraId="18676F72" w14:textId="77777777" w:rsidR="008A0D98" w:rsidRPr="008A0D98" w:rsidRDefault="008A0D98" w:rsidP="008A0D98">
      <w:pPr>
        <w:spacing w:line="240" w:lineRule="auto"/>
        <w:rPr>
          <w:rFonts w:eastAsia="Times New Roman" w:cs="Arial"/>
          <w:color w:val="000000"/>
          <w:u w:val="single"/>
          <w:lang w:eastAsia="bg-BG"/>
        </w:rPr>
      </w:pPr>
    </w:p>
    <w:p w14:paraId="51FCBEB0" w14:textId="1ACBD2EC" w:rsidR="008A0D98" w:rsidRPr="008A0D98" w:rsidRDefault="008A0D98" w:rsidP="008A0D98">
      <w:pPr>
        <w:spacing w:line="240" w:lineRule="auto"/>
        <w:rPr>
          <w:rFonts w:eastAsia="Times New Roman" w:cs="Arial"/>
          <w:lang w:eastAsia="bg-BG"/>
        </w:rPr>
      </w:pPr>
      <w:r w:rsidRPr="008A0D98">
        <w:rPr>
          <w:rFonts w:eastAsia="Times New Roman" w:cs="Arial"/>
          <w:color w:val="000000"/>
          <w:u w:val="single"/>
          <w:lang w:eastAsia="bg-BG"/>
        </w:rPr>
        <w:t>Линейност/нелинейност</w:t>
      </w:r>
    </w:p>
    <w:p w14:paraId="682C3A9B"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Фармакокинетиката е линейна в терапевтичния диапазон на дозата.</w:t>
      </w:r>
    </w:p>
    <w:p w14:paraId="714C6501" w14:textId="77777777" w:rsidR="008A0D98" w:rsidRPr="008A0D98" w:rsidRDefault="008A0D98" w:rsidP="008A0D98">
      <w:pPr>
        <w:spacing w:line="240" w:lineRule="auto"/>
        <w:rPr>
          <w:rFonts w:eastAsia="Times New Roman" w:cs="Arial"/>
          <w:color w:val="000000"/>
          <w:u w:val="single"/>
          <w:lang w:eastAsia="bg-BG"/>
        </w:rPr>
      </w:pPr>
    </w:p>
    <w:p w14:paraId="03D12FE4" w14:textId="1C728B08" w:rsidR="008A0D98" w:rsidRPr="008A0D98" w:rsidRDefault="008A0D98" w:rsidP="008A0D98">
      <w:pPr>
        <w:spacing w:line="240" w:lineRule="auto"/>
        <w:rPr>
          <w:rFonts w:eastAsia="Times New Roman" w:cs="Arial"/>
          <w:lang w:eastAsia="bg-BG"/>
        </w:rPr>
      </w:pPr>
      <w:r w:rsidRPr="008A0D98">
        <w:rPr>
          <w:rFonts w:eastAsia="Times New Roman" w:cs="Arial"/>
          <w:color w:val="000000"/>
          <w:u w:val="single"/>
          <w:lang w:eastAsia="bg-BG"/>
        </w:rPr>
        <w:t>Характеристики при пациенти</w:t>
      </w:r>
    </w:p>
    <w:p w14:paraId="69F1D17F" w14:textId="77777777" w:rsidR="008A0D98" w:rsidRPr="008A0D98" w:rsidRDefault="008A0D98" w:rsidP="008A0D98">
      <w:pPr>
        <w:spacing w:line="240" w:lineRule="auto"/>
        <w:rPr>
          <w:rFonts w:eastAsia="Times New Roman" w:cs="Arial"/>
          <w:i/>
          <w:iCs/>
          <w:color w:val="000000"/>
          <w:lang w:eastAsia="bg-BG"/>
        </w:rPr>
      </w:pPr>
    </w:p>
    <w:p w14:paraId="0B2700AB" w14:textId="245B9F0F" w:rsidR="008A0D98" w:rsidRPr="008A0D98" w:rsidRDefault="008A0D98" w:rsidP="008A0D98">
      <w:pPr>
        <w:spacing w:line="240" w:lineRule="auto"/>
        <w:rPr>
          <w:rFonts w:eastAsia="Times New Roman" w:cs="Arial"/>
          <w:lang w:eastAsia="bg-BG"/>
        </w:rPr>
      </w:pPr>
      <w:r w:rsidRPr="008A0D98">
        <w:rPr>
          <w:rFonts w:eastAsia="Times New Roman" w:cs="Arial"/>
          <w:i/>
          <w:iCs/>
          <w:color w:val="000000"/>
          <w:lang w:eastAsia="bg-BG"/>
        </w:rPr>
        <w:t>Възраст</w:t>
      </w:r>
    </w:p>
    <w:p w14:paraId="7251547E"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lastRenderedPageBreak/>
        <w:t xml:space="preserve">Не се налага адаптиране на дозата в зависимост от възрастта на пациента. Проучвания при пациенти в старческа възраст показват, че експозицията на солифенацин, изразена чрез </w:t>
      </w:r>
      <w:r w:rsidRPr="008A0D98">
        <w:rPr>
          <w:rFonts w:eastAsia="Times New Roman" w:cs="Arial"/>
          <w:color w:val="000000"/>
          <w:lang w:val="en-US"/>
        </w:rPr>
        <w:t xml:space="preserve">AUC, </w:t>
      </w:r>
      <w:r w:rsidRPr="008A0D98">
        <w:rPr>
          <w:rFonts w:eastAsia="Times New Roman" w:cs="Arial"/>
          <w:color w:val="000000"/>
          <w:lang w:eastAsia="bg-BG"/>
        </w:rPr>
        <w:t xml:space="preserve">след прилагане на солифенацин сукцинат (5 </w:t>
      </w:r>
      <w:r w:rsidRPr="008A0D98">
        <w:rPr>
          <w:rFonts w:eastAsia="Times New Roman" w:cs="Arial"/>
          <w:color w:val="000000"/>
          <w:lang w:val="en-US"/>
        </w:rPr>
        <w:t xml:space="preserve">mg </w:t>
      </w:r>
      <w:r w:rsidRPr="008A0D98">
        <w:rPr>
          <w:rFonts w:eastAsia="Times New Roman" w:cs="Arial"/>
          <w:color w:val="000000"/>
          <w:lang w:eastAsia="bg-BG"/>
        </w:rPr>
        <w:t xml:space="preserve">и 10 </w:t>
      </w:r>
      <w:r w:rsidRPr="008A0D98">
        <w:rPr>
          <w:rFonts w:eastAsia="Times New Roman" w:cs="Arial"/>
          <w:color w:val="000000"/>
          <w:lang w:val="en-US"/>
        </w:rPr>
        <w:t xml:space="preserve">mg </w:t>
      </w:r>
      <w:r w:rsidRPr="008A0D98">
        <w:rPr>
          <w:rFonts w:eastAsia="Times New Roman" w:cs="Arial"/>
          <w:color w:val="000000"/>
          <w:lang w:eastAsia="bg-BG"/>
        </w:rPr>
        <w:t xml:space="preserve">веднъж дневно) е подобна на тази при здрави индивиди в старческа възраст (65-80 години) и здрави млади индивиди (под 55 години). Средната скорост на абсорбция, изразена като </w:t>
      </w:r>
      <w:proofErr w:type="spellStart"/>
      <w:r w:rsidRPr="008A0D98">
        <w:rPr>
          <w:rFonts w:eastAsia="Times New Roman" w:cs="Arial"/>
          <w:color w:val="000000"/>
          <w:lang w:val="en-US"/>
        </w:rPr>
        <w:t>t</w:t>
      </w:r>
      <w:r w:rsidRPr="008A0D98">
        <w:rPr>
          <w:rFonts w:eastAsia="Times New Roman" w:cs="Arial"/>
          <w:color w:val="000000"/>
          <w:vertAlign w:val="subscript"/>
          <w:lang w:val="en-US"/>
        </w:rPr>
        <w:t>max</w:t>
      </w:r>
      <w:proofErr w:type="spellEnd"/>
      <w:r w:rsidRPr="008A0D98">
        <w:rPr>
          <w:rFonts w:eastAsia="Times New Roman" w:cs="Arial"/>
          <w:color w:val="000000"/>
          <w:lang w:val="en-US"/>
        </w:rPr>
        <w:t xml:space="preserve">, </w:t>
      </w:r>
      <w:r w:rsidRPr="008A0D98">
        <w:rPr>
          <w:rFonts w:eastAsia="Times New Roman" w:cs="Arial"/>
          <w:color w:val="000000"/>
          <w:lang w:eastAsia="bg-BG"/>
        </w:rPr>
        <w:t>е малко по-бавна при пациентите в старческа възраст, а времето на полуживот е приблизително 20% повече при пациенти в старческа възраст. Тези малки разлики не се смятат за клинично значими.</w:t>
      </w:r>
    </w:p>
    <w:p w14:paraId="352364B4"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Фармакокинетиката на солифенацин при деца и юноши не е установена.</w:t>
      </w:r>
    </w:p>
    <w:p w14:paraId="39C3C3B2" w14:textId="77777777" w:rsidR="008A0D98" w:rsidRPr="008A0D98" w:rsidRDefault="008A0D98" w:rsidP="008A0D98">
      <w:pPr>
        <w:spacing w:line="240" w:lineRule="auto"/>
        <w:rPr>
          <w:rFonts w:eastAsia="Times New Roman" w:cs="Arial"/>
          <w:i/>
          <w:iCs/>
          <w:color w:val="000000"/>
          <w:lang w:eastAsia="bg-BG"/>
        </w:rPr>
      </w:pPr>
    </w:p>
    <w:p w14:paraId="29DB1BD8" w14:textId="6CA9663B" w:rsidR="008A0D98" w:rsidRPr="008A0D98" w:rsidRDefault="008A0D98" w:rsidP="008A0D98">
      <w:pPr>
        <w:spacing w:line="240" w:lineRule="auto"/>
        <w:rPr>
          <w:rFonts w:eastAsia="Times New Roman" w:cs="Arial"/>
          <w:lang w:eastAsia="bg-BG"/>
        </w:rPr>
      </w:pPr>
      <w:r w:rsidRPr="008A0D98">
        <w:rPr>
          <w:rFonts w:eastAsia="Times New Roman" w:cs="Arial"/>
          <w:i/>
          <w:iCs/>
          <w:color w:val="000000"/>
          <w:lang w:eastAsia="bg-BG"/>
        </w:rPr>
        <w:t>Пол</w:t>
      </w:r>
    </w:p>
    <w:p w14:paraId="55C7E7C3"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Фармакокинетиката на солифенацин не се повлиява от пола.</w:t>
      </w:r>
    </w:p>
    <w:p w14:paraId="32369020" w14:textId="77777777" w:rsidR="008A0D98" w:rsidRPr="008A0D98" w:rsidRDefault="008A0D98" w:rsidP="008A0D98">
      <w:pPr>
        <w:spacing w:line="240" w:lineRule="auto"/>
        <w:rPr>
          <w:rFonts w:eastAsia="Times New Roman" w:cs="Arial"/>
          <w:i/>
          <w:iCs/>
          <w:color w:val="000000"/>
          <w:lang w:eastAsia="bg-BG"/>
        </w:rPr>
      </w:pPr>
    </w:p>
    <w:p w14:paraId="711309D1" w14:textId="26374AA0" w:rsidR="008A0D98" w:rsidRPr="008A0D98" w:rsidRDefault="008A0D98" w:rsidP="008A0D98">
      <w:pPr>
        <w:spacing w:line="240" w:lineRule="auto"/>
        <w:rPr>
          <w:rFonts w:eastAsia="Times New Roman" w:cs="Arial"/>
          <w:lang w:eastAsia="bg-BG"/>
        </w:rPr>
      </w:pPr>
      <w:r w:rsidRPr="008A0D98">
        <w:rPr>
          <w:rFonts w:eastAsia="Times New Roman" w:cs="Arial"/>
          <w:i/>
          <w:iCs/>
          <w:color w:val="000000"/>
          <w:lang w:eastAsia="bg-BG"/>
        </w:rPr>
        <w:t>Раса</w:t>
      </w:r>
    </w:p>
    <w:p w14:paraId="026C78F0"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Фармакокинетиката на солифенацин не се повлиява от расата.</w:t>
      </w:r>
    </w:p>
    <w:p w14:paraId="3482E406" w14:textId="77777777" w:rsidR="008A0D98" w:rsidRPr="008A0D98" w:rsidRDefault="008A0D98" w:rsidP="008A0D98">
      <w:pPr>
        <w:spacing w:line="240" w:lineRule="auto"/>
        <w:rPr>
          <w:rFonts w:eastAsia="Times New Roman" w:cs="Arial"/>
          <w:i/>
          <w:iCs/>
          <w:color w:val="000000"/>
          <w:lang w:eastAsia="bg-BG"/>
        </w:rPr>
      </w:pPr>
    </w:p>
    <w:p w14:paraId="166832C8" w14:textId="7243F7B6" w:rsidR="008A0D98" w:rsidRPr="008A0D98" w:rsidRDefault="008A0D98" w:rsidP="008A0D98">
      <w:pPr>
        <w:spacing w:line="240" w:lineRule="auto"/>
        <w:rPr>
          <w:rFonts w:eastAsia="Times New Roman" w:cs="Arial"/>
          <w:lang w:eastAsia="bg-BG"/>
        </w:rPr>
      </w:pPr>
      <w:r w:rsidRPr="008A0D98">
        <w:rPr>
          <w:rFonts w:eastAsia="Times New Roman" w:cs="Arial"/>
          <w:i/>
          <w:iCs/>
          <w:color w:val="000000"/>
          <w:lang w:eastAsia="bg-BG"/>
        </w:rPr>
        <w:t>Бъбречна недостатъчност</w:t>
      </w:r>
    </w:p>
    <w:p w14:paraId="3670E0DA"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val="en-US"/>
        </w:rPr>
        <w:t xml:space="preserve">AUC </w:t>
      </w:r>
      <w:r w:rsidRPr="008A0D98">
        <w:rPr>
          <w:rFonts w:eastAsia="Times New Roman" w:cs="Arial"/>
          <w:color w:val="000000"/>
          <w:lang w:eastAsia="bg-BG"/>
        </w:rPr>
        <w:t>и С</w:t>
      </w:r>
      <w:r w:rsidRPr="008A0D98">
        <w:rPr>
          <w:rFonts w:eastAsia="Times New Roman" w:cs="Arial"/>
          <w:color w:val="000000"/>
          <w:lang w:val="en-US"/>
        </w:rPr>
        <w:t>m</w:t>
      </w:r>
      <w:r w:rsidRPr="008A0D98">
        <w:rPr>
          <w:rFonts w:eastAsia="Times New Roman" w:cs="Arial"/>
          <w:color w:val="000000"/>
          <w:lang w:eastAsia="bg-BG"/>
        </w:rPr>
        <w:t xml:space="preserve">ах на солифенацин при пациенти с лека и умерена бъбречна недостатъчност не се различават значимо от установените при здрави доброволци. При пациенти с тежка бъбречна недостатъчност (креатининов клирънс &lt;30 </w:t>
      </w:r>
      <w:r w:rsidRPr="008A0D98">
        <w:rPr>
          <w:rFonts w:eastAsia="Times New Roman" w:cs="Arial"/>
          <w:color w:val="000000"/>
          <w:lang w:val="en-US"/>
        </w:rPr>
        <w:t xml:space="preserve">ml/min) </w:t>
      </w:r>
      <w:r w:rsidRPr="008A0D98">
        <w:rPr>
          <w:rFonts w:eastAsia="Times New Roman" w:cs="Arial"/>
          <w:color w:val="000000"/>
          <w:lang w:eastAsia="bg-BG"/>
        </w:rPr>
        <w:t>експозицията на солифенацин е значимо по-голяма в сравнение с контролите, с нарастване на С</w:t>
      </w:r>
      <w:r w:rsidRPr="008A0D98">
        <w:rPr>
          <w:rFonts w:eastAsia="Times New Roman" w:cs="Arial"/>
          <w:color w:val="000000"/>
          <w:lang w:val="en-US"/>
        </w:rPr>
        <w:t>m</w:t>
      </w:r>
      <w:r w:rsidRPr="008A0D98">
        <w:rPr>
          <w:rFonts w:eastAsia="Times New Roman" w:cs="Arial"/>
          <w:color w:val="000000"/>
          <w:lang w:eastAsia="bg-BG"/>
        </w:rPr>
        <w:t xml:space="preserve">ах с около 30%, на </w:t>
      </w:r>
      <w:r w:rsidRPr="008A0D98">
        <w:rPr>
          <w:rFonts w:eastAsia="Times New Roman" w:cs="Arial"/>
          <w:color w:val="000000"/>
          <w:lang w:val="en-US"/>
        </w:rPr>
        <w:t xml:space="preserve">AUC </w:t>
      </w:r>
      <w:r w:rsidRPr="008A0D98">
        <w:rPr>
          <w:rFonts w:eastAsia="Times New Roman" w:cs="Arial"/>
          <w:color w:val="000000"/>
          <w:lang w:eastAsia="bg-BG"/>
        </w:rPr>
        <w:t>с повече от</w:t>
      </w:r>
      <w:r w:rsidRPr="008A0D98">
        <w:rPr>
          <w:rFonts w:eastAsia="Times New Roman" w:cs="Arial"/>
          <w:color w:val="000000"/>
          <w:u w:val="single"/>
          <w:lang w:eastAsia="bg-BG"/>
        </w:rPr>
        <w:t xml:space="preserve"> </w:t>
      </w:r>
      <w:r w:rsidRPr="008A0D98">
        <w:rPr>
          <w:rFonts w:eastAsia="Times New Roman" w:cs="Arial"/>
          <w:color w:val="000000"/>
          <w:lang w:eastAsia="bg-BG"/>
        </w:rPr>
        <w:t xml:space="preserve">100% и на </w:t>
      </w:r>
      <w:r w:rsidRPr="008A0D98">
        <w:rPr>
          <w:rFonts w:eastAsia="Times New Roman" w:cs="Arial"/>
          <w:color w:val="000000"/>
          <w:lang w:val="en-US"/>
        </w:rPr>
        <w:t>t</w:t>
      </w:r>
      <w:r w:rsidRPr="008A0D98">
        <w:rPr>
          <w:rFonts w:eastAsia="Times New Roman" w:cs="Arial"/>
          <w:color w:val="000000"/>
          <w:vertAlign w:val="superscript"/>
          <w:lang w:val="en-US"/>
        </w:rPr>
        <w:t>1/2</w:t>
      </w:r>
      <w:r w:rsidRPr="008A0D98">
        <w:rPr>
          <w:rFonts w:eastAsia="Times New Roman" w:cs="Arial"/>
          <w:color w:val="000000"/>
          <w:lang w:val="en-US"/>
        </w:rPr>
        <w:t xml:space="preserve"> </w:t>
      </w:r>
      <w:r w:rsidRPr="008A0D98">
        <w:rPr>
          <w:rFonts w:eastAsia="Times New Roman" w:cs="Arial"/>
          <w:color w:val="000000"/>
          <w:lang w:eastAsia="bg-BG"/>
        </w:rPr>
        <w:t>с повече от 60%. Наблюдавана е статистически значима връзка между  креатининовия клирънс и клирънса на солифенацин. Фармакокинетиката при пацинти на хемодиализа не е проучена.</w:t>
      </w:r>
    </w:p>
    <w:p w14:paraId="6DC3EEAB" w14:textId="77777777" w:rsidR="008A0D98" w:rsidRPr="008A0D98" w:rsidRDefault="008A0D98" w:rsidP="008A0D98">
      <w:pPr>
        <w:rPr>
          <w:rFonts w:eastAsia="Times New Roman" w:cs="Arial"/>
          <w:i/>
          <w:iCs/>
          <w:color w:val="000000"/>
          <w:lang w:eastAsia="bg-BG"/>
        </w:rPr>
      </w:pPr>
    </w:p>
    <w:p w14:paraId="148BA3FC" w14:textId="2B18B426" w:rsidR="0091385D" w:rsidRPr="008A0D98" w:rsidRDefault="008A0D98" w:rsidP="008A0D98">
      <w:pPr>
        <w:rPr>
          <w:rFonts w:cs="Arial"/>
        </w:rPr>
      </w:pPr>
      <w:r w:rsidRPr="008A0D98">
        <w:rPr>
          <w:rFonts w:eastAsia="Times New Roman" w:cs="Arial"/>
          <w:i/>
          <w:iCs/>
          <w:color w:val="000000"/>
          <w:lang w:eastAsia="bg-BG"/>
        </w:rPr>
        <w:t>Чернодробна недостатъчност</w:t>
      </w:r>
    </w:p>
    <w:p w14:paraId="4EE1BB0B" w14:textId="35DC6188" w:rsidR="0091385D" w:rsidRPr="008A0D98" w:rsidRDefault="008A0D98" w:rsidP="0091385D">
      <w:pPr>
        <w:rPr>
          <w:rFonts w:cs="Arial"/>
        </w:rPr>
      </w:pPr>
      <w:r w:rsidRPr="008A0D98">
        <w:rPr>
          <w:rFonts w:cs="Arial"/>
        </w:rPr>
        <w:t xml:space="preserve">При пациенти с умерена чернодробна недостатъчност (сбор от точки по </w:t>
      </w:r>
      <w:r w:rsidRPr="008A0D98">
        <w:rPr>
          <w:rFonts w:cs="Arial"/>
          <w:i/>
          <w:iCs/>
          <w:lang w:val="en-US"/>
        </w:rPr>
        <w:t>Child-Pugh</w:t>
      </w:r>
      <w:r w:rsidRPr="008A0D98">
        <w:rPr>
          <w:rFonts w:cs="Arial"/>
          <w:lang w:val="en-US"/>
        </w:rPr>
        <w:t xml:space="preserve"> </w:t>
      </w:r>
      <w:r w:rsidRPr="008A0D98">
        <w:rPr>
          <w:rFonts w:cs="Arial"/>
        </w:rPr>
        <w:t>от 7 до 9) С</w:t>
      </w:r>
      <w:r w:rsidRPr="008A0D98">
        <w:rPr>
          <w:rFonts w:cs="Arial"/>
          <w:lang w:val="en-US"/>
        </w:rPr>
        <w:t>m</w:t>
      </w:r>
      <w:r w:rsidRPr="008A0D98">
        <w:rPr>
          <w:rFonts w:cs="Arial"/>
        </w:rPr>
        <w:t xml:space="preserve">ах не се променя, </w:t>
      </w:r>
      <w:r w:rsidRPr="008A0D98">
        <w:rPr>
          <w:rFonts w:cs="Arial"/>
          <w:lang w:val="en-US"/>
        </w:rPr>
        <w:t xml:space="preserve">AUC </w:t>
      </w:r>
      <w:r w:rsidRPr="008A0D98">
        <w:rPr>
          <w:rFonts w:cs="Arial"/>
        </w:rPr>
        <w:t xml:space="preserve">се увеличава с 60%, </w:t>
      </w:r>
      <w:r w:rsidRPr="008A0D98">
        <w:rPr>
          <w:rFonts w:cs="Arial"/>
          <w:lang w:val="en-US"/>
        </w:rPr>
        <w:t>a t</w:t>
      </w:r>
      <w:r w:rsidRPr="008A0D98">
        <w:rPr>
          <w:rFonts w:cs="Arial"/>
          <w:vertAlign w:val="superscript"/>
          <w:lang w:val="en-US"/>
        </w:rPr>
        <w:t>1/2</w:t>
      </w:r>
      <w:r w:rsidRPr="008A0D98">
        <w:rPr>
          <w:rFonts w:cs="Arial"/>
          <w:lang w:val="en-US"/>
        </w:rPr>
        <w:t xml:space="preserve"> </w:t>
      </w:r>
      <w:r w:rsidRPr="008A0D98">
        <w:rPr>
          <w:rFonts w:cs="Arial"/>
        </w:rPr>
        <w:t>се удвоява. Фармакокинетиката на солифенацин при пациенти с тежка чернодробна недостатъчност не е проучена.</w:t>
      </w:r>
    </w:p>
    <w:p w14:paraId="182025EC" w14:textId="77777777" w:rsidR="008A0D98" w:rsidRPr="008A0D98" w:rsidRDefault="008A0D98" w:rsidP="0091385D">
      <w:pPr>
        <w:rPr>
          <w:rFonts w:cs="Arial"/>
        </w:rPr>
      </w:pPr>
    </w:p>
    <w:p w14:paraId="648E39DA" w14:textId="44D16CBD" w:rsidR="00CF77F7" w:rsidRPr="008A0D98" w:rsidRDefault="002C50EE" w:rsidP="004A448E">
      <w:pPr>
        <w:pStyle w:val="Heading2"/>
        <w:rPr>
          <w:rFonts w:cs="Arial"/>
          <w:sz w:val="22"/>
          <w:szCs w:val="22"/>
        </w:rPr>
      </w:pPr>
      <w:r w:rsidRPr="008A0D98">
        <w:rPr>
          <w:rFonts w:cs="Arial"/>
          <w:sz w:val="22"/>
          <w:szCs w:val="22"/>
        </w:rPr>
        <w:t>5.3. Предклинични данни за безопасност</w:t>
      </w:r>
    </w:p>
    <w:p w14:paraId="31455D09" w14:textId="4D0EFBF5" w:rsidR="0091385D" w:rsidRPr="008A0D98" w:rsidRDefault="0091385D" w:rsidP="0091385D">
      <w:pPr>
        <w:rPr>
          <w:rFonts w:cs="Arial"/>
        </w:rPr>
      </w:pPr>
    </w:p>
    <w:p w14:paraId="32B5A84B" w14:textId="77777777" w:rsidR="008A0D98" w:rsidRPr="008A0D98" w:rsidRDefault="008A0D98" w:rsidP="008A0D98">
      <w:pPr>
        <w:spacing w:line="240" w:lineRule="auto"/>
        <w:rPr>
          <w:rFonts w:eastAsia="Times New Roman" w:cs="Arial"/>
          <w:lang w:eastAsia="bg-BG"/>
        </w:rPr>
      </w:pPr>
      <w:r w:rsidRPr="008A0D98">
        <w:rPr>
          <w:rFonts w:eastAsia="Times New Roman" w:cs="Arial"/>
          <w:color w:val="000000"/>
          <w:lang w:eastAsia="bg-BG"/>
        </w:rPr>
        <w:t>Неклиничните данни не показват особен риск за хората на база на конвенционалните фармакологични изпитвания за безопасност, токсичност при многократно прилагане, фертилитет, ембрионалното/феталното развитие, генотоксичност и карциногенен потенциал. В проучването на пре- и постнаталното развитие при мишки прилагането на солифенацин при майките в периода на лактация предизвиква дозозависима по-малка преживяемост след раждане, намалено тегло на малките и клинично значими нива на по-бавно физическо развитие.</w:t>
      </w:r>
    </w:p>
    <w:p w14:paraId="12B79AD4" w14:textId="77777777" w:rsidR="008A0D98" w:rsidRPr="008A0D98" w:rsidRDefault="008A0D98" w:rsidP="008A0D98">
      <w:pPr>
        <w:rPr>
          <w:rFonts w:eastAsia="Times New Roman" w:cs="Arial"/>
          <w:color w:val="000000"/>
          <w:lang w:eastAsia="bg-BG"/>
        </w:rPr>
      </w:pPr>
    </w:p>
    <w:p w14:paraId="52E4D01A" w14:textId="4A14957C" w:rsidR="0091385D" w:rsidRPr="008A0D98" w:rsidRDefault="008A0D98" w:rsidP="008A0D98">
      <w:pPr>
        <w:rPr>
          <w:rFonts w:cs="Arial"/>
        </w:rPr>
      </w:pPr>
      <w:r w:rsidRPr="008A0D98">
        <w:rPr>
          <w:rFonts w:eastAsia="Times New Roman" w:cs="Arial"/>
          <w:color w:val="000000"/>
          <w:lang w:eastAsia="bg-BG"/>
        </w:rPr>
        <w:t>Наблюдавано е свързано с дозата увеличение в смъртността, без предхождащи клинични признаци при млади мишки лекувани от ден 10 или от ден 21 след раждането, с дози, с които се постига фармакологичен ефект. И двете групи са имали по-висока смъртност, в сравнение с възрастни мишки. При млади мишки, лекувани от постнатален ден 10, плазмената експозияция е била по-висока, отколкото при възрастни мишки, след 21-вия ден от раждането, системната експозиция е сравнима с тази на възрастни мишки. Клиничното приложение на повишената смъртност при млади мишки не са известни.</w:t>
      </w:r>
    </w:p>
    <w:p w14:paraId="20E967BE" w14:textId="77777777" w:rsidR="0091385D" w:rsidRPr="0091385D" w:rsidRDefault="0091385D" w:rsidP="0091385D"/>
    <w:p w14:paraId="6A7820AB" w14:textId="353DB6D2" w:rsidR="008A6AF2" w:rsidRDefault="002C50EE" w:rsidP="00395555">
      <w:pPr>
        <w:pStyle w:val="Heading1"/>
      </w:pPr>
      <w:r>
        <w:lastRenderedPageBreak/>
        <w:t>7. ПРИТЕЖАТЕЛ НА РАЗРЕШЕНИЕТО ЗА УПОТРЕБА</w:t>
      </w:r>
    </w:p>
    <w:p w14:paraId="1B9B651E" w14:textId="3382E6AC" w:rsidR="0091385D" w:rsidRDefault="0091385D" w:rsidP="0091385D"/>
    <w:p w14:paraId="746DAB41" w14:textId="77777777" w:rsidR="008A0D98" w:rsidRPr="008A0D98" w:rsidRDefault="008A0D98" w:rsidP="008A0D98">
      <w:pPr>
        <w:spacing w:line="240" w:lineRule="auto"/>
        <w:rPr>
          <w:rFonts w:eastAsia="Times New Roman" w:cs="Arial"/>
          <w:lang w:val="en-US" w:eastAsia="bg-BG"/>
        </w:rPr>
      </w:pPr>
      <w:r w:rsidRPr="008A0D98">
        <w:rPr>
          <w:rFonts w:eastAsia="Times New Roman" w:cs="Arial"/>
          <w:color w:val="000000"/>
          <w:lang w:val="en-US"/>
        </w:rPr>
        <w:t xml:space="preserve">Sandoz </w:t>
      </w:r>
      <w:proofErr w:type="spellStart"/>
      <w:r w:rsidRPr="008A0D98">
        <w:rPr>
          <w:rFonts w:eastAsia="Times New Roman" w:cs="Arial"/>
          <w:color w:val="000000"/>
          <w:lang w:val="en-US"/>
        </w:rPr>
        <w:t>d.d</w:t>
      </w:r>
      <w:proofErr w:type="spellEnd"/>
    </w:p>
    <w:p w14:paraId="2E4FDA1F" w14:textId="77777777" w:rsidR="008A0D98" w:rsidRPr="008A0D98" w:rsidRDefault="008A0D98" w:rsidP="008A0D98">
      <w:pPr>
        <w:spacing w:line="240" w:lineRule="auto"/>
        <w:rPr>
          <w:rFonts w:eastAsia="Times New Roman" w:cs="Arial"/>
          <w:lang w:val="en-US" w:eastAsia="bg-BG"/>
        </w:rPr>
      </w:pPr>
      <w:proofErr w:type="spellStart"/>
      <w:r w:rsidRPr="008A0D98">
        <w:rPr>
          <w:rFonts w:eastAsia="Times New Roman" w:cs="Arial"/>
          <w:color w:val="000000"/>
          <w:lang w:val="en-US"/>
        </w:rPr>
        <w:t>Verovskova</w:t>
      </w:r>
      <w:proofErr w:type="spellEnd"/>
      <w:r w:rsidRPr="008A0D98">
        <w:rPr>
          <w:rFonts w:eastAsia="Times New Roman" w:cs="Arial"/>
          <w:color w:val="000000"/>
          <w:lang w:val="en-US"/>
        </w:rPr>
        <w:t xml:space="preserve"> </w:t>
      </w:r>
      <w:r w:rsidRPr="008A0D98">
        <w:rPr>
          <w:rFonts w:eastAsia="Times New Roman" w:cs="Arial"/>
          <w:color w:val="000000"/>
          <w:lang w:eastAsia="bg-BG"/>
        </w:rPr>
        <w:t xml:space="preserve">57, 1000 </w:t>
      </w:r>
      <w:r w:rsidRPr="008A0D98">
        <w:rPr>
          <w:rFonts w:eastAsia="Times New Roman" w:cs="Arial"/>
          <w:color w:val="000000"/>
          <w:lang w:val="en-US"/>
        </w:rPr>
        <w:t>Ljubljana</w:t>
      </w:r>
    </w:p>
    <w:p w14:paraId="3FD825DB" w14:textId="486F9454" w:rsidR="0091385D" w:rsidRPr="008A0D98" w:rsidRDefault="008A0D98" w:rsidP="008A0D98">
      <w:pPr>
        <w:rPr>
          <w:rFonts w:cs="Arial"/>
        </w:rPr>
      </w:pPr>
      <w:r w:rsidRPr="008A0D98">
        <w:rPr>
          <w:rFonts w:eastAsia="Times New Roman" w:cs="Arial"/>
          <w:color w:val="000000"/>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03A49A34" w:rsidR="0091385D" w:rsidRDefault="008A0D98" w:rsidP="0091385D">
      <w:proofErr w:type="spellStart"/>
      <w:r>
        <w:rPr>
          <w:lang w:val="en-US"/>
        </w:rPr>
        <w:t>Pe</w:t>
      </w:r>
      <w:proofErr w:type="spellEnd"/>
      <w:r>
        <w:t>г. :№ 20160371</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71A529B0" w14:textId="77777777" w:rsidR="008A0D98" w:rsidRPr="008A0D98" w:rsidRDefault="008A0D98" w:rsidP="008A0D98">
      <w:pPr>
        <w:spacing w:line="240" w:lineRule="auto"/>
        <w:rPr>
          <w:rFonts w:eastAsia="Times New Roman" w:cs="Arial"/>
          <w:sz w:val="24"/>
          <w:szCs w:val="24"/>
          <w:lang w:eastAsia="bg-BG"/>
        </w:rPr>
      </w:pPr>
      <w:r w:rsidRPr="008A0D98">
        <w:rPr>
          <w:rFonts w:eastAsia="Times New Roman" w:cs="Arial"/>
          <w:color w:val="000000"/>
          <w:lang w:eastAsia="bg-BG"/>
        </w:rPr>
        <w:t>Дата на първо разрешаване: 11.11.2016</w:t>
      </w:r>
    </w:p>
    <w:p w14:paraId="497007FA" w14:textId="683D273E" w:rsidR="0091385D" w:rsidRPr="008A0D98" w:rsidRDefault="008A0D98" w:rsidP="008A0D98">
      <w:pPr>
        <w:rPr>
          <w:rFonts w:cs="Arial"/>
        </w:rPr>
      </w:pPr>
      <w:r w:rsidRPr="008A0D98">
        <w:rPr>
          <w:rFonts w:eastAsia="Times New Roman" w:cs="Arial"/>
          <w:color w:val="000000"/>
          <w:lang w:eastAsia="bg-BG"/>
        </w:rPr>
        <w:t>Дата на последно подновяване:</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1EF2C981" w14:textId="77777777" w:rsidR="008A0D98" w:rsidRDefault="008A0D98" w:rsidP="0091385D"/>
    <w:p w14:paraId="3E8FFCC4" w14:textId="739B1147" w:rsidR="0091385D" w:rsidRPr="008A0D98" w:rsidRDefault="008A0D98" w:rsidP="0091385D">
      <w:pPr>
        <w:rPr>
          <w:rFonts w:cs="Arial"/>
        </w:rPr>
      </w:pPr>
      <w:r w:rsidRPr="008A0D98">
        <w:rPr>
          <w:rFonts w:cs="Arial"/>
        </w:rPr>
        <w:t>08/2020</w:t>
      </w:r>
    </w:p>
    <w:p w14:paraId="30276F52" w14:textId="73E67414" w:rsidR="0091385D" w:rsidRDefault="0091385D" w:rsidP="0091385D"/>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3DF1E77"/>
    <w:multiLevelType w:val="hybridMultilevel"/>
    <w:tmpl w:val="7C124B5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5F63018"/>
    <w:multiLevelType w:val="hybridMultilevel"/>
    <w:tmpl w:val="70A4D2B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805D97"/>
    <w:multiLevelType w:val="hybridMultilevel"/>
    <w:tmpl w:val="897AA78E"/>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AEB54F0"/>
    <w:multiLevelType w:val="hybridMultilevel"/>
    <w:tmpl w:val="8B0CAB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8D7D14"/>
    <w:multiLevelType w:val="hybridMultilevel"/>
    <w:tmpl w:val="AE4E548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5"/>
  </w:num>
  <w:num w:numId="4">
    <w:abstractNumId w:val="3"/>
  </w:num>
  <w:num w:numId="5">
    <w:abstractNumId w:val="1"/>
  </w:num>
  <w:num w:numId="6">
    <w:abstractNumId w:val="18"/>
  </w:num>
  <w:num w:numId="7">
    <w:abstractNumId w:val="12"/>
  </w:num>
  <w:num w:numId="8">
    <w:abstractNumId w:val="17"/>
  </w:num>
  <w:num w:numId="9">
    <w:abstractNumId w:val="2"/>
  </w:num>
  <w:num w:numId="10">
    <w:abstractNumId w:val="5"/>
  </w:num>
  <w:num w:numId="11">
    <w:abstractNumId w:val="34"/>
  </w:num>
  <w:num w:numId="12">
    <w:abstractNumId w:val="16"/>
  </w:num>
  <w:num w:numId="13">
    <w:abstractNumId w:val="21"/>
  </w:num>
  <w:num w:numId="14">
    <w:abstractNumId w:val="14"/>
  </w:num>
  <w:num w:numId="15">
    <w:abstractNumId w:val="33"/>
  </w:num>
  <w:num w:numId="16">
    <w:abstractNumId w:val="11"/>
  </w:num>
  <w:num w:numId="17">
    <w:abstractNumId w:val="27"/>
  </w:num>
  <w:num w:numId="18">
    <w:abstractNumId w:val="9"/>
  </w:num>
  <w:num w:numId="19">
    <w:abstractNumId w:val="30"/>
  </w:num>
  <w:num w:numId="20">
    <w:abstractNumId w:val="26"/>
  </w:num>
  <w:num w:numId="21">
    <w:abstractNumId w:val="19"/>
  </w:num>
  <w:num w:numId="22">
    <w:abstractNumId w:val="28"/>
  </w:num>
  <w:num w:numId="23">
    <w:abstractNumId w:val="20"/>
  </w:num>
  <w:num w:numId="24">
    <w:abstractNumId w:val="10"/>
  </w:num>
  <w:num w:numId="25">
    <w:abstractNumId w:val="25"/>
  </w:num>
  <w:num w:numId="26">
    <w:abstractNumId w:val="24"/>
  </w:num>
  <w:num w:numId="27">
    <w:abstractNumId w:val="35"/>
  </w:num>
  <w:num w:numId="28">
    <w:abstractNumId w:val="7"/>
  </w:num>
  <w:num w:numId="29">
    <w:abstractNumId w:val="22"/>
  </w:num>
  <w:num w:numId="30">
    <w:abstractNumId w:val="38"/>
  </w:num>
  <w:num w:numId="31">
    <w:abstractNumId w:val="6"/>
  </w:num>
  <w:num w:numId="32">
    <w:abstractNumId w:val="37"/>
  </w:num>
  <w:num w:numId="33">
    <w:abstractNumId w:val="32"/>
  </w:num>
  <w:num w:numId="34">
    <w:abstractNumId w:val="36"/>
  </w:num>
  <w:num w:numId="35">
    <w:abstractNumId w:val="23"/>
  </w:num>
  <w:num w:numId="36">
    <w:abstractNumId w:val="4"/>
  </w:num>
  <w:num w:numId="37">
    <w:abstractNumId w:val="8"/>
  </w:num>
  <w:num w:numId="38">
    <w:abstractNumId w:val="2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199B"/>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0D98"/>
    <w:rsid w:val="008A6AF2"/>
    <w:rsid w:val="008C70A2"/>
    <w:rsid w:val="008F1AF3"/>
    <w:rsid w:val="0091385D"/>
    <w:rsid w:val="009773E4"/>
    <w:rsid w:val="009B171C"/>
    <w:rsid w:val="009F1313"/>
    <w:rsid w:val="00A20351"/>
    <w:rsid w:val="00A65A81"/>
    <w:rsid w:val="00A73575"/>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47F29"/>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3313</Words>
  <Characters>18885</Characters>
  <Application>Microsoft Office Word</Application>
  <DocSecurity>0</DocSecurity>
  <Lines>157</Lines>
  <Paragraphs>44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2023-01-06T02:12:00Z</dcterms:created>
  <dcterms:modified xsi:type="dcterms:W3CDTF">2023-01-06T02:12:00Z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