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3320F4BE" w14:textId="6AB7EF91" w:rsidR="00C40420" w:rsidRDefault="00DD466D" w:rsidP="004A448E">
      <w:pPr>
        <w:pStyle w:val="Heading1"/>
      </w:pPr>
      <w:r>
        <w:t>1.ИМЕ НА ЛЕКАРСТВЕНИЯ ПРОДУКТ</w:t>
      </w:r>
    </w:p>
    <w:p w14:paraId="2D6E8B7B" w14:textId="04E9C68D" w:rsidR="009A71BF" w:rsidRDefault="009A71BF" w:rsidP="009A71BF"/>
    <w:p w14:paraId="2EFB8F6F" w14:textId="77777777" w:rsidR="009A71BF" w:rsidRPr="009A71BF" w:rsidRDefault="009A71BF" w:rsidP="009A71BF">
      <w:pPr>
        <w:rPr>
          <w:sz w:val="24"/>
          <w:szCs w:val="24"/>
          <w:lang w:val="ru-RU"/>
        </w:rPr>
      </w:pPr>
      <w:r w:rsidRPr="009A71BF">
        <w:rPr>
          <w:lang w:eastAsia="bg-BG"/>
        </w:rPr>
        <w:t xml:space="preserve">Тирез 5 </w:t>
      </w:r>
      <w:r w:rsidRPr="009A71BF">
        <w:rPr>
          <w:lang w:val="en-US"/>
        </w:rPr>
        <w:t>mg</w:t>
      </w:r>
      <w:r w:rsidRPr="009A71BF">
        <w:rPr>
          <w:lang w:val="ru-RU"/>
        </w:rPr>
        <w:t xml:space="preserve"> </w:t>
      </w:r>
      <w:r w:rsidRPr="009A71BF">
        <w:rPr>
          <w:lang w:eastAsia="bg-BG"/>
        </w:rPr>
        <w:t>филмирани таблетки</w:t>
      </w:r>
    </w:p>
    <w:p w14:paraId="03BA722A" w14:textId="77777777" w:rsidR="009A71BF" w:rsidRPr="009A71BF" w:rsidRDefault="009A71BF" w:rsidP="009A71BF">
      <w:pPr>
        <w:rPr>
          <w:sz w:val="24"/>
          <w:szCs w:val="24"/>
          <w:lang w:val="ru-RU"/>
        </w:rPr>
      </w:pPr>
      <w:proofErr w:type="spellStart"/>
      <w:r w:rsidRPr="009A71BF">
        <w:rPr>
          <w:lang w:val="en-US"/>
        </w:rPr>
        <w:t>Tyrez</w:t>
      </w:r>
      <w:proofErr w:type="spellEnd"/>
      <w:r w:rsidRPr="009A71BF">
        <w:rPr>
          <w:lang w:val="ru-RU"/>
        </w:rPr>
        <w:t xml:space="preserve"> </w:t>
      </w:r>
      <w:r w:rsidRPr="009A71BF">
        <w:rPr>
          <w:lang w:eastAsia="bg-BG"/>
        </w:rPr>
        <w:t xml:space="preserve">5 </w:t>
      </w:r>
      <w:r w:rsidRPr="009A71BF">
        <w:rPr>
          <w:lang w:val="en-US"/>
        </w:rPr>
        <w:t>mg</w:t>
      </w:r>
      <w:r w:rsidRPr="009A71BF">
        <w:rPr>
          <w:lang w:val="ru-RU"/>
        </w:rPr>
        <w:t xml:space="preserve"> </w:t>
      </w:r>
      <w:r w:rsidRPr="009A71BF">
        <w:rPr>
          <w:lang w:val="en-US"/>
        </w:rPr>
        <w:t>film</w:t>
      </w:r>
      <w:r w:rsidRPr="009A71BF">
        <w:rPr>
          <w:lang w:val="ru-RU"/>
        </w:rPr>
        <w:t>-</w:t>
      </w:r>
      <w:r w:rsidRPr="009A71BF">
        <w:rPr>
          <w:lang w:val="en-US"/>
        </w:rPr>
        <w:t>coated</w:t>
      </w:r>
      <w:r w:rsidRPr="009A71BF">
        <w:rPr>
          <w:lang w:val="ru-RU"/>
        </w:rPr>
        <w:t xml:space="preserve"> </w:t>
      </w:r>
      <w:r w:rsidRPr="009A71BF">
        <w:rPr>
          <w:lang w:val="en-US"/>
        </w:rPr>
        <w:t>tablets</w:t>
      </w:r>
    </w:p>
    <w:p w14:paraId="1AE0C3AE" w14:textId="77777777" w:rsidR="009A71BF" w:rsidRDefault="009A71BF" w:rsidP="009A71BF">
      <w:pPr>
        <w:rPr>
          <w:lang w:eastAsia="bg-BG"/>
        </w:rPr>
      </w:pPr>
    </w:p>
    <w:p w14:paraId="22BA7925" w14:textId="60042A89" w:rsidR="009A71BF" w:rsidRPr="009A71BF" w:rsidRDefault="009A71BF" w:rsidP="009A71BF">
      <w:pPr>
        <w:rPr>
          <w:sz w:val="24"/>
          <w:szCs w:val="24"/>
          <w:lang w:val="ru-RU"/>
        </w:rPr>
      </w:pPr>
      <w:r w:rsidRPr="009A71BF">
        <w:rPr>
          <w:lang w:eastAsia="bg-BG"/>
        </w:rPr>
        <w:t xml:space="preserve">Тирез </w:t>
      </w:r>
      <w:r w:rsidRPr="009A71BF">
        <w:rPr>
          <w:lang w:val="ru-RU"/>
        </w:rPr>
        <w:t xml:space="preserve">10 </w:t>
      </w:r>
      <w:r w:rsidRPr="009A71BF">
        <w:rPr>
          <w:lang w:val="en-US"/>
        </w:rPr>
        <w:t>mg</w:t>
      </w:r>
      <w:r w:rsidRPr="009A71BF">
        <w:rPr>
          <w:lang w:val="ru-RU"/>
        </w:rPr>
        <w:t xml:space="preserve"> </w:t>
      </w:r>
      <w:r w:rsidRPr="009A71BF">
        <w:rPr>
          <w:lang w:eastAsia="bg-BG"/>
        </w:rPr>
        <w:t>филмирани таблетки</w:t>
      </w:r>
    </w:p>
    <w:p w14:paraId="66C649A5" w14:textId="77777777" w:rsidR="009A71BF" w:rsidRPr="009A71BF" w:rsidRDefault="009A71BF" w:rsidP="009A71BF">
      <w:pPr>
        <w:rPr>
          <w:sz w:val="24"/>
          <w:szCs w:val="24"/>
          <w:lang w:val="ru-RU"/>
        </w:rPr>
      </w:pPr>
      <w:proofErr w:type="spellStart"/>
      <w:r w:rsidRPr="009A71BF">
        <w:rPr>
          <w:lang w:val="en-US"/>
        </w:rPr>
        <w:t>Tyrez</w:t>
      </w:r>
      <w:proofErr w:type="spellEnd"/>
      <w:r w:rsidRPr="009A71BF">
        <w:rPr>
          <w:lang w:val="ru-RU"/>
        </w:rPr>
        <w:t xml:space="preserve"> </w:t>
      </w:r>
      <w:r w:rsidRPr="009A71BF">
        <w:rPr>
          <w:lang w:eastAsia="bg-BG"/>
        </w:rPr>
        <w:t xml:space="preserve">10 </w:t>
      </w:r>
      <w:r w:rsidRPr="009A71BF">
        <w:rPr>
          <w:lang w:val="en-US"/>
        </w:rPr>
        <w:t>mg</w:t>
      </w:r>
      <w:r w:rsidRPr="009A71BF">
        <w:rPr>
          <w:lang w:val="ru-RU"/>
        </w:rPr>
        <w:t xml:space="preserve"> </w:t>
      </w:r>
      <w:r w:rsidRPr="009A71BF">
        <w:rPr>
          <w:lang w:val="en-US"/>
        </w:rPr>
        <w:t>film</w:t>
      </w:r>
      <w:r w:rsidRPr="009A71BF">
        <w:rPr>
          <w:lang w:val="ru-RU"/>
        </w:rPr>
        <w:t>-</w:t>
      </w:r>
      <w:r w:rsidRPr="009A71BF">
        <w:rPr>
          <w:lang w:val="en-US"/>
        </w:rPr>
        <w:t>coated</w:t>
      </w:r>
      <w:r w:rsidRPr="009A71BF">
        <w:rPr>
          <w:lang w:val="ru-RU"/>
        </w:rPr>
        <w:t xml:space="preserve"> </w:t>
      </w:r>
      <w:r w:rsidRPr="009A71BF">
        <w:rPr>
          <w:lang w:val="en-US"/>
        </w:rPr>
        <w:t>tablets</w:t>
      </w:r>
    </w:p>
    <w:p w14:paraId="1772D309" w14:textId="77777777" w:rsidR="009A71BF" w:rsidRPr="009A71BF" w:rsidRDefault="009A71BF" w:rsidP="009A71BF"/>
    <w:p w14:paraId="6920A680" w14:textId="3BBFB1FE" w:rsidR="00C40420" w:rsidRDefault="00DD466D" w:rsidP="004A448E">
      <w:pPr>
        <w:pStyle w:val="Heading1"/>
      </w:pPr>
      <w:r>
        <w:t>2. КАЧЕСТВЕН И КОЛИЧЕСТВЕН СЪСТАВ</w:t>
      </w:r>
    </w:p>
    <w:p w14:paraId="441C3790" w14:textId="098C646F" w:rsidR="009A71BF" w:rsidRDefault="009A71BF" w:rsidP="009A71BF"/>
    <w:p w14:paraId="4BB320DB" w14:textId="77777777" w:rsidR="009A71BF" w:rsidRPr="009A71BF" w:rsidRDefault="009A71BF" w:rsidP="009A71BF">
      <w:pPr>
        <w:rPr>
          <w:sz w:val="24"/>
          <w:szCs w:val="24"/>
        </w:rPr>
      </w:pPr>
      <w:r w:rsidRPr="009A71BF">
        <w:rPr>
          <w:lang w:eastAsia="bg-BG"/>
        </w:rPr>
        <w:t xml:space="preserve">Тирез 5 </w:t>
      </w:r>
      <w:r w:rsidRPr="009A71BF">
        <w:rPr>
          <w:lang w:val="en-US"/>
        </w:rPr>
        <w:t>mg</w:t>
      </w:r>
      <w:r w:rsidRPr="009A71BF">
        <w:t xml:space="preserve"> </w:t>
      </w:r>
      <w:r w:rsidRPr="009A71BF">
        <w:rPr>
          <w:lang w:eastAsia="bg-BG"/>
        </w:rPr>
        <w:t>филмирани таблетки:</w:t>
      </w:r>
    </w:p>
    <w:p w14:paraId="32004734" w14:textId="77777777" w:rsidR="009A71BF" w:rsidRPr="009A71BF" w:rsidRDefault="009A71BF" w:rsidP="009A71BF">
      <w:pPr>
        <w:rPr>
          <w:sz w:val="24"/>
          <w:szCs w:val="24"/>
        </w:rPr>
      </w:pPr>
      <w:r w:rsidRPr="009A71BF">
        <w:rPr>
          <w:lang w:eastAsia="bg-BG"/>
        </w:rPr>
        <w:t xml:space="preserve">Всяка филмирана таблетка съдържа 5 </w:t>
      </w:r>
      <w:r w:rsidRPr="009A71BF">
        <w:rPr>
          <w:lang w:val="en-US"/>
        </w:rPr>
        <w:t>mg</w:t>
      </w:r>
      <w:r w:rsidRPr="009A71BF">
        <w:t xml:space="preserve"> </w:t>
      </w:r>
      <w:r w:rsidRPr="009A71BF">
        <w:rPr>
          <w:lang w:eastAsia="bg-BG"/>
        </w:rPr>
        <w:t xml:space="preserve">бизопрололов фумарат </w:t>
      </w:r>
      <w:r w:rsidRPr="009A71BF">
        <w:rPr>
          <w:i/>
          <w:iCs/>
        </w:rPr>
        <w:t>(</w:t>
      </w:r>
      <w:proofErr w:type="spellStart"/>
      <w:r w:rsidRPr="009A71BF">
        <w:rPr>
          <w:i/>
          <w:iCs/>
          <w:lang w:val="en-US"/>
        </w:rPr>
        <w:t>bisoprolol</w:t>
      </w:r>
      <w:proofErr w:type="spellEnd"/>
      <w:r w:rsidRPr="009A71BF">
        <w:rPr>
          <w:i/>
          <w:iCs/>
        </w:rPr>
        <w:t xml:space="preserve"> </w:t>
      </w:r>
      <w:r w:rsidRPr="009A71BF">
        <w:rPr>
          <w:i/>
          <w:iCs/>
          <w:lang w:val="en-US"/>
        </w:rPr>
        <w:t>fumarate</w:t>
      </w:r>
      <w:r w:rsidRPr="009A71BF">
        <w:rPr>
          <w:i/>
          <w:iCs/>
        </w:rPr>
        <w:t xml:space="preserve">), </w:t>
      </w:r>
      <w:r w:rsidRPr="009A71BF">
        <w:rPr>
          <w:lang w:eastAsia="bg-BG"/>
        </w:rPr>
        <w:t xml:space="preserve">еквивалентен на 4,24 </w:t>
      </w:r>
      <w:r w:rsidRPr="009A71BF">
        <w:rPr>
          <w:lang w:val="en-US"/>
        </w:rPr>
        <w:t>mg</w:t>
      </w:r>
      <w:r w:rsidRPr="009A71BF">
        <w:t xml:space="preserve"> </w:t>
      </w:r>
      <w:r w:rsidRPr="009A71BF">
        <w:rPr>
          <w:lang w:eastAsia="bg-BG"/>
        </w:rPr>
        <w:t xml:space="preserve">бизопролол </w:t>
      </w:r>
      <w:r w:rsidRPr="009A71BF">
        <w:rPr>
          <w:i/>
          <w:iCs/>
        </w:rPr>
        <w:t>(</w:t>
      </w:r>
      <w:proofErr w:type="spellStart"/>
      <w:r w:rsidRPr="009A71BF">
        <w:rPr>
          <w:i/>
          <w:iCs/>
          <w:lang w:val="en-US"/>
        </w:rPr>
        <w:t>bisoprolol</w:t>
      </w:r>
      <w:proofErr w:type="spellEnd"/>
      <w:r w:rsidRPr="009A71BF">
        <w:rPr>
          <w:i/>
          <w:iCs/>
        </w:rPr>
        <w:t>),</w:t>
      </w:r>
    </w:p>
    <w:p w14:paraId="4D78CA4F" w14:textId="77777777" w:rsidR="009A71BF" w:rsidRDefault="009A71BF" w:rsidP="009A71BF">
      <w:pPr>
        <w:rPr>
          <w:lang w:eastAsia="bg-BG"/>
        </w:rPr>
      </w:pPr>
    </w:p>
    <w:p w14:paraId="4FB860F8" w14:textId="3F76D93D" w:rsidR="009A71BF" w:rsidRPr="009A71BF" w:rsidRDefault="009A71BF" w:rsidP="009A71BF">
      <w:pPr>
        <w:rPr>
          <w:sz w:val="24"/>
          <w:szCs w:val="24"/>
        </w:rPr>
      </w:pPr>
      <w:r w:rsidRPr="009A71BF">
        <w:rPr>
          <w:lang w:eastAsia="bg-BG"/>
        </w:rPr>
        <w:t xml:space="preserve">Тирез 10 </w:t>
      </w:r>
      <w:r w:rsidRPr="009A71BF">
        <w:rPr>
          <w:lang w:val="en-US"/>
        </w:rPr>
        <w:t>mg</w:t>
      </w:r>
      <w:r w:rsidRPr="009A71BF">
        <w:t xml:space="preserve"> </w:t>
      </w:r>
      <w:r w:rsidRPr="009A71BF">
        <w:rPr>
          <w:lang w:eastAsia="bg-BG"/>
        </w:rPr>
        <w:t>филмирани таблетки:</w:t>
      </w:r>
    </w:p>
    <w:p w14:paraId="6F6CE414" w14:textId="77777777" w:rsidR="009A71BF" w:rsidRPr="009A71BF" w:rsidRDefault="009A71BF" w:rsidP="009A71BF">
      <w:pPr>
        <w:rPr>
          <w:sz w:val="24"/>
          <w:szCs w:val="24"/>
        </w:rPr>
      </w:pPr>
      <w:r w:rsidRPr="009A71BF">
        <w:rPr>
          <w:lang w:eastAsia="bg-BG"/>
        </w:rPr>
        <w:t xml:space="preserve">Всяка филмирана таблетка съдържа 10 </w:t>
      </w:r>
      <w:r w:rsidRPr="009A71BF">
        <w:rPr>
          <w:lang w:val="en-US"/>
        </w:rPr>
        <w:t>mg</w:t>
      </w:r>
      <w:r w:rsidRPr="009A71BF">
        <w:t xml:space="preserve"> </w:t>
      </w:r>
      <w:r w:rsidRPr="009A71BF">
        <w:rPr>
          <w:lang w:eastAsia="bg-BG"/>
        </w:rPr>
        <w:t xml:space="preserve">бизопрололов фумарат </w:t>
      </w:r>
      <w:r w:rsidRPr="009A71BF">
        <w:rPr>
          <w:i/>
          <w:iCs/>
        </w:rPr>
        <w:t>(</w:t>
      </w:r>
      <w:proofErr w:type="spellStart"/>
      <w:r w:rsidRPr="009A71BF">
        <w:rPr>
          <w:i/>
          <w:iCs/>
          <w:lang w:val="en-US"/>
        </w:rPr>
        <w:t>bisoprolol</w:t>
      </w:r>
      <w:proofErr w:type="spellEnd"/>
      <w:r w:rsidRPr="009A71BF">
        <w:rPr>
          <w:i/>
          <w:iCs/>
        </w:rPr>
        <w:t xml:space="preserve"> </w:t>
      </w:r>
      <w:r w:rsidRPr="009A71BF">
        <w:rPr>
          <w:i/>
          <w:iCs/>
          <w:lang w:val="en-US"/>
        </w:rPr>
        <w:t>fumarate</w:t>
      </w:r>
      <w:r w:rsidRPr="009A71BF">
        <w:rPr>
          <w:i/>
          <w:iCs/>
        </w:rPr>
        <w:t xml:space="preserve">), </w:t>
      </w:r>
      <w:r w:rsidRPr="009A71BF">
        <w:rPr>
          <w:lang w:eastAsia="bg-BG"/>
        </w:rPr>
        <w:t xml:space="preserve">еквивалентен на 8,49 </w:t>
      </w:r>
      <w:r w:rsidRPr="009A71BF">
        <w:rPr>
          <w:lang w:val="en-US"/>
        </w:rPr>
        <w:t>mg</w:t>
      </w:r>
      <w:r w:rsidRPr="009A71BF">
        <w:t xml:space="preserve"> </w:t>
      </w:r>
      <w:r w:rsidRPr="009A71BF">
        <w:rPr>
          <w:lang w:eastAsia="bg-BG"/>
        </w:rPr>
        <w:t>бизопролол.</w:t>
      </w:r>
    </w:p>
    <w:p w14:paraId="69F5B6FC" w14:textId="77777777" w:rsidR="009A71BF" w:rsidRPr="009A71BF" w:rsidRDefault="009A71BF" w:rsidP="009A71BF"/>
    <w:p w14:paraId="614984C4" w14:textId="2DF607AD" w:rsidR="008A6AF2" w:rsidRDefault="00DD466D" w:rsidP="002C50EE">
      <w:pPr>
        <w:pStyle w:val="Heading1"/>
      </w:pPr>
      <w:r>
        <w:t>3. ЛЕКАРСТВЕНА ФОРМА</w:t>
      </w:r>
    </w:p>
    <w:p w14:paraId="52913C8E" w14:textId="28CD0315" w:rsidR="009A71BF" w:rsidRDefault="009A71BF" w:rsidP="009A71BF"/>
    <w:p w14:paraId="55B43FAC" w14:textId="3436B287" w:rsidR="009A71BF" w:rsidRPr="009A71BF" w:rsidRDefault="009A71BF" w:rsidP="009A71BF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филмирана таблетка</w:t>
      </w:r>
    </w:p>
    <w:p w14:paraId="44773C18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EFB81E5" w14:textId="6211159E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Тирез 5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 xml:space="preserve">филмирани таблетки са жълти, кръгли, двойно изпъкнали филмирани таблетки с делителна черта от едната страна. Размерът на всяка таблетка е 7,00 </w:t>
      </w:r>
      <w:r w:rsidRPr="009A71BF">
        <w:rPr>
          <w:rFonts w:eastAsia="Times New Roman" w:cs="Arial"/>
          <w:color w:val="000000"/>
          <w:lang w:val="en-US"/>
        </w:rPr>
        <w:t>mm</w:t>
      </w:r>
      <w:r w:rsidRPr="009A71BF">
        <w:rPr>
          <w:rFonts w:eastAsia="Times New Roman" w:cs="Arial"/>
          <w:color w:val="000000"/>
          <w:lang w:val="ru-RU"/>
        </w:rPr>
        <w:t xml:space="preserve">. </w:t>
      </w:r>
      <w:r w:rsidRPr="009A71BF">
        <w:rPr>
          <w:rFonts w:eastAsia="Times New Roman" w:cs="Arial"/>
          <w:color w:val="000000"/>
          <w:lang w:eastAsia="bg-BG"/>
        </w:rPr>
        <w:t>Таблетката може да бъде разделена на две равни дози.</w:t>
      </w:r>
    </w:p>
    <w:p w14:paraId="0CD4FD96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1B33B49" w14:textId="2F4BDFC9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Тирез 10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 xml:space="preserve">филмирани таблетки са с цвят охра, кръгли, двойно изпъкнали филмирани таблетки с делителна черта от едната страна. Размерът на всяка таблетка е 7,00 </w:t>
      </w:r>
      <w:r w:rsidRPr="009A71BF">
        <w:rPr>
          <w:rFonts w:eastAsia="Times New Roman" w:cs="Arial"/>
          <w:color w:val="000000"/>
          <w:lang w:val="en-US"/>
        </w:rPr>
        <w:t>mm</w:t>
      </w:r>
      <w:r w:rsidRPr="009A71BF">
        <w:rPr>
          <w:rFonts w:eastAsia="Times New Roman" w:cs="Arial"/>
          <w:color w:val="000000"/>
          <w:lang w:val="ru-RU"/>
        </w:rPr>
        <w:t xml:space="preserve">. </w:t>
      </w:r>
      <w:r w:rsidRPr="009A71BF">
        <w:rPr>
          <w:rFonts w:eastAsia="Times New Roman" w:cs="Arial"/>
          <w:color w:val="000000"/>
          <w:lang w:eastAsia="bg-BG"/>
        </w:rPr>
        <w:t>Таблетката може да бъде разделена на две равни дози.</w:t>
      </w:r>
    </w:p>
    <w:p w14:paraId="5BFBFAE5" w14:textId="77777777" w:rsidR="009A71BF" w:rsidRPr="009A71BF" w:rsidRDefault="009A71BF" w:rsidP="009A71BF"/>
    <w:p w14:paraId="490FC2C4" w14:textId="32682B15" w:rsidR="002C50EE" w:rsidRDefault="002C50EE" w:rsidP="002C50EE">
      <w:pPr>
        <w:pStyle w:val="Heading1"/>
      </w:pPr>
      <w:r>
        <w:t>4. КЛИНИЧНИ ДАННИ</w:t>
      </w:r>
    </w:p>
    <w:p w14:paraId="0C8E6903" w14:textId="1BE41438" w:rsidR="008134C8" w:rsidRDefault="002C50EE" w:rsidP="004A448E">
      <w:pPr>
        <w:pStyle w:val="Heading2"/>
      </w:pPr>
      <w:r>
        <w:t>4.1. Терапевтични показания</w:t>
      </w:r>
    </w:p>
    <w:p w14:paraId="17E85860" w14:textId="47931EE9" w:rsidR="009A71BF" w:rsidRDefault="009A71BF" w:rsidP="009A71BF"/>
    <w:p w14:paraId="23966213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Хипертония</w:t>
      </w:r>
    </w:p>
    <w:p w14:paraId="5C07B113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B3D2BC6" w14:textId="78FB4EB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Ангина пекторис</w:t>
      </w:r>
    </w:p>
    <w:p w14:paraId="439566F8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4C51F99" w14:textId="2E2103A4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Лечение на стабилна хронична сърдечна недостатъчност с намалена систолна функция на лявата камера в допълнение към АСЕ-инхибитори и диуретици, както и дигиталисови гликозиди (за допълнителна информация вижте точка 5.1).</w:t>
      </w:r>
    </w:p>
    <w:p w14:paraId="61B8F4DA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95A142A" w14:textId="559C215E" w:rsidR="009A71BF" w:rsidRPr="009A71BF" w:rsidRDefault="009A71BF" w:rsidP="009A71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71BF">
        <w:rPr>
          <w:rFonts w:eastAsia="Times New Roman" w:cs="Arial"/>
          <w:color w:val="000000"/>
          <w:lang w:eastAsia="bg-BG"/>
        </w:rPr>
        <w:t>ТИРЕЗ е показан за лечение на възрастни.</w:t>
      </w:r>
    </w:p>
    <w:p w14:paraId="7215A7C9" w14:textId="77777777" w:rsidR="009A71BF" w:rsidRPr="009A71BF" w:rsidRDefault="009A71BF" w:rsidP="009A71BF"/>
    <w:p w14:paraId="30BE2C7B" w14:textId="0F964A02" w:rsidR="008134C8" w:rsidRDefault="002C50EE" w:rsidP="004A448E">
      <w:pPr>
        <w:pStyle w:val="Heading2"/>
      </w:pPr>
      <w:r>
        <w:t>4.2. Дозировка и начин на приложение</w:t>
      </w:r>
    </w:p>
    <w:p w14:paraId="13A1D70B" w14:textId="42C369D5" w:rsidR="009A71BF" w:rsidRDefault="009A71BF" w:rsidP="009A71BF"/>
    <w:p w14:paraId="00AA102C" w14:textId="77777777" w:rsidR="009A71BF" w:rsidRPr="009A71BF" w:rsidRDefault="009A71BF" w:rsidP="009A71BF">
      <w:pPr>
        <w:pStyle w:val="Heading3"/>
        <w:rPr>
          <w:rFonts w:eastAsia="Times New Roman"/>
          <w:i/>
        </w:rPr>
      </w:pPr>
      <w:r w:rsidRPr="009A71BF">
        <w:rPr>
          <w:rFonts w:eastAsia="Times New Roman"/>
          <w:i/>
          <w:lang w:eastAsia="bg-BG"/>
        </w:rPr>
        <w:t>Дозировка:</w:t>
      </w:r>
    </w:p>
    <w:p w14:paraId="40A4654D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173B24D4" w14:textId="58EABEBE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u w:val="single"/>
          <w:lang w:eastAsia="bg-BG"/>
        </w:rPr>
        <w:t>Хипертония/ангина пекторис</w:t>
      </w:r>
    </w:p>
    <w:p w14:paraId="53009F60" w14:textId="7AE25BDA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Дозировката трябва да се определя индивидуално, като се вземат предвид по-специално честотата на пулса и терапевтичния успех. Препоръчително е да се започне с 5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 xml:space="preserve">на ден. Обичайната доза е 10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 xml:space="preserve">веднъж дневно с максимална препоръчителна доза от 20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дневно.</w:t>
      </w:r>
    </w:p>
    <w:p w14:paraId="0C05253F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59EEFA5B" w14:textId="7DCF127C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Пациенти с бъбречно или чернодробно увреждане</w:t>
      </w:r>
    </w:p>
    <w:p w14:paraId="40075A5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При пациенти с леко до умерено нарушена чернодробна или бъбречна функция обикновено не се изисква корекция на дозата. При пациенти с тежко бъбречно увреждане (креатининов клирънс &lt; 20 </w:t>
      </w:r>
      <w:r w:rsidRPr="009A71BF">
        <w:rPr>
          <w:rFonts w:eastAsia="Times New Roman" w:cs="Arial"/>
          <w:color w:val="000000"/>
          <w:lang w:val="en-US"/>
        </w:rPr>
        <w:t>ml</w:t>
      </w:r>
      <w:r w:rsidRPr="009A71BF">
        <w:rPr>
          <w:rFonts w:eastAsia="Times New Roman" w:cs="Arial"/>
          <w:color w:val="000000"/>
          <w:lang w:val="ru-RU"/>
        </w:rPr>
        <w:t>/</w:t>
      </w:r>
      <w:r w:rsidRPr="009A71BF">
        <w:rPr>
          <w:rFonts w:eastAsia="Times New Roman" w:cs="Arial"/>
          <w:color w:val="000000"/>
          <w:lang w:val="en-US"/>
        </w:rPr>
        <w:t>min</w:t>
      </w:r>
      <w:r w:rsidRPr="009A71BF">
        <w:rPr>
          <w:rFonts w:eastAsia="Times New Roman" w:cs="Arial"/>
          <w:color w:val="000000"/>
          <w:lang w:val="ru-RU"/>
        </w:rPr>
        <w:t xml:space="preserve">) </w:t>
      </w:r>
      <w:r w:rsidRPr="009A71BF">
        <w:rPr>
          <w:rFonts w:eastAsia="Times New Roman" w:cs="Arial"/>
          <w:color w:val="000000"/>
          <w:lang w:eastAsia="bg-BG"/>
        </w:rPr>
        <w:t xml:space="preserve">и при пациенти с тежко нарушена чернодробна функция, дневната доза 10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бизопролол фумарат не трябва да бъде превишавана. Опитът с употребата на бизопролол при пациенти на бъбречна диализа е ограничен. Въпреки това, няма доказателства, които предполагат, че режимът на дозировка трябва да се промени.</w:t>
      </w:r>
    </w:p>
    <w:p w14:paraId="14B04D40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5226B70" w14:textId="3C72A1A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Пациенти в напреднала възраст</w:t>
      </w:r>
    </w:p>
    <w:p w14:paraId="448096BB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Не се налага корекция на дозата. Препоръчително е да се започне с възможно най-ниската доза.</w:t>
      </w:r>
    </w:p>
    <w:p w14:paraId="1DA52FAC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14236545" w14:textId="4A9051F6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Педиатрична популация</w:t>
      </w:r>
    </w:p>
    <w:p w14:paraId="2CF0B9AC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Безопасността и ефикасността на ТИРЕЗ в педиатричната популация все още не са установени. Няма налични данни.</w:t>
      </w:r>
    </w:p>
    <w:p w14:paraId="7CD964C1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A0FB867" w14:textId="6522A323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Прекратяване на лечението:</w:t>
      </w:r>
    </w:p>
    <w:p w14:paraId="382214BF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Лечението не трябва да се спира рязко (вж, точка 4.4). Дозата трябва да се намалява бавно чрез седмично преполовяване на дозата.</w:t>
      </w:r>
    </w:p>
    <w:p w14:paraId="54F8E87F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0E82A840" w14:textId="3AFB47A9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u w:val="single"/>
          <w:lang w:eastAsia="bg-BG"/>
        </w:rPr>
        <w:t>Лечение на стабилна хронична сърдечна недостатъчност</w:t>
      </w:r>
    </w:p>
    <w:p w14:paraId="457D4FF4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Стандартното лечение на хронична сърдечна недостатъчност се състои от АСЕ-инхибитор (или ангиотензин рецепторен блокер в случай на непоносимост към АСЕ-инхибитори), бета-блокер, диуретици и, когато е подходящо, сърдечни гликозиди. Пациентите трябва да бъдат стабилни (без остра недостатъчност) при започване на лечението с бизопролол.</w:t>
      </w:r>
    </w:p>
    <w:p w14:paraId="4794E2F2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3712006" w14:textId="6BFC42A0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Препоръчва се лекуващият лекар да има опит в управлението на хронична сърдечна недостатъчност.</w:t>
      </w:r>
    </w:p>
    <w:p w14:paraId="6D8EA81A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5E684F5" w14:textId="2B837790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По време на периода на титриране и след това може да настъпи преходно влошаване на сърдечната недостатъчност, хипотония или брадикардия.</w:t>
      </w:r>
    </w:p>
    <w:p w14:paraId="4ED70FBC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78791BC" w14:textId="54BC174F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Фаза на титриране</w:t>
      </w:r>
    </w:p>
    <w:p w14:paraId="76EE8DE5" w14:textId="1546B5E0" w:rsidR="009A71BF" w:rsidRP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Лечението на стабилна хронична сърдечна недостатъчност с бизопролол изисква фаза на титриране.</w:t>
      </w:r>
    </w:p>
    <w:p w14:paraId="1CF85D07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lastRenderedPageBreak/>
        <w:t xml:space="preserve">Лечението с бизопролол трябва да започне с постепенно титриране в следните интервали: </w:t>
      </w:r>
    </w:p>
    <w:p w14:paraId="37D58784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62A9AE7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1,25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 xml:space="preserve">веднъж дневно в продължение на 1 седмица, ако се понася добре, се увеличава до </w:t>
      </w:r>
    </w:p>
    <w:p w14:paraId="5AF2CF25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2,5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веднъж дневно в продължение на още една седмица, ако се понася добре, се увеличава до</w:t>
      </w:r>
    </w:p>
    <w:p w14:paraId="0973F5BB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3.75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веднъж дневно в продължение на още една седмица, ако се понася добре, се увеличава до</w:t>
      </w:r>
    </w:p>
    <w:p w14:paraId="14AC093C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5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веднъж дневно в продължение на 4 последователни седмици, ако се понася добре, се увеличава до</w:t>
      </w:r>
    </w:p>
    <w:p w14:paraId="6AF6C2DB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7.5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веднъж дневно в продължение на 4 последователни седмици, ако се понася добре, се увеличава до</w:t>
      </w:r>
    </w:p>
    <w:p w14:paraId="5D73EC1B" w14:textId="322906CD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10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веднъж дневно за поддържаща терапия.</w:t>
      </w:r>
    </w:p>
    <w:p w14:paraId="4335C144" w14:textId="6550240E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Максималната препоръчителна доза е 10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веднъж дневно.</w:t>
      </w:r>
    </w:p>
    <w:p w14:paraId="5DBFE9FE" w14:textId="4E841A8E" w:rsidR="009A71BF" w:rsidRDefault="009A71BF" w:rsidP="009A71BF">
      <w:pPr>
        <w:rPr>
          <w:rFonts w:eastAsia="Times New Roman" w:cs="Arial"/>
          <w:color w:val="000000"/>
          <w:lang w:val="en-US"/>
        </w:rPr>
      </w:pPr>
      <w:r w:rsidRPr="009A71BF">
        <w:rPr>
          <w:rFonts w:eastAsia="Times New Roman" w:cs="Arial"/>
          <w:color w:val="000000"/>
          <w:lang w:eastAsia="bg-BG"/>
        </w:rPr>
        <w:t xml:space="preserve">За първоначалната фаза на титриране (от 1,25 до 3,75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eastAsia="bg-BG"/>
        </w:rPr>
        <w:t xml:space="preserve">/ден) се предлагат делими таблетки ТИРЕЗ 2,5 </w:t>
      </w:r>
      <w:r w:rsidRPr="009A71BF">
        <w:rPr>
          <w:rFonts w:eastAsia="Times New Roman" w:cs="Arial"/>
          <w:color w:val="000000"/>
          <w:lang w:val="en-US"/>
        </w:rPr>
        <w:t>mg</w:t>
      </w:r>
    </w:p>
    <w:p w14:paraId="3CFBA1E3" w14:textId="1C7E5550" w:rsidR="009A71BF" w:rsidRDefault="009A71BF" w:rsidP="009A71BF">
      <w:pPr>
        <w:rPr>
          <w:rFonts w:eastAsia="Times New Roman" w:cs="Arial"/>
          <w:color w:val="000000"/>
          <w:lang w:val="en-US"/>
        </w:rPr>
      </w:pPr>
    </w:p>
    <w:p w14:paraId="3BB344F1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По време на фазата на титриране се препоръчва наблюдение на жизнените показатели (сърдечна честота, кръвно налягане), както и за симптоми на влошаване на сърдечната недостатъчност. Симптомите могат да се появят още на първия ден след започване на терапията.</w:t>
      </w:r>
    </w:p>
    <w:p w14:paraId="166AF028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7689822" w14:textId="48559611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Промяна на лечението</w:t>
      </w:r>
    </w:p>
    <w:p w14:paraId="32A12E3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Ако максималната препоръчителна доза не се понася добре, трябва да се обмисли постепенно намаляване на дозата.</w:t>
      </w:r>
    </w:p>
    <w:p w14:paraId="6C77A47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В случай на преходно влошаване на сърдечната недостатъчност, хипотония или брадикардия, трябва да се обмисли корекция на дозата на съпътстващото лечение. Следва да се обмисли и временно намаляване на дозата на бизопролол или прекъсване на лечението.</w:t>
      </w:r>
    </w:p>
    <w:p w14:paraId="44EE3071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Повторното въвеждане и/или повишаване на дозата на бизопролол трябва винаги да се има предвид, когато пациентът отново се стабилизира.</w:t>
      </w:r>
    </w:p>
    <w:p w14:paraId="55A38A4D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0C54196" w14:textId="1F8BEA2D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Продължителност на лечението</w:t>
      </w:r>
    </w:p>
    <w:p w14:paraId="2A71C580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Лечението на стабилна хронична сърдечна недостатъчност с бизопролол като цяло е дългосрочно. Лечението с бизопролол не трябва да се спира рязко, тъй като това може да доведе до преходно влошаване на състоянието на пациента. Особено при пациенти с исхемична болест на сърцето, лечението не трябва да се спира внезапно. Препоръчва се постепенно намаляване на дневната доза.</w:t>
      </w:r>
    </w:p>
    <w:p w14:paraId="039E5BBF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9B28735" w14:textId="7DFD9086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Бъбречно или чернодробно увреждане</w:t>
      </w:r>
    </w:p>
    <w:p w14:paraId="00F9DB14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Липсва информация по отношение на фармакокинетиката на бизопролол при пациенти с хронична сърдечна недостатъчност и увредена чернодробна или бъбречна функция. Постепенното повишаване на дозата при тези популации следва да се прави с допълнителна предпазливост.</w:t>
      </w:r>
    </w:p>
    <w:p w14:paraId="3EBF0588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5A2F3261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 xml:space="preserve">Пациенти в напреднала възраст </w:t>
      </w:r>
    </w:p>
    <w:p w14:paraId="0C564FC2" w14:textId="02964705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Не се налага корекция на дозата.</w:t>
      </w:r>
    </w:p>
    <w:p w14:paraId="79232725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63E6F83" w14:textId="5FAC897B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Педиатрична популация</w:t>
      </w:r>
    </w:p>
    <w:p w14:paraId="0448D61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Безопасността и ефективността на ТИРЕЗ при деца все още не са установени.</w:t>
      </w:r>
    </w:p>
    <w:p w14:paraId="794AC656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lastRenderedPageBreak/>
        <w:t>Няма налични данни.</w:t>
      </w:r>
    </w:p>
    <w:p w14:paraId="67214664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4A7CD19" w14:textId="4143F52B" w:rsidR="009A71BF" w:rsidRPr="009A71BF" w:rsidRDefault="009A71BF" w:rsidP="009A71BF">
      <w:pPr>
        <w:pStyle w:val="Heading3"/>
        <w:rPr>
          <w:rFonts w:eastAsia="Times New Roman"/>
          <w:i/>
        </w:rPr>
      </w:pPr>
      <w:r w:rsidRPr="009A71BF">
        <w:rPr>
          <w:rFonts w:eastAsia="Times New Roman"/>
          <w:i/>
          <w:lang w:eastAsia="bg-BG"/>
        </w:rPr>
        <w:t>Начин на приложение:</w:t>
      </w:r>
    </w:p>
    <w:p w14:paraId="74741BA9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ТИРЕЗ таблетки трябва да се приема сутрин и може да се приема с храна. Препоръчителната доза (цяла таблетка(и) и/или половин таблетка) трябва да се поглъща цяла, с малко течност и не трябва да се дъвче или чупи.</w:t>
      </w:r>
    </w:p>
    <w:p w14:paraId="359B9B5B" w14:textId="77777777" w:rsidR="009A71BF" w:rsidRPr="009A71BF" w:rsidRDefault="009A71BF" w:rsidP="009A71BF">
      <w:pPr>
        <w:rPr>
          <w:rFonts w:cs="Arial"/>
        </w:rPr>
      </w:pPr>
    </w:p>
    <w:p w14:paraId="28C984E8" w14:textId="54A1B31F" w:rsidR="008134C8" w:rsidRDefault="002C50EE" w:rsidP="004A448E">
      <w:pPr>
        <w:pStyle w:val="Heading2"/>
      </w:pPr>
      <w:r>
        <w:t>4.3. Противопоказания</w:t>
      </w:r>
    </w:p>
    <w:p w14:paraId="5A618FB1" w14:textId="6BD25490" w:rsidR="009A71BF" w:rsidRDefault="009A71BF" w:rsidP="009A71BF"/>
    <w:p w14:paraId="7538F545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Свръхчувствителност към активното вещество или към някое от помощните вещества, изброени в точка 6.1;</w:t>
      </w:r>
    </w:p>
    <w:p w14:paraId="1D5FA607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Остра сърдечна недостатъчност или влошаване на сърдечната недостатъчност, изискваща интравенозно инотропно лечение;</w:t>
      </w:r>
    </w:p>
    <w:p w14:paraId="4EECD251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Кардиогенен шок;</w:t>
      </w:r>
    </w:p>
    <w:p w14:paraId="5E103FA7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Втора или трета степен </w:t>
      </w:r>
      <w:r w:rsidRPr="009A71BF">
        <w:rPr>
          <w:rFonts w:eastAsia="Times New Roman" w:cs="Arial"/>
          <w:color w:val="000000"/>
          <w:lang w:val="en-US"/>
        </w:rPr>
        <w:t>AV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блок (без пейсмейкър);</w:t>
      </w:r>
    </w:p>
    <w:p w14:paraId="6CEA70DC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Еиндром на болния синусов възел;</w:t>
      </w:r>
    </w:p>
    <w:p w14:paraId="507E9957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Еиноатриален блок;</w:t>
      </w:r>
    </w:p>
    <w:p w14:paraId="7FA8EEA7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Еимптоматична брадикардия;</w:t>
      </w:r>
    </w:p>
    <w:p w14:paraId="0055EE2B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Еимптоматична хипотония;</w:t>
      </w:r>
    </w:p>
    <w:p w14:paraId="0E28671E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Тежка бронхиална астма;</w:t>
      </w:r>
    </w:p>
    <w:p w14:paraId="480BC33D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Тежки форми на периферна артериална оклузивна болест и синдром на Рейно; </w:t>
      </w:r>
    </w:p>
    <w:p w14:paraId="714D858D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Нелекуван феохромоцитом (вж. точка 4.4), </w:t>
      </w:r>
    </w:p>
    <w:p w14:paraId="7F02FB4A" w14:textId="2B10D44A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Метаболитна ацидоза.</w:t>
      </w:r>
    </w:p>
    <w:p w14:paraId="3FACF193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</w:p>
    <w:p w14:paraId="212F509C" w14:textId="460965D6" w:rsidR="004F498A" w:rsidRDefault="002C50EE" w:rsidP="004A448E">
      <w:pPr>
        <w:pStyle w:val="Heading2"/>
      </w:pPr>
      <w:r>
        <w:t>4.4. Специални предупреждения и предпазни мерки при употреба</w:t>
      </w:r>
    </w:p>
    <w:p w14:paraId="7194A712" w14:textId="4942B7D3" w:rsidR="009A71BF" w:rsidRDefault="009A71BF" w:rsidP="009A71BF"/>
    <w:p w14:paraId="68B24FAE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Лечението на стабилна хронична сърдечна недостатъчност с бизопролол трябва да започне със специална фаза на титриране (вж. точка 4.2).</w:t>
      </w:r>
    </w:p>
    <w:p w14:paraId="050B9837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BA7B6E8" w14:textId="64AABC6D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Особено при пациенти с исхемична болест на сърцето, спирането на лечението с бизопролол не трябва да става внезапно, освен ако не е наложително, защото това може да доведе до преходно влошаване на състоянието на сърцето (вж. точка 4.2).</w:t>
      </w:r>
    </w:p>
    <w:p w14:paraId="7828FDD3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C209CF4" w14:textId="28DB17B3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Започване на лечението на стабилна хронична сърдечна недостатъчност с бизопролол налага редовен мониторинг. За дозировката и начина на приложение, моля вижте точка 4.2.</w:t>
      </w:r>
    </w:p>
    <w:p w14:paraId="74A132D4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A31F8BB" w14:textId="579E72A6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Съществува риск от инфаркт на миокарда и внезапна смърт, ако лечението бъде внезапно прекратено при пациенти с исхемична болест на сърцето (вж. точка 4.2).</w:t>
      </w:r>
    </w:p>
    <w:p w14:paraId="7E8D51A4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A2011B3" w14:textId="6727D7C3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Бизопролол трябва да се използва с повишено внимание при пациента с хипертония или ангина пекторис и съпътстваща сърдечна недостатъчност.</w:t>
      </w:r>
    </w:p>
    <w:p w14:paraId="34351A97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B53CBDB" w14:textId="65D840A6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Бизопролол трябва да се използва с повишено внимание при:</w:t>
      </w:r>
    </w:p>
    <w:p w14:paraId="5B093247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бронхоспазъм (бронхиална астма, обструктивни заболявания на дихателните пътища). </w:t>
      </w:r>
    </w:p>
    <w:p w14:paraId="68C06381" w14:textId="55CAAAD9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Въпреки, че кардиоселективните (бета1) бета-блокери може да имат по-слаб ефект върху функцията на белите дробове, отколкото неселективните бета-блокери, както и при всички бета- блокери, те трябва да се избягват при пациента с обструктивни заболявалия </w:t>
      </w:r>
      <w:r w:rsidRPr="009A71BF">
        <w:rPr>
          <w:rFonts w:eastAsia="Times New Roman" w:cs="Arial"/>
          <w:color w:val="000000"/>
          <w:lang w:eastAsia="bg-BG"/>
        </w:rPr>
        <w:lastRenderedPageBreak/>
        <w:t>на дихателните пътища, освен ако не са налице наложителни клинични причини за тяхната употреба. Когато съществуват такива причини, ТИРЕЗ може да се използва с повишено внимание. При пациенти с обструктивни заболявания на дихателните пътища, лечението с бизопролол трябва да започне с най-ниската възможна доза и пациентите трябва да бъдат внимателно наблюдавани за нови симптоми (например задух, умора, кашлица).</w:t>
      </w:r>
    </w:p>
    <w:p w14:paraId="37B628A0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При бронхиална астма или други хронични обструктивни заболявалия на дихателните пътища, които могат да причинят симптоми, едновременно трябва да се прилага бронходилатиращо лечение. При пациенти с астма понякога това може да се представи с повишено съпротивление на дихателните пътища, което може да изисква увеличаване на дозата на бета-2 агонистите.</w:t>
      </w:r>
    </w:p>
    <w:p w14:paraId="46C3394C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захарен диабет с големи колебания в стойностите на кръвната захар. Симптомите на хипогликемия (напр. тахикардия, сърцебиене или изпотяване) могат да бъдат маскирани;</w:t>
      </w:r>
    </w:p>
    <w:p w14:paraId="75AC3428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стриктно гладуване</w:t>
      </w:r>
    </w:p>
    <w:p w14:paraId="090C17C4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текуща десенсибилизираща терапия. Както и при други бета-блокери, бизопролол може да повиши както чувствителността към алергени, така и тежестта на анафилактичните реакции. Лечение с епинефрин не винаги дава очаквания терапевтичен ефект.</w:t>
      </w:r>
    </w:p>
    <w:p w14:paraId="0E9C9E15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първа степен </w:t>
      </w:r>
      <w:r w:rsidRPr="009A71BF">
        <w:rPr>
          <w:rFonts w:eastAsia="Times New Roman" w:cs="Arial"/>
          <w:color w:val="000000"/>
          <w:lang w:val="en-US"/>
        </w:rPr>
        <w:t xml:space="preserve">AV </w:t>
      </w:r>
      <w:r w:rsidRPr="009A71BF">
        <w:rPr>
          <w:rFonts w:eastAsia="Times New Roman" w:cs="Arial"/>
          <w:color w:val="000000"/>
          <w:lang w:eastAsia="bg-BG"/>
        </w:rPr>
        <w:t>блок</w:t>
      </w:r>
    </w:p>
    <w:p w14:paraId="54181E9F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Ангина на Принцметал</w:t>
      </w:r>
    </w:p>
    <w:p w14:paraId="5032A6BD" w14:textId="00623F04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периферна артериална оклузивна болест (може да възникне влошаване на симптомите, особено в началото на терапията) - обща анестезия</w:t>
      </w:r>
    </w:p>
    <w:p w14:paraId="42337960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При пациенти, подложени на обща анестезия, бета-блокадата намалява честотата на аритмиите и миокардната исхемия по време на въвеждане в анестезия и интубиране, и в следоперативния период. Понастоящем се препоръчва поддържащата бета-блокада да бъде продължена пери- оперативно. Анестезиологът трябва да е наясно с бета-блокадата поради възможност за взаимодействия с други лекарствени продукти, водещи до брадиаритмии, отслабване на рефлекторната тахикардия и намалена рефлексна способност за компенсиране на загубата на кръв. Ако се сметне за необходимо да се прекрати терапията с бета-блокер преди операцията, това трябва да се направи постепенно и да приключи около 48 часа преди анестезията.</w:t>
      </w:r>
    </w:p>
    <w:p w14:paraId="1F3D6663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BC4341D" w14:textId="3C5B8D02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В момента няма лечебен опит при лечение на сърдечна недостатъчност с бизопролол при пациенти със следните заболявалия и състояния:</w:t>
      </w:r>
    </w:p>
    <w:p w14:paraId="1F95EF5D" w14:textId="77777777" w:rsid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инсулинозависим захарен диабет (тип I);</w:t>
      </w:r>
    </w:p>
    <w:p w14:paraId="329CFE29" w14:textId="77777777" w:rsid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тежко увреждане на бъбречната функция;</w:t>
      </w:r>
    </w:p>
    <w:p w14:paraId="01A28CBF" w14:textId="77777777" w:rsid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тежко увреждане на чернодробната функция;</w:t>
      </w:r>
    </w:p>
    <w:p w14:paraId="15EBAFB6" w14:textId="77777777" w:rsid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рестриктивна кардиомиопатия;</w:t>
      </w:r>
    </w:p>
    <w:p w14:paraId="029CBAB1" w14:textId="77777777" w:rsid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вродено сърдечно заболяване;</w:t>
      </w:r>
    </w:p>
    <w:p w14:paraId="5307CE7E" w14:textId="77777777" w:rsid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хемодинамично значимо органично клапно заболяване;</w:t>
      </w:r>
    </w:p>
    <w:p w14:paraId="64D801E6" w14:textId="5F8A2DB1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миокарден инфаркт в рамките на три месеца.</w:t>
      </w:r>
    </w:p>
    <w:p w14:paraId="54D460FA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DCDC000" w14:textId="6D89A6E4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На пациентите с псориазис или с анамнеза за псориазис трябва да се дават бета-блокери (напр. бизопролол) само след внимателна преценка на ползите срещу рисковете.</w:t>
      </w:r>
    </w:p>
    <w:p w14:paraId="694BABF8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При пациенти с феохромоцитом, бизопролол трябва да се прилага едва след блокада на алфа- рецепторите.</w:t>
      </w:r>
    </w:p>
    <w:p w14:paraId="7CB574FD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7113F7C" w14:textId="7299433D" w:rsidR="009A71BF" w:rsidRPr="009A71BF" w:rsidRDefault="009A71BF" w:rsidP="009A71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71BF">
        <w:rPr>
          <w:rFonts w:eastAsia="Times New Roman" w:cs="Arial"/>
          <w:color w:val="000000"/>
          <w:lang w:eastAsia="bg-BG"/>
        </w:rPr>
        <w:t>При лечение с бизопролол симптомите на тиреотоксикоза могат да бъдат маскирани.</w:t>
      </w:r>
    </w:p>
    <w:p w14:paraId="43562969" w14:textId="77777777" w:rsidR="009A71BF" w:rsidRP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19DED1E" w14:textId="58561B99" w:rsidR="004F498A" w:rsidRDefault="002C50EE" w:rsidP="004A448E">
      <w:pPr>
        <w:pStyle w:val="Heading2"/>
      </w:pPr>
      <w:r>
        <w:lastRenderedPageBreak/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  <w:r>
        <w:t xml:space="preserve"> </w:t>
      </w:r>
    </w:p>
    <w:p w14:paraId="7A6DA900" w14:textId="5BF95ED5" w:rsidR="009A71BF" w:rsidRDefault="009A71BF" w:rsidP="009A71BF"/>
    <w:p w14:paraId="4B5B78F7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Комбинации, които не се препоръчват</w:t>
      </w:r>
    </w:p>
    <w:p w14:paraId="0F3C80AA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Калциеви антагонисти от типа на верапамил и в по-малка степен от типа на дилтиазем: Отрицателно влияние върху контрактилитета и атрио-вентрикуларната проводимост. Интравенозното приложение на верапамил при пациенти на лечение с бета-блокер може да доведе до тежка хипотония и атрио-вентрикуларен блок.</w:t>
      </w:r>
    </w:p>
    <w:p w14:paraId="283949F6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F20A093" w14:textId="44D1305D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Клас I антиаритмични лекарства (напр. хинидин, дизопирамид, лидокаин, фенитоин, флекаинид, пропафенон): Могат да бъдат потенциирани ефектите върху времето на атрио-вентрикуларна проводимост и негативният инотропен ефект може да бъде увеличен.</w:t>
      </w:r>
    </w:p>
    <w:p w14:paraId="30A417AA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1BCDE53" w14:textId="38D7249B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Централно действащи антихипертензивни средства, като клонидин и други (напр. метилдопа, моксонидин, рилменидин): Едновременното приложение на централно действащи антихипертензивни средства може да потисне допълнително централния симпатикусов тонус (намаляване на сърдечната честота и сърдечния дебит, вазодилатация) и да доведе до влошаване на сърдечната недостатъчност. Внезапното преустановяване на лечението, особено преди прекратяване на лечението с бета-блокер, може да увеличи риска от ребаунд хипертония.</w:t>
      </w:r>
    </w:p>
    <w:p w14:paraId="263320C4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5A9F577" w14:textId="222CA7EE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Комбинации, които трябва да се използват с повишено внимание</w:t>
      </w:r>
    </w:p>
    <w:p w14:paraId="643A8B81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Калциеви антагонисти от дихидропиридинов тип, като фелодипин, нифедипин и амлодипин: едновременната употреба може да увеличи риска от хипотония и не може да се изключи рискът от по-нататъшно влошаване на камерната помпена функция при пациенти със сърдечна недостатъчност.</w:t>
      </w:r>
    </w:p>
    <w:p w14:paraId="2A62B1FA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8074A8B" w14:textId="33B0310B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  <w:r>
        <w:rPr>
          <w:rFonts w:eastAsia="Times New Roman" w:cs="Arial"/>
          <w:color w:val="000000"/>
          <w:lang w:eastAsia="bg-BG"/>
        </w:rPr>
        <w:t xml:space="preserve">Клас </w:t>
      </w:r>
      <w:r>
        <w:rPr>
          <w:rFonts w:eastAsia="Times New Roman" w:cs="Arial"/>
          <w:color w:val="000000"/>
          <w:lang w:val="en-US" w:eastAsia="bg-BG"/>
        </w:rPr>
        <w:t>III</w:t>
      </w:r>
      <w:r w:rsidRPr="009A71BF">
        <w:rPr>
          <w:rFonts w:eastAsia="Times New Roman" w:cs="Arial"/>
          <w:color w:val="000000"/>
          <w:lang w:eastAsia="bg-BG"/>
        </w:rPr>
        <w:t xml:space="preserve"> антиаритмични лекарства (напр. амиодарон): Могат да се усилят ефектите върху </w:t>
      </w:r>
    </w:p>
    <w:p w14:paraId="3506B353" w14:textId="127CC7BD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времето на атрио-вентрикуларна проводимост.</w:t>
      </w:r>
    </w:p>
    <w:p w14:paraId="501070EE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D1A3A5D" w14:textId="0956553B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Локални бета-блокери (напр. капки за очи за лечение на глаукома) могат да увеличат системните ефекти на бизопролол.</w:t>
      </w:r>
    </w:p>
    <w:p w14:paraId="3EA9027D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23DD900" w14:textId="21C932A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Парасимпатикомиметични лекарства: Едновременното приложение може да удължи времето на атрио-вентрикуларна проводимост и да увеличи риска от брадикардия.</w:t>
      </w:r>
    </w:p>
    <w:p w14:paraId="1EDF84A5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9BABF53" w14:textId="74D15CBC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Инсулин и перорални антидиабетни лекарства: Засилва се ефектът на понижаване на кръвната захар. Блокадата на бета-адренорецепторите може да маскира симптомите на хипо</w:t>
      </w:r>
    </w:p>
    <w:p w14:paraId="7C4AA352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</w:p>
    <w:p w14:paraId="56688EA1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Анестетици: Отслабване на рефлекторната тахикардия и повишен риск от хипотония (за повече подробности за обща анестезия вж. точка 4.4).</w:t>
      </w:r>
    </w:p>
    <w:p w14:paraId="04348A7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</w:p>
    <w:p w14:paraId="08B7F8B5" w14:textId="7FF07A97" w:rsidR="009A71BF" w:rsidRDefault="009A71BF" w:rsidP="009A71BF">
      <w:pPr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Дигиталисови гликозиди: Намаляване на сърдечната честота и увеличаване на времето на атрио- вентрикуларна проводимост.</w:t>
      </w:r>
    </w:p>
    <w:p w14:paraId="479BEC17" w14:textId="43BD044C" w:rsidR="009A71BF" w:rsidRDefault="009A71BF" w:rsidP="009A71BF">
      <w:pPr>
        <w:rPr>
          <w:rFonts w:eastAsia="Times New Roman" w:cs="Arial"/>
          <w:color w:val="000000"/>
          <w:lang w:eastAsia="bg-BG"/>
        </w:rPr>
      </w:pPr>
    </w:p>
    <w:p w14:paraId="76B46D7A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Нестероидни противовъзпалителни средства (НСПВС): НСПВС могат да намалят хипотензивния ефект на бизопролол.</w:t>
      </w:r>
    </w:p>
    <w:p w14:paraId="70E08EAB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2D8E0DA" w14:textId="75EBC48F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lastRenderedPageBreak/>
        <w:t>Бета-симпатикомиметици (напр. изопреналин, добутамин): едновременната употреба с бизопролол може да отслаби ефектите на двете лекарства.</w:t>
      </w:r>
    </w:p>
    <w:p w14:paraId="71D43B17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536C4AA" w14:textId="095A8CB2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Симпатикомиметици, които активират бета- и алфа-адренорецепторите (напр. норадреналин, адреналин): Едновременната употреба с бизопролол може да изяви медиираните от алфа- адренорецепторите вазоконстрикторни ефекти на тези лекарства, което води до повишаване на кръвното налягане и до влошаване на интермитентно клаудиокацио. Тези взаимодействия се считат за по-вероятни с неселективни бета-блокери.</w:t>
      </w:r>
    </w:p>
    <w:p w14:paraId="0FECC552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12393D0" w14:textId="43397FE8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Едновременната употреба с антихипертензивни средства, както и с други лекарства с потенциал за понижаване на кръвното налягане (напр. трициклични аитидепресанти, барбитурати, фенотиазини) може да повиши риска от хипотония.</w:t>
      </w:r>
    </w:p>
    <w:p w14:paraId="23F6143C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00466EC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Комбинации, които трябва да се обмислят</w:t>
      </w:r>
    </w:p>
    <w:p w14:paraId="3CEA6C2D" w14:textId="7CE6F45D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Мефлокин: повишен риск от брадикардия.</w:t>
      </w:r>
    </w:p>
    <w:p w14:paraId="5AC1C064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844DD7B" w14:textId="547D01FA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Моноаминооксидазни инхибитори (с изключение на МАО-В инхибитори): Усилен хипотензивен ефект на бета-блокериге, но също и риск от хипертонична криза.</w:t>
      </w:r>
    </w:p>
    <w:p w14:paraId="6C1AA01A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4F17712" w14:textId="01EFEB18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Проучвания на взаимодействията са провеждани само при възрастни.</w:t>
      </w:r>
    </w:p>
    <w:p w14:paraId="455ABE90" w14:textId="77777777" w:rsidR="009A71BF" w:rsidRPr="009A71BF" w:rsidRDefault="009A71BF" w:rsidP="009A71BF">
      <w:pPr>
        <w:rPr>
          <w:rFonts w:cs="Arial"/>
        </w:rPr>
      </w:pPr>
    </w:p>
    <w:p w14:paraId="394A7584" w14:textId="71CE2589" w:rsidR="004F498A" w:rsidRDefault="002C50EE" w:rsidP="004A448E">
      <w:pPr>
        <w:pStyle w:val="Heading2"/>
      </w:pPr>
      <w:r>
        <w:t>4.6. Фертилитет, бременност и кърмене</w:t>
      </w:r>
    </w:p>
    <w:p w14:paraId="0C82FCDF" w14:textId="182BB37B" w:rsidR="009A71BF" w:rsidRDefault="009A71BF" w:rsidP="009A71BF"/>
    <w:p w14:paraId="787403BD" w14:textId="77777777" w:rsidR="009A71BF" w:rsidRPr="009A71BF" w:rsidRDefault="009A71BF" w:rsidP="009A71BF">
      <w:pPr>
        <w:pStyle w:val="Heading3"/>
        <w:rPr>
          <w:rFonts w:eastAsia="Times New Roman"/>
          <w:i/>
        </w:rPr>
      </w:pPr>
      <w:r w:rsidRPr="009A71BF">
        <w:rPr>
          <w:rFonts w:eastAsia="Times New Roman"/>
          <w:i/>
          <w:lang w:eastAsia="bg-BG"/>
        </w:rPr>
        <w:t>Бременност</w:t>
      </w:r>
    </w:p>
    <w:p w14:paraId="15C0716F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Бизопролол има вредни фармакологични ефекти по време на бременност и/или върху фетуса/новороденото дете. Като цяло, лекарствата, блокиращи бета-адренорецепторите, намаляват плацентарната перфузия, което е свързано със забавяне на растежа, вътре маточна смърт, аборт или преждевременно раждане. Нежелани реакции (напр. хипогликемия и брадикардия) могат да се появят при плода и новороденото. Ако е необходимо лечение с бета-аденорецепторни блокери, бета</w:t>
      </w:r>
      <w:r w:rsidRPr="009A71BF">
        <w:rPr>
          <w:rFonts w:eastAsia="Times New Roman" w:cs="Arial"/>
          <w:color w:val="000000"/>
          <w:vertAlign w:val="subscript"/>
          <w:lang w:eastAsia="bg-BG"/>
        </w:rPr>
        <w:t>1</w:t>
      </w:r>
      <w:r w:rsidRPr="009A71BF">
        <w:rPr>
          <w:rFonts w:eastAsia="Times New Roman" w:cs="Arial"/>
          <w:color w:val="000000"/>
          <w:lang w:eastAsia="bg-BG"/>
        </w:rPr>
        <w:t>-селективните адренорецепторни блокери са за предпочитане.</w:t>
      </w:r>
    </w:p>
    <w:p w14:paraId="3570BD89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2CC67E6" w14:textId="22E139BD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Бизопролол не трябва да се използва по време на бременност, освен ако не е ясно наложително. Ако лечението с бизопролол се счете за необходимо, се препоръчва мониторинг на утеро- плацентарния кръвоток и феталния растеж. В случай на вредни ефекти върху бременността или плода, трябва да се обмисли алтернативно лечение. Новороденото трябва да се следи отблизо. В рамките на първите 3 дни обикновено се очакват симптоми на хипогликемия и брадикардия.</w:t>
      </w:r>
    </w:p>
    <w:p w14:paraId="1C6A8EDC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6BA9B5A" w14:textId="4123FB40" w:rsidR="009A71BF" w:rsidRPr="009A71BF" w:rsidRDefault="009A71BF" w:rsidP="009A71BF">
      <w:pPr>
        <w:pStyle w:val="Heading3"/>
        <w:rPr>
          <w:rFonts w:eastAsia="Times New Roman"/>
          <w:i/>
        </w:rPr>
      </w:pPr>
      <w:r w:rsidRPr="009A71BF">
        <w:rPr>
          <w:rFonts w:eastAsia="Times New Roman"/>
          <w:i/>
          <w:lang w:eastAsia="bg-BG"/>
        </w:rPr>
        <w:t>Кърмене</w:t>
      </w:r>
    </w:p>
    <w:p w14:paraId="7FE69964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Няма данни за екскреция на бизопролол в кърмата, нито за безопасността на експозицията на бизопролол при кърмачета. Следователно, по време на приложението на бизопролол не се препоръчва кърмене.</w:t>
      </w:r>
    </w:p>
    <w:p w14:paraId="5F913F90" w14:textId="77777777" w:rsidR="009A71BF" w:rsidRPr="009A71BF" w:rsidRDefault="009A71BF" w:rsidP="009A71BF"/>
    <w:p w14:paraId="064DF1DE" w14:textId="3EF741C6" w:rsidR="00CF77F7" w:rsidRDefault="002C50EE" w:rsidP="004A448E">
      <w:pPr>
        <w:pStyle w:val="Heading2"/>
      </w:pPr>
      <w:r>
        <w:t>4.7. Ефекти върху способността за шофиране и работа с машини</w:t>
      </w:r>
    </w:p>
    <w:p w14:paraId="2EA31715" w14:textId="41B9456A" w:rsidR="009A71BF" w:rsidRDefault="009A71BF" w:rsidP="009A71BF"/>
    <w:p w14:paraId="7BA8C39A" w14:textId="034FD5F2" w:rsidR="009A71BF" w:rsidRDefault="009A71BF" w:rsidP="009A71BF">
      <w:r>
        <w:t xml:space="preserve">При клинияно проучване с пациенти с исхемична болест на сърцето бизопролол не влошава способността за шофиране. Въпреки това, поради индивидуалните различия в </w:t>
      </w:r>
      <w:r>
        <w:lastRenderedPageBreak/>
        <w:t>реакциите към лечението, способността за шофиране и работа с машини може да се наруши. Тва трябва да се има предвид особено при започване на леяението или при промяна на лечението, или при употреба на алкохол.</w:t>
      </w:r>
    </w:p>
    <w:p w14:paraId="28CF4AD4" w14:textId="77777777" w:rsidR="009A71BF" w:rsidRPr="009A71BF" w:rsidRDefault="009A71BF" w:rsidP="009A71BF"/>
    <w:p w14:paraId="37A3FD9F" w14:textId="33767D69" w:rsidR="00CF77F7" w:rsidRDefault="002C50EE" w:rsidP="004A448E">
      <w:pPr>
        <w:pStyle w:val="Heading2"/>
      </w:pPr>
      <w:r>
        <w:t>4.8. Нежелани лекарствени реакции</w:t>
      </w:r>
    </w:p>
    <w:p w14:paraId="63B6002E" w14:textId="5831D926" w:rsidR="009A71BF" w:rsidRDefault="009A71BF" w:rsidP="009A71BF"/>
    <w:p w14:paraId="2A48A6E8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Честотата на нежеланите лекарствени реакции, посочени в този раздел, се категоризират, както следва:</w:t>
      </w:r>
    </w:p>
    <w:p w14:paraId="4037D9F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Много чести (≥ 1/10),</w:t>
      </w:r>
    </w:p>
    <w:p w14:paraId="39B2923B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Чести (от ≥ 1/100 до &lt; 1/10),</w:t>
      </w:r>
    </w:p>
    <w:p w14:paraId="12A0BAA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Нечести (от ≥ 1/1 000 до &lt;1/100),</w:t>
      </w:r>
    </w:p>
    <w:p w14:paraId="3B263F23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Редки (от ≥ 1/10 000 до &lt; 1/1 000),</w:t>
      </w:r>
    </w:p>
    <w:p w14:paraId="4550F5B6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Много редки &gt; 1/10 000),</w:t>
      </w:r>
    </w:p>
    <w:p w14:paraId="4DEF1258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С неизвестна честота (от наличните данни не може да бъде направена оценка).</w:t>
      </w:r>
    </w:p>
    <w:p w14:paraId="50149F93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1" w:name="bookmark0"/>
    </w:p>
    <w:p w14:paraId="679FA1E4" w14:textId="6985E0F9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Психични нарушения:</w:t>
      </w:r>
      <w:bookmarkEnd w:id="1"/>
    </w:p>
    <w:p w14:paraId="7212A58E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Нечести: нарушения на съня, депресия.</w:t>
      </w:r>
    </w:p>
    <w:p w14:paraId="506630D8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Редки: кошмари, халюцинации.</w:t>
      </w:r>
    </w:p>
    <w:p w14:paraId="60E0B77E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2" w:name="bookmark2"/>
    </w:p>
    <w:p w14:paraId="7B6CBCD6" w14:textId="423AB28E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Нарушения на нервната система:</w:t>
      </w:r>
      <w:bookmarkEnd w:id="2"/>
    </w:p>
    <w:p w14:paraId="15954CF0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Чести: виене на свят*, главоболие*</w:t>
      </w:r>
    </w:p>
    <w:p w14:paraId="1BB55BF2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Редки: синкоп.</w:t>
      </w:r>
    </w:p>
    <w:p w14:paraId="2EACB78A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3" w:name="bookmark4"/>
    </w:p>
    <w:p w14:paraId="179514B4" w14:textId="27EC48AC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Нарушения на очите:</w:t>
      </w:r>
      <w:bookmarkEnd w:id="3"/>
    </w:p>
    <w:p w14:paraId="4D48034C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Редки: намалено слъзообразуване (да се има предвид, ако пациентът използва контактни лещи). Много редки: конюктивит.</w:t>
      </w:r>
    </w:p>
    <w:p w14:paraId="22B37589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4" w:name="bookmark6"/>
    </w:p>
    <w:p w14:paraId="5EB36681" w14:textId="330A06CB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Нарушения на ухото и лабиринта:</w:t>
      </w:r>
      <w:bookmarkEnd w:id="4"/>
    </w:p>
    <w:p w14:paraId="23705249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Редки: увреден слух.</w:t>
      </w:r>
    </w:p>
    <w:p w14:paraId="6F20CCCD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5" w:name="bookmark8"/>
    </w:p>
    <w:p w14:paraId="271171D2" w14:textId="59B0CFCD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Сърдечни нарушения:</w:t>
      </w:r>
      <w:bookmarkEnd w:id="5"/>
    </w:p>
    <w:p w14:paraId="63483AB6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Много чести: брадикардия при пациенти с хронична сърдечна недостатъчност.</w:t>
      </w:r>
    </w:p>
    <w:p w14:paraId="65014583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Чести: изостряне на сърдечна недостатъчност при пациенти с хронична сърдечна недостатъчност. Нечести: нарушения в </w:t>
      </w:r>
      <w:r w:rsidRPr="009A71BF">
        <w:rPr>
          <w:rFonts w:eastAsia="Times New Roman" w:cs="Arial"/>
          <w:color w:val="000000"/>
          <w:lang w:val="en-US"/>
        </w:rPr>
        <w:t>AV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провеждането. Влошаване на съществуваща сърдечна недостатъчност (при пациенти с хипертония или ангина пекторис), брадикардия (при пациенти с хипертония или ангина пекторис).</w:t>
      </w:r>
    </w:p>
    <w:p w14:paraId="226CE5E8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6" w:name="bookmark10"/>
    </w:p>
    <w:p w14:paraId="7CD493EB" w14:textId="585DD2CD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Съдови нарушения:</w:t>
      </w:r>
      <w:bookmarkEnd w:id="6"/>
    </w:p>
    <w:p w14:paraId="023B9CB4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Чести: чувство за студ и изтръпване на крайниците, хипотония при пациенти с хронична сърдечна недостатъчност.</w:t>
      </w:r>
    </w:p>
    <w:p w14:paraId="43F76275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Нечести: хипотония при пациенти с ангина пекторис или хипертония.</w:t>
      </w:r>
    </w:p>
    <w:p w14:paraId="4ED989B1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7" w:name="bookmark12"/>
    </w:p>
    <w:p w14:paraId="0488FDC6" w14:textId="46BCAA2E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Респираторни, гръдни и медиастиналнн нарушения:</w:t>
      </w:r>
      <w:bookmarkEnd w:id="7"/>
    </w:p>
    <w:p w14:paraId="167C4230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Нечести: бронхоспазъм при пациенти с бронхиална астма или анамнеза за обструкгивно заболяване на дихателните пътища.</w:t>
      </w:r>
    </w:p>
    <w:p w14:paraId="3803FA30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Редки: алергичен ринит.</w:t>
      </w:r>
    </w:p>
    <w:p w14:paraId="0A440B3F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8" w:name="bookmark14"/>
    </w:p>
    <w:p w14:paraId="0BA1D99C" w14:textId="0A84231F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Стомашно-чревни нарушения:</w:t>
      </w:r>
      <w:bookmarkEnd w:id="8"/>
    </w:p>
    <w:p w14:paraId="5B25E4C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Чести: стомашно-чревни проблеми като гадене, повръщане, диария и запек.</w:t>
      </w:r>
    </w:p>
    <w:p w14:paraId="3B659FD4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9" w:name="bookmark16"/>
    </w:p>
    <w:p w14:paraId="57C76FFA" w14:textId="6F701F1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lastRenderedPageBreak/>
        <w:t>Хепатобнлиарни нарушения</w:t>
      </w:r>
      <w:bookmarkEnd w:id="9"/>
    </w:p>
    <w:p w14:paraId="191FAC0E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Редки: хепатит.</w:t>
      </w:r>
    </w:p>
    <w:p w14:paraId="64AA98BA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10" w:name="bookmark18"/>
    </w:p>
    <w:p w14:paraId="6F184D94" w14:textId="44B16633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Нарушения на кожата и подкожната тъкан:</w:t>
      </w:r>
      <w:bookmarkEnd w:id="10"/>
    </w:p>
    <w:p w14:paraId="12652553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Редки: реакции на свръхчувствителност (сърбеж, зачервяване, обрив).</w:t>
      </w:r>
    </w:p>
    <w:p w14:paraId="4D558CAF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Много редки: бета-блокерите могат да провокират или да влошат псориазис, или да индуцират подобен на псориазис обрив, алопеция.</w:t>
      </w:r>
    </w:p>
    <w:p w14:paraId="6CE268A3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11" w:name="bookmark20"/>
    </w:p>
    <w:p w14:paraId="660303DE" w14:textId="7FB20E7A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Нарушения на мускулно-скелетната система н съединителната тъкан:</w:t>
      </w:r>
      <w:bookmarkEnd w:id="11"/>
    </w:p>
    <w:p w14:paraId="1CB843E0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Нечести: мускулна слабост и крампи.</w:t>
      </w:r>
    </w:p>
    <w:p w14:paraId="3E7B4924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6410B540" w14:textId="44D51B0B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Нарушения на възпроизводителната система н гърдата:</w:t>
      </w:r>
    </w:p>
    <w:p w14:paraId="706CB74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Редки: нарушения на потентността.</w:t>
      </w:r>
    </w:p>
    <w:p w14:paraId="761CA63C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15C0ED20" w14:textId="4BB4E75D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Общи нарушения:</w:t>
      </w:r>
    </w:p>
    <w:p w14:paraId="2555AAAF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Чести: умора*, астения при пациенти с хронична сърдечна недостатъчност.</w:t>
      </w:r>
    </w:p>
    <w:p w14:paraId="6281CF0B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Нечести: астения при пациенти с хипертония или ангина пекторис.</w:t>
      </w:r>
    </w:p>
    <w:p w14:paraId="724913A3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28F0C02D" w14:textId="442248A1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Изследвания:</w:t>
      </w:r>
    </w:p>
    <w:p w14:paraId="37093665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Редки: повишено ниво на триглицериди, повишени нива на чернодробните ензими </w:t>
      </w:r>
      <w:r w:rsidRPr="009A71BF">
        <w:rPr>
          <w:rFonts w:eastAsia="Times New Roman" w:cs="Arial"/>
          <w:color w:val="000000"/>
          <w:lang w:val="ru-RU"/>
        </w:rPr>
        <w:t>(</w:t>
      </w:r>
      <w:r w:rsidRPr="009A71BF">
        <w:rPr>
          <w:rFonts w:eastAsia="Times New Roman" w:cs="Arial"/>
          <w:color w:val="000000"/>
          <w:lang w:val="en-US"/>
        </w:rPr>
        <w:t>ALT</w:t>
      </w:r>
      <w:r w:rsidRPr="009A71BF">
        <w:rPr>
          <w:rFonts w:eastAsia="Times New Roman" w:cs="Arial"/>
          <w:color w:val="000000"/>
          <w:lang w:val="ru-RU"/>
        </w:rPr>
        <w:t xml:space="preserve">, </w:t>
      </w:r>
      <w:r w:rsidRPr="009A71BF">
        <w:rPr>
          <w:rFonts w:eastAsia="Times New Roman" w:cs="Arial"/>
          <w:color w:val="000000"/>
          <w:lang w:val="en-US"/>
        </w:rPr>
        <w:t>AST</w:t>
      </w:r>
      <w:r w:rsidRPr="009A71BF">
        <w:rPr>
          <w:rFonts w:eastAsia="Times New Roman" w:cs="Arial"/>
          <w:color w:val="000000"/>
          <w:lang w:val="ru-RU"/>
        </w:rPr>
        <w:t>).</w:t>
      </w:r>
    </w:p>
    <w:p w14:paraId="78C3F09A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778956F" w14:textId="6940DF50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*Тези симптоми се появяват особено в началото на лечението при пациенти с хипертония или ангина пекторис. Обикновено са леки и изчезват в рамките на 1 - 2 седмици.</w:t>
      </w:r>
    </w:p>
    <w:p w14:paraId="625B7268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u w:val="single"/>
          <w:lang w:eastAsia="bg-BG"/>
        </w:rPr>
      </w:pPr>
    </w:p>
    <w:p w14:paraId="6809ADDF" w14:textId="78835B88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u w:val="single"/>
          <w:lang w:eastAsia="bg-BG"/>
        </w:rPr>
        <w:t>Съобщаване на подозирани нежелани реакции</w:t>
      </w:r>
    </w:p>
    <w:p w14:paraId="5660293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</w:t>
      </w:r>
    </w:p>
    <w:p w14:paraId="421AF236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Изпълнителна агенция по лекарствата</w:t>
      </w:r>
    </w:p>
    <w:p w14:paraId="1ECACE6C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ул.,Дамян Груев“ № 8</w:t>
      </w:r>
    </w:p>
    <w:p w14:paraId="655DBFA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1303 София</w:t>
      </w:r>
    </w:p>
    <w:p w14:paraId="588F43C3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Тел.:+359 2 8903417</w:t>
      </w:r>
    </w:p>
    <w:p w14:paraId="0B27699C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уебсайт: </w:t>
      </w:r>
      <w:r w:rsidRPr="009A71BF">
        <w:rPr>
          <w:rFonts w:eastAsia="Times New Roman" w:cs="Arial"/>
        </w:rPr>
        <w:fldChar w:fldCharType="begin"/>
      </w:r>
      <w:r w:rsidRPr="009A71BF">
        <w:rPr>
          <w:rFonts w:eastAsia="Times New Roman" w:cs="Arial"/>
        </w:rPr>
        <w:instrText xml:space="preserve"> HYPERLINK "http://www.bda.bg" </w:instrText>
      </w:r>
      <w:r w:rsidRPr="009A71BF">
        <w:rPr>
          <w:rFonts w:eastAsia="Times New Roman" w:cs="Arial"/>
        </w:rPr>
      </w:r>
      <w:r w:rsidRPr="009A71BF">
        <w:rPr>
          <w:rFonts w:eastAsia="Times New Roman" w:cs="Arial"/>
        </w:rPr>
        <w:fldChar w:fldCharType="separate"/>
      </w:r>
      <w:r w:rsidRPr="009A71BF">
        <w:rPr>
          <w:rFonts w:eastAsia="Times New Roman" w:cs="Arial"/>
          <w:color w:val="000000"/>
          <w:lang w:val="en-US"/>
        </w:rPr>
        <w:t>www</w:t>
      </w:r>
      <w:r w:rsidRPr="009A71BF">
        <w:rPr>
          <w:rFonts w:eastAsia="Times New Roman" w:cs="Arial"/>
          <w:color w:val="000000"/>
          <w:lang w:val="ru-RU"/>
        </w:rPr>
        <w:t>.</w:t>
      </w:r>
      <w:proofErr w:type="spellStart"/>
      <w:r w:rsidRPr="009A71BF">
        <w:rPr>
          <w:rFonts w:eastAsia="Times New Roman" w:cs="Arial"/>
          <w:color w:val="000000"/>
          <w:lang w:val="en-US"/>
        </w:rPr>
        <w:t>bda</w:t>
      </w:r>
      <w:proofErr w:type="spellEnd"/>
      <w:r w:rsidRPr="009A71BF">
        <w:rPr>
          <w:rFonts w:eastAsia="Times New Roman" w:cs="Arial"/>
          <w:color w:val="000000"/>
          <w:lang w:val="ru-RU"/>
        </w:rPr>
        <w:t>.</w:t>
      </w:r>
      <w:proofErr w:type="spellStart"/>
      <w:r w:rsidRPr="009A71BF">
        <w:rPr>
          <w:rFonts w:eastAsia="Times New Roman" w:cs="Arial"/>
          <w:color w:val="000000"/>
          <w:lang w:val="en-US"/>
        </w:rPr>
        <w:t>bg</w:t>
      </w:r>
      <w:proofErr w:type="spellEnd"/>
      <w:r w:rsidRPr="009A71BF">
        <w:rPr>
          <w:rFonts w:eastAsia="Times New Roman" w:cs="Arial"/>
        </w:rPr>
        <w:fldChar w:fldCharType="end"/>
      </w:r>
    </w:p>
    <w:p w14:paraId="0B646AFD" w14:textId="77777777" w:rsidR="009A71BF" w:rsidRPr="009A71BF" w:rsidRDefault="009A71BF" w:rsidP="009A71BF"/>
    <w:p w14:paraId="0A023CE0" w14:textId="0FF23D68" w:rsidR="00CF77F7" w:rsidRDefault="002C50EE" w:rsidP="004A448E">
      <w:pPr>
        <w:pStyle w:val="Heading2"/>
      </w:pPr>
      <w:r>
        <w:t>4.9. Предозиране</w:t>
      </w:r>
    </w:p>
    <w:p w14:paraId="5B2A8330" w14:textId="08F7C26D" w:rsidR="009A71BF" w:rsidRDefault="009A71BF" w:rsidP="009A71BF"/>
    <w:p w14:paraId="05ADE03E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u w:val="single"/>
          <w:lang w:eastAsia="bg-BG"/>
        </w:rPr>
        <w:t>Симптоми</w:t>
      </w:r>
    </w:p>
    <w:p w14:paraId="7A80645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Като цяло най-честите признаци, очаквани при предозиране с бета-блокер, са брадикардия, хипотония, бронхоспазъм, остра сърдечна недостатъчност и хипогликемия. Към днешна дата са докладвани няколко случая на предозиране с бизопролол при пациенти, страдащи от хипертония и/или коронарна болест на сърцето, показващи брадикардия и/или хипотония; всички пациенти са се възстановили. Има широка интериндивидуално колебание в чувствителността към една единствена висока доза бизопролол и пациентите със сърдечна недостатъчност е най-вероятно да бъдат много чувствителни. Затова при тези пациенти е задължително лечението да се започне с постепенно повишаване на дозата, съгласно схемата, дадена в точка 4.2.</w:t>
      </w:r>
    </w:p>
    <w:p w14:paraId="050D12A3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A974CAE" w14:textId="11304D2B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Лечение</w:t>
      </w:r>
    </w:p>
    <w:p w14:paraId="096583A9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lastRenderedPageBreak/>
        <w:t>При предозиране, лечението с бизопролол трябва да бъде спряно и да се осигури поддържащо и симптоматично лечение. Ограничените данни подсказват, че бизопролол трудно се диализира. Въз основа на очакваните фармакологични ефекти и препоръките за другите бета-блокери, трябва да се обмислят следните общи мерки, когато има клинични основания.</w:t>
      </w:r>
    </w:p>
    <w:p w14:paraId="05EB5A3C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67892B5" w14:textId="6190AA8A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Брадикардия: Интравенозно приложение на атропин. Ако отговорът е неадекватен, може да се даде предпазливо изопреналин или друго лекарство с положителни хронотропни свойства. При някои обстоятелства може да е необходимо поставяне на трансвенозен кардиостимулатор.</w:t>
      </w:r>
    </w:p>
    <w:p w14:paraId="38A538A7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AA0F8F4" w14:textId="30F16B11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Хипотония: Трябва да се приложат интравенозно течности и вазопресори. Може да е полезно да се приложи глюкагон интравенозно.</w:t>
      </w:r>
    </w:p>
    <w:p w14:paraId="7C7B8240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val="en-US"/>
        </w:rPr>
        <w:t>AV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блок (втора или трета степен): Пациентите трябва да бъдат внимателно наблюдавани и лекувани с инфузия на изопреналин или въвеждане на трансвенозен кардиостимулатор.</w:t>
      </w:r>
    </w:p>
    <w:p w14:paraId="1ADB7315" w14:textId="77777777" w:rsidR="009A71BF" w:rsidRDefault="009A71BF" w:rsidP="009A71BF">
      <w:pPr>
        <w:rPr>
          <w:rFonts w:eastAsia="Times New Roman" w:cs="Arial"/>
        </w:rPr>
      </w:pPr>
    </w:p>
    <w:p w14:paraId="23EA77FC" w14:textId="6C141616" w:rsidR="009A71BF" w:rsidRDefault="009A71BF" w:rsidP="009A71BF">
      <w:pPr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Остро влошаване на сърдечна недостатъчност: Приложете интравенозно диуретици, инотропни агенти, вазодилататори.</w:t>
      </w:r>
    </w:p>
    <w:p w14:paraId="59A031FE" w14:textId="71AABB9B" w:rsidR="006965F3" w:rsidRDefault="006965F3" w:rsidP="009A71BF">
      <w:pPr>
        <w:rPr>
          <w:rFonts w:eastAsia="Times New Roman" w:cs="Arial"/>
          <w:color w:val="000000"/>
          <w:lang w:eastAsia="bg-BG"/>
        </w:rPr>
      </w:pPr>
    </w:p>
    <w:p w14:paraId="26F75D50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Бронхоспазъм: Приложете лечение с бронходилататори като изопреналин, бета</w:t>
      </w:r>
      <w:r w:rsidRPr="006965F3">
        <w:rPr>
          <w:rFonts w:eastAsia="Times New Roman" w:cs="Arial"/>
          <w:color w:val="000000"/>
          <w:vertAlign w:val="subscript"/>
          <w:lang w:eastAsia="bg-BG"/>
        </w:rPr>
        <w:t>2</w:t>
      </w:r>
      <w:r w:rsidRPr="006965F3">
        <w:rPr>
          <w:rFonts w:eastAsia="Times New Roman" w:cs="Arial"/>
          <w:color w:val="000000"/>
          <w:lang w:eastAsia="bg-BG"/>
        </w:rPr>
        <w:t>- симпатикомиметични лекарствени продукти и/или аминофилин.</w:t>
      </w:r>
    </w:p>
    <w:p w14:paraId="52477443" w14:textId="77777777" w:rsidR="006965F3" w:rsidRDefault="006965F3" w:rsidP="006965F3">
      <w:pPr>
        <w:rPr>
          <w:rFonts w:eastAsia="Times New Roman" w:cs="Arial"/>
          <w:color w:val="000000"/>
          <w:lang w:eastAsia="bg-BG"/>
        </w:rPr>
      </w:pPr>
    </w:p>
    <w:p w14:paraId="3DEC1D73" w14:textId="565D3F05" w:rsidR="006965F3" w:rsidRPr="006965F3" w:rsidRDefault="006965F3" w:rsidP="006965F3">
      <w:pPr>
        <w:rPr>
          <w:rFonts w:cs="Arial"/>
        </w:rPr>
      </w:pPr>
      <w:r w:rsidRPr="006965F3">
        <w:rPr>
          <w:rFonts w:eastAsia="Times New Roman" w:cs="Arial"/>
          <w:color w:val="000000"/>
          <w:lang w:eastAsia="bg-BG"/>
        </w:rPr>
        <w:t>Хипогликемията: Приложете глюкоза интравенозно.</w:t>
      </w:r>
    </w:p>
    <w:p w14:paraId="02081B24" w14:textId="1A20817B" w:rsidR="00395555" w:rsidRPr="00395555" w:rsidRDefault="002C50EE" w:rsidP="008A6AF2">
      <w:pPr>
        <w:pStyle w:val="Heading1"/>
      </w:pPr>
      <w:r>
        <w:t>5. ФАРМАКОЛОГИЧНИ СВОЙСТВА</w:t>
      </w:r>
    </w:p>
    <w:p w14:paraId="32B6DE66" w14:textId="1A441931" w:rsidR="00CF77F7" w:rsidRDefault="002C50EE" w:rsidP="004A448E">
      <w:pPr>
        <w:pStyle w:val="Heading2"/>
      </w:pPr>
      <w:r>
        <w:t>5.1. Фармакодинамични свойства</w:t>
      </w:r>
    </w:p>
    <w:p w14:paraId="41872107" w14:textId="780AD42B" w:rsidR="006965F3" w:rsidRDefault="006965F3" w:rsidP="006965F3"/>
    <w:p w14:paraId="798D21CC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Фармакотерапевтична група: Бета блокиращи агенти, селективни</w:t>
      </w:r>
    </w:p>
    <w:p w14:paraId="3656778F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АТС код: С07АВ07</w:t>
      </w:r>
    </w:p>
    <w:p w14:paraId="3D46CC11" w14:textId="77777777" w:rsidR="006965F3" w:rsidRDefault="006965F3" w:rsidP="006965F3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E358AE2" w14:textId="000E3D00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i/>
          <w:iCs/>
          <w:color w:val="000000"/>
          <w:lang w:eastAsia="bg-BG"/>
        </w:rPr>
        <w:t>Механизъм на действие и фармакодинамични ефекти</w:t>
      </w:r>
    </w:p>
    <w:p w14:paraId="571DC316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Бизопролол е силен, високо селективен бета-1 адренорецепторен блокер, лишен от вътрешна симпатикомиметична активност и клинично значима мембраностабилизираща активност. Той показва само нисък афинитет към бета-2 рецепторите на гладката мускулатура на бронхите и съдовете, както и към бета-2 рецепторите на метаболитната регулация. Поради това, като цяло не се очаква бизопролол да повлияе съпротивлението на дихателните пътища, нито метаболитните ефекти, медиирани от бета-2 рецепторите. Бета-1 селективността на бизопролол се простира извън терапевтичните граници.</w:t>
      </w:r>
    </w:p>
    <w:p w14:paraId="2BD20BAB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Както при други бета-1 блокери, механизмът на антихипертензивния ефект на бизопролол е неизяснен. Въпреки това, известно е, че бизопролол подчертано намалява активността на плазмения ренин.</w:t>
      </w:r>
    </w:p>
    <w:p w14:paraId="34166F72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Антиангинален механизъм: Чрез инхибиране на сърдечни бета рецептори, бизопролол инхибира отговора на симпатиковата активация. Това води до намаляване на сърдечната честота и контрактилитета, което води до намаление на консумацията на кислород от сърдечния мускул.</w:t>
      </w:r>
    </w:p>
    <w:p w14:paraId="4E07323E" w14:textId="77777777" w:rsidR="006965F3" w:rsidRDefault="006965F3" w:rsidP="006965F3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5BBE3776" w14:textId="600F8250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i/>
          <w:iCs/>
          <w:color w:val="000000"/>
          <w:lang w:eastAsia="bg-BG"/>
        </w:rPr>
        <w:t>Клинична ефикасност и безопасност</w:t>
      </w:r>
    </w:p>
    <w:p w14:paraId="2B629BE9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Бизопролол се използва при лечението на хипертония, ангина пекторис и сърдечна недостатъчност.</w:t>
      </w:r>
    </w:p>
    <w:p w14:paraId="0103FEA8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lastRenderedPageBreak/>
        <w:t>Бисопролол достига максимален ефект в рамките на 3-4 часа след перорално приложение. Плазменият полуживот е 10-12 часа, което осигурява 24-часов ефект при еднократно дневно дозиране. Максималният антихипертензивен ефект на бисопролол обикновено се постига след 2 седмици.</w:t>
      </w:r>
    </w:p>
    <w:p w14:paraId="114D31AD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 xml:space="preserve">Сърдечната недостатъчност е изследвана в изпитването </w:t>
      </w:r>
      <w:r w:rsidRPr="006965F3">
        <w:rPr>
          <w:rFonts w:eastAsia="Times New Roman" w:cs="Arial"/>
          <w:color w:val="000000"/>
          <w:lang w:val="en-US"/>
        </w:rPr>
        <w:t>CIBIS</w:t>
      </w:r>
      <w:r w:rsidRPr="006965F3">
        <w:rPr>
          <w:rFonts w:eastAsia="Times New Roman" w:cs="Arial"/>
          <w:color w:val="000000"/>
          <w:lang w:val="ru-RU"/>
        </w:rPr>
        <w:t xml:space="preserve"> </w:t>
      </w:r>
      <w:r w:rsidRPr="006965F3">
        <w:rPr>
          <w:rFonts w:eastAsia="Times New Roman" w:cs="Arial"/>
          <w:color w:val="000000"/>
          <w:lang w:eastAsia="bg-BG"/>
        </w:rPr>
        <w:t xml:space="preserve">П. Общо са включени 2 647 пациенти, 83% </w:t>
      </w:r>
      <w:r w:rsidRPr="006965F3">
        <w:rPr>
          <w:rFonts w:eastAsia="Times New Roman" w:cs="Arial"/>
          <w:color w:val="000000"/>
          <w:lang w:val="ru-RU"/>
        </w:rPr>
        <w:t>(</w:t>
      </w:r>
      <w:r w:rsidRPr="006965F3">
        <w:rPr>
          <w:rFonts w:eastAsia="Times New Roman" w:cs="Arial"/>
          <w:color w:val="000000"/>
          <w:lang w:val="en-US"/>
        </w:rPr>
        <w:t>N</w:t>
      </w:r>
      <w:r w:rsidRPr="006965F3">
        <w:rPr>
          <w:rFonts w:eastAsia="Times New Roman" w:cs="Arial"/>
          <w:color w:val="000000"/>
          <w:lang w:val="ru-RU"/>
        </w:rPr>
        <w:t xml:space="preserve"> </w:t>
      </w:r>
      <w:r w:rsidRPr="006965F3">
        <w:rPr>
          <w:rFonts w:eastAsia="Times New Roman" w:cs="Arial"/>
          <w:color w:val="000000"/>
          <w:lang w:eastAsia="bg-BG"/>
        </w:rPr>
        <w:t xml:space="preserve">= 2202) в клас </w:t>
      </w:r>
      <w:r w:rsidRPr="006965F3">
        <w:rPr>
          <w:rFonts w:eastAsia="Times New Roman" w:cs="Arial"/>
          <w:color w:val="000000"/>
          <w:lang w:val="en-US"/>
        </w:rPr>
        <w:t>III</w:t>
      </w:r>
      <w:r w:rsidRPr="006965F3">
        <w:rPr>
          <w:rFonts w:eastAsia="Times New Roman" w:cs="Arial"/>
          <w:color w:val="000000"/>
          <w:lang w:eastAsia="bg-BG"/>
        </w:rPr>
        <w:t xml:space="preserve"> по </w:t>
      </w:r>
      <w:r w:rsidRPr="006965F3">
        <w:rPr>
          <w:rFonts w:eastAsia="Times New Roman" w:cs="Arial"/>
          <w:color w:val="000000"/>
          <w:lang w:val="en-US"/>
        </w:rPr>
        <w:t>NYHA</w:t>
      </w:r>
      <w:r w:rsidRPr="006965F3">
        <w:rPr>
          <w:rFonts w:eastAsia="Times New Roman" w:cs="Arial"/>
          <w:color w:val="000000"/>
          <w:lang w:val="ru-RU"/>
        </w:rPr>
        <w:t xml:space="preserve"> </w:t>
      </w:r>
      <w:r w:rsidRPr="006965F3">
        <w:rPr>
          <w:rFonts w:eastAsia="Times New Roman" w:cs="Arial"/>
          <w:color w:val="000000"/>
          <w:lang w:eastAsia="bg-BG"/>
        </w:rPr>
        <w:t xml:space="preserve">и 17% </w:t>
      </w:r>
      <w:r w:rsidRPr="006965F3">
        <w:rPr>
          <w:rFonts w:eastAsia="Times New Roman" w:cs="Arial"/>
          <w:color w:val="000000"/>
          <w:lang w:val="ru-RU"/>
        </w:rPr>
        <w:t>(</w:t>
      </w:r>
      <w:r w:rsidRPr="006965F3">
        <w:rPr>
          <w:rFonts w:eastAsia="Times New Roman" w:cs="Arial"/>
          <w:color w:val="000000"/>
          <w:lang w:val="en-US"/>
        </w:rPr>
        <w:t>N</w:t>
      </w:r>
      <w:r w:rsidRPr="006965F3">
        <w:rPr>
          <w:rFonts w:eastAsia="Times New Roman" w:cs="Arial"/>
          <w:color w:val="000000"/>
          <w:lang w:val="ru-RU"/>
        </w:rPr>
        <w:t xml:space="preserve"> </w:t>
      </w:r>
      <w:r w:rsidRPr="006965F3">
        <w:rPr>
          <w:rFonts w:eastAsia="Times New Roman" w:cs="Arial"/>
          <w:color w:val="000000"/>
          <w:lang w:eastAsia="bg-BG"/>
        </w:rPr>
        <w:t xml:space="preserve">= 445) в клас IV по </w:t>
      </w:r>
      <w:r w:rsidRPr="006965F3">
        <w:rPr>
          <w:rFonts w:eastAsia="Times New Roman" w:cs="Arial"/>
          <w:color w:val="000000"/>
          <w:lang w:val="en-US"/>
        </w:rPr>
        <w:t>NYHA</w:t>
      </w:r>
      <w:r w:rsidRPr="006965F3">
        <w:rPr>
          <w:rFonts w:eastAsia="Times New Roman" w:cs="Arial"/>
          <w:color w:val="000000"/>
          <w:lang w:val="ru-RU"/>
        </w:rPr>
        <w:t xml:space="preserve">. </w:t>
      </w:r>
      <w:r w:rsidRPr="006965F3">
        <w:rPr>
          <w:rFonts w:eastAsia="Times New Roman" w:cs="Arial"/>
          <w:color w:val="000000"/>
          <w:lang w:eastAsia="bg-BG"/>
        </w:rPr>
        <w:t xml:space="preserve">Те имат стабилна симптоматична систолна сърдечна недостатъчност (фракция на изтласкване ≤ 35% на база ехокардиография). Общата смъртност е намалена от 17,3% до 11,8% (относително намаление 34%). Наблюдава се намаление на внезапната смърт (3,6% срещу 6,3%, относително намаление 44%) и намаление на броя на епизодите със сърдечна недостатъчност, изискваща хоспитализация (12% срещу 17,6%, относително намаление 36%). И накрая, показано е значително подобрение на функционалното състояние съгласно класификацията </w:t>
      </w:r>
      <w:r w:rsidRPr="006965F3">
        <w:rPr>
          <w:rFonts w:eastAsia="Times New Roman" w:cs="Arial"/>
          <w:color w:val="000000"/>
          <w:lang w:val="en-US"/>
        </w:rPr>
        <w:t>NYHA</w:t>
      </w:r>
      <w:r w:rsidRPr="006965F3">
        <w:rPr>
          <w:rFonts w:eastAsia="Times New Roman" w:cs="Arial"/>
          <w:color w:val="000000"/>
          <w:lang w:val="ru-RU"/>
        </w:rPr>
        <w:t xml:space="preserve">. </w:t>
      </w:r>
      <w:r w:rsidRPr="006965F3">
        <w:rPr>
          <w:rFonts w:eastAsia="Times New Roman" w:cs="Arial"/>
          <w:color w:val="000000"/>
          <w:lang w:eastAsia="bg-BG"/>
        </w:rPr>
        <w:t>В началото и по време на титрирането се наблюдава хоспитализиране поради брадикардия (0,53%), хипотония (0,23%) и остра декомпенсация (4,97%), но те не са по-чести, отколкото при плацебо групата (0%, 0,3% и 6,74%), Броят на фаталните и инвалидизиращи инсулти по време на целия период на проучването е 20 в групата на бизопролол и 15 в плацебо групата.</w:t>
      </w:r>
    </w:p>
    <w:p w14:paraId="209A6E98" w14:textId="77777777" w:rsidR="006965F3" w:rsidRDefault="006965F3" w:rsidP="006965F3">
      <w:pPr>
        <w:rPr>
          <w:rFonts w:eastAsia="Times New Roman" w:cs="Arial"/>
          <w:color w:val="000000"/>
          <w:lang w:eastAsia="bg-BG"/>
        </w:rPr>
      </w:pPr>
    </w:p>
    <w:p w14:paraId="527A7287" w14:textId="5F917257" w:rsidR="006965F3" w:rsidRDefault="006965F3" w:rsidP="006965F3">
      <w:pPr>
        <w:rPr>
          <w:rFonts w:eastAsia="Times New Roman" w:cs="Arial"/>
          <w:color w:val="000000"/>
          <w:lang w:eastAsia="bg-BG"/>
        </w:rPr>
      </w:pPr>
      <w:r w:rsidRPr="006965F3">
        <w:rPr>
          <w:rFonts w:eastAsia="Times New Roman" w:cs="Arial"/>
          <w:color w:val="000000"/>
          <w:lang w:eastAsia="bg-BG"/>
        </w:rPr>
        <w:t xml:space="preserve">Проучването </w:t>
      </w:r>
      <w:r w:rsidRPr="006965F3">
        <w:rPr>
          <w:rFonts w:eastAsia="Times New Roman" w:cs="Arial"/>
          <w:color w:val="000000"/>
          <w:lang w:val="en-US"/>
        </w:rPr>
        <w:t>CIBIS</w:t>
      </w:r>
      <w:r w:rsidRPr="006965F3">
        <w:rPr>
          <w:rFonts w:eastAsia="Times New Roman" w:cs="Arial"/>
          <w:color w:val="000000"/>
          <w:lang w:eastAsia="bg-BG"/>
        </w:rPr>
        <w:t xml:space="preserve"> </w:t>
      </w:r>
      <w:r w:rsidRPr="006965F3">
        <w:rPr>
          <w:rFonts w:eastAsia="Times New Roman" w:cs="Arial"/>
          <w:color w:val="000000"/>
          <w:lang w:val="en-US"/>
        </w:rPr>
        <w:t>III</w:t>
      </w:r>
      <w:r w:rsidRPr="006965F3">
        <w:rPr>
          <w:rFonts w:eastAsia="Times New Roman" w:cs="Arial"/>
          <w:color w:val="000000"/>
          <w:lang w:eastAsia="bg-BG"/>
        </w:rPr>
        <w:t xml:space="preserve"> изследва 1 010 пациенти на възраст ≥ 65 години с лека до умерена хронична сърдечна недостатъчност </w:t>
      </w:r>
      <w:r w:rsidRPr="006965F3">
        <w:rPr>
          <w:rFonts w:eastAsia="Times New Roman" w:cs="Arial"/>
          <w:color w:val="000000"/>
          <w:lang w:val="ru-RU"/>
        </w:rPr>
        <w:t>(</w:t>
      </w:r>
      <w:r w:rsidRPr="006965F3">
        <w:rPr>
          <w:rFonts w:eastAsia="Times New Roman" w:cs="Arial"/>
          <w:color w:val="000000"/>
          <w:lang w:val="en-US"/>
        </w:rPr>
        <w:t>CHF</w:t>
      </w:r>
      <w:r w:rsidRPr="006965F3">
        <w:rPr>
          <w:rFonts w:eastAsia="Times New Roman" w:cs="Arial"/>
          <w:color w:val="000000"/>
          <w:lang w:val="ru-RU"/>
        </w:rPr>
        <w:t xml:space="preserve">; </w:t>
      </w:r>
      <w:r w:rsidRPr="006965F3">
        <w:rPr>
          <w:rFonts w:eastAsia="Times New Roman" w:cs="Arial"/>
          <w:color w:val="000000"/>
          <w:lang w:val="en-US"/>
        </w:rPr>
        <w:t>NYHA</w:t>
      </w:r>
      <w:r w:rsidRPr="006965F3">
        <w:rPr>
          <w:rFonts w:eastAsia="Times New Roman" w:cs="Arial"/>
          <w:color w:val="000000"/>
          <w:lang w:val="ru-RU"/>
        </w:rPr>
        <w:t xml:space="preserve"> </w:t>
      </w:r>
      <w:r w:rsidRPr="006965F3">
        <w:rPr>
          <w:rFonts w:eastAsia="Times New Roman" w:cs="Arial"/>
          <w:color w:val="000000"/>
          <w:lang w:eastAsia="bg-BG"/>
        </w:rPr>
        <w:t xml:space="preserve">клас </w:t>
      </w:r>
      <w:r w:rsidRPr="006965F3">
        <w:rPr>
          <w:rFonts w:eastAsia="Times New Roman" w:cs="Arial"/>
          <w:color w:val="000000"/>
          <w:lang w:val="en-US"/>
        </w:rPr>
        <w:t>II</w:t>
      </w:r>
      <w:r w:rsidRPr="006965F3">
        <w:rPr>
          <w:rFonts w:eastAsia="Times New Roman" w:cs="Arial"/>
          <w:color w:val="000000"/>
          <w:lang w:eastAsia="bg-BG"/>
        </w:rPr>
        <w:t xml:space="preserve"> или </w:t>
      </w:r>
      <w:r w:rsidRPr="006965F3">
        <w:rPr>
          <w:rFonts w:eastAsia="Times New Roman" w:cs="Arial"/>
          <w:color w:val="000000"/>
          <w:lang w:val="en-US"/>
        </w:rPr>
        <w:t>III</w:t>
      </w:r>
      <w:r w:rsidRPr="006965F3">
        <w:rPr>
          <w:rFonts w:eastAsia="Times New Roman" w:cs="Arial"/>
          <w:color w:val="000000"/>
          <w:lang w:eastAsia="bg-BG"/>
        </w:rPr>
        <w:t>) и левокамерна фракция на изтласкване ≤ 35%, които не са били лекувани преди това с АСЕ-инхибитори, бета-блокери или ангиотензин рецепторни блокери. Пациентите са лекувани с комбинация от бизопролол и еналаприл за 6 до 24 месеца след първоначалното 6-месечно лечение с бизопролол или еналаприл.</w:t>
      </w:r>
    </w:p>
    <w:p w14:paraId="69DC6B7D" w14:textId="48148C3A" w:rsidR="006965F3" w:rsidRDefault="006965F3" w:rsidP="006965F3">
      <w:pPr>
        <w:rPr>
          <w:rFonts w:eastAsia="Times New Roman" w:cs="Arial"/>
          <w:color w:val="000000"/>
          <w:lang w:eastAsia="bg-BG"/>
        </w:rPr>
      </w:pPr>
    </w:p>
    <w:p w14:paraId="5A3B379F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 xml:space="preserve">Наблюдава се тенденция към по-висока честота на влошаване на хроничната сърдечна недостатъчност при използване на бизопролол в първите 6 месеца на лечението. Анализът на протокола не доказва лечението, започнато първо с бизопролол да отстъпва на това започнато първо с еналаприл, въпреки че двете стратегии за започване на </w:t>
      </w:r>
      <w:r w:rsidRPr="006965F3">
        <w:rPr>
          <w:rFonts w:eastAsia="Times New Roman" w:cs="Arial"/>
          <w:color w:val="000000"/>
          <w:lang w:val="en-US"/>
        </w:rPr>
        <w:t>CHF</w:t>
      </w:r>
      <w:r w:rsidRPr="006965F3">
        <w:rPr>
          <w:rFonts w:eastAsia="Times New Roman" w:cs="Arial"/>
          <w:color w:val="000000"/>
          <w:lang w:val="ru-RU"/>
        </w:rPr>
        <w:t xml:space="preserve"> </w:t>
      </w:r>
      <w:r w:rsidRPr="006965F3">
        <w:rPr>
          <w:rFonts w:eastAsia="Times New Roman" w:cs="Arial"/>
          <w:color w:val="000000"/>
          <w:lang w:eastAsia="bg-BG"/>
        </w:rPr>
        <w:t>лечение показват подобен процент на първичния комбиниран критерий на смърт и хоспитализация в края на проучването (32,4% при лечение първо с бизопролол в сравнение с 33,1% в групата първо с еналаприл, според протокола на популацията). Проучването показва, че бизопролол може да се използва при пациенти в напреднала възраст с лека до умерена хронична сърдечна недостатъчност.</w:t>
      </w:r>
    </w:p>
    <w:p w14:paraId="3452FBDD" w14:textId="77777777" w:rsidR="006965F3" w:rsidRDefault="006965F3" w:rsidP="006965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CD1BF3B" w14:textId="14F273D9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При остро приложение на пациенти с коронарна сърдечна болест без хронична сърдечна недостатъчност, бизопролол понижава сърдечната честота и ударния обем и по този начин сърдечния дебит и кислородната консумация. При хронично приложение, първоначално повишеното периферно съпротивление намалява.</w:t>
      </w:r>
    </w:p>
    <w:p w14:paraId="57546389" w14:textId="77777777" w:rsidR="006965F3" w:rsidRPr="006965F3" w:rsidRDefault="006965F3" w:rsidP="006965F3">
      <w:pPr>
        <w:rPr>
          <w:rFonts w:eastAsia="Times New Roman" w:cs="Arial"/>
          <w:color w:val="000000"/>
          <w:lang w:eastAsia="bg-BG"/>
        </w:rPr>
      </w:pPr>
    </w:p>
    <w:p w14:paraId="350E7677" w14:textId="77777777" w:rsidR="006965F3" w:rsidRPr="006965F3" w:rsidRDefault="006965F3" w:rsidP="006965F3"/>
    <w:p w14:paraId="35F84B81" w14:textId="6E951151" w:rsidR="00CF77F7" w:rsidRDefault="002C50EE" w:rsidP="004A448E">
      <w:pPr>
        <w:pStyle w:val="Heading2"/>
      </w:pPr>
      <w:r>
        <w:t>5.2. Фармакокинетични свойства</w:t>
      </w:r>
    </w:p>
    <w:p w14:paraId="67C64DEE" w14:textId="3DA886E4" w:rsidR="006965F3" w:rsidRDefault="006965F3" w:rsidP="006965F3"/>
    <w:p w14:paraId="7C319CF5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i/>
          <w:iCs/>
          <w:color w:val="000000"/>
          <w:lang w:eastAsia="bg-BG"/>
        </w:rPr>
        <w:t>Абсорбция</w:t>
      </w:r>
    </w:p>
    <w:p w14:paraId="165F6CF3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Бизопролол се абсорбира и има биологична наличност от около 90% след перорално приложение.</w:t>
      </w:r>
    </w:p>
    <w:p w14:paraId="1A06E838" w14:textId="77777777" w:rsidR="006965F3" w:rsidRDefault="006965F3" w:rsidP="006965F3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5E36930" w14:textId="79FA7FD4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i/>
          <w:iCs/>
          <w:color w:val="000000"/>
          <w:lang w:eastAsia="bg-BG"/>
        </w:rPr>
        <w:t>Разпределение</w:t>
      </w:r>
    </w:p>
    <w:p w14:paraId="60473824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 xml:space="preserve">Свързването на бизопролол с плазмените протеини е около 30%. Обемът на разпределение е 3,5 </w:t>
      </w:r>
      <w:r w:rsidRPr="006965F3">
        <w:rPr>
          <w:rFonts w:eastAsia="Times New Roman" w:cs="Arial"/>
          <w:color w:val="000000"/>
          <w:lang w:val="ru-RU"/>
        </w:rPr>
        <w:t>1/</w:t>
      </w:r>
      <w:r w:rsidRPr="006965F3">
        <w:rPr>
          <w:rFonts w:eastAsia="Times New Roman" w:cs="Arial"/>
          <w:color w:val="000000"/>
          <w:lang w:val="en-US"/>
        </w:rPr>
        <w:t>kg</w:t>
      </w:r>
      <w:r w:rsidRPr="006965F3">
        <w:rPr>
          <w:rFonts w:eastAsia="Times New Roman" w:cs="Arial"/>
          <w:color w:val="000000"/>
          <w:lang w:val="ru-RU"/>
        </w:rPr>
        <w:t>.</w:t>
      </w:r>
    </w:p>
    <w:p w14:paraId="387D18B7" w14:textId="77777777" w:rsidR="006965F3" w:rsidRDefault="006965F3" w:rsidP="006965F3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741B7E3" w14:textId="16077E18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i/>
          <w:iCs/>
          <w:color w:val="000000"/>
          <w:lang w:eastAsia="bg-BG"/>
        </w:rPr>
        <w:t>Биотрансформация и елиминиране</w:t>
      </w:r>
    </w:p>
    <w:p w14:paraId="1F384E24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 xml:space="preserve">Общият клирънс е около 15 </w:t>
      </w:r>
      <w:r w:rsidRPr="006965F3">
        <w:rPr>
          <w:rFonts w:eastAsia="Times New Roman" w:cs="Arial"/>
          <w:color w:val="000000"/>
          <w:lang w:val="en-US"/>
        </w:rPr>
        <w:t>l</w:t>
      </w:r>
      <w:r w:rsidRPr="006965F3">
        <w:rPr>
          <w:rFonts w:eastAsia="Times New Roman" w:cs="Arial"/>
          <w:color w:val="000000"/>
          <w:lang w:eastAsia="bg-BG"/>
        </w:rPr>
        <w:t>/</w:t>
      </w:r>
      <w:r w:rsidRPr="006965F3">
        <w:rPr>
          <w:rFonts w:eastAsia="Times New Roman" w:cs="Arial"/>
          <w:color w:val="000000"/>
          <w:lang w:val="en-US"/>
        </w:rPr>
        <w:t>h</w:t>
      </w:r>
      <w:r w:rsidRPr="006965F3">
        <w:rPr>
          <w:rFonts w:eastAsia="Times New Roman" w:cs="Arial"/>
          <w:color w:val="000000"/>
          <w:lang w:eastAsia="bg-BG"/>
        </w:rPr>
        <w:t>. Полуживотът в плазмата от 10-12 часа дава 24-часов ефект след дозиране веднъж дневно.</w:t>
      </w:r>
    </w:p>
    <w:p w14:paraId="0DB2BC9F" w14:textId="77777777" w:rsidR="006965F3" w:rsidRDefault="006965F3" w:rsidP="006965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E1A8A47" w14:textId="3229EE96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Бизопролол се екскретира от организма по два пътя. 50% се метаболизира в черния дроб до неактивни метаболити, които след това се отделят чрез бъбреците. Останалите 50% се отделя чрез бъбреците в неметаболизирана форма. Тъй като елиминирането се извършва в бъбреците и черния дроб в еднаква степен, не се изисква корекция на дозата за пациенти с нарушена чернодробна функция или бъбречна недостатъчност. Фармакокинетиката при пациенти със стабилна хронична сърдечна недостатъчност и увредена чернодробна или бъбречна функция не е проучена.</w:t>
      </w:r>
    </w:p>
    <w:p w14:paraId="60AB789E" w14:textId="77777777" w:rsidR="006965F3" w:rsidRDefault="006965F3" w:rsidP="006965F3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B379F68" w14:textId="1CFAE838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i/>
          <w:iCs/>
          <w:color w:val="000000"/>
          <w:lang w:eastAsia="bg-BG"/>
        </w:rPr>
        <w:t>Линейност/нелинейност</w:t>
      </w:r>
    </w:p>
    <w:p w14:paraId="4FEB3BE9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Кинетиката на бизопролол е линейна и не зависи от възрастта на пациента.</w:t>
      </w:r>
    </w:p>
    <w:p w14:paraId="6ED9BC90" w14:textId="77777777" w:rsidR="006965F3" w:rsidRDefault="006965F3" w:rsidP="006965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E663F7A" w14:textId="2D3F4228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 xml:space="preserve">При пациенти с хронична сърдечна недостатъчност </w:t>
      </w:r>
      <w:r w:rsidRPr="006965F3">
        <w:rPr>
          <w:rFonts w:eastAsia="Times New Roman" w:cs="Arial"/>
          <w:color w:val="000000"/>
          <w:lang w:val="ru-RU"/>
        </w:rPr>
        <w:t>(</w:t>
      </w:r>
      <w:r w:rsidRPr="006965F3">
        <w:rPr>
          <w:rFonts w:eastAsia="Times New Roman" w:cs="Arial"/>
          <w:color w:val="000000"/>
          <w:lang w:val="en-US"/>
        </w:rPr>
        <w:t>NYHA</w:t>
      </w:r>
      <w:r w:rsidRPr="006965F3">
        <w:rPr>
          <w:rFonts w:eastAsia="Times New Roman" w:cs="Arial"/>
          <w:color w:val="000000"/>
          <w:lang w:val="ru-RU"/>
        </w:rPr>
        <w:t xml:space="preserve"> </w:t>
      </w:r>
      <w:r w:rsidRPr="006965F3">
        <w:rPr>
          <w:rFonts w:eastAsia="Times New Roman" w:cs="Arial"/>
          <w:color w:val="000000"/>
          <w:lang w:eastAsia="bg-BG"/>
        </w:rPr>
        <w:t xml:space="preserve">стадий III), плазмените нива на бизопролол са по-високи и времето на полуживот е удължено в сравнение със здрави доброволци. Максималната плазмена концентрация в равновесно състояние е 64 ± 21 </w:t>
      </w:r>
      <w:r w:rsidRPr="006965F3">
        <w:rPr>
          <w:rFonts w:eastAsia="Times New Roman" w:cs="Arial"/>
          <w:color w:val="000000"/>
          <w:lang w:val="en-US"/>
        </w:rPr>
        <w:t>ng</w:t>
      </w:r>
      <w:r w:rsidRPr="006965F3">
        <w:rPr>
          <w:rFonts w:eastAsia="Times New Roman" w:cs="Arial"/>
          <w:color w:val="000000"/>
          <w:lang w:val="ru-RU"/>
        </w:rPr>
        <w:t>/</w:t>
      </w:r>
      <w:r w:rsidRPr="006965F3">
        <w:rPr>
          <w:rFonts w:eastAsia="Times New Roman" w:cs="Arial"/>
          <w:color w:val="000000"/>
          <w:lang w:val="en-US"/>
        </w:rPr>
        <w:t>ml</w:t>
      </w:r>
      <w:r w:rsidRPr="006965F3">
        <w:rPr>
          <w:rFonts w:eastAsia="Times New Roman" w:cs="Arial"/>
          <w:color w:val="000000"/>
          <w:lang w:val="ru-RU"/>
        </w:rPr>
        <w:t xml:space="preserve"> </w:t>
      </w:r>
      <w:r w:rsidRPr="006965F3">
        <w:rPr>
          <w:rFonts w:eastAsia="Times New Roman" w:cs="Arial"/>
          <w:color w:val="000000"/>
          <w:lang w:eastAsia="bg-BG"/>
        </w:rPr>
        <w:t xml:space="preserve">в дневна доза от 10 </w:t>
      </w:r>
      <w:r w:rsidRPr="006965F3">
        <w:rPr>
          <w:rFonts w:eastAsia="Times New Roman" w:cs="Arial"/>
          <w:color w:val="000000"/>
          <w:lang w:val="en-US"/>
        </w:rPr>
        <w:t>mg</w:t>
      </w:r>
      <w:r w:rsidRPr="006965F3">
        <w:rPr>
          <w:rFonts w:eastAsia="Times New Roman" w:cs="Arial"/>
          <w:color w:val="000000"/>
          <w:lang w:val="ru-RU"/>
        </w:rPr>
        <w:t xml:space="preserve"> </w:t>
      </w:r>
      <w:r w:rsidRPr="006965F3">
        <w:rPr>
          <w:rFonts w:eastAsia="Times New Roman" w:cs="Arial"/>
          <w:color w:val="000000"/>
          <w:lang w:eastAsia="bg-BG"/>
        </w:rPr>
        <w:t>и времето на полуживот е 17 ± 5 часа.</w:t>
      </w:r>
    </w:p>
    <w:p w14:paraId="054BB418" w14:textId="77777777" w:rsidR="006965F3" w:rsidRPr="006965F3" w:rsidRDefault="006965F3" w:rsidP="006965F3"/>
    <w:p w14:paraId="648E39DA" w14:textId="3223DDD2" w:rsidR="00CF77F7" w:rsidRDefault="002C50EE" w:rsidP="004A448E">
      <w:pPr>
        <w:pStyle w:val="Heading2"/>
      </w:pPr>
      <w:r>
        <w:t>5.3. Предклинични данни за безопасност</w:t>
      </w:r>
    </w:p>
    <w:p w14:paraId="25017E5C" w14:textId="45594452" w:rsidR="006965F3" w:rsidRDefault="006965F3" w:rsidP="006965F3"/>
    <w:p w14:paraId="0C9EE0C6" w14:textId="46B11777" w:rsidR="006965F3" w:rsidRPr="006965F3" w:rsidRDefault="006965F3" w:rsidP="006965F3">
      <w:r>
        <w:t>Неклиничните данни не показват особен риск за хора на базата на конвенционалните фармакологични проучвания за безопасност, токсичност при многократно прилагане, генотоксичност, карциногенен потенциал, репродуктивна токсичност и токсичност за развитието. Подобно на други бета-блокери, бизопролол при високи дози причинява токсичност на майката (понижен прием на храна и понижено телесно тегло) и ембрио/фетална токсичност (повишена честота на резорбция, понижено тегло при раждане, забавено физическо развитие на поколението но не е тератогенен.</w:t>
      </w:r>
    </w:p>
    <w:p w14:paraId="6A7820AB" w14:textId="12DE1A55" w:rsidR="008A6AF2" w:rsidRDefault="002C50EE" w:rsidP="00395555">
      <w:pPr>
        <w:pStyle w:val="Heading1"/>
      </w:pPr>
      <w:r>
        <w:t>7. ПРИТЕЖАТЕЛ НА РАЗРЕШЕНИЕТО ЗА УПОТРЕБА</w:t>
      </w:r>
    </w:p>
    <w:p w14:paraId="6DA4EA25" w14:textId="6AB78147" w:rsidR="006965F3" w:rsidRDefault="006965F3" w:rsidP="006965F3"/>
    <w:p w14:paraId="019ABE7A" w14:textId="77777777" w:rsidR="006965F3" w:rsidRPr="006965F3" w:rsidRDefault="006965F3" w:rsidP="006965F3">
      <w:pPr>
        <w:rPr>
          <w:sz w:val="24"/>
          <w:szCs w:val="24"/>
          <w:lang w:val="en-US"/>
        </w:rPr>
      </w:pPr>
      <w:r w:rsidRPr="006965F3">
        <w:rPr>
          <w:lang w:val="en-US"/>
        </w:rPr>
        <w:t xml:space="preserve">INN-FARM </w:t>
      </w:r>
      <w:proofErr w:type="spellStart"/>
      <w:r w:rsidRPr="006965F3">
        <w:rPr>
          <w:lang w:val="en-US"/>
        </w:rPr>
        <w:t>d.o.o</w:t>
      </w:r>
      <w:proofErr w:type="spellEnd"/>
      <w:r w:rsidRPr="006965F3">
        <w:rPr>
          <w:lang w:val="en-US"/>
        </w:rPr>
        <w:t>.</w:t>
      </w:r>
    </w:p>
    <w:p w14:paraId="2889F356" w14:textId="77777777" w:rsidR="006965F3" w:rsidRPr="006965F3" w:rsidRDefault="006965F3" w:rsidP="006965F3">
      <w:pPr>
        <w:rPr>
          <w:sz w:val="24"/>
          <w:szCs w:val="24"/>
          <w:lang w:val="en-US"/>
        </w:rPr>
      </w:pPr>
      <w:proofErr w:type="spellStart"/>
      <w:r w:rsidRPr="006965F3">
        <w:rPr>
          <w:lang w:val="en-US"/>
        </w:rPr>
        <w:t>MaleSeva</w:t>
      </w:r>
      <w:proofErr w:type="spellEnd"/>
      <w:r w:rsidRPr="006965F3">
        <w:rPr>
          <w:lang w:val="en-US"/>
        </w:rPr>
        <w:t xml:space="preserve"> </w:t>
      </w:r>
      <w:proofErr w:type="spellStart"/>
      <w:r w:rsidRPr="006965F3">
        <w:rPr>
          <w:lang w:val="en-US"/>
        </w:rPr>
        <w:t>ulica</w:t>
      </w:r>
      <w:proofErr w:type="spellEnd"/>
      <w:r w:rsidRPr="006965F3">
        <w:rPr>
          <w:lang w:val="en-US"/>
        </w:rPr>
        <w:t xml:space="preserve"> 14</w:t>
      </w:r>
      <w:proofErr w:type="gramStart"/>
      <w:r w:rsidRPr="006965F3">
        <w:rPr>
          <w:lang w:val="en-US"/>
        </w:rPr>
        <w:t>,1000</w:t>
      </w:r>
      <w:proofErr w:type="gramEnd"/>
      <w:r w:rsidRPr="006965F3">
        <w:rPr>
          <w:lang w:val="en-US"/>
        </w:rPr>
        <w:t xml:space="preserve"> Ljubljana, </w:t>
      </w:r>
      <w:r w:rsidRPr="006965F3">
        <w:rPr>
          <w:lang w:eastAsia="bg-BG"/>
        </w:rPr>
        <w:t>Словения</w:t>
      </w:r>
    </w:p>
    <w:p w14:paraId="4F48F9BE" w14:textId="77777777" w:rsidR="006965F3" w:rsidRPr="006965F3" w:rsidRDefault="006965F3" w:rsidP="006965F3">
      <w:pPr>
        <w:rPr>
          <w:sz w:val="24"/>
          <w:szCs w:val="24"/>
          <w:lang w:val="en-US"/>
        </w:rPr>
      </w:pPr>
      <w:r w:rsidRPr="006965F3">
        <w:rPr>
          <w:lang w:val="en-US"/>
        </w:rPr>
        <w:t>Tel.:+386 70 390 711</w:t>
      </w:r>
    </w:p>
    <w:p w14:paraId="3DA1C8A6" w14:textId="77777777" w:rsidR="006965F3" w:rsidRPr="006965F3" w:rsidRDefault="006965F3" w:rsidP="006965F3">
      <w:pPr>
        <w:rPr>
          <w:sz w:val="24"/>
          <w:szCs w:val="24"/>
          <w:lang w:val="ru-RU"/>
        </w:rPr>
      </w:pPr>
      <w:r w:rsidRPr="006965F3">
        <w:rPr>
          <w:lang w:val="en-US"/>
        </w:rPr>
        <w:t>Fax</w:t>
      </w:r>
      <w:proofErr w:type="gramStart"/>
      <w:r w:rsidRPr="006965F3">
        <w:rPr>
          <w:lang w:val="ru-RU"/>
        </w:rPr>
        <w:t>:+</w:t>
      </w:r>
      <w:proofErr w:type="gramEnd"/>
      <w:r w:rsidRPr="006965F3">
        <w:rPr>
          <w:lang w:val="ru-RU"/>
        </w:rPr>
        <w:t>386 5191 116</w:t>
      </w:r>
    </w:p>
    <w:p w14:paraId="1CE77A1B" w14:textId="029B6991" w:rsidR="006965F3" w:rsidRPr="006965F3" w:rsidRDefault="006965F3" w:rsidP="006965F3">
      <w:proofErr w:type="gramStart"/>
      <w:r w:rsidRPr="006965F3">
        <w:rPr>
          <w:lang w:val="en-US"/>
        </w:rPr>
        <w:t>e</w:t>
      </w:r>
      <w:r w:rsidRPr="006965F3">
        <w:rPr>
          <w:lang w:val="ru-RU"/>
        </w:rPr>
        <w:t>-</w:t>
      </w:r>
      <w:r w:rsidRPr="006965F3">
        <w:rPr>
          <w:lang w:val="en-US"/>
        </w:rPr>
        <w:t>mail</w:t>
      </w:r>
      <w:proofErr w:type="gramEnd"/>
      <w:r w:rsidRPr="006965F3">
        <w:rPr>
          <w:lang w:val="ru-RU"/>
        </w:rPr>
        <w:t xml:space="preserve">: </w:t>
      </w:r>
      <w:hyperlink r:id="rId5" w:history="1">
        <w:r w:rsidRPr="006965F3">
          <w:rPr>
            <w:u w:val="single"/>
            <w:lang w:val="en-US"/>
          </w:rPr>
          <w:t>info</w:t>
        </w:r>
        <w:r w:rsidRPr="006965F3">
          <w:rPr>
            <w:u w:val="single"/>
            <w:lang w:val="ru-RU"/>
          </w:rPr>
          <w:t>@</w:t>
        </w:r>
        <w:proofErr w:type="spellStart"/>
        <w:r w:rsidRPr="006965F3">
          <w:rPr>
            <w:u w:val="single"/>
            <w:lang w:val="en-US"/>
          </w:rPr>
          <w:t>innfarm</w:t>
        </w:r>
        <w:proofErr w:type="spellEnd"/>
        <w:r w:rsidRPr="006965F3">
          <w:rPr>
            <w:u w:val="single"/>
            <w:lang w:val="ru-RU"/>
          </w:rPr>
          <w:t>.</w:t>
        </w:r>
        <w:proofErr w:type="spellStart"/>
        <w:r w:rsidRPr="006965F3">
          <w:rPr>
            <w:u w:val="single"/>
            <w:lang w:val="en-US"/>
          </w:rPr>
          <w:t>si</w:t>
        </w:r>
        <w:proofErr w:type="spellEnd"/>
      </w:hyperlink>
    </w:p>
    <w:p w14:paraId="7BA1BA64" w14:textId="1F2D8A50" w:rsidR="00CF77F7" w:rsidRDefault="002C50EE" w:rsidP="004A448E">
      <w:pPr>
        <w:pStyle w:val="Heading1"/>
      </w:pPr>
      <w:r>
        <w:t>8. НОМЕР НА РАЗРЕШЕНИЕТО ЗА УПОТРЕБА</w:t>
      </w:r>
    </w:p>
    <w:p w14:paraId="311FE01B" w14:textId="2EE52967" w:rsidR="006965F3" w:rsidRDefault="006965F3" w:rsidP="006965F3"/>
    <w:p w14:paraId="0C02721E" w14:textId="77777777" w:rsidR="006965F3" w:rsidRDefault="006965F3" w:rsidP="006965F3">
      <w:r>
        <w:t xml:space="preserve">Тирез 5 </w:t>
      </w:r>
      <w:proofErr w:type="spellStart"/>
      <w:r>
        <w:rPr>
          <w:lang w:val="en-US"/>
        </w:rPr>
        <w:t>tng</w:t>
      </w:r>
      <w:proofErr w:type="spellEnd"/>
      <w:r w:rsidRPr="006965F3">
        <w:rPr>
          <w:lang w:val="ru-RU"/>
        </w:rPr>
        <w:t xml:space="preserve"> </w:t>
      </w:r>
      <w:r>
        <w:t xml:space="preserve">филмирани таблетки </w:t>
      </w:r>
      <w:r>
        <w:rPr>
          <w:lang w:val="en-US"/>
        </w:rPr>
        <w:t>per</w:t>
      </w:r>
      <w:r w:rsidRPr="006965F3">
        <w:rPr>
          <w:lang w:val="ru-RU"/>
        </w:rPr>
        <w:t xml:space="preserve">. </w:t>
      </w:r>
      <w:r>
        <w:t xml:space="preserve">№ 20120281 </w:t>
      </w:r>
    </w:p>
    <w:p w14:paraId="287213BC" w14:textId="3691A20C" w:rsidR="006965F3" w:rsidRPr="006965F3" w:rsidRDefault="006965F3" w:rsidP="006965F3">
      <w:r>
        <w:t xml:space="preserve">Тирез 10 </w:t>
      </w:r>
      <w:r>
        <w:rPr>
          <w:lang w:val="en-US"/>
        </w:rPr>
        <w:t>mg</w:t>
      </w:r>
      <w:r w:rsidRPr="006965F3">
        <w:rPr>
          <w:lang w:val="ru-RU"/>
        </w:rPr>
        <w:t xml:space="preserve"> </w:t>
      </w:r>
      <w:r>
        <w:t xml:space="preserve">филмирани таблетки </w:t>
      </w:r>
      <w:r>
        <w:rPr>
          <w:lang w:val="en-US"/>
        </w:rPr>
        <w:t>per</w:t>
      </w:r>
      <w:r w:rsidRPr="006965F3">
        <w:rPr>
          <w:lang w:val="ru-RU"/>
        </w:rPr>
        <w:t xml:space="preserve">. </w:t>
      </w:r>
      <w:r>
        <w:t>№ 20120282</w:t>
      </w:r>
    </w:p>
    <w:p w14:paraId="2CCB5832" w14:textId="54E08E83" w:rsidR="007C605B" w:rsidRDefault="002C50EE" w:rsidP="007C605B">
      <w:pPr>
        <w:pStyle w:val="Heading1"/>
      </w:pPr>
      <w:r>
        <w:t>9. ДАТА НА ПЪРВО РАЗРЕШАВАНЕ/ПОДНОВЯВАНЕ НА РАЗРЕШЕНИЕТО ЗА УПОТРЕБА</w:t>
      </w:r>
    </w:p>
    <w:p w14:paraId="45C81879" w14:textId="285FAE7A" w:rsidR="006965F3" w:rsidRDefault="006965F3" w:rsidP="006965F3"/>
    <w:p w14:paraId="766A8C29" w14:textId="77777777" w:rsidR="006965F3" w:rsidRPr="006965F3" w:rsidRDefault="006965F3" w:rsidP="006965F3">
      <w:pPr>
        <w:rPr>
          <w:sz w:val="24"/>
          <w:szCs w:val="24"/>
        </w:rPr>
      </w:pPr>
      <w:r w:rsidRPr="006965F3">
        <w:rPr>
          <w:lang w:eastAsia="bg-BG"/>
        </w:rPr>
        <w:lastRenderedPageBreak/>
        <w:t>Дата на първо разрешаване: 04 Юни 2012</w:t>
      </w:r>
    </w:p>
    <w:p w14:paraId="79B553F6" w14:textId="708FF4A8" w:rsidR="006965F3" w:rsidRPr="006965F3" w:rsidRDefault="006965F3" w:rsidP="006965F3">
      <w:r w:rsidRPr="006965F3">
        <w:rPr>
          <w:lang w:eastAsia="bg-BG"/>
        </w:rPr>
        <w:t>Дата на последно подновяване: 23 Октомври 2017</w:t>
      </w:r>
    </w:p>
    <w:p w14:paraId="0E9D0119" w14:textId="0245C6D7" w:rsidR="002C50EE" w:rsidRDefault="002C50EE" w:rsidP="002C50EE">
      <w:pPr>
        <w:pStyle w:val="Heading1"/>
      </w:pPr>
      <w:r>
        <w:t>10. ДАТА НА АКТУАЛИЗИРАНЕ НА ТЕКСТА</w:t>
      </w:r>
    </w:p>
    <w:bookmarkEnd w:id="0"/>
    <w:p w14:paraId="43FB38A2" w14:textId="08710634" w:rsidR="007C605B" w:rsidRPr="003E3126" w:rsidRDefault="006965F3" w:rsidP="006965F3">
      <w:r>
        <w:t>03/2018</w:t>
      </w:r>
      <w:bookmarkStart w:id="12" w:name="_GoBack"/>
      <w:bookmarkEnd w:id="12"/>
    </w:p>
    <w:sectPr w:rsidR="007C605B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0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6B098D"/>
    <w:multiLevelType w:val="hybridMultilevel"/>
    <w:tmpl w:val="3650FE00"/>
    <w:lvl w:ilvl="0" w:tplc="4BDA80F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6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1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F45F3B"/>
    <w:multiLevelType w:val="hybridMultilevel"/>
    <w:tmpl w:val="5000A7EA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27"/>
  </w:num>
  <w:num w:numId="2">
    <w:abstractNumId w:val="0"/>
  </w:num>
  <w:num w:numId="3">
    <w:abstractNumId w:val="12"/>
  </w:num>
  <w:num w:numId="4">
    <w:abstractNumId w:val="3"/>
  </w:num>
  <w:num w:numId="5">
    <w:abstractNumId w:val="1"/>
  </w:num>
  <w:num w:numId="6">
    <w:abstractNumId w:val="16"/>
  </w:num>
  <w:num w:numId="7">
    <w:abstractNumId w:val="10"/>
  </w:num>
  <w:num w:numId="8">
    <w:abstractNumId w:val="15"/>
  </w:num>
  <w:num w:numId="9">
    <w:abstractNumId w:val="2"/>
  </w:num>
  <w:num w:numId="10">
    <w:abstractNumId w:val="4"/>
  </w:num>
  <w:num w:numId="11">
    <w:abstractNumId w:val="30"/>
  </w:num>
  <w:num w:numId="12">
    <w:abstractNumId w:val="14"/>
  </w:num>
  <w:num w:numId="13">
    <w:abstractNumId w:val="19"/>
  </w:num>
  <w:num w:numId="14">
    <w:abstractNumId w:val="11"/>
  </w:num>
  <w:num w:numId="15">
    <w:abstractNumId w:val="29"/>
  </w:num>
  <w:num w:numId="16">
    <w:abstractNumId w:val="9"/>
  </w:num>
  <w:num w:numId="17">
    <w:abstractNumId w:val="24"/>
  </w:num>
  <w:num w:numId="18">
    <w:abstractNumId w:val="7"/>
  </w:num>
  <w:num w:numId="19">
    <w:abstractNumId w:val="26"/>
  </w:num>
  <w:num w:numId="20">
    <w:abstractNumId w:val="23"/>
  </w:num>
  <w:num w:numId="21">
    <w:abstractNumId w:val="17"/>
  </w:num>
  <w:num w:numId="22">
    <w:abstractNumId w:val="25"/>
  </w:num>
  <w:num w:numId="23">
    <w:abstractNumId w:val="18"/>
  </w:num>
  <w:num w:numId="24">
    <w:abstractNumId w:val="8"/>
  </w:num>
  <w:num w:numId="25">
    <w:abstractNumId w:val="22"/>
  </w:num>
  <w:num w:numId="26">
    <w:abstractNumId w:val="21"/>
  </w:num>
  <w:num w:numId="27">
    <w:abstractNumId w:val="32"/>
  </w:num>
  <w:num w:numId="28">
    <w:abstractNumId w:val="6"/>
  </w:num>
  <w:num w:numId="29">
    <w:abstractNumId w:val="20"/>
  </w:num>
  <w:num w:numId="30">
    <w:abstractNumId w:val="35"/>
  </w:num>
  <w:num w:numId="31">
    <w:abstractNumId w:val="5"/>
  </w:num>
  <w:num w:numId="32">
    <w:abstractNumId w:val="34"/>
  </w:num>
  <w:num w:numId="33">
    <w:abstractNumId w:val="28"/>
  </w:num>
  <w:num w:numId="34">
    <w:abstractNumId w:val="33"/>
  </w:num>
  <w:num w:numId="35">
    <w:abstractNumId w:val="13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185A46"/>
    <w:rsid w:val="001915B6"/>
    <w:rsid w:val="001D1B23"/>
    <w:rsid w:val="002B3C38"/>
    <w:rsid w:val="002B4DBB"/>
    <w:rsid w:val="002C50EE"/>
    <w:rsid w:val="00340A0A"/>
    <w:rsid w:val="003765DC"/>
    <w:rsid w:val="00395555"/>
    <w:rsid w:val="003E3126"/>
    <w:rsid w:val="00426E5F"/>
    <w:rsid w:val="004A448E"/>
    <w:rsid w:val="004D4D6B"/>
    <w:rsid w:val="004F1CE7"/>
    <w:rsid w:val="004F498A"/>
    <w:rsid w:val="00517A5B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6965F3"/>
    <w:rsid w:val="0075649D"/>
    <w:rsid w:val="007C605B"/>
    <w:rsid w:val="008134C8"/>
    <w:rsid w:val="00814073"/>
    <w:rsid w:val="00826F0D"/>
    <w:rsid w:val="00893B92"/>
    <w:rsid w:val="008A6AF2"/>
    <w:rsid w:val="008C70A2"/>
    <w:rsid w:val="009773E4"/>
    <w:rsid w:val="009A71BF"/>
    <w:rsid w:val="009B171C"/>
    <w:rsid w:val="009F1313"/>
    <w:rsid w:val="00A20351"/>
    <w:rsid w:val="00A65A81"/>
    <w:rsid w:val="00A755DF"/>
    <w:rsid w:val="00AA23EC"/>
    <w:rsid w:val="00AC63CE"/>
    <w:rsid w:val="00AE2107"/>
    <w:rsid w:val="00B275A8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86297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innfarm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4077</Words>
  <Characters>23242</Characters>
  <Application>Microsoft Office Word</Application>
  <DocSecurity>0</DocSecurity>
  <Lines>193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petar vasilev</cp:lastModifiedBy>
  <cp:revision>2</cp:revision>
  <dcterms:created xsi:type="dcterms:W3CDTF">2022-05-05T09:33:00Z</dcterms:created>
  <dcterms:modified xsi:type="dcterms:W3CDTF">2022-05-05T09:33:00Z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