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09CEB67B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5A3B4435" w14:textId="77777777" w:rsidR="0091385D" w:rsidRPr="0091385D" w:rsidRDefault="0091385D" w:rsidP="0091385D"/>
    <w:p w14:paraId="3320F4BE" w14:textId="2EB48694" w:rsidR="00C40420" w:rsidRDefault="00DD466D" w:rsidP="004A448E">
      <w:pPr>
        <w:pStyle w:val="Heading1"/>
      </w:pPr>
      <w:r>
        <w:t>1.ИМЕ НА ЛЕКАРСТВЕНИЯ ПРОДУКТ</w:t>
      </w:r>
    </w:p>
    <w:p w14:paraId="5E9BA472" w14:textId="28012C85" w:rsidR="0091385D" w:rsidRDefault="0091385D" w:rsidP="0091385D"/>
    <w:p w14:paraId="2956F559" w14:textId="77777777" w:rsidR="00870646" w:rsidRPr="00870646" w:rsidRDefault="00870646" w:rsidP="0091385D">
      <w:pPr>
        <w:rPr>
          <w:rFonts w:cs="Arial"/>
          <w:szCs w:val="20"/>
        </w:rPr>
      </w:pPr>
      <w:r w:rsidRPr="00870646">
        <w:rPr>
          <w:rFonts w:cs="Arial"/>
          <w:szCs w:val="20"/>
        </w:rPr>
        <w:t xml:space="preserve">ТИРЕЗ 2,5 </w:t>
      </w:r>
      <w:r w:rsidRPr="00870646">
        <w:rPr>
          <w:rFonts w:cs="Arial"/>
          <w:szCs w:val="20"/>
          <w:lang w:val="en-US"/>
        </w:rPr>
        <w:t xml:space="preserve">mg </w:t>
      </w:r>
      <w:r w:rsidRPr="00870646">
        <w:rPr>
          <w:rFonts w:cs="Arial"/>
          <w:szCs w:val="20"/>
        </w:rPr>
        <w:t xml:space="preserve">филмирани таблетки </w:t>
      </w:r>
    </w:p>
    <w:p w14:paraId="5015A1FD" w14:textId="4737236D" w:rsidR="00A73575" w:rsidRPr="00870646" w:rsidRDefault="00870646" w:rsidP="0091385D">
      <w:pPr>
        <w:rPr>
          <w:rFonts w:cs="Arial"/>
          <w:sz w:val="24"/>
        </w:rPr>
      </w:pPr>
      <w:r w:rsidRPr="00870646">
        <w:rPr>
          <w:rFonts w:cs="Arial"/>
          <w:szCs w:val="20"/>
          <w:lang w:val="en-US"/>
        </w:rPr>
        <w:t xml:space="preserve">TYREZ </w:t>
      </w:r>
      <w:r w:rsidRPr="00870646">
        <w:rPr>
          <w:rFonts w:cs="Arial"/>
          <w:szCs w:val="20"/>
        </w:rPr>
        <w:t>2</w:t>
      </w:r>
      <w:proofErr w:type="gramStart"/>
      <w:r w:rsidRPr="00870646">
        <w:rPr>
          <w:rFonts w:cs="Arial"/>
          <w:szCs w:val="20"/>
        </w:rPr>
        <w:t>,5</w:t>
      </w:r>
      <w:proofErr w:type="gramEnd"/>
      <w:r w:rsidRPr="00870646">
        <w:rPr>
          <w:rFonts w:cs="Arial"/>
          <w:szCs w:val="20"/>
        </w:rPr>
        <w:t xml:space="preserve"> </w:t>
      </w:r>
      <w:r w:rsidRPr="00870646">
        <w:rPr>
          <w:rFonts w:cs="Arial"/>
          <w:szCs w:val="20"/>
          <w:lang w:val="en-US"/>
        </w:rPr>
        <w:t>mg film-coated tablets</w:t>
      </w:r>
    </w:p>
    <w:p w14:paraId="1E8447D1" w14:textId="77777777" w:rsidR="0091385D" w:rsidRPr="0091385D" w:rsidRDefault="0091385D" w:rsidP="0091385D"/>
    <w:p w14:paraId="6920A680" w14:textId="53C3EFCC" w:rsidR="00C40420" w:rsidRDefault="00DD466D" w:rsidP="004A448E">
      <w:pPr>
        <w:pStyle w:val="Heading1"/>
      </w:pPr>
      <w:r>
        <w:t>2. КАЧЕСТВЕН И КОЛИЧЕСТВЕН СЪСТАВ</w:t>
      </w:r>
    </w:p>
    <w:p w14:paraId="1ED33AE8" w14:textId="288788EF" w:rsidR="0091385D" w:rsidRDefault="0091385D" w:rsidP="0091385D"/>
    <w:p w14:paraId="4B948A86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Тирез 2,5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филмирани таблетки:</w:t>
      </w:r>
    </w:p>
    <w:p w14:paraId="1C930C53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Всяка филмирана таблетка съдържа 2,5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 xml:space="preserve">бизопрололов фумарат, еквивалентен на 2,12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бизопролол.</w:t>
      </w:r>
    </w:p>
    <w:p w14:paraId="6AE1EAD7" w14:textId="77777777" w:rsidR="00870646" w:rsidRPr="00870646" w:rsidRDefault="00870646" w:rsidP="00870646">
      <w:pPr>
        <w:rPr>
          <w:rFonts w:eastAsia="Times New Roman" w:cs="Arial"/>
          <w:color w:val="000000"/>
          <w:szCs w:val="20"/>
          <w:lang w:eastAsia="bg-BG"/>
        </w:rPr>
      </w:pPr>
    </w:p>
    <w:p w14:paraId="03110A50" w14:textId="25528C6D" w:rsidR="0091385D" w:rsidRPr="00870646" w:rsidRDefault="00870646" w:rsidP="00870646">
      <w:pPr>
        <w:rPr>
          <w:rFonts w:cs="Arial"/>
          <w:sz w:val="24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За пълния списък на помощните вещества вижте точка 6.1.</w:t>
      </w:r>
    </w:p>
    <w:p w14:paraId="3C47C299" w14:textId="77777777" w:rsidR="00A73575" w:rsidRPr="0091385D" w:rsidRDefault="00A73575" w:rsidP="0091385D"/>
    <w:p w14:paraId="614984C4" w14:textId="3FC552C3" w:rsidR="008A6AF2" w:rsidRDefault="00DD466D" w:rsidP="002C50EE">
      <w:pPr>
        <w:pStyle w:val="Heading1"/>
      </w:pPr>
      <w:r>
        <w:t>3. ЛЕКАРСТВЕНА ФОРМА</w:t>
      </w:r>
    </w:p>
    <w:p w14:paraId="1004E96C" w14:textId="277B91E7" w:rsidR="0091385D" w:rsidRDefault="0091385D" w:rsidP="0091385D"/>
    <w:p w14:paraId="601238C9" w14:textId="253A5479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филмирана таблетка</w:t>
      </w:r>
    </w:p>
    <w:p w14:paraId="7EFF2D73" w14:textId="77777777" w:rsidR="00870646" w:rsidRPr="00870646" w:rsidRDefault="00870646" w:rsidP="00870646">
      <w:pPr>
        <w:rPr>
          <w:rFonts w:eastAsia="Times New Roman" w:cs="Arial"/>
          <w:color w:val="000000"/>
          <w:szCs w:val="20"/>
          <w:lang w:eastAsia="bg-BG"/>
        </w:rPr>
      </w:pPr>
    </w:p>
    <w:p w14:paraId="4129ADBB" w14:textId="04AD14AF" w:rsidR="0091385D" w:rsidRPr="00870646" w:rsidRDefault="00870646" w:rsidP="00870646">
      <w:pPr>
        <w:rPr>
          <w:rFonts w:cs="Arial"/>
          <w:sz w:val="24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Тирез 2,5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 xml:space="preserve">филмирани таблетки са бели, кръгли, двойно изпъкнали филмирани таблетки с делителна черта от едната страна. Размерът на всяка таблетка е 7,00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mm. </w:t>
      </w:r>
      <w:r w:rsidRPr="00870646">
        <w:rPr>
          <w:rFonts w:eastAsia="Times New Roman" w:cs="Arial"/>
          <w:color w:val="000000"/>
          <w:szCs w:val="20"/>
          <w:lang w:eastAsia="bg-BG"/>
        </w:rPr>
        <w:t>Таблетката може да бъде разделена на две равни дози.</w:t>
      </w:r>
    </w:p>
    <w:p w14:paraId="7D287A22" w14:textId="77777777" w:rsidR="00A73575" w:rsidRPr="0091385D" w:rsidRDefault="00A73575" w:rsidP="0091385D"/>
    <w:p w14:paraId="490FC2C4" w14:textId="76FABE77" w:rsidR="002C50EE" w:rsidRDefault="002C50EE" w:rsidP="002C50EE">
      <w:pPr>
        <w:pStyle w:val="Heading1"/>
      </w:pPr>
      <w:r>
        <w:t>4. КЛИНИЧНИ ДАННИ</w:t>
      </w:r>
    </w:p>
    <w:p w14:paraId="0C69CBC7" w14:textId="77777777" w:rsidR="0091385D" w:rsidRPr="0091385D" w:rsidRDefault="0091385D" w:rsidP="0091385D"/>
    <w:p w14:paraId="0C8E6903" w14:textId="51BB3E2D" w:rsidR="008134C8" w:rsidRDefault="002C50EE" w:rsidP="004A448E">
      <w:pPr>
        <w:pStyle w:val="Heading2"/>
      </w:pPr>
      <w:r>
        <w:t>4.1. Терапевтични показания</w:t>
      </w:r>
    </w:p>
    <w:p w14:paraId="174D169F" w14:textId="0369962D" w:rsidR="0091385D" w:rsidRDefault="0091385D" w:rsidP="0091385D"/>
    <w:p w14:paraId="797F839E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Лечение на стабилна хронична сърдечна недостатъчност с намалена систолна функция на лявата камера в допълнение към АСЕ-инхибитори и диуретици, както и дигиталисови гликозиди (за допълнителна информация вижте точка 5.1).</w:t>
      </w:r>
    </w:p>
    <w:p w14:paraId="175DEAB3" w14:textId="77777777" w:rsidR="00870646" w:rsidRPr="00870646" w:rsidRDefault="00870646" w:rsidP="00870646">
      <w:pPr>
        <w:rPr>
          <w:rFonts w:eastAsia="Times New Roman" w:cs="Arial"/>
          <w:color w:val="000000"/>
          <w:szCs w:val="20"/>
          <w:lang w:eastAsia="bg-BG"/>
        </w:rPr>
      </w:pPr>
    </w:p>
    <w:p w14:paraId="6F0EFBA5" w14:textId="2D364E13" w:rsidR="00870646" w:rsidRPr="00870646" w:rsidRDefault="00870646" w:rsidP="00870646">
      <w:pPr>
        <w:rPr>
          <w:rFonts w:cs="Arial"/>
          <w:sz w:val="24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Тирез е показан за лечение на възрастни.</w:t>
      </w:r>
    </w:p>
    <w:p w14:paraId="6DFA4B9D" w14:textId="77777777" w:rsidR="0091385D" w:rsidRPr="0091385D" w:rsidRDefault="0091385D" w:rsidP="0091385D"/>
    <w:p w14:paraId="30BE2C7B" w14:textId="3633C1E4" w:rsidR="008134C8" w:rsidRDefault="002C50EE" w:rsidP="004A448E">
      <w:pPr>
        <w:pStyle w:val="Heading2"/>
      </w:pPr>
      <w:r>
        <w:t>4.2. Дозировка и начин на приложение</w:t>
      </w:r>
    </w:p>
    <w:p w14:paraId="7AA22B68" w14:textId="3A681DFB" w:rsidR="0091385D" w:rsidRDefault="0091385D" w:rsidP="0091385D"/>
    <w:p w14:paraId="73DE1ACB" w14:textId="77777777" w:rsidR="00870646" w:rsidRPr="00870646" w:rsidRDefault="00870646" w:rsidP="00870646">
      <w:pPr>
        <w:pStyle w:val="Heading3"/>
        <w:rPr>
          <w:rFonts w:eastAsia="Times New Roman"/>
          <w:sz w:val="28"/>
          <w:u w:val="single"/>
          <w:lang w:eastAsia="bg-BG"/>
        </w:rPr>
      </w:pPr>
      <w:r w:rsidRPr="00870646">
        <w:rPr>
          <w:rFonts w:eastAsia="Times New Roman"/>
          <w:u w:val="single"/>
          <w:lang w:eastAsia="bg-BG"/>
        </w:rPr>
        <w:t>Дозировка</w:t>
      </w:r>
    </w:p>
    <w:p w14:paraId="3747F6D7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2AB6CC6B" w14:textId="0AC80A83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Лечение на стабилна хронична сърдечна недостатъчност</w:t>
      </w:r>
    </w:p>
    <w:p w14:paraId="41CCF1AC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Стандартното лечение на хронична сърдечна недостатъчност се състои от АСЕ-инхибитор (или ангиотензин рецепторен блокер в случай на непоносимост към АСЕ-</w:t>
      </w:r>
      <w:r w:rsidRPr="00870646">
        <w:rPr>
          <w:rFonts w:eastAsia="Times New Roman" w:cs="Arial"/>
          <w:color w:val="000000"/>
          <w:szCs w:val="20"/>
          <w:lang w:eastAsia="bg-BG"/>
        </w:rPr>
        <w:lastRenderedPageBreak/>
        <w:t>инхибитори), бета-блокер, диуретици и, когато е подходящо, сърдечни гликозиди. Пациентите трябва да бъдат стабилни (без остра недостатъчност) при започване на лечението с бизопролол.</w:t>
      </w:r>
    </w:p>
    <w:p w14:paraId="4DD1F59B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E60344A" w14:textId="61AD3B8A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Препоръчва се лекуващият лекар да има опит в управлението на хронична сърдечна недостатъчност.</w:t>
      </w:r>
    </w:p>
    <w:p w14:paraId="139BF907" w14:textId="77777777" w:rsidR="00870646" w:rsidRPr="00870646" w:rsidRDefault="00870646" w:rsidP="00870646">
      <w:pPr>
        <w:rPr>
          <w:rFonts w:eastAsia="Times New Roman" w:cs="Arial"/>
          <w:color w:val="000000"/>
          <w:szCs w:val="20"/>
          <w:lang w:eastAsia="bg-BG"/>
        </w:rPr>
      </w:pPr>
    </w:p>
    <w:p w14:paraId="475300EC" w14:textId="21FCD97C" w:rsidR="0091385D" w:rsidRDefault="00870646" w:rsidP="00870646">
      <w:pPr>
        <w:rPr>
          <w:rFonts w:eastAsia="Times New Roman" w:cs="Arial"/>
          <w:color w:val="000000"/>
          <w:szCs w:val="20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По време на периода на титриране и след това може да настъпи преходно влошаване на сърдечната недостатъчност, хипотония или брадикардия.</w:t>
      </w:r>
    </w:p>
    <w:p w14:paraId="7C304156" w14:textId="62477188" w:rsidR="00870646" w:rsidRDefault="00870646" w:rsidP="00870646">
      <w:pPr>
        <w:rPr>
          <w:rFonts w:eastAsia="Times New Roman" w:cs="Arial"/>
          <w:color w:val="000000"/>
          <w:szCs w:val="20"/>
          <w:lang w:eastAsia="bg-BG"/>
        </w:rPr>
      </w:pPr>
    </w:p>
    <w:p w14:paraId="315F25F9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Фаза на титриране</w:t>
      </w:r>
    </w:p>
    <w:p w14:paraId="2A40971A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Лечението на стабилна хронична сърдечна недостатъчност с бизопролол изисква фаза на титриране.</w:t>
      </w:r>
    </w:p>
    <w:p w14:paraId="0AF18B87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Лечението с бизопролол трябва да започне с постепенно титриране в следните интервали:</w:t>
      </w:r>
    </w:p>
    <w:p w14:paraId="6F826DAA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-1,25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веднъж дневно в продължение на 1 седмица, ако се понася добре, се увеличава до</w:t>
      </w:r>
    </w:p>
    <w:p w14:paraId="79B618BA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-2,5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веднъж дневно в продължение на още една седмица, ако се понася добре, се увеличава до</w:t>
      </w:r>
    </w:p>
    <w:p w14:paraId="59DF8F14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-3,75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веднъж дневно в продължение на още една седмица, ако се понася добре, се увеличава до</w:t>
      </w:r>
    </w:p>
    <w:p w14:paraId="7080E7AD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-5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веднъж дневно в продължение на 4 последователни седмици, ако се понася добре, се увеличава до</w:t>
      </w:r>
    </w:p>
    <w:p w14:paraId="1C44C9E4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-7.5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веднъж дневно в продължение на 4 последователни седмици, ако се понася добре, се увеличава до</w:t>
      </w:r>
    </w:p>
    <w:p w14:paraId="1601F4FD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-10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веднъж дневно за поддържаща терапия.</w:t>
      </w:r>
    </w:p>
    <w:p w14:paraId="64205A7C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Максималната препоръчителна доза е 10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веднъж дневно.</w:t>
      </w:r>
    </w:p>
    <w:p w14:paraId="2D6FDDFC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83C3950" w14:textId="15E92CFF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По време на фазата на титриране се препоръчва наблюдение на жизнените показатели (сърдечна честота, кръвно налягане), както и за симптоми на влошаване на сърдечната недостатъчност. Симптомите могат да се появят още на първия ден след започване на терапията.</w:t>
      </w:r>
    </w:p>
    <w:p w14:paraId="36183517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96F8BFA" w14:textId="490A958E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Промяна на лечението</w:t>
      </w:r>
    </w:p>
    <w:p w14:paraId="5759CE76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Ако максималната препоръчителна доза не се понася добре, трябва да се обмисли постепенно намаляване на дозата.</w:t>
      </w:r>
    </w:p>
    <w:p w14:paraId="2B525A23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В случай на преходно влошаване на сърдечната недостатъчност, хипотония или брадикардия, трябва да се обмисли корекция на дозата на съпътстващото лечение. Следва да се обмисли и временно намаляване на дозата на бизопролол или прекъсване на лечението.</w:t>
      </w:r>
    </w:p>
    <w:p w14:paraId="1158BF51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Повторното въвеждане и/или повишаване на дозата на бизопролол трябва винаги да се има предвид, когато пациентът отново се стабилизира.</w:t>
      </w:r>
    </w:p>
    <w:p w14:paraId="656AB0B9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14B04EA9" w14:textId="3744CC9F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Продължителност на лечението</w:t>
      </w:r>
    </w:p>
    <w:p w14:paraId="4AC660C4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Лечението на стабилна хронична сърдечна недостатъчност с бизопролол като цяло е дългосрочно.</w:t>
      </w:r>
    </w:p>
    <w:p w14:paraId="3B488CEB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77B21F6" w14:textId="59B9784A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Лечението с бизопролол не трябва да се спира рязко, тъй като това може да доведе до преходно влошаване на състоянието на пациента. Особено при пациенти с исхемична </w:t>
      </w:r>
      <w:r w:rsidRPr="00870646">
        <w:rPr>
          <w:rFonts w:eastAsia="Times New Roman" w:cs="Arial"/>
          <w:color w:val="000000"/>
          <w:szCs w:val="20"/>
          <w:lang w:eastAsia="bg-BG"/>
        </w:rPr>
        <w:lastRenderedPageBreak/>
        <w:t>болест на сърцето, лечението не трябва да се спира внезапно. Препоръчва се постепенно намаляване на дневната доза.</w:t>
      </w:r>
    </w:p>
    <w:p w14:paraId="6661213B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9D29D48" w14:textId="1E636688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Бъбречно или чернодробно увреждане</w:t>
      </w:r>
    </w:p>
    <w:p w14:paraId="6FE88E7F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Липсва информация по отношение на фармакокинетиката на бизопролол при пациенти с хронична сърдечна недостатъчност и увредена чернодробна или бъбречна функция. Постепенното повишаване на дозата при тези популации следва да се прави с допълнителна предпазливост.</w:t>
      </w:r>
    </w:p>
    <w:p w14:paraId="2D26A502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A34F13C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Пациенти в напреднала възраст</w:t>
      </w:r>
    </w:p>
    <w:p w14:paraId="47AF98F2" w14:textId="148037CB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Не се налага корекция на дозата.</w:t>
      </w:r>
    </w:p>
    <w:p w14:paraId="745D7965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368B4AAA" w14:textId="3E94FA92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Педиатрична популация</w:t>
      </w:r>
    </w:p>
    <w:p w14:paraId="18BC31EE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Безопасността и ефективността на Тирез при деца все още не са установени.</w:t>
      </w:r>
    </w:p>
    <w:p w14:paraId="06D42698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Няма налични данни.</w:t>
      </w:r>
    </w:p>
    <w:p w14:paraId="45A5BB1D" w14:textId="77777777" w:rsidR="00870646" w:rsidRDefault="00870646" w:rsidP="00870646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bg-BG"/>
        </w:rPr>
      </w:pPr>
    </w:p>
    <w:p w14:paraId="13D9525D" w14:textId="41070709" w:rsidR="00870646" w:rsidRPr="00870646" w:rsidRDefault="00870646" w:rsidP="00870646">
      <w:pPr>
        <w:pStyle w:val="Heading3"/>
        <w:rPr>
          <w:rFonts w:eastAsia="Times New Roman"/>
          <w:sz w:val="28"/>
          <w:u w:val="single"/>
          <w:lang w:eastAsia="bg-BG"/>
        </w:rPr>
      </w:pPr>
      <w:r w:rsidRPr="00870646">
        <w:rPr>
          <w:rFonts w:eastAsia="Times New Roman"/>
          <w:u w:val="single"/>
          <w:lang w:eastAsia="bg-BG"/>
        </w:rPr>
        <w:t>Начин на приложение</w:t>
      </w:r>
    </w:p>
    <w:p w14:paraId="69DB60D2" w14:textId="133975A8" w:rsidR="00870646" w:rsidRPr="00870646" w:rsidRDefault="00870646" w:rsidP="00870646">
      <w:pPr>
        <w:rPr>
          <w:rFonts w:cs="Arial"/>
          <w:sz w:val="28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Тирез таблетки трябва да се приема сутрин и може да се приема с храна. Препоръчителната доза (цяла таблетка(и) и/или половин таблетка) трябва да се поглъща цяла, с малко течност и не трябва  да се дъвче или чупи.</w:t>
      </w:r>
    </w:p>
    <w:p w14:paraId="6ACAF645" w14:textId="77777777" w:rsidR="0091385D" w:rsidRPr="0091385D" w:rsidRDefault="0091385D" w:rsidP="0091385D"/>
    <w:p w14:paraId="28C984E8" w14:textId="0756AE28" w:rsidR="008134C8" w:rsidRDefault="002C50EE" w:rsidP="004A448E">
      <w:pPr>
        <w:pStyle w:val="Heading2"/>
      </w:pPr>
      <w:r>
        <w:t>4.3. Противопоказания</w:t>
      </w:r>
    </w:p>
    <w:p w14:paraId="2363D607" w14:textId="48168570" w:rsidR="0091385D" w:rsidRDefault="0091385D" w:rsidP="0091385D"/>
    <w:p w14:paraId="690E82DC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Бизопролол е противопоказан при:</w:t>
      </w:r>
    </w:p>
    <w:p w14:paraId="35B43783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свръхчувствителност към активното вещество или към някое от помощните вещества изброени в точка 6.1;</w:t>
      </w:r>
    </w:p>
    <w:p w14:paraId="356EE830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Остра сърдечна недостатъчност или влошаване на сърдечната недостатъчност, изискваща интравенозно инотропно лечение;</w:t>
      </w:r>
    </w:p>
    <w:p w14:paraId="7027FC2D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Кардиогенен шок;</w:t>
      </w:r>
    </w:p>
    <w:p w14:paraId="5C954125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Втора или трета степен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AV </w:t>
      </w:r>
      <w:r w:rsidRPr="00870646">
        <w:rPr>
          <w:rFonts w:eastAsia="Times New Roman" w:cs="Arial"/>
          <w:color w:val="000000"/>
          <w:szCs w:val="20"/>
          <w:lang w:eastAsia="bg-BG"/>
        </w:rPr>
        <w:t>блок (без пейсмейкър);</w:t>
      </w:r>
    </w:p>
    <w:p w14:paraId="09A1B30F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Синдром на болния синусов възел;</w:t>
      </w:r>
    </w:p>
    <w:p w14:paraId="48E63FAD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Синоатриален блок;</w:t>
      </w:r>
    </w:p>
    <w:p w14:paraId="5B0C1C5A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Симптоматична брадикардия;</w:t>
      </w:r>
    </w:p>
    <w:p w14:paraId="32C3BACF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Симптоматична хипотония;</w:t>
      </w:r>
    </w:p>
    <w:p w14:paraId="2755491F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Тежка бронхиална астма;</w:t>
      </w:r>
    </w:p>
    <w:p w14:paraId="730D7D4B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Тежки форми на периферна артериална оклузивна болест и синдром на Рейно;</w:t>
      </w:r>
    </w:p>
    <w:p w14:paraId="4AA51437" w14:textId="77777777" w:rsidR="00870646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нелекуван феохромоцитом (вж. точка 4.4);</w:t>
      </w:r>
    </w:p>
    <w:p w14:paraId="2309EAB0" w14:textId="68597331" w:rsidR="0091385D" w:rsidRPr="00870646" w:rsidRDefault="00870646" w:rsidP="00870646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Метаболитна ацидоза;</w:t>
      </w:r>
    </w:p>
    <w:p w14:paraId="31B39DC6" w14:textId="77777777" w:rsidR="0091385D" w:rsidRPr="0091385D" w:rsidRDefault="0091385D" w:rsidP="0091385D"/>
    <w:p w14:paraId="212F509C" w14:textId="52B87D4F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0AAC2B60" w14:textId="0A08B607" w:rsidR="0091385D" w:rsidRDefault="0091385D" w:rsidP="0091385D"/>
    <w:p w14:paraId="75D070BB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Лечението на стабилна хронична сърдечна недостатъчност с бизопролол трябва да започне със специална фаза на титриране (вж. точка 4.2).</w:t>
      </w:r>
    </w:p>
    <w:p w14:paraId="6925F3B7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A2B8E2E" w14:textId="7C1C6A46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lastRenderedPageBreak/>
        <w:t>Особено при пациенти с исхемична болест на сърцето, спирането на лечението с бизопролол не трябва да става внезапно, освен ако не е наложително, защото това може да доведе до преходно влошаване на състоянието на сърцето (вж. точка 4.2).</w:t>
      </w:r>
    </w:p>
    <w:p w14:paraId="37D4DC83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</w:p>
    <w:p w14:paraId="038E4A88" w14:textId="03FA63D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Започване на лечението на стабилна хронична сърдечна недостатъчност с бизопролол налага редовен мониторинг. За дозировката и начина на приложение, моля вижте точка 4.2.</w:t>
      </w:r>
    </w:p>
    <w:p w14:paraId="58871874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4CDF7B6" w14:textId="7003B015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Бизопролол трябва да се използва с повишено внимание при:</w:t>
      </w:r>
    </w:p>
    <w:p w14:paraId="6CA4AC59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бронхоспазъм (бронхиална астма, обструктивни заболявания на дихателните пътища) Въпреки, че кардиоселективните (бета1) бета-блокери може да имат по-слаб ефект върху функцията на белите дробове, отколкото неселективните бета-блокери, както и при всички бета- блокери, те трябва да се избягват при пациенти с обструктивни заболявания на дихателните пътища, освен ако не са налице наложителни клинични причини за тяхната употреба. Когато съществуват такива причини, бизопролол може да се използва с повишено внимание, При пациенти с обструктивни заболявания на дихателните пътища, лечението с бизопролол трябва да започне с най-ниската възможна доза и пациентите трябва да бъдат внимателно наблюдавани за нови симптоми (например задух, умора, кашлица).</w:t>
      </w:r>
    </w:p>
    <w:p w14:paraId="0474CB1F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При бронхиална астма или други хронични обструктивни заболявания на дихателните пътища, които могат да причинят симптоми, едновременно трябва да се прилага бронходилатиращо лечение. При пациенти с астма понякога това може да се представи с повишено съпротивление на дихателните пътища, което може да изисква увеличаване на дозата на бета-2 агонистите.</w:t>
      </w:r>
    </w:p>
    <w:p w14:paraId="154CFB1C" w14:textId="77777777" w:rsidR="00870646" w:rsidRPr="00870646" w:rsidRDefault="00870646" w:rsidP="00870646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захарен диабет с големи колебания в стойностите на кръвната захар. Симптомите на хипогликемия (напр. тахикардия, сърцебиене или изпотяване) могат да бъдат маскирани; </w:t>
      </w:r>
    </w:p>
    <w:p w14:paraId="4718AE97" w14:textId="77777777" w:rsidR="00870646" w:rsidRPr="00870646" w:rsidRDefault="00870646" w:rsidP="00870646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стриктно гладуване</w:t>
      </w:r>
    </w:p>
    <w:p w14:paraId="17A0C042" w14:textId="77777777" w:rsidR="00870646" w:rsidRPr="00870646" w:rsidRDefault="00870646" w:rsidP="00870646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текуща десенсибилизираща терапия. Както и при други бета-блокери, бизопролол може да повиши както чувствителността към алергени, така и тежестта на анафилактичните реакции. Лечение с епинефрин не винаги дава очаквания терапевтичен ефект.</w:t>
      </w:r>
    </w:p>
    <w:p w14:paraId="6999BD6F" w14:textId="77777777" w:rsidR="00870646" w:rsidRPr="00870646" w:rsidRDefault="00870646" w:rsidP="00870646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първа степен </w:t>
      </w:r>
      <w:r w:rsidRPr="00870646">
        <w:rPr>
          <w:rFonts w:eastAsia="Times New Roman" w:cs="Arial"/>
          <w:color w:val="000000"/>
          <w:szCs w:val="20"/>
          <w:lang w:val="en-US"/>
        </w:rPr>
        <w:t>A</w:t>
      </w:r>
      <w:r w:rsidRPr="00870646">
        <w:rPr>
          <w:rFonts w:eastAsia="Times New Roman" w:cs="Arial"/>
          <w:color w:val="000000"/>
          <w:szCs w:val="20"/>
          <w:lang w:eastAsia="bg-BG"/>
        </w:rPr>
        <w:t>V блок</w:t>
      </w:r>
    </w:p>
    <w:p w14:paraId="21D60604" w14:textId="13817CB4" w:rsidR="00870646" w:rsidRPr="00870646" w:rsidRDefault="00870646" w:rsidP="00870646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Ангина на Принцметал</w:t>
      </w:r>
    </w:p>
    <w:p w14:paraId="2F04D14B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val="en-US"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периферна артериална оклузивна болест (може да възникне влошаване на симптомите особено в началото на терапията)</w:t>
      </w:r>
    </w:p>
    <w:p w14:paraId="0B3BEE35" w14:textId="64370D44" w:rsidR="0091385D" w:rsidRPr="00870646" w:rsidRDefault="00870646" w:rsidP="0087064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val="en-US"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обща анестезия</w:t>
      </w:r>
    </w:p>
    <w:p w14:paraId="24E3E82F" w14:textId="4B5A7BD7" w:rsidR="0091385D" w:rsidRDefault="0091385D" w:rsidP="0091385D"/>
    <w:p w14:paraId="1E747BF2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При пациенти, подложени на обща анестезия, бета-блокадата намалява честотата на аритмиите и миокардната исхемия по време на въвеждане в анестезия и интубиране, и в следоперативния период. Понастоящем се препоръчва поддържащата бета-блокада да бъде продължена пери- оперативно. Анестезиологът трябва да е наясно с бета-блокадата поради възможност за взаимодействия с други лекарствени продукти, водещи до брадиаритмии, отслабване на рефлекторната тахикардия и намалена рефлексна способност за компенсиране на загубата на кръв. Ако се сметне за необходимо да се прекрати терапията с бета-блокер преди операцията, това трябва да се направи постепенно и да приключи около 48 часа преди анестезията.</w:t>
      </w:r>
    </w:p>
    <w:p w14:paraId="603AEE18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5C3B632" w14:textId="2CCD6F7E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lastRenderedPageBreak/>
        <w:t>В момента няма лечебен опит при лечение на сърдечна недостатъчност с бизопролол при пациенти със следните заболявалия и състояния:</w:t>
      </w:r>
    </w:p>
    <w:p w14:paraId="366D9C94" w14:textId="77777777" w:rsidR="00870646" w:rsidRPr="00870646" w:rsidRDefault="00870646" w:rsidP="0087064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инсулинозависим захарен диабет (тип I);</w:t>
      </w:r>
    </w:p>
    <w:p w14:paraId="4492EF9F" w14:textId="77777777" w:rsidR="00870646" w:rsidRPr="00870646" w:rsidRDefault="00870646" w:rsidP="0087064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тежко увр</w:t>
      </w:r>
      <w:r>
        <w:rPr>
          <w:rFonts w:eastAsia="Times New Roman" w:cs="Arial"/>
          <w:color w:val="000000"/>
          <w:szCs w:val="20"/>
          <w:lang w:eastAsia="bg-BG"/>
        </w:rPr>
        <w:t xml:space="preserve">еждане на бъбречната функция; </w:t>
      </w:r>
    </w:p>
    <w:p w14:paraId="37AA7858" w14:textId="77777777" w:rsidR="00870646" w:rsidRPr="00870646" w:rsidRDefault="00870646" w:rsidP="0087064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>
        <w:rPr>
          <w:rFonts w:eastAsia="Times New Roman" w:cs="Arial"/>
          <w:color w:val="000000"/>
          <w:szCs w:val="20"/>
          <w:lang w:eastAsia="bg-BG"/>
        </w:rPr>
        <w:t>т</w:t>
      </w:r>
      <w:r w:rsidRPr="00870646">
        <w:rPr>
          <w:rFonts w:eastAsia="Times New Roman" w:cs="Arial"/>
          <w:color w:val="000000"/>
          <w:szCs w:val="20"/>
          <w:lang w:eastAsia="bg-BG"/>
        </w:rPr>
        <w:t>ежко увреждане на чернодробната функция;</w:t>
      </w:r>
    </w:p>
    <w:p w14:paraId="399289C8" w14:textId="77777777" w:rsidR="00870646" w:rsidRPr="00870646" w:rsidRDefault="00870646" w:rsidP="0087064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>
        <w:rPr>
          <w:rFonts w:eastAsia="Times New Roman" w:cs="Arial"/>
          <w:color w:val="000000"/>
          <w:szCs w:val="20"/>
          <w:lang w:eastAsia="bg-BG"/>
        </w:rPr>
        <w:t xml:space="preserve">рестриктивна кардиомиопатия; </w:t>
      </w:r>
    </w:p>
    <w:p w14:paraId="3C0C5DFE" w14:textId="6BE133F1" w:rsidR="00870646" w:rsidRPr="00870646" w:rsidRDefault="00870646" w:rsidP="0087064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вродено сърдечно заболяване;</w:t>
      </w:r>
    </w:p>
    <w:p w14:paraId="3D9B265B" w14:textId="77777777" w:rsidR="00870646" w:rsidRPr="00870646" w:rsidRDefault="00870646" w:rsidP="0087064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хемодинамично значим</w:t>
      </w:r>
      <w:r>
        <w:rPr>
          <w:rFonts w:eastAsia="Times New Roman" w:cs="Arial"/>
          <w:color w:val="000000"/>
          <w:szCs w:val="20"/>
          <w:lang w:eastAsia="bg-BG"/>
        </w:rPr>
        <w:t xml:space="preserve">о органично клапно заболяване; </w:t>
      </w:r>
    </w:p>
    <w:p w14:paraId="405C2EF5" w14:textId="4D652DCE" w:rsidR="00870646" w:rsidRPr="00870646" w:rsidRDefault="00870646" w:rsidP="00870646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миокарден инфаркт в рамките на три месеца.</w:t>
      </w:r>
    </w:p>
    <w:p w14:paraId="4708846F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B824EF0" w14:textId="4E1998D2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На пациентите с псориазис или с анамнеза за псориазис трябва да се дават бета-блокери (напр. бизопролол) само след внимателна преценка на ползите срещу рисковете.</w:t>
      </w:r>
    </w:p>
    <w:p w14:paraId="20148406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11B102C" w14:textId="5AF264DE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При пациенти с феохромоцитом, бизопролол трябва да се прилага едва след блокада на алфа- рецепторите.</w:t>
      </w:r>
    </w:p>
    <w:p w14:paraId="630BE8E4" w14:textId="77777777" w:rsidR="00870646" w:rsidRPr="00870646" w:rsidRDefault="00870646" w:rsidP="00870646">
      <w:pPr>
        <w:rPr>
          <w:rFonts w:eastAsia="Times New Roman" w:cs="Arial"/>
          <w:color w:val="000000"/>
          <w:szCs w:val="20"/>
          <w:lang w:eastAsia="bg-BG"/>
        </w:rPr>
      </w:pPr>
    </w:p>
    <w:p w14:paraId="694DCB48" w14:textId="5F4B33B7" w:rsidR="00870646" w:rsidRPr="00870646" w:rsidRDefault="00870646" w:rsidP="00870646">
      <w:pPr>
        <w:rPr>
          <w:rFonts w:cs="Arial"/>
          <w:sz w:val="24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При лечение с бизопролол симптомите на тиреотоксикоза могат да бъдат маскирани.</w:t>
      </w:r>
    </w:p>
    <w:p w14:paraId="0BD6C9CC" w14:textId="77777777" w:rsidR="00870646" w:rsidRPr="0091385D" w:rsidRDefault="00870646" w:rsidP="0091385D"/>
    <w:p w14:paraId="619DED1E" w14:textId="564F257F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55E4B7C" w14:textId="7D829F6C" w:rsidR="0091385D" w:rsidRDefault="0091385D" w:rsidP="0091385D"/>
    <w:p w14:paraId="685CF772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Комбинации, които не се препоръчват</w:t>
      </w:r>
    </w:p>
    <w:p w14:paraId="518DC90C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Калциеви</w:t>
      </w:r>
      <w:r w:rsidRPr="00870646">
        <w:rPr>
          <w:rFonts w:eastAsia="Times New Roman" w:cs="Arial"/>
          <w:color w:val="000000"/>
          <w:szCs w:val="20"/>
          <w:lang w:eastAsia="bg-BG"/>
        </w:rPr>
        <w:t xml:space="preserve"> антагонисти от типа на верапамил и в по-малка степен от типа на дилтиазем: Отрицателно влияние върху контрактилитета и атрио-вентрикуларната проводимост. Интравенозното приложение на верапамил при пациенти на лечение с бета-блокер може да доведе до тежка хипотония и атрио-вентрикуларен блок.</w:t>
      </w:r>
    </w:p>
    <w:p w14:paraId="510CEFBF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766BC22" w14:textId="71C2964D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Клас I антиаритмични лекарства (напр. хинидин, дизопирамид, лидокаин, фенитоин, флекаинид, пропафенон): Могат да бъдат потенциирани ефектите върху времето на атрио-вентрикуларна проводимост и негативният инотропен ефект може да бъде увеличен.</w:t>
      </w:r>
    </w:p>
    <w:p w14:paraId="4AA9DE51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B4C37F9" w14:textId="50E05F03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Централно действащи ангихипертензивни средства, като клонидин и други (напр. метилдопа, моксонидин, рилменидин): Едновременното приложение на централно действащи антихипертензивни средства може да потисне допълнително централния симпатикусов тонус (намаляване на сърдечната честота и сърдечния дебит, вазодилатация) и да доведе до влошаване на сърдечната недостатъчност. Внезапното преустановяване на лечението, особено преди прекратяване на лечението с бета-блокер, може да увеличи риска от ребаунд хипертония.</w:t>
      </w:r>
    </w:p>
    <w:p w14:paraId="4561B819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60C1A35" w14:textId="29CD55CF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i/>
          <w:iCs/>
          <w:color w:val="000000"/>
          <w:szCs w:val="20"/>
          <w:lang w:eastAsia="bg-BG"/>
        </w:rPr>
        <w:t>Комбинации^ които трябва да се използват с повишено внимание</w:t>
      </w:r>
    </w:p>
    <w:p w14:paraId="5956396C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Калциеви антагонисти от дихидропиридинов тип, като фелодипин и амлодипин: едновременната употреба може да увеличи риска от хипотония и не може да се изключи рискът от по-нататъшно влошаване на камерната помпена функция при пациенти със сърдечна недостатъчност.</w:t>
      </w:r>
    </w:p>
    <w:p w14:paraId="6C879E35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72AE819" w14:textId="5417F544" w:rsidR="0091385D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Клас III антиаритмични лекарства (напр. амиодарон): Могат да се усилят ефектите върху времето</w:t>
      </w:r>
      <w:r>
        <w:rPr>
          <w:rFonts w:eastAsia="Times New Roman" w:cs="Arial"/>
          <w:sz w:val="28"/>
          <w:szCs w:val="24"/>
          <w:lang w:eastAsia="bg-BG"/>
        </w:rPr>
        <w:t xml:space="preserve"> </w:t>
      </w:r>
      <w:r w:rsidRPr="00870646">
        <w:rPr>
          <w:rFonts w:eastAsia="Times New Roman" w:cs="Arial"/>
          <w:color w:val="000000"/>
          <w:szCs w:val="20"/>
          <w:lang w:eastAsia="bg-BG"/>
        </w:rPr>
        <w:t>на атрио-вентрикуларна проводимост.</w:t>
      </w:r>
    </w:p>
    <w:p w14:paraId="36292731" w14:textId="63D15572" w:rsid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3509921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Локални бета-блокери (напр- капки за очи за лечение на глаукома) могат да увеличат системните ефекти на бизопролол.</w:t>
      </w:r>
    </w:p>
    <w:p w14:paraId="4798029D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60F64CD" w14:textId="096A219C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Парасимпатикомиметични лекарства: Едновременното приложение може да удължи времето на атрио-вентрикуларна проводимост и да увеличи риска от брадикардия.</w:t>
      </w:r>
    </w:p>
    <w:p w14:paraId="48E0D2EC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79ACFD6" w14:textId="2DA90991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Инсулин и перорални антидиабетни лекарства: Засилва се ефектът на понижаване на кръвната захар. Блокадата на бета-адренорецепторите може да маскира симптомите на хипогликемия.</w:t>
      </w:r>
    </w:p>
    <w:p w14:paraId="043D6324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240389" w14:textId="74087A01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Анестетици: Отслабване на рефлекторната тахикардия и повишен риск от хипотония (за повече подробности за обща анестезия вж. точка 4.4).</w:t>
      </w:r>
    </w:p>
    <w:p w14:paraId="22A2D6DD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5A85A7C" w14:textId="42110969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Дигиталисови гликозиди: Намаляване на сърдечната честота и увеличаване на времето на атрио- вентрикуларна проводимост.</w:t>
      </w:r>
    </w:p>
    <w:p w14:paraId="6041C8BF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6A43E56" w14:textId="5C19AE55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Нестероидни противовъзпалителни средства (НСПВС).* НСПВС могат да намалят хипотензивния ефект на бизопролол,</w:t>
      </w:r>
    </w:p>
    <w:p w14:paraId="7E563522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5F8234F" w14:textId="56BF275E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Бета-симпатикомиметици (напр. изопреналин, добутамин): едновременната употреба с бизопролол може да отслаби ефектите на двете лекарства.</w:t>
      </w:r>
    </w:p>
    <w:p w14:paraId="031DE270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6F8522" w14:textId="4C416072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 xml:space="preserve">Симпатикомиметици, които активират бета- и алфа-адренорецепторите (напр. норадреналин, адреналин): Едновременната употреба с бизопролол може да изяви медиираните от алфа- адренорецепторите вазоконстрикторни ефекти на тези лекарства, което води до повишаване на кръвното налягане и до влошаване на интермитентно клаудиокацио. Тези взаимодействия се считат за по-вероятни </w:t>
      </w:r>
      <w:r w:rsidRPr="00870646">
        <w:rPr>
          <w:rFonts w:eastAsia="Times New Roman" w:cs="Arial"/>
          <w:i/>
          <w:iCs/>
          <w:color w:val="000000"/>
          <w:lang w:eastAsia="bg-BG"/>
        </w:rPr>
        <w:t>с</w:t>
      </w:r>
      <w:r w:rsidRPr="00870646">
        <w:rPr>
          <w:rFonts w:eastAsia="Times New Roman" w:cs="Arial"/>
          <w:color w:val="000000"/>
          <w:lang w:eastAsia="bg-BG"/>
        </w:rPr>
        <w:t xml:space="preserve"> неселективни бета-блокери.</w:t>
      </w:r>
    </w:p>
    <w:p w14:paraId="772827EB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05357BA" w14:textId="2C84A12E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Едновременната употреба с антихипертензивни средства, както и с други лекарства с потенциал за понижаване на кръвното налягане (напр. трициклични антидепресанти, барбитурати, фенотиазини) може да повиши риска от хипотония.</w:t>
      </w:r>
    </w:p>
    <w:p w14:paraId="6EF78099" w14:textId="77777777" w:rsidR="00870646" w:rsidRPr="00870646" w:rsidRDefault="00870646" w:rsidP="00870646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18591D1D" w14:textId="5A905AC8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i/>
          <w:iCs/>
          <w:color w:val="000000"/>
          <w:lang w:eastAsia="bg-BG"/>
        </w:rPr>
        <w:t>Комбинации, които трябва да се обмислят</w:t>
      </w:r>
    </w:p>
    <w:p w14:paraId="2DBEB143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Мефлокин: повишен риск от брадикардия.</w:t>
      </w:r>
    </w:p>
    <w:p w14:paraId="2270D56D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7A32361" w14:textId="280D5489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Моноаминооксидазни инхибитори (с изключение на МАО-В инхибитори): Усилен хипотензивен ефект на бета-блокерите, но също и риск от хипертонична криза.</w:t>
      </w:r>
    </w:p>
    <w:p w14:paraId="09F7A7FB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0C7DDAA" w14:textId="5DB87F4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Проучвания на взаимодействията са провеждани само при възрастни.</w:t>
      </w:r>
    </w:p>
    <w:p w14:paraId="5B2761C5" w14:textId="2832176A" w:rsidR="0091385D" w:rsidRPr="0091385D" w:rsidRDefault="0091385D" w:rsidP="0091385D"/>
    <w:p w14:paraId="394A7584" w14:textId="10DEA5B3" w:rsidR="004F498A" w:rsidRDefault="002C50EE" w:rsidP="004A448E">
      <w:pPr>
        <w:pStyle w:val="Heading2"/>
      </w:pPr>
      <w:r>
        <w:t>4.6. Фертилитет, бременност и кърмене</w:t>
      </w:r>
    </w:p>
    <w:p w14:paraId="4887836B" w14:textId="11C96CFA" w:rsidR="0091385D" w:rsidRDefault="0091385D" w:rsidP="0091385D"/>
    <w:p w14:paraId="721750F2" w14:textId="77777777" w:rsidR="00870646" w:rsidRPr="00870646" w:rsidRDefault="00870646" w:rsidP="00870646">
      <w:pPr>
        <w:pStyle w:val="Heading3"/>
        <w:rPr>
          <w:rFonts w:eastAsia="Times New Roman"/>
          <w:u w:val="single"/>
          <w:lang w:eastAsia="bg-BG"/>
        </w:rPr>
      </w:pPr>
      <w:r w:rsidRPr="00870646">
        <w:rPr>
          <w:rFonts w:eastAsia="Times New Roman"/>
          <w:u w:val="single"/>
          <w:lang w:eastAsia="bg-BG"/>
        </w:rPr>
        <w:t>Бременност</w:t>
      </w:r>
    </w:p>
    <w:p w14:paraId="03894C8D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 xml:space="preserve">Бизопролол има вредни фармакологични ефекти по време на бременност и/или върху фетуса/новороденото дете. Като цяло, лекарствата, блокиращи бета-адренорецепторите, намаляват плацентарната перфузия, което е свързано </w:t>
      </w:r>
      <w:r w:rsidRPr="00870646">
        <w:rPr>
          <w:rFonts w:eastAsia="Times New Roman" w:cs="Arial"/>
          <w:i/>
          <w:iCs/>
          <w:color w:val="000000"/>
          <w:lang w:eastAsia="bg-BG"/>
        </w:rPr>
        <w:t>със</w:t>
      </w:r>
      <w:r w:rsidRPr="00870646">
        <w:rPr>
          <w:rFonts w:eastAsia="Times New Roman" w:cs="Arial"/>
          <w:color w:val="000000"/>
          <w:lang w:eastAsia="bg-BG"/>
        </w:rPr>
        <w:t xml:space="preserve"> забавяне на растежа, вътре маточна смърт, аборт или преждевременно раждане, Нежелани реакции (напр. хипогликемия и брадикардия) могат да се появят при плода и новороденото. Ако е </w:t>
      </w:r>
      <w:r w:rsidRPr="00870646">
        <w:rPr>
          <w:rFonts w:eastAsia="Times New Roman" w:cs="Arial"/>
          <w:color w:val="000000"/>
          <w:lang w:eastAsia="bg-BG"/>
        </w:rPr>
        <w:lastRenderedPageBreak/>
        <w:t>необходимо лечение с бета-аденорецепторни блокери, бета</w:t>
      </w:r>
      <w:r w:rsidRPr="00870646">
        <w:rPr>
          <w:rFonts w:eastAsia="Times New Roman" w:cs="Arial"/>
          <w:color w:val="000000"/>
          <w:vertAlign w:val="subscript"/>
          <w:lang w:eastAsia="bg-BG"/>
        </w:rPr>
        <w:t>1</w:t>
      </w:r>
      <w:r w:rsidRPr="00870646">
        <w:rPr>
          <w:rFonts w:eastAsia="Times New Roman" w:cs="Arial"/>
          <w:color w:val="000000"/>
          <w:lang w:eastAsia="bg-BG"/>
        </w:rPr>
        <w:t>-селективните адренорецепторни блокери са за предпочитане.</w:t>
      </w:r>
    </w:p>
    <w:p w14:paraId="35C75564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54A81C8" w14:textId="449225F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Бизопролол не трябва да се използва по време на бременност, освен ако не е ясно наложително. Ако лечението с бизопролол се счете за необходимо, се препоръчва мониторинг на утеро- плацентарния кръвоток и феталния растеж. В случай на вредни ефекти върху бременността или плода, трябва да се обмисли алтернативно лечение. Новороденото трябва да се следи отблизо. В рамките на първите 3 дни обикновено се очакват симптоми на хипогликемия и брадикардия.</w:t>
      </w:r>
    </w:p>
    <w:p w14:paraId="102DB555" w14:textId="77777777" w:rsidR="00870646" w:rsidRPr="00870646" w:rsidRDefault="00870646" w:rsidP="00870646">
      <w:pPr>
        <w:rPr>
          <w:rFonts w:eastAsia="Times New Roman" w:cs="Arial"/>
          <w:color w:val="000000"/>
          <w:u w:val="single"/>
          <w:lang w:eastAsia="bg-BG"/>
        </w:rPr>
      </w:pPr>
    </w:p>
    <w:p w14:paraId="776662C5" w14:textId="7DBE7F7C" w:rsidR="0091385D" w:rsidRPr="00870646" w:rsidRDefault="00870646" w:rsidP="00870646">
      <w:pPr>
        <w:pStyle w:val="Heading3"/>
        <w:rPr>
          <w:u w:val="single"/>
        </w:rPr>
      </w:pPr>
      <w:r w:rsidRPr="00870646">
        <w:rPr>
          <w:rFonts w:eastAsia="Times New Roman"/>
          <w:u w:val="single"/>
          <w:lang w:eastAsia="bg-BG"/>
        </w:rPr>
        <w:t>Кърмене</w:t>
      </w:r>
    </w:p>
    <w:p w14:paraId="3E8789C3" w14:textId="432FE454" w:rsidR="0091385D" w:rsidRPr="00870646" w:rsidRDefault="00870646" w:rsidP="0091385D">
      <w:pPr>
        <w:rPr>
          <w:rFonts w:cs="Arial"/>
        </w:rPr>
      </w:pPr>
      <w:r w:rsidRPr="00870646">
        <w:rPr>
          <w:rFonts w:cs="Arial"/>
        </w:rPr>
        <w:t>Няма данни за екскреция на бизопролол в кърмата, нито за безопасността на експозицията на бизопролол при кърмачета. Следователно, по време на приложението на бизопролол не се препоръчва кърмене.</w:t>
      </w:r>
    </w:p>
    <w:p w14:paraId="6048AB8E" w14:textId="7B8EA47D" w:rsidR="00870646" w:rsidRPr="0091385D" w:rsidRDefault="00870646" w:rsidP="0091385D"/>
    <w:p w14:paraId="064DF1DE" w14:textId="70BCC16C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1455464C" w14:textId="2676810A" w:rsidR="0091385D" w:rsidRDefault="0091385D" w:rsidP="0091385D"/>
    <w:p w14:paraId="2B4135A6" w14:textId="11E5086F" w:rsidR="0091385D" w:rsidRPr="00870646" w:rsidRDefault="00870646" w:rsidP="0091385D">
      <w:pPr>
        <w:rPr>
          <w:rFonts w:cs="Arial"/>
        </w:rPr>
      </w:pPr>
      <w:r w:rsidRPr="00870646">
        <w:rPr>
          <w:rFonts w:cs="Arial"/>
        </w:rPr>
        <w:t>При клинияно проучване с пациенти с исхемична болест на сърцето бизопролол не влошава способността за шофиране. Въпреки това, поради индивидуалните различия в реакциите към лечението, способността за шофиране и работа с машини може да се наруши. Това трябва да се има предвид особено при започване на леяението или при промяна на лечението, или при употреба на алкохол.</w:t>
      </w:r>
    </w:p>
    <w:p w14:paraId="35801A15" w14:textId="77777777" w:rsidR="0091385D" w:rsidRPr="0091385D" w:rsidRDefault="0091385D" w:rsidP="0091385D"/>
    <w:p w14:paraId="37A3FD9F" w14:textId="0E7561E3" w:rsidR="00CF77F7" w:rsidRDefault="002C50EE" w:rsidP="004A448E">
      <w:pPr>
        <w:pStyle w:val="Heading2"/>
      </w:pPr>
      <w:r>
        <w:t>4.8. Нежелани лекарствени реакции</w:t>
      </w:r>
    </w:p>
    <w:p w14:paraId="4838F52A" w14:textId="4C2232D6" w:rsidR="0091385D" w:rsidRDefault="0091385D" w:rsidP="0091385D"/>
    <w:p w14:paraId="4129D931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Честотата на нежеланите лекарствени реакции, посочени в този раздел, се категоризират, както следва:</w:t>
      </w:r>
    </w:p>
    <w:p w14:paraId="7D7E1120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Много чести (≥ 1/10),</w:t>
      </w:r>
    </w:p>
    <w:p w14:paraId="68640124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Чести (от ≥ 1/100 до &lt;1/10),</w:t>
      </w:r>
    </w:p>
    <w:p w14:paraId="5F8CC07B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Нечести (от ≥ 1/1 000 до &lt;1/100),</w:t>
      </w:r>
    </w:p>
    <w:p w14:paraId="35C118EF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Редки (от ≥ 1/10 000 до &lt; 1/1 000),</w:t>
      </w:r>
    </w:p>
    <w:p w14:paraId="4BE65207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Много редки ≥ 1/10 000),</w:t>
      </w:r>
    </w:p>
    <w:p w14:paraId="5DE5C223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С неизвестна честота (от наличните данни не може да бъде направена оценка).</w:t>
      </w:r>
    </w:p>
    <w:p w14:paraId="1BB8FB84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" w:name="bookmark0"/>
    </w:p>
    <w:p w14:paraId="5255B29F" w14:textId="301E769C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t>Психични нарушения:</w:t>
      </w:r>
      <w:bookmarkEnd w:id="1"/>
    </w:p>
    <w:p w14:paraId="3CB26BE8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Нечести: нарушения на съня, депресия.</w:t>
      </w:r>
    </w:p>
    <w:p w14:paraId="23E27D92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Редки: кошмари, халюцинации.</w:t>
      </w:r>
    </w:p>
    <w:p w14:paraId="56CA7605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2" w:name="bookmark2"/>
    </w:p>
    <w:p w14:paraId="42F81F28" w14:textId="741EA5C5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t>Нарушения на нервната система:</w:t>
      </w:r>
      <w:bookmarkEnd w:id="2"/>
    </w:p>
    <w:p w14:paraId="43D0288F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Чести: виене на свят, главоболие</w:t>
      </w:r>
    </w:p>
    <w:p w14:paraId="23B0C66D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Редки: синкоп.</w:t>
      </w:r>
    </w:p>
    <w:p w14:paraId="4310BC90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3" w:name="bookmark4"/>
    </w:p>
    <w:p w14:paraId="4FB8FA38" w14:textId="025647E5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t>Нарушения на очите:</w:t>
      </w:r>
      <w:bookmarkEnd w:id="3"/>
    </w:p>
    <w:p w14:paraId="06642025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Редки: намалено слъзообразуване (да се има предвид, ако пациентът използва контактни лещи). Много редки: конюкгивит.</w:t>
      </w:r>
    </w:p>
    <w:p w14:paraId="1FC92327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4" w:name="bookmark6"/>
    </w:p>
    <w:p w14:paraId="4A31F133" w14:textId="353DD2B4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t>Нарушения на ухото и лабиринта:</w:t>
      </w:r>
      <w:bookmarkEnd w:id="4"/>
    </w:p>
    <w:p w14:paraId="78FF0F7C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Редки: увреден слух.</w:t>
      </w:r>
    </w:p>
    <w:p w14:paraId="0BBEE402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5" w:name="bookmark8"/>
    </w:p>
    <w:p w14:paraId="6C01FFB4" w14:textId="53A8BF4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lastRenderedPageBreak/>
        <w:t>Сърдечни нарушения:</w:t>
      </w:r>
      <w:bookmarkEnd w:id="5"/>
    </w:p>
    <w:p w14:paraId="23BB9FBE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Много чести: брадикардия при пациенти с хронична сърдечна недостатъчност.</w:t>
      </w:r>
    </w:p>
    <w:p w14:paraId="6FEBFF88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 xml:space="preserve">Чести: изостряне на сърдечна недостатъчност при пациенти с хронична сърдечна недостатъчност. Нечести: нарушения в </w:t>
      </w:r>
      <w:r w:rsidRPr="00870646">
        <w:rPr>
          <w:rFonts w:eastAsia="Times New Roman" w:cs="Arial"/>
          <w:color w:val="000000"/>
          <w:lang w:val="en-US"/>
        </w:rPr>
        <w:t xml:space="preserve">AV </w:t>
      </w:r>
      <w:r w:rsidRPr="00870646">
        <w:rPr>
          <w:rFonts w:eastAsia="Times New Roman" w:cs="Arial"/>
          <w:color w:val="000000"/>
          <w:lang w:eastAsia="bg-BG"/>
        </w:rPr>
        <w:t>провеждането.</w:t>
      </w:r>
    </w:p>
    <w:p w14:paraId="60EF33F2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6" w:name="bookmark10"/>
    </w:p>
    <w:p w14:paraId="4BB6F77F" w14:textId="54FF4B0E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t>Съдови нарушения:</w:t>
      </w:r>
      <w:bookmarkEnd w:id="6"/>
    </w:p>
    <w:p w14:paraId="45419CFA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Чести: чувство за студ и изтръпване на крайниците, хипотония.</w:t>
      </w:r>
    </w:p>
    <w:p w14:paraId="4561D398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7" w:name="bookmark12"/>
    </w:p>
    <w:p w14:paraId="012FF47F" w14:textId="40ACEF36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t>Респираторни, гръдни и медиастинални нарушения:</w:t>
      </w:r>
      <w:bookmarkEnd w:id="7"/>
    </w:p>
    <w:p w14:paraId="27C35F2A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Нечести: брояхоспазъм при пациенти с бронхиална астма или анамнеза за обструктивно заболяване на дихателните пътища.</w:t>
      </w:r>
    </w:p>
    <w:p w14:paraId="0D269C7D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Редки: алергичен ринит.</w:t>
      </w:r>
    </w:p>
    <w:p w14:paraId="021A293E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8" w:name="bookmark14"/>
    </w:p>
    <w:p w14:paraId="1D4E184E" w14:textId="547E0888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t>Стомашно-чревни нарушения:</w:t>
      </w:r>
      <w:bookmarkEnd w:id="8"/>
    </w:p>
    <w:p w14:paraId="58071C99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Чести: стомашно-чревни проблеми като гадене, повръщане, диария и запек.</w:t>
      </w:r>
    </w:p>
    <w:p w14:paraId="6DFE6BE4" w14:textId="77777777" w:rsidR="00870646" w:rsidRPr="00870646" w:rsidRDefault="00870646" w:rsidP="00870646">
      <w:pPr>
        <w:rPr>
          <w:rFonts w:eastAsia="Times New Roman" w:cs="Arial"/>
          <w:b/>
          <w:bCs/>
          <w:color w:val="000000"/>
          <w:lang w:eastAsia="bg-BG"/>
        </w:rPr>
      </w:pPr>
    </w:p>
    <w:p w14:paraId="500872D8" w14:textId="77777777" w:rsidR="00870646" w:rsidRPr="00870646" w:rsidRDefault="00870646" w:rsidP="00870646">
      <w:pPr>
        <w:rPr>
          <w:rFonts w:eastAsia="Times New Roman" w:cs="Arial"/>
          <w:b/>
          <w:bCs/>
          <w:color w:val="000000"/>
          <w:lang w:eastAsia="bg-BG"/>
        </w:rPr>
      </w:pPr>
      <w:r w:rsidRPr="00870646">
        <w:rPr>
          <w:rFonts w:eastAsia="Times New Roman" w:cs="Arial"/>
          <w:b/>
          <w:bCs/>
          <w:color w:val="000000"/>
          <w:lang w:eastAsia="bg-BG"/>
        </w:rPr>
        <w:t>Хепатобилиарни нарушения</w:t>
      </w:r>
    </w:p>
    <w:p w14:paraId="570508C4" w14:textId="578CCFB0" w:rsidR="0091385D" w:rsidRPr="00870646" w:rsidRDefault="00870646" w:rsidP="00870646">
      <w:pPr>
        <w:rPr>
          <w:rFonts w:cs="Arial"/>
        </w:rPr>
      </w:pPr>
      <w:r w:rsidRPr="00870646">
        <w:rPr>
          <w:rFonts w:eastAsia="Times New Roman" w:cs="Arial"/>
          <w:color w:val="000000"/>
          <w:lang w:eastAsia="bg-BG"/>
        </w:rPr>
        <w:t>Редки: хепатит.</w:t>
      </w:r>
    </w:p>
    <w:p w14:paraId="43E3C48F" w14:textId="175C608A" w:rsidR="0091385D" w:rsidRDefault="0091385D" w:rsidP="0091385D"/>
    <w:p w14:paraId="018EEBC0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b/>
          <w:bCs/>
          <w:color w:val="000000"/>
          <w:szCs w:val="24"/>
          <w:lang w:eastAsia="bg-BG"/>
        </w:rPr>
        <w:t>Нарушения на кожата и подкожната тъкан:</w:t>
      </w:r>
    </w:p>
    <w:p w14:paraId="62F6D334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Редки: реакции на свръхчувствителност (сърбеж, зачервяване, обрив).</w:t>
      </w:r>
    </w:p>
    <w:p w14:paraId="32116369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 xml:space="preserve">Много редки: </w:t>
      </w:r>
      <w:r w:rsidRPr="00870646">
        <w:rPr>
          <w:rFonts w:eastAsia="Times New Roman" w:cs="Arial"/>
          <w:i/>
          <w:iCs/>
          <w:color w:val="000000"/>
          <w:szCs w:val="24"/>
          <w:lang w:eastAsia="bg-BG"/>
        </w:rPr>
        <w:t>бета-блокерите могат</w:t>
      </w:r>
      <w:r w:rsidRPr="00870646">
        <w:rPr>
          <w:rFonts w:eastAsia="Times New Roman" w:cs="Arial"/>
          <w:color w:val="000000"/>
          <w:szCs w:val="24"/>
          <w:lang w:eastAsia="bg-BG"/>
        </w:rPr>
        <w:t xml:space="preserve"> да провокират или да влошат псориазис, или да индуцират подобен на псориазис обрив, алопеция.</w:t>
      </w:r>
    </w:p>
    <w:p w14:paraId="34462314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szCs w:val="24"/>
          <w:lang w:eastAsia="bg-BG"/>
        </w:rPr>
      </w:pPr>
    </w:p>
    <w:p w14:paraId="601F7933" w14:textId="52A237DE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b/>
          <w:bCs/>
          <w:color w:val="000000"/>
          <w:szCs w:val="24"/>
          <w:lang w:eastAsia="bg-BG"/>
        </w:rPr>
        <w:t>Нарушения на мускулно-скелетната система и съединителната тъкан:</w:t>
      </w:r>
    </w:p>
    <w:p w14:paraId="3279935D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Нечести: мускулна слабост и крампи.</w:t>
      </w:r>
    </w:p>
    <w:p w14:paraId="1B1A14F2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szCs w:val="24"/>
          <w:lang w:eastAsia="bg-BG"/>
        </w:rPr>
      </w:pPr>
    </w:p>
    <w:p w14:paraId="7D171798" w14:textId="5CB15BC2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b/>
          <w:bCs/>
          <w:color w:val="000000"/>
          <w:szCs w:val="24"/>
          <w:lang w:eastAsia="bg-BG"/>
        </w:rPr>
        <w:t>Нарушения на възпроизводителната система н гърдата:</w:t>
      </w:r>
    </w:p>
    <w:p w14:paraId="79F126FD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Редки: нарушения на потентността.</w:t>
      </w:r>
    </w:p>
    <w:p w14:paraId="2A06A9EB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szCs w:val="24"/>
          <w:lang w:eastAsia="bg-BG"/>
        </w:rPr>
      </w:pPr>
    </w:p>
    <w:p w14:paraId="3371B305" w14:textId="574FC35D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b/>
          <w:bCs/>
          <w:color w:val="000000"/>
          <w:szCs w:val="24"/>
          <w:lang w:eastAsia="bg-BG"/>
        </w:rPr>
        <w:t>Общи нарушения:</w:t>
      </w:r>
    </w:p>
    <w:p w14:paraId="2BED8B14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Чести: астения, умора.</w:t>
      </w:r>
    </w:p>
    <w:p w14:paraId="219474C1" w14:textId="77777777" w:rsidR="00870646" w:rsidRPr="00870646" w:rsidRDefault="00870646" w:rsidP="00870646">
      <w:pPr>
        <w:spacing w:line="240" w:lineRule="auto"/>
        <w:rPr>
          <w:rFonts w:eastAsia="Times New Roman" w:cs="Arial"/>
          <w:b/>
          <w:bCs/>
          <w:color w:val="000000"/>
          <w:szCs w:val="24"/>
          <w:lang w:eastAsia="bg-BG"/>
        </w:rPr>
      </w:pPr>
    </w:p>
    <w:p w14:paraId="52FD43F3" w14:textId="11A928F2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b/>
          <w:bCs/>
          <w:color w:val="000000"/>
          <w:szCs w:val="24"/>
          <w:lang w:eastAsia="bg-BG"/>
        </w:rPr>
        <w:t>Изследвания:</w:t>
      </w:r>
    </w:p>
    <w:p w14:paraId="59249845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 xml:space="preserve">Редки: повишено ниво на триглицериди, повишени нива на чернодробните ензими </w:t>
      </w:r>
      <w:r w:rsidRPr="00870646">
        <w:rPr>
          <w:rFonts w:eastAsia="Times New Roman" w:cs="Arial"/>
          <w:color w:val="000000"/>
          <w:szCs w:val="24"/>
          <w:lang w:val="en-US"/>
        </w:rPr>
        <w:t>(ALT, AST).</w:t>
      </w:r>
    </w:p>
    <w:p w14:paraId="3A27CB06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4"/>
          <w:u w:val="single"/>
          <w:lang w:eastAsia="bg-BG"/>
        </w:rPr>
      </w:pPr>
    </w:p>
    <w:p w14:paraId="6BF2647B" w14:textId="01BC9188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u w:val="single"/>
          <w:lang w:eastAsia="bg-BG"/>
        </w:rPr>
        <w:t>Съобщаване на подозирани нежелани реакции</w:t>
      </w:r>
    </w:p>
    <w:p w14:paraId="4D05C595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чрез:</w:t>
      </w:r>
    </w:p>
    <w:p w14:paraId="7179CB8E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Изпълнителна агенция по лекарствата</w:t>
      </w:r>
    </w:p>
    <w:p w14:paraId="6882EC09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ул.,Дамян Груев“ № 8</w:t>
      </w:r>
    </w:p>
    <w:p w14:paraId="01A61361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1303 София</w:t>
      </w:r>
    </w:p>
    <w:p w14:paraId="785C2EFB" w14:textId="77777777" w:rsidR="00870646" w:rsidRPr="00870646" w:rsidRDefault="00870646" w:rsidP="00870646">
      <w:pPr>
        <w:rPr>
          <w:rFonts w:eastAsia="Times New Roman" w:cs="Arial"/>
          <w:color w:val="000000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 xml:space="preserve">тел.:+359 2 8903417 </w:t>
      </w:r>
    </w:p>
    <w:p w14:paraId="4DF04D72" w14:textId="23A47D00" w:rsidR="00870646" w:rsidRPr="00870646" w:rsidRDefault="00870646" w:rsidP="00870646">
      <w:pPr>
        <w:rPr>
          <w:rFonts w:cs="Arial"/>
          <w:szCs w:val="24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 xml:space="preserve">уебсайт: </w:t>
      </w:r>
      <w:r w:rsidRPr="00870646">
        <w:rPr>
          <w:rFonts w:eastAsia="Times New Roman" w:cs="Arial"/>
          <w:szCs w:val="24"/>
          <w:lang w:eastAsia="bg-BG"/>
        </w:rPr>
        <w:fldChar w:fldCharType="begin"/>
      </w:r>
      <w:r w:rsidRPr="00870646">
        <w:rPr>
          <w:rFonts w:eastAsia="Times New Roman" w:cs="Arial"/>
          <w:szCs w:val="24"/>
          <w:lang w:eastAsia="bg-BG"/>
        </w:rPr>
        <w:instrText xml:space="preserve"> HYPERLINK "http://www.bda.bg" </w:instrText>
      </w:r>
      <w:r w:rsidRPr="00870646">
        <w:rPr>
          <w:rFonts w:eastAsia="Times New Roman" w:cs="Arial"/>
          <w:szCs w:val="24"/>
          <w:lang w:eastAsia="bg-BG"/>
        </w:rPr>
      </w:r>
      <w:r w:rsidRPr="00870646">
        <w:rPr>
          <w:rFonts w:eastAsia="Times New Roman" w:cs="Arial"/>
          <w:szCs w:val="24"/>
          <w:lang w:eastAsia="bg-BG"/>
        </w:rPr>
        <w:fldChar w:fldCharType="separate"/>
      </w:r>
      <w:r w:rsidRPr="00870646">
        <w:rPr>
          <w:rFonts w:eastAsia="Times New Roman" w:cs="Arial"/>
          <w:color w:val="000000"/>
          <w:szCs w:val="24"/>
          <w:lang w:val="en-US"/>
        </w:rPr>
        <w:t>www.bda.bg</w:t>
      </w:r>
      <w:r w:rsidRPr="00870646">
        <w:rPr>
          <w:rFonts w:eastAsia="Times New Roman" w:cs="Arial"/>
          <w:szCs w:val="24"/>
          <w:lang w:eastAsia="bg-BG"/>
        </w:rPr>
        <w:fldChar w:fldCharType="end"/>
      </w:r>
    </w:p>
    <w:p w14:paraId="76C19714" w14:textId="77777777" w:rsidR="00870646" w:rsidRPr="0091385D" w:rsidRDefault="00870646" w:rsidP="0091385D"/>
    <w:p w14:paraId="0A023CE0" w14:textId="13F87CFD" w:rsidR="00CF77F7" w:rsidRDefault="002C50EE" w:rsidP="004A448E">
      <w:pPr>
        <w:pStyle w:val="Heading2"/>
      </w:pPr>
      <w:r>
        <w:t>4.9. Предозиране</w:t>
      </w:r>
    </w:p>
    <w:p w14:paraId="3EDFC3FC" w14:textId="296E7EBA" w:rsidR="0091385D" w:rsidRDefault="0091385D" w:rsidP="0091385D"/>
    <w:p w14:paraId="0463EBEB" w14:textId="77777777" w:rsidR="00870646" w:rsidRPr="00870646" w:rsidRDefault="00870646" w:rsidP="00870646">
      <w:pPr>
        <w:pStyle w:val="Heading3"/>
        <w:rPr>
          <w:rFonts w:eastAsia="Times New Roman"/>
          <w:u w:val="single"/>
          <w:lang w:eastAsia="bg-BG"/>
        </w:rPr>
      </w:pPr>
      <w:r w:rsidRPr="00870646">
        <w:rPr>
          <w:rFonts w:eastAsia="Times New Roman"/>
          <w:u w:val="single"/>
          <w:lang w:eastAsia="bg-BG"/>
        </w:rPr>
        <w:lastRenderedPageBreak/>
        <w:t>Симптоми</w:t>
      </w:r>
    </w:p>
    <w:p w14:paraId="085E3D7D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Като цяло най-честите признаци, очаквани при предозиране с бета-блокер, са брадикардия, хипотония, бронхоспазъм, остра сърдечна недостатъчност и хипогликемия. Към днешна дата са докладвани няколко случая на предозиране с бизопролол при пациенти, страдащи от хипертония и/или коронарна болест на сърцето, показващи брадикардия и/или хипотония; всички пациенти са се възстановили. Има широка интериндивидуално колебание в чувствителността към една единствена висока доза бизопролол и пациентите със сърдечна недостатъчност е най-вероятно да бъдат много чувствителни. Затова при тези пациенти е задължително лечението да се започне с постепенно повишаване на дозата, съгласно схемата, дадена в точка 4.2.</w:t>
      </w:r>
    </w:p>
    <w:p w14:paraId="43F01587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4"/>
          <w:u w:val="single"/>
          <w:lang w:eastAsia="bg-BG"/>
        </w:rPr>
      </w:pPr>
    </w:p>
    <w:p w14:paraId="226990D8" w14:textId="2E6DC374" w:rsidR="00870646" w:rsidRPr="00870646" w:rsidRDefault="00870646" w:rsidP="00870646">
      <w:pPr>
        <w:pStyle w:val="Heading3"/>
        <w:rPr>
          <w:rFonts w:eastAsia="Times New Roman"/>
          <w:u w:val="single"/>
          <w:lang w:eastAsia="bg-BG"/>
        </w:rPr>
      </w:pPr>
      <w:r w:rsidRPr="00870646">
        <w:rPr>
          <w:rFonts w:eastAsia="Times New Roman"/>
          <w:u w:val="single"/>
          <w:lang w:eastAsia="bg-BG"/>
        </w:rPr>
        <w:t>Лечение</w:t>
      </w:r>
    </w:p>
    <w:p w14:paraId="46E67D4B" w14:textId="77777777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При предозиране, лечението с бизопролол трябва да бъде спряно и да се осигури поддържащо и симптоматично лечение. Ограничените данни подсказват, че бизопролол трудно се диализира. Въз основа на очакваните фармакологични ефекти и препоръките за другите бета-блокери, трябва да се обмислят следните общи мерки, когато има клинични основания.</w:t>
      </w:r>
    </w:p>
    <w:p w14:paraId="70ACC0CF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4"/>
          <w:lang w:eastAsia="bg-BG"/>
        </w:rPr>
      </w:pPr>
    </w:p>
    <w:p w14:paraId="13618363" w14:textId="1EDF1EC9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Брадикардия: Интравенозно приложение на атропин. Ако отговорът е неадекватен, може да се даде предпазливо изопреналин или друго лекарство с положителни хронотропни свойства. При някои обстоятелства може да е необходимо поставяне на трансвенозен кардиостимулатор.</w:t>
      </w:r>
    </w:p>
    <w:p w14:paraId="209C1505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4"/>
          <w:lang w:eastAsia="bg-BG"/>
        </w:rPr>
      </w:pPr>
    </w:p>
    <w:p w14:paraId="7B768F55" w14:textId="1737D9C2" w:rsidR="00870646" w:rsidRPr="00870646" w:rsidRDefault="00870646" w:rsidP="00870646">
      <w:pPr>
        <w:spacing w:line="240" w:lineRule="auto"/>
        <w:rPr>
          <w:rFonts w:eastAsia="Times New Roman" w:cs="Arial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4"/>
          <w:lang w:eastAsia="bg-BG"/>
        </w:rPr>
        <w:t>Хипотония: Трябва да се приложат интравенозно течности и вазопресори. Може да е полезно да се</w:t>
      </w:r>
      <w:r>
        <w:rPr>
          <w:rFonts w:eastAsia="Times New Roman" w:cs="Arial"/>
          <w:szCs w:val="24"/>
          <w:lang w:eastAsia="bg-BG"/>
        </w:rPr>
        <w:t xml:space="preserve"> </w:t>
      </w:r>
      <w:r w:rsidRPr="00870646">
        <w:rPr>
          <w:rFonts w:eastAsia="Times New Roman" w:cs="Arial"/>
          <w:color w:val="000000"/>
          <w:szCs w:val="24"/>
          <w:lang w:eastAsia="bg-BG"/>
        </w:rPr>
        <w:t>приложи глюкагон интравенозно.</w:t>
      </w:r>
    </w:p>
    <w:p w14:paraId="03697158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4"/>
          <w:lang w:val="en-US"/>
        </w:rPr>
      </w:pPr>
    </w:p>
    <w:p w14:paraId="0F0079CB" w14:textId="74A42E91" w:rsidR="0091385D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szCs w:val="24"/>
          <w:lang w:val="en-US"/>
        </w:rPr>
        <w:t xml:space="preserve">AV </w:t>
      </w:r>
      <w:r w:rsidRPr="00870646">
        <w:rPr>
          <w:rFonts w:eastAsia="Times New Roman" w:cs="Arial"/>
          <w:color w:val="000000"/>
          <w:szCs w:val="24"/>
          <w:lang w:eastAsia="bg-BG"/>
        </w:rPr>
        <w:t xml:space="preserve">блок (втора или трета степен): Пациентите трябва да бъдат внимателно наблюдавани </w:t>
      </w:r>
      <w:r w:rsidRPr="00870646">
        <w:rPr>
          <w:rFonts w:eastAsia="Times New Roman" w:cs="Arial"/>
          <w:color w:val="000000"/>
          <w:lang w:eastAsia="bg-BG"/>
        </w:rPr>
        <w:t>и лекувани с инфузия на изопреналин или въвеждане на трансвенозен кардиостимулатор.</w:t>
      </w:r>
    </w:p>
    <w:p w14:paraId="48FF1584" w14:textId="599B6257" w:rsidR="0091385D" w:rsidRPr="00870646" w:rsidRDefault="0091385D" w:rsidP="0091385D">
      <w:pPr>
        <w:rPr>
          <w:rFonts w:cs="Arial"/>
        </w:rPr>
      </w:pPr>
    </w:p>
    <w:p w14:paraId="5DE9659C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Остро влошаване на сърдечна недостатъчност: Приложете интравенозно диуретици, инотропни агенти, вазодилататори.</w:t>
      </w:r>
    </w:p>
    <w:p w14:paraId="40817C9B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DEBFD0B" w14:textId="5309F825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Бронхоспазъм: Приложете лечение с бронходилататори като изопреналин, бета</w:t>
      </w:r>
      <w:r w:rsidRPr="00870646">
        <w:rPr>
          <w:rFonts w:eastAsia="Times New Roman" w:cs="Arial"/>
          <w:color w:val="000000"/>
          <w:vertAlign w:val="subscript"/>
          <w:lang w:eastAsia="bg-BG"/>
        </w:rPr>
        <w:t>2</w:t>
      </w:r>
      <w:r w:rsidRPr="00870646">
        <w:rPr>
          <w:rFonts w:eastAsia="Times New Roman" w:cs="Arial"/>
          <w:color w:val="000000"/>
          <w:lang w:eastAsia="bg-BG"/>
        </w:rPr>
        <w:t xml:space="preserve"> симпатикомиметични лекарствени продукти и/или аминофилин.</w:t>
      </w:r>
    </w:p>
    <w:p w14:paraId="153C5964" w14:textId="77777777" w:rsidR="00870646" w:rsidRPr="00870646" w:rsidRDefault="00870646" w:rsidP="00870646">
      <w:pPr>
        <w:rPr>
          <w:rFonts w:eastAsia="Times New Roman" w:cs="Arial"/>
          <w:color w:val="000000"/>
          <w:lang w:eastAsia="bg-BG"/>
        </w:rPr>
      </w:pPr>
    </w:p>
    <w:p w14:paraId="39189293" w14:textId="429625FE" w:rsidR="00870646" w:rsidRPr="00870646" w:rsidRDefault="00870646" w:rsidP="00870646">
      <w:pPr>
        <w:rPr>
          <w:rFonts w:cs="Arial"/>
        </w:rPr>
      </w:pPr>
      <w:r w:rsidRPr="00870646">
        <w:rPr>
          <w:rFonts w:eastAsia="Times New Roman" w:cs="Arial"/>
          <w:color w:val="000000"/>
          <w:lang w:eastAsia="bg-BG"/>
        </w:rPr>
        <w:t>Хипогликемията: Приложете глюкоза интравенозно.</w:t>
      </w:r>
    </w:p>
    <w:p w14:paraId="0A4ADA8D" w14:textId="77777777" w:rsidR="00870646" w:rsidRPr="0091385D" w:rsidRDefault="00870646" w:rsidP="0091385D"/>
    <w:p w14:paraId="02081B24" w14:textId="7CE94171" w:rsidR="00395555" w:rsidRDefault="002C50EE" w:rsidP="008A6AF2">
      <w:pPr>
        <w:pStyle w:val="Heading1"/>
      </w:pPr>
      <w:r>
        <w:t>5. ФАРМАКОЛОГИЧНИ СВОЙСТВА</w:t>
      </w:r>
    </w:p>
    <w:p w14:paraId="1B8079C0" w14:textId="77777777" w:rsidR="0091385D" w:rsidRPr="0091385D" w:rsidRDefault="0091385D" w:rsidP="0091385D"/>
    <w:p w14:paraId="32B6DE66" w14:textId="2ACB6B3B" w:rsidR="00CF77F7" w:rsidRDefault="002C50EE" w:rsidP="004A448E">
      <w:pPr>
        <w:pStyle w:val="Heading2"/>
      </w:pPr>
      <w:r>
        <w:t>5.1. Фармакодинамични свойства</w:t>
      </w:r>
    </w:p>
    <w:p w14:paraId="58DD7DEA" w14:textId="44345EC9" w:rsidR="0091385D" w:rsidRDefault="0091385D" w:rsidP="0091385D"/>
    <w:p w14:paraId="71AE07F2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Фармакотерапевтична група: Бета блокиращи агенти, селективни, АТС код: С07АВ07</w:t>
      </w:r>
    </w:p>
    <w:p w14:paraId="1911301B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C73CD2B" w14:textId="6A8C07B9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u w:val="single"/>
          <w:lang w:eastAsia="bg-BG"/>
        </w:rPr>
        <w:t>Механизъм на действие и фармакодинамични ефекти</w:t>
      </w:r>
    </w:p>
    <w:p w14:paraId="4192C702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 xml:space="preserve">Бизопролол е силен, високо селективен бета-1 адренорецепторен блокер, лишен от вътрешна симпатикомиметична активност и клинично значима мембраностабилизираща активност. Той показва само нисък афинитет към бета-2 рецепторите на гладката мускулатура на бронхите и съдовете, както и към бета-2 рецепторите на метаболитната </w:t>
      </w:r>
      <w:r w:rsidRPr="00870646">
        <w:rPr>
          <w:rFonts w:eastAsia="Times New Roman" w:cs="Arial"/>
          <w:color w:val="000000"/>
          <w:lang w:eastAsia="bg-BG"/>
        </w:rPr>
        <w:lastRenderedPageBreak/>
        <w:t>регулация. Поради това, като цяло не се очаква бизопролол да повлияе съпротивлението на дихателните пътища, нито метаболитните ефекти, медиирани от бета-2 рецепторите. Бета-1 селекгивностга на бизопролол се простира извън терапевтичните граници.</w:t>
      </w:r>
    </w:p>
    <w:p w14:paraId="36E97025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Както при други бета-1 блокери, механизмът на антихипертензивния ефект на бизопролол е неизяснен. Въпреки това, известно е, че бизопролол подчертано намалява активността на плазмения ренин.</w:t>
      </w:r>
    </w:p>
    <w:p w14:paraId="347FFBCE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Антиангинален механизъм: Чрез инхибиране на сърдечни бета рецептори, бизопролол инхибира отговора на симпатиковата активация. Това води до намаляване на сърдечната честота и контрактилитета, което води до намаление на консумацията на кислород от сърдечния мускул.</w:t>
      </w:r>
    </w:p>
    <w:p w14:paraId="547B47A2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CEBE8CD" w14:textId="1EAFAC8C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u w:val="single"/>
          <w:lang w:eastAsia="bg-BG"/>
        </w:rPr>
        <w:t>Клинична ефикасност и безопасност</w:t>
      </w:r>
    </w:p>
    <w:p w14:paraId="714EC794" w14:textId="77777777" w:rsidR="00870646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 xml:space="preserve">Бизопролол се използва при лечението на хипертония, ангина пекгорис и сърдечна недостатъчност. Сърдечната недостатъчност е изследвана в изпитването </w:t>
      </w:r>
      <w:r w:rsidRPr="00870646">
        <w:rPr>
          <w:rFonts w:eastAsia="Times New Roman" w:cs="Arial"/>
          <w:color w:val="000000"/>
          <w:lang w:val="en-US"/>
        </w:rPr>
        <w:t xml:space="preserve">CIBIS </w:t>
      </w:r>
      <w:r w:rsidRPr="00870646">
        <w:rPr>
          <w:rFonts w:eastAsia="Times New Roman" w:cs="Arial"/>
          <w:color w:val="000000"/>
          <w:lang w:eastAsia="bg-BG"/>
        </w:rPr>
        <w:t xml:space="preserve">П. Общо са включени 2 647 пациенти, 83% </w:t>
      </w:r>
      <w:r w:rsidRPr="00870646">
        <w:rPr>
          <w:rFonts w:eastAsia="Times New Roman" w:cs="Arial"/>
          <w:color w:val="000000"/>
          <w:lang w:val="en-US"/>
        </w:rPr>
        <w:t>(N =</w:t>
      </w:r>
      <w:r w:rsidRPr="00870646">
        <w:rPr>
          <w:rFonts w:eastAsia="Times New Roman" w:cs="Arial"/>
          <w:color w:val="000000"/>
          <w:lang w:eastAsia="bg-BG"/>
        </w:rPr>
        <w:t xml:space="preserve"> 2202) в клас Ш по </w:t>
      </w:r>
      <w:r w:rsidRPr="00870646">
        <w:rPr>
          <w:rFonts w:eastAsia="Times New Roman" w:cs="Arial"/>
          <w:color w:val="000000"/>
          <w:lang w:val="en-US"/>
        </w:rPr>
        <w:t xml:space="preserve">NYHA </w:t>
      </w:r>
      <w:r w:rsidRPr="00870646">
        <w:rPr>
          <w:rFonts w:eastAsia="Times New Roman" w:cs="Arial"/>
          <w:color w:val="000000"/>
          <w:lang w:eastAsia="bg-BG"/>
        </w:rPr>
        <w:t xml:space="preserve">и 17% </w:t>
      </w:r>
      <w:r w:rsidRPr="00870646">
        <w:rPr>
          <w:rFonts w:eastAsia="Times New Roman" w:cs="Arial"/>
          <w:color w:val="000000"/>
          <w:lang w:val="en-US"/>
        </w:rPr>
        <w:t>(N =</w:t>
      </w:r>
      <w:r w:rsidRPr="00870646">
        <w:rPr>
          <w:rFonts w:eastAsia="Times New Roman" w:cs="Arial"/>
          <w:color w:val="000000"/>
          <w:lang w:eastAsia="bg-BG"/>
        </w:rPr>
        <w:t xml:space="preserve"> 445) в клас IV по </w:t>
      </w:r>
      <w:r w:rsidRPr="00870646">
        <w:rPr>
          <w:rFonts w:eastAsia="Times New Roman" w:cs="Arial"/>
          <w:color w:val="000000"/>
          <w:lang w:val="en-US"/>
        </w:rPr>
        <w:t xml:space="preserve">NYHA. </w:t>
      </w:r>
      <w:r w:rsidRPr="00870646">
        <w:rPr>
          <w:rFonts w:eastAsia="Times New Roman" w:cs="Arial"/>
          <w:color w:val="000000"/>
          <w:lang w:eastAsia="bg-BG"/>
        </w:rPr>
        <w:t xml:space="preserve">Те имат стабилна симптоматична систолна сърдечна недостатъчност (фракция на изтласкване ≤35% на база ехокардиография). Общата смъртност е намалена от 17,3% до 11,8% (относително намаление 34%). Наблюдава се намаление на внезапната смърт (3,6% срещу 6,3%, относително намаление 44%) и намаление на броя на епизодите със сърдечна недостатъчност, изискваща хоспитализация (12% срещу 17,6%, относително намаление 36%). И накрая, показано е значително подобрение на функционалното състояние съгласно класификацията </w:t>
      </w:r>
      <w:r w:rsidRPr="00870646">
        <w:rPr>
          <w:rFonts w:eastAsia="Times New Roman" w:cs="Arial"/>
          <w:color w:val="000000"/>
          <w:lang w:val="en-US"/>
        </w:rPr>
        <w:t xml:space="preserve">NYHA. </w:t>
      </w:r>
      <w:r w:rsidRPr="00870646">
        <w:rPr>
          <w:rFonts w:eastAsia="Times New Roman" w:cs="Arial"/>
          <w:color w:val="000000"/>
          <w:lang w:eastAsia="bg-BG"/>
        </w:rPr>
        <w:t>В началото и по време на титрирането се наблюдава хоспитализиране поради брадикардия (0,53%), хипотония (0,23%) и остра декомпенсация (4,97%), но те не са по-чести, отколкото при плацебо групата (0%, 0,3% и 6,74%). Броят на фаталните и инвалидизиращи инсулти по време на целия период на проучването е 20 в групата на бизопролол и 15 в плацебо групата.</w:t>
      </w:r>
    </w:p>
    <w:p w14:paraId="4A8003A5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C536A30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 xml:space="preserve">Проучването </w:t>
      </w:r>
      <w:r w:rsidRPr="00870646">
        <w:rPr>
          <w:rFonts w:eastAsia="Times New Roman" w:cs="Arial"/>
          <w:color w:val="000000"/>
          <w:lang w:val="en-US"/>
        </w:rPr>
        <w:t xml:space="preserve">CIBIS </w:t>
      </w:r>
      <w:r w:rsidRPr="00870646">
        <w:rPr>
          <w:rFonts w:eastAsia="Times New Roman" w:cs="Arial"/>
          <w:color w:val="000000"/>
          <w:lang w:eastAsia="bg-BG"/>
        </w:rPr>
        <w:t xml:space="preserve">Ш изследва 1010 пациенти на възраст ≥ 65 години с лека до умерена хронична сърдечна недостатъчност </w:t>
      </w:r>
      <w:r w:rsidRPr="00870646">
        <w:rPr>
          <w:rFonts w:eastAsia="Times New Roman" w:cs="Arial"/>
          <w:color w:val="000000"/>
          <w:lang w:val="en-US"/>
        </w:rPr>
        <w:t xml:space="preserve">(CHF; NYHA </w:t>
      </w:r>
      <w:r w:rsidRPr="00870646">
        <w:rPr>
          <w:rFonts w:eastAsia="Times New Roman" w:cs="Arial"/>
          <w:color w:val="000000"/>
          <w:lang w:eastAsia="bg-BG"/>
        </w:rPr>
        <w:t xml:space="preserve">клас II или III) и левокамерна фракция на изтласкване ≤ 35%, които не са били лекувани преди това с АСЕ-инхибитори, бета-блокери или ангиотензин рецепторни блокери. Пациентите са лекувани с комбинация от бизопролол и еналаприл 6 до 24 месеца след първоначалното 6-месечно лечение с бизопролол или еналаприл. </w:t>
      </w:r>
    </w:p>
    <w:p w14:paraId="019F870A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4C1CD4C" w14:textId="77777777" w:rsidR="00870646" w:rsidRPr="00870646" w:rsidRDefault="00870646" w:rsidP="00870646">
      <w:pPr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Наблюдава се тенденция към по-висока честота на влошаване на хроничната сърдечна недостатъчност при използване на бизопролол в първите 6 месеца на лечението. Анализът на протокола не доказва лечението, започнато първо с бизопролол да отстъпва на това започнато</w:t>
      </w:r>
      <w:r w:rsidRPr="00870646">
        <w:rPr>
          <w:rFonts w:eastAsia="Times New Roman" w:cs="Arial"/>
          <w:lang w:eastAsia="bg-BG"/>
        </w:rPr>
        <w:t xml:space="preserve"> </w:t>
      </w:r>
      <w:r w:rsidRPr="00870646">
        <w:rPr>
          <w:rFonts w:eastAsia="Times New Roman" w:cs="Arial"/>
          <w:color w:val="000000"/>
          <w:lang w:eastAsia="bg-BG"/>
        </w:rPr>
        <w:t xml:space="preserve">първо с еналаприл, въпреки че двете стратегии за започване на </w:t>
      </w:r>
      <w:r w:rsidRPr="00870646">
        <w:rPr>
          <w:rFonts w:eastAsia="Times New Roman" w:cs="Arial"/>
          <w:color w:val="000000"/>
          <w:lang w:val="en-US"/>
        </w:rPr>
        <w:t xml:space="preserve">CHF </w:t>
      </w:r>
      <w:r w:rsidRPr="00870646">
        <w:rPr>
          <w:rFonts w:eastAsia="Times New Roman" w:cs="Arial"/>
          <w:color w:val="000000"/>
          <w:lang w:eastAsia="bg-BG"/>
        </w:rPr>
        <w:t>лечение показва подобен процент на първичния комбиниран критерий на смърт и хоспитализация в края на проучването (32,4% при лечение първо с бизопролол в сравнение с 33,1% в групата първо с еналаприл, според протокола на популацията). Проучването показва, че бизопролол може да се използва при пациенти в напреднала възраст с лека до умерена хронична сърдечна недостатъчност.</w:t>
      </w:r>
    </w:p>
    <w:p w14:paraId="12B963FB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8252AA0" w14:textId="4AC8C1A3" w:rsidR="0091385D" w:rsidRPr="00870646" w:rsidRDefault="00870646" w:rsidP="00870646">
      <w:pPr>
        <w:spacing w:line="240" w:lineRule="auto"/>
        <w:rPr>
          <w:rFonts w:eastAsia="Times New Roman" w:cs="Arial"/>
          <w:lang w:eastAsia="bg-BG"/>
        </w:rPr>
      </w:pPr>
      <w:r w:rsidRPr="00870646">
        <w:rPr>
          <w:rFonts w:eastAsia="Times New Roman" w:cs="Arial"/>
          <w:color w:val="000000"/>
          <w:lang w:eastAsia="bg-BG"/>
        </w:rPr>
        <w:t>При остро приложение на пациенти с коронарна сърдечна болест без хронична сърдечна недостатъчност, бизопролол понижава сърдечната честота и ударния обем и по този начин сърдечния дебит и кислородната консумация. При хронично приложение, първоначално повишеното периферно съпротивление намалява.</w:t>
      </w:r>
    </w:p>
    <w:p w14:paraId="36152471" w14:textId="77777777" w:rsidR="0091385D" w:rsidRPr="0091385D" w:rsidRDefault="0091385D" w:rsidP="0091385D"/>
    <w:p w14:paraId="35F84B81" w14:textId="6423E5BB" w:rsidR="00CF77F7" w:rsidRDefault="002C50EE" w:rsidP="004A448E">
      <w:pPr>
        <w:pStyle w:val="Heading2"/>
      </w:pPr>
      <w:r>
        <w:lastRenderedPageBreak/>
        <w:t>5.2. Фармакокинетични свойства</w:t>
      </w:r>
    </w:p>
    <w:p w14:paraId="5031193D" w14:textId="06A21EFE" w:rsidR="0091385D" w:rsidRDefault="0091385D" w:rsidP="0091385D"/>
    <w:p w14:paraId="6520F1DA" w14:textId="77777777" w:rsidR="00870646" w:rsidRPr="00870646" w:rsidRDefault="00870646" w:rsidP="00870646">
      <w:pPr>
        <w:pStyle w:val="Heading3"/>
        <w:rPr>
          <w:rFonts w:eastAsia="Times New Roman"/>
          <w:sz w:val="28"/>
          <w:u w:val="single"/>
          <w:lang w:eastAsia="bg-BG"/>
        </w:rPr>
      </w:pPr>
      <w:r w:rsidRPr="00870646">
        <w:rPr>
          <w:rFonts w:eastAsia="Times New Roman"/>
          <w:u w:val="single"/>
          <w:lang w:eastAsia="bg-BG"/>
        </w:rPr>
        <w:t>Абсорбция</w:t>
      </w:r>
    </w:p>
    <w:p w14:paraId="3BEB34BA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Бизопролол се абсорбира и има биологична наличност от около 90% след перорално приложение.</w:t>
      </w:r>
    </w:p>
    <w:p w14:paraId="6CF7AD72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9529910" w14:textId="2D13D5A4" w:rsidR="00870646" w:rsidRPr="00870646" w:rsidRDefault="00870646" w:rsidP="00870646">
      <w:pPr>
        <w:pStyle w:val="Heading3"/>
        <w:rPr>
          <w:rFonts w:eastAsia="Times New Roman"/>
          <w:sz w:val="28"/>
          <w:u w:val="single"/>
          <w:lang w:eastAsia="bg-BG"/>
        </w:rPr>
      </w:pPr>
      <w:r w:rsidRPr="00870646">
        <w:rPr>
          <w:rFonts w:eastAsia="Times New Roman"/>
          <w:u w:val="single"/>
          <w:lang w:eastAsia="bg-BG"/>
        </w:rPr>
        <w:t>Разпределение</w:t>
      </w:r>
    </w:p>
    <w:p w14:paraId="00C6DE52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Свързването на бизопролол с плазмените протеини е около 30%. Обемът на разпределение е 3,5 </w:t>
      </w:r>
      <w:r w:rsidRPr="00870646">
        <w:rPr>
          <w:rFonts w:eastAsia="Times New Roman" w:cs="Arial"/>
          <w:color w:val="000000"/>
          <w:szCs w:val="20"/>
          <w:lang w:val="en-US"/>
        </w:rPr>
        <w:t>l/kg.</w:t>
      </w:r>
    </w:p>
    <w:p w14:paraId="67999E24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84BABA8" w14:textId="6B45767E" w:rsidR="00870646" w:rsidRPr="00870646" w:rsidRDefault="00870646" w:rsidP="00870646">
      <w:pPr>
        <w:pStyle w:val="Heading3"/>
        <w:rPr>
          <w:rFonts w:eastAsia="Times New Roman"/>
          <w:sz w:val="28"/>
          <w:u w:val="single"/>
          <w:lang w:eastAsia="bg-BG"/>
        </w:rPr>
      </w:pPr>
      <w:r>
        <w:rPr>
          <w:rFonts w:eastAsia="Times New Roman"/>
          <w:u w:val="single"/>
          <w:lang w:eastAsia="bg-BG"/>
        </w:rPr>
        <w:t>Биотрансф</w:t>
      </w:r>
      <w:r w:rsidRPr="00870646">
        <w:rPr>
          <w:rFonts w:eastAsia="Times New Roman"/>
          <w:u w:val="single"/>
          <w:lang w:eastAsia="bg-BG"/>
        </w:rPr>
        <w:t>ормация и елиминиране</w:t>
      </w:r>
    </w:p>
    <w:p w14:paraId="3A052AE4" w14:textId="6F47038A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Общият клирънс е около 15 </w:t>
      </w:r>
      <w:r w:rsidRPr="00870646">
        <w:rPr>
          <w:rFonts w:eastAsia="Times New Roman" w:cs="Arial"/>
          <w:color w:val="000000"/>
          <w:szCs w:val="20"/>
          <w:lang w:val="en-US" w:eastAsia="bg-BG"/>
        </w:rPr>
        <w:t>l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/h. </w:t>
      </w:r>
      <w:r w:rsidRPr="00870646">
        <w:rPr>
          <w:rFonts w:eastAsia="Times New Roman" w:cs="Arial"/>
          <w:color w:val="000000"/>
          <w:szCs w:val="20"/>
          <w:lang w:eastAsia="bg-BG"/>
        </w:rPr>
        <w:t>Полуживотьт в плазмата от 10-12 часа дава 24-часов ефект след дозиране веднъж дневно.</w:t>
      </w:r>
    </w:p>
    <w:p w14:paraId="7A487DDB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34B507B" w14:textId="125FA4F8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Бизопролол се екскретира от организма по два пътя. 50% се метаболизира в черния дроб до неактивни метаболити, които след това се отделят чрез бъбреците. Останалите 50% се отделя чрез бъбреците в неметаболизирана форма. Тъй като елиминирането се извършва в бъбреците и черния дроб в еднаква степен, не се изисква корекция на дозата за пациенти с нарушена чернодробна функция или бъбречна недостатъчност. Фармакокинетиката при пациенти със стабилна хронична сърдечна недостатъчност и увредена чернодробна или бъбречна функция не е проучена.</w:t>
      </w:r>
    </w:p>
    <w:p w14:paraId="64CC8242" w14:textId="77777777" w:rsidR="00870646" w:rsidRPr="00870646" w:rsidRDefault="00870646" w:rsidP="00870646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B5B6EDA" w14:textId="0FAC6C89" w:rsidR="00870646" w:rsidRPr="00870646" w:rsidRDefault="00870646" w:rsidP="00870646">
      <w:pPr>
        <w:pStyle w:val="Heading3"/>
        <w:rPr>
          <w:rFonts w:eastAsia="Times New Roman"/>
          <w:sz w:val="28"/>
          <w:u w:val="single"/>
          <w:lang w:eastAsia="bg-BG"/>
        </w:rPr>
      </w:pPr>
      <w:r w:rsidRPr="00870646">
        <w:rPr>
          <w:rFonts w:eastAsia="Times New Roman"/>
          <w:u w:val="single"/>
          <w:lang w:eastAsia="bg-BG"/>
        </w:rPr>
        <w:t>Линейност/нелинейност</w:t>
      </w:r>
    </w:p>
    <w:p w14:paraId="6DB877E3" w14:textId="77777777" w:rsidR="00870646" w:rsidRPr="00870646" w:rsidRDefault="00870646" w:rsidP="00870646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>Кинетиката на бизопролол е линейна и не зависи от възрастта на пациента.</w:t>
      </w:r>
    </w:p>
    <w:p w14:paraId="73D77E43" w14:textId="77777777" w:rsidR="00870646" w:rsidRPr="00870646" w:rsidRDefault="00870646" w:rsidP="00870646">
      <w:pPr>
        <w:rPr>
          <w:rFonts w:eastAsia="Times New Roman" w:cs="Arial"/>
          <w:color w:val="000000"/>
          <w:szCs w:val="20"/>
          <w:lang w:eastAsia="bg-BG"/>
        </w:rPr>
      </w:pPr>
    </w:p>
    <w:p w14:paraId="148BA3FC" w14:textId="14AE0A8D" w:rsidR="0091385D" w:rsidRPr="00870646" w:rsidRDefault="00870646" w:rsidP="00870646">
      <w:pPr>
        <w:rPr>
          <w:rFonts w:cs="Arial"/>
          <w:sz w:val="24"/>
        </w:rPr>
      </w:pPr>
      <w:r w:rsidRPr="00870646">
        <w:rPr>
          <w:rFonts w:eastAsia="Times New Roman" w:cs="Arial"/>
          <w:color w:val="000000"/>
          <w:szCs w:val="20"/>
          <w:lang w:eastAsia="bg-BG"/>
        </w:rPr>
        <w:t xml:space="preserve">При пациенти с хронична сърдечна недостатъчност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(NYHA </w:t>
      </w:r>
      <w:r w:rsidRPr="00870646">
        <w:rPr>
          <w:rFonts w:eastAsia="Times New Roman" w:cs="Arial"/>
          <w:color w:val="000000"/>
          <w:szCs w:val="20"/>
          <w:lang w:eastAsia="bg-BG"/>
        </w:rPr>
        <w:t xml:space="preserve">стадий III), плазмените нива на бизопролол са по-високи и времето на полуживот е удължено в сравнение със здрави доброволци. Максималната плазмена концентрация в равновесно състояние е 64 ± 21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ng/ml </w:t>
      </w:r>
      <w:r w:rsidRPr="00870646">
        <w:rPr>
          <w:rFonts w:eastAsia="Times New Roman" w:cs="Arial"/>
          <w:color w:val="000000"/>
          <w:szCs w:val="20"/>
          <w:lang w:eastAsia="bg-BG"/>
        </w:rPr>
        <w:t xml:space="preserve">в дневна доза от 10 </w:t>
      </w:r>
      <w:r w:rsidRPr="00870646">
        <w:rPr>
          <w:rFonts w:eastAsia="Times New Roman" w:cs="Arial"/>
          <w:color w:val="000000"/>
          <w:szCs w:val="20"/>
          <w:lang w:val="en-US"/>
        </w:rPr>
        <w:t xml:space="preserve">mg </w:t>
      </w:r>
      <w:r w:rsidRPr="00870646">
        <w:rPr>
          <w:rFonts w:eastAsia="Times New Roman" w:cs="Arial"/>
          <w:color w:val="000000"/>
          <w:szCs w:val="20"/>
          <w:lang w:eastAsia="bg-BG"/>
        </w:rPr>
        <w:t>и времето на полуживот е 17 ± 5 часа.</w:t>
      </w:r>
    </w:p>
    <w:p w14:paraId="4EE1BB0B" w14:textId="77777777" w:rsidR="0091385D" w:rsidRPr="0091385D" w:rsidRDefault="0091385D" w:rsidP="0091385D"/>
    <w:p w14:paraId="648E39DA" w14:textId="44D16CBD" w:rsidR="00CF77F7" w:rsidRDefault="002C50EE" w:rsidP="004A448E">
      <w:pPr>
        <w:pStyle w:val="Heading2"/>
      </w:pPr>
      <w:r>
        <w:t>5.3. Предклинични данни за безопасност</w:t>
      </w:r>
    </w:p>
    <w:p w14:paraId="31455D09" w14:textId="4D0EFBF5" w:rsidR="0091385D" w:rsidRDefault="0091385D" w:rsidP="0091385D"/>
    <w:p w14:paraId="52E4D01A" w14:textId="467FC30D" w:rsidR="0091385D" w:rsidRPr="00870646" w:rsidRDefault="00870646" w:rsidP="0091385D">
      <w:pPr>
        <w:rPr>
          <w:rFonts w:cs="Arial"/>
          <w:sz w:val="24"/>
        </w:rPr>
      </w:pPr>
      <w:r w:rsidRPr="00870646">
        <w:rPr>
          <w:rFonts w:cs="Arial"/>
          <w:szCs w:val="20"/>
        </w:rPr>
        <w:t>Неклиничните данни не показват особен риск за хора на базата на конвенционалните фармакологични проучвания за безопасност, токсичност при многократно прилагане, геногоксичност, карциногенен потенциал, репродуктивна токсичност и токсичност за развитието. Подобно на други бета-блокери, бизопролол при високи дози причинява токсичност на майката (понижен прием на храна и понижено телесно тегло) и ембрио/фетална токсичност (повишена честота на резорбция, понижено тегло при раждане, забавено физическо развитие на поколението), но не е тератогенен.</w:t>
      </w:r>
    </w:p>
    <w:p w14:paraId="20E967BE" w14:textId="77777777" w:rsidR="0091385D" w:rsidRPr="0091385D" w:rsidRDefault="0091385D" w:rsidP="0091385D"/>
    <w:p w14:paraId="6A7820AB" w14:textId="353DB6D2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1B9B651E" w14:textId="3382E6AC" w:rsidR="0091385D" w:rsidRDefault="0091385D" w:rsidP="0091385D"/>
    <w:p w14:paraId="3B84DDB5" w14:textId="77777777" w:rsidR="00870646" w:rsidRPr="00870646" w:rsidRDefault="00870646" w:rsidP="00870646">
      <w:pPr>
        <w:spacing w:line="240" w:lineRule="auto"/>
        <w:rPr>
          <w:rFonts w:eastAsia="Times New Roman" w:cs="Arial"/>
          <w:lang w:val="en-US" w:eastAsia="bg-BG"/>
        </w:rPr>
      </w:pPr>
      <w:bookmarkStart w:id="9" w:name="_GoBack"/>
      <w:r w:rsidRPr="00870646">
        <w:rPr>
          <w:rFonts w:eastAsia="Times New Roman" w:cs="Arial"/>
          <w:color w:val="000000"/>
          <w:lang w:val="en-US"/>
        </w:rPr>
        <w:t xml:space="preserve">INN-FARM </w:t>
      </w:r>
      <w:proofErr w:type="spellStart"/>
      <w:r w:rsidRPr="00870646">
        <w:rPr>
          <w:rFonts w:eastAsia="Times New Roman" w:cs="Arial"/>
          <w:color w:val="000000"/>
          <w:lang w:val="en-US"/>
        </w:rPr>
        <w:t>d.o.o</w:t>
      </w:r>
      <w:proofErr w:type="spellEnd"/>
      <w:r w:rsidRPr="00870646">
        <w:rPr>
          <w:rFonts w:eastAsia="Times New Roman" w:cs="Arial"/>
          <w:color w:val="000000"/>
          <w:lang w:val="en-US"/>
        </w:rPr>
        <w:t>.</w:t>
      </w:r>
    </w:p>
    <w:p w14:paraId="691618A7" w14:textId="77777777" w:rsidR="005E346C" w:rsidRPr="005E346C" w:rsidRDefault="00870646" w:rsidP="00870646">
      <w:pPr>
        <w:rPr>
          <w:rFonts w:eastAsia="Times New Roman" w:cs="Arial"/>
          <w:color w:val="000000"/>
          <w:lang w:eastAsia="bg-BG"/>
        </w:rPr>
      </w:pPr>
      <w:proofErr w:type="spellStart"/>
      <w:r w:rsidRPr="005E346C">
        <w:rPr>
          <w:rFonts w:eastAsia="Times New Roman" w:cs="Arial"/>
          <w:color w:val="000000"/>
          <w:lang w:val="en-US"/>
        </w:rPr>
        <w:t>MaleSeva</w:t>
      </w:r>
      <w:proofErr w:type="spellEnd"/>
      <w:r w:rsidRPr="005E346C">
        <w:rPr>
          <w:rFonts w:eastAsia="Times New Roman" w:cs="Arial"/>
          <w:color w:val="000000"/>
          <w:lang w:val="en-US"/>
        </w:rPr>
        <w:t xml:space="preserve"> </w:t>
      </w:r>
      <w:proofErr w:type="spellStart"/>
      <w:r w:rsidRPr="005E346C">
        <w:rPr>
          <w:rFonts w:eastAsia="Times New Roman" w:cs="Arial"/>
          <w:color w:val="000000"/>
          <w:lang w:val="en-US"/>
        </w:rPr>
        <w:t>ulica</w:t>
      </w:r>
      <w:proofErr w:type="spellEnd"/>
      <w:r w:rsidRPr="005E346C">
        <w:rPr>
          <w:rFonts w:eastAsia="Times New Roman" w:cs="Arial"/>
          <w:color w:val="000000"/>
          <w:lang w:val="en-US"/>
        </w:rPr>
        <w:t xml:space="preserve"> 14, 1000 Ljubljana, </w:t>
      </w:r>
      <w:r w:rsidRPr="005E346C">
        <w:rPr>
          <w:rFonts w:eastAsia="Times New Roman" w:cs="Arial"/>
          <w:color w:val="000000"/>
          <w:lang w:eastAsia="bg-BG"/>
        </w:rPr>
        <w:t xml:space="preserve">Словения </w:t>
      </w:r>
    </w:p>
    <w:p w14:paraId="4E609E74" w14:textId="77777777" w:rsidR="005E346C" w:rsidRPr="005E346C" w:rsidRDefault="00870646" w:rsidP="00870646">
      <w:pPr>
        <w:rPr>
          <w:rFonts w:eastAsia="Times New Roman" w:cs="Arial"/>
          <w:color w:val="000000"/>
          <w:lang w:val="en-US"/>
        </w:rPr>
      </w:pPr>
      <w:r w:rsidRPr="005E346C">
        <w:rPr>
          <w:rFonts w:eastAsia="Times New Roman" w:cs="Arial"/>
          <w:color w:val="000000"/>
          <w:lang w:eastAsia="bg-BG"/>
        </w:rPr>
        <w:t xml:space="preserve">тел.: </w:t>
      </w:r>
      <w:r w:rsidRPr="005E346C">
        <w:rPr>
          <w:rFonts w:eastAsia="Times New Roman" w:cs="Arial"/>
          <w:color w:val="000000"/>
          <w:lang w:val="en-US"/>
        </w:rPr>
        <w:t>+386 70 390</w:t>
      </w:r>
      <w:r w:rsidR="005E346C" w:rsidRPr="005E346C">
        <w:rPr>
          <w:rFonts w:eastAsia="Times New Roman" w:cs="Arial"/>
          <w:color w:val="000000"/>
          <w:lang w:val="en-US"/>
        </w:rPr>
        <w:t> </w:t>
      </w:r>
      <w:r w:rsidRPr="005E346C">
        <w:rPr>
          <w:rFonts w:eastAsia="Times New Roman" w:cs="Arial"/>
          <w:color w:val="000000"/>
          <w:lang w:val="en-US"/>
        </w:rPr>
        <w:t xml:space="preserve">711 </w:t>
      </w:r>
    </w:p>
    <w:p w14:paraId="31B15485" w14:textId="77777777" w:rsidR="005E346C" w:rsidRPr="005E346C" w:rsidRDefault="00870646" w:rsidP="00870646">
      <w:pPr>
        <w:rPr>
          <w:rFonts w:eastAsia="Times New Roman" w:cs="Arial"/>
          <w:color w:val="000000"/>
          <w:lang w:eastAsia="bg-BG"/>
        </w:rPr>
      </w:pPr>
      <w:r w:rsidRPr="005E346C">
        <w:rPr>
          <w:rFonts w:eastAsia="Times New Roman" w:cs="Arial"/>
          <w:color w:val="000000"/>
          <w:lang w:eastAsia="bg-BG"/>
        </w:rPr>
        <w:t>факс:+</w:t>
      </w:r>
      <w:r w:rsidRPr="005E346C">
        <w:rPr>
          <w:rFonts w:eastAsia="Times New Roman" w:cs="Arial"/>
          <w:color w:val="000000"/>
          <w:lang w:val="en-US"/>
        </w:rPr>
        <w:t xml:space="preserve">386 5191 </w:t>
      </w:r>
      <w:r w:rsidRPr="005E346C">
        <w:rPr>
          <w:rFonts w:eastAsia="Times New Roman" w:cs="Arial"/>
          <w:color w:val="000000"/>
          <w:lang w:eastAsia="bg-BG"/>
        </w:rPr>
        <w:t xml:space="preserve">116 </w:t>
      </w:r>
    </w:p>
    <w:p w14:paraId="3FD825DB" w14:textId="6BAB9CF5" w:rsidR="0091385D" w:rsidRPr="005E346C" w:rsidRDefault="00870646" w:rsidP="00870646">
      <w:pPr>
        <w:rPr>
          <w:rFonts w:cs="Arial"/>
        </w:rPr>
      </w:pPr>
      <w:r w:rsidRPr="005E346C">
        <w:rPr>
          <w:rFonts w:eastAsia="Times New Roman" w:cs="Arial"/>
          <w:color w:val="000000"/>
          <w:lang w:eastAsia="bg-BG"/>
        </w:rPr>
        <w:lastRenderedPageBreak/>
        <w:t xml:space="preserve">имейл: </w:t>
      </w:r>
      <w:r w:rsidRPr="005E346C">
        <w:rPr>
          <w:rFonts w:eastAsia="Times New Roman" w:cs="Arial"/>
          <w:lang w:val="en-US" w:eastAsia="bg-BG"/>
        </w:rPr>
        <w:fldChar w:fldCharType="begin"/>
      </w:r>
      <w:r w:rsidRPr="005E346C">
        <w:rPr>
          <w:rFonts w:eastAsia="Times New Roman" w:cs="Arial"/>
          <w:lang w:val="en-US" w:eastAsia="bg-BG"/>
        </w:rPr>
        <w:instrText xml:space="preserve"> HYPERLINK "mailto:info@innfarm.si" </w:instrText>
      </w:r>
      <w:r w:rsidRPr="005E346C">
        <w:rPr>
          <w:rFonts w:eastAsia="Times New Roman" w:cs="Arial"/>
          <w:lang w:val="en-US" w:eastAsia="bg-BG"/>
        </w:rPr>
      </w:r>
      <w:r w:rsidRPr="005E346C">
        <w:rPr>
          <w:rFonts w:eastAsia="Times New Roman" w:cs="Arial"/>
          <w:lang w:val="en-US" w:eastAsia="bg-BG"/>
        </w:rPr>
        <w:fldChar w:fldCharType="separate"/>
      </w:r>
      <w:r w:rsidRPr="005E346C">
        <w:rPr>
          <w:rFonts w:eastAsia="Times New Roman" w:cs="Arial"/>
          <w:color w:val="000000"/>
          <w:lang w:val="en-US"/>
        </w:rPr>
        <w:t>info@innfarm.si</w:t>
      </w:r>
      <w:r w:rsidRPr="005E346C">
        <w:rPr>
          <w:rFonts w:eastAsia="Times New Roman" w:cs="Arial"/>
          <w:lang w:val="en-US" w:eastAsia="bg-BG"/>
        </w:rPr>
        <w:fldChar w:fldCharType="end"/>
      </w:r>
    </w:p>
    <w:bookmarkEnd w:id="9"/>
    <w:p w14:paraId="129C7566" w14:textId="77777777" w:rsidR="0091385D" w:rsidRPr="0091385D" w:rsidRDefault="0091385D" w:rsidP="0091385D"/>
    <w:p w14:paraId="7BA1BA64" w14:textId="17509450" w:rsidR="00CF77F7" w:rsidRDefault="002C50EE" w:rsidP="004A448E">
      <w:pPr>
        <w:pStyle w:val="Heading1"/>
      </w:pPr>
      <w:r>
        <w:t>8. НОМЕР НА РАЗРЕШЕНИЕТО ЗА УПОТРЕБА</w:t>
      </w:r>
    </w:p>
    <w:p w14:paraId="095674C4" w14:textId="54CA436A" w:rsidR="0091385D" w:rsidRDefault="0091385D" w:rsidP="0091385D"/>
    <w:p w14:paraId="6E892CE5" w14:textId="6D9145C5" w:rsidR="0091385D" w:rsidRPr="005E346C" w:rsidRDefault="005E346C" w:rsidP="0091385D">
      <w:pPr>
        <w:rPr>
          <w:rFonts w:cs="Arial"/>
        </w:rPr>
      </w:pPr>
      <w:r w:rsidRPr="005E346C">
        <w:rPr>
          <w:rFonts w:cs="Arial"/>
        </w:rPr>
        <w:t xml:space="preserve">ТИРЕЗ 2,5 </w:t>
      </w:r>
      <w:r w:rsidRPr="005E346C">
        <w:rPr>
          <w:rFonts w:cs="Arial"/>
          <w:lang w:val="en-US"/>
        </w:rPr>
        <w:t xml:space="preserve">mg </w:t>
      </w:r>
      <w:r w:rsidRPr="005E346C">
        <w:rPr>
          <w:rFonts w:cs="Arial"/>
        </w:rPr>
        <w:t xml:space="preserve">филмирани таблетки </w:t>
      </w:r>
      <w:proofErr w:type="spellStart"/>
      <w:r w:rsidRPr="005E346C">
        <w:rPr>
          <w:rFonts w:cs="Arial"/>
          <w:lang w:val="en-US"/>
        </w:rPr>
        <w:t>peг</w:t>
      </w:r>
      <w:proofErr w:type="spellEnd"/>
      <w:r w:rsidRPr="005E346C">
        <w:rPr>
          <w:rFonts w:cs="Arial"/>
          <w:lang w:val="en-US"/>
        </w:rPr>
        <w:t xml:space="preserve">. </w:t>
      </w:r>
      <w:r w:rsidRPr="005E346C">
        <w:rPr>
          <w:rFonts w:cs="Arial"/>
        </w:rPr>
        <w:t>№ 20120280</w:t>
      </w:r>
    </w:p>
    <w:p w14:paraId="62EF7F8B" w14:textId="77777777" w:rsidR="0091385D" w:rsidRPr="0091385D" w:rsidRDefault="0091385D" w:rsidP="0091385D"/>
    <w:p w14:paraId="2CCB5832" w14:textId="157595B3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5AFCA0E8" w14:textId="77777777" w:rsidR="005E346C" w:rsidRPr="005E346C" w:rsidRDefault="005E346C" w:rsidP="005E346C"/>
    <w:p w14:paraId="372B3414" w14:textId="0F539B32" w:rsidR="0091385D" w:rsidRPr="005E346C" w:rsidRDefault="005E346C" w:rsidP="0091385D">
      <w:pPr>
        <w:rPr>
          <w:rFonts w:cs="Arial"/>
        </w:rPr>
      </w:pPr>
      <w:r w:rsidRPr="005E346C">
        <w:rPr>
          <w:rFonts w:cs="Arial"/>
        </w:rPr>
        <w:t>Дата на първо разрешаване: 04 Юни 2012</w:t>
      </w:r>
    </w:p>
    <w:p w14:paraId="497007FA" w14:textId="4772ED95" w:rsidR="0091385D" w:rsidRPr="005E346C" w:rsidRDefault="005E346C" w:rsidP="0091385D">
      <w:pPr>
        <w:rPr>
          <w:rFonts w:cs="Arial"/>
        </w:rPr>
      </w:pPr>
      <w:r w:rsidRPr="005E346C">
        <w:rPr>
          <w:rFonts w:cs="Arial"/>
        </w:rPr>
        <w:t>Дата на последно подновяване: 23 Октомври 2017</w:t>
      </w:r>
    </w:p>
    <w:p w14:paraId="0A56E09D" w14:textId="77777777" w:rsidR="0091385D" w:rsidRPr="0091385D" w:rsidRDefault="0091385D" w:rsidP="0091385D"/>
    <w:p w14:paraId="0E9D0119" w14:textId="1FEC128A" w:rsidR="002C50EE" w:rsidRDefault="002C50EE" w:rsidP="002C50EE">
      <w:pPr>
        <w:pStyle w:val="Heading1"/>
      </w:pPr>
      <w:r>
        <w:t>10. ДАТА НА АКТУАЛИЗИРАНЕ НА ТЕКСТА</w:t>
      </w:r>
    </w:p>
    <w:p w14:paraId="3E8FFCC4" w14:textId="34E0D3BB" w:rsidR="0091385D" w:rsidRDefault="0091385D" w:rsidP="0091385D"/>
    <w:p w14:paraId="30276F52" w14:textId="4EE97556" w:rsidR="0091385D" w:rsidRPr="005E346C" w:rsidRDefault="005E346C" w:rsidP="0091385D">
      <w:pPr>
        <w:rPr>
          <w:rFonts w:cs="Arial"/>
        </w:rPr>
      </w:pPr>
      <w:r w:rsidRPr="005E346C">
        <w:rPr>
          <w:rFonts w:cs="Arial"/>
        </w:rPr>
        <w:t>07/2022</w:t>
      </w:r>
    </w:p>
    <w:p w14:paraId="6B00148E" w14:textId="77777777" w:rsidR="0091385D" w:rsidRPr="0091385D" w:rsidRDefault="0091385D" w:rsidP="0091385D"/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94096"/>
    <w:multiLevelType w:val="hybridMultilevel"/>
    <w:tmpl w:val="9BB84C76"/>
    <w:lvl w:ilvl="0" w:tplc="E20A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C11993"/>
    <w:multiLevelType w:val="hybridMultilevel"/>
    <w:tmpl w:val="C8D29836"/>
    <w:lvl w:ilvl="0" w:tplc="E20A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D6C1E"/>
    <w:multiLevelType w:val="hybridMultilevel"/>
    <w:tmpl w:val="5310F534"/>
    <w:lvl w:ilvl="0" w:tplc="E20A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8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6"/>
  </w:num>
  <w:num w:numId="7">
    <w:abstractNumId w:val="10"/>
  </w:num>
  <w:num w:numId="8">
    <w:abstractNumId w:val="15"/>
  </w:num>
  <w:num w:numId="9">
    <w:abstractNumId w:val="2"/>
  </w:num>
  <w:num w:numId="10">
    <w:abstractNumId w:val="4"/>
  </w:num>
  <w:num w:numId="11">
    <w:abstractNumId w:val="31"/>
  </w:num>
  <w:num w:numId="12">
    <w:abstractNumId w:val="14"/>
  </w:num>
  <w:num w:numId="13">
    <w:abstractNumId w:val="19"/>
  </w:num>
  <w:num w:numId="14">
    <w:abstractNumId w:val="11"/>
  </w:num>
  <w:num w:numId="15">
    <w:abstractNumId w:val="30"/>
  </w:num>
  <w:num w:numId="16">
    <w:abstractNumId w:val="9"/>
  </w:num>
  <w:num w:numId="17">
    <w:abstractNumId w:val="24"/>
  </w:num>
  <w:num w:numId="18">
    <w:abstractNumId w:val="7"/>
  </w:num>
  <w:num w:numId="19">
    <w:abstractNumId w:val="27"/>
  </w:num>
  <w:num w:numId="20">
    <w:abstractNumId w:val="23"/>
  </w:num>
  <w:num w:numId="21">
    <w:abstractNumId w:val="17"/>
  </w:num>
  <w:num w:numId="22">
    <w:abstractNumId w:val="25"/>
  </w:num>
  <w:num w:numId="23">
    <w:abstractNumId w:val="18"/>
  </w:num>
  <w:num w:numId="24">
    <w:abstractNumId w:val="8"/>
  </w:num>
  <w:num w:numId="25">
    <w:abstractNumId w:val="22"/>
  </w:num>
  <w:num w:numId="26">
    <w:abstractNumId w:val="21"/>
  </w:num>
  <w:num w:numId="27">
    <w:abstractNumId w:val="33"/>
  </w:num>
  <w:num w:numId="28">
    <w:abstractNumId w:val="6"/>
  </w:num>
  <w:num w:numId="29">
    <w:abstractNumId w:val="20"/>
  </w:num>
  <w:num w:numId="30">
    <w:abstractNumId w:val="36"/>
  </w:num>
  <w:num w:numId="31">
    <w:abstractNumId w:val="5"/>
  </w:num>
  <w:num w:numId="32">
    <w:abstractNumId w:val="35"/>
  </w:num>
  <w:num w:numId="33">
    <w:abstractNumId w:val="29"/>
  </w:num>
  <w:num w:numId="34">
    <w:abstractNumId w:val="34"/>
  </w:num>
  <w:num w:numId="35">
    <w:abstractNumId w:val="13"/>
  </w:num>
  <w:num w:numId="36">
    <w:abstractNumId w:val="26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93A00"/>
    <w:rsid w:val="005A66D9"/>
    <w:rsid w:val="005E346C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34C8"/>
    <w:rsid w:val="00814073"/>
    <w:rsid w:val="00826F0D"/>
    <w:rsid w:val="00870646"/>
    <w:rsid w:val="00893B92"/>
    <w:rsid w:val="008A6AF2"/>
    <w:rsid w:val="008C70A2"/>
    <w:rsid w:val="008F1AF3"/>
    <w:rsid w:val="0091385D"/>
    <w:rsid w:val="009773E4"/>
    <w:rsid w:val="009B171C"/>
    <w:rsid w:val="009F1313"/>
    <w:rsid w:val="00A20351"/>
    <w:rsid w:val="00A65A81"/>
    <w:rsid w:val="00A73575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3644</Words>
  <Characters>20775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2022-12-06T13:48:00Z</dcterms:created>
  <dcterms:modified xsi:type="dcterms:W3CDTF">2022-12-06T13:48:00Z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