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318DACC6" w14:textId="77777777" w:rsidR="00375D09" w:rsidRPr="00375D09" w:rsidRDefault="00375D09" w:rsidP="00375D09">
      <w:pPr>
        <w:spacing w:line="240" w:lineRule="auto"/>
        <w:rPr>
          <w:rFonts w:eastAsia="Times New Roman" w:cs="Arial"/>
          <w:lang w:val="en-US" w:eastAsia="bg-BG"/>
        </w:rPr>
      </w:pPr>
      <w:r w:rsidRPr="00375D09">
        <w:rPr>
          <w:rFonts w:eastAsia="Times New Roman" w:cs="Arial"/>
          <w:color w:val="000000"/>
          <w:lang w:eastAsia="bg-BG"/>
        </w:rPr>
        <w:t xml:space="preserve">Ултравас 10 </w:t>
      </w:r>
      <w:r w:rsidRPr="00375D09">
        <w:rPr>
          <w:rFonts w:eastAsia="Times New Roman" w:cs="Arial"/>
          <w:color w:val="000000"/>
          <w:lang w:val="en-US"/>
        </w:rPr>
        <w:t xml:space="preserve">mg </w:t>
      </w:r>
      <w:r w:rsidRPr="00375D09">
        <w:rPr>
          <w:rFonts w:eastAsia="Times New Roman" w:cs="Arial"/>
          <w:color w:val="000000"/>
          <w:lang w:eastAsia="bg-BG"/>
        </w:rPr>
        <w:t>филмирани таблетки</w:t>
      </w:r>
    </w:p>
    <w:p w14:paraId="5015A1FD" w14:textId="2329F34F" w:rsidR="00A73575" w:rsidRPr="00375D09" w:rsidRDefault="00375D09" w:rsidP="00375D09">
      <w:pPr>
        <w:rPr>
          <w:rFonts w:cs="Arial"/>
        </w:rPr>
      </w:pPr>
      <w:proofErr w:type="spellStart"/>
      <w:r w:rsidRPr="00375D09">
        <w:rPr>
          <w:rFonts w:eastAsia="Times New Roman" w:cs="Arial"/>
          <w:color w:val="000000"/>
          <w:lang w:val="en-US"/>
        </w:rPr>
        <w:t>Ultravas</w:t>
      </w:r>
      <w:proofErr w:type="spellEnd"/>
      <w:r w:rsidRPr="00375D09">
        <w:rPr>
          <w:rFonts w:eastAsia="Times New Roman" w:cs="Arial"/>
          <w:color w:val="000000"/>
          <w:lang w:val="en-US"/>
        </w:rPr>
        <w:t xml:space="preserve"> </w:t>
      </w:r>
      <w:r w:rsidRPr="00375D09">
        <w:rPr>
          <w:rFonts w:eastAsia="Times New Roman" w:cs="Arial"/>
          <w:color w:val="000000"/>
          <w:lang w:eastAsia="bg-BG"/>
        </w:rPr>
        <w:t xml:space="preserve">10 </w:t>
      </w:r>
      <w:r w:rsidRPr="00375D09">
        <w:rPr>
          <w:rFonts w:eastAsia="Times New Roman" w:cs="Arial"/>
          <w:color w:val="000000"/>
          <w:lang w:val="en-US"/>
        </w:rPr>
        <w:t>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6D71CECF" w14:textId="77777777" w:rsidR="00375D09" w:rsidRPr="00375D09" w:rsidRDefault="00375D09" w:rsidP="00375D09">
      <w:pPr>
        <w:spacing w:line="240" w:lineRule="auto"/>
        <w:rPr>
          <w:rFonts w:eastAsia="Times New Roman" w:cs="Arial"/>
          <w:lang w:eastAsia="bg-BG"/>
        </w:rPr>
      </w:pPr>
      <w:r w:rsidRPr="00375D09">
        <w:rPr>
          <w:rFonts w:eastAsia="Times New Roman" w:cs="Arial"/>
          <w:color w:val="000000"/>
          <w:lang w:eastAsia="bg-BG"/>
        </w:rPr>
        <w:t xml:space="preserve">Всяка филмирана таблетка съдържа 10 </w:t>
      </w:r>
      <w:r w:rsidRPr="00375D09">
        <w:rPr>
          <w:rFonts w:eastAsia="Times New Roman" w:cs="Arial"/>
          <w:color w:val="000000"/>
          <w:lang w:val="en-US"/>
        </w:rPr>
        <w:t xml:space="preserve">mg </w:t>
      </w:r>
      <w:r w:rsidRPr="00375D09">
        <w:rPr>
          <w:rFonts w:eastAsia="Times New Roman" w:cs="Arial"/>
          <w:color w:val="000000"/>
          <w:lang w:eastAsia="bg-BG"/>
        </w:rPr>
        <w:t xml:space="preserve">розувастатин </w:t>
      </w:r>
      <w:r w:rsidRPr="00375D09">
        <w:rPr>
          <w:rFonts w:eastAsia="Times New Roman" w:cs="Arial"/>
          <w:i/>
          <w:iCs/>
          <w:color w:val="000000"/>
          <w:lang w:val="en-US"/>
        </w:rPr>
        <w:t>(</w:t>
      </w:r>
      <w:proofErr w:type="spellStart"/>
      <w:r w:rsidRPr="00375D09">
        <w:rPr>
          <w:rFonts w:eastAsia="Times New Roman" w:cs="Arial"/>
          <w:i/>
          <w:iCs/>
          <w:color w:val="000000"/>
          <w:lang w:val="en-US"/>
        </w:rPr>
        <w:t>rosuvastatiri</w:t>
      </w:r>
      <w:proofErr w:type="spellEnd"/>
      <w:r w:rsidRPr="00375D09">
        <w:rPr>
          <w:rFonts w:eastAsia="Times New Roman" w:cs="Arial"/>
          <w:i/>
          <w:iCs/>
          <w:color w:val="000000"/>
          <w:lang w:val="en-US"/>
        </w:rPr>
        <w:t>)</w:t>
      </w:r>
      <w:r w:rsidRPr="00375D09">
        <w:rPr>
          <w:rFonts w:eastAsia="Times New Roman" w:cs="Arial"/>
          <w:color w:val="000000"/>
          <w:lang w:val="en-US"/>
        </w:rPr>
        <w:t xml:space="preserve"> </w:t>
      </w:r>
      <w:r w:rsidRPr="00375D09">
        <w:rPr>
          <w:rFonts w:eastAsia="Times New Roman" w:cs="Arial"/>
          <w:color w:val="000000"/>
          <w:lang w:eastAsia="bg-BG"/>
        </w:rPr>
        <w:t>като розувастатин калций.</w:t>
      </w:r>
    </w:p>
    <w:p w14:paraId="46E6CCB8" w14:textId="77777777" w:rsidR="00375D09" w:rsidRPr="00375D09" w:rsidRDefault="00375D09" w:rsidP="00375D09">
      <w:pPr>
        <w:spacing w:line="240" w:lineRule="auto"/>
        <w:rPr>
          <w:rFonts w:eastAsia="Times New Roman" w:cs="Arial"/>
          <w:color w:val="000000"/>
          <w:u w:val="single"/>
          <w:lang w:eastAsia="bg-BG"/>
        </w:rPr>
      </w:pPr>
    </w:p>
    <w:p w14:paraId="4217CE11" w14:textId="091A0963" w:rsidR="00375D09" w:rsidRPr="00375D09" w:rsidRDefault="00375D09" w:rsidP="00375D09">
      <w:pPr>
        <w:spacing w:line="240" w:lineRule="auto"/>
        <w:rPr>
          <w:rFonts w:eastAsia="Times New Roman" w:cs="Arial"/>
          <w:lang w:eastAsia="bg-BG"/>
        </w:rPr>
      </w:pPr>
      <w:r w:rsidRPr="00375D09">
        <w:rPr>
          <w:rFonts w:eastAsia="Times New Roman" w:cs="Arial"/>
          <w:color w:val="000000"/>
          <w:u w:val="single"/>
          <w:lang w:eastAsia="bg-BG"/>
        </w:rPr>
        <w:t>Помощно вещество с известно действие</w:t>
      </w:r>
      <w:r w:rsidRPr="00375D09">
        <w:rPr>
          <w:rFonts w:eastAsia="Times New Roman" w:cs="Arial"/>
          <w:color w:val="000000"/>
          <w:lang w:eastAsia="bg-BG"/>
        </w:rPr>
        <w:t>:</w:t>
      </w:r>
    </w:p>
    <w:p w14:paraId="26492730" w14:textId="77777777" w:rsidR="00375D09" w:rsidRPr="00375D09" w:rsidRDefault="00375D09" w:rsidP="00375D09">
      <w:pPr>
        <w:spacing w:line="240" w:lineRule="auto"/>
        <w:rPr>
          <w:rFonts w:eastAsia="Times New Roman" w:cs="Arial"/>
          <w:lang w:eastAsia="bg-BG"/>
        </w:rPr>
      </w:pPr>
      <w:r w:rsidRPr="00375D09">
        <w:rPr>
          <w:rFonts w:eastAsia="Times New Roman" w:cs="Arial"/>
          <w:color w:val="000000"/>
          <w:lang w:eastAsia="bg-BG"/>
        </w:rPr>
        <w:t xml:space="preserve">Всяка таблетка от 10 </w:t>
      </w:r>
      <w:r w:rsidRPr="00375D09">
        <w:rPr>
          <w:rFonts w:eastAsia="Times New Roman" w:cs="Arial"/>
          <w:color w:val="000000"/>
          <w:lang w:val="en-US"/>
        </w:rPr>
        <w:t xml:space="preserve">mg </w:t>
      </w:r>
      <w:r w:rsidRPr="00375D09">
        <w:rPr>
          <w:rFonts w:eastAsia="Times New Roman" w:cs="Arial"/>
          <w:color w:val="000000"/>
          <w:lang w:eastAsia="bg-BG"/>
        </w:rPr>
        <w:t xml:space="preserve">съдържа 42,489 </w:t>
      </w:r>
      <w:r w:rsidRPr="00375D09">
        <w:rPr>
          <w:rFonts w:eastAsia="Times New Roman" w:cs="Arial"/>
          <w:color w:val="000000"/>
          <w:lang w:val="en-US"/>
        </w:rPr>
        <w:t xml:space="preserve">mg </w:t>
      </w:r>
      <w:r w:rsidRPr="00375D09">
        <w:rPr>
          <w:rFonts w:eastAsia="Times New Roman" w:cs="Arial"/>
          <w:color w:val="000000"/>
          <w:lang w:eastAsia="bg-BG"/>
        </w:rPr>
        <w:t>лактоза монохидрат.</w:t>
      </w:r>
    </w:p>
    <w:p w14:paraId="5EEB6F4F" w14:textId="77777777" w:rsidR="00375D09" w:rsidRPr="00375D09" w:rsidRDefault="00375D09" w:rsidP="00375D09">
      <w:pPr>
        <w:rPr>
          <w:rFonts w:eastAsia="Times New Roman" w:cs="Arial"/>
          <w:color w:val="000000"/>
          <w:lang w:eastAsia="bg-BG"/>
        </w:rPr>
      </w:pPr>
    </w:p>
    <w:p w14:paraId="03110A50" w14:textId="1128A26A" w:rsidR="0091385D" w:rsidRPr="00375D09" w:rsidRDefault="00375D09" w:rsidP="00375D09">
      <w:pPr>
        <w:rPr>
          <w:rFonts w:cs="Arial"/>
        </w:rPr>
      </w:pPr>
      <w:r w:rsidRPr="00375D09">
        <w:rPr>
          <w:rFonts w:eastAsia="Times New Roman" w:cs="Arial"/>
          <w:color w:val="00000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30AF2655" w14:textId="77777777" w:rsidR="00375D09" w:rsidRPr="003A6F0D" w:rsidRDefault="00375D09" w:rsidP="0091385D">
      <w:r w:rsidRPr="003A6F0D">
        <w:t xml:space="preserve">Филмирана таблетка </w:t>
      </w:r>
    </w:p>
    <w:p w14:paraId="4129ADBB" w14:textId="6D6AAE57" w:rsidR="0091385D" w:rsidRPr="003A6F0D" w:rsidRDefault="00375D09" w:rsidP="0091385D">
      <w:r w:rsidRPr="003A6F0D">
        <w:t>Розови, кръгли филмирани таблетки.</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6E8F90A9" w14:textId="77777777" w:rsidR="00375D09" w:rsidRPr="00375D09" w:rsidRDefault="00375D09" w:rsidP="00375D09">
      <w:pPr>
        <w:spacing w:line="240" w:lineRule="auto"/>
        <w:rPr>
          <w:rFonts w:eastAsia="Times New Roman" w:cs="Arial"/>
          <w:sz w:val="24"/>
          <w:szCs w:val="24"/>
          <w:lang w:eastAsia="bg-BG"/>
        </w:rPr>
      </w:pPr>
      <w:bookmarkStart w:id="1" w:name="bookmark0"/>
      <w:r w:rsidRPr="00375D09">
        <w:rPr>
          <w:rFonts w:eastAsia="Times New Roman" w:cs="Arial"/>
          <w:b/>
          <w:bCs/>
          <w:color w:val="000000"/>
          <w:lang w:eastAsia="bg-BG"/>
        </w:rPr>
        <w:t>Лечение на хиперхолестеролемия</w:t>
      </w:r>
      <w:bookmarkEnd w:id="1"/>
    </w:p>
    <w:p w14:paraId="14ADA7CC"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Възрастни, юноши и деца на или над 6-годишна възраст с първична хиперхолестеролемия (тип IIа, включително хетерозиготна фамилна хиперхолестеролемия) или смесена дислипидемия (тип II</w:t>
      </w:r>
      <w:r w:rsidRPr="00375D09">
        <w:rPr>
          <w:rFonts w:eastAsia="Times New Roman" w:cs="Arial"/>
          <w:color w:val="000000"/>
          <w:lang w:val="en-US"/>
        </w:rPr>
        <w:t>b</w:t>
      </w:r>
      <w:r w:rsidRPr="00375D09">
        <w:rPr>
          <w:rFonts w:eastAsia="Times New Roman" w:cs="Arial"/>
          <w:color w:val="000000"/>
          <w:lang w:eastAsia="bg-BG"/>
        </w:rPr>
        <w:t>) като добавка към диетата, когато резултатът от диетата и други нефармакологични мерки (напр. физически упражнения, намаляване на теглото) не е задоволителен.</w:t>
      </w:r>
    </w:p>
    <w:p w14:paraId="527B5B9A" w14:textId="77777777" w:rsidR="00375D09" w:rsidRPr="00375D09" w:rsidRDefault="00375D09" w:rsidP="00375D09">
      <w:pPr>
        <w:spacing w:line="240" w:lineRule="auto"/>
        <w:rPr>
          <w:rFonts w:eastAsia="Times New Roman" w:cs="Arial"/>
          <w:color w:val="000000"/>
          <w:lang w:eastAsia="bg-BG"/>
        </w:rPr>
      </w:pPr>
    </w:p>
    <w:p w14:paraId="650AEF16" w14:textId="7E7E687C"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Възрастни, юноши и деца на или над 6-годишна възраст с хомозиготна фамилна хиперхолестеролемия като добавка към диетата, както и с друго липцдопонижаващо лечение (напр. </w:t>
      </w:r>
      <w:r w:rsidRPr="00375D09">
        <w:rPr>
          <w:rFonts w:eastAsia="Times New Roman" w:cs="Arial"/>
          <w:color w:val="000000"/>
          <w:lang w:val="en-US"/>
        </w:rPr>
        <w:t xml:space="preserve">LDL </w:t>
      </w:r>
      <w:r w:rsidRPr="00375D09">
        <w:rPr>
          <w:rFonts w:eastAsia="Times New Roman" w:cs="Arial"/>
          <w:color w:val="000000"/>
          <w:lang w:eastAsia="bg-BG"/>
        </w:rPr>
        <w:t>афереза) или когато това лечение не е подходящо.</w:t>
      </w:r>
    </w:p>
    <w:p w14:paraId="053ECA67" w14:textId="77777777" w:rsidR="00375D09" w:rsidRPr="00375D09" w:rsidRDefault="00375D09" w:rsidP="00375D09">
      <w:pPr>
        <w:spacing w:line="240" w:lineRule="auto"/>
        <w:rPr>
          <w:rFonts w:eastAsia="Times New Roman" w:cs="Arial"/>
          <w:b/>
          <w:bCs/>
          <w:color w:val="000000"/>
          <w:lang w:eastAsia="bg-BG"/>
        </w:rPr>
      </w:pPr>
      <w:bookmarkStart w:id="2" w:name="bookmark2"/>
    </w:p>
    <w:p w14:paraId="6F82FEBF" w14:textId="6175F4D7"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Превенция на сърдечно-съдови събития</w:t>
      </w:r>
      <w:bookmarkEnd w:id="2"/>
    </w:p>
    <w:p w14:paraId="6DFA4B9D" w14:textId="54E79347" w:rsidR="0091385D" w:rsidRPr="00375D09" w:rsidRDefault="00375D09" w:rsidP="00375D09">
      <w:pPr>
        <w:rPr>
          <w:rFonts w:eastAsia="Times New Roman" w:cs="Arial"/>
          <w:color w:val="000000"/>
          <w:lang w:eastAsia="bg-BG"/>
        </w:rPr>
      </w:pPr>
      <w:r w:rsidRPr="00375D09">
        <w:rPr>
          <w:rFonts w:eastAsia="Times New Roman" w:cs="Arial"/>
          <w:color w:val="000000"/>
          <w:lang w:eastAsia="bg-BG"/>
        </w:rPr>
        <w:t>Предотвратяване на големи сърдечно-съдови събития при пациенти, оценени с висок риск за първо сърдечно-съдово събитие (вж. точка 5.1), като допълнение към коригирането на други рискови фактори.</w:t>
      </w:r>
    </w:p>
    <w:p w14:paraId="5309FE08" w14:textId="77777777" w:rsidR="00375D09" w:rsidRPr="0091385D" w:rsidRDefault="00375D09" w:rsidP="00375D09"/>
    <w:p w14:paraId="30BE2C7B" w14:textId="3633C1E4" w:rsidR="008134C8" w:rsidRDefault="002C50EE" w:rsidP="004A448E">
      <w:pPr>
        <w:pStyle w:val="Heading2"/>
      </w:pPr>
      <w:r>
        <w:lastRenderedPageBreak/>
        <w:t>4.2. Дозировка и начин на приложение</w:t>
      </w:r>
    </w:p>
    <w:p w14:paraId="7AA22B68" w14:textId="3A681DFB" w:rsidR="0091385D" w:rsidRDefault="0091385D" w:rsidP="0091385D"/>
    <w:p w14:paraId="6F35F88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Изборът на дозировка се определя от индивидуалните терапевтични цели, които се определят от препоръките на съвременните консенсусни ръководства за контрол на холестеролемията.</w:t>
      </w:r>
    </w:p>
    <w:p w14:paraId="1A2A5357" w14:textId="77777777" w:rsidR="00375D09" w:rsidRPr="00375D09" w:rsidRDefault="00375D09" w:rsidP="00375D09">
      <w:pPr>
        <w:spacing w:line="240" w:lineRule="auto"/>
        <w:rPr>
          <w:rFonts w:eastAsia="Times New Roman" w:cs="Arial"/>
          <w:color w:val="000000"/>
          <w:lang w:eastAsia="bg-BG"/>
        </w:rPr>
      </w:pPr>
    </w:p>
    <w:p w14:paraId="048C0D57" w14:textId="153E73B9"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Ултравас може да се приема по всяко време на деня, със или без храна.</w:t>
      </w:r>
    </w:p>
    <w:p w14:paraId="11B61C41" w14:textId="77777777" w:rsidR="00375D09" w:rsidRPr="00375D09" w:rsidRDefault="00375D09" w:rsidP="00375D09">
      <w:pPr>
        <w:spacing w:line="240" w:lineRule="auto"/>
        <w:rPr>
          <w:rFonts w:eastAsia="Times New Roman" w:cs="Arial"/>
          <w:b/>
          <w:bCs/>
          <w:color w:val="000000"/>
          <w:lang w:eastAsia="bg-BG"/>
        </w:rPr>
      </w:pPr>
    </w:p>
    <w:p w14:paraId="0BE8825F" w14:textId="17EA4718"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Лечение на хиперхолестеролемия</w:t>
      </w:r>
    </w:p>
    <w:p w14:paraId="140CD3A7" w14:textId="77777777" w:rsidR="00375D09" w:rsidRPr="00375D09" w:rsidRDefault="00375D09" w:rsidP="00375D09">
      <w:pPr>
        <w:rPr>
          <w:rFonts w:eastAsia="Times New Roman" w:cs="Arial"/>
          <w:sz w:val="24"/>
          <w:szCs w:val="24"/>
          <w:lang w:eastAsia="bg-BG"/>
        </w:rPr>
      </w:pPr>
      <w:r w:rsidRPr="00375D09">
        <w:rPr>
          <w:rFonts w:eastAsia="Times New Roman" w:cs="Arial"/>
          <w:color w:val="000000"/>
          <w:lang w:eastAsia="bg-BG"/>
        </w:rPr>
        <w:t xml:space="preserve">Препоръчваната начална доза е 5 </w:t>
      </w:r>
      <w:r w:rsidRPr="00375D09">
        <w:rPr>
          <w:rFonts w:eastAsia="Times New Roman" w:cs="Arial"/>
          <w:color w:val="000000"/>
          <w:lang w:val="en-US"/>
        </w:rPr>
        <w:t xml:space="preserve">mg </w:t>
      </w:r>
      <w:r w:rsidRPr="00375D09">
        <w:rPr>
          <w:rFonts w:eastAsia="Times New Roman" w:cs="Arial"/>
          <w:color w:val="000000"/>
          <w:lang w:eastAsia="bg-BG"/>
        </w:rPr>
        <w:t xml:space="preserve">или 10 </w:t>
      </w:r>
      <w:r w:rsidRPr="00375D09">
        <w:rPr>
          <w:rFonts w:eastAsia="Times New Roman" w:cs="Arial"/>
          <w:color w:val="000000"/>
          <w:lang w:val="en-US"/>
        </w:rPr>
        <w:t xml:space="preserve">mg </w:t>
      </w:r>
      <w:r w:rsidRPr="00375D09">
        <w:rPr>
          <w:rFonts w:eastAsia="Times New Roman" w:cs="Arial"/>
          <w:color w:val="000000"/>
          <w:lang w:eastAsia="bg-BG"/>
        </w:rPr>
        <w:t xml:space="preserve">перорално веднъж дневно, както при пациенти, които не са приемали стативи, така и при преминаване от друг инхибитор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Изборът  на началната доза от лекарството зависи от нивото на серумния холестерол, бъдещия сърдечно-съдов риск и риска от поява на нежелани реакции към лечението (виж по-долу). При необходимост, дозата може да се коригира, като след 4 седмици се премине на следващото дозово ниво (вж. точка 5.1). В сравнение с по-ниските дози и предвид повишената честота на съобщаване на нежелани реакции при доза от 40 </w:t>
      </w:r>
      <w:r w:rsidRPr="00375D09">
        <w:rPr>
          <w:rFonts w:eastAsia="Times New Roman" w:cs="Arial"/>
          <w:color w:val="000000"/>
          <w:lang w:val="en-US"/>
        </w:rPr>
        <w:t xml:space="preserve">mg </w:t>
      </w:r>
      <w:r w:rsidRPr="00375D09">
        <w:rPr>
          <w:rFonts w:eastAsia="Times New Roman" w:cs="Arial"/>
          <w:color w:val="000000"/>
          <w:lang w:eastAsia="bg-BG"/>
        </w:rPr>
        <w:t xml:space="preserve">(вж. точка 4.8), последно титриране до максималната доза от 40 </w:t>
      </w:r>
      <w:r w:rsidRPr="00375D09">
        <w:rPr>
          <w:rFonts w:eastAsia="Times New Roman" w:cs="Arial"/>
          <w:color w:val="000000"/>
          <w:lang w:val="en-US"/>
        </w:rPr>
        <w:t xml:space="preserve">mg </w:t>
      </w:r>
      <w:r w:rsidRPr="00375D09">
        <w:rPr>
          <w:rFonts w:eastAsia="Times New Roman" w:cs="Arial"/>
          <w:color w:val="000000"/>
          <w:lang w:eastAsia="bg-BG"/>
        </w:rPr>
        <w:t xml:space="preserve">трябва да се предприема само при пациенти с тежка хиперхолестеролемия с висок сърдечно-съдов риск (особено тези с фамилна хиперхолестеролемия), които не достигат желаното ниво на холестерол при лечение с 20 </w:t>
      </w:r>
      <w:r w:rsidRPr="00375D09">
        <w:rPr>
          <w:rFonts w:eastAsia="Times New Roman" w:cs="Arial"/>
          <w:color w:val="000000"/>
          <w:lang w:val="en-US"/>
        </w:rPr>
        <w:t xml:space="preserve">mg </w:t>
      </w:r>
      <w:r w:rsidRPr="00375D09">
        <w:rPr>
          <w:rFonts w:eastAsia="Times New Roman" w:cs="Arial"/>
          <w:color w:val="000000"/>
          <w:lang w:eastAsia="bg-BG"/>
        </w:rPr>
        <w:t xml:space="preserve">и при които ще се прави рутинно проследяване в хода на лечението (вж. точка 4.4). При започване на лечение с 40 </w:t>
      </w:r>
      <w:r w:rsidRPr="00375D09">
        <w:rPr>
          <w:rFonts w:eastAsia="Times New Roman" w:cs="Arial"/>
          <w:color w:val="000000"/>
          <w:lang w:val="en-US"/>
        </w:rPr>
        <w:t xml:space="preserve">mg </w:t>
      </w:r>
      <w:r w:rsidRPr="00375D09">
        <w:rPr>
          <w:rFonts w:eastAsia="Times New Roman" w:cs="Arial"/>
          <w:color w:val="000000"/>
          <w:lang w:eastAsia="bg-BG"/>
        </w:rPr>
        <w:t>се препоръчва постоянно наблюдение на пациента от специалист.</w:t>
      </w:r>
    </w:p>
    <w:p w14:paraId="13F6EE79" w14:textId="77777777" w:rsidR="00375D09" w:rsidRPr="00375D09" w:rsidRDefault="00375D09" w:rsidP="00375D09">
      <w:pPr>
        <w:spacing w:line="240" w:lineRule="auto"/>
        <w:rPr>
          <w:rFonts w:eastAsia="Times New Roman" w:cs="Arial"/>
          <w:b/>
          <w:bCs/>
          <w:color w:val="000000"/>
          <w:lang w:eastAsia="bg-BG"/>
        </w:rPr>
      </w:pPr>
    </w:p>
    <w:p w14:paraId="4B20644A" w14:textId="14C2E5CF"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Превенция на сърдечно-съдови събития</w:t>
      </w:r>
    </w:p>
    <w:p w14:paraId="34B454AF"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В проучването за понижаване на риска от сърдечно-съдови събития е използвана доза от 20 </w:t>
      </w:r>
      <w:r w:rsidRPr="00375D09">
        <w:rPr>
          <w:rFonts w:eastAsia="Times New Roman" w:cs="Arial"/>
          <w:color w:val="000000"/>
          <w:lang w:val="en-US"/>
        </w:rPr>
        <w:t xml:space="preserve">mg </w:t>
      </w:r>
      <w:r w:rsidRPr="00375D09">
        <w:rPr>
          <w:rFonts w:eastAsia="Times New Roman" w:cs="Arial"/>
          <w:color w:val="000000"/>
          <w:lang w:eastAsia="bg-BG"/>
        </w:rPr>
        <w:t>(вж. точка 5.1).</w:t>
      </w:r>
    </w:p>
    <w:p w14:paraId="7FFC7FE1" w14:textId="77777777" w:rsidR="00375D09" w:rsidRPr="00375D09" w:rsidRDefault="00375D09" w:rsidP="00375D09">
      <w:pPr>
        <w:spacing w:line="240" w:lineRule="auto"/>
        <w:rPr>
          <w:rFonts w:eastAsia="Times New Roman" w:cs="Arial"/>
          <w:b/>
          <w:bCs/>
          <w:color w:val="000000"/>
          <w:lang w:eastAsia="bg-BG"/>
        </w:rPr>
      </w:pPr>
    </w:p>
    <w:p w14:paraId="05218356" w14:textId="5FF974A3"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Педиатрична популация</w:t>
      </w:r>
    </w:p>
    <w:p w14:paraId="71B831D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Употребата при деца трябва да се провежда само от специалисти</w:t>
      </w:r>
    </w:p>
    <w:p w14:paraId="6E9B8991" w14:textId="77777777" w:rsidR="00375D09" w:rsidRPr="00375D09" w:rsidRDefault="00375D09" w:rsidP="00375D09">
      <w:pPr>
        <w:spacing w:line="240" w:lineRule="auto"/>
        <w:rPr>
          <w:rFonts w:eastAsia="Times New Roman" w:cs="Arial"/>
          <w:color w:val="000000"/>
          <w:u w:val="single"/>
          <w:lang w:eastAsia="bg-BG"/>
        </w:rPr>
      </w:pPr>
    </w:p>
    <w:p w14:paraId="425CD667" w14:textId="17E606B2"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u w:val="single"/>
          <w:lang w:eastAsia="bg-BG"/>
        </w:rPr>
        <w:t>Деца и юноши на възраст 6 до 17 години (стадий &lt;II-</w:t>
      </w:r>
      <w:r w:rsidRPr="00375D09">
        <w:rPr>
          <w:rFonts w:eastAsia="Times New Roman" w:cs="Arial"/>
          <w:color w:val="000000"/>
          <w:u w:val="single"/>
          <w:lang w:val="en-US"/>
        </w:rPr>
        <w:t>V</w:t>
      </w:r>
      <w:r w:rsidRPr="00375D09">
        <w:rPr>
          <w:rFonts w:eastAsia="Times New Roman" w:cs="Arial"/>
          <w:color w:val="000000"/>
          <w:u w:val="single"/>
          <w:lang w:eastAsia="bg-BG"/>
        </w:rPr>
        <w:t xml:space="preserve"> по Танер)</w:t>
      </w:r>
    </w:p>
    <w:p w14:paraId="7E9A0A67"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u w:val="single"/>
          <w:lang w:eastAsia="bg-BG"/>
        </w:rPr>
        <w:t>Хетерозиготна Фамилна хиперхолестеролемия</w:t>
      </w:r>
    </w:p>
    <w:p w14:paraId="768DFB37"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деца и юноши с хетерозиготна фамилна хиперхолестеролемия обичайната начална доза е 5 </w:t>
      </w:r>
      <w:r w:rsidRPr="00375D09">
        <w:rPr>
          <w:rFonts w:eastAsia="Times New Roman" w:cs="Arial"/>
          <w:color w:val="000000"/>
          <w:lang w:val="en-US"/>
        </w:rPr>
        <w:t xml:space="preserve">mg </w:t>
      </w:r>
      <w:r w:rsidRPr="00375D09">
        <w:rPr>
          <w:rFonts w:eastAsia="Times New Roman" w:cs="Arial"/>
          <w:color w:val="000000"/>
          <w:lang w:eastAsia="bg-BG"/>
        </w:rPr>
        <w:t>дневно.</w:t>
      </w:r>
    </w:p>
    <w:p w14:paraId="4C27BBE9" w14:textId="77777777" w:rsidR="009530E2" w:rsidRPr="009530E2" w:rsidRDefault="00375D09" w:rsidP="00375D09">
      <w:pPr>
        <w:pStyle w:val="ListParagraph"/>
        <w:numPr>
          <w:ilvl w:val="0"/>
          <w:numId w:val="42"/>
        </w:numPr>
        <w:spacing w:line="240" w:lineRule="auto"/>
        <w:rPr>
          <w:rFonts w:eastAsia="Times New Roman" w:cs="Arial"/>
          <w:sz w:val="24"/>
          <w:szCs w:val="24"/>
          <w:lang w:eastAsia="bg-BG"/>
        </w:rPr>
      </w:pPr>
      <w:r w:rsidRPr="009530E2">
        <w:rPr>
          <w:rFonts w:eastAsia="Times New Roman" w:cs="Arial"/>
          <w:color w:val="000000"/>
          <w:lang w:eastAsia="bg-BG"/>
        </w:rPr>
        <w:t xml:space="preserve">При деца на възраст 6 до 9 години с хетерозиготна фамилна хиперхолестеролемия обичайният дозов диапазон е 5-10 </w:t>
      </w:r>
      <w:r w:rsidRPr="009530E2">
        <w:rPr>
          <w:rFonts w:eastAsia="Times New Roman" w:cs="Arial"/>
          <w:color w:val="000000"/>
          <w:lang w:val="en-US"/>
        </w:rPr>
        <w:t xml:space="preserve">mg </w:t>
      </w:r>
      <w:r w:rsidRPr="009530E2">
        <w:rPr>
          <w:rFonts w:eastAsia="Times New Roman" w:cs="Arial"/>
          <w:color w:val="000000"/>
          <w:lang w:eastAsia="bg-BG"/>
        </w:rPr>
        <w:t xml:space="preserve">перорално веднъж дневно. Безопасността и ефикасността на дози по- високи от 10 </w:t>
      </w:r>
      <w:r w:rsidRPr="009530E2">
        <w:rPr>
          <w:rFonts w:eastAsia="Times New Roman" w:cs="Arial"/>
          <w:color w:val="000000"/>
          <w:lang w:val="en-US"/>
        </w:rPr>
        <w:t xml:space="preserve">mg </w:t>
      </w:r>
      <w:r w:rsidRPr="009530E2">
        <w:rPr>
          <w:rFonts w:eastAsia="Times New Roman" w:cs="Arial"/>
          <w:color w:val="000000"/>
          <w:lang w:eastAsia="bg-BG"/>
        </w:rPr>
        <w:t>не са проучвани при тази популация.</w:t>
      </w:r>
    </w:p>
    <w:p w14:paraId="42C6187B" w14:textId="578CB5CF" w:rsidR="00375D09" w:rsidRPr="009530E2" w:rsidRDefault="00375D09" w:rsidP="00375D09">
      <w:pPr>
        <w:pStyle w:val="ListParagraph"/>
        <w:numPr>
          <w:ilvl w:val="0"/>
          <w:numId w:val="42"/>
        </w:numPr>
        <w:spacing w:line="240" w:lineRule="auto"/>
        <w:rPr>
          <w:rFonts w:eastAsia="Times New Roman" w:cs="Arial"/>
          <w:sz w:val="24"/>
          <w:szCs w:val="24"/>
          <w:lang w:eastAsia="bg-BG"/>
        </w:rPr>
      </w:pPr>
      <w:r w:rsidRPr="009530E2">
        <w:rPr>
          <w:rFonts w:eastAsia="Times New Roman" w:cs="Arial"/>
          <w:color w:val="000000"/>
          <w:lang w:eastAsia="bg-BG"/>
        </w:rPr>
        <w:t xml:space="preserve">При деца на възраст 10 до 17 години с хетерозиготна фамилна хиперхолестеролемия обичайният дозов диапазон е 5-20 </w:t>
      </w:r>
      <w:r w:rsidRPr="009530E2">
        <w:rPr>
          <w:rFonts w:eastAsia="Times New Roman" w:cs="Arial"/>
          <w:color w:val="000000"/>
          <w:lang w:val="en-US"/>
        </w:rPr>
        <w:t xml:space="preserve">mg </w:t>
      </w:r>
      <w:r w:rsidRPr="009530E2">
        <w:rPr>
          <w:rFonts w:eastAsia="Times New Roman" w:cs="Arial"/>
          <w:color w:val="000000"/>
          <w:lang w:eastAsia="bg-BG"/>
        </w:rPr>
        <w:t xml:space="preserve">перорално веднъж дневно. Безопасността и ефикасността на дози по-високи от 20 </w:t>
      </w:r>
      <w:r w:rsidRPr="009530E2">
        <w:rPr>
          <w:rFonts w:eastAsia="Times New Roman" w:cs="Arial"/>
          <w:color w:val="000000"/>
          <w:lang w:val="en-US"/>
        </w:rPr>
        <w:t xml:space="preserve">mg </w:t>
      </w:r>
      <w:r w:rsidRPr="009530E2">
        <w:rPr>
          <w:rFonts w:eastAsia="Times New Roman" w:cs="Arial"/>
          <w:color w:val="000000"/>
          <w:lang w:eastAsia="bg-BG"/>
        </w:rPr>
        <w:t>не са проучвани при тази популация.</w:t>
      </w:r>
    </w:p>
    <w:p w14:paraId="29074B71" w14:textId="77777777" w:rsidR="00375D09" w:rsidRPr="00375D09" w:rsidRDefault="00375D09" w:rsidP="00375D09">
      <w:pPr>
        <w:spacing w:line="240" w:lineRule="auto"/>
        <w:rPr>
          <w:rFonts w:eastAsia="Times New Roman" w:cs="Arial"/>
          <w:color w:val="000000"/>
          <w:lang w:eastAsia="bg-BG"/>
        </w:rPr>
      </w:pPr>
    </w:p>
    <w:p w14:paraId="44A5FEF3" w14:textId="7E2D4043"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Титрирането трябва да се провежда съгласно индивидуалния отговор и поносимост на педиатричните пациенти, както се препоръчва в препоръките за лечение на деца (вж. точка 4.4). Децата и юношите трябва да се подложат на стандартна холестероло-</w:t>
      </w:r>
      <w:r w:rsidRPr="00375D09">
        <w:rPr>
          <w:rFonts w:eastAsia="Times New Roman" w:cs="Arial"/>
          <w:color w:val="000000"/>
          <w:lang w:eastAsia="bg-BG"/>
        </w:rPr>
        <w:lastRenderedPageBreak/>
        <w:t>понижаваща диета преди да се започне лечение с розувастатин; диетата трябва да се продължи по време на лечението с розувастатин.</w:t>
      </w:r>
    </w:p>
    <w:p w14:paraId="520E0045" w14:textId="77777777" w:rsidR="00375D09" w:rsidRPr="00375D09" w:rsidRDefault="00375D09" w:rsidP="00375D09">
      <w:pPr>
        <w:spacing w:line="240" w:lineRule="auto"/>
        <w:rPr>
          <w:rFonts w:eastAsia="Times New Roman" w:cs="Arial"/>
          <w:color w:val="000000"/>
          <w:lang w:eastAsia="bg-BG"/>
        </w:rPr>
      </w:pPr>
    </w:p>
    <w:p w14:paraId="2F328912" w14:textId="45FB3ADD"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Хомозиготна фамилна хиперхолестеролемия</w:t>
      </w:r>
    </w:p>
    <w:p w14:paraId="40C13462"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деца на възраст 6 до 17 години с хомозиготна фамилна хиперхолестеролемия, препоръчителната доза е 20 </w:t>
      </w:r>
      <w:r w:rsidRPr="00375D09">
        <w:rPr>
          <w:rFonts w:eastAsia="Times New Roman" w:cs="Arial"/>
          <w:color w:val="000000"/>
          <w:lang w:val="en-US"/>
        </w:rPr>
        <w:t xml:space="preserve">mg </w:t>
      </w:r>
      <w:r w:rsidRPr="00375D09">
        <w:rPr>
          <w:rFonts w:eastAsia="Times New Roman" w:cs="Arial"/>
          <w:color w:val="000000"/>
          <w:lang w:eastAsia="bg-BG"/>
        </w:rPr>
        <w:t xml:space="preserve">веднъж дневно. Има ограничен опит с дози различни от 20 </w:t>
      </w:r>
      <w:r w:rsidRPr="00375D09">
        <w:rPr>
          <w:rFonts w:eastAsia="Times New Roman" w:cs="Arial"/>
          <w:color w:val="000000"/>
          <w:lang w:val="en-US"/>
        </w:rPr>
        <w:t xml:space="preserve">mg </w:t>
      </w:r>
      <w:r w:rsidRPr="00375D09">
        <w:rPr>
          <w:rFonts w:eastAsia="Times New Roman" w:cs="Arial"/>
          <w:color w:val="000000"/>
          <w:lang w:eastAsia="bg-BG"/>
        </w:rPr>
        <w:t>при тази популация.</w:t>
      </w:r>
    </w:p>
    <w:p w14:paraId="4F0359F5"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Таблетката от 40 </w:t>
      </w:r>
      <w:r w:rsidRPr="00375D09">
        <w:rPr>
          <w:rFonts w:eastAsia="Times New Roman" w:cs="Arial"/>
          <w:color w:val="000000"/>
          <w:lang w:val="en-US"/>
        </w:rPr>
        <w:t xml:space="preserve">mg </w:t>
      </w:r>
      <w:r w:rsidRPr="00375D09">
        <w:rPr>
          <w:rFonts w:eastAsia="Times New Roman" w:cs="Arial"/>
          <w:color w:val="000000"/>
          <w:lang w:eastAsia="bg-BG"/>
        </w:rPr>
        <w:t>не е подходяща за употреба при педиатрични пациенти.</w:t>
      </w:r>
    </w:p>
    <w:p w14:paraId="17E437B6" w14:textId="77777777" w:rsidR="00375D09" w:rsidRPr="00375D09" w:rsidRDefault="00375D09" w:rsidP="00375D09">
      <w:pPr>
        <w:spacing w:line="240" w:lineRule="auto"/>
        <w:rPr>
          <w:rFonts w:eastAsia="Times New Roman" w:cs="Arial"/>
          <w:color w:val="000000"/>
          <w:u w:val="single"/>
          <w:lang w:eastAsia="bg-BG"/>
        </w:rPr>
      </w:pPr>
    </w:p>
    <w:p w14:paraId="4E9EFB59" w14:textId="03275B3F"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u w:val="single"/>
          <w:lang w:eastAsia="bg-BG"/>
        </w:rPr>
        <w:t>Деца по-малки от 6 години</w:t>
      </w:r>
    </w:p>
    <w:p w14:paraId="441D5C0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Безопасността и ефикасността на употребата при деца по-малки от 6 години не са проучвани. Следователно Ултравас не се препоръчва за употребата при деца по-малки от 6 години.</w:t>
      </w:r>
    </w:p>
    <w:p w14:paraId="31439E8E" w14:textId="77777777" w:rsidR="00375D09" w:rsidRPr="00375D09" w:rsidRDefault="00375D09" w:rsidP="00375D09">
      <w:pPr>
        <w:spacing w:line="240" w:lineRule="auto"/>
        <w:rPr>
          <w:rFonts w:eastAsia="Times New Roman" w:cs="Arial"/>
          <w:b/>
          <w:bCs/>
          <w:color w:val="000000"/>
          <w:lang w:eastAsia="bg-BG"/>
        </w:rPr>
      </w:pPr>
      <w:bookmarkStart w:id="3" w:name="bookmark4"/>
    </w:p>
    <w:p w14:paraId="35603217" w14:textId="293A00F6"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Употреба при пациенти в старческа възраст</w:t>
      </w:r>
      <w:bookmarkEnd w:id="3"/>
    </w:p>
    <w:p w14:paraId="466E6303"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Препоръчваната начална доза при пациенти над 70-годишна възраст е 5 </w:t>
      </w:r>
      <w:r w:rsidRPr="00375D09">
        <w:rPr>
          <w:rFonts w:eastAsia="Times New Roman" w:cs="Arial"/>
          <w:color w:val="000000"/>
          <w:lang w:val="en-US"/>
        </w:rPr>
        <w:t xml:space="preserve">mg </w:t>
      </w:r>
      <w:r w:rsidRPr="00375D09">
        <w:rPr>
          <w:rFonts w:eastAsia="Times New Roman" w:cs="Arial"/>
          <w:color w:val="000000"/>
          <w:lang w:eastAsia="bg-BG"/>
        </w:rPr>
        <w:t>(вж. точка 4.4). Друго коригиране на дозата в зависимост от възрастта не е необходимо.</w:t>
      </w:r>
    </w:p>
    <w:p w14:paraId="034E7077" w14:textId="77777777" w:rsidR="00375D09" w:rsidRPr="00375D09" w:rsidRDefault="00375D09" w:rsidP="00375D09">
      <w:pPr>
        <w:spacing w:line="240" w:lineRule="auto"/>
        <w:rPr>
          <w:rFonts w:eastAsia="Times New Roman" w:cs="Arial"/>
          <w:b/>
          <w:bCs/>
          <w:color w:val="000000"/>
          <w:lang w:eastAsia="bg-BG"/>
        </w:rPr>
      </w:pPr>
      <w:bookmarkStart w:id="4" w:name="bookmark6"/>
    </w:p>
    <w:p w14:paraId="13D94EF2" w14:textId="0A26887A"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Дозиране при пациенти с бъбречна недостатъчност</w:t>
      </w:r>
      <w:bookmarkEnd w:id="4"/>
    </w:p>
    <w:p w14:paraId="12B66020"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пациенти с леко до умерено тежко бъбречно увреждане не се налага коригиране на дозата. При пациенти с умерено тежко бъбречно увреждане препоръчваната първоначална доза е 5 </w:t>
      </w:r>
      <w:r w:rsidRPr="00375D09">
        <w:rPr>
          <w:rFonts w:eastAsia="Times New Roman" w:cs="Arial"/>
          <w:color w:val="000000"/>
          <w:lang w:val="en-US"/>
        </w:rPr>
        <w:t xml:space="preserve">mg </w:t>
      </w:r>
      <w:r w:rsidRPr="00375D09">
        <w:rPr>
          <w:rFonts w:eastAsia="Times New Roman" w:cs="Arial"/>
          <w:color w:val="000000"/>
          <w:lang w:eastAsia="bg-BG"/>
        </w:rPr>
        <w:t xml:space="preserve">(креатининов клирънс &lt;60 </w:t>
      </w:r>
      <w:r w:rsidRPr="00375D09">
        <w:rPr>
          <w:rFonts w:eastAsia="Times New Roman" w:cs="Arial"/>
          <w:color w:val="000000"/>
          <w:lang w:val="en-US"/>
        </w:rPr>
        <w:t xml:space="preserve">ml/min). </w:t>
      </w:r>
      <w:r w:rsidRPr="00375D09">
        <w:rPr>
          <w:rFonts w:eastAsia="Times New Roman" w:cs="Arial"/>
          <w:color w:val="000000"/>
          <w:lang w:eastAsia="bg-BG"/>
        </w:rPr>
        <w:t xml:space="preserve">Дозировката от 40 </w:t>
      </w:r>
      <w:r w:rsidRPr="00375D09">
        <w:rPr>
          <w:rFonts w:eastAsia="Times New Roman" w:cs="Arial"/>
          <w:color w:val="000000"/>
          <w:lang w:val="en-US"/>
        </w:rPr>
        <w:t xml:space="preserve">mg </w:t>
      </w:r>
      <w:r w:rsidRPr="00375D09">
        <w:rPr>
          <w:rFonts w:eastAsia="Times New Roman" w:cs="Arial"/>
          <w:color w:val="000000"/>
          <w:lang w:eastAsia="bg-BG"/>
        </w:rPr>
        <w:t>е противопоказана при пациенти с умерено тежко бъбречно увреждане. Употребата на Ултравас при пациенти с тежко бъбречно увреждане е противопоказана за всички дозировки (вж. точки 4.3 и 5.2).</w:t>
      </w:r>
    </w:p>
    <w:p w14:paraId="0BBE6B93" w14:textId="77777777" w:rsidR="00375D09" w:rsidRPr="00375D09" w:rsidRDefault="00375D09" w:rsidP="00375D09">
      <w:pPr>
        <w:spacing w:line="240" w:lineRule="auto"/>
        <w:rPr>
          <w:rFonts w:eastAsia="Times New Roman" w:cs="Arial"/>
          <w:b/>
          <w:bCs/>
          <w:color w:val="000000"/>
          <w:lang w:eastAsia="bg-BG"/>
        </w:rPr>
      </w:pPr>
      <w:bookmarkStart w:id="5" w:name="bookmark8"/>
    </w:p>
    <w:p w14:paraId="799266AA" w14:textId="733D24EC"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Дозиране при пациенти с чернодробно увреждане</w:t>
      </w:r>
      <w:bookmarkEnd w:id="5"/>
    </w:p>
    <w:p w14:paraId="475300EC" w14:textId="125810C3" w:rsidR="0091385D"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Не е наблюдавана повишена системна експозиция на розувастатин при пациенти по скалата на </w:t>
      </w:r>
      <w:r w:rsidRPr="00375D09">
        <w:rPr>
          <w:rFonts w:eastAsia="Times New Roman" w:cs="Arial"/>
          <w:color w:val="000000"/>
          <w:lang w:val="en-US"/>
        </w:rPr>
        <w:t xml:space="preserve">Child-Pugh </w:t>
      </w:r>
      <w:r w:rsidR="00156758" w:rsidRPr="00156758">
        <w:rPr>
          <w:color w:val="222222"/>
          <w:shd w:val="clear" w:color="auto" w:fill="FFFFE0"/>
        </w:rPr>
        <w:t>≤</w:t>
      </w:r>
      <w:r w:rsidRPr="00375D09">
        <w:rPr>
          <w:rFonts w:eastAsia="Times New Roman" w:cs="Arial"/>
          <w:color w:val="000000"/>
          <w:lang w:eastAsia="bg-BG"/>
        </w:rPr>
        <w:t>7. Въпреки това, повишена системна експозиция е наблюдавана при пациенти</w:t>
      </w:r>
      <w:bookmarkStart w:id="6" w:name="_GoBack"/>
      <w:bookmarkEnd w:id="6"/>
      <w:r w:rsidRPr="00375D09">
        <w:rPr>
          <w:rFonts w:eastAsia="Times New Roman" w:cs="Arial"/>
          <w:color w:val="000000"/>
          <w:lang w:eastAsia="bg-BG"/>
        </w:rPr>
        <w:t xml:space="preserve"> с оценка по скалата на </w:t>
      </w:r>
      <w:r w:rsidRPr="00375D09">
        <w:rPr>
          <w:rFonts w:eastAsia="Times New Roman" w:cs="Arial"/>
          <w:color w:val="000000"/>
          <w:lang w:val="en-US"/>
        </w:rPr>
        <w:t xml:space="preserve">Child-Pugh </w:t>
      </w:r>
      <w:r w:rsidRPr="00375D09">
        <w:rPr>
          <w:rFonts w:eastAsia="Times New Roman" w:cs="Arial"/>
          <w:color w:val="000000"/>
          <w:lang w:eastAsia="bg-BG"/>
        </w:rPr>
        <w:t xml:space="preserve">8 и 9 (вж. точка 5.2). При тези пациенти трябва да се предприеме оценка на бъбречната функция (вж. точка 4.4). Няма данни за пациенти с оценка по скалата на </w:t>
      </w:r>
      <w:r w:rsidRPr="00375D09">
        <w:rPr>
          <w:rFonts w:eastAsia="Times New Roman" w:cs="Arial"/>
          <w:color w:val="000000"/>
          <w:lang w:val="en-US"/>
        </w:rPr>
        <w:t>Child-Pugh</w:t>
      </w:r>
      <w:r w:rsidRPr="00375D09">
        <w:rPr>
          <w:rFonts w:eastAsia="Times New Roman" w:cs="Arial"/>
          <w:color w:val="000000"/>
          <w:lang w:eastAsia="bg-BG"/>
        </w:rPr>
        <w:t xml:space="preserve"> над 9.</w:t>
      </w:r>
      <w:r w:rsidRPr="00375D09">
        <w:rPr>
          <w:rFonts w:eastAsia="Times New Roman" w:cs="Arial"/>
          <w:sz w:val="24"/>
          <w:szCs w:val="24"/>
          <w:lang w:eastAsia="bg-BG"/>
        </w:rPr>
        <w:t xml:space="preserve"> </w:t>
      </w:r>
      <w:r w:rsidRPr="00375D09">
        <w:rPr>
          <w:rFonts w:eastAsia="Times New Roman" w:cs="Arial"/>
          <w:color w:val="000000"/>
          <w:lang w:eastAsia="bg-BG"/>
        </w:rPr>
        <w:t>Ултравас е противопоказан при пациенти с активно чернодробно увреждане (вж. точка 4.3).</w:t>
      </w:r>
    </w:p>
    <w:p w14:paraId="6ACAF645" w14:textId="4ACC4B2E" w:rsidR="0091385D" w:rsidRDefault="0091385D" w:rsidP="0091385D"/>
    <w:p w14:paraId="37922367"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Раса</w:t>
      </w:r>
    </w:p>
    <w:p w14:paraId="7C64FAA2"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пациенти от азиатската раса се наблюдава повишена системна експозиция на медикамента (вж. точки 4.3, 4.4 и 5.2). Препоръчваната първоначална доза при пациенти от азиатски произход е 5 </w:t>
      </w:r>
      <w:r w:rsidRPr="00375D09">
        <w:rPr>
          <w:rFonts w:eastAsia="Times New Roman" w:cs="Arial"/>
          <w:color w:val="000000"/>
          <w:lang w:val="en-US"/>
        </w:rPr>
        <w:t xml:space="preserve">mg. </w:t>
      </w:r>
      <w:r w:rsidRPr="00375D09">
        <w:rPr>
          <w:rFonts w:eastAsia="Times New Roman" w:cs="Arial"/>
          <w:color w:val="000000"/>
          <w:lang w:eastAsia="bg-BG"/>
        </w:rPr>
        <w:t xml:space="preserve">При тези пациенти е противопоказано приложение на доза от 40 </w:t>
      </w:r>
      <w:r w:rsidRPr="00375D09">
        <w:rPr>
          <w:rFonts w:eastAsia="Times New Roman" w:cs="Arial"/>
          <w:color w:val="000000"/>
          <w:lang w:val="en-US"/>
        </w:rPr>
        <w:t>mg.</w:t>
      </w:r>
    </w:p>
    <w:p w14:paraId="3654D4C7" w14:textId="77777777" w:rsidR="00375D09" w:rsidRPr="00375D09" w:rsidRDefault="00375D09" w:rsidP="00375D09">
      <w:pPr>
        <w:spacing w:line="240" w:lineRule="auto"/>
        <w:rPr>
          <w:rFonts w:eastAsia="Times New Roman" w:cs="Arial"/>
          <w:b/>
          <w:bCs/>
          <w:color w:val="000000"/>
          <w:lang w:eastAsia="bg-BG"/>
        </w:rPr>
      </w:pPr>
    </w:p>
    <w:p w14:paraId="48F01F59" w14:textId="4282FDF1"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Генетнчен полиморфизъм</w:t>
      </w:r>
    </w:p>
    <w:p w14:paraId="3EEF74F8"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Посочено е, че генотиповете </w:t>
      </w:r>
      <w:r w:rsidRPr="00375D09">
        <w:rPr>
          <w:rFonts w:eastAsia="Times New Roman" w:cs="Arial"/>
          <w:color w:val="000000"/>
          <w:lang w:val="en-US"/>
        </w:rPr>
        <w:t xml:space="preserve">SLCO1B1 </w:t>
      </w:r>
      <w:r w:rsidRPr="00375D09">
        <w:rPr>
          <w:rFonts w:eastAsia="Times New Roman" w:cs="Arial"/>
          <w:color w:val="000000"/>
          <w:lang w:eastAsia="bg-BG"/>
        </w:rPr>
        <w:t xml:space="preserve">(ОАТР1В1) с.521СС и </w:t>
      </w:r>
      <w:r w:rsidRPr="00375D09">
        <w:rPr>
          <w:rFonts w:eastAsia="Times New Roman" w:cs="Arial"/>
          <w:color w:val="000000"/>
          <w:lang w:val="en-US"/>
        </w:rPr>
        <w:t xml:space="preserve">ABCG2(BCRP) C.421AA </w:t>
      </w:r>
      <w:r w:rsidRPr="00375D09">
        <w:rPr>
          <w:rFonts w:eastAsia="Times New Roman" w:cs="Arial"/>
          <w:color w:val="000000"/>
          <w:lang w:eastAsia="bg-BG"/>
        </w:rPr>
        <w:t xml:space="preserve">са свързани с повишаване на експозицията </w:t>
      </w:r>
      <w:r w:rsidRPr="00375D09">
        <w:rPr>
          <w:rFonts w:eastAsia="Times New Roman" w:cs="Arial"/>
          <w:color w:val="000000"/>
          <w:lang w:val="en-US"/>
        </w:rPr>
        <w:t xml:space="preserve">(AUC) </w:t>
      </w:r>
      <w:r w:rsidRPr="00375D09">
        <w:rPr>
          <w:rFonts w:eastAsia="Times New Roman" w:cs="Arial"/>
          <w:color w:val="000000"/>
          <w:lang w:eastAsia="bg-BG"/>
        </w:rPr>
        <w:t xml:space="preserve">на розувастатин в сравнение с </w:t>
      </w:r>
      <w:r w:rsidRPr="00375D09">
        <w:rPr>
          <w:rFonts w:eastAsia="Times New Roman" w:cs="Arial"/>
          <w:color w:val="000000"/>
          <w:lang w:val="en-US"/>
        </w:rPr>
        <w:t xml:space="preserve">SLCO1B1 </w:t>
      </w:r>
      <w:r w:rsidRPr="00375D09">
        <w:rPr>
          <w:rFonts w:eastAsia="Times New Roman" w:cs="Arial"/>
          <w:color w:val="000000"/>
          <w:lang w:eastAsia="bg-BG"/>
        </w:rPr>
        <w:t>с.521</w:t>
      </w:r>
      <w:r w:rsidRPr="00375D09">
        <w:rPr>
          <w:rFonts w:eastAsia="Times New Roman" w:cs="Arial"/>
          <w:color w:val="000000"/>
          <w:lang w:val="en-US"/>
        </w:rPr>
        <w:t xml:space="preserve">TT </w:t>
      </w:r>
      <w:r w:rsidRPr="00375D09">
        <w:rPr>
          <w:rFonts w:eastAsia="Times New Roman" w:cs="Arial"/>
          <w:color w:val="000000"/>
          <w:lang w:eastAsia="bg-BG"/>
        </w:rPr>
        <w:t xml:space="preserve">и </w:t>
      </w:r>
      <w:r w:rsidRPr="00375D09">
        <w:rPr>
          <w:rFonts w:eastAsia="Times New Roman" w:cs="Arial"/>
          <w:color w:val="000000"/>
          <w:lang w:val="en-US"/>
        </w:rPr>
        <w:t xml:space="preserve">ABCG2 </w:t>
      </w:r>
      <w:r w:rsidRPr="00375D09">
        <w:rPr>
          <w:rFonts w:eastAsia="Times New Roman" w:cs="Arial"/>
          <w:color w:val="000000"/>
          <w:lang w:eastAsia="bg-BG"/>
        </w:rPr>
        <w:t xml:space="preserve">С.421СС. За пациентите, за които е известно, че имат генотип с.521СС или С.421АА, се препоръчва максимална еднократна дневна доза от 20 </w:t>
      </w:r>
      <w:r w:rsidRPr="00375D09">
        <w:rPr>
          <w:rFonts w:eastAsia="Times New Roman" w:cs="Arial"/>
          <w:color w:val="000000"/>
          <w:lang w:val="en-US"/>
        </w:rPr>
        <w:t xml:space="preserve">mg </w:t>
      </w:r>
      <w:r w:rsidRPr="00375D09">
        <w:rPr>
          <w:rFonts w:eastAsia="Times New Roman" w:cs="Arial"/>
          <w:color w:val="000000"/>
          <w:lang w:eastAsia="bg-BG"/>
        </w:rPr>
        <w:t>Ултравас (вж. точки 4.4,4.5 и 5.2)</w:t>
      </w:r>
    </w:p>
    <w:p w14:paraId="188BB3F2" w14:textId="77777777" w:rsidR="00375D09" w:rsidRPr="00375D09" w:rsidRDefault="00375D09" w:rsidP="00375D09">
      <w:pPr>
        <w:spacing w:line="240" w:lineRule="auto"/>
        <w:rPr>
          <w:rFonts w:eastAsia="Times New Roman" w:cs="Arial"/>
          <w:b/>
          <w:bCs/>
          <w:color w:val="000000"/>
          <w:lang w:eastAsia="bg-BG"/>
        </w:rPr>
      </w:pPr>
    </w:p>
    <w:p w14:paraId="03672D8E" w14:textId="361D2E73"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Дозиране при пациенти, предразположени към развитие на миопатия</w:t>
      </w:r>
    </w:p>
    <w:p w14:paraId="284B63CC"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пациенти с предразполагащи фактори за развитие на миопатия препоръчваната начална доза е 5 </w:t>
      </w:r>
      <w:r w:rsidRPr="00375D09">
        <w:rPr>
          <w:rFonts w:eastAsia="Times New Roman" w:cs="Arial"/>
          <w:color w:val="000000"/>
          <w:lang w:val="en-US"/>
        </w:rPr>
        <w:t xml:space="preserve">mg </w:t>
      </w:r>
      <w:r w:rsidRPr="00375D09">
        <w:rPr>
          <w:rFonts w:eastAsia="Times New Roman" w:cs="Arial"/>
          <w:color w:val="000000"/>
          <w:lang w:eastAsia="bg-BG"/>
        </w:rPr>
        <w:t>(вж. точка 4.4).</w:t>
      </w:r>
    </w:p>
    <w:p w14:paraId="6F406053"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lastRenderedPageBreak/>
        <w:t xml:space="preserve">При някои от тези пациенти е противопоказано приложението на доза от 40 </w:t>
      </w:r>
      <w:r w:rsidRPr="00375D09">
        <w:rPr>
          <w:rFonts w:eastAsia="Times New Roman" w:cs="Arial"/>
          <w:color w:val="000000"/>
          <w:lang w:val="en-US"/>
        </w:rPr>
        <w:t xml:space="preserve">mg </w:t>
      </w:r>
      <w:r w:rsidRPr="00375D09">
        <w:rPr>
          <w:rFonts w:eastAsia="Times New Roman" w:cs="Arial"/>
          <w:color w:val="000000"/>
          <w:lang w:eastAsia="bg-BG"/>
        </w:rPr>
        <w:t>(вж. точка 43).</w:t>
      </w:r>
    </w:p>
    <w:p w14:paraId="01DDD411" w14:textId="77777777" w:rsidR="00375D09" w:rsidRPr="00375D09" w:rsidRDefault="00375D09" w:rsidP="00375D09">
      <w:pPr>
        <w:spacing w:line="240" w:lineRule="auto"/>
        <w:rPr>
          <w:rFonts w:eastAsia="Times New Roman" w:cs="Arial"/>
          <w:b/>
          <w:bCs/>
          <w:color w:val="000000"/>
          <w:lang w:eastAsia="bg-BG"/>
        </w:rPr>
      </w:pPr>
    </w:p>
    <w:p w14:paraId="13BC3A7B" w14:textId="4E99EB1F"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Съпътстваща терапия</w:t>
      </w:r>
    </w:p>
    <w:p w14:paraId="1A6CF0F7" w14:textId="371C2A92" w:rsidR="00375D09" w:rsidRPr="00375D09" w:rsidRDefault="00375D09" w:rsidP="00375D09">
      <w:pPr>
        <w:rPr>
          <w:rFonts w:cs="Arial"/>
        </w:rPr>
      </w:pPr>
      <w:r w:rsidRPr="00375D09">
        <w:rPr>
          <w:rFonts w:eastAsia="Times New Roman" w:cs="Arial"/>
          <w:color w:val="000000"/>
          <w:lang w:eastAsia="bg-BG"/>
        </w:rPr>
        <w:t xml:space="preserve">Розувастатин е субстрат на различни транспортерни протеини (напр. ОАТР1В1 и </w:t>
      </w:r>
      <w:r w:rsidRPr="00375D09">
        <w:rPr>
          <w:rFonts w:eastAsia="Times New Roman" w:cs="Arial"/>
          <w:color w:val="000000"/>
          <w:lang w:val="en-US"/>
        </w:rPr>
        <w:t xml:space="preserve">BCRP). </w:t>
      </w:r>
      <w:r w:rsidRPr="00375D09">
        <w:rPr>
          <w:rFonts w:eastAsia="Times New Roman" w:cs="Arial"/>
          <w:color w:val="000000"/>
          <w:lang w:eastAsia="bg-BG"/>
        </w:rPr>
        <w:t>Рискът от миопатия (включително рабдомиолиза) се повишава, когато Ултравас се прилага едновременно с определени лекарствени продукти, които могат да повишат плазмената концентрация на розувастатин поради взаимодействие с тези транспортерни протеини (напр. циклоспорин и някои протеазни инхибитори, включително комбинации на ритонавир с атазанавир, лопинавир и/или типранавир; вж. точки 4.4 и 4.5). На предписващите лекари се препоръчва да вземат предвид съответната лекарствена информация, когато обмислят прилагането на такива продукти заедно с Ултравас. Когато е възможно, трябва да се имат предвид алтернативни лекарства и, ако е необходимо, да се има предвид временно прекъсване на терапията с Ултравас. В ситуации, когато едновременното приложение на тези лекарствени продукти с Ултравас е неизбежно, ползата и риска от съпътстващата терапия и корекции на дозата на Ултравас трябва внимателно да се обмислят (вж. точка 4.5).</w:t>
      </w:r>
    </w:p>
    <w:p w14:paraId="1B963BF4" w14:textId="77777777" w:rsidR="00375D09" w:rsidRPr="0091385D" w:rsidRDefault="00375D09"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7442E93D"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Ултравас е противопоказан:</w:t>
      </w:r>
    </w:p>
    <w:p w14:paraId="5461B8CC" w14:textId="77777777" w:rsid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при пациенти със свръхчувствителност към активното вещество или към някое от помощните вещества, изброени в точка 6.1</w:t>
      </w:r>
    </w:p>
    <w:p w14:paraId="79FC39BC" w14:textId="77777777" w:rsid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при пациенти с активно чернодробно заболяване, включително неуточнено, продължително покачване на серумните трансаминази и всяко покачване на серумната трансаминаза три пъти над горната граница на нормата</w:t>
      </w:r>
    </w:p>
    <w:p w14:paraId="5CF2502E" w14:textId="77777777" w:rsidR="00375D09" w:rsidRP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 xml:space="preserve">при пациенти с тежко бъбречно увреждане (креатининов клирънс &lt;30 </w:t>
      </w:r>
      <w:proofErr w:type="spellStart"/>
      <w:r w:rsidRPr="00375D09">
        <w:rPr>
          <w:rFonts w:eastAsia="Times New Roman" w:cs="Arial"/>
          <w:color w:val="000000"/>
          <w:lang w:val="en-US"/>
        </w:rPr>
        <w:t>tnl</w:t>
      </w:r>
      <w:proofErr w:type="spellEnd"/>
      <w:r w:rsidRPr="00375D09">
        <w:rPr>
          <w:rFonts w:eastAsia="Times New Roman" w:cs="Arial"/>
          <w:color w:val="000000"/>
          <w:lang w:val="en-US"/>
        </w:rPr>
        <w:t>/min)</w:t>
      </w:r>
    </w:p>
    <w:p w14:paraId="3476FA1F" w14:textId="77777777" w:rsid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при пациенти с миопатия</w:t>
      </w:r>
    </w:p>
    <w:p w14:paraId="43A191A5" w14:textId="77777777" w:rsid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при пациенти, които приемат едновременно циклоспорини</w:t>
      </w:r>
    </w:p>
    <w:p w14:paraId="0CFC9D66" w14:textId="130861EE" w:rsidR="00375D09" w:rsidRP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по време на бременност, кърмене и при жени с детероден потенциал, които не използват подходящи контрацептивни мерки</w:t>
      </w:r>
    </w:p>
    <w:p w14:paraId="71363A5E" w14:textId="77777777" w:rsidR="00375D09" w:rsidRPr="00375D09" w:rsidRDefault="00375D09" w:rsidP="00375D09">
      <w:pPr>
        <w:spacing w:line="240" w:lineRule="auto"/>
        <w:rPr>
          <w:rFonts w:eastAsia="Times New Roman" w:cs="Arial"/>
          <w:color w:val="000000"/>
          <w:lang w:eastAsia="bg-BG"/>
        </w:rPr>
      </w:pPr>
    </w:p>
    <w:p w14:paraId="522F0BC0" w14:textId="08C463D3"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Дозата от 40 </w:t>
      </w:r>
      <w:r w:rsidRPr="00375D09">
        <w:rPr>
          <w:rFonts w:eastAsia="Times New Roman" w:cs="Arial"/>
          <w:color w:val="000000"/>
          <w:lang w:val="en-US"/>
        </w:rPr>
        <w:t xml:space="preserve">mg </w:t>
      </w:r>
      <w:r w:rsidRPr="00375D09">
        <w:rPr>
          <w:rFonts w:eastAsia="Times New Roman" w:cs="Arial"/>
          <w:color w:val="000000"/>
          <w:lang w:eastAsia="bg-BG"/>
        </w:rPr>
        <w:t>е противопоказана при пациенти с предразполагащи фактори за развитие на миопатия/рабдомиолиза. Такива фактори са:</w:t>
      </w:r>
    </w:p>
    <w:p w14:paraId="4F731489" w14:textId="77777777" w:rsidR="00375D09" w:rsidRP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 xml:space="preserve">умерено по степен бъбречно увреждане (креатининов клирънс &lt;60 </w:t>
      </w:r>
      <w:r w:rsidRPr="00375D09">
        <w:rPr>
          <w:rFonts w:eastAsia="Times New Roman" w:cs="Arial"/>
          <w:color w:val="000000"/>
          <w:lang w:val="en-US"/>
        </w:rPr>
        <w:t>ml/min)</w:t>
      </w:r>
    </w:p>
    <w:p w14:paraId="04B249B3"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хипотиреоидизъм</w:t>
      </w:r>
    </w:p>
    <w:p w14:paraId="1F2681AD"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лична или фамилна анамнеза за наследствени мускулни заболявалия</w:t>
      </w:r>
    </w:p>
    <w:p w14:paraId="3AABE269"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 xml:space="preserve">анамнеза за поява на мускулно увреждане по време на лечение с друго лекарство от групата на инхибиторите на хидрокси-метил-глутарил-коензим А редуктазата или с фибрат </w:t>
      </w:r>
    </w:p>
    <w:p w14:paraId="51EA1AA6"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злоупотреба с алкохол</w:t>
      </w:r>
    </w:p>
    <w:p w14:paraId="19FE7020"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състояния, при които може да се повиши плазменото ниво на лекарството</w:t>
      </w:r>
    </w:p>
    <w:p w14:paraId="200A001F"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лица от азиатската раса</w:t>
      </w:r>
    </w:p>
    <w:p w14:paraId="2309EAB0" w14:textId="2D3D343E" w:rsidR="0091385D" w:rsidRP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съпътстващо лечение с фибрати (вж. точки 4.4, 4.5 и 5.2)</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24889155"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Бъбреци</w:t>
      </w:r>
    </w:p>
    <w:p w14:paraId="263C1E08"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lastRenderedPageBreak/>
        <w:t xml:space="preserve">При пациенти, лекувани с по-високи дози розувастатин, по-конкретно 40 </w:t>
      </w:r>
      <w:r w:rsidRPr="00375D09">
        <w:rPr>
          <w:rFonts w:eastAsia="Times New Roman" w:cs="Arial"/>
          <w:color w:val="000000"/>
          <w:lang w:val="en-US"/>
        </w:rPr>
        <w:t xml:space="preserve">mg, </w:t>
      </w:r>
      <w:r w:rsidRPr="00375D09">
        <w:rPr>
          <w:rFonts w:eastAsia="Times New Roman" w:cs="Arial"/>
          <w:color w:val="000000"/>
          <w:lang w:eastAsia="bg-BG"/>
        </w:rPr>
        <w:t xml:space="preserve">е наблюдавана протеинурия, която е установена при изследване с тест-ленти, с предимно тубулен произход и в повечето случаи с преходен или интермитентен характер. Протеинурията не е доказана да предшества остро или прогресивно бъбречно заболяване (вж. точка 4.8). Докладваната честота на сериозни бъбречни увреди при постмаркетинговата употреба е по-висока при дозировка от 40 </w:t>
      </w:r>
      <w:r w:rsidRPr="00375D09">
        <w:rPr>
          <w:rFonts w:eastAsia="Times New Roman" w:cs="Arial"/>
          <w:color w:val="000000"/>
          <w:lang w:val="en-US"/>
        </w:rPr>
        <w:t xml:space="preserve">mg. </w:t>
      </w:r>
      <w:r w:rsidRPr="00375D09">
        <w:rPr>
          <w:rFonts w:eastAsia="Times New Roman" w:cs="Arial"/>
          <w:color w:val="000000"/>
          <w:lang w:eastAsia="bg-BG"/>
        </w:rPr>
        <w:t xml:space="preserve">Оценка на бъбречната функция трябва да се направи по време на рутинно проследяване при пациенти, обичайно третирани с 40 </w:t>
      </w:r>
      <w:r w:rsidRPr="00375D09">
        <w:rPr>
          <w:rFonts w:eastAsia="Times New Roman" w:cs="Arial"/>
          <w:color w:val="000000"/>
          <w:lang w:val="en-US"/>
        </w:rPr>
        <w:t>mg.</w:t>
      </w:r>
    </w:p>
    <w:p w14:paraId="40DA192A" w14:textId="77777777" w:rsidR="00375D09" w:rsidRPr="00375D09" w:rsidRDefault="00375D09" w:rsidP="00375D09">
      <w:pPr>
        <w:spacing w:line="240" w:lineRule="auto"/>
        <w:rPr>
          <w:rFonts w:eastAsia="Times New Roman" w:cs="Arial"/>
          <w:i/>
          <w:iCs/>
          <w:color w:val="000000"/>
          <w:lang w:eastAsia="bg-BG"/>
        </w:rPr>
      </w:pPr>
    </w:p>
    <w:p w14:paraId="6B58DC90" w14:textId="62BE7D4F"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Скелетна мускулатура</w:t>
      </w:r>
    </w:p>
    <w:p w14:paraId="4B128157"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Ефекти върху скелетната мускулатура (миалгия, миопатия и по-рядко - рабдомиолиза) са съобщавани при приложение на всички дозови режими, особено при дози над 20 </w:t>
      </w:r>
      <w:r w:rsidRPr="00375D09">
        <w:rPr>
          <w:rFonts w:eastAsia="Times New Roman" w:cs="Arial"/>
          <w:color w:val="000000"/>
          <w:lang w:val="en-US"/>
        </w:rPr>
        <w:t xml:space="preserve">mg. </w:t>
      </w:r>
      <w:r w:rsidRPr="00375D09">
        <w:rPr>
          <w:rFonts w:eastAsia="Times New Roman" w:cs="Arial"/>
          <w:color w:val="000000"/>
          <w:lang w:eastAsia="bg-BG"/>
        </w:rPr>
        <w:t xml:space="preserve">Много редки случаи на рабдомиолиза са докладвани при използването на езетимиб в комбинация с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редуктазата. Не може да бъде изключено фармакодинамично взаимодействие (вж. точка 4.5), и е необходимо внимание при комбинираното им използване.</w:t>
      </w:r>
    </w:p>
    <w:p w14:paraId="5E836AC5" w14:textId="77777777" w:rsidR="00375D09" w:rsidRPr="00375D09" w:rsidRDefault="00375D09" w:rsidP="00375D09">
      <w:pPr>
        <w:spacing w:line="240" w:lineRule="auto"/>
        <w:rPr>
          <w:rFonts w:eastAsia="Times New Roman" w:cs="Arial"/>
          <w:color w:val="000000"/>
          <w:lang w:eastAsia="bg-BG"/>
        </w:rPr>
      </w:pPr>
    </w:p>
    <w:p w14:paraId="1FF8B85B" w14:textId="3DF44EE4"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Както при другите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докладваната честота на рабдомиолиза, асоциирана с розувастатин при постмаркетинговата употреба, е по-висока при доза от 40 </w:t>
      </w:r>
      <w:r w:rsidRPr="00375D09">
        <w:rPr>
          <w:rFonts w:eastAsia="Times New Roman" w:cs="Arial"/>
          <w:color w:val="000000"/>
          <w:lang w:val="en-US"/>
        </w:rPr>
        <w:t>mg.</w:t>
      </w:r>
    </w:p>
    <w:p w14:paraId="06CEB3C9" w14:textId="77777777" w:rsidR="00375D09" w:rsidRPr="00375D09" w:rsidRDefault="00375D09" w:rsidP="00375D09">
      <w:pPr>
        <w:spacing w:line="240" w:lineRule="auto"/>
        <w:rPr>
          <w:rFonts w:eastAsia="Times New Roman" w:cs="Arial"/>
          <w:i/>
          <w:iCs/>
          <w:color w:val="000000"/>
          <w:lang w:eastAsia="bg-BG"/>
        </w:rPr>
      </w:pPr>
    </w:p>
    <w:p w14:paraId="23C5350E" w14:textId="41417267"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Измерване на креатинкиназата</w:t>
      </w:r>
    </w:p>
    <w:p w14:paraId="5F912430"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Креатинкиназата (СК) не трябва да се измерва след усилени упражнения или при наличието на друг причинител на повишаването на СК, което може да затрудни тълкуването на резултата. Ако нивото на СК е значително повишено при изходно ниво (&gt;5 пъти горната допустима граница), тест за потвърждаване на резултата трябва да бъде направен в рамките на 5-7 дни. Ако повторното изследване потвърди изходно ниво на СК &gt;5 пъти горната допустима граница, не трябва да се започва лечение.</w:t>
      </w:r>
    </w:p>
    <w:p w14:paraId="54A1EAEE" w14:textId="77777777" w:rsidR="00375D09" w:rsidRPr="00375D09" w:rsidRDefault="00375D09" w:rsidP="00375D09">
      <w:pPr>
        <w:spacing w:line="240" w:lineRule="auto"/>
        <w:rPr>
          <w:rFonts w:eastAsia="Times New Roman" w:cs="Arial"/>
          <w:i/>
          <w:iCs/>
          <w:color w:val="000000"/>
          <w:lang w:eastAsia="bg-BG"/>
        </w:rPr>
      </w:pPr>
    </w:p>
    <w:p w14:paraId="5E2637ED" w14:textId="42D3DBBE"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Преди лечението</w:t>
      </w:r>
    </w:p>
    <w:p w14:paraId="7B3C6DEA"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Какго и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редуктазата, Ултравас трябва да бъде предписван с особено внимание при пациенти, за които са налице фактори, предразполагащи развитие на миопатия/рабдомиолиза. Такива фактори са:</w:t>
      </w:r>
    </w:p>
    <w:p w14:paraId="03A5253F"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бъбречно увреждане</w:t>
      </w:r>
    </w:p>
    <w:p w14:paraId="06552508"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хипотиреоидизъм</w:t>
      </w:r>
    </w:p>
    <w:p w14:paraId="522A4072"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лична или фамилна анамнеза за наследствено мускулно заболяване</w:t>
      </w:r>
    </w:p>
    <w:p w14:paraId="28FE7310"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 xml:space="preserve">установена мускулна токсичност към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редуктазата или фибрати</w:t>
      </w:r>
    </w:p>
    <w:p w14:paraId="36BDE1FA"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злоупотреба с алкохол</w:t>
      </w:r>
    </w:p>
    <w:p w14:paraId="23F9B8A2"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пациенти на възраст над 70 години</w:t>
      </w:r>
    </w:p>
    <w:p w14:paraId="3EE4891D"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състояния, при които може да се наблюдава покачване на плазмените нива (вж. точка 5.2)</w:t>
      </w:r>
    </w:p>
    <w:p w14:paraId="713E0B0F" w14:textId="1DB4DF3A"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едновременно приложение на фибрати</w:t>
      </w:r>
    </w:p>
    <w:p w14:paraId="25E1B021" w14:textId="77777777" w:rsidR="00375D09" w:rsidRPr="00375D09" w:rsidRDefault="00375D09" w:rsidP="00375D09">
      <w:pPr>
        <w:spacing w:line="240" w:lineRule="auto"/>
        <w:rPr>
          <w:rFonts w:eastAsia="Times New Roman" w:cs="Arial"/>
          <w:color w:val="000000"/>
          <w:lang w:eastAsia="bg-BG"/>
        </w:rPr>
      </w:pPr>
    </w:p>
    <w:p w14:paraId="743B40D2" w14:textId="729DAC23"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При подобни пациенти трябва да се предвиди отношението риск/полза и да бъдат поставени под клинично наблюдение. Ако изходното ниво на СК е значително повишено (&gt;5 пъти горната граница на нормата), не трябва да се започва лечение.</w:t>
      </w:r>
    </w:p>
    <w:p w14:paraId="2C2B6D6C" w14:textId="77777777" w:rsidR="00375D09" w:rsidRPr="00375D09" w:rsidRDefault="00375D09" w:rsidP="00375D09">
      <w:pPr>
        <w:spacing w:line="240" w:lineRule="auto"/>
        <w:rPr>
          <w:rFonts w:eastAsia="Times New Roman" w:cs="Arial"/>
          <w:i/>
          <w:iCs/>
          <w:color w:val="000000"/>
          <w:lang w:eastAsia="bg-BG"/>
        </w:rPr>
      </w:pPr>
    </w:p>
    <w:p w14:paraId="2032BA97" w14:textId="608367A1"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По време на лечението</w:t>
      </w:r>
    </w:p>
    <w:p w14:paraId="552D07E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lastRenderedPageBreak/>
        <w:t>Пациентите се задължават незабавно да докладват необясними мускулни болки, усещане за слабост или схващане, най-вече ако са свързани с неразположение или фебрилитет. При тези пациенти трябва да се измерят нивата на СК. Терапията трябва да се прекрати, ако нивото на СК е значително повишено (&gt;5 пъти горната допустима граница) или мускулните симптоми са тежки и причиняват ежедневно неразположение (дори нивото на СК да е ≤5 пъти горната допустима граница).</w:t>
      </w:r>
      <w:r w:rsidRPr="00375D09">
        <w:rPr>
          <w:rFonts w:eastAsia="Times New Roman" w:cs="Arial"/>
          <w:color w:val="000000"/>
          <w:lang w:val="en-US"/>
        </w:rPr>
        <w:t xml:space="preserve"> </w:t>
      </w:r>
      <w:r w:rsidRPr="00375D09">
        <w:rPr>
          <w:rFonts w:eastAsia="Times New Roman" w:cs="Arial"/>
          <w:color w:val="000000"/>
          <w:lang w:eastAsia="bg-BG"/>
        </w:rPr>
        <w:t>Ако</w:t>
      </w:r>
      <w:r w:rsidRPr="00375D09">
        <w:rPr>
          <w:rFonts w:eastAsia="Times New Roman" w:cs="Arial"/>
          <w:color w:val="000000"/>
          <w:lang w:val="en-US"/>
        </w:rPr>
        <w:t xml:space="preserve"> </w:t>
      </w:r>
      <w:r w:rsidRPr="00375D09">
        <w:rPr>
          <w:rFonts w:eastAsia="Times New Roman" w:cs="Arial"/>
          <w:color w:val="000000"/>
          <w:lang w:eastAsia="bg-BG"/>
        </w:rPr>
        <w:t xml:space="preserve">симптомите изчезнат и нивото на СК се нормализира, може да се помисли за повторно лечение с розувастатин или алтернативен инхибитор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в най-ниска доза под наблюдение. Рутнно наблюдение на нивото на СК при пациенти без симптоми не е основателно. </w:t>
      </w:r>
    </w:p>
    <w:p w14:paraId="3B94E29D" w14:textId="77777777" w:rsidR="00375D09" w:rsidRPr="00375D09" w:rsidRDefault="00375D09" w:rsidP="00375D09">
      <w:pPr>
        <w:spacing w:line="240" w:lineRule="auto"/>
        <w:rPr>
          <w:rFonts w:eastAsia="Times New Roman" w:cs="Arial"/>
          <w:sz w:val="24"/>
          <w:szCs w:val="24"/>
          <w:lang w:eastAsia="bg-BG"/>
        </w:rPr>
      </w:pPr>
    </w:p>
    <w:p w14:paraId="5116CC05" w14:textId="77777777" w:rsidR="00375D09" w:rsidRPr="00375D09" w:rsidRDefault="00375D09" w:rsidP="00375D09">
      <w:pPr>
        <w:spacing w:line="240" w:lineRule="auto"/>
        <w:rPr>
          <w:rFonts w:eastAsia="Times New Roman" w:cs="Arial"/>
          <w:color w:val="000000"/>
          <w:lang w:eastAsia="bg-BG"/>
        </w:rPr>
      </w:pPr>
    </w:p>
    <w:p w14:paraId="59C675A1" w14:textId="19118B39"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Има много редки доклади за имуномедиирана некротизираща миопатия, която клинично</w:t>
      </w:r>
    </w:p>
    <w:p w14:paraId="2019177A" w14:textId="77777777" w:rsidR="00375D09" w:rsidRPr="00375D09" w:rsidRDefault="00375D09" w:rsidP="00375D09">
      <w:pPr>
        <w:rPr>
          <w:rFonts w:eastAsia="Times New Roman" w:cs="Arial"/>
          <w:sz w:val="24"/>
          <w:szCs w:val="24"/>
          <w:lang w:eastAsia="bg-BG"/>
        </w:rPr>
      </w:pPr>
      <w:r w:rsidRPr="00375D09">
        <w:rPr>
          <w:rFonts w:eastAsia="Times New Roman" w:cs="Arial"/>
          <w:color w:val="000000"/>
          <w:lang w:eastAsia="bg-BG"/>
        </w:rPr>
        <w:t>характеризира с персистираща проксимална мускулна слабост и повишена креатинкиназа по време на лечението или след спиране на статините, включително розувастатин. Може да е необходимо допълнително нервномускулно или серологично изследване. Може да се наложи лечение с имуносупресиращи лекарства.</w:t>
      </w:r>
    </w:p>
    <w:p w14:paraId="000ECDCB" w14:textId="77777777" w:rsidR="00375D09" w:rsidRPr="00375D09" w:rsidRDefault="00375D09" w:rsidP="00375D09">
      <w:pPr>
        <w:spacing w:line="240" w:lineRule="auto"/>
        <w:rPr>
          <w:rFonts w:eastAsia="Times New Roman" w:cs="Arial"/>
          <w:color w:val="000000"/>
          <w:lang w:eastAsia="bg-BG"/>
        </w:rPr>
      </w:pPr>
    </w:p>
    <w:p w14:paraId="7DA66913" w14:textId="20EB5B00"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В клиничните проучвания не са наблюдавани данни за повишени ефекти върху скелетната мускулатура в малката група пациенти, при които розувастатин е прилаган с друго съспътстващо лечение. Все пак, увеличаване честотата на миозит и миопатия е наблюдавано при пациенти, получаващи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заедно с производни на фибриновата киселина, включително гемфиброзил, циклоспорин, никотинова киселина, азолови антимикотици, протеазни инхибитори и макролидни антибиотици. Гемфиброзил повишава риска от миопатия, ако се приема едновременно с някои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По тази причина комбинацията между гемфиброзил и розувастатин не е препоръчителна. Ползата от допълнително снижаване в липидните нива в резултат от комбинираното приемане на розувастатин и фибрати или ниацин трябва да бъде внимателно изчислена спрямо потенциалния рнск от подобни комбинации. При едновременно приложение на фибрати, лечението с дози от 40 </w:t>
      </w:r>
      <w:r w:rsidRPr="00375D09">
        <w:rPr>
          <w:rFonts w:eastAsia="Times New Roman" w:cs="Arial"/>
          <w:color w:val="000000"/>
          <w:lang w:val="en-US"/>
        </w:rPr>
        <w:t xml:space="preserve">mg </w:t>
      </w:r>
      <w:r w:rsidRPr="00375D09">
        <w:rPr>
          <w:rFonts w:eastAsia="Times New Roman" w:cs="Arial"/>
          <w:color w:val="000000"/>
          <w:lang w:eastAsia="bg-BG"/>
        </w:rPr>
        <w:t>е противопоказано (вж. точки 4.5 и 4.8).</w:t>
      </w:r>
    </w:p>
    <w:p w14:paraId="4D8DC627" w14:textId="77777777" w:rsidR="00375D09" w:rsidRPr="00375D09" w:rsidRDefault="00375D09" w:rsidP="00375D09">
      <w:pPr>
        <w:spacing w:line="240" w:lineRule="auto"/>
        <w:rPr>
          <w:rFonts w:eastAsia="Times New Roman" w:cs="Arial"/>
          <w:color w:val="000000"/>
          <w:lang w:eastAsia="bg-BG"/>
        </w:rPr>
      </w:pPr>
    </w:p>
    <w:p w14:paraId="741A0239" w14:textId="52F9A0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Ултравас не трябва да се прилага едновременно с фузидова киселина за системно приложение или в рамките на 7 дни след спиране на лечението с фузидова киселина. При пациенти, при които използването на фузидова киселина за системно приложение е значимо, лечението със статини трябва да бъде преустановено през целия период на лечение с фузидова киселина. Има лечение за рабдомиолиза (включително няколко с фатален изход) при пациенти, приемащи фузидова киселина и статини в комбинация (вж. точка 4.5). Пациентите трябва да бъдат посъветвани да потърсят веднага медицинска помощ, ако изпитват симптоми на мускулна слабост, болка или болезненост. Лечението със статини мойе да бъде подновено седем дни след последната доза на фузидова киселина. При извънредни обстоятелства, когато е необходима продължителна употреба на фузидова киселина за системно приложение, например за лечение на тежки инфекции, необходимостта от едновременно приложение на Ултравас и фузидова киселина трябва да се прецени индивидуално, и под строг медицински контрол.</w:t>
      </w:r>
    </w:p>
    <w:p w14:paraId="03CA5B7C" w14:textId="77777777" w:rsidR="00375D09" w:rsidRPr="00375D09" w:rsidRDefault="00375D09" w:rsidP="00375D09">
      <w:pPr>
        <w:spacing w:line="240" w:lineRule="auto"/>
        <w:rPr>
          <w:rFonts w:eastAsia="Times New Roman" w:cs="Arial"/>
          <w:color w:val="000000"/>
          <w:lang w:eastAsia="bg-BG"/>
        </w:rPr>
      </w:pPr>
    </w:p>
    <w:p w14:paraId="24D43C85" w14:textId="52F7B43D"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Ултравас не трябва да се прилага при пациенти с остри сериозни състояния, предполагащи миопатия или предразполагащи към развитие на бъбречна недостатъчност, вследствие рабдомиолиза (напр. сепсис, хипотензия, голяма операция, травма, тежки метаболитни, ендокринни и електролитни нарушения или неконтролирани гърчове).</w:t>
      </w:r>
    </w:p>
    <w:p w14:paraId="45F71518" w14:textId="77777777" w:rsidR="00375D09" w:rsidRPr="00375D09" w:rsidRDefault="00375D09" w:rsidP="00375D09">
      <w:pPr>
        <w:spacing w:line="240" w:lineRule="auto"/>
        <w:rPr>
          <w:rFonts w:eastAsia="Times New Roman" w:cs="Arial"/>
          <w:i/>
          <w:iCs/>
          <w:color w:val="000000"/>
          <w:lang w:eastAsia="bg-BG"/>
        </w:rPr>
      </w:pPr>
    </w:p>
    <w:p w14:paraId="7D227EDF" w14:textId="01F8EF0A"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Влияние върху черния дроб</w:t>
      </w:r>
    </w:p>
    <w:p w14:paraId="2F6A38EF"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Както при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редуктазата, Ултравас трябва да се прилага внимателно при пациенти, които приемат голямо количество алкохол и/или са имали заболяване на черния дроб.</w:t>
      </w:r>
    </w:p>
    <w:p w14:paraId="6631D5FE" w14:textId="77777777" w:rsidR="00375D09" w:rsidRPr="00375D09" w:rsidRDefault="00375D09" w:rsidP="00375D09">
      <w:pPr>
        <w:spacing w:line="240" w:lineRule="auto"/>
        <w:rPr>
          <w:rFonts w:eastAsia="Times New Roman" w:cs="Arial"/>
          <w:color w:val="000000"/>
          <w:lang w:eastAsia="bg-BG"/>
        </w:rPr>
      </w:pPr>
    </w:p>
    <w:p w14:paraId="5D705983"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Препоръчително е да се направят изследвания на черния дроб преди и 3 месеца след започване на лечението. Приема на Ултравас трябва да бъде преустановен или дозата намалена, ако нивото на серумните трансаминази надвишава три пъти горната граница на нормата. Докладваната честота за сериозни чернодробни увреди (заключаващи се главно в увеличени чернодробни трансаминази) при постмаркетинговата употреба е по-висока при доза от 40 </w:t>
      </w:r>
      <w:r w:rsidRPr="00375D09">
        <w:rPr>
          <w:rFonts w:eastAsia="Times New Roman" w:cs="Arial"/>
          <w:color w:val="000000"/>
          <w:lang w:val="en-US"/>
        </w:rPr>
        <w:t>mg.</w:t>
      </w:r>
    </w:p>
    <w:p w14:paraId="0270BB90" w14:textId="77777777" w:rsidR="00375D09" w:rsidRPr="00375D09" w:rsidRDefault="00375D09" w:rsidP="00375D09">
      <w:pPr>
        <w:spacing w:line="240" w:lineRule="auto"/>
        <w:rPr>
          <w:rFonts w:eastAsia="Times New Roman" w:cs="Arial"/>
          <w:sz w:val="24"/>
          <w:szCs w:val="24"/>
          <w:lang w:eastAsia="bg-BG"/>
        </w:rPr>
      </w:pPr>
    </w:p>
    <w:p w14:paraId="1FEE268A" w14:textId="3A26ED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При пациенти с вторична хиперхолестеролемия, причинена от хипотиреоидизъм или нефротичен синдром, основното заболяване трябва да се лекува преди започване на лечението с Ултравас.</w:t>
      </w:r>
    </w:p>
    <w:p w14:paraId="5E278262" w14:textId="77777777" w:rsidR="00375D09" w:rsidRPr="00375D09" w:rsidRDefault="00375D09" w:rsidP="00375D09">
      <w:pPr>
        <w:spacing w:line="240" w:lineRule="auto"/>
        <w:rPr>
          <w:rFonts w:eastAsia="Times New Roman" w:cs="Arial"/>
          <w:i/>
          <w:iCs/>
          <w:color w:val="000000"/>
          <w:lang w:eastAsia="bg-BG"/>
        </w:rPr>
      </w:pPr>
    </w:p>
    <w:p w14:paraId="0E494258" w14:textId="052456ED"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Раса</w:t>
      </w:r>
    </w:p>
    <w:p w14:paraId="2B82E504"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Фармакокинетичните проучвания са показали, че при пациенти от азиатската раса е налице по-висока експозиция в сравнение с тези от кавказката (бялата) раса (вж. точки 4.2, 4.3 и 5.2).</w:t>
      </w:r>
    </w:p>
    <w:p w14:paraId="25531F99" w14:textId="77777777" w:rsidR="00375D09" w:rsidRPr="00375D09" w:rsidRDefault="00375D09" w:rsidP="00375D09">
      <w:pPr>
        <w:spacing w:line="240" w:lineRule="auto"/>
        <w:rPr>
          <w:rFonts w:eastAsia="Times New Roman" w:cs="Arial"/>
          <w:i/>
          <w:iCs/>
          <w:color w:val="000000"/>
          <w:lang w:eastAsia="bg-BG"/>
        </w:rPr>
      </w:pPr>
    </w:p>
    <w:p w14:paraId="57988306" w14:textId="2CC1E3F6"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Протеазни инхибитори</w:t>
      </w:r>
    </w:p>
    <w:p w14:paraId="0B3BEE35" w14:textId="16BCF918" w:rsidR="0091385D"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Повишена система експозиция на розувастатин е наблюдавана при пациенти, приемащи розувастатин едновременно с различни протеазни инхибитори, в комбинация с ритонавир. Трябва да се обмисли както ползата от липидопонижаване чрез употреба на Ултравас при пациенти с </w:t>
      </w:r>
      <w:r w:rsidRPr="00375D09">
        <w:rPr>
          <w:rFonts w:eastAsia="Times New Roman" w:cs="Arial"/>
          <w:color w:val="000000"/>
          <w:lang w:val="en-US"/>
        </w:rPr>
        <w:t>HIV,</w:t>
      </w:r>
      <w:r w:rsidRPr="00375D09">
        <w:rPr>
          <w:rFonts w:eastAsia="Times New Roman" w:cs="Arial"/>
          <w:color w:val="000000"/>
          <w:lang w:eastAsia="bg-BG"/>
        </w:rPr>
        <w:t xml:space="preserve"> които приемат</w:t>
      </w:r>
      <w:r w:rsidRPr="00375D09">
        <w:rPr>
          <w:rFonts w:eastAsia="Times New Roman" w:cs="Arial"/>
          <w:sz w:val="24"/>
          <w:szCs w:val="24"/>
          <w:lang w:eastAsia="bg-BG"/>
        </w:rPr>
        <w:t xml:space="preserve"> </w:t>
      </w:r>
      <w:r w:rsidRPr="00375D09">
        <w:rPr>
          <w:rFonts w:eastAsia="Times New Roman" w:cs="Arial"/>
          <w:color w:val="000000"/>
          <w:lang w:eastAsia="bg-BG"/>
        </w:rPr>
        <w:t>протеазни инхибитори, така и потенциала за повишена концентрация на розувастатин, кожаго се започва терапията и се повишава дозата на Ултравас при пациенти, лекувани с протеазни инхибитори.</w:t>
      </w:r>
    </w:p>
    <w:p w14:paraId="24E3E82F" w14:textId="04CBBF97" w:rsidR="0091385D" w:rsidRDefault="0091385D" w:rsidP="0091385D"/>
    <w:p w14:paraId="13B59F4C"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Едновременното приложение с протеазни инхибитори не се препоръчва, освен ако дозата на Ултравас не се коригира (вж. таблица 1 и точки 4.2 и 4.5)</w:t>
      </w:r>
    </w:p>
    <w:p w14:paraId="0491AE72" w14:textId="77777777" w:rsidR="00375D09" w:rsidRPr="00375D09" w:rsidRDefault="00375D09" w:rsidP="00375D09">
      <w:pPr>
        <w:spacing w:line="240" w:lineRule="auto"/>
        <w:rPr>
          <w:rFonts w:eastAsia="Times New Roman" w:cs="Arial"/>
          <w:i/>
          <w:iCs/>
          <w:color w:val="000000"/>
          <w:lang w:eastAsia="bg-BG"/>
        </w:rPr>
      </w:pPr>
    </w:p>
    <w:p w14:paraId="39ACD48B" w14:textId="1C946920"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Непоносимост към лактоза</w:t>
      </w:r>
    </w:p>
    <w:p w14:paraId="3662993C"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Пациенти с редки наследствени проблеми като галактозна непоносимост, </w:t>
      </w:r>
      <w:r w:rsidRPr="00375D09">
        <w:rPr>
          <w:rFonts w:eastAsia="Times New Roman" w:cs="Arial"/>
          <w:color w:val="000000"/>
          <w:lang w:val="en-US"/>
        </w:rPr>
        <w:t>LAPP</w:t>
      </w:r>
      <w:r w:rsidRPr="00375D09">
        <w:rPr>
          <w:rFonts w:eastAsia="Times New Roman" w:cs="Arial"/>
          <w:color w:val="000000"/>
          <w:lang w:eastAsia="bg-BG"/>
        </w:rPr>
        <w:t>-лактазен дефицит или глюкозо-галактозна малабсорбция не трябва да приемат това лекарство.</w:t>
      </w:r>
    </w:p>
    <w:p w14:paraId="55B0AC33" w14:textId="77777777" w:rsidR="00375D09" w:rsidRPr="00375D09" w:rsidRDefault="00375D09" w:rsidP="00375D09">
      <w:pPr>
        <w:spacing w:line="240" w:lineRule="auto"/>
        <w:rPr>
          <w:rFonts w:eastAsia="Times New Roman" w:cs="Arial"/>
          <w:i/>
          <w:iCs/>
          <w:color w:val="000000"/>
          <w:lang w:eastAsia="bg-BG"/>
        </w:rPr>
      </w:pPr>
    </w:p>
    <w:p w14:paraId="7F9D6A3C" w14:textId="63DDF945"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Интрестициална белодробна болест</w:t>
      </w:r>
    </w:p>
    <w:p w14:paraId="55017F0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Докладвани са изолирани случаи на интерстициална белодробна болест при приложение на някои статини, особено при продължителна терапия (вж. точка 4.8). Клиничните прояви може да включват диспнея, непродуктивна кашлица и влошаване на общото състояние (умора, загуба на тегло и треска). Ако има подозрение, че пациентът е развил интерстициална белодробна болест, терапията със статини трябва да бъде преустановена.</w:t>
      </w:r>
    </w:p>
    <w:p w14:paraId="0163F2E8" w14:textId="77777777" w:rsidR="00375D09" w:rsidRPr="00375D09" w:rsidRDefault="00375D09" w:rsidP="00375D09">
      <w:pPr>
        <w:spacing w:line="240" w:lineRule="auto"/>
        <w:rPr>
          <w:rFonts w:eastAsia="Times New Roman" w:cs="Arial"/>
          <w:i/>
          <w:iCs/>
          <w:color w:val="000000"/>
          <w:lang w:eastAsia="bg-BG"/>
        </w:rPr>
      </w:pPr>
    </w:p>
    <w:p w14:paraId="3572F381" w14:textId="6FED65B6"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Захарен диабет</w:t>
      </w:r>
    </w:p>
    <w:p w14:paraId="15F46C0A"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Някои доказателства предполагат, че статините като клас повишават кръвната глюкоза и при някои пациенти, високорискови за развитие на диабет в бъдеще, могат да доведат до такова ниво на хипергликемия, при което е подходящо прилагането на редовната грижа, провеждана при диабет. Този риск, обаче се надделява от редукцията на васкуларния риск със статини и следователно не трябва да бъде причина за спиране на статиновата </w:t>
      </w:r>
      <w:r w:rsidRPr="00375D09">
        <w:rPr>
          <w:rFonts w:eastAsia="Times New Roman" w:cs="Arial"/>
          <w:color w:val="000000"/>
          <w:lang w:eastAsia="bg-BG"/>
        </w:rPr>
        <w:lastRenderedPageBreak/>
        <w:t xml:space="preserve">терапия. Рисковите пациенти (глюкоза на гладно 5,6 до 6,9 </w:t>
      </w:r>
      <w:proofErr w:type="spellStart"/>
      <w:r w:rsidRPr="00375D09">
        <w:rPr>
          <w:rFonts w:eastAsia="Times New Roman" w:cs="Arial"/>
          <w:color w:val="000000"/>
          <w:lang w:val="en-US"/>
        </w:rPr>
        <w:t>mmol</w:t>
      </w:r>
      <w:proofErr w:type="spellEnd"/>
      <w:r w:rsidRPr="00375D09">
        <w:rPr>
          <w:rFonts w:eastAsia="Times New Roman" w:cs="Arial"/>
          <w:color w:val="000000"/>
          <w:lang w:val="en-US"/>
        </w:rPr>
        <w:t xml:space="preserve">/l, </w:t>
      </w:r>
      <w:r w:rsidRPr="00375D09">
        <w:rPr>
          <w:rFonts w:eastAsia="Times New Roman" w:cs="Arial"/>
          <w:color w:val="000000"/>
          <w:lang w:eastAsia="bg-BG"/>
        </w:rPr>
        <w:t xml:space="preserve">индекс на телесна маса&gt;30 </w:t>
      </w:r>
      <w:r w:rsidRPr="00375D09">
        <w:rPr>
          <w:rFonts w:eastAsia="Times New Roman" w:cs="Arial"/>
          <w:color w:val="000000"/>
          <w:lang w:val="en-US"/>
        </w:rPr>
        <w:t>kg/m</w:t>
      </w:r>
      <w:r w:rsidRPr="00375D09">
        <w:rPr>
          <w:rFonts w:eastAsia="Times New Roman" w:cs="Arial"/>
          <w:color w:val="000000"/>
          <w:vertAlign w:val="superscript"/>
          <w:lang w:val="en-US"/>
        </w:rPr>
        <w:t>2</w:t>
      </w:r>
      <w:r w:rsidRPr="00375D09">
        <w:rPr>
          <w:rFonts w:eastAsia="Times New Roman" w:cs="Arial"/>
          <w:color w:val="000000"/>
          <w:lang w:val="en-US"/>
        </w:rPr>
        <w:t xml:space="preserve">, </w:t>
      </w:r>
      <w:r w:rsidRPr="00375D09">
        <w:rPr>
          <w:rFonts w:eastAsia="Times New Roman" w:cs="Arial"/>
          <w:color w:val="000000"/>
          <w:lang w:eastAsia="bg-BG"/>
        </w:rPr>
        <w:t>повишени стойности на триглицеридите, хипертония) трябва да се проследяват както клинично, така и биохимично, съгласно националните ръководства.</w:t>
      </w:r>
    </w:p>
    <w:p w14:paraId="745236E0" w14:textId="77777777" w:rsidR="00375D09" w:rsidRPr="00375D09" w:rsidRDefault="00375D09" w:rsidP="00375D09">
      <w:pPr>
        <w:spacing w:line="240" w:lineRule="auto"/>
        <w:rPr>
          <w:rFonts w:eastAsia="Times New Roman" w:cs="Arial"/>
          <w:color w:val="000000"/>
          <w:lang w:eastAsia="bg-BG"/>
        </w:rPr>
      </w:pPr>
    </w:p>
    <w:p w14:paraId="5CE17CBE" w14:textId="726A552B"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В проучване на </w:t>
      </w:r>
      <w:r w:rsidRPr="00375D09">
        <w:rPr>
          <w:rFonts w:eastAsia="Times New Roman" w:cs="Arial"/>
          <w:color w:val="000000"/>
          <w:lang w:val="en-US"/>
        </w:rPr>
        <w:t xml:space="preserve">JUPITER, </w:t>
      </w:r>
      <w:r w:rsidRPr="00375D09">
        <w:rPr>
          <w:rFonts w:eastAsia="Times New Roman" w:cs="Arial"/>
          <w:color w:val="000000"/>
          <w:lang w:eastAsia="bg-BG"/>
        </w:rPr>
        <w:t xml:space="preserve">съобщената обща честота на захарен диабет е 2,8% за розувастатин и 2,3% за плацебо, главно при пациенти с глюкоза на гладно 5,6 до 6,9 </w:t>
      </w:r>
      <w:proofErr w:type="spellStart"/>
      <w:r w:rsidRPr="00375D09">
        <w:rPr>
          <w:rFonts w:eastAsia="Times New Roman" w:cs="Arial"/>
          <w:color w:val="000000"/>
          <w:lang w:val="en-US"/>
        </w:rPr>
        <w:t>mmol</w:t>
      </w:r>
      <w:proofErr w:type="spellEnd"/>
      <w:r w:rsidRPr="00375D09">
        <w:rPr>
          <w:rFonts w:eastAsia="Times New Roman" w:cs="Arial"/>
          <w:color w:val="000000"/>
          <w:lang w:val="en-US"/>
        </w:rPr>
        <w:t>/l.</w:t>
      </w:r>
    </w:p>
    <w:p w14:paraId="312CBE7C" w14:textId="77777777" w:rsidR="00375D09" w:rsidRPr="00375D09" w:rsidRDefault="00375D09" w:rsidP="00375D09">
      <w:pPr>
        <w:spacing w:line="240" w:lineRule="auto"/>
        <w:rPr>
          <w:rFonts w:eastAsia="Times New Roman" w:cs="Arial"/>
          <w:i/>
          <w:iCs/>
          <w:color w:val="000000"/>
          <w:lang w:eastAsia="bg-BG"/>
        </w:rPr>
      </w:pPr>
    </w:p>
    <w:p w14:paraId="517B7F4E" w14:textId="1110161B"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Педиатрична популация</w:t>
      </w:r>
    </w:p>
    <w:p w14:paraId="09CFBDF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Оценяването на линейното израстване (височина), тегло, </w:t>
      </w:r>
      <w:r w:rsidRPr="00375D09">
        <w:rPr>
          <w:rFonts w:eastAsia="Times New Roman" w:cs="Arial"/>
          <w:color w:val="000000"/>
          <w:lang w:val="en-US"/>
        </w:rPr>
        <w:t xml:space="preserve">BMI </w:t>
      </w:r>
      <w:r w:rsidRPr="00375D09">
        <w:rPr>
          <w:rFonts w:eastAsia="Times New Roman" w:cs="Arial"/>
          <w:color w:val="000000"/>
          <w:lang w:eastAsia="bg-BG"/>
        </w:rPr>
        <w:t xml:space="preserve">(индекс на телесната маса) и вторичните полови белези на половото съзряване по скалата на </w:t>
      </w:r>
      <w:r w:rsidRPr="00375D09">
        <w:rPr>
          <w:rFonts w:eastAsia="Times New Roman" w:cs="Arial"/>
          <w:color w:val="000000"/>
          <w:lang w:val="en-US"/>
        </w:rPr>
        <w:t xml:space="preserve">Tanner </w:t>
      </w:r>
      <w:r w:rsidRPr="00375D09">
        <w:rPr>
          <w:rFonts w:eastAsia="Times New Roman" w:cs="Arial"/>
          <w:color w:val="000000"/>
          <w:lang w:eastAsia="bg-BG"/>
        </w:rPr>
        <w:t xml:space="preserve">при педиатрични пациенти на възраст 6 до 17 години, приемащи розувастатин, е ограничено до двугодишен период. След две години на третиране по време на проучването, не е забелязан никакъв ефект върху растежа, теглото, </w:t>
      </w:r>
      <w:r w:rsidRPr="00375D09">
        <w:rPr>
          <w:rFonts w:eastAsia="Times New Roman" w:cs="Arial"/>
          <w:color w:val="000000"/>
          <w:lang w:val="en-US"/>
        </w:rPr>
        <w:t xml:space="preserve">BMI </w:t>
      </w:r>
      <w:r w:rsidRPr="00375D09">
        <w:rPr>
          <w:rFonts w:eastAsia="Times New Roman" w:cs="Arial"/>
          <w:color w:val="000000"/>
          <w:lang w:eastAsia="bg-BG"/>
        </w:rPr>
        <w:t>или половото съзряване (вж. точка 5.1).</w:t>
      </w:r>
    </w:p>
    <w:p w14:paraId="0735D6D9" w14:textId="77777777" w:rsidR="00375D09" w:rsidRPr="00375D09" w:rsidRDefault="00375D09" w:rsidP="00375D09">
      <w:pPr>
        <w:rPr>
          <w:rFonts w:eastAsia="Times New Roman" w:cs="Arial"/>
          <w:color w:val="000000"/>
          <w:lang w:eastAsia="bg-BG"/>
        </w:rPr>
      </w:pPr>
    </w:p>
    <w:p w14:paraId="1781BBE8" w14:textId="75CAFC16" w:rsidR="00375D09" w:rsidRPr="00375D09" w:rsidRDefault="00375D09" w:rsidP="00375D09">
      <w:pPr>
        <w:rPr>
          <w:rFonts w:cs="Arial"/>
        </w:rPr>
      </w:pPr>
      <w:r w:rsidRPr="00375D09">
        <w:rPr>
          <w:rFonts w:eastAsia="Times New Roman" w:cs="Arial"/>
          <w:color w:val="000000"/>
          <w:lang w:eastAsia="bg-BG"/>
        </w:rPr>
        <w:t>В клинично проучване на деца и юноши, приемащи розувастатин за 52 седмици, повишаване на СК &gt; 10</w:t>
      </w:r>
      <w:proofErr w:type="spellStart"/>
      <w:r w:rsidRPr="00375D09">
        <w:rPr>
          <w:rFonts w:eastAsia="Times New Roman" w:cs="Arial"/>
          <w:color w:val="000000"/>
          <w:lang w:val="en-US"/>
        </w:rPr>
        <w:t>xULN</w:t>
      </w:r>
      <w:proofErr w:type="spellEnd"/>
      <w:r w:rsidRPr="00375D09">
        <w:rPr>
          <w:rFonts w:eastAsia="Times New Roman" w:cs="Arial"/>
          <w:color w:val="000000"/>
          <w:lang w:val="en-US"/>
        </w:rPr>
        <w:t xml:space="preserve"> </w:t>
      </w:r>
      <w:r w:rsidRPr="00375D09">
        <w:rPr>
          <w:rFonts w:eastAsia="Times New Roman" w:cs="Arial"/>
          <w:color w:val="000000"/>
          <w:lang w:eastAsia="bg-BG"/>
        </w:rPr>
        <w:t>и мускулните симптоми след упражнение или повишена физическа активност са наблюдавани по-често в сравнение с наблюдения от клинични проучвания при възрастни (вж. точка 4.8).</w:t>
      </w:r>
    </w:p>
    <w:p w14:paraId="47397AF1" w14:textId="77777777" w:rsidR="00375D09" w:rsidRPr="0091385D" w:rsidRDefault="00375D09"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4C8BA73D"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Ефект на едновременно прилагани лекарствени продукти върху розувастатин</w:t>
      </w:r>
    </w:p>
    <w:p w14:paraId="69B2342F" w14:textId="77777777" w:rsidR="00375D09" w:rsidRPr="00375D09" w:rsidRDefault="00375D09" w:rsidP="00375D09">
      <w:pPr>
        <w:spacing w:line="240" w:lineRule="auto"/>
        <w:rPr>
          <w:rFonts w:eastAsia="Times New Roman" w:cs="Arial"/>
          <w:b/>
          <w:bCs/>
          <w:color w:val="000000"/>
          <w:lang w:eastAsia="bg-BG"/>
        </w:rPr>
      </w:pPr>
    </w:p>
    <w:p w14:paraId="249BB9DC" w14:textId="1B14028A"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Инхибитори на транспортерните протеини: </w:t>
      </w:r>
      <w:r w:rsidRPr="00375D09">
        <w:rPr>
          <w:rFonts w:eastAsia="Times New Roman" w:cs="Arial"/>
          <w:color w:val="000000"/>
          <w:lang w:eastAsia="bg-BG"/>
        </w:rPr>
        <w:t xml:space="preserve">Розувастатин е субстрат на определени транспортерни протеини, включително чернодробния ъптейк транспортер ОАТР1В1 и ефлукс транспортера </w:t>
      </w:r>
      <w:r w:rsidRPr="00375D09">
        <w:rPr>
          <w:rFonts w:eastAsia="Times New Roman" w:cs="Arial"/>
          <w:color w:val="000000"/>
          <w:lang w:val="en-US"/>
        </w:rPr>
        <w:t xml:space="preserve">BCRP. </w:t>
      </w:r>
      <w:r w:rsidRPr="00375D09">
        <w:rPr>
          <w:rFonts w:eastAsia="Times New Roman" w:cs="Arial"/>
          <w:color w:val="000000"/>
          <w:lang w:eastAsia="bg-BG"/>
        </w:rPr>
        <w:t>Едновременното приложение на Ултравас с лекарствени продукти, които са инхибитори на тези транспортерни протеини, може да доведе до повишаване на плазмената концентрация на розувастатин и повишен риск от миопатия (вж. таблица 1 и точки 4.2 и 4.4).</w:t>
      </w:r>
    </w:p>
    <w:p w14:paraId="3605E44C" w14:textId="77777777" w:rsidR="00375D09" w:rsidRPr="00375D09" w:rsidRDefault="00375D09" w:rsidP="00375D09">
      <w:pPr>
        <w:spacing w:line="240" w:lineRule="auto"/>
        <w:rPr>
          <w:rFonts w:eastAsia="Times New Roman" w:cs="Arial"/>
          <w:b/>
          <w:bCs/>
          <w:color w:val="000000"/>
          <w:lang w:eastAsia="bg-BG"/>
        </w:rPr>
      </w:pPr>
    </w:p>
    <w:p w14:paraId="0535F994" w14:textId="11744EF6"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Циклоспорин: </w:t>
      </w:r>
      <w:r w:rsidRPr="00375D09">
        <w:rPr>
          <w:rFonts w:eastAsia="Times New Roman" w:cs="Arial"/>
          <w:color w:val="000000"/>
          <w:lang w:eastAsia="bg-BG"/>
        </w:rPr>
        <w:t xml:space="preserve">При едновременното приложение на розувастатин с циклоспорин, средните стойности на </w:t>
      </w:r>
      <w:r w:rsidRPr="00375D09">
        <w:rPr>
          <w:rFonts w:eastAsia="Times New Roman" w:cs="Arial"/>
          <w:color w:val="000000"/>
          <w:lang w:val="en-US"/>
        </w:rPr>
        <w:t xml:space="preserve">AUC </w:t>
      </w:r>
      <w:r w:rsidRPr="00375D09">
        <w:rPr>
          <w:rFonts w:eastAsia="Times New Roman" w:cs="Arial"/>
          <w:color w:val="000000"/>
          <w:lang w:eastAsia="bg-BG"/>
        </w:rPr>
        <w:t>на розувастатин са били средно 7 пъти по-високи от тези, наблюдавани при здрави доброволци, на които е приложена същата доза (вж. таблица 1). Ултравас е противопоказан при пациенти, които едновременно получават циклоспорин (вж. точка 4.3). Едновременното приложение не е повлияло плазмените концентрации на циклоспорин.</w:t>
      </w:r>
    </w:p>
    <w:p w14:paraId="17C591BA" w14:textId="77777777" w:rsidR="00375D09" w:rsidRPr="00375D09" w:rsidRDefault="00375D09" w:rsidP="00375D09">
      <w:pPr>
        <w:rPr>
          <w:rFonts w:eastAsia="Times New Roman" w:cs="Arial"/>
          <w:b/>
          <w:bCs/>
          <w:color w:val="000000"/>
          <w:lang w:eastAsia="bg-BG"/>
        </w:rPr>
      </w:pPr>
    </w:p>
    <w:p w14:paraId="172AE819" w14:textId="5A520639" w:rsidR="0091385D" w:rsidRPr="00375D09" w:rsidRDefault="00375D09" w:rsidP="00375D09">
      <w:pPr>
        <w:rPr>
          <w:rFonts w:cs="Arial"/>
        </w:rPr>
      </w:pPr>
      <w:r w:rsidRPr="00375D09">
        <w:rPr>
          <w:rFonts w:eastAsia="Times New Roman" w:cs="Arial"/>
          <w:b/>
          <w:bCs/>
          <w:color w:val="000000"/>
          <w:lang w:eastAsia="bg-BG"/>
        </w:rPr>
        <w:t xml:space="preserve">Гемфнброзил и други липидопонижаващн продукти: </w:t>
      </w:r>
      <w:r w:rsidRPr="00375D09">
        <w:rPr>
          <w:rFonts w:eastAsia="Times New Roman" w:cs="Arial"/>
          <w:color w:val="000000"/>
          <w:lang w:eastAsia="bg-BG"/>
        </w:rPr>
        <w:t>Едновременното приложение на розувастатин и гемфнброзил е довело до двукратно повишаване на С</w:t>
      </w:r>
      <w:r w:rsidRPr="00375D09">
        <w:rPr>
          <w:rFonts w:eastAsia="Times New Roman" w:cs="Arial"/>
          <w:color w:val="000000"/>
          <w:vertAlign w:val="subscript"/>
          <w:lang w:val="en-US"/>
        </w:rPr>
        <w:t>max</w:t>
      </w:r>
      <w:r w:rsidRPr="00375D09">
        <w:rPr>
          <w:rFonts w:eastAsia="Times New Roman" w:cs="Arial"/>
          <w:color w:val="000000"/>
          <w:lang w:eastAsia="bg-BG"/>
        </w:rPr>
        <w:t xml:space="preserve"> и </w:t>
      </w:r>
      <w:r w:rsidRPr="00375D09">
        <w:rPr>
          <w:rFonts w:eastAsia="Times New Roman" w:cs="Arial"/>
          <w:color w:val="000000"/>
          <w:lang w:val="en-US"/>
        </w:rPr>
        <w:t xml:space="preserve">AUC </w:t>
      </w:r>
      <w:r w:rsidRPr="00375D09">
        <w:rPr>
          <w:rFonts w:eastAsia="Times New Roman" w:cs="Arial"/>
          <w:color w:val="000000"/>
          <w:lang w:eastAsia="bg-BG"/>
        </w:rPr>
        <w:t>на розувастатин (вж. точка 4.4). Данните от фармакокинетичните проучвания, изследващи лекарствените взаимодействия, не са показали взаимодействие с фенофибрат, но е възможна поява на фармакодинамични взаимодействия.</w:t>
      </w:r>
    </w:p>
    <w:p w14:paraId="5B2761C5" w14:textId="1B2D7C38" w:rsidR="0091385D" w:rsidRPr="00375D09" w:rsidRDefault="0091385D" w:rsidP="0091385D">
      <w:pPr>
        <w:rPr>
          <w:rFonts w:cs="Arial"/>
        </w:rPr>
      </w:pPr>
    </w:p>
    <w:p w14:paraId="7CF18139"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Гемфиброзил, фенофибрат и останалите лекарства от групата на фибратите и липидо-понижаващите дози (в дози ≥ 1 </w:t>
      </w:r>
      <w:r w:rsidRPr="00375D09">
        <w:rPr>
          <w:rFonts w:eastAsia="Times New Roman" w:cs="Arial"/>
          <w:color w:val="000000"/>
          <w:lang w:val="en-US"/>
        </w:rPr>
        <w:t xml:space="preserve">g </w:t>
      </w:r>
      <w:r w:rsidRPr="00375D09">
        <w:rPr>
          <w:rFonts w:eastAsia="Times New Roman" w:cs="Arial"/>
          <w:color w:val="000000"/>
          <w:lang w:eastAsia="bg-BG"/>
        </w:rPr>
        <w:t>на ден) ниацин (никотинова киселина) повишават риска от поява на миопатия при комбиниране с инхибитори на хидрокси-метил-глутарил-</w:t>
      </w:r>
      <w:r w:rsidRPr="00375D09">
        <w:rPr>
          <w:rFonts w:eastAsia="Times New Roman" w:cs="Arial"/>
          <w:color w:val="000000"/>
          <w:lang w:eastAsia="bg-BG"/>
        </w:rPr>
        <w:lastRenderedPageBreak/>
        <w:t xml:space="preserve">коензим А редуктазата, най-вероятно поради факта, че последните могат да предизвикат появата на това усложнение и при монотерапия. Дозата от 40 </w:t>
      </w:r>
      <w:r w:rsidRPr="00375D09">
        <w:rPr>
          <w:rFonts w:eastAsia="Times New Roman" w:cs="Arial"/>
          <w:color w:val="000000"/>
          <w:lang w:val="en-US"/>
        </w:rPr>
        <w:t xml:space="preserve">mg </w:t>
      </w:r>
      <w:r w:rsidRPr="00375D09">
        <w:rPr>
          <w:rFonts w:eastAsia="Times New Roman" w:cs="Arial"/>
          <w:color w:val="000000"/>
          <w:lang w:eastAsia="bg-BG"/>
        </w:rPr>
        <w:t xml:space="preserve">е противопоказана при едновременен прием с фибрати (вж. точки 4.3 и 4.4). При тези пациенти лечението също трябва да започне с 5 </w:t>
      </w:r>
      <w:r w:rsidRPr="00375D09">
        <w:rPr>
          <w:rFonts w:eastAsia="Times New Roman" w:cs="Arial"/>
          <w:color w:val="000000"/>
          <w:lang w:val="en-US"/>
        </w:rPr>
        <w:t>mg.</w:t>
      </w:r>
    </w:p>
    <w:p w14:paraId="5FADAEC5" w14:textId="77777777" w:rsidR="00375D09" w:rsidRPr="00375D09" w:rsidRDefault="00375D09" w:rsidP="00375D09">
      <w:pPr>
        <w:spacing w:line="240" w:lineRule="auto"/>
        <w:rPr>
          <w:rFonts w:eastAsia="Times New Roman" w:cs="Arial"/>
          <w:b/>
          <w:bCs/>
          <w:color w:val="000000"/>
          <w:lang w:eastAsia="bg-BG"/>
        </w:rPr>
      </w:pPr>
    </w:p>
    <w:p w14:paraId="57F75E9E" w14:textId="05B30535"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Езетимиб: </w:t>
      </w:r>
      <w:r w:rsidRPr="00375D09">
        <w:rPr>
          <w:rFonts w:eastAsia="Times New Roman" w:cs="Arial"/>
          <w:color w:val="000000"/>
          <w:lang w:eastAsia="bg-BG"/>
        </w:rPr>
        <w:t xml:space="preserve">Едновременното използване на 40 </w:t>
      </w:r>
      <w:r w:rsidRPr="00375D09">
        <w:rPr>
          <w:rFonts w:eastAsia="Times New Roman" w:cs="Arial"/>
          <w:color w:val="000000"/>
          <w:lang w:val="en-US"/>
        </w:rPr>
        <w:t xml:space="preserve">mg </w:t>
      </w:r>
      <w:r w:rsidRPr="00375D09">
        <w:rPr>
          <w:rFonts w:eastAsia="Times New Roman" w:cs="Arial"/>
          <w:color w:val="000000"/>
          <w:lang w:eastAsia="bg-BG"/>
        </w:rPr>
        <w:t xml:space="preserve">Ултравас и 10 </w:t>
      </w:r>
      <w:r w:rsidRPr="00375D09">
        <w:rPr>
          <w:rFonts w:eastAsia="Times New Roman" w:cs="Arial"/>
          <w:color w:val="000000"/>
          <w:lang w:val="en-US"/>
        </w:rPr>
        <w:t xml:space="preserve">mg </w:t>
      </w:r>
      <w:r w:rsidRPr="00375D09">
        <w:rPr>
          <w:rFonts w:eastAsia="Times New Roman" w:cs="Arial"/>
          <w:color w:val="000000"/>
          <w:lang w:eastAsia="bg-BG"/>
        </w:rPr>
        <w:t xml:space="preserve">езетимиб не води до промени в </w:t>
      </w:r>
      <w:r w:rsidRPr="00375D09">
        <w:rPr>
          <w:rFonts w:eastAsia="Times New Roman" w:cs="Arial"/>
          <w:color w:val="000000"/>
          <w:lang w:val="en-US"/>
        </w:rPr>
        <w:t xml:space="preserve">AUC </w:t>
      </w:r>
      <w:r w:rsidRPr="00375D09">
        <w:rPr>
          <w:rFonts w:eastAsia="Times New Roman" w:cs="Arial"/>
          <w:color w:val="000000"/>
          <w:lang w:eastAsia="bg-BG"/>
        </w:rPr>
        <w:t xml:space="preserve">и при двата препарата, когато се прилагат при здрави доброволци. Има 1,2 пъти повишение на </w:t>
      </w:r>
      <w:r w:rsidRPr="00375D09">
        <w:rPr>
          <w:rFonts w:eastAsia="Times New Roman" w:cs="Arial"/>
          <w:color w:val="000000"/>
          <w:lang w:val="en-US"/>
        </w:rPr>
        <w:t xml:space="preserve">AUC </w:t>
      </w:r>
      <w:r w:rsidRPr="00375D09">
        <w:rPr>
          <w:rFonts w:eastAsia="Times New Roman" w:cs="Arial"/>
          <w:color w:val="000000"/>
          <w:lang w:eastAsia="bg-BG"/>
        </w:rPr>
        <w:t xml:space="preserve">на розувастатин, когато 10 </w:t>
      </w:r>
      <w:r w:rsidRPr="00375D09">
        <w:rPr>
          <w:rFonts w:eastAsia="Times New Roman" w:cs="Arial"/>
          <w:color w:val="000000"/>
          <w:lang w:val="en-US"/>
        </w:rPr>
        <w:t xml:space="preserve">mg </w:t>
      </w:r>
      <w:r w:rsidRPr="00375D09">
        <w:rPr>
          <w:rFonts w:eastAsia="Times New Roman" w:cs="Arial"/>
          <w:color w:val="000000"/>
          <w:lang w:eastAsia="bg-BG"/>
        </w:rPr>
        <w:t xml:space="preserve">Ултравас и 10 </w:t>
      </w:r>
      <w:r w:rsidRPr="00375D09">
        <w:rPr>
          <w:rFonts w:eastAsia="Times New Roman" w:cs="Arial"/>
          <w:color w:val="000000"/>
          <w:lang w:val="en-US"/>
        </w:rPr>
        <w:t xml:space="preserve">mg </w:t>
      </w:r>
      <w:r w:rsidRPr="00375D09">
        <w:rPr>
          <w:rFonts w:eastAsia="Times New Roman" w:cs="Arial"/>
          <w:color w:val="000000"/>
          <w:lang w:eastAsia="bg-BG"/>
        </w:rPr>
        <w:t>езетимиб са приложени при пациенти с хиперхолестеролемия (таблица 1). Не може да се изключи фармакодинамично взаимодействие между тях, което да има за резултат нежелани реакции (вж. точка 4.4).</w:t>
      </w:r>
    </w:p>
    <w:p w14:paraId="3D84B858" w14:textId="77777777" w:rsidR="00375D09" w:rsidRPr="00375D09" w:rsidRDefault="00375D09" w:rsidP="00375D09">
      <w:pPr>
        <w:spacing w:line="240" w:lineRule="auto"/>
        <w:rPr>
          <w:rFonts w:eastAsia="Times New Roman" w:cs="Arial"/>
          <w:b/>
          <w:bCs/>
          <w:color w:val="000000"/>
          <w:lang w:eastAsia="bg-BG"/>
        </w:rPr>
      </w:pPr>
    </w:p>
    <w:p w14:paraId="47F5B76D" w14:textId="7AA2402B"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Протеазни инхибитори: </w:t>
      </w:r>
      <w:r w:rsidRPr="00375D09">
        <w:rPr>
          <w:rFonts w:eastAsia="Times New Roman" w:cs="Arial"/>
          <w:color w:val="000000"/>
          <w:lang w:eastAsia="bg-BG"/>
        </w:rPr>
        <w:t xml:space="preserve">Въпреки че точният механизъм на взаимодействие не е известен, едновременното приложение с протеазни инхибитори може рязко да повиши експозицията на розувастатин. Едновременното приложение на 10 </w:t>
      </w:r>
      <w:r w:rsidRPr="00375D09">
        <w:rPr>
          <w:rFonts w:eastAsia="Times New Roman" w:cs="Arial"/>
          <w:color w:val="000000"/>
          <w:lang w:val="en-US"/>
        </w:rPr>
        <w:t xml:space="preserve">mg </w:t>
      </w:r>
      <w:r w:rsidRPr="00375D09">
        <w:rPr>
          <w:rFonts w:eastAsia="Times New Roman" w:cs="Arial"/>
          <w:color w:val="000000"/>
          <w:lang w:eastAsia="bg-BG"/>
        </w:rPr>
        <w:t>розувастатин и комбиниран продукт, състоящ се от два протеазни инхибитора (300</w:t>
      </w:r>
      <w:r w:rsidRPr="00375D09">
        <w:rPr>
          <w:rFonts w:eastAsia="Times New Roman" w:cs="Arial"/>
          <w:color w:val="000000"/>
          <w:lang w:val="en-US"/>
        </w:rPr>
        <w:t xml:space="preserve"> mg </w:t>
      </w:r>
      <w:r w:rsidRPr="00375D09">
        <w:rPr>
          <w:rFonts w:eastAsia="Times New Roman" w:cs="Arial"/>
          <w:color w:val="000000"/>
          <w:lang w:eastAsia="bg-BG"/>
        </w:rPr>
        <w:t xml:space="preserve">атазанавир/100 </w:t>
      </w:r>
      <w:r w:rsidRPr="00375D09">
        <w:rPr>
          <w:rFonts w:eastAsia="Times New Roman" w:cs="Arial"/>
          <w:color w:val="000000"/>
          <w:lang w:val="en-US"/>
        </w:rPr>
        <w:t xml:space="preserve">mg </w:t>
      </w:r>
      <w:r w:rsidRPr="00375D09">
        <w:rPr>
          <w:rFonts w:eastAsia="Times New Roman" w:cs="Arial"/>
          <w:color w:val="000000"/>
          <w:lang w:eastAsia="bg-BG"/>
        </w:rPr>
        <w:t xml:space="preserve">ритонавир) по време на едно фармакокинетично проучване при здрави доброволци, е асоциирано с приблизително трикратно нарастване на </w:t>
      </w:r>
      <w:r w:rsidRPr="00375D09">
        <w:rPr>
          <w:rFonts w:eastAsia="Times New Roman" w:cs="Arial"/>
          <w:color w:val="000000"/>
          <w:lang w:val="en-US"/>
        </w:rPr>
        <w:t xml:space="preserve">AUC </w:t>
      </w:r>
      <w:r w:rsidRPr="00375D09">
        <w:rPr>
          <w:rFonts w:eastAsia="Times New Roman" w:cs="Arial"/>
          <w:color w:val="000000"/>
          <w:lang w:eastAsia="bg-BG"/>
        </w:rPr>
        <w:t>на розувастатин. Едновременното приложение на Ултравас и някои комбинации от протеазни инхибитори, може да се има предвид след внимателно преценяване на корекциите на дозата на Ултравас, на база очакваното повишение на експозицията на розувастатин (вж. таблица 1 и точки 4.2 и 4.4).</w:t>
      </w:r>
    </w:p>
    <w:p w14:paraId="5F23C750" w14:textId="77777777" w:rsidR="00375D09" w:rsidRPr="00375D09" w:rsidRDefault="00375D09" w:rsidP="00375D09">
      <w:pPr>
        <w:spacing w:line="240" w:lineRule="auto"/>
        <w:rPr>
          <w:rFonts w:eastAsia="Times New Roman" w:cs="Arial"/>
          <w:b/>
          <w:bCs/>
          <w:color w:val="000000"/>
          <w:lang w:eastAsia="bg-BG"/>
        </w:rPr>
      </w:pPr>
    </w:p>
    <w:p w14:paraId="388ABD3F" w14:textId="5E5788B1"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Антиациди: </w:t>
      </w:r>
      <w:r w:rsidRPr="00375D09">
        <w:rPr>
          <w:rFonts w:eastAsia="Times New Roman" w:cs="Arial"/>
          <w:color w:val="000000"/>
          <w:lang w:eastAsia="bg-BG"/>
        </w:rPr>
        <w:t>Едновременното приложение на розувастатин с антиацидна суспензия, съдържаща алуминиев и магнезиев хидроксид, е довело до намаляване на плазмената концентрация на розувастатин с приблизително 50%. Този ефект е бил отслабен, когато антиацидите са давани 2 часа след приема на розувастатин. Клиничното значение на това взаимодействие не е изследвано.</w:t>
      </w:r>
    </w:p>
    <w:p w14:paraId="3113C41E" w14:textId="77777777" w:rsidR="00375D09" w:rsidRPr="00375D09" w:rsidRDefault="00375D09" w:rsidP="00375D09">
      <w:pPr>
        <w:spacing w:line="240" w:lineRule="auto"/>
        <w:rPr>
          <w:rFonts w:eastAsia="Times New Roman" w:cs="Arial"/>
          <w:b/>
          <w:bCs/>
          <w:color w:val="000000"/>
          <w:lang w:eastAsia="bg-BG"/>
        </w:rPr>
      </w:pPr>
    </w:p>
    <w:p w14:paraId="3D8ADBE6" w14:textId="0847444C"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Еритомицин: </w:t>
      </w:r>
      <w:r w:rsidRPr="00375D09">
        <w:rPr>
          <w:rFonts w:eastAsia="Times New Roman" w:cs="Arial"/>
          <w:color w:val="000000"/>
          <w:lang w:eastAsia="bg-BG"/>
        </w:rPr>
        <w:t xml:space="preserve">Едновременният прием на розувастатин и еритромицин е довел до 20% понижаване на </w:t>
      </w:r>
      <w:r w:rsidRPr="00375D09">
        <w:rPr>
          <w:rFonts w:eastAsia="Times New Roman" w:cs="Arial"/>
          <w:color w:val="000000"/>
          <w:lang w:val="en-US"/>
        </w:rPr>
        <w:t>AUC</w:t>
      </w:r>
      <w:r w:rsidRPr="00375D09">
        <w:rPr>
          <w:rFonts w:eastAsia="Times New Roman" w:cs="Arial"/>
          <w:color w:val="000000"/>
          <w:vertAlign w:val="subscript"/>
          <w:lang w:val="en-US"/>
        </w:rPr>
        <w:t>(0-t)</w:t>
      </w:r>
      <w:r w:rsidRPr="00375D09">
        <w:rPr>
          <w:rFonts w:eastAsia="Times New Roman" w:cs="Arial"/>
          <w:color w:val="000000"/>
          <w:lang w:val="en-US"/>
        </w:rPr>
        <w:t xml:space="preserve"> </w:t>
      </w:r>
      <w:r w:rsidRPr="00375D09">
        <w:rPr>
          <w:rFonts w:eastAsia="Times New Roman" w:cs="Arial"/>
          <w:color w:val="000000"/>
          <w:lang w:eastAsia="bg-BG"/>
        </w:rPr>
        <w:t>и 30% понижаване на С</w:t>
      </w:r>
      <w:r w:rsidRPr="00375D09">
        <w:rPr>
          <w:rFonts w:eastAsia="Times New Roman" w:cs="Arial"/>
          <w:color w:val="000000"/>
          <w:vertAlign w:val="subscript"/>
          <w:lang w:val="en-US"/>
        </w:rPr>
        <w:t>max</w:t>
      </w:r>
      <w:r w:rsidRPr="00375D09">
        <w:rPr>
          <w:rFonts w:eastAsia="Times New Roman" w:cs="Arial"/>
          <w:color w:val="000000"/>
          <w:lang w:eastAsia="bg-BG"/>
        </w:rPr>
        <w:t xml:space="preserve"> на розувастатин. Взаимодействието може да е предизвикано от повишения чревен мотилитет, вследствие приемането на еритромицин.</w:t>
      </w:r>
    </w:p>
    <w:p w14:paraId="556113F3" w14:textId="77777777" w:rsidR="00375D09" w:rsidRPr="00375D09" w:rsidRDefault="00375D09" w:rsidP="00375D09">
      <w:pPr>
        <w:spacing w:line="240" w:lineRule="auto"/>
        <w:rPr>
          <w:rFonts w:eastAsia="Times New Roman" w:cs="Arial"/>
          <w:b/>
          <w:bCs/>
          <w:color w:val="000000"/>
          <w:lang w:eastAsia="bg-BG"/>
        </w:rPr>
      </w:pPr>
    </w:p>
    <w:p w14:paraId="1322E15F" w14:textId="4F499835"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Ензими от системата на цитохром Р450: </w:t>
      </w:r>
      <w:r w:rsidRPr="00375D09">
        <w:rPr>
          <w:rFonts w:eastAsia="Times New Roman" w:cs="Arial"/>
          <w:color w:val="000000"/>
          <w:lang w:eastAsia="bg-BG"/>
        </w:rPr>
        <w:t xml:space="preserve">Данните от </w:t>
      </w:r>
      <w:r w:rsidRPr="00375D09">
        <w:rPr>
          <w:rFonts w:eastAsia="Times New Roman" w:cs="Arial"/>
          <w:i/>
          <w:iCs/>
          <w:color w:val="000000"/>
          <w:lang w:val="en-US"/>
        </w:rPr>
        <w:t>in vitro</w:t>
      </w:r>
      <w:r w:rsidRPr="00375D09">
        <w:rPr>
          <w:rFonts w:eastAsia="Times New Roman" w:cs="Arial"/>
          <w:color w:val="000000"/>
          <w:lang w:val="en-US"/>
        </w:rPr>
        <w:t xml:space="preserve"> </w:t>
      </w:r>
      <w:r w:rsidRPr="00375D09">
        <w:rPr>
          <w:rFonts w:eastAsia="Times New Roman" w:cs="Arial"/>
          <w:color w:val="000000"/>
          <w:lang w:eastAsia="bg-BG"/>
        </w:rPr>
        <w:t xml:space="preserve">и </w:t>
      </w:r>
      <w:r w:rsidRPr="00375D09">
        <w:rPr>
          <w:rFonts w:eastAsia="Times New Roman" w:cs="Arial"/>
          <w:i/>
          <w:iCs/>
          <w:color w:val="000000"/>
          <w:lang w:val="en-US"/>
        </w:rPr>
        <w:t>in vivo</w:t>
      </w:r>
      <w:r w:rsidRPr="00375D09">
        <w:rPr>
          <w:rFonts w:eastAsia="Times New Roman" w:cs="Arial"/>
          <w:color w:val="000000"/>
          <w:lang w:val="en-US"/>
        </w:rPr>
        <w:t xml:space="preserve"> </w:t>
      </w:r>
      <w:r w:rsidRPr="00375D09">
        <w:rPr>
          <w:rFonts w:eastAsia="Times New Roman" w:cs="Arial"/>
          <w:color w:val="000000"/>
          <w:lang w:eastAsia="bg-BG"/>
        </w:rPr>
        <w:t xml:space="preserve">проучвания показват, че розувастатин не е нито инхибитор, нито индуктор на цитохром Р450 изоензимите. Розувастатин е слаб субстрат за тези изоензими. Следователно, лекарствени взаимодействия, резултат от цитохром Р450- медиирания метаболизъм, не се очакват. Не са наблюдавани клинично значими взаимодействия между розувастатин и флуконазол (инхибитор на </w:t>
      </w:r>
      <w:r w:rsidRPr="00375D09">
        <w:rPr>
          <w:rFonts w:eastAsia="Times New Roman" w:cs="Arial"/>
          <w:color w:val="000000"/>
          <w:lang w:val="en-US"/>
        </w:rPr>
        <w:t xml:space="preserve">CYP2C9 </w:t>
      </w:r>
      <w:r w:rsidRPr="00375D09">
        <w:rPr>
          <w:rFonts w:eastAsia="Times New Roman" w:cs="Arial"/>
          <w:color w:val="000000"/>
          <w:lang w:eastAsia="bg-BG"/>
        </w:rPr>
        <w:t xml:space="preserve">и </w:t>
      </w:r>
      <w:r w:rsidRPr="00375D09">
        <w:rPr>
          <w:rFonts w:eastAsia="Times New Roman" w:cs="Arial"/>
          <w:color w:val="000000"/>
          <w:lang w:val="en-US"/>
        </w:rPr>
        <w:t xml:space="preserve">CYP3A4) </w:t>
      </w:r>
      <w:r w:rsidRPr="00375D09">
        <w:rPr>
          <w:rFonts w:eastAsia="Times New Roman" w:cs="Arial"/>
          <w:color w:val="000000"/>
          <w:lang w:eastAsia="bg-BG"/>
        </w:rPr>
        <w:t xml:space="preserve">или кетоконазол (инхибитор на </w:t>
      </w:r>
      <w:r w:rsidRPr="00375D09">
        <w:rPr>
          <w:rFonts w:eastAsia="Times New Roman" w:cs="Arial"/>
          <w:color w:val="000000"/>
          <w:lang w:val="en-US"/>
        </w:rPr>
        <w:t xml:space="preserve">CYP2A6 </w:t>
      </w:r>
      <w:r w:rsidRPr="00375D09">
        <w:rPr>
          <w:rFonts w:eastAsia="Times New Roman" w:cs="Arial"/>
          <w:color w:val="000000"/>
          <w:lang w:eastAsia="bg-BG"/>
        </w:rPr>
        <w:t xml:space="preserve">и </w:t>
      </w:r>
      <w:r w:rsidRPr="00375D09">
        <w:rPr>
          <w:rFonts w:eastAsia="Times New Roman" w:cs="Arial"/>
          <w:color w:val="000000"/>
          <w:lang w:val="en-US"/>
        </w:rPr>
        <w:t xml:space="preserve">CYP3A4). </w:t>
      </w:r>
      <w:r w:rsidRPr="00375D09">
        <w:rPr>
          <w:rFonts w:eastAsia="Times New Roman" w:cs="Arial"/>
          <w:color w:val="000000"/>
          <w:lang w:eastAsia="bg-BG"/>
        </w:rPr>
        <w:t xml:space="preserve">Едновременният прием на итраконазол (инхибитор на </w:t>
      </w:r>
      <w:r w:rsidRPr="00375D09">
        <w:rPr>
          <w:rFonts w:eastAsia="Times New Roman" w:cs="Arial"/>
          <w:color w:val="000000"/>
          <w:lang w:val="en-US"/>
        </w:rPr>
        <w:t xml:space="preserve">CYP3A4) </w:t>
      </w:r>
      <w:r w:rsidRPr="00375D09">
        <w:rPr>
          <w:rFonts w:eastAsia="Times New Roman" w:cs="Arial"/>
          <w:color w:val="000000"/>
          <w:lang w:eastAsia="bg-BG"/>
        </w:rPr>
        <w:t xml:space="preserve">и розувастатин води до 28% увеличение на </w:t>
      </w:r>
      <w:r w:rsidRPr="00375D09">
        <w:rPr>
          <w:rFonts w:eastAsia="Times New Roman" w:cs="Arial"/>
          <w:color w:val="000000"/>
          <w:lang w:val="en-US"/>
        </w:rPr>
        <w:t xml:space="preserve">AUC </w:t>
      </w:r>
      <w:r w:rsidRPr="00375D09">
        <w:rPr>
          <w:rFonts w:eastAsia="Times New Roman" w:cs="Arial"/>
          <w:color w:val="000000"/>
          <w:lang w:eastAsia="bg-BG"/>
        </w:rPr>
        <w:t>на росувастатин. Това малко увеличение не е клинично значимо. По  тази причина, лекарствени взаимодействия вследствие на метаболизъм, медииран от цитохром Р450, не се очакват.</w:t>
      </w:r>
    </w:p>
    <w:p w14:paraId="628809DC" w14:textId="77777777" w:rsidR="00375D09" w:rsidRPr="00375D09" w:rsidRDefault="00375D09" w:rsidP="00375D09">
      <w:pPr>
        <w:spacing w:line="240" w:lineRule="auto"/>
        <w:rPr>
          <w:rFonts w:eastAsia="Times New Roman" w:cs="Arial"/>
          <w:b/>
          <w:bCs/>
          <w:color w:val="000000"/>
          <w:lang w:eastAsia="bg-BG"/>
        </w:rPr>
      </w:pPr>
    </w:p>
    <w:p w14:paraId="3B032000" w14:textId="0DC08BFC"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Взаимодействия, които изискват корекции на дозата на розувастатин (вж. също таблица 1): </w:t>
      </w:r>
      <w:r w:rsidRPr="00375D09">
        <w:rPr>
          <w:rFonts w:eastAsia="Times New Roman" w:cs="Arial"/>
          <w:color w:val="000000"/>
          <w:lang w:eastAsia="bg-BG"/>
        </w:rPr>
        <w:t>Когато е необходимо да се прилага Ултравас едновременно с други лекарствени продукти, за които е известно, че повишават експозицията на розувастатин, дозите на Ултравас трябва да се коригират.</w:t>
      </w:r>
      <w:r w:rsidRPr="00375D09">
        <w:rPr>
          <w:rFonts w:eastAsia="Times New Roman" w:cs="Arial"/>
          <w:sz w:val="24"/>
          <w:szCs w:val="24"/>
          <w:lang w:eastAsia="bg-BG"/>
        </w:rPr>
        <w:t xml:space="preserve"> </w:t>
      </w:r>
      <w:r w:rsidRPr="00375D09">
        <w:rPr>
          <w:rFonts w:eastAsia="Times New Roman" w:cs="Arial"/>
          <w:color w:val="000000"/>
          <w:lang w:eastAsia="bg-BG"/>
        </w:rPr>
        <w:t xml:space="preserve">На предписващите лекари се препоръчва да вземат предвид съответната лекарствена информация, когато обмислят прилагане на такива продукти заедно с Ултравас. Започва се с доза на Ултравас от 5 </w:t>
      </w:r>
      <w:r w:rsidRPr="00375D09">
        <w:rPr>
          <w:rFonts w:eastAsia="Times New Roman" w:cs="Arial"/>
          <w:color w:val="000000"/>
          <w:lang w:val="en-US"/>
        </w:rPr>
        <w:t xml:space="preserve">mg </w:t>
      </w:r>
      <w:r w:rsidRPr="00375D09">
        <w:rPr>
          <w:rFonts w:eastAsia="Times New Roman" w:cs="Arial"/>
          <w:color w:val="000000"/>
          <w:lang w:eastAsia="bg-BG"/>
        </w:rPr>
        <w:t xml:space="preserve">веднъж </w:t>
      </w:r>
      <w:r w:rsidRPr="00375D09">
        <w:rPr>
          <w:rFonts w:eastAsia="Times New Roman" w:cs="Arial"/>
          <w:color w:val="000000"/>
          <w:lang w:eastAsia="bg-BG"/>
        </w:rPr>
        <w:lastRenderedPageBreak/>
        <w:t xml:space="preserve">дневно, ако очакваното повишение на експозицията </w:t>
      </w:r>
      <w:r w:rsidRPr="00375D09">
        <w:rPr>
          <w:rFonts w:eastAsia="Times New Roman" w:cs="Arial"/>
          <w:color w:val="000000"/>
          <w:lang w:val="en-US"/>
        </w:rPr>
        <w:t xml:space="preserve">(AUC) </w:t>
      </w:r>
      <w:r w:rsidRPr="00375D09">
        <w:rPr>
          <w:rFonts w:eastAsia="Times New Roman" w:cs="Arial"/>
          <w:color w:val="000000"/>
          <w:lang w:eastAsia="bg-BG"/>
        </w:rPr>
        <w:t xml:space="preserve">е приблизително двукратно или по-голямо. Максималната дневна доза на Ултравас трябва да се коригира така, че очакваната експозиция на розувастатин няма вероятност да надвиши тази на 40 </w:t>
      </w:r>
      <w:r w:rsidRPr="00375D09">
        <w:rPr>
          <w:rFonts w:eastAsia="Times New Roman" w:cs="Arial"/>
          <w:color w:val="000000"/>
          <w:lang w:val="en-US"/>
        </w:rPr>
        <w:t xml:space="preserve">mg </w:t>
      </w:r>
      <w:r w:rsidRPr="00375D09">
        <w:rPr>
          <w:rFonts w:eastAsia="Times New Roman" w:cs="Arial"/>
          <w:color w:val="000000"/>
          <w:lang w:eastAsia="bg-BG"/>
        </w:rPr>
        <w:t xml:space="preserve">дневна доза Ултравас, приет без взаимодействащи лекарствени продукти, напр. доза от 20 </w:t>
      </w:r>
      <w:r w:rsidRPr="00375D09">
        <w:rPr>
          <w:rFonts w:eastAsia="Times New Roman" w:cs="Arial"/>
          <w:color w:val="000000"/>
          <w:lang w:val="en-US"/>
        </w:rPr>
        <w:t xml:space="preserve">mg </w:t>
      </w:r>
      <w:r w:rsidRPr="00375D09">
        <w:rPr>
          <w:rFonts w:eastAsia="Times New Roman" w:cs="Arial"/>
          <w:color w:val="000000"/>
          <w:lang w:eastAsia="bg-BG"/>
        </w:rPr>
        <w:t xml:space="preserve">Ултравас с гемфиброзил (1,9 пъти повишение) и доза от 10 </w:t>
      </w:r>
      <w:r w:rsidRPr="00375D09">
        <w:rPr>
          <w:rFonts w:eastAsia="Times New Roman" w:cs="Arial"/>
          <w:color w:val="000000"/>
          <w:lang w:val="en-US"/>
        </w:rPr>
        <w:t xml:space="preserve">mg </w:t>
      </w:r>
      <w:r w:rsidRPr="00375D09">
        <w:rPr>
          <w:rFonts w:eastAsia="Times New Roman" w:cs="Arial"/>
          <w:color w:val="000000"/>
          <w:lang w:eastAsia="bg-BG"/>
        </w:rPr>
        <w:t>Ултравас с комбинация ритонавир/атазанавир (3,1 пъти пъти повишение).</w:t>
      </w:r>
    </w:p>
    <w:p w14:paraId="52833A54" w14:textId="2EC6EBFC" w:rsidR="00375D09" w:rsidRDefault="00375D09" w:rsidP="0091385D"/>
    <w:p w14:paraId="2057E72F" w14:textId="0FE0D3CA" w:rsidR="00375D09" w:rsidRDefault="00375D09" w:rsidP="0091385D">
      <w:pPr>
        <w:rPr>
          <w:b/>
          <w:bCs/>
        </w:rPr>
      </w:pPr>
      <w:r>
        <w:rPr>
          <w:b/>
          <w:bCs/>
        </w:rPr>
        <w:t xml:space="preserve">Таблица 1 Ефект на едновременно прилаган лекарствен продукт върху експозицията на розувастатин </w:t>
      </w:r>
      <w:r>
        <w:rPr>
          <w:b/>
          <w:bCs/>
          <w:lang w:val="en-US"/>
        </w:rPr>
        <w:t xml:space="preserve">(AUC, </w:t>
      </w:r>
      <w:r>
        <w:rPr>
          <w:b/>
          <w:bCs/>
        </w:rPr>
        <w:t>в низходящ ред) от публикувани клинични проучвания</w:t>
      </w:r>
    </w:p>
    <w:p w14:paraId="3F299691" w14:textId="77777777" w:rsidR="00375D09" w:rsidRDefault="00375D09" w:rsidP="0091385D">
      <w:pPr>
        <w:rPr>
          <w:b/>
          <w:bCs/>
        </w:rPr>
      </w:pPr>
    </w:p>
    <w:tbl>
      <w:tblPr>
        <w:tblStyle w:val="TableGrid"/>
        <w:tblW w:w="0" w:type="auto"/>
        <w:tblLook w:val="04A0" w:firstRow="1" w:lastRow="0" w:firstColumn="1" w:lastColumn="0" w:noHBand="0" w:noVBand="1"/>
      </w:tblPr>
      <w:tblGrid>
        <w:gridCol w:w="3136"/>
        <w:gridCol w:w="3107"/>
        <w:gridCol w:w="3107"/>
      </w:tblGrid>
      <w:tr w:rsidR="00375D09" w14:paraId="3A1448BF" w14:textId="77777777" w:rsidTr="00375D09">
        <w:tc>
          <w:tcPr>
            <w:tcW w:w="3166" w:type="dxa"/>
          </w:tcPr>
          <w:p w14:paraId="4D13640E" w14:textId="77777777" w:rsidR="00375D09" w:rsidRDefault="00375D09" w:rsidP="00375D09">
            <w:r>
              <w:rPr>
                <w:b/>
                <w:bCs/>
              </w:rPr>
              <w:t>Дозов</w:t>
            </w:r>
            <w:r>
              <w:rPr>
                <w:b/>
                <w:bCs/>
              </w:rPr>
              <w:tab/>
              <w:t>режим</w:t>
            </w:r>
            <w:r>
              <w:rPr>
                <w:b/>
                <w:bCs/>
              </w:rPr>
              <w:tab/>
              <w:t>на</w:t>
            </w:r>
          </w:p>
          <w:p w14:paraId="5B99C06C" w14:textId="7BF247BF" w:rsidR="00375D09" w:rsidRDefault="00375D09" w:rsidP="00375D09">
            <w:r>
              <w:rPr>
                <w:b/>
                <w:bCs/>
              </w:rPr>
              <w:t>взаимодействащото лекарство</w:t>
            </w:r>
          </w:p>
        </w:tc>
        <w:tc>
          <w:tcPr>
            <w:tcW w:w="3167" w:type="dxa"/>
          </w:tcPr>
          <w:p w14:paraId="3477C70D" w14:textId="18B7625A" w:rsidR="00375D09" w:rsidRDefault="00375D09" w:rsidP="00375D09">
            <w:r>
              <w:rPr>
                <w:b/>
                <w:bCs/>
              </w:rPr>
              <w:t>Дозов режим на розувастатин</w:t>
            </w:r>
          </w:p>
        </w:tc>
        <w:tc>
          <w:tcPr>
            <w:tcW w:w="3167" w:type="dxa"/>
          </w:tcPr>
          <w:p w14:paraId="721C1310" w14:textId="4E44C2D4" w:rsidR="00375D09" w:rsidRDefault="00375D09" w:rsidP="00375D09">
            <w:r>
              <w:rPr>
                <w:b/>
                <w:bCs/>
              </w:rPr>
              <w:t xml:space="preserve">Промяна в </w:t>
            </w:r>
            <w:r>
              <w:rPr>
                <w:b/>
                <w:bCs/>
                <w:lang w:val="en-US"/>
              </w:rPr>
              <w:t xml:space="preserve">AUC </w:t>
            </w:r>
            <w:r>
              <w:rPr>
                <w:b/>
                <w:bCs/>
              </w:rPr>
              <w:t>на розувастатин</w:t>
            </w:r>
          </w:p>
        </w:tc>
      </w:tr>
      <w:tr w:rsidR="00375D09" w14:paraId="452C7756" w14:textId="77777777" w:rsidTr="00375D09">
        <w:tc>
          <w:tcPr>
            <w:tcW w:w="3166" w:type="dxa"/>
          </w:tcPr>
          <w:p w14:paraId="37378BA6" w14:textId="3EF31855" w:rsidR="00375D09" w:rsidRDefault="00375D09" w:rsidP="00375D09">
            <w:r>
              <w:t xml:space="preserve">Циклоспорин 75 </w:t>
            </w:r>
            <w:r>
              <w:rPr>
                <w:lang w:val="en-US"/>
              </w:rPr>
              <w:t xml:space="preserve">mg </w:t>
            </w:r>
            <w:r>
              <w:t xml:space="preserve">два пъти на ден до 200 </w:t>
            </w:r>
            <w:r>
              <w:rPr>
                <w:lang w:val="en-US"/>
              </w:rPr>
              <w:t xml:space="preserve">mg </w:t>
            </w:r>
            <w:r>
              <w:t>два пъти на ден, 6 месеца</w:t>
            </w:r>
          </w:p>
        </w:tc>
        <w:tc>
          <w:tcPr>
            <w:tcW w:w="3167" w:type="dxa"/>
          </w:tcPr>
          <w:p w14:paraId="68F524FC" w14:textId="0EF93C24" w:rsidR="00375D09" w:rsidRDefault="00375D09" w:rsidP="00375D09">
            <w:r>
              <w:t xml:space="preserve">10 </w:t>
            </w:r>
            <w:r>
              <w:rPr>
                <w:lang w:val="en-US"/>
              </w:rPr>
              <w:t xml:space="preserve">mg </w:t>
            </w:r>
            <w:r>
              <w:t>веднъж дневно, 10 дни</w:t>
            </w:r>
          </w:p>
        </w:tc>
        <w:tc>
          <w:tcPr>
            <w:tcW w:w="3167" w:type="dxa"/>
          </w:tcPr>
          <w:p w14:paraId="1F98D4E7" w14:textId="0A84DA98" w:rsidR="00375D09" w:rsidRDefault="00375D09" w:rsidP="00375D09">
            <w:r>
              <w:t xml:space="preserve">7,1 пъти </w:t>
            </w:r>
            <w:r>
              <w:rPr>
                <w:lang w:val="en-US"/>
              </w:rPr>
              <w:t>↑</w:t>
            </w:r>
          </w:p>
        </w:tc>
      </w:tr>
      <w:tr w:rsidR="00375D09" w14:paraId="019EC350" w14:textId="77777777" w:rsidTr="00375D09">
        <w:tc>
          <w:tcPr>
            <w:tcW w:w="3166" w:type="dxa"/>
          </w:tcPr>
          <w:p w14:paraId="55EAFAC7" w14:textId="25C29E76" w:rsidR="00375D09" w:rsidRDefault="00375D09" w:rsidP="00375D09">
            <w:r>
              <w:t xml:space="preserve">Атазанавир 300 </w:t>
            </w:r>
            <w:r>
              <w:rPr>
                <w:lang w:val="en-US"/>
              </w:rPr>
              <w:t xml:space="preserve">mg/ </w:t>
            </w:r>
            <w:r>
              <w:t xml:space="preserve">ритонавир 100 </w:t>
            </w:r>
            <w:r>
              <w:rPr>
                <w:lang w:val="en-US"/>
              </w:rPr>
              <w:t xml:space="preserve">mg </w:t>
            </w:r>
            <w:r>
              <w:t>веднъж дневно, 8 дни</w:t>
            </w:r>
          </w:p>
        </w:tc>
        <w:tc>
          <w:tcPr>
            <w:tcW w:w="3167" w:type="dxa"/>
          </w:tcPr>
          <w:p w14:paraId="32A38AA5" w14:textId="3645D2E9" w:rsidR="00375D09" w:rsidRDefault="00375D09" w:rsidP="00375D09">
            <w:r>
              <w:t xml:space="preserve">10 </w:t>
            </w:r>
            <w:r>
              <w:rPr>
                <w:lang w:val="en-US"/>
              </w:rPr>
              <w:t xml:space="preserve">mg, </w:t>
            </w:r>
            <w:r>
              <w:t>еднократна доза</w:t>
            </w:r>
          </w:p>
        </w:tc>
        <w:tc>
          <w:tcPr>
            <w:tcW w:w="3167" w:type="dxa"/>
          </w:tcPr>
          <w:p w14:paraId="470ABA6D" w14:textId="2FB8F768" w:rsidR="00375D09" w:rsidRDefault="00375D09" w:rsidP="00375D09">
            <w:r>
              <w:t xml:space="preserve">3,1 пъти </w:t>
            </w:r>
            <w:r>
              <w:rPr>
                <w:lang w:val="en-US"/>
              </w:rPr>
              <w:t>↑</w:t>
            </w:r>
          </w:p>
        </w:tc>
      </w:tr>
      <w:tr w:rsidR="00375D09" w14:paraId="60311F92" w14:textId="77777777" w:rsidTr="00375D09">
        <w:tc>
          <w:tcPr>
            <w:tcW w:w="3166" w:type="dxa"/>
          </w:tcPr>
          <w:p w14:paraId="42B79420" w14:textId="65F8248D" w:rsidR="00375D09" w:rsidRDefault="00375D09" w:rsidP="00375D09">
            <w:r>
              <w:t xml:space="preserve">Симепревир 150 </w:t>
            </w:r>
            <w:r>
              <w:rPr>
                <w:lang w:val="en-US"/>
              </w:rPr>
              <w:t xml:space="preserve">mg OD, </w:t>
            </w:r>
            <w:r>
              <w:t>7 дни</w:t>
            </w:r>
          </w:p>
        </w:tc>
        <w:tc>
          <w:tcPr>
            <w:tcW w:w="3167" w:type="dxa"/>
          </w:tcPr>
          <w:p w14:paraId="17BA7515" w14:textId="7B9F11E8" w:rsidR="00375D09" w:rsidRDefault="00375D09" w:rsidP="00375D09">
            <w:r>
              <w:t xml:space="preserve">10 </w:t>
            </w:r>
            <w:r>
              <w:rPr>
                <w:lang w:val="en-US"/>
              </w:rPr>
              <w:t xml:space="preserve">mg, </w:t>
            </w:r>
            <w:r>
              <w:t>еднократна доза</w:t>
            </w:r>
          </w:p>
        </w:tc>
        <w:tc>
          <w:tcPr>
            <w:tcW w:w="3167" w:type="dxa"/>
          </w:tcPr>
          <w:p w14:paraId="672A6352" w14:textId="207EE592" w:rsidR="00375D09" w:rsidRDefault="00375D09" w:rsidP="00375D09">
            <w:r>
              <w:t xml:space="preserve">2,8 пъти </w:t>
            </w:r>
            <w:r>
              <w:rPr>
                <w:lang w:val="en-US"/>
              </w:rPr>
              <w:t>↑</w:t>
            </w:r>
          </w:p>
        </w:tc>
      </w:tr>
      <w:tr w:rsidR="00375D09" w14:paraId="5C39597E" w14:textId="77777777" w:rsidTr="00375D09">
        <w:tc>
          <w:tcPr>
            <w:tcW w:w="3166" w:type="dxa"/>
          </w:tcPr>
          <w:p w14:paraId="57951BA0" w14:textId="3F39E848" w:rsidR="00375D09" w:rsidRDefault="00375D09" w:rsidP="00375D09">
            <w:r>
              <w:t xml:space="preserve">Лопинавир 400 </w:t>
            </w:r>
            <w:r>
              <w:rPr>
                <w:lang w:val="en-US"/>
              </w:rPr>
              <w:t xml:space="preserve">mg/ </w:t>
            </w:r>
            <w:r>
              <w:t xml:space="preserve">ритонавир 100 </w:t>
            </w:r>
            <w:r>
              <w:rPr>
                <w:lang w:val="en-US"/>
              </w:rPr>
              <w:t xml:space="preserve">mg, </w:t>
            </w:r>
            <w:r>
              <w:t>17 дни</w:t>
            </w:r>
          </w:p>
        </w:tc>
        <w:tc>
          <w:tcPr>
            <w:tcW w:w="3167" w:type="dxa"/>
          </w:tcPr>
          <w:p w14:paraId="0E519F12" w14:textId="2B90EE9F" w:rsidR="00375D09" w:rsidRDefault="00375D09" w:rsidP="00375D09">
            <w:r>
              <w:t xml:space="preserve">20 </w:t>
            </w:r>
            <w:r>
              <w:rPr>
                <w:lang w:val="en-US"/>
              </w:rPr>
              <w:t xml:space="preserve">mg </w:t>
            </w:r>
            <w:r>
              <w:t>веднъж дневно, 7 дни</w:t>
            </w:r>
          </w:p>
        </w:tc>
        <w:tc>
          <w:tcPr>
            <w:tcW w:w="3167" w:type="dxa"/>
          </w:tcPr>
          <w:p w14:paraId="6C503620" w14:textId="721F02C8" w:rsidR="00375D09" w:rsidRDefault="00375D09" w:rsidP="00375D09">
            <w:r>
              <w:t xml:space="preserve">2,1 пъти </w:t>
            </w:r>
            <w:r>
              <w:rPr>
                <w:lang w:val="en-US"/>
              </w:rPr>
              <w:t>↑</w:t>
            </w:r>
          </w:p>
        </w:tc>
      </w:tr>
      <w:tr w:rsidR="00375D09" w14:paraId="679CEA89" w14:textId="77777777" w:rsidTr="00375D09">
        <w:tc>
          <w:tcPr>
            <w:tcW w:w="3166" w:type="dxa"/>
          </w:tcPr>
          <w:p w14:paraId="2ABA9543" w14:textId="77777777" w:rsidR="00375D09" w:rsidRDefault="00375D09" w:rsidP="00375D09">
            <w:r>
              <w:t>Клопидогрел</w:t>
            </w:r>
            <w:r>
              <w:tab/>
              <w:t>300</w:t>
            </w:r>
            <w:r>
              <w:tab/>
            </w:r>
            <w:r>
              <w:rPr>
                <w:lang w:val="en-US"/>
              </w:rPr>
              <w:t>mg</w:t>
            </w:r>
          </w:p>
          <w:p w14:paraId="1F2B17F5" w14:textId="52FD06AD" w:rsidR="00375D09" w:rsidRDefault="00375D09" w:rsidP="00375D09">
            <w:r>
              <w:t xml:space="preserve">натоварваща доза, последвана от 75 </w:t>
            </w:r>
            <w:r>
              <w:rPr>
                <w:lang w:val="en-US"/>
              </w:rPr>
              <w:t xml:space="preserve">mg </w:t>
            </w:r>
            <w:r>
              <w:t>на 24 часа</w:t>
            </w:r>
          </w:p>
        </w:tc>
        <w:tc>
          <w:tcPr>
            <w:tcW w:w="3167" w:type="dxa"/>
          </w:tcPr>
          <w:p w14:paraId="5342DC08" w14:textId="4FF604CC" w:rsidR="00375D09" w:rsidRDefault="00375D09" w:rsidP="00375D09">
            <w:r>
              <w:t xml:space="preserve">20 </w:t>
            </w:r>
            <w:r>
              <w:rPr>
                <w:lang w:val="en-US"/>
              </w:rPr>
              <w:t xml:space="preserve">mg, </w:t>
            </w:r>
            <w:r>
              <w:t>еднократна доза</w:t>
            </w:r>
          </w:p>
        </w:tc>
        <w:tc>
          <w:tcPr>
            <w:tcW w:w="3167" w:type="dxa"/>
          </w:tcPr>
          <w:p w14:paraId="47000A6E" w14:textId="2C22D9CE" w:rsidR="00375D09" w:rsidRDefault="00375D09" w:rsidP="00375D09">
            <w:r>
              <w:t xml:space="preserve">2 пъти </w:t>
            </w:r>
            <w:r>
              <w:rPr>
                <w:lang w:val="en-US"/>
              </w:rPr>
              <w:t>↑</w:t>
            </w:r>
          </w:p>
        </w:tc>
      </w:tr>
      <w:tr w:rsidR="00375D09" w14:paraId="62192FBF" w14:textId="77777777" w:rsidTr="00375D09">
        <w:tc>
          <w:tcPr>
            <w:tcW w:w="3166" w:type="dxa"/>
          </w:tcPr>
          <w:p w14:paraId="09DE7C0A" w14:textId="500A898E" w:rsidR="00375D09" w:rsidRDefault="00375D09" w:rsidP="00375D09">
            <w:r>
              <w:t xml:space="preserve">Гемфиброзил 600 </w:t>
            </w:r>
            <w:r>
              <w:rPr>
                <w:lang w:val="en-US"/>
              </w:rPr>
              <w:t xml:space="preserve">mg </w:t>
            </w:r>
            <w:r>
              <w:t>два пъти на ден, 7 дни</w:t>
            </w:r>
          </w:p>
        </w:tc>
        <w:tc>
          <w:tcPr>
            <w:tcW w:w="3167" w:type="dxa"/>
          </w:tcPr>
          <w:p w14:paraId="37493F2F" w14:textId="3F4BDEA2" w:rsidR="00375D09" w:rsidRDefault="00375D09" w:rsidP="00375D09">
            <w:r>
              <w:t xml:space="preserve">80 </w:t>
            </w:r>
            <w:r>
              <w:rPr>
                <w:lang w:val="en-US"/>
              </w:rPr>
              <w:t xml:space="preserve">mg, </w:t>
            </w:r>
            <w:r>
              <w:t>еднократна доза</w:t>
            </w:r>
          </w:p>
        </w:tc>
        <w:tc>
          <w:tcPr>
            <w:tcW w:w="3167" w:type="dxa"/>
          </w:tcPr>
          <w:p w14:paraId="1009C6B8" w14:textId="5CA8C2B8" w:rsidR="00375D09" w:rsidRDefault="00375D09" w:rsidP="00375D09">
            <w:r>
              <w:t xml:space="preserve">1,9 пъти </w:t>
            </w:r>
            <w:r>
              <w:rPr>
                <w:lang w:val="en-US"/>
              </w:rPr>
              <w:t>↑</w:t>
            </w:r>
          </w:p>
        </w:tc>
      </w:tr>
      <w:tr w:rsidR="00375D09" w14:paraId="29E1B223" w14:textId="77777777" w:rsidTr="00375D09">
        <w:tc>
          <w:tcPr>
            <w:tcW w:w="3166" w:type="dxa"/>
          </w:tcPr>
          <w:p w14:paraId="7B49A759" w14:textId="5142ECD3" w:rsidR="00375D09" w:rsidRDefault="00375D09" w:rsidP="00375D09">
            <w:r>
              <w:t xml:space="preserve">Елтромбопаг 75 </w:t>
            </w:r>
            <w:r>
              <w:rPr>
                <w:lang w:val="en-US"/>
              </w:rPr>
              <w:t xml:space="preserve">mg </w:t>
            </w:r>
            <w:r>
              <w:t>веднъж дневно, 5 дни</w:t>
            </w:r>
          </w:p>
        </w:tc>
        <w:tc>
          <w:tcPr>
            <w:tcW w:w="3167" w:type="dxa"/>
          </w:tcPr>
          <w:p w14:paraId="53A5EFED" w14:textId="0F844EA5" w:rsidR="00375D09" w:rsidRDefault="00375D09" w:rsidP="00375D09">
            <w:r>
              <w:t xml:space="preserve">10 </w:t>
            </w:r>
            <w:r>
              <w:rPr>
                <w:lang w:val="en-US"/>
              </w:rPr>
              <w:t xml:space="preserve">mg, </w:t>
            </w:r>
            <w:r>
              <w:t>еднократна доза</w:t>
            </w:r>
          </w:p>
        </w:tc>
        <w:tc>
          <w:tcPr>
            <w:tcW w:w="3167" w:type="dxa"/>
          </w:tcPr>
          <w:p w14:paraId="1FF234D6" w14:textId="61C9CA4F" w:rsidR="00375D09" w:rsidRDefault="00375D09" w:rsidP="00375D09">
            <w:r>
              <w:t xml:space="preserve">1,6 пъти </w:t>
            </w:r>
            <w:r>
              <w:rPr>
                <w:lang w:val="en-US"/>
              </w:rPr>
              <w:t>↑</w:t>
            </w:r>
          </w:p>
        </w:tc>
      </w:tr>
      <w:tr w:rsidR="00375D09" w14:paraId="34691A67" w14:textId="77777777" w:rsidTr="00375D09">
        <w:tc>
          <w:tcPr>
            <w:tcW w:w="3166" w:type="dxa"/>
          </w:tcPr>
          <w:p w14:paraId="527BABA0" w14:textId="156325A6" w:rsidR="00375D09" w:rsidRDefault="00375D09" w:rsidP="00375D09">
            <w:r>
              <w:t xml:space="preserve">Дарунавир 600 </w:t>
            </w:r>
            <w:r>
              <w:rPr>
                <w:lang w:val="en-US"/>
              </w:rPr>
              <w:t>mg</w:t>
            </w:r>
            <w:r>
              <w:t xml:space="preserve">/ритонавир 100 </w:t>
            </w:r>
            <w:r>
              <w:rPr>
                <w:lang w:val="en-US"/>
              </w:rPr>
              <w:t xml:space="preserve">mg </w:t>
            </w:r>
            <w:r>
              <w:t>два пъти на ден</w:t>
            </w:r>
          </w:p>
        </w:tc>
        <w:tc>
          <w:tcPr>
            <w:tcW w:w="3167" w:type="dxa"/>
          </w:tcPr>
          <w:p w14:paraId="6D73FAD4" w14:textId="17A808D4" w:rsidR="00375D09" w:rsidRDefault="00375D09" w:rsidP="00375D09">
            <w:r>
              <w:t xml:space="preserve">10 </w:t>
            </w:r>
            <w:r>
              <w:rPr>
                <w:lang w:val="en-US"/>
              </w:rPr>
              <w:t xml:space="preserve">mg </w:t>
            </w:r>
            <w:r>
              <w:t>веднъж дневно, 7 дни</w:t>
            </w:r>
          </w:p>
        </w:tc>
        <w:tc>
          <w:tcPr>
            <w:tcW w:w="3167" w:type="dxa"/>
          </w:tcPr>
          <w:p w14:paraId="156A91D3" w14:textId="24677759" w:rsidR="00375D09" w:rsidRDefault="00375D09" w:rsidP="00375D09">
            <w:r>
              <w:t xml:space="preserve">1,5 пъти </w:t>
            </w:r>
            <w:r>
              <w:rPr>
                <w:lang w:val="en-US"/>
              </w:rPr>
              <w:t>↑</w:t>
            </w:r>
          </w:p>
        </w:tc>
      </w:tr>
      <w:tr w:rsidR="00375D09" w14:paraId="220519F5" w14:textId="77777777" w:rsidTr="00375D09">
        <w:tc>
          <w:tcPr>
            <w:tcW w:w="3166" w:type="dxa"/>
          </w:tcPr>
          <w:p w14:paraId="3F26B796" w14:textId="305A4C01" w:rsidR="00375D09" w:rsidRDefault="00375D09" w:rsidP="00375D09">
            <w:r>
              <w:t xml:space="preserve">Типранавир 500 </w:t>
            </w:r>
            <w:r>
              <w:rPr>
                <w:lang w:val="en-US"/>
              </w:rPr>
              <w:t>mg</w:t>
            </w:r>
            <w:r>
              <w:t xml:space="preserve">/ритонавир 200 </w:t>
            </w:r>
            <w:r>
              <w:rPr>
                <w:lang w:val="en-US"/>
              </w:rPr>
              <w:t xml:space="preserve">mg </w:t>
            </w:r>
            <w:r>
              <w:t>два пъти на ден, 11 дни</w:t>
            </w:r>
          </w:p>
        </w:tc>
        <w:tc>
          <w:tcPr>
            <w:tcW w:w="3167" w:type="dxa"/>
          </w:tcPr>
          <w:p w14:paraId="4B5DCAFC" w14:textId="13227E75" w:rsidR="00375D09" w:rsidRDefault="00375D09" w:rsidP="00375D09">
            <w:r>
              <w:t xml:space="preserve">10 </w:t>
            </w:r>
            <w:r>
              <w:rPr>
                <w:lang w:val="en-US"/>
              </w:rPr>
              <w:t xml:space="preserve">mg, </w:t>
            </w:r>
            <w:r>
              <w:t>еднократна доза</w:t>
            </w:r>
          </w:p>
        </w:tc>
        <w:tc>
          <w:tcPr>
            <w:tcW w:w="3167" w:type="dxa"/>
          </w:tcPr>
          <w:p w14:paraId="6841090D" w14:textId="2D5A1BE8" w:rsidR="00375D09" w:rsidRDefault="00375D09" w:rsidP="00375D09">
            <w:r>
              <w:t xml:space="preserve">1,4 пъти </w:t>
            </w:r>
            <w:r>
              <w:rPr>
                <w:lang w:val="en-US"/>
              </w:rPr>
              <w:t>↑</w:t>
            </w:r>
          </w:p>
        </w:tc>
      </w:tr>
      <w:tr w:rsidR="00375D09" w14:paraId="50E6CE96" w14:textId="77777777" w:rsidTr="00375D09">
        <w:tc>
          <w:tcPr>
            <w:tcW w:w="3166" w:type="dxa"/>
          </w:tcPr>
          <w:p w14:paraId="38C18480" w14:textId="645D241D" w:rsidR="00375D09" w:rsidRPr="00375D09" w:rsidRDefault="00375D09" w:rsidP="00375D09">
            <w:r w:rsidRPr="00375D09">
              <w:t xml:space="preserve">Дронедарон 400 </w:t>
            </w:r>
            <w:r w:rsidRPr="00375D09">
              <w:rPr>
                <w:lang w:val="en-US"/>
              </w:rPr>
              <w:t xml:space="preserve">mg </w:t>
            </w:r>
            <w:r w:rsidRPr="00375D09">
              <w:t>два пъти на ден</w:t>
            </w:r>
          </w:p>
        </w:tc>
        <w:tc>
          <w:tcPr>
            <w:tcW w:w="3167" w:type="dxa"/>
          </w:tcPr>
          <w:p w14:paraId="7304FAB0" w14:textId="643F5475" w:rsidR="00375D09" w:rsidRPr="00375D09" w:rsidRDefault="00375D09" w:rsidP="00375D09">
            <w:r w:rsidRPr="00375D09">
              <w:t>Не е налична</w:t>
            </w:r>
          </w:p>
        </w:tc>
        <w:tc>
          <w:tcPr>
            <w:tcW w:w="3167" w:type="dxa"/>
          </w:tcPr>
          <w:p w14:paraId="21122A20" w14:textId="6C980A3B" w:rsidR="00375D09" w:rsidRPr="00375D09" w:rsidRDefault="00375D09" w:rsidP="00375D09">
            <w:r w:rsidRPr="00375D09">
              <w:t xml:space="preserve">1,4 пъти </w:t>
            </w:r>
            <w:r w:rsidRPr="00375D09">
              <w:rPr>
                <w:lang w:val="en-US"/>
              </w:rPr>
              <w:t>↑</w:t>
            </w:r>
          </w:p>
        </w:tc>
      </w:tr>
      <w:tr w:rsidR="00375D09" w14:paraId="4DC0D958" w14:textId="77777777" w:rsidTr="00375D09">
        <w:tc>
          <w:tcPr>
            <w:tcW w:w="3166" w:type="dxa"/>
          </w:tcPr>
          <w:p w14:paraId="41903CD7" w14:textId="1FCD71B2" w:rsidR="00375D09" w:rsidRPr="00375D09" w:rsidRDefault="00375D09" w:rsidP="00375D09">
            <w:r w:rsidRPr="00375D09">
              <w:t xml:space="preserve">Итраконазол 200 </w:t>
            </w:r>
            <w:r w:rsidRPr="00375D09">
              <w:rPr>
                <w:lang w:val="en-US"/>
              </w:rPr>
              <w:t xml:space="preserve">mg </w:t>
            </w:r>
            <w:r w:rsidRPr="00375D09">
              <w:t>веднъж дневно, 5 дни</w:t>
            </w:r>
          </w:p>
        </w:tc>
        <w:tc>
          <w:tcPr>
            <w:tcW w:w="3167" w:type="dxa"/>
          </w:tcPr>
          <w:p w14:paraId="557AD09B" w14:textId="278F81AC" w:rsidR="00375D09" w:rsidRPr="00375D09" w:rsidRDefault="00375D09" w:rsidP="00375D09">
            <w:r w:rsidRPr="00375D09">
              <w:t xml:space="preserve">10 </w:t>
            </w:r>
            <w:r w:rsidRPr="00375D09">
              <w:rPr>
                <w:lang w:val="en-US"/>
              </w:rPr>
              <w:t xml:space="preserve">mg, </w:t>
            </w:r>
            <w:r w:rsidRPr="00375D09">
              <w:t>еднократна доза</w:t>
            </w:r>
          </w:p>
        </w:tc>
        <w:tc>
          <w:tcPr>
            <w:tcW w:w="3167" w:type="dxa"/>
          </w:tcPr>
          <w:p w14:paraId="63A1B59B" w14:textId="476E6C51" w:rsidR="00375D09" w:rsidRPr="00375D09" w:rsidRDefault="00375D09" w:rsidP="00375D09">
            <w:r w:rsidRPr="00375D09">
              <w:t xml:space="preserve">1,4 пъти </w:t>
            </w:r>
            <w:r w:rsidRPr="00375D09">
              <w:rPr>
                <w:lang w:val="en-US"/>
              </w:rPr>
              <w:t>↑**</w:t>
            </w:r>
          </w:p>
        </w:tc>
      </w:tr>
      <w:tr w:rsidR="00375D09" w14:paraId="6B769941" w14:textId="77777777" w:rsidTr="00375D09">
        <w:tc>
          <w:tcPr>
            <w:tcW w:w="3166" w:type="dxa"/>
          </w:tcPr>
          <w:p w14:paraId="7A5EDD3B" w14:textId="723E282E" w:rsidR="00375D09" w:rsidRPr="00375D09" w:rsidRDefault="00375D09" w:rsidP="00375D09">
            <w:r w:rsidRPr="00375D09">
              <w:t xml:space="preserve">Езетимиб 10 </w:t>
            </w:r>
            <w:r w:rsidRPr="00375D09">
              <w:rPr>
                <w:lang w:val="en-US"/>
              </w:rPr>
              <w:t xml:space="preserve">mg </w:t>
            </w:r>
            <w:r w:rsidRPr="00375D09">
              <w:t>веднъж дневно, 14 дни</w:t>
            </w:r>
          </w:p>
        </w:tc>
        <w:tc>
          <w:tcPr>
            <w:tcW w:w="3167" w:type="dxa"/>
          </w:tcPr>
          <w:p w14:paraId="245A1F97" w14:textId="559854DC" w:rsidR="00375D09" w:rsidRPr="00375D09" w:rsidRDefault="00375D09" w:rsidP="00375D09">
            <w:r w:rsidRPr="00375D09">
              <w:t xml:space="preserve">10 </w:t>
            </w:r>
            <w:r w:rsidRPr="00375D09">
              <w:rPr>
                <w:lang w:val="en-US"/>
              </w:rPr>
              <w:t xml:space="preserve">mg, </w:t>
            </w:r>
            <w:r w:rsidRPr="00375D09">
              <w:t>веднъж дневно, 14 дни</w:t>
            </w:r>
          </w:p>
        </w:tc>
        <w:tc>
          <w:tcPr>
            <w:tcW w:w="3167" w:type="dxa"/>
          </w:tcPr>
          <w:p w14:paraId="307AA0C6" w14:textId="4FFC6858" w:rsidR="00375D09" w:rsidRPr="00375D09" w:rsidRDefault="00375D09" w:rsidP="00375D09">
            <w:r w:rsidRPr="00375D09">
              <w:t xml:space="preserve">1,2 пъти </w:t>
            </w:r>
            <w:r w:rsidRPr="00375D09">
              <w:rPr>
                <w:lang w:val="en-US"/>
              </w:rPr>
              <w:t>↑</w:t>
            </w:r>
            <w:r w:rsidRPr="00375D09">
              <w:t>**</w:t>
            </w:r>
          </w:p>
        </w:tc>
      </w:tr>
      <w:tr w:rsidR="00375D09" w14:paraId="475DD2CC" w14:textId="77777777" w:rsidTr="00375D09">
        <w:tc>
          <w:tcPr>
            <w:tcW w:w="3166" w:type="dxa"/>
          </w:tcPr>
          <w:p w14:paraId="213BCB71" w14:textId="77777777" w:rsidR="00375D09" w:rsidRPr="00375D09" w:rsidRDefault="00375D09" w:rsidP="00375D09">
            <w:r w:rsidRPr="00375D09">
              <w:t>Фозампренавир</w:t>
            </w:r>
            <w:r w:rsidRPr="00375D09">
              <w:tab/>
              <w:t>700</w:t>
            </w:r>
          </w:p>
          <w:p w14:paraId="3FE23DD6" w14:textId="0DF86EDE" w:rsidR="00375D09" w:rsidRPr="00375D09" w:rsidRDefault="00375D09" w:rsidP="00375D09">
            <w:r w:rsidRPr="00375D09">
              <w:rPr>
                <w:lang w:val="en-US"/>
              </w:rPr>
              <w:t>mg</w:t>
            </w:r>
            <w:r w:rsidRPr="00375D09">
              <w:t xml:space="preserve">/ритонавир 100 </w:t>
            </w:r>
            <w:r w:rsidRPr="00375D09">
              <w:rPr>
                <w:lang w:val="en-US"/>
              </w:rPr>
              <w:t xml:space="preserve">mg </w:t>
            </w:r>
            <w:r w:rsidRPr="00375D09">
              <w:t>два пъти на ден, 8 дни</w:t>
            </w:r>
          </w:p>
        </w:tc>
        <w:tc>
          <w:tcPr>
            <w:tcW w:w="3167" w:type="dxa"/>
          </w:tcPr>
          <w:p w14:paraId="656B11E2" w14:textId="0EC1F2B3" w:rsidR="00375D09" w:rsidRPr="00375D09" w:rsidRDefault="00375D09" w:rsidP="00375D09">
            <w:r w:rsidRPr="00375D09">
              <w:t xml:space="preserve">10 </w:t>
            </w:r>
            <w:r w:rsidRPr="00375D09">
              <w:rPr>
                <w:lang w:val="en-US"/>
              </w:rPr>
              <w:t xml:space="preserve">mg, </w:t>
            </w:r>
            <w:r w:rsidRPr="00375D09">
              <w:t>еднократна доза</w:t>
            </w:r>
          </w:p>
        </w:tc>
        <w:tc>
          <w:tcPr>
            <w:tcW w:w="3167" w:type="dxa"/>
          </w:tcPr>
          <w:p w14:paraId="5799EE75" w14:textId="41886B68" w:rsidR="00375D09" w:rsidRPr="00375D09" w:rsidRDefault="00375D09" w:rsidP="00375D09">
            <w:r w:rsidRPr="00375D09">
              <w:rPr>
                <w:lang w:val="en-US"/>
              </w:rPr>
              <w:t>↔</w:t>
            </w:r>
          </w:p>
        </w:tc>
      </w:tr>
      <w:tr w:rsidR="00375D09" w14:paraId="3281F51C" w14:textId="77777777" w:rsidTr="00375D09">
        <w:tc>
          <w:tcPr>
            <w:tcW w:w="3166" w:type="dxa"/>
          </w:tcPr>
          <w:p w14:paraId="756CC335" w14:textId="298D5F55" w:rsidR="00375D09" w:rsidRPr="00375D09" w:rsidRDefault="00375D09" w:rsidP="00375D09">
            <w:r w:rsidRPr="00375D09">
              <w:lastRenderedPageBreak/>
              <w:t xml:space="preserve">Алеглитазар 0,3 </w:t>
            </w:r>
            <w:r w:rsidRPr="00375D09">
              <w:rPr>
                <w:lang w:val="en-US"/>
              </w:rPr>
              <w:t xml:space="preserve">mg, </w:t>
            </w:r>
            <w:r w:rsidRPr="00375D09">
              <w:t>7 дни</w:t>
            </w:r>
          </w:p>
        </w:tc>
        <w:tc>
          <w:tcPr>
            <w:tcW w:w="3167" w:type="dxa"/>
          </w:tcPr>
          <w:p w14:paraId="6889C60E" w14:textId="2F8EFE98" w:rsidR="00375D09" w:rsidRPr="00375D09" w:rsidRDefault="00375D09" w:rsidP="00375D09">
            <w:r w:rsidRPr="00375D09">
              <w:t xml:space="preserve">40 </w:t>
            </w:r>
            <w:r w:rsidRPr="00375D09">
              <w:rPr>
                <w:lang w:val="en-US"/>
              </w:rPr>
              <w:t xml:space="preserve">mg, </w:t>
            </w:r>
            <w:r w:rsidRPr="00375D09">
              <w:t>7 дни</w:t>
            </w:r>
          </w:p>
        </w:tc>
        <w:tc>
          <w:tcPr>
            <w:tcW w:w="3167" w:type="dxa"/>
          </w:tcPr>
          <w:p w14:paraId="08800665" w14:textId="1BC9E856" w:rsidR="00375D09" w:rsidRPr="00375D09" w:rsidRDefault="00375D09" w:rsidP="00375D09">
            <w:r w:rsidRPr="00375D09">
              <w:rPr>
                <w:lang w:val="en-US"/>
              </w:rPr>
              <w:t>↔</w:t>
            </w:r>
          </w:p>
        </w:tc>
      </w:tr>
      <w:tr w:rsidR="00375D09" w14:paraId="1ABDE9A3" w14:textId="77777777" w:rsidTr="00375D09">
        <w:tc>
          <w:tcPr>
            <w:tcW w:w="3166" w:type="dxa"/>
          </w:tcPr>
          <w:p w14:paraId="3EA4F14A" w14:textId="2BE2D9ED" w:rsidR="00375D09" w:rsidRPr="00375D09" w:rsidRDefault="00375D09" w:rsidP="00375D09">
            <w:r w:rsidRPr="00375D09">
              <w:t xml:space="preserve">Силимарин 140 </w:t>
            </w:r>
            <w:r w:rsidRPr="00375D09">
              <w:rPr>
                <w:lang w:val="en-US"/>
              </w:rPr>
              <w:t xml:space="preserve">mg </w:t>
            </w:r>
            <w:r w:rsidRPr="00375D09">
              <w:t>три пъти на ден, 5 дни</w:t>
            </w:r>
          </w:p>
        </w:tc>
        <w:tc>
          <w:tcPr>
            <w:tcW w:w="3167" w:type="dxa"/>
          </w:tcPr>
          <w:p w14:paraId="58C96D9C" w14:textId="38CF12CB" w:rsidR="00375D09" w:rsidRPr="00375D09" w:rsidRDefault="00375D09" w:rsidP="00375D09">
            <w:r w:rsidRPr="00375D09">
              <w:t xml:space="preserve">10 </w:t>
            </w:r>
            <w:r w:rsidRPr="00375D09">
              <w:rPr>
                <w:lang w:val="en-US"/>
              </w:rPr>
              <w:t xml:space="preserve">mg, </w:t>
            </w:r>
            <w:r w:rsidRPr="00375D09">
              <w:t>еднократна доза</w:t>
            </w:r>
          </w:p>
        </w:tc>
        <w:tc>
          <w:tcPr>
            <w:tcW w:w="3167" w:type="dxa"/>
          </w:tcPr>
          <w:p w14:paraId="427EEFAF" w14:textId="7B10CA56" w:rsidR="00375D09" w:rsidRPr="00375D09" w:rsidRDefault="00375D09" w:rsidP="00375D09">
            <w:r w:rsidRPr="00375D09">
              <w:rPr>
                <w:lang w:val="en-US"/>
              </w:rPr>
              <w:t>↔</w:t>
            </w:r>
          </w:p>
        </w:tc>
      </w:tr>
      <w:tr w:rsidR="00375D09" w14:paraId="6C565518" w14:textId="77777777" w:rsidTr="00375D09">
        <w:tc>
          <w:tcPr>
            <w:tcW w:w="3166" w:type="dxa"/>
          </w:tcPr>
          <w:p w14:paraId="02B8DC9F" w14:textId="4E2F4837" w:rsidR="00375D09" w:rsidRPr="00375D09" w:rsidRDefault="00375D09" w:rsidP="00375D09">
            <w:r w:rsidRPr="00375D09">
              <w:t xml:space="preserve">Фенофибрат 67 </w:t>
            </w:r>
            <w:r w:rsidRPr="00375D09">
              <w:rPr>
                <w:lang w:val="en-US"/>
              </w:rPr>
              <w:t xml:space="preserve">mg </w:t>
            </w:r>
            <w:r w:rsidRPr="00375D09">
              <w:t>три пъти на ден, 7 дни</w:t>
            </w:r>
          </w:p>
        </w:tc>
        <w:tc>
          <w:tcPr>
            <w:tcW w:w="3167" w:type="dxa"/>
          </w:tcPr>
          <w:p w14:paraId="08F48167" w14:textId="06F2534E" w:rsidR="00375D09" w:rsidRPr="00375D09" w:rsidRDefault="00375D09" w:rsidP="00375D09">
            <w:r w:rsidRPr="00375D09">
              <w:t xml:space="preserve">10 </w:t>
            </w:r>
            <w:r w:rsidRPr="00375D09">
              <w:rPr>
                <w:lang w:val="en-US"/>
              </w:rPr>
              <w:t xml:space="preserve">mg, </w:t>
            </w:r>
            <w:r w:rsidRPr="00375D09">
              <w:t>7 дни</w:t>
            </w:r>
          </w:p>
        </w:tc>
        <w:tc>
          <w:tcPr>
            <w:tcW w:w="3167" w:type="dxa"/>
          </w:tcPr>
          <w:p w14:paraId="27150465" w14:textId="19728B57" w:rsidR="00375D09" w:rsidRPr="00375D09" w:rsidRDefault="00375D09" w:rsidP="00375D09">
            <w:r w:rsidRPr="00375D09">
              <w:rPr>
                <w:lang w:val="en-US"/>
              </w:rPr>
              <w:t>↔</w:t>
            </w:r>
          </w:p>
        </w:tc>
      </w:tr>
      <w:tr w:rsidR="00375D09" w14:paraId="0A380A9F" w14:textId="77777777" w:rsidTr="00375D09">
        <w:tc>
          <w:tcPr>
            <w:tcW w:w="3166" w:type="dxa"/>
          </w:tcPr>
          <w:p w14:paraId="470B7670" w14:textId="5A583E54" w:rsidR="00375D09" w:rsidRPr="00375D09" w:rsidRDefault="00375D09" w:rsidP="00375D09">
            <w:r w:rsidRPr="00375D09">
              <w:t xml:space="preserve">Рифампин 450 </w:t>
            </w:r>
            <w:r w:rsidRPr="00375D09">
              <w:rPr>
                <w:lang w:val="en-US"/>
              </w:rPr>
              <w:t xml:space="preserve">mg </w:t>
            </w:r>
            <w:r w:rsidRPr="00375D09">
              <w:t>веднъж дневно, 7 дни</w:t>
            </w:r>
          </w:p>
        </w:tc>
        <w:tc>
          <w:tcPr>
            <w:tcW w:w="3167" w:type="dxa"/>
          </w:tcPr>
          <w:p w14:paraId="1DCB7A89" w14:textId="065BFF6D" w:rsidR="00375D09" w:rsidRPr="00375D09" w:rsidRDefault="00375D09" w:rsidP="00375D09">
            <w:r w:rsidRPr="00375D09">
              <w:t xml:space="preserve">20 </w:t>
            </w:r>
            <w:r w:rsidRPr="00375D09">
              <w:rPr>
                <w:lang w:val="en-US"/>
              </w:rPr>
              <w:t xml:space="preserve">mg, </w:t>
            </w:r>
            <w:r w:rsidRPr="00375D09">
              <w:t>еднократна доза</w:t>
            </w:r>
          </w:p>
        </w:tc>
        <w:tc>
          <w:tcPr>
            <w:tcW w:w="3167" w:type="dxa"/>
          </w:tcPr>
          <w:p w14:paraId="22289710" w14:textId="1262A316" w:rsidR="00375D09" w:rsidRPr="00375D09" w:rsidRDefault="00375D09" w:rsidP="00375D09">
            <w:r w:rsidRPr="00375D09">
              <w:rPr>
                <w:rFonts w:cs="Arial"/>
              </w:rPr>
              <w:t xml:space="preserve">1 </w:t>
            </w:r>
            <w:r w:rsidRPr="00375D09">
              <w:rPr>
                <w:lang w:val="en-US"/>
              </w:rPr>
              <w:t>↔</w:t>
            </w:r>
          </w:p>
        </w:tc>
      </w:tr>
      <w:tr w:rsidR="00375D09" w14:paraId="50C73912" w14:textId="77777777" w:rsidTr="00375D09">
        <w:tc>
          <w:tcPr>
            <w:tcW w:w="3166" w:type="dxa"/>
          </w:tcPr>
          <w:p w14:paraId="22FC2605" w14:textId="6D173617" w:rsidR="00375D09" w:rsidRPr="00375D09" w:rsidRDefault="00375D09" w:rsidP="00375D09">
            <w:r w:rsidRPr="00375D09">
              <w:t xml:space="preserve">Кетоконазол 200 </w:t>
            </w:r>
            <w:r w:rsidRPr="00375D09">
              <w:rPr>
                <w:lang w:val="en-US"/>
              </w:rPr>
              <w:t xml:space="preserve">mg </w:t>
            </w:r>
            <w:r w:rsidRPr="00375D09">
              <w:t>два пъти на ден, 7 дни</w:t>
            </w:r>
          </w:p>
        </w:tc>
        <w:tc>
          <w:tcPr>
            <w:tcW w:w="3167" w:type="dxa"/>
          </w:tcPr>
          <w:p w14:paraId="3E4B4065" w14:textId="2E830BEA" w:rsidR="00375D09" w:rsidRPr="00375D09" w:rsidRDefault="00375D09" w:rsidP="00375D09">
            <w:r w:rsidRPr="00375D09">
              <w:t xml:space="preserve">80 </w:t>
            </w:r>
            <w:r w:rsidRPr="00375D09">
              <w:rPr>
                <w:lang w:val="en-US"/>
              </w:rPr>
              <w:t xml:space="preserve">mg, </w:t>
            </w:r>
            <w:r w:rsidRPr="00375D09">
              <w:t>еднократна доза</w:t>
            </w:r>
          </w:p>
        </w:tc>
        <w:tc>
          <w:tcPr>
            <w:tcW w:w="3167" w:type="dxa"/>
          </w:tcPr>
          <w:p w14:paraId="67F22D78" w14:textId="746CD7B6" w:rsidR="00375D09" w:rsidRPr="00375D09" w:rsidRDefault="00375D09" w:rsidP="00375D09">
            <w:r w:rsidRPr="00375D09">
              <w:rPr>
                <w:lang w:val="en-US"/>
              </w:rPr>
              <w:t>↔</w:t>
            </w:r>
          </w:p>
        </w:tc>
      </w:tr>
      <w:tr w:rsidR="00375D09" w14:paraId="513756B7" w14:textId="77777777" w:rsidTr="00375D09">
        <w:tc>
          <w:tcPr>
            <w:tcW w:w="3166" w:type="dxa"/>
          </w:tcPr>
          <w:p w14:paraId="05E557A3" w14:textId="0E9C5ACE" w:rsidR="00375D09" w:rsidRPr="00375D09" w:rsidRDefault="00375D09" w:rsidP="00375D09">
            <w:r w:rsidRPr="00375D09">
              <w:t xml:space="preserve">Флуконазол 200 </w:t>
            </w:r>
            <w:r w:rsidRPr="00375D09">
              <w:rPr>
                <w:lang w:val="en-US"/>
              </w:rPr>
              <w:t xml:space="preserve">mg </w:t>
            </w:r>
            <w:r w:rsidRPr="00375D09">
              <w:t>веднъж дневно, 11 дни</w:t>
            </w:r>
          </w:p>
        </w:tc>
        <w:tc>
          <w:tcPr>
            <w:tcW w:w="3167" w:type="dxa"/>
          </w:tcPr>
          <w:p w14:paraId="4A5FB180" w14:textId="1F5443B7" w:rsidR="00375D09" w:rsidRPr="00375D09" w:rsidRDefault="00375D09" w:rsidP="00375D09">
            <w:r w:rsidRPr="00375D09">
              <w:t xml:space="preserve">80 </w:t>
            </w:r>
            <w:r w:rsidRPr="00375D09">
              <w:rPr>
                <w:lang w:val="en-US"/>
              </w:rPr>
              <w:t xml:space="preserve">mg, </w:t>
            </w:r>
            <w:r w:rsidRPr="00375D09">
              <w:t>еднократна доза</w:t>
            </w:r>
          </w:p>
        </w:tc>
        <w:tc>
          <w:tcPr>
            <w:tcW w:w="3167" w:type="dxa"/>
          </w:tcPr>
          <w:p w14:paraId="5429588F" w14:textId="7EB683C4" w:rsidR="00375D09" w:rsidRPr="00375D09" w:rsidRDefault="00375D09" w:rsidP="00375D09">
            <w:r w:rsidRPr="00375D09">
              <w:rPr>
                <w:lang w:val="en-US"/>
              </w:rPr>
              <w:t>↔</w:t>
            </w:r>
          </w:p>
        </w:tc>
      </w:tr>
      <w:tr w:rsidR="00375D09" w14:paraId="639B1786" w14:textId="77777777" w:rsidTr="00375D09">
        <w:tc>
          <w:tcPr>
            <w:tcW w:w="3166" w:type="dxa"/>
          </w:tcPr>
          <w:p w14:paraId="5306927B" w14:textId="34F92647" w:rsidR="00375D09" w:rsidRDefault="00375D09" w:rsidP="00375D09">
            <w:r>
              <w:t xml:space="preserve">Еритромицин 500 </w:t>
            </w:r>
            <w:r>
              <w:rPr>
                <w:lang w:val="en-US"/>
              </w:rPr>
              <w:t xml:space="preserve">mg </w:t>
            </w:r>
            <w:r>
              <w:t>четири пъти на ден, 7 дни</w:t>
            </w:r>
          </w:p>
        </w:tc>
        <w:tc>
          <w:tcPr>
            <w:tcW w:w="3167" w:type="dxa"/>
          </w:tcPr>
          <w:p w14:paraId="3E2E5705" w14:textId="553E311B" w:rsidR="00375D09" w:rsidRDefault="00375D09" w:rsidP="00375D09">
            <w:r>
              <w:t xml:space="preserve">80 </w:t>
            </w:r>
            <w:r>
              <w:rPr>
                <w:lang w:val="en-US"/>
              </w:rPr>
              <w:t xml:space="preserve">mg, </w:t>
            </w:r>
            <w:r>
              <w:t>еднократна доза</w:t>
            </w:r>
          </w:p>
        </w:tc>
        <w:tc>
          <w:tcPr>
            <w:tcW w:w="3167" w:type="dxa"/>
          </w:tcPr>
          <w:p w14:paraId="12CD2898" w14:textId="4DEEC54E" w:rsidR="00375D09" w:rsidRDefault="00375D09" w:rsidP="00375D09">
            <w:r>
              <w:t>20%</w:t>
            </w:r>
            <w:r>
              <w:rPr>
                <w:lang w:val="en-US"/>
              </w:rPr>
              <w:t>↓</w:t>
            </w:r>
          </w:p>
        </w:tc>
      </w:tr>
      <w:tr w:rsidR="00375D09" w14:paraId="61E10099" w14:textId="77777777" w:rsidTr="00375D09">
        <w:tc>
          <w:tcPr>
            <w:tcW w:w="3166" w:type="dxa"/>
          </w:tcPr>
          <w:p w14:paraId="4FE25462" w14:textId="5C141BC6" w:rsidR="00375D09" w:rsidRDefault="00375D09" w:rsidP="00375D09">
            <w:r>
              <w:t xml:space="preserve">Баикалин 50 </w:t>
            </w:r>
            <w:r>
              <w:rPr>
                <w:lang w:val="en-US"/>
              </w:rPr>
              <w:t xml:space="preserve">mg </w:t>
            </w:r>
            <w:r>
              <w:t>три пъти на ден, 14 дни</w:t>
            </w:r>
          </w:p>
        </w:tc>
        <w:tc>
          <w:tcPr>
            <w:tcW w:w="3167" w:type="dxa"/>
          </w:tcPr>
          <w:p w14:paraId="38CC123D" w14:textId="0A7A5DFD" w:rsidR="00375D09" w:rsidRDefault="00375D09" w:rsidP="00375D09">
            <w:r>
              <w:t xml:space="preserve">20 </w:t>
            </w:r>
            <w:r>
              <w:rPr>
                <w:lang w:val="en-US"/>
              </w:rPr>
              <w:t xml:space="preserve">mg, </w:t>
            </w:r>
            <w:r>
              <w:t>еднократна доза</w:t>
            </w:r>
          </w:p>
        </w:tc>
        <w:tc>
          <w:tcPr>
            <w:tcW w:w="3167" w:type="dxa"/>
          </w:tcPr>
          <w:p w14:paraId="07E47173" w14:textId="13746B56" w:rsidR="00375D09" w:rsidRDefault="00375D09" w:rsidP="00375D09">
            <w:r>
              <w:t>47%</w:t>
            </w:r>
            <w:r>
              <w:rPr>
                <w:lang w:val="en-US"/>
              </w:rPr>
              <w:t>↓</w:t>
            </w:r>
          </w:p>
        </w:tc>
      </w:tr>
    </w:tbl>
    <w:p w14:paraId="068C75D4" w14:textId="74466D19" w:rsidR="00375D09" w:rsidRDefault="00375D09" w:rsidP="0091385D"/>
    <w:p w14:paraId="49BBA6FF"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*Данните, посочени като х пъти промяна представят просто съотношение между</w:t>
      </w:r>
      <w:r w:rsidRPr="00375D09">
        <w:rPr>
          <w:rFonts w:eastAsia="Times New Roman" w:cs="Arial"/>
          <w:color w:val="000000"/>
          <w:lang w:val="en-US"/>
        </w:rPr>
        <w:t xml:space="preserve"> </w:t>
      </w:r>
      <w:r w:rsidRPr="00375D09">
        <w:rPr>
          <w:rFonts w:eastAsia="Times New Roman" w:cs="Arial"/>
          <w:color w:val="000000"/>
          <w:lang w:eastAsia="bg-BG"/>
        </w:rPr>
        <w:t>едновременно приложение и приложение на розувастатин самостоятелно. Данните, посочен като % представят процента разлика отнесен на самостоятелното приложение на розувастатин.</w:t>
      </w:r>
    </w:p>
    <w:p w14:paraId="3F025A81"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Повишаването е представено като „</w:t>
      </w:r>
      <w:r w:rsidRPr="00375D09">
        <w:rPr>
          <w:rFonts w:eastAsia="Times New Roman" w:cs="Arial"/>
          <w:color w:val="000000"/>
          <w:lang w:val="en-US"/>
        </w:rPr>
        <w:t>↑</w:t>
      </w:r>
      <w:r w:rsidRPr="00375D09">
        <w:rPr>
          <w:rFonts w:eastAsia="Times New Roman" w:cs="Arial"/>
          <w:color w:val="000000"/>
          <w:lang w:eastAsia="bg-BG"/>
        </w:rPr>
        <w:t>“ , без промяна като „</w:t>
      </w:r>
      <w:r w:rsidRPr="00375D09">
        <w:rPr>
          <w:rFonts w:eastAsia="Times New Roman" w:cs="Arial"/>
          <w:color w:val="000000"/>
          <w:lang w:val="en-US"/>
        </w:rPr>
        <w:t>↔</w:t>
      </w:r>
      <w:r w:rsidRPr="00375D09">
        <w:rPr>
          <w:rFonts w:eastAsia="Times New Roman" w:cs="Arial"/>
          <w:color w:val="000000"/>
          <w:lang w:eastAsia="bg-BG"/>
        </w:rPr>
        <w:t>“ , понижението като „</w:t>
      </w:r>
      <w:r w:rsidRPr="00375D09">
        <w:rPr>
          <w:rFonts w:eastAsia="Times New Roman" w:cs="Arial"/>
          <w:color w:val="000000"/>
          <w:lang w:val="en-US"/>
        </w:rPr>
        <w:t>↓</w:t>
      </w:r>
      <w:r w:rsidRPr="00375D09">
        <w:rPr>
          <w:rFonts w:eastAsia="Times New Roman" w:cs="Arial"/>
          <w:color w:val="000000"/>
          <w:lang w:eastAsia="bg-BG"/>
        </w:rPr>
        <w:t>“</w:t>
      </w:r>
    </w:p>
    <w:p w14:paraId="4CD45463" w14:textId="5856E6D8" w:rsidR="00375D09" w:rsidRPr="00375D09" w:rsidRDefault="00375D09" w:rsidP="00375D09">
      <w:pPr>
        <w:rPr>
          <w:rFonts w:cs="Arial"/>
        </w:rPr>
      </w:pPr>
      <w:r w:rsidRPr="00375D09">
        <w:rPr>
          <w:rFonts w:eastAsia="Times New Roman" w:cs="Arial"/>
          <w:color w:val="000000"/>
          <w:lang w:eastAsia="bg-BG"/>
        </w:rPr>
        <w:t>** Няколко проучвания за взаимодействие са проведени с различни дозировки ултравас, таблицата представя най-значимото съотношение.</w:t>
      </w:r>
    </w:p>
    <w:p w14:paraId="0544BE8D" w14:textId="216D8BDE" w:rsidR="00375D09" w:rsidRPr="00144DBF" w:rsidRDefault="00375D09" w:rsidP="0091385D">
      <w:pPr>
        <w:rPr>
          <w:rFonts w:cs="Arial"/>
        </w:rPr>
      </w:pPr>
    </w:p>
    <w:p w14:paraId="786094EB"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Ефект на розувастатин върху едновременно прилагани лекарствени продукти</w:t>
      </w:r>
    </w:p>
    <w:p w14:paraId="079717CF" w14:textId="77777777" w:rsidR="00144DBF" w:rsidRPr="00144DBF" w:rsidRDefault="00144DBF" w:rsidP="00375D09">
      <w:pPr>
        <w:spacing w:line="240" w:lineRule="auto"/>
        <w:rPr>
          <w:rFonts w:eastAsia="Times New Roman" w:cs="Arial"/>
          <w:b/>
          <w:bCs/>
          <w:color w:val="000000"/>
          <w:lang w:eastAsia="bg-BG"/>
        </w:rPr>
      </w:pPr>
    </w:p>
    <w:p w14:paraId="2C3DF8BA" w14:textId="5BD4A3A7"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Антагонисти на витамин К: </w:t>
      </w:r>
      <w:r w:rsidRPr="00375D09">
        <w:rPr>
          <w:rFonts w:eastAsia="Times New Roman" w:cs="Arial"/>
          <w:color w:val="000000"/>
          <w:lang w:eastAsia="bg-BG"/>
        </w:rPr>
        <w:t xml:space="preserve">Подобно на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започването на лечение с Ултравас или титрирането на дозата му при пациенти, приемащи антагонисти на витамин К (като варфарин или други кумаринови антикоагуланти), може да доведе до повишаване на </w:t>
      </w:r>
      <w:r w:rsidRPr="00375D09">
        <w:rPr>
          <w:rFonts w:eastAsia="Times New Roman" w:cs="Arial"/>
          <w:color w:val="000000"/>
          <w:lang w:val="en-US"/>
        </w:rPr>
        <w:t xml:space="preserve">International </w:t>
      </w:r>
      <w:proofErr w:type="spellStart"/>
      <w:r w:rsidRPr="00375D09">
        <w:rPr>
          <w:rFonts w:eastAsia="Times New Roman" w:cs="Arial"/>
          <w:color w:val="000000"/>
          <w:lang w:val="en-US"/>
        </w:rPr>
        <w:t>Normalised</w:t>
      </w:r>
      <w:proofErr w:type="spellEnd"/>
      <w:r w:rsidRPr="00375D09">
        <w:rPr>
          <w:rFonts w:eastAsia="Times New Roman" w:cs="Arial"/>
          <w:color w:val="000000"/>
          <w:lang w:val="en-US"/>
        </w:rPr>
        <w:t xml:space="preserve"> Ratio (INR). </w:t>
      </w:r>
      <w:r w:rsidRPr="00375D09">
        <w:rPr>
          <w:rFonts w:eastAsia="Times New Roman" w:cs="Arial"/>
          <w:color w:val="000000"/>
          <w:lang w:eastAsia="bg-BG"/>
        </w:rPr>
        <w:t xml:space="preserve">Прекъсването на лечението или намаляване на доата на титриране с Ултравас може да доведе до намаление на </w:t>
      </w:r>
      <w:r w:rsidRPr="00375D09">
        <w:rPr>
          <w:rFonts w:eastAsia="Times New Roman" w:cs="Arial"/>
          <w:color w:val="000000"/>
          <w:lang w:val="en-US"/>
        </w:rPr>
        <w:t xml:space="preserve">INR. </w:t>
      </w:r>
      <w:r w:rsidRPr="00375D09">
        <w:rPr>
          <w:rFonts w:eastAsia="Times New Roman" w:cs="Arial"/>
          <w:color w:val="000000"/>
          <w:lang w:eastAsia="bg-BG"/>
        </w:rPr>
        <w:t xml:space="preserve">При подобни ситуации се препоръчва мониториране на </w:t>
      </w:r>
      <w:r w:rsidRPr="00375D09">
        <w:rPr>
          <w:rFonts w:eastAsia="Times New Roman" w:cs="Arial"/>
          <w:color w:val="000000"/>
          <w:lang w:val="en-US"/>
        </w:rPr>
        <w:t>INR.</w:t>
      </w:r>
    </w:p>
    <w:p w14:paraId="24E8A382" w14:textId="77777777" w:rsidR="00144DBF" w:rsidRPr="00144DBF" w:rsidRDefault="00144DBF" w:rsidP="00375D09">
      <w:pPr>
        <w:spacing w:line="240" w:lineRule="auto"/>
        <w:rPr>
          <w:rFonts w:eastAsia="Times New Roman" w:cs="Arial"/>
          <w:b/>
          <w:bCs/>
          <w:color w:val="000000"/>
          <w:lang w:eastAsia="bg-BG"/>
        </w:rPr>
      </w:pPr>
    </w:p>
    <w:p w14:paraId="607BCD10" w14:textId="4A792761"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Перорални контрацептнви/хормонозаместваща терапия: </w:t>
      </w:r>
      <w:r w:rsidRPr="00375D09">
        <w:rPr>
          <w:rFonts w:eastAsia="Times New Roman" w:cs="Arial"/>
          <w:color w:val="000000"/>
          <w:lang w:eastAsia="bg-BG"/>
        </w:rPr>
        <w:t xml:space="preserve">Едновременният прием на Ултравас и перорални контрацептиви е довел до повишаване на </w:t>
      </w:r>
      <w:r w:rsidRPr="00375D09">
        <w:rPr>
          <w:rFonts w:eastAsia="Times New Roman" w:cs="Arial"/>
          <w:color w:val="000000"/>
          <w:lang w:val="en-US"/>
        </w:rPr>
        <w:t xml:space="preserve">AUC </w:t>
      </w:r>
      <w:r w:rsidRPr="00375D09">
        <w:rPr>
          <w:rFonts w:eastAsia="Times New Roman" w:cs="Arial"/>
          <w:color w:val="000000"/>
          <w:lang w:eastAsia="bg-BG"/>
        </w:rPr>
        <w:t>на етинилестрадиол и норгестрел, съответно с 26% и 34%, Тези повишени плазмени концентрации трябва да се вземат под внимание, когато се определя дозировката на пероралните контрацептиви. Няма фармакокинетични данни за пациенти, които приемат едновременно Ултравас и хормонозаместваща терапия. Ето защо, взаимодействието описано по-горе не трябва да бъде изключено като вероятно. Въпреки това, тази комбинация е била широко прилагана от жени в клинични изпитвания и е била толерирана добре.</w:t>
      </w:r>
    </w:p>
    <w:p w14:paraId="18E72B4F" w14:textId="77777777" w:rsidR="00144DBF" w:rsidRPr="00144DBF" w:rsidRDefault="00144DBF" w:rsidP="00375D09">
      <w:pPr>
        <w:spacing w:line="240" w:lineRule="auto"/>
        <w:rPr>
          <w:rFonts w:eastAsia="Times New Roman" w:cs="Arial"/>
          <w:b/>
          <w:bCs/>
          <w:color w:val="000000"/>
          <w:lang w:eastAsia="bg-BG"/>
        </w:rPr>
      </w:pPr>
    </w:p>
    <w:p w14:paraId="0876C252" w14:textId="0BD581F4"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Други лекарствени продукти:</w:t>
      </w:r>
    </w:p>
    <w:p w14:paraId="4F097FA8"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Дигоксин: Въз основа на данните от специфични проучвания за изследване на лекарствени взаимодействия, не се очаква клинично значимо взаимодействие с дигоксин.</w:t>
      </w:r>
    </w:p>
    <w:p w14:paraId="59DE02B1" w14:textId="77777777" w:rsidR="00375D09" w:rsidRPr="00144DBF" w:rsidRDefault="00375D09" w:rsidP="00375D09">
      <w:pPr>
        <w:spacing w:line="240" w:lineRule="auto"/>
        <w:rPr>
          <w:rFonts w:eastAsia="Times New Roman" w:cs="Arial"/>
          <w:i/>
          <w:iCs/>
          <w:color w:val="000000"/>
          <w:lang w:eastAsia="bg-BG"/>
        </w:rPr>
      </w:pPr>
    </w:p>
    <w:p w14:paraId="33C170FA" w14:textId="77777777" w:rsidR="00375D09" w:rsidRPr="00144DBF"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Фузидова киселина:</w:t>
      </w:r>
      <w:r w:rsidRPr="00375D09">
        <w:rPr>
          <w:rFonts w:eastAsia="Times New Roman" w:cs="Arial"/>
          <w:color w:val="000000"/>
          <w:lang w:eastAsia="bg-BG"/>
        </w:rPr>
        <w:t xml:space="preserve"> Не са провеждани проучвания за изследване на взаимодействия с розувастатин и фузидова киселина. Както и при други статини, миопатия, включително </w:t>
      </w:r>
      <w:r w:rsidRPr="00375D09">
        <w:rPr>
          <w:rFonts w:eastAsia="Times New Roman" w:cs="Arial"/>
          <w:color w:val="000000"/>
          <w:lang w:eastAsia="bg-BG"/>
        </w:rPr>
        <w:lastRenderedPageBreak/>
        <w:t>рабдомиолиоза, са докладвани от постмаркетингов опит с розувастатин и фузидова киселина, прилагани едновременно. Механизмът на това взаимодействие (фармакодинамично или фармакокинетично, или и двете) е все още неизвестен. Има съобщения за рабдомиолиза (включително няколко с фатален изход) при пациенти, приемащи тази комбинация.</w:t>
      </w:r>
    </w:p>
    <w:p w14:paraId="767F4955" w14:textId="77777777" w:rsidR="00375D09" w:rsidRPr="00144DBF" w:rsidRDefault="00375D09" w:rsidP="00375D09">
      <w:pPr>
        <w:spacing w:line="240" w:lineRule="auto"/>
        <w:rPr>
          <w:rFonts w:eastAsia="Times New Roman" w:cs="Arial"/>
          <w:sz w:val="24"/>
          <w:szCs w:val="24"/>
          <w:lang w:eastAsia="bg-BG"/>
        </w:rPr>
      </w:pPr>
    </w:p>
    <w:p w14:paraId="6FDAB904" w14:textId="1F17FE30"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Ако терапията с фузидова киселина за системно приложение е наложителна, лечението с Ултравас трябва да бъде преустановено по време на периода на лечение с фузидова киселина. Вижте също точка 4.4.</w:t>
      </w:r>
    </w:p>
    <w:p w14:paraId="140EFF30" w14:textId="77777777" w:rsidR="00375D09" w:rsidRPr="00144DBF" w:rsidRDefault="00375D09" w:rsidP="00375D09">
      <w:pPr>
        <w:spacing w:line="240" w:lineRule="auto"/>
        <w:rPr>
          <w:rFonts w:eastAsia="Times New Roman" w:cs="Arial"/>
          <w:i/>
          <w:iCs/>
          <w:color w:val="000000"/>
          <w:lang w:eastAsia="bg-BG"/>
        </w:rPr>
      </w:pPr>
    </w:p>
    <w:p w14:paraId="34F8C6A4" w14:textId="7DAA947A"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Педиатрична популация</w:t>
      </w:r>
    </w:p>
    <w:p w14:paraId="7AEB8F6A" w14:textId="77777777" w:rsidR="00375D09" w:rsidRPr="00144DBF" w:rsidRDefault="00375D09" w:rsidP="00375D09">
      <w:pPr>
        <w:rPr>
          <w:rFonts w:eastAsia="Times New Roman" w:cs="Arial"/>
          <w:color w:val="000000"/>
          <w:lang w:eastAsia="bg-BG"/>
        </w:rPr>
      </w:pPr>
    </w:p>
    <w:p w14:paraId="029B9134" w14:textId="1E609973" w:rsidR="00375D09" w:rsidRPr="00144DBF" w:rsidRDefault="00375D09" w:rsidP="00375D09">
      <w:pPr>
        <w:rPr>
          <w:rFonts w:cs="Arial"/>
        </w:rPr>
      </w:pPr>
      <w:r w:rsidRPr="00144DBF">
        <w:rPr>
          <w:rFonts w:eastAsia="Times New Roman" w:cs="Arial"/>
          <w:color w:val="000000"/>
          <w:lang w:eastAsia="bg-BG"/>
        </w:rPr>
        <w:t>Проучвания за взаимодействия са провеждани само при възрастни. Степента на взаимодействията в педиатричната популация не е известна.</w:t>
      </w:r>
    </w:p>
    <w:p w14:paraId="116FA6F5" w14:textId="77777777" w:rsidR="00375D09" w:rsidRPr="0091385D" w:rsidRDefault="00375D09"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17BB31F4"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Ултравас е противопоказан по време на бременност и кърмене.</w:t>
      </w:r>
    </w:p>
    <w:p w14:paraId="7C280A29" w14:textId="77777777" w:rsidR="00144DBF" w:rsidRPr="00144DBF" w:rsidRDefault="00144DBF" w:rsidP="00144DBF">
      <w:pPr>
        <w:spacing w:line="240" w:lineRule="auto"/>
        <w:rPr>
          <w:rFonts w:eastAsia="Times New Roman" w:cs="Arial"/>
          <w:color w:val="000000"/>
          <w:lang w:eastAsia="bg-BG"/>
        </w:rPr>
      </w:pPr>
    </w:p>
    <w:p w14:paraId="037828DF" w14:textId="4E1E5176"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Жени с детероден потенциал трябва да прилагат подходящи контрацептивни мерки.</w:t>
      </w:r>
    </w:p>
    <w:p w14:paraId="45BD0537" w14:textId="77777777" w:rsidR="00144DBF" w:rsidRPr="00144DBF" w:rsidRDefault="00144DBF" w:rsidP="00144DBF">
      <w:pPr>
        <w:spacing w:line="240" w:lineRule="auto"/>
        <w:rPr>
          <w:rFonts w:eastAsia="Times New Roman" w:cs="Arial"/>
          <w:color w:val="000000"/>
          <w:lang w:eastAsia="bg-BG"/>
        </w:rPr>
      </w:pPr>
    </w:p>
    <w:p w14:paraId="33C4B493" w14:textId="271AAF1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Холестеролът и други продукти на холестерол биосинтезата са важни за равитието на плода. Ето защо потенциалният риск от инхибиране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е по-голям в сравнение с ползата от лечението по време на бременност. Изследвания върху животни осигуряват ограничени данни за репродуктивната токсичност (вж. точка 5.3). Ако пациентката забременее по време на лечение с това лекарство, приемът трябва да бъде незабавно преустановен.</w:t>
      </w:r>
    </w:p>
    <w:p w14:paraId="19BBD019" w14:textId="77777777" w:rsidR="00144DBF" w:rsidRPr="00144DBF" w:rsidRDefault="00144DBF" w:rsidP="00144DBF">
      <w:pPr>
        <w:rPr>
          <w:rFonts w:eastAsia="Times New Roman" w:cs="Arial"/>
          <w:color w:val="000000"/>
          <w:lang w:eastAsia="bg-BG"/>
        </w:rPr>
      </w:pPr>
    </w:p>
    <w:p w14:paraId="776662C5" w14:textId="7F7DD75C" w:rsidR="0091385D" w:rsidRPr="00144DBF" w:rsidRDefault="00144DBF" w:rsidP="00144DBF">
      <w:pPr>
        <w:rPr>
          <w:rFonts w:cs="Arial"/>
        </w:rPr>
      </w:pPr>
      <w:r w:rsidRPr="00144DBF">
        <w:rPr>
          <w:rFonts w:eastAsia="Times New Roman" w:cs="Arial"/>
          <w:color w:val="000000"/>
          <w:lang w:eastAsia="bg-BG"/>
        </w:rPr>
        <w:t>Розувастатин се екскретира в млякото на плъхове. Няма установени данни за екскретиране в млякото при хората (вж. точка 4.3).</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2B4135A6" w14:textId="0DC2E165" w:rsidR="0091385D" w:rsidRDefault="00144DBF" w:rsidP="0091385D">
      <w:r>
        <w:t>Не са провеждани проучвания за установяване влиянието на розувастатин върху способността за шофиране и работа с машини. Въз основа на фармакодинамичните свойства не се очаква розувастатин да повлияе неблагоприятно тези способности. При шофиране или работа с машини трябва да се има предвид, че приемането на лекарството може да предизвика световъртеж.</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4EB395C0"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Нежеланите лекарствени реакции, наблюдавани при употребата на розувастатин, обикновено са били леки и преходни. В контролираните клинични проучвания по-малко от 4% от пациентите на лечение с розувастатин са прекъснали лечението поради нежелани събития.</w:t>
      </w:r>
    </w:p>
    <w:p w14:paraId="0DC24CFE" w14:textId="77777777" w:rsidR="00144DBF" w:rsidRDefault="00144DBF" w:rsidP="00144DBF">
      <w:pPr>
        <w:spacing w:line="240" w:lineRule="auto"/>
        <w:rPr>
          <w:rFonts w:eastAsia="Times New Roman" w:cs="Arial"/>
          <w:color w:val="000000"/>
          <w:lang w:eastAsia="bg-BG"/>
        </w:rPr>
      </w:pPr>
    </w:p>
    <w:p w14:paraId="5A84CB3A" w14:textId="73A14AD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Базирана на данни от клинични проучвания и обширен постмаркетингов опит, по-долу са представени профилът на розувастатин по отношение на нежелани лекарствени реакции. </w:t>
      </w:r>
      <w:r w:rsidRPr="00144DBF">
        <w:rPr>
          <w:rFonts w:eastAsia="Times New Roman" w:cs="Arial"/>
          <w:color w:val="000000"/>
          <w:lang w:eastAsia="bg-BG"/>
        </w:rPr>
        <w:lastRenderedPageBreak/>
        <w:t>Нежеланите реакции, изброени по-долу са класифицирани по честота и системно-органен клас.</w:t>
      </w:r>
    </w:p>
    <w:p w14:paraId="7A9A8A62" w14:textId="77777777" w:rsidR="00144DBF" w:rsidRDefault="00144DBF" w:rsidP="00144DBF">
      <w:pPr>
        <w:spacing w:line="240" w:lineRule="auto"/>
        <w:rPr>
          <w:rFonts w:eastAsia="Times New Roman" w:cs="Arial"/>
          <w:color w:val="000000"/>
          <w:lang w:eastAsia="bg-BG"/>
        </w:rPr>
      </w:pPr>
    </w:p>
    <w:p w14:paraId="3375602A" w14:textId="7210690A"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Честотата на нежеланите събития е съобразена със следната скала: чести (&gt;1/100 до &lt;1/10), нечести (&gt;1/1 000 до &lt;1/100), редки (&gt;1/10 000 до &lt;1/1 000), много редки (&lt;1/10 000), с неизвестна честота (от наличните данни не може да бъде направена оценка).</w:t>
      </w:r>
    </w:p>
    <w:p w14:paraId="631A0933" w14:textId="77777777" w:rsidR="00144DBF" w:rsidRPr="00144DBF" w:rsidRDefault="00144DBF" w:rsidP="00144DBF">
      <w:pPr>
        <w:spacing w:line="240" w:lineRule="auto"/>
        <w:rPr>
          <w:rFonts w:eastAsia="Times New Roman" w:cs="Arial"/>
          <w:i/>
          <w:iCs/>
          <w:color w:val="000000"/>
          <w:lang w:eastAsia="bg-BG"/>
        </w:rPr>
      </w:pPr>
    </w:p>
    <w:p w14:paraId="38F6FAE8" w14:textId="147B8E98"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кръвта и лимфната система</w:t>
      </w:r>
    </w:p>
    <w:p w14:paraId="76047357"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Редки:</w:t>
      </w:r>
      <w:r w:rsidRPr="00144DBF">
        <w:rPr>
          <w:rFonts w:eastAsia="Times New Roman" w:cs="Arial"/>
          <w:color w:val="000000"/>
          <w:lang w:eastAsia="bg-BG"/>
        </w:rPr>
        <w:tab/>
        <w:t>тромбоцитопения</w:t>
      </w:r>
    </w:p>
    <w:p w14:paraId="7F0C4337" w14:textId="77777777" w:rsidR="00144DBF" w:rsidRPr="00144DBF" w:rsidRDefault="00144DBF" w:rsidP="00144DBF">
      <w:pPr>
        <w:spacing w:line="240" w:lineRule="auto"/>
        <w:rPr>
          <w:rFonts w:eastAsia="Times New Roman" w:cs="Arial"/>
          <w:i/>
          <w:iCs/>
          <w:color w:val="000000"/>
          <w:lang w:eastAsia="bg-BG"/>
        </w:rPr>
      </w:pPr>
    </w:p>
    <w:p w14:paraId="23C9C160" w14:textId="251A5A70"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имунната система</w:t>
      </w:r>
    </w:p>
    <w:p w14:paraId="0E0C4197"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Редки:</w:t>
      </w:r>
      <w:r w:rsidRPr="00144DBF">
        <w:rPr>
          <w:rFonts w:eastAsia="Times New Roman" w:cs="Arial"/>
          <w:color w:val="000000"/>
          <w:lang w:eastAsia="bg-BG"/>
        </w:rPr>
        <w:tab/>
        <w:t>реакции на свръхчувствителност, включително ангиоедем</w:t>
      </w:r>
    </w:p>
    <w:p w14:paraId="266C558A" w14:textId="77777777" w:rsidR="00144DBF" w:rsidRPr="00144DBF" w:rsidRDefault="00144DBF" w:rsidP="00144DBF">
      <w:pPr>
        <w:spacing w:line="240" w:lineRule="auto"/>
        <w:rPr>
          <w:rFonts w:eastAsia="Times New Roman" w:cs="Arial"/>
          <w:i/>
          <w:iCs/>
          <w:color w:val="000000"/>
          <w:lang w:eastAsia="bg-BG"/>
        </w:rPr>
      </w:pPr>
    </w:p>
    <w:p w14:paraId="073CFCCD" w14:textId="6490E9F5"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ендокринна система</w:t>
      </w:r>
    </w:p>
    <w:p w14:paraId="49BAE7C3" w14:textId="433F0AD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захарен диабет</w:t>
      </w:r>
      <w:r w:rsidRPr="00144DBF">
        <w:rPr>
          <w:rFonts w:eastAsia="Times New Roman" w:cs="Arial"/>
          <w:color w:val="000000"/>
          <w:vertAlign w:val="superscript"/>
          <w:lang w:eastAsia="bg-BG"/>
        </w:rPr>
        <w:t>1</w:t>
      </w:r>
    </w:p>
    <w:p w14:paraId="7EC5B0C5" w14:textId="77777777" w:rsidR="00144DBF" w:rsidRPr="00144DBF" w:rsidRDefault="00144DBF" w:rsidP="00144DBF">
      <w:pPr>
        <w:spacing w:line="240" w:lineRule="auto"/>
        <w:rPr>
          <w:rFonts w:eastAsia="Times New Roman" w:cs="Arial"/>
          <w:i/>
          <w:iCs/>
          <w:color w:val="000000"/>
          <w:lang w:eastAsia="bg-BG"/>
        </w:rPr>
      </w:pPr>
    </w:p>
    <w:p w14:paraId="225A12E3" w14:textId="015A42EA"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Психични нарушения</w:t>
      </w:r>
    </w:p>
    <w:p w14:paraId="74934948"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депресия</w:t>
      </w:r>
    </w:p>
    <w:p w14:paraId="407C7326" w14:textId="77777777" w:rsidR="00144DBF" w:rsidRPr="00144DBF" w:rsidRDefault="00144DBF" w:rsidP="00144DBF">
      <w:pPr>
        <w:spacing w:line="240" w:lineRule="auto"/>
        <w:rPr>
          <w:rFonts w:eastAsia="Times New Roman" w:cs="Arial"/>
          <w:i/>
          <w:iCs/>
          <w:color w:val="000000"/>
          <w:lang w:eastAsia="bg-BG"/>
        </w:rPr>
      </w:pPr>
    </w:p>
    <w:p w14:paraId="516F3F8C" w14:textId="7BBDEEBB"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нервната система</w:t>
      </w:r>
    </w:p>
    <w:p w14:paraId="33E5C962"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главоболие, замайване</w:t>
      </w:r>
    </w:p>
    <w:p w14:paraId="116B812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Много редки:</w:t>
      </w:r>
      <w:r w:rsidRPr="00144DBF">
        <w:rPr>
          <w:rFonts w:eastAsia="Times New Roman" w:cs="Arial"/>
          <w:color w:val="000000"/>
          <w:lang w:eastAsia="bg-BG"/>
        </w:rPr>
        <w:tab/>
        <w:t>полиневропатия, загуба на памет</w:t>
      </w:r>
    </w:p>
    <w:p w14:paraId="64478D9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периферна невропатия, нарушения на съня (включително инсомния и кошмари)</w:t>
      </w:r>
    </w:p>
    <w:p w14:paraId="01FA55E5" w14:textId="77777777" w:rsidR="00144DBF" w:rsidRPr="00144DBF" w:rsidRDefault="00144DBF" w:rsidP="00144DBF">
      <w:pPr>
        <w:spacing w:line="240" w:lineRule="auto"/>
        <w:rPr>
          <w:rFonts w:eastAsia="Times New Roman" w:cs="Arial"/>
          <w:i/>
          <w:iCs/>
          <w:color w:val="000000"/>
          <w:lang w:eastAsia="bg-BG"/>
        </w:rPr>
      </w:pPr>
    </w:p>
    <w:p w14:paraId="281099F3" w14:textId="5B7A6826"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Респираторни, гръдни и медиастинални нарушения</w:t>
      </w:r>
    </w:p>
    <w:p w14:paraId="1FEED7EB"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кашлица, диспнея</w:t>
      </w:r>
    </w:p>
    <w:p w14:paraId="04E8365E" w14:textId="77777777" w:rsidR="00144DBF" w:rsidRPr="00144DBF" w:rsidRDefault="00144DBF" w:rsidP="00144DBF">
      <w:pPr>
        <w:spacing w:line="240" w:lineRule="auto"/>
        <w:rPr>
          <w:rFonts w:eastAsia="Times New Roman" w:cs="Arial"/>
          <w:i/>
          <w:iCs/>
          <w:color w:val="000000"/>
          <w:lang w:eastAsia="bg-BG"/>
        </w:rPr>
      </w:pPr>
    </w:p>
    <w:p w14:paraId="28DE27A4" w14:textId="60966687"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Стомашно-чревни нарушения</w:t>
      </w:r>
    </w:p>
    <w:p w14:paraId="6DA38D2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констипация, гадене, абдоминални болки</w:t>
      </w:r>
    </w:p>
    <w:p w14:paraId="366BE5F1"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Редки:</w:t>
      </w:r>
      <w:r w:rsidRPr="00144DBF">
        <w:rPr>
          <w:rFonts w:eastAsia="Times New Roman" w:cs="Arial"/>
          <w:color w:val="000000"/>
          <w:lang w:eastAsia="bg-BG"/>
        </w:rPr>
        <w:tab/>
        <w:t>панкреатит</w:t>
      </w:r>
    </w:p>
    <w:p w14:paraId="64612C49"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диария</w:t>
      </w:r>
    </w:p>
    <w:p w14:paraId="6AE7FB09" w14:textId="77777777" w:rsidR="00144DBF" w:rsidRPr="00144DBF" w:rsidRDefault="00144DBF" w:rsidP="00144DBF">
      <w:pPr>
        <w:spacing w:line="240" w:lineRule="auto"/>
        <w:rPr>
          <w:rFonts w:eastAsia="Times New Roman" w:cs="Arial"/>
          <w:i/>
          <w:iCs/>
          <w:color w:val="000000"/>
          <w:lang w:eastAsia="bg-BG"/>
        </w:rPr>
      </w:pPr>
    </w:p>
    <w:p w14:paraId="7EECCF46" w14:textId="0ED70BAF"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Хепатобилиарни нарушения</w:t>
      </w:r>
    </w:p>
    <w:p w14:paraId="5DD899B4"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Редки:</w:t>
      </w:r>
      <w:r w:rsidRPr="00144DBF">
        <w:rPr>
          <w:rFonts w:eastAsia="Times New Roman" w:cs="Arial"/>
          <w:color w:val="000000"/>
          <w:lang w:eastAsia="bg-BG"/>
        </w:rPr>
        <w:tab/>
        <w:t>повишени чернодробни трансаминази</w:t>
      </w:r>
    </w:p>
    <w:p w14:paraId="598D702C"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Много редки:</w:t>
      </w:r>
      <w:r w:rsidRPr="00144DBF">
        <w:rPr>
          <w:rFonts w:eastAsia="Times New Roman" w:cs="Arial"/>
          <w:color w:val="000000"/>
          <w:lang w:eastAsia="bg-BG"/>
        </w:rPr>
        <w:tab/>
        <w:t>жълтеница, хепатит</w:t>
      </w:r>
    </w:p>
    <w:p w14:paraId="521F1E37" w14:textId="77777777" w:rsidR="00144DBF" w:rsidRPr="00144DBF" w:rsidRDefault="00144DBF" w:rsidP="00144DBF">
      <w:pPr>
        <w:spacing w:line="240" w:lineRule="auto"/>
        <w:rPr>
          <w:rFonts w:eastAsia="Times New Roman" w:cs="Arial"/>
          <w:i/>
          <w:iCs/>
          <w:color w:val="000000"/>
          <w:lang w:eastAsia="bg-BG"/>
        </w:rPr>
      </w:pPr>
    </w:p>
    <w:p w14:paraId="22152366" w14:textId="140D0254"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кожата и подкожната тъкан</w:t>
      </w:r>
    </w:p>
    <w:p w14:paraId="1FFBCA9C" w14:textId="40B0BFDB" w:rsidR="00144DBF" w:rsidRPr="00144DBF" w:rsidRDefault="00144DBF" w:rsidP="00144DBF">
      <w:pPr>
        <w:spacing w:line="240" w:lineRule="auto"/>
        <w:rPr>
          <w:rFonts w:eastAsia="Times New Roman" w:cs="Arial"/>
          <w:sz w:val="24"/>
          <w:szCs w:val="24"/>
          <w:lang w:eastAsia="bg-BG"/>
        </w:rPr>
      </w:pPr>
      <w:r>
        <w:rPr>
          <w:rFonts w:eastAsia="Times New Roman" w:cs="Arial"/>
          <w:color w:val="000000"/>
          <w:lang w:eastAsia="bg-BG"/>
        </w:rPr>
        <w:t xml:space="preserve">Нечести: </w:t>
      </w:r>
      <w:r w:rsidRPr="00144DBF">
        <w:rPr>
          <w:rFonts w:eastAsia="Times New Roman" w:cs="Arial"/>
          <w:color w:val="000000"/>
          <w:lang w:eastAsia="bg-BG"/>
        </w:rPr>
        <w:t>пруритус, обриви, уртикария</w:t>
      </w:r>
    </w:p>
    <w:p w14:paraId="19989240"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Неизвестна честота: Синдром на </w:t>
      </w:r>
      <w:r w:rsidRPr="00144DBF">
        <w:rPr>
          <w:rFonts w:eastAsia="Times New Roman" w:cs="Arial"/>
          <w:color w:val="000000"/>
          <w:lang w:val="en-US"/>
        </w:rPr>
        <w:t>Stevens-Johnson</w:t>
      </w:r>
    </w:p>
    <w:p w14:paraId="4548C727" w14:textId="77777777" w:rsidR="00144DBF" w:rsidRPr="00144DBF" w:rsidRDefault="00144DBF" w:rsidP="00144DBF">
      <w:pPr>
        <w:spacing w:line="240" w:lineRule="auto"/>
        <w:rPr>
          <w:rFonts w:eastAsia="Times New Roman" w:cs="Arial"/>
          <w:i/>
          <w:iCs/>
          <w:color w:val="000000"/>
          <w:lang w:eastAsia="bg-BG"/>
        </w:rPr>
      </w:pPr>
    </w:p>
    <w:p w14:paraId="0D2F50FC" w14:textId="64059598"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мускулно-скелетната система и съединителна тъкан</w:t>
      </w:r>
    </w:p>
    <w:p w14:paraId="6B427BB5"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миалгия</w:t>
      </w:r>
    </w:p>
    <w:p w14:paraId="7090B661" w14:textId="55D967CD" w:rsidR="00144DBF" w:rsidRPr="00144DBF" w:rsidRDefault="00144DBF" w:rsidP="00144DBF">
      <w:pPr>
        <w:spacing w:line="240" w:lineRule="auto"/>
        <w:rPr>
          <w:rFonts w:eastAsia="Times New Roman" w:cs="Arial"/>
          <w:sz w:val="24"/>
          <w:szCs w:val="24"/>
          <w:lang w:eastAsia="bg-BG"/>
        </w:rPr>
      </w:pPr>
      <w:r>
        <w:rPr>
          <w:rFonts w:eastAsia="Times New Roman" w:cs="Arial"/>
          <w:color w:val="000000"/>
          <w:lang w:eastAsia="bg-BG"/>
        </w:rPr>
        <w:t>Редки:</w:t>
      </w:r>
      <w:r>
        <w:rPr>
          <w:rFonts w:eastAsia="Times New Roman" w:cs="Arial"/>
          <w:color w:val="000000"/>
          <w:lang w:eastAsia="bg-BG"/>
        </w:rPr>
        <w:tab/>
        <w:t xml:space="preserve">миопатия (вкл. </w:t>
      </w:r>
      <w:r w:rsidRPr="00144DBF">
        <w:rPr>
          <w:rFonts w:eastAsia="Times New Roman" w:cs="Arial"/>
          <w:color w:val="000000"/>
          <w:lang w:eastAsia="bg-BG"/>
        </w:rPr>
        <w:t>миозит) и рабдомиолиза</w:t>
      </w:r>
    </w:p>
    <w:p w14:paraId="7AB1892B"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Много редки:</w:t>
      </w:r>
      <w:r w:rsidRPr="00144DBF">
        <w:rPr>
          <w:rFonts w:eastAsia="Times New Roman" w:cs="Arial"/>
          <w:color w:val="000000"/>
          <w:lang w:eastAsia="bg-BG"/>
        </w:rPr>
        <w:tab/>
        <w:t>артралгия</w:t>
      </w:r>
    </w:p>
    <w:p w14:paraId="6F2235B6" w14:textId="021D8BD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w:t>
      </w:r>
      <w:r>
        <w:rPr>
          <w:rFonts w:eastAsia="Times New Roman" w:cs="Arial"/>
          <w:color w:val="000000"/>
          <w:lang w:eastAsia="bg-BG"/>
        </w:rPr>
        <w:t xml:space="preserve">еизвестна честота: нарушения на </w:t>
      </w:r>
      <w:r w:rsidRPr="00144DBF">
        <w:rPr>
          <w:rFonts w:eastAsia="Times New Roman" w:cs="Arial"/>
          <w:color w:val="000000"/>
          <w:lang w:eastAsia="bg-BG"/>
        </w:rPr>
        <w:t>сухожилията, понякога усложнени от руптура;</w:t>
      </w:r>
      <w:r w:rsidRPr="00144DBF">
        <w:rPr>
          <w:rFonts w:eastAsia="Times New Roman" w:cs="Arial"/>
          <w:color w:val="000000"/>
          <w:lang w:val="en-US"/>
        </w:rPr>
        <w:t xml:space="preserve"> </w:t>
      </w:r>
      <w:r w:rsidRPr="00144DBF">
        <w:rPr>
          <w:rFonts w:eastAsia="Times New Roman" w:cs="Arial"/>
          <w:color w:val="000000"/>
          <w:lang w:eastAsia="bg-BG"/>
        </w:rPr>
        <w:t>Имуномедиирана</w:t>
      </w:r>
      <w:r>
        <w:rPr>
          <w:rFonts w:eastAsia="Times New Roman" w:cs="Arial"/>
          <w:sz w:val="24"/>
          <w:szCs w:val="24"/>
          <w:lang w:eastAsia="bg-BG"/>
        </w:rPr>
        <w:t xml:space="preserve"> </w:t>
      </w:r>
      <w:r w:rsidRPr="00144DBF">
        <w:rPr>
          <w:rFonts w:eastAsia="Times New Roman" w:cs="Arial"/>
          <w:color w:val="000000"/>
          <w:lang w:eastAsia="bg-BG"/>
        </w:rPr>
        <w:t>некротизираща миопатия</w:t>
      </w:r>
      <w:r w:rsidRPr="00144DBF">
        <w:rPr>
          <w:rFonts w:eastAsia="Times New Roman" w:cs="Arial"/>
          <w:color w:val="000000"/>
          <w:lang w:eastAsia="bg-BG"/>
        </w:rPr>
        <w:tab/>
      </w:r>
    </w:p>
    <w:p w14:paraId="77C1E1EF" w14:textId="77777777" w:rsidR="00144DBF" w:rsidRPr="00144DBF" w:rsidRDefault="00144DBF" w:rsidP="00144DBF">
      <w:pPr>
        <w:spacing w:line="240" w:lineRule="auto"/>
        <w:rPr>
          <w:rFonts w:eastAsia="Times New Roman" w:cs="Arial"/>
          <w:i/>
          <w:iCs/>
          <w:color w:val="000000"/>
          <w:lang w:eastAsia="bg-BG"/>
        </w:rPr>
      </w:pPr>
    </w:p>
    <w:p w14:paraId="0E7380A7" w14:textId="332A45BB"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бъбреците и пикочните пътища</w:t>
      </w:r>
    </w:p>
    <w:p w14:paraId="570508C4" w14:textId="001B5220" w:rsidR="0091385D" w:rsidRPr="00144DBF" w:rsidRDefault="00144DBF" w:rsidP="00144DBF">
      <w:pPr>
        <w:rPr>
          <w:rFonts w:cs="Arial"/>
        </w:rPr>
      </w:pPr>
      <w:r w:rsidRPr="00144DBF">
        <w:rPr>
          <w:rFonts w:eastAsia="Times New Roman" w:cs="Arial"/>
          <w:color w:val="000000"/>
          <w:lang w:eastAsia="bg-BG"/>
        </w:rPr>
        <w:t>Много редки:</w:t>
      </w:r>
      <w:r w:rsidRPr="00144DBF">
        <w:rPr>
          <w:rFonts w:eastAsia="Times New Roman" w:cs="Arial"/>
          <w:color w:val="000000"/>
          <w:lang w:eastAsia="bg-BG"/>
        </w:rPr>
        <w:tab/>
        <w:t>хематурия</w:t>
      </w:r>
    </w:p>
    <w:p w14:paraId="53573DED" w14:textId="77777777" w:rsidR="00144DBF" w:rsidRDefault="00144DBF" w:rsidP="00144DBF">
      <w:pPr>
        <w:spacing w:line="240" w:lineRule="auto"/>
        <w:rPr>
          <w:rFonts w:eastAsia="Times New Roman" w:cs="Arial"/>
          <w:i/>
          <w:iCs/>
          <w:color w:val="000000"/>
          <w:lang w:eastAsia="bg-BG"/>
        </w:rPr>
      </w:pPr>
    </w:p>
    <w:p w14:paraId="28F5ECE5" w14:textId="0AF77BDB"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lastRenderedPageBreak/>
        <w:t>Нарушения на репродуктивната система и гърдата</w:t>
      </w:r>
    </w:p>
    <w:p w14:paraId="7D8DC742"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Много редки:</w:t>
      </w:r>
      <w:r w:rsidRPr="00144DBF">
        <w:rPr>
          <w:rFonts w:eastAsia="Times New Roman" w:cs="Arial"/>
          <w:color w:val="000000"/>
          <w:lang w:eastAsia="bg-BG"/>
        </w:rPr>
        <w:tab/>
        <w:t>гинекомастия</w:t>
      </w:r>
    </w:p>
    <w:p w14:paraId="314D52FD" w14:textId="77777777" w:rsidR="00144DBF" w:rsidRPr="00144DBF" w:rsidRDefault="00144DBF" w:rsidP="00144DBF">
      <w:pPr>
        <w:spacing w:line="240" w:lineRule="auto"/>
        <w:rPr>
          <w:rFonts w:eastAsia="Times New Roman" w:cs="Arial"/>
          <w:i/>
          <w:iCs/>
          <w:color w:val="000000"/>
          <w:lang w:eastAsia="bg-BG"/>
        </w:rPr>
      </w:pPr>
    </w:p>
    <w:p w14:paraId="4322266A" w14:textId="206A83C1"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Общи нарушения и ефекти на мястото на приложение</w:t>
      </w:r>
    </w:p>
    <w:p w14:paraId="102878AB"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астения</w:t>
      </w:r>
    </w:p>
    <w:p w14:paraId="7BA9E885"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едем</w:t>
      </w:r>
    </w:p>
    <w:p w14:paraId="3DE161AE" w14:textId="77777777" w:rsidR="00144DBF" w:rsidRPr="00144DBF" w:rsidRDefault="00144DBF" w:rsidP="00144DBF">
      <w:pPr>
        <w:spacing w:line="240" w:lineRule="auto"/>
        <w:rPr>
          <w:rFonts w:eastAsia="Times New Roman" w:cs="Arial"/>
          <w:color w:val="000000"/>
          <w:lang w:eastAsia="bg-BG"/>
        </w:rPr>
      </w:pPr>
    </w:p>
    <w:p w14:paraId="404A438E" w14:textId="1714C54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vertAlign w:val="superscript"/>
          <w:lang w:eastAsia="bg-BG"/>
        </w:rPr>
        <w:t>1</w:t>
      </w:r>
      <w:r w:rsidRPr="00144DBF">
        <w:rPr>
          <w:rFonts w:eastAsia="Times New Roman" w:cs="Arial"/>
          <w:color w:val="000000"/>
          <w:lang w:eastAsia="bg-BG"/>
        </w:rPr>
        <w:t xml:space="preserve">Честотата ще зависи от наличието или отсъствието на рискови фактори (глюкоза на гладно ≥ 5,6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 xml:space="preserve">/l, </w:t>
      </w:r>
      <w:r w:rsidRPr="00144DBF">
        <w:rPr>
          <w:rFonts w:eastAsia="Times New Roman" w:cs="Arial"/>
          <w:color w:val="000000"/>
          <w:lang w:eastAsia="bg-BG"/>
        </w:rPr>
        <w:t xml:space="preserve">индекс на телесна маса &gt;30 </w:t>
      </w:r>
      <w:r w:rsidRPr="00144DBF">
        <w:rPr>
          <w:rFonts w:eastAsia="Times New Roman" w:cs="Arial"/>
          <w:color w:val="000000"/>
          <w:lang w:val="en-US"/>
        </w:rPr>
        <w:t>kg/m</w:t>
      </w:r>
      <w:r w:rsidRPr="00144DBF">
        <w:rPr>
          <w:rFonts w:eastAsia="Times New Roman" w:cs="Arial"/>
          <w:color w:val="000000"/>
          <w:vertAlign w:val="superscript"/>
          <w:lang w:val="en-US"/>
        </w:rPr>
        <w:t>2</w:t>
      </w:r>
      <w:r w:rsidRPr="00144DBF">
        <w:rPr>
          <w:rFonts w:eastAsia="Times New Roman" w:cs="Arial"/>
          <w:color w:val="000000"/>
          <w:lang w:val="en-US"/>
        </w:rPr>
        <w:t xml:space="preserve">, </w:t>
      </w:r>
      <w:r w:rsidRPr="00144DBF">
        <w:rPr>
          <w:rFonts w:eastAsia="Times New Roman" w:cs="Arial"/>
          <w:color w:val="000000"/>
          <w:lang w:eastAsia="bg-BG"/>
        </w:rPr>
        <w:t>повишени стойности на триглицеридите, анамнеза за хипертония).</w:t>
      </w:r>
    </w:p>
    <w:p w14:paraId="49B7CA8B" w14:textId="77777777" w:rsidR="00144DBF" w:rsidRPr="00144DBF" w:rsidRDefault="00144DBF" w:rsidP="00144DBF">
      <w:pPr>
        <w:spacing w:line="240" w:lineRule="auto"/>
        <w:rPr>
          <w:rFonts w:eastAsia="Times New Roman" w:cs="Arial"/>
          <w:color w:val="000000"/>
          <w:lang w:eastAsia="bg-BG"/>
        </w:rPr>
      </w:pPr>
    </w:p>
    <w:p w14:paraId="7C0E878F" w14:textId="0D8BDD5C"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Както при други инхибитори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честотата на нежеланите лекарствени реакции зависи от дозата на лекарството.</w:t>
      </w:r>
    </w:p>
    <w:p w14:paraId="670E088A" w14:textId="77777777" w:rsidR="00144DBF" w:rsidRPr="00144DBF" w:rsidRDefault="00144DBF" w:rsidP="00144DBF">
      <w:pPr>
        <w:spacing w:line="240" w:lineRule="auto"/>
        <w:rPr>
          <w:rFonts w:eastAsia="Times New Roman" w:cs="Arial"/>
          <w:b/>
          <w:bCs/>
          <w:color w:val="000000"/>
          <w:lang w:eastAsia="bg-BG"/>
        </w:rPr>
      </w:pPr>
    </w:p>
    <w:p w14:paraId="54736525" w14:textId="12E14483"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Ефекти върху бъбреците</w:t>
      </w:r>
    </w:p>
    <w:p w14:paraId="69FC215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При пациенти, лекувани с розувастатин, е наблюдавана протеинуирия, установена при изследване с тест-лентички и която е с предимно тубулен произход.</w:t>
      </w:r>
    </w:p>
    <w:p w14:paraId="089906B1"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определени моменти от лечението при &lt;1% от пациентите на 10 </w:t>
      </w:r>
      <w:r w:rsidRPr="00144DBF">
        <w:rPr>
          <w:rFonts w:eastAsia="Times New Roman" w:cs="Arial"/>
          <w:color w:val="000000"/>
          <w:lang w:val="en-US"/>
        </w:rPr>
        <w:t xml:space="preserve">mg </w:t>
      </w:r>
      <w:r w:rsidRPr="00144DBF">
        <w:rPr>
          <w:rFonts w:eastAsia="Times New Roman" w:cs="Arial"/>
          <w:color w:val="000000"/>
          <w:lang w:eastAsia="bg-BG"/>
        </w:rPr>
        <w:t xml:space="preserve">и 20 </w:t>
      </w:r>
      <w:r w:rsidRPr="00144DBF">
        <w:rPr>
          <w:rFonts w:eastAsia="Times New Roman" w:cs="Arial"/>
          <w:color w:val="000000"/>
          <w:lang w:val="en-US"/>
        </w:rPr>
        <w:t xml:space="preserve">mg, </w:t>
      </w:r>
      <w:r w:rsidRPr="00144DBF">
        <w:rPr>
          <w:rFonts w:eastAsia="Times New Roman" w:cs="Arial"/>
          <w:color w:val="000000"/>
          <w:lang w:eastAsia="bg-BG"/>
        </w:rPr>
        <w:t xml:space="preserve">и при приблизително 3% от пациентите, лекувани с 40 </w:t>
      </w:r>
      <w:r w:rsidRPr="00144DBF">
        <w:rPr>
          <w:rFonts w:eastAsia="Times New Roman" w:cs="Arial"/>
          <w:color w:val="000000"/>
          <w:lang w:val="en-US"/>
        </w:rPr>
        <w:t xml:space="preserve">mg, </w:t>
      </w:r>
      <w:r w:rsidRPr="00144DBF">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Незначително отклонение в посока от отрицателен резултат или следи към + е наблюдавано при доза 20 </w:t>
      </w:r>
      <w:r w:rsidRPr="00144DBF">
        <w:rPr>
          <w:rFonts w:eastAsia="Times New Roman" w:cs="Arial"/>
          <w:color w:val="000000"/>
          <w:lang w:val="en-US"/>
        </w:rPr>
        <w:t xml:space="preserve">mg. </w:t>
      </w:r>
      <w:r w:rsidRPr="00144DBF">
        <w:rPr>
          <w:rFonts w:eastAsia="Times New Roman" w:cs="Arial"/>
          <w:color w:val="000000"/>
          <w:lang w:eastAsia="bg-BG"/>
        </w:rPr>
        <w:t>В повечето случаи протеинуирията намалява или изчезва спонтанно в процеса на лечението и не е доказано да предшества остро и прогресивно бъбречно заболяване. От прегледа на данните от клиничните проучвания и постмаркетинговия опит до сега не е идентифицирана причинна връзка между протеинуирията и остро или прогресивно бъбречно заболяване.</w:t>
      </w:r>
    </w:p>
    <w:p w14:paraId="353E47C3" w14:textId="77777777" w:rsidR="00144DBF" w:rsidRPr="00144DBF" w:rsidRDefault="00144DBF" w:rsidP="00144DBF">
      <w:pPr>
        <w:spacing w:line="240" w:lineRule="auto"/>
        <w:rPr>
          <w:rFonts w:eastAsia="Times New Roman" w:cs="Arial"/>
          <w:color w:val="000000"/>
          <w:lang w:eastAsia="bg-BG"/>
        </w:rPr>
      </w:pPr>
    </w:p>
    <w:p w14:paraId="71A26B38" w14:textId="70101D3B"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При пациенти на лечение с Ултравас е наблюдавана хематурия, но клиничните данни сочат, че честотата и е ниска.</w:t>
      </w:r>
    </w:p>
    <w:p w14:paraId="0689D07E" w14:textId="77777777" w:rsidR="00144DBF" w:rsidRPr="00144DBF" w:rsidRDefault="00144DBF" w:rsidP="00144DBF">
      <w:pPr>
        <w:spacing w:line="240" w:lineRule="auto"/>
        <w:rPr>
          <w:rFonts w:eastAsia="Times New Roman" w:cs="Arial"/>
          <w:b/>
          <w:bCs/>
          <w:color w:val="000000"/>
          <w:lang w:eastAsia="bg-BG"/>
        </w:rPr>
      </w:pPr>
    </w:p>
    <w:p w14:paraId="7EF84903" w14:textId="1FBF3CBD"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Ефекти върху скелетната мускулатура</w:t>
      </w:r>
    </w:p>
    <w:p w14:paraId="1615FA18"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Както и при други инхибитори на </w:t>
      </w:r>
      <w:r w:rsidRPr="00144DBF">
        <w:rPr>
          <w:rFonts w:eastAsia="Times New Roman" w:cs="Arial"/>
          <w:color w:val="000000"/>
          <w:lang w:val="en-US"/>
        </w:rPr>
        <w:t xml:space="preserve">HMG-CoA </w:t>
      </w:r>
      <w:r w:rsidRPr="00144DBF">
        <w:rPr>
          <w:rFonts w:eastAsia="Times New Roman" w:cs="Arial"/>
          <w:color w:val="000000"/>
          <w:lang w:eastAsia="bg-BG"/>
        </w:rPr>
        <w:t xml:space="preserve">редуктазата, въздействия върху скелетната мускулатура като неусложнена миалгия, миопатия (включително миозит) и рабдомиолиза, са установени при пациенти, лекувани с розувастатин - във всички терапевтични дози, особено в деви над 20 </w:t>
      </w:r>
      <w:r w:rsidRPr="00144DBF">
        <w:rPr>
          <w:rFonts w:eastAsia="Times New Roman" w:cs="Arial"/>
          <w:color w:val="000000"/>
          <w:lang w:val="en-US"/>
        </w:rPr>
        <w:t>mg.</w:t>
      </w:r>
    </w:p>
    <w:p w14:paraId="76755006" w14:textId="77777777" w:rsidR="00144DBF" w:rsidRPr="00144DBF" w:rsidRDefault="00144DBF" w:rsidP="00144DBF">
      <w:pPr>
        <w:spacing w:line="240" w:lineRule="auto"/>
        <w:rPr>
          <w:rFonts w:eastAsia="Times New Roman" w:cs="Arial"/>
          <w:color w:val="000000"/>
          <w:lang w:eastAsia="bg-BG"/>
        </w:rPr>
      </w:pPr>
    </w:p>
    <w:p w14:paraId="642823E3" w14:textId="3153C9E6"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Повишаване нивото на СК вследствие на увеличаване на дозата е наблюдавано при малък брой пациенти на лечение с розувастатин; множеството от случаите са леки, преходни и асимптоматични. Ако нивото на СК се повиши (&gt;5 пъти горната граница на нормата) лечението трябва временно да бъде преустановено (вж. точка 4.4).</w:t>
      </w:r>
    </w:p>
    <w:p w14:paraId="1B9E3761" w14:textId="77777777" w:rsidR="00144DBF" w:rsidRPr="00144DBF" w:rsidRDefault="00144DBF" w:rsidP="00144DBF">
      <w:pPr>
        <w:spacing w:line="240" w:lineRule="auto"/>
        <w:rPr>
          <w:rFonts w:eastAsia="Times New Roman" w:cs="Arial"/>
          <w:b/>
          <w:bCs/>
          <w:color w:val="000000"/>
          <w:lang w:eastAsia="bg-BG"/>
        </w:rPr>
      </w:pPr>
    </w:p>
    <w:p w14:paraId="72F5AC01" w14:textId="561C6D69"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Ефекти върху черния дроб</w:t>
      </w:r>
    </w:p>
    <w:p w14:paraId="55D49BD2"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Както и при други инхибитори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увеличение на трансаминазите свързано с дозировката е наблюдавано при малък брой пациенти на лечение с розувастатин; по-голяма част от случаите са леки, асимптоматични и преходни.</w:t>
      </w:r>
    </w:p>
    <w:p w14:paraId="3F196F66" w14:textId="77777777" w:rsidR="00144DBF" w:rsidRPr="00144DBF" w:rsidRDefault="00144DBF" w:rsidP="00144DBF">
      <w:pPr>
        <w:spacing w:line="240" w:lineRule="auto"/>
        <w:rPr>
          <w:rFonts w:eastAsia="Times New Roman" w:cs="Arial"/>
          <w:color w:val="000000"/>
          <w:lang w:eastAsia="bg-BG"/>
        </w:rPr>
      </w:pPr>
    </w:p>
    <w:p w14:paraId="586AB210" w14:textId="6D610C1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Следните нежелани реакции са докладвани при някои статини:</w:t>
      </w:r>
    </w:p>
    <w:p w14:paraId="2AAEEF2E" w14:textId="77777777" w:rsidR="00144DBF" w:rsidRPr="00144DBF" w:rsidRDefault="00144DBF" w:rsidP="00144DBF">
      <w:pPr>
        <w:pStyle w:val="ListParagraph"/>
        <w:numPr>
          <w:ilvl w:val="0"/>
          <w:numId w:val="41"/>
        </w:numPr>
        <w:spacing w:line="240" w:lineRule="auto"/>
        <w:rPr>
          <w:rFonts w:eastAsia="Times New Roman" w:cs="Arial"/>
          <w:color w:val="000000"/>
          <w:lang w:eastAsia="bg-BG"/>
        </w:rPr>
      </w:pPr>
      <w:r w:rsidRPr="00144DBF">
        <w:rPr>
          <w:rFonts w:eastAsia="Times New Roman" w:cs="Arial"/>
          <w:color w:val="000000"/>
          <w:lang w:eastAsia="bg-BG"/>
        </w:rPr>
        <w:t>Сексуална дисфункция</w:t>
      </w:r>
    </w:p>
    <w:p w14:paraId="314AE813" w14:textId="12ADA566" w:rsidR="00144DBF" w:rsidRPr="00144DBF" w:rsidRDefault="00144DBF" w:rsidP="00144DBF">
      <w:pPr>
        <w:pStyle w:val="ListParagraph"/>
        <w:numPr>
          <w:ilvl w:val="0"/>
          <w:numId w:val="41"/>
        </w:numPr>
        <w:spacing w:line="240" w:lineRule="auto"/>
        <w:rPr>
          <w:rFonts w:eastAsia="Times New Roman" w:cs="Arial"/>
          <w:color w:val="000000"/>
          <w:lang w:eastAsia="bg-BG"/>
        </w:rPr>
      </w:pPr>
      <w:r w:rsidRPr="00144DBF">
        <w:rPr>
          <w:rFonts w:eastAsia="Times New Roman" w:cs="Arial"/>
          <w:color w:val="000000"/>
          <w:lang w:eastAsia="bg-BG"/>
        </w:rPr>
        <w:t>Изолирани случаи на интерстициална белодробна болест, особено при продължителна терапия (вж. точка 4.4).</w:t>
      </w:r>
    </w:p>
    <w:p w14:paraId="3EE18967" w14:textId="77777777" w:rsidR="00144DBF" w:rsidRPr="00144DBF" w:rsidRDefault="00144DBF" w:rsidP="00144DBF">
      <w:pPr>
        <w:spacing w:line="240" w:lineRule="auto"/>
        <w:rPr>
          <w:rFonts w:eastAsia="Times New Roman" w:cs="Arial"/>
          <w:color w:val="000000"/>
          <w:lang w:eastAsia="bg-BG"/>
        </w:rPr>
      </w:pPr>
    </w:p>
    <w:p w14:paraId="0F29F16D" w14:textId="60C69F7E"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lastRenderedPageBreak/>
        <w:t xml:space="preserve">Докладваната честота на рабдомиолиза, сериозни чернодробни увреждания (основно - увеличени чернодробни трансаминази) е по-висока при дозировка от 40 </w:t>
      </w:r>
      <w:r w:rsidRPr="00144DBF">
        <w:rPr>
          <w:rFonts w:eastAsia="Times New Roman" w:cs="Arial"/>
          <w:color w:val="000000"/>
          <w:lang w:val="en-US"/>
        </w:rPr>
        <w:t>mg.</w:t>
      </w:r>
    </w:p>
    <w:p w14:paraId="71518E22" w14:textId="77777777" w:rsidR="00144DBF" w:rsidRPr="00144DBF" w:rsidRDefault="00144DBF" w:rsidP="00144DBF">
      <w:pPr>
        <w:spacing w:line="240" w:lineRule="auto"/>
        <w:rPr>
          <w:rFonts w:eastAsia="Times New Roman" w:cs="Arial"/>
          <w:sz w:val="24"/>
          <w:szCs w:val="24"/>
          <w:lang w:eastAsia="bg-BG"/>
        </w:rPr>
      </w:pPr>
    </w:p>
    <w:p w14:paraId="43E3C48F" w14:textId="571F92DA" w:rsidR="0091385D"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 xml:space="preserve">Педиатрична популация: </w:t>
      </w:r>
      <w:r w:rsidRPr="00144DBF">
        <w:rPr>
          <w:rFonts w:eastAsia="Times New Roman" w:cs="Arial"/>
          <w:color w:val="000000"/>
          <w:lang w:eastAsia="bg-BG"/>
        </w:rPr>
        <w:t>Повишаване на креатинкиназата &gt; 10</w:t>
      </w:r>
      <w:proofErr w:type="spellStart"/>
      <w:r w:rsidRPr="00144DBF">
        <w:rPr>
          <w:rFonts w:eastAsia="Times New Roman" w:cs="Arial"/>
          <w:color w:val="000000"/>
          <w:lang w:val="en-US"/>
        </w:rPr>
        <w:t>xULN</w:t>
      </w:r>
      <w:proofErr w:type="spellEnd"/>
      <w:r w:rsidRPr="00144DBF">
        <w:rPr>
          <w:rFonts w:eastAsia="Times New Roman" w:cs="Arial"/>
          <w:color w:val="000000"/>
          <w:lang w:val="en-US"/>
        </w:rPr>
        <w:t xml:space="preserve"> </w:t>
      </w:r>
      <w:r w:rsidRPr="00144DBF">
        <w:rPr>
          <w:rFonts w:eastAsia="Times New Roman" w:cs="Arial"/>
          <w:color w:val="000000"/>
          <w:lang w:eastAsia="bg-BG"/>
        </w:rPr>
        <w:t>и мускулни симптоми след упражнения или повишена физическа активност са наблюдавани по-често в едно 52-седмично клинично проучване на деца и юноши в сравнение с възрастните (вж. точка 4.4). В друг аспект, профилът на безопасност на розувастатин е сходен при деца и юноши в сравнение с възрастните. *</w:t>
      </w:r>
    </w:p>
    <w:p w14:paraId="7CA9A8FE" w14:textId="54EF7DDF" w:rsidR="00144DBF" w:rsidRDefault="00144DBF" w:rsidP="00144DBF"/>
    <w:p w14:paraId="25689574"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u w:val="single"/>
          <w:lang w:eastAsia="bg-BG"/>
        </w:rPr>
        <w:t>Съобщаване на подозирани нежелани реакции</w:t>
      </w:r>
    </w:p>
    <w:p w14:paraId="383A5902"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директно на Изпълнителна агенция по лекарствата (ИАЛ):</w:t>
      </w:r>
    </w:p>
    <w:p w14:paraId="6C2D4492" w14:textId="77777777" w:rsidR="00144DBF" w:rsidRPr="00144DBF" w:rsidRDefault="00144DBF" w:rsidP="00144DBF">
      <w:pPr>
        <w:spacing w:line="240" w:lineRule="auto"/>
        <w:rPr>
          <w:rFonts w:eastAsia="Times New Roman" w:cs="Arial"/>
          <w:color w:val="000000"/>
          <w:lang w:eastAsia="bg-BG"/>
        </w:rPr>
      </w:pPr>
    </w:p>
    <w:p w14:paraId="317581B6" w14:textId="381A8356"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БЪЛГАРИЯ, София 1303, ул. Дамян Груев 8</w:t>
      </w:r>
    </w:p>
    <w:p w14:paraId="03FDF0BF"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Тел. +359 2 8903555</w:t>
      </w:r>
    </w:p>
    <w:p w14:paraId="400989C2"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ел. поща: </w:t>
      </w:r>
      <w:r w:rsidRPr="00144DBF">
        <w:rPr>
          <w:rFonts w:eastAsia="Times New Roman" w:cs="Arial"/>
          <w:lang w:eastAsia="bg-BG"/>
        </w:rPr>
        <w:fldChar w:fldCharType="begin"/>
      </w:r>
      <w:r w:rsidRPr="00144DBF">
        <w:rPr>
          <w:rFonts w:eastAsia="Times New Roman" w:cs="Arial"/>
          <w:lang w:eastAsia="bg-BG"/>
        </w:rPr>
        <w:instrText xml:space="preserve"> HYPERLINK "mailto:bda@bda.bg" </w:instrText>
      </w:r>
      <w:r w:rsidRPr="00144DBF">
        <w:rPr>
          <w:rFonts w:eastAsia="Times New Roman" w:cs="Arial"/>
          <w:lang w:eastAsia="bg-BG"/>
        </w:rPr>
        <w:fldChar w:fldCharType="separate"/>
      </w:r>
      <w:r w:rsidRPr="00144DBF">
        <w:rPr>
          <w:rFonts w:eastAsia="Times New Roman" w:cs="Arial"/>
          <w:color w:val="000000"/>
          <w:lang w:val="en-US"/>
        </w:rPr>
        <w:t>bda@bda.bg</w:t>
      </w:r>
      <w:r w:rsidRPr="00144DBF">
        <w:rPr>
          <w:rFonts w:eastAsia="Times New Roman" w:cs="Arial"/>
          <w:lang w:eastAsia="bg-BG"/>
        </w:rPr>
        <w:fldChar w:fldCharType="end"/>
      </w:r>
    </w:p>
    <w:p w14:paraId="02BCA683" w14:textId="48F69E0F" w:rsidR="00144DBF" w:rsidRPr="00144DBF" w:rsidRDefault="00144DBF" w:rsidP="00144DBF">
      <w:pPr>
        <w:rPr>
          <w:rFonts w:cs="Arial"/>
        </w:rPr>
      </w:pPr>
      <w:r w:rsidRPr="00144DBF">
        <w:rPr>
          <w:rFonts w:eastAsia="Times New Roman" w:cs="Arial"/>
          <w:color w:val="000000"/>
          <w:lang w:eastAsia="bg-BG"/>
        </w:rPr>
        <w:t xml:space="preserve">уебсайт: </w:t>
      </w:r>
      <w:hyperlink r:id="rId5" w:history="1">
        <w:r w:rsidRPr="00144DBF">
          <w:rPr>
            <w:rFonts w:eastAsia="Times New Roman" w:cs="Arial"/>
            <w:color w:val="000000"/>
            <w:lang w:val="en-US"/>
          </w:rPr>
          <w:t>www.bda.bg</w:t>
        </w:r>
      </w:hyperlink>
    </w:p>
    <w:p w14:paraId="090475C2" w14:textId="77777777" w:rsidR="00144DBF" w:rsidRPr="0091385D" w:rsidRDefault="00144DBF" w:rsidP="00144DBF"/>
    <w:p w14:paraId="0A023CE0" w14:textId="13F87CFD" w:rsidR="00CF77F7" w:rsidRDefault="002C50EE" w:rsidP="004A448E">
      <w:pPr>
        <w:pStyle w:val="Heading2"/>
      </w:pPr>
      <w:r>
        <w:t>4.9. Предозиране</w:t>
      </w:r>
    </w:p>
    <w:p w14:paraId="3EDFC3FC" w14:textId="296E7EBA" w:rsidR="0091385D" w:rsidRDefault="0091385D" w:rsidP="0091385D"/>
    <w:p w14:paraId="67CAC88C" w14:textId="619F8198" w:rsidR="00144DBF" w:rsidRDefault="00144DBF" w:rsidP="0091385D">
      <w:r>
        <w:t>Няма специфично лечение в случай на предозиране. При предозиране пациентът трябва да се лекува симптоматично и да се започнат поддържащи мерки според нуждата. Чрнодробната функция и нивата на СК трябва да се следят. Малко вероятно е хемодиализата да бъде от полза.</w:t>
      </w:r>
    </w:p>
    <w:p w14:paraId="3F3BA120" w14:textId="77777777" w:rsidR="00144DBF" w:rsidRPr="0091385D" w:rsidRDefault="00144DBF"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39B8AC8D"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Фармакотерапевтична група: инхибитори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АТС код: С10А А07</w:t>
      </w:r>
    </w:p>
    <w:p w14:paraId="22DAB526" w14:textId="77777777" w:rsidR="00144DBF" w:rsidRPr="00144DBF" w:rsidRDefault="00144DBF" w:rsidP="00144DBF">
      <w:pPr>
        <w:spacing w:line="240" w:lineRule="auto"/>
        <w:rPr>
          <w:rFonts w:eastAsia="Times New Roman" w:cs="Arial"/>
          <w:color w:val="000000"/>
          <w:u w:val="single"/>
          <w:lang w:eastAsia="bg-BG"/>
        </w:rPr>
      </w:pPr>
    </w:p>
    <w:p w14:paraId="7CC07C74" w14:textId="0515729D" w:rsidR="00144DBF" w:rsidRPr="00144DBF" w:rsidRDefault="00144DBF" w:rsidP="00144DBF">
      <w:pPr>
        <w:spacing w:line="240" w:lineRule="auto"/>
        <w:rPr>
          <w:rFonts w:eastAsia="Times New Roman" w:cs="Arial"/>
          <w:lang w:eastAsia="bg-BG"/>
        </w:rPr>
      </w:pPr>
      <w:r w:rsidRPr="00144DBF">
        <w:rPr>
          <w:rFonts w:eastAsia="Times New Roman" w:cs="Arial"/>
          <w:color w:val="000000"/>
          <w:u w:val="single"/>
          <w:lang w:eastAsia="bg-BG"/>
        </w:rPr>
        <w:t>Механизъм на действие</w:t>
      </w:r>
    </w:p>
    <w:p w14:paraId="7F73692B" w14:textId="731DB739"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Росувастатин е селективен и конкурентен инхибитор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скорост- огран</w:t>
      </w:r>
      <w:r w:rsidR="009530E2">
        <w:rPr>
          <w:rFonts w:eastAsia="Times New Roman" w:cs="Arial"/>
          <w:color w:val="000000"/>
          <w:lang w:eastAsia="bg-BG"/>
        </w:rPr>
        <w:t xml:space="preserve">ичаващия ензим, който превръща </w:t>
      </w:r>
      <w:r w:rsidR="009530E2">
        <w:rPr>
          <w:rFonts w:eastAsia="Times New Roman" w:cs="Arial"/>
          <w:color w:val="000000"/>
          <w:lang w:val="en-US" w:eastAsia="bg-BG"/>
        </w:rPr>
        <w:t>3</w:t>
      </w:r>
      <w:r w:rsidRPr="00144DBF">
        <w:rPr>
          <w:rFonts w:eastAsia="Times New Roman" w:cs="Arial"/>
          <w:color w:val="000000"/>
          <w:lang w:eastAsia="bg-BG"/>
        </w:rPr>
        <w:t>-хидрокси-3-метил глутарил коензим А в мевалонат, прекурсор на холестерола. Основно въздействие розувастатин оказва върху черния дроб, органът в който се извършва намаляване нивото на холестерол.</w:t>
      </w:r>
    </w:p>
    <w:p w14:paraId="0E7A509A" w14:textId="77777777" w:rsidR="00144DBF" w:rsidRPr="00144DBF" w:rsidRDefault="00144DBF" w:rsidP="00144DBF">
      <w:pPr>
        <w:spacing w:line="240" w:lineRule="auto"/>
        <w:rPr>
          <w:rFonts w:eastAsia="Times New Roman" w:cs="Arial"/>
          <w:color w:val="000000"/>
          <w:lang w:eastAsia="bg-BG"/>
        </w:rPr>
      </w:pPr>
    </w:p>
    <w:p w14:paraId="0996A0B8" w14:textId="3B64360C"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Розувастатин увеличава броя на чернодробните </w:t>
      </w:r>
      <w:r w:rsidRPr="00144DBF">
        <w:rPr>
          <w:rFonts w:eastAsia="Times New Roman" w:cs="Arial"/>
          <w:color w:val="000000"/>
          <w:lang w:val="en-US"/>
        </w:rPr>
        <w:t xml:space="preserve">LDL </w:t>
      </w:r>
      <w:r w:rsidRPr="00144DBF">
        <w:rPr>
          <w:rFonts w:eastAsia="Times New Roman" w:cs="Arial"/>
          <w:color w:val="000000"/>
          <w:lang w:eastAsia="bg-BG"/>
        </w:rPr>
        <w:t xml:space="preserve">рецептори върху клетъчната повърхност като засилва поемането и катаболизма на </w:t>
      </w:r>
      <w:r w:rsidRPr="00144DBF">
        <w:rPr>
          <w:rFonts w:eastAsia="Times New Roman" w:cs="Arial"/>
          <w:color w:val="000000"/>
          <w:lang w:val="en-US"/>
        </w:rPr>
        <w:t xml:space="preserve">LDL </w:t>
      </w:r>
      <w:r w:rsidRPr="00144DBF">
        <w:rPr>
          <w:rFonts w:eastAsia="Times New Roman" w:cs="Arial"/>
          <w:color w:val="000000"/>
          <w:lang w:eastAsia="bg-BG"/>
        </w:rPr>
        <w:t xml:space="preserve">и инхибира чернодробната синтеза на </w:t>
      </w:r>
      <w:r w:rsidRPr="00144DBF">
        <w:rPr>
          <w:rFonts w:eastAsia="Times New Roman" w:cs="Arial"/>
          <w:color w:val="000000"/>
          <w:lang w:val="en-US"/>
        </w:rPr>
        <w:t xml:space="preserve">VLDL </w:t>
      </w:r>
      <w:r w:rsidRPr="00144DBF">
        <w:rPr>
          <w:rFonts w:eastAsia="Times New Roman" w:cs="Arial"/>
          <w:color w:val="000000"/>
          <w:lang w:eastAsia="bg-BG"/>
        </w:rPr>
        <w:t xml:space="preserve">като по този начин намалява общия брой на </w:t>
      </w:r>
      <w:r w:rsidRPr="00144DBF">
        <w:rPr>
          <w:rFonts w:eastAsia="Times New Roman" w:cs="Arial"/>
          <w:color w:val="000000"/>
          <w:lang w:val="en-US"/>
        </w:rPr>
        <w:t xml:space="preserve">VLDL </w:t>
      </w:r>
      <w:r w:rsidRPr="00144DBF">
        <w:rPr>
          <w:rFonts w:eastAsia="Times New Roman" w:cs="Arial"/>
          <w:color w:val="000000"/>
          <w:lang w:eastAsia="bg-BG"/>
        </w:rPr>
        <w:t xml:space="preserve">и </w:t>
      </w:r>
      <w:r w:rsidRPr="00144DBF">
        <w:rPr>
          <w:rFonts w:eastAsia="Times New Roman" w:cs="Arial"/>
          <w:color w:val="000000"/>
          <w:lang w:val="en-US"/>
        </w:rPr>
        <w:t xml:space="preserve">LDL </w:t>
      </w:r>
      <w:r w:rsidRPr="00144DBF">
        <w:rPr>
          <w:rFonts w:eastAsia="Times New Roman" w:cs="Arial"/>
          <w:color w:val="000000"/>
          <w:lang w:eastAsia="bg-BG"/>
        </w:rPr>
        <w:t>частици.</w:t>
      </w:r>
    </w:p>
    <w:p w14:paraId="23C1A4C2" w14:textId="77777777" w:rsidR="00144DBF" w:rsidRPr="00144DBF" w:rsidRDefault="00144DBF" w:rsidP="00144DBF">
      <w:pPr>
        <w:spacing w:line="240" w:lineRule="auto"/>
        <w:rPr>
          <w:rFonts w:eastAsia="Times New Roman" w:cs="Arial"/>
          <w:color w:val="000000"/>
          <w:u w:val="single"/>
          <w:lang w:eastAsia="bg-BG"/>
        </w:rPr>
      </w:pPr>
    </w:p>
    <w:p w14:paraId="72A05D53" w14:textId="0572E4D6" w:rsidR="00144DBF" w:rsidRPr="00144DBF" w:rsidRDefault="00144DBF" w:rsidP="00144DBF">
      <w:pPr>
        <w:spacing w:line="240" w:lineRule="auto"/>
        <w:rPr>
          <w:rFonts w:eastAsia="Times New Roman" w:cs="Arial"/>
          <w:lang w:eastAsia="bg-BG"/>
        </w:rPr>
      </w:pPr>
      <w:r w:rsidRPr="00144DBF">
        <w:rPr>
          <w:rFonts w:eastAsia="Times New Roman" w:cs="Arial"/>
          <w:color w:val="000000"/>
          <w:u w:val="single"/>
          <w:lang w:eastAsia="bg-BG"/>
        </w:rPr>
        <w:t>Фармакодинамични ефекти</w:t>
      </w:r>
    </w:p>
    <w:p w14:paraId="35C97C3E"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Росувастатин намалява повишения </w:t>
      </w:r>
      <w:r w:rsidRPr="00144DBF">
        <w:rPr>
          <w:rFonts w:eastAsia="Times New Roman" w:cs="Arial"/>
          <w:color w:val="000000"/>
          <w:lang w:val="en-US"/>
        </w:rPr>
        <w:t>LDL</w:t>
      </w:r>
      <w:r w:rsidRPr="00144DBF">
        <w:rPr>
          <w:rFonts w:eastAsia="Times New Roman" w:cs="Arial"/>
          <w:color w:val="000000"/>
          <w:lang w:eastAsia="bg-BG"/>
        </w:rPr>
        <w:t xml:space="preserve">-холестерол, общия холестерол и триглицеридите и повишава </w:t>
      </w:r>
      <w:r w:rsidRPr="00144DBF">
        <w:rPr>
          <w:rFonts w:eastAsia="Times New Roman" w:cs="Arial"/>
          <w:color w:val="000000"/>
          <w:lang w:val="en-US"/>
        </w:rPr>
        <w:t>HDL</w:t>
      </w:r>
      <w:r w:rsidRPr="00144DBF">
        <w:rPr>
          <w:rFonts w:eastAsia="Times New Roman" w:cs="Arial"/>
          <w:color w:val="000000"/>
          <w:lang w:eastAsia="bg-BG"/>
        </w:rPr>
        <w:t>-холестерола. Той също така понижава АроВ, н</w:t>
      </w:r>
      <w:proofErr w:type="spellStart"/>
      <w:r w:rsidRPr="00144DBF">
        <w:rPr>
          <w:rFonts w:eastAsia="Times New Roman" w:cs="Arial"/>
          <w:color w:val="000000"/>
          <w:lang w:val="en-US"/>
        </w:rPr>
        <w:t>eHDL</w:t>
      </w:r>
      <w:proofErr w:type="spellEnd"/>
      <w:r w:rsidRPr="00144DBF">
        <w:rPr>
          <w:rFonts w:eastAsia="Times New Roman" w:cs="Arial"/>
          <w:color w:val="000000"/>
          <w:lang w:val="en-US"/>
        </w:rPr>
        <w:t xml:space="preserve">-C, VLDL-C, VLDL-TG </w:t>
      </w:r>
      <w:r w:rsidRPr="00144DBF">
        <w:rPr>
          <w:rFonts w:eastAsia="Times New Roman" w:cs="Arial"/>
          <w:color w:val="000000"/>
          <w:lang w:eastAsia="bg-BG"/>
        </w:rPr>
        <w:lastRenderedPageBreak/>
        <w:t>и увеличава АроА-</w:t>
      </w:r>
      <w:r w:rsidRPr="00144DBF">
        <w:rPr>
          <w:rFonts w:eastAsia="Times New Roman" w:cs="Arial"/>
          <w:color w:val="000000"/>
          <w:lang w:val="en-US"/>
        </w:rPr>
        <w:t>I</w:t>
      </w:r>
      <w:r w:rsidRPr="00144DBF">
        <w:rPr>
          <w:rFonts w:eastAsia="Times New Roman" w:cs="Arial"/>
          <w:color w:val="000000"/>
          <w:lang w:eastAsia="bg-BG"/>
        </w:rPr>
        <w:t xml:space="preserve"> (вж. Таблица 1). Розувастатин понижава и съотношенията </w:t>
      </w:r>
      <w:r w:rsidRPr="00144DBF">
        <w:rPr>
          <w:rFonts w:eastAsia="Times New Roman" w:cs="Arial"/>
          <w:color w:val="000000"/>
          <w:lang w:val="en-US"/>
        </w:rPr>
        <w:t xml:space="preserve">LDL-C/HDL-C, </w:t>
      </w:r>
      <w:r w:rsidRPr="00144DBF">
        <w:rPr>
          <w:rFonts w:eastAsia="Times New Roman" w:cs="Arial"/>
          <w:color w:val="000000"/>
          <w:lang w:eastAsia="bg-BG"/>
        </w:rPr>
        <w:t xml:space="preserve">общ </w:t>
      </w:r>
      <w:r w:rsidRPr="00144DBF">
        <w:rPr>
          <w:rFonts w:eastAsia="Times New Roman" w:cs="Arial"/>
          <w:color w:val="000000"/>
          <w:lang w:val="en-US"/>
        </w:rPr>
        <w:t xml:space="preserve">C/HDL-C, </w:t>
      </w:r>
      <w:proofErr w:type="spellStart"/>
      <w:r w:rsidRPr="00144DBF">
        <w:rPr>
          <w:rFonts w:eastAsia="Times New Roman" w:cs="Arial"/>
          <w:color w:val="000000"/>
          <w:lang w:val="en-US"/>
        </w:rPr>
        <w:t>HeHDL</w:t>
      </w:r>
      <w:proofErr w:type="spellEnd"/>
      <w:r w:rsidRPr="00144DBF">
        <w:rPr>
          <w:rFonts w:eastAsia="Times New Roman" w:cs="Arial"/>
          <w:color w:val="000000"/>
          <w:lang w:val="en-US"/>
        </w:rPr>
        <w:t xml:space="preserve">- C/HDL-C </w:t>
      </w:r>
      <w:r w:rsidRPr="00144DBF">
        <w:rPr>
          <w:rFonts w:eastAsia="Times New Roman" w:cs="Arial"/>
          <w:color w:val="000000"/>
          <w:lang w:eastAsia="bg-BG"/>
        </w:rPr>
        <w:t>и АроВ/АроА-</w:t>
      </w:r>
      <w:r w:rsidRPr="00144DBF">
        <w:rPr>
          <w:rFonts w:eastAsia="Times New Roman" w:cs="Arial"/>
          <w:color w:val="000000"/>
          <w:lang w:val="en-US"/>
        </w:rPr>
        <w:t>I</w:t>
      </w:r>
      <w:r w:rsidRPr="00144DBF">
        <w:rPr>
          <w:rFonts w:eastAsia="Times New Roman" w:cs="Arial"/>
          <w:color w:val="000000"/>
          <w:lang w:eastAsia="bg-BG"/>
        </w:rPr>
        <w:t>.</w:t>
      </w:r>
    </w:p>
    <w:p w14:paraId="3ACC1680" w14:textId="77777777" w:rsidR="00144DBF" w:rsidRPr="00144DBF" w:rsidRDefault="00144DBF" w:rsidP="00144DBF">
      <w:pPr>
        <w:spacing w:line="240" w:lineRule="auto"/>
        <w:rPr>
          <w:rFonts w:eastAsia="Times New Roman" w:cs="Arial"/>
          <w:lang w:eastAsia="bg-BG"/>
        </w:rPr>
      </w:pPr>
    </w:p>
    <w:p w14:paraId="28252AA0" w14:textId="0DB02D72" w:rsidR="0091385D" w:rsidRPr="00144DBF" w:rsidRDefault="00144DBF" w:rsidP="00144DBF">
      <w:pPr>
        <w:spacing w:line="240" w:lineRule="auto"/>
        <w:rPr>
          <w:rFonts w:eastAsia="Times New Roman" w:cs="Arial"/>
          <w:lang w:eastAsia="bg-BG"/>
        </w:rPr>
      </w:pPr>
      <w:r w:rsidRPr="00144DBF">
        <w:rPr>
          <w:rFonts w:eastAsia="Times New Roman" w:cs="Arial"/>
          <w:b/>
          <w:bCs/>
          <w:color w:val="000000"/>
          <w:lang w:eastAsia="bg-BG"/>
        </w:rPr>
        <w:t xml:space="preserve">Таблица 1 </w:t>
      </w:r>
      <w:r w:rsidRPr="00144DBF">
        <w:rPr>
          <w:rFonts w:eastAsia="Times New Roman" w:cs="Arial"/>
          <w:color w:val="000000"/>
          <w:lang w:eastAsia="bg-BG"/>
        </w:rPr>
        <w:t>Отговор на дозата при пациенти с първична хиперхолестеролемия (тип IIа и II</w:t>
      </w:r>
      <w:r w:rsidRPr="00144DBF">
        <w:rPr>
          <w:rFonts w:eastAsia="Times New Roman" w:cs="Arial"/>
          <w:color w:val="000000"/>
          <w:lang w:val="en-US"/>
        </w:rPr>
        <w:t>b</w:t>
      </w:r>
      <w:r w:rsidRPr="00144DBF">
        <w:rPr>
          <w:rFonts w:eastAsia="Times New Roman" w:cs="Arial"/>
          <w:color w:val="000000"/>
          <w:lang w:eastAsia="bg-BG"/>
        </w:rPr>
        <w:t>) (коригиран среден процент на промяна от изходно ниво)</w:t>
      </w:r>
    </w:p>
    <w:p w14:paraId="36152471" w14:textId="42880D28" w:rsidR="0091385D" w:rsidRDefault="0091385D" w:rsidP="0091385D"/>
    <w:tbl>
      <w:tblPr>
        <w:tblStyle w:val="TableGrid"/>
        <w:tblW w:w="0" w:type="auto"/>
        <w:tblLook w:val="04A0" w:firstRow="1" w:lastRow="0" w:firstColumn="1" w:lastColumn="0" w:noHBand="0" w:noVBand="1"/>
      </w:tblPr>
      <w:tblGrid>
        <w:gridCol w:w="1123"/>
        <w:gridCol w:w="1004"/>
        <w:gridCol w:w="1026"/>
        <w:gridCol w:w="1032"/>
        <w:gridCol w:w="1029"/>
        <w:gridCol w:w="1010"/>
        <w:gridCol w:w="1051"/>
        <w:gridCol w:w="1034"/>
        <w:gridCol w:w="1041"/>
      </w:tblGrid>
      <w:tr w:rsidR="00144DBF" w14:paraId="4567EDED" w14:textId="77777777" w:rsidTr="00144DBF">
        <w:tc>
          <w:tcPr>
            <w:tcW w:w="1055" w:type="dxa"/>
          </w:tcPr>
          <w:p w14:paraId="5284C8D5" w14:textId="1DE5737A" w:rsidR="00144DBF" w:rsidRDefault="00144DBF" w:rsidP="00144DBF">
            <w:r>
              <w:rPr>
                <w:b/>
                <w:bCs/>
              </w:rPr>
              <w:t>Доза</w:t>
            </w:r>
          </w:p>
        </w:tc>
        <w:tc>
          <w:tcPr>
            <w:tcW w:w="1055" w:type="dxa"/>
          </w:tcPr>
          <w:p w14:paraId="4B1985F2" w14:textId="068BD010" w:rsidR="00144DBF" w:rsidRDefault="00144DBF" w:rsidP="00144DBF">
            <w:r>
              <w:rPr>
                <w:b/>
                <w:bCs/>
                <w:lang w:val="en-US"/>
              </w:rPr>
              <w:t>N</w:t>
            </w:r>
          </w:p>
        </w:tc>
        <w:tc>
          <w:tcPr>
            <w:tcW w:w="1055" w:type="dxa"/>
          </w:tcPr>
          <w:p w14:paraId="2D346457" w14:textId="3CB9A6E4" w:rsidR="00144DBF" w:rsidRDefault="00144DBF" w:rsidP="00144DBF">
            <w:r>
              <w:rPr>
                <w:b/>
                <w:bCs/>
                <w:lang w:val="en-US"/>
              </w:rPr>
              <w:t>LDL-C</w:t>
            </w:r>
          </w:p>
        </w:tc>
        <w:tc>
          <w:tcPr>
            <w:tcW w:w="1055" w:type="dxa"/>
          </w:tcPr>
          <w:p w14:paraId="4DFA25C3" w14:textId="394451B2" w:rsidR="00144DBF" w:rsidRDefault="00144DBF" w:rsidP="00144DBF">
            <w:r>
              <w:rPr>
                <w:b/>
                <w:bCs/>
              </w:rPr>
              <w:t>Общ-С</w:t>
            </w:r>
          </w:p>
        </w:tc>
        <w:tc>
          <w:tcPr>
            <w:tcW w:w="1056" w:type="dxa"/>
          </w:tcPr>
          <w:p w14:paraId="1087809C" w14:textId="0CFEDD7A" w:rsidR="00144DBF" w:rsidRDefault="00144DBF" w:rsidP="00144DBF">
            <w:r>
              <w:rPr>
                <w:b/>
                <w:bCs/>
                <w:lang w:val="en-US"/>
              </w:rPr>
              <w:t>HDL-C</w:t>
            </w:r>
          </w:p>
        </w:tc>
        <w:tc>
          <w:tcPr>
            <w:tcW w:w="1056" w:type="dxa"/>
          </w:tcPr>
          <w:p w14:paraId="395DA130" w14:textId="2883538F" w:rsidR="00144DBF" w:rsidRDefault="00144DBF" w:rsidP="00144DBF">
            <w:r>
              <w:rPr>
                <w:b/>
                <w:bCs/>
                <w:lang w:val="en-US"/>
              </w:rPr>
              <w:t>TG</w:t>
            </w:r>
          </w:p>
        </w:tc>
        <w:tc>
          <w:tcPr>
            <w:tcW w:w="1056" w:type="dxa"/>
          </w:tcPr>
          <w:p w14:paraId="57FD70F9" w14:textId="51295E4E" w:rsidR="00144DBF" w:rsidRDefault="00144DBF" w:rsidP="00144DBF">
            <w:r>
              <w:rPr>
                <w:b/>
                <w:bCs/>
              </w:rPr>
              <w:t>не</w:t>
            </w:r>
            <w:r>
              <w:rPr>
                <w:b/>
                <w:bCs/>
                <w:lang w:val="en-US"/>
              </w:rPr>
              <w:t>HDL</w:t>
            </w:r>
            <w:r>
              <w:rPr>
                <w:b/>
                <w:bCs/>
              </w:rPr>
              <w:t>-С</w:t>
            </w:r>
          </w:p>
        </w:tc>
        <w:tc>
          <w:tcPr>
            <w:tcW w:w="1056" w:type="dxa"/>
          </w:tcPr>
          <w:p w14:paraId="30E3E5B0" w14:textId="3B13A982" w:rsidR="00144DBF" w:rsidRDefault="00144DBF" w:rsidP="00144DBF">
            <w:r>
              <w:rPr>
                <w:b/>
                <w:bCs/>
              </w:rPr>
              <w:t>АроВ</w:t>
            </w:r>
          </w:p>
        </w:tc>
        <w:tc>
          <w:tcPr>
            <w:tcW w:w="1056" w:type="dxa"/>
          </w:tcPr>
          <w:p w14:paraId="31EF53A0" w14:textId="7C5AAB87" w:rsidR="00144DBF" w:rsidRDefault="00144DBF" w:rsidP="00144DBF">
            <w:r>
              <w:rPr>
                <w:b/>
                <w:bCs/>
              </w:rPr>
              <w:t>АроА-</w:t>
            </w:r>
            <w:r>
              <w:rPr>
                <w:b/>
                <w:bCs/>
                <w:lang w:val="en-US"/>
              </w:rPr>
              <w:t>I</w:t>
            </w:r>
          </w:p>
        </w:tc>
      </w:tr>
      <w:tr w:rsidR="00144DBF" w14:paraId="52D003DB" w14:textId="77777777" w:rsidTr="00144DBF">
        <w:tc>
          <w:tcPr>
            <w:tcW w:w="1055" w:type="dxa"/>
          </w:tcPr>
          <w:p w14:paraId="3F1F7DE8" w14:textId="3D7348F0" w:rsidR="00144DBF" w:rsidRDefault="00144DBF" w:rsidP="00144DBF">
            <w:r>
              <w:t>Плацебо</w:t>
            </w:r>
          </w:p>
        </w:tc>
        <w:tc>
          <w:tcPr>
            <w:tcW w:w="1055" w:type="dxa"/>
          </w:tcPr>
          <w:p w14:paraId="362DFAD5" w14:textId="0AC1F270" w:rsidR="00144DBF" w:rsidRDefault="00144DBF" w:rsidP="00144DBF">
            <w:r>
              <w:t>13</w:t>
            </w:r>
          </w:p>
        </w:tc>
        <w:tc>
          <w:tcPr>
            <w:tcW w:w="1055" w:type="dxa"/>
          </w:tcPr>
          <w:p w14:paraId="1CFC9725" w14:textId="4D7E5E98" w:rsidR="00144DBF" w:rsidRDefault="00144DBF" w:rsidP="00144DBF">
            <w:r>
              <w:t>-7</w:t>
            </w:r>
          </w:p>
        </w:tc>
        <w:tc>
          <w:tcPr>
            <w:tcW w:w="1055" w:type="dxa"/>
          </w:tcPr>
          <w:p w14:paraId="213F3126" w14:textId="03FFD7FF" w:rsidR="00144DBF" w:rsidRDefault="00144DBF" w:rsidP="00144DBF">
            <w:r>
              <w:t>-5</w:t>
            </w:r>
          </w:p>
        </w:tc>
        <w:tc>
          <w:tcPr>
            <w:tcW w:w="1056" w:type="dxa"/>
          </w:tcPr>
          <w:p w14:paraId="104D35F5" w14:textId="090DFEE6" w:rsidR="00144DBF" w:rsidRDefault="00144DBF" w:rsidP="00144DBF">
            <w:r>
              <w:t>3</w:t>
            </w:r>
          </w:p>
        </w:tc>
        <w:tc>
          <w:tcPr>
            <w:tcW w:w="1056" w:type="dxa"/>
          </w:tcPr>
          <w:p w14:paraId="7D1B9F7D" w14:textId="78F865F0" w:rsidR="00144DBF" w:rsidRDefault="00144DBF" w:rsidP="00144DBF">
            <w:r>
              <w:t>-3</w:t>
            </w:r>
          </w:p>
        </w:tc>
        <w:tc>
          <w:tcPr>
            <w:tcW w:w="1056" w:type="dxa"/>
          </w:tcPr>
          <w:p w14:paraId="27C2740D" w14:textId="6C6BA4B7" w:rsidR="00144DBF" w:rsidRDefault="00144DBF" w:rsidP="00144DBF">
            <w:r>
              <w:t>-7</w:t>
            </w:r>
          </w:p>
        </w:tc>
        <w:tc>
          <w:tcPr>
            <w:tcW w:w="1056" w:type="dxa"/>
          </w:tcPr>
          <w:p w14:paraId="69EAD117" w14:textId="789AFC7C" w:rsidR="00144DBF" w:rsidRDefault="00144DBF" w:rsidP="00144DBF">
            <w:r>
              <w:t>-3</w:t>
            </w:r>
          </w:p>
        </w:tc>
        <w:tc>
          <w:tcPr>
            <w:tcW w:w="1056" w:type="dxa"/>
          </w:tcPr>
          <w:p w14:paraId="70644C4C" w14:textId="6CD51290" w:rsidR="00144DBF" w:rsidRDefault="00144DBF" w:rsidP="00144DBF">
            <w:r>
              <w:t>0</w:t>
            </w:r>
          </w:p>
        </w:tc>
      </w:tr>
      <w:tr w:rsidR="00144DBF" w14:paraId="3FF639F5" w14:textId="77777777" w:rsidTr="00144DBF">
        <w:tc>
          <w:tcPr>
            <w:tcW w:w="1055" w:type="dxa"/>
          </w:tcPr>
          <w:p w14:paraId="1130D954" w14:textId="4535FF58" w:rsidR="00144DBF" w:rsidRDefault="00144DBF" w:rsidP="00144DBF">
            <w:r>
              <w:t>5</w:t>
            </w:r>
          </w:p>
        </w:tc>
        <w:tc>
          <w:tcPr>
            <w:tcW w:w="1055" w:type="dxa"/>
          </w:tcPr>
          <w:p w14:paraId="1A0E2D28" w14:textId="4391B580" w:rsidR="00144DBF" w:rsidRDefault="00144DBF" w:rsidP="00144DBF">
            <w:r>
              <w:t>17</w:t>
            </w:r>
          </w:p>
        </w:tc>
        <w:tc>
          <w:tcPr>
            <w:tcW w:w="1055" w:type="dxa"/>
          </w:tcPr>
          <w:p w14:paraId="2CE70F81" w14:textId="47ECC3DE" w:rsidR="00144DBF" w:rsidRDefault="00144DBF" w:rsidP="00144DBF">
            <w:r>
              <w:t>-45</w:t>
            </w:r>
          </w:p>
        </w:tc>
        <w:tc>
          <w:tcPr>
            <w:tcW w:w="1055" w:type="dxa"/>
          </w:tcPr>
          <w:p w14:paraId="374A95A4" w14:textId="612309B7" w:rsidR="00144DBF" w:rsidRDefault="00144DBF" w:rsidP="00144DBF">
            <w:r>
              <w:t>-33</w:t>
            </w:r>
          </w:p>
        </w:tc>
        <w:tc>
          <w:tcPr>
            <w:tcW w:w="1056" w:type="dxa"/>
          </w:tcPr>
          <w:p w14:paraId="435B7CE2" w14:textId="1838AB2B" w:rsidR="00144DBF" w:rsidRDefault="00144DBF" w:rsidP="00144DBF">
            <w:r>
              <w:t>13</w:t>
            </w:r>
          </w:p>
        </w:tc>
        <w:tc>
          <w:tcPr>
            <w:tcW w:w="1056" w:type="dxa"/>
          </w:tcPr>
          <w:p w14:paraId="27D2CECF" w14:textId="510B437F" w:rsidR="00144DBF" w:rsidRDefault="00144DBF" w:rsidP="00144DBF">
            <w:r>
              <w:t>-35</w:t>
            </w:r>
          </w:p>
        </w:tc>
        <w:tc>
          <w:tcPr>
            <w:tcW w:w="1056" w:type="dxa"/>
          </w:tcPr>
          <w:p w14:paraId="5D549378" w14:textId="382945CA" w:rsidR="00144DBF" w:rsidRDefault="00144DBF" w:rsidP="00144DBF">
            <w:r>
              <w:t>-44</w:t>
            </w:r>
          </w:p>
        </w:tc>
        <w:tc>
          <w:tcPr>
            <w:tcW w:w="1056" w:type="dxa"/>
          </w:tcPr>
          <w:p w14:paraId="10AA4C3F" w14:textId="22672A61" w:rsidR="00144DBF" w:rsidRDefault="00144DBF" w:rsidP="00144DBF">
            <w:r>
              <w:t>-38</w:t>
            </w:r>
          </w:p>
        </w:tc>
        <w:tc>
          <w:tcPr>
            <w:tcW w:w="1056" w:type="dxa"/>
          </w:tcPr>
          <w:p w14:paraId="703BC4B5" w14:textId="6AD19677" w:rsidR="00144DBF" w:rsidRDefault="00144DBF" w:rsidP="00144DBF">
            <w:r>
              <w:t>4</w:t>
            </w:r>
          </w:p>
        </w:tc>
      </w:tr>
      <w:tr w:rsidR="00144DBF" w14:paraId="443BA432" w14:textId="77777777" w:rsidTr="00144DBF">
        <w:tc>
          <w:tcPr>
            <w:tcW w:w="1055" w:type="dxa"/>
          </w:tcPr>
          <w:p w14:paraId="641A3C8D" w14:textId="05863B29" w:rsidR="00144DBF" w:rsidRDefault="00144DBF" w:rsidP="00144DBF">
            <w:r>
              <w:t>10</w:t>
            </w:r>
          </w:p>
        </w:tc>
        <w:tc>
          <w:tcPr>
            <w:tcW w:w="1055" w:type="dxa"/>
          </w:tcPr>
          <w:p w14:paraId="5D91D12D" w14:textId="099844FA" w:rsidR="00144DBF" w:rsidRDefault="00144DBF" w:rsidP="00144DBF">
            <w:r>
              <w:t>17</w:t>
            </w:r>
          </w:p>
        </w:tc>
        <w:tc>
          <w:tcPr>
            <w:tcW w:w="1055" w:type="dxa"/>
          </w:tcPr>
          <w:p w14:paraId="3E129107" w14:textId="319ADD53" w:rsidR="00144DBF" w:rsidRDefault="00144DBF" w:rsidP="00144DBF">
            <w:r>
              <w:t>-52</w:t>
            </w:r>
          </w:p>
        </w:tc>
        <w:tc>
          <w:tcPr>
            <w:tcW w:w="1055" w:type="dxa"/>
          </w:tcPr>
          <w:p w14:paraId="69527FAC" w14:textId="1D297CF7" w:rsidR="00144DBF" w:rsidRDefault="00144DBF" w:rsidP="00144DBF">
            <w:r>
              <w:t>-36</w:t>
            </w:r>
          </w:p>
        </w:tc>
        <w:tc>
          <w:tcPr>
            <w:tcW w:w="1056" w:type="dxa"/>
          </w:tcPr>
          <w:p w14:paraId="1CF8EA4A" w14:textId="5BABD1F7" w:rsidR="00144DBF" w:rsidRDefault="00144DBF" w:rsidP="00144DBF">
            <w:r>
              <w:t>14</w:t>
            </w:r>
          </w:p>
        </w:tc>
        <w:tc>
          <w:tcPr>
            <w:tcW w:w="1056" w:type="dxa"/>
          </w:tcPr>
          <w:p w14:paraId="1440D594" w14:textId="69A2E072" w:rsidR="00144DBF" w:rsidRDefault="00144DBF" w:rsidP="00144DBF">
            <w:r>
              <w:t>-10</w:t>
            </w:r>
          </w:p>
        </w:tc>
        <w:tc>
          <w:tcPr>
            <w:tcW w:w="1056" w:type="dxa"/>
          </w:tcPr>
          <w:p w14:paraId="164E4731" w14:textId="28896EF3" w:rsidR="00144DBF" w:rsidRDefault="00144DBF" w:rsidP="00144DBF">
            <w:r>
              <w:t>-48</w:t>
            </w:r>
          </w:p>
        </w:tc>
        <w:tc>
          <w:tcPr>
            <w:tcW w:w="1056" w:type="dxa"/>
          </w:tcPr>
          <w:p w14:paraId="540DCDA9" w14:textId="3B722B95" w:rsidR="00144DBF" w:rsidRDefault="00144DBF" w:rsidP="00144DBF">
            <w:r>
              <w:t>-42</w:t>
            </w:r>
          </w:p>
        </w:tc>
        <w:tc>
          <w:tcPr>
            <w:tcW w:w="1056" w:type="dxa"/>
          </w:tcPr>
          <w:p w14:paraId="3097A257" w14:textId="25FEBBA9" w:rsidR="00144DBF" w:rsidRDefault="00144DBF" w:rsidP="00144DBF">
            <w:r>
              <w:t>4</w:t>
            </w:r>
          </w:p>
        </w:tc>
      </w:tr>
      <w:tr w:rsidR="00144DBF" w14:paraId="308A0C96" w14:textId="77777777" w:rsidTr="00144DBF">
        <w:tc>
          <w:tcPr>
            <w:tcW w:w="1055" w:type="dxa"/>
          </w:tcPr>
          <w:p w14:paraId="3F16DBAB" w14:textId="387215A4" w:rsidR="00144DBF" w:rsidRDefault="00144DBF" w:rsidP="00144DBF">
            <w:r>
              <w:t>20</w:t>
            </w:r>
          </w:p>
        </w:tc>
        <w:tc>
          <w:tcPr>
            <w:tcW w:w="1055" w:type="dxa"/>
          </w:tcPr>
          <w:p w14:paraId="6AF6103A" w14:textId="0BB506DA" w:rsidR="00144DBF" w:rsidRDefault="00144DBF" w:rsidP="00144DBF">
            <w:r>
              <w:t>17</w:t>
            </w:r>
          </w:p>
        </w:tc>
        <w:tc>
          <w:tcPr>
            <w:tcW w:w="1055" w:type="dxa"/>
          </w:tcPr>
          <w:p w14:paraId="7CD96A7E" w14:textId="3AD49D9B" w:rsidR="00144DBF" w:rsidRDefault="00144DBF" w:rsidP="00144DBF">
            <w:r>
              <w:t>-55</w:t>
            </w:r>
          </w:p>
        </w:tc>
        <w:tc>
          <w:tcPr>
            <w:tcW w:w="1055" w:type="dxa"/>
          </w:tcPr>
          <w:p w14:paraId="3BD7537E" w14:textId="09AF16EF" w:rsidR="00144DBF" w:rsidRDefault="00144DBF" w:rsidP="00144DBF">
            <w:r>
              <w:t>-40</w:t>
            </w:r>
          </w:p>
        </w:tc>
        <w:tc>
          <w:tcPr>
            <w:tcW w:w="1056" w:type="dxa"/>
          </w:tcPr>
          <w:p w14:paraId="4EAADC05" w14:textId="1D0F7737" w:rsidR="00144DBF" w:rsidRDefault="00144DBF" w:rsidP="00144DBF">
            <w:r>
              <w:t>8</w:t>
            </w:r>
          </w:p>
        </w:tc>
        <w:tc>
          <w:tcPr>
            <w:tcW w:w="1056" w:type="dxa"/>
          </w:tcPr>
          <w:p w14:paraId="0BC77E17" w14:textId="755D28C8" w:rsidR="00144DBF" w:rsidRDefault="00144DBF" w:rsidP="00144DBF">
            <w:r>
              <w:t>-23</w:t>
            </w:r>
          </w:p>
        </w:tc>
        <w:tc>
          <w:tcPr>
            <w:tcW w:w="1056" w:type="dxa"/>
          </w:tcPr>
          <w:p w14:paraId="7F3CFCC3" w14:textId="11F27C84" w:rsidR="00144DBF" w:rsidRDefault="00144DBF" w:rsidP="00144DBF">
            <w:r>
              <w:t>-51</w:t>
            </w:r>
          </w:p>
        </w:tc>
        <w:tc>
          <w:tcPr>
            <w:tcW w:w="1056" w:type="dxa"/>
          </w:tcPr>
          <w:p w14:paraId="61B9BED2" w14:textId="1E9F912C" w:rsidR="00144DBF" w:rsidRDefault="00144DBF" w:rsidP="00144DBF">
            <w:r>
              <w:t>-46</w:t>
            </w:r>
          </w:p>
        </w:tc>
        <w:tc>
          <w:tcPr>
            <w:tcW w:w="1056" w:type="dxa"/>
          </w:tcPr>
          <w:p w14:paraId="2DDA7367" w14:textId="6A9107D1" w:rsidR="00144DBF" w:rsidRDefault="00144DBF" w:rsidP="00144DBF">
            <w:r>
              <w:t>5</w:t>
            </w:r>
          </w:p>
        </w:tc>
      </w:tr>
      <w:tr w:rsidR="00144DBF" w14:paraId="19F0D8E4" w14:textId="77777777" w:rsidTr="00144DBF">
        <w:tc>
          <w:tcPr>
            <w:tcW w:w="1055" w:type="dxa"/>
          </w:tcPr>
          <w:p w14:paraId="3B11ABFC" w14:textId="58E5DE07" w:rsidR="00144DBF" w:rsidRDefault="00144DBF" w:rsidP="00144DBF">
            <w:r>
              <w:t>40</w:t>
            </w:r>
          </w:p>
        </w:tc>
        <w:tc>
          <w:tcPr>
            <w:tcW w:w="1055" w:type="dxa"/>
          </w:tcPr>
          <w:p w14:paraId="2FFFC60E" w14:textId="05838B1D" w:rsidR="00144DBF" w:rsidRDefault="00144DBF" w:rsidP="00144DBF">
            <w:r>
              <w:t>18</w:t>
            </w:r>
          </w:p>
        </w:tc>
        <w:tc>
          <w:tcPr>
            <w:tcW w:w="1055" w:type="dxa"/>
          </w:tcPr>
          <w:p w14:paraId="025DC2F5" w14:textId="227C7F79" w:rsidR="00144DBF" w:rsidRDefault="00144DBF" w:rsidP="00144DBF">
            <w:r>
              <w:t>-63</w:t>
            </w:r>
          </w:p>
        </w:tc>
        <w:tc>
          <w:tcPr>
            <w:tcW w:w="1055" w:type="dxa"/>
          </w:tcPr>
          <w:p w14:paraId="620CE980" w14:textId="1D3317AE" w:rsidR="00144DBF" w:rsidRDefault="00144DBF" w:rsidP="00144DBF">
            <w:r>
              <w:t>-46</w:t>
            </w:r>
          </w:p>
        </w:tc>
        <w:tc>
          <w:tcPr>
            <w:tcW w:w="1056" w:type="dxa"/>
          </w:tcPr>
          <w:p w14:paraId="2466ABB2" w14:textId="4C203611" w:rsidR="00144DBF" w:rsidRDefault="00144DBF" w:rsidP="00144DBF">
            <w:r>
              <w:t>10</w:t>
            </w:r>
          </w:p>
        </w:tc>
        <w:tc>
          <w:tcPr>
            <w:tcW w:w="1056" w:type="dxa"/>
          </w:tcPr>
          <w:p w14:paraId="11D58E21" w14:textId="0AC70B70" w:rsidR="00144DBF" w:rsidRDefault="00144DBF" w:rsidP="00144DBF">
            <w:r>
              <w:t>-28</w:t>
            </w:r>
          </w:p>
        </w:tc>
        <w:tc>
          <w:tcPr>
            <w:tcW w:w="1056" w:type="dxa"/>
          </w:tcPr>
          <w:p w14:paraId="48BA3FE2" w14:textId="110E7253" w:rsidR="00144DBF" w:rsidRDefault="00144DBF" w:rsidP="00144DBF">
            <w:r>
              <w:t>-60</w:t>
            </w:r>
          </w:p>
        </w:tc>
        <w:tc>
          <w:tcPr>
            <w:tcW w:w="1056" w:type="dxa"/>
          </w:tcPr>
          <w:p w14:paraId="2C31AE46" w14:textId="72449B30" w:rsidR="00144DBF" w:rsidRDefault="00144DBF" w:rsidP="00144DBF">
            <w:r>
              <w:t>-54</w:t>
            </w:r>
          </w:p>
        </w:tc>
        <w:tc>
          <w:tcPr>
            <w:tcW w:w="1056" w:type="dxa"/>
          </w:tcPr>
          <w:p w14:paraId="08F77FDC" w14:textId="4D0273C0" w:rsidR="00144DBF" w:rsidRDefault="00144DBF" w:rsidP="00144DBF">
            <w:r>
              <w:t>0</w:t>
            </w:r>
          </w:p>
        </w:tc>
      </w:tr>
    </w:tbl>
    <w:p w14:paraId="786D9D81" w14:textId="2040663C" w:rsidR="00144DBF" w:rsidRDefault="00144DBF" w:rsidP="0091385D"/>
    <w:p w14:paraId="619ED5C0" w14:textId="39E665F8" w:rsidR="00144DBF" w:rsidRDefault="00144DBF" w:rsidP="0091385D">
      <w:r>
        <w:t>Терапевтичният отговор към лечението с розувастатин се забелязва до 1 седмица от началото на терапията и 90% от максималния отговор се постига до 2 седмици. Максималният отговор обикновено се постига към 4-та седмица и се поддържа след това.</w:t>
      </w:r>
    </w:p>
    <w:p w14:paraId="46E3D1A7" w14:textId="56E2AD10" w:rsidR="00144DBF" w:rsidRDefault="00144DBF" w:rsidP="0091385D"/>
    <w:p w14:paraId="3D4DCBB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u w:val="single"/>
          <w:lang w:eastAsia="bg-BG"/>
        </w:rPr>
        <w:t>Клинична ефикасност и безопасност</w:t>
      </w:r>
    </w:p>
    <w:p w14:paraId="6C8E0C3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Розувастатин е ефикасен при възрастни хора, страдащи от хиперхолестеролемия, със или без хипертриглицеридемия, независимо от расова принадлежност, пол или възраст, и при специални групи като диабетици или пациенти с фамилна хиперхолестеролемия.</w:t>
      </w:r>
    </w:p>
    <w:p w14:paraId="7AFF857F" w14:textId="77777777" w:rsidR="00144DBF" w:rsidRPr="00144DBF" w:rsidRDefault="00144DBF" w:rsidP="00144DBF">
      <w:pPr>
        <w:spacing w:line="240" w:lineRule="auto"/>
        <w:rPr>
          <w:rFonts w:eastAsia="Times New Roman" w:cs="Arial"/>
          <w:color w:val="000000"/>
          <w:lang w:eastAsia="bg-BG"/>
        </w:rPr>
      </w:pPr>
    </w:p>
    <w:p w14:paraId="207886A9" w14:textId="6EE2C6C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Обобщените данни от III фаза на клиничните проучвания показват, че розувастатин е ефикасен при лечение на голяма част от пациенти с тип IIа и II</w:t>
      </w:r>
      <w:r w:rsidRPr="00144DBF">
        <w:rPr>
          <w:rFonts w:eastAsia="Times New Roman" w:cs="Arial"/>
          <w:color w:val="000000"/>
          <w:lang w:val="en-US"/>
        </w:rPr>
        <w:t>b</w:t>
      </w:r>
      <w:r w:rsidRPr="00144DBF">
        <w:rPr>
          <w:rFonts w:eastAsia="Times New Roman" w:cs="Arial"/>
          <w:color w:val="000000"/>
          <w:lang w:eastAsia="bg-BG"/>
        </w:rPr>
        <w:t xml:space="preserve"> хиперхолестеролемия (средна изходна стойност на </w:t>
      </w:r>
      <w:r w:rsidRPr="00144DBF">
        <w:rPr>
          <w:rFonts w:eastAsia="Times New Roman" w:cs="Arial"/>
          <w:color w:val="000000"/>
          <w:lang w:val="en-US"/>
        </w:rPr>
        <w:t xml:space="preserve">LDL-C </w:t>
      </w:r>
      <w:r w:rsidRPr="00144DBF">
        <w:rPr>
          <w:rFonts w:eastAsia="Times New Roman" w:cs="Arial"/>
          <w:color w:val="000000"/>
          <w:lang w:eastAsia="bg-BG"/>
        </w:rPr>
        <w:t xml:space="preserve">около 4,8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 xml:space="preserve">/l), </w:t>
      </w:r>
      <w:r w:rsidRPr="00144DBF">
        <w:rPr>
          <w:rFonts w:eastAsia="Times New Roman" w:cs="Arial"/>
          <w:color w:val="000000"/>
          <w:lang w:eastAsia="bg-BG"/>
        </w:rPr>
        <w:t xml:space="preserve">според определените от Европейската Общност по Артеросклероза прицелни стойности </w:t>
      </w:r>
      <w:r w:rsidRPr="00144DBF">
        <w:rPr>
          <w:rFonts w:eastAsia="Times New Roman" w:cs="Arial"/>
          <w:color w:val="000000"/>
          <w:lang w:val="en-US"/>
        </w:rPr>
        <w:t xml:space="preserve">(EAS; </w:t>
      </w:r>
      <w:r w:rsidRPr="00144DBF">
        <w:rPr>
          <w:rFonts w:eastAsia="Times New Roman" w:cs="Arial"/>
          <w:color w:val="000000"/>
          <w:lang w:eastAsia="bg-BG"/>
        </w:rPr>
        <w:t xml:space="preserve">1998). Около 80% от пациентите на 10 </w:t>
      </w:r>
      <w:r w:rsidRPr="00144DBF">
        <w:rPr>
          <w:rFonts w:eastAsia="Times New Roman" w:cs="Arial"/>
          <w:color w:val="000000"/>
          <w:lang w:val="en-US"/>
        </w:rPr>
        <w:t xml:space="preserve">mg </w:t>
      </w:r>
      <w:r w:rsidRPr="00144DBF">
        <w:rPr>
          <w:rFonts w:eastAsia="Times New Roman" w:cs="Arial"/>
          <w:color w:val="000000"/>
          <w:lang w:eastAsia="bg-BG"/>
        </w:rPr>
        <w:t xml:space="preserve">са достигнали желаните стойности на </w:t>
      </w:r>
      <w:r w:rsidRPr="00144DBF">
        <w:rPr>
          <w:rFonts w:eastAsia="Times New Roman" w:cs="Arial"/>
          <w:color w:val="000000"/>
          <w:lang w:val="en-US"/>
        </w:rPr>
        <w:t xml:space="preserve">LDL- </w:t>
      </w:r>
      <w:r w:rsidRPr="00144DBF">
        <w:rPr>
          <w:rFonts w:eastAsia="Times New Roman" w:cs="Arial"/>
          <w:color w:val="000000"/>
          <w:lang w:eastAsia="bg-BG"/>
        </w:rPr>
        <w:t xml:space="preserve">С (&lt;3 </w:t>
      </w:r>
      <w:proofErr w:type="spellStart"/>
      <w:r w:rsidR="009530E2">
        <w:rPr>
          <w:rFonts w:eastAsia="Times New Roman" w:cs="Arial"/>
          <w:color w:val="000000"/>
          <w:lang w:val="en-US"/>
        </w:rPr>
        <w:t>mmol</w:t>
      </w:r>
      <w:proofErr w:type="spellEnd"/>
      <w:r w:rsidR="009530E2">
        <w:rPr>
          <w:rFonts w:eastAsia="Times New Roman" w:cs="Arial"/>
          <w:color w:val="000000"/>
          <w:lang w:val="en-US"/>
        </w:rPr>
        <w:t>/l</w:t>
      </w:r>
      <w:r w:rsidRPr="00144DBF">
        <w:rPr>
          <w:rFonts w:eastAsia="Times New Roman" w:cs="Arial"/>
          <w:color w:val="000000"/>
          <w:lang w:val="en-US"/>
        </w:rPr>
        <w:t xml:space="preserve">) </w:t>
      </w:r>
      <w:r w:rsidRPr="00144DBF">
        <w:rPr>
          <w:rFonts w:eastAsia="Times New Roman" w:cs="Arial"/>
          <w:color w:val="000000"/>
          <w:lang w:eastAsia="bg-BG"/>
        </w:rPr>
        <w:t xml:space="preserve">според </w:t>
      </w:r>
      <w:r w:rsidRPr="00144DBF">
        <w:rPr>
          <w:rFonts w:eastAsia="Times New Roman" w:cs="Arial"/>
          <w:color w:val="000000"/>
          <w:lang w:val="en-US"/>
        </w:rPr>
        <w:t>EAS.</w:t>
      </w:r>
    </w:p>
    <w:p w14:paraId="186D7C1C" w14:textId="77777777" w:rsidR="00144DBF" w:rsidRPr="00144DBF" w:rsidRDefault="00144DBF" w:rsidP="00144DBF">
      <w:pPr>
        <w:spacing w:line="240" w:lineRule="auto"/>
        <w:rPr>
          <w:rFonts w:eastAsia="Times New Roman" w:cs="Arial"/>
          <w:color w:val="000000"/>
          <w:lang w:eastAsia="bg-BG"/>
        </w:rPr>
      </w:pPr>
    </w:p>
    <w:p w14:paraId="4AD2B6AB" w14:textId="1B75FCBC"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мащабно проучване с форсирано третиране иа дозата, 435 пациенти с хетерозиготна фамилна хиперхолестеролемия са лекувани с 20 </w:t>
      </w:r>
      <w:r w:rsidRPr="00144DBF">
        <w:rPr>
          <w:rFonts w:eastAsia="Times New Roman" w:cs="Arial"/>
          <w:color w:val="000000"/>
          <w:lang w:val="en-US"/>
        </w:rPr>
        <w:t xml:space="preserve">mg </w:t>
      </w:r>
      <w:r w:rsidRPr="00144DBF">
        <w:rPr>
          <w:rFonts w:eastAsia="Times New Roman" w:cs="Arial"/>
          <w:color w:val="000000"/>
          <w:lang w:eastAsia="bg-BG"/>
        </w:rPr>
        <w:t xml:space="preserve">до 80 </w:t>
      </w:r>
      <w:r w:rsidRPr="00144DBF">
        <w:rPr>
          <w:rFonts w:eastAsia="Times New Roman" w:cs="Arial"/>
          <w:color w:val="000000"/>
          <w:lang w:val="en-US"/>
        </w:rPr>
        <w:t xml:space="preserve">mg. </w:t>
      </w:r>
      <w:r w:rsidRPr="00144DBF">
        <w:rPr>
          <w:rFonts w:eastAsia="Times New Roman" w:cs="Arial"/>
          <w:color w:val="000000"/>
          <w:lang w:eastAsia="bg-BG"/>
        </w:rPr>
        <w:t xml:space="preserve">Всички дозировки показват положителен резултат върху липидните показатели. След достигане на дневна доза от 40 </w:t>
      </w:r>
      <w:r w:rsidRPr="00144DBF">
        <w:rPr>
          <w:rFonts w:eastAsia="Times New Roman" w:cs="Arial"/>
          <w:color w:val="000000"/>
          <w:lang w:val="en-US"/>
        </w:rPr>
        <w:t xml:space="preserve">mg </w:t>
      </w:r>
      <w:r w:rsidRPr="00144DBF">
        <w:rPr>
          <w:rFonts w:eastAsia="Times New Roman" w:cs="Arial"/>
          <w:color w:val="000000"/>
          <w:lang w:eastAsia="bg-BG"/>
        </w:rPr>
        <w:t xml:space="preserve">(12 седмично лечение), </w:t>
      </w:r>
      <w:r w:rsidRPr="00144DBF">
        <w:rPr>
          <w:rFonts w:eastAsia="Times New Roman" w:cs="Arial"/>
          <w:color w:val="000000"/>
          <w:lang w:val="en-US"/>
        </w:rPr>
        <w:t xml:space="preserve">LDL-C </w:t>
      </w:r>
      <w:r w:rsidRPr="00144DBF">
        <w:rPr>
          <w:rFonts w:eastAsia="Times New Roman" w:cs="Arial"/>
          <w:color w:val="000000"/>
          <w:lang w:eastAsia="bg-BG"/>
        </w:rPr>
        <w:t xml:space="preserve">намалява с 53%. 33% от пациентите достигат стойностите на </w:t>
      </w:r>
      <w:r w:rsidRPr="00144DBF">
        <w:rPr>
          <w:rFonts w:eastAsia="Times New Roman" w:cs="Arial"/>
          <w:color w:val="000000"/>
          <w:lang w:val="en-US"/>
        </w:rPr>
        <w:t xml:space="preserve">LDL-C </w:t>
      </w:r>
      <w:r w:rsidRPr="00144DBF">
        <w:rPr>
          <w:rFonts w:eastAsia="Times New Roman" w:cs="Arial"/>
          <w:color w:val="000000"/>
          <w:lang w:eastAsia="bg-BG"/>
        </w:rPr>
        <w:t xml:space="preserve">според </w:t>
      </w:r>
      <w:r w:rsidRPr="00144DBF">
        <w:rPr>
          <w:rFonts w:eastAsia="Times New Roman" w:cs="Arial"/>
          <w:color w:val="000000"/>
          <w:lang w:val="en-US"/>
        </w:rPr>
        <w:t xml:space="preserve">EAS </w:t>
      </w:r>
      <w:r w:rsidRPr="00144DBF">
        <w:rPr>
          <w:rFonts w:eastAsia="Times New Roman" w:cs="Arial"/>
          <w:color w:val="000000"/>
          <w:lang w:eastAsia="bg-BG"/>
        </w:rPr>
        <w:t xml:space="preserve">(&lt; 3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/l)</w:t>
      </w:r>
    </w:p>
    <w:p w14:paraId="28B3F976" w14:textId="77777777" w:rsidR="00144DBF" w:rsidRPr="00144DBF" w:rsidRDefault="00144DBF" w:rsidP="00144DBF">
      <w:pPr>
        <w:spacing w:line="240" w:lineRule="auto"/>
        <w:rPr>
          <w:rFonts w:eastAsia="Times New Roman" w:cs="Arial"/>
          <w:color w:val="000000"/>
          <w:lang w:eastAsia="bg-BG"/>
        </w:rPr>
      </w:pPr>
    </w:p>
    <w:p w14:paraId="10B69D95" w14:textId="5EB6DFC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отворено проучване с форсирано титриране на дозата при 42 пациента с хомозиготна фамилна хиперхолестеролемия са отчетени резултатите от приемане на 20-40 </w:t>
      </w:r>
      <w:r w:rsidRPr="00144DBF">
        <w:rPr>
          <w:rFonts w:eastAsia="Times New Roman" w:cs="Arial"/>
          <w:color w:val="000000"/>
          <w:lang w:val="en-US"/>
        </w:rPr>
        <w:t xml:space="preserve">mg </w:t>
      </w:r>
      <w:r w:rsidRPr="00144DBF">
        <w:rPr>
          <w:rFonts w:eastAsia="Times New Roman" w:cs="Arial"/>
          <w:color w:val="000000"/>
          <w:lang w:eastAsia="bg-BG"/>
        </w:rPr>
        <w:t xml:space="preserve">розувастатин. В общата популация средното понижаване на </w:t>
      </w:r>
      <w:r w:rsidRPr="00144DBF">
        <w:rPr>
          <w:rFonts w:eastAsia="Times New Roman" w:cs="Arial"/>
          <w:color w:val="000000"/>
          <w:lang w:val="en-US"/>
        </w:rPr>
        <w:t xml:space="preserve">LDL-C </w:t>
      </w:r>
      <w:r w:rsidRPr="00144DBF">
        <w:rPr>
          <w:rFonts w:eastAsia="Times New Roman" w:cs="Arial"/>
          <w:color w:val="000000"/>
          <w:lang w:eastAsia="bg-BG"/>
        </w:rPr>
        <w:t>е 22%.</w:t>
      </w:r>
    </w:p>
    <w:p w14:paraId="4C29127B" w14:textId="77777777" w:rsidR="00144DBF" w:rsidRPr="00144DBF" w:rsidRDefault="00144DBF" w:rsidP="00144DBF">
      <w:pPr>
        <w:spacing w:line="240" w:lineRule="auto"/>
        <w:rPr>
          <w:rFonts w:eastAsia="Times New Roman" w:cs="Arial"/>
          <w:color w:val="000000"/>
          <w:lang w:eastAsia="bg-BG"/>
        </w:rPr>
      </w:pPr>
    </w:p>
    <w:p w14:paraId="48C82057" w14:textId="19E6F3F1"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клинични проучвания с ограничен брой пациенти розувастатин показва адитивна ефикасност при намаляване на триглицеридите, когато е приеман в комбинация с фенофибрат и повишаване нивото на </w:t>
      </w:r>
      <w:r w:rsidRPr="00144DBF">
        <w:rPr>
          <w:rFonts w:eastAsia="Times New Roman" w:cs="Arial"/>
          <w:color w:val="000000"/>
          <w:lang w:val="en-US"/>
        </w:rPr>
        <w:t xml:space="preserve">HDL-C </w:t>
      </w:r>
      <w:r w:rsidRPr="00144DBF">
        <w:rPr>
          <w:rFonts w:eastAsia="Times New Roman" w:cs="Arial"/>
          <w:color w:val="000000"/>
          <w:lang w:eastAsia="bg-BG"/>
        </w:rPr>
        <w:t>в комбинация с ниацин (вж. точка 4.4).</w:t>
      </w:r>
    </w:p>
    <w:p w14:paraId="08F77F9A" w14:textId="77777777" w:rsidR="00144DBF" w:rsidRPr="00144DBF" w:rsidRDefault="00144DBF" w:rsidP="00144DBF">
      <w:pPr>
        <w:spacing w:line="240" w:lineRule="auto"/>
        <w:rPr>
          <w:rFonts w:eastAsia="Times New Roman" w:cs="Arial"/>
          <w:color w:val="000000"/>
          <w:lang w:eastAsia="bg-BG"/>
        </w:rPr>
      </w:pPr>
    </w:p>
    <w:p w14:paraId="408D80D3" w14:textId="42D538F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мултицентрово, двойно-сляпо, плацебо-контролирано клинично проучване </w:t>
      </w:r>
      <w:r w:rsidRPr="00144DBF">
        <w:rPr>
          <w:rFonts w:eastAsia="Times New Roman" w:cs="Arial"/>
          <w:color w:val="000000"/>
          <w:lang w:val="en-US"/>
        </w:rPr>
        <w:t xml:space="preserve">(METEOR) </w:t>
      </w:r>
      <w:r w:rsidRPr="00144DBF">
        <w:rPr>
          <w:rFonts w:eastAsia="Times New Roman" w:cs="Arial"/>
          <w:color w:val="000000"/>
          <w:lang w:eastAsia="bg-BG"/>
        </w:rPr>
        <w:t xml:space="preserve">984 пациента на възраст между 45 и 70 години с нисък риск за исхемична болест на сърцето (дефинирано като </w:t>
      </w:r>
      <w:r w:rsidRPr="00144DBF">
        <w:rPr>
          <w:rFonts w:eastAsia="Times New Roman" w:cs="Arial"/>
          <w:color w:val="000000"/>
          <w:lang w:val="en-US"/>
        </w:rPr>
        <w:t xml:space="preserve">Framingham </w:t>
      </w:r>
      <w:r w:rsidRPr="00144DBF">
        <w:rPr>
          <w:rFonts w:eastAsia="Times New Roman" w:cs="Arial"/>
          <w:color w:val="000000"/>
          <w:lang w:eastAsia="bg-BG"/>
        </w:rPr>
        <w:t xml:space="preserve">риск &lt;10% за 10 г) и със средни </w:t>
      </w:r>
      <w:r w:rsidRPr="00144DBF">
        <w:rPr>
          <w:rFonts w:eastAsia="Times New Roman" w:cs="Arial"/>
          <w:color w:val="000000"/>
          <w:lang w:val="en-US"/>
        </w:rPr>
        <w:t xml:space="preserve">LDL-C </w:t>
      </w:r>
      <w:r w:rsidRPr="00144DBF">
        <w:rPr>
          <w:rFonts w:eastAsia="Times New Roman" w:cs="Arial"/>
          <w:color w:val="000000"/>
          <w:lang w:eastAsia="bg-BG"/>
        </w:rPr>
        <w:t xml:space="preserve">4,0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 xml:space="preserve">/l </w:t>
      </w:r>
      <w:r w:rsidRPr="00144DBF">
        <w:rPr>
          <w:rFonts w:eastAsia="Times New Roman" w:cs="Arial"/>
          <w:color w:val="000000"/>
          <w:lang w:eastAsia="bg-BG"/>
        </w:rPr>
        <w:t xml:space="preserve">(154,5 </w:t>
      </w:r>
      <w:r w:rsidRPr="00144DBF">
        <w:rPr>
          <w:rFonts w:eastAsia="Times New Roman" w:cs="Arial"/>
          <w:color w:val="000000"/>
          <w:lang w:val="en-US"/>
        </w:rPr>
        <w:t xml:space="preserve">mg/dl), </w:t>
      </w:r>
      <w:r w:rsidRPr="00144DBF">
        <w:rPr>
          <w:rFonts w:eastAsia="Times New Roman" w:cs="Arial"/>
          <w:color w:val="000000"/>
          <w:lang w:eastAsia="bg-BG"/>
        </w:rPr>
        <w:t xml:space="preserve">но със субклинична атеросклероза, установена чрез измерване на </w:t>
      </w:r>
      <w:r w:rsidRPr="00144DBF">
        <w:rPr>
          <w:rFonts w:eastAsia="Times New Roman" w:cs="Arial"/>
          <w:color w:val="000000"/>
          <w:lang w:val="en-US"/>
        </w:rPr>
        <w:t xml:space="preserve">CIMT (Carotid Intima Media Thickness), </w:t>
      </w:r>
      <w:r w:rsidRPr="00144DBF">
        <w:rPr>
          <w:rFonts w:eastAsia="Times New Roman" w:cs="Arial"/>
          <w:color w:val="000000"/>
          <w:lang w:eastAsia="bg-BG"/>
        </w:rPr>
        <w:t xml:space="preserve">са рандомизирани на 40 </w:t>
      </w:r>
      <w:r w:rsidRPr="00144DBF">
        <w:rPr>
          <w:rFonts w:eastAsia="Times New Roman" w:cs="Arial"/>
          <w:color w:val="000000"/>
          <w:lang w:val="en-US"/>
        </w:rPr>
        <w:t xml:space="preserve">mg </w:t>
      </w:r>
      <w:r w:rsidRPr="00144DBF">
        <w:rPr>
          <w:rFonts w:eastAsia="Times New Roman" w:cs="Arial"/>
          <w:color w:val="000000"/>
          <w:lang w:eastAsia="bg-BG"/>
        </w:rPr>
        <w:t xml:space="preserve">розувастатин веднъж дневно или плацебо за 2 години. Розувастатин значително забавя прогресията на </w:t>
      </w:r>
      <w:r w:rsidRPr="00144DBF">
        <w:rPr>
          <w:rFonts w:eastAsia="Times New Roman" w:cs="Arial"/>
          <w:color w:val="000000"/>
          <w:lang w:eastAsia="bg-BG"/>
        </w:rPr>
        <w:lastRenderedPageBreak/>
        <w:t xml:space="preserve">максималното </w:t>
      </w:r>
      <w:r w:rsidRPr="00144DBF">
        <w:rPr>
          <w:rFonts w:eastAsia="Times New Roman" w:cs="Arial"/>
          <w:color w:val="000000"/>
          <w:lang w:val="en-US"/>
        </w:rPr>
        <w:t xml:space="preserve">CIMT </w:t>
      </w:r>
      <w:r w:rsidRPr="00144DBF">
        <w:rPr>
          <w:rFonts w:eastAsia="Times New Roman" w:cs="Arial"/>
          <w:color w:val="000000"/>
          <w:lang w:eastAsia="bg-BG"/>
        </w:rPr>
        <w:t xml:space="preserve">на всички 12 места на каротидните артерии в сравнени с плацебо -0,0145 </w:t>
      </w:r>
      <w:r w:rsidRPr="00144DBF">
        <w:rPr>
          <w:rFonts w:eastAsia="Times New Roman" w:cs="Arial"/>
          <w:color w:val="000000"/>
          <w:lang w:val="en-US"/>
        </w:rPr>
        <w:t>mm</w:t>
      </w:r>
      <w:r w:rsidRPr="00144DBF">
        <w:rPr>
          <w:rFonts w:eastAsia="Times New Roman" w:cs="Arial"/>
          <w:color w:val="000000"/>
          <w:lang w:eastAsia="bg-BG"/>
        </w:rPr>
        <w:t xml:space="preserve">/година (95% </w:t>
      </w:r>
      <w:r w:rsidRPr="00144DBF">
        <w:rPr>
          <w:rFonts w:eastAsia="Times New Roman" w:cs="Arial"/>
          <w:color w:val="000000"/>
          <w:lang w:val="en-US"/>
        </w:rPr>
        <w:t xml:space="preserve">CI </w:t>
      </w:r>
      <w:r w:rsidRPr="00144DBF">
        <w:rPr>
          <w:rFonts w:eastAsia="Times New Roman" w:cs="Arial"/>
          <w:color w:val="000000"/>
          <w:lang w:eastAsia="bg-BG"/>
        </w:rPr>
        <w:t xml:space="preserve">-0,0196, -0,0093; р&lt;0,0001). Промяната спрямо изходните стойности за розувастатин групата е -0,0014 </w:t>
      </w:r>
      <w:r w:rsidRPr="00144DBF">
        <w:rPr>
          <w:rFonts w:eastAsia="Times New Roman" w:cs="Arial"/>
          <w:color w:val="000000"/>
          <w:lang w:val="en-US"/>
        </w:rPr>
        <w:t>mm</w:t>
      </w:r>
      <w:r w:rsidRPr="00144DBF">
        <w:rPr>
          <w:rFonts w:eastAsia="Times New Roman" w:cs="Arial"/>
          <w:color w:val="000000"/>
          <w:lang w:eastAsia="bg-BG"/>
        </w:rPr>
        <w:t xml:space="preserve">/година (-12%/година (несигнификантно)), в сравнение с плацебо групата с прогресия от +0,0131 </w:t>
      </w:r>
      <w:r w:rsidRPr="00144DBF">
        <w:rPr>
          <w:rFonts w:eastAsia="Times New Roman" w:cs="Arial"/>
          <w:color w:val="000000"/>
          <w:lang w:val="en-US"/>
        </w:rPr>
        <w:t>mm</w:t>
      </w:r>
      <w:r w:rsidRPr="00144DBF">
        <w:rPr>
          <w:rFonts w:eastAsia="Times New Roman" w:cs="Arial"/>
          <w:color w:val="000000"/>
          <w:lang w:eastAsia="bg-BG"/>
        </w:rPr>
        <w:t xml:space="preserve">/година (1,12/година (р&lt;0,0001)). Не е демонстрирана директна взаимовръзка между понижаването на </w:t>
      </w:r>
      <w:r w:rsidRPr="00144DBF">
        <w:rPr>
          <w:rFonts w:eastAsia="Times New Roman" w:cs="Arial"/>
          <w:color w:val="000000"/>
          <w:lang w:val="en-US"/>
        </w:rPr>
        <w:t xml:space="preserve">CIMT </w:t>
      </w:r>
      <w:r w:rsidRPr="00144DBF">
        <w:rPr>
          <w:rFonts w:eastAsia="Times New Roman" w:cs="Arial"/>
          <w:color w:val="000000"/>
          <w:lang w:eastAsia="bg-BG"/>
        </w:rPr>
        <w:t xml:space="preserve">нивата и понижения риск от сърдечносъдови събития. Популацията в проучването </w:t>
      </w:r>
      <w:r w:rsidRPr="00144DBF">
        <w:rPr>
          <w:rFonts w:eastAsia="Times New Roman" w:cs="Arial"/>
          <w:color w:val="000000"/>
          <w:lang w:val="en-US"/>
        </w:rPr>
        <w:t xml:space="preserve">METEOR </w:t>
      </w:r>
      <w:r w:rsidRPr="00144DBF">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розувастатин 40 </w:t>
      </w:r>
      <w:r w:rsidRPr="00144DBF">
        <w:rPr>
          <w:rFonts w:eastAsia="Times New Roman" w:cs="Arial"/>
          <w:color w:val="000000"/>
          <w:lang w:val="en-US"/>
        </w:rPr>
        <w:t xml:space="preserve">mg. </w:t>
      </w:r>
      <w:r w:rsidRPr="00144DBF">
        <w:rPr>
          <w:rFonts w:eastAsia="Times New Roman" w:cs="Arial"/>
          <w:color w:val="000000"/>
          <w:lang w:eastAsia="bg-BG"/>
        </w:rPr>
        <w:t xml:space="preserve">Дозировка от 40 </w:t>
      </w:r>
      <w:r w:rsidRPr="00144DBF">
        <w:rPr>
          <w:rFonts w:eastAsia="Times New Roman" w:cs="Arial"/>
          <w:color w:val="000000"/>
          <w:lang w:val="en-US"/>
        </w:rPr>
        <w:t xml:space="preserve">mg </w:t>
      </w:r>
      <w:r w:rsidRPr="00144DBF">
        <w:rPr>
          <w:rFonts w:eastAsia="Times New Roman" w:cs="Arial"/>
          <w:color w:val="000000"/>
          <w:lang w:eastAsia="bg-BG"/>
        </w:rPr>
        <w:t>трябва да се предписва само при пациенти с тежка хиперхолестеролемия с висок сърдечносъдов риск (вж. точка 4.2).</w:t>
      </w:r>
    </w:p>
    <w:p w14:paraId="28BD5BF0" w14:textId="77777777" w:rsidR="00144DBF" w:rsidRPr="00144DBF" w:rsidRDefault="00144DBF" w:rsidP="00144DBF">
      <w:pPr>
        <w:spacing w:line="240" w:lineRule="auto"/>
        <w:rPr>
          <w:rFonts w:eastAsia="Times New Roman" w:cs="Arial"/>
          <w:color w:val="000000"/>
          <w:lang w:eastAsia="bg-BG"/>
        </w:rPr>
      </w:pPr>
    </w:p>
    <w:p w14:paraId="0F93E29E" w14:textId="37B152AC"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Проучването </w:t>
      </w:r>
      <w:r w:rsidRPr="00144DBF">
        <w:rPr>
          <w:rFonts w:eastAsia="Times New Roman" w:cs="Arial"/>
          <w:color w:val="000000"/>
          <w:lang w:val="en-US"/>
        </w:rPr>
        <w:t xml:space="preserve">JUPITER (the Justification for the Use of Statins in </w:t>
      </w:r>
      <w:proofErr w:type="spellStart"/>
      <w:r w:rsidRPr="00144DBF">
        <w:rPr>
          <w:rFonts w:eastAsia="Times New Roman" w:cs="Arial"/>
          <w:color w:val="000000"/>
          <w:lang w:val="en-US"/>
        </w:rPr>
        <w:t>Primaiy</w:t>
      </w:r>
      <w:proofErr w:type="spellEnd"/>
      <w:r w:rsidRPr="00144DBF">
        <w:rPr>
          <w:rFonts w:eastAsia="Times New Roman" w:cs="Arial"/>
          <w:color w:val="000000"/>
          <w:lang w:val="en-US"/>
        </w:rPr>
        <w:t xml:space="preserve"> Prevention: An Intervention Trial Evaluating </w:t>
      </w:r>
      <w:proofErr w:type="spellStart"/>
      <w:r w:rsidRPr="00144DBF">
        <w:rPr>
          <w:rFonts w:eastAsia="Times New Roman" w:cs="Arial"/>
          <w:color w:val="000000"/>
          <w:lang w:val="en-US"/>
        </w:rPr>
        <w:t>Rosuvastatin</w:t>
      </w:r>
      <w:proofErr w:type="spellEnd"/>
      <w:r w:rsidRPr="00144DBF">
        <w:rPr>
          <w:rFonts w:eastAsia="Times New Roman" w:cs="Arial"/>
          <w:color w:val="000000"/>
          <w:lang w:val="en-US"/>
        </w:rPr>
        <w:t xml:space="preserve">) </w:t>
      </w:r>
      <w:r w:rsidRPr="00144DBF">
        <w:rPr>
          <w:rFonts w:eastAsia="Times New Roman" w:cs="Arial"/>
          <w:color w:val="000000"/>
          <w:lang w:eastAsia="bg-BG"/>
        </w:rPr>
        <w:t>изследва ефекта на розувастатин (розувастатин калций) върху появата на големи атеросклеротични сърдечносъдови събития при 17 802 мъже (≥50 години) и жени (≥60 години).</w:t>
      </w:r>
    </w:p>
    <w:p w14:paraId="6829E408" w14:textId="77777777" w:rsidR="00144DBF" w:rsidRPr="00144DBF" w:rsidRDefault="00144DBF" w:rsidP="00144DBF">
      <w:pPr>
        <w:spacing w:line="240" w:lineRule="auto"/>
        <w:rPr>
          <w:rFonts w:eastAsia="Times New Roman" w:cs="Arial"/>
          <w:color w:val="000000"/>
          <w:lang w:eastAsia="bg-BG"/>
        </w:rPr>
      </w:pPr>
    </w:p>
    <w:p w14:paraId="37697136" w14:textId="037CDCA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Участниците в проучването са рандомизирани на плацебо (</w:t>
      </w:r>
      <w:r w:rsidRPr="00144DBF">
        <w:rPr>
          <w:rFonts w:eastAsia="Times New Roman" w:cs="Arial"/>
          <w:color w:val="000000"/>
          <w:lang w:val="en-US"/>
        </w:rPr>
        <w:t>n</w:t>
      </w:r>
      <w:r w:rsidRPr="00144DBF">
        <w:rPr>
          <w:rFonts w:eastAsia="Times New Roman" w:cs="Arial"/>
          <w:color w:val="000000"/>
          <w:lang w:eastAsia="bg-BG"/>
        </w:rPr>
        <w:t xml:space="preserve">=8 901) или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веднъж дневно (</w:t>
      </w:r>
      <w:r w:rsidRPr="00144DBF">
        <w:rPr>
          <w:rFonts w:eastAsia="Times New Roman" w:cs="Arial"/>
          <w:color w:val="000000"/>
          <w:lang w:val="en-US"/>
        </w:rPr>
        <w:t>n</w:t>
      </w:r>
      <w:r w:rsidRPr="00144DBF">
        <w:rPr>
          <w:rFonts w:eastAsia="Times New Roman" w:cs="Arial"/>
          <w:color w:val="000000"/>
          <w:lang w:eastAsia="bg-BG"/>
        </w:rPr>
        <w:t>=8 901) и са проследени за среден период от 2 години.</w:t>
      </w:r>
    </w:p>
    <w:p w14:paraId="5BFDFA9C" w14:textId="77777777" w:rsidR="00144DBF" w:rsidRPr="00144DBF" w:rsidRDefault="00144DBF" w:rsidP="00144DBF">
      <w:pPr>
        <w:spacing w:line="240" w:lineRule="auto"/>
        <w:rPr>
          <w:rFonts w:eastAsia="Times New Roman" w:cs="Arial"/>
          <w:color w:val="000000"/>
          <w:lang w:eastAsia="bg-BG"/>
        </w:rPr>
      </w:pPr>
    </w:p>
    <w:p w14:paraId="6328E5BA" w14:textId="2A1E004B"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Концентрациите на </w:t>
      </w:r>
      <w:r w:rsidRPr="00144DBF">
        <w:rPr>
          <w:rFonts w:eastAsia="Times New Roman" w:cs="Arial"/>
          <w:color w:val="000000"/>
          <w:lang w:val="en-US"/>
        </w:rPr>
        <w:t>LDL</w:t>
      </w:r>
      <w:r w:rsidRPr="00144DBF">
        <w:rPr>
          <w:rFonts w:eastAsia="Times New Roman" w:cs="Arial"/>
          <w:color w:val="000000"/>
          <w:lang w:eastAsia="bg-BG"/>
        </w:rPr>
        <w:t>-холестерола са понижени с 45% (р&lt;0,001) в групата на розувастатин в сравнение с плацебо групата.</w:t>
      </w:r>
    </w:p>
    <w:p w14:paraId="1E44BCB3" w14:textId="77777777" w:rsidR="00144DBF" w:rsidRPr="00144DBF" w:rsidRDefault="00144DBF" w:rsidP="00144DBF">
      <w:pPr>
        <w:spacing w:line="240" w:lineRule="auto"/>
        <w:rPr>
          <w:rFonts w:eastAsia="Times New Roman" w:cs="Arial"/>
          <w:color w:val="000000"/>
          <w:lang w:eastAsia="bg-BG"/>
        </w:rPr>
      </w:pPr>
    </w:p>
    <w:p w14:paraId="72482221" w14:textId="4515E28D" w:rsidR="00144DBF" w:rsidRPr="00144DBF" w:rsidRDefault="00144DBF" w:rsidP="00144DBF">
      <w:pPr>
        <w:rPr>
          <w:rFonts w:eastAsia="Times New Roman" w:cs="Arial"/>
          <w:sz w:val="24"/>
          <w:szCs w:val="24"/>
          <w:lang w:eastAsia="bg-BG"/>
        </w:rPr>
      </w:pPr>
      <w:r w:rsidRPr="00144DBF">
        <w:rPr>
          <w:rFonts w:eastAsia="Times New Roman" w:cs="Arial"/>
          <w:color w:val="000000"/>
          <w:lang w:eastAsia="bg-BG"/>
        </w:rPr>
        <w:t xml:space="preserve">При </w:t>
      </w:r>
      <w:r w:rsidRPr="00144DBF">
        <w:rPr>
          <w:rFonts w:eastAsia="Times New Roman" w:cs="Arial"/>
          <w:color w:val="000000"/>
          <w:lang w:val="en-US"/>
        </w:rPr>
        <w:t xml:space="preserve">post-hoc </w:t>
      </w:r>
      <w:r w:rsidRPr="00144DBF">
        <w:rPr>
          <w:rFonts w:eastAsia="Times New Roman" w:cs="Arial"/>
          <w:color w:val="000000"/>
          <w:lang w:eastAsia="bg-BG"/>
        </w:rPr>
        <w:t xml:space="preserve">анализ на високорискова група от лица с базичен риск по </w:t>
      </w:r>
      <w:proofErr w:type="spellStart"/>
      <w:r w:rsidRPr="00144DBF">
        <w:rPr>
          <w:rFonts w:eastAsia="Times New Roman" w:cs="Arial"/>
          <w:color w:val="000000"/>
          <w:lang w:val="en-US"/>
        </w:rPr>
        <w:t>Framinghom</w:t>
      </w:r>
      <w:proofErr w:type="spellEnd"/>
      <w:r w:rsidRPr="00144DBF">
        <w:rPr>
          <w:rFonts w:eastAsia="Times New Roman" w:cs="Arial"/>
          <w:color w:val="000000"/>
          <w:lang w:val="en-US"/>
        </w:rPr>
        <w:t xml:space="preserve"> </w:t>
      </w:r>
      <w:r w:rsidRPr="00144DBF">
        <w:rPr>
          <w:rFonts w:eastAsia="Times New Roman" w:cs="Arial"/>
          <w:color w:val="000000"/>
          <w:lang w:eastAsia="bg-BG"/>
        </w:rPr>
        <w:t>&gt;20% (1 558 лица) е имало значителна редукция в комбинираната крайна точка от сърдечносъдова смърт, инсулт и миокарден инфаркт (р=0,028) при лечение с розувастатин спрямо плацебо. Абсолютната</w:t>
      </w:r>
      <w:r w:rsidRPr="00144DBF">
        <w:rPr>
          <w:rFonts w:eastAsia="Times New Roman" w:cs="Arial"/>
          <w:color w:val="000000"/>
          <w:lang w:val="en-US"/>
        </w:rPr>
        <w:t xml:space="preserve"> </w:t>
      </w:r>
      <w:r w:rsidRPr="00144DBF">
        <w:rPr>
          <w:rFonts w:eastAsia="Times New Roman" w:cs="Arial"/>
          <w:color w:val="000000"/>
          <w:lang w:eastAsia="bg-BG"/>
        </w:rPr>
        <w:t>редукция на риска в нивото на събитията за 1 000 пациенто-години е била 8,8. Тоталната смъртност е била</w:t>
      </w:r>
      <w:r w:rsidRPr="00144DBF">
        <w:rPr>
          <w:rFonts w:eastAsia="Times New Roman" w:cs="Arial"/>
          <w:sz w:val="24"/>
          <w:szCs w:val="24"/>
          <w:lang w:eastAsia="bg-BG"/>
        </w:rPr>
        <w:t xml:space="preserve"> </w:t>
      </w:r>
      <w:r w:rsidRPr="00144DBF">
        <w:rPr>
          <w:rFonts w:eastAsia="Times New Roman" w:cs="Arial"/>
          <w:color w:val="000000"/>
          <w:lang w:eastAsia="bg-BG"/>
        </w:rPr>
        <w:t>непроменена в</w:t>
      </w:r>
      <w:r w:rsidR="009530E2">
        <w:rPr>
          <w:rFonts w:eastAsia="Times New Roman" w:cs="Arial"/>
          <w:color w:val="000000"/>
          <w:lang w:eastAsia="bg-BG"/>
        </w:rPr>
        <w:t xml:space="preserve"> тази високорискова подгрупа (р=</w:t>
      </w:r>
      <w:r w:rsidRPr="00144DBF">
        <w:rPr>
          <w:rFonts w:eastAsia="Times New Roman" w:cs="Arial"/>
          <w:color w:val="000000"/>
          <w:lang w:eastAsia="bg-BG"/>
        </w:rPr>
        <w:t xml:space="preserve">0,193). При </w:t>
      </w:r>
      <w:r w:rsidRPr="00144DBF">
        <w:rPr>
          <w:rFonts w:eastAsia="Times New Roman" w:cs="Arial"/>
          <w:color w:val="000000"/>
          <w:lang w:val="en-US"/>
        </w:rPr>
        <w:t xml:space="preserve">post-hoc </w:t>
      </w:r>
      <w:r w:rsidRPr="00144DBF">
        <w:rPr>
          <w:rFonts w:eastAsia="Times New Roman" w:cs="Arial"/>
          <w:color w:val="000000"/>
          <w:lang w:eastAsia="bg-BG"/>
        </w:rPr>
        <w:t>анализ на високорискова подгрупа от лица (9 302 лица общо) с изходна оценка на риска &gt;5% (екстраполиран да включи лица на възраст над 65 години) е имало значителна редукция в комбинираната крайна точка от сърдечносъдова смърт, инсулт и миокарден инфаркт (р=0,0003) при лечението с розувастатин спрямо плацебо. Абсолютната редукция на риска в нивото на събитията е била 5,1 за 1 000 пациенто-години. Тоталната смъртност е била непроменена в тази високорискова група (р=0,076).</w:t>
      </w:r>
    </w:p>
    <w:p w14:paraId="053E7E0A" w14:textId="77777777" w:rsidR="00144DBF" w:rsidRPr="00144DBF" w:rsidRDefault="00144DBF" w:rsidP="00144DBF">
      <w:pPr>
        <w:spacing w:line="240" w:lineRule="auto"/>
        <w:rPr>
          <w:rFonts w:eastAsia="Times New Roman" w:cs="Arial"/>
          <w:color w:val="000000"/>
          <w:lang w:eastAsia="bg-BG"/>
        </w:rPr>
      </w:pPr>
    </w:p>
    <w:p w14:paraId="54524200" w14:textId="7841895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проучването </w:t>
      </w:r>
      <w:r w:rsidRPr="00144DBF">
        <w:rPr>
          <w:rFonts w:eastAsia="Times New Roman" w:cs="Arial"/>
          <w:color w:val="000000"/>
          <w:lang w:val="en-US"/>
        </w:rPr>
        <w:t xml:space="preserve">JUPITER </w:t>
      </w:r>
      <w:r w:rsidRPr="00144DBF">
        <w:rPr>
          <w:rFonts w:eastAsia="Times New Roman" w:cs="Arial"/>
          <w:color w:val="000000"/>
          <w:lang w:eastAsia="bg-BG"/>
        </w:rPr>
        <w:t>6,6% от лицата на лечение с розувастатин и 6,2% от лицата на лечение с плацебо са прекратили приема на изследваното лекарство, поради нежелано събитие. Най-честите нежелани събития, довели до прекратяване на лечението са били: миалгия (0,3% розувастатин, 0,2% плацебо), коремна болка (0,03% розувастатин, 0,02% плацебо) и обрив (0,02% розувастатин, 0,03% плацебо). Най-честите нежелани събития с ниво по-голямо и равно на плацебо са били инфекции на пикочните пътища (8,7% розувастатин, 8,6% плацебо), назофарингит (7,6% розувастатин, 7,2% плацебо), болка в гърба (7,6% розувастатин, 6,9% плацебо) и миалгия (7,6% розувастатин, 6,6% плацебо).</w:t>
      </w:r>
    </w:p>
    <w:p w14:paraId="4DC5BA23" w14:textId="77777777" w:rsidR="00144DBF" w:rsidRPr="00144DBF" w:rsidRDefault="00144DBF" w:rsidP="00144DBF">
      <w:pPr>
        <w:spacing w:line="240" w:lineRule="auto"/>
        <w:rPr>
          <w:rFonts w:eastAsia="Times New Roman" w:cs="Arial"/>
          <w:b/>
          <w:bCs/>
          <w:color w:val="000000"/>
          <w:lang w:eastAsia="bg-BG"/>
        </w:rPr>
      </w:pPr>
    </w:p>
    <w:p w14:paraId="72BAD722" w14:textId="4975F85C"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Педиатрична популация</w:t>
      </w:r>
    </w:p>
    <w:p w14:paraId="7B59028F" w14:textId="5F6D146E"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В едно двойно-сляпо, рандомизирано, мултицентрово, плацебо-контролирано, 12-седмично проучване (</w:t>
      </w:r>
      <w:r w:rsidR="009530E2">
        <w:rPr>
          <w:rFonts w:eastAsia="Times New Roman" w:cs="Arial"/>
          <w:color w:val="000000"/>
          <w:lang w:eastAsia="bg-BG"/>
        </w:rPr>
        <w:t>n</w:t>
      </w:r>
      <w:r w:rsidRPr="00144DBF">
        <w:rPr>
          <w:rFonts w:eastAsia="Times New Roman" w:cs="Arial"/>
          <w:color w:val="000000"/>
          <w:lang w:eastAsia="bg-BG"/>
        </w:rPr>
        <w:t>= 176,97 от мъжки пол и 79 от женски пол), последвано от 40-седмична, открита фаза с титрира</w:t>
      </w:r>
      <w:r w:rsidR="009530E2">
        <w:rPr>
          <w:rFonts w:eastAsia="Times New Roman" w:cs="Arial"/>
          <w:color w:val="000000"/>
          <w:lang w:eastAsia="bg-BG"/>
        </w:rPr>
        <w:t>не на дозата на розувастатин (n</w:t>
      </w:r>
      <w:r w:rsidRPr="00144DBF">
        <w:rPr>
          <w:rFonts w:eastAsia="Times New Roman" w:cs="Arial"/>
          <w:color w:val="000000"/>
          <w:lang w:eastAsia="bg-BG"/>
        </w:rPr>
        <w:t>=173,96 от мъжки пол и 77 от женски пол), пациенти н</w:t>
      </w:r>
      <w:r w:rsidR="009530E2">
        <w:rPr>
          <w:rFonts w:eastAsia="Times New Roman" w:cs="Arial"/>
          <w:color w:val="000000"/>
          <w:lang w:eastAsia="bg-BG"/>
        </w:rPr>
        <w:t xml:space="preserve">а възраст 10-17 години (стадий </w:t>
      </w:r>
      <w:r w:rsidR="009530E2">
        <w:rPr>
          <w:rFonts w:cs="Arial"/>
          <w:color w:val="333333"/>
          <w:shd w:val="clear" w:color="auto" w:fill="FFFFFF"/>
        </w:rPr>
        <w:t>II</w:t>
      </w:r>
      <w:r w:rsidRPr="00144DBF">
        <w:rPr>
          <w:rFonts w:eastAsia="Times New Roman" w:cs="Arial"/>
          <w:color w:val="000000"/>
          <w:lang w:val="en-US"/>
        </w:rPr>
        <w:t xml:space="preserve">-V </w:t>
      </w:r>
      <w:r w:rsidRPr="00144DBF">
        <w:rPr>
          <w:rFonts w:eastAsia="Times New Roman" w:cs="Arial"/>
          <w:color w:val="000000"/>
          <w:lang w:eastAsia="bg-BG"/>
        </w:rPr>
        <w:t xml:space="preserve">по Танер, момичета поне една година след началото на менструацията) с хетерозиготна фамилна </w:t>
      </w:r>
      <w:r w:rsidRPr="00144DBF">
        <w:rPr>
          <w:rFonts w:eastAsia="Times New Roman" w:cs="Arial"/>
          <w:color w:val="000000"/>
          <w:lang w:eastAsia="bg-BG"/>
        </w:rPr>
        <w:lastRenderedPageBreak/>
        <w:t xml:space="preserve">хиперхолестеролемия получаваха розувастатин 5, 10 или 20 </w:t>
      </w:r>
      <w:r w:rsidRPr="00144DBF">
        <w:rPr>
          <w:rFonts w:eastAsia="Times New Roman" w:cs="Arial"/>
          <w:color w:val="000000"/>
          <w:lang w:val="en-US"/>
        </w:rPr>
        <w:t xml:space="preserve">mg </w:t>
      </w:r>
      <w:r w:rsidRPr="00144DBF">
        <w:rPr>
          <w:rFonts w:eastAsia="Times New Roman" w:cs="Arial"/>
          <w:color w:val="000000"/>
          <w:lang w:eastAsia="bg-BG"/>
        </w:rPr>
        <w:t>или плацебо дневно за 12 седмици, а след това всички получаваха розувастатин дневно за 40 седмици. В началото на проучването приблизително 30 % от пациентите бяха 10-13 годишни и приблизително 17%, 18%, 40% и 25% бяха съответно в стадий II, III, IV и V по Танер.</w:t>
      </w:r>
    </w:p>
    <w:p w14:paraId="219E2266" w14:textId="77777777" w:rsidR="00144DBF" w:rsidRPr="00144DBF" w:rsidRDefault="00144DBF" w:rsidP="00144DBF">
      <w:pPr>
        <w:spacing w:line="240" w:lineRule="auto"/>
        <w:rPr>
          <w:rFonts w:eastAsia="Times New Roman" w:cs="Arial"/>
          <w:sz w:val="24"/>
          <w:szCs w:val="24"/>
          <w:lang w:eastAsia="bg-BG"/>
        </w:rPr>
      </w:pPr>
    </w:p>
    <w:p w14:paraId="0D6DCF06" w14:textId="20C4312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val="en-US"/>
        </w:rPr>
        <w:t>LDL</w:t>
      </w:r>
      <w:r w:rsidRPr="00144DBF">
        <w:rPr>
          <w:rFonts w:eastAsia="Times New Roman" w:cs="Arial"/>
          <w:color w:val="000000"/>
          <w:lang w:eastAsia="bg-BG"/>
        </w:rPr>
        <w:t xml:space="preserve">-холестеролът беше понижен 38,3%, 44,6% и 50,0% от розувастатин 5, 10 и 20 </w:t>
      </w:r>
      <w:r w:rsidRPr="00144DBF">
        <w:rPr>
          <w:rFonts w:eastAsia="Times New Roman" w:cs="Arial"/>
          <w:color w:val="000000"/>
          <w:lang w:val="en-US"/>
        </w:rPr>
        <w:t xml:space="preserve">mg, </w:t>
      </w:r>
      <w:r w:rsidRPr="00144DBF">
        <w:rPr>
          <w:rFonts w:eastAsia="Times New Roman" w:cs="Arial"/>
          <w:color w:val="000000"/>
          <w:lang w:eastAsia="bg-BG"/>
        </w:rPr>
        <w:t>съответно, в сравнение с 0,7% за плацебо.</w:t>
      </w:r>
    </w:p>
    <w:p w14:paraId="1F917E96" w14:textId="77777777" w:rsidR="00144DBF" w:rsidRPr="00144DBF" w:rsidRDefault="00144DBF" w:rsidP="00144DBF">
      <w:pPr>
        <w:spacing w:line="240" w:lineRule="auto"/>
        <w:rPr>
          <w:rFonts w:eastAsia="Times New Roman" w:cs="Arial"/>
          <w:color w:val="000000"/>
          <w:lang w:eastAsia="bg-BG"/>
        </w:rPr>
      </w:pPr>
    </w:p>
    <w:p w14:paraId="48ABDF76" w14:textId="4A9A613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края на 40-седмичното, открито, целящо титриране, проучване, дозиране до максимум 20 </w:t>
      </w:r>
      <w:r w:rsidRPr="00144DBF">
        <w:rPr>
          <w:rFonts w:eastAsia="Times New Roman" w:cs="Arial"/>
          <w:color w:val="000000"/>
          <w:lang w:val="en-US"/>
        </w:rPr>
        <w:t xml:space="preserve">mg </w:t>
      </w:r>
      <w:r w:rsidRPr="00144DBF">
        <w:rPr>
          <w:rFonts w:eastAsia="Times New Roman" w:cs="Arial"/>
          <w:color w:val="000000"/>
          <w:lang w:eastAsia="bg-BG"/>
        </w:rPr>
        <w:t xml:space="preserve">веднъж дневно, 70 от 173 пациенти (40,5%) са постигнали целта за </w:t>
      </w:r>
      <w:r w:rsidRPr="00144DBF">
        <w:rPr>
          <w:rFonts w:eastAsia="Times New Roman" w:cs="Arial"/>
          <w:color w:val="000000"/>
          <w:lang w:val="en-US"/>
        </w:rPr>
        <w:t>LDL</w:t>
      </w:r>
      <w:r w:rsidRPr="00144DBF">
        <w:rPr>
          <w:rFonts w:eastAsia="Times New Roman" w:cs="Arial"/>
          <w:color w:val="000000"/>
          <w:lang w:eastAsia="bg-BG"/>
        </w:rPr>
        <w:t xml:space="preserve">-холестерол от по-малко от 2,8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/l.</w:t>
      </w:r>
    </w:p>
    <w:p w14:paraId="6883F940" w14:textId="77777777" w:rsidR="00144DBF" w:rsidRPr="00144DBF" w:rsidRDefault="00144DBF" w:rsidP="00144DBF">
      <w:pPr>
        <w:spacing w:line="240" w:lineRule="auto"/>
        <w:rPr>
          <w:rFonts w:eastAsia="Times New Roman" w:cs="Arial"/>
          <w:color w:val="000000"/>
          <w:lang w:eastAsia="bg-BG"/>
        </w:rPr>
      </w:pPr>
    </w:p>
    <w:p w14:paraId="04A89A3F" w14:textId="2BB20C0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След 52 седмици на изследваното лечение, не беше установен никакъв ефект върху растежа, теглото, </w:t>
      </w:r>
      <w:r w:rsidRPr="00144DBF">
        <w:rPr>
          <w:rFonts w:eastAsia="Times New Roman" w:cs="Arial"/>
          <w:color w:val="000000"/>
          <w:lang w:val="en-US"/>
        </w:rPr>
        <w:t xml:space="preserve">BMI </w:t>
      </w:r>
      <w:r w:rsidRPr="00144DBF">
        <w:rPr>
          <w:rFonts w:eastAsia="Times New Roman" w:cs="Arial"/>
          <w:color w:val="000000"/>
          <w:lang w:eastAsia="bg-BG"/>
        </w:rPr>
        <w:t>или половото съзряване (вж. точка 4.4). Това проучване (</w:t>
      </w:r>
      <w:r w:rsidRPr="00144DBF">
        <w:rPr>
          <w:rFonts w:eastAsia="Times New Roman" w:cs="Arial"/>
          <w:color w:val="000000"/>
          <w:lang w:val="en-US"/>
        </w:rPr>
        <w:t>n</w:t>
      </w:r>
      <w:r w:rsidRPr="00144DBF">
        <w:rPr>
          <w:rFonts w:eastAsia="Times New Roman" w:cs="Arial"/>
          <w:color w:val="000000"/>
          <w:lang w:eastAsia="bg-BG"/>
        </w:rPr>
        <w:t>= 176) не беше предназначено за сравняване на редки нежелани лекарствени реакции.</w:t>
      </w:r>
    </w:p>
    <w:p w14:paraId="0F595089" w14:textId="77777777" w:rsidR="00144DBF" w:rsidRPr="00144DBF" w:rsidRDefault="00144DBF" w:rsidP="00144DBF">
      <w:pPr>
        <w:spacing w:line="240" w:lineRule="auto"/>
        <w:rPr>
          <w:rFonts w:eastAsia="Times New Roman" w:cs="Arial"/>
          <w:color w:val="000000"/>
          <w:lang w:eastAsia="bg-BG"/>
        </w:rPr>
      </w:pPr>
    </w:p>
    <w:p w14:paraId="53321756" w14:textId="29FDF97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Розувастатин е проучван също в едно 2-годишно открито клинично проучване с титриране на дозата до желаната доза при 198 деца с хетерозиготна фамилна хиперхолестеролемия на възраст 6 до 17 години (88 момчета и 110 момичета, стадий по Танер </w:t>
      </w:r>
      <w:r w:rsidRPr="00144DBF">
        <w:rPr>
          <w:rFonts w:eastAsia="Times New Roman" w:cs="Arial"/>
          <w:color w:val="000000"/>
          <w:lang w:val="en-US"/>
        </w:rPr>
        <w:t xml:space="preserve">&lt;II-V). </w:t>
      </w:r>
      <w:r w:rsidRPr="00144DBF">
        <w:rPr>
          <w:rFonts w:eastAsia="Times New Roman" w:cs="Arial"/>
          <w:color w:val="000000"/>
          <w:lang w:eastAsia="bg-BG"/>
        </w:rPr>
        <w:t xml:space="preserve">Началната доза при всички пациенти е 5 </w:t>
      </w:r>
      <w:r w:rsidRPr="00144DBF">
        <w:rPr>
          <w:rFonts w:eastAsia="Times New Roman" w:cs="Arial"/>
          <w:color w:val="000000"/>
          <w:lang w:val="en-US"/>
        </w:rPr>
        <w:t xml:space="preserve">mg </w:t>
      </w:r>
      <w:r w:rsidRPr="00144DBF">
        <w:rPr>
          <w:rFonts w:eastAsia="Times New Roman" w:cs="Arial"/>
          <w:color w:val="000000"/>
          <w:lang w:eastAsia="bg-BG"/>
        </w:rPr>
        <w:t>розувастатин веднъж дневно. При пациентите на възраст 6 до 9 години (</w:t>
      </w:r>
      <w:r w:rsidRPr="00144DBF">
        <w:rPr>
          <w:rFonts w:eastAsia="Times New Roman" w:cs="Arial"/>
          <w:color w:val="000000"/>
          <w:lang w:val="en-US"/>
        </w:rPr>
        <w:t>n=</w:t>
      </w:r>
      <w:r w:rsidRPr="00144DBF">
        <w:rPr>
          <w:rFonts w:eastAsia="Times New Roman" w:cs="Arial"/>
          <w:color w:val="000000"/>
          <w:lang w:eastAsia="bg-BG"/>
        </w:rPr>
        <w:t xml:space="preserve">64) дозата може да се титрира до максимална доза 10 </w:t>
      </w:r>
      <w:r w:rsidRPr="00144DBF">
        <w:rPr>
          <w:rFonts w:eastAsia="Times New Roman" w:cs="Arial"/>
          <w:color w:val="000000"/>
          <w:lang w:val="en-US"/>
        </w:rPr>
        <w:t xml:space="preserve">mg </w:t>
      </w:r>
      <w:r w:rsidRPr="00144DBF">
        <w:rPr>
          <w:rFonts w:eastAsia="Times New Roman" w:cs="Arial"/>
          <w:color w:val="000000"/>
          <w:lang w:eastAsia="bg-BG"/>
        </w:rPr>
        <w:t>веднъж дневно, а при пациенти на възраст 10 до 17 години (</w:t>
      </w:r>
      <w:r w:rsidRPr="00144DBF">
        <w:rPr>
          <w:rFonts w:eastAsia="Times New Roman" w:cs="Arial"/>
          <w:color w:val="000000"/>
          <w:lang w:val="en-US"/>
        </w:rPr>
        <w:t>n</w:t>
      </w:r>
      <w:r w:rsidRPr="00144DBF">
        <w:rPr>
          <w:rFonts w:eastAsia="Times New Roman" w:cs="Arial"/>
          <w:color w:val="000000"/>
          <w:lang w:eastAsia="bg-BG"/>
        </w:rPr>
        <w:t xml:space="preserve">=134) до максимална доза 20 </w:t>
      </w:r>
      <w:r w:rsidRPr="00144DBF">
        <w:rPr>
          <w:rFonts w:eastAsia="Times New Roman" w:cs="Arial"/>
          <w:color w:val="000000"/>
          <w:lang w:val="en-US"/>
        </w:rPr>
        <w:t xml:space="preserve">mg </w:t>
      </w:r>
      <w:r w:rsidRPr="00144DBF">
        <w:rPr>
          <w:rFonts w:eastAsia="Times New Roman" w:cs="Arial"/>
          <w:color w:val="000000"/>
          <w:lang w:eastAsia="bg-BG"/>
        </w:rPr>
        <w:t>веднъж дневно.</w:t>
      </w:r>
    </w:p>
    <w:p w14:paraId="130ED692" w14:textId="77777777" w:rsidR="00144DBF" w:rsidRPr="00144DBF" w:rsidRDefault="00144DBF" w:rsidP="00144DBF">
      <w:pPr>
        <w:spacing w:line="240" w:lineRule="auto"/>
        <w:rPr>
          <w:rFonts w:eastAsia="Times New Roman" w:cs="Arial"/>
          <w:color w:val="000000"/>
          <w:lang w:eastAsia="bg-BG"/>
        </w:rPr>
      </w:pPr>
    </w:p>
    <w:p w14:paraId="43B61DC7" w14:textId="7073519D"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След 24 месеца на лечение с розувастатин, </w:t>
      </w:r>
      <w:r w:rsidRPr="00144DBF">
        <w:rPr>
          <w:rFonts w:eastAsia="Times New Roman" w:cs="Arial"/>
          <w:color w:val="000000"/>
          <w:lang w:val="en-US"/>
        </w:rPr>
        <w:t xml:space="preserve">LS </w:t>
      </w:r>
      <w:r w:rsidRPr="00144DBF">
        <w:rPr>
          <w:rFonts w:eastAsia="Times New Roman" w:cs="Arial"/>
          <w:color w:val="000000"/>
          <w:lang w:eastAsia="bg-BG"/>
        </w:rPr>
        <w:t xml:space="preserve">на средния процент на намаление на </w:t>
      </w:r>
      <w:r w:rsidRPr="00144DBF">
        <w:rPr>
          <w:rFonts w:eastAsia="Times New Roman" w:cs="Arial"/>
          <w:color w:val="000000"/>
          <w:lang w:val="en-US"/>
        </w:rPr>
        <w:t xml:space="preserve">LDL-C </w:t>
      </w:r>
      <w:r w:rsidRPr="00144DBF">
        <w:rPr>
          <w:rFonts w:eastAsia="Times New Roman" w:cs="Arial"/>
          <w:color w:val="000000"/>
          <w:lang w:eastAsia="bg-BG"/>
        </w:rPr>
        <w:t xml:space="preserve">спрямо изходната стойност е -43% (Изходно ниво: 236 </w:t>
      </w:r>
      <w:r w:rsidRPr="00144DBF">
        <w:rPr>
          <w:rFonts w:eastAsia="Times New Roman" w:cs="Arial"/>
          <w:color w:val="000000"/>
          <w:lang w:val="en-US"/>
        </w:rPr>
        <w:t xml:space="preserve">mg/dl, </w:t>
      </w:r>
      <w:r w:rsidRPr="00144DBF">
        <w:rPr>
          <w:rFonts w:eastAsia="Times New Roman" w:cs="Arial"/>
          <w:color w:val="000000"/>
          <w:lang w:eastAsia="bg-BG"/>
        </w:rPr>
        <w:t xml:space="preserve">месец 24: 133 </w:t>
      </w:r>
      <w:r w:rsidRPr="00144DBF">
        <w:rPr>
          <w:rFonts w:eastAsia="Times New Roman" w:cs="Arial"/>
          <w:color w:val="000000"/>
          <w:lang w:val="en-US"/>
        </w:rPr>
        <w:t xml:space="preserve">mg/dl). </w:t>
      </w:r>
      <w:r w:rsidRPr="00144DBF">
        <w:rPr>
          <w:rFonts w:eastAsia="Times New Roman" w:cs="Arial"/>
          <w:color w:val="000000"/>
          <w:lang w:eastAsia="bg-BG"/>
        </w:rPr>
        <w:t xml:space="preserve">За всяка възрастова група, </w:t>
      </w:r>
      <w:r w:rsidRPr="00144DBF">
        <w:rPr>
          <w:rFonts w:eastAsia="Times New Roman" w:cs="Arial"/>
          <w:color w:val="000000"/>
          <w:lang w:val="en-US"/>
        </w:rPr>
        <w:t xml:space="preserve">LS </w:t>
      </w:r>
      <w:r w:rsidRPr="00144DBF">
        <w:rPr>
          <w:rFonts w:eastAsia="Times New Roman" w:cs="Arial"/>
          <w:color w:val="000000"/>
          <w:lang w:eastAsia="bg-BG"/>
        </w:rPr>
        <w:t xml:space="preserve">на средния процент на намаление на </w:t>
      </w:r>
      <w:r w:rsidRPr="00144DBF">
        <w:rPr>
          <w:rFonts w:eastAsia="Times New Roman" w:cs="Arial"/>
          <w:color w:val="000000"/>
          <w:lang w:val="en-US"/>
        </w:rPr>
        <w:t xml:space="preserve">LDL-C </w:t>
      </w:r>
      <w:r w:rsidRPr="00144DBF">
        <w:rPr>
          <w:rFonts w:eastAsia="Times New Roman" w:cs="Arial"/>
          <w:color w:val="000000"/>
          <w:lang w:eastAsia="bg-BG"/>
        </w:rPr>
        <w:t xml:space="preserve">спрямо изходната стойност е - 43% (изходно ниво: 234 </w:t>
      </w:r>
      <w:r w:rsidRPr="00144DBF">
        <w:rPr>
          <w:rFonts w:eastAsia="Times New Roman" w:cs="Arial"/>
          <w:color w:val="000000"/>
          <w:lang w:val="en-US"/>
        </w:rPr>
        <w:t xml:space="preserve">mg/dl, </w:t>
      </w:r>
      <w:r w:rsidRPr="00144DBF">
        <w:rPr>
          <w:rFonts w:eastAsia="Times New Roman" w:cs="Arial"/>
          <w:color w:val="000000"/>
          <w:lang w:eastAsia="bg-BG"/>
        </w:rPr>
        <w:t xml:space="preserve">месец 24: 124 </w:t>
      </w:r>
      <w:r w:rsidRPr="00144DBF">
        <w:rPr>
          <w:rFonts w:eastAsia="Times New Roman" w:cs="Arial"/>
          <w:color w:val="000000"/>
          <w:lang w:val="en-US"/>
        </w:rPr>
        <w:t xml:space="preserve">mg/dl), </w:t>
      </w:r>
      <w:r w:rsidRPr="00144DBF">
        <w:rPr>
          <w:rFonts w:eastAsia="Times New Roman" w:cs="Arial"/>
          <w:color w:val="000000"/>
          <w:lang w:eastAsia="bg-BG"/>
        </w:rPr>
        <w:t xml:space="preserve">-45% (изходно ниво: 234 </w:t>
      </w:r>
      <w:r w:rsidRPr="00144DBF">
        <w:rPr>
          <w:rFonts w:eastAsia="Times New Roman" w:cs="Arial"/>
          <w:color w:val="000000"/>
          <w:lang w:val="en-US"/>
        </w:rPr>
        <w:t xml:space="preserve">mg/dl, </w:t>
      </w:r>
      <w:r w:rsidRPr="00144DBF">
        <w:rPr>
          <w:rFonts w:eastAsia="Times New Roman" w:cs="Arial"/>
          <w:color w:val="000000"/>
          <w:lang w:eastAsia="bg-BG"/>
        </w:rPr>
        <w:t xml:space="preserve">124 </w:t>
      </w:r>
      <w:r w:rsidRPr="00144DBF">
        <w:rPr>
          <w:rFonts w:eastAsia="Times New Roman" w:cs="Arial"/>
          <w:color w:val="000000"/>
          <w:lang w:val="en-US"/>
        </w:rPr>
        <w:t xml:space="preserve">mg/dl), </w:t>
      </w:r>
      <w:r w:rsidRPr="00144DBF">
        <w:rPr>
          <w:rFonts w:eastAsia="Times New Roman" w:cs="Arial"/>
          <w:color w:val="000000"/>
          <w:lang w:eastAsia="bg-BG"/>
        </w:rPr>
        <w:t xml:space="preserve">и -35% (изходно ниво: 241 </w:t>
      </w:r>
      <w:r w:rsidRPr="00144DBF">
        <w:rPr>
          <w:rFonts w:eastAsia="Times New Roman" w:cs="Arial"/>
          <w:color w:val="000000"/>
          <w:lang w:val="en-US"/>
        </w:rPr>
        <w:t xml:space="preserve">mg/dl, </w:t>
      </w:r>
      <w:r w:rsidRPr="00144DBF">
        <w:rPr>
          <w:rFonts w:eastAsia="Times New Roman" w:cs="Arial"/>
          <w:color w:val="000000"/>
          <w:lang w:eastAsia="bg-BG"/>
        </w:rPr>
        <w:t xml:space="preserve">месец 24: 153 </w:t>
      </w:r>
      <w:r w:rsidRPr="00144DBF">
        <w:rPr>
          <w:rFonts w:eastAsia="Times New Roman" w:cs="Arial"/>
          <w:color w:val="000000"/>
          <w:lang w:val="en-US"/>
        </w:rPr>
        <w:t xml:space="preserve">mg/dl) </w:t>
      </w:r>
      <w:r w:rsidRPr="00144DBF">
        <w:rPr>
          <w:rFonts w:eastAsia="Times New Roman" w:cs="Arial"/>
          <w:color w:val="000000"/>
          <w:lang w:eastAsia="bg-BG"/>
        </w:rPr>
        <w:t>във възрастовите групи 6 до &lt;10,10 до &lt; 14 и 14 до &lt;18 съответно.</w:t>
      </w:r>
    </w:p>
    <w:p w14:paraId="2C7D6CF0" w14:textId="77777777" w:rsidR="00144DBF" w:rsidRPr="00144DBF" w:rsidRDefault="00144DBF" w:rsidP="00144DBF">
      <w:pPr>
        <w:spacing w:line="240" w:lineRule="auto"/>
        <w:rPr>
          <w:rFonts w:eastAsia="Times New Roman" w:cs="Arial"/>
          <w:color w:val="000000"/>
          <w:lang w:eastAsia="bg-BG"/>
        </w:rPr>
      </w:pPr>
    </w:p>
    <w:p w14:paraId="3CA12579" w14:textId="3B4A4D1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Розувастатин 5 </w:t>
      </w:r>
      <w:r w:rsidRPr="00144DBF">
        <w:rPr>
          <w:rFonts w:eastAsia="Times New Roman" w:cs="Arial"/>
          <w:color w:val="000000"/>
          <w:lang w:val="en-US"/>
        </w:rPr>
        <w:t xml:space="preserve">mg, </w:t>
      </w:r>
      <w:r w:rsidRPr="00144DBF">
        <w:rPr>
          <w:rFonts w:eastAsia="Times New Roman" w:cs="Arial"/>
          <w:color w:val="000000"/>
          <w:lang w:eastAsia="bg-BG"/>
        </w:rPr>
        <w:t xml:space="preserve">10 </w:t>
      </w:r>
      <w:r w:rsidRPr="00144DBF">
        <w:rPr>
          <w:rFonts w:eastAsia="Times New Roman" w:cs="Arial"/>
          <w:color w:val="000000"/>
          <w:lang w:val="en-US"/>
        </w:rPr>
        <w:t xml:space="preserve">mg </w:t>
      </w:r>
      <w:r w:rsidRPr="00144DBF">
        <w:rPr>
          <w:rFonts w:eastAsia="Times New Roman" w:cs="Arial"/>
          <w:color w:val="000000"/>
          <w:lang w:eastAsia="bg-BG"/>
        </w:rPr>
        <w:t xml:space="preserve">и 20 </w:t>
      </w:r>
      <w:r w:rsidRPr="00144DBF">
        <w:rPr>
          <w:rFonts w:eastAsia="Times New Roman" w:cs="Arial"/>
          <w:color w:val="000000"/>
          <w:lang w:val="en-US"/>
        </w:rPr>
        <w:t xml:space="preserve">mg </w:t>
      </w:r>
      <w:r w:rsidRPr="00144DBF">
        <w:rPr>
          <w:rFonts w:eastAsia="Times New Roman" w:cs="Arial"/>
          <w:color w:val="000000"/>
          <w:lang w:eastAsia="bg-BG"/>
        </w:rPr>
        <w:t xml:space="preserve">достигат също статистически значими средни промени спрямо изходно ниво за следните вторични показатели на липидите и липопротеините: </w:t>
      </w:r>
      <w:r w:rsidRPr="00144DBF">
        <w:rPr>
          <w:rFonts w:eastAsia="Times New Roman" w:cs="Arial"/>
          <w:color w:val="000000"/>
          <w:lang w:val="en-US"/>
        </w:rPr>
        <w:t xml:space="preserve">HDL-C, </w:t>
      </w:r>
      <w:r w:rsidRPr="00144DBF">
        <w:rPr>
          <w:rFonts w:eastAsia="Times New Roman" w:cs="Arial"/>
          <w:color w:val="000000"/>
          <w:lang w:eastAsia="bg-BG"/>
        </w:rPr>
        <w:t>ТС, не</w:t>
      </w:r>
      <w:r w:rsidRPr="00144DBF">
        <w:rPr>
          <w:rFonts w:eastAsia="Times New Roman" w:cs="Arial"/>
          <w:color w:val="000000"/>
          <w:lang w:val="en-US"/>
        </w:rPr>
        <w:t xml:space="preserve">-HDL-C, LDL-C/HDL-C, TC/HDL-C, TG/HDL-C, </w:t>
      </w:r>
      <w:r w:rsidRPr="00144DBF">
        <w:rPr>
          <w:rFonts w:eastAsia="Times New Roman" w:cs="Arial"/>
          <w:color w:val="000000"/>
          <w:lang w:eastAsia="bg-BG"/>
        </w:rPr>
        <w:t xml:space="preserve">не </w:t>
      </w:r>
      <w:r w:rsidRPr="00144DBF">
        <w:rPr>
          <w:rFonts w:eastAsia="Times New Roman" w:cs="Arial"/>
          <w:color w:val="000000"/>
          <w:lang w:val="en-US"/>
        </w:rPr>
        <w:t xml:space="preserve">HDL C/HDL-C, </w:t>
      </w:r>
      <w:r w:rsidRPr="00144DBF">
        <w:rPr>
          <w:rFonts w:eastAsia="Times New Roman" w:cs="Arial"/>
          <w:color w:val="000000"/>
          <w:lang w:eastAsia="bg-BG"/>
        </w:rPr>
        <w:t>АроВ, АроВ/АроА-1. Всяка от тези промени е в посока на подобрен липиден отговор и се поддържа в продължение на 2 години.</w:t>
      </w:r>
    </w:p>
    <w:p w14:paraId="546D6994" w14:textId="77777777" w:rsidR="00144DBF" w:rsidRPr="00144DBF" w:rsidRDefault="00144DBF" w:rsidP="00144DBF">
      <w:pPr>
        <w:spacing w:line="240" w:lineRule="auto"/>
        <w:rPr>
          <w:rFonts w:eastAsia="Times New Roman" w:cs="Arial"/>
          <w:color w:val="000000"/>
          <w:lang w:eastAsia="bg-BG"/>
        </w:rPr>
      </w:pPr>
    </w:p>
    <w:p w14:paraId="0D27660E" w14:textId="62C90263"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 се установява ефект върху растежа, теглото, ИТМ или половото съзряване след 24 месеца на лечение (вж. точка 4.4).</w:t>
      </w:r>
      <w:r w:rsidRPr="00144DBF">
        <w:rPr>
          <w:rFonts w:eastAsia="Times New Roman" w:cs="Arial"/>
          <w:color w:val="000000"/>
          <w:lang w:eastAsia="bg-BG"/>
        </w:rPr>
        <w:tab/>
      </w:r>
    </w:p>
    <w:p w14:paraId="3B82EB6C" w14:textId="77777777" w:rsidR="00144DBF" w:rsidRPr="00144DBF" w:rsidRDefault="00144DBF" w:rsidP="00144DBF">
      <w:pPr>
        <w:spacing w:line="240" w:lineRule="auto"/>
        <w:rPr>
          <w:rFonts w:eastAsia="Times New Roman" w:cs="Arial"/>
          <w:sz w:val="24"/>
          <w:szCs w:val="24"/>
          <w:lang w:eastAsia="bg-BG"/>
        </w:rPr>
      </w:pPr>
    </w:p>
    <w:p w14:paraId="3D7A8FDD" w14:textId="1C3FFB66" w:rsidR="00144DBF" w:rsidRPr="00144DBF" w:rsidRDefault="00144DBF" w:rsidP="00144DBF">
      <w:pPr>
        <w:rPr>
          <w:rFonts w:eastAsia="Times New Roman" w:cs="Arial"/>
          <w:sz w:val="24"/>
          <w:szCs w:val="24"/>
          <w:lang w:eastAsia="bg-BG"/>
        </w:rPr>
      </w:pPr>
      <w:r w:rsidRPr="00144DBF">
        <w:rPr>
          <w:rFonts w:eastAsia="Times New Roman" w:cs="Arial"/>
          <w:color w:val="000000"/>
          <w:lang w:eastAsia="bg-BG"/>
        </w:rPr>
        <w:t xml:space="preserve">Розувастатин е проучван в рандомизирано, двойносляпо, плацебо-контролирано, многоцентрово, кръстосано проучване с доза 20 </w:t>
      </w:r>
      <w:r w:rsidRPr="00144DBF">
        <w:rPr>
          <w:rFonts w:eastAsia="Times New Roman" w:cs="Arial"/>
          <w:color w:val="000000"/>
          <w:lang w:val="en-US"/>
        </w:rPr>
        <w:t xml:space="preserve">mg </w:t>
      </w:r>
      <w:r w:rsidRPr="00144DBF">
        <w:rPr>
          <w:rFonts w:eastAsia="Times New Roman" w:cs="Arial"/>
          <w:color w:val="000000"/>
          <w:lang w:eastAsia="bg-BG"/>
        </w:rPr>
        <w:t>веднъж дневно, спрямо плацебо при 14 деца и юноши (на възраст от 6 до 1</w:t>
      </w:r>
      <w:r>
        <w:rPr>
          <w:rFonts w:eastAsia="Times New Roman" w:cs="Arial"/>
          <w:color w:val="000000"/>
          <w:lang w:eastAsia="bg-BG"/>
        </w:rPr>
        <w:t xml:space="preserve">7 години) с хомозиготна фамилна </w:t>
      </w:r>
      <w:r w:rsidRPr="00144DBF">
        <w:rPr>
          <w:rFonts w:eastAsia="Times New Roman" w:cs="Arial"/>
          <w:color w:val="000000"/>
          <w:lang w:eastAsia="bg-BG"/>
        </w:rPr>
        <w:t xml:space="preserve">хиперхолестеролемия. Проучването включва активна 4- седмична встъпителна фаза на диета, по време на която пациентите са лекукани с розувастатин 10 </w:t>
      </w:r>
      <w:r w:rsidRPr="00144DBF">
        <w:rPr>
          <w:rFonts w:eastAsia="Times New Roman" w:cs="Arial"/>
          <w:color w:val="000000"/>
          <w:lang w:val="en-US"/>
        </w:rPr>
        <w:t>mg,</w:t>
      </w:r>
      <w:r w:rsidRPr="00144DBF">
        <w:rPr>
          <w:rFonts w:eastAsia="Times New Roman" w:cs="Arial"/>
          <w:color w:val="000000"/>
        </w:rPr>
        <w:t xml:space="preserve"> </w:t>
      </w:r>
      <w:r w:rsidRPr="00144DBF">
        <w:rPr>
          <w:rFonts w:eastAsia="Times New Roman" w:cs="Arial"/>
          <w:color w:val="000000"/>
          <w:lang w:eastAsia="bg-BG"/>
        </w:rPr>
        <w:t xml:space="preserve">една кръстосана фаза, която включва период от 6-седмично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 xml:space="preserve">предшествана или последвана от 6-седмично лечение с плацебо и поддържащата 12-седмична фаза, през която всички пациенти са лекувани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Пациентите, които постъпват на терапия с езетимиб или афереза, продължават лечението си през целия период на проучването.</w:t>
      </w:r>
    </w:p>
    <w:p w14:paraId="3EDAE260" w14:textId="77777777" w:rsidR="00144DBF" w:rsidRPr="00144DBF" w:rsidRDefault="00144DBF" w:rsidP="00144DBF">
      <w:pPr>
        <w:rPr>
          <w:rFonts w:eastAsia="Times New Roman" w:cs="Arial"/>
          <w:sz w:val="24"/>
          <w:szCs w:val="24"/>
          <w:lang w:eastAsia="bg-BG"/>
        </w:rPr>
      </w:pPr>
    </w:p>
    <w:p w14:paraId="54C66870" w14:textId="63B386BF" w:rsidR="00144DBF" w:rsidRPr="00144DBF" w:rsidRDefault="00144DBF" w:rsidP="00144DBF">
      <w:pPr>
        <w:rPr>
          <w:rFonts w:eastAsia="Times New Roman" w:cs="Arial"/>
          <w:sz w:val="24"/>
          <w:szCs w:val="24"/>
          <w:lang w:eastAsia="bg-BG"/>
        </w:rPr>
      </w:pPr>
      <w:r w:rsidRPr="00144DBF">
        <w:rPr>
          <w:rFonts w:eastAsia="Times New Roman" w:cs="Arial"/>
          <w:color w:val="000000"/>
          <w:lang w:eastAsia="bg-BG"/>
        </w:rPr>
        <w:t xml:space="preserve">Статистически сигнификантно (р=0.005) и клинично значимо намаление на </w:t>
      </w:r>
      <w:r w:rsidRPr="00144DBF">
        <w:rPr>
          <w:rFonts w:eastAsia="Times New Roman" w:cs="Arial"/>
          <w:color w:val="000000"/>
          <w:lang w:val="en-US"/>
        </w:rPr>
        <w:t xml:space="preserve">LDL-C </w:t>
      </w:r>
      <w:r w:rsidRPr="00144DBF">
        <w:rPr>
          <w:rFonts w:eastAsia="Times New Roman" w:cs="Arial"/>
          <w:color w:val="000000"/>
          <w:lang w:eastAsia="bg-BG"/>
        </w:rPr>
        <w:t xml:space="preserve">(22,3%, 85,4 </w:t>
      </w:r>
      <w:r w:rsidRPr="00144DBF">
        <w:rPr>
          <w:rFonts w:eastAsia="Times New Roman" w:cs="Arial"/>
          <w:color w:val="000000"/>
          <w:lang w:val="en-US"/>
        </w:rPr>
        <w:t>mg/</w:t>
      </w:r>
      <w:proofErr w:type="spellStart"/>
      <w:r w:rsidRPr="00144DBF">
        <w:rPr>
          <w:rFonts w:eastAsia="Times New Roman" w:cs="Arial"/>
          <w:color w:val="000000"/>
          <w:lang w:val="en-US"/>
        </w:rPr>
        <w:t>dL</w:t>
      </w:r>
      <w:proofErr w:type="spellEnd"/>
      <w:r w:rsidRPr="00144DBF">
        <w:rPr>
          <w:rFonts w:eastAsia="Times New Roman" w:cs="Arial"/>
          <w:color w:val="000000"/>
          <w:lang w:val="en-US"/>
        </w:rPr>
        <w:t xml:space="preserve"> </w:t>
      </w:r>
      <w:r w:rsidRPr="00144DBF">
        <w:rPr>
          <w:rFonts w:eastAsia="Times New Roman" w:cs="Arial"/>
          <w:color w:val="000000"/>
          <w:lang w:eastAsia="bg-BG"/>
        </w:rPr>
        <w:t xml:space="preserve">или 2,2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 xml:space="preserve">/L) </w:t>
      </w:r>
      <w:r w:rsidRPr="00144DBF">
        <w:rPr>
          <w:rFonts w:eastAsia="Times New Roman" w:cs="Arial"/>
          <w:color w:val="000000"/>
          <w:lang w:eastAsia="bg-BG"/>
        </w:rPr>
        <w:t xml:space="preserve">се наблюдава 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в сравнение с плацебо при деца и</w:t>
      </w:r>
      <w:r>
        <w:rPr>
          <w:rFonts w:eastAsia="Times New Roman" w:cs="Arial"/>
          <w:color w:val="000000"/>
          <w:lang w:eastAsia="bg-BG"/>
        </w:rPr>
        <w:t xml:space="preserve"> юноши с хомозиготна фамилна </w:t>
      </w:r>
      <w:r w:rsidRPr="00144DBF">
        <w:rPr>
          <w:rFonts w:eastAsia="Times New Roman" w:cs="Arial"/>
          <w:color w:val="000000"/>
          <w:lang w:eastAsia="bg-BG"/>
        </w:rPr>
        <w:t>хиперхолестеролемия. Статистически значими намаления в общия холестерол (20,1%, р=0.003), н</w:t>
      </w:r>
      <w:proofErr w:type="spellStart"/>
      <w:r w:rsidRPr="00144DBF">
        <w:rPr>
          <w:rFonts w:eastAsia="Times New Roman" w:cs="Arial"/>
          <w:color w:val="000000"/>
          <w:lang w:val="en-US"/>
        </w:rPr>
        <w:t>eHDL</w:t>
      </w:r>
      <w:proofErr w:type="spellEnd"/>
      <w:r w:rsidRPr="00144DBF">
        <w:rPr>
          <w:rFonts w:eastAsia="Times New Roman" w:cs="Arial"/>
          <w:color w:val="000000"/>
          <w:lang w:val="en-US"/>
        </w:rPr>
        <w:t xml:space="preserve">-C </w:t>
      </w:r>
      <w:r w:rsidRPr="00144DBF">
        <w:rPr>
          <w:rFonts w:eastAsia="Times New Roman" w:cs="Arial"/>
          <w:color w:val="000000"/>
          <w:lang w:eastAsia="bg-BG"/>
        </w:rPr>
        <w:t xml:space="preserve">(22.9%, р=0.003) и АроВ (17,1%, р=0,024), са наблюдавани 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 xml:space="preserve">в сравнение с плацебо при деца и юноши с хомозиготна фамилна хиперхолестеролемия. Понижаване също така се наблюдава на триглицеридите, съотношенията </w:t>
      </w:r>
      <w:r w:rsidRPr="00144DBF">
        <w:rPr>
          <w:rFonts w:eastAsia="Times New Roman" w:cs="Arial"/>
          <w:color w:val="000000"/>
          <w:lang w:val="en-US"/>
        </w:rPr>
        <w:t xml:space="preserve">LDL-C/HDL-C, </w:t>
      </w:r>
      <w:r w:rsidRPr="00144DBF">
        <w:rPr>
          <w:rFonts w:eastAsia="Times New Roman" w:cs="Arial"/>
          <w:color w:val="000000"/>
          <w:lang w:eastAsia="bg-BG"/>
        </w:rPr>
        <w:t xml:space="preserve">общ </w:t>
      </w:r>
      <w:r w:rsidRPr="00144DBF">
        <w:rPr>
          <w:rFonts w:eastAsia="Times New Roman" w:cs="Arial"/>
          <w:color w:val="000000"/>
          <w:lang w:val="en-US"/>
        </w:rPr>
        <w:t xml:space="preserve">C/HDL-C, </w:t>
      </w:r>
      <w:r w:rsidRPr="00144DBF">
        <w:rPr>
          <w:rFonts w:eastAsia="Times New Roman" w:cs="Arial"/>
          <w:color w:val="000000"/>
          <w:lang w:eastAsia="bg-BG"/>
        </w:rPr>
        <w:t>н</w:t>
      </w:r>
      <w:proofErr w:type="spellStart"/>
      <w:r w:rsidRPr="00144DBF">
        <w:rPr>
          <w:rFonts w:eastAsia="Times New Roman" w:cs="Arial"/>
          <w:color w:val="000000"/>
          <w:lang w:val="en-US"/>
        </w:rPr>
        <w:t>eHDL</w:t>
      </w:r>
      <w:proofErr w:type="spellEnd"/>
      <w:r w:rsidRPr="00144DBF">
        <w:rPr>
          <w:rFonts w:eastAsia="Times New Roman" w:cs="Arial"/>
          <w:color w:val="000000"/>
          <w:lang w:val="en-US"/>
        </w:rPr>
        <w:t xml:space="preserve">-C/HDL-C </w:t>
      </w:r>
      <w:r w:rsidRPr="00144DBF">
        <w:rPr>
          <w:rFonts w:eastAsia="Times New Roman" w:cs="Arial"/>
          <w:color w:val="000000"/>
          <w:lang w:eastAsia="bg-BG"/>
        </w:rPr>
        <w:t>и АроВ/АроА</w:t>
      </w:r>
      <w:r w:rsidRPr="00144DBF">
        <w:rPr>
          <w:rFonts w:eastAsia="Times New Roman" w:cs="Arial"/>
          <w:color w:val="000000"/>
          <w:lang w:val="en-US"/>
        </w:rPr>
        <w:t xml:space="preserve">-I </w:t>
      </w:r>
      <w:r w:rsidRPr="00144DBF">
        <w:rPr>
          <w:rFonts w:eastAsia="Times New Roman" w:cs="Arial"/>
          <w:color w:val="000000"/>
          <w:lang w:eastAsia="bg-BG"/>
        </w:rPr>
        <w:t xml:space="preserve">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 xml:space="preserve">в сравнение с плацебо, при деца и юноши. Намалението на </w:t>
      </w:r>
      <w:r w:rsidRPr="00144DBF">
        <w:rPr>
          <w:rFonts w:eastAsia="Times New Roman" w:cs="Arial"/>
          <w:color w:val="000000"/>
          <w:lang w:val="en-US"/>
        </w:rPr>
        <w:t xml:space="preserve">LDL-C </w:t>
      </w:r>
      <w:r w:rsidRPr="00144DBF">
        <w:rPr>
          <w:rFonts w:eastAsia="Times New Roman" w:cs="Arial"/>
          <w:color w:val="000000"/>
          <w:lang w:eastAsia="bg-BG"/>
        </w:rPr>
        <w:t xml:space="preserve">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последвано от 6 седмици на лечение с плацебо, се запазва в рамките на 12-седмично непрекъснато лечение при деца и юноши с хомозиготна фамилна хиперхолестеролемия.</w:t>
      </w:r>
    </w:p>
    <w:p w14:paraId="19B4A7ED" w14:textId="77777777" w:rsidR="00144DBF" w:rsidRPr="00144DBF" w:rsidRDefault="00144DBF" w:rsidP="00144DBF">
      <w:pPr>
        <w:spacing w:line="240" w:lineRule="auto"/>
        <w:rPr>
          <w:rFonts w:eastAsia="Times New Roman" w:cs="Arial"/>
          <w:color w:val="000000"/>
          <w:lang w:eastAsia="bg-BG"/>
        </w:rPr>
      </w:pPr>
    </w:p>
    <w:p w14:paraId="5AA16415" w14:textId="12531E0E"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При 7-те оценявани деца и юноши (на възраст 8 до 17 години) с хомозиготна фамилна хиперхолестеролемия от отвореното проучване с форсирано титриране, процентното понижение на </w:t>
      </w:r>
      <w:r w:rsidRPr="00144DBF">
        <w:rPr>
          <w:rFonts w:eastAsia="Times New Roman" w:cs="Arial"/>
          <w:color w:val="000000"/>
          <w:lang w:val="en-US"/>
        </w:rPr>
        <w:t xml:space="preserve">LDL-C </w:t>
      </w:r>
      <w:r w:rsidRPr="00144DBF">
        <w:rPr>
          <w:rFonts w:eastAsia="Times New Roman" w:cs="Arial"/>
          <w:color w:val="000000"/>
          <w:lang w:eastAsia="bg-BG"/>
        </w:rPr>
        <w:t xml:space="preserve">(21,0%), общ С (19,2%) и </w:t>
      </w:r>
      <w:proofErr w:type="spellStart"/>
      <w:r w:rsidRPr="00144DBF">
        <w:rPr>
          <w:rFonts w:eastAsia="Times New Roman" w:cs="Arial"/>
          <w:color w:val="000000"/>
          <w:lang w:val="en-US"/>
        </w:rPr>
        <w:t>HeHDL</w:t>
      </w:r>
      <w:proofErr w:type="spellEnd"/>
      <w:r w:rsidRPr="00144DBF">
        <w:rPr>
          <w:rFonts w:eastAsia="Times New Roman" w:cs="Arial"/>
          <w:color w:val="000000"/>
          <w:lang w:val="en-US"/>
        </w:rPr>
        <w:t xml:space="preserve">-C </w:t>
      </w:r>
      <w:r w:rsidRPr="00144DBF">
        <w:rPr>
          <w:rFonts w:eastAsia="Times New Roman" w:cs="Arial"/>
          <w:color w:val="000000"/>
          <w:lang w:eastAsia="bg-BG"/>
        </w:rPr>
        <w:t xml:space="preserve">(21,0%) от изходното ниво, 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е в съответствие с тези, наблюдавани в хиперхолестеролемия.</w:t>
      </w:r>
    </w:p>
    <w:p w14:paraId="3C2FD6E0" w14:textId="77777777" w:rsidR="00144DBF" w:rsidRPr="00144DBF" w:rsidRDefault="00144DBF" w:rsidP="00144DBF">
      <w:pPr>
        <w:spacing w:line="240" w:lineRule="auto"/>
        <w:rPr>
          <w:rFonts w:eastAsia="Times New Roman" w:cs="Arial"/>
          <w:color w:val="000000"/>
          <w:lang w:eastAsia="bg-BG"/>
        </w:rPr>
      </w:pPr>
    </w:p>
    <w:p w14:paraId="51163413" w14:textId="3C484946"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розувастатин при всички подгрупи от педиатричната популация за лечение на хомозиготна фамилна хиперхолестеролемия, първично комбинирана (смесена) дислипидемия и за профилактика на сърдечно-съдовите събития (вж. точка 4.2 за информация относно употреба в педиатрията).</w:t>
      </w:r>
    </w:p>
    <w:p w14:paraId="20A596FB" w14:textId="77777777" w:rsidR="00144DBF" w:rsidRPr="0091385D" w:rsidRDefault="00144DBF"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7EADED5A" w14:textId="77777777" w:rsidR="00144DBF" w:rsidRPr="00144DBF" w:rsidRDefault="00144DBF" w:rsidP="00144DBF">
      <w:pPr>
        <w:pStyle w:val="Heading3"/>
        <w:rPr>
          <w:rFonts w:eastAsia="Times New Roman"/>
          <w:u w:val="single"/>
          <w:lang w:eastAsia="bg-BG"/>
        </w:rPr>
      </w:pPr>
      <w:r w:rsidRPr="00144DBF">
        <w:rPr>
          <w:rFonts w:eastAsia="Times New Roman"/>
          <w:u w:val="single"/>
          <w:lang w:eastAsia="bg-BG"/>
        </w:rPr>
        <w:t>Абсорбция</w:t>
      </w:r>
    </w:p>
    <w:p w14:paraId="71779419"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Максимални плазмени нива се достигат 5 часа след перорален прием. Абсолютната биоиаличност е приблизително 20%.</w:t>
      </w:r>
    </w:p>
    <w:p w14:paraId="3B2E9B7F" w14:textId="77777777" w:rsidR="00144DBF" w:rsidRPr="00144DBF" w:rsidRDefault="00144DBF" w:rsidP="00144DBF">
      <w:pPr>
        <w:spacing w:line="240" w:lineRule="auto"/>
        <w:rPr>
          <w:rFonts w:eastAsia="Times New Roman" w:cs="Arial"/>
          <w:color w:val="000000"/>
          <w:u w:val="single"/>
          <w:lang w:eastAsia="bg-BG"/>
        </w:rPr>
      </w:pPr>
    </w:p>
    <w:p w14:paraId="13796D69" w14:textId="05EEF4B6" w:rsidR="00144DBF" w:rsidRPr="00144DBF" w:rsidRDefault="00144DBF" w:rsidP="00144DBF">
      <w:pPr>
        <w:pStyle w:val="Heading3"/>
        <w:rPr>
          <w:rFonts w:eastAsia="Times New Roman"/>
          <w:u w:val="single"/>
          <w:lang w:eastAsia="bg-BG"/>
        </w:rPr>
      </w:pPr>
      <w:r w:rsidRPr="00144DBF">
        <w:rPr>
          <w:rFonts w:eastAsia="Times New Roman"/>
          <w:u w:val="single"/>
          <w:lang w:eastAsia="bg-BG"/>
        </w:rPr>
        <w:t>Разпределение</w:t>
      </w:r>
    </w:p>
    <w:p w14:paraId="3466FF08" w14:textId="65835A7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Розувастатин се поема основно от черния дроб, който е основното място на синтезиране на холестерола и отделяне на </w:t>
      </w:r>
      <w:r w:rsidRPr="00144DBF">
        <w:rPr>
          <w:rFonts w:eastAsia="Times New Roman" w:cs="Arial"/>
          <w:color w:val="000000"/>
          <w:lang w:val="en-US"/>
        </w:rPr>
        <w:t xml:space="preserve">LDL-C. </w:t>
      </w:r>
      <w:r w:rsidRPr="00144DBF">
        <w:rPr>
          <w:rFonts w:eastAsia="Times New Roman" w:cs="Arial"/>
          <w:color w:val="000000"/>
          <w:lang w:eastAsia="bg-BG"/>
        </w:rPr>
        <w:t>Обемът на разпределение на розувастатин е пр</w:t>
      </w:r>
      <w:r w:rsidR="004C0FE3">
        <w:rPr>
          <w:rFonts w:eastAsia="Times New Roman" w:cs="Arial"/>
          <w:color w:val="000000"/>
          <w:lang w:eastAsia="bg-BG"/>
        </w:rPr>
        <w:t>иблизително 134 l</w:t>
      </w:r>
      <w:r w:rsidRPr="00144DBF">
        <w:rPr>
          <w:rFonts w:eastAsia="Times New Roman" w:cs="Arial"/>
          <w:color w:val="000000"/>
          <w:lang w:eastAsia="bg-BG"/>
        </w:rPr>
        <w:t>. Розувастатин е свързан с плазмените протеини, предимно албумина, приблизително в 90%.</w:t>
      </w:r>
    </w:p>
    <w:p w14:paraId="32F89814" w14:textId="77777777" w:rsidR="00144DBF" w:rsidRPr="00144DBF" w:rsidRDefault="00144DBF" w:rsidP="00144DBF">
      <w:pPr>
        <w:spacing w:line="240" w:lineRule="auto"/>
        <w:rPr>
          <w:rFonts w:eastAsia="Times New Roman" w:cs="Arial"/>
          <w:color w:val="000000"/>
          <w:u w:val="single"/>
          <w:lang w:eastAsia="bg-BG"/>
        </w:rPr>
      </w:pPr>
    </w:p>
    <w:p w14:paraId="6E529DFC" w14:textId="3AA3A4DD" w:rsidR="00144DBF" w:rsidRPr="00144DBF" w:rsidRDefault="00144DBF" w:rsidP="00144DBF">
      <w:pPr>
        <w:pStyle w:val="Heading3"/>
        <w:rPr>
          <w:rFonts w:eastAsia="Times New Roman"/>
          <w:u w:val="single"/>
          <w:lang w:eastAsia="bg-BG"/>
        </w:rPr>
      </w:pPr>
      <w:r w:rsidRPr="00144DBF">
        <w:rPr>
          <w:rFonts w:eastAsia="Times New Roman"/>
          <w:u w:val="single"/>
          <w:lang w:eastAsia="bg-BG"/>
        </w:rPr>
        <w:t>Метаболизъм</w:t>
      </w:r>
    </w:p>
    <w:p w14:paraId="7283C2B5"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Метаболизмът на розувастатин е ограничен (около 10%). </w:t>
      </w:r>
      <w:r w:rsidRPr="00144DBF">
        <w:rPr>
          <w:rFonts w:eastAsia="Times New Roman" w:cs="Arial"/>
          <w:i/>
          <w:iCs/>
          <w:color w:val="000000"/>
          <w:lang w:val="en-US"/>
        </w:rPr>
        <w:t>In vitro</w:t>
      </w:r>
      <w:r w:rsidRPr="00144DBF">
        <w:rPr>
          <w:rFonts w:eastAsia="Times New Roman" w:cs="Arial"/>
          <w:color w:val="000000"/>
          <w:lang w:val="en-US"/>
        </w:rPr>
        <w:t xml:space="preserve"> </w:t>
      </w:r>
      <w:r w:rsidRPr="00144DBF">
        <w:rPr>
          <w:rFonts w:eastAsia="Times New Roman" w:cs="Arial"/>
          <w:color w:val="000000"/>
          <w:lang w:eastAsia="bg-BG"/>
        </w:rPr>
        <w:t>проучвания на метаболизма с използване на човешки хепатоцити показват, че розувастатин е слаб субстрат за цитохром Р450 обусловен метаболизъм, С</w:t>
      </w:r>
      <w:r w:rsidRPr="00144DBF">
        <w:rPr>
          <w:rFonts w:eastAsia="Times New Roman" w:cs="Arial"/>
          <w:color w:val="000000"/>
          <w:lang w:val="en-US"/>
        </w:rPr>
        <w:t xml:space="preserve">YP2C9 </w:t>
      </w:r>
      <w:r w:rsidRPr="00144DBF">
        <w:rPr>
          <w:rFonts w:eastAsia="Times New Roman" w:cs="Arial"/>
          <w:color w:val="000000"/>
          <w:lang w:eastAsia="bg-BG"/>
        </w:rPr>
        <w:t xml:space="preserve">е основният изоензим, който участва в метаболизма на розувастатин, </w:t>
      </w:r>
      <w:r w:rsidRPr="00144DBF">
        <w:rPr>
          <w:rFonts w:eastAsia="Times New Roman" w:cs="Arial"/>
          <w:color w:val="000000"/>
          <w:lang w:val="en-US"/>
        </w:rPr>
        <w:t xml:space="preserve">a </w:t>
      </w:r>
      <w:r w:rsidRPr="00144DBF">
        <w:rPr>
          <w:rFonts w:eastAsia="Times New Roman" w:cs="Arial"/>
          <w:color w:val="000000"/>
          <w:lang w:eastAsia="bg-BG"/>
        </w:rPr>
        <w:t xml:space="preserve">2С19, ЗА4 и </w:t>
      </w:r>
      <w:r w:rsidRPr="00144DBF">
        <w:rPr>
          <w:rFonts w:eastAsia="Times New Roman" w:cs="Arial"/>
          <w:color w:val="000000"/>
          <w:lang w:val="en-US"/>
        </w:rPr>
        <w:t xml:space="preserve">2D6 </w:t>
      </w:r>
      <w:r w:rsidRPr="00144DBF">
        <w:rPr>
          <w:rFonts w:eastAsia="Times New Roman" w:cs="Arial"/>
          <w:color w:val="000000"/>
          <w:lang w:eastAsia="bg-BG"/>
        </w:rPr>
        <w:t xml:space="preserve">участват в по-малка степен. Основните метаболити са </w:t>
      </w:r>
      <w:r w:rsidRPr="00144DBF">
        <w:rPr>
          <w:rFonts w:eastAsia="Times New Roman" w:cs="Arial"/>
          <w:color w:val="000000"/>
          <w:lang w:val="en-US"/>
        </w:rPr>
        <w:t>N</w:t>
      </w:r>
      <w:r w:rsidRPr="00144DBF">
        <w:rPr>
          <w:rFonts w:eastAsia="Times New Roman" w:cs="Arial"/>
          <w:color w:val="000000"/>
          <w:lang w:eastAsia="bg-BG"/>
        </w:rPr>
        <w:t xml:space="preserve">-десметил и лактон. </w:t>
      </w:r>
      <w:r w:rsidRPr="00144DBF">
        <w:rPr>
          <w:rFonts w:eastAsia="Times New Roman" w:cs="Arial"/>
          <w:color w:val="000000"/>
          <w:lang w:val="en-US"/>
        </w:rPr>
        <w:t xml:space="preserve">N- </w:t>
      </w:r>
      <w:proofErr w:type="gramStart"/>
      <w:r w:rsidRPr="00144DBF">
        <w:rPr>
          <w:rFonts w:eastAsia="Times New Roman" w:cs="Arial"/>
          <w:color w:val="000000"/>
          <w:lang w:eastAsia="bg-BG"/>
        </w:rPr>
        <w:t>десметил</w:t>
      </w:r>
      <w:proofErr w:type="gramEnd"/>
      <w:r w:rsidRPr="00144DBF">
        <w:rPr>
          <w:rFonts w:eastAsia="Times New Roman" w:cs="Arial"/>
          <w:color w:val="000000"/>
          <w:lang w:eastAsia="bg-BG"/>
        </w:rPr>
        <w:t xml:space="preserve"> е около 50% по-малко активен в сравнение с розувастатин, докато лактон се счита за клинично неактивен. Розувастатин определя повече от 90% от активността на циркулиращия инхибитор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w:t>
      </w:r>
    </w:p>
    <w:p w14:paraId="16B1B619" w14:textId="77777777" w:rsidR="00144DBF" w:rsidRPr="00144DBF" w:rsidRDefault="00144DBF" w:rsidP="00144DBF">
      <w:pPr>
        <w:spacing w:line="240" w:lineRule="auto"/>
        <w:rPr>
          <w:rFonts w:eastAsia="Times New Roman" w:cs="Arial"/>
          <w:color w:val="000000"/>
          <w:u w:val="single"/>
          <w:lang w:eastAsia="bg-BG"/>
        </w:rPr>
      </w:pPr>
    </w:p>
    <w:p w14:paraId="43D184D4" w14:textId="014D89F2" w:rsidR="00144DBF" w:rsidRPr="00144DBF" w:rsidRDefault="00144DBF" w:rsidP="00144DBF">
      <w:pPr>
        <w:pStyle w:val="Heading3"/>
        <w:rPr>
          <w:rFonts w:eastAsia="Times New Roman"/>
          <w:u w:val="single"/>
          <w:lang w:eastAsia="bg-BG"/>
        </w:rPr>
      </w:pPr>
      <w:r w:rsidRPr="00144DBF">
        <w:rPr>
          <w:rFonts w:eastAsia="Times New Roman"/>
          <w:u w:val="single"/>
          <w:lang w:eastAsia="bg-BG"/>
        </w:rPr>
        <w:lastRenderedPageBreak/>
        <w:t>Елиминиране</w:t>
      </w:r>
    </w:p>
    <w:p w14:paraId="148BA3FC" w14:textId="06102584" w:rsidR="0091385D" w:rsidRPr="00144DBF" w:rsidRDefault="00144DBF" w:rsidP="00144DBF">
      <w:pPr>
        <w:rPr>
          <w:rFonts w:eastAsia="Times New Roman" w:cs="Arial"/>
          <w:color w:val="000000"/>
          <w:lang w:eastAsia="bg-BG"/>
        </w:rPr>
      </w:pPr>
      <w:r w:rsidRPr="00144DBF">
        <w:rPr>
          <w:rFonts w:eastAsia="Times New Roman" w:cs="Arial"/>
          <w:color w:val="000000"/>
          <w:lang w:eastAsia="bg-BG"/>
        </w:rPr>
        <w:t xml:space="preserve">Приблизително 90% от розувастатин се елиминират като непроменено лекарство с фекалиите (абсорбирано и неабсорбирано лекарствено вещество) като останалата част се екскретира с урината. Около 5% се екскретира непроменен в урината. Плазменият полуживот е около 19 часа. Плазменият полуживот не се увеличава с увеличаване на дозата. Средният плазмен клирънс е приблизително 50 литра на час (коефициент на вариабилност 21,7%). Както при други инхибитори на редуктазата чернодробното поемане на розувастатин включва мембранния преносител </w:t>
      </w:r>
      <w:r w:rsidRPr="00144DBF">
        <w:rPr>
          <w:rFonts w:eastAsia="Times New Roman" w:cs="Arial"/>
          <w:color w:val="000000"/>
          <w:lang w:val="en-US"/>
        </w:rPr>
        <w:t xml:space="preserve">OATP-C. </w:t>
      </w:r>
      <w:r w:rsidRPr="00144DBF">
        <w:rPr>
          <w:rFonts w:eastAsia="Times New Roman" w:cs="Arial"/>
          <w:color w:val="000000"/>
          <w:lang w:eastAsia="bg-BG"/>
        </w:rPr>
        <w:t>Този преносител е важен за чернодробното елиминиране на розувастатин.</w:t>
      </w:r>
    </w:p>
    <w:p w14:paraId="38339176" w14:textId="24F12A96" w:rsidR="00144DBF" w:rsidRPr="00144DBF" w:rsidRDefault="00144DBF" w:rsidP="00144DBF">
      <w:pPr>
        <w:rPr>
          <w:rFonts w:cs="Arial"/>
        </w:rPr>
      </w:pPr>
    </w:p>
    <w:p w14:paraId="02FE7091"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u w:val="single"/>
          <w:lang w:eastAsia="bg-BG"/>
        </w:rPr>
        <w:t>Линейност/нелинейност</w:t>
      </w:r>
    </w:p>
    <w:p w14:paraId="76311C0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Системната експозиция на розувастатин се увеличава пропорционално на приеманата доза. Няма промяна във фармакокинетичните параметри при многократно дозиране.</w:t>
      </w:r>
    </w:p>
    <w:p w14:paraId="5E72AEA2" w14:textId="77777777" w:rsidR="00144DBF" w:rsidRPr="00144DBF" w:rsidRDefault="00144DBF" w:rsidP="00144DBF">
      <w:pPr>
        <w:spacing w:line="240" w:lineRule="auto"/>
        <w:rPr>
          <w:rFonts w:eastAsia="Times New Roman" w:cs="Arial"/>
          <w:color w:val="000000"/>
          <w:u w:val="single"/>
          <w:lang w:eastAsia="bg-BG"/>
        </w:rPr>
      </w:pPr>
    </w:p>
    <w:p w14:paraId="550E1376" w14:textId="0AB1B4D3"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u w:val="single"/>
          <w:lang w:eastAsia="bg-BG"/>
        </w:rPr>
        <w:t>Специални популации</w:t>
      </w:r>
    </w:p>
    <w:p w14:paraId="22798CB8" w14:textId="77777777" w:rsidR="00144DBF" w:rsidRPr="00144DBF" w:rsidRDefault="00144DBF" w:rsidP="00144DBF">
      <w:pPr>
        <w:spacing w:line="240" w:lineRule="auto"/>
        <w:rPr>
          <w:rFonts w:eastAsia="Times New Roman" w:cs="Arial"/>
          <w:i/>
          <w:iCs/>
          <w:color w:val="000000"/>
          <w:lang w:eastAsia="bg-BG"/>
        </w:rPr>
      </w:pPr>
    </w:p>
    <w:p w14:paraId="180D86A3" w14:textId="70A26E97"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Възраст и пол</w:t>
      </w:r>
    </w:p>
    <w:p w14:paraId="59F2DCDA"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Възрастта или пола нямат клинично значим ефект върху фармакокинетиката на розувастатин при възрастни. Фармакокинетиката на розувастатин при възрастни и деца с хетерозиготна фамилна хиперхолестеролемия беше сходна с тази на възрастните доброволци (вж. „Педиатрична популация“ по-долу).</w:t>
      </w:r>
    </w:p>
    <w:p w14:paraId="7790D7BF" w14:textId="77777777" w:rsidR="00144DBF" w:rsidRPr="00144DBF" w:rsidRDefault="00144DBF" w:rsidP="00144DBF">
      <w:pPr>
        <w:spacing w:line="240" w:lineRule="auto"/>
        <w:rPr>
          <w:rFonts w:eastAsia="Times New Roman" w:cs="Arial"/>
          <w:i/>
          <w:iCs/>
          <w:color w:val="000000"/>
          <w:lang w:eastAsia="bg-BG"/>
        </w:rPr>
      </w:pPr>
    </w:p>
    <w:p w14:paraId="550F7587" w14:textId="168B42DD"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Раса</w:t>
      </w:r>
    </w:p>
    <w:p w14:paraId="4D1CB02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Фармакокинетичните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144DBF">
        <w:rPr>
          <w:rFonts w:eastAsia="Times New Roman" w:cs="Arial"/>
          <w:color w:val="000000"/>
          <w:lang w:val="en-US"/>
        </w:rPr>
        <w:t xml:space="preserve">AUC </w:t>
      </w:r>
      <w:r w:rsidRPr="00144DBF">
        <w:rPr>
          <w:rFonts w:eastAsia="Times New Roman" w:cs="Arial"/>
          <w:color w:val="000000"/>
          <w:lang w:eastAsia="bg-BG"/>
        </w:rPr>
        <w:t>и С</w:t>
      </w:r>
      <w:r w:rsidRPr="00144DBF">
        <w:rPr>
          <w:rFonts w:eastAsia="Times New Roman" w:cs="Arial"/>
          <w:color w:val="000000"/>
          <w:vertAlign w:val="subscript"/>
          <w:lang w:val="en-US"/>
        </w:rPr>
        <w:t>max</w:t>
      </w:r>
      <w:r w:rsidRPr="00144DBF">
        <w:rPr>
          <w:rFonts w:eastAsia="Times New Roman" w:cs="Arial"/>
          <w:color w:val="000000"/>
          <w:lang w:eastAsia="bg-BG"/>
        </w:rPr>
        <w:t xml:space="preserve">, отколкото при индивиди от кавказката раса. При индийците е налице повишаване на </w:t>
      </w:r>
      <w:r w:rsidRPr="00144DBF">
        <w:rPr>
          <w:rFonts w:eastAsia="Times New Roman" w:cs="Arial"/>
          <w:color w:val="000000"/>
          <w:lang w:val="en-US"/>
        </w:rPr>
        <w:t xml:space="preserve">AUC </w:t>
      </w:r>
      <w:r w:rsidRPr="00144DBF">
        <w:rPr>
          <w:rFonts w:eastAsia="Times New Roman" w:cs="Arial"/>
          <w:color w:val="000000"/>
          <w:lang w:eastAsia="bg-BG"/>
        </w:rPr>
        <w:t>и С</w:t>
      </w:r>
      <w:r w:rsidRPr="00144DBF">
        <w:rPr>
          <w:rFonts w:eastAsia="Times New Roman" w:cs="Arial"/>
          <w:color w:val="000000"/>
          <w:vertAlign w:val="subscript"/>
          <w:lang w:val="en-US"/>
        </w:rPr>
        <w:t>max</w:t>
      </w:r>
      <w:r w:rsidRPr="00144DBF">
        <w:rPr>
          <w:rFonts w:eastAsia="Times New Roman" w:cs="Arial"/>
          <w:color w:val="000000"/>
          <w:lang w:eastAsia="bg-BG"/>
        </w:rPr>
        <w:t xml:space="preserve"> 1,3 пъти. Не е известно какво е значението на факторите на околната среда и на генетичните фактори за появата на тези разлики. Един популационен фармакокинетичен анализ показва, че между индивидите от кавказката и от черната раса няма клинично значими различия.</w:t>
      </w:r>
    </w:p>
    <w:p w14:paraId="301AFDE7" w14:textId="77777777" w:rsidR="00144DBF" w:rsidRPr="00144DBF" w:rsidRDefault="00144DBF" w:rsidP="00144DBF">
      <w:pPr>
        <w:spacing w:line="240" w:lineRule="auto"/>
        <w:rPr>
          <w:rFonts w:eastAsia="Times New Roman" w:cs="Arial"/>
          <w:i/>
          <w:iCs/>
          <w:color w:val="000000"/>
          <w:lang w:eastAsia="bg-BG"/>
        </w:rPr>
      </w:pPr>
    </w:p>
    <w:p w14:paraId="609FC361" w14:textId="68376498"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Бъбречна недостатъчност</w:t>
      </w:r>
    </w:p>
    <w:p w14:paraId="6C1744F1"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проучване на лица с различна степен на бъбречно увреждане лекото до умерено тежко бъбречно заболяване не е повлияло плазмените концентрации на розувастатин или на неговия </w:t>
      </w:r>
      <w:r w:rsidRPr="00144DBF">
        <w:rPr>
          <w:rFonts w:eastAsia="Times New Roman" w:cs="Arial"/>
          <w:color w:val="000000"/>
          <w:lang w:val="en-US"/>
        </w:rPr>
        <w:t>N</w:t>
      </w:r>
      <w:r w:rsidRPr="00144DBF">
        <w:rPr>
          <w:rFonts w:eastAsia="Times New Roman" w:cs="Arial"/>
          <w:color w:val="000000"/>
          <w:lang w:eastAsia="bg-BG"/>
        </w:rPr>
        <w:t xml:space="preserve">-десметил метаболит. Лица с тежко увреждане обаче (креатининов клирънс </w:t>
      </w:r>
      <w:r w:rsidRPr="00144DBF">
        <w:rPr>
          <w:rFonts w:eastAsia="Times New Roman" w:cs="Arial"/>
          <w:color w:val="000000"/>
          <w:lang w:val="en-US"/>
        </w:rPr>
        <w:t xml:space="preserve">&lt;30ml/min) </w:t>
      </w:r>
      <w:r w:rsidRPr="00144DBF">
        <w:rPr>
          <w:rFonts w:eastAsia="Times New Roman" w:cs="Arial"/>
          <w:color w:val="000000"/>
          <w:lang w:eastAsia="bg-BG"/>
        </w:rPr>
        <w:t xml:space="preserve">са имали трикратно увеличение на плазмената концентрация в сравнение със здрави доброволци и девет пъти по-висока концентрация на </w:t>
      </w:r>
      <w:r w:rsidRPr="00144DBF">
        <w:rPr>
          <w:rFonts w:eastAsia="Times New Roman" w:cs="Arial"/>
          <w:color w:val="000000"/>
          <w:lang w:val="en-US"/>
        </w:rPr>
        <w:t>N</w:t>
      </w:r>
      <w:r w:rsidRPr="00144DBF">
        <w:rPr>
          <w:rFonts w:eastAsia="Times New Roman" w:cs="Arial"/>
          <w:color w:val="000000"/>
          <w:lang w:eastAsia="bg-BG"/>
        </w:rPr>
        <w:t>-десметил метаболита. Равновесните плазмени концентрации на розувастатин при пациенти на хемодиализа са приблизително 50% по-високи в сравнение със здрави доброволци.</w:t>
      </w:r>
    </w:p>
    <w:p w14:paraId="70A69A04" w14:textId="77777777" w:rsidR="00144DBF" w:rsidRPr="00144DBF" w:rsidRDefault="00144DBF" w:rsidP="00144DBF">
      <w:pPr>
        <w:spacing w:line="240" w:lineRule="auto"/>
        <w:rPr>
          <w:rFonts w:eastAsia="Times New Roman" w:cs="Arial"/>
          <w:i/>
          <w:iCs/>
          <w:color w:val="000000"/>
          <w:lang w:eastAsia="bg-BG"/>
        </w:rPr>
      </w:pPr>
    </w:p>
    <w:p w14:paraId="53BCB02F" w14:textId="48510B9D"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Чернодробна недостатъчност</w:t>
      </w:r>
    </w:p>
    <w:p w14:paraId="08BFE4C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проучване на лица с различна степен на чернодробно увреждане не са получени данни за повишена експозиция на розувастатин при пациенти с резултат по </w:t>
      </w:r>
      <w:r w:rsidRPr="00144DBF">
        <w:rPr>
          <w:rFonts w:eastAsia="Times New Roman" w:cs="Arial"/>
          <w:color w:val="000000"/>
          <w:lang w:val="en-US"/>
        </w:rPr>
        <w:t xml:space="preserve">Child-Pugh </w:t>
      </w:r>
      <w:r w:rsidRPr="00144DBF">
        <w:rPr>
          <w:rFonts w:eastAsia="Times New Roman" w:cs="Arial"/>
          <w:color w:val="000000"/>
          <w:lang w:eastAsia="bg-BG"/>
        </w:rPr>
        <w:t xml:space="preserve">7 или по-нисък. Все пак, при двама пациенти с тежко чернодробно увреждане (резултат по </w:t>
      </w:r>
      <w:r w:rsidRPr="00144DBF">
        <w:rPr>
          <w:rFonts w:eastAsia="Times New Roman" w:cs="Arial"/>
          <w:color w:val="000000"/>
          <w:lang w:val="en-US"/>
        </w:rPr>
        <w:t xml:space="preserve">Child-Pugh </w:t>
      </w:r>
      <w:r w:rsidRPr="00144DBF">
        <w:rPr>
          <w:rFonts w:eastAsia="Times New Roman" w:cs="Arial"/>
          <w:color w:val="000000"/>
          <w:lang w:eastAsia="bg-BG"/>
        </w:rPr>
        <w:t xml:space="preserve">8 и 9) системната експозиция е била увеличена най-малко два пъти в сравнение с лица с по-нисък резултат по </w:t>
      </w:r>
      <w:r w:rsidRPr="00144DBF">
        <w:rPr>
          <w:rFonts w:eastAsia="Times New Roman" w:cs="Arial"/>
          <w:color w:val="000000"/>
          <w:lang w:val="en-US"/>
        </w:rPr>
        <w:t xml:space="preserve">Child-Pugh. </w:t>
      </w:r>
      <w:r w:rsidRPr="00144DBF">
        <w:rPr>
          <w:rFonts w:eastAsia="Times New Roman" w:cs="Arial"/>
          <w:color w:val="000000"/>
          <w:lang w:eastAsia="bg-BG"/>
        </w:rPr>
        <w:t xml:space="preserve">Няма данни за пациенти с резултат по </w:t>
      </w:r>
      <w:r w:rsidRPr="00144DBF">
        <w:rPr>
          <w:rFonts w:eastAsia="Times New Roman" w:cs="Arial"/>
          <w:color w:val="000000"/>
          <w:lang w:val="en-US"/>
        </w:rPr>
        <w:t xml:space="preserve">Child-Pugh </w:t>
      </w:r>
      <w:r w:rsidRPr="00144DBF">
        <w:rPr>
          <w:rFonts w:eastAsia="Times New Roman" w:cs="Arial"/>
          <w:color w:val="000000"/>
          <w:lang w:eastAsia="bg-BG"/>
        </w:rPr>
        <w:t>над 9.</w:t>
      </w:r>
    </w:p>
    <w:p w14:paraId="5C61CE1D" w14:textId="77777777" w:rsidR="00144DBF" w:rsidRPr="00144DBF" w:rsidRDefault="00144DBF" w:rsidP="00144DBF">
      <w:pPr>
        <w:spacing w:line="240" w:lineRule="auto"/>
        <w:rPr>
          <w:rFonts w:eastAsia="Times New Roman" w:cs="Arial"/>
          <w:i/>
          <w:iCs/>
          <w:color w:val="000000"/>
          <w:lang w:eastAsia="bg-BG"/>
        </w:rPr>
      </w:pPr>
    </w:p>
    <w:p w14:paraId="44B94B43" w14:textId="664E13FD"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Генетичен полиморфизъм</w:t>
      </w:r>
    </w:p>
    <w:p w14:paraId="13892B6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lastRenderedPageBreak/>
        <w:t xml:space="preserve">Диспозицията на </w:t>
      </w:r>
      <w:r w:rsidRPr="00144DBF">
        <w:rPr>
          <w:rFonts w:eastAsia="Times New Roman" w:cs="Arial"/>
          <w:color w:val="000000"/>
          <w:lang w:val="en-US"/>
        </w:rPr>
        <w:t xml:space="preserve">HMG-CoA </w:t>
      </w:r>
      <w:r w:rsidRPr="00144DBF">
        <w:rPr>
          <w:rFonts w:eastAsia="Times New Roman" w:cs="Arial"/>
          <w:color w:val="000000"/>
          <w:lang w:eastAsia="bg-BG"/>
        </w:rPr>
        <w:t xml:space="preserve">редуктазните инхибигори, включително розувастатин, е свързана с транспортерните протеини ОАТР1В1 и </w:t>
      </w:r>
      <w:r w:rsidRPr="00144DBF">
        <w:rPr>
          <w:rFonts w:eastAsia="Times New Roman" w:cs="Arial"/>
          <w:color w:val="000000"/>
          <w:lang w:val="en-US"/>
        </w:rPr>
        <w:t xml:space="preserve">BCRP. </w:t>
      </w:r>
      <w:r w:rsidRPr="00144DBF">
        <w:rPr>
          <w:rFonts w:eastAsia="Times New Roman" w:cs="Arial"/>
          <w:color w:val="000000"/>
          <w:lang w:eastAsia="bg-BG"/>
        </w:rPr>
        <w:t xml:space="preserve">При пациенти с генетичен полиморфизъм на </w:t>
      </w:r>
      <w:r w:rsidRPr="00144DBF">
        <w:rPr>
          <w:rFonts w:eastAsia="Times New Roman" w:cs="Arial"/>
          <w:color w:val="000000"/>
          <w:lang w:val="en-US"/>
        </w:rPr>
        <w:t xml:space="preserve">SLCO1B1 </w:t>
      </w:r>
      <w:r w:rsidRPr="00144DBF">
        <w:rPr>
          <w:rFonts w:eastAsia="Times New Roman" w:cs="Arial"/>
          <w:color w:val="000000"/>
          <w:lang w:eastAsia="bg-BG"/>
        </w:rPr>
        <w:t xml:space="preserve">(ОАТР1В1) и/или </w:t>
      </w:r>
      <w:r w:rsidRPr="00144DBF">
        <w:rPr>
          <w:rFonts w:eastAsia="Times New Roman" w:cs="Arial"/>
          <w:color w:val="000000"/>
          <w:lang w:val="en-US"/>
        </w:rPr>
        <w:t xml:space="preserve">ABCG2 (BCRP) </w:t>
      </w:r>
      <w:r w:rsidRPr="00144DBF">
        <w:rPr>
          <w:rFonts w:eastAsia="Times New Roman" w:cs="Arial"/>
          <w:color w:val="000000"/>
          <w:lang w:eastAsia="bg-BG"/>
        </w:rPr>
        <w:t xml:space="preserve">има риск от повишаване на експозицията на розувастатин. Индивидуален полиморфизъм на </w:t>
      </w:r>
      <w:r w:rsidRPr="00144DBF">
        <w:rPr>
          <w:rFonts w:eastAsia="Times New Roman" w:cs="Arial"/>
          <w:color w:val="000000"/>
          <w:lang w:val="en-US"/>
        </w:rPr>
        <w:t xml:space="preserve">SLCO1B1 </w:t>
      </w:r>
      <w:r w:rsidRPr="00144DBF">
        <w:rPr>
          <w:rFonts w:eastAsia="Times New Roman" w:cs="Arial"/>
          <w:color w:val="000000"/>
          <w:lang w:eastAsia="bg-BG"/>
        </w:rPr>
        <w:t xml:space="preserve">с.521СС и </w:t>
      </w:r>
      <w:r w:rsidRPr="00144DBF">
        <w:rPr>
          <w:rFonts w:eastAsia="Times New Roman" w:cs="Arial"/>
          <w:color w:val="000000"/>
          <w:lang w:val="en-US"/>
        </w:rPr>
        <w:t xml:space="preserve">ABCG2 </w:t>
      </w:r>
      <w:r w:rsidRPr="00144DBF">
        <w:rPr>
          <w:rFonts w:eastAsia="Times New Roman" w:cs="Arial"/>
          <w:color w:val="000000"/>
          <w:lang w:eastAsia="bg-BG"/>
        </w:rPr>
        <w:t xml:space="preserve">С.421АА е свързан с приблизително 1,7 пъти по-висока експозиция </w:t>
      </w:r>
      <w:r w:rsidRPr="00144DBF">
        <w:rPr>
          <w:rFonts w:eastAsia="Times New Roman" w:cs="Arial"/>
          <w:color w:val="000000"/>
          <w:lang w:val="en-US"/>
        </w:rPr>
        <w:t xml:space="preserve">(AUC) </w:t>
      </w:r>
      <w:r w:rsidRPr="00144DBF">
        <w:rPr>
          <w:rFonts w:eastAsia="Times New Roman" w:cs="Arial"/>
          <w:color w:val="000000"/>
          <w:lang w:eastAsia="bg-BG"/>
        </w:rPr>
        <w:t xml:space="preserve">на розувастатин или 2,4 пъти по-висока експозиция, съответно, в сравнение с генотиповете </w:t>
      </w:r>
      <w:r w:rsidRPr="00144DBF">
        <w:rPr>
          <w:rFonts w:eastAsia="Times New Roman" w:cs="Arial"/>
          <w:color w:val="000000"/>
          <w:lang w:val="en-US"/>
        </w:rPr>
        <w:t xml:space="preserve">SLCO1B1 </w:t>
      </w:r>
      <w:r w:rsidRPr="00144DBF">
        <w:rPr>
          <w:rFonts w:eastAsia="Times New Roman" w:cs="Arial"/>
          <w:color w:val="000000"/>
          <w:lang w:eastAsia="bg-BG"/>
        </w:rPr>
        <w:t xml:space="preserve">С.521ТТ или </w:t>
      </w:r>
      <w:r w:rsidRPr="00144DBF">
        <w:rPr>
          <w:rFonts w:eastAsia="Times New Roman" w:cs="Arial"/>
          <w:color w:val="000000"/>
          <w:lang w:val="en-US"/>
        </w:rPr>
        <w:t xml:space="preserve">ABCG2 </w:t>
      </w:r>
      <w:r w:rsidRPr="00144DBF">
        <w:rPr>
          <w:rFonts w:eastAsia="Times New Roman" w:cs="Arial"/>
          <w:color w:val="000000"/>
          <w:lang w:eastAsia="bg-BG"/>
        </w:rPr>
        <w:t>С.421СС.</w:t>
      </w:r>
    </w:p>
    <w:p w14:paraId="6D0B51CD" w14:textId="77777777" w:rsidR="00144DBF" w:rsidRPr="00144DBF" w:rsidRDefault="00144DBF" w:rsidP="00144DBF">
      <w:pPr>
        <w:rPr>
          <w:rFonts w:eastAsia="Times New Roman" w:cs="Arial"/>
          <w:b/>
          <w:bCs/>
          <w:color w:val="000000"/>
          <w:lang w:eastAsia="bg-BG"/>
        </w:rPr>
      </w:pPr>
    </w:p>
    <w:p w14:paraId="52FB7A03" w14:textId="730DA1F6" w:rsidR="00144DBF" w:rsidRPr="00144DBF" w:rsidRDefault="00144DBF" w:rsidP="00144DBF">
      <w:pPr>
        <w:rPr>
          <w:rFonts w:cs="Arial"/>
        </w:rPr>
      </w:pPr>
      <w:r w:rsidRPr="00144DBF">
        <w:rPr>
          <w:rFonts w:eastAsia="Times New Roman" w:cs="Arial"/>
          <w:b/>
          <w:bCs/>
          <w:color w:val="000000"/>
          <w:lang w:eastAsia="bg-BG"/>
        </w:rPr>
        <w:t xml:space="preserve">Педиатрична популация: </w:t>
      </w:r>
      <w:r w:rsidRPr="00144DBF">
        <w:rPr>
          <w:rFonts w:eastAsia="Times New Roman" w:cs="Arial"/>
          <w:color w:val="000000"/>
          <w:lang w:eastAsia="bg-BG"/>
        </w:rPr>
        <w:t>две фармакокинетични проучвания с розувастатин (прилаган под формата на таблетки) при педиатрични пациенти с хетерозиготна фамилна хиперхолестеролемия на възраст 10- 17 или 6-17 години (общо 214 пациенти) показват, че експозицията при педиатричните пациенти изглежда сравнима или по-ниска от тази при възрастни пациенти. Експозицията на розувастатин е била предвидима по отношение на дозата и времето в продължение на 2-годишен период.</w:t>
      </w:r>
    </w:p>
    <w:p w14:paraId="4EE1BB0B" w14:textId="77777777" w:rsidR="0091385D" w:rsidRPr="0091385D" w:rsidRDefault="0091385D"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0F01F511" w:rsidR="0091385D" w:rsidRDefault="00144DBF" w:rsidP="0091385D">
      <w:r>
        <w:t xml:space="preserve">Предклиничните данни не са показали специален риск при хора въз основа на стандартните проучвания за безопасност върху основните системи, генотоксичност, канцерогенен потенциал. Не са провеждани  специфични изследвания, оценящи ефектите върху </w:t>
      </w:r>
      <w:proofErr w:type="spellStart"/>
      <w:r>
        <w:rPr>
          <w:lang w:val="en-US"/>
        </w:rPr>
        <w:t>hERG</w:t>
      </w:r>
      <w:proofErr w:type="spellEnd"/>
      <w:r>
        <w:rPr>
          <w:lang w:val="en-US"/>
        </w:rPr>
        <w:t xml:space="preserve">. </w:t>
      </w:r>
      <w:r>
        <w:t>Нежеланите реакции, които не са наблюдавани в клинични проучвания, но са наблюдавани при животни при нива</w:t>
      </w:r>
      <w:r>
        <w:rPr>
          <w:lang w:val="en-US"/>
        </w:rPr>
        <w:t xml:space="preserve"> </w:t>
      </w:r>
      <w:r>
        <w:t>на експозиция близки до клиничните са следните: в изпитвания за токсичност след многократно приложение се наблюдават хистопатологични чернодробни изменения, вследствие на фармакологично действие на розувастатин при мишки, плъхове и в по-ниска степен в жлъчния мехур при кучета, но не и при маймуни. В допълнение се наблюдава токсичност по отношение на тестисите при маймуни и кучета при по-високи дози. Репродуктивната токсичност при плъхове, за която се съди по намалените големина, тегло и преживяемост на малките, се наблюдава при матернотоксични дози на системна експозиция няколко пъти над нивото на терапевтична експозиция.</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007FE6D3"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НОБЕЛ ФАРМА ЕООД</w:t>
      </w:r>
    </w:p>
    <w:p w14:paraId="45C6CA66"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Околовръстен път 36</w:t>
      </w:r>
    </w:p>
    <w:p w14:paraId="3FD825DB" w14:textId="764F892A" w:rsidR="0091385D" w:rsidRPr="00144DBF" w:rsidRDefault="00144DBF" w:rsidP="00144DBF">
      <w:pPr>
        <w:rPr>
          <w:rFonts w:cs="Arial"/>
        </w:rPr>
      </w:pPr>
      <w:r w:rsidRPr="00144DBF">
        <w:rPr>
          <w:rFonts w:eastAsia="Times New Roman" w:cs="Arial"/>
          <w:color w:val="000000"/>
          <w:lang w:eastAsia="bg-BG"/>
        </w:rPr>
        <w:t>София 1415, 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6E892CE5" w14:textId="1F8C42E8" w:rsidR="0091385D" w:rsidRDefault="0091385D" w:rsidP="0091385D"/>
    <w:p w14:paraId="62EF7F8B" w14:textId="77777777" w:rsidR="0091385D" w:rsidRPr="0091385D" w:rsidRDefault="0091385D" w:rsidP="0091385D"/>
    <w:p w14:paraId="2CCB5832" w14:textId="18FCD95B" w:rsidR="007C605B" w:rsidRDefault="002C50EE" w:rsidP="007C605B">
      <w:pPr>
        <w:pStyle w:val="Heading1"/>
      </w:pPr>
      <w:r>
        <w:lastRenderedPageBreak/>
        <w:t>9. ДАТА НА ПЪРВО РАЗРЕШАВАНЕ/ПОДНОВЯВАНЕ НА РАЗРЕШЕНИЕТО ЗА УПОТРЕБА</w:t>
      </w:r>
    </w:p>
    <w:p w14:paraId="372B3414" w14:textId="0F79A9B4" w:rsidR="0091385D" w:rsidRDefault="0091385D" w:rsidP="0091385D"/>
    <w:p w14:paraId="497007FA" w14:textId="69EED464" w:rsidR="0091385D" w:rsidRDefault="0091385D" w:rsidP="0091385D"/>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4A12EE8E" w:rsidR="0091385D" w:rsidRDefault="00144DBF" w:rsidP="0091385D">
      <w:r>
        <w:t>08/2018</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243019A"/>
    <w:multiLevelType w:val="hybridMultilevel"/>
    <w:tmpl w:val="2D7AF3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66D123E"/>
    <w:multiLevelType w:val="hybridMultilevel"/>
    <w:tmpl w:val="051A254C"/>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85C1E0E"/>
    <w:multiLevelType w:val="hybridMultilevel"/>
    <w:tmpl w:val="8872F96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D244F9"/>
    <w:multiLevelType w:val="hybridMultilevel"/>
    <w:tmpl w:val="8136528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4614F9"/>
    <w:multiLevelType w:val="hybridMultilevel"/>
    <w:tmpl w:val="74844B6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2D3FCB"/>
    <w:multiLevelType w:val="hybridMultilevel"/>
    <w:tmpl w:val="294E070A"/>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836F38"/>
    <w:multiLevelType w:val="hybridMultilevel"/>
    <w:tmpl w:val="20F0FA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41" w15:restartNumberingAfterBreak="0">
    <w:nsid w:val="7FDA147D"/>
    <w:multiLevelType w:val="hybridMultilevel"/>
    <w:tmpl w:val="8D706FAC"/>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num w:numId="1">
    <w:abstractNumId w:val="31"/>
  </w:num>
  <w:num w:numId="2">
    <w:abstractNumId w:val="0"/>
  </w:num>
  <w:num w:numId="3">
    <w:abstractNumId w:val="15"/>
  </w:num>
  <w:num w:numId="4">
    <w:abstractNumId w:val="3"/>
  </w:num>
  <w:num w:numId="5">
    <w:abstractNumId w:val="1"/>
  </w:num>
  <w:num w:numId="6">
    <w:abstractNumId w:val="18"/>
  </w:num>
  <w:num w:numId="7">
    <w:abstractNumId w:val="12"/>
  </w:num>
  <w:num w:numId="8">
    <w:abstractNumId w:val="17"/>
  </w:num>
  <w:num w:numId="9">
    <w:abstractNumId w:val="2"/>
  </w:num>
  <w:num w:numId="10">
    <w:abstractNumId w:val="5"/>
  </w:num>
  <w:num w:numId="11">
    <w:abstractNumId w:val="35"/>
  </w:num>
  <w:num w:numId="12">
    <w:abstractNumId w:val="16"/>
  </w:num>
  <w:num w:numId="13">
    <w:abstractNumId w:val="21"/>
  </w:num>
  <w:num w:numId="14">
    <w:abstractNumId w:val="14"/>
  </w:num>
  <w:num w:numId="15">
    <w:abstractNumId w:val="34"/>
  </w:num>
  <w:num w:numId="16">
    <w:abstractNumId w:val="11"/>
  </w:num>
  <w:num w:numId="17">
    <w:abstractNumId w:val="27"/>
  </w:num>
  <w:num w:numId="18">
    <w:abstractNumId w:val="9"/>
  </w:num>
  <w:num w:numId="19">
    <w:abstractNumId w:val="30"/>
  </w:num>
  <w:num w:numId="20">
    <w:abstractNumId w:val="26"/>
  </w:num>
  <w:num w:numId="21">
    <w:abstractNumId w:val="19"/>
  </w:num>
  <w:num w:numId="22">
    <w:abstractNumId w:val="28"/>
  </w:num>
  <w:num w:numId="23">
    <w:abstractNumId w:val="20"/>
  </w:num>
  <w:num w:numId="24">
    <w:abstractNumId w:val="10"/>
  </w:num>
  <w:num w:numId="25">
    <w:abstractNumId w:val="24"/>
  </w:num>
  <w:num w:numId="26">
    <w:abstractNumId w:val="23"/>
  </w:num>
  <w:num w:numId="27">
    <w:abstractNumId w:val="37"/>
  </w:num>
  <w:num w:numId="28">
    <w:abstractNumId w:val="7"/>
  </w:num>
  <w:num w:numId="29">
    <w:abstractNumId w:val="22"/>
  </w:num>
  <w:num w:numId="30">
    <w:abstractNumId w:val="40"/>
  </w:num>
  <w:num w:numId="31">
    <w:abstractNumId w:val="6"/>
  </w:num>
  <w:num w:numId="32">
    <w:abstractNumId w:val="39"/>
  </w:num>
  <w:num w:numId="33">
    <w:abstractNumId w:val="32"/>
  </w:num>
  <w:num w:numId="34">
    <w:abstractNumId w:val="38"/>
  </w:num>
  <w:num w:numId="35">
    <w:abstractNumId w:val="36"/>
  </w:num>
  <w:num w:numId="36">
    <w:abstractNumId w:val="29"/>
  </w:num>
  <w:num w:numId="37">
    <w:abstractNumId w:val="13"/>
  </w:num>
  <w:num w:numId="38">
    <w:abstractNumId w:val="33"/>
  </w:num>
  <w:num w:numId="39">
    <w:abstractNumId w:val="25"/>
  </w:num>
  <w:num w:numId="40">
    <w:abstractNumId w:val="8"/>
  </w:num>
  <w:num w:numId="41">
    <w:abstractNumId w:val="4"/>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44DBF"/>
    <w:rsid w:val="00156758"/>
    <w:rsid w:val="00185A46"/>
    <w:rsid w:val="001915B6"/>
    <w:rsid w:val="001D1B23"/>
    <w:rsid w:val="002B3C38"/>
    <w:rsid w:val="002B4DBB"/>
    <w:rsid w:val="002C50EE"/>
    <w:rsid w:val="00340A0A"/>
    <w:rsid w:val="00375D09"/>
    <w:rsid w:val="003765DC"/>
    <w:rsid w:val="00395555"/>
    <w:rsid w:val="003A6F0D"/>
    <w:rsid w:val="003E3126"/>
    <w:rsid w:val="00426E5F"/>
    <w:rsid w:val="004A448E"/>
    <w:rsid w:val="004C0FE3"/>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8F1AF3"/>
    <w:rsid w:val="0091385D"/>
    <w:rsid w:val="009530E2"/>
    <w:rsid w:val="009773E4"/>
    <w:rsid w:val="009B171C"/>
    <w:rsid w:val="009F1313"/>
    <w:rsid w:val="00A20351"/>
    <w:rsid w:val="00A65A81"/>
    <w:rsid w:val="00A73575"/>
    <w:rsid w:val="00AA23EC"/>
    <w:rsid w:val="00AC63CE"/>
    <w:rsid w:val="00AE2107"/>
    <w:rsid w:val="00B275A8"/>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22</Pages>
  <Words>8034</Words>
  <Characters>45799</Characters>
  <Application>Microsoft Office Word</Application>
  <DocSecurity>0</DocSecurity>
  <Lines>381</Lines>
  <Paragraphs>107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6</cp:revision>
  <dcterms:created xsi:type="dcterms:W3CDTF">2022-12-05T23:04:00Z</dcterms:created>
  <dcterms:modified xsi:type="dcterms:W3CDTF">2022-12-05T23:22:00Z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