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7A328C" w14:textId="77777777" w:rsidR="002C50EE" w:rsidRPr="0097014F" w:rsidRDefault="002C50EE" w:rsidP="002C50EE">
      <w:pPr>
        <w:pStyle w:val="Heading1"/>
        <w:jc w:val="center"/>
        <w:rPr>
          <w:lang w:val="bg-BG"/>
        </w:rPr>
      </w:pPr>
      <w:bookmarkStart w:id="0" w:name="_Hlk63124480"/>
      <w:r w:rsidRPr="0097014F">
        <w:rPr>
          <w:lang w:val="bg-BG"/>
        </w:rPr>
        <w:t>КРАТКА ХАРАКТЕРИСТИКА НА ПРОДУКТА</w:t>
      </w:r>
    </w:p>
    <w:p w14:paraId="6AF1D2F0" w14:textId="1C8D6D0C" w:rsidR="002C50EE" w:rsidRPr="0097014F" w:rsidRDefault="002C50EE" w:rsidP="00F775EC">
      <w:pPr>
        <w:pStyle w:val="Heading1"/>
        <w:numPr>
          <w:ilvl w:val="0"/>
          <w:numId w:val="11"/>
        </w:numPr>
        <w:rPr>
          <w:lang w:val="bg-BG"/>
        </w:rPr>
      </w:pPr>
      <w:r w:rsidRPr="0097014F">
        <w:rPr>
          <w:lang w:val="bg-BG"/>
        </w:rPr>
        <w:t>ИМЕ НА ЛЕКАРСТВЕНИЯ ПРОДУКТ</w:t>
      </w:r>
    </w:p>
    <w:p w14:paraId="05FF54EA" w14:textId="77777777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 xml:space="preserve">Уназин 375 </w:t>
      </w:r>
      <w:r w:rsidRPr="0097014F">
        <w:rPr>
          <w:lang w:val="bg-BG"/>
        </w:rPr>
        <w:t xml:space="preserve">mg </w:t>
      </w:r>
      <w:r w:rsidRPr="0097014F">
        <w:rPr>
          <w:lang w:val="bg-BG" w:eastAsia="bg-BG"/>
        </w:rPr>
        <w:t>филмирани таблетки</w:t>
      </w:r>
    </w:p>
    <w:p w14:paraId="08DE62A9" w14:textId="2F693DB2" w:rsidR="00F775EC" w:rsidRPr="0097014F" w:rsidRDefault="00F775EC" w:rsidP="00F775EC">
      <w:pPr>
        <w:rPr>
          <w:lang w:val="bg-BG"/>
        </w:rPr>
      </w:pPr>
      <w:r w:rsidRPr="0097014F">
        <w:rPr>
          <w:lang w:val="bg-BG"/>
        </w:rPr>
        <w:t xml:space="preserve">Unasyn </w:t>
      </w:r>
      <w:r w:rsidRPr="0097014F">
        <w:rPr>
          <w:lang w:val="bg-BG" w:eastAsia="bg-BG"/>
        </w:rPr>
        <w:t xml:space="preserve">375 </w:t>
      </w:r>
      <w:r w:rsidRPr="0097014F">
        <w:rPr>
          <w:lang w:val="bg-BG"/>
        </w:rPr>
        <w:t>mg film-coated tablets</w:t>
      </w:r>
    </w:p>
    <w:p w14:paraId="5A36363A" w14:textId="48BC5D35" w:rsidR="002C50EE" w:rsidRPr="0097014F" w:rsidRDefault="002C50EE" w:rsidP="00F775EC">
      <w:pPr>
        <w:pStyle w:val="Heading1"/>
        <w:numPr>
          <w:ilvl w:val="0"/>
          <w:numId w:val="11"/>
        </w:numPr>
        <w:rPr>
          <w:lang w:val="bg-BG"/>
        </w:rPr>
      </w:pPr>
      <w:r w:rsidRPr="0097014F">
        <w:rPr>
          <w:lang w:val="bg-BG"/>
        </w:rPr>
        <w:t>КАЧЕСТВЕН И КОЛИЧЕСТВЕН СЪСТАВ</w:t>
      </w:r>
    </w:p>
    <w:p w14:paraId="6F24495C" w14:textId="77777777" w:rsidR="00F775EC" w:rsidRPr="0097014F" w:rsidRDefault="00F775EC" w:rsidP="00F775EC">
      <w:pPr>
        <w:rPr>
          <w:lang w:val="bg-BG" w:eastAsia="bg-BG"/>
        </w:rPr>
      </w:pPr>
    </w:p>
    <w:p w14:paraId="029B547B" w14:textId="176A96B5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 xml:space="preserve">Всяка таблетка съдържа 375 </w:t>
      </w:r>
      <w:r w:rsidRPr="0097014F">
        <w:rPr>
          <w:lang w:val="bg-BG"/>
        </w:rPr>
        <w:t xml:space="preserve">mg </w:t>
      </w:r>
      <w:r w:rsidRPr="0097014F">
        <w:rPr>
          <w:lang w:val="bg-BG" w:eastAsia="bg-BG"/>
        </w:rPr>
        <w:t xml:space="preserve">султамицилин </w:t>
      </w:r>
      <w:r w:rsidRPr="0097014F">
        <w:rPr>
          <w:i/>
          <w:iCs/>
          <w:lang w:val="bg-BG"/>
        </w:rPr>
        <w:t>(sultamicillin)</w:t>
      </w:r>
      <w:r w:rsidRPr="0097014F">
        <w:rPr>
          <w:lang w:val="bg-BG"/>
        </w:rPr>
        <w:t xml:space="preserve"> </w:t>
      </w:r>
      <w:r w:rsidRPr="0097014F">
        <w:rPr>
          <w:lang w:val="bg-BG" w:eastAsia="bg-BG"/>
        </w:rPr>
        <w:t xml:space="preserve">като султамицилин тозилат, който представлява комбиниран прекурсор на сулбактам </w:t>
      </w:r>
      <w:r w:rsidRPr="0097014F">
        <w:rPr>
          <w:i/>
          <w:iCs/>
          <w:lang w:val="bg-BG"/>
        </w:rPr>
        <w:t xml:space="preserve">(sulbactam) </w:t>
      </w:r>
      <w:r w:rsidRPr="0097014F">
        <w:rPr>
          <w:i/>
          <w:iCs/>
          <w:lang w:val="bg-BG" w:eastAsia="bg-BG"/>
        </w:rPr>
        <w:t>и</w:t>
      </w:r>
      <w:r w:rsidRPr="0097014F">
        <w:rPr>
          <w:lang w:val="bg-BG" w:eastAsia="bg-BG"/>
        </w:rPr>
        <w:t xml:space="preserve"> ампицилин </w:t>
      </w:r>
      <w:r w:rsidRPr="0097014F">
        <w:rPr>
          <w:i/>
          <w:iCs/>
          <w:lang w:val="bg-BG"/>
        </w:rPr>
        <w:t>(ampicillin),</w:t>
      </w:r>
      <w:r w:rsidRPr="0097014F">
        <w:rPr>
          <w:lang w:val="bg-BG"/>
        </w:rPr>
        <w:t xml:space="preserve"> </w:t>
      </w:r>
      <w:r w:rsidRPr="0097014F">
        <w:rPr>
          <w:lang w:val="bg-BG" w:eastAsia="bg-BG"/>
        </w:rPr>
        <w:t xml:space="preserve">при чието разпадане се освобождава еквивалентът на 147 </w:t>
      </w:r>
      <w:r w:rsidRPr="0097014F">
        <w:rPr>
          <w:lang w:val="bg-BG"/>
        </w:rPr>
        <w:t xml:space="preserve">mg </w:t>
      </w:r>
      <w:r w:rsidRPr="0097014F">
        <w:rPr>
          <w:lang w:val="bg-BG" w:eastAsia="bg-BG"/>
        </w:rPr>
        <w:t xml:space="preserve">сулбактам и 220 </w:t>
      </w:r>
      <w:r w:rsidRPr="0097014F">
        <w:rPr>
          <w:lang w:val="bg-BG"/>
        </w:rPr>
        <w:t xml:space="preserve">mg </w:t>
      </w:r>
      <w:r w:rsidRPr="0097014F">
        <w:rPr>
          <w:lang w:val="bg-BG" w:eastAsia="bg-BG"/>
        </w:rPr>
        <w:t>ампицилин.</w:t>
      </w:r>
    </w:p>
    <w:p w14:paraId="23A54C3D" w14:textId="77777777" w:rsidR="00F775EC" w:rsidRPr="0097014F" w:rsidRDefault="00F775EC" w:rsidP="00F775EC">
      <w:pPr>
        <w:rPr>
          <w:lang w:val="bg-BG" w:eastAsia="bg-BG"/>
        </w:rPr>
      </w:pPr>
    </w:p>
    <w:p w14:paraId="1C04B526" w14:textId="5FF3B64B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Султамицилинът е двоен естер, при който ампицилинът и бета-лактамазният инхибитор сулбактам са свързани посредством една метиленова група. Химически султамицилинът е оксиметилпеницилинатен сулфонов естер на ампицилин с молекулно тегло 594,7.</w:t>
      </w:r>
    </w:p>
    <w:p w14:paraId="05B0853A" w14:textId="77777777" w:rsidR="00F775EC" w:rsidRPr="0097014F" w:rsidRDefault="00F775EC" w:rsidP="00F775EC">
      <w:pPr>
        <w:rPr>
          <w:u w:val="single"/>
          <w:lang w:val="bg-BG" w:eastAsia="bg-BG"/>
        </w:rPr>
      </w:pPr>
    </w:p>
    <w:p w14:paraId="4A76C04E" w14:textId="19379DE1" w:rsidR="00F775EC" w:rsidRPr="0097014F" w:rsidRDefault="00F775EC" w:rsidP="00F775EC">
      <w:pPr>
        <w:rPr>
          <w:lang w:val="bg-BG"/>
        </w:rPr>
      </w:pPr>
      <w:r w:rsidRPr="0097014F">
        <w:rPr>
          <w:u w:val="single"/>
          <w:lang w:val="bg-BG" w:eastAsia="bg-BG"/>
        </w:rPr>
        <w:t>Помощно вещество с известно действие</w:t>
      </w:r>
      <w:r w:rsidRPr="0097014F">
        <w:rPr>
          <w:lang w:val="bg-BG" w:eastAsia="bg-BG"/>
        </w:rPr>
        <w:t>: лактоза.</w:t>
      </w:r>
    </w:p>
    <w:p w14:paraId="6CCB29CE" w14:textId="3EAFE455" w:rsidR="002C50EE" w:rsidRPr="0097014F" w:rsidRDefault="002C50EE" w:rsidP="00F775EC">
      <w:pPr>
        <w:pStyle w:val="Heading1"/>
        <w:numPr>
          <w:ilvl w:val="0"/>
          <w:numId w:val="11"/>
        </w:numPr>
        <w:rPr>
          <w:lang w:val="bg-BG"/>
        </w:rPr>
      </w:pPr>
      <w:r w:rsidRPr="0097014F">
        <w:rPr>
          <w:lang w:val="bg-BG"/>
        </w:rPr>
        <w:t>ЛЕКАРСТВЕНА ФОРМА</w:t>
      </w:r>
    </w:p>
    <w:p w14:paraId="707474C0" w14:textId="2557A8DE" w:rsidR="00F775EC" w:rsidRPr="0097014F" w:rsidRDefault="00F775EC" w:rsidP="00F775EC">
      <w:pPr>
        <w:rPr>
          <w:lang w:val="bg-BG"/>
        </w:rPr>
      </w:pPr>
      <w:r w:rsidRPr="0097014F">
        <w:rPr>
          <w:lang w:val="bg-BG"/>
        </w:rPr>
        <w:t>Филмирана таблетка</w:t>
      </w:r>
    </w:p>
    <w:p w14:paraId="490FC2C4" w14:textId="77777777" w:rsidR="002C50EE" w:rsidRPr="0097014F" w:rsidRDefault="002C50EE" w:rsidP="002C50EE">
      <w:pPr>
        <w:pStyle w:val="Heading1"/>
        <w:rPr>
          <w:lang w:val="bg-BG"/>
        </w:rPr>
      </w:pPr>
      <w:r w:rsidRPr="0097014F">
        <w:rPr>
          <w:lang w:val="bg-BG"/>
        </w:rPr>
        <w:t>4. КЛИНИЧНИ ДАННИ</w:t>
      </w:r>
    </w:p>
    <w:p w14:paraId="7CAFA7A6" w14:textId="42275EAF" w:rsidR="002C50EE" w:rsidRPr="0097014F" w:rsidRDefault="002C50EE" w:rsidP="002C50EE">
      <w:pPr>
        <w:pStyle w:val="Heading2"/>
        <w:rPr>
          <w:lang w:val="bg-BG"/>
        </w:rPr>
      </w:pPr>
      <w:r w:rsidRPr="0097014F">
        <w:rPr>
          <w:lang w:val="bg-BG"/>
        </w:rPr>
        <w:t>4.1. Терапевтични показания</w:t>
      </w:r>
    </w:p>
    <w:p w14:paraId="4AD80340" w14:textId="77777777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Уназин е показан за инфекции, причинени от чувствителни към султамицилин микроорганизми (вж. точка 5.1):</w:t>
      </w:r>
    </w:p>
    <w:p w14:paraId="1763304F" w14:textId="77777777" w:rsidR="00F775EC" w:rsidRPr="0097014F" w:rsidRDefault="00F775EC" w:rsidP="00F775EC">
      <w:pPr>
        <w:pStyle w:val="ListParagraph"/>
        <w:numPr>
          <w:ilvl w:val="0"/>
          <w:numId w:val="13"/>
        </w:numPr>
        <w:rPr>
          <w:lang w:val="bg-BG" w:eastAsia="bg-BG"/>
        </w:rPr>
      </w:pPr>
      <w:r w:rsidRPr="0097014F">
        <w:rPr>
          <w:lang w:val="bg-BG" w:eastAsia="bg-BG"/>
        </w:rPr>
        <w:t xml:space="preserve">инфекции на горните дихателни пътища, включително синузит, отитис медия и тонзилит; </w:t>
      </w:r>
    </w:p>
    <w:p w14:paraId="5C0180E5" w14:textId="04143C8A" w:rsidR="00F775EC" w:rsidRPr="0097014F" w:rsidRDefault="00F775EC" w:rsidP="00F775EC">
      <w:pPr>
        <w:pStyle w:val="ListParagraph"/>
        <w:numPr>
          <w:ilvl w:val="0"/>
          <w:numId w:val="13"/>
        </w:numPr>
        <w:rPr>
          <w:lang w:val="bg-BG" w:eastAsia="bg-BG"/>
        </w:rPr>
      </w:pPr>
      <w:r w:rsidRPr="0097014F">
        <w:rPr>
          <w:lang w:val="bg-BG" w:eastAsia="bg-BG"/>
        </w:rPr>
        <w:t>инфекции на долните дихателни пътища, включително бактериални пневмонии и бронхит;</w:t>
      </w:r>
    </w:p>
    <w:p w14:paraId="40BAB871" w14:textId="250E46F3" w:rsidR="00F775EC" w:rsidRPr="0097014F" w:rsidRDefault="00F775EC" w:rsidP="00F775EC">
      <w:pPr>
        <w:pStyle w:val="ListParagraph"/>
        <w:numPr>
          <w:ilvl w:val="0"/>
          <w:numId w:val="13"/>
        </w:numPr>
        <w:rPr>
          <w:lang w:val="bg-BG" w:eastAsia="bg-BG"/>
        </w:rPr>
      </w:pPr>
      <w:r w:rsidRPr="0097014F">
        <w:rPr>
          <w:lang w:val="bg-BG" w:eastAsia="bg-BG"/>
        </w:rPr>
        <w:t>уроинфекции и пиелонефрит;</w:t>
      </w:r>
    </w:p>
    <w:p w14:paraId="5642AC6D" w14:textId="0344BDEE" w:rsidR="00F775EC" w:rsidRPr="0097014F" w:rsidRDefault="00F775EC" w:rsidP="00F775EC">
      <w:pPr>
        <w:pStyle w:val="ListParagraph"/>
        <w:numPr>
          <w:ilvl w:val="0"/>
          <w:numId w:val="13"/>
        </w:numPr>
        <w:rPr>
          <w:lang w:val="bg-BG" w:eastAsia="bg-BG"/>
        </w:rPr>
      </w:pPr>
      <w:r w:rsidRPr="0097014F">
        <w:rPr>
          <w:lang w:val="bg-BG" w:eastAsia="bg-BG"/>
        </w:rPr>
        <w:t>инфекции на кожата и меките тъкани;</w:t>
      </w:r>
    </w:p>
    <w:p w14:paraId="56DDC895" w14:textId="24974984" w:rsidR="00F775EC" w:rsidRPr="0097014F" w:rsidRDefault="00F775EC" w:rsidP="00F775EC">
      <w:pPr>
        <w:pStyle w:val="ListParagraph"/>
        <w:numPr>
          <w:ilvl w:val="0"/>
          <w:numId w:val="13"/>
        </w:numPr>
        <w:rPr>
          <w:lang w:val="bg-BG" w:eastAsia="bg-BG"/>
        </w:rPr>
      </w:pPr>
      <w:r w:rsidRPr="0097014F">
        <w:rPr>
          <w:lang w:val="bg-BG" w:eastAsia="bg-BG"/>
        </w:rPr>
        <w:t>гонококови инфекции.</w:t>
      </w:r>
    </w:p>
    <w:p w14:paraId="7B684566" w14:textId="7A160922" w:rsidR="00F775EC" w:rsidRPr="0097014F" w:rsidRDefault="00F775EC" w:rsidP="00F775EC">
      <w:pPr>
        <w:rPr>
          <w:lang w:val="bg-BG"/>
        </w:rPr>
      </w:pPr>
      <w:r w:rsidRPr="0097014F">
        <w:rPr>
          <w:lang w:val="bg-BG"/>
        </w:rPr>
        <w:t>Султамицилин може също да бъде показан при пациенти, изискващи терапия със сулбактам/ампицилин след първоначално интрамускулно/интравенозно лечение със сулбактам/ампицилин</w:t>
      </w:r>
    </w:p>
    <w:p w14:paraId="3A6969D8" w14:textId="77777777" w:rsidR="00F775EC" w:rsidRPr="0097014F" w:rsidRDefault="00F775EC" w:rsidP="00F775EC">
      <w:pPr>
        <w:rPr>
          <w:lang w:val="bg-BG"/>
        </w:rPr>
      </w:pPr>
    </w:p>
    <w:p w14:paraId="79BF9253" w14:textId="790E4D1F" w:rsidR="002C50EE" w:rsidRPr="0097014F" w:rsidRDefault="002C50EE" w:rsidP="002C50EE">
      <w:pPr>
        <w:pStyle w:val="Heading2"/>
        <w:rPr>
          <w:lang w:val="bg-BG"/>
        </w:rPr>
      </w:pPr>
      <w:r w:rsidRPr="0097014F">
        <w:rPr>
          <w:lang w:val="bg-BG"/>
        </w:rPr>
        <w:t>4.2. Дозировка и начин на приложение</w:t>
      </w:r>
    </w:p>
    <w:p w14:paraId="1C0B7085" w14:textId="77777777" w:rsidR="00F775EC" w:rsidRPr="0097014F" w:rsidRDefault="00F775EC" w:rsidP="00F775EC">
      <w:pPr>
        <w:rPr>
          <w:u w:val="single"/>
          <w:lang w:val="bg-BG" w:eastAsia="bg-BG"/>
        </w:rPr>
      </w:pPr>
    </w:p>
    <w:p w14:paraId="3F0157E1" w14:textId="775F3F47" w:rsidR="00F775EC" w:rsidRPr="004B6476" w:rsidRDefault="00F775EC" w:rsidP="004B6476">
      <w:pPr>
        <w:pStyle w:val="Heading3"/>
        <w:rPr>
          <w:u w:val="single"/>
          <w:lang w:val="bg-BG"/>
        </w:rPr>
      </w:pPr>
      <w:r w:rsidRPr="004B6476">
        <w:rPr>
          <w:u w:val="single"/>
          <w:lang w:val="bg-BG" w:eastAsia="bg-BG"/>
        </w:rPr>
        <w:t>Дозировка</w:t>
      </w:r>
    </w:p>
    <w:p w14:paraId="01B12129" w14:textId="77777777" w:rsidR="00F775EC" w:rsidRPr="0097014F" w:rsidRDefault="00F775EC" w:rsidP="00F775EC">
      <w:pPr>
        <w:rPr>
          <w:lang w:val="bg-BG" w:eastAsia="bg-BG"/>
        </w:rPr>
      </w:pPr>
    </w:p>
    <w:p w14:paraId="31952BD4" w14:textId="5DCC4CF4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 xml:space="preserve">Препоръчваната доза султамицилин при възрастни (включително пациенти в старческа възраст) е 375-750 </w:t>
      </w:r>
      <w:r w:rsidRPr="0097014F">
        <w:rPr>
          <w:lang w:val="bg-BG"/>
        </w:rPr>
        <w:t xml:space="preserve">mg </w:t>
      </w:r>
      <w:r w:rsidRPr="0097014F">
        <w:rPr>
          <w:lang w:val="bg-BG" w:eastAsia="bg-BG"/>
        </w:rPr>
        <w:t>(1-2 таблетки) перорално два пъти дневно.</w:t>
      </w:r>
    </w:p>
    <w:p w14:paraId="724BB386" w14:textId="77777777" w:rsidR="00F775EC" w:rsidRPr="0097014F" w:rsidRDefault="00F775EC" w:rsidP="00F775EC">
      <w:pPr>
        <w:rPr>
          <w:lang w:val="bg-BG" w:eastAsia="bg-BG"/>
        </w:rPr>
      </w:pPr>
    </w:p>
    <w:p w14:paraId="42BF3CBB" w14:textId="0351C052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lastRenderedPageBreak/>
        <w:t>И при деца, и при възрастни лечението обикновено продължава до 48 часа след спадането на температурата и отзвучаването на останалите абнормни признаци. Обичайно лечението продължава 5-14 дни, но при необходимост може да се удължи.</w:t>
      </w:r>
      <w:bookmarkStart w:id="1" w:name="bookmark0"/>
      <w:bookmarkEnd w:id="1"/>
    </w:p>
    <w:p w14:paraId="0B73DFD9" w14:textId="77777777" w:rsidR="00F775EC" w:rsidRPr="0097014F" w:rsidRDefault="00F775EC" w:rsidP="00F775EC">
      <w:pPr>
        <w:rPr>
          <w:sz w:val="24"/>
          <w:szCs w:val="24"/>
          <w:lang w:val="bg-BG"/>
        </w:rPr>
      </w:pPr>
    </w:p>
    <w:p w14:paraId="7182E64D" w14:textId="77777777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 xml:space="preserve">При лечението на неусложнена гонорея султамицилин може да бъде даван като еднократна  перорална доза от 2,25 </w:t>
      </w:r>
      <w:r w:rsidRPr="0097014F">
        <w:rPr>
          <w:lang w:val="bg-BG"/>
        </w:rPr>
        <w:t xml:space="preserve">g </w:t>
      </w:r>
      <w:r w:rsidRPr="0097014F">
        <w:rPr>
          <w:lang w:val="bg-BG" w:eastAsia="bg-BG"/>
        </w:rPr>
        <w:t xml:space="preserve">(шест таблетки по 375 </w:t>
      </w:r>
      <w:r w:rsidRPr="0097014F">
        <w:rPr>
          <w:lang w:val="bg-BG"/>
        </w:rPr>
        <w:t xml:space="preserve">mg). </w:t>
      </w:r>
      <w:r w:rsidRPr="0097014F">
        <w:rPr>
          <w:lang w:val="bg-BG" w:eastAsia="bg-BG"/>
        </w:rPr>
        <w:t xml:space="preserve">Едновременно с това трябва да се назначава 1,0 </w:t>
      </w:r>
      <w:r w:rsidRPr="0097014F">
        <w:rPr>
          <w:lang w:val="bg-BG"/>
        </w:rPr>
        <w:t xml:space="preserve">g </w:t>
      </w:r>
      <w:r w:rsidRPr="0097014F">
        <w:rPr>
          <w:lang w:val="bg-BG" w:eastAsia="bg-BG"/>
        </w:rPr>
        <w:t>пробеницид, за да се удължат плазмените концентрации на сулбактам и ампицилин.</w:t>
      </w:r>
    </w:p>
    <w:p w14:paraId="0B13B394" w14:textId="77777777" w:rsidR="00F775EC" w:rsidRPr="0097014F" w:rsidRDefault="00F775EC" w:rsidP="00F775EC">
      <w:pPr>
        <w:rPr>
          <w:lang w:val="bg-BG" w:eastAsia="bg-BG"/>
        </w:rPr>
      </w:pPr>
    </w:p>
    <w:p w14:paraId="45CA097D" w14:textId="65EB3316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При случаи на гонорея със суспектна лезия от сифилис е необходимо да се направи диагностика на тъмно поле преди приема на султамицилин и да се правят ежемесечно серологични тестове в продължение на минимум четири месеца.</w:t>
      </w:r>
    </w:p>
    <w:p w14:paraId="6F8CBB45" w14:textId="77777777" w:rsidR="00F775EC" w:rsidRPr="0097014F" w:rsidRDefault="00F775EC" w:rsidP="00F775EC">
      <w:pPr>
        <w:rPr>
          <w:lang w:val="bg-BG" w:eastAsia="bg-BG"/>
        </w:rPr>
      </w:pPr>
    </w:p>
    <w:p w14:paraId="72DAE171" w14:textId="0DDCED6A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Препоръчва се лечението на инфекциите, причинени от хемолитични стрептококи, да продължи поне 10 дни с цел да се предотврати развитието на остър ревматичен пристъп или гломерулонефрит.</w:t>
      </w:r>
    </w:p>
    <w:p w14:paraId="4CD01610" w14:textId="77777777" w:rsidR="00F775EC" w:rsidRPr="0097014F" w:rsidRDefault="00F775EC" w:rsidP="00F775EC">
      <w:pPr>
        <w:rPr>
          <w:i/>
          <w:iCs/>
          <w:lang w:val="bg-BG" w:eastAsia="bg-BG"/>
        </w:rPr>
      </w:pPr>
    </w:p>
    <w:p w14:paraId="52078E81" w14:textId="2EB0B9AE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i/>
          <w:iCs/>
          <w:lang w:val="bg-BG" w:eastAsia="bg-BG"/>
        </w:rPr>
        <w:t>Педиатрична популация</w:t>
      </w:r>
    </w:p>
    <w:p w14:paraId="06F2DEC8" w14:textId="77777777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 xml:space="preserve">Дозировката за повечето инфекции при деца с тегло под 30 </w:t>
      </w:r>
      <w:r w:rsidRPr="0097014F">
        <w:rPr>
          <w:lang w:val="bg-BG"/>
        </w:rPr>
        <w:t xml:space="preserve">kg, </w:t>
      </w:r>
      <w:r w:rsidRPr="0097014F">
        <w:rPr>
          <w:lang w:val="bg-BG" w:eastAsia="bg-BG"/>
        </w:rPr>
        <w:t xml:space="preserve">съобразно тежестта на инфекцията и преценката на лекаря, е 25-50 </w:t>
      </w:r>
      <w:r w:rsidRPr="0097014F">
        <w:rPr>
          <w:lang w:val="bg-BG"/>
        </w:rPr>
        <w:t xml:space="preserve">mg/kg </w:t>
      </w:r>
      <w:r w:rsidRPr="0097014F">
        <w:rPr>
          <w:lang w:val="bg-BG" w:eastAsia="bg-BG"/>
        </w:rPr>
        <w:t xml:space="preserve">дневно перорален султамицилин, разпределени в два приема. При деца с тегло 30 </w:t>
      </w:r>
      <w:r w:rsidRPr="0097014F">
        <w:rPr>
          <w:lang w:val="bg-BG"/>
        </w:rPr>
        <w:t xml:space="preserve">kg </w:t>
      </w:r>
      <w:r w:rsidRPr="0097014F">
        <w:rPr>
          <w:lang w:val="bg-BG" w:eastAsia="bg-BG"/>
        </w:rPr>
        <w:t>или повече се прилага обичайната доза за възрастни.</w:t>
      </w:r>
    </w:p>
    <w:p w14:paraId="6799D2F3" w14:textId="77777777" w:rsidR="00F775EC" w:rsidRPr="0097014F" w:rsidRDefault="00F775EC" w:rsidP="00F775EC">
      <w:pPr>
        <w:rPr>
          <w:i/>
          <w:iCs/>
          <w:lang w:val="bg-BG" w:eastAsia="bg-BG"/>
        </w:rPr>
      </w:pPr>
    </w:p>
    <w:p w14:paraId="2E59520F" w14:textId="04F93603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i/>
          <w:iCs/>
          <w:lang w:val="bg-BG" w:eastAsia="bg-BG"/>
        </w:rPr>
        <w:t>Бъбречно увреждане</w:t>
      </w:r>
    </w:p>
    <w:p w14:paraId="34B18D4E" w14:textId="33ADD427" w:rsidR="00F775EC" w:rsidRPr="0097014F" w:rsidRDefault="00F775EC" w:rsidP="00F775EC">
      <w:pPr>
        <w:rPr>
          <w:lang w:val="bg-BG"/>
        </w:rPr>
      </w:pPr>
      <w:r w:rsidRPr="0097014F">
        <w:rPr>
          <w:lang w:val="bg-BG" w:eastAsia="bg-BG"/>
        </w:rPr>
        <w:t xml:space="preserve">При пациенти с тежко увреждане на бъбречната функция (креатининов клирънс &lt;30 </w:t>
      </w:r>
      <w:r w:rsidRPr="0097014F">
        <w:rPr>
          <w:lang w:val="bg-BG"/>
        </w:rPr>
        <w:t xml:space="preserve">ml/min) </w:t>
      </w:r>
      <w:r w:rsidRPr="0097014F">
        <w:rPr>
          <w:lang w:val="bg-BG" w:eastAsia="bg-BG"/>
        </w:rPr>
        <w:t>кинетиката на елиминиране на сулбактам и ампицилин протича по сходен начин и следователно съотношението на плазмените концентрации между тях остава постоянно. Дозата на султамицилин при такива пациенти трябва да се прилага по-рядко в съответствие с обичайната практика за ампицилин.</w:t>
      </w:r>
    </w:p>
    <w:p w14:paraId="1724CE96" w14:textId="77777777" w:rsidR="00F775EC" w:rsidRPr="0097014F" w:rsidRDefault="00F775EC" w:rsidP="00F775EC">
      <w:pPr>
        <w:rPr>
          <w:lang w:val="bg-BG"/>
        </w:rPr>
      </w:pPr>
    </w:p>
    <w:p w14:paraId="455D6048" w14:textId="133EA785" w:rsidR="002C50EE" w:rsidRPr="0097014F" w:rsidRDefault="002C50EE" w:rsidP="002C50EE">
      <w:pPr>
        <w:pStyle w:val="Heading2"/>
        <w:rPr>
          <w:lang w:val="bg-BG"/>
        </w:rPr>
      </w:pPr>
      <w:r w:rsidRPr="0097014F">
        <w:rPr>
          <w:lang w:val="bg-BG"/>
        </w:rPr>
        <w:t>4.3. Противопоказания</w:t>
      </w:r>
    </w:p>
    <w:p w14:paraId="48331242" w14:textId="77777777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Свръхчувствителност към активното вещество, други пеницилини или към някое от помощните вещества, изброени в точка 6.1.</w:t>
      </w:r>
    </w:p>
    <w:p w14:paraId="65AD5ABA" w14:textId="77777777" w:rsidR="00F775EC" w:rsidRPr="0097014F" w:rsidRDefault="00F775EC" w:rsidP="00F775EC">
      <w:pPr>
        <w:rPr>
          <w:lang w:val="bg-BG"/>
        </w:rPr>
      </w:pPr>
    </w:p>
    <w:p w14:paraId="2A4373D0" w14:textId="6A5038E7" w:rsidR="002C50EE" w:rsidRPr="0097014F" w:rsidRDefault="002C50EE" w:rsidP="002C50EE">
      <w:pPr>
        <w:pStyle w:val="Heading2"/>
        <w:rPr>
          <w:lang w:val="bg-BG"/>
        </w:rPr>
      </w:pPr>
      <w:r w:rsidRPr="0097014F">
        <w:rPr>
          <w:lang w:val="bg-BG"/>
        </w:rPr>
        <w:t>4.4. Специални предупреждения и предпазни мерки при употреба</w:t>
      </w:r>
    </w:p>
    <w:p w14:paraId="1D433CE4" w14:textId="77777777" w:rsidR="00F775EC" w:rsidRPr="0097014F" w:rsidRDefault="00F775EC" w:rsidP="00F775EC">
      <w:pPr>
        <w:spacing w:line="240" w:lineRule="auto"/>
        <w:rPr>
          <w:rFonts w:ascii="Times New Roman" w:eastAsia="Times New Roman" w:hAnsi="Times New Roman" w:cs="Times New Roman"/>
          <w:color w:val="000000"/>
          <w:lang w:val="bg-BG" w:eastAsia="bg-BG"/>
        </w:rPr>
      </w:pPr>
    </w:p>
    <w:p w14:paraId="19537B2B" w14:textId="4EC2ABBC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Съобщава се за сериозни и понякога фатални реакции на свръхчувствителност (анафилактични реакции) при пациенти на лечение с пеницилин, включително султамицилин. Тези реакции е по-вероятно да се проявят при индивиди с анамнеза за свръхчувствителност към пеницилин и/или реакции на свръхчувствителност към множество алергени. Има съобщения за индивиди с анамнеза за свръхчувствителност към пеницилин, които са проявили тежки реакции, когато са били подложени на лечение с цефалоспорини. Преди лечение с пеницилин трябва да се направи щателно снемане на анамнеза за предходни реакции на свръхчувствителност към пеницилини, цефалоспорини и други алергени. Ако се появи алергична реакция, лекарството трябва да се преустанови и да бъде назначено съответно лечение.</w:t>
      </w:r>
    </w:p>
    <w:p w14:paraId="5345ABB2" w14:textId="77777777" w:rsidR="00F775EC" w:rsidRPr="0097014F" w:rsidRDefault="00F775EC" w:rsidP="00F775EC">
      <w:pPr>
        <w:rPr>
          <w:lang w:val="bg-BG" w:eastAsia="bg-BG"/>
        </w:rPr>
      </w:pPr>
    </w:p>
    <w:p w14:paraId="32A8E854" w14:textId="3783B864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lastRenderedPageBreak/>
        <w:t>Сериозните анафилактични реакции изискват незабавно лечение по спешност с адреналин. Трябва да се приложат кислород, ингравенозни стероиди и мерки за обдишване, включително интубация, ако се налага.</w:t>
      </w:r>
    </w:p>
    <w:p w14:paraId="3B21653F" w14:textId="77777777" w:rsidR="00F775EC" w:rsidRPr="0097014F" w:rsidRDefault="00F775EC" w:rsidP="00F775EC">
      <w:pPr>
        <w:rPr>
          <w:lang w:val="bg-BG" w:eastAsia="bg-BG"/>
        </w:rPr>
      </w:pPr>
    </w:p>
    <w:p w14:paraId="14E5B1D7" w14:textId="32D89D90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Съобщавани са тежки кожни реакции, като токсична епидермална некролиза, синдром на Стивънс-Джонсън, ексфолиативен дерматит и еритема мултиформе при пациенти на терапия с ампицилин/сулбактам. При поява на тежка кожна реакция употребата на този продукт трябва да се прекрати и да се назначи съответна терапия (вж. точка 4.8).</w:t>
      </w:r>
    </w:p>
    <w:p w14:paraId="2D6F09A1" w14:textId="77777777" w:rsidR="00F775EC" w:rsidRPr="0097014F" w:rsidRDefault="00F775EC" w:rsidP="00F775EC">
      <w:pPr>
        <w:rPr>
          <w:lang w:val="bg-BG" w:eastAsia="bg-BG"/>
        </w:rPr>
      </w:pPr>
    </w:p>
    <w:p w14:paraId="4AE437FB" w14:textId="0B35E3C1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Както с всеки друг антибиотик, от съществено значение е непрекъснатото наблюдение за признаци на свръхрастеж на резистентни микроорганизми, включително гъбички. При поява ма суперинфекция лекарството трябва да се преустанови и/или да се проведе подходящо лечение.</w:t>
      </w:r>
    </w:p>
    <w:p w14:paraId="4DCE3559" w14:textId="77777777" w:rsidR="00F775EC" w:rsidRPr="0097014F" w:rsidRDefault="00F775EC" w:rsidP="00F775EC">
      <w:pPr>
        <w:rPr>
          <w:i/>
          <w:iCs/>
          <w:lang w:val="bg-BG"/>
        </w:rPr>
      </w:pPr>
    </w:p>
    <w:p w14:paraId="44E319AC" w14:textId="77777777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i/>
          <w:iCs/>
          <w:lang w:val="bg-BG"/>
        </w:rPr>
        <w:t>Clostridium difficile</w:t>
      </w:r>
      <w:r w:rsidRPr="0097014F">
        <w:rPr>
          <w:lang w:val="bg-BG"/>
        </w:rPr>
        <w:t xml:space="preserve"> </w:t>
      </w:r>
      <w:r w:rsidRPr="0097014F">
        <w:rPr>
          <w:lang w:val="bg-BG" w:eastAsia="bg-BG"/>
        </w:rPr>
        <w:t xml:space="preserve">свързана диария </w:t>
      </w:r>
      <w:r w:rsidRPr="0097014F">
        <w:rPr>
          <w:lang w:val="bg-BG"/>
        </w:rPr>
        <w:t xml:space="preserve">(CDAD) </w:t>
      </w:r>
      <w:r w:rsidRPr="0097014F">
        <w:rPr>
          <w:lang w:val="bg-BG" w:eastAsia="bg-BG"/>
        </w:rPr>
        <w:t xml:space="preserve">е съобщавана при приложението на почти всички антибактериални продукти, включително султамицилин като тежестта може да варира от лека диария до фатален колит. Лечението с антибактериални продукти променя нормалната флора на дебелото черво, което води до свръхрастеж на С. </w:t>
      </w:r>
      <w:r w:rsidRPr="0097014F">
        <w:rPr>
          <w:i/>
          <w:iCs/>
          <w:lang w:val="bg-BG"/>
        </w:rPr>
        <w:t>difficile.</w:t>
      </w:r>
    </w:p>
    <w:p w14:paraId="35003264" w14:textId="77777777" w:rsidR="00F775EC" w:rsidRPr="0097014F" w:rsidRDefault="00F775EC" w:rsidP="00F775EC">
      <w:pPr>
        <w:rPr>
          <w:i/>
          <w:iCs/>
          <w:lang w:val="bg-BG" w:eastAsia="bg-BG"/>
        </w:rPr>
      </w:pPr>
    </w:p>
    <w:p w14:paraId="575CB685" w14:textId="45FA78FC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i/>
          <w:iCs/>
          <w:lang w:val="bg-BG" w:eastAsia="bg-BG"/>
        </w:rPr>
        <w:t xml:space="preserve">С. </w:t>
      </w:r>
      <w:r w:rsidRPr="0097014F">
        <w:rPr>
          <w:i/>
          <w:iCs/>
          <w:lang w:val="bg-BG"/>
        </w:rPr>
        <w:t>difficile</w:t>
      </w:r>
      <w:r w:rsidRPr="0097014F">
        <w:rPr>
          <w:lang w:val="bg-BG"/>
        </w:rPr>
        <w:t xml:space="preserve"> </w:t>
      </w:r>
      <w:r w:rsidRPr="0097014F">
        <w:rPr>
          <w:lang w:val="bg-BG" w:eastAsia="bg-BG"/>
        </w:rPr>
        <w:t xml:space="preserve">произвежда токсини А и В, които допринасят за развитието на </w:t>
      </w:r>
      <w:r w:rsidRPr="0097014F">
        <w:rPr>
          <w:lang w:val="bg-BG"/>
        </w:rPr>
        <w:t xml:space="preserve">CDAD. </w:t>
      </w:r>
      <w:r w:rsidRPr="0097014F">
        <w:rPr>
          <w:lang w:val="bg-BG" w:eastAsia="bg-BG"/>
        </w:rPr>
        <w:t xml:space="preserve">Хипертоксин произвеждащи щамове на </w:t>
      </w:r>
      <w:r w:rsidRPr="0097014F">
        <w:rPr>
          <w:i/>
          <w:iCs/>
          <w:lang w:val="bg-BG" w:eastAsia="bg-BG"/>
        </w:rPr>
        <w:t xml:space="preserve">С. </w:t>
      </w:r>
      <w:r w:rsidRPr="0097014F">
        <w:rPr>
          <w:i/>
          <w:iCs/>
          <w:lang w:val="bg-BG"/>
        </w:rPr>
        <w:t>difficile</w:t>
      </w:r>
      <w:r w:rsidRPr="0097014F">
        <w:rPr>
          <w:lang w:val="bg-BG"/>
        </w:rPr>
        <w:t xml:space="preserve"> </w:t>
      </w:r>
      <w:r w:rsidRPr="0097014F">
        <w:rPr>
          <w:lang w:val="bg-BG" w:eastAsia="bg-BG"/>
        </w:rPr>
        <w:t xml:space="preserve">причиняват повишена заболеваемост и смъртност, като тези инфекции могат да бъдат рефрактерни на антимикробно лечение и може да изискват колектомия. </w:t>
      </w:r>
      <w:r w:rsidRPr="0097014F">
        <w:rPr>
          <w:lang w:val="bg-BG"/>
        </w:rPr>
        <w:t xml:space="preserve">CDAD </w:t>
      </w:r>
      <w:r w:rsidRPr="0097014F">
        <w:rPr>
          <w:lang w:val="bg-BG" w:eastAsia="bg-BG"/>
        </w:rPr>
        <w:t xml:space="preserve">трябва да се има предвид при всички пациенти с диария след антибиотична употреба. Небходима е щателна анамнеза, тъй като е съобщавано за поява на </w:t>
      </w:r>
      <w:r w:rsidRPr="0097014F">
        <w:rPr>
          <w:lang w:val="bg-BG"/>
        </w:rPr>
        <w:t xml:space="preserve">CDAD </w:t>
      </w:r>
      <w:r w:rsidRPr="0097014F">
        <w:rPr>
          <w:lang w:val="bg-BG" w:eastAsia="bg-BG"/>
        </w:rPr>
        <w:t>над два месеца след приложението на антибактериални продукти.</w:t>
      </w:r>
    </w:p>
    <w:p w14:paraId="234502FB" w14:textId="77777777" w:rsidR="00F775EC" w:rsidRPr="0097014F" w:rsidRDefault="00F775EC" w:rsidP="00F775EC">
      <w:pPr>
        <w:rPr>
          <w:lang w:val="bg-BG" w:eastAsia="bg-BG"/>
        </w:rPr>
      </w:pPr>
    </w:p>
    <w:p w14:paraId="1AD300C2" w14:textId="6399EDCF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Употребата на ампицилин/сулбактам се свързва с лекарствено индуцирано чернодробно увреждане, като холестатичен хепатит и жълтеница. Пациентите трябва да бъдат посъветвани да се свържат с техния лекар, ако развият признаци и симптоми на чернодробно заболяване (вж. точка 4.8).</w:t>
      </w:r>
    </w:p>
    <w:p w14:paraId="17B912C4" w14:textId="77777777" w:rsidR="00F775EC" w:rsidRPr="0097014F" w:rsidRDefault="00F775EC" w:rsidP="00F775EC">
      <w:pPr>
        <w:rPr>
          <w:lang w:val="bg-BG" w:eastAsia="bg-BG"/>
        </w:rPr>
      </w:pPr>
    </w:p>
    <w:p w14:paraId="2BD0D04B" w14:textId="2990166D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Тъй като инфекциозната мононуклеоза е вирусна по своя произход, в лечението й не бива да се включва ампицилин. Висок процент от пациентите с мононуклеоза, които са приемали ампицилин, са развили кожен обрив.</w:t>
      </w:r>
    </w:p>
    <w:p w14:paraId="6969A8BC" w14:textId="77777777" w:rsidR="00F775EC" w:rsidRPr="0097014F" w:rsidRDefault="00F775EC" w:rsidP="00F775EC">
      <w:pPr>
        <w:rPr>
          <w:lang w:val="bg-BG" w:eastAsia="bg-BG"/>
        </w:rPr>
      </w:pPr>
    </w:p>
    <w:p w14:paraId="04D3A178" w14:textId="3211A167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Препоръчва се периодично да бъде правена проверка за органна системна дисфункция по време на продължително лечение, което включва бъбречната, чернодробната и хематопоетична системи.</w:t>
      </w:r>
    </w:p>
    <w:p w14:paraId="2E1EF7C6" w14:textId="77777777" w:rsidR="00F775EC" w:rsidRPr="0097014F" w:rsidRDefault="00F775EC" w:rsidP="00F775EC">
      <w:pPr>
        <w:rPr>
          <w:lang w:val="bg-BG" w:eastAsia="bg-BG"/>
        </w:rPr>
      </w:pPr>
    </w:p>
    <w:p w14:paraId="45E6325D" w14:textId="157B169B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Основният път за екскреция на сулбактам и ампицилин след перорален прием на султамицилин е чрез урината. Тъй като при новородени бъбречната функция не е напълно развита, това трябва да бъде съобразено при употреба на султамицилин при новородени.</w:t>
      </w:r>
    </w:p>
    <w:p w14:paraId="24284133" w14:textId="77777777" w:rsidR="00F775EC" w:rsidRPr="0097014F" w:rsidRDefault="00F775EC" w:rsidP="00F775EC">
      <w:pPr>
        <w:rPr>
          <w:lang w:val="bg-BG" w:eastAsia="bg-BG"/>
        </w:rPr>
      </w:pPr>
    </w:p>
    <w:p w14:paraId="2B26F559" w14:textId="75143AFF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 xml:space="preserve">Всяка таблетка съдържа 34 </w:t>
      </w:r>
      <w:r w:rsidRPr="0097014F">
        <w:rPr>
          <w:lang w:val="bg-BG"/>
        </w:rPr>
        <w:t xml:space="preserve">mg </w:t>
      </w:r>
      <w:r w:rsidRPr="0097014F">
        <w:rPr>
          <w:lang w:val="bg-BG" w:eastAsia="bg-BG"/>
        </w:rPr>
        <w:t>лактоза, безводна. Пациенти с редки наследствени проблеми на непоносимост към галактоза, пълен лактазен дефицит или глюкозо-галактозна малабсорбция не трябва да приемат това лекарство.</w:t>
      </w:r>
    </w:p>
    <w:p w14:paraId="129A27B5" w14:textId="77777777" w:rsidR="00F775EC" w:rsidRPr="0097014F" w:rsidRDefault="00F775EC" w:rsidP="00F775EC">
      <w:pPr>
        <w:rPr>
          <w:lang w:val="bg-BG" w:eastAsia="bg-BG"/>
        </w:rPr>
      </w:pPr>
    </w:p>
    <w:p w14:paraId="22A3E856" w14:textId="3EF21502" w:rsidR="00F775EC" w:rsidRPr="0097014F" w:rsidRDefault="00F775EC" w:rsidP="00F775EC">
      <w:pPr>
        <w:rPr>
          <w:lang w:val="bg-BG" w:eastAsia="bg-BG"/>
        </w:rPr>
      </w:pPr>
      <w:r w:rsidRPr="0097014F">
        <w:rPr>
          <w:lang w:val="bg-BG" w:eastAsia="bg-BG"/>
        </w:rPr>
        <w:t xml:space="preserve">Това лекарство съдържа по-малко от 1 </w:t>
      </w:r>
      <w:r w:rsidRPr="0097014F">
        <w:rPr>
          <w:lang w:val="bg-BG"/>
        </w:rPr>
        <w:t xml:space="preserve">mmol </w:t>
      </w:r>
      <w:r w:rsidRPr="0097014F">
        <w:rPr>
          <w:lang w:val="bg-BG" w:eastAsia="bg-BG"/>
        </w:rPr>
        <w:t xml:space="preserve">натрий (23 </w:t>
      </w:r>
      <w:r w:rsidRPr="0097014F">
        <w:rPr>
          <w:lang w:val="bg-BG"/>
        </w:rPr>
        <w:t xml:space="preserve">mg) </w:t>
      </w:r>
      <w:r w:rsidRPr="0097014F">
        <w:rPr>
          <w:lang w:val="bg-BG" w:eastAsia="bg-BG"/>
        </w:rPr>
        <w:t>на таблетка, т.е. може да се каже, че практически не съдържа натрий.</w:t>
      </w:r>
    </w:p>
    <w:p w14:paraId="681CC7CA" w14:textId="77777777" w:rsidR="00F775EC" w:rsidRPr="0097014F" w:rsidRDefault="00F775EC" w:rsidP="00F775EC">
      <w:pPr>
        <w:rPr>
          <w:lang w:val="bg-BG"/>
        </w:rPr>
      </w:pPr>
    </w:p>
    <w:p w14:paraId="78BEBB3D" w14:textId="1AA11930" w:rsidR="002C50EE" w:rsidRPr="0097014F" w:rsidRDefault="002C50EE" w:rsidP="002C50EE">
      <w:pPr>
        <w:pStyle w:val="Heading2"/>
        <w:rPr>
          <w:lang w:val="bg-BG"/>
        </w:rPr>
      </w:pPr>
      <w:r w:rsidRPr="0097014F">
        <w:rPr>
          <w:lang w:val="bg-BG"/>
        </w:rPr>
        <w:t>4.5. Взаимодействие с други лекарствени продукти и други форми на взаимодействие</w:t>
      </w:r>
    </w:p>
    <w:p w14:paraId="7ACD42BF" w14:textId="77777777" w:rsidR="00F775EC" w:rsidRPr="0097014F" w:rsidRDefault="00F775EC" w:rsidP="00F775EC">
      <w:pPr>
        <w:spacing w:line="240" w:lineRule="auto"/>
        <w:rPr>
          <w:rFonts w:ascii="Times New Roman" w:eastAsia="Times New Roman" w:hAnsi="Times New Roman" w:cs="Times New Roman"/>
          <w:i/>
          <w:iCs/>
          <w:color w:val="000000"/>
          <w:lang w:val="bg-BG" w:eastAsia="bg-BG"/>
        </w:rPr>
      </w:pPr>
    </w:p>
    <w:p w14:paraId="497C103E" w14:textId="28F930AE" w:rsidR="00F775EC" w:rsidRPr="0097014F" w:rsidRDefault="00F775EC" w:rsidP="00F775EC">
      <w:pPr>
        <w:rPr>
          <w:sz w:val="24"/>
          <w:szCs w:val="24"/>
          <w:lang w:val="bg-BG"/>
        </w:rPr>
      </w:pPr>
      <w:r w:rsidRPr="00053561">
        <w:rPr>
          <w:rStyle w:val="Heading3Char"/>
          <w:i/>
          <w:iCs/>
          <w:lang w:val="bg-BG"/>
        </w:rPr>
        <w:t>Алопуринол:</w:t>
      </w:r>
      <w:r w:rsidRPr="0097014F">
        <w:rPr>
          <w:lang w:val="bg-BG" w:eastAsia="bg-BG"/>
        </w:rPr>
        <w:t xml:space="preserve"> Едновременното приложение на алопуринол и ампицилин повишава съществено честотата на обривите при пациенти, които получават едновременно и двете лекарства, в сравнение с пациенти, които получават само ампицилин.</w:t>
      </w:r>
    </w:p>
    <w:p w14:paraId="59ED0588" w14:textId="77777777" w:rsidR="00F775EC" w:rsidRPr="0097014F" w:rsidRDefault="00F775EC" w:rsidP="00F775EC">
      <w:pPr>
        <w:rPr>
          <w:i/>
          <w:iCs/>
          <w:lang w:val="bg-BG" w:eastAsia="bg-BG"/>
        </w:rPr>
      </w:pPr>
    </w:p>
    <w:p w14:paraId="3787F304" w14:textId="2F869ACA" w:rsidR="00F775EC" w:rsidRPr="0097014F" w:rsidRDefault="00F775EC" w:rsidP="00F775EC">
      <w:pPr>
        <w:rPr>
          <w:sz w:val="24"/>
          <w:szCs w:val="24"/>
          <w:lang w:val="bg-BG"/>
        </w:rPr>
      </w:pPr>
      <w:r w:rsidRPr="00053561">
        <w:rPr>
          <w:rStyle w:val="Heading3Char"/>
          <w:i/>
          <w:iCs/>
          <w:lang w:val="bg-BG"/>
        </w:rPr>
        <w:t>Антикоагуланти:</w:t>
      </w:r>
      <w:r w:rsidRPr="0097014F">
        <w:rPr>
          <w:lang w:val="bg-BG" w:eastAsia="bg-BG"/>
        </w:rPr>
        <w:t xml:space="preserve"> Пеницилините могат да доведат до промени в тромбоцитната агрегация и коагулационните тестове. Тези ефекти може да бъдат адитивни с ефектите на антикоагулангите.</w:t>
      </w:r>
    </w:p>
    <w:p w14:paraId="3A4CA0AF" w14:textId="77777777" w:rsidR="00F775EC" w:rsidRPr="0097014F" w:rsidRDefault="00F775EC" w:rsidP="00F775EC">
      <w:pPr>
        <w:rPr>
          <w:i/>
          <w:iCs/>
          <w:lang w:val="bg-BG" w:eastAsia="bg-BG"/>
        </w:rPr>
      </w:pPr>
    </w:p>
    <w:p w14:paraId="7582A7C8" w14:textId="74FA1D8D" w:rsidR="00F775EC" w:rsidRPr="0097014F" w:rsidRDefault="00F775EC" w:rsidP="00F775EC">
      <w:pPr>
        <w:rPr>
          <w:sz w:val="24"/>
          <w:szCs w:val="24"/>
          <w:lang w:val="bg-BG"/>
        </w:rPr>
      </w:pPr>
      <w:r w:rsidRPr="00053561">
        <w:rPr>
          <w:rStyle w:val="Heading3Char"/>
          <w:i/>
          <w:iCs/>
          <w:lang w:val="bg-BG"/>
        </w:rPr>
        <w:t>Бактериостатични лекарства (хлорамфеникол, еритромицин, сулфонамиди и тетрациклини):</w:t>
      </w:r>
      <w:r w:rsidRPr="0097014F">
        <w:rPr>
          <w:i/>
          <w:iCs/>
          <w:lang w:val="bg-BG" w:eastAsia="bg-BG"/>
        </w:rPr>
        <w:t xml:space="preserve"> </w:t>
      </w:r>
      <w:r w:rsidRPr="0097014F">
        <w:rPr>
          <w:lang w:val="bg-BG" w:eastAsia="bg-BG"/>
        </w:rPr>
        <w:t>Бактериостатичните лекарства могат да повлияят на бактерицидното действие на пеницилините; най-добре е да се избягва едновременното им приложение.</w:t>
      </w:r>
    </w:p>
    <w:p w14:paraId="7E6CEF89" w14:textId="77777777" w:rsidR="00F775EC" w:rsidRPr="0097014F" w:rsidRDefault="00F775EC" w:rsidP="00F775EC">
      <w:pPr>
        <w:rPr>
          <w:i/>
          <w:iCs/>
          <w:lang w:val="bg-BG" w:eastAsia="bg-BG"/>
        </w:rPr>
      </w:pPr>
    </w:p>
    <w:p w14:paraId="314FFAF7" w14:textId="5969B422" w:rsidR="00F775EC" w:rsidRPr="0097014F" w:rsidRDefault="00F775EC" w:rsidP="00F775EC">
      <w:pPr>
        <w:rPr>
          <w:lang w:val="bg-BG" w:eastAsia="bg-BG"/>
        </w:rPr>
      </w:pPr>
      <w:r w:rsidRPr="00053561">
        <w:rPr>
          <w:rStyle w:val="Heading3Char"/>
          <w:i/>
          <w:iCs/>
          <w:lang w:val="bg-BG"/>
        </w:rPr>
        <w:t>Естроген-съдържащи перорални контрацептиви</w:t>
      </w:r>
      <w:r w:rsidR="000F502B">
        <w:rPr>
          <w:rStyle w:val="Heading3Char"/>
          <w:i/>
          <w:iCs/>
          <w:lang w:val="bg-BG"/>
        </w:rPr>
        <w:t>ю:</w:t>
      </w:r>
      <w:r w:rsidRPr="0097014F">
        <w:rPr>
          <w:lang w:val="bg-BG" w:eastAsia="bg-BG"/>
        </w:rPr>
        <w:t xml:space="preserve"> Има съобщения за намалена ефективност на пероралните контрацептиви при жени, които приемат ампицилин, водещо до непланирана бременност. Въпреки че взаимовръзката е слаба, на пациентките трябва да се предостави възможност да използват алтернативен или допълнителен метод на контрацепция, докато приемат ампицилин.</w:t>
      </w:r>
    </w:p>
    <w:p w14:paraId="733C3EFE" w14:textId="69498551" w:rsidR="00F775EC" w:rsidRPr="0097014F" w:rsidRDefault="00F775EC" w:rsidP="00F775EC">
      <w:pPr>
        <w:rPr>
          <w:lang w:val="bg-BG" w:eastAsia="bg-BG"/>
        </w:rPr>
      </w:pPr>
    </w:p>
    <w:p w14:paraId="426166DA" w14:textId="77777777" w:rsidR="00F775EC" w:rsidRPr="0097014F" w:rsidRDefault="00F775EC" w:rsidP="00F775EC">
      <w:pPr>
        <w:rPr>
          <w:sz w:val="24"/>
          <w:szCs w:val="24"/>
          <w:lang w:val="bg-BG"/>
        </w:rPr>
      </w:pPr>
      <w:r w:rsidRPr="00053561">
        <w:rPr>
          <w:rStyle w:val="Heading3Char"/>
          <w:i/>
          <w:iCs/>
          <w:lang w:val="bg-BG"/>
        </w:rPr>
        <w:t>Метотрексат:</w:t>
      </w:r>
      <w:r w:rsidRPr="0097014F">
        <w:rPr>
          <w:lang w:val="bg-BG" w:eastAsia="bg-BG"/>
        </w:rPr>
        <w:t xml:space="preserve"> Едновременното приложение с пеницилини води до намаляване на клирънса на метотрексат и съответстващо нарастване на токсичността на метотрексат. Пациентите трябва да бъдат строго проследявани. Може да се наложи повишаване на дозата на левковорин и прилагането му за по-дълги периоди от време.</w:t>
      </w:r>
    </w:p>
    <w:p w14:paraId="1AFD1950" w14:textId="5CE8D445" w:rsidR="00F775EC" w:rsidRPr="0097014F" w:rsidRDefault="00F775EC" w:rsidP="00F775EC">
      <w:pPr>
        <w:rPr>
          <w:sz w:val="24"/>
          <w:szCs w:val="24"/>
          <w:lang w:val="bg-BG"/>
        </w:rPr>
      </w:pPr>
    </w:p>
    <w:p w14:paraId="23CE3CC5" w14:textId="77777777" w:rsidR="00F775EC" w:rsidRPr="0097014F" w:rsidRDefault="00F775EC" w:rsidP="00F775EC">
      <w:pPr>
        <w:rPr>
          <w:sz w:val="24"/>
          <w:szCs w:val="24"/>
          <w:lang w:val="bg-BG"/>
        </w:rPr>
      </w:pPr>
      <w:r w:rsidRPr="00053561">
        <w:rPr>
          <w:rStyle w:val="Heading3Char"/>
          <w:i/>
          <w:iCs/>
          <w:lang w:val="bg-BG"/>
        </w:rPr>
        <w:t>Нестореоидни противовъзпалителни лекарства (ацетилсалицилова киселина, индометацин и фенилбутазон):</w:t>
      </w:r>
      <w:r w:rsidRPr="0097014F">
        <w:rPr>
          <w:lang w:val="bg-BG" w:eastAsia="bg-BG"/>
        </w:rPr>
        <w:t xml:space="preserve"> Ацетилсалицилова киселина, индометацин и фенилбутазон могат да удължат елиминирането на пеницилините, което е демонстрирано чрез повишаването на полуживота на пеницилините.</w:t>
      </w:r>
    </w:p>
    <w:p w14:paraId="703AB90D" w14:textId="77777777" w:rsidR="00F775EC" w:rsidRPr="0097014F" w:rsidRDefault="00F775EC" w:rsidP="00F775EC">
      <w:pPr>
        <w:rPr>
          <w:i/>
          <w:iCs/>
          <w:lang w:val="bg-BG" w:eastAsia="bg-BG"/>
        </w:rPr>
      </w:pPr>
    </w:p>
    <w:p w14:paraId="39FE2137" w14:textId="59A02866" w:rsidR="00F775EC" w:rsidRPr="0097014F" w:rsidRDefault="00F775EC" w:rsidP="00F775EC">
      <w:pPr>
        <w:rPr>
          <w:sz w:val="24"/>
          <w:szCs w:val="24"/>
          <w:lang w:val="bg-BG"/>
        </w:rPr>
      </w:pPr>
      <w:r w:rsidRPr="00053561">
        <w:rPr>
          <w:rStyle w:val="Heading3Char"/>
          <w:i/>
          <w:iCs/>
          <w:lang w:val="bg-BG"/>
        </w:rPr>
        <w:t>Пробенецид:</w:t>
      </w:r>
      <w:r w:rsidRPr="0097014F">
        <w:rPr>
          <w:lang w:val="bg-BG" w:eastAsia="bg-BG"/>
        </w:rPr>
        <w:t xml:space="preserve"> Пробенецид намалява бъбречната тубулна секреция на ампицилин и сулбактам, когато се използва едновременно с тях; това води до повишени и удължени серумни концентрации, удължен елиминационен полуживот и повишен риск от токсичност.</w:t>
      </w:r>
    </w:p>
    <w:p w14:paraId="27E6F916" w14:textId="77777777" w:rsidR="00F775EC" w:rsidRPr="0097014F" w:rsidRDefault="00F775EC" w:rsidP="00F775EC">
      <w:pPr>
        <w:rPr>
          <w:i/>
          <w:iCs/>
          <w:lang w:val="bg-BG" w:eastAsia="bg-BG"/>
        </w:rPr>
      </w:pPr>
    </w:p>
    <w:p w14:paraId="6B2431E8" w14:textId="17DA2C6C" w:rsidR="00F775EC" w:rsidRPr="0097014F" w:rsidRDefault="00F775EC" w:rsidP="00F775EC">
      <w:pPr>
        <w:rPr>
          <w:sz w:val="24"/>
          <w:szCs w:val="24"/>
          <w:lang w:val="bg-BG"/>
        </w:rPr>
      </w:pPr>
      <w:r w:rsidRPr="00053561">
        <w:rPr>
          <w:rStyle w:val="Heading3Char"/>
          <w:i/>
          <w:iCs/>
          <w:lang w:val="bg-BG"/>
        </w:rPr>
        <w:t>Взаимодействия с лабораторни тестове:</w:t>
      </w:r>
      <w:r w:rsidRPr="0097014F">
        <w:rPr>
          <w:lang w:val="bg-BG" w:eastAsia="bg-BG"/>
        </w:rPr>
        <w:t xml:space="preserve"> Фалшиво-положителна реакция за глюкоза в урината може да бъде наблюдавана при анализ на урината с реагент на Бенедикт, реагент на Фелинг и Клинитест™. След приложение на ампицилин при бременни жени е наблюдавано преходно понижаване на плазмената концентрация на общия конюгиран естриол, естриол-глюкуронид, конюгирания естрон и естрадиол. Този </w:t>
      </w:r>
      <w:r w:rsidRPr="0097014F">
        <w:rPr>
          <w:lang w:val="bg-BG" w:eastAsia="bg-BG"/>
        </w:rPr>
        <w:lastRenderedPageBreak/>
        <w:t>ефект също може да настъпи при интамускулен/интравенозен сулбактам натрий/ампицилин натрий.</w:t>
      </w:r>
    </w:p>
    <w:p w14:paraId="448C55C2" w14:textId="77777777" w:rsidR="00F775EC" w:rsidRPr="0097014F" w:rsidRDefault="00F775EC" w:rsidP="00F775EC">
      <w:pPr>
        <w:rPr>
          <w:rFonts w:ascii="Times New Roman" w:eastAsia="Times New Roman" w:hAnsi="Times New Roman" w:cs="Times New Roman"/>
          <w:color w:val="000000"/>
          <w:lang w:val="bg-BG" w:eastAsia="bg-BG"/>
        </w:rPr>
      </w:pPr>
    </w:p>
    <w:p w14:paraId="2477F4DB" w14:textId="77777777" w:rsidR="00F775EC" w:rsidRPr="0097014F" w:rsidRDefault="00F775EC" w:rsidP="00F775EC">
      <w:pPr>
        <w:rPr>
          <w:lang w:val="bg-BG"/>
        </w:rPr>
      </w:pPr>
    </w:p>
    <w:p w14:paraId="48221AB5" w14:textId="1C9E0C88" w:rsidR="002C50EE" w:rsidRPr="0097014F" w:rsidRDefault="002C50EE" w:rsidP="002C50EE">
      <w:pPr>
        <w:pStyle w:val="Heading2"/>
        <w:rPr>
          <w:lang w:val="bg-BG"/>
        </w:rPr>
      </w:pPr>
      <w:r w:rsidRPr="0097014F">
        <w:rPr>
          <w:lang w:val="bg-BG"/>
        </w:rPr>
        <w:t>4.6. Фертилитет, бременност и кърмене</w:t>
      </w:r>
    </w:p>
    <w:p w14:paraId="0967B2B1" w14:textId="77777777" w:rsidR="00F775EC" w:rsidRPr="0097014F" w:rsidRDefault="00F775EC" w:rsidP="00F775EC">
      <w:pPr>
        <w:spacing w:line="240" w:lineRule="auto"/>
        <w:rPr>
          <w:rFonts w:ascii="Times New Roman" w:eastAsia="Times New Roman" w:hAnsi="Times New Roman" w:cs="Times New Roman"/>
          <w:color w:val="000000"/>
          <w:u w:val="single"/>
          <w:lang w:val="bg-BG" w:eastAsia="bg-BG"/>
        </w:rPr>
      </w:pPr>
    </w:p>
    <w:p w14:paraId="109E0482" w14:textId="6D7DAD21" w:rsidR="00F775EC" w:rsidRPr="0097014F" w:rsidRDefault="00F775EC" w:rsidP="00F775EC">
      <w:pPr>
        <w:pStyle w:val="Heading3"/>
        <w:rPr>
          <w:rFonts w:eastAsia="Times New Roman"/>
          <w:u w:val="single"/>
          <w:lang w:val="bg-BG"/>
        </w:rPr>
      </w:pPr>
      <w:r w:rsidRPr="0097014F">
        <w:rPr>
          <w:rFonts w:eastAsia="Times New Roman"/>
          <w:u w:val="single"/>
          <w:lang w:val="bg-BG" w:eastAsia="bg-BG"/>
        </w:rPr>
        <w:t>Бременност</w:t>
      </w:r>
    </w:p>
    <w:p w14:paraId="191FB55D" w14:textId="77777777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Репродуктивните проучвания при животни не разкриват доказателства за нарушение на фертилитета или увреждане на плода, дължащи се на султамицилин. Сулбактам и ампицилин преминават плацентарната бариера. В същото време безопасността при употреба по време на бременност при хора не е установена. Затова султамицилин трябва да се използва при бременни жени, само ако ползата надвишава потенциалния риск.</w:t>
      </w:r>
    </w:p>
    <w:p w14:paraId="6095CA45" w14:textId="77777777" w:rsidR="00F775EC" w:rsidRPr="0097014F" w:rsidRDefault="00F775EC" w:rsidP="00F775EC">
      <w:pPr>
        <w:rPr>
          <w:lang w:val="bg-BG" w:eastAsia="bg-BG"/>
        </w:rPr>
      </w:pPr>
    </w:p>
    <w:p w14:paraId="707D64DC" w14:textId="4A7E0BC1" w:rsidR="00F775EC" w:rsidRPr="0097014F" w:rsidRDefault="00F775EC" w:rsidP="00F775EC">
      <w:pPr>
        <w:pStyle w:val="Heading3"/>
        <w:rPr>
          <w:rFonts w:eastAsia="Times New Roman"/>
          <w:u w:val="single"/>
          <w:lang w:val="bg-BG"/>
        </w:rPr>
      </w:pPr>
      <w:r w:rsidRPr="0097014F">
        <w:rPr>
          <w:rFonts w:eastAsia="Times New Roman"/>
          <w:u w:val="single"/>
          <w:lang w:val="bg-BG" w:eastAsia="bg-BG"/>
        </w:rPr>
        <w:t>Кърмене</w:t>
      </w:r>
    </w:p>
    <w:p w14:paraId="15932EFB" w14:textId="77777777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Ампицилин и сулбактам се екскретират в ниски концентрации в кърмата. Това трябва да се има предвид при новородени, тъй като бъбречната им функция не е напълно развита. Употребата на султамицилин от кърмещата жена може да причини сенсибилизиране, диария, кандидоза и кожен обрив при кърмачето. Не се препоръчва употребата на султамицилин по време на кърмене.</w:t>
      </w:r>
    </w:p>
    <w:p w14:paraId="76537D2B" w14:textId="77777777" w:rsidR="00F775EC" w:rsidRPr="0097014F" w:rsidRDefault="00F775EC" w:rsidP="00F775EC">
      <w:pPr>
        <w:rPr>
          <w:lang w:val="bg-BG"/>
        </w:rPr>
      </w:pPr>
    </w:p>
    <w:p w14:paraId="5F675BDB" w14:textId="6A3EF2C3" w:rsidR="002C50EE" w:rsidRPr="0097014F" w:rsidRDefault="002C50EE" w:rsidP="002C50EE">
      <w:pPr>
        <w:pStyle w:val="Heading2"/>
        <w:rPr>
          <w:lang w:val="bg-BG"/>
        </w:rPr>
      </w:pPr>
      <w:r w:rsidRPr="0097014F">
        <w:rPr>
          <w:lang w:val="bg-BG"/>
        </w:rPr>
        <w:t>4.7. Ефекти върху способността за шофиране и работа с машини</w:t>
      </w:r>
    </w:p>
    <w:p w14:paraId="005487C9" w14:textId="77777777" w:rsidR="00F775EC" w:rsidRPr="0097014F" w:rsidRDefault="00F775EC" w:rsidP="00F775EC">
      <w:pPr>
        <w:rPr>
          <w:lang w:val="bg-BG"/>
        </w:rPr>
      </w:pPr>
    </w:p>
    <w:p w14:paraId="0BF4011A" w14:textId="59A093D7" w:rsidR="00F775EC" w:rsidRPr="0097014F" w:rsidRDefault="00F775EC" w:rsidP="00F775EC">
      <w:pPr>
        <w:rPr>
          <w:lang w:val="bg-BG"/>
        </w:rPr>
      </w:pPr>
      <w:r w:rsidRPr="0097014F">
        <w:rPr>
          <w:lang w:val="bg-BG"/>
        </w:rPr>
        <w:t>Трябва да се има предвид, че понякога може да се появи замайване.</w:t>
      </w:r>
    </w:p>
    <w:p w14:paraId="103EF097" w14:textId="77777777" w:rsidR="00F775EC" w:rsidRPr="0097014F" w:rsidRDefault="00F775EC" w:rsidP="00F775EC">
      <w:pPr>
        <w:rPr>
          <w:lang w:val="bg-BG"/>
        </w:rPr>
      </w:pPr>
    </w:p>
    <w:p w14:paraId="1B3BD30D" w14:textId="45E9D3FB" w:rsidR="002C50EE" w:rsidRPr="0097014F" w:rsidRDefault="002C50EE" w:rsidP="002C50EE">
      <w:pPr>
        <w:pStyle w:val="Heading2"/>
        <w:rPr>
          <w:lang w:val="bg-BG"/>
        </w:rPr>
      </w:pPr>
      <w:r w:rsidRPr="0097014F">
        <w:rPr>
          <w:lang w:val="bg-BG"/>
        </w:rPr>
        <w:t>4.8. Нежелани лекарствени реакции</w:t>
      </w:r>
    </w:p>
    <w:p w14:paraId="70120AEB" w14:textId="77777777" w:rsidR="00F775EC" w:rsidRPr="0097014F" w:rsidRDefault="00F775EC" w:rsidP="00F775EC">
      <w:pPr>
        <w:rPr>
          <w:lang w:val="bg-BG" w:eastAsia="bg-BG"/>
        </w:rPr>
      </w:pPr>
    </w:p>
    <w:p w14:paraId="6389B74D" w14:textId="3549ECE6" w:rsidR="00F775EC" w:rsidRPr="0097014F" w:rsidRDefault="00F775EC" w:rsidP="00F775EC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 xml:space="preserve">Обикновено султамицилин се понася добре. Повечего от наблюдаваните нежелани реакции са били леки до умерени по тежест и са били понесени нормално при продължаване на лечението. В таблицата по-долу са представени всички нежелани реакции, които са възникнали в терапевтични проучвания с многократни дози султамицилин при възрастни, групирани по </w:t>
      </w:r>
      <w:r w:rsidRPr="0097014F">
        <w:rPr>
          <w:lang w:val="bg-BG"/>
        </w:rPr>
        <w:t xml:space="preserve">MedDRA </w:t>
      </w:r>
      <w:r w:rsidRPr="0097014F">
        <w:rPr>
          <w:lang w:val="bg-BG" w:eastAsia="bg-BG"/>
        </w:rPr>
        <w:t>системо-органен клас и изредени по честота (много чести (</w:t>
      </w:r>
      <w:r w:rsidRPr="0097014F">
        <w:rPr>
          <w:lang w:val="bg-BG"/>
        </w:rPr>
        <w:t>≥</w:t>
      </w:r>
      <w:r w:rsidRPr="0097014F">
        <w:rPr>
          <w:lang w:val="bg-BG" w:eastAsia="bg-BG"/>
        </w:rPr>
        <w:t>1/10), чести (</w:t>
      </w:r>
      <w:r w:rsidRPr="0097014F">
        <w:rPr>
          <w:lang w:val="bg-BG"/>
        </w:rPr>
        <w:t>≥</w:t>
      </w:r>
      <w:r w:rsidRPr="0097014F">
        <w:rPr>
          <w:lang w:val="bg-BG" w:eastAsia="bg-BG"/>
        </w:rPr>
        <w:t>1/100 до &lt;1/10), нечести (</w:t>
      </w:r>
      <w:r w:rsidRPr="0097014F">
        <w:rPr>
          <w:lang w:val="bg-BG"/>
        </w:rPr>
        <w:t>≥</w:t>
      </w:r>
      <w:r w:rsidRPr="0097014F">
        <w:rPr>
          <w:lang w:val="bg-BG" w:eastAsia="bg-BG"/>
        </w:rPr>
        <w:t>1/1 000 до &lt;1/100), редки (</w:t>
      </w:r>
      <w:r w:rsidRPr="0097014F">
        <w:rPr>
          <w:lang w:val="bg-BG"/>
        </w:rPr>
        <w:t>≥</w:t>
      </w:r>
      <w:r w:rsidRPr="0097014F">
        <w:rPr>
          <w:lang w:val="bg-BG" w:eastAsia="bg-BG"/>
        </w:rPr>
        <w:t>1/10 000 до &lt;1/1 000), много редки (&lt;1/10 000), с неизвестна честота (от наличните данни не може да бъде направена оценка)).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775EC" w:rsidRPr="0097014F" w14:paraId="1F0F4182" w14:textId="77777777" w:rsidTr="00F775EC">
        <w:tc>
          <w:tcPr>
            <w:tcW w:w="3116" w:type="dxa"/>
          </w:tcPr>
          <w:p w14:paraId="4D2267BD" w14:textId="6382F6A3" w:rsidR="00F775EC" w:rsidRPr="0097014F" w:rsidRDefault="00F775EC" w:rsidP="00F775EC">
            <w:pPr>
              <w:rPr>
                <w:b/>
                <w:bCs/>
                <w:lang w:val="bg-BG"/>
              </w:rPr>
            </w:pPr>
            <w:r w:rsidRPr="0097014F">
              <w:rPr>
                <w:b/>
                <w:bCs/>
                <w:lang w:val="bg-BG"/>
              </w:rPr>
              <w:t>Системо-органен клас</w:t>
            </w:r>
          </w:p>
        </w:tc>
        <w:tc>
          <w:tcPr>
            <w:tcW w:w="3117" w:type="dxa"/>
          </w:tcPr>
          <w:p w14:paraId="3BF2A1B1" w14:textId="323CB264" w:rsidR="00F775EC" w:rsidRPr="0097014F" w:rsidRDefault="00F775EC" w:rsidP="00F775EC">
            <w:pPr>
              <w:rPr>
                <w:b/>
                <w:bCs/>
                <w:lang w:val="bg-BG"/>
              </w:rPr>
            </w:pPr>
            <w:r w:rsidRPr="0097014F">
              <w:rPr>
                <w:b/>
                <w:bCs/>
                <w:lang w:val="bg-BG"/>
              </w:rPr>
              <w:t>Нежелана реакция</w:t>
            </w:r>
          </w:p>
        </w:tc>
        <w:tc>
          <w:tcPr>
            <w:tcW w:w="3117" w:type="dxa"/>
          </w:tcPr>
          <w:p w14:paraId="6631C995" w14:textId="5D9484BC" w:rsidR="00F775EC" w:rsidRPr="0097014F" w:rsidRDefault="00F775EC" w:rsidP="00F775EC">
            <w:pPr>
              <w:rPr>
                <w:b/>
                <w:bCs/>
                <w:lang w:val="bg-BG"/>
              </w:rPr>
            </w:pPr>
            <w:r w:rsidRPr="0097014F">
              <w:rPr>
                <w:b/>
                <w:bCs/>
                <w:lang w:val="bg-BG"/>
              </w:rPr>
              <w:t>Честота</w:t>
            </w:r>
          </w:p>
        </w:tc>
      </w:tr>
      <w:tr w:rsidR="00F775EC" w:rsidRPr="0097014F" w14:paraId="3A21E8C1" w14:textId="77777777" w:rsidTr="00FE269E">
        <w:tc>
          <w:tcPr>
            <w:tcW w:w="3116" w:type="dxa"/>
            <w:vMerge w:val="restart"/>
          </w:tcPr>
          <w:p w14:paraId="2750CCAE" w14:textId="483CBF77" w:rsidR="00F775EC" w:rsidRPr="0097014F" w:rsidRDefault="00F775EC" w:rsidP="00F775EC">
            <w:pPr>
              <w:rPr>
                <w:lang w:val="bg-BG"/>
              </w:rPr>
            </w:pPr>
            <w:r w:rsidRPr="0097014F">
              <w:rPr>
                <w:lang w:val="bg-BG"/>
              </w:rPr>
              <w:t>Инфекции и инфестации</w:t>
            </w:r>
          </w:p>
        </w:tc>
        <w:tc>
          <w:tcPr>
            <w:tcW w:w="3117" w:type="dxa"/>
            <w:vAlign w:val="bottom"/>
          </w:tcPr>
          <w:p w14:paraId="61C8E861" w14:textId="3E51C2C8" w:rsidR="00F775EC" w:rsidRPr="0097014F" w:rsidRDefault="00F775EC" w:rsidP="00F775EC">
            <w:pPr>
              <w:rPr>
                <w:lang w:val="bg-BG"/>
              </w:rPr>
            </w:pPr>
            <w:r w:rsidRPr="0097014F">
              <w:rPr>
                <w:lang w:val="bg-BG"/>
              </w:rPr>
              <w:t xml:space="preserve">Инфекция, причинена от </w:t>
            </w:r>
            <w:r w:rsidRPr="0097014F">
              <w:rPr>
                <w:i/>
                <w:iCs/>
                <w:lang w:val="bg-BG"/>
              </w:rPr>
              <w:t>Candida</w:t>
            </w:r>
          </w:p>
        </w:tc>
        <w:tc>
          <w:tcPr>
            <w:tcW w:w="3117" w:type="dxa"/>
            <w:vAlign w:val="bottom"/>
          </w:tcPr>
          <w:p w14:paraId="7387C1C7" w14:textId="5B2433D6" w:rsidR="00F775EC" w:rsidRPr="0097014F" w:rsidRDefault="00F775EC" w:rsidP="00F775EC">
            <w:pPr>
              <w:spacing w:line="360" w:lineRule="auto"/>
              <w:rPr>
                <w:lang w:val="bg-BG"/>
              </w:rPr>
            </w:pPr>
            <w:r w:rsidRPr="0097014F">
              <w:rPr>
                <w:lang w:val="bg-BG"/>
              </w:rPr>
              <w:t>Чести</w:t>
            </w:r>
          </w:p>
        </w:tc>
      </w:tr>
      <w:tr w:rsidR="00F775EC" w:rsidRPr="0097014F" w14:paraId="03858774" w14:textId="77777777" w:rsidTr="00FE269E">
        <w:tc>
          <w:tcPr>
            <w:tcW w:w="3116" w:type="dxa"/>
            <w:vMerge/>
          </w:tcPr>
          <w:p w14:paraId="41EAF886" w14:textId="77777777" w:rsidR="00F775EC" w:rsidRPr="0097014F" w:rsidRDefault="00F775EC" w:rsidP="00F775EC">
            <w:pPr>
              <w:rPr>
                <w:lang w:val="bg-BG"/>
              </w:rPr>
            </w:pPr>
          </w:p>
        </w:tc>
        <w:tc>
          <w:tcPr>
            <w:tcW w:w="3117" w:type="dxa"/>
            <w:vAlign w:val="bottom"/>
          </w:tcPr>
          <w:p w14:paraId="6E4D004C" w14:textId="5CFD990A" w:rsidR="00F775EC" w:rsidRPr="0097014F" w:rsidRDefault="00F775EC" w:rsidP="00F775EC">
            <w:pPr>
              <w:rPr>
                <w:lang w:val="bg-BG"/>
              </w:rPr>
            </w:pPr>
            <w:r w:rsidRPr="0097014F">
              <w:rPr>
                <w:lang w:val="bg-BG"/>
              </w:rPr>
              <w:t>Псевдомембранозен колит</w:t>
            </w:r>
          </w:p>
        </w:tc>
        <w:tc>
          <w:tcPr>
            <w:tcW w:w="3117" w:type="dxa"/>
          </w:tcPr>
          <w:p w14:paraId="1B1158BA" w14:textId="07E50853" w:rsidR="00F775EC" w:rsidRPr="0097014F" w:rsidRDefault="00F775EC" w:rsidP="00F775EC">
            <w:pPr>
              <w:rPr>
                <w:lang w:val="bg-BG"/>
              </w:rPr>
            </w:pPr>
            <w:r w:rsidRPr="0097014F">
              <w:rPr>
                <w:lang w:val="bg-BG"/>
              </w:rPr>
              <w:t>Редки</w:t>
            </w:r>
          </w:p>
        </w:tc>
      </w:tr>
      <w:tr w:rsidR="00F775EC" w:rsidRPr="0097014F" w14:paraId="04A445C9" w14:textId="77777777" w:rsidTr="00F775EC">
        <w:tc>
          <w:tcPr>
            <w:tcW w:w="3116" w:type="dxa"/>
            <w:vMerge/>
          </w:tcPr>
          <w:p w14:paraId="34AA233D" w14:textId="77777777" w:rsidR="00F775EC" w:rsidRPr="0097014F" w:rsidRDefault="00F775EC" w:rsidP="00F775EC">
            <w:pPr>
              <w:rPr>
                <w:lang w:val="bg-BG"/>
              </w:rPr>
            </w:pPr>
          </w:p>
        </w:tc>
        <w:tc>
          <w:tcPr>
            <w:tcW w:w="3117" w:type="dxa"/>
          </w:tcPr>
          <w:p w14:paraId="7E16BA8A" w14:textId="787D1D02" w:rsidR="00F775EC" w:rsidRPr="0097014F" w:rsidRDefault="00F775EC" w:rsidP="00F775EC">
            <w:pPr>
              <w:rPr>
                <w:lang w:val="bg-BG"/>
              </w:rPr>
            </w:pPr>
            <w:r w:rsidRPr="0097014F">
              <w:rPr>
                <w:lang w:val="bg-BG"/>
              </w:rPr>
              <w:t>Патогенна резистентност</w:t>
            </w:r>
          </w:p>
        </w:tc>
        <w:tc>
          <w:tcPr>
            <w:tcW w:w="3117" w:type="dxa"/>
          </w:tcPr>
          <w:p w14:paraId="48FF491A" w14:textId="0095AC9B" w:rsidR="00F775EC" w:rsidRPr="0097014F" w:rsidRDefault="00F775EC" w:rsidP="00F775EC">
            <w:pPr>
              <w:rPr>
                <w:lang w:val="bg-BG"/>
              </w:rPr>
            </w:pPr>
            <w:r w:rsidRPr="0097014F">
              <w:rPr>
                <w:lang w:val="bg-BG"/>
              </w:rPr>
              <w:t>С неизвестна честота</w:t>
            </w:r>
          </w:p>
        </w:tc>
      </w:tr>
      <w:tr w:rsidR="00F775EC" w:rsidRPr="0097014F" w14:paraId="0C1A40AE" w14:textId="77777777" w:rsidTr="00F775EC">
        <w:tc>
          <w:tcPr>
            <w:tcW w:w="3116" w:type="dxa"/>
            <w:vMerge w:val="restart"/>
          </w:tcPr>
          <w:p w14:paraId="2D15F39B" w14:textId="4E694314" w:rsidR="00F775EC" w:rsidRPr="0097014F" w:rsidRDefault="00F775EC" w:rsidP="00F775EC">
            <w:pPr>
              <w:rPr>
                <w:lang w:val="bg-BG"/>
              </w:rPr>
            </w:pPr>
            <w:r w:rsidRPr="0097014F">
              <w:rPr>
                <w:lang w:val="bg-BG"/>
              </w:rPr>
              <w:t>Нарушения на кръвта и лимфната система</w:t>
            </w:r>
          </w:p>
        </w:tc>
        <w:tc>
          <w:tcPr>
            <w:tcW w:w="3117" w:type="dxa"/>
          </w:tcPr>
          <w:p w14:paraId="3E2F5501" w14:textId="5C7FB348" w:rsidR="00F775EC" w:rsidRPr="0097014F" w:rsidRDefault="00F775EC" w:rsidP="00F775EC">
            <w:pPr>
              <w:rPr>
                <w:lang w:val="bg-BG"/>
              </w:rPr>
            </w:pPr>
            <w:r w:rsidRPr="0097014F">
              <w:rPr>
                <w:lang w:val="bg-BG"/>
              </w:rPr>
              <w:t>Тромбоцитопения*</w:t>
            </w:r>
          </w:p>
        </w:tc>
        <w:tc>
          <w:tcPr>
            <w:tcW w:w="3117" w:type="dxa"/>
          </w:tcPr>
          <w:p w14:paraId="38DCDD15" w14:textId="2A0DA993" w:rsidR="00F775EC" w:rsidRPr="0097014F" w:rsidRDefault="00F775EC" w:rsidP="00F775EC">
            <w:pPr>
              <w:rPr>
                <w:lang w:val="bg-BG"/>
              </w:rPr>
            </w:pPr>
            <w:r w:rsidRPr="0097014F">
              <w:rPr>
                <w:lang w:val="bg-BG"/>
              </w:rPr>
              <w:t>Нечести</w:t>
            </w:r>
          </w:p>
        </w:tc>
      </w:tr>
      <w:tr w:rsidR="00F775EC" w:rsidRPr="0097014F" w14:paraId="6E9A424A" w14:textId="77777777" w:rsidTr="00BF64AF">
        <w:tc>
          <w:tcPr>
            <w:tcW w:w="3116" w:type="dxa"/>
            <w:vMerge/>
          </w:tcPr>
          <w:p w14:paraId="663002B7" w14:textId="77777777" w:rsidR="00F775EC" w:rsidRPr="0097014F" w:rsidRDefault="00F775EC" w:rsidP="00F775EC">
            <w:pPr>
              <w:rPr>
                <w:lang w:val="bg-BG"/>
              </w:rPr>
            </w:pPr>
          </w:p>
        </w:tc>
        <w:tc>
          <w:tcPr>
            <w:tcW w:w="3117" w:type="dxa"/>
            <w:vAlign w:val="bottom"/>
          </w:tcPr>
          <w:p w14:paraId="5AE50676" w14:textId="692F2CC3" w:rsidR="00F775EC" w:rsidRPr="0097014F" w:rsidRDefault="00F775EC" w:rsidP="00F775EC">
            <w:pPr>
              <w:rPr>
                <w:lang w:val="bg-BG"/>
              </w:rPr>
            </w:pPr>
            <w:r w:rsidRPr="0097014F">
              <w:rPr>
                <w:lang w:val="bg-BG"/>
              </w:rPr>
              <w:t xml:space="preserve">Агранулоцитоза, левкопения, неутропения, хемолитична анемия, анемия, еозинофилия, тромбоцитопенична пурпура*, панцитопения, </w:t>
            </w:r>
            <w:r w:rsidRPr="0097014F">
              <w:rPr>
                <w:lang w:val="bg-BG"/>
              </w:rPr>
              <w:lastRenderedPageBreak/>
              <w:t>повишено коагулационно време</w:t>
            </w:r>
          </w:p>
        </w:tc>
        <w:tc>
          <w:tcPr>
            <w:tcW w:w="3117" w:type="dxa"/>
          </w:tcPr>
          <w:p w14:paraId="1F35D0DC" w14:textId="51D5362A" w:rsidR="00F775EC" w:rsidRPr="0097014F" w:rsidRDefault="00F775EC" w:rsidP="00F775EC">
            <w:pPr>
              <w:rPr>
                <w:lang w:val="bg-BG"/>
              </w:rPr>
            </w:pPr>
            <w:r w:rsidRPr="0097014F">
              <w:rPr>
                <w:lang w:val="bg-BG"/>
              </w:rPr>
              <w:lastRenderedPageBreak/>
              <w:t>С неизвестна честота</w:t>
            </w:r>
          </w:p>
        </w:tc>
      </w:tr>
      <w:tr w:rsidR="00F775EC" w:rsidRPr="0097014F" w14:paraId="683F10D9" w14:textId="77777777" w:rsidTr="00440914">
        <w:tc>
          <w:tcPr>
            <w:tcW w:w="3116" w:type="dxa"/>
          </w:tcPr>
          <w:p w14:paraId="2EEDFDD4" w14:textId="7020099E" w:rsidR="00F775EC" w:rsidRPr="0097014F" w:rsidRDefault="00F775EC" w:rsidP="00F775EC">
            <w:pPr>
              <w:rPr>
                <w:lang w:val="bg-BG"/>
              </w:rPr>
            </w:pPr>
            <w:r w:rsidRPr="0097014F">
              <w:rPr>
                <w:lang w:val="bg-BG"/>
              </w:rPr>
              <w:t>Нарушения на имунната система</w:t>
            </w:r>
          </w:p>
        </w:tc>
        <w:tc>
          <w:tcPr>
            <w:tcW w:w="3117" w:type="dxa"/>
            <w:vAlign w:val="bottom"/>
          </w:tcPr>
          <w:p w14:paraId="7B2F8C0C" w14:textId="181DF719" w:rsidR="00F775EC" w:rsidRPr="0097014F" w:rsidRDefault="00F775EC" w:rsidP="00F775EC">
            <w:pPr>
              <w:rPr>
                <w:lang w:val="bg-BG"/>
              </w:rPr>
            </w:pPr>
            <w:r w:rsidRPr="0097014F">
              <w:rPr>
                <w:i/>
                <w:iCs/>
                <w:lang w:val="bg-BG"/>
              </w:rPr>
              <w:t>Анафилактоиден шок, анафилактоидна реакция*,</w:t>
            </w:r>
            <w:r w:rsidRPr="0097014F">
              <w:rPr>
                <w:lang w:val="bg-BG"/>
              </w:rPr>
              <w:t xml:space="preserve"> анафилактичен шок, анафилактична реакция, ангиоедем, синдром на Кунис, свръхчувствителност</w:t>
            </w:r>
          </w:p>
        </w:tc>
        <w:tc>
          <w:tcPr>
            <w:tcW w:w="3117" w:type="dxa"/>
          </w:tcPr>
          <w:p w14:paraId="6A1CA6FC" w14:textId="509D47EF" w:rsidR="00F775EC" w:rsidRPr="0097014F" w:rsidRDefault="00F775EC" w:rsidP="00F775EC">
            <w:pPr>
              <w:rPr>
                <w:lang w:val="bg-BG"/>
              </w:rPr>
            </w:pPr>
            <w:r w:rsidRPr="0097014F">
              <w:rPr>
                <w:lang w:val="bg-BG"/>
              </w:rPr>
              <w:t>С неизвестна честота</w:t>
            </w:r>
          </w:p>
        </w:tc>
      </w:tr>
      <w:tr w:rsidR="00F775EC" w:rsidRPr="0097014F" w14:paraId="646BF405" w14:textId="77777777" w:rsidTr="00286836">
        <w:tc>
          <w:tcPr>
            <w:tcW w:w="3116" w:type="dxa"/>
            <w:vAlign w:val="bottom"/>
          </w:tcPr>
          <w:p w14:paraId="567645F9" w14:textId="289B0020" w:rsidR="00F775EC" w:rsidRPr="0097014F" w:rsidRDefault="00F775EC" w:rsidP="00F775EC">
            <w:pPr>
              <w:rPr>
                <w:lang w:val="bg-BG"/>
              </w:rPr>
            </w:pPr>
            <w:r w:rsidRPr="0097014F">
              <w:rPr>
                <w:lang w:val="bg-BG"/>
              </w:rPr>
              <w:t>Нарушения на метаболизма и храненето</w:t>
            </w:r>
          </w:p>
        </w:tc>
        <w:tc>
          <w:tcPr>
            <w:tcW w:w="3117" w:type="dxa"/>
          </w:tcPr>
          <w:p w14:paraId="126745F0" w14:textId="5D60883E" w:rsidR="00F775EC" w:rsidRPr="0097014F" w:rsidRDefault="00F775EC" w:rsidP="000F502B">
            <w:pPr>
              <w:jc w:val="both"/>
              <w:rPr>
                <w:lang w:val="bg-BG"/>
              </w:rPr>
            </w:pPr>
            <w:r w:rsidRPr="0097014F">
              <w:rPr>
                <w:lang w:val="bg-BG"/>
              </w:rPr>
              <w:t>Анорексия</w:t>
            </w:r>
          </w:p>
        </w:tc>
        <w:tc>
          <w:tcPr>
            <w:tcW w:w="3117" w:type="dxa"/>
            <w:vAlign w:val="bottom"/>
          </w:tcPr>
          <w:p w14:paraId="1EF2D1EB" w14:textId="5B578A57" w:rsidR="00F775EC" w:rsidRPr="0097014F" w:rsidRDefault="00F775EC" w:rsidP="000F502B">
            <w:pPr>
              <w:jc w:val="both"/>
              <w:rPr>
                <w:lang w:val="bg-BG"/>
              </w:rPr>
            </w:pPr>
            <w:r w:rsidRPr="0097014F">
              <w:rPr>
                <w:lang w:val="bg-BG"/>
              </w:rPr>
              <w:t>С неизвестна честота</w:t>
            </w:r>
          </w:p>
        </w:tc>
      </w:tr>
      <w:tr w:rsidR="00252B70" w:rsidRPr="0097014F" w14:paraId="7C142899" w14:textId="77777777" w:rsidTr="00537E0F">
        <w:tc>
          <w:tcPr>
            <w:tcW w:w="3116" w:type="dxa"/>
            <w:vMerge w:val="restart"/>
          </w:tcPr>
          <w:p w14:paraId="4CD71321" w14:textId="77777777" w:rsidR="00252B70" w:rsidRPr="0097014F" w:rsidRDefault="00252B70" w:rsidP="00252B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7014F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Нарушения на нервната система</w:t>
            </w:r>
          </w:p>
          <w:p w14:paraId="1C7D40E1" w14:textId="77777777" w:rsidR="00252B70" w:rsidRPr="0097014F" w:rsidRDefault="00252B70" w:rsidP="00252B70">
            <w:pPr>
              <w:rPr>
                <w:lang w:val="bg-BG"/>
              </w:rPr>
            </w:pPr>
          </w:p>
        </w:tc>
        <w:tc>
          <w:tcPr>
            <w:tcW w:w="3117" w:type="dxa"/>
            <w:vAlign w:val="bottom"/>
          </w:tcPr>
          <w:p w14:paraId="0C2EC225" w14:textId="67A1376A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Главоболие</w:t>
            </w:r>
          </w:p>
        </w:tc>
        <w:tc>
          <w:tcPr>
            <w:tcW w:w="3117" w:type="dxa"/>
            <w:vAlign w:val="bottom"/>
          </w:tcPr>
          <w:p w14:paraId="78DAC713" w14:textId="4649DB95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Чести</w:t>
            </w:r>
          </w:p>
        </w:tc>
      </w:tr>
      <w:tr w:rsidR="00252B70" w:rsidRPr="0097014F" w14:paraId="1F71DA20" w14:textId="77777777" w:rsidTr="00537E0F">
        <w:tc>
          <w:tcPr>
            <w:tcW w:w="3116" w:type="dxa"/>
            <w:vMerge/>
          </w:tcPr>
          <w:p w14:paraId="2C6669CC" w14:textId="77777777" w:rsidR="00252B70" w:rsidRPr="0097014F" w:rsidRDefault="00252B70" w:rsidP="00252B70">
            <w:pPr>
              <w:rPr>
                <w:lang w:val="bg-BG"/>
              </w:rPr>
            </w:pPr>
          </w:p>
        </w:tc>
        <w:tc>
          <w:tcPr>
            <w:tcW w:w="3117" w:type="dxa"/>
            <w:vAlign w:val="bottom"/>
          </w:tcPr>
          <w:p w14:paraId="6FF58675" w14:textId="2ED7D35F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Сънливост, замайване</w:t>
            </w:r>
          </w:p>
        </w:tc>
        <w:tc>
          <w:tcPr>
            <w:tcW w:w="3117" w:type="dxa"/>
            <w:vAlign w:val="bottom"/>
          </w:tcPr>
          <w:p w14:paraId="39341E0E" w14:textId="1A79B494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Нечести</w:t>
            </w:r>
          </w:p>
        </w:tc>
      </w:tr>
      <w:tr w:rsidR="00252B70" w:rsidRPr="0097014F" w14:paraId="50BE1909" w14:textId="77777777" w:rsidTr="00537E0F">
        <w:tc>
          <w:tcPr>
            <w:tcW w:w="3116" w:type="dxa"/>
            <w:vMerge/>
          </w:tcPr>
          <w:p w14:paraId="6DC9CBB3" w14:textId="77777777" w:rsidR="00252B70" w:rsidRPr="0097014F" w:rsidRDefault="00252B70" w:rsidP="00252B70">
            <w:pPr>
              <w:rPr>
                <w:lang w:val="bg-BG"/>
              </w:rPr>
            </w:pPr>
          </w:p>
        </w:tc>
        <w:tc>
          <w:tcPr>
            <w:tcW w:w="3117" w:type="dxa"/>
            <w:vAlign w:val="bottom"/>
          </w:tcPr>
          <w:p w14:paraId="71987634" w14:textId="28D4B2A3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i/>
                <w:iCs/>
                <w:lang w:val="bg-BG"/>
              </w:rPr>
              <w:t>Гърчове*</w:t>
            </w:r>
          </w:p>
        </w:tc>
        <w:tc>
          <w:tcPr>
            <w:tcW w:w="3117" w:type="dxa"/>
            <w:vAlign w:val="bottom"/>
          </w:tcPr>
          <w:p w14:paraId="00FBA38D" w14:textId="4A115640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Редки</w:t>
            </w:r>
          </w:p>
        </w:tc>
      </w:tr>
      <w:tr w:rsidR="00252B70" w:rsidRPr="0097014F" w14:paraId="1DFBE9DD" w14:textId="77777777" w:rsidTr="00537E0F">
        <w:tc>
          <w:tcPr>
            <w:tcW w:w="3116" w:type="dxa"/>
            <w:vMerge/>
          </w:tcPr>
          <w:p w14:paraId="27D34CAF" w14:textId="77777777" w:rsidR="00252B70" w:rsidRPr="0097014F" w:rsidRDefault="00252B70" w:rsidP="00252B70">
            <w:pPr>
              <w:rPr>
                <w:lang w:val="bg-BG"/>
              </w:rPr>
            </w:pPr>
          </w:p>
        </w:tc>
        <w:tc>
          <w:tcPr>
            <w:tcW w:w="3117" w:type="dxa"/>
          </w:tcPr>
          <w:p w14:paraId="70318F6B" w14:textId="02D5E9DD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Невротоксичност, седация</w:t>
            </w:r>
          </w:p>
        </w:tc>
        <w:tc>
          <w:tcPr>
            <w:tcW w:w="3117" w:type="dxa"/>
            <w:vAlign w:val="bottom"/>
          </w:tcPr>
          <w:p w14:paraId="3857DE67" w14:textId="1626AFD7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С неизвестна честота</w:t>
            </w:r>
          </w:p>
        </w:tc>
      </w:tr>
      <w:tr w:rsidR="00252B70" w:rsidRPr="0097014F" w14:paraId="54499F03" w14:textId="77777777" w:rsidTr="00036756">
        <w:tc>
          <w:tcPr>
            <w:tcW w:w="3116" w:type="dxa"/>
          </w:tcPr>
          <w:p w14:paraId="644791F5" w14:textId="1E66E6A2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Съдови нарушения</w:t>
            </w:r>
          </w:p>
        </w:tc>
        <w:tc>
          <w:tcPr>
            <w:tcW w:w="3117" w:type="dxa"/>
          </w:tcPr>
          <w:p w14:paraId="28B75991" w14:textId="6CAA86D4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Алергичен васкулит</w:t>
            </w:r>
          </w:p>
        </w:tc>
        <w:tc>
          <w:tcPr>
            <w:tcW w:w="3117" w:type="dxa"/>
            <w:vAlign w:val="bottom"/>
          </w:tcPr>
          <w:p w14:paraId="1CF3E94B" w14:textId="650352C6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С неизвестна честота</w:t>
            </w:r>
          </w:p>
        </w:tc>
      </w:tr>
      <w:tr w:rsidR="00252B70" w:rsidRPr="0097014F" w14:paraId="2D2D4B7D" w14:textId="77777777" w:rsidTr="000F1954">
        <w:tc>
          <w:tcPr>
            <w:tcW w:w="3116" w:type="dxa"/>
            <w:vAlign w:val="bottom"/>
          </w:tcPr>
          <w:p w14:paraId="27661BD8" w14:textId="72128604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Респираторни, гръдни и медиастинални нарушения</w:t>
            </w:r>
          </w:p>
        </w:tc>
        <w:tc>
          <w:tcPr>
            <w:tcW w:w="3117" w:type="dxa"/>
          </w:tcPr>
          <w:p w14:paraId="1346FA93" w14:textId="4BAC4CAD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Диспнея</w:t>
            </w:r>
          </w:p>
        </w:tc>
        <w:tc>
          <w:tcPr>
            <w:tcW w:w="3117" w:type="dxa"/>
            <w:vAlign w:val="bottom"/>
          </w:tcPr>
          <w:p w14:paraId="2507895C" w14:textId="2C066131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С неизвестна честота</w:t>
            </w:r>
          </w:p>
        </w:tc>
      </w:tr>
      <w:tr w:rsidR="00252B70" w:rsidRPr="0097014F" w14:paraId="47F654B4" w14:textId="77777777" w:rsidTr="00954BAF">
        <w:tc>
          <w:tcPr>
            <w:tcW w:w="3116" w:type="dxa"/>
            <w:vMerge w:val="restart"/>
          </w:tcPr>
          <w:p w14:paraId="3DB5D5AC" w14:textId="555C9033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Стомашно-чревни нарушения</w:t>
            </w:r>
          </w:p>
        </w:tc>
        <w:tc>
          <w:tcPr>
            <w:tcW w:w="3117" w:type="dxa"/>
            <w:vAlign w:val="bottom"/>
          </w:tcPr>
          <w:p w14:paraId="03D30A78" w14:textId="158264ED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Диария</w:t>
            </w:r>
          </w:p>
        </w:tc>
        <w:tc>
          <w:tcPr>
            <w:tcW w:w="3117" w:type="dxa"/>
            <w:vAlign w:val="bottom"/>
          </w:tcPr>
          <w:p w14:paraId="52454F0C" w14:textId="440628DE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Много чести</w:t>
            </w:r>
          </w:p>
        </w:tc>
      </w:tr>
      <w:tr w:rsidR="00252B70" w:rsidRPr="0097014F" w14:paraId="78842C31" w14:textId="77777777" w:rsidTr="00954BAF">
        <w:tc>
          <w:tcPr>
            <w:tcW w:w="3116" w:type="dxa"/>
            <w:vMerge/>
          </w:tcPr>
          <w:p w14:paraId="501C52F5" w14:textId="77777777" w:rsidR="00252B70" w:rsidRPr="0097014F" w:rsidRDefault="00252B70" w:rsidP="00252B70">
            <w:pPr>
              <w:rPr>
                <w:lang w:val="bg-BG"/>
              </w:rPr>
            </w:pPr>
          </w:p>
        </w:tc>
        <w:tc>
          <w:tcPr>
            <w:tcW w:w="3117" w:type="dxa"/>
            <w:vAlign w:val="bottom"/>
          </w:tcPr>
          <w:p w14:paraId="69A76B7A" w14:textId="4666A114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Повръщане, гадене, абдоминална болка</w:t>
            </w:r>
          </w:p>
        </w:tc>
        <w:tc>
          <w:tcPr>
            <w:tcW w:w="3117" w:type="dxa"/>
            <w:vAlign w:val="bottom"/>
          </w:tcPr>
          <w:p w14:paraId="56D3056E" w14:textId="3B5AA165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Чести</w:t>
            </w:r>
          </w:p>
        </w:tc>
      </w:tr>
      <w:tr w:rsidR="00252B70" w:rsidRPr="0097014F" w14:paraId="61BDE8F3" w14:textId="77777777" w:rsidTr="00954BAF">
        <w:tc>
          <w:tcPr>
            <w:tcW w:w="3116" w:type="dxa"/>
            <w:vMerge/>
          </w:tcPr>
          <w:p w14:paraId="01A04ED6" w14:textId="77777777" w:rsidR="00252B70" w:rsidRPr="0097014F" w:rsidRDefault="00252B70" w:rsidP="00252B70">
            <w:pPr>
              <w:rPr>
                <w:lang w:val="bg-BG"/>
              </w:rPr>
            </w:pPr>
          </w:p>
        </w:tc>
        <w:tc>
          <w:tcPr>
            <w:tcW w:w="3117" w:type="dxa"/>
            <w:vAlign w:val="bottom"/>
          </w:tcPr>
          <w:p w14:paraId="7DFD251B" w14:textId="6A3E52F5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 xml:space="preserve">Мелена, </w:t>
            </w:r>
            <w:r w:rsidRPr="0097014F">
              <w:rPr>
                <w:i/>
                <w:iCs/>
                <w:lang w:val="bg-BG"/>
              </w:rPr>
              <w:t>глосит*,</w:t>
            </w:r>
            <w:r w:rsidRPr="0097014F">
              <w:rPr>
                <w:lang w:val="bg-BG"/>
              </w:rPr>
              <w:t xml:space="preserve"> стоматит</w:t>
            </w:r>
          </w:p>
        </w:tc>
        <w:tc>
          <w:tcPr>
            <w:tcW w:w="3117" w:type="dxa"/>
            <w:vAlign w:val="bottom"/>
          </w:tcPr>
          <w:p w14:paraId="738573F1" w14:textId="1EEE63E1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Нечести</w:t>
            </w:r>
          </w:p>
        </w:tc>
      </w:tr>
      <w:tr w:rsidR="00252B70" w:rsidRPr="0097014F" w14:paraId="5A812421" w14:textId="77777777" w:rsidTr="00954BAF">
        <w:tc>
          <w:tcPr>
            <w:tcW w:w="3116" w:type="dxa"/>
            <w:vMerge/>
          </w:tcPr>
          <w:p w14:paraId="4D9E8A9E" w14:textId="77777777" w:rsidR="00252B70" w:rsidRPr="0097014F" w:rsidRDefault="00252B70" w:rsidP="00252B70">
            <w:pPr>
              <w:rPr>
                <w:lang w:val="bg-BG"/>
              </w:rPr>
            </w:pPr>
          </w:p>
        </w:tc>
        <w:tc>
          <w:tcPr>
            <w:tcW w:w="3117" w:type="dxa"/>
            <w:vAlign w:val="bottom"/>
          </w:tcPr>
          <w:p w14:paraId="5638AF28" w14:textId="740160E9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Ентероколит</w:t>
            </w:r>
          </w:p>
        </w:tc>
        <w:tc>
          <w:tcPr>
            <w:tcW w:w="3117" w:type="dxa"/>
            <w:vAlign w:val="bottom"/>
          </w:tcPr>
          <w:p w14:paraId="57A4709D" w14:textId="3A7A6D74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Редки</w:t>
            </w:r>
          </w:p>
        </w:tc>
      </w:tr>
      <w:tr w:rsidR="00252B70" w:rsidRPr="0097014F" w14:paraId="24F56B68" w14:textId="77777777" w:rsidTr="001B1CE4">
        <w:tc>
          <w:tcPr>
            <w:tcW w:w="3116" w:type="dxa"/>
            <w:vMerge/>
          </w:tcPr>
          <w:p w14:paraId="2753F1D0" w14:textId="77777777" w:rsidR="00252B70" w:rsidRPr="0097014F" w:rsidRDefault="00252B70" w:rsidP="00252B70">
            <w:pPr>
              <w:rPr>
                <w:lang w:val="bg-BG"/>
              </w:rPr>
            </w:pPr>
          </w:p>
        </w:tc>
        <w:tc>
          <w:tcPr>
            <w:tcW w:w="3117" w:type="dxa"/>
            <w:vAlign w:val="bottom"/>
          </w:tcPr>
          <w:p w14:paraId="5A707AA6" w14:textId="73EFB7AA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 xml:space="preserve">Сухота в устата, абдоминална болка в горната част, дисгеузия, флатуленция, хеморагичен ентероколит, диспепсия, </w:t>
            </w:r>
            <w:r w:rsidRPr="0097014F">
              <w:rPr>
                <w:i/>
                <w:iCs/>
                <w:lang w:val="bg-BG"/>
              </w:rPr>
              <w:t>промяна на цвета на езика*</w:t>
            </w:r>
          </w:p>
        </w:tc>
        <w:tc>
          <w:tcPr>
            <w:tcW w:w="3117" w:type="dxa"/>
          </w:tcPr>
          <w:p w14:paraId="281E1417" w14:textId="05C5D642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С неизвестна честота</w:t>
            </w:r>
          </w:p>
        </w:tc>
      </w:tr>
      <w:tr w:rsidR="00252B70" w:rsidRPr="0097014F" w14:paraId="329BD315" w14:textId="77777777" w:rsidTr="009E1BD4">
        <w:tc>
          <w:tcPr>
            <w:tcW w:w="3116" w:type="dxa"/>
            <w:vMerge w:val="restart"/>
          </w:tcPr>
          <w:p w14:paraId="76263F55" w14:textId="735CAA71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Хепатобилиарни нарушения</w:t>
            </w:r>
          </w:p>
        </w:tc>
        <w:tc>
          <w:tcPr>
            <w:tcW w:w="3117" w:type="dxa"/>
            <w:vAlign w:val="bottom"/>
          </w:tcPr>
          <w:p w14:paraId="345895D1" w14:textId="4BEBBFC8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Хипербилирубинемия* (вж. точка 4.4)</w:t>
            </w:r>
          </w:p>
        </w:tc>
        <w:tc>
          <w:tcPr>
            <w:tcW w:w="3117" w:type="dxa"/>
            <w:vAlign w:val="bottom"/>
          </w:tcPr>
          <w:p w14:paraId="4578492B" w14:textId="2E293E57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Нечести</w:t>
            </w:r>
          </w:p>
        </w:tc>
      </w:tr>
      <w:tr w:rsidR="00252B70" w:rsidRPr="0097014F" w14:paraId="64266AF2" w14:textId="77777777" w:rsidTr="009E1BD4">
        <w:tc>
          <w:tcPr>
            <w:tcW w:w="3116" w:type="dxa"/>
            <w:vMerge/>
          </w:tcPr>
          <w:p w14:paraId="1EFDAC04" w14:textId="77777777" w:rsidR="00252B70" w:rsidRPr="0097014F" w:rsidRDefault="00252B70" w:rsidP="00252B70">
            <w:pPr>
              <w:rPr>
                <w:lang w:val="bg-BG"/>
              </w:rPr>
            </w:pPr>
          </w:p>
        </w:tc>
        <w:tc>
          <w:tcPr>
            <w:tcW w:w="3117" w:type="dxa"/>
            <w:vAlign w:val="bottom"/>
          </w:tcPr>
          <w:p w14:paraId="04BCD1B3" w14:textId="7F494B8B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Холестатичен хепатит, холестаза, жълтеница, отклонение в чернодробната функция * (вж. точка 4.4)</w:t>
            </w:r>
          </w:p>
        </w:tc>
        <w:tc>
          <w:tcPr>
            <w:tcW w:w="3117" w:type="dxa"/>
          </w:tcPr>
          <w:p w14:paraId="5AC57500" w14:textId="39E41FB0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С неизвестна честота</w:t>
            </w:r>
          </w:p>
        </w:tc>
      </w:tr>
      <w:tr w:rsidR="00252B70" w:rsidRPr="0097014F" w14:paraId="51A5D98F" w14:textId="77777777" w:rsidTr="000A64B9">
        <w:tc>
          <w:tcPr>
            <w:tcW w:w="3116" w:type="dxa"/>
            <w:vMerge w:val="restart"/>
          </w:tcPr>
          <w:p w14:paraId="30E1BFF9" w14:textId="03109BCA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Нарушения на кожата и подкожната тъкан</w:t>
            </w:r>
          </w:p>
        </w:tc>
        <w:tc>
          <w:tcPr>
            <w:tcW w:w="3117" w:type="dxa"/>
            <w:vAlign w:val="bottom"/>
          </w:tcPr>
          <w:p w14:paraId="5F8E892C" w14:textId="2837EAE8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Обрив, пруритус</w:t>
            </w:r>
          </w:p>
        </w:tc>
        <w:tc>
          <w:tcPr>
            <w:tcW w:w="3117" w:type="dxa"/>
            <w:vAlign w:val="bottom"/>
          </w:tcPr>
          <w:p w14:paraId="7A315564" w14:textId="57739925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Чести</w:t>
            </w:r>
          </w:p>
        </w:tc>
      </w:tr>
      <w:tr w:rsidR="00252B70" w:rsidRPr="0097014F" w14:paraId="612BEC94" w14:textId="77777777" w:rsidTr="000A64B9">
        <w:tc>
          <w:tcPr>
            <w:tcW w:w="3116" w:type="dxa"/>
            <w:vMerge/>
          </w:tcPr>
          <w:p w14:paraId="62982315" w14:textId="77777777" w:rsidR="00252B70" w:rsidRPr="0097014F" w:rsidRDefault="00252B70" w:rsidP="00252B70">
            <w:pPr>
              <w:rPr>
                <w:lang w:val="bg-BG"/>
              </w:rPr>
            </w:pPr>
          </w:p>
        </w:tc>
        <w:tc>
          <w:tcPr>
            <w:tcW w:w="3117" w:type="dxa"/>
            <w:vAlign w:val="bottom"/>
          </w:tcPr>
          <w:p w14:paraId="0186B832" w14:textId="043B908A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Дерматит</w:t>
            </w:r>
          </w:p>
        </w:tc>
        <w:tc>
          <w:tcPr>
            <w:tcW w:w="3117" w:type="dxa"/>
            <w:vAlign w:val="bottom"/>
          </w:tcPr>
          <w:p w14:paraId="2855084B" w14:textId="08C714BC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Нечести</w:t>
            </w:r>
          </w:p>
        </w:tc>
      </w:tr>
      <w:tr w:rsidR="00252B70" w:rsidRPr="0097014F" w14:paraId="32DCA967" w14:textId="77777777" w:rsidTr="00136B57">
        <w:tc>
          <w:tcPr>
            <w:tcW w:w="3116" w:type="dxa"/>
            <w:vMerge/>
          </w:tcPr>
          <w:p w14:paraId="6D1FCC1B" w14:textId="77777777" w:rsidR="00252B70" w:rsidRPr="0097014F" w:rsidRDefault="00252B70" w:rsidP="00252B70">
            <w:pPr>
              <w:rPr>
                <w:lang w:val="bg-BG"/>
              </w:rPr>
            </w:pPr>
          </w:p>
        </w:tc>
        <w:tc>
          <w:tcPr>
            <w:tcW w:w="3117" w:type="dxa"/>
            <w:vAlign w:val="bottom"/>
          </w:tcPr>
          <w:p w14:paraId="77E62456" w14:textId="7C24B1D4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i/>
                <w:iCs/>
                <w:lang w:val="bg-BG"/>
              </w:rPr>
              <w:t>Токсична епидермална некролиза, синдром на Stevens-Johnson, еритема мултиформе, ексфолиативен дерматит*</w:t>
            </w:r>
            <w:r w:rsidRPr="0097014F">
              <w:rPr>
                <w:lang w:val="bg-BG"/>
              </w:rPr>
              <w:t xml:space="preserve"> (вж. точка 4.4)</w:t>
            </w:r>
          </w:p>
        </w:tc>
        <w:tc>
          <w:tcPr>
            <w:tcW w:w="3117" w:type="dxa"/>
          </w:tcPr>
          <w:p w14:paraId="530CF33F" w14:textId="5873202D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Редки</w:t>
            </w:r>
          </w:p>
        </w:tc>
      </w:tr>
      <w:tr w:rsidR="00252B70" w:rsidRPr="0097014F" w14:paraId="17D2F628" w14:textId="77777777" w:rsidTr="00136B57">
        <w:tc>
          <w:tcPr>
            <w:tcW w:w="3116" w:type="dxa"/>
            <w:vMerge/>
          </w:tcPr>
          <w:p w14:paraId="565BB560" w14:textId="77777777" w:rsidR="00252B70" w:rsidRPr="0097014F" w:rsidRDefault="00252B70" w:rsidP="00252B70">
            <w:pPr>
              <w:rPr>
                <w:lang w:val="bg-BG"/>
              </w:rPr>
            </w:pPr>
          </w:p>
        </w:tc>
        <w:tc>
          <w:tcPr>
            <w:tcW w:w="3117" w:type="dxa"/>
            <w:vAlign w:val="bottom"/>
          </w:tcPr>
          <w:p w14:paraId="1749FF5E" w14:textId="2B2AF696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i/>
                <w:iCs/>
                <w:lang w:val="bg-BG"/>
              </w:rPr>
              <w:t xml:space="preserve">Остра генерализирана екзантематозна </w:t>
            </w:r>
            <w:r w:rsidRPr="0097014F">
              <w:rPr>
                <w:i/>
                <w:iCs/>
                <w:lang w:val="bg-BG"/>
              </w:rPr>
              <w:lastRenderedPageBreak/>
              <w:t>пустулоза*,</w:t>
            </w:r>
            <w:r w:rsidRPr="0097014F">
              <w:rPr>
                <w:lang w:val="bg-BG"/>
              </w:rPr>
              <w:t xml:space="preserve"> кожна реакция, уртикария (вж.точка 4.4)</w:t>
            </w:r>
          </w:p>
        </w:tc>
        <w:tc>
          <w:tcPr>
            <w:tcW w:w="3117" w:type="dxa"/>
          </w:tcPr>
          <w:p w14:paraId="0CD66450" w14:textId="53A63ACF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lastRenderedPageBreak/>
              <w:t>С неизвестна честота</w:t>
            </w:r>
          </w:p>
        </w:tc>
      </w:tr>
      <w:tr w:rsidR="00252B70" w:rsidRPr="0097014F" w14:paraId="480D0284" w14:textId="77777777" w:rsidTr="00B80F60">
        <w:tc>
          <w:tcPr>
            <w:tcW w:w="3116" w:type="dxa"/>
            <w:vAlign w:val="bottom"/>
          </w:tcPr>
          <w:p w14:paraId="133A0CA3" w14:textId="0C52F3A1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Нарушения на мускулно- скелетната система и съединителната тъкан</w:t>
            </w:r>
          </w:p>
        </w:tc>
        <w:tc>
          <w:tcPr>
            <w:tcW w:w="3117" w:type="dxa"/>
          </w:tcPr>
          <w:p w14:paraId="35039438" w14:textId="655930B1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Артралгия</w:t>
            </w:r>
          </w:p>
        </w:tc>
        <w:tc>
          <w:tcPr>
            <w:tcW w:w="3117" w:type="dxa"/>
          </w:tcPr>
          <w:p w14:paraId="6559FB5D" w14:textId="29ADE1E6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Нечести</w:t>
            </w:r>
          </w:p>
        </w:tc>
      </w:tr>
      <w:tr w:rsidR="00252B70" w:rsidRPr="0097014F" w14:paraId="79E2B607" w14:textId="77777777" w:rsidTr="003A63B1">
        <w:tc>
          <w:tcPr>
            <w:tcW w:w="3116" w:type="dxa"/>
            <w:vAlign w:val="bottom"/>
          </w:tcPr>
          <w:p w14:paraId="362652BA" w14:textId="3EDEAE15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Нарушения на бъбреците и пикочните пътища</w:t>
            </w:r>
          </w:p>
        </w:tc>
        <w:tc>
          <w:tcPr>
            <w:tcW w:w="3117" w:type="dxa"/>
          </w:tcPr>
          <w:p w14:paraId="77407C10" w14:textId="7FC9201C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i/>
                <w:iCs/>
                <w:lang w:val="bg-BG"/>
              </w:rPr>
              <w:t>Тубулоинтерстициален нефрит*</w:t>
            </w:r>
          </w:p>
        </w:tc>
        <w:tc>
          <w:tcPr>
            <w:tcW w:w="3117" w:type="dxa"/>
          </w:tcPr>
          <w:p w14:paraId="7FE4717D" w14:textId="61E1D31F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Редки</w:t>
            </w:r>
          </w:p>
        </w:tc>
      </w:tr>
      <w:tr w:rsidR="00252B70" w:rsidRPr="0097014F" w14:paraId="01135876" w14:textId="77777777" w:rsidTr="00AA0D7B">
        <w:tc>
          <w:tcPr>
            <w:tcW w:w="3116" w:type="dxa"/>
            <w:vMerge w:val="restart"/>
          </w:tcPr>
          <w:p w14:paraId="096E20DC" w14:textId="14FD74DE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Общи нарушения и ефекти на мястото на приложение</w:t>
            </w:r>
          </w:p>
        </w:tc>
        <w:tc>
          <w:tcPr>
            <w:tcW w:w="3117" w:type="dxa"/>
            <w:vAlign w:val="bottom"/>
          </w:tcPr>
          <w:p w14:paraId="60EF4434" w14:textId="4D86A51B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Умора, неразположение</w:t>
            </w:r>
          </w:p>
        </w:tc>
        <w:tc>
          <w:tcPr>
            <w:tcW w:w="3117" w:type="dxa"/>
            <w:vAlign w:val="bottom"/>
          </w:tcPr>
          <w:p w14:paraId="56186624" w14:textId="4178ECFA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Нечести</w:t>
            </w:r>
          </w:p>
        </w:tc>
      </w:tr>
      <w:tr w:rsidR="00252B70" w:rsidRPr="0097014F" w14:paraId="5E620297" w14:textId="77777777" w:rsidTr="00AA0D7B">
        <w:tc>
          <w:tcPr>
            <w:tcW w:w="3116" w:type="dxa"/>
            <w:vMerge/>
          </w:tcPr>
          <w:p w14:paraId="5E355120" w14:textId="77777777" w:rsidR="00252B70" w:rsidRPr="0097014F" w:rsidRDefault="00252B70" w:rsidP="00252B70">
            <w:pPr>
              <w:rPr>
                <w:lang w:val="bg-BG"/>
              </w:rPr>
            </w:pPr>
          </w:p>
        </w:tc>
        <w:tc>
          <w:tcPr>
            <w:tcW w:w="3117" w:type="dxa"/>
          </w:tcPr>
          <w:p w14:paraId="3E76238D" w14:textId="57280970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Възпаление на лигавиците</w:t>
            </w:r>
          </w:p>
        </w:tc>
        <w:tc>
          <w:tcPr>
            <w:tcW w:w="3117" w:type="dxa"/>
            <w:vAlign w:val="bottom"/>
          </w:tcPr>
          <w:p w14:paraId="35FEE6A1" w14:textId="77777777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С неизвестна</w:t>
            </w:r>
          </w:p>
          <w:p w14:paraId="553E9EE1" w14:textId="0EE27945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честота</w:t>
            </w:r>
          </w:p>
        </w:tc>
      </w:tr>
      <w:tr w:rsidR="00252B70" w:rsidRPr="0097014F" w14:paraId="294882C1" w14:textId="77777777" w:rsidTr="004672F0">
        <w:tc>
          <w:tcPr>
            <w:tcW w:w="3116" w:type="dxa"/>
          </w:tcPr>
          <w:p w14:paraId="4C564E1B" w14:textId="2708A9EF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Изследвания</w:t>
            </w:r>
          </w:p>
        </w:tc>
        <w:tc>
          <w:tcPr>
            <w:tcW w:w="3117" w:type="dxa"/>
            <w:vAlign w:val="bottom"/>
          </w:tcPr>
          <w:p w14:paraId="25FF5294" w14:textId="126BF059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i/>
                <w:iCs/>
                <w:lang w:val="bg-BG"/>
              </w:rPr>
              <w:t xml:space="preserve">Абнормна тромбоцитна агрегация, повишена аланин аминотрансфераза, повишена аспартат аминотрансфераза* </w:t>
            </w:r>
            <w:r w:rsidRPr="0097014F">
              <w:rPr>
                <w:lang w:val="bg-BG"/>
              </w:rPr>
              <w:t>(вж. точка 4.4)</w:t>
            </w:r>
          </w:p>
        </w:tc>
        <w:tc>
          <w:tcPr>
            <w:tcW w:w="3117" w:type="dxa"/>
          </w:tcPr>
          <w:p w14:paraId="4F0FB967" w14:textId="51F0347D" w:rsidR="00252B70" w:rsidRPr="0097014F" w:rsidRDefault="00252B70" w:rsidP="00252B70">
            <w:pPr>
              <w:rPr>
                <w:lang w:val="bg-BG"/>
              </w:rPr>
            </w:pPr>
            <w:r w:rsidRPr="0097014F">
              <w:rPr>
                <w:lang w:val="bg-BG"/>
              </w:rPr>
              <w:t>С неизвестна честота</w:t>
            </w:r>
          </w:p>
        </w:tc>
      </w:tr>
    </w:tbl>
    <w:p w14:paraId="41D65128" w14:textId="55F44392" w:rsidR="00252B70" w:rsidRPr="0097014F" w:rsidRDefault="00252B70" w:rsidP="00252B70">
      <w:pPr>
        <w:rPr>
          <w:lang w:val="bg-BG" w:eastAsia="bg-BG"/>
        </w:rPr>
      </w:pPr>
      <w:r w:rsidRPr="0097014F">
        <w:rPr>
          <w:lang w:val="bg-BG"/>
        </w:rPr>
        <w:t xml:space="preserve">* </w:t>
      </w:r>
      <w:r w:rsidRPr="0097014F">
        <w:rPr>
          <w:lang w:val="bg-BG" w:eastAsia="bg-BG"/>
        </w:rPr>
        <w:t xml:space="preserve">Нежеланите реакции в </w:t>
      </w:r>
      <w:r w:rsidRPr="0097014F">
        <w:rPr>
          <w:i/>
          <w:iCs/>
          <w:lang w:val="bg-BG" w:eastAsia="bg-BG"/>
        </w:rPr>
        <w:t>курсив</w:t>
      </w:r>
      <w:r w:rsidRPr="0097014F">
        <w:rPr>
          <w:lang w:val="bg-BG" w:eastAsia="bg-BG"/>
        </w:rPr>
        <w:t xml:space="preserve"> се свързват с употребата на ампицилин и/или сулбактам/ампицилин чрез интрамускулен/интавенозен път на въвеждане (могат да бъдат наблюдавани със сулгамицилин)</w:t>
      </w:r>
    </w:p>
    <w:p w14:paraId="32EB2774" w14:textId="77777777" w:rsidR="00252B70" w:rsidRPr="0097014F" w:rsidRDefault="00252B70" w:rsidP="00252B70">
      <w:pPr>
        <w:rPr>
          <w:u w:val="single"/>
          <w:lang w:val="bg-BG" w:eastAsia="bg-BG"/>
        </w:rPr>
      </w:pPr>
    </w:p>
    <w:p w14:paraId="4CC28367" w14:textId="459CFEE3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u w:val="single"/>
          <w:lang w:val="bg-BG" w:eastAsia="bg-BG"/>
        </w:rPr>
        <w:t>Съобщаване на подозирани нежелани реакции</w:t>
      </w:r>
    </w:p>
    <w:p w14:paraId="5D37ED71" w14:textId="77777777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Изпълнителна агенция по лекарствата, ул., Дамян Груев” № 8, 1303 София, тел. +359 2 8903 417, уебсайт: </w:t>
      </w:r>
      <w:hyperlink r:id="rId7" w:history="1">
        <w:r w:rsidRPr="0097014F">
          <w:rPr>
            <w:lang w:val="bg-BG"/>
          </w:rPr>
          <w:t>www.bda.bg</w:t>
        </w:r>
      </w:hyperlink>
      <w:r w:rsidRPr="0097014F">
        <w:rPr>
          <w:lang w:val="bg-BG"/>
        </w:rPr>
        <w:t>.</w:t>
      </w:r>
    </w:p>
    <w:p w14:paraId="1E010387" w14:textId="77777777" w:rsidR="00252B70" w:rsidRPr="0097014F" w:rsidRDefault="00252B70" w:rsidP="002C50EE">
      <w:pPr>
        <w:pStyle w:val="Heading2"/>
        <w:rPr>
          <w:lang w:val="bg-BG"/>
        </w:rPr>
      </w:pPr>
    </w:p>
    <w:p w14:paraId="611C622D" w14:textId="27F109A5" w:rsidR="002C50EE" w:rsidRPr="0097014F" w:rsidRDefault="002C50EE" w:rsidP="002C50EE">
      <w:pPr>
        <w:pStyle w:val="Heading2"/>
        <w:rPr>
          <w:lang w:val="bg-BG"/>
        </w:rPr>
      </w:pPr>
      <w:r w:rsidRPr="0097014F">
        <w:rPr>
          <w:lang w:val="bg-BG"/>
        </w:rPr>
        <w:t>4.9. Предозиране</w:t>
      </w:r>
    </w:p>
    <w:p w14:paraId="05258987" w14:textId="1F703C05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 xml:space="preserve">Има ограничена информация за острата токсичност на ампицилин натрий и сулбактам натрий при хора. Предозиране на лекарството се очаква да доведе до реакции, принципно подобни на описаните по-горе нежелани лекарствени реакции. Трябва да се отчита фактът, че високата концентрация на </w:t>
      </w:r>
      <w:r w:rsidR="00470731">
        <w:rPr>
          <w:rFonts w:cs="Arial"/>
          <w:lang w:val="bg-BG" w:eastAsia="bg-BG"/>
        </w:rPr>
        <w:t>β</w:t>
      </w:r>
      <w:r w:rsidRPr="0097014F">
        <w:rPr>
          <w:lang w:val="bg-BG" w:eastAsia="bg-BG"/>
        </w:rPr>
        <w:t>-лактамни антибиотици в цереброспиналната течност може да доведе до неврологични прояви, включително гърчове. В случай на гърчове се препоръчва седиране с диазепам. Тъй като ампицилин и сулбактам се отстраняват от кръвообръщението чрез хемодиализа, тези процедури могат да ускорят елиминирането на лекарството от организма в случаи на предозиране при пациенти с нарушена бъбречна функция.</w:t>
      </w:r>
    </w:p>
    <w:p w14:paraId="650BC0E0" w14:textId="77777777" w:rsidR="00252B70" w:rsidRPr="0097014F" w:rsidRDefault="00252B70" w:rsidP="00252B70">
      <w:pPr>
        <w:rPr>
          <w:lang w:val="bg-BG"/>
        </w:rPr>
      </w:pPr>
    </w:p>
    <w:p w14:paraId="1D09652B" w14:textId="77777777" w:rsidR="00252B70" w:rsidRPr="0097014F" w:rsidRDefault="00252B70" w:rsidP="00252B70">
      <w:pPr>
        <w:rPr>
          <w:lang w:val="bg-BG"/>
        </w:rPr>
      </w:pPr>
    </w:p>
    <w:p w14:paraId="18EF4AFE" w14:textId="77777777" w:rsidR="002C50EE" w:rsidRPr="0097014F" w:rsidRDefault="002C50EE" w:rsidP="002C50EE">
      <w:pPr>
        <w:pStyle w:val="Heading1"/>
        <w:rPr>
          <w:lang w:val="bg-BG"/>
        </w:rPr>
      </w:pPr>
      <w:r w:rsidRPr="0097014F">
        <w:rPr>
          <w:lang w:val="bg-BG"/>
        </w:rPr>
        <w:t>5. ФАРМАКОЛОГИЧНИ СВОЙСТВА</w:t>
      </w:r>
    </w:p>
    <w:p w14:paraId="2F1CA24E" w14:textId="0C19B8D8" w:rsidR="002C50EE" w:rsidRPr="0097014F" w:rsidRDefault="002C50EE" w:rsidP="002C50EE">
      <w:pPr>
        <w:pStyle w:val="Heading2"/>
        <w:rPr>
          <w:lang w:val="bg-BG"/>
        </w:rPr>
      </w:pPr>
      <w:r w:rsidRPr="0097014F">
        <w:rPr>
          <w:lang w:val="bg-BG"/>
        </w:rPr>
        <w:t>5.1. Фармакодинамични свойства</w:t>
      </w:r>
    </w:p>
    <w:p w14:paraId="5BA1EC89" w14:textId="77777777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 xml:space="preserve">Фармакотерапевтична група: Комбинации на пеницилини, включително на бета-лактамазни инхибитори, АТС код: </w:t>
      </w:r>
      <w:r w:rsidRPr="0097014F">
        <w:rPr>
          <w:lang w:val="bg-BG"/>
        </w:rPr>
        <w:t>J01CR04</w:t>
      </w:r>
    </w:p>
    <w:p w14:paraId="765752DA" w14:textId="77777777" w:rsidR="00252B70" w:rsidRPr="0097014F" w:rsidRDefault="00252B70" w:rsidP="00252B70">
      <w:pPr>
        <w:rPr>
          <w:lang w:val="bg-BG" w:eastAsia="bg-BG"/>
        </w:rPr>
      </w:pPr>
    </w:p>
    <w:p w14:paraId="6DFC3C67" w14:textId="41158846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Биохимични проучвания с без клетъчни бактериални системи са показали, че сулбактам е необратим инхибитор на повеч</w:t>
      </w:r>
      <w:r w:rsidR="00470731">
        <w:rPr>
          <w:lang w:val="bg-BG" w:eastAsia="bg-BG"/>
        </w:rPr>
        <w:t>е</w:t>
      </w:r>
      <w:r w:rsidRPr="0097014F">
        <w:rPr>
          <w:lang w:val="bg-BG" w:eastAsia="bg-BG"/>
        </w:rPr>
        <w:t xml:space="preserve">то важни бета-лактамази, които се произвеждат от пеницилин- резистентни микроорганизми. Докато антибактериалното действие на сулбактам е ограничено основно до </w:t>
      </w:r>
      <w:r w:rsidRPr="0097014F">
        <w:rPr>
          <w:i/>
          <w:iCs/>
          <w:lang w:val="bg-BG"/>
        </w:rPr>
        <w:t>Neisseriaceae,</w:t>
      </w:r>
      <w:r w:rsidRPr="0097014F">
        <w:rPr>
          <w:lang w:val="bg-BG"/>
        </w:rPr>
        <w:t xml:space="preserve"> </w:t>
      </w:r>
      <w:r w:rsidRPr="0097014F">
        <w:rPr>
          <w:lang w:val="bg-BG" w:eastAsia="bg-BG"/>
        </w:rPr>
        <w:t>потенциалът на сулбактам натрий да предотвратява разграждането на пеницилините и цефалоспорините от резистентни микроорганизми е потвърден в проучвания с цели организми с използване на резистентни щамове, при които сулбактам проявява изразени синергични ефекти с пеницилини и цефалоспорини. Тъй като сулбактам се свързва също с някои пеницилин-свързващи протеини, някои чувствителни щамове се оказват по-чувствителни към комбинацията, отколкото към бета-лактамния антибиотик, прилаган самостоятелно.</w:t>
      </w:r>
    </w:p>
    <w:p w14:paraId="52BCCE5C" w14:textId="77777777" w:rsidR="00252B70" w:rsidRPr="0097014F" w:rsidRDefault="00252B70" w:rsidP="00252B70">
      <w:pPr>
        <w:rPr>
          <w:lang w:val="bg-BG" w:eastAsia="bg-BG"/>
        </w:rPr>
      </w:pPr>
    </w:p>
    <w:p w14:paraId="00A62632" w14:textId="0F12791C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Бактерицидната съставка на този продукт е ампицилин, който, подобно на бензилпеницилина, действа срещу чувствителни микроорганизми по време на етапа на активно мултиплициране чрез инхибиране на биосинтеза на мукопептида на клетъчната стена.</w:t>
      </w:r>
    </w:p>
    <w:p w14:paraId="51D4DDCE" w14:textId="30457930" w:rsidR="00252B70" w:rsidRPr="0097014F" w:rsidRDefault="00252B70" w:rsidP="00252B70">
      <w:pPr>
        <w:rPr>
          <w:lang w:val="bg-BG"/>
        </w:rPr>
      </w:pPr>
    </w:p>
    <w:p w14:paraId="6B3E117F" w14:textId="77777777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 xml:space="preserve">Султамицилин е ефективен срещу широк спектър грам-положителни и грам-отрицателни бактерии включително: </w:t>
      </w:r>
      <w:r w:rsidRPr="0097014F">
        <w:rPr>
          <w:i/>
          <w:iCs/>
          <w:lang w:val="bg-BG"/>
        </w:rPr>
        <w:t>Staphylococcus aureus</w:t>
      </w:r>
      <w:r w:rsidRPr="0097014F">
        <w:rPr>
          <w:lang w:val="bg-BG"/>
        </w:rPr>
        <w:t xml:space="preserve"> </w:t>
      </w:r>
      <w:r w:rsidRPr="0097014F">
        <w:rPr>
          <w:lang w:val="bg-BG" w:eastAsia="bg-BG"/>
        </w:rPr>
        <w:t xml:space="preserve">и </w:t>
      </w:r>
      <w:r w:rsidRPr="0097014F">
        <w:rPr>
          <w:i/>
          <w:iCs/>
          <w:lang w:val="bg-BG"/>
        </w:rPr>
        <w:t>Staphylococcus epidermidis</w:t>
      </w:r>
      <w:r w:rsidRPr="0097014F">
        <w:rPr>
          <w:lang w:val="bg-BG"/>
        </w:rPr>
        <w:t xml:space="preserve"> </w:t>
      </w:r>
      <w:r w:rsidRPr="0097014F">
        <w:rPr>
          <w:lang w:val="bg-BG" w:eastAsia="bg-BG"/>
        </w:rPr>
        <w:t xml:space="preserve">(включително пеницилин-резистентни и някои метицилин-резистентни щамове); </w:t>
      </w:r>
      <w:r w:rsidRPr="0097014F">
        <w:rPr>
          <w:i/>
          <w:iCs/>
          <w:lang w:val="bg-BG"/>
        </w:rPr>
        <w:t>Streptococcus</w:t>
      </w:r>
      <w:r w:rsidRPr="0097014F">
        <w:rPr>
          <w:i/>
          <w:iCs/>
          <w:lang w:val="bg-BG" w:eastAsia="bg-BG"/>
        </w:rPr>
        <w:t xml:space="preserve"> </w:t>
      </w:r>
      <w:r w:rsidRPr="0097014F">
        <w:rPr>
          <w:i/>
          <w:iCs/>
          <w:lang w:val="bg-BG"/>
        </w:rPr>
        <w:t>pneumoniae, Streptococcus faecal is</w:t>
      </w:r>
      <w:r w:rsidRPr="0097014F">
        <w:rPr>
          <w:lang w:val="bg-BG"/>
        </w:rPr>
        <w:t xml:space="preserve"> </w:t>
      </w:r>
      <w:r w:rsidRPr="0097014F">
        <w:rPr>
          <w:lang w:val="bg-BG" w:eastAsia="bg-BG"/>
        </w:rPr>
        <w:t xml:space="preserve">и други </w:t>
      </w:r>
      <w:r w:rsidRPr="0097014F">
        <w:rPr>
          <w:i/>
          <w:iCs/>
          <w:lang w:val="bg-BG"/>
        </w:rPr>
        <w:t>Streptococcus</w:t>
      </w:r>
      <w:r w:rsidRPr="0097014F">
        <w:rPr>
          <w:lang w:val="bg-BG"/>
        </w:rPr>
        <w:t xml:space="preserve"> spp.; </w:t>
      </w:r>
      <w:r w:rsidRPr="0097014F">
        <w:rPr>
          <w:i/>
          <w:iCs/>
          <w:lang w:val="bg-BG"/>
        </w:rPr>
        <w:t>Haemophilus influenzae</w:t>
      </w:r>
      <w:r w:rsidRPr="0097014F">
        <w:rPr>
          <w:lang w:val="bg-BG"/>
        </w:rPr>
        <w:t xml:space="preserve"> </w:t>
      </w:r>
      <w:r w:rsidRPr="0097014F">
        <w:rPr>
          <w:lang w:val="bg-BG" w:eastAsia="bg-BG"/>
        </w:rPr>
        <w:t xml:space="preserve">и </w:t>
      </w:r>
      <w:r w:rsidRPr="0097014F">
        <w:rPr>
          <w:i/>
          <w:iCs/>
          <w:lang w:val="bg-BG"/>
        </w:rPr>
        <w:t>Haemophilus parainfluenzae</w:t>
      </w:r>
      <w:r w:rsidRPr="0097014F">
        <w:rPr>
          <w:lang w:val="bg-BG"/>
        </w:rPr>
        <w:t xml:space="preserve"> </w:t>
      </w:r>
      <w:r w:rsidRPr="0097014F">
        <w:rPr>
          <w:lang w:val="bg-BG" w:eastAsia="bg-BG"/>
        </w:rPr>
        <w:t>(бета-лактамаза-положителни и бета-лактамаза-отрицателни</w:t>
      </w:r>
      <w:r w:rsidRPr="0097014F">
        <w:rPr>
          <w:lang w:val="bg-BG"/>
        </w:rPr>
        <w:t xml:space="preserve"> </w:t>
      </w:r>
      <w:r w:rsidRPr="0097014F">
        <w:rPr>
          <w:lang w:val="bg-BG" w:eastAsia="bg-BG"/>
        </w:rPr>
        <w:t xml:space="preserve">щамове); </w:t>
      </w:r>
      <w:r w:rsidRPr="0097014F">
        <w:rPr>
          <w:i/>
          <w:iCs/>
          <w:lang w:val="bg-BG"/>
        </w:rPr>
        <w:t>Moraxella</w:t>
      </w:r>
      <w:r w:rsidRPr="0097014F">
        <w:rPr>
          <w:lang w:val="bg-BG"/>
        </w:rPr>
        <w:t xml:space="preserve"> </w:t>
      </w:r>
      <w:r w:rsidRPr="0097014F">
        <w:rPr>
          <w:i/>
          <w:iCs/>
          <w:lang w:val="bg-BG"/>
        </w:rPr>
        <w:t>catarrhalis\</w:t>
      </w:r>
      <w:r w:rsidRPr="0097014F">
        <w:rPr>
          <w:lang w:val="bg-BG"/>
        </w:rPr>
        <w:t xml:space="preserve"> </w:t>
      </w:r>
      <w:r w:rsidRPr="0097014F">
        <w:rPr>
          <w:lang w:val="bg-BG" w:eastAsia="bg-BG"/>
        </w:rPr>
        <w:t xml:space="preserve">анаероби, включително </w:t>
      </w:r>
      <w:r w:rsidRPr="0097014F">
        <w:rPr>
          <w:i/>
          <w:iCs/>
          <w:lang w:val="bg-BG"/>
        </w:rPr>
        <w:t>Bacteroides fragilis</w:t>
      </w:r>
      <w:r w:rsidRPr="0097014F">
        <w:rPr>
          <w:lang w:val="bg-BG"/>
        </w:rPr>
        <w:t xml:space="preserve"> </w:t>
      </w:r>
      <w:r w:rsidRPr="0097014F">
        <w:rPr>
          <w:lang w:val="bg-BG" w:eastAsia="bg-BG"/>
        </w:rPr>
        <w:t xml:space="preserve">и други сродни щамове, </w:t>
      </w:r>
      <w:r w:rsidRPr="0097014F">
        <w:rPr>
          <w:i/>
          <w:iCs/>
          <w:lang w:val="bg-BG"/>
        </w:rPr>
        <w:t>Escherichia coli Klebsiella</w:t>
      </w:r>
      <w:r w:rsidRPr="0097014F">
        <w:rPr>
          <w:lang w:val="bg-BG"/>
        </w:rPr>
        <w:t xml:space="preserve"> spp.; </w:t>
      </w:r>
      <w:r w:rsidRPr="0097014F">
        <w:rPr>
          <w:i/>
          <w:iCs/>
          <w:lang w:val="bg-BG"/>
        </w:rPr>
        <w:t>Proteus</w:t>
      </w:r>
      <w:r w:rsidRPr="0097014F">
        <w:rPr>
          <w:lang w:val="bg-BG"/>
        </w:rPr>
        <w:t xml:space="preserve"> spp. </w:t>
      </w:r>
      <w:r w:rsidRPr="0097014F">
        <w:rPr>
          <w:lang w:val="bg-BG" w:eastAsia="bg-BG"/>
        </w:rPr>
        <w:t xml:space="preserve">(индол-положителни и индол-отрицателни шамове). </w:t>
      </w:r>
      <w:r w:rsidRPr="0097014F">
        <w:rPr>
          <w:i/>
          <w:iCs/>
          <w:lang w:val="bg-BG"/>
        </w:rPr>
        <w:t>Enterobacter</w:t>
      </w:r>
    </w:p>
    <w:p w14:paraId="7446F123" w14:textId="6C409BD5" w:rsidR="00252B70" w:rsidRPr="0097014F" w:rsidRDefault="00252B70" w:rsidP="00252B70">
      <w:pPr>
        <w:rPr>
          <w:i/>
          <w:iCs/>
          <w:lang w:val="bg-BG"/>
        </w:rPr>
      </w:pPr>
      <w:r w:rsidRPr="0097014F">
        <w:rPr>
          <w:lang w:val="bg-BG"/>
        </w:rPr>
        <w:t xml:space="preserve">spp.; </w:t>
      </w:r>
      <w:r w:rsidRPr="0097014F">
        <w:rPr>
          <w:i/>
          <w:iCs/>
          <w:lang w:val="bg-BG"/>
        </w:rPr>
        <w:t>Morganella morganii;Citrobacter</w:t>
      </w:r>
      <w:r w:rsidRPr="0097014F">
        <w:rPr>
          <w:lang w:val="bg-BG"/>
        </w:rPr>
        <w:t xml:space="preserve"> spp., </w:t>
      </w:r>
      <w:r w:rsidRPr="0097014F">
        <w:rPr>
          <w:i/>
          <w:iCs/>
          <w:lang w:val="bg-BG"/>
        </w:rPr>
        <w:t>Neisseria meningitidis</w:t>
      </w:r>
      <w:r w:rsidRPr="0097014F">
        <w:rPr>
          <w:lang w:val="bg-BG"/>
        </w:rPr>
        <w:t xml:space="preserve"> </w:t>
      </w:r>
      <w:r w:rsidRPr="0097014F">
        <w:rPr>
          <w:lang w:val="bg-BG" w:eastAsia="bg-BG"/>
        </w:rPr>
        <w:t xml:space="preserve">и </w:t>
      </w:r>
      <w:r w:rsidRPr="0097014F">
        <w:rPr>
          <w:i/>
          <w:iCs/>
          <w:lang w:val="bg-BG"/>
        </w:rPr>
        <w:t>Neisseria gonorrhoeae</w:t>
      </w:r>
    </w:p>
    <w:p w14:paraId="05A7309F" w14:textId="77777777" w:rsidR="00252B70" w:rsidRPr="0097014F" w:rsidRDefault="00252B70" w:rsidP="00252B70">
      <w:pPr>
        <w:rPr>
          <w:lang w:val="bg-BG"/>
        </w:rPr>
      </w:pPr>
    </w:p>
    <w:p w14:paraId="788B4E5E" w14:textId="7A00E926" w:rsidR="002C50EE" w:rsidRPr="0097014F" w:rsidRDefault="002C50EE" w:rsidP="002C50EE">
      <w:pPr>
        <w:pStyle w:val="Heading2"/>
        <w:rPr>
          <w:lang w:val="bg-BG"/>
        </w:rPr>
      </w:pPr>
      <w:r w:rsidRPr="0097014F">
        <w:rPr>
          <w:lang w:val="bg-BG"/>
        </w:rPr>
        <w:t>5.2. Фармакокинетични свойства</w:t>
      </w:r>
    </w:p>
    <w:p w14:paraId="31E38739" w14:textId="77777777" w:rsidR="00252B70" w:rsidRPr="0097014F" w:rsidRDefault="00252B70" w:rsidP="00252B70">
      <w:pPr>
        <w:rPr>
          <w:lang w:val="bg-BG" w:eastAsia="bg-BG"/>
        </w:rPr>
      </w:pPr>
    </w:p>
    <w:p w14:paraId="7C24D6A5" w14:textId="636196D0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След перорално приложение при хора султамицилин се хидролизира по време на абсорбцията, като постъпилите в системната циркулация сулбактам и ампицилин са в моларно съотношение 1:1. Бионаличността след перорално дозиране е 80% от еквивалентната интравенозна доза на ампицилин и сулбактам. Прилагането след хранене няма ефект върху системната бионаличност на султамицилин. Максималните плазмени концентрации на ампицилин след прием на султамицилин са приблизително два пъти по-високи от тези при еквивалентна доза перорален ампицилин. При здрави доброволци полуживотът на елиминиране е приблизително 0,75 и 1 час за сулбактам и ампицилин съответно, като 50-75% и от двата се елиминират в непроменен вид в урината. При пациенти в старческа възраст и при пациенти с бъбречна недостатъчност полуживотът на елиминиране е увеличен. Пробенецид намалява бъбречната тубулна секреция както на сулбактам, така и на ампицилин.</w:t>
      </w:r>
    </w:p>
    <w:p w14:paraId="0FFD4926" w14:textId="419024BB" w:rsidR="00252B70" w:rsidRPr="0097014F" w:rsidRDefault="00252B70" w:rsidP="00252B70">
      <w:pPr>
        <w:rPr>
          <w:lang w:val="bg-BG" w:eastAsia="bg-BG"/>
        </w:rPr>
      </w:pPr>
      <w:r w:rsidRPr="0097014F">
        <w:rPr>
          <w:lang w:val="bg-BG" w:eastAsia="bg-BG"/>
        </w:rPr>
        <w:t>Едновременното прилагане на пробенецид със султамицилин води до повишаване и удължаване на кръвните нива на ампицилин и сулбактам. (Вж. точка 4.5).</w:t>
      </w:r>
    </w:p>
    <w:p w14:paraId="51DDE190" w14:textId="77777777" w:rsidR="00252B70" w:rsidRPr="0097014F" w:rsidRDefault="00252B70" w:rsidP="00252B70">
      <w:pPr>
        <w:rPr>
          <w:lang w:val="bg-BG"/>
        </w:rPr>
      </w:pPr>
    </w:p>
    <w:p w14:paraId="134A69A8" w14:textId="00C77180" w:rsidR="002C50EE" w:rsidRPr="0097014F" w:rsidRDefault="002C50EE" w:rsidP="002C50EE">
      <w:pPr>
        <w:pStyle w:val="Heading2"/>
        <w:rPr>
          <w:lang w:val="bg-BG"/>
        </w:rPr>
      </w:pPr>
      <w:r w:rsidRPr="0097014F">
        <w:rPr>
          <w:lang w:val="bg-BG"/>
        </w:rPr>
        <w:t>5.3. Предклинични данни за безопасност</w:t>
      </w:r>
    </w:p>
    <w:p w14:paraId="0BF59DE8" w14:textId="77777777" w:rsidR="00252B70" w:rsidRPr="0097014F" w:rsidRDefault="00252B70" w:rsidP="00252B70">
      <w:pPr>
        <w:rPr>
          <w:lang w:val="bg-BG" w:eastAsia="bg-BG"/>
        </w:rPr>
      </w:pPr>
    </w:p>
    <w:p w14:paraId="743A66BB" w14:textId="48234407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lastRenderedPageBreak/>
        <w:t>Въпреки че при лабораторни животни е наблюдавана обратима гликогеноза, тази находка е дозо- и време-зависима и не се очаква да се прояви при терапевтични дози и съответните плазмени концентрации, постигнати през сравнително кратки периоди на комбинирана терапия с ампицилин/сулбактам при хора.</w:t>
      </w:r>
    </w:p>
    <w:p w14:paraId="7F8418EE" w14:textId="77777777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Не са провеждани дългосрочни проучвания при животни за оценка на карциногенния потенциал. Отделните съставки на султамицилин (ампицилин/сулбактам) дават отрицателен резултат при изпитването за мутагенност.</w:t>
      </w:r>
    </w:p>
    <w:p w14:paraId="09BD631E" w14:textId="77777777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Репродуктивни проучвания са правени при мишки и плъхове в дози, които надвишават дозата при хора, които не са разкрили свидетелство за нарушение на фертилитета или увреждане на плода, дължащи се на султамицилин.</w:t>
      </w:r>
    </w:p>
    <w:p w14:paraId="7E59DC2A" w14:textId="77777777" w:rsidR="00252B70" w:rsidRPr="0097014F" w:rsidRDefault="00252B70" w:rsidP="00252B70">
      <w:pPr>
        <w:rPr>
          <w:lang w:val="bg-BG"/>
        </w:rPr>
      </w:pPr>
    </w:p>
    <w:p w14:paraId="28C40F19" w14:textId="68B78D31" w:rsidR="002C50EE" w:rsidRPr="0097014F" w:rsidRDefault="002C50EE" w:rsidP="002C50EE">
      <w:pPr>
        <w:pStyle w:val="Heading1"/>
        <w:rPr>
          <w:lang w:val="bg-BG"/>
        </w:rPr>
      </w:pPr>
      <w:r w:rsidRPr="0097014F">
        <w:rPr>
          <w:lang w:val="bg-BG"/>
        </w:rPr>
        <w:t>7. ПРИТЕЖАТЕЛ НА РАЗРЕШЕНИЕТО ЗА УПОТРЕБА</w:t>
      </w:r>
    </w:p>
    <w:p w14:paraId="7B4DE85F" w14:textId="77777777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lang w:val="bg-BG"/>
        </w:rPr>
        <w:t xml:space="preserve">Pfizer Europe </w:t>
      </w:r>
      <w:r w:rsidRPr="0097014F">
        <w:rPr>
          <w:lang w:val="bg-BG" w:eastAsia="bg-BG"/>
        </w:rPr>
        <w:t xml:space="preserve">МА </w:t>
      </w:r>
      <w:r w:rsidRPr="0097014F">
        <w:rPr>
          <w:lang w:val="bg-BG"/>
        </w:rPr>
        <w:t>EEIG</w:t>
      </w:r>
    </w:p>
    <w:p w14:paraId="76D8726E" w14:textId="77777777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lang w:val="bg-BG"/>
        </w:rPr>
        <w:t>Boulevard de la Plaine 17</w:t>
      </w:r>
    </w:p>
    <w:p w14:paraId="68AAD1C8" w14:textId="77777777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lang w:val="bg-BG"/>
        </w:rPr>
        <w:t>1050 Bruxelles</w:t>
      </w:r>
    </w:p>
    <w:p w14:paraId="64B08EAE" w14:textId="7C3ECE2E" w:rsidR="00252B70" w:rsidRPr="0097014F" w:rsidRDefault="00252B70" w:rsidP="00252B70">
      <w:pPr>
        <w:rPr>
          <w:lang w:val="bg-BG"/>
        </w:rPr>
      </w:pPr>
      <w:r w:rsidRPr="0097014F">
        <w:rPr>
          <w:lang w:val="bg-BG" w:eastAsia="bg-BG"/>
        </w:rPr>
        <w:t>Белгия</w:t>
      </w:r>
    </w:p>
    <w:p w14:paraId="04840D59" w14:textId="1078A377" w:rsidR="002C50EE" w:rsidRPr="0097014F" w:rsidRDefault="002C50EE" w:rsidP="002C50EE">
      <w:pPr>
        <w:pStyle w:val="Heading1"/>
        <w:rPr>
          <w:lang w:val="bg-BG"/>
        </w:rPr>
      </w:pPr>
      <w:r w:rsidRPr="0097014F">
        <w:rPr>
          <w:lang w:val="bg-BG"/>
        </w:rPr>
        <w:t>8. НОМЕР НА РАЗРЕШЕНИЕТО ЗА УПОТРЕБА</w:t>
      </w:r>
    </w:p>
    <w:p w14:paraId="7F23BD4E" w14:textId="5FEFFF99" w:rsidR="00252B70" w:rsidRPr="0097014F" w:rsidRDefault="00252B70" w:rsidP="00252B70">
      <w:pPr>
        <w:rPr>
          <w:lang w:val="bg-BG"/>
        </w:rPr>
      </w:pPr>
      <w:r w:rsidRPr="0097014F">
        <w:rPr>
          <w:lang w:val="bg-BG"/>
        </w:rPr>
        <w:t>20030036</w:t>
      </w:r>
    </w:p>
    <w:p w14:paraId="5900CBF3" w14:textId="152D8CE4" w:rsidR="002C50EE" w:rsidRPr="0097014F" w:rsidRDefault="002C50EE" w:rsidP="002C50EE">
      <w:pPr>
        <w:pStyle w:val="Heading1"/>
        <w:rPr>
          <w:lang w:val="bg-BG"/>
        </w:rPr>
      </w:pPr>
      <w:r w:rsidRPr="0097014F">
        <w:rPr>
          <w:lang w:val="bg-BG"/>
        </w:rPr>
        <w:t>9. ДАТА НА ПЪРВО РАЗРЕШАВАНЕ/ПОДНОВЯВАНЕ НА РАЗРЕШЕНИЕТО ЗА УПОТРЕБА</w:t>
      </w:r>
    </w:p>
    <w:p w14:paraId="48CCDE96" w14:textId="77777777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Дата на първо разрешаване: 26 декември 1990 г.</w:t>
      </w:r>
    </w:p>
    <w:p w14:paraId="7683EC18" w14:textId="77777777" w:rsidR="00252B70" w:rsidRPr="0097014F" w:rsidRDefault="00252B70" w:rsidP="00252B70">
      <w:pPr>
        <w:rPr>
          <w:sz w:val="24"/>
          <w:szCs w:val="24"/>
          <w:lang w:val="bg-BG"/>
        </w:rPr>
      </w:pPr>
      <w:r w:rsidRPr="0097014F">
        <w:rPr>
          <w:lang w:val="bg-BG" w:eastAsia="bg-BG"/>
        </w:rPr>
        <w:t>Дата на последно подновяване: 07 май 2008 г.</w:t>
      </w:r>
    </w:p>
    <w:p w14:paraId="0F82C76B" w14:textId="77777777" w:rsidR="00252B70" w:rsidRPr="0097014F" w:rsidRDefault="00252B70" w:rsidP="00252B70">
      <w:pPr>
        <w:rPr>
          <w:lang w:val="bg-BG"/>
        </w:rPr>
      </w:pPr>
    </w:p>
    <w:p w14:paraId="0E9D0119" w14:textId="77777777" w:rsidR="002C50EE" w:rsidRPr="0097014F" w:rsidRDefault="002C50EE" w:rsidP="002C50EE">
      <w:pPr>
        <w:pStyle w:val="Heading1"/>
        <w:rPr>
          <w:lang w:val="bg-BG"/>
        </w:rPr>
      </w:pPr>
      <w:r w:rsidRPr="0097014F">
        <w:rPr>
          <w:lang w:val="bg-BG"/>
        </w:rPr>
        <w:t>10. ДАТА НА АКТУАЛИЗИРАНЕ НА ТЕКСТА</w:t>
      </w:r>
    </w:p>
    <w:bookmarkEnd w:id="0"/>
    <w:p w14:paraId="383FCB10" w14:textId="77777777" w:rsidR="002C50EE" w:rsidRPr="0097014F" w:rsidRDefault="002C50EE" w:rsidP="002C50EE">
      <w:pPr>
        <w:rPr>
          <w:rFonts w:cs="Arial"/>
          <w:b/>
          <w:bCs/>
          <w:sz w:val="26"/>
          <w:szCs w:val="26"/>
          <w:lang w:val="bg-BG"/>
        </w:rPr>
      </w:pPr>
    </w:p>
    <w:p w14:paraId="423F4C2A" w14:textId="77777777" w:rsidR="00C87E90" w:rsidRPr="0097014F" w:rsidRDefault="00C87E90" w:rsidP="003E3126">
      <w:pPr>
        <w:rPr>
          <w:lang w:val="bg-BG"/>
        </w:rPr>
      </w:pPr>
    </w:p>
    <w:p w14:paraId="3DA4EAC6" w14:textId="77777777" w:rsidR="004B6476" w:rsidRPr="0097014F" w:rsidRDefault="004B6476">
      <w:pPr>
        <w:rPr>
          <w:lang w:val="bg-BG"/>
        </w:rPr>
      </w:pPr>
    </w:p>
    <w:sectPr w:rsidR="004B6476" w:rsidRPr="00970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86C1FF" w14:textId="77777777" w:rsidR="00B95FEE" w:rsidRDefault="00B95FEE" w:rsidP="00B95FEE">
      <w:pPr>
        <w:spacing w:line="240" w:lineRule="auto"/>
      </w:pPr>
      <w:r>
        <w:separator/>
      </w:r>
    </w:p>
  </w:endnote>
  <w:endnote w:type="continuationSeparator" w:id="0">
    <w:p w14:paraId="0FA5F67E" w14:textId="77777777" w:rsidR="00B95FEE" w:rsidRDefault="00B95FEE" w:rsidP="00B95F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4B5C44" w14:textId="77777777" w:rsidR="00B95FEE" w:rsidRDefault="00B95FEE" w:rsidP="00B95FEE">
      <w:pPr>
        <w:spacing w:line="240" w:lineRule="auto"/>
      </w:pPr>
      <w:r>
        <w:separator/>
      </w:r>
    </w:p>
  </w:footnote>
  <w:footnote w:type="continuationSeparator" w:id="0">
    <w:p w14:paraId="76C5243D" w14:textId="77777777" w:rsidR="00B95FEE" w:rsidRDefault="00B95FEE" w:rsidP="00B95FE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A08380F"/>
    <w:multiLevelType w:val="hybridMultilevel"/>
    <w:tmpl w:val="F51006D8"/>
    <w:lvl w:ilvl="0" w:tplc="6C626A0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9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9C4199"/>
    <w:multiLevelType w:val="hybridMultilevel"/>
    <w:tmpl w:val="475E6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B214F6"/>
    <w:multiLevelType w:val="hybridMultilevel"/>
    <w:tmpl w:val="475E6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9"/>
  </w:num>
  <w:num w:numId="7">
    <w:abstractNumId w:val="5"/>
  </w:num>
  <w:num w:numId="8">
    <w:abstractNumId w:val="8"/>
  </w:num>
  <w:num w:numId="9">
    <w:abstractNumId w:val="2"/>
  </w:num>
  <w:num w:numId="10">
    <w:abstractNumId w:val="4"/>
  </w:num>
  <w:num w:numId="11">
    <w:abstractNumId w:val="1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A00"/>
    <w:rsid w:val="00053561"/>
    <w:rsid w:val="000F502B"/>
    <w:rsid w:val="00185A46"/>
    <w:rsid w:val="001D1B23"/>
    <w:rsid w:val="00252B70"/>
    <w:rsid w:val="002C50EE"/>
    <w:rsid w:val="003E3126"/>
    <w:rsid w:val="00470731"/>
    <w:rsid w:val="004B6476"/>
    <w:rsid w:val="00517A5B"/>
    <w:rsid w:val="00593A00"/>
    <w:rsid w:val="006158A1"/>
    <w:rsid w:val="00617B1F"/>
    <w:rsid w:val="00672487"/>
    <w:rsid w:val="00672600"/>
    <w:rsid w:val="00681D4A"/>
    <w:rsid w:val="00685882"/>
    <w:rsid w:val="00814073"/>
    <w:rsid w:val="00826F0D"/>
    <w:rsid w:val="008C70A2"/>
    <w:rsid w:val="0097014F"/>
    <w:rsid w:val="009773E4"/>
    <w:rsid w:val="00A20351"/>
    <w:rsid w:val="00AE2107"/>
    <w:rsid w:val="00B275A8"/>
    <w:rsid w:val="00B95FEE"/>
    <w:rsid w:val="00BF2600"/>
    <w:rsid w:val="00C33464"/>
    <w:rsid w:val="00C87E90"/>
    <w:rsid w:val="00F37B64"/>
    <w:rsid w:val="00F7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8984B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5EC"/>
    <w:pPr>
      <w:spacing w:after="0" w:line="25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F77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5F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FE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95F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FE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da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2778</Words>
  <Characters>15837</Characters>
  <Application>Microsoft Office Word</Application>
  <DocSecurity>0</DocSecurity>
  <Lines>131</Lines>
  <Paragraphs>37</Paragraphs>
  <ScaleCrop>false</ScaleCrop>
  <Company/>
  <LinksUpToDate>false</LinksUpToDate>
  <CharactersWithSpaces>18578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2021-04-09T19:06:00Z</dcterms:created>
  <dcterms:modified xsi:type="dcterms:W3CDTF">2021-04-09T19:06:00Z</dcterms:modified>
</cp:coreProperties>
</file>