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09CEB67B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5A3B4435" w14:textId="77777777" w:rsidR="0091385D" w:rsidRPr="0091385D" w:rsidRDefault="0091385D" w:rsidP="0091385D"/>
    <w:p w14:paraId="3320F4BE" w14:textId="2EB48694" w:rsidR="00C40420" w:rsidRDefault="00DD466D" w:rsidP="004A448E">
      <w:pPr>
        <w:pStyle w:val="Heading1"/>
      </w:pPr>
      <w:r>
        <w:t>1.ИМЕ НА ЛЕКАРСТВЕНИЯ ПРОДУКТ</w:t>
      </w:r>
    </w:p>
    <w:p w14:paraId="5E9BA472" w14:textId="28012C85" w:rsidR="0091385D" w:rsidRDefault="0091385D" w:rsidP="0091385D"/>
    <w:p w14:paraId="42E43CFE" w14:textId="77777777" w:rsidR="00200E63" w:rsidRPr="00200E63" w:rsidRDefault="00200E63" w:rsidP="0091385D">
      <w:pPr>
        <w:rPr>
          <w:rFonts w:cs="Arial"/>
          <w:b/>
          <w:bCs/>
        </w:rPr>
      </w:pPr>
      <w:r w:rsidRPr="00200E63">
        <w:rPr>
          <w:rFonts w:cs="Arial"/>
          <w:b/>
          <w:bCs/>
        </w:rPr>
        <w:t>УНИЛАТ 50 микрограма</w:t>
      </w:r>
      <w:r w:rsidRPr="00200E63">
        <w:rPr>
          <w:rFonts w:cs="Arial"/>
          <w:b/>
          <w:bCs/>
          <w:lang w:val="en-US"/>
        </w:rPr>
        <w:t xml:space="preserve">/ml </w:t>
      </w:r>
      <w:r w:rsidRPr="00200E63">
        <w:rPr>
          <w:rFonts w:cs="Arial"/>
          <w:b/>
          <w:bCs/>
        </w:rPr>
        <w:t xml:space="preserve">капки за очи, разтвор </w:t>
      </w:r>
    </w:p>
    <w:p w14:paraId="5015A1FD" w14:textId="04C634CD" w:rsidR="00A73575" w:rsidRPr="00200E63" w:rsidRDefault="00200E63" w:rsidP="0091385D">
      <w:pPr>
        <w:rPr>
          <w:rFonts w:cs="Arial"/>
        </w:rPr>
      </w:pPr>
      <w:r w:rsidRPr="00200E63">
        <w:rPr>
          <w:rFonts w:cs="Arial"/>
          <w:b/>
          <w:bCs/>
          <w:lang w:val="en-US"/>
        </w:rPr>
        <w:t xml:space="preserve">UNILAT </w:t>
      </w:r>
      <w:r w:rsidRPr="00200E63">
        <w:rPr>
          <w:rFonts w:cs="Arial"/>
          <w:b/>
          <w:bCs/>
        </w:rPr>
        <w:t xml:space="preserve">50 </w:t>
      </w:r>
      <w:r w:rsidRPr="00200E63">
        <w:rPr>
          <w:rFonts w:cs="Arial"/>
          <w:b/>
          <w:bCs/>
          <w:lang w:val="en-US"/>
        </w:rPr>
        <w:t>micrograms/ml eye drops, solution</w:t>
      </w:r>
    </w:p>
    <w:p w14:paraId="1E8447D1" w14:textId="77777777" w:rsidR="0091385D" w:rsidRPr="0091385D" w:rsidRDefault="0091385D" w:rsidP="0091385D"/>
    <w:p w14:paraId="6920A680" w14:textId="53C3EFCC" w:rsidR="00C40420" w:rsidRDefault="00DD466D" w:rsidP="004A448E">
      <w:pPr>
        <w:pStyle w:val="Heading1"/>
      </w:pPr>
      <w:r>
        <w:t>2. КАЧЕСТВЕН И КОЛИЧЕСТВЕН СЪСТАВ</w:t>
      </w:r>
    </w:p>
    <w:p w14:paraId="1ED33AE8" w14:textId="288788EF" w:rsidR="0091385D" w:rsidRDefault="0091385D" w:rsidP="0091385D"/>
    <w:p w14:paraId="4FB7739C" w14:textId="77777777" w:rsidR="00200E63" w:rsidRPr="00200E63" w:rsidRDefault="00200E63" w:rsidP="00200E6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0E63">
        <w:rPr>
          <w:rFonts w:eastAsia="Times New Roman" w:cs="Arial"/>
          <w:color w:val="000000"/>
          <w:lang w:eastAsia="bg-BG"/>
        </w:rPr>
        <w:t xml:space="preserve">1 </w:t>
      </w:r>
      <w:r w:rsidRPr="00200E63">
        <w:rPr>
          <w:rFonts w:eastAsia="Times New Roman" w:cs="Arial"/>
          <w:color w:val="000000"/>
          <w:lang w:val="en-US"/>
        </w:rPr>
        <w:t xml:space="preserve">ml </w:t>
      </w:r>
      <w:r w:rsidRPr="00200E63">
        <w:rPr>
          <w:rFonts w:eastAsia="Times New Roman" w:cs="Arial"/>
          <w:color w:val="000000"/>
          <w:lang w:eastAsia="bg-BG"/>
        </w:rPr>
        <w:t xml:space="preserve">разтвор съдържа 50 микрограма латанопрост </w:t>
      </w:r>
      <w:r w:rsidRPr="00200E63">
        <w:rPr>
          <w:rFonts w:eastAsia="Times New Roman" w:cs="Arial"/>
          <w:i/>
          <w:iCs/>
          <w:color w:val="000000"/>
          <w:lang w:val="en-US"/>
        </w:rPr>
        <w:t>(</w:t>
      </w:r>
      <w:proofErr w:type="spellStart"/>
      <w:r w:rsidRPr="00200E63">
        <w:rPr>
          <w:rFonts w:eastAsia="Times New Roman" w:cs="Arial"/>
          <w:i/>
          <w:iCs/>
          <w:color w:val="000000"/>
          <w:lang w:val="en-US"/>
        </w:rPr>
        <w:t>Latanoprost</w:t>
      </w:r>
      <w:proofErr w:type="spellEnd"/>
      <w:r w:rsidRPr="00200E63">
        <w:rPr>
          <w:rFonts w:eastAsia="Times New Roman" w:cs="Arial"/>
          <w:i/>
          <w:iCs/>
          <w:color w:val="000000"/>
          <w:lang w:val="en-US"/>
        </w:rPr>
        <w:t>)</w:t>
      </w:r>
    </w:p>
    <w:p w14:paraId="4BDB148B" w14:textId="77777777" w:rsidR="00200E63" w:rsidRPr="00200E63" w:rsidRDefault="00200E63" w:rsidP="00200E6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0E63">
        <w:rPr>
          <w:rFonts w:eastAsia="Times New Roman" w:cs="Arial"/>
          <w:color w:val="000000"/>
          <w:lang w:eastAsia="bg-BG"/>
        </w:rPr>
        <w:t>Една капка съдържа приблизително 1,5 микрограма латанопрост</w:t>
      </w:r>
    </w:p>
    <w:p w14:paraId="7931EF5E" w14:textId="77777777" w:rsidR="00200E63" w:rsidRPr="00200E63" w:rsidRDefault="00200E63" w:rsidP="00200E6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EAFEF6A" w14:textId="13532EAA" w:rsidR="00200E63" w:rsidRPr="00200E63" w:rsidRDefault="00200E63" w:rsidP="00200E6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0E63">
        <w:rPr>
          <w:rFonts w:eastAsia="Times New Roman" w:cs="Arial"/>
          <w:color w:val="000000"/>
          <w:lang w:eastAsia="bg-BG"/>
        </w:rPr>
        <w:t xml:space="preserve">Помощн(и) веществ(а) с известни действия: бензалкониев хидрохлорид, разтвор 0,20 </w:t>
      </w:r>
      <w:r w:rsidRPr="00200E63">
        <w:rPr>
          <w:rFonts w:eastAsia="Times New Roman" w:cs="Arial"/>
          <w:color w:val="000000"/>
          <w:lang w:val="en-US"/>
        </w:rPr>
        <w:t xml:space="preserve">mg </w:t>
      </w:r>
      <w:r w:rsidRPr="00200E63">
        <w:rPr>
          <w:rFonts w:eastAsia="Times New Roman" w:cs="Arial"/>
          <w:color w:val="000000"/>
          <w:lang w:eastAsia="bg-BG"/>
        </w:rPr>
        <w:t>на милилитър.</w:t>
      </w:r>
    </w:p>
    <w:p w14:paraId="03110A50" w14:textId="2E8083F6" w:rsidR="0091385D" w:rsidRPr="00200E63" w:rsidRDefault="00200E63" w:rsidP="00200E63">
      <w:pPr>
        <w:rPr>
          <w:rFonts w:cs="Arial"/>
        </w:rPr>
      </w:pPr>
      <w:r w:rsidRPr="00200E63">
        <w:rPr>
          <w:rFonts w:eastAsia="Times New Roman" w:cs="Arial"/>
          <w:color w:val="000000"/>
          <w:lang w:eastAsia="bg-BG"/>
        </w:rPr>
        <w:t>За пълния списък на помощните вещества, виж. точка 6.1.</w:t>
      </w:r>
    </w:p>
    <w:p w14:paraId="3C47C299" w14:textId="77777777" w:rsidR="00A73575" w:rsidRPr="0091385D" w:rsidRDefault="00A73575" w:rsidP="0091385D"/>
    <w:p w14:paraId="614984C4" w14:textId="3FC552C3" w:rsidR="008A6AF2" w:rsidRDefault="00DD466D" w:rsidP="002C50EE">
      <w:pPr>
        <w:pStyle w:val="Heading1"/>
      </w:pPr>
      <w:r>
        <w:t>3. ЛЕКАРСТВЕНА ФОРМА</w:t>
      </w:r>
    </w:p>
    <w:p w14:paraId="1004E96C" w14:textId="277B91E7" w:rsidR="0091385D" w:rsidRDefault="0091385D" w:rsidP="0091385D"/>
    <w:p w14:paraId="22702E4F" w14:textId="77777777" w:rsidR="00200E63" w:rsidRPr="00200E63" w:rsidRDefault="00200E63" w:rsidP="00200E6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0E63">
        <w:rPr>
          <w:rFonts w:eastAsia="Times New Roman" w:cs="Arial"/>
          <w:color w:val="000000"/>
          <w:lang w:eastAsia="bg-BG"/>
        </w:rPr>
        <w:t>Капки за очи, разтвор</w:t>
      </w:r>
    </w:p>
    <w:p w14:paraId="23675B2C" w14:textId="77777777" w:rsidR="00200E63" w:rsidRPr="00200E63" w:rsidRDefault="00200E63" w:rsidP="00200E63">
      <w:pPr>
        <w:rPr>
          <w:rFonts w:eastAsia="Times New Roman" w:cs="Arial"/>
          <w:color w:val="000000"/>
          <w:lang w:eastAsia="bg-BG"/>
        </w:rPr>
      </w:pPr>
    </w:p>
    <w:p w14:paraId="4129ADBB" w14:textId="48CE0A20" w:rsidR="0091385D" w:rsidRPr="00200E63" w:rsidRDefault="00200E63" w:rsidP="00200E63">
      <w:pPr>
        <w:rPr>
          <w:rFonts w:cs="Arial"/>
        </w:rPr>
      </w:pPr>
      <w:r w:rsidRPr="00200E63">
        <w:rPr>
          <w:rFonts w:eastAsia="Times New Roman" w:cs="Arial"/>
          <w:color w:val="000000"/>
          <w:lang w:eastAsia="bg-BG"/>
        </w:rPr>
        <w:t xml:space="preserve">Разтворът представлява бистра, безцветна течност, практически без частици, с </w:t>
      </w:r>
      <w:r w:rsidRPr="00200E63">
        <w:rPr>
          <w:rFonts w:eastAsia="Times New Roman" w:cs="Arial"/>
          <w:color w:val="000000"/>
          <w:lang w:val="en-US"/>
        </w:rPr>
        <w:t xml:space="preserve">pH </w:t>
      </w:r>
      <w:r w:rsidRPr="00200E63">
        <w:rPr>
          <w:rFonts w:eastAsia="Times New Roman" w:cs="Arial"/>
          <w:color w:val="000000"/>
          <w:lang w:eastAsia="bg-BG"/>
        </w:rPr>
        <w:t xml:space="preserve">приблизително 6,6 и осмолалитет приблизително 288 </w:t>
      </w:r>
      <w:proofErr w:type="spellStart"/>
      <w:r w:rsidRPr="00200E63">
        <w:rPr>
          <w:rFonts w:eastAsia="Times New Roman" w:cs="Arial"/>
          <w:color w:val="000000"/>
          <w:lang w:val="en-US"/>
        </w:rPr>
        <w:t>mOsmol</w:t>
      </w:r>
      <w:proofErr w:type="spellEnd"/>
      <w:r w:rsidRPr="00200E63">
        <w:rPr>
          <w:rFonts w:eastAsia="Times New Roman" w:cs="Arial"/>
          <w:color w:val="000000"/>
          <w:lang w:val="en-US"/>
        </w:rPr>
        <w:t>/kg.</w:t>
      </w:r>
    </w:p>
    <w:p w14:paraId="7D287A22" w14:textId="77777777" w:rsidR="00A73575" w:rsidRPr="0091385D" w:rsidRDefault="00A73575" w:rsidP="0091385D"/>
    <w:p w14:paraId="490FC2C4" w14:textId="76FABE77" w:rsidR="002C50EE" w:rsidRDefault="002C50EE" w:rsidP="002C50EE">
      <w:pPr>
        <w:pStyle w:val="Heading1"/>
      </w:pPr>
      <w:r>
        <w:t>4. КЛИНИЧНИ ДАННИ</w:t>
      </w:r>
    </w:p>
    <w:p w14:paraId="0C69CBC7" w14:textId="77777777" w:rsidR="0091385D" w:rsidRPr="0091385D" w:rsidRDefault="0091385D" w:rsidP="0091385D"/>
    <w:p w14:paraId="0C8E6903" w14:textId="51BB3E2D" w:rsidR="008134C8" w:rsidRDefault="002C50EE" w:rsidP="004A448E">
      <w:pPr>
        <w:pStyle w:val="Heading2"/>
      </w:pPr>
      <w:r>
        <w:t>4.1. Терапевтични показания</w:t>
      </w:r>
    </w:p>
    <w:p w14:paraId="174D169F" w14:textId="0369962D" w:rsidR="0091385D" w:rsidRDefault="0091385D" w:rsidP="0091385D"/>
    <w:p w14:paraId="074C2628" w14:textId="77777777" w:rsidR="00200E63" w:rsidRPr="00200E63" w:rsidRDefault="00200E63" w:rsidP="00200E6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0E63">
        <w:rPr>
          <w:rFonts w:eastAsia="Times New Roman" w:cs="Arial"/>
          <w:color w:val="000000"/>
          <w:lang w:eastAsia="bg-BG"/>
        </w:rPr>
        <w:t>Понижаване на повишено вътреочно налягане при болни с откритоъгълна глаукома и повишено вътреочно налягане.</w:t>
      </w:r>
    </w:p>
    <w:p w14:paraId="2ABEBDFA" w14:textId="77777777" w:rsidR="00200E63" w:rsidRPr="00200E63" w:rsidRDefault="00200E63" w:rsidP="00200E63">
      <w:pPr>
        <w:rPr>
          <w:rFonts w:eastAsia="Times New Roman" w:cs="Arial"/>
          <w:color w:val="000000"/>
          <w:lang w:eastAsia="bg-BG"/>
        </w:rPr>
      </w:pPr>
    </w:p>
    <w:p w14:paraId="04B2E99C" w14:textId="03F36037" w:rsidR="0091385D" w:rsidRPr="00200E63" w:rsidRDefault="00200E63" w:rsidP="00200E63">
      <w:pPr>
        <w:rPr>
          <w:rFonts w:cs="Arial"/>
        </w:rPr>
      </w:pPr>
      <w:r w:rsidRPr="00200E63">
        <w:rPr>
          <w:rFonts w:eastAsia="Times New Roman" w:cs="Arial"/>
          <w:color w:val="000000"/>
          <w:lang w:eastAsia="bg-BG"/>
        </w:rPr>
        <w:t>Понижаване на повишеното вътреочно налягане при педиатрични пациенти с повишено вътреочно налягане и педиатрична глаукома.</w:t>
      </w:r>
    </w:p>
    <w:p w14:paraId="6DFA4B9D" w14:textId="77777777" w:rsidR="0091385D" w:rsidRPr="0091385D" w:rsidRDefault="0091385D" w:rsidP="0091385D"/>
    <w:p w14:paraId="30BE2C7B" w14:textId="3633C1E4" w:rsidR="008134C8" w:rsidRDefault="002C50EE" w:rsidP="004A448E">
      <w:pPr>
        <w:pStyle w:val="Heading2"/>
      </w:pPr>
      <w:r>
        <w:t>4.2. Дозировка и начин на приложение</w:t>
      </w:r>
    </w:p>
    <w:p w14:paraId="7AA22B68" w14:textId="3A681DFB" w:rsidR="0091385D" w:rsidRDefault="0091385D" w:rsidP="0091385D"/>
    <w:p w14:paraId="506E403B" w14:textId="77777777" w:rsidR="00200E63" w:rsidRPr="00200E63" w:rsidRDefault="00200E63" w:rsidP="00200E63">
      <w:pPr>
        <w:pStyle w:val="Heading3"/>
        <w:rPr>
          <w:rFonts w:eastAsia="Times New Roman"/>
          <w:u w:val="single"/>
          <w:lang w:eastAsia="bg-BG"/>
        </w:rPr>
      </w:pPr>
      <w:r w:rsidRPr="00200E63">
        <w:rPr>
          <w:rFonts w:eastAsia="Times New Roman"/>
          <w:u w:val="single"/>
          <w:lang w:eastAsia="bg-BG"/>
        </w:rPr>
        <w:t>Дозировка</w:t>
      </w:r>
    </w:p>
    <w:p w14:paraId="5618651B" w14:textId="77777777" w:rsidR="00200E63" w:rsidRPr="00200E63" w:rsidRDefault="00200E63" w:rsidP="00200E63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30A309A0" w14:textId="7F4A07C1" w:rsidR="00200E63" w:rsidRPr="00200E63" w:rsidRDefault="00200E63" w:rsidP="00200E6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0E63">
        <w:rPr>
          <w:rFonts w:eastAsia="Times New Roman" w:cs="Arial"/>
          <w:i/>
          <w:iCs/>
          <w:color w:val="000000"/>
          <w:u w:val="single"/>
          <w:lang w:eastAsia="bg-BG"/>
        </w:rPr>
        <w:t>Възрастни (включително пациенти в напреднала възраст)</w:t>
      </w:r>
    </w:p>
    <w:p w14:paraId="79B51211" w14:textId="77777777" w:rsidR="00200E63" w:rsidRPr="00200E63" w:rsidRDefault="00200E63" w:rsidP="00200E6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0E63">
        <w:rPr>
          <w:rFonts w:eastAsia="Times New Roman" w:cs="Arial"/>
          <w:color w:val="000000"/>
          <w:lang w:eastAsia="bg-BG"/>
        </w:rPr>
        <w:t>Препоръчва се провеждане на лечение с една капка в засегнатото око (очи), един път дневно.</w:t>
      </w:r>
    </w:p>
    <w:p w14:paraId="3283194D" w14:textId="77777777" w:rsidR="00200E63" w:rsidRPr="00200E63" w:rsidRDefault="00200E63" w:rsidP="00200E6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0E63">
        <w:rPr>
          <w:rFonts w:eastAsia="Times New Roman" w:cs="Arial"/>
          <w:color w:val="000000"/>
          <w:lang w:eastAsia="bg-BG"/>
        </w:rPr>
        <w:t>Най-добър ефект се постига при прилагане на УНИЛАТ вечер.</w:t>
      </w:r>
    </w:p>
    <w:p w14:paraId="6CB9850A" w14:textId="77777777" w:rsidR="00200E63" w:rsidRPr="00200E63" w:rsidRDefault="00200E63" w:rsidP="00200E6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A6E7404" w14:textId="00EBAF87" w:rsidR="00200E63" w:rsidRPr="00200E63" w:rsidRDefault="00200E63" w:rsidP="00200E6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0E63">
        <w:rPr>
          <w:rFonts w:eastAsia="Times New Roman" w:cs="Arial"/>
          <w:color w:val="000000"/>
          <w:lang w:eastAsia="bg-BG"/>
        </w:rPr>
        <w:t>УНИЛАТ не трябва да се прилага повече от един път дневно, тъй като е установено, че по- честото използване води до намаляване на понижаващия вътреочното налягане ефект.</w:t>
      </w:r>
    </w:p>
    <w:p w14:paraId="2242EBC7" w14:textId="77777777" w:rsidR="00200E63" w:rsidRPr="00200E63" w:rsidRDefault="00200E63" w:rsidP="00200E6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A659D83" w14:textId="2431B6EA" w:rsidR="00200E63" w:rsidRPr="00200E63" w:rsidRDefault="00200E63" w:rsidP="00200E6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0E63">
        <w:rPr>
          <w:rFonts w:eastAsia="Times New Roman" w:cs="Arial"/>
          <w:color w:val="000000"/>
          <w:lang w:eastAsia="bg-BG"/>
        </w:rPr>
        <w:t>Ако е пропусната една доза, лечението трябва да продължи нормално с прилагане на следващата доза.</w:t>
      </w:r>
    </w:p>
    <w:p w14:paraId="63C7B3CF" w14:textId="77777777" w:rsidR="00200E63" w:rsidRPr="00200E63" w:rsidRDefault="00200E63" w:rsidP="00200E6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0EAC8E5" w14:textId="1A289DF5" w:rsidR="00200E63" w:rsidRPr="00200E63" w:rsidRDefault="00200E63" w:rsidP="00200E6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0E63">
        <w:rPr>
          <w:rFonts w:eastAsia="Times New Roman" w:cs="Arial"/>
          <w:color w:val="000000"/>
          <w:lang w:eastAsia="bg-BG"/>
        </w:rPr>
        <w:t>Препоръчва се, както и при всички капки за очи, с оглед намаляване на евентуална системна</w:t>
      </w:r>
      <w:r w:rsidR="00423EAA">
        <w:rPr>
          <w:rFonts w:eastAsia="Times New Roman" w:cs="Arial"/>
          <w:sz w:val="24"/>
          <w:szCs w:val="24"/>
          <w:lang w:eastAsia="bg-BG"/>
        </w:rPr>
        <w:t xml:space="preserve"> </w:t>
      </w:r>
      <w:r w:rsidRPr="00200E63">
        <w:rPr>
          <w:rFonts w:eastAsia="Times New Roman" w:cs="Arial"/>
          <w:color w:val="000000"/>
          <w:lang w:eastAsia="bg-BG"/>
        </w:rPr>
        <w:t>абсорбция, да се притисне слъзната торбичка за една минута във вътрешния ъгъл на окото</w:t>
      </w:r>
      <w:r w:rsidR="00423EAA">
        <w:rPr>
          <w:rFonts w:eastAsia="Times New Roman" w:cs="Arial"/>
          <w:sz w:val="24"/>
          <w:szCs w:val="24"/>
          <w:lang w:eastAsia="bg-BG"/>
        </w:rPr>
        <w:t xml:space="preserve"> </w:t>
      </w:r>
      <w:r w:rsidRPr="00200E63">
        <w:rPr>
          <w:rFonts w:eastAsia="Times New Roman" w:cs="Arial"/>
          <w:color w:val="000000"/>
          <w:lang w:eastAsia="bg-BG"/>
        </w:rPr>
        <w:t>(точково притискане). Това трябва да се направи веднага след апликация на всяка капка.</w:t>
      </w:r>
      <w:bookmarkStart w:id="1" w:name="bookmark0"/>
      <w:bookmarkEnd w:id="1"/>
    </w:p>
    <w:p w14:paraId="5A29D38E" w14:textId="77777777" w:rsidR="00200E63" w:rsidRPr="00200E63" w:rsidRDefault="00200E63" w:rsidP="00200E6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</w:p>
    <w:p w14:paraId="11A5CAAD" w14:textId="77777777" w:rsidR="00200E63" w:rsidRPr="00200E63" w:rsidRDefault="00200E63" w:rsidP="00200E6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0E63">
        <w:rPr>
          <w:rFonts w:eastAsia="Times New Roman" w:cs="Arial"/>
          <w:color w:val="000000"/>
          <w:lang w:eastAsia="bg-BG"/>
        </w:rPr>
        <w:t xml:space="preserve">Контактните лещи трябва да се свалят преди употреба на капките за очи и да се поставят </w:t>
      </w:r>
    </w:p>
    <w:p w14:paraId="475300EC" w14:textId="205D0B64" w:rsidR="0091385D" w:rsidRPr="00200E63" w:rsidRDefault="00200E63" w:rsidP="00200E63">
      <w:pPr>
        <w:rPr>
          <w:rFonts w:cs="Arial"/>
        </w:rPr>
      </w:pPr>
      <w:r w:rsidRPr="00200E63">
        <w:rPr>
          <w:rFonts w:eastAsia="Times New Roman" w:cs="Arial"/>
          <w:color w:val="000000"/>
          <w:lang w:eastAsia="bg-BG"/>
        </w:rPr>
        <w:t>отново след 15 минути.</w:t>
      </w:r>
    </w:p>
    <w:p w14:paraId="6ACAF645" w14:textId="7C5BF0AE" w:rsidR="0091385D" w:rsidRPr="00200E63" w:rsidRDefault="0091385D" w:rsidP="0091385D">
      <w:pPr>
        <w:rPr>
          <w:rFonts w:cs="Arial"/>
        </w:rPr>
      </w:pPr>
    </w:p>
    <w:p w14:paraId="14685E18" w14:textId="77777777" w:rsidR="00200E63" w:rsidRPr="00200E63" w:rsidRDefault="00200E63" w:rsidP="00200E6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0E63">
        <w:rPr>
          <w:rFonts w:eastAsia="Times New Roman" w:cs="Arial"/>
          <w:color w:val="000000"/>
          <w:lang w:eastAsia="bg-BG"/>
        </w:rPr>
        <w:t>В случай, че се използва повече от едно офталмологично лекарство за външно приложение, лекарствата трябва да се прилагат най-малко през пет минути.</w:t>
      </w:r>
    </w:p>
    <w:p w14:paraId="01291876" w14:textId="77777777" w:rsidR="00200E63" w:rsidRPr="00200E63" w:rsidRDefault="00200E63" w:rsidP="00200E63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2EE7A37" w14:textId="4CDE2472" w:rsidR="00200E63" w:rsidRPr="00200E63" w:rsidRDefault="00200E63" w:rsidP="00200E6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0E63">
        <w:rPr>
          <w:rFonts w:eastAsia="Times New Roman" w:cs="Arial"/>
          <w:i/>
          <w:iCs/>
          <w:color w:val="000000"/>
          <w:lang w:eastAsia="bg-BG"/>
        </w:rPr>
        <w:t>Педиатрична популация:</w:t>
      </w:r>
    </w:p>
    <w:p w14:paraId="11D34C00" w14:textId="77777777" w:rsidR="00200E63" w:rsidRPr="00200E63" w:rsidRDefault="00200E63" w:rsidP="00200E6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0E63">
        <w:rPr>
          <w:rFonts w:eastAsia="Times New Roman" w:cs="Arial"/>
          <w:color w:val="000000"/>
          <w:lang w:eastAsia="bg-BG"/>
        </w:rPr>
        <w:t>УНИЛАТ капки за очи може да се използва при деца в същата дозировка, както при възрастни. Няма данни за преждевременно родени бебета (по-малко от 36 седмици гестационна възраст). Данните за възрастовата група &lt; 1 година (4 пациенти) са много ограничени (вж. точка 5.1).</w:t>
      </w:r>
    </w:p>
    <w:p w14:paraId="20C526F8" w14:textId="77777777" w:rsidR="00200E63" w:rsidRPr="00200E63" w:rsidRDefault="00200E63" w:rsidP="00200E6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217626F" w14:textId="209C21B0" w:rsidR="00200E63" w:rsidRPr="00200E63" w:rsidRDefault="00200E63" w:rsidP="00200E63">
      <w:pPr>
        <w:pStyle w:val="Heading3"/>
        <w:rPr>
          <w:rFonts w:eastAsia="Times New Roman"/>
          <w:u w:val="single"/>
          <w:lang w:eastAsia="bg-BG"/>
        </w:rPr>
      </w:pPr>
      <w:r w:rsidRPr="00200E63">
        <w:rPr>
          <w:rFonts w:eastAsia="Times New Roman"/>
          <w:u w:val="single"/>
          <w:lang w:eastAsia="bg-BG"/>
        </w:rPr>
        <w:t>Начин н</w:t>
      </w:r>
      <w:bookmarkStart w:id="2" w:name="_GoBack"/>
      <w:bookmarkEnd w:id="2"/>
      <w:r w:rsidRPr="00200E63">
        <w:rPr>
          <w:rFonts w:eastAsia="Times New Roman"/>
          <w:u w:val="single"/>
          <w:lang w:eastAsia="bg-BG"/>
        </w:rPr>
        <w:t>а приложение:</w:t>
      </w:r>
    </w:p>
    <w:p w14:paraId="09466F58" w14:textId="77777777" w:rsidR="00200E63" w:rsidRPr="00200E63" w:rsidRDefault="00200E63" w:rsidP="00200E63">
      <w:pPr>
        <w:rPr>
          <w:rFonts w:eastAsia="Times New Roman" w:cs="Arial"/>
          <w:color w:val="000000"/>
          <w:lang w:eastAsia="bg-BG"/>
        </w:rPr>
      </w:pPr>
    </w:p>
    <w:p w14:paraId="6E2D36AC" w14:textId="4674C8C1" w:rsidR="00200E63" w:rsidRPr="00200E63" w:rsidRDefault="00200E63" w:rsidP="00200E63">
      <w:pPr>
        <w:rPr>
          <w:rFonts w:cs="Arial"/>
        </w:rPr>
      </w:pPr>
      <w:r w:rsidRPr="00200E63">
        <w:rPr>
          <w:rFonts w:eastAsia="Times New Roman" w:cs="Arial"/>
          <w:color w:val="000000"/>
          <w:lang w:eastAsia="bg-BG"/>
        </w:rPr>
        <w:t>очно приложение</w:t>
      </w:r>
    </w:p>
    <w:p w14:paraId="657A4BA2" w14:textId="77777777" w:rsidR="00200E63" w:rsidRPr="0091385D" w:rsidRDefault="00200E63" w:rsidP="0091385D"/>
    <w:p w14:paraId="28C984E8" w14:textId="0756AE28" w:rsidR="008134C8" w:rsidRDefault="002C50EE" w:rsidP="004A448E">
      <w:pPr>
        <w:pStyle w:val="Heading2"/>
      </w:pPr>
      <w:r>
        <w:t>4.3. Противопоказания</w:t>
      </w:r>
    </w:p>
    <w:p w14:paraId="2363D607" w14:textId="48168570" w:rsidR="0091385D" w:rsidRDefault="0091385D" w:rsidP="0091385D"/>
    <w:p w14:paraId="2309EAB0" w14:textId="090F0B0C" w:rsidR="0091385D" w:rsidRPr="00200E63" w:rsidRDefault="00200E63" w:rsidP="0091385D">
      <w:pPr>
        <w:rPr>
          <w:rFonts w:cs="Arial"/>
        </w:rPr>
      </w:pPr>
      <w:r w:rsidRPr="00200E63">
        <w:rPr>
          <w:rFonts w:cs="Arial"/>
        </w:rPr>
        <w:t>Свръхчувствителност към активното вещество или към някое от помощните вещества, изброени в точка 6.1.</w:t>
      </w:r>
    </w:p>
    <w:p w14:paraId="31B39DC6" w14:textId="77777777" w:rsidR="0091385D" w:rsidRPr="0091385D" w:rsidRDefault="0091385D" w:rsidP="0091385D"/>
    <w:p w14:paraId="212F509C" w14:textId="52B87D4F" w:rsidR="004F498A" w:rsidRDefault="002C50EE" w:rsidP="004A448E">
      <w:pPr>
        <w:pStyle w:val="Heading2"/>
      </w:pPr>
      <w:r>
        <w:t>4.4. Специални предупреждения и предпазни мерки при употреба</w:t>
      </w:r>
    </w:p>
    <w:p w14:paraId="0AAC2B60" w14:textId="0A08B607" w:rsidR="0091385D" w:rsidRDefault="0091385D" w:rsidP="0091385D"/>
    <w:p w14:paraId="5D8B6EF1" w14:textId="77777777" w:rsidR="00200E63" w:rsidRPr="00200E63" w:rsidRDefault="00200E63" w:rsidP="00200E6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0E63">
        <w:rPr>
          <w:rFonts w:eastAsia="Times New Roman" w:cs="Arial"/>
          <w:color w:val="000000"/>
          <w:lang w:eastAsia="bg-BG"/>
        </w:rPr>
        <w:t>УНИЛАТ може постепенно да промени цвета на окото посредством увеличаване на кафявия пигмент в ириса. Преди назначаване на лечението, пациентите трябва да бъдат информирани за възможността от постоянна промяна на цвета на окото. Едностранното лечение може да доведе до трайна хетерохромия.</w:t>
      </w:r>
    </w:p>
    <w:p w14:paraId="3A456963" w14:textId="77777777" w:rsidR="00200E63" w:rsidRPr="00200E63" w:rsidRDefault="00200E63" w:rsidP="00200E6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92C08E3" w14:textId="79B1EFB2" w:rsidR="00200E63" w:rsidRPr="00200E63" w:rsidRDefault="00200E63" w:rsidP="00200E6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0E63">
        <w:rPr>
          <w:rFonts w:eastAsia="Times New Roman" w:cs="Arial"/>
          <w:color w:val="000000"/>
          <w:lang w:eastAsia="bg-BG"/>
        </w:rPr>
        <w:t xml:space="preserve">Промяна в цвета на очите е наблюдавана предимно при пациенти със смесен цвят на ирисите, т.е. синьо-кафяв, сиво-кафяв, зелено-кафяв или жълто-кафяв. При проучвания с латанопрост, началото на промяната настъпва обикновено в рамките на първите 8 месеца от лечението, а в редки случаи през втората или третата година и не се наблюдават след четвъртата година от лечението. Бързината на увеличаване на пигментацията на ириса се намалява с течение на времето и остава постоянна в продължение на пет години. Ефектът на увеличената пигментация след петата година не е оценяван. В отворено 5-годишно изпитване за безопасност на латанопрост при 33% от </w:t>
      </w:r>
      <w:r w:rsidRPr="00200E63">
        <w:rPr>
          <w:rFonts w:eastAsia="Times New Roman" w:cs="Arial"/>
          <w:color w:val="000000"/>
          <w:lang w:eastAsia="bg-BG"/>
        </w:rPr>
        <w:lastRenderedPageBreak/>
        <w:t>пациентите се е появила пигментация на ириса (вж. точка 4.8). Промяната в цвета на ириса в повечето случаи е лека и често не е клинично наблюдавана. Честотата на промяна при пациенти с ириси със смесен цвят варира между 7 и 85%, с най-висок процент при жълто-кафявите ириси. Не е наблюдавана промяна при пациенти с хомогенно сини очи, а при пациенти с хомогенно сиви, зелени или кафяви очи, рядко е наблюдавана промяна.</w:t>
      </w:r>
    </w:p>
    <w:p w14:paraId="67EDA0D9" w14:textId="77777777" w:rsidR="00200E63" w:rsidRPr="00200E63" w:rsidRDefault="00200E63" w:rsidP="00200E6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95DD78A" w14:textId="13E8E032" w:rsidR="00200E63" w:rsidRPr="00200E63" w:rsidRDefault="00200E63" w:rsidP="00200E6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0E63">
        <w:rPr>
          <w:rFonts w:eastAsia="Times New Roman" w:cs="Arial"/>
          <w:color w:val="000000"/>
          <w:lang w:eastAsia="bg-BG"/>
        </w:rPr>
        <w:t>Промяната в цвета се дължи на повишено съдържание на меланин в меланоцитите на ирисната строма и не се дължи на увеличаване на броя на меланоцитите. В типичните случаи кафявата пигментация около зеницата се разпространява концентрично към периферията на засегнатите очи, но целият ирис или части от него могат да станат по-кафеникави. Не е наблюдавано по</w:t>
      </w:r>
      <w:r w:rsidRPr="00200E63">
        <w:rPr>
          <w:rFonts w:eastAsia="Times New Roman" w:cs="Arial"/>
          <w:color w:val="000000"/>
          <w:lang w:eastAsia="bg-BG"/>
        </w:rPr>
        <w:softHyphen/>
        <w:t>нататъшно увеличаване на кафявото пигментиране на ириса след преустановяване на лечението. Досега, при проведените клинични проучвания не е установена връзка между пигментацията и някакъв симптом или патологични промени.</w:t>
      </w:r>
    </w:p>
    <w:p w14:paraId="2313F272" w14:textId="77777777" w:rsidR="00200E63" w:rsidRPr="00200E63" w:rsidRDefault="00200E63" w:rsidP="00200E6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0229243" w14:textId="22409800" w:rsidR="00200E63" w:rsidRPr="00200E63" w:rsidRDefault="00200E63" w:rsidP="00200E6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0E63">
        <w:rPr>
          <w:rFonts w:eastAsia="Times New Roman" w:cs="Arial"/>
          <w:color w:val="000000"/>
          <w:lang w:eastAsia="bg-BG"/>
        </w:rPr>
        <w:t>Невусите и точиците върху ириса не са повлияни от лечението. При проведените клинични проучвания, не е наблюдавано натрупване на пигмент в трабекуларната мрежа или на други места в предната очна камера. Натрупаният 5-годишен клиничен опит показва, че увеличената пигментация на ириса не води до някакви негативни клинични последствия и лечението с УНИЛАТ може да продължи при поява на пигментация на ириса. Въпреки това, пациентите трябва да бъдат редовно проследявани и в случай, че клиничните обстоятелства изискват. лечението с УНИЛАТ може да бъде преустановено.</w:t>
      </w:r>
    </w:p>
    <w:p w14:paraId="65EE153F" w14:textId="77777777" w:rsidR="00200E63" w:rsidRPr="00200E63" w:rsidRDefault="00200E63" w:rsidP="00200E63">
      <w:pPr>
        <w:rPr>
          <w:rFonts w:eastAsia="Times New Roman" w:cs="Arial"/>
          <w:color w:val="000000"/>
          <w:lang w:eastAsia="bg-BG"/>
        </w:rPr>
      </w:pPr>
    </w:p>
    <w:p w14:paraId="1A498A49" w14:textId="77777777" w:rsidR="00200E63" w:rsidRPr="00200E63" w:rsidRDefault="00200E63" w:rsidP="00200E63">
      <w:pPr>
        <w:rPr>
          <w:rFonts w:eastAsia="Times New Roman" w:cs="Arial"/>
          <w:sz w:val="24"/>
          <w:szCs w:val="24"/>
          <w:lang w:eastAsia="bg-BG"/>
        </w:rPr>
      </w:pPr>
      <w:r w:rsidRPr="00200E63">
        <w:rPr>
          <w:rFonts w:eastAsia="Times New Roman" w:cs="Arial"/>
          <w:color w:val="000000"/>
          <w:lang w:eastAsia="bg-BG"/>
        </w:rPr>
        <w:t>Опитът от приложението на латанопрост при лечение на хронична закритоъагълна глаукома, откритоъгьлна глаукома при пациенти псевдофакия и пигментна глаукома е ограничен. Няма опит от приложението на латанопрост при лечение на възпалителна и неоваскуларна глаукоча или възпалителни очни състояния. Латанопрост няма или има слаб ефект върху зеницата, но</w:t>
      </w:r>
      <w:r>
        <w:rPr>
          <w:rFonts w:eastAsia="Times New Roman" w:cs="Arial"/>
          <w:color w:val="000000"/>
          <w:lang w:val="en-US" w:eastAsia="bg-BG"/>
        </w:rPr>
        <w:t xml:space="preserve"> </w:t>
      </w:r>
      <w:r w:rsidRPr="00200E63">
        <w:rPr>
          <w:rFonts w:eastAsia="Times New Roman" w:cs="Arial"/>
          <w:color w:val="000000"/>
          <w:lang w:eastAsia="bg-BG"/>
        </w:rPr>
        <w:t>няма опит при остри пристъпи на закритоъгълна глаукома. По тази причина се препоръчва внимателно приложение на УНИЛАТ в тези случаи до натрупване на повече опит.</w:t>
      </w:r>
    </w:p>
    <w:p w14:paraId="71C1A412" w14:textId="77777777" w:rsidR="00200E63" w:rsidRPr="00200E63" w:rsidRDefault="00200E63" w:rsidP="00200E6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24AD3A3" w14:textId="1BD266E2" w:rsidR="00200E63" w:rsidRPr="00200E63" w:rsidRDefault="00200E63" w:rsidP="00200E6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0E63">
        <w:rPr>
          <w:rFonts w:eastAsia="Times New Roman" w:cs="Arial"/>
          <w:color w:val="000000"/>
          <w:lang w:eastAsia="bg-BG"/>
        </w:rPr>
        <w:t>Има ограничени данни за употребата на латанопрост по време на предоперативния период при операция на катаракта. При тези пациенти УНИЛАТ трябва да се използва внимателно.</w:t>
      </w:r>
    </w:p>
    <w:p w14:paraId="6597EDAA" w14:textId="77777777" w:rsidR="00200E63" w:rsidRPr="00200E63" w:rsidRDefault="00200E63" w:rsidP="00200E6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BA5C1C5" w14:textId="2CC03AAE" w:rsidR="00200E63" w:rsidRPr="00200E63" w:rsidRDefault="00200E63" w:rsidP="00200E6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0E63">
        <w:rPr>
          <w:rFonts w:eastAsia="Times New Roman" w:cs="Arial"/>
          <w:color w:val="000000"/>
          <w:lang w:eastAsia="bg-BG"/>
        </w:rPr>
        <w:t>УНИЛАТ трябва да се използва внимателно при пациенти с анамнеза за херпетичен кератит и употребата му трябва да се избягва в случаи с активен херпес симплекс кератит и при пациенти с анамнеза за рецидивиращ херпетичен кератит, специфично свързан с простагландинови аналози.</w:t>
      </w:r>
    </w:p>
    <w:p w14:paraId="6D5B7072" w14:textId="77777777" w:rsidR="00200E63" w:rsidRPr="00200E63" w:rsidRDefault="00200E63" w:rsidP="00200E6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1078D32" w14:textId="10858567" w:rsidR="00200E63" w:rsidRPr="00200E63" w:rsidRDefault="00200E63" w:rsidP="00200E6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0E63">
        <w:rPr>
          <w:rFonts w:eastAsia="Times New Roman" w:cs="Arial"/>
          <w:color w:val="000000"/>
          <w:lang w:eastAsia="bg-BG"/>
        </w:rPr>
        <w:t>Съобщения за макуларен едем (вж. точка 4.8) има главно при пациенти с афакия, пациенти с псевдофакия с разкъсана задна капсула на лещата или предно-камерни лещи, или при болни с известни рискови фактори за кистозен макуларен едем (като диабетна ретинопатия и ретинална венозна оклузия). УНИЛАТ трябва да се прилага внимателно при пациенти с афакия, пациенти с псевдофакия с разкъсана задна капсула на лещата или предно-камерни лещи, или при болни с известни рискови фактори за кистозен макуларен едем.</w:t>
      </w:r>
    </w:p>
    <w:p w14:paraId="576695B4" w14:textId="77777777" w:rsidR="00200E63" w:rsidRPr="00200E63" w:rsidRDefault="00200E63" w:rsidP="00200E6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9C0567D" w14:textId="67F5AFCF" w:rsidR="00200E63" w:rsidRPr="00200E63" w:rsidRDefault="00200E63" w:rsidP="00200E6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0E63">
        <w:rPr>
          <w:rFonts w:eastAsia="Times New Roman" w:cs="Arial"/>
          <w:color w:val="000000"/>
          <w:lang w:eastAsia="bg-BG"/>
        </w:rPr>
        <w:lastRenderedPageBreak/>
        <w:t>УНИЛАТ трябва да се прилага с повишено внимание при пациенти с известни предразполагащи рискови фактори за ирит/увеит.</w:t>
      </w:r>
    </w:p>
    <w:p w14:paraId="69D85CAE" w14:textId="77777777" w:rsidR="00200E63" w:rsidRPr="00200E63" w:rsidRDefault="00200E63" w:rsidP="00200E6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2C2AA0B" w14:textId="1589FDC0" w:rsidR="00200E63" w:rsidRPr="00200E63" w:rsidRDefault="00200E63" w:rsidP="00200E6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0E63">
        <w:rPr>
          <w:rFonts w:eastAsia="Times New Roman" w:cs="Arial"/>
          <w:color w:val="000000"/>
          <w:lang w:eastAsia="bg-BG"/>
        </w:rPr>
        <w:t>Има ограничен опит от използване на лекарствения продукт при пациенти с астма, но има съобщения за няколко случая на влошаване на астмата и/или диспнея при постмаркетинговия опит. По тази причина лечението при пациенти с бронхиална астма трябва да се провежда с повишено внимание до натрупване на достатъчно опит (вж. точка 4.8).</w:t>
      </w:r>
    </w:p>
    <w:p w14:paraId="3C29E281" w14:textId="77777777" w:rsidR="00200E63" w:rsidRPr="00200E63" w:rsidRDefault="00200E63" w:rsidP="00200E6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102228F" w14:textId="2C686650" w:rsidR="00200E63" w:rsidRPr="00200E63" w:rsidRDefault="00200E63" w:rsidP="00200E6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0E63">
        <w:rPr>
          <w:rFonts w:eastAsia="Times New Roman" w:cs="Arial"/>
          <w:color w:val="000000"/>
          <w:lang w:eastAsia="bg-BG"/>
        </w:rPr>
        <w:t>Наблюдавана е промяна в цвета на кожата около очите, като повечето съобщения са били при японски пациенти. Опитът до момента показва, че периорбиталната промяна в цвета на кожата не е трайна и в някои случаи изчезва при продължаване на лечението с латанопрост.</w:t>
      </w:r>
    </w:p>
    <w:p w14:paraId="034394BF" w14:textId="77777777" w:rsidR="00200E63" w:rsidRPr="00200E63" w:rsidRDefault="00200E63" w:rsidP="00200E6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9F46669" w14:textId="2DE347BB" w:rsidR="00200E63" w:rsidRPr="00200E63" w:rsidRDefault="00200E63" w:rsidP="00200E6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0E63">
        <w:rPr>
          <w:rFonts w:eastAsia="Times New Roman" w:cs="Arial"/>
          <w:color w:val="000000"/>
          <w:lang w:eastAsia="bg-BG"/>
        </w:rPr>
        <w:t>Латанопрост може постепенно да промени миглите и фините косъмчета на лекуваното око и областта около него; тези промени включват увеличаване на дължината, дебелината, пигментацията и броя на миглите и фините косъмчета и неправилна посока на растежа на миглите. Промените в миглите са обратими при спиране на лечението.</w:t>
      </w:r>
    </w:p>
    <w:p w14:paraId="7DE6347B" w14:textId="77777777" w:rsidR="00200E63" w:rsidRPr="00200E63" w:rsidRDefault="00200E63" w:rsidP="00200E6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009A18B" w14:textId="52AE259F" w:rsidR="00200E63" w:rsidRPr="00200E63" w:rsidRDefault="00200E63" w:rsidP="00200E6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0E63">
        <w:rPr>
          <w:rFonts w:eastAsia="Times New Roman" w:cs="Arial"/>
          <w:color w:val="000000"/>
          <w:lang w:eastAsia="bg-BG"/>
        </w:rPr>
        <w:t>УНИЛАТ съдържа бензалкониев хидрохлорид, който обикновено се използва като консервант в офталмологичните продукти. Има съобщения, че бензалкониевият хлорид причинява малки белези по повърхността на окото (кератитис пунктата) и/или токсичен улцерозен кератит, може да причини дразнене на очите и е известно, че обезцветява меките контактни лещи. Изисква се непрекъснато наблюдение с честа и продължителна употреба на УНИЛАТ при пациенти със „сухо око” или при състояния, при които корнеята е увредена. Контактните лещи може да абсорбират бензалкониевия хлорид и трябва да се свалят преди приложение на УНИЛАТ, но могат да се поставят отново след 15 минути (вж. точка 4.2.).</w:t>
      </w:r>
    </w:p>
    <w:p w14:paraId="36C3863C" w14:textId="77777777" w:rsidR="00200E63" w:rsidRPr="00200E63" w:rsidRDefault="00200E63" w:rsidP="00200E63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C8726EA" w14:textId="03783CDC" w:rsidR="00200E63" w:rsidRPr="00200E63" w:rsidRDefault="00200E63" w:rsidP="00200E6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0E63">
        <w:rPr>
          <w:rFonts w:eastAsia="Times New Roman" w:cs="Arial"/>
          <w:i/>
          <w:iCs/>
          <w:color w:val="000000"/>
          <w:lang w:eastAsia="bg-BG"/>
        </w:rPr>
        <w:t>Педиатрична популация:</w:t>
      </w:r>
    </w:p>
    <w:p w14:paraId="77ECBB8B" w14:textId="77777777" w:rsidR="00200E63" w:rsidRPr="00200E63" w:rsidRDefault="00200E63" w:rsidP="00200E6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0E63">
        <w:rPr>
          <w:rFonts w:eastAsia="Times New Roman" w:cs="Arial"/>
          <w:color w:val="000000"/>
          <w:lang w:eastAsia="bg-BG"/>
        </w:rPr>
        <w:t>Данните по отношение на ефикасността и безопасността при възрастовата група &lt;1 година (4 пациенти) са много ограничени (вж. точка 5.1). Няма данни за преждевременно родени бебета (по-малко от 36 седмици гестационна възраст).</w:t>
      </w:r>
    </w:p>
    <w:p w14:paraId="4FE3A9D9" w14:textId="77777777" w:rsidR="00200E63" w:rsidRPr="00200E63" w:rsidRDefault="00200E63" w:rsidP="00200E6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0E63">
        <w:rPr>
          <w:rFonts w:eastAsia="Times New Roman" w:cs="Arial"/>
          <w:color w:val="000000"/>
          <w:lang w:eastAsia="bg-BG"/>
        </w:rPr>
        <w:t xml:space="preserve">При деца от 0 до &lt; 3 годишна възраст, страдащи предимно от първична вродена глаукома </w:t>
      </w:r>
      <w:r w:rsidRPr="00200E63">
        <w:rPr>
          <w:rFonts w:eastAsia="Times New Roman" w:cs="Arial"/>
          <w:color w:val="000000"/>
          <w:lang w:val="en-US"/>
        </w:rPr>
        <w:t xml:space="preserve">(Primary Congenital </w:t>
      </w:r>
      <w:proofErr w:type="spellStart"/>
      <w:r w:rsidRPr="00200E63">
        <w:rPr>
          <w:rFonts w:eastAsia="Times New Roman" w:cs="Arial"/>
          <w:color w:val="000000"/>
          <w:lang w:val="en-US"/>
        </w:rPr>
        <w:t>Glaucom</w:t>
      </w:r>
      <w:proofErr w:type="spellEnd"/>
      <w:r w:rsidRPr="00200E63">
        <w:rPr>
          <w:rFonts w:eastAsia="Times New Roman" w:cs="Arial"/>
          <w:color w:val="000000"/>
          <w:lang w:val="en-US"/>
        </w:rPr>
        <w:t xml:space="preserve"> PCG), </w:t>
      </w:r>
      <w:r w:rsidRPr="00200E63">
        <w:rPr>
          <w:rFonts w:eastAsia="Times New Roman" w:cs="Arial"/>
          <w:color w:val="000000"/>
          <w:lang w:eastAsia="bg-BG"/>
        </w:rPr>
        <w:t>хирургичната намеса (напр. трабекулотомия/гониотомия) остава предпочитания метод за лечение.</w:t>
      </w:r>
    </w:p>
    <w:p w14:paraId="0B3BEE35" w14:textId="6BF7C877" w:rsidR="0091385D" w:rsidRPr="00200E63" w:rsidRDefault="00200E63" w:rsidP="00200E63">
      <w:pPr>
        <w:rPr>
          <w:rFonts w:cs="Arial"/>
          <w:lang w:val="en-US"/>
        </w:rPr>
      </w:pPr>
      <w:r w:rsidRPr="00200E63">
        <w:rPr>
          <w:rFonts w:eastAsia="Times New Roman" w:cs="Arial"/>
          <w:color w:val="000000"/>
          <w:lang w:eastAsia="bg-BG"/>
        </w:rPr>
        <w:t>Дългосрочната безопасност при деца все още не е установена</w:t>
      </w:r>
    </w:p>
    <w:p w14:paraId="24E3E82F" w14:textId="77777777" w:rsidR="0091385D" w:rsidRPr="0091385D" w:rsidRDefault="0091385D" w:rsidP="0091385D"/>
    <w:p w14:paraId="619DED1E" w14:textId="564F257F" w:rsidR="004F498A" w:rsidRDefault="002C50EE" w:rsidP="004A448E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  <w:r>
        <w:t xml:space="preserve"> </w:t>
      </w:r>
    </w:p>
    <w:p w14:paraId="355E4B7C" w14:textId="7D829F6C" w:rsidR="0091385D" w:rsidRDefault="0091385D" w:rsidP="0091385D"/>
    <w:p w14:paraId="172AE819" w14:textId="3D63D02E" w:rsidR="0091385D" w:rsidRDefault="00200E63" w:rsidP="0091385D">
      <w:r>
        <w:t>Няма сигурни данни за взаимодействия с други лекарствени продукти.</w:t>
      </w:r>
    </w:p>
    <w:p w14:paraId="5B2761C5" w14:textId="57B20F2A" w:rsidR="0091385D" w:rsidRDefault="0091385D" w:rsidP="0091385D"/>
    <w:p w14:paraId="393317A9" w14:textId="77777777" w:rsidR="00200E63" w:rsidRPr="00200E63" w:rsidRDefault="00200E63" w:rsidP="00200E6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0E63">
        <w:rPr>
          <w:rFonts w:eastAsia="Times New Roman" w:cs="Arial"/>
          <w:color w:val="000000"/>
          <w:lang w:eastAsia="bg-BG"/>
        </w:rPr>
        <w:t>Има съобщения за парадоксално повишаване на вътреочното налягане след едновременно очно приложение на два простагландинови аналога. Ето защо, употребата на два и повече простагландина, простагландинови аналози или простагландинови производни не се препоръчва.</w:t>
      </w:r>
    </w:p>
    <w:p w14:paraId="6CE7BDB1" w14:textId="77777777" w:rsidR="00200E63" w:rsidRPr="00200E63" w:rsidRDefault="00200E63" w:rsidP="00200E63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81F73ED" w14:textId="0264B7B1" w:rsidR="00200E63" w:rsidRPr="00200E63" w:rsidRDefault="00200E63" w:rsidP="00200E6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0E63">
        <w:rPr>
          <w:rFonts w:eastAsia="Times New Roman" w:cs="Arial"/>
          <w:i/>
          <w:iCs/>
          <w:color w:val="000000"/>
          <w:lang w:eastAsia="bg-BG"/>
        </w:rPr>
        <w:t>Педиатрична популация</w:t>
      </w:r>
    </w:p>
    <w:p w14:paraId="64FC9001" w14:textId="69AF3A84" w:rsidR="00200E63" w:rsidRPr="00200E63" w:rsidRDefault="00200E63" w:rsidP="00200E63">
      <w:pPr>
        <w:rPr>
          <w:rFonts w:cs="Arial"/>
        </w:rPr>
      </w:pPr>
      <w:r w:rsidRPr="00200E63">
        <w:rPr>
          <w:rFonts w:eastAsia="Times New Roman" w:cs="Arial"/>
          <w:color w:val="000000"/>
          <w:lang w:eastAsia="bg-BG"/>
        </w:rPr>
        <w:t>Проучвания по отношение на взаимодействията са провеждани само при възрастни.</w:t>
      </w:r>
    </w:p>
    <w:p w14:paraId="0E64C151" w14:textId="77777777" w:rsidR="00200E63" w:rsidRPr="0091385D" w:rsidRDefault="00200E63" w:rsidP="0091385D"/>
    <w:p w14:paraId="394A7584" w14:textId="10DEA5B3" w:rsidR="004F498A" w:rsidRDefault="002C50EE" w:rsidP="004A448E">
      <w:pPr>
        <w:pStyle w:val="Heading2"/>
      </w:pPr>
      <w:r>
        <w:t>4.6. Фертилитет, бременност и кърмене</w:t>
      </w:r>
    </w:p>
    <w:p w14:paraId="4887836B" w14:textId="11C96CFA" w:rsidR="0091385D" w:rsidRDefault="0091385D" w:rsidP="0091385D"/>
    <w:p w14:paraId="49F7B76A" w14:textId="77777777" w:rsidR="00200E63" w:rsidRPr="00200E63" w:rsidRDefault="00200E63" w:rsidP="00200E63">
      <w:pPr>
        <w:pStyle w:val="Heading3"/>
        <w:rPr>
          <w:rFonts w:eastAsia="Times New Roman"/>
          <w:u w:val="single"/>
          <w:lang w:eastAsia="bg-BG"/>
        </w:rPr>
      </w:pPr>
      <w:r w:rsidRPr="00200E63">
        <w:rPr>
          <w:rFonts w:eastAsia="Times New Roman"/>
          <w:u w:val="single"/>
          <w:lang w:eastAsia="bg-BG"/>
        </w:rPr>
        <w:t>Бременност</w:t>
      </w:r>
    </w:p>
    <w:p w14:paraId="3F444D27" w14:textId="77777777" w:rsidR="00200E63" w:rsidRPr="00200E63" w:rsidRDefault="00200E63" w:rsidP="00200E6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0E63">
        <w:rPr>
          <w:rFonts w:eastAsia="Times New Roman" w:cs="Arial"/>
          <w:color w:val="000000"/>
          <w:lang w:eastAsia="bg-BG"/>
        </w:rPr>
        <w:t>Не е доказана безопасността на употребата на този лекарствен продукт по време на бременност при хора. Лекарственият продукт има потенциални рискови фармакологични ефекти по отношение протичането на бременността, плода и новороденото (вж. точка 5.3). По тази причина УНИЛАТ не трябва да се използва по време на бременност.</w:t>
      </w:r>
    </w:p>
    <w:p w14:paraId="21662992" w14:textId="77777777" w:rsidR="00200E63" w:rsidRPr="00200E63" w:rsidRDefault="00200E63" w:rsidP="00200E6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A50A8D6" w14:textId="020553A2" w:rsidR="00200E63" w:rsidRPr="00200E63" w:rsidRDefault="00200E63" w:rsidP="00200E63">
      <w:pPr>
        <w:pStyle w:val="Heading3"/>
        <w:rPr>
          <w:rFonts w:eastAsia="Times New Roman"/>
          <w:u w:val="single"/>
          <w:lang w:eastAsia="bg-BG"/>
        </w:rPr>
      </w:pPr>
      <w:r w:rsidRPr="00200E63">
        <w:rPr>
          <w:rFonts w:eastAsia="Times New Roman"/>
          <w:u w:val="single"/>
          <w:lang w:eastAsia="bg-BG"/>
        </w:rPr>
        <w:t>Кърмене</w:t>
      </w:r>
    </w:p>
    <w:p w14:paraId="4369E126" w14:textId="77777777" w:rsidR="00200E63" w:rsidRPr="00200E63" w:rsidRDefault="00200E63" w:rsidP="00200E6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0E63">
        <w:rPr>
          <w:rFonts w:eastAsia="Times New Roman" w:cs="Arial"/>
          <w:color w:val="000000"/>
          <w:lang w:eastAsia="bg-BG"/>
        </w:rPr>
        <w:t>Латанопрост и неговите метаболити могат да преминат в майчиното мляко и затова УНИЛАТ не трябва да се прилага при кърмачки или кърменето трябва да се преустанови.</w:t>
      </w:r>
    </w:p>
    <w:p w14:paraId="598D52CD" w14:textId="77777777" w:rsidR="00200E63" w:rsidRPr="00200E63" w:rsidRDefault="00200E63" w:rsidP="00200E6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FEF4C9D" w14:textId="773CD9E6" w:rsidR="00200E63" w:rsidRPr="00200E63" w:rsidRDefault="00200E63" w:rsidP="00200E63">
      <w:pPr>
        <w:pStyle w:val="Heading3"/>
        <w:rPr>
          <w:rFonts w:eastAsia="Times New Roman"/>
          <w:u w:val="single"/>
          <w:lang w:eastAsia="bg-BG"/>
        </w:rPr>
      </w:pPr>
      <w:r>
        <w:rPr>
          <w:rFonts w:eastAsia="Times New Roman"/>
          <w:u w:val="single"/>
          <w:lang w:eastAsia="bg-BG"/>
        </w:rPr>
        <w:t>Фертили</w:t>
      </w:r>
      <w:r w:rsidRPr="00200E63">
        <w:rPr>
          <w:rFonts w:eastAsia="Times New Roman"/>
          <w:u w:val="single"/>
          <w:lang w:eastAsia="bg-BG"/>
        </w:rPr>
        <w:t>тет</w:t>
      </w:r>
    </w:p>
    <w:p w14:paraId="776662C5" w14:textId="2A5B0CC3" w:rsidR="0091385D" w:rsidRPr="00200E63" w:rsidRDefault="00200E63" w:rsidP="00200E63">
      <w:pPr>
        <w:rPr>
          <w:rFonts w:cs="Arial"/>
        </w:rPr>
      </w:pPr>
      <w:r w:rsidRPr="00200E63">
        <w:rPr>
          <w:rFonts w:eastAsia="Times New Roman" w:cs="Arial"/>
          <w:color w:val="000000"/>
          <w:lang w:eastAsia="bg-BG"/>
        </w:rPr>
        <w:t>При проучвания с опитни животни не е установен ефект на латанопрост върху мъжкия или женския фертилнтет (вж. точка 5.3).</w:t>
      </w:r>
    </w:p>
    <w:p w14:paraId="3E8789C3" w14:textId="77777777" w:rsidR="0091385D" w:rsidRPr="0091385D" w:rsidRDefault="0091385D" w:rsidP="0091385D"/>
    <w:p w14:paraId="064DF1DE" w14:textId="70BCC16C" w:rsidR="00CF77F7" w:rsidRDefault="002C50EE" w:rsidP="004A448E">
      <w:pPr>
        <w:pStyle w:val="Heading2"/>
      </w:pPr>
      <w:r>
        <w:t>4.7. Ефекти върху способността за шофиране и работа с машини</w:t>
      </w:r>
    </w:p>
    <w:p w14:paraId="1455464C" w14:textId="2676810A" w:rsidR="0091385D" w:rsidRDefault="0091385D" w:rsidP="0091385D"/>
    <w:p w14:paraId="2B4135A6" w14:textId="5A663B8A" w:rsidR="0091385D" w:rsidRDefault="00200E63" w:rsidP="0091385D">
      <w:r>
        <w:t>Както и при другите очни лекарствени продукти, накапването на капки за очи може да предизвика временно замъгляване на зрението. До неговото отзвучаване, пациентите не трябва да работят с машини.</w:t>
      </w:r>
    </w:p>
    <w:p w14:paraId="35801A15" w14:textId="77777777" w:rsidR="0091385D" w:rsidRPr="0091385D" w:rsidRDefault="0091385D" w:rsidP="0091385D"/>
    <w:p w14:paraId="37A3FD9F" w14:textId="0E7561E3" w:rsidR="00CF77F7" w:rsidRDefault="002C50EE" w:rsidP="004A448E">
      <w:pPr>
        <w:pStyle w:val="Heading2"/>
      </w:pPr>
      <w:r>
        <w:t>4.8. Нежелани лекарствени реакции</w:t>
      </w:r>
    </w:p>
    <w:p w14:paraId="4838F52A" w14:textId="4C2232D6" w:rsidR="0091385D" w:rsidRDefault="0091385D" w:rsidP="0091385D"/>
    <w:p w14:paraId="0348D92F" w14:textId="77777777" w:rsidR="00200E63" w:rsidRPr="00200E63" w:rsidRDefault="00200E63" w:rsidP="00200E6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0E63">
        <w:rPr>
          <w:rFonts w:eastAsia="Times New Roman" w:cs="Arial"/>
          <w:color w:val="000000"/>
          <w:u w:val="single"/>
          <w:lang w:eastAsia="bg-BG"/>
        </w:rPr>
        <w:t>а.</w:t>
      </w:r>
      <w:r w:rsidRPr="00200E63">
        <w:rPr>
          <w:rFonts w:eastAsia="Times New Roman" w:cs="Arial"/>
          <w:color w:val="000000"/>
          <w:u w:val="single"/>
          <w:lang w:eastAsia="bg-BG"/>
        </w:rPr>
        <w:tab/>
        <w:t>Резюме на профила на безопасност</w:t>
      </w:r>
    </w:p>
    <w:p w14:paraId="1CC0846B" w14:textId="77777777" w:rsidR="00200E63" w:rsidRPr="00200E63" w:rsidRDefault="00200E63" w:rsidP="00200E6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0E63">
        <w:rPr>
          <w:rFonts w:eastAsia="Times New Roman" w:cs="Arial"/>
          <w:color w:val="000000"/>
          <w:lang w:eastAsia="bg-BG"/>
        </w:rPr>
        <w:t>Повечето от нежеланите лекарствени реакции са свързани със зрителната система. В отворено 5-годишно изпитване за безопасност на латанопрост, при 33% от пациентите се е появила пигментация на ириса (вж. точка 4.4). Другите очни нежелани реакции обикновено са преходни и възникват по време на прилагането на дозата.</w:t>
      </w:r>
    </w:p>
    <w:p w14:paraId="79A1D851" w14:textId="77777777" w:rsidR="00200E63" w:rsidRPr="00200E63" w:rsidRDefault="00200E63" w:rsidP="00200E6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0A4B406" w14:textId="30BDBA53" w:rsidR="00200E63" w:rsidRPr="00200E63" w:rsidRDefault="00200E63" w:rsidP="00200E6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0E63">
        <w:rPr>
          <w:rFonts w:eastAsia="Times New Roman" w:cs="Arial"/>
          <w:color w:val="000000"/>
          <w:u w:val="single"/>
          <w:lang w:eastAsia="bg-BG"/>
        </w:rPr>
        <w:t>б.</w:t>
      </w:r>
      <w:r w:rsidRPr="00200E63">
        <w:rPr>
          <w:rFonts w:eastAsia="Times New Roman" w:cs="Arial"/>
          <w:color w:val="000000"/>
          <w:u w:val="single"/>
          <w:lang w:eastAsia="bg-BG"/>
        </w:rPr>
        <w:tab/>
        <w:t>Списък на нежеланите реакции в табличен вид</w:t>
      </w:r>
    </w:p>
    <w:p w14:paraId="699B08AB" w14:textId="77777777" w:rsidR="00200E63" w:rsidRPr="00200E63" w:rsidRDefault="00200E63" w:rsidP="00200E6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0E63">
        <w:rPr>
          <w:rFonts w:eastAsia="Times New Roman" w:cs="Arial"/>
          <w:color w:val="000000"/>
          <w:lang w:eastAsia="bg-BG"/>
        </w:rPr>
        <w:t>Нежеланите реакции са групирани в зависимост от честотата, както следва:</w:t>
      </w:r>
    </w:p>
    <w:p w14:paraId="08918BB6" w14:textId="65367A55" w:rsidR="00200E63" w:rsidRPr="00200E63" w:rsidRDefault="00200E63" w:rsidP="00200E6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0E63">
        <w:rPr>
          <w:rFonts w:eastAsia="Times New Roman" w:cs="Arial"/>
          <w:color w:val="000000"/>
          <w:lang w:eastAsia="bg-BG"/>
        </w:rPr>
        <w:t>много чести (≥1/10),чести (≥1/100 до &lt;1/10), нечести (≥1/1 000 до &lt;1/100), редки (≥10 000 до</w:t>
      </w:r>
      <w:r>
        <w:rPr>
          <w:rFonts w:eastAsia="Times New Roman" w:cs="Arial"/>
          <w:sz w:val="24"/>
          <w:szCs w:val="24"/>
          <w:lang w:val="en-US" w:eastAsia="bg-BG"/>
        </w:rPr>
        <w:t xml:space="preserve"> </w:t>
      </w:r>
      <w:r w:rsidRPr="00200E63">
        <w:rPr>
          <w:rFonts w:eastAsia="Times New Roman" w:cs="Arial"/>
          <w:color w:val="000000"/>
          <w:lang w:eastAsia="bg-BG"/>
        </w:rPr>
        <w:t>&lt;1/1 000), много редки (&lt;1/10 000), с неизвестна честота (от наличните данни не може да бъде направена оценка)</w:t>
      </w:r>
    </w:p>
    <w:p w14:paraId="525C88BC" w14:textId="77777777" w:rsidR="00200E63" w:rsidRPr="00200E63" w:rsidRDefault="00200E63" w:rsidP="00200E63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52A97DB0" w14:textId="50F49748" w:rsidR="00200E63" w:rsidRPr="00200E63" w:rsidRDefault="00200E63" w:rsidP="00200E6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0E63">
        <w:rPr>
          <w:rFonts w:eastAsia="Times New Roman" w:cs="Arial"/>
          <w:i/>
          <w:iCs/>
          <w:color w:val="000000"/>
          <w:u w:val="single"/>
          <w:lang w:eastAsia="bg-BG"/>
        </w:rPr>
        <w:t>Инфекции и инфестаиии:</w:t>
      </w:r>
    </w:p>
    <w:p w14:paraId="4B47A819" w14:textId="77777777" w:rsidR="00200E63" w:rsidRPr="00200E63" w:rsidRDefault="00200E63" w:rsidP="00200E6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0E63">
        <w:rPr>
          <w:rFonts w:eastAsia="Times New Roman" w:cs="Arial"/>
          <w:i/>
          <w:iCs/>
          <w:color w:val="000000"/>
          <w:lang w:eastAsia="bg-BG"/>
        </w:rPr>
        <w:t>С неизвестна честота:</w:t>
      </w:r>
      <w:r w:rsidRPr="00200E63">
        <w:rPr>
          <w:rFonts w:eastAsia="Times New Roman" w:cs="Arial"/>
          <w:color w:val="000000"/>
          <w:lang w:eastAsia="bg-BG"/>
        </w:rPr>
        <w:t xml:space="preserve"> херпетичен кератит</w:t>
      </w:r>
    </w:p>
    <w:p w14:paraId="05394BE1" w14:textId="77777777" w:rsidR="00200E63" w:rsidRPr="00200E63" w:rsidRDefault="00200E63" w:rsidP="00200E63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170894C9" w14:textId="42F67D7F" w:rsidR="00200E63" w:rsidRPr="00200E63" w:rsidRDefault="00200E63" w:rsidP="00200E6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0E63">
        <w:rPr>
          <w:rFonts w:eastAsia="Times New Roman" w:cs="Arial"/>
          <w:i/>
          <w:iCs/>
          <w:color w:val="000000"/>
          <w:u w:val="single"/>
          <w:lang w:eastAsia="bg-BG"/>
        </w:rPr>
        <w:t>Нарушения на нервната система:</w:t>
      </w:r>
    </w:p>
    <w:p w14:paraId="3F40A45B" w14:textId="77777777" w:rsidR="00200E63" w:rsidRPr="00200E63" w:rsidRDefault="00200E63" w:rsidP="00200E6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0E63">
        <w:rPr>
          <w:rFonts w:eastAsia="Times New Roman" w:cs="Arial"/>
          <w:i/>
          <w:iCs/>
          <w:color w:val="000000"/>
          <w:lang w:eastAsia="bg-BG"/>
        </w:rPr>
        <w:t>С неизвестна честота:</w:t>
      </w:r>
      <w:r w:rsidRPr="00200E63">
        <w:rPr>
          <w:rFonts w:eastAsia="Times New Roman" w:cs="Arial"/>
          <w:color w:val="000000"/>
          <w:lang w:eastAsia="bg-BG"/>
        </w:rPr>
        <w:t xml:space="preserve"> главоболие, световъртеж</w:t>
      </w:r>
    </w:p>
    <w:p w14:paraId="39FDF3DA" w14:textId="77777777" w:rsidR="00200E63" w:rsidRPr="00200E63" w:rsidRDefault="00200E63" w:rsidP="00200E63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2DEE1FE2" w14:textId="0220A8F2" w:rsidR="00200E63" w:rsidRPr="00200E63" w:rsidRDefault="00200E63" w:rsidP="00200E6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0E63">
        <w:rPr>
          <w:rFonts w:eastAsia="Times New Roman" w:cs="Arial"/>
          <w:i/>
          <w:iCs/>
          <w:color w:val="000000"/>
          <w:u w:val="single"/>
          <w:lang w:eastAsia="bg-BG"/>
        </w:rPr>
        <w:t>Нарушения на очите:</w:t>
      </w:r>
    </w:p>
    <w:p w14:paraId="2349FF5D" w14:textId="77777777" w:rsidR="00200E63" w:rsidRPr="00200E63" w:rsidRDefault="00200E63" w:rsidP="00200E6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0E63">
        <w:rPr>
          <w:rFonts w:eastAsia="Times New Roman" w:cs="Arial"/>
          <w:i/>
          <w:iCs/>
          <w:color w:val="000000"/>
          <w:lang w:eastAsia="bg-BG"/>
        </w:rPr>
        <w:t>Много чести:</w:t>
      </w:r>
      <w:r w:rsidRPr="00200E63">
        <w:rPr>
          <w:rFonts w:eastAsia="Times New Roman" w:cs="Arial"/>
          <w:color w:val="000000"/>
          <w:lang w:eastAsia="bg-BG"/>
        </w:rPr>
        <w:t xml:space="preserve"> увеличена пигментация на ириса, лека до умерена конюнктивална хиперемия, очно дразнене (парене, дращене, сърбеж, щипане и усещане за чужда тяло),</w:t>
      </w:r>
      <w:r w:rsidRPr="00200E63">
        <w:rPr>
          <w:rFonts w:eastAsia="Times New Roman" w:cs="Arial"/>
          <w:color w:val="000000"/>
          <w:lang w:val="en-US"/>
        </w:rPr>
        <w:t xml:space="preserve"> </w:t>
      </w:r>
      <w:r w:rsidRPr="00200E63">
        <w:rPr>
          <w:rFonts w:eastAsia="Times New Roman" w:cs="Arial"/>
          <w:color w:val="000000"/>
          <w:lang w:eastAsia="bg-BG"/>
        </w:rPr>
        <w:t>изменения в миглите и фините косъмчета (удължаване, удебеляване, потъмняване и увеличаване на тяхната</w:t>
      </w:r>
    </w:p>
    <w:p w14:paraId="570508C4" w14:textId="68D65997" w:rsidR="0091385D" w:rsidRPr="00200E63" w:rsidRDefault="00200E63" w:rsidP="00200E63">
      <w:pPr>
        <w:rPr>
          <w:rFonts w:cs="Arial"/>
        </w:rPr>
      </w:pPr>
      <w:r w:rsidRPr="00200E63">
        <w:rPr>
          <w:rFonts w:eastAsia="Times New Roman" w:cs="Arial"/>
          <w:color w:val="000000"/>
          <w:lang w:eastAsia="bg-BG"/>
        </w:rPr>
        <w:lastRenderedPageBreak/>
        <w:t>гъстота) (повечето съобщения са при японски пациенти).</w:t>
      </w:r>
    </w:p>
    <w:p w14:paraId="43E3C48F" w14:textId="748056CB" w:rsidR="0091385D" w:rsidRDefault="0091385D" w:rsidP="0091385D"/>
    <w:p w14:paraId="6FFCBBBB" w14:textId="77777777" w:rsidR="00200E63" w:rsidRPr="00200E63" w:rsidRDefault="00200E63" w:rsidP="00200E63">
      <w:pPr>
        <w:spacing w:line="240" w:lineRule="auto"/>
        <w:rPr>
          <w:rFonts w:eastAsia="Times New Roman" w:cs="Arial"/>
          <w:lang w:eastAsia="bg-BG"/>
        </w:rPr>
      </w:pPr>
      <w:r w:rsidRPr="00200E63">
        <w:rPr>
          <w:rFonts w:eastAsia="Times New Roman" w:cs="Arial"/>
          <w:i/>
          <w:iCs/>
          <w:color w:val="000000"/>
          <w:lang w:eastAsia="bg-BG"/>
        </w:rPr>
        <w:t>Чести:</w:t>
      </w:r>
      <w:r w:rsidRPr="00200E63">
        <w:rPr>
          <w:rFonts w:eastAsia="Times New Roman" w:cs="Arial"/>
          <w:color w:val="000000"/>
          <w:lang w:eastAsia="bg-BG"/>
        </w:rPr>
        <w:t xml:space="preserve"> преходни точковидни епителни ерозии, най-често без симптоми, блефарит, болка в окото, фотофобия.</w:t>
      </w:r>
    </w:p>
    <w:p w14:paraId="193F2B55" w14:textId="77777777" w:rsidR="00200E63" w:rsidRPr="00200E63" w:rsidRDefault="00200E63" w:rsidP="00200E63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DBAE374" w14:textId="445202B8" w:rsidR="00200E63" w:rsidRPr="00200E63" w:rsidRDefault="00200E63" w:rsidP="00200E63">
      <w:pPr>
        <w:spacing w:line="240" w:lineRule="auto"/>
        <w:rPr>
          <w:rFonts w:eastAsia="Times New Roman" w:cs="Arial"/>
          <w:lang w:eastAsia="bg-BG"/>
        </w:rPr>
      </w:pPr>
      <w:r w:rsidRPr="00200E63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200E63">
        <w:rPr>
          <w:rFonts w:eastAsia="Times New Roman" w:cs="Arial"/>
          <w:color w:val="000000"/>
          <w:lang w:eastAsia="bg-BG"/>
        </w:rPr>
        <w:t xml:space="preserve"> едем на клепачите; „сухо око”; кератит, замъглено зрение; конюнктивит.</w:t>
      </w:r>
    </w:p>
    <w:p w14:paraId="4497C47F" w14:textId="77777777" w:rsidR="00200E63" w:rsidRPr="00200E63" w:rsidRDefault="00200E63" w:rsidP="00200E63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5B4AFFC" w14:textId="276E113B" w:rsidR="00200E63" w:rsidRPr="00200E63" w:rsidRDefault="00200E63" w:rsidP="00200E63">
      <w:pPr>
        <w:spacing w:line="240" w:lineRule="auto"/>
        <w:rPr>
          <w:rFonts w:eastAsia="Times New Roman" w:cs="Arial"/>
          <w:lang w:eastAsia="bg-BG"/>
        </w:rPr>
      </w:pPr>
      <w:r w:rsidRPr="00200E63">
        <w:rPr>
          <w:rFonts w:eastAsia="Times New Roman" w:cs="Arial"/>
          <w:i/>
          <w:iCs/>
          <w:color w:val="000000"/>
          <w:lang w:eastAsia="bg-BG"/>
        </w:rPr>
        <w:t>Редки:</w:t>
      </w:r>
      <w:r w:rsidRPr="00200E63">
        <w:rPr>
          <w:rFonts w:eastAsia="Times New Roman" w:cs="Arial"/>
          <w:color w:val="000000"/>
          <w:lang w:eastAsia="bg-BG"/>
        </w:rPr>
        <w:t xml:space="preserve"> ирит, увеит (повечето съобщения са при пациенти със съпътстващи предразполагащи фактори), макуларен едем, симптоматичен оток и ерозии на роговицата; периорбитален оток; неправилна посока на миглите, която води до очно дразнене; допълнителен ред мигли на отвора на мейбомиановите жлези (дистихиазис).</w:t>
      </w:r>
    </w:p>
    <w:p w14:paraId="55C77572" w14:textId="77777777" w:rsidR="00200E63" w:rsidRPr="00200E63" w:rsidRDefault="00200E63" w:rsidP="00200E63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FD01E07" w14:textId="0D5A2198" w:rsidR="00200E63" w:rsidRPr="00200E63" w:rsidRDefault="00200E63" w:rsidP="00200E63">
      <w:pPr>
        <w:spacing w:line="240" w:lineRule="auto"/>
        <w:rPr>
          <w:rFonts w:eastAsia="Times New Roman" w:cs="Arial"/>
          <w:lang w:eastAsia="bg-BG"/>
        </w:rPr>
      </w:pPr>
      <w:r w:rsidRPr="00200E63">
        <w:rPr>
          <w:rFonts w:eastAsia="Times New Roman" w:cs="Arial"/>
          <w:i/>
          <w:iCs/>
          <w:color w:val="000000"/>
          <w:lang w:eastAsia="bg-BG"/>
        </w:rPr>
        <w:t>Много редки:</w:t>
      </w:r>
      <w:r w:rsidRPr="00200E63">
        <w:rPr>
          <w:rFonts w:eastAsia="Times New Roman" w:cs="Arial"/>
          <w:color w:val="000000"/>
          <w:lang w:eastAsia="bg-BG"/>
        </w:rPr>
        <w:t xml:space="preserve"> промени около очите и клепачите, които водят до задълбочаване на браздата на клепачите.</w:t>
      </w:r>
    </w:p>
    <w:p w14:paraId="4E5D88E9" w14:textId="77777777" w:rsidR="00200E63" w:rsidRPr="00200E63" w:rsidRDefault="00200E63" w:rsidP="00200E6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E1CD751" w14:textId="5FF17D37" w:rsidR="00200E63" w:rsidRPr="00200E63" w:rsidRDefault="00200E63" w:rsidP="00200E63">
      <w:pPr>
        <w:spacing w:line="240" w:lineRule="auto"/>
        <w:rPr>
          <w:rFonts w:eastAsia="Times New Roman" w:cs="Arial"/>
          <w:lang w:eastAsia="bg-BG"/>
        </w:rPr>
      </w:pPr>
      <w:r w:rsidRPr="00200E63">
        <w:rPr>
          <w:rFonts w:eastAsia="Times New Roman" w:cs="Arial"/>
          <w:color w:val="000000"/>
          <w:lang w:eastAsia="bg-BG"/>
        </w:rPr>
        <w:t xml:space="preserve">С </w:t>
      </w:r>
      <w:r w:rsidRPr="00200E63">
        <w:rPr>
          <w:rFonts w:eastAsia="Times New Roman" w:cs="Arial"/>
          <w:i/>
          <w:iCs/>
          <w:color w:val="000000"/>
          <w:lang w:eastAsia="bg-BG"/>
        </w:rPr>
        <w:t>неизвестна честота:</w:t>
      </w:r>
      <w:r w:rsidRPr="00200E63">
        <w:rPr>
          <w:rFonts w:eastAsia="Times New Roman" w:cs="Arial"/>
          <w:color w:val="000000"/>
          <w:lang w:eastAsia="bg-BG"/>
        </w:rPr>
        <w:t xml:space="preserve"> кисти на ириса</w:t>
      </w:r>
    </w:p>
    <w:p w14:paraId="6E155B07" w14:textId="77777777" w:rsidR="00200E63" w:rsidRPr="00200E63" w:rsidRDefault="00200E63" w:rsidP="00200E63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337D4A65" w14:textId="55DF2EDB" w:rsidR="00200E63" w:rsidRPr="00200E63" w:rsidRDefault="00200E63" w:rsidP="00200E63">
      <w:pPr>
        <w:spacing w:line="240" w:lineRule="auto"/>
        <w:rPr>
          <w:rFonts w:eastAsia="Times New Roman" w:cs="Arial"/>
          <w:lang w:eastAsia="bg-BG"/>
        </w:rPr>
      </w:pPr>
      <w:r w:rsidRPr="00200E63">
        <w:rPr>
          <w:rFonts w:eastAsia="Times New Roman" w:cs="Arial"/>
          <w:i/>
          <w:iCs/>
          <w:color w:val="000000"/>
          <w:u w:val="single"/>
          <w:lang w:eastAsia="bg-BG"/>
        </w:rPr>
        <w:t>Сърдечни нарушения:</w:t>
      </w:r>
    </w:p>
    <w:p w14:paraId="689BC3DB" w14:textId="77777777" w:rsidR="00200E63" w:rsidRPr="00200E63" w:rsidRDefault="00200E63" w:rsidP="00200E63">
      <w:pPr>
        <w:spacing w:line="240" w:lineRule="auto"/>
        <w:rPr>
          <w:rFonts w:eastAsia="Times New Roman" w:cs="Arial"/>
          <w:lang w:eastAsia="bg-BG"/>
        </w:rPr>
      </w:pPr>
      <w:r w:rsidRPr="00200E63">
        <w:rPr>
          <w:rFonts w:eastAsia="Times New Roman" w:cs="Arial"/>
          <w:i/>
          <w:iCs/>
          <w:color w:val="000000"/>
          <w:lang w:eastAsia="bg-BG"/>
        </w:rPr>
        <w:t>Много редки:</w:t>
      </w:r>
      <w:r w:rsidRPr="00200E63">
        <w:rPr>
          <w:rFonts w:eastAsia="Times New Roman" w:cs="Arial"/>
          <w:color w:val="000000"/>
          <w:lang w:eastAsia="bg-BG"/>
        </w:rPr>
        <w:t xml:space="preserve"> нестабилна ангина пекторис.</w:t>
      </w:r>
    </w:p>
    <w:p w14:paraId="21BC67F3" w14:textId="77777777" w:rsidR="00200E63" w:rsidRPr="00200E63" w:rsidRDefault="00200E63" w:rsidP="00200E63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AB5871E" w14:textId="755A3BFE" w:rsidR="00200E63" w:rsidRPr="00200E63" w:rsidRDefault="00200E63" w:rsidP="00200E63">
      <w:pPr>
        <w:spacing w:line="240" w:lineRule="auto"/>
        <w:rPr>
          <w:rFonts w:eastAsia="Times New Roman" w:cs="Arial"/>
          <w:lang w:eastAsia="bg-BG"/>
        </w:rPr>
      </w:pPr>
      <w:r w:rsidRPr="00200E63">
        <w:rPr>
          <w:rFonts w:eastAsia="Times New Roman" w:cs="Arial"/>
          <w:i/>
          <w:iCs/>
          <w:color w:val="000000"/>
          <w:lang w:eastAsia="bg-BG"/>
        </w:rPr>
        <w:t>С неизвестна честота:</w:t>
      </w:r>
      <w:r w:rsidRPr="00200E63">
        <w:rPr>
          <w:rFonts w:eastAsia="Times New Roman" w:cs="Arial"/>
          <w:color w:val="000000"/>
          <w:lang w:eastAsia="bg-BG"/>
        </w:rPr>
        <w:t xml:space="preserve"> палпитации.</w:t>
      </w:r>
    </w:p>
    <w:p w14:paraId="2F22673C" w14:textId="77777777" w:rsidR="00200E63" w:rsidRPr="00200E63" w:rsidRDefault="00200E63" w:rsidP="00200E63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610D6C94" w14:textId="0E10A1F8" w:rsidR="00200E63" w:rsidRPr="00200E63" w:rsidRDefault="00200E63" w:rsidP="00200E63">
      <w:pPr>
        <w:spacing w:line="240" w:lineRule="auto"/>
        <w:rPr>
          <w:rFonts w:eastAsia="Times New Roman" w:cs="Arial"/>
          <w:lang w:eastAsia="bg-BG"/>
        </w:rPr>
      </w:pPr>
      <w:r w:rsidRPr="00200E63">
        <w:rPr>
          <w:rFonts w:eastAsia="Times New Roman" w:cs="Arial"/>
          <w:i/>
          <w:iCs/>
          <w:color w:val="000000"/>
          <w:u w:val="single"/>
          <w:lang w:eastAsia="bg-BG"/>
        </w:rPr>
        <w:t>Респираторни, гръдни и медиастинални нарушения:</w:t>
      </w:r>
    </w:p>
    <w:p w14:paraId="5B0B4C12" w14:textId="77777777" w:rsidR="00200E63" w:rsidRPr="00200E63" w:rsidRDefault="00200E63" w:rsidP="00200E63">
      <w:pPr>
        <w:spacing w:line="240" w:lineRule="auto"/>
        <w:rPr>
          <w:rFonts w:eastAsia="Times New Roman" w:cs="Arial"/>
          <w:lang w:eastAsia="bg-BG"/>
        </w:rPr>
      </w:pPr>
      <w:r w:rsidRPr="00200E63">
        <w:rPr>
          <w:rFonts w:eastAsia="Times New Roman" w:cs="Arial"/>
          <w:i/>
          <w:iCs/>
          <w:color w:val="000000"/>
          <w:lang w:eastAsia="bg-BG"/>
        </w:rPr>
        <w:t>Редки:</w:t>
      </w:r>
      <w:r w:rsidRPr="00200E63">
        <w:rPr>
          <w:rFonts w:eastAsia="Times New Roman" w:cs="Arial"/>
          <w:color w:val="000000"/>
          <w:lang w:eastAsia="bg-BG"/>
        </w:rPr>
        <w:t xml:space="preserve"> астма, влошаване на астмата и диспнея.</w:t>
      </w:r>
    </w:p>
    <w:p w14:paraId="4A0DCA24" w14:textId="77777777" w:rsidR="00200E63" w:rsidRPr="00200E63" w:rsidRDefault="00200E63" w:rsidP="00200E63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5B72345E" w14:textId="5B2C3583" w:rsidR="00200E63" w:rsidRPr="00200E63" w:rsidRDefault="00200E63" w:rsidP="00200E63">
      <w:pPr>
        <w:spacing w:line="240" w:lineRule="auto"/>
        <w:rPr>
          <w:rFonts w:eastAsia="Times New Roman" w:cs="Arial"/>
          <w:lang w:eastAsia="bg-BG"/>
        </w:rPr>
      </w:pPr>
      <w:r w:rsidRPr="00200E63">
        <w:rPr>
          <w:rFonts w:eastAsia="Times New Roman" w:cs="Arial"/>
          <w:i/>
          <w:iCs/>
          <w:color w:val="000000"/>
          <w:u w:val="single"/>
          <w:lang w:eastAsia="bg-BG"/>
        </w:rPr>
        <w:t>Стомашно-чревни нарушения</w:t>
      </w:r>
    </w:p>
    <w:p w14:paraId="474FCE38" w14:textId="77777777" w:rsidR="00200E63" w:rsidRPr="00200E63" w:rsidRDefault="00200E63" w:rsidP="00200E63">
      <w:pPr>
        <w:spacing w:line="240" w:lineRule="auto"/>
        <w:rPr>
          <w:rFonts w:eastAsia="Times New Roman" w:cs="Arial"/>
          <w:lang w:eastAsia="bg-BG"/>
        </w:rPr>
      </w:pPr>
      <w:r w:rsidRPr="00200E63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200E63">
        <w:rPr>
          <w:rFonts w:eastAsia="Times New Roman" w:cs="Arial"/>
          <w:color w:val="000000"/>
          <w:lang w:eastAsia="bg-BG"/>
        </w:rPr>
        <w:t xml:space="preserve"> Гадене, повръщане</w:t>
      </w:r>
    </w:p>
    <w:p w14:paraId="62290831" w14:textId="77777777" w:rsidR="00200E63" w:rsidRPr="00200E63" w:rsidRDefault="00200E63" w:rsidP="00200E63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5BA70C8A" w14:textId="5EE3BF26" w:rsidR="00200E63" w:rsidRPr="00200E63" w:rsidRDefault="00200E63" w:rsidP="00200E63">
      <w:pPr>
        <w:spacing w:line="240" w:lineRule="auto"/>
        <w:rPr>
          <w:rFonts w:eastAsia="Times New Roman" w:cs="Arial"/>
          <w:lang w:eastAsia="bg-BG"/>
        </w:rPr>
      </w:pPr>
      <w:r w:rsidRPr="00200E63">
        <w:rPr>
          <w:rFonts w:eastAsia="Times New Roman" w:cs="Arial"/>
          <w:i/>
          <w:iCs/>
          <w:color w:val="000000"/>
          <w:u w:val="single"/>
          <w:lang w:eastAsia="bg-BG"/>
        </w:rPr>
        <w:t>Нарушения на кожата и подкожната тъкан:</w:t>
      </w:r>
    </w:p>
    <w:p w14:paraId="3298EDF0" w14:textId="77777777" w:rsidR="00200E63" w:rsidRPr="00200E63" w:rsidRDefault="00200E63" w:rsidP="00200E63">
      <w:pPr>
        <w:spacing w:line="240" w:lineRule="auto"/>
        <w:rPr>
          <w:rFonts w:eastAsia="Times New Roman" w:cs="Arial"/>
          <w:lang w:eastAsia="bg-BG"/>
        </w:rPr>
      </w:pPr>
      <w:r w:rsidRPr="00200E63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200E63">
        <w:rPr>
          <w:rFonts w:eastAsia="Times New Roman" w:cs="Arial"/>
          <w:color w:val="000000"/>
          <w:lang w:eastAsia="bg-BG"/>
        </w:rPr>
        <w:t xml:space="preserve"> кожен обрив.</w:t>
      </w:r>
    </w:p>
    <w:p w14:paraId="389CB3DE" w14:textId="77777777" w:rsidR="00200E63" w:rsidRPr="00200E63" w:rsidRDefault="00200E63" w:rsidP="00200E63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FECE7EE" w14:textId="53ECA5AD" w:rsidR="00200E63" w:rsidRPr="00200E63" w:rsidRDefault="00200E63" w:rsidP="00200E63">
      <w:pPr>
        <w:spacing w:line="240" w:lineRule="auto"/>
        <w:rPr>
          <w:rFonts w:eastAsia="Times New Roman" w:cs="Arial"/>
          <w:lang w:eastAsia="bg-BG"/>
        </w:rPr>
      </w:pPr>
      <w:r w:rsidRPr="00200E63">
        <w:rPr>
          <w:rFonts w:eastAsia="Times New Roman" w:cs="Arial"/>
          <w:i/>
          <w:iCs/>
          <w:color w:val="000000"/>
          <w:lang w:eastAsia="bg-BG"/>
        </w:rPr>
        <w:t>Редки:</w:t>
      </w:r>
      <w:r w:rsidRPr="00200E63">
        <w:rPr>
          <w:rFonts w:eastAsia="Times New Roman" w:cs="Arial"/>
          <w:color w:val="000000"/>
          <w:lang w:eastAsia="bg-BG"/>
        </w:rPr>
        <w:t xml:space="preserve"> локализирана кожна реакция върху клепачите, потъмняване на кожата на клепачите.</w:t>
      </w:r>
    </w:p>
    <w:p w14:paraId="00C69DA4" w14:textId="77777777" w:rsidR="00200E63" w:rsidRPr="00200E63" w:rsidRDefault="00200E63" w:rsidP="00200E63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228ED4F" w14:textId="77777777" w:rsidR="00200E63" w:rsidRPr="00200E63" w:rsidRDefault="00200E63" w:rsidP="00200E63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  <w:r w:rsidRPr="00200E63">
        <w:rPr>
          <w:rFonts w:eastAsia="Times New Roman" w:cs="Arial"/>
          <w:i/>
          <w:iCs/>
          <w:color w:val="000000"/>
          <w:lang w:eastAsia="bg-BG"/>
        </w:rPr>
        <w:t xml:space="preserve">Нарушения на мускулно-скелетната система и съединителната тъкан: </w:t>
      </w:r>
    </w:p>
    <w:p w14:paraId="2E8A63D6" w14:textId="5E9A57D8" w:rsidR="00200E63" w:rsidRPr="00200E63" w:rsidRDefault="00200E63" w:rsidP="00200E63">
      <w:pPr>
        <w:spacing w:line="240" w:lineRule="auto"/>
        <w:rPr>
          <w:rFonts w:eastAsia="Times New Roman" w:cs="Arial"/>
          <w:lang w:eastAsia="bg-BG"/>
        </w:rPr>
      </w:pPr>
      <w:r w:rsidRPr="00200E63">
        <w:rPr>
          <w:rFonts w:eastAsia="Times New Roman" w:cs="Arial"/>
          <w:i/>
          <w:iCs/>
          <w:color w:val="000000"/>
          <w:lang w:eastAsia="bg-BG"/>
        </w:rPr>
        <w:t>С неизвестна</w:t>
      </w:r>
      <w:r w:rsidRPr="00200E63">
        <w:rPr>
          <w:rFonts w:eastAsia="Times New Roman" w:cs="Arial"/>
          <w:color w:val="000000"/>
          <w:lang w:eastAsia="bg-BG"/>
        </w:rPr>
        <w:t xml:space="preserve"> честота: миалгия, артралгия.</w:t>
      </w:r>
    </w:p>
    <w:p w14:paraId="67C72BAF" w14:textId="77777777" w:rsidR="00200E63" w:rsidRPr="00200E63" w:rsidRDefault="00200E63" w:rsidP="00200E63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0E24E26F" w14:textId="6D5B6F3B" w:rsidR="00200E63" w:rsidRPr="00200E63" w:rsidRDefault="00200E63" w:rsidP="00200E63">
      <w:pPr>
        <w:spacing w:line="240" w:lineRule="auto"/>
        <w:rPr>
          <w:rFonts w:eastAsia="Times New Roman" w:cs="Arial"/>
          <w:lang w:eastAsia="bg-BG"/>
        </w:rPr>
      </w:pPr>
      <w:r w:rsidRPr="00200E63">
        <w:rPr>
          <w:rFonts w:eastAsia="Times New Roman" w:cs="Arial"/>
          <w:i/>
          <w:iCs/>
          <w:color w:val="000000"/>
          <w:u w:val="single"/>
          <w:lang w:eastAsia="bg-BG"/>
        </w:rPr>
        <w:t>Обши нарушения и ефекти на мястото на приложение:</w:t>
      </w:r>
    </w:p>
    <w:p w14:paraId="380F800F" w14:textId="77777777" w:rsidR="00200E63" w:rsidRPr="00200E63" w:rsidRDefault="00200E63" w:rsidP="00200E63">
      <w:pPr>
        <w:spacing w:line="240" w:lineRule="auto"/>
        <w:rPr>
          <w:rFonts w:eastAsia="Times New Roman" w:cs="Arial"/>
          <w:lang w:eastAsia="bg-BG"/>
        </w:rPr>
      </w:pPr>
      <w:r w:rsidRPr="00200E63">
        <w:rPr>
          <w:rFonts w:eastAsia="Times New Roman" w:cs="Arial"/>
          <w:i/>
          <w:iCs/>
          <w:color w:val="000000"/>
          <w:lang w:eastAsia="bg-BG"/>
        </w:rPr>
        <w:t>Много редки:</w:t>
      </w:r>
      <w:r w:rsidRPr="00200E63">
        <w:rPr>
          <w:rFonts w:eastAsia="Times New Roman" w:cs="Arial"/>
          <w:color w:val="000000"/>
          <w:lang w:eastAsia="bg-BG"/>
        </w:rPr>
        <w:t xml:space="preserve"> болка в гръдния кош.</w:t>
      </w:r>
    </w:p>
    <w:p w14:paraId="39FE1D2D" w14:textId="77777777" w:rsidR="00200E63" w:rsidRPr="00200E63" w:rsidRDefault="00200E63" w:rsidP="00200E6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5B0A115" w14:textId="5724CDF5" w:rsidR="00200E63" w:rsidRPr="00200E63" w:rsidRDefault="00200E63" w:rsidP="00200E63">
      <w:pPr>
        <w:spacing w:line="240" w:lineRule="auto"/>
        <w:rPr>
          <w:rFonts w:eastAsia="Times New Roman" w:cs="Arial"/>
          <w:lang w:eastAsia="bg-BG"/>
        </w:rPr>
      </w:pPr>
      <w:r w:rsidRPr="00200E63">
        <w:rPr>
          <w:rFonts w:eastAsia="Times New Roman" w:cs="Arial"/>
          <w:color w:val="000000"/>
          <w:lang w:eastAsia="bg-BG"/>
        </w:rPr>
        <w:t>Случаи на калцификация на роговицата са съобщавани много рядко във връзка с употребата на фосфат-съдържащи капки за очи при някои пациенти със значително увреждане на роговицата.</w:t>
      </w:r>
    </w:p>
    <w:p w14:paraId="1EAD7743" w14:textId="77777777" w:rsidR="00200E63" w:rsidRPr="00200E63" w:rsidRDefault="00200E63" w:rsidP="00200E6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420701B" w14:textId="64B213C6" w:rsidR="00200E63" w:rsidRPr="00200E63" w:rsidRDefault="00200E63" w:rsidP="00200E63">
      <w:pPr>
        <w:spacing w:line="240" w:lineRule="auto"/>
        <w:rPr>
          <w:rFonts w:eastAsia="Times New Roman" w:cs="Arial"/>
          <w:lang w:eastAsia="bg-BG"/>
        </w:rPr>
      </w:pPr>
      <w:r w:rsidRPr="00200E63">
        <w:rPr>
          <w:rFonts w:eastAsia="Times New Roman" w:cs="Arial"/>
          <w:color w:val="000000"/>
          <w:u w:val="single"/>
          <w:lang w:eastAsia="bg-BG"/>
        </w:rPr>
        <w:t>в.</w:t>
      </w:r>
      <w:r w:rsidRPr="00200E63">
        <w:rPr>
          <w:rFonts w:eastAsia="Times New Roman" w:cs="Arial"/>
          <w:color w:val="000000"/>
          <w:u w:val="single"/>
          <w:lang w:eastAsia="bg-BG"/>
        </w:rPr>
        <w:tab/>
        <w:t>Описание на избрани нежелани реакции</w:t>
      </w:r>
    </w:p>
    <w:p w14:paraId="0B798E9C" w14:textId="77777777" w:rsidR="00200E63" w:rsidRPr="00200E63" w:rsidRDefault="00200E63" w:rsidP="00200E63">
      <w:pPr>
        <w:spacing w:line="240" w:lineRule="auto"/>
        <w:rPr>
          <w:rFonts w:eastAsia="Times New Roman" w:cs="Arial"/>
          <w:lang w:eastAsia="bg-BG"/>
        </w:rPr>
      </w:pPr>
      <w:r w:rsidRPr="00200E63">
        <w:rPr>
          <w:rFonts w:eastAsia="Times New Roman" w:cs="Arial"/>
          <w:color w:val="000000"/>
          <w:lang w:eastAsia="bg-BG"/>
        </w:rPr>
        <w:t>Няма предоставена информация.</w:t>
      </w:r>
    </w:p>
    <w:p w14:paraId="43C94D3E" w14:textId="77777777" w:rsidR="00200E63" w:rsidRPr="00200E63" w:rsidRDefault="00200E63" w:rsidP="00200E6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1609F22" w14:textId="7FC50121" w:rsidR="00200E63" w:rsidRPr="00200E63" w:rsidRDefault="00200E63" w:rsidP="00200E63">
      <w:pPr>
        <w:spacing w:line="240" w:lineRule="auto"/>
        <w:rPr>
          <w:rFonts w:eastAsia="Times New Roman" w:cs="Arial"/>
          <w:lang w:eastAsia="bg-BG"/>
        </w:rPr>
      </w:pPr>
      <w:r w:rsidRPr="00200E63">
        <w:rPr>
          <w:rFonts w:eastAsia="Times New Roman" w:cs="Arial"/>
          <w:color w:val="000000"/>
          <w:u w:val="single"/>
          <w:lang w:eastAsia="bg-BG"/>
        </w:rPr>
        <w:t>г.</w:t>
      </w:r>
      <w:r w:rsidRPr="00200E63">
        <w:rPr>
          <w:rFonts w:eastAsia="Times New Roman" w:cs="Arial"/>
          <w:color w:val="000000"/>
          <w:u w:val="single"/>
          <w:lang w:eastAsia="bg-BG"/>
        </w:rPr>
        <w:tab/>
        <w:t>Педиатрична популация</w:t>
      </w:r>
    </w:p>
    <w:p w14:paraId="64211D4F" w14:textId="77777777" w:rsidR="00200E63" w:rsidRPr="00200E63" w:rsidRDefault="00200E63" w:rsidP="00200E63">
      <w:pPr>
        <w:spacing w:line="240" w:lineRule="auto"/>
        <w:rPr>
          <w:rFonts w:eastAsia="Times New Roman" w:cs="Arial"/>
          <w:lang w:eastAsia="bg-BG"/>
        </w:rPr>
      </w:pPr>
      <w:r w:rsidRPr="00200E63">
        <w:rPr>
          <w:rFonts w:eastAsia="Times New Roman" w:cs="Arial"/>
          <w:color w:val="000000"/>
          <w:lang w:eastAsia="bg-BG"/>
        </w:rPr>
        <w:t xml:space="preserve">При две краткосрочни клинични проучвания (&lt; 12 седмици) с включени 93 (25 и 68) педиатрични пациента профилът на безопасност бил подобен на този при възрастни и не били отбелязани нови нежелни лекарствени реакции. Краткосрочните профили на </w:t>
      </w:r>
      <w:r w:rsidRPr="00200E63">
        <w:rPr>
          <w:rFonts w:eastAsia="Times New Roman" w:cs="Arial"/>
          <w:color w:val="000000"/>
          <w:lang w:eastAsia="bg-BG"/>
        </w:rPr>
        <w:lastRenderedPageBreak/>
        <w:t>безопасност при различните педиатрични подгрупи също така бил сходен (вж. точка 5.1). Отбелязаните по-често нежелани лекарствени реакции в сравнение с възрастни са: назофарингит и фебрилитет.</w:t>
      </w:r>
    </w:p>
    <w:p w14:paraId="539352EC" w14:textId="77777777" w:rsidR="00200E63" w:rsidRPr="00200E63" w:rsidRDefault="00200E63" w:rsidP="00200E63">
      <w:pPr>
        <w:spacing w:line="240" w:lineRule="auto"/>
        <w:rPr>
          <w:rFonts w:eastAsia="Times New Roman" w:cs="Arial"/>
          <w:lang w:eastAsia="bg-BG"/>
        </w:rPr>
      </w:pPr>
    </w:p>
    <w:p w14:paraId="764364C7" w14:textId="656E4D2B" w:rsidR="00200E63" w:rsidRPr="00200E63" w:rsidRDefault="00200E63" w:rsidP="00200E63">
      <w:pPr>
        <w:spacing w:line="240" w:lineRule="auto"/>
        <w:rPr>
          <w:rFonts w:eastAsia="Times New Roman" w:cs="Arial"/>
          <w:lang w:eastAsia="bg-BG"/>
        </w:rPr>
      </w:pPr>
      <w:r w:rsidRPr="00200E63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7A8EAEE4" w14:textId="3DAEC2EA" w:rsidR="00200E63" w:rsidRPr="00200E63" w:rsidRDefault="00200E63" w:rsidP="00200E63">
      <w:pPr>
        <w:spacing w:line="240" w:lineRule="auto"/>
        <w:rPr>
          <w:rFonts w:eastAsia="Times New Roman" w:cs="Arial"/>
          <w:lang w:eastAsia="bg-BG"/>
        </w:rPr>
      </w:pPr>
      <w:r w:rsidRPr="00200E63">
        <w:rPr>
          <w:rFonts w:eastAsia="Times New Roman" w:cs="Arial"/>
          <w:color w:val="000000"/>
          <w:lang w:eastAsia="bg-BG"/>
        </w:rPr>
        <w:t>Съобщаването на подозирани нежелани реакции след разрешаване за употреба на лекарствения  продукт е важно. Това позволява да се продължи наблюдението на съотношението полза/риск за</w:t>
      </w:r>
      <w:r>
        <w:rPr>
          <w:rFonts w:eastAsia="Times New Roman" w:cs="Arial"/>
          <w:lang w:eastAsia="bg-BG"/>
        </w:rPr>
        <w:t xml:space="preserve"> </w:t>
      </w:r>
      <w:r w:rsidRPr="00200E63">
        <w:rPr>
          <w:rFonts w:eastAsia="Times New Roman" w:cs="Arial"/>
          <w:color w:val="000000"/>
          <w:lang w:eastAsia="bg-BG"/>
        </w:rPr>
        <w:t>лекарствения продукт. От медицинските специалисти се изисква да съобщават всяка подозирана нежелана реакция чрез Изпълнителна агенция по лекарствата ул..,Дамян Груев"</w:t>
      </w:r>
      <w:r w:rsidRPr="00200E63">
        <w:rPr>
          <w:rFonts w:eastAsia="Times New Roman" w:cs="Arial"/>
          <w:color w:val="000000"/>
          <w:lang w:val="en-US"/>
        </w:rPr>
        <w:t xml:space="preserve"> </w:t>
      </w:r>
      <w:r w:rsidRPr="00200E63">
        <w:rPr>
          <w:rFonts w:eastAsia="Times New Roman" w:cs="Arial"/>
          <w:color w:val="000000"/>
          <w:lang w:eastAsia="bg-BG"/>
        </w:rPr>
        <w:t>№</w:t>
      </w:r>
      <w:r w:rsidRPr="00200E63">
        <w:rPr>
          <w:rFonts w:eastAsia="Times New Roman" w:cs="Arial"/>
          <w:color w:val="000000"/>
          <w:lang w:val="en-US"/>
        </w:rPr>
        <w:t xml:space="preserve"> 8, 1303</w:t>
      </w:r>
      <w:r w:rsidRPr="00200E63">
        <w:rPr>
          <w:rFonts w:eastAsia="Times New Roman" w:cs="Arial"/>
          <w:color w:val="000000"/>
          <w:lang w:eastAsia="bg-BG"/>
        </w:rPr>
        <w:t xml:space="preserve"> София, Тел.: +35928903417, уебсайт: </w:t>
      </w:r>
      <w:r w:rsidRPr="00200E63">
        <w:rPr>
          <w:rFonts w:eastAsia="Times New Roman" w:cs="Arial"/>
          <w:lang w:eastAsia="bg-BG"/>
        </w:rPr>
        <w:fldChar w:fldCharType="begin"/>
      </w:r>
      <w:r w:rsidRPr="00200E63">
        <w:rPr>
          <w:rFonts w:eastAsia="Times New Roman" w:cs="Arial"/>
          <w:lang w:eastAsia="bg-BG"/>
        </w:rPr>
        <w:instrText xml:space="preserve"> HYPERLINK "http://www.bda.bg" </w:instrText>
      </w:r>
      <w:r w:rsidRPr="00200E63">
        <w:rPr>
          <w:rFonts w:eastAsia="Times New Roman" w:cs="Arial"/>
          <w:lang w:eastAsia="bg-BG"/>
        </w:rPr>
      </w:r>
      <w:r w:rsidRPr="00200E63">
        <w:rPr>
          <w:rFonts w:eastAsia="Times New Roman" w:cs="Arial"/>
          <w:lang w:eastAsia="bg-BG"/>
        </w:rPr>
        <w:fldChar w:fldCharType="separate"/>
      </w:r>
      <w:r w:rsidRPr="00200E63">
        <w:rPr>
          <w:rFonts w:eastAsia="Times New Roman" w:cs="Arial"/>
          <w:color w:val="000000"/>
          <w:u w:val="single"/>
          <w:lang w:val="en-US"/>
        </w:rPr>
        <w:t>www.bda.bg</w:t>
      </w:r>
      <w:r w:rsidRPr="00200E63">
        <w:rPr>
          <w:rFonts w:eastAsia="Times New Roman" w:cs="Arial"/>
          <w:lang w:eastAsia="bg-BG"/>
        </w:rPr>
        <w:fldChar w:fldCharType="end"/>
      </w:r>
    </w:p>
    <w:p w14:paraId="5CC79065" w14:textId="77777777" w:rsidR="00200E63" w:rsidRPr="0091385D" w:rsidRDefault="00200E63" w:rsidP="0091385D"/>
    <w:p w14:paraId="0A023CE0" w14:textId="13F87CFD" w:rsidR="00CF77F7" w:rsidRDefault="002C50EE" w:rsidP="004A448E">
      <w:pPr>
        <w:pStyle w:val="Heading2"/>
      </w:pPr>
      <w:r>
        <w:t>4.9. Предозиране</w:t>
      </w:r>
    </w:p>
    <w:p w14:paraId="3EDFC3FC" w14:textId="296E7EBA" w:rsidR="0091385D" w:rsidRDefault="0091385D" w:rsidP="0091385D"/>
    <w:p w14:paraId="4D377A8B" w14:textId="77777777" w:rsidR="00200E63" w:rsidRPr="00200E63" w:rsidRDefault="00200E63" w:rsidP="00200E6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0E63">
        <w:rPr>
          <w:rFonts w:eastAsia="Times New Roman" w:cs="Arial"/>
          <w:color w:val="000000"/>
          <w:lang w:eastAsia="bg-BG"/>
        </w:rPr>
        <w:t>Освен очно дразнене и конюнктивална хиперемия, не са известни други очни нежелани реакции при предозиране на латанопрост.</w:t>
      </w:r>
    </w:p>
    <w:p w14:paraId="52C6ACAE" w14:textId="77777777" w:rsidR="00200E63" w:rsidRPr="00200E63" w:rsidRDefault="00200E63" w:rsidP="00200E6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464FEAF" w14:textId="6DD9ACCA" w:rsidR="00200E63" w:rsidRPr="00200E63" w:rsidRDefault="00200E63" w:rsidP="00200E6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0E63">
        <w:rPr>
          <w:rFonts w:eastAsia="Times New Roman" w:cs="Arial"/>
          <w:color w:val="000000"/>
          <w:lang w:eastAsia="bg-BG"/>
        </w:rPr>
        <w:t>При инцидентно поглъщане на УНИЛАТ от полза може да бъде следната информация:</w:t>
      </w:r>
    </w:p>
    <w:p w14:paraId="118B77C3" w14:textId="77777777" w:rsidR="00200E63" w:rsidRPr="00200E63" w:rsidRDefault="00200E63" w:rsidP="00200E6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0E63">
        <w:rPr>
          <w:rFonts w:eastAsia="Times New Roman" w:cs="Arial"/>
          <w:color w:val="000000"/>
          <w:lang w:eastAsia="bg-BG"/>
        </w:rPr>
        <w:t xml:space="preserve">Една бутилка съдържа 125 микрограма латанопрост. Повече от 90% се метаболизират при първото преминаване през черния дроб. Интравенозна инфузия на 3 микрограма/кг при здрави доброволци е довела до средни плазмени концентрации 200 пъти по-високи от тези по време на медицинско лечение и не е предизвикала поява на симптоми, но доза от 5,5-10 микрограма/кг е предизвикала гадене, коремна болка, световъртеж, отпадналост, топли вълни и изпотяване. При маймуни латанопрост е прилаган като интравенозна инфузия </w:t>
      </w:r>
      <w:r w:rsidRPr="00200E63">
        <w:rPr>
          <w:rFonts w:eastAsia="Times New Roman" w:cs="Arial"/>
          <w:i/>
          <w:iCs/>
          <w:color w:val="000000"/>
          <w:lang w:eastAsia="bg-BG"/>
        </w:rPr>
        <w:t>в</w:t>
      </w:r>
      <w:r w:rsidRPr="00200E63">
        <w:rPr>
          <w:rFonts w:eastAsia="Times New Roman" w:cs="Arial"/>
          <w:color w:val="000000"/>
          <w:lang w:eastAsia="bg-BG"/>
        </w:rPr>
        <w:t xml:space="preserve"> дози до 500 микрограма/кг без сериозни ефекти върху сърдечносъдовата система.</w:t>
      </w:r>
    </w:p>
    <w:p w14:paraId="3EFAE227" w14:textId="77777777" w:rsidR="00200E63" w:rsidRPr="00200E63" w:rsidRDefault="00200E63" w:rsidP="00200E6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E7E34CE" w14:textId="2ADB6D3F" w:rsidR="00200E63" w:rsidRPr="00200E63" w:rsidRDefault="00200E63" w:rsidP="00200E6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0E63">
        <w:rPr>
          <w:rFonts w:eastAsia="Times New Roman" w:cs="Arial"/>
          <w:color w:val="000000"/>
          <w:lang w:eastAsia="bg-BG"/>
        </w:rPr>
        <w:t>Интравенозното приложение на латанопрост при маймуни е било свързано с преходна бронхоконстрикция. Въпреки това, при пациенти с умерено тежка форма на бронхиална астма, латанопрост не е предизвикал бронхоконстрикция при локално приложение върху очите в доза, седем пъти по-висока от клиничната.</w:t>
      </w:r>
    </w:p>
    <w:p w14:paraId="00F0FC37" w14:textId="77777777" w:rsidR="00200E63" w:rsidRPr="00200E63" w:rsidRDefault="00200E63" w:rsidP="00200E63">
      <w:pPr>
        <w:rPr>
          <w:rFonts w:eastAsia="Times New Roman" w:cs="Arial"/>
          <w:color w:val="000000"/>
          <w:lang w:eastAsia="bg-BG"/>
        </w:rPr>
      </w:pPr>
    </w:p>
    <w:p w14:paraId="0F0079CB" w14:textId="39C2CAF5" w:rsidR="0091385D" w:rsidRPr="00200E63" w:rsidRDefault="00200E63" w:rsidP="00200E63">
      <w:pPr>
        <w:rPr>
          <w:rFonts w:cs="Arial"/>
        </w:rPr>
      </w:pPr>
      <w:r w:rsidRPr="00200E63">
        <w:rPr>
          <w:rFonts w:eastAsia="Times New Roman" w:cs="Arial"/>
          <w:color w:val="000000"/>
          <w:lang w:eastAsia="bg-BG"/>
        </w:rPr>
        <w:t>При предозиране на УНИЛАТ, лечението трябва да бъде симптоматично.</w:t>
      </w:r>
    </w:p>
    <w:p w14:paraId="48FF1584" w14:textId="77777777" w:rsidR="0091385D" w:rsidRPr="0091385D" w:rsidRDefault="0091385D" w:rsidP="0091385D"/>
    <w:p w14:paraId="02081B24" w14:textId="7CE94171" w:rsidR="00395555" w:rsidRDefault="002C50EE" w:rsidP="008A6AF2">
      <w:pPr>
        <w:pStyle w:val="Heading1"/>
      </w:pPr>
      <w:r>
        <w:t>5. ФАРМАКОЛОГИЧНИ СВОЙСТВА</w:t>
      </w:r>
    </w:p>
    <w:p w14:paraId="1B8079C0" w14:textId="77777777" w:rsidR="0091385D" w:rsidRPr="0091385D" w:rsidRDefault="0091385D" w:rsidP="0091385D"/>
    <w:p w14:paraId="32B6DE66" w14:textId="2ACB6B3B" w:rsidR="00CF77F7" w:rsidRDefault="002C50EE" w:rsidP="004A448E">
      <w:pPr>
        <w:pStyle w:val="Heading2"/>
      </w:pPr>
      <w:r>
        <w:t>5.1. Фармакодинамични свойства</w:t>
      </w:r>
    </w:p>
    <w:p w14:paraId="58DD7DEA" w14:textId="44345EC9" w:rsidR="0091385D" w:rsidRDefault="0091385D" w:rsidP="0091385D"/>
    <w:p w14:paraId="2098963E" w14:textId="77777777" w:rsidR="00200E63" w:rsidRPr="00200E63" w:rsidRDefault="00200E63" w:rsidP="00200E6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0E63">
        <w:rPr>
          <w:rFonts w:eastAsia="Times New Roman" w:cs="Arial"/>
          <w:color w:val="000000"/>
          <w:lang w:eastAsia="bg-BG"/>
        </w:rPr>
        <w:t>Фармакотерапевтична група: антиглаукомни препарати и мистици, простагландинови аналози, АТС</w:t>
      </w:r>
      <w:r w:rsidRPr="00200E63">
        <w:rPr>
          <w:rFonts w:eastAsia="Times New Roman" w:cs="Arial"/>
          <w:color w:val="000000"/>
          <w:lang w:val="en-US"/>
        </w:rPr>
        <w:t xml:space="preserve"> </w:t>
      </w:r>
      <w:r w:rsidRPr="00200E63">
        <w:rPr>
          <w:rFonts w:eastAsia="Times New Roman" w:cs="Arial"/>
          <w:color w:val="000000"/>
          <w:lang w:eastAsia="bg-BG"/>
        </w:rPr>
        <w:t xml:space="preserve">код: </w:t>
      </w:r>
      <w:r w:rsidRPr="00200E63">
        <w:rPr>
          <w:rFonts w:eastAsia="Times New Roman" w:cs="Arial"/>
          <w:color w:val="000000"/>
          <w:lang w:val="en-US"/>
        </w:rPr>
        <w:t>S01EE01</w:t>
      </w:r>
    </w:p>
    <w:p w14:paraId="3B5C48AF" w14:textId="77777777" w:rsidR="00200E63" w:rsidRPr="00200E63" w:rsidRDefault="00200E63" w:rsidP="00200E6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8C8897D" w14:textId="62D25D90" w:rsidR="00200E63" w:rsidRPr="00200E63" w:rsidRDefault="00200E63" w:rsidP="00200E6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0E63">
        <w:rPr>
          <w:rFonts w:eastAsia="Times New Roman" w:cs="Arial"/>
          <w:color w:val="000000"/>
          <w:u w:val="single"/>
          <w:lang w:eastAsia="bg-BG"/>
        </w:rPr>
        <w:t>Механизъм на действие</w:t>
      </w:r>
    </w:p>
    <w:p w14:paraId="604F4664" w14:textId="77777777" w:rsidR="00200E63" w:rsidRPr="00200E63" w:rsidRDefault="00200E63" w:rsidP="00200E6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0E63">
        <w:rPr>
          <w:rFonts w:eastAsia="Times New Roman" w:cs="Arial"/>
          <w:color w:val="000000"/>
          <w:lang w:eastAsia="bg-BG"/>
        </w:rPr>
        <w:t xml:space="preserve">Активната съставка латанопрост, аналог на простагландин </w:t>
      </w:r>
      <w:r w:rsidRPr="00200E63">
        <w:rPr>
          <w:rFonts w:eastAsia="Times New Roman" w:cs="Arial"/>
          <w:color w:val="000000"/>
          <w:lang w:val="en-US"/>
        </w:rPr>
        <w:t xml:space="preserve">F2a, </w:t>
      </w:r>
      <w:r w:rsidRPr="00200E63">
        <w:rPr>
          <w:rFonts w:eastAsia="Times New Roman" w:cs="Arial"/>
          <w:color w:val="000000"/>
          <w:lang w:eastAsia="bg-BG"/>
        </w:rPr>
        <w:t xml:space="preserve">е селективен простаноид </w:t>
      </w:r>
      <w:r w:rsidRPr="00200E63">
        <w:rPr>
          <w:rFonts w:eastAsia="Times New Roman" w:cs="Arial"/>
          <w:color w:val="000000"/>
          <w:lang w:val="en-US"/>
        </w:rPr>
        <w:t xml:space="preserve">FP </w:t>
      </w:r>
      <w:r w:rsidRPr="00200E63">
        <w:rPr>
          <w:rFonts w:eastAsia="Times New Roman" w:cs="Arial"/>
          <w:color w:val="000000"/>
          <w:lang w:eastAsia="bg-BG"/>
        </w:rPr>
        <w:t>рецепторен агонист, който понижава вътреочното налягане чрез засилване на оттичането на вътреочна течност. При хора понижаването на вътреочното налягане започва три до четири часа след приложението, а максималният ефект се достига след осем до дванадесет часа. Понижаването на налягането се запазва най-малко 24 часа.</w:t>
      </w:r>
    </w:p>
    <w:p w14:paraId="3B696FE9" w14:textId="77777777" w:rsidR="00200E63" w:rsidRPr="00200E63" w:rsidRDefault="00200E63" w:rsidP="00200E6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C4C5D31" w14:textId="5E5D4693" w:rsidR="00200E63" w:rsidRPr="00200E63" w:rsidRDefault="00200E63" w:rsidP="00200E6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0E63">
        <w:rPr>
          <w:rFonts w:eastAsia="Times New Roman" w:cs="Arial"/>
          <w:color w:val="000000"/>
          <w:lang w:eastAsia="bg-BG"/>
        </w:rPr>
        <w:lastRenderedPageBreak/>
        <w:t>Проучванията при хора и животни показват, че основният механизъм на действие включва повишаване на увеосклералния отток, въпреки че при хора е отбелязано и известно нарастване на капацитета на оттока (намалено съпротивление на оттока).</w:t>
      </w:r>
    </w:p>
    <w:p w14:paraId="6032E2E2" w14:textId="77777777" w:rsidR="00200E63" w:rsidRPr="00200E63" w:rsidRDefault="00200E63" w:rsidP="00200E6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8A00C18" w14:textId="56F716CF" w:rsidR="00200E63" w:rsidRPr="00200E63" w:rsidRDefault="00200E63" w:rsidP="00200E6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0E63">
        <w:rPr>
          <w:rFonts w:eastAsia="Times New Roman" w:cs="Arial"/>
          <w:color w:val="000000"/>
          <w:u w:val="single"/>
          <w:lang w:eastAsia="bg-BG"/>
        </w:rPr>
        <w:t>Клинична ефикасност и безопасност</w:t>
      </w:r>
    </w:p>
    <w:p w14:paraId="2EFCF91E" w14:textId="77777777" w:rsidR="00200E63" w:rsidRPr="00200E63" w:rsidRDefault="00200E63" w:rsidP="00200E6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0E63">
        <w:rPr>
          <w:rFonts w:eastAsia="Times New Roman" w:cs="Arial"/>
          <w:color w:val="000000"/>
          <w:lang w:eastAsia="bg-BG"/>
        </w:rPr>
        <w:t>При първоначални проучвания е установено, че монотерапията с латанопрост е ефективна. Проведени са допълнителни клинични проучвания за изследване на комбинирано лечение. Те включват проучвания, които показват, че латанопрост е ефективен в комбинация с бета- блокери (тимолол). При проведени краткосрочни проучвания (1 или 2 седмици) е отчетено, че ефектът на латанопрост в комбинация с адренергични агонисти (дипивалил епинсфрин), перорални инхибитори на карбоанхидразата (ацетазоламид) е адитивен и поне отчасти адитивен с холинергични агонисти (пилокарпин).</w:t>
      </w:r>
    </w:p>
    <w:p w14:paraId="20DEBF33" w14:textId="77777777" w:rsidR="00200E63" w:rsidRPr="00200E63" w:rsidRDefault="00200E63" w:rsidP="00200E6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9EDCC3D" w14:textId="1B36D038" w:rsidR="00200E63" w:rsidRPr="00200E63" w:rsidRDefault="00200E63" w:rsidP="00200E6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0E63">
        <w:rPr>
          <w:rFonts w:eastAsia="Times New Roman" w:cs="Arial"/>
          <w:color w:val="000000"/>
          <w:lang w:eastAsia="bg-BG"/>
        </w:rPr>
        <w:t>При клинични проучвания е отчетено, че латанопрост няма значителен</w:t>
      </w:r>
      <w:r w:rsidRPr="00200E63">
        <w:rPr>
          <w:rFonts w:eastAsia="Times New Roman" w:cs="Arial"/>
          <w:color w:val="000000"/>
          <w:lang w:val="en-US"/>
        </w:rPr>
        <w:t xml:space="preserve"> </w:t>
      </w:r>
      <w:r w:rsidRPr="00200E63">
        <w:rPr>
          <w:rFonts w:eastAsia="Times New Roman" w:cs="Arial"/>
          <w:color w:val="000000"/>
          <w:lang w:eastAsia="bg-BG"/>
        </w:rPr>
        <w:t xml:space="preserve">ефект по отношение </w:t>
      </w:r>
    </w:p>
    <w:p w14:paraId="72C11FEA" w14:textId="77777777" w:rsidR="00200E63" w:rsidRPr="00200E63" w:rsidRDefault="00200E63" w:rsidP="00200E6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0E63">
        <w:rPr>
          <w:rFonts w:eastAsia="Times New Roman" w:cs="Arial"/>
          <w:color w:val="000000"/>
          <w:lang w:eastAsia="bg-BG"/>
        </w:rPr>
        <w:t>продукцията на вътреочна течност. Не е установен ефект на латанопрост върху кръвно- преднокамерната вътреочна бариера.</w:t>
      </w:r>
    </w:p>
    <w:p w14:paraId="75F25974" w14:textId="77777777" w:rsidR="00200E63" w:rsidRPr="00200E63" w:rsidRDefault="00200E63" w:rsidP="00200E6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</w:p>
    <w:p w14:paraId="5EA2BC0D" w14:textId="77777777" w:rsidR="00200E63" w:rsidRPr="00200E63" w:rsidRDefault="00200E63" w:rsidP="00200E63">
      <w:pPr>
        <w:rPr>
          <w:rFonts w:eastAsia="Times New Roman" w:cs="Arial"/>
          <w:sz w:val="24"/>
          <w:szCs w:val="24"/>
          <w:lang w:eastAsia="bg-BG"/>
        </w:rPr>
      </w:pPr>
      <w:r w:rsidRPr="00200E63">
        <w:rPr>
          <w:rFonts w:eastAsia="Times New Roman" w:cs="Arial"/>
          <w:color w:val="000000"/>
          <w:lang w:eastAsia="bg-BG"/>
        </w:rPr>
        <w:t>Приложен в терапевтични дози и според проучвания, проведени при маймуна е установено, че латанопрост не притежава или има незначителен ефект по отношение на вътреочното кръвообращение. Въпреки това, при локално приложение е възможно възникване на лека до умерена конюктивна или еписклерна хиперемия.</w:t>
      </w:r>
    </w:p>
    <w:p w14:paraId="4821E959" w14:textId="77777777" w:rsidR="00200E63" w:rsidRPr="00200E63" w:rsidRDefault="00200E63" w:rsidP="00200E6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4152261" w14:textId="6F526CB9" w:rsidR="00200E63" w:rsidRPr="00200E63" w:rsidRDefault="00200E63" w:rsidP="00200E6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0E63">
        <w:rPr>
          <w:rFonts w:eastAsia="Times New Roman" w:cs="Arial"/>
          <w:color w:val="000000"/>
          <w:lang w:eastAsia="bg-BG"/>
        </w:rPr>
        <w:t>Хроничното лечение с латанопрост на очите на маймуни след екстракапсуларна екстракция на лещите не засяга кръвоносните съдове на ретината, което е установено посредством флуоресцинова ангиография.</w:t>
      </w:r>
    </w:p>
    <w:p w14:paraId="446199B4" w14:textId="77777777" w:rsidR="00200E63" w:rsidRPr="00200E63" w:rsidRDefault="00200E63" w:rsidP="00200E6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9D4AD0B" w14:textId="36AA7545" w:rsidR="00200E63" w:rsidRPr="00200E63" w:rsidRDefault="00200E63" w:rsidP="00200E6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0E63">
        <w:rPr>
          <w:rFonts w:eastAsia="Times New Roman" w:cs="Arial"/>
          <w:color w:val="000000"/>
          <w:lang w:eastAsia="bg-BG"/>
        </w:rPr>
        <w:t>При краткосрочно лечение латанопрост не е причинил излив на флуоресцин в задния очен сегмент на очите при пациенти с псевдофакия.</w:t>
      </w:r>
    </w:p>
    <w:p w14:paraId="4EFF559D" w14:textId="77777777" w:rsidR="00200E63" w:rsidRPr="00200E63" w:rsidRDefault="00200E63" w:rsidP="00200E6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0E63">
        <w:rPr>
          <w:rFonts w:eastAsia="Times New Roman" w:cs="Arial"/>
          <w:color w:val="000000"/>
          <w:lang w:eastAsia="bg-BG"/>
        </w:rPr>
        <w:t>Установено е, че приложен в терапевтични дози, латанопрост няма значими фармакологични ефекти върху сърдечно-съдовата или дихателната система.</w:t>
      </w:r>
    </w:p>
    <w:p w14:paraId="5DA24E80" w14:textId="77777777" w:rsidR="00200E63" w:rsidRPr="00200E63" w:rsidRDefault="00200E63" w:rsidP="00200E6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48440FA" w14:textId="13451E26" w:rsidR="00200E63" w:rsidRPr="00200E63" w:rsidRDefault="00200E63" w:rsidP="00200E6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0E63">
        <w:rPr>
          <w:rFonts w:eastAsia="Times New Roman" w:cs="Arial"/>
          <w:color w:val="000000"/>
          <w:u w:val="single"/>
          <w:lang w:eastAsia="bg-BG"/>
        </w:rPr>
        <w:t>Педиатрична популация:</w:t>
      </w:r>
    </w:p>
    <w:p w14:paraId="50BD8199" w14:textId="77777777" w:rsidR="00200E63" w:rsidRPr="00200E63" w:rsidRDefault="00200E63" w:rsidP="00200E6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0E63">
        <w:rPr>
          <w:rFonts w:eastAsia="Times New Roman" w:cs="Arial"/>
          <w:color w:val="000000"/>
          <w:lang w:eastAsia="bg-BG"/>
        </w:rPr>
        <w:t xml:space="preserve">Ефективността на латанопрост при педиатрични пациенти ≤ 18 годишна възраст била доказана в 12 седмично, двойно-маскирано клинично проучване, при което латанопрост е сравнен с тимолол при 107 пациента, диагностицирани с повишено вътреочно налягане и педиатрична глаукома. Към новородените имало изискване да бъдат на най-малко 36 седмици гестационна възраст. При пациентите бил прилаган латанопрост 0,005% един път дневно или тимолол 0,5% (или като опция 0,25% за пациенти под 3 годишна възраст) два пъти дневно. Първостепенна оценка на ефикасността било средното понижаване на вътреочното налягане </w:t>
      </w:r>
      <w:r w:rsidRPr="00200E63">
        <w:rPr>
          <w:rFonts w:eastAsia="Times New Roman" w:cs="Arial"/>
          <w:color w:val="000000"/>
          <w:lang w:val="en-US"/>
        </w:rPr>
        <w:t xml:space="preserve">(IOP) </w:t>
      </w:r>
      <w:r w:rsidRPr="00200E63">
        <w:rPr>
          <w:rFonts w:eastAsia="Times New Roman" w:cs="Arial"/>
          <w:color w:val="000000"/>
          <w:lang w:eastAsia="bg-BG"/>
        </w:rPr>
        <w:t xml:space="preserve">от изходните стойности на 12-та седмица от проучването. Средните понижения на вътреочното налягане в групите, третирани с латанопрост и тимолол, били сходни. Във всички проучени възрастови групи (0 до &lt;3 години 3 до &lt;12 години и 12 до 18 годишна възраст), средното понижение на вътреочното налягане на 12-та седмица на пациентите от групата, при която бил прилаган латанопрост, било сходно с това при групата, третирана с тимолол. Въпреки това, данните за ефективност за групата от 0 до &lt;3 години се основавали на получените резултати при само 13 пациента, при които бил прилаган латанопрост и при клиничното педиатрично проучване не била отчетена достоверна ефикасност при 4-те пациенти, представляващи възрастовата група </w:t>
      </w:r>
      <w:r w:rsidRPr="00200E63">
        <w:rPr>
          <w:rFonts w:eastAsia="Times New Roman" w:cs="Arial"/>
          <w:color w:val="000000"/>
          <w:lang w:eastAsia="bg-BG"/>
        </w:rPr>
        <w:lastRenderedPageBreak/>
        <w:t>от 0 до &lt;1 години. Няма данни за недоносени бебета (под 36 седмици гестационна възраст).</w:t>
      </w:r>
    </w:p>
    <w:p w14:paraId="1121AF10" w14:textId="77777777" w:rsidR="00200E63" w:rsidRPr="00200E63" w:rsidRDefault="00200E63" w:rsidP="00200E6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00E63">
        <w:rPr>
          <w:rFonts w:eastAsia="Times New Roman" w:cs="Arial"/>
          <w:color w:val="000000"/>
          <w:lang w:eastAsia="bg-BG"/>
        </w:rPr>
        <w:t xml:space="preserve">Понижаване на вътреочното налягане </w:t>
      </w:r>
      <w:r w:rsidRPr="00200E63">
        <w:rPr>
          <w:rFonts w:eastAsia="Times New Roman" w:cs="Arial"/>
          <w:color w:val="000000"/>
          <w:lang w:val="en-US"/>
        </w:rPr>
        <w:t xml:space="preserve">(IOP) </w:t>
      </w:r>
      <w:r w:rsidRPr="00200E63">
        <w:rPr>
          <w:rFonts w:eastAsia="Times New Roman" w:cs="Arial"/>
          <w:color w:val="000000"/>
          <w:lang w:eastAsia="bg-BG"/>
        </w:rPr>
        <w:t>при пациентите с първична конгенитална/педиатрична глаукома (ПКГ) е било подобно в групата на лечение с латанопрост и групата на лечение с тимолол. Подгрупата на пациентите без ПКГ (напр. детска откритоъгълна глаукома, афакична глаукома) е показала резултати, подобни на тези на ПКГ подгрупата.</w:t>
      </w:r>
    </w:p>
    <w:p w14:paraId="28252AA0" w14:textId="2F2AB400" w:rsidR="0091385D" w:rsidRDefault="00200E63" w:rsidP="00200E63">
      <w:pPr>
        <w:rPr>
          <w:rFonts w:eastAsia="Times New Roman" w:cs="Arial"/>
          <w:color w:val="000000"/>
          <w:lang w:eastAsia="bg-BG"/>
        </w:rPr>
      </w:pPr>
      <w:r w:rsidRPr="00200E63">
        <w:rPr>
          <w:rFonts w:eastAsia="Times New Roman" w:cs="Arial"/>
          <w:color w:val="000000"/>
          <w:lang w:eastAsia="bg-BG"/>
        </w:rPr>
        <w:t>Ефектът по отношение понижаването на вътреочното налягане бил отбелязан след първата седмица на лечението (вж. графиката) и бил поддържан през 12 седмичния период на проучването както при възрастни.</w:t>
      </w:r>
    </w:p>
    <w:p w14:paraId="14483CDE" w14:textId="3253D476" w:rsidR="00423EAA" w:rsidRDefault="00423EAA" w:rsidP="00200E63">
      <w:pPr>
        <w:rPr>
          <w:rFonts w:eastAsia="Times New Roman" w:cs="Arial"/>
          <w:color w:val="000000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0"/>
        <w:gridCol w:w="1900"/>
        <w:gridCol w:w="1900"/>
        <w:gridCol w:w="1900"/>
        <w:gridCol w:w="1900"/>
      </w:tblGrid>
      <w:tr w:rsidR="00423EAA" w14:paraId="1C6D606A" w14:textId="77777777" w:rsidTr="00856F01">
        <w:tc>
          <w:tcPr>
            <w:tcW w:w="9500" w:type="dxa"/>
            <w:gridSpan w:val="5"/>
          </w:tcPr>
          <w:p w14:paraId="3EFA1E68" w14:textId="704AEAAE" w:rsidR="00423EAA" w:rsidRDefault="00423EAA" w:rsidP="00200E63">
            <w:pPr>
              <w:rPr>
                <w:rFonts w:cs="Arial"/>
              </w:rPr>
            </w:pPr>
            <w:r>
              <w:rPr>
                <w:b/>
                <w:bCs/>
              </w:rPr>
              <w:t xml:space="preserve">Таблица: Понижаване на вътреочното налягане </w:t>
            </w:r>
            <w:r>
              <w:rPr>
                <w:b/>
                <w:bCs/>
                <w:lang w:val="en-US"/>
              </w:rPr>
              <w:t xml:space="preserve">(mmHg) </w:t>
            </w:r>
            <w:r>
              <w:rPr>
                <w:b/>
                <w:bCs/>
              </w:rPr>
              <w:t>на 12-та седмица по групи, провеждащи активно лечение н изходни стойности при диагностицирането</w:t>
            </w:r>
          </w:p>
        </w:tc>
      </w:tr>
      <w:tr w:rsidR="00423EAA" w14:paraId="3358AB2A" w14:textId="77777777" w:rsidTr="006E22F9">
        <w:tc>
          <w:tcPr>
            <w:tcW w:w="1900" w:type="dxa"/>
            <w:vAlign w:val="bottom"/>
          </w:tcPr>
          <w:p w14:paraId="2B1873D0" w14:textId="77777777" w:rsidR="00423EAA" w:rsidRDefault="00423EAA" w:rsidP="00423EAA">
            <w:pPr>
              <w:jc w:val="center"/>
              <w:rPr>
                <w:rFonts w:cs="Arial"/>
              </w:rPr>
            </w:pPr>
          </w:p>
        </w:tc>
        <w:tc>
          <w:tcPr>
            <w:tcW w:w="3800" w:type="dxa"/>
            <w:gridSpan w:val="2"/>
            <w:vAlign w:val="bottom"/>
          </w:tcPr>
          <w:p w14:paraId="67DC987F" w14:textId="77777777" w:rsidR="00423EAA" w:rsidRDefault="00423EAA" w:rsidP="00423EAA">
            <w:pPr>
              <w:jc w:val="center"/>
            </w:pPr>
            <w:r>
              <w:rPr>
                <w:b/>
                <w:bCs/>
                <w:u w:val="single"/>
              </w:rPr>
              <w:t>Латанопрост</w:t>
            </w:r>
          </w:p>
          <w:p w14:paraId="69229CBB" w14:textId="77777777" w:rsidR="00423EAA" w:rsidRDefault="00423EAA" w:rsidP="00423EA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N=53</w:t>
            </w:r>
          </w:p>
          <w:p w14:paraId="302E3CE8" w14:textId="0779DD11" w:rsidR="00423EAA" w:rsidRDefault="00423EAA" w:rsidP="00423EAA">
            <w:pPr>
              <w:jc w:val="center"/>
              <w:rPr>
                <w:rFonts w:cs="Arial"/>
              </w:rPr>
            </w:pPr>
          </w:p>
        </w:tc>
        <w:tc>
          <w:tcPr>
            <w:tcW w:w="3800" w:type="dxa"/>
            <w:gridSpan w:val="2"/>
            <w:vAlign w:val="bottom"/>
          </w:tcPr>
          <w:p w14:paraId="04AED9EE" w14:textId="77777777" w:rsidR="00423EAA" w:rsidRDefault="00423EAA" w:rsidP="00423EAA">
            <w:pPr>
              <w:jc w:val="center"/>
            </w:pPr>
            <w:r>
              <w:rPr>
                <w:b/>
                <w:bCs/>
                <w:u w:val="single"/>
              </w:rPr>
              <w:t>Тимолол</w:t>
            </w:r>
          </w:p>
          <w:p w14:paraId="0A24FDB2" w14:textId="77777777" w:rsidR="00423EAA" w:rsidRDefault="00423EAA" w:rsidP="00423E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N=54</w:t>
            </w:r>
          </w:p>
          <w:p w14:paraId="440C9FBB" w14:textId="6FE39DAE" w:rsidR="00423EAA" w:rsidRDefault="00423EAA" w:rsidP="00423EAA">
            <w:pPr>
              <w:jc w:val="center"/>
              <w:rPr>
                <w:rFonts w:cs="Arial"/>
              </w:rPr>
            </w:pPr>
          </w:p>
        </w:tc>
      </w:tr>
      <w:tr w:rsidR="00423EAA" w14:paraId="68FA2F15" w14:textId="77777777" w:rsidTr="006E22F9">
        <w:tc>
          <w:tcPr>
            <w:tcW w:w="1900" w:type="dxa"/>
            <w:vAlign w:val="bottom"/>
          </w:tcPr>
          <w:p w14:paraId="6BAB491D" w14:textId="56A0353E" w:rsidR="00423EAA" w:rsidRDefault="00423EAA" w:rsidP="00423EAA">
            <w:pPr>
              <w:jc w:val="center"/>
              <w:rPr>
                <w:rFonts w:cs="Arial"/>
              </w:rPr>
            </w:pPr>
            <w:r>
              <w:t xml:space="preserve">Средни изходни стойности </w:t>
            </w:r>
            <w:r>
              <w:rPr>
                <w:lang w:val="en-US"/>
              </w:rPr>
              <w:t>(SE)</w:t>
            </w:r>
          </w:p>
        </w:tc>
        <w:tc>
          <w:tcPr>
            <w:tcW w:w="3800" w:type="dxa"/>
            <w:gridSpan w:val="2"/>
          </w:tcPr>
          <w:p w14:paraId="78A83040" w14:textId="5B277446" w:rsidR="00423EAA" w:rsidRDefault="00423EAA" w:rsidP="00423EAA">
            <w:pPr>
              <w:jc w:val="center"/>
              <w:rPr>
                <w:rFonts w:cs="Arial"/>
              </w:rPr>
            </w:pPr>
            <w:r>
              <w:t>27,3 (0,75)</w:t>
            </w:r>
          </w:p>
        </w:tc>
        <w:tc>
          <w:tcPr>
            <w:tcW w:w="3800" w:type="dxa"/>
            <w:gridSpan w:val="2"/>
          </w:tcPr>
          <w:p w14:paraId="018BBDBA" w14:textId="13A478B9" w:rsidR="00423EAA" w:rsidRDefault="00423EAA" w:rsidP="00423EAA">
            <w:pPr>
              <w:jc w:val="center"/>
              <w:rPr>
                <w:rFonts w:cs="Arial"/>
              </w:rPr>
            </w:pPr>
            <w:r>
              <w:t>27,8 (0,84)</w:t>
            </w:r>
          </w:p>
        </w:tc>
      </w:tr>
      <w:tr w:rsidR="00423EAA" w14:paraId="48638227" w14:textId="77777777" w:rsidTr="006E3989">
        <w:tc>
          <w:tcPr>
            <w:tcW w:w="1900" w:type="dxa"/>
          </w:tcPr>
          <w:p w14:paraId="27B81C23" w14:textId="77777777" w:rsidR="00423EAA" w:rsidRDefault="00423EAA" w:rsidP="00423EAA">
            <w:pPr>
              <w:jc w:val="center"/>
            </w:pPr>
            <w:r>
              <w:t>Промени на 12-та седмица от средните изходни стойности*</w:t>
            </w:r>
          </w:p>
          <w:p w14:paraId="60ED2067" w14:textId="5D1C36C4" w:rsidR="00423EAA" w:rsidRDefault="00423EAA" w:rsidP="00423EAA">
            <w:pPr>
              <w:jc w:val="center"/>
              <w:rPr>
                <w:rFonts w:cs="Arial"/>
              </w:rPr>
            </w:pPr>
            <w:r>
              <w:rPr>
                <w:lang w:val="en-US"/>
              </w:rPr>
              <w:t>(SE)</w:t>
            </w:r>
          </w:p>
        </w:tc>
        <w:tc>
          <w:tcPr>
            <w:tcW w:w="3800" w:type="dxa"/>
            <w:gridSpan w:val="2"/>
          </w:tcPr>
          <w:p w14:paraId="370360F8" w14:textId="1E6DE50E" w:rsidR="00423EAA" w:rsidRDefault="00423EAA" w:rsidP="00423EAA">
            <w:pPr>
              <w:jc w:val="center"/>
              <w:rPr>
                <w:rFonts w:cs="Arial"/>
              </w:rPr>
            </w:pPr>
            <w:r>
              <w:t>-7,18 (0,81)</w:t>
            </w:r>
          </w:p>
        </w:tc>
        <w:tc>
          <w:tcPr>
            <w:tcW w:w="3800" w:type="dxa"/>
            <w:gridSpan w:val="2"/>
          </w:tcPr>
          <w:p w14:paraId="38C71453" w14:textId="78F91A7B" w:rsidR="00423EAA" w:rsidRDefault="00423EAA" w:rsidP="00423EAA">
            <w:pPr>
              <w:jc w:val="center"/>
              <w:rPr>
                <w:rFonts w:cs="Arial"/>
              </w:rPr>
            </w:pPr>
            <w:r>
              <w:t>- 5,72 (0,81)</w:t>
            </w:r>
          </w:p>
        </w:tc>
      </w:tr>
      <w:tr w:rsidR="00423EAA" w14:paraId="5A8425F1" w14:textId="77777777" w:rsidTr="005568E0">
        <w:tc>
          <w:tcPr>
            <w:tcW w:w="1900" w:type="dxa"/>
            <w:vAlign w:val="bottom"/>
          </w:tcPr>
          <w:p w14:paraId="2C84EF61" w14:textId="1B49CFF6" w:rsidR="00423EAA" w:rsidRDefault="00423EAA" w:rsidP="00423EAA">
            <w:pPr>
              <w:rPr>
                <w:rFonts w:cs="Arial"/>
              </w:rPr>
            </w:pPr>
            <w:r>
              <w:t>р-стойност спрямо тимолол</w:t>
            </w:r>
          </w:p>
        </w:tc>
        <w:tc>
          <w:tcPr>
            <w:tcW w:w="1900" w:type="dxa"/>
          </w:tcPr>
          <w:p w14:paraId="02E03495" w14:textId="77777777" w:rsidR="00423EAA" w:rsidRDefault="00423EAA" w:rsidP="00423EAA">
            <w:pPr>
              <w:rPr>
                <w:rFonts w:cs="Arial"/>
              </w:rPr>
            </w:pPr>
          </w:p>
        </w:tc>
        <w:tc>
          <w:tcPr>
            <w:tcW w:w="1900" w:type="dxa"/>
          </w:tcPr>
          <w:p w14:paraId="6E4DF185" w14:textId="77777777" w:rsidR="00423EAA" w:rsidRDefault="00423EAA" w:rsidP="00423EAA">
            <w:pPr>
              <w:rPr>
                <w:rFonts w:cs="Arial"/>
              </w:rPr>
            </w:pPr>
          </w:p>
        </w:tc>
        <w:tc>
          <w:tcPr>
            <w:tcW w:w="1900" w:type="dxa"/>
          </w:tcPr>
          <w:p w14:paraId="3F3780C4" w14:textId="77777777" w:rsidR="00423EAA" w:rsidRDefault="00423EAA" w:rsidP="00423EAA">
            <w:pPr>
              <w:rPr>
                <w:rFonts w:cs="Arial"/>
              </w:rPr>
            </w:pPr>
          </w:p>
        </w:tc>
        <w:tc>
          <w:tcPr>
            <w:tcW w:w="1900" w:type="dxa"/>
          </w:tcPr>
          <w:p w14:paraId="4F53BCF0" w14:textId="77777777" w:rsidR="00423EAA" w:rsidRDefault="00423EAA" w:rsidP="00423EAA">
            <w:pPr>
              <w:rPr>
                <w:rFonts w:cs="Arial"/>
              </w:rPr>
            </w:pPr>
          </w:p>
        </w:tc>
      </w:tr>
      <w:tr w:rsidR="00423EAA" w14:paraId="27DE4A34" w14:textId="77777777" w:rsidTr="00EB20A4">
        <w:tc>
          <w:tcPr>
            <w:tcW w:w="1900" w:type="dxa"/>
          </w:tcPr>
          <w:p w14:paraId="1AB077D4" w14:textId="77777777" w:rsidR="00423EAA" w:rsidRDefault="00423EAA" w:rsidP="00423EAA">
            <w:pPr>
              <w:rPr>
                <w:rFonts w:cs="Arial"/>
              </w:rPr>
            </w:pPr>
          </w:p>
        </w:tc>
        <w:tc>
          <w:tcPr>
            <w:tcW w:w="1900" w:type="dxa"/>
            <w:vAlign w:val="bottom"/>
          </w:tcPr>
          <w:p w14:paraId="6BBD4513" w14:textId="77777777" w:rsidR="00423EAA" w:rsidRDefault="00423EAA" w:rsidP="00423EAA">
            <w:pPr>
              <w:jc w:val="center"/>
            </w:pPr>
            <w:r>
              <w:rPr>
                <w:b/>
                <w:bCs/>
                <w:i/>
                <w:iCs/>
              </w:rPr>
              <w:t>ПКГ</w:t>
            </w:r>
          </w:p>
          <w:p w14:paraId="7EF1BB5B" w14:textId="37DA9D31" w:rsidR="00423EAA" w:rsidRDefault="00423EAA" w:rsidP="00423EAA">
            <w:pPr>
              <w:jc w:val="center"/>
              <w:rPr>
                <w:rFonts w:cs="Arial"/>
              </w:rPr>
            </w:pPr>
            <w:r>
              <w:rPr>
                <w:b/>
                <w:bCs/>
                <w:i/>
                <w:iCs/>
                <w:lang w:val="en-US"/>
              </w:rPr>
              <w:t>N=28</w:t>
            </w:r>
          </w:p>
        </w:tc>
        <w:tc>
          <w:tcPr>
            <w:tcW w:w="1900" w:type="dxa"/>
            <w:vAlign w:val="bottom"/>
          </w:tcPr>
          <w:p w14:paraId="718A88DA" w14:textId="77777777" w:rsidR="00423EAA" w:rsidRDefault="00423EAA" w:rsidP="00423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Без ПКГ </w:t>
            </w:r>
          </w:p>
          <w:p w14:paraId="1AAD8CDE" w14:textId="6AB0F8DF" w:rsidR="00423EAA" w:rsidRDefault="00423EAA" w:rsidP="00423EAA">
            <w:pPr>
              <w:jc w:val="center"/>
              <w:rPr>
                <w:rFonts w:cs="Arial"/>
              </w:rPr>
            </w:pPr>
            <w:r>
              <w:rPr>
                <w:b/>
                <w:bCs/>
                <w:lang w:val="en-US"/>
              </w:rPr>
              <w:t>N=25</w:t>
            </w:r>
          </w:p>
        </w:tc>
        <w:tc>
          <w:tcPr>
            <w:tcW w:w="1900" w:type="dxa"/>
            <w:vAlign w:val="bottom"/>
          </w:tcPr>
          <w:p w14:paraId="51AED583" w14:textId="77777777" w:rsidR="00423EAA" w:rsidRDefault="00423EAA" w:rsidP="00423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ПКГ </w:t>
            </w:r>
          </w:p>
          <w:p w14:paraId="0F01EF67" w14:textId="58CD291B" w:rsidR="00423EAA" w:rsidRDefault="00423EAA" w:rsidP="00423EAA">
            <w:pPr>
              <w:jc w:val="center"/>
              <w:rPr>
                <w:rFonts w:cs="Arial"/>
              </w:rPr>
            </w:pPr>
            <w:r>
              <w:rPr>
                <w:b/>
                <w:bCs/>
                <w:lang w:val="en-US"/>
              </w:rPr>
              <w:t>N</w:t>
            </w:r>
            <w:r>
              <w:rPr>
                <w:b/>
                <w:bCs/>
              </w:rPr>
              <w:t>=26</w:t>
            </w:r>
          </w:p>
        </w:tc>
        <w:tc>
          <w:tcPr>
            <w:tcW w:w="1900" w:type="dxa"/>
          </w:tcPr>
          <w:p w14:paraId="22486F96" w14:textId="6893596F" w:rsidR="00423EAA" w:rsidRDefault="00423EAA" w:rsidP="00423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 ПКГ</w:t>
            </w:r>
          </w:p>
          <w:p w14:paraId="5849F239" w14:textId="2C1624ED" w:rsidR="00423EAA" w:rsidRDefault="00423EAA" w:rsidP="00423EAA">
            <w:pPr>
              <w:jc w:val="center"/>
              <w:rPr>
                <w:rFonts w:cs="Arial"/>
              </w:rPr>
            </w:pPr>
            <w:r>
              <w:rPr>
                <w:b/>
                <w:bCs/>
                <w:lang w:val="en-US"/>
              </w:rPr>
              <w:t>N=28</w:t>
            </w:r>
          </w:p>
        </w:tc>
      </w:tr>
      <w:tr w:rsidR="00423EAA" w14:paraId="2C62EAF6" w14:textId="77777777" w:rsidTr="005568E0">
        <w:tc>
          <w:tcPr>
            <w:tcW w:w="1900" w:type="dxa"/>
            <w:vAlign w:val="bottom"/>
          </w:tcPr>
          <w:p w14:paraId="15D16A09" w14:textId="46CD043F" w:rsidR="00423EAA" w:rsidRDefault="00423EAA" w:rsidP="00423EAA">
            <w:pPr>
              <w:rPr>
                <w:rFonts w:cs="Arial"/>
              </w:rPr>
            </w:pPr>
            <w:r>
              <w:t xml:space="preserve">Средни изходни стойности </w:t>
            </w:r>
            <w:r>
              <w:rPr>
                <w:lang w:val="en-US"/>
              </w:rPr>
              <w:t>(SE)</w:t>
            </w:r>
          </w:p>
        </w:tc>
        <w:tc>
          <w:tcPr>
            <w:tcW w:w="1900" w:type="dxa"/>
          </w:tcPr>
          <w:p w14:paraId="1DDD9724" w14:textId="355F4988" w:rsidR="00423EAA" w:rsidRDefault="00423EAA" w:rsidP="00423EAA">
            <w:pPr>
              <w:jc w:val="center"/>
              <w:rPr>
                <w:rFonts w:cs="Arial"/>
              </w:rPr>
            </w:pPr>
            <w:r>
              <w:t>26,5 (0,72)</w:t>
            </w:r>
          </w:p>
        </w:tc>
        <w:tc>
          <w:tcPr>
            <w:tcW w:w="1900" w:type="dxa"/>
          </w:tcPr>
          <w:p w14:paraId="58FBF893" w14:textId="2394B023" w:rsidR="00423EAA" w:rsidRDefault="00423EAA" w:rsidP="00423EAA">
            <w:pPr>
              <w:jc w:val="center"/>
              <w:rPr>
                <w:rFonts w:cs="Arial"/>
              </w:rPr>
            </w:pPr>
            <w:r>
              <w:t>28,2(1,37)</w:t>
            </w:r>
          </w:p>
        </w:tc>
        <w:tc>
          <w:tcPr>
            <w:tcW w:w="1900" w:type="dxa"/>
          </w:tcPr>
          <w:p w14:paraId="557BF798" w14:textId="1A35FE5E" w:rsidR="00423EAA" w:rsidRDefault="00423EAA" w:rsidP="00423EAA">
            <w:pPr>
              <w:jc w:val="center"/>
              <w:rPr>
                <w:rFonts w:cs="Arial"/>
              </w:rPr>
            </w:pPr>
            <w:r>
              <w:t>26,3 (0,95)</w:t>
            </w:r>
          </w:p>
        </w:tc>
        <w:tc>
          <w:tcPr>
            <w:tcW w:w="1900" w:type="dxa"/>
          </w:tcPr>
          <w:p w14:paraId="0FD6540B" w14:textId="0ED48307" w:rsidR="00423EAA" w:rsidRPr="00423EAA" w:rsidRDefault="00423EAA" w:rsidP="00423EAA">
            <w:pPr>
              <w:jc w:val="center"/>
              <w:rPr>
                <w:rFonts w:cs="Arial"/>
              </w:rPr>
            </w:pPr>
            <w:r w:rsidRPr="00423EAA">
              <w:rPr>
                <w:rFonts w:cs="Arial"/>
                <w:lang w:eastAsia="bg-BG"/>
              </w:rPr>
              <w:t>29,1</w:t>
            </w:r>
            <w:r w:rsidRPr="00423EAA">
              <w:rPr>
                <w:rFonts w:cs="Arial"/>
              </w:rPr>
              <w:t xml:space="preserve"> (1,33)</w:t>
            </w:r>
          </w:p>
        </w:tc>
      </w:tr>
      <w:tr w:rsidR="00423EAA" w14:paraId="5BE3F4BC" w14:textId="77777777" w:rsidTr="00116E4C">
        <w:trPr>
          <w:trHeight w:val="1619"/>
        </w:trPr>
        <w:tc>
          <w:tcPr>
            <w:tcW w:w="1900" w:type="dxa"/>
          </w:tcPr>
          <w:p w14:paraId="72AEED17" w14:textId="77777777" w:rsidR="00423EAA" w:rsidRDefault="00423EAA" w:rsidP="00423EAA">
            <w:pPr>
              <w:rPr>
                <w:rFonts w:cs="Arial"/>
              </w:rPr>
            </w:pPr>
            <w:r>
              <w:t>Промени на 12-та седмица от средните изходни стойности*</w:t>
            </w:r>
          </w:p>
          <w:p w14:paraId="69DCA559" w14:textId="3BCA7109" w:rsidR="00423EAA" w:rsidRDefault="00423EAA" w:rsidP="00423EAA">
            <w:pPr>
              <w:rPr>
                <w:rFonts w:cs="Arial"/>
              </w:rPr>
            </w:pPr>
            <w:r>
              <w:rPr>
                <w:lang w:val="en-US"/>
              </w:rPr>
              <w:t>(SE)</w:t>
            </w:r>
            <w:r>
              <w:rPr>
                <w:lang w:val="en-US"/>
              </w:rPr>
              <w:tab/>
            </w:r>
            <w:r>
              <w:tab/>
            </w:r>
          </w:p>
        </w:tc>
        <w:tc>
          <w:tcPr>
            <w:tcW w:w="1900" w:type="dxa"/>
          </w:tcPr>
          <w:p w14:paraId="50C03A32" w14:textId="246C12D9" w:rsidR="00423EAA" w:rsidRDefault="00423EAA" w:rsidP="00423EAA">
            <w:pPr>
              <w:jc w:val="center"/>
              <w:rPr>
                <w:rFonts w:cs="Arial"/>
              </w:rPr>
            </w:pPr>
            <w:r>
              <w:t>-5,90 (0,98)</w:t>
            </w:r>
          </w:p>
        </w:tc>
        <w:tc>
          <w:tcPr>
            <w:tcW w:w="1900" w:type="dxa"/>
          </w:tcPr>
          <w:p w14:paraId="79857B75" w14:textId="611BD93C" w:rsidR="00423EAA" w:rsidRDefault="00423EAA" w:rsidP="00423EAA">
            <w:pPr>
              <w:jc w:val="center"/>
              <w:rPr>
                <w:rFonts w:cs="Arial"/>
              </w:rPr>
            </w:pPr>
            <w:r>
              <w:t>-8,66(1,25)</w:t>
            </w:r>
          </w:p>
        </w:tc>
        <w:tc>
          <w:tcPr>
            <w:tcW w:w="1900" w:type="dxa"/>
          </w:tcPr>
          <w:p w14:paraId="10DE3BE8" w14:textId="0469BACD" w:rsidR="00423EAA" w:rsidRDefault="00423EAA" w:rsidP="00423EAA">
            <w:pPr>
              <w:jc w:val="center"/>
              <w:rPr>
                <w:rFonts w:cs="Arial"/>
              </w:rPr>
            </w:pPr>
            <w:r>
              <w:t xml:space="preserve">-5,34(1,02) </w:t>
            </w:r>
            <w:r>
              <w:rPr>
                <w:vertAlign w:val="superscript"/>
              </w:rPr>
              <w:t>1</w:t>
            </w:r>
          </w:p>
        </w:tc>
        <w:tc>
          <w:tcPr>
            <w:tcW w:w="1900" w:type="dxa"/>
          </w:tcPr>
          <w:p w14:paraId="38ACE542" w14:textId="09B3505B" w:rsidR="00423EAA" w:rsidRPr="00423EAA" w:rsidRDefault="00423EAA" w:rsidP="00423EAA">
            <w:pPr>
              <w:jc w:val="center"/>
              <w:rPr>
                <w:rFonts w:cs="Arial"/>
              </w:rPr>
            </w:pPr>
            <w:r w:rsidRPr="00423EAA">
              <w:t>- 6,02 (1,18)</w:t>
            </w:r>
          </w:p>
        </w:tc>
      </w:tr>
      <w:tr w:rsidR="00423EAA" w14:paraId="410E66FD" w14:textId="77777777" w:rsidTr="00423EAA">
        <w:tc>
          <w:tcPr>
            <w:tcW w:w="1900" w:type="dxa"/>
          </w:tcPr>
          <w:p w14:paraId="45ABA07A" w14:textId="49C74B12" w:rsidR="00423EAA" w:rsidRDefault="00423EAA" w:rsidP="00423EAA">
            <w:pPr>
              <w:rPr>
                <w:rFonts w:cs="Arial"/>
              </w:rPr>
            </w:pPr>
            <w:r>
              <w:t>р-стойност спрямо тимолол</w:t>
            </w:r>
          </w:p>
        </w:tc>
        <w:tc>
          <w:tcPr>
            <w:tcW w:w="1900" w:type="dxa"/>
          </w:tcPr>
          <w:p w14:paraId="643837F8" w14:textId="7D97C72E" w:rsidR="00423EAA" w:rsidRDefault="00423EAA" w:rsidP="00423EAA">
            <w:pPr>
              <w:jc w:val="center"/>
              <w:rPr>
                <w:rFonts w:cs="Arial"/>
              </w:rPr>
            </w:pPr>
            <w:r>
              <w:t>0,6957</w:t>
            </w:r>
          </w:p>
        </w:tc>
        <w:tc>
          <w:tcPr>
            <w:tcW w:w="1900" w:type="dxa"/>
          </w:tcPr>
          <w:p w14:paraId="5BC80227" w14:textId="42C12127" w:rsidR="00423EAA" w:rsidRDefault="00423EAA" w:rsidP="00423EAA">
            <w:pPr>
              <w:jc w:val="center"/>
              <w:rPr>
                <w:rFonts w:cs="Arial"/>
              </w:rPr>
            </w:pPr>
            <w:r>
              <w:t>0,1317</w:t>
            </w:r>
          </w:p>
        </w:tc>
        <w:tc>
          <w:tcPr>
            <w:tcW w:w="1900" w:type="dxa"/>
          </w:tcPr>
          <w:p w14:paraId="230782F0" w14:textId="0621AF50" w:rsidR="00423EAA" w:rsidRDefault="00423EAA" w:rsidP="00423EAA">
            <w:pPr>
              <w:rPr>
                <w:rFonts w:cs="Arial"/>
              </w:rPr>
            </w:pPr>
            <w:r>
              <w:rPr>
                <w:rFonts w:cs="Arial"/>
                <w:sz w:val="19"/>
                <w:szCs w:val="19"/>
              </w:rPr>
              <w:tab/>
            </w:r>
          </w:p>
        </w:tc>
        <w:tc>
          <w:tcPr>
            <w:tcW w:w="1900" w:type="dxa"/>
          </w:tcPr>
          <w:p w14:paraId="7236F2D2" w14:textId="77777777" w:rsidR="00423EAA" w:rsidRDefault="00423EAA" w:rsidP="00423EAA">
            <w:pPr>
              <w:rPr>
                <w:rFonts w:cs="Arial"/>
              </w:rPr>
            </w:pPr>
          </w:p>
        </w:tc>
      </w:tr>
    </w:tbl>
    <w:p w14:paraId="7ECA96D9" w14:textId="77777777" w:rsidR="00423EAA" w:rsidRPr="00423EAA" w:rsidRDefault="00423EAA" w:rsidP="00423EA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23EAA">
        <w:rPr>
          <w:rFonts w:eastAsia="Times New Roman" w:cs="Arial"/>
          <w:color w:val="000000"/>
          <w:lang w:val="en-US"/>
        </w:rPr>
        <w:t xml:space="preserve">SE: </w:t>
      </w:r>
      <w:r w:rsidRPr="00423EAA">
        <w:rPr>
          <w:rFonts w:eastAsia="Times New Roman" w:cs="Arial"/>
          <w:color w:val="000000"/>
          <w:lang w:eastAsia="bg-BG"/>
        </w:rPr>
        <w:t>стандартна грешка</w:t>
      </w:r>
    </w:p>
    <w:p w14:paraId="550A751A" w14:textId="3D0A0F8C" w:rsidR="00423EAA" w:rsidRPr="00423EAA" w:rsidRDefault="00423EAA" w:rsidP="00423EAA">
      <w:pPr>
        <w:rPr>
          <w:rFonts w:cs="Arial"/>
        </w:rPr>
      </w:pPr>
      <w:r w:rsidRPr="00423EAA">
        <w:rPr>
          <w:rFonts w:eastAsia="Times New Roman" w:cs="Arial"/>
          <w:color w:val="000000"/>
          <w:lang w:eastAsia="bg-BG"/>
        </w:rPr>
        <w:t xml:space="preserve">* Адаптирана оценка, основана на анализа на съпътстваща промяна </w:t>
      </w:r>
      <w:r w:rsidRPr="00423EAA">
        <w:rPr>
          <w:rFonts w:eastAsia="Times New Roman" w:cs="Arial"/>
          <w:color w:val="000000"/>
          <w:lang w:val="en-US"/>
        </w:rPr>
        <w:t xml:space="preserve">(ANCOVA) </w:t>
      </w:r>
      <w:r w:rsidRPr="00423EAA">
        <w:rPr>
          <w:rFonts w:eastAsia="Times New Roman" w:cs="Arial"/>
          <w:color w:val="000000"/>
          <w:lang w:eastAsia="bg-BG"/>
        </w:rPr>
        <w:t>модел.</w:t>
      </w:r>
    </w:p>
    <w:p w14:paraId="36152471" w14:textId="77777777" w:rsidR="0091385D" w:rsidRPr="0091385D" w:rsidRDefault="0091385D" w:rsidP="0091385D"/>
    <w:p w14:paraId="35F84B81" w14:textId="6423E5BB" w:rsidR="00CF77F7" w:rsidRDefault="002C50EE" w:rsidP="004A448E">
      <w:pPr>
        <w:pStyle w:val="Heading2"/>
      </w:pPr>
      <w:r>
        <w:t>5.2. Фармакокинетични свойства</w:t>
      </w:r>
    </w:p>
    <w:p w14:paraId="5031193D" w14:textId="06A21EFE" w:rsidR="0091385D" w:rsidRDefault="0091385D" w:rsidP="0091385D"/>
    <w:p w14:paraId="5A172806" w14:textId="77777777" w:rsidR="00423EAA" w:rsidRPr="00423EAA" w:rsidRDefault="00423EAA" w:rsidP="00423EAA">
      <w:pPr>
        <w:pStyle w:val="Heading3"/>
        <w:rPr>
          <w:rFonts w:eastAsia="Times New Roman"/>
          <w:u w:val="single"/>
          <w:lang w:eastAsia="bg-BG"/>
        </w:rPr>
      </w:pPr>
      <w:r w:rsidRPr="00423EAA">
        <w:rPr>
          <w:rFonts w:eastAsia="Times New Roman"/>
          <w:u w:val="single"/>
          <w:lang w:eastAsia="bg-BG"/>
        </w:rPr>
        <w:t>Абсорбция</w:t>
      </w:r>
    </w:p>
    <w:p w14:paraId="45674446" w14:textId="77777777" w:rsidR="00423EAA" w:rsidRPr="00423EAA" w:rsidRDefault="00423EAA" w:rsidP="00423EA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23EAA">
        <w:rPr>
          <w:rFonts w:eastAsia="Times New Roman" w:cs="Arial"/>
          <w:color w:val="000000"/>
          <w:lang w:eastAsia="bg-BG"/>
        </w:rPr>
        <w:t>Латанопрост (молекулно тегло 532,58) е изопропилестерен лекарствен прекурсор, който сам по себе си не е активен, но става биологично активен след хидролиза до киселина на латанопрост.</w:t>
      </w:r>
    </w:p>
    <w:p w14:paraId="3C1698B7" w14:textId="77777777" w:rsidR="00423EAA" w:rsidRPr="00423EAA" w:rsidRDefault="00423EAA" w:rsidP="00423EA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5B2FFF5" w14:textId="3844A264" w:rsidR="00423EAA" w:rsidRPr="00423EAA" w:rsidRDefault="00423EAA" w:rsidP="00423EA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23EAA">
        <w:rPr>
          <w:rFonts w:eastAsia="Times New Roman" w:cs="Arial"/>
          <w:color w:val="000000"/>
          <w:lang w:eastAsia="bg-BG"/>
        </w:rPr>
        <w:t>Лекарственият прекурсор се абсорбира добре през роговицата на окото и цялото количество лекарствено средство, което навлиза във вътреочната течност се хидролизира при преминаване през корнеята.</w:t>
      </w:r>
    </w:p>
    <w:p w14:paraId="1405A982" w14:textId="77777777" w:rsidR="00423EAA" w:rsidRPr="00423EAA" w:rsidRDefault="00423EAA" w:rsidP="00423EA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F121B44" w14:textId="18C68C6B" w:rsidR="00423EAA" w:rsidRPr="00423EAA" w:rsidRDefault="00423EAA" w:rsidP="00423EAA">
      <w:pPr>
        <w:pStyle w:val="Heading3"/>
        <w:rPr>
          <w:rFonts w:eastAsia="Times New Roman"/>
          <w:u w:val="single"/>
          <w:lang w:eastAsia="bg-BG"/>
        </w:rPr>
      </w:pPr>
      <w:r w:rsidRPr="00423EAA">
        <w:rPr>
          <w:rFonts w:eastAsia="Times New Roman"/>
          <w:u w:val="single"/>
          <w:lang w:eastAsia="bg-BG"/>
        </w:rPr>
        <w:t>Разпределение</w:t>
      </w:r>
    </w:p>
    <w:p w14:paraId="54ACE18F" w14:textId="77777777" w:rsidR="00423EAA" w:rsidRPr="00423EAA" w:rsidRDefault="00423EAA" w:rsidP="00423EA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23EAA">
        <w:rPr>
          <w:rFonts w:eastAsia="Times New Roman" w:cs="Arial"/>
          <w:color w:val="000000"/>
          <w:lang w:eastAsia="bg-BG"/>
        </w:rPr>
        <w:t>При проведените проучвания при хора е установено, че след локално приложение, максимални концентрации във вътреочната течност се достигат след около два часа. След локално приложение при маймуни латанопрост се разпределя главно в предния сегмент, конюктивата и клепачите. Само минимални количества от лекарствения продукт достигат до задния очен сегмент.</w:t>
      </w:r>
    </w:p>
    <w:p w14:paraId="2B73E936" w14:textId="77777777" w:rsidR="00423EAA" w:rsidRPr="00423EAA" w:rsidRDefault="00423EAA" w:rsidP="00423EA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7560D55" w14:textId="0B4D3195" w:rsidR="00423EAA" w:rsidRPr="00423EAA" w:rsidRDefault="00423EAA" w:rsidP="00423EAA">
      <w:pPr>
        <w:pStyle w:val="Heading3"/>
        <w:rPr>
          <w:rFonts w:eastAsia="Times New Roman"/>
          <w:u w:val="single"/>
          <w:lang w:eastAsia="bg-BG"/>
        </w:rPr>
      </w:pPr>
      <w:r w:rsidRPr="00423EAA">
        <w:rPr>
          <w:rFonts w:eastAsia="Times New Roman"/>
          <w:u w:val="single"/>
          <w:lang w:eastAsia="bg-BG"/>
        </w:rPr>
        <w:t>Биотрансформация</w:t>
      </w:r>
    </w:p>
    <w:p w14:paraId="0B4A3C51" w14:textId="77777777" w:rsidR="00423EAA" w:rsidRPr="00423EAA" w:rsidRDefault="00423EAA" w:rsidP="00423EA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23EAA">
        <w:rPr>
          <w:rFonts w:eastAsia="Times New Roman" w:cs="Arial"/>
          <w:color w:val="000000"/>
          <w:lang w:eastAsia="bg-BG"/>
        </w:rPr>
        <w:t>Киселината на латанопрост практически не се метаболизнра в окото. Основният метаболизъм протича в черния дроб. Плазменото време на полуживот при хора е 17 минути. При проучвания при опитни животни е установено, че основните метаболити, 1,2-динор- и 1,2,3,4- тетранорметаболитите имат малка или съвсем слаба биологична активност и се елиминират главно с урината.</w:t>
      </w:r>
    </w:p>
    <w:p w14:paraId="1C588759" w14:textId="77777777" w:rsidR="00423EAA" w:rsidRPr="00423EAA" w:rsidRDefault="00423EAA" w:rsidP="00423EAA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9F89903" w14:textId="1B5B65AE" w:rsidR="00423EAA" w:rsidRPr="00423EAA" w:rsidRDefault="00423EAA" w:rsidP="00423EA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23EAA">
        <w:rPr>
          <w:rFonts w:eastAsia="Times New Roman" w:cs="Arial"/>
          <w:i/>
          <w:iCs/>
          <w:color w:val="000000"/>
          <w:lang w:eastAsia="bg-BG"/>
        </w:rPr>
        <w:t>Педиатрична популация</w:t>
      </w:r>
    </w:p>
    <w:p w14:paraId="148BA3FC" w14:textId="1112DAAA" w:rsidR="0091385D" w:rsidRPr="00423EAA" w:rsidRDefault="00423EAA" w:rsidP="00423EAA">
      <w:pPr>
        <w:rPr>
          <w:rFonts w:cs="Arial"/>
        </w:rPr>
      </w:pPr>
      <w:r w:rsidRPr="00423EAA">
        <w:rPr>
          <w:rFonts w:eastAsia="Times New Roman" w:cs="Arial"/>
          <w:color w:val="000000"/>
          <w:lang w:eastAsia="bg-BG"/>
        </w:rPr>
        <w:t xml:space="preserve">При 22 възрастни и 25 педиатрични пациенти (на възраст от раждането до &lt;18 години), с повишено вътреочно налягане и глаукома, било проведено отворено фармакокинетично проучване на концентрациите на киселината на латанопрост в плазмата. Всички възрастови групи били третирани с латанопрост 0,005% по една капка във всяко око най-малко 2 седмици. Системната експозиция на киселината на латанопрост била приблизително 2 пъти по-висока при пациентите от 3 до &lt;12 години и 6 пъти по-висока при деца &lt;3 години в сравнение с възрастни, но била поддържана широка граница на сигурност по отношение на системните нежелани лекарствени реакции (вж. точка 4.9). Средното време за достигане на върхови плазмени концентрации било 5 минути след дозата при всички възрастови групи. Средният полуживот на елиминация бил кратък (&lt;20 минути) за педиатричните и възрастни пациенти, в резултат на което няма натрупване на киселина на латанопрост в системното кръвообращение при състояние на </w:t>
      </w:r>
      <w:r w:rsidRPr="00423EAA">
        <w:rPr>
          <w:rFonts w:eastAsia="Times New Roman" w:cs="Arial"/>
          <w:color w:val="000000"/>
          <w:lang w:val="en-US"/>
        </w:rPr>
        <w:t>steady-state.</w:t>
      </w:r>
    </w:p>
    <w:p w14:paraId="4EE1BB0B" w14:textId="77777777" w:rsidR="0091385D" w:rsidRPr="0091385D" w:rsidRDefault="0091385D" w:rsidP="0091385D"/>
    <w:p w14:paraId="648E39DA" w14:textId="44D16CBD" w:rsidR="00CF77F7" w:rsidRDefault="002C50EE" w:rsidP="004A448E">
      <w:pPr>
        <w:pStyle w:val="Heading2"/>
      </w:pPr>
      <w:r>
        <w:t>5.3. Предклинични данни за безопасност</w:t>
      </w:r>
    </w:p>
    <w:p w14:paraId="31455D09" w14:textId="4D0EFBF5" w:rsidR="0091385D" w:rsidRDefault="0091385D" w:rsidP="0091385D"/>
    <w:p w14:paraId="2FF3889D" w14:textId="77777777" w:rsidR="00423EAA" w:rsidRPr="00423EAA" w:rsidRDefault="00423EAA" w:rsidP="00423EA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23EAA">
        <w:rPr>
          <w:rFonts w:eastAsia="Times New Roman" w:cs="Arial"/>
          <w:color w:val="000000"/>
          <w:lang w:eastAsia="bg-BG"/>
        </w:rPr>
        <w:t>Както очната, така и системната токсичност на латанопрост са проучени при различни животински видове. Като цяло, латанопрост се понася добре и има граница на безопасност между терапевтичната локална доза и системната токсичност от най-малко 1000 пъти. Интравенозното приложение на високи дози латанопрост, около 100 пъти терапевтичната доза/кг телесно тегло, при неанестезирани маймуни, е довело до ускоряване на дихателната честота, което вероятно се дължи на краткотрайна бронхоконстрикция. При проучвания при опитни животни не са установени сенсибилизиращи свойства на латанопрост.</w:t>
      </w:r>
    </w:p>
    <w:p w14:paraId="126EAD9A" w14:textId="77777777" w:rsidR="00423EAA" w:rsidRPr="00423EAA" w:rsidRDefault="00423EAA" w:rsidP="00423EA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2E4D01A" w14:textId="1A29628C" w:rsidR="0091385D" w:rsidRPr="00423EAA" w:rsidRDefault="00423EAA" w:rsidP="00423EA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23EAA">
        <w:rPr>
          <w:rFonts w:eastAsia="Times New Roman" w:cs="Arial"/>
          <w:color w:val="000000"/>
          <w:lang w:eastAsia="bg-BG"/>
        </w:rPr>
        <w:t>Не са наблюдавани токсични ефекти с прилагане на дневни дози до 100 микрограма/око/дневно</w:t>
      </w:r>
      <w:r>
        <w:rPr>
          <w:rFonts w:eastAsia="Times New Roman" w:cs="Arial"/>
          <w:sz w:val="24"/>
          <w:szCs w:val="24"/>
          <w:lang w:eastAsia="bg-BG"/>
        </w:rPr>
        <w:t xml:space="preserve"> </w:t>
      </w:r>
      <w:r w:rsidRPr="00423EAA">
        <w:rPr>
          <w:rFonts w:eastAsia="Times New Roman" w:cs="Arial"/>
          <w:color w:val="000000"/>
          <w:lang w:eastAsia="bg-BG"/>
        </w:rPr>
        <w:t>при зайци или маймуни (терапевтичната доза е около 1,5 микрограма/око/дневно).</w:t>
      </w:r>
      <w:r w:rsidRPr="00423EAA">
        <w:rPr>
          <w:rFonts w:eastAsia="Times New Roman" w:cs="Arial"/>
          <w:color w:val="000000"/>
          <w:lang w:val="en-US"/>
        </w:rPr>
        <w:t xml:space="preserve"> </w:t>
      </w:r>
      <w:r w:rsidRPr="00423EAA">
        <w:rPr>
          <w:rFonts w:eastAsia="Times New Roman" w:cs="Arial"/>
          <w:color w:val="000000"/>
          <w:lang w:eastAsia="bg-BG"/>
        </w:rPr>
        <w:t>При маймуни, обаче, е установено, че латанопрост предизвиква увеличаване на пигментацията на ириса.</w:t>
      </w:r>
    </w:p>
    <w:p w14:paraId="20E967BE" w14:textId="40B64F27" w:rsidR="0091385D" w:rsidRDefault="0091385D" w:rsidP="0091385D"/>
    <w:p w14:paraId="601E6C10" w14:textId="77777777" w:rsidR="00423EAA" w:rsidRPr="00423EAA" w:rsidRDefault="00423EAA" w:rsidP="00423EA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23EAA">
        <w:rPr>
          <w:rFonts w:eastAsia="Times New Roman" w:cs="Arial"/>
          <w:color w:val="000000"/>
          <w:lang w:eastAsia="bg-BG"/>
        </w:rPr>
        <w:lastRenderedPageBreak/>
        <w:t>Вероятно увеличаването на пигментацията се дължи на стимулация на производството на меланин в меланоцитите на ириса без да се наблюдават пролиферативни промени. Промяната в цвета на ириса може да бъде трайна.</w:t>
      </w:r>
    </w:p>
    <w:p w14:paraId="33BB95DD" w14:textId="77777777" w:rsidR="00423EAA" w:rsidRPr="00423EAA" w:rsidRDefault="00423EAA" w:rsidP="00423EA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A248D9A" w14:textId="4420A736" w:rsidR="00423EAA" w:rsidRPr="00423EAA" w:rsidRDefault="00423EAA" w:rsidP="00423EA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23EAA">
        <w:rPr>
          <w:rFonts w:eastAsia="Times New Roman" w:cs="Arial"/>
          <w:color w:val="000000"/>
          <w:lang w:eastAsia="bg-BG"/>
        </w:rPr>
        <w:t>При проучванията по отношение на хронична очна токсичност е установено, че прилагането на латанопрост в дневна доза от 6 микрограма/око е предизвикало увеличаване на очния отвор.</w:t>
      </w:r>
    </w:p>
    <w:p w14:paraId="3758F868" w14:textId="77777777" w:rsidR="00423EAA" w:rsidRPr="00423EAA" w:rsidRDefault="00423EAA" w:rsidP="00423EA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23EAA">
        <w:rPr>
          <w:rFonts w:eastAsia="Times New Roman" w:cs="Arial"/>
          <w:color w:val="000000"/>
          <w:lang w:eastAsia="bg-BG"/>
        </w:rPr>
        <w:t>Този ефект е обратим и настъпва при използване на дози, които превишават клиничните. Той не е наблюдаван при хора.</w:t>
      </w:r>
    </w:p>
    <w:p w14:paraId="75046196" w14:textId="77777777" w:rsidR="00423EAA" w:rsidRPr="00423EAA" w:rsidRDefault="00423EAA" w:rsidP="00423EA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B3E6EBE" w14:textId="777C4232" w:rsidR="00423EAA" w:rsidRPr="00423EAA" w:rsidRDefault="00423EAA" w:rsidP="00423EA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23EAA">
        <w:rPr>
          <w:rFonts w:eastAsia="Times New Roman" w:cs="Arial"/>
          <w:color w:val="000000"/>
          <w:lang w:eastAsia="bg-BG"/>
        </w:rPr>
        <w:t xml:space="preserve">Латанопрост е показал отрицателни резултати при тестовете за обратна мутация при бактерии, теста за генна мутация при миши лимфом и мишия микронуклеарен тест. </w:t>
      </w:r>
      <w:r w:rsidRPr="00423EAA">
        <w:rPr>
          <w:rFonts w:eastAsia="Times New Roman" w:cs="Arial"/>
          <w:color w:val="000000"/>
          <w:lang w:val="en-US"/>
        </w:rPr>
        <w:t xml:space="preserve">In vitro </w:t>
      </w:r>
      <w:r w:rsidRPr="00423EAA">
        <w:rPr>
          <w:rFonts w:eastAsia="Times New Roman" w:cs="Arial"/>
          <w:color w:val="000000"/>
          <w:lang w:eastAsia="bg-BG"/>
        </w:rPr>
        <w:t xml:space="preserve">са наблюдавани хромозомни аберации с човешки лимфоцити. Подобни ефекти били отбелязани с простагландин </w:t>
      </w:r>
      <w:r w:rsidRPr="00423EAA">
        <w:rPr>
          <w:rFonts w:eastAsia="Times New Roman" w:cs="Arial"/>
          <w:color w:val="000000"/>
          <w:lang w:val="en-US"/>
        </w:rPr>
        <w:t xml:space="preserve">F2a, </w:t>
      </w:r>
      <w:r w:rsidRPr="00423EAA">
        <w:rPr>
          <w:rFonts w:eastAsia="Times New Roman" w:cs="Arial"/>
          <w:color w:val="000000"/>
          <w:lang w:eastAsia="bg-BG"/>
        </w:rPr>
        <w:t>естествено съществуващ простагландин, което показва, че този ефект е присъщ на класа.</w:t>
      </w:r>
    </w:p>
    <w:p w14:paraId="12BB5F5D" w14:textId="77777777" w:rsidR="00423EAA" w:rsidRPr="00423EAA" w:rsidRDefault="00423EAA" w:rsidP="00423EA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52B5B5E" w14:textId="3E71118F" w:rsidR="00423EAA" w:rsidRPr="00423EAA" w:rsidRDefault="00423EAA" w:rsidP="00423EA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23EAA">
        <w:rPr>
          <w:rFonts w:eastAsia="Times New Roman" w:cs="Arial"/>
          <w:color w:val="000000"/>
          <w:lang w:eastAsia="bg-BG"/>
        </w:rPr>
        <w:t xml:space="preserve">Допълнителните проучвания за мутагенност с непланирана синтеза на ДНК </w:t>
      </w:r>
      <w:r w:rsidRPr="00423EAA">
        <w:rPr>
          <w:rFonts w:eastAsia="Times New Roman" w:cs="Arial"/>
          <w:color w:val="000000"/>
          <w:lang w:val="en-US"/>
        </w:rPr>
        <w:t xml:space="preserve">in vitro/in vivo </w:t>
      </w:r>
      <w:r w:rsidRPr="00423EAA">
        <w:rPr>
          <w:rFonts w:eastAsia="Times New Roman" w:cs="Arial"/>
          <w:color w:val="000000"/>
          <w:lang w:eastAsia="bg-BG"/>
        </w:rPr>
        <w:t>при плъхове са отрицателни и показват, че латанопрост не притежава мутагенен потенциал. Проучванията за канцерогенност при мишки и плъхове са негативни.</w:t>
      </w:r>
    </w:p>
    <w:p w14:paraId="524814BF" w14:textId="77777777" w:rsidR="00423EAA" w:rsidRPr="00423EAA" w:rsidRDefault="00423EAA" w:rsidP="00423EA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B5D1829" w14:textId="3946200B" w:rsidR="00423EAA" w:rsidRPr="00423EAA" w:rsidRDefault="00423EAA" w:rsidP="00423EA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23EAA">
        <w:rPr>
          <w:rFonts w:eastAsia="Times New Roman" w:cs="Arial"/>
          <w:color w:val="000000"/>
          <w:lang w:eastAsia="bg-BG"/>
        </w:rPr>
        <w:t>При проучвания с опитни животни, не е установен ефект на латанопрост върху мъжкия или женския фертилитет. В ембриотоксично проучване при плъхове не е наблюдавана ембриотоксичност при интравенозни дози на латанопрост от 5, 50 и 250 микрограма/кг дневно. При зайци обаче, дневни дози от 5 и повече микрограма/кг са довели до поява на ембриолетални ефекти.</w:t>
      </w:r>
    </w:p>
    <w:p w14:paraId="679FC603" w14:textId="77777777" w:rsidR="00423EAA" w:rsidRPr="00423EAA" w:rsidRDefault="00423EAA" w:rsidP="00423EA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D74D621" w14:textId="40E9E26A" w:rsidR="00423EAA" w:rsidRPr="00423EAA" w:rsidRDefault="00423EAA" w:rsidP="00423EAA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423EAA">
        <w:rPr>
          <w:rFonts w:eastAsia="Times New Roman" w:cs="Arial"/>
          <w:color w:val="000000"/>
          <w:lang w:eastAsia="bg-BG"/>
        </w:rPr>
        <w:t>Дневна доза от 5 микрограма/кг (около 100 пъти по-висока от терапевтичната доза) е предизвикала значителна ембриофетална токсичност, характеризираща се с повишена честота на късна фетална резорбция и аборт, и по-ниско фетално тегло.</w:t>
      </w:r>
    </w:p>
    <w:p w14:paraId="5DEB5214" w14:textId="77777777" w:rsidR="00423EAA" w:rsidRPr="00423EAA" w:rsidRDefault="00423EAA" w:rsidP="00423EAA">
      <w:pPr>
        <w:rPr>
          <w:rFonts w:eastAsia="Times New Roman" w:cs="Arial"/>
          <w:color w:val="000000"/>
          <w:lang w:eastAsia="bg-BG"/>
        </w:rPr>
      </w:pPr>
    </w:p>
    <w:p w14:paraId="2D077126" w14:textId="3250B98E" w:rsidR="00423EAA" w:rsidRPr="00423EAA" w:rsidRDefault="00423EAA" w:rsidP="00423EAA">
      <w:pPr>
        <w:rPr>
          <w:rFonts w:cs="Arial"/>
        </w:rPr>
      </w:pPr>
      <w:r w:rsidRPr="00423EAA">
        <w:rPr>
          <w:rFonts w:eastAsia="Times New Roman" w:cs="Arial"/>
          <w:color w:val="000000"/>
          <w:lang w:eastAsia="bg-BG"/>
        </w:rPr>
        <w:t>Не е установен тератогенен потенциал.</w:t>
      </w:r>
    </w:p>
    <w:p w14:paraId="554257BB" w14:textId="77777777" w:rsidR="00423EAA" w:rsidRPr="0091385D" w:rsidRDefault="00423EAA" w:rsidP="0091385D"/>
    <w:p w14:paraId="6A7820AB" w14:textId="353DB6D2" w:rsidR="008A6AF2" w:rsidRDefault="002C50EE" w:rsidP="00395555">
      <w:pPr>
        <w:pStyle w:val="Heading1"/>
      </w:pPr>
      <w:r>
        <w:t>7. ПРИТЕЖАТЕЛ НА РАЗРЕШЕНИЕТО ЗА УПОТРЕБА</w:t>
      </w:r>
    </w:p>
    <w:p w14:paraId="1B9B651E" w14:textId="3382E6AC" w:rsidR="0091385D" w:rsidRDefault="0091385D" w:rsidP="0091385D"/>
    <w:p w14:paraId="21AE6426" w14:textId="77777777" w:rsidR="00423EAA" w:rsidRPr="00423EAA" w:rsidRDefault="00423EAA" w:rsidP="00423EAA">
      <w:pPr>
        <w:spacing w:line="240" w:lineRule="auto"/>
        <w:rPr>
          <w:rFonts w:eastAsia="Times New Roman" w:cs="Arial"/>
          <w:lang w:val="en-US" w:eastAsia="bg-BG"/>
        </w:rPr>
      </w:pPr>
      <w:r w:rsidRPr="00423EAA">
        <w:rPr>
          <w:rFonts w:eastAsia="Times New Roman" w:cs="Arial"/>
          <w:color w:val="000000"/>
          <w:lang w:val="en-US"/>
        </w:rPr>
        <w:t xml:space="preserve">UNIMED PHARMA spot s </w:t>
      </w:r>
      <w:r w:rsidRPr="00423EAA">
        <w:rPr>
          <w:rFonts w:eastAsia="Times New Roman" w:cs="Arial"/>
          <w:color w:val="000000"/>
          <w:lang w:eastAsia="bg-BG"/>
        </w:rPr>
        <w:t xml:space="preserve">г.о. </w:t>
      </w:r>
      <w:proofErr w:type="spellStart"/>
      <w:r w:rsidRPr="00423EAA">
        <w:rPr>
          <w:rFonts w:eastAsia="Times New Roman" w:cs="Arial"/>
          <w:color w:val="000000"/>
          <w:lang w:val="en-US"/>
        </w:rPr>
        <w:t>Orieskova</w:t>
      </w:r>
      <w:proofErr w:type="spellEnd"/>
      <w:r w:rsidRPr="00423EAA">
        <w:rPr>
          <w:rFonts w:eastAsia="Times New Roman" w:cs="Arial"/>
          <w:color w:val="000000"/>
          <w:lang w:val="en-US"/>
        </w:rPr>
        <w:t xml:space="preserve"> </w:t>
      </w:r>
      <w:r w:rsidRPr="00423EAA">
        <w:rPr>
          <w:rFonts w:eastAsia="Times New Roman" w:cs="Arial"/>
          <w:color w:val="000000"/>
          <w:lang w:eastAsia="bg-BG"/>
        </w:rPr>
        <w:t xml:space="preserve">11, 821 05, </w:t>
      </w:r>
      <w:r w:rsidRPr="00423EAA">
        <w:rPr>
          <w:rFonts w:eastAsia="Times New Roman" w:cs="Arial"/>
          <w:color w:val="000000"/>
          <w:lang w:val="en-US"/>
        </w:rPr>
        <w:t xml:space="preserve">Bratislava, </w:t>
      </w:r>
      <w:r w:rsidRPr="00423EAA">
        <w:rPr>
          <w:rFonts w:eastAsia="Times New Roman" w:cs="Arial"/>
          <w:color w:val="000000"/>
          <w:lang w:eastAsia="bg-BG"/>
        </w:rPr>
        <w:t>Словашка република</w:t>
      </w:r>
    </w:p>
    <w:p w14:paraId="3A44D29B" w14:textId="77777777" w:rsidR="00423EAA" w:rsidRPr="00423EAA" w:rsidRDefault="00423EAA" w:rsidP="00423EAA">
      <w:pPr>
        <w:spacing w:line="240" w:lineRule="auto"/>
        <w:rPr>
          <w:rFonts w:eastAsia="Times New Roman" w:cs="Arial"/>
          <w:lang w:val="en-US" w:eastAsia="bg-BG"/>
        </w:rPr>
      </w:pPr>
      <w:r w:rsidRPr="00423EAA">
        <w:rPr>
          <w:rFonts w:eastAsia="Times New Roman" w:cs="Arial"/>
          <w:color w:val="000000"/>
          <w:lang w:val="en-US"/>
        </w:rPr>
        <w:t xml:space="preserve">Tel.:+421 </w:t>
      </w:r>
      <w:r w:rsidRPr="00423EAA">
        <w:rPr>
          <w:rFonts w:eastAsia="Times New Roman" w:cs="Arial"/>
          <w:color w:val="000000"/>
          <w:lang w:eastAsia="bg-BG"/>
        </w:rPr>
        <w:t>2 4333 3786</w:t>
      </w:r>
    </w:p>
    <w:p w14:paraId="7D50651D" w14:textId="77777777" w:rsidR="00423EAA" w:rsidRPr="00423EAA" w:rsidRDefault="00423EAA" w:rsidP="00423EAA">
      <w:pPr>
        <w:spacing w:line="240" w:lineRule="auto"/>
        <w:rPr>
          <w:rFonts w:eastAsia="Times New Roman" w:cs="Arial"/>
          <w:lang w:val="en-US" w:eastAsia="bg-BG"/>
        </w:rPr>
      </w:pPr>
      <w:r w:rsidRPr="00423EAA">
        <w:rPr>
          <w:rFonts w:eastAsia="Times New Roman" w:cs="Arial"/>
          <w:color w:val="000000"/>
          <w:lang w:val="en-US"/>
        </w:rPr>
        <w:t>Fax. ..’4-421 2 4363 8743</w:t>
      </w:r>
    </w:p>
    <w:p w14:paraId="1043FD74" w14:textId="77777777" w:rsidR="00423EAA" w:rsidRPr="00423EAA" w:rsidRDefault="00423EAA" w:rsidP="00423EAA">
      <w:pPr>
        <w:spacing w:line="240" w:lineRule="auto"/>
        <w:rPr>
          <w:rFonts w:eastAsia="Times New Roman" w:cs="Arial"/>
          <w:lang w:val="en-US" w:eastAsia="bg-BG"/>
        </w:rPr>
      </w:pPr>
      <w:proofErr w:type="gramStart"/>
      <w:r w:rsidRPr="00423EAA">
        <w:rPr>
          <w:rFonts w:eastAsia="Times New Roman" w:cs="Arial"/>
          <w:color w:val="000000"/>
          <w:lang w:val="en-US"/>
        </w:rPr>
        <w:t>e-mail</w:t>
      </w:r>
      <w:proofErr w:type="gramEnd"/>
      <w:r w:rsidRPr="00423EAA">
        <w:rPr>
          <w:rFonts w:eastAsia="Times New Roman" w:cs="Arial"/>
          <w:color w:val="000000"/>
          <w:lang w:val="en-US"/>
        </w:rPr>
        <w:t xml:space="preserve">: </w:t>
      </w:r>
      <w:hyperlink r:id="rId5" w:history="1">
        <w:r w:rsidRPr="00423EAA">
          <w:rPr>
            <w:rFonts w:eastAsia="Times New Roman" w:cs="Arial"/>
            <w:color w:val="000000"/>
            <w:u w:val="single"/>
            <w:lang w:val="en-US"/>
          </w:rPr>
          <w:t>unimedpharma@unimedpharma.sk</w:t>
        </w:r>
      </w:hyperlink>
    </w:p>
    <w:p w14:paraId="3FD825DB" w14:textId="1B5EFE9E" w:rsidR="0091385D" w:rsidRPr="00423EAA" w:rsidRDefault="00423EAA" w:rsidP="00423EAA">
      <w:pPr>
        <w:rPr>
          <w:rFonts w:cs="Arial"/>
        </w:rPr>
      </w:pPr>
      <w:proofErr w:type="gramStart"/>
      <w:r w:rsidRPr="00423EAA">
        <w:rPr>
          <w:rFonts w:eastAsia="Times New Roman" w:cs="Arial"/>
          <w:color w:val="000000"/>
          <w:lang w:val="en-US"/>
        </w:rPr>
        <w:t>www</w:t>
      </w:r>
      <w:proofErr w:type="gramEnd"/>
      <w:r w:rsidRPr="00423EAA">
        <w:rPr>
          <w:rFonts w:eastAsia="Times New Roman" w:cs="Arial"/>
          <w:color w:val="000000"/>
          <w:lang w:val="en-US"/>
        </w:rPr>
        <w:t>. unimedpharma.eu</w:t>
      </w:r>
    </w:p>
    <w:p w14:paraId="129C7566" w14:textId="77777777" w:rsidR="0091385D" w:rsidRPr="0091385D" w:rsidRDefault="0091385D" w:rsidP="0091385D"/>
    <w:p w14:paraId="7BA1BA64" w14:textId="17509450" w:rsidR="00CF77F7" w:rsidRDefault="002C50EE" w:rsidP="004A448E">
      <w:pPr>
        <w:pStyle w:val="Heading1"/>
      </w:pPr>
      <w:r>
        <w:t>8. НОМЕР НА РАЗРЕШЕНИЕТО ЗА УПОТРЕБА</w:t>
      </w:r>
    </w:p>
    <w:p w14:paraId="095674C4" w14:textId="54CA436A" w:rsidR="0091385D" w:rsidRDefault="0091385D" w:rsidP="0091385D"/>
    <w:p w14:paraId="6E892CE5" w14:textId="4BF9DCF3" w:rsidR="0091385D" w:rsidRPr="00423EAA" w:rsidRDefault="00423EAA" w:rsidP="0091385D">
      <w:pPr>
        <w:rPr>
          <w:rFonts w:cs="Arial"/>
        </w:rPr>
      </w:pPr>
      <w:r w:rsidRPr="00423EAA">
        <w:rPr>
          <w:rFonts w:cs="Arial"/>
          <w:i/>
          <w:iCs/>
        </w:rPr>
        <w:t>20090592</w:t>
      </w:r>
    </w:p>
    <w:p w14:paraId="62EF7F8B" w14:textId="77777777" w:rsidR="0091385D" w:rsidRPr="0091385D" w:rsidRDefault="0091385D" w:rsidP="0091385D"/>
    <w:p w14:paraId="2CCB5832" w14:textId="18FCD95B" w:rsidR="007C605B" w:rsidRDefault="002C50EE" w:rsidP="007C605B">
      <w:pPr>
        <w:pStyle w:val="Heading1"/>
      </w:pPr>
      <w:r>
        <w:lastRenderedPageBreak/>
        <w:t>9. ДАТА НА ПЪРВО РАЗРЕШАВАНЕ/ПОДНОВЯВАНЕ НА РАЗРЕШЕНИЕТО ЗА УПОТРЕБА</w:t>
      </w:r>
    </w:p>
    <w:p w14:paraId="372B3414" w14:textId="0F79A9B4" w:rsidR="0091385D" w:rsidRDefault="0091385D" w:rsidP="0091385D"/>
    <w:p w14:paraId="511F602B" w14:textId="77777777" w:rsidR="00423EAA" w:rsidRPr="00423EAA" w:rsidRDefault="00423EAA" w:rsidP="00423EAA">
      <w:pPr>
        <w:spacing w:line="240" w:lineRule="auto"/>
        <w:rPr>
          <w:rFonts w:eastAsia="Times New Roman" w:cs="Arial"/>
          <w:lang w:eastAsia="bg-BG"/>
        </w:rPr>
      </w:pPr>
      <w:r w:rsidRPr="00423EAA">
        <w:rPr>
          <w:rFonts w:eastAsia="Times New Roman" w:cs="Arial"/>
          <w:color w:val="000000"/>
          <w:lang w:eastAsia="bg-BG"/>
        </w:rPr>
        <w:t>Дата на първо разрешаване: 16.12.2009 г.</w:t>
      </w:r>
    </w:p>
    <w:p w14:paraId="497007FA" w14:textId="3BB9362D" w:rsidR="0091385D" w:rsidRPr="00423EAA" w:rsidRDefault="00423EAA" w:rsidP="00423EAA">
      <w:pPr>
        <w:rPr>
          <w:rFonts w:cs="Arial"/>
        </w:rPr>
      </w:pPr>
      <w:r w:rsidRPr="00423EAA">
        <w:rPr>
          <w:rFonts w:eastAsia="Times New Roman" w:cs="Arial"/>
          <w:color w:val="000000"/>
          <w:lang w:eastAsia="bg-BG"/>
        </w:rPr>
        <w:t>Дата на подновяване: 17.04.2015</w:t>
      </w:r>
    </w:p>
    <w:p w14:paraId="0A56E09D" w14:textId="77777777" w:rsidR="0091385D" w:rsidRPr="0091385D" w:rsidRDefault="0091385D" w:rsidP="0091385D"/>
    <w:p w14:paraId="0E9D0119" w14:textId="1FEC128A" w:rsidR="002C50EE" w:rsidRDefault="002C50EE" w:rsidP="002C50EE">
      <w:pPr>
        <w:pStyle w:val="Heading1"/>
      </w:pPr>
      <w:r>
        <w:t>10. ДАТА НА АКТУАЛИЗИРАНЕ НА ТЕКСТА</w:t>
      </w:r>
    </w:p>
    <w:p w14:paraId="3E8FFCC4" w14:textId="34E0D3BB" w:rsidR="0091385D" w:rsidRDefault="0091385D" w:rsidP="0091385D"/>
    <w:p w14:paraId="30276F52" w14:textId="6B5DDA87" w:rsidR="0091385D" w:rsidRPr="00423EAA" w:rsidRDefault="00423EAA" w:rsidP="0091385D">
      <w:pPr>
        <w:rPr>
          <w:rFonts w:cs="Arial"/>
        </w:rPr>
      </w:pPr>
      <w:r w:rsidRPr="00423EAA">
        <w:rPr>
          <w:rFonts w:cs="Arial"/>
        </w:rPr>
        <w:t>03/2022</w:t>
      </w:r>
    </w:p>
    <w:p w14:paraId="6B00148E" w14:textId="77777777" w:rsidR="0091385D" w:rsidRPr="0091385D" w:rsidRDefault="0091385D" w:rsidP="0091385D"/>
    <w:bookmarkEnd w:id="0"/>
    <w:p w14:paraId="43FB38A2" w14:textId="5500C507" w:rsidR="007C605B" w:rsidRPr="003E3126" w:rsidRDefault="007C605B" w:rsidP="00CF77F7"/>
    <w:sectPr w:rsidR="007C605B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6"/>
  </w:num>
  <w:num w:numId="2">
    <w:abstractNumId w:val="0"/>
  </w:num>
  <w:num w:numId="3">
    <w:abstractNumId w:val="12"/>
  </w:num>
  <w:num w:numId="4">
    <w:abstractNumId w:val="3"/>
  </w:num>
  <w:num w:numId="5">
    <w:abstractNumId w:val="1"/>
  </w:num>
  <w:num w:numId="6">
    <w:abstractNumId w:val="15"/>
  </w:num>
  <w:num w:numId="7">
    <w:abstractNumId w:val="10"/>
  </w:num>
  <w:num w:numId="8">
    <w:abstractNumId w:val="14"/>
  </w:num>
  <w:num w:numId="9">
    <w:abstractNumId w:val="2"/>
  </w:num>
  <w:num w:numId="10">
    <w:abstractNumId w:val="4"/>
  </w:num>
  <w:num w:numId="11">
    <w:abstractNumId w:val="29"/>
  </w:num>
  <w:num w:numId="12">
    <w:abstractNumId w:val="13"/>
  </w:num>
  <w:num w:numId="13">
    <w:abstractNumId w:val="18"/>
  </w:num>
  <w:num w:numId="14">
    <w:abstractNumId w:val="11"/>
  </w:num>
  <w:num w:numId="15">
    <w:abstractNumId w:val="28"/>
  </w:num>
  <w:num w:numId="16">
    <w:abstractNumId w:val="9"/>
  </w:num>
  <w:num w:numId="17">
    <w:abstractNumId w:val="23"/>
  </w:num>
  <w:num w:numId="18">
    <w:abstractNumId w:val="7"/>
  </w:num>
  <w:num w:numId="19">
    <w:abstractNumId w:val="25"/>
  </w:num>
  <w:num w:numId="20">
    <w:abstractNumId w:val="22"/>
  </w:num>
  <w:num w:numId="21">
    <w:abstractNumId w:val="16"/>
  </w:num>
  <w:num w:numId="22">
    <w:abstractNumId w:val="24"/>
  </w:num>
  <w:num w:numId="23">
    <w:abstractNumId w:val="17"/>
  </w:num>
  <w:num w:numId="24">
    <w:abstractNumId w:val="8"/>
  </w:num>
  <w:num w:numId="25">
    <w:abstractNumId w:val="21"/>
  </w:num>
  <w:num w:numId="26">
    <w:abstractNumId w:val="20"/>
  </w:num>
  <w:num w:numId="27">
    <w:abstractNumId w:val="30"/>
  </w:num>
  <w:num w:numId="28">
    <w:abstractNumId w:val="6"/>
  </w:num>
  <w:num w:numId="29">
    <w:abstractNumId w:val="19"/>
  </w:num>
  <w:num w:numId="30">
    <w:abstractNumId w:val="33"/>
  </w:num>
  <w:num w:numId="31">
    <w:abstractNumId w:val="5"/>
  </w:num>
  <w:num w:numId="32">
    <w:abstractNumId w:val="32"/>
  </w:num>
  <w:num w:numId="33">
    <w:abstractNumId w:val="27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185A46"/>
    <w:rsid w:val="001915B6"/>
    <w:rsid w:val="001D1B23"/>
    <w:rsid w:val="00200E63"/>
    <w:rsid w:val="002B3C38"/>
    <w:rsid w:val="002B4DBB"/>
    <w:rsid w:val="002C50EE"/>
    <w:rsid w:val="00340A0A"/>
    <w:rsid w:val="003765DC"/>
    <w:rsid w:val="00395555"/>
    <w:rsid w:val="003E3126"/>
    <w:rsid w:val="00423EAA"/>
    <w:rsid w:val="00426E5F"/>
    <w:rsid w:val="004A448E"/>
    <w:rsid w:val="004D4D6B"/>
    <w:rsid w:val="004F1CE7"/>
    <w:rsid w:val="004F498A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7C605B"/>
    <w:rsid w:val="008134C8"/>
    <w:rsid w:val="00814073"/>
    <w:rsid w:val="00826F0D"/>
    <w:rsid w:val="00893B92"/>
    <w:rsid w:val="008A6AF2"/>
    <w:rsid w:val="008C70A2"/>
    <w:rsid w:val="008F1AF3"/>
    <w:rsid w:val="0091385D"/>
    <w:rsid w:val="009773E4"/>
    <w:rsid w:val="009B171C"/>
    <w:rsid w:val="009F1313"/>
    <w:rsid w:val="00A20351"/>
    <w:rsid w:val="00A65A81"/>
    <w:rsid w:val="00A73575"/>
    <w:rsid w:val="00AA23EC"/>
    <w:rsid w:val="00AC63CE"/>
    <w:rsid w:val="00AE2107"/>
    <w:rsid w:val="00B275A8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imedpharma@unimedpharm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3788</Words>
  <Characters>21595</Characters>
  <Application>Microsoft Office Word</Application>
  <DocSecurity>0</DocSecurity>
  <Lines>179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Потребител на Windows</cp:lastModifiedBy>
  <cp:revision>2</cp:revision>
  <dcterms:created xsi:type="dcterms:W3CDTF">2022-12-02T03:05:00Z</dcterms:created>
  <dcterms:modified xsi:type="dcterms:W3CDTF">2022-12-02T03:05:00Z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