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238F75D1" w:rsidR="00AA23EC" w:rsidRDefault="00DD466D" w:rsidP="00DD466D">
      <w:pPr>
        <w:pStyle w:val="Heading1"/>
      </w:pPr>
      <w:r>
        <w:t>1.ИМЕ НА ЛЕКАРСТВЕНИЯ ПРОДУКТ</w:t>
      </w:r>
    </w:p>
    <w:p w14:paraId="5710C2BD" w14:textId="77777777" w:rsidR="00903416" w:rsidRPr="00903416" w:rsidRDefault="00903416" w:rsidP="00903416">
      <w:pPr>
        <w:rPr>
          <w:sz w:val="24"/>
          <w:szCs w:val="24"/>
          <w:lang w:val="en-US"/>
        </w:rPr>
      </w:pPr>
      <w:proofErr w:type="spellStart"/>
      <w:r w:rsidRPr="00903416">
        <w:rPr>
          <w:lang w:eastAsia="bg-BG"/>
        </w:rPr>
        <w:t>Уралит</w:t>
      </w:r>
      <w:proofErr w:type="spellEnd"/>
      <w:r w:rsidRPr="00903416">
        <w:rPr>
          <w:lang w:eastAsia="bg-BG"/>
        </w:rPr>
        <w:t xml:space="preserve"> -У, 2.4 </w:t>
      </w:r>
      <w:r w:rsidRPr="00903416">
        <w:rPr>
          <w:lang w:val="en-US"/>
        </w:rPr>
        <w:t xml:space="preserve">g/2,5 g </w:t>
      </w:r>
      <w:r w:rsidRPr="00903416">
        <w:rPr>
          <w:lang w:eastAsia="bg-BG"/>
        </w:rPr>
        <w:t>гранули</w:t>
      </w:r>
    </w:p>
    <w:p w14:paraId="51A795C3" w14:textId="390BAFF1" w:rsidR="00903416" w:rsidRPr="00903416" w:rsidRDefault="00903416" w:rsidP="00903416">
      <w:r w:rsidRPr="00903416">
        <w:rPr>
          <w:lang w:val="en-US"/>
        </w:rPr>
        <w:t>Uralyt-U,2.4 g/2,5 g granules</w:t>
      </w:r>
    </w:p>
    <w:p w14:paraId="4D88B710" w14:textId="688AF5A6" w:rsidR="00D86297" w:rsidRDefault="00DD466D" w:rsidP="00AA23EC">
      <w:pPr>
        <w:pStyle w:val="Heading1"/>
      </w:pPr>
      <w:r>
        <w:t>2. КАЧЕСТВЕН И КОЛИЧЕСТВЕН СЪСТАВ</w:t>
      </w:r>
    </w:p>
    <w:p w14:paraId="06555509" w14:textId="77777777" w:rsidR="00903416" w:rsidRDefault="00903416" w:rsidP="00903416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0C818699" w14:textId="48AF40CA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val="en-US"/>
        </w:rPr>
        <w:t xml:space="preserve">1 </w:t>
      </w:r>
      <w:r w:rsidRPr="00903416">
        <w:rPr>
          <w:rFonts w:eastAsia="Times New Roman" w:cs="Arial"/>
          <w:color w:val="000000"/>
          <w:lang w:eastAsia="bg-BG"/>
        </w:rPr>
        <w:t xml:space="preserve">мерителна лъжичка гранули (2,5 </w:t>
      </w:r>
      <w:r w:rsidRPr="00903416">
        <w:rPr>
          <w:rFonts w:eastAsia="Times New Roman" w:cs="Arial"/>
          <w:color w:val="000000"/>
          <w:lang w:val="en-US"/>
        </w:rPr>
        <w:t xml:space="preserve">g) </w:t>
      </w:r>
      <w:r w:rsidRPr="00903416">
        <w:rPr>
          <w:rFonts w:eastAsia="Times New Roman" w:cs="Arial"/>
          <w:color w:val="000000"/>
          <w:lang w:eastAsia="bg-BG"/>
        </w:rPr>
        <w:t xml:space="preserve">съдържа като активно вещество: калиево натриев </w:t>
      </w:r>
      <w:proofErr w:type="spellStart"/>
      <w:r w:rsidRPr="00903416">
        <w:rPr>
          <w:rFonts w:eastAsia="Times New Roman" w:cs="Arial"/>
          <w:color w:val="000000"/>
          <w:lang w:eastAsia="bg-BG"/>
        </w:rPr>
        <w:t>хидрогенцитрат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</w:t>
      </w:r>
      <w:r w:rsidRPr="00903416">
        <w:rPr>
          <w:rFonts w:eastAsia="Times New Roman" w:cs="Arial"/>
          <w:i/>
          <w:iCs/>
          <w:color w:val="000000"/>
          <w:lang w:val="en-US"/>
        </w:rPr>
        <w:t>(potassium sodium hydrogen citrate)</w:t>
      </w:r>
      <w:r w:rsidRPr="00903416">
        <w:rPr>
          <w:rFonts w:eastAsia="Times New Roman" w:cs="Arial"/>
          <w:color w:val="000000"/>
          <w:lang w:val="en-US"/>
        </w:rPr>
        <w:t xml:space="preserve"> (6:6:3:5) 2,4 g</w:t>
      </w:r>
    </w:p>
    <w:p w14:paraId="531D9B66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154910" w14:textId="2BA0CE78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Помощно вещество </w:t>
      </w:r>
      <w:r w:rsidRPr="00903416">
        <w:rPr>
          <w:rFonts w:eastAsia="Times New Roman" w:cs="Arial"/>
          <w:color w:val="000000"/>
          <w:lang w:val="en-US"/>
        </w:rPr>
        <w:t xml:space="preserve">c </w:t>
      </w:r>
      <w:r w:rsidRPr="00903416">
        <w:rPr>
          <w:rFonts w:eastAsia="Times New Roman" w:cs="Arial"/>
          <w:color w:val="000000"/>
          <w:lang w:eastAsia="bg-BG"/>
        </w:rPr>
        <w:t xml:space="preserve">известно действие: портокалово жълто </w:t>
      </w:r>
      <w:r w:rsidRPr="00903416">
        <w:rPr>
          <w:rFonts w:eastAsia="Times New Roman" w:cs="Arial"/>
          <w:color w:val="000000"/>
          <w:lang w:val="en-US"/>
        </w:rPr>
        <w:t>S (E1</w:t>
      </w:r>
      <w:r w:rsidRPr="00903416">
        <w:rPr>
          <w:rFonts w:eastAsia="Times New Roman" w:cs="Arial"/>
          <w:color w:val="000000"/>
          <w:lang w:eastAsia="bg-BG"/>
        </w:rPr>
        <w:t>10).</w:t>
      </w:r>
    </w:p>
    <w:p w14:paraId="35FEBDB1" w14:textId="77777777" w:rsidR="00903416" w:rsidRPr="00903416" w:rsidRDefault="00903416" w:rsidP="00903416"/>
    <w:p w14:paraId="5E332777" w14:textId="12ABF0F8" w:rsidR="005A66D9" w:rsidRDefault="00DD466D" w:rsidP="00CA1B57">
      <w:pPr>
        <w:pStyle w:val="Heading1"/>
      </w:pPr>
      <w:r>
        <w:t>3. ЛЕКАРСТВЕНА ФОРМА</w:t>
      </w:r>
    </w:p>
    <w:p w14:paraId="413A1EA7" w14:textId="77777777" w:rsidR="00903416" w:rsidRDefault="00903416" w:rsidP="00903416"/>
    <w:p w14:paraId="6948247F" w14:textId="2D0F5B9B" w:rsidR="00903416" w:rsidRPr="00903416" w:rsidRDefault="00903416" w:rsidP="00903416">
      <w:r>
        <w:t>Гранули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2888A462" w:rsidR="00FD69E8" w:rsidRDefault="002C50EE" w:rsidP="00AA23EC">
      <w:pPr>
        <w:pStyle w:val="Heading2"/>
      </w:pPr>
      <w:r>
        <w:t>4.1. Терапевтични показания</w:t>
      </w:r>
    </w:p>
    <w:p w14:paraId="22ECB533" w14:textId="77777777" w:rsidR="00903416" w:rsidRDefault="00903416" w:rsidP="00903416">
      <w:pPr>
        <w:rPr>
          <w:lang w:eastAsia="bg-BG"/>
        </w:rPr>
      </w:pPr>
    </w:p>
    <w:p w14:paraId="1780DA6A" w14:textId="78CE6BA1" w:rsidR="00903416" w:rsidRPr="00903416" w:rsidRDefault="00903416" w:rsidP="00903416">
      <w:pPr>
        <w:pStyle w:val="ListParagraph"/>
        <w:numPr>
          <w:ilvl w:val="0"/>
          <w:numId w:val="26"/>
        </w:numPr>
        <w:rPr>
          <w:lang w:eastAsia="bg-BG"/>
        </w:rPr>
      </w:pPr>
      <w:r w:rsidRPr="00903416">
        <w:rPr>
          <w:lang w:eastAsia="bg-BG"/>
        </w:rPr>
        <w:t xml:space="preserve">Разтваряне на </w:t>
      </w:r>
      <w:proofErr w:type="spellStart"/>
      <w:r w:rsidRPr="00903416">
        <w:rPr>
          <w:lang w:eastAsia="bg-BG"/>
        </w:rPr>
        <w:t>уратни</w:t>
      </w:r>
      <w:proofErr w:type="spellEnd"/>
      <w:r w:rsidRPr="00903416">
        <w:rPr>
          <w:lang w:eastAsia="bg-BG"/>
        </w:rPr>
        <w:t xml:space="preserve"> камъни</w:t>
      </w:r>
    </w:p>
    <w:p w14:paraId="4547C643" w14:textId="20233600" w:rsidR="00903416" w:rsidRPr="00903416" w:rsidRDefault="00903416" w:rsidP="00903416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03416">
        <w:rPr>
          <w:lang w:eastAsia="bg-BG"/>
        </w:rPr>
        <w:t>Метафилаксия</w:t>
      </w:r>
      <w:proofErr w:type="spellEnd"/>
      <w:r w:rsidRPr="00903416">
        <w:rPr>
          <w:lang w:eastAsia="bg-BG"/>
        </w:rPr>
        <w:t xml:space="preserve"> (превенция от рецидиви) на камъни, съдържащи калций, както и </w:t>
      </w:r>
      <w:proofErr w:type="spellStart"/>
      <w:r w:rsidRPr="00903416">
        <w:rPr>
          <w:lang w:eastAsia="bg-BG"/>
        </w:rPr>
        <w:t>уратни</w:t>
      </w:r>
      <w:proofErr w:type="spellEnd"/>
      <w:r w:rsidRPr="00903416">
        <w:rPr>
          <w:lang w:eastAsia="bg-BG"/>
        </w:rPr>
        <w:t xml:space="preserve"> и смесени камъни от калциев </w:t>
      </w:r>
      <w:proofErr w:type="spellStart"/>
      <w:r w:rsidRPr="00903416">
        <w:rPr>
          <w:lang w:eastAsia="bg-BG"/>
        </w:rPr>
        <w:t>оксалат</w:t>
      </w:r>
      <w:proofErr w:type="spellEnd"/>
      <w:r w:rsidRPr="00903416">
        <w:rPr>
          <w:lang w:eastAsia="bg-BG"/>
        </w:rPr>
        <w:t xml:space="preserve">/пикочна киселина или калциев </w:t>
      </w:r>
      <w:proofErr w:type="spellStart"/>
      <w:r w:rsidRPr="00903416">
        <w:rPr>
          <w:lang w:eastAsia="bg-BG"/>
        </w:rPr>
        <w:t>оксалат</w:t>
      </w:r>
      <w:proofErr w:type="spellEnd"/>
      <w:r w:rsidRPr="00903416">
        <w:rPr>
          <w:lang w:eastAsia="bg-BG"/>
        </w:rPr>
        <w:t>/калциев фосфат.</w:t>
      </w:r>
    </w:p>
    <w:p w14:paraId="6D8DC331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Забележка: Предписването на продукта трябва да бъде част от общата концепция за профилактика (напр. диета, увеличен прием на течности и др.)</w:t>
      </w:r>
    </w:p>
    <w:p w14:paraId="1D171A12" w14:textId="77777777" w:rsidR="003765DC" w:rsidRPr="003765DC" w:rsidRDefault="003765DC" w:rsidP="003765DC"/>
    <w:p w14:paraId="66024DB0" w14:textId="6A70DC40" w:rsidR="003765DC" w:rsidRDefault="002C50EE" w:rsidP="002B3C38">
      <w:pPr>
        <w:pStyle w:val="Heading2"/>
      </w:pPr>
      <w:r>
        <w:t>4.2. Дозировка и начин на приложение</w:t>
      </w:r>
    </w:p>
    <w:p w14:paraId="6F862031" w14:textId="77777777" w:rsidR="00903416" w:rsidRDefault="00903416" w:rsidP="0090341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483AB2" w14:textId="7E3FC56F" w:rsidR="00903416" w:rsidRPr="00903416" w:rsidRDefault="00903416" w:rsidP="00903416">
      <w:pPr>
        <w:pStyle w:val="Heading3"/>
        <w:rPr>
          <w:rFonts w:eastAsia="Times New Roman"/>
          <w:u w:val="single"/>
        </w:rPr>
      </w:pPr>
      <w:r w:rsidRPr="00903416">
        <w:rPr>
          <w:rFonts w:eastAsia="Times New Roman"/>
          <w:u w:val="single"/>
          <w:lang w:eastAsia="bg-BG"/>
        </w:rPr>
        <w:t>Дозировка</w:t>
      </w:r>
    </w:p>
    <w:p w14:paraId="05007717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DE55837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Наличието на камъни в бъбреците, подлежащи на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алкализираща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разтваряща терапия, е сравнително ниско на лица под 12-годишна възраст. Въпреки че </w:t>
      </w:r>
      <w:proofErr w:type="spellStart"/>
      <w:r w:rsidRPr="00903416">
        <w:rPr>
          <w:rFonts w:eastAsia="Times New Roman" w:cs="Arial"/>
          <w:color w:val="000000"/>
          <w:lang w:eastAsia="bg-BG"/>
        </w:rPr>
        <w:t>съществеват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публикувани случаи и доклади от случаи за използване на калиев натриев хидроген цитрат при лечение на кърмачета, деца и юноши, препоръки за дозировката не могат да бъдат дадени.</w:t>
      </w:r>
    </w:p>
    <w:p w14:paraId="6A07CD61" w14:textId="77777777" w:rsidR="00903416" w:rsidRDefault="00903416" w:rsidP="0090341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27622EA" w14:textId="4749F22C" w:rsidR="00903416" w:rsidRPr="00903416" w:rsidRDefault="00903416" w:rsidP="0090341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>
        <w:rPr>
          <w:rFonts w:eastAsia="Times New Roman" w:cs="Arial"/>
          <w:i/>
          <w:iCs/>
          <w:color w:val="000000"/>
          <w:lang w:eastAsia="bg-BG"/>
        </w:rPr>
        <w:t xml:space="preserve">а) </w:t>
      </w:r>
      <w:r w:rsidRPr="00903416">
        <w:rPr>
          <w:rFonts w:eastAsia="Times New Roman" w:cs="Arial"/>
          <w:i/>
          <w:iCs/>
          <w:color w:val="000000"/>
          <w:lang w:eastAsia="bg-BG"/>
        </w:rPr>
        <w:t xml:space="preserve">За разтваряне и </w:t>
      </w:r>
      <w:proofErr w:type="spellStart"/>
      <w:r w:rsidRPr="00903416">
        <w:rPr>
          <w:rFonts w:eastAsia="Times New Roman" w:cs="Arial"/>
          <w:i/>
          <w:iCs/>
          <w:color w:val="000000"/>
          <w:lang w:eastAsia="bg-BG"/>
        </w:rPr>
        <w:t>метафилаксия</w:t>
      </w:r>
      <w:proofErr w:type="spellEnd"/>
      <w:r w:rsidRPr="00903416">
        <w:rPr>
          <w:rFonts w:eastAsia="Times New Roman" w:cs="Arial"/>
          <w:i/>
          <w:iCs/>
          <w:color w:val="000000"/>
          <w:lang w:eastAsia="bg-BG"/>
        </w:rPr>
        <w:t xml:space="preserve"> на </w:t>
      </w:r>
      <w:proofErr w:type="spellStart"/>
      <w:r w:rsidRPr="00903416">
        <w:rPr>
          <w:rFonts w:eastAsia="Times New Roman" w:cs="Arial"/>
          <w:i/>
          <w:iCs/>
          <w:color w:val="000000"/>
          <w:lang w:eastAsia="bg-BG"/>
        </w:rPr>
        <w:t>уратни</w:t>
      </w:r>
      <w:proofErr w:type="spellEnd"/>
      <w:r w:rsidRPr="00903416">
        <w:rPr>
          <w:rFonts w:eastAsia="Times New Roman" w:cs="Arial"/>
          <w:i/>
          <w:iCs/>
          <w:color w:val="000000"/>
          <w:lang w:eastAsia="bg-BG"/>
        </w:rPr>
        <w:t xml:space="preserve"> камъни:</w:t>
      </w:r>
    </w:p>
    <w:p w14:paraId="6926601E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Обикновено се приемат 4 мерителни лъжички дневно (=10 </w:t>
      </w:r>
      <w:r w:rsidRPr="00903416">
        <w:rPr>
          <w:rFonts w:eastAsia="Times New Roman" w:cs="Arial"/>
          <w:color w:val="000000"/>
          <w:lang w:val="en-US"/>
        </w:rPr>
        <w:t xml:space="preserve">g </w:t>
      </w:r>
      <w:r w:rsidRPr="00903416">
        <w:rPr>
          <w:rFonts w:eastAsia="Times New Roman" w:cs="Arial"/>
          <w:color w:val="000000"/>
          <w:lang w:eastAsia="bg-BG"/>
        </w:rPr>
        <w:t xml:space="preserve">гранули, еквивалентни на 88 </w:t>
      </w:r>
      <w:r w:rsidRPr="00903416">
        <w:rPr>
          <w:rFonts w:eastAsia="Times New Roman" w:cs="Arial"/>
          <w:color w:val="000000"/>
          <w:lang w:val="en-US"/>
        </w:rPr>
        <w:t xml:space="preserve">mmol </w:t>
      </w:r>
      <w:r w:rsidRPr="00903416">
        <w:rPr>
          <w:rFonts w:eastAsia="Times New Roman" w:cs="Arial"/>
          <w:color w:val="000000"/>
          <w:lang w:eastAsia="bg-BG"/>
        </w:rPr>
        <w:t xml:space="preserve">алкални), разделени на 3 приема, след хранене. Пие се 1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м.л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. сутрин, 1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м.л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. на обед и 2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м.л</w:t>
      </w:r>
      <w:proofErr w:type="spellEnd"/>
      <w:r w:rsidRPr="00903416">
        <w:rPr>
          <w:rFonts w:eastAsia="Times New Roman" w:cs="Arial"/>
          <w:color w:val="000000"/>
          <w:lang w:eastAsia="bg-BG"/>
        </w:rPr>
        <w:t>. вечер.</w:t>
      </w:r>
    </w:p>
    <w:p w14:paraId="00425B6F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>на прясната урина трябва да бъде в границата между 6.2 - 6.8.</w:t>
      </w:r>
    </w:p>
    <w:p w14:paraId="0CBA6075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Ако нивото на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е по-ниско, дневната доза трябва да се увеличи с половин мерителна лъжичка (11 </w:t>
      </w:r>
      <w:r w:rsidRPr="00903416">
        <w:rPr>
          <w:rFonts w:eastAsia="Times New Roman" w:cs="Arial"/>
          <w:color w:val="000000"/>
          <w:lang w:val="en-US"/>
        </w:rPr>
        <w:t xml:space="preserve">mmol) </w:t>
      </w:r>
      <w:r w:rsidRPr="00903416">
        <w:rPr>
          <w:rFonts w:eastAsia="Times New Roman" w:cs="Arial"/>
          <w:color w:val="000000"/>
          <w:lang w:eastAsia="bg-BG"/>
        </w:rPr>
        <w:t xml:space="preserve">вечер. Ако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е над препоръчваната граница, дневната доза трябва да </w:t>
      </w:r>
      <w:r w:rsidRPr="00903416">
        <w:rPr>
          <w:rFonts w:eastAsia="Times New Roman" w:cs="Arial"/>
          <w:color w:val="000000"/>
          <w:lang w:eastAsia="bg-BG"/>
        </w:rPr>
        <w:lastRenderedPageBreak/>
        <w:t xml:space="preserve">се намали с половин мерителна лъжица вечер. Трябва да бъде намерена точната доза, при която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на прясната урина преди приемане на дозата </w:t>
      </w:r>
      <w:proofErr w:type="spellStart"/>
      <w:r w:rsidRPr="00903416">
        <w:rPr>
          <w:rFonts w:eastAsia="Times New Roman" w:cs="Arial"/>
          <w:color w:val="000000"/>
          <w:lang w:val="en-US"/>
        </w:rPr>
        <w:t>Uralyt</w:t>
      </w:r>
      <w:proofErr w:type="spellEnd"/>
      <w:r w:rsidRPr="00903416">
        <w:rPr>
          <w:rFonts w:eastAsia="Times New Roman" w:cs="Arial"/>
          <w:color w:val="000000"/>
          <w:lang w:val="en-US"/>
        </w:rPr>
        <w:t xml:space="preserve">-U </w:t>
      </w:r>
      <w:r w:rsidRPr="00903416">
        <w:rPr>
          <w:rFonts w:eastAsia="Times New Roman" w:cs="Arial"/>
          <w:color w:val="000000"/>
          <w:lang w:eastAsia="bg-BG"/>
        </w:rPr>
        <w:t>да бъде в допустимите граници.</w:t>
      </w:r>
    </w:p>
    <w:p w14:paraId="651325A5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За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метафилаксия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03416">
        <w:rPr>
          <w:rFonts w:eastAsia="Times New Roman" w:cs="Arial"/>
          <w:color w:val="000000"/>
          <w:lang w:eastAsia="bg-BG"/>
        </w:rPr>
        <w:t>уратните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камъни се препоръчва редовно следене на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>на урината.</w:t>
      </w:r>
    </w:p>
    <w:p w14:paraId="1507AD9B" w14:textId="77777777" w:rsidR="00903416" w:rsidRDefault="00903416" w:rsidP="0090341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981B8D" w14:textId="6B658D79" w:rsidR="00903416" w:rsidRDefault="00903416" w:rsidP="0090341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>
        <w:rPr>
          <w:rFonts w:eastAsia="Times New Roman" w:cs="Arial"/>
          <w:i/>
          <w:iCs/>
          <w:color w:val="000000"/>
          <w:lang w:eastAsia="bg-BG"/>
        </w:rPr>
        <w:t xml:space="preserve">Б) </w:t>
      </w:r>
      <w:r w:rsidRPr="00903416">
        <w:rPr>
          <w:rFonts w:eastAsia="Times New Roman" w:cs="Arial"/>
          <w:i/>
          <w:iCs/>
          <w:color w:val="000000"/>
          <w:lang w:eastAsia="bg-BG"/>
        </w:rPr>
        <w:t>За предпазване от рецидив на калциеви камъни:</w:t>
      </w:r>
    </w:p>
    <w:p w14:paraId="7ACA1F6A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Дневната доза трябва да бъде 2-3 мерителни лъжици (= 5 - 7.5 </w:t>
      </w:r>
      <w:r w:rsidRPr="00903416">
        <w:rPr>
          <w:rFonts w:eastAsia="Times New Roman" w:cs="Arial"/>
          <w:color w:val="000000"/>
          <w:lang w:val="en-US"/>
        </w:rPr>
        <w:t xml:space="preserve">g </w:t>
      </w:r>
      <w:r w:rsidRPr="00903416">
        <w:rPr>
          <w:rFonts w:eastAsia="Times New Roman" w:cs="Arial"/>
          <w:color w:val="000000"/>
          <w:lang w:eastAsia="bg-BG"/>
        </w:rPr>
        <w:t xml:space="preserve">гранули, еквивалентни на 44 - 66 </w:t>
      </w:r>
      <w:r w:rsidRPr="00903416">
        <w:rPr>
          <w:rFonts w:eastAsia="Times New Roman" w:cs="Arial"/>
          <w:color w:val="000000"/>
          <w:lang w:val="en-US"/>
        </w:rPr>
        <w:t xml:space="preserve">mmol </w:t>
      </w:r>
      <w:r w:rsidRPr="00903416">
        <w:rPr>
          <w:rFonts w:eastAsia="Times New Roman" w:cs="Arial"/>
          <w:color w:val="000000"/>
          <w:lang w:eastAsia="bg-BG"/>
        </w:rPr>
        <w:t xml:space="preserve">алкални), които да се вземат еднократно вечер. Ако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е много ниско трябва да се вземат 3-4.5 мерителни лъжици (- 7.5 -11.25 </w:t>
      </w:r>
      <w:r w:rsidRPr="00903416">
        <w:rPr>
          <w:rFonts w:eastAsia="Times New Roman" w:cs="Arial"/>
          <w:color w:val="000000"/>
          <w:lang w:val="en-US"/>
        </w:rPr>
        <w:t xml:space="preserve">g </w:t>
      </w:r>
      <w:r w:rsidRPr="00903416">
        <w:rPr>
          <w:rFonts w:eastAsia="Times New Roman" w:cs="Arial"/>
          <w:color w:val="000000"/>
          <w:lang w:eastAsia="bg-BG"/>
        </w:rPr>
        <w:t xml:space="preserve">гранули, еквивалентни на 66 - 99 </w:t>
      </w:r>
      <w:r w:rsidRPr="00903416">
        <w:rPr>
          <w:rFonts w:eastAsia="Times New Roman" w:cs="Arial"/>
          <w:color w:val="000000"/>
          <w:lang w:val="en-US"/>
        </w:rPr>
        <w:t xml:space="preserve">mmol </w:t>
      </w:r>
      <w:r w:rsidRPr="00903416">
        <w:rPr>
          <w:rFonts w:eastAsia="Times New Roman" w:cs="Arial"/>
          <w:color w:val="000000"/>
          <w:lang w:eastAsia="bg-BG"/>
        </w:rPr>
        <w:t>алкални), разделени на 3 дози през деня, след ядене.</w:t>
      </w:r>
    </w:p>
    <w:p w14:paraId="68B0D057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2425DC" w14:textId="47B793E0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Трябва да се стремите към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на урината 7.0.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>не трябва да пада под 6.2 и да се вдига над 7.4.</w:t>
      </w:r>
    </w:p>
    <w:p w14:paraId="00CD489C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Нивата на цитрат и/или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>на урината трябва редовно да се проверяват и според това да се уточни индивидуалната дозировка.</w:t>
      </w:r>
    </w:p>
    <w:p w14:paraId="18A9DE08" w14:textId="77777777" w:rsidR="00903416" w:rsidRPr="00903416" w:rsidRDefault="00903416" w:rsidP="0090341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5E673A6C" w14:textId="70FC432C" w:rsidR="00903416" w:rsidRPr="00903416" w:rsidRDefault="00903416" w:rsidP="00903416">
      <w:pPr>
        <w:pStyle w:val="Heading3"/>
        <w:rPr>
          <w:rFonts w:eastAsia="Times New Roman"/>
          <w:u w:val="single"/>
        </w:rPr>
      </w:pPr>
      <w:r w:rsidRPr="00903416">
        <w:rPr>
          <w:rFonts w:eastAsia="Times New Roman"/>
          <w:u w:val="single"/>
          <w:lang w:eastAsia="bg-BG"/>
        </w:rPr>
        <w:t>Начин на приложение</w:t>
      </w:r>
      <w:bookmarkEnd w:id="1"/>
    </w:p>
    <w:p w14:paraId="66FC1D48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393274" w14:textId="7D8B6058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Гранулите трябва да се приемат разтворени в чаша вода.</w:t>
      </w:r>
    </w:p>
    <w:p w14:paraId="5DFE3D88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515CB0" w14:textId="49FBDA9B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u w:val="single"/>
          <w:lang w:eastAsia="bg-BG"/>
        </w:rPr>
        <w:t xml:space="preserve">Измерване </w:t>
      </w:r>
      <w:r w:rsidRPr="00903416">
        <w:rPr>
          <w:rFonts w:eastAsia="Times New Roman" w:cs="Arial"/>
          <w:color w:val="000000"/>
          <w:u w:val="single"/>
          <w:lang w:val="en-US"/>
        </w:rPr>
        <w:t xml:space="preserve">pH </w:t>
      </w:r>
      <w:r w:rsidRPr="00903416">
        <w:rPr>
          <w:rFonts w:eastAsia="Times New Roman" w:cs="Arial"/>
          <w:color w:val="000000"/>
          <w:u w:val="single"/>
          <w:lang w:eastAsia="bg-BG"/>
        </w:rPr>
        <w:t>на урината:</w:t>
      </w:r>
    </w:p>
    <w:p w14:paraId="665DAFE4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Непосредствено преди приемане на всяка доза лентичка от индикаторната хартия, трябва да се намокри с прясна урина. След това трябва да се сравни цвета на намокрената лентичка с цветната диаграма и да се прочете какво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 xml:space="preserve">е напечатано под съответния цвят. Така прочетеното </w:t>
      </w:r>
      <w:r w:rsidRPr="00903416">
        <w:rPr>
          <w:rFonts w:eastAsia="Times New Roman" w:cs="Arial"/>
          <w:color w:val="000000"/>
          <w:lang w:val="en-US"/>
        </w:rPr>
        <w:t xml:space="preserve">pH </w:t>
      </w:r>
      <w:r w:rsidRPr="00903416">
        <w:rPr>
          <w:rFonts w:eastAsia="Times New Roman" w:cs="Arial"/>
          <w:color w:val="000000"/>
          <w:lang w:eastAsia="bg-BG"/>
        </w:rPr>
        <w:t>и броя на изпитите мерителни лъжици от гранулите се записват в контролния календар. Пациентите трябва да носят контролния календар със себе си винаги, когато посещават лекаря.</w:t>
      </w:r>
    </w:p>
    <w:p w14:paraId="31F14E0C" w14:textId="77777777" w:rsidR="00903416" w:rsidRPr="00903416" w:rsidRDefault="00903416" w:rsidP="0090341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6BE652F" w14:textId="77777777" w:rsidR="00903416" w:rsidRPr="00903416" w:rsidRDefault="00903416" w:rsidP="00903416"/>
    <w:p w14:paraId="1A261012" w14:textId="69D46D42" w:rsidR="003765DC" w:rsidRDefault="002C50EE" w:rsidP="002B3C38">
      <w:pPr>
        <w:pStyle w:val="Heading2"/>
      </w:pPr>
      <w:r>
        <w:t>4.3. Противопоказания</w:t>
      </w:r>
    </w:p>
    <w:p w14:paraId="3AB61EB3" w14:textId="77777777" w:rsidR="00903416" w:rsidRDefault="00903416" w:rsidP="00903416">
      <w:pPr>
        <w:rPr>
          <w:lang w:val="en-US"/>
        </w:rPr>
      </w:pPr>
    </w:p>
    <w:p w14:paraId="7F1C7D92" w14:textId="6E367868" w:rsidR="00903416" w:rsidRPr="00903416" w:rsidRDefault="00903416" w:rsidP="00903416">
      <w:pPr>
        <w:rPr>
          <w:sz w:val="24"/>
          <w:szCs w:val="24"/>
        </w:rPr>
      </w:pP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>не трябва да се употребява</w:t>
      </w:r>
    </w:p>
    <w:p w14:paraId="030A454D" w14:textId="77777777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>при остра и хронична бъбречна недостатъчност</w:t>
      </w:r>
    </w:p>
    <w:p w14:paraId="3C1146CE" w14:textId="77777777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 xml:space="preserve">при метаболитна </w:t>
      </w:r>
      <w:proofErr w:type="spellStart"/>
      <w:r w:rsidRPr="00903416">
        <w:rPr>
          <w:lang w:eastAsia="bg-BG"/>
        </w:rPr>
        <w:t>алкалоза</w:t>
      </w:r>
      <w:proofErr w:type="spellEnd"/>
    </w:p>
    <w:p w14:paraId="7DD630A4" w14:textId="77777777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 xml:space="preserve">при наследствена епизодична </w:t>
      </w:r>
      <w:proofErr w:type="spellStart"/>
      <w:r w:rsidRPr="00903416">
        <w:rPr>
          <w:lang w:eastAsia="bg-BG"/>
        </w:rPr>
        <w:t>адинамия</w:t>
      </w:r>
      <w:proofErr w:type="spellEnd"/>
    </w:p>
    <w:p w14:paraId="1D14F253" w14:textId="77777777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 xml:space="preserve">при хронични инфекции на пикочните пътища с бактерии, разцепващи уреята (опасност от образуване на </w:t>
      </w:r>
      <w:proofErr w:type="spellStart"/>
      <w:r w:rsidRPr="00903416">
        <w:rPr>
          <w:lang w:eastAsia="bg-BG"/>
        </w:rPr>
        <w:t>струвитни</w:t>
      </w:r>
      <w:proofErr w:type="spellEnd"/>
      <w:r w:rsidRPr="00903416">
        <w:rPr>
          <w:lang w:eastAsia="bg-BG"/>
        </w:rPr>
        <w:t xml:space="preserve"> камъни) при диета, бедна на натрий</w:t>
      </w:r>
    </w:p>
    <w:p w14:paraId="47A11F9C" w14:textId="77777777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 xml:space="preserve">при повишена чувствителност към някоя от съставките на </w:t>
      </w: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>-U</w:t>
      </w:r>
    </w:p>
    <w:p w14:paraId="49BC31E9" w14:textId="77777777" w:rsidR="00903416" w:rsidRDefault="00903416" w:rsidP="00903416">
      <w:pPr>
        <w:rPr>
          <w:lang w:eastAsia="bg-BG"/>
        </w:rPr>
      </w:pPr>
    </w:p>
    <w:p w14:paraId="0B468C20" w14:textId="77C488AC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Забележка:</w:t>
      </w:r>
    </w:p>
    <w:p w14:paraId="2C7A630B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Лечение на деца под 12 години не се препоръчва, тъй като няма достатъчно клинични данни за тази възрастова група.</w:t>
      </w:r>
    </w:p>
    <w:p w14:paraId="15707BC2" w14:textId="77777777" w:rsidR="00903416" w:rsidRPr="00903416" w:rsidRDefault="00903416" w:rsidP="00903416"/>
    <w:p w14:paraId="5EF6E7D6" w14:textId="0979F7FC" w:rsidR="003765DC" w:rsidRDefault="002C50EE" w:rsidP="002B3C38">
      <w:pPr>
        <w:pStyle w:val="Heading2"/>
      </w:pPr>
      <w:r>
        <w:t>4.4. Специални предупреждения и предпазни мерки при употреба</w:t>
      </w:r>
    </w:p>
    <w:p w14:paraId="65237CFB" w14:textId="77777777" w:rsid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105087" w14:textId="6918528B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Преди започване на лечението трябва да се изключат всички обстоятелства и неблагоприятни условия, които могат да спомагат за образуване на бъбречни камъни. </w:t>
      </w:r>
      <w:r w:rsidRPr="00903416">
        <w:rPr>
          <w:rFonts w:eastAsia="Times New Roman" w:cs="Arial"/>
          <w:color w:val="000000"/>
          <w:lang w:eastAsia="bg-BG"/>
        </w:rPr>
        <w:lastRenderedPageBreak/>
        <w:t>Това се отнася и за случаите, в които се прилага специфична терапия (</w:t>
      </w:r>
      <w:proofErr w:type="spellStart"/>
      <w:r w:rsidRPr="00903416">
        <w:rPr>
          <w:rFonts w:eastAsia="Times New Roman" w:cs="Arial"/>
          <w:color w:val="000000"/>
          <w:lang w:eastAsia="bg-BG"/>
        </w:rPr>
        <w:t>аденом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паратиреоидните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жлези,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малигнома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с образуване на камъни от пикочна киселина и т.н.).</w:t>
      </w:r>
    </w:p>
    <w:p w14:paraId="53EE4720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Преди приемане на първата доза трябва да се определят серумните електролити и да се проследи бъбречната функция. Освен това трябва да се провери киселинно-основния статус ако има съмнения за бъбречна </w:t>
      </w:r>
      <w:proofErr w:type="spellStart"/>
      <w:r w:rsidRPr="00903416">
        <w:rPr>
          <w:rFonts w:eastAsia="Times New Roman" w:cs="Arial"/>
          <w:color w:val="000000"/>
          <w:lang w:eastAsia="bg-BG"/>
        </w:rPr>
        <w:t>тубуларна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03416">
        <w:rPr>
          <w:rFonts w:eastAsia="Times New Roman" w:cs="Arial"/>
          <w:color w:val="000000"/>
          <w:lang w:eastAsia="bg-BG"/>
        </w:rPr>
        <w:t>ацидоза</w:t>
      </w:r>
      <w:proofErr w:type="spellEnd"/>
      <w:r w:rsidRPr="00903416">
        <w:rPr>
          <w:rFonts w:eastAsia="Times New Roman" w:cs="Arial"/>
          <w:color w:val="000000"/>
          <w:lang w:eastAsia="bg-BG"/>
        </w:rPr>
        <w:t xml:space="preserve"> </w:t>
      </w:r>
      <w:r w:rsidRPr="00903416">
        <w:rPr>
          <w:rFonts w:eastAsia="Times New Roman" w:cs="Arial"/>
          <w:color w:val="000000"/>
          <w:lang w:val="en-US"/>
        </w:rPr>
        <w:t>(RTA).</w:t>
      </w:r>
    </w:p>
    <w:p w14:paraId="772B68AB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Да се внимава с употребата на </w:t>
      </w:r>
      <w:proofErr w:type="spellStart"/>
      <w:r w:rsidRPr="00903416">
        <w:rPr>
          <w:rFonts w:eastAsia="Times New Roman" w:cs="Arial"/>
          <w:color w:val="000000"/>
          <w:lang w:val="en-US"/>
        </w:rPr>
        <w:t>Uralyt</w:t>
      </w:r>
      <w:proofErr w:type="spellEnd"/>
      <w:r w:rsidRPr="00903416">
        <w:rPr>
          <w:rFonts w:eastAsia="Times New Roman" w:cs="Arial"/>
          <w:color w:val="000000"/>
          <w:lang w:val="en-US"/>
        </w:rPr>
        <w:t xml:space="preserve">-U </w:t>
      </w:r>
      <w:r w:rsidRPr="00903416">
        <w:rPr>
          <w:rFonts w:eastAsia="Times New Roman" w:cs="Arial"/>
          <w:color w:val="000000"/>
          <w:lang w:eastAsia="bg-BG"/>
        </w:rPr>
        <w:t>при пациенти с тежки увреждания на чернодробната функция.</w:t>
      </w:r>
    </w:p>
    <w:p w14:paraId="575B645A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Продуктът съдържа като оцветител портокалово жълто </w:t>
      </w:r>
      <w:r w:rsidRPr="00903416">
        <w:rPr>
          <w:rFonts w:eastAsia="Times New Roman" w:cs="Arial"/>
          <w:color w:val="000000"/>
          <w:lang w:val="en-US"/>
        </w:rPr>
        <w:t xml:space="preserve">S </w:t>
      </w:r>
      <w:r w:rsidRPr="00903416">
        <w:rPr>
          <w:rFonts w:eastAsia="Times New Roman" w:cs="Arial"/>
          <w:color w:val="000000"/>
          <w:lang w:eastAsia="bg-BG"/>
        </w:rPr>
        <w:t>(Е 110), който може да предизвика алергични реакции, включително и астма, при предразположени лица. Алергии се срещат по-често при хора, реагиращи на 2-ацетоксибензоена киселина (ацетилсалицилова киселина).</w:t>
      </w:r>
    </w:p>
    <w:p w14:paraId="272B3A7E" w14:textId="77777777" w:rsidR="00903416" w:rsidRPr="00903416" w:rsidRDefault="00903416" w:rsidP="00903416"/>
    <w:p w14:paraId="297352C8" w14:textId="1D7E84E6" w:rsidR="003765DC" w:rsidRDefault="002C50EE" w:rsidP="002B3C3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A72DB5F" w14:textId="77777777" w:rsidR="00903416" w:rsidRDefault="00903416" w:rsidP="00903416">
      <w:pPr>
        <w:rPr>
          <w:lang w:eastAsia="bg-BG"/>
        </w:rPr>
      </w:pPr>
    </w:p>
    <w:p w14:paraId="4BA5E8FD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Всяко увеличаване на извънклетъчната концентрация на калий може да отслаби действието на сърдечните </w:t>
      </w:r>
      <w:proofErr w:type="spellStart"/>
      <w:r w:rsidRPr="00903416">
        <w:rPr>
          <w:lang w:eastAsia="bg-BG"/>
        </w:rPr>
        <w:t>гликозцди</w:t>
      </w:r>
      <w:proofErr w:type="spellEnd"/>
      <w:r w:rsidRPr="00903416">
        <w:rPr>
          <w:lang w:eastAsia="bg-BG"/>
        </w:rPr>
        <w:t xml:space="preserve">, докато намаляването му ще засили тяхното </w:t>
      </w:r>
      <w:proofErr w:type="spellStart"/>
      <w:r w:rsidRPr="00903416">
        <w:rPr>
          <w:lang w:eastAsia="bg-BG"/>
        </w:rPr>
        <w:t>аритмогенно</w:t>
      </w:r>
      <w:proofErr w:type="spellEnd"/>
      <w:r w:rsidRPr="00903416">
        <w:rPr>
          <w:lang w:eastAsia="bg-BG"/>
        </w:rPr>
        <w:t xml:space="preserve"> действие. Антагонистите на </w:t>
      </w:r>
      <w:proofErr w:type="spellStart"/>
      <w:r w:rsidRPr="00903416">
        <w:rPr>
          <w:lang w:eastAsia="bg-BG"/>
        </w:rPr>
        <w:t>алдостерона</w:t>
      </w:r>
      <w:proofErr w:type="spellEnd"/>
      <w:r w:rsidRPr="00903416">
        <w:rPr>
          <w:lang w:eastAsia="bg-BG"/>
        </w:rPr>
        <w:t xml:space="preserve">, калий-щадящите </w:t>
      </w:r>
      <w:proofErr w:type="spellStart"/>
      <w:r w:rsidRPr="00903416">
        <w:rPr>
          <w:lang w:eastAsia="bg-BG"/>
        </w:rPr>
        <w:t>диуретици</w:t>
      </w:r>
      <w:proofErr w:type="spellEnd"/>
      <w:r w:rsidRPr="00903416">
        <w:rPr>
          <w:lang w:eastAsia="bg-BG"/>
        </w:rPr>
        <w:t>, АСЕ-инхибиторите, нестероидните противовъзпалителни</w:t>
      </w:r>
      <w:r>
        <w:rPr>
          <w:lang w:eastAsia="bg-BG"/>
        </w:rPr>
        <w:t xml:space="preserve"> </w:t>
      </w:r>
      <w:r w:rsidRPr="00903416">
        <w:rPr>
          <w:lang w:eastAsia="bg-BG"/>
        </w:rPr>
        <w:t xml:space="preserve">лекарства и периферните аналгетици намаляват излъчването на калий чрез бъбреците. Помнете, че 1 </w:t>
      </w:r>
      <w:r w:rsidRPr="00903416">
        <w:rPr>
          <w:lang w:val="en-US"/>
        </w:rPr>
        <w:t xml:space="preserve">g </w:t>
      </w: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 xml:space="preserve">съдържа 0.172 </w:t>
      </w:r>
      <w:r w:rsidRPr="00903416">
        <w:rPr>
          <w:lang w:val="en-US"/>
        </w:rPr>
        <w:t xml:space="preserve">g </w:t>
      </w:r>
      <w:r w:rsidRPr="00903416">
        <w:rPr>
          <w:lang w:eastAsia="bg-BG"/>
        </w:rPr>
        <w:t xml:space="preserve">или 4.4 </w:t>
      </w:r>
      <w:proofErr w:type="spellStart"/>
      <w:r w:rsidRPr="00903416">
        <w:rPr>
          <w:lang w:eastAsia="bg-BG"/>
        </w:rPr>
        <w:t>ммол</w:t>
      </w:r>
      <w:proofErr w:type="spellEnd"/>
      <w:r w:rsidRPr="00903416">
        <w:rPr>
          <w:lang w:eastAsia="bg-BG"/>
        </w:rPr>
        <w:t xml:space="preserve"> калий.</w:t>
      </w:r>
    </w:p>
    <w:p w14:paraId="36E81724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Ако ви е препоръчана бедна на натрий диета, моля помнете, че 1 </w:t>
      </w:r>
      <w:r w:rsidRPr="00903416">
        <w:rPr>
          <w:lang w:val="en-US"/>
        </w:rPr>
        <w:t xml:space="preserve">g </w:t>
      </w: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 xml:space="preserve">съдържа 0.1 </w:t>
      </w:r>
      <w:r w:rsidRPr="00903416">
        <w:rPr>
          <w:lang w:val="en-US"/>
        </w:rPr>
        <w:t xml:space="preserve">g </w:t>
      </w:r>
      <w:r w:rsidRPr="00903416">
        <w:rPr>
          <w:lang w:eastAsia="bg-BG"/>
        </w:rPr>
        <w:t xml:space="preserve">или 4.4 </w:t>
      </w:r>
      <w:proofErr w:type="spellStart"/>
      <w:r w:rsidRPr="00903416">
        <w:rPr>
          <w:lang w:eastAsia="bg-BG"/>
        </w:rPr>
        <w:t>ммол</w:t>
      </w:r>
      <w:proofErr w:type="spellEnd"/>
      <w:r w:rsidRPr="00903416">
        <w:rPr>
          <w:lang w:eastAsia="bg-BG"/>
        </w:rPr>
        <w:t xml:space="preserve"> натрий (което се равнява на 0.26 </w:t>
      </w:r>
      <w:r w:rsidRPr="00903416">
        <w:rPr>
          <w:lang w:val="en-US"/>
        </w:rPr>
        <w:t xml:space="preserve">g </w:t>
      </w:r>
      <w:r w:rsidRPr="00903416">
        <w:rPr>
          <w:lang w:eastAsia="bg-BG"/>
        </w:rPr>
        <w:t>сол).</w:t>
      </w:r>
    </w:p>
    <w:p w14:paraId="00CC82C5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Лекарства, съдържащи цитрат, които се дават едновременно с такива, съдържащи алуминий, могат да предизвикат засилване на абсорбцията на алуминия. Ако такива лекарства трябва да се вземат, между приемането им трябва да има интервал от най-малко 2 часа.</w:t>
      </w:r>
    </w:p>
    <w:p w14:paraId="1AEB4136" w14:textId="40C16601" w:rsidR="00903416" w:rsidRPr="00903416" w:rsidRDefault="00903416" w:rsidP="00903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D2B9F" w14:textId="77777777" w:rsidR="00903416" w:rsidRPr="00903416" w:rsidRDefault="00903416" w:rsidP="00903416"/>
    <w:p w14:paraId="20B09708" w14:textId="5673152C" w:rsidR="003765DC" w:rsidRDefault="002C50EE" w:rsidP="002B3C38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4D7AF362" w14:textId="77777777" w:rsidR="00903416" w:rsidRDefault="00903416" w:rsidP="00903416">
      <w:pPr>
        <w:rPr>
          <w:lang w:eastAsia="bg-BG"/>
        </w:rPr>
      </w:pPr>
    </w:p>
    <w:p w14:paraId="3CCFB17D" w14:textId="798DBC3A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Няма достатъчно клинични данни за употребата на </w:t>
      </w: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 xml:space="preserve">от бременни. Експериментални изследвания при животни не са показали никакво тератогенно или </w:t>
      </w:r>
      <w:proofErr w:type="spellStart"/>
      <w:r w:rsidRPr="00903416">
        <w:rPr>
          <w:lang w:eastAsia="bg-BG"/>
        </w:rPr>
        <w:t>ембриотоксично</w:t>
      </w:r>
      <w:proofErr w:type="spellEnd"/>
      <w:r w:rsidRPr="00903416">
        <w:rPr>
          <w:lang w:eastAsia="bg-BG"/>
        </w:rPr>
        <w:t xml:space="preserve"> действие. Тъй като лекарственото вещество е комбинация от субстанции, намиращи се естествено в организма, </w:t>
      </w: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 xml:space="preserve">може да се използва при бременност и кърмене при индикации в препоръчани дози. Като предпазна мярка, наличието на бременност изисква преглед на потенциалния риск / полза за майката, </w:t>
      </w:r>
      <w:proofErr w:type="spellStart"/>
      <w:r w:rsidRPr="00903416">
        <w:rPr>
          <w:lang w:eastAsia="bg-BG"/>
        </w:rPr>
        <w:t>фетуса</w:t>
      </w:r>
      <w:proofErr w:type="spellEnd"/>
      <w:r w:rsidRPr="00903416">
        <w:rPr>
          <w:lang w:eastAsia="bg-BG"/>
        </w:rPr>
        <w:t xml:space="preserve"> и кърменото дете, имайки предвид нормалните физиологични роли на натрий и калий и дневния прием.</w:t>
      </w:r>
    </w:p>
    <w:p w14:paraId="71E8583B" w14:textId="77777777" w:rsidR="00903416" w:rsidRDefault="00903416" w:rsidP="00903416">
      <w:pPr>
        <w:rPr>
          <w:lang w:eastAsia="bg-BG"/>
        </w:rPr>
      </w:pPr>
    </w:p>
    <w:p w14:paraId="06D8D6F0" w14:textId="575EFBA2" w:rsidR="00903416" w:rsidRPr="00903416" w:rsidRDefault="00903416" w:rsidP="00903416">
      <w:pPr>
        <w:pStyle w:val="Heading3"/>
        <w:rPr>
          <w:rFonts w:eastAsia="Times New Roman"/>
          <w:u w:val="single"/>
        </w:rPr>
      </w:pPr>
      <w:proofErr w:type="spellStart"/>
      <w:r w:rsidRPr="00903416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47BA7673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Няма клинични данни за ефектите на калиевия натриев хидроген цитрат върху мъжкия и женския </w:t>
      </w:r>
      <w:proofErr w:type="spellStart"/>
      <w:r w:rsidRPr="00903416">
        <w:rPr>
          <w:lang w:eastAsia="bg-BG"/>
        </w:rPr>
        <w:t>Фертилитет</w:t>
      </w:r>
      <w:proofErr w:type="spellEnd"/>
      <w:r w:rsidRPr="00903416">
        <w:rPr>
          <w:lang w:eastAsia="bg-BG"/>
        </w:rPr>
        <w:t xml:space="preserve">. Малко вероятно е активните съставки да повлияят директно върху фертилността както при жените, така и при мъжете, тъй като калиево натриев </w:t>
      </w:r>
      <w:proofErr w:type="spellStart"/>
      <w:r w:rsidRPr="00903416">
        <w:rPr>
          <w:lang w:eastAsia="bg-BG"/>
        </w:rPr>
        <w:t>хидрогенцитрат</w:t>
      </w:r>
      <w:proofErr w:type="spellEnd"/>
      <w:r w:rsidRPr="00903416">
        <w:rPr>
          <w:lang w:eastAsia="bg-BG"/>
        </w:rPr>
        <w:t xml:space="preserve"> участва в нормалните физиологични процеси в организма и е част от нормалната диета.</w:t>
      </w:r>
    </w:p>
    <w:p w14:paraId="18001200" w14:textId="77777777" w:rsidR="00903416" w:rsidRPr="00903416" w:rsidRDefault="00903416" w:rsidP="00903416"/>
    <w:p w14:paraId="13465597" w14:textId="00D7C940" w:rsidR="003765DC" w:rsidRDefault="002C50EE" w:rsidP="002B3C38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5AE90EC1" w14:textId="77777777" w:rsidR="00903416" w:rsidRDefault="00903416" w:rsidP="00903416">
      <w:pPr>
        <w:rPr>
          <w:lang w:val="en-US"/>
        </w:rPr>
      </w:pPr>
    </w:p>
    <w:p w14:paraId="43F0A397" w14:textId="01C0C242" w:rsidR="00903416" w:rsidRPr="00903416" w:rsidRDefault="00903416" w:rsidP="00903416">
      <w:pPr>
        <w:rPr>
          <w:sz w:val="24"/>
          <w:szCs w:val="24"/>
        </w:rPr>
      </w:pPr>
      <w:proofErr w:type="spellStart"/>
      <w:r w:rsidRPr="00903416">
        <w:rPr>
          <w:lang w:val="en-US"/>
        </w:rPr>
        <w:t>Uralyt</w:t>
      </w:r>
      <w:proofErr w:type="spellEnd"/>
      <w:r w:rsidRPr="00903416">
        <w:rPr>
          <w:lang w:val="en-US"/>
        </w:rPr>
        <w:t xml:space="preserve">-U </w:t>
      </w:r>
      <w:r w:rsidRPr="00903416">
        <w:rPr>
          <w:lang w:eastAsia="bg-BG"/>
        </w:rPr>
        <w:t>не повлиява способността за шофиране и работа с машини.</w:t>
      </w:r>
    </w:p>
    <w:p w14:paraId="71505D23" w14:textId="77777777" w:rsidR="00903416" w:rsidRPr="00903416" w:rsidRDefault="00903416" w:rsidP="00903416"/>
    <w:p w14:paraId="5D66F04B" w14:textId="39E7E579" w:rsidR="003765DC" w:rsidRDefault="002C50EE" w:rsidP="002B3C38">
      <w:pPr>
        <w:pStyle w:val="Heading2"/>
      </w:pPr>
      <w:r>
        <w:t>4.8. Нежелани лекарствени реакции</w:t>
      </w:r>
    </w:p>
    <w:p w14:paraId="461660D8" w14:textId="77777777" w:rsid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641AE5" w14:textId="3091026A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Както всички лекарствени продукти </w:t>
      </w:r>
      <w:proofErr w:type="spellStart"/>
      <w:r w:rsidRPr="00903416">
        <w:rPr>
          <w:rFonts w:eastAsia="Times New Roman" w:cs="Arial"/>
          <w:color w:val="000000"/>
          <w:lang w:val="en-US"/>
        </w:rPr>
        <w:t>Uralyt</w:t>
      </w:r>
      <w:proofErr w:type="spellEnd"/>
      <w:r w:rsidRPr="00903416">
        <w:rPr>
          <w:rFonts w:eastAsia="Times New Roman" w:cs="Arial"/>
          <w:color w:val="000000"/>
          <w:lang w:val="en-US"/>
        </w:rPr>
        <w:t xml:space="preserve">-U </w:t>
      </w:r>
      <w:r w:rsidRPr="00903416">
        <w:rPr>
          <w:rFonts w:eastAsia="Times New Roman" w:cs="Arial"/>
          <w:color w:val="000000"/>
          <w:lang w:eastAsia="bg-BG"/>
        </w:rPr>
        <w:t xml:space="preserve">може да има нежелани лекарствени реакции. Използват се следните термини за определяне честотата им: Много често: </w:t>
      </w:r>
      <w:r w:rsidRPr="00903416">
        <w:rPr>
          <w:rFonts w:eastAsia="Times New Roman" w:cs="Arial"/>
          <w:color w:val="000000"/>
          <w:lang w:val="en-US"/>
        </w:rPr>
        <w:t>≥</w:t>
      </w:r>
      <w:r w:rsidRPr="00903416">
        <w:rPr>
          <w:rFonts w:eastAsia="Times New Roman" w:cs="Arial"/>
          <w:color w:val="000000"/>
          <w:lang w:eastAsia="bg-BG"/>
        </w:rPr>
        <w:t xml:space="preserve"> 1/10</w:t>
      </w:r>
    </w:p>
    <w:p w14:paraId="6568A9EB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Често: </w:t>
      </w:r>
      <w:r w:rsidRPr="00903416">
        <w:rPr>
          <w:rFonts w:eastAsia="Times New Roman" w:cs="Arial"/>
          <w:color w:val="000000"/>
          <w:lang w:val="en-US"/>
        </w:rPr>
        <w:t>≥</w:t>
      </w:r>
      <w:r w:rsidRPr="00903416">
        <w:rPr>
          <w:rFonts w:eastAsia="Times New Roman" w:cs="Arial"/>
          <w:color w:val="000000"/>
          <w:lang w:eastAsia="bg-BG"/>
        </w:rPr>
        <w:t>1/100 - &lt; 1/10</w:t>
      </w:r>
    </w:p>
    <w:p w14:paraId="7B4B7755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Не много често: </w:t>
      </w:r>
      <w:r w:rsidRPr="00903416">
        <w:rPr>
          <w:rFonts w:eastAsia="Times New Roman" w:cs="Arial"/>
          <w:color w:val="000000"/>
          <w:lang w:val="en-US"/>
        </w:rPr>
        <w:t>≥</w:t>
      </w:r>
      <w:r w:rsidRPr="00903416">
        <w:rPr>
          <w:rFonts w:eastAsia="Times New Roman" w:cs="Arial"/>
          <w:color w:val="000000"/>
          <w:lang w:eastAsia="bg-BG"/>
        </w:rPr>
        <w:t>1/1000 - &lt; 1/100</w:t>
      </w:r>
    </w:p>
    <w:p w14:paraId="192DE55A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Рядко: </w:t>
      </w:r>
      <w:r w:rsidRPr="00903416">
        <w:rPr>
          <w:rFonts w:eastAsia="Times New Roman" w:cs="Arial"/>
          <w:color w:val="000000"/>
          <w:lang w:val="en-US"/>
        </w:rPr>
        <w:t>≥</w:t>
      </w:r>
      <w:r w:rsidRPr="00903416">
        <w:rPr>
          <w:rFonts w:eastAsia="Times New Roman" w:cs="Arial"/>
          <w:color w:val="000000"/>
          <w:lang w:eastAsia="bg-BG"/>
        </w:rPr>
        <w:t>1/10 000-&lt; 1/1000</w:t>
      </w:r>
    </w:p>
    <w:p w14:paraId="10C46FB6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Много рядко: &lt; 1/10,000 пациенти</w:t>
      </w:r>
    </w:p>
    <w:p w14:paraId="5AFE4D91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Неизвестна: не може да бъде преценена от наличните данни</w:t>
      </w:r>
    </w:p>
    <w:p w14:paraId="00076CF0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F29335" w14:textId="2A14EE51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Чести:</w:t>
      </w:r>
    </w:p>
    <w:p w14:paraId="3D0648CC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Леки стомашни или чревни болки.</w:t>
      </w:r>
    </w:p>
    <w:p w14:paraId="35238D35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Редки:</w:t>
      </w:r>
    </w:p>
    <w:p w14:paraId="2FECEE97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Лека диария и гадене</w:t>
      </w:r>
    </w:p>
    <w:p w14:paraId="2F89E382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 xml:space="preserve">Портокалово жълто </w:t>
      </w:r>
      <w:r w:rsidRPr="00903416">
        <w:rPr>
          <w:rFonts w:eastAsia="Times New Roman" w:cs="Arial"/>
          <w:color w:val="000000"/>
          <w:lang w:val="en-US"/>
        </w:rPr>
        <w:t xml:space="preserve">S </w:t>
      </w:r>
      <w:r w:rsidRPr="00903416">
        <w:rPr>
          <w:rFonts w:eastAsia="Times New Roman" w:cs="Arial"/>
          <w:color w:val="000000"/>
          <w:lang w:eastAsia="bg-BG"/>
        </w:rPr>
        <w:t>(Е 110) може да предизвика алергични реакции.</w:t>
      </w:r>
    </w:p>
    <w:p w14:paraId="31808256" w14:textId="77777777" w:rsidR="00903416" w:rsidRPr="00903416" w:rsidRDefault="00903416" w:rsidP="0090341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7E9C519" w14:textId="00755D14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E3B25E0" w14:textId="77777777" w:rsidR="00903416" w:rsidRPr="00903416" w:rsidRDefault="00903416" w:rsidP="00903416">
      <w:pPr>
        <w:spacing w:line="240" w:lineRule="auto"/>
        <w:rPr>
          <w:rFonts w:eastAsia="Times New Roman" w:cs="Arial"/>
        </w:rPr>
      </w:pPr>
      <w:r w:rsidRPr="00903416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5857442D" w14:textId="77777777" w:rsid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03416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7E28DB63" w14:textId="71655ABF" w:rsidR="00903416" w:rsidRDefault="00903416" w:rsidP="0090341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03416">
        <w:rPr>
          <w:rFonts w:eastAsia="Times New Roman" w:cs="Arial"/>
          <w:color w:val="000000"/>
          <w:lang w:eastAsia="bg-BG"/>
        </w:rPr>
        <w:t>ул. „Дамян Груев”№ 8,</w:t>
      </w:r>
    </w:p>
    <w:p w14:paraId="026C8C9A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val="en-US"/>
        </w:rPr>
        <w:t xml:space="preserve">1303 </w:t>
      </w:r>
      <w:proofErr w:type="gramStart"/>
      <w:r w:rsidRPr="00903416">
        <w:rPr>
          <w:lang w:eastAsia="bg-BG"/>
        </w:rPr>
        <w:t>София;</w:t>
      </w:r>
      <w:proofErr w:type="gramEnd"/>
    </w:p>
    <w:p w14:paraId="195A9D34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Тел.: +35 928903417;</w:t>
      </w:r>
    </w:p>
    <w:p w14:paraId="105B17E5" w14:textId="4EBBB1E7" w:rsidR="00903416" w:rsidRPr="00903416" w:rsidRDefault="00903416" w:rsidP="00903416">
      <w:pPr>
        <w:rPr>
          <w:rFonts w:cs="Arial"/>
        </w:rPr>
      </w:pPr>
      <w:r w:rsidRPr="00903416">
        <w:rPr>
          <w:lang w:eastAsia="bg-BG"/>
        </w:rPr>
        <w:t xml:space="preserve">уебсайт: </w:t>
      </w:r>
      <w:hyperlink r:id="rId5" w:history="1">
        <w:r w:rsidRPr="00903416">
          <w:rPr>
            <w:u w:val="single"/>
            <w:lang w:val="en-US"/>
          </w:rPr>
          <w:t>www.bda.bg</w:t>
        </w:r>
      </w:hyperlink>
    </w:p>
    <w:p w14:paraId="610D0D01" w14:textId="77777777" w:rsidR="00903416" w:rsidRPr="00903416" w:rsidRDefault="00903416" w:rsidP="00903416"/>
    <w:p w14:paraId="42DF9851" w14:textId="4CB8B741" w:rsidR="003765DC" w:rsidRDefault="002C50EE" w:rsidP="002B3C38">
      <w:pPr>
        <w:pStyle w:val="Heading2"/>
      </w:pPr>
      <w:r>
        <w:t>4.9. Предозиране</w:t>
      </w:r>
    </w:p>
    <w:p w14:paraId="7BA3DB0C" w14:textId="77777777" w:rsidR="00903416" w:rsidRDefault="00903416" w:rsidP="00903416">
      <w:pPr>
        <w:rPr>
          <w:lang w:eastAsia="bg-BG"/>
        </w:rPr>
      </w:pPr>
    </w:p>
    <w:p w14:paraId="7FB4FEE1" w14:textId="11A4D59E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При условие, че бъбречната функция е нормална, не трябва да се очакват нежелани ефекти върху метаболитните или физиологични параметри, дори когато са били приети дози, по-големи от препоръчваните, защото екскрецията на излишното количество основа чрез бъбреците осигурява естествен регулаторен механизъм, който осигурява поддържането на киселинно-основния баланс.</w:t>
      </w:r>
    </w:p>
    <w:p w14:paraId="655B14EC" w14:textId="5DA2EF1A" w:rsidR="00903416" w:rsidRPr="00903416" w:rsidRDefault="00903416" w:rsidP="00903416">
      <w:r w:rsidRPr="00903416">
        <w:rPr>
          <w:lang w:eastAsia="bg-BG"/>
        </w:rPr>
        <w:t xml:space="preserve">Всяко превишаване на препоръчваното ниво на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 xml:space="preserve">при никакви обстоятелства не бива да се допуска за повече от няколко дни, защото при подчертано високи нива на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 xml:space="preserve">съществува риск от кристализация на фосфати и създаването за дълго време на определени условия на метаболитна </w:t>
      </w:r>
      <w:proofErr w:type="spellStart"/>
      <w:r w:rsidRPr="00903416">
        <w:rPr>
          <w:lang w:eastAsia="bg-BG"/>
        </w:rPr>
        <w:t>алкалоза</w:t>
      </w:r>
      <w:proofErr w:type="spellEnd"/>
      <w:r w:rsidRPr="00903416">
        <w:rPr>
          <w:lang w:eastAsia="bg-BG"/>
        </w:rPr>
        <w:t xml:space="preserve"> не е в никакъв случай желателно. Неволното предозиране може да се коригира по всяко време чрез намаляване на дозировката: ако е необходимо, могат да се обмислят мерки за лечение на метаболитната </w:t>
      </w:r>
      <w:proofErr w:type="spellStart"/>
      <w:r w:rsidRPr="00903416">
        <w:rPr>
          <w:lang w:eastAsia="bg-BG"/>
        </w:rPr>
        <w:t>алкалоза</w:t>
      </w:r>
      <w:proofErr w:type="spellEnd"/>
      <w:r w:rsidRPr="00903416">
        <w:rPr>
          <w:lang w:eastAsia="bg-BG"/>
        </w:rPr>
        <w:t>.</w:t>
      </w:r>
    </w:p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7635AD51" w14:textId="58175498" w:rsidR="003765DC" w:rsidRDefault="002C50EE" w:rsidP="002B3C38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0403C1ED" w14:textId="77777777" w:rsidR="00903416" w:rsidRDefault="00903416" w:rsidP="00903416">
      <w:pPr>
        <w:rPr>
          <w:lang w:eastAsia="bg-BG"/>
        </w:rPr>
      </w:pPr>
    </w:p>
    <w:p w14:paraId="32249794" w14:textId="54600DF1" w:rsidR="00903416" w:rsidRPr="00903416" w:rsidRDefault="00903416" w:rsidP="00903416">
      <w:pPr>
        <w:rPr>
          <w:sz w:val="24"/>
          <w:szCs w:val="24"/>
        </w:rPr>
      </w:pPr>
      <w:proofErr w:type="spellStart"/>
      <w:r w:rsidRPr="00903416">
        <w:rPr>
          <w:lang w:eastAsia="bg-BG"/>
        </w:rPr>
        <w:t>Фармакотерапевтична</w:t>
      </w:r>
      <w:proofErr w:type="spellEnd"/>
      <w:r w:rsidRPr="00903416">
        <w:rPr>
          <w:lang w:eastAsia="bg-BG"/>
        </w:rPr>
        <w:t xml:space="preserve"> група: алкални цитрати, разтварящи бъбречни </w:t>
      </w:r>
      <w:proofErr w:type="spellStart"/>
      <w:r w:rsidRPr="00903416">
        <w:rPr>
          <w:lang w:eastAsia="bg-BG"/>
        </w:rPr>
        <w:t>конкременти</w:t>
      </w:r>
      <w:proofErr w:type="spellEnd"/>
      <w:r w:rsidRPr="00903416">
        <w:rPr>
          <w:lang w:eastAsia="bg-BG"/>
        </w:rPr>
        <w:t>.</w:t>
      </w:r>
    </w:p>
    <w:p w14:paraId="40D7C84E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АТС код: </w:t>
      </w:r>
      <w:r w:rsidRPr="00903416">
        <w:rPr>
          <w:lang w:val="en-US"/>
        </w:rPr>
        <w:t>G04BC01</w:t>
      </w:r>
    </w:p>
    <w:p w14:paraId="4779DDCE" w14:textId="77777777" w:rsidR="00903416" w:rsidRDefault="00903416" w:rsidP="00903416">
      <w:pPr>
        <w:rPr>
          <w:lang w:eastAsia="bg-BG"/>
        </w:rPr>
      </w:pPr>
    </w:p>
    <w:p w14:paraId="312C3360" w14:textId="296FF795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Солите на силни основи със слаби киселини са подходящи за </w:t>
      </w:r>
      <w:proofErr w:type="spellStart"/>
      <w:r w:rsidRPr="00903416">
        <w:rPr>
          <w:lang w:eastAsia="bg-BG"/>
        </w:rPr>
        <w:t>алкализация</w:t>
      </w:r>
      <w:proofErr w:type="spellEnd"/>
      <w:r w:rsidRPr="00903416">
        <w:rPr>
          <w:lang w:eastAsia="bg-BG"/>
        </w:rPr>
        <w:t xml:space="preserve"> (</w:t>
      </w:r>
      <w:proofErr w:type="spellStart"/>
      <w:r w:rsidRPr="00903416">
        <w:rPr>
          <w:lang w:eastAsia="bg-BG"/>
        </w:rPr>
        <w:t>неутрализационна</w:t>
      </w:r>
      <w:proofErr w:type="spellEnd"/>
      <w:r w:rsidRPr="00903416">
        <w:rPr>
          <w:lang w:eastAsia="bg-BG"/>
        </w:rPr>
        <w:t xml:space="preserve"> терапия) и се приема, че киселинната компонента се </w:t>
      </w:r>
      <w:proofErr w:type="spellStart"/>
      <w:r w:rsidRPr="00903416">
        <w:rPr>
          <w:lang w:eastAsia="bg-BG"/>
        </w:rPr>
        <w:t>метаболизира</w:t>
      </w:r>
      <w:proofErr w:type="spellEnd"/>
      <w:r w:rsidRPr="00903416">
        <w:rPr>
          <w:lang w:eastAsia="bg-BG"/>
        </w:rPr>
        <w:t xml:space="preserve">. Излишното количество основа, получено в резултат на останалите основни йони, се излъчва чрез бъбреците и предизвиква повишаване на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 xml:space="preserve">на урината. </w:t>
      </w:r>
      <w:proofErr w:type="spellStart"/>
      <w:r w:rsidRPr="00903416">
        <w:rPr>
          <w:lang w:eastAsia="bg-BG"/>
        </w:rPr>
        <w:t>Цитратният</w:t>
      </w:r>
      <w:proofErr w:type="spellEnd"/>
      <w:r w:rsidRPr="00903416">
        <w:rPr>
          <w:lang w:eastAsia="bg-BG"/>
        </w:rPr>
        <w:t xml:space="preserve"> йон от основните цитрати претърпява почти пълно окислително метаболитно разграждане до СО2 или бикарбонат. Като цяло екскрецията на цитрата се засилва, което противодейства на образуването на </w:t>
      </w:r>
      <w:proofErr w:type="spellStart"/>
      <w:r w:rsidRPr="00903416">
        <w:rPr>
          <w:lang w:eastAsia="bg-BG"/>
        </w:rPr>
        <w:t>уринарни</w:t>
      </w:r>
      <w:proofErr w:type="spellEnd"/>
      <w:r w:rsidRPr="00903416">
        <w:rPr>
          <w:lang w:eastAsia="bg-BG"/>
        </w:rPr>
        <w:t xml:space="preserve"> камъни.</w:t>
      </w:r>
    </w:p>
    <w:p w14:paraId="07BBB7F4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Неутрализация или </w:t>
      </w:r>
      <w:proofErr w:type="spellStart"/>
      <w:r w:rsidRPr="00903416">
        <w:rPr>
          <w:lang w:eastAsia="bg-BG"/>
        </w:rPr>
        <w:t>алкализация</w:t>
      </w:r>
      <w:proofErr w:type="spellEnd"/>
      <w:r w:rsidRPr="00903416">
        <w:rPr>
          <w:lang w:eastAsia="bg-BG"/>
        </w:rPr>
        <w:t xml:space="preserve"> на урината могат да се постигнат чрез орално приемане на алкални цитрати, като отговорът зависи от дозата.</w:t>
      </w:r>
    </w:p>
    <w:p w14:paraId="478CC975" w14:textId="77777777" w:rsidR="00903416" w:rsidRPr="00903416" w:rsidRDefault="00903416" w:rsidP="00903416">
      <w:pPr>
        <w:rPr>
          <w:lang w:val="en-US"/>
        </w:rPr>
      </w:pPr>
      <w:r w:rsidRPr="00903416">
        <w:rPr>
          <w:lang w:val="en-US"/>
        </w:rPr>
        <w:t xml:space="preserve">g </w:t>
      </w:r>
      <w:r w:rsidRPr="00903416">
        <w:rPr>
          <w:lang w:eastAsia="bg-BG"/>
        </w:rPr>
        <w:t xml:space="preserve">от калиево натриев хидроген цитрат (8.8 </w:t>
      </w:r>
      <w:r w:rsidRPr="00903416">
        <w:rPr>
          <w:lang w:val="en-US"/>
        </w:rPr>
        <w:t xml:space="preserve">mmol </w:t>
      </w:r>
      <w:r w:rsidRPr="00903416">
        <w:rPr>
          <w:lang w:eastAsia="bg-BG"/>
        </w:rPr>
        <w:t xml:space="preserve">алкални) предизвикват повишаване на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 xml:space="preserve">на урината с 0.2-0.3 единици. В резултат се повишава степента на дисоциация, а оттук и разтворимостта на пикочната киселина. </w:t>
      </w:r>
      <w:proofErr w:type="spellStart"/>
      <w:r w:rsidRPr="00903416">
        <w:rPr>
          <w:lang w:eastAsia="bg-BG"/>
        </w:rPr>
        <w:t>Литолизата</w:t>
      </w:r>
      <w:proofErr w:type="spellEnd"/>
      <w:r w:rsidRPr="00903416">
        <w:rPr>
          <w:lang w:eastAsia="bg-BG"/>
        </w:rPr>
        <w:t xml:space="preserve"> на </w:t>
      </w:r>
      <w:proofErr w:type="spellStart"/>
      <w:r w:rsidRPr="00903416">
        <w:rPr>
          <w:lang w:eastAsia="bg-BG"/>
        </w:rPr>
        <w:t>уратните</w:t>
      </w:r>
      <w:proofErr w:type="spellEnd"/>
      <w:r w:rsidRPr="00903416">
        <w:rPr>
          <w:lang w:eastAsia="bg-BG"/>
        </w:rPr>
        <w:t xml:space="preserve"> камъни се демонстрира радиологично.</w:t>
      </w:r>
    </w:p>
    <w:p w14:paraId="7F1961B8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Между другото, серумната концентрация на бикарбонат е регулатор на нитратната екскреция. Повишаването на отрицателно натоварените основи предизвиква </w:t>
      </w:r>
      <w:proofErr w:type="spellStart"/>
      <w:r w:rsidRPr="00903416">
        <w:rPr>
          <w:lang w:eastAsia="bg-BG"/>
        </w:rPr>
        <w:t>алкалоза</w:t>
      </w:r>
      <w:proofErr w:type="spellEnd"/>
      <w:r w:rsidRPr="00903416">
        <w:rPr>
          <w:lang w:eastAsia="bg-BG"/>
        </w:rPr>
        <w:t xml:space="preserve"> чрез промяна на вътреклетъчното </w:t>
      </w:r>
      <w:proofErr w:type="spellStart"/>
      <w:r w:rsidRPr="00903416">
        <w:rPr>
          <w:lang w:val="en-US"/>
        </w:rPr>
        <w:t>pH.</w:t>
      </w:r>
      <w:proofErr w:type="spellEnd"/>
      <w:r w:rsidRPr="00903416">
        <w:rPr>
          <w:lang w:val="en-US"/>
        </w:rPr>
        <w:t xml:space="preserve"> </w:t>
      </w:r>
      <w:proofErr w:type="spellStart"/>
      <w:r w:rsidRPr="00903416">
        <w:rPr>
          <w:lang w:eastAsia="bg-BG"/>
        </w:rPr>
        <w:t>Алкилирането</w:t>
      </w:r>
      <w:proofErr w:type="spellEnd"/>
      <w:r w:rsidRPr="00903416">
        <w:rPr>
          <w:lang w:eastAsia="bg-BG"/>
        </w:rPr>
        <w:t xml:space="preserve"> потиска </w:t>
      </w:r>
      <w:proofErr w:type="spellStart"/>
      <w:r w:rsidRPr="00903416">
        <w:rPr>
          <w:lang w:eastAsia="bg-BG"/>
        </w:rPr>
        <w:t>тубуларния</w:t>
      </w:r>
      <w:proofErr w:type="spellEnd"/>
      <w:r w:rsidRPr="00903416">
        <w:rPr>
          <w:lang w:eastAsia="bg-BG"/>
        </w:rPr>
        <w:t xml:space="preserve"> метаболизъм на цитратите в бъбреците, което се изразява в намаляване на абсорбцията на цитратите и засилване на екскрецията им.</w:t>
      </w:r>
    </w:p>
    <w:p w14:paraId="0BC6D658" w14:textId="77777777" w:rsidR="00903416" w:rsidRPr="00903416" w:rsidRDefault="00903416" w:rsidP="00903416">
      <w:pPr>
        <w:rPr>
          <w:sz w:val="24"/>
          <w:szCs w:val="24"/>
        </w:rPr>
      </w:pPr>
      <w:proofErr w:type="spellStart"/>
      <w:r w:rsidRPr="00903416">
        <w:rPr>
          <w:lang w:eastAsia="bg-BG"/>
        </w:rPr>
        <w:t>Алкилирането</w:t>
      </w:r>
      <w:proofErr w:type="spellEnd"/>
      <w:r w:rsidRPr="00903416">
        <w:rPr>
          <w:lang w:eastAsia="bg-BG"/>
        </w:rPr>
        <w:t xml:space="preserve"> в същото време оказва влияние върху движението на калция и намалява екскрецията му чрез урината. Тези механизми, а именно </w:t>
      </w:r>
      <w:proofErr w:type="spellStart"/>
      <w:r w:rsidRPr="00903416">
        <w:rPr>
          <w:lang w:eastAsia="bg-BG"/>
        </w:rPr>
        <w:t>алкализирането</w:t>
      </w:r>
      <w:proofErr w:type="spellEnd"/>
      <w:r w:rsidRPr="00903416">
        <w:rPr>
          <w:lang w:eastAsia="bg-BG"/>
        </w:rPr>
        <w:t xml:space="preserve"> на урината, засилената екскреция на цитрат и намалена екскреция на калций, водят до намаляване на активното образуване на калциев </w:t>
      </w:r>
      <w:proofErr w:type="spellStart"/>
      <w:r w:rsidRPr="00903416">
        <w:rPr>
          <w:lang w:eastAsia="bg-BG"/>
        </w:rPr>
        <w:t>оксалат</w:t>
      </w:r>
      <w:proofErr w:type="spellEnd"/>
      <w:r w:rsidRPr="00903416">
        <w:rPr>
          <w:lang w:eastAsia="bg-BG"/>
        </w:rPr>
        <w:t xml:space="preserve">, тъй като цитрата в слабоалкална среда образува стабилни комплекси с калция (антагонизъм на насищане на </w:t>
      </w:r>
      <w:proofErr w:type="spellStart"/>
      <w:r w:rsidRPr="00903416">
        <w:rPr>
          <w:lang w:eastAsia="bg-BG"/>
        </w:rPr>
        <w:t>литогенните</w:t>
      </w:r>
      <w:proofErr w:type="spellEnd"/>
      <w:r w:rsidRPr="00903416">
        <w:rPr>
          <w:lang w:eastAsia="bg-BG"/>
        </w:rPr>
        <w:t xml:space="preserve"> компоненти).</w:t>
      </w:r>
    </w:p>
    <w:p w14:paraId="6619A33E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Освен това </w:t>
      </w:r>
      <w:proofErr w:type="spellStart"/>
      <w:r w:rsidRPr="00903416">
        <w:rPr>
          <w:lang w:eastAsia="bg-BG"/>
        </w:rPr>
        <w:t>цитратният</w:t>
      </w:r>
      <w:proofErr w:type="spellEnd"/>
      <w:r w:rsidRPr="00903416">
        <w:rPr>
          <w:lang w:eastAsia="bg-BG"/>
        </w:rPr>
        <w:t xml:space="preserve"> йон трябва да бъде разглеждан като </w:t>
      </w:r>
      <w:proofErr w:type="spellStart"/>
      <w:r w:rsidRPr="00903416">
        <w:rPr>
          <w:lang w:eastAsia="bg-BG"/>
        </w:rPr>
        <w:t>найактивния</w:t>
      </w:r>
      <w:proofErr w:type="spellEnd"/>
      <w:r w:rsidRPr="00903416">
        <w:rPr>
          <w:lang w:eastAsia="bg-BG"/>
        </w:rPr>
        <w:t xml:space="preserve"> физиологичен инхибитор на кристализацията на калциевия </w:t>
      </w:r>
      <w:proofErr w:type="spellStart"/>
      <w:r w:rsidRPr="00903416">
        <w:rPr>
          <w:lang w:eastAsia="bg-BG"/>
        </w:rPr>
        <w:t>оксалат</w:t>
      </w:r>
      <w:proofErr w:type="spellEnd"/>
      <w:r w:rsidRPr="00903416">
        <w:rPr>
          <w:lang w:eastAsia="bg-BG"/>
        </w:rPr>
        <w:t xml:space="preserve"> (и калциевия фосфат) и агрегацията на тези кристали.</w:t>
      </w:r>
    </w:p>
    <w:p w14:paraId="009860FC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Няма достатъчно данни за ползата от </w:t>
      </w:r>
      <w:proofErr w:type="spellStart"/>
      <w:r w:rsidRPr="00903416">
        <w:rPr>
          <w:lang w:eastAsia="bg-BG"/>
        </w:rPr>
        <w:t>алкализирането</w:t>
      </w:r>
      <w:proofErr w:type="spellEnd"/>
      <w:r w:rsidRPr="00903416">
        <w:rPr>
          <w:lang w:eastAsia="bg-BG"/>
        </w:rPr>
        <w:t xml:space="preserve"> при следващите по-долу видове заболявания, при които липсват систематични проучвания. За терапевтичния ефект говорят теоретични съображения, както и наблюдения върху отделни случаи.</w:t>
      </w:r>
    </w:p>
    <w:p w14:paraId="70CD66C1" w14:textId="623B1D00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903416">
        <w:rPr>
          <w:lang w:eastAsia="bg-BG"/>
        </w:rPr>
        <w:t>Цистинурия</w:t>
      </w:r>
      <w:proofErr w:type="spellEnd"/>
      <w:r w:rsidRPr="00903416">
        <w:rPr>
          <w:lang w:eastAsia="bg-BG"/>
        </w:rPr>
        <w:t xml:space="preserve"> и образуване на </w:t>
      </w:r>
      <w:proofErr w:type="spellStart"/>
      <w:r w:rsidRPr="00903416">
        <w:rPr>
          <w:lang w:eastAsia="bg-BG"/>
        </w:rPr>
        <w:t>цистинови</w:t>
      </w:r>
      <w:proofErr w:type="spellEnd"/>
      <w:r w:rsidRPr="00903416">
        <w:rPr>
          <w:lang w:eastAsia="bg-BG"/>
        </w:rPr>
        <w:t xml:space="preserve"> камъни: </w:t>
      </w:r>
      <w:proofErr w:type="spellStart"/>
      <w:r w:rsidRPr="00903416">
        <w:rPr>
          <w:lang w:eastAsia="bg-BG"/>
        </w:rPr>
        <w:t>Алкализирането</w:t>
      </w:r>
      <w:proofErr w:type="spellEnd"/>
      <w:r w:rsidRPr="00903416">
        <w:rPr>
          <w:lang w:eastAsia="bg-BG"/>
        </w:rPr>
        <w:t xml:space="preserve"> на урината повишава разтворимостта на </w:t>
      </w:r>
      <w:proofErr w:type="spellStart"/>
      <w:r w:rsidRPr="00903416">
        <w:rPr>
          <w:lang w:eastAsia="bg-BG"/>
        </w:rPr>
        <w:t>цистина</w:t>
      </w:r>
      <w:proofErr w:type="spellEnd"/>
      <w:r w:rsidRPr="00903416">
        <w:rPr>
          <w:lang w:eastAsia="bg-BG"/>
        </w:rPr>
        <w:t xml:space="preserve">.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>на урината трябва да се доведе до стойности между 7.5 и 8.5.</w:t>
      </w:r>
    </w:p>
    <w:p w14:paraId="295D73D2" w14:textId="7F23520B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t xml:space="preserve">Лечение с </w:t>
      </w:r>
      <w:proofErr w:type="spellStart"/>
      <w:r w:rsidRPr="00903416">
        <w:rPr>
          <w:lang w:eastAsia="bg-BG"/>
        </w:rPr>
        <w:t>цитостатици</w:t>
      </w:r>
      <w:proofErr w:type="spellEnd"/>
      <w:r w:rsidRPr="00903416">
        <w:rPr>
          <w:lang w:eastAsia="bg-BG"/>
        </w:rPr>
        <w:t xml:space="preserve">: </w:t>
      </w:r>
      <w:proofErr w:type="spellStart"/>
      <w:r w:rsidRPr="00903416">
        <w:rPr>
          <w:lang w:eastAsia="bg-BG"/>
        </w:rPr>
        <w:t>алкализирането</w:t>
      </w:r>
      <w:proofErr w:type="spellEnd"/>
      <w:r w:rsidRPr="00903416">
        <w:rPr>
          <w:lang w:eastAsia="bg-BG"/>
        </w:rPr>
        <w:t xml:space="preserve"> на урината с цел да се </w:t>
      </w:r>
      <w:proofErr w:type="spellStart"/>
      <w:r w:rsidRPr="00903416">
        <w:rPr>
          <w:lang w:eastAsia="bg-BG"/>
        </w:rPr>
        <w:t>елиминире</w:t>
      </w:r>
      <w:proofErr w:type="spellEnd"/>
      <w:r w:rsidRPr="00903416">
        <w:rPr>
          <w:lang w:eastAsia="bg-BG"/>
        </w:rPr>
        <w:t xml:space="preserve"> повишаването на пикочна киселина има смисъл по време на лечение с </w:t>
      </w:r>
      <w:proofErr w:type="spellStart"/>
      <w:r w:rsidRPr="00903416">
        <w:rPr>
          <w:lang w:eastAsia="bg-BG"/>
        </w:rPr>
        <w:t>цитостатици</w:t>
      </w:r>
      <w:proofErr w:type="spellEnd"/>
      <w:r w:rsidRPr="00903416">
        <w:rPr>
          <w:lang w:eastAsia="bg-BG"/>
        </w:rPr>
        <w:t xml:space="preserve">. Това е в съответствие с линията за профилактика от образуване на </w:t>
      </w:r>
      <w:proofErr w:type="spellStart"/>
      <w:r w:rsidRPr="00903416">
        <w:rPr>
          <w:lang w:eastAsia="bg-BG"/>
        </w:rPr>
        <w:t>уратни</w:t>
      </w:r>
      <w:proofErr w:type="spellEnd"/>
      <w:r w:rsidRPr="00903416">
        <w:rPr>
          <w:lang w:eastAsia="bg-BG"/>
        </w:rPr>
        <w:t xml:space="preserve"> камъни. Освен това </w:t>
      </w:r>
      <w:proofErr w:type="spellStart"/>
      <w:r w:rsidRPr="00903416">
        <w:rPr>
          <w:lang w:eastAsia="bg-BG"/>
        </w:rPr>
        <w:t>протективното</w:t>
      </w:r>
      <w:proofErr w:type="spellEnd"/>
      <w:r w:rsidRPr="00903416">
        <w:rPr>
          <w:lang w:eastAsia="bg-BG"/>
        </w:rPr>
        <w:t xml:space="preserve"> действие на</w:t>
      </w:r>
      <w:r>
        <w:rPr>
          <w:lang w:eastAsia="bg-BG"/>
        </w:rPr>
        <w:t xml:space="preserve"> </w:t>
      </w:r>
      <w:proofErr w:type="spellStart"/>
      <w:r w:rsidRPr="00903416">
        <w:rPr>
          <w:lang w:eastAsia="bg-BG"/>
        </w:rPr>
        <w:t>алкализиране</w:t>
      </w:r>
      <w:proofErr w:type="spellEnd"/>
      <w:r w:rsidRPr="00903416">
        <w:rPr>
          <w:lang w:eastAsia="bg-BG"/>
        </w:rPr>
        <w:t xml:space="preserve">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 xml:space="preserve">на урината се повишава поради намаляване агресивността на </w:t>
      </w:r>
      <w:proofErr w:type="spellStart"/>
      <w:r w:rsidRPr="00903416">
        <w:rPr>
          <w:lang w:eastAsia="bg-BG"/>
        </w:rPr>
        <w:t>цитостатичните</w:t>
      </w:r>
      <w:proofErr w:type="spellEnd"/>
      <w:r w:rsidRPr="00903416">
        <w:rPr>
          <w:lang w:eastAsia="bg-BG"/>
        </w:rPr>
        <w:t xml:space="preserve"> метаболити (напр. </w:t>
      </w:r>
      <w:proofErr w:type="spellStart"/>
      <w:r w:rsidRPr="00903416">
        <w:rPr>
          <w:lang w:eastAsia="bg-BG"/>
        </w:rPr>
        <w:t>оксазафосфоринни</w:t>
      </w:r>
      <w:proofErr w:type="spellEnd"/>
      <w:r w:rsidRPr="00903416">
        <w:rPr>
          <w:lang w:eastAsia="bg-BG"/>
        </w:rPr>
        <w:t xml:space="preserve"> </w:t>
      </w:r>
      <w:proofErr w:type="spellStart"/>
      <w:r w:rsidRPr="00903416">
        <w:rPr>
          <w:lang w:eastAsia="bg-BG"/>
        </w:rPr>
        <w:t>цитостатици</w:t>
      </w:r>
      <w:proofErr w:type="spellEnd"/>
      <w:r w:rsidRPr="00903416">
        <w:rPr>
          <w:lang w:eastAsia="bg-BG"/>
        </w:rPr>
        <w:t xml:space="preserve">) и съответно увеличаване разтворимостта на </w:t>
      </w:r>
      <w:proofErr w:type="spellStart"/>
      <w:r w:rsidRPr="00903416">
        <w:rPr>
          <w:lang w:eastAsia="bg-BG"/>
        </w:rPr>
        <w:t>цитостатика</w:t>
      </w:r>
      <w:proofErr w:type="spellEnd"/>
      <w:r w:rsidRPr="00903416">
        <w:rPr>
          <w:lang w:eastAsia="bg-BG"/>
        </w:rPr>
        <w:t xml:space="preserve"> и неговите метаболити (</w:t>
      </w:r>
      <w:proofErr w:type="spellStart"/>
      <w:r w:rsidRPr="00903416">
        <w:rPr>
          <w:lang w:eastAsia="bg-BG"/>
        </w:rPr>
        <w:t>натр</w:t>
      </w:r>
      <w:proofErr w:type="spellEnd"/>
      <w:r w:rsidRPr="00903416">
        <w:rPr>
          <w:lang w:eastAsia="bg-BG"/>
        </w:rPr>
        <w:t xml:space="preserve">. </w:t>
      </w:r>
      <w:proofErr w:type="spellStart"/>
      <w:r w:rsidRPr="00903416">
        <w:rPr>
          <w:lang w:eastAsia="bg-BG"/>
        </w:rPr>
        <w:t>Метотрексат</w:t>
      </w:r>
      <w:proofErr w:type="spellEnd"/>
      <w:r w:rsidRPr="00903416">
        <w:rPr>
          <w:lang w:eastAsia="bg-BG"/>
        </w:rPr>
        <w:t xml:space="preserve">).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>на урината трябва да се регулира до стойност най-малко 7.0.</w:t>
      </w:r>
    </w:p>
    <w:p w14:paraId="0130FF6F" w14:textId="3B2C7388" w:rsidR="00903416" w:rsidRPr="00903416" w:rsidRDefault="00903416" w:rsidP="0090341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3416">
        <w:rPr>
          <w:lang w:eastAsia="bg-BG"/>
        </w:rPr>
        <w:lastRenderedPageBreak/>
        <w:t xml:space="preserve">При </w:t>
      </w:r>
      <w:r w:rsidRPr="00903416">
        <w:rPr>
          <w:lang w:val="en-US"/>
        </w:rPr>
        <w:t xml:space="preserve">porphyria cutanea </w:t>
      </w:r>
      <w:proofErr w:type="spellStart"/>
      <w:r w:rsidRPr="00903416">
        <w:rPr>
          <w:lang w:val="en-US"/>
        </w:rPr>
        <w:t>tarda</w:t>
      </w:r>
      <w:proofErr w:type="spellEnd"/>
      <w:r w:rsidRPr="00903416">
        <w:rPr>
          <w:lang w:val="en-US"/>
        </w:rPr>
        <w:t xml:space="preserve"> </w:t>
      </w:r>
      <w:r w:rsidRPr="00903416">
        <w:rPr>
          <w:lang w:eastAsia="bg-BG"/>
        </w:rPr>
        <w:t xml:space="preserve">съществува недостиг на </w:t>
      </w:r>
      <w:proofErr w:type="spellStart"/>
      <w:r w:rsidRPr="00903416">
        <w:rPr>
          <w:lang w:eastAsia="bg-BG"/>
        </w:rPr>
        <w:t>уропорфириноген</w:t>
      </w:r>
      <w:proofErr w:type="spellEnd"/>
      <w:r w:rsidRPr="00903416">
        <w:rPr>
          <w:lang w:eastAsia="bg-BG"/>
        </w:rPr>
        <w:t xml:space="preserve"> </w:t>
      </w:r>
      <w:proofErr w:type="spellStart"/>
      <w:r w:rsidRPr="00903416">
        <w:rPr>
          <w:lang w:eastAsia="bg-BG"/>
        </w:rPr>
        <w:t>декарбоксилаза</w:t>
      </w:r>
      <w:proofErr w:type="spellEnd"/>
      <w:r w:rsidRPr="00903416">
        <w:rPr>
          <w:lang w:eastAsia="bg-BG"/>
        </w:rPr>
        <w:t xml:space="preserve">, която </w:t>
      </w:r>
      <w:proofErr w:type="spellStart"/>
      <w:r w:rsidRPr="00903416">
        <w:rPr>
          <w:lang w:eastAsia="bg-BG"/>
        </w:rPr>
        <w:t>метаболизира</w:t>
      </w:r>
      <w:proofErr w:type="spellEnd"/>
      <w:r w:rsidRPr="00903416">
        <w:rPr>
          <w:lang w:eastAsia="bg-BG"/>
        </w:rPr>
        <w:t xml:space="preserve"> </w:t>
      </w:r>
      <w:proofErr w:type="spellStart"/>
      <w:r w:rsidRPr="00903416">
        <w:rPr>
          <w:lang w:eastAsia="bg-BG"/>
        </w:rPr>
        <w:t>уропорфириногена</w:t>
      </w:r>
      <w:proofErr w:type="spellEnd"/>
      <w:r w:rsidRPr="00903416">
        <w:rPr>
          <w:lang w:eastAsia="bg-BG"/>
        </w:rPr>
        <w:t xml:space="preserve"> до </w:t>
      </w:r>
      <w:proofErr w:type="spellStart"/>
      <w:r w:rsidRPr="00903416">
        <w:rPr>
          <w:lang w:eastAsia="bg-BG"/>
        </w:rPr>
        <w:t>копропорфириноген</w:t>
      </w:r>
      <w:proofErr w:type="spellEnd"/>
      <w:r w:rsidRPr="00903416">
        <w:rPr>
          <w:lang w:eastAsia="bg-BG"/>
        </w:rPr>
        <w:t xml:space="preserve">. Целта на метаболитната </w:t>
      </w:r>
      <w:proofErr w:type="spellStart"/>
      <w:r w:rsidRPr="00903416">
        <w:rPr>
          <w:lang w:eastAsia="bg-BG"/>
        </w:rPr>
        <w:t>алкализация</w:t>
      </w:r>
      <w:proofErr w:type="spellEnd"/>
      <w:r w:rsidRPr="00903416">
        <w:rPr>
          <w:lang w:eastAsia="bg-BG"/>
        </w:rPr>
        <w:t xml:space="preserve"> е да предотврати обратната дифузия на </w:t>
      </w:r>
      <w:proofErr w:type="spellStart"/>
      <w:r w:rsidRPr="00903416">
        <w:rPr>
          <w:lang w:eastAsia="bg-BG"/>
        </w:rPr>
        <w:t>копропорфириноген</w:t>
      </w:r>
      <w:proofErr w:type="spellEnd"/>
      <w:r w:rsidRPr="00903416">
        <w:rPr>
          <w:lang w:eastAsia="bg-BG"/>
        </w:rPr>
        <w:t xml:space="preserve"> през </w:t>
      </w:r>
      <w:proofErr w:type="spellStart"/>
      <w:r w:rsidRPr="00903416">
        <w:rPr>
          <w:lang w:eastAsia="bg-BG"/>
        </w:rPr>
        <w:t>реналните</w:t>
      </w:r>
      <w:proofErr w:type="spellEnd"/>
      <w:r w:rsidRPr="00903416">
        <w:rPr>
          <w:lang w:eastAsia="bg-BG"/>
        </w:rPr>
        <w:t xml:space="preserve"> </w:t>
      </w:r>
      <w:proofErr w:type="spellStart"/>
      <w:r w:rsidRPr="00903416">
        <w:rPr>
          <w:lang w:eastAsia="bg-BG"/>
        </w:rPr>
        <w:t>тубули</w:t>
      </w:r>
      <w:proofErr w:type="spellEnd"/>
      <w:r w:rsidRPr="00903416">
        <w:rPr>
          <w:lang w:eastAsia="bg-BG"/>
        </w:rPr>
        <w:t xml:space="preserve">, така че </w:t>
      </w:r>
      <w:proofErr w:type="spellStart"/>
      <w:r w:rsidRPr="00903416">
        <w:rPr>
          <w:lang w:eastAsia="bg-BG"/>
        </w:rPr>
        <w:t>копропорфириногеновия</w:t>
      </w:r>
      <w:proofErr w:type="spellEnd"/>
      <w:r w:rsidRPr="00903416">
        <w:rPr>
          <w:lang w:eastAsia="bg-BG"/>
        </w:rPr>
        <w:t xml:space="preserve"> клирънс нараства. В резултат на засилената екскреция на </w:t>
      </w:r>
      <w:proofErr w:type="spellStart"/>
      <w:r w:rsidRPr="00903416">
        <w:rPr>
          <w:lang w:eastAsia="bg-BG"/>
        </w:rPr>
        <w:t>копропорфириноген</w:t>
      </w:r>
      <w:proofErr w:type="spellEnd"/>
      <w:r w:rsidRPr="00903416">
        <w:rPr>
          <w:lang w:eastAsia="bg-BG"/>
        </w:rPr>
        <w:t xml:space="preserve"> се приема че синтезът му от </w:t>
      </w:r>
      <w:proofErr w:type="spellStart"/>
      <w:r w:rsidRPr="00903416">
        <w:rPr>
          <w:lang w:eastAsia="bg-BG"/>
        </w:rPr>
        <w:t>уропорфириноген</w:t>
      </w:r>
      <w:proofErr w:type="spellEnd"/>
      <w:r w:rsidRPr="00903416">
        <w:rPr>
          <w:lang w:eastAsia="bg-BG"/>
        </w:rPr>
        <w:t xml:space="preserve"> се увеличава и следователно се съпътства от намаляване на циркулиращия </w:t>
      </w:r>
      <w:proofErr w:type="spellStart"/>
      <w:r w:rsidRPr="00903416">
        <w:rPr>
          <w:lang w:eastAsia="bg-BG"/>
        </w:rPr>
        <w:t>уропорфирин</w:t>
      </w:r>
      <w:proofErr w:type="spellEnd"/>
      <w:r w:rsidRPr="00903416">
        <w:rPr>
          <w:lang w:eastAsia="bg-BG"/>
        </w:rPr>
        <w:t xml:space="preserve">. </w:t>
      </w:r>
      <w:r w:rsidRPr="00903416">
        <w:rPr>
          <w:lang w:val="en-US"/>
        </w:rPr>
        <w:t xml:space="preserve">pH </w:t>
      </w:r>
      <w:r w:rsidRPr="00903416">
        <w:rPr>
          <w:lang w:eastAsia="bg-BG"/>
        </w:rPr>
        <w:t>на урината трябва да е в стойности между 7.2 - 7.5.</w:t>
      </w:r>
    </w:p>
    <w:p w14:paraId="1215212A" w14:textId="4FC3E505" w:rsidR="00903416" w:rsidRPr="00903416" w:rsidRDefault="00903416" w:rsidP="00903416"/>
    <w:p w14:paraId="4D7DA0E3" w14:textId="4A367D8F" w:rsidR="004D4D6B" w:rsidRDefault="002C50EE" w:rsidP="002B3C38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9D4880E" w14:textId="77777777" w:rsidR="00903416" w:rsidRDefault="00903416" w:rsidP="00903416">
      <w:pPr>
        <w:rPr>
          <w:lang w:eastAsia="bg-BG"/>
        </w:rPr>
      </w:pPr>
    </w:p>
    <w:p w14:paraId="1857C5CE" w14:textId="7FB5BB04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Цитратите претърпяват почти пълен метаболитен разпад. Само 1.5 до 2% от приетата доза се срещат непроменени в урината.</w:t>
      </w:r>
    </w:p>
    <w:p w14:paraId="7A4C22EF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Поглъщането на 10 </w:t>
      </w:r>
      <w:r w:rsidRPr="00903416">
        <w:rPr>
          <w:lang w:val="en-US"/>
        </w:rPr>
        <w:t xml:space="preserve">g </w:t>
      </w:r>
      <w:r w:rsidRPr="00903416">
        <w:rPr>
          <w:lang w:eastAsia="bg-BG"/>
        </w:rPr>
        <w:t xml:space="preserve">калиево натриев хидроген цитрат внася около 36 </w:t>
      </w:r>
      <w:r w:rsidRPr="00903416">
        <w:rPr>
          <w:lang w:val="en-US"/>
        </w:rPr>
        <w:t xml:space="preserve">mmol </w:t>
      </w:r>
      <w:r w:rsidRPr="00903416">
        <w:rPr>
          <w:lang w:eastAsia="bg-BG"/>
        </w:rPr>
        <w:t>цитрат; това е еквивалентно на по-малко от 2% от дневния оборот на цитрати, включен в енергийната обмяна в организма.</w:t>
      </w:r>
    </w:p>
    <w:p w14:paraId="55E52661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След еднодневен прием на калиево натриев хидроген цитрат, еквивалентно количество натрий и калий се </w:t>
      </w:r>
      <w:proofErr w:type="spellStart"/>
      <w:r w:rsidRPr="00903416">
        <w:rPr>
          <w:lang w:eastAsia="bg-BG"/>
        </w:rPr>
        <w:t>екскретира</w:t>
      </w:r>
      <w:proofErr w:type="spellEnd"/>
      <w:r w:rsidRPr="00903416">
        <w:rPr>
          <w:lang w:eastAsia="bg-BG"/>
        </w:rPr>
        <w:t xml:space="preserve"> чрез бъбреците за 24 - 48 часа. При продължителна употреба дневната екскреция на натрий и калий е в равновесие с дневния прием.</w:t>
      </w:r>
    </w:p>
    <w:p w14:paraId="52FE454F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Не се наблюдават значителни промени в кръвните газове или серумните електролити. Това показва, че въз основа на </w:t>
      </w:r>
      <w:proofErr w:type="spellStart"/>
      <w:r w:rsidRPr="00903416">
        <w:rPr>
          <w:lang w:eastAsia="bg-BG"/>
        </w:rPr>
        <w:t>реналната</w:t>
      </w:r>
      <w:proofErr w:type="spellEnd"/>
      <w:r w:rsidRPr="00903416">
        <w:rPr>
          <w:lang w:eastAsia="bg-BG"/>
        </w:rPr>
        <w:t xml:space="preserve"> регулация на </w:t>
      </w:r>
      <w:proofErr w:type="spellStart"/>
      <w:r w:rsidRPr="00903416">
        <w:rPr>
          <w:lang w:eastAsia="bg-BG"/>
        </w:rPr>
        <w:t>алкалинизирането</w:t>
      </w:r>
      <w:proofErr w:type="spellEnd"/>
      <w:r w:rsidRPr="00903416">
        <w:rPr>
          <w:lang w:eastAsia="bg-BG"/>
        </w:rPr>
        <w:t>, киселинно-основният баланс в организма остава непроменен и че, ако бъбречната функция е адекватна, може да се изключи всяка възможност за натрупване на натрий или калий.</w:t>
      </w:r>
    </w:p>
    <w:p w14:paraId="277BA254" w14:textId="77777777" w:rsidR="00903416" w:rsidRPr="00903416" w:rsidRDefault="00903416" w:rsidP="00903416"/>
    <w:p w14:paraId="1BDBE06B" w14:textId="697467CF" w:rsidR="004D4D6B" w:rsidRDefault="002C50EE" w:rsidP="002B3C38">
      <w:pPr>
        <w:pStyle w:val="Heading2"/>
      </w:pPr>
      <w:r>
        <w:t>5.3. Предклинични данни за безопасност</w:t>
      </w:r>
    </w:p>
    <w:p w14:paraId="49609667" w14:textId="77777777" w:rsidR="00903416" w:rsidRDefault="00903416" w:rsidP="00903416">
      <w:pPr>
        <w:rPr>
          <w:lang w:eastAsia="bg-BG"/>
        </w:rPr>
      </w:pPr>
    </w:p>
    <w:p w14:paraId="69943AA4" w14:textId="4C32868C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Според резултатите, получени от проучванията при животни, калиево натриевият хидроген цитрат (6:6:3:5) има много ниска токсичност в препоръчваната дозировка. Продължителни тестове при плъхове показват, че орални дози до 1 </w:t>
      </w:r>
      <w:r w:rsidRPr="00903416">
        <w:rPr>
          <w:lang w:val="en-US"/>
        </w:rPr>
        <w:t xml:space="preserve">g/kg </w:t>
      </w:r>
      <w:r w:rsidRPr="00903416">
        <w:rPr>
          <w:lang w:eastAsia="bg-BG"/>
        </w:rPr>
        <w:t xml:space="preserve">и по-малко от 3 </w:t>
      </w:r>
      <w:r w:rsidRPr="00903416">
        <w:rPr>
          <w:lang w:val="en-US"/>
        </w:rPr>
        <w:t xml:space="preserve">g/kg </w:t>
      </w:r>
      <w:r w:rsidRPr="00903416">
        <w:rPr>
          <w:lang w:eastAsia="bg-BG"/>
        </w:rPr>
        <w:t>телесно тегло са безвредни.</w:t>
      </w:r>
    </w:p>
    <w:p w14:paraId="769A8D5A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 xml:space="preserve">Токсикологични тестове върху </w:t>
      </w:r>
      <w:proofErr w:type="spellStart"/>
      <w:r w:rsidRPr="00903416">
        <w:rPr>
          <w:lang w:eastAsia="bg-BG"/>
        </w:rPr>
        <w:t>репродуктивността</w:t>
      </w:r>
      <w:proofErr w:type="spellEnd"/>
      <w:r w:rsidRPr="00903416">
        <w:rPr>
          <w:lang w:eastAsia="bg-BG"/>
        </w:rPr>
        <w:t xml:space="preserve"> при плъхове и зайци при 2 </w:t>
      </w:r>
      <w:r w:rsidRPr="00903416">
        <w:rPr>
          <w:lang w:val="en-US"/>
        </w:rPr>
        <w:t xml:space="preserve">g/kg </w:t>
      </w:r>
      <w:r w:rsidRPr="00903416">
        <w:rPr>
          <w:lang w:eastAsia="bg-BG"/>
        </w:rPr>
        <w:t xml:space="preserve">телесно тегло не показват тератогенни или </w:t>
      </w:r>
      <w:proofErr w:type="spellStart"/>
      <w:r w:rsidRPr="00903416">
        <w:rPr>
          <w:lang w:eastAsia="bg-BG"/>
        </w:rPr>
        <w:t>ембрио</w:t>
      </w:r>
      <w:proofErr w:type="spellEnd"/>
      <w:r w:rsidRPr="00903416">
        <w:rPr>
          <w:lang w:eastAsia="bg-BG"/>
        </w:rPr>
        <w:t>/</w:t>
      </w:r>
      <w:proofErr w:type="spellStart"/>
      <w:r w:rsidRPr="00903416">
        <w:rPr>
          <w:lang w:eastAsia="bg-BG"/>
        </w:rPr>
        <w:t>фетотоксини</w:t>
      </w:r>
      <w:proofErr w:type="spellEnd"/>
      <w:r w:rsidRPr="00903416">
        <w:rPr>
          <w:lang w:eastAsia="bg-BG"/>
        </w:rPr>
        <w:t xml:space="preserve"> ефекти.</w:t>
      </w:r>
    </w:p>
    <w:p w14:paraId="222DA57E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Като се вземат предвид противопоказанията и забележките, не се очаква канцерогенно или мутагенно действие за препоръчвания начин и продължителност на употреба.</w:t>
      </w:r>
    </w:p>
    <w:p w14:paraId="31BF719A" w14:textId="77777777" w:rsidR="00903416" w:rsidRPr="00903416" w:rsidRDefault="00903416" w:rsidP="00903416"/>
    <w:p w14:paraId="6940F72E" w14:textId="1976DCB0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59C16C10" w14:textId="77777777" w:rsidR="00903416" w:rsidRDefault="00903416" w:rsidP="00903416">
      <w:pPr>
        <w:rPr>
          <w:lang w:eastAsia="bg-BG"/>
        </w:rPr>
      </w:pPr>
    </w:p>
    <w:p w14:paraId="2266B371" w14:textId="5A03AAEF" w:rsidR="00903416" w:rsidRPr="00903416" w:rsidRDefault="00903416" w:rsidP="00903416">
      <w:pPr>
        <w:rPr>
          <w:sz w:val="24"/>
          <w:szCs w:val="24"/>
        </w:rPr>
      </w:pPr>
      <w:proofErr w:type="spellStart"/>
      <w:r w:rsidRPr="00903416">
        <w:rPr>
          <w:lang w:eastAsia="bg-BG"/>
        </w:rPr>
        <w:t>Майлан</w:t>
      </w:r>
      <w:proofErr w:type="spellEnd"/>
      <w:r w:rsidRPr="00903416">
        <w:rPr>
          <w:lang w:eastAsia="bg-BG"/>
        </w:rPr>
        <w:t xml:space="preserve"> ЕООД</w:t>
      </w:r>
    </w:p>
    <w:p w14:paraId="58FEABC6" w14:textId="21AB43FC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Офис сграда „Сердика офиси“</w:t>
      </w:r>
    </w:p>
    <w:p w14:paraId="3D10ADD6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бул. Ситняково № 48, ет. 7</w:t>
      </w:r>
    </w:p>
    <w:p w14:paraId="43E9BB97" w14:textId="77777777" w:rsidR="00903416" w:rsidRPr="00903416" w:rsidRDefault="00903416" w:rsidP="00903416">
      <w:pPr>
        <w:rPr>
          <w:sz w:val="24"/>
          <w:szCs w:val="24"/>
        </w:rPr>
      </w:pPr>
      <w:r w:rsidRPr="00903416">
        <w:rPr>
          <w:lang w:eastAsia="bg-BG"/>
        </w:rPr>
        <w:t>1505 София</w:t>
      </w:r>
    </w:p>
    <w:p w14:paraId="7FFD1BA8" w14:textId="78CE6951" w:rsidR="00903416" w:rsidRPr="00903416" w:rsidRDefault="00903416" w:rsidP="00903416">
      <w:r w:rsidRPr="00903416">
        <w:rPr>
          <w:lang w:eastAsia="bg-BG"/>
        </w:rPr>
        <w:t>България</w:t>
      </w:r>
    </w:p>
    <w:p w14:paraId="04840D59" w14:textId="6C5B8876" w:rsidR="002C50EE" w:rsidRDefault="002C50EE" w:rsidP="002C50EE">
      <w:pPr>
        <w:pStyle w:val="Heading1"/>
      </w:pPr>
      <w:r>
        <w:t>8. НОМЕР НА РАЗРЕШЕНИЕТО ЗА УПОТРЕБА</w:t>
      </w:r>
    </w:p>
    <w:p w14:paraId="0E8F113A" w14:textId="054F29EB" w:rsidR="00903416" w:rsidRPr="00903416" w:rsidRDefault="00903416" w:rsidP="00903416">
      <w:r>
        <w:t>20070029</w:t>
      </w:r>
    </w:p>
    <w:p w14:paraId="5900CBF3" w14:textId="4907CE59" w:rsidR="002C50EE" w:rsidRDefault="002C50EE" w:rsidP="002C50EE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4B840C17" w14:textId="43B2D1F9" w:rsidR="00903416" w:rsidRPr="00903416" w:rsidRDefault="00903416" w:rsidP="00903416">
      <w:r>
        <w:t>12.04.2007/20.08.2012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088674E6" w:rsidR="00C87E90" w:rsidRPr="003E3126" w:rsidRDefault="00903416" w:rsidP="00903416">
      <w:r>
        <w:t>Ноември 2018 г.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0D24"/>
    <w:multiLevelType w:val="hybridMultilevel"/>
    <w:tmpl w:val="E2767354"/>
    <w:lvl w:ilvl="0" w:tplc="CE5AF9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27435"/>
    <w:multiLevelType w:val="hybridMultilevel"/>
    <w:tmpl w:val="E182B6B6"/>
    <w:lvl w:ilvl="0" w:tplc="CE5AF9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6"/>
  </w:num>
  <w:num w:numId="12">
    <w:abstractNumId w:val="12"/>
  </w:num>
  <w:num w:numId="13">
    <w:abstractNumId w:val="17"/>
  </w:num>
  <w:num w:numId="14">
    <w:abstractNumId w:val="10"/>
  </w:num>
  <w:num w:numId="15">
    <w:abstractNumId w:val="25"/>
  </w:num>
  <w:num w:numId="16">
    <w:abstractNumId w:val="8"/>
  </w:num>
  <w:num w:numId="17">
    <w:abstractNumId w:val="20"/>
  </w:num>
  <w:num w:numId="18">
    <w:abstractNumId w:val="5"/>
  </w:num>
  <w:num w:numId="19">
    <w:abstractNumId w:val="23"/>
  </w:num>
  <w:num w:numId="20">
    <w:abstractNumId w:val="19"/>
  </w:num>
  <w:num w:numId="21">
    <w:abstractNumId w:val="15"/>
  </w:num>
  <w:num w:numId="22">
    <w:abstractNumId w:val="21"/>
  </w:num>
  <w:num w:numId="23">
    <w:abstractNumId w:val="16"/>
  </w:num>
  <w:num w:numId="24">
    <w:abstractNumId w:val="6"/>
  </w:num>
  <w:num w:numId="25">
    <w:abstractNumId w:val="1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03416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2021-09-16T11:09:00Z</dcterms:created>
  <dcterms:modified xsi:type="dcterms:W3CDTF">2021-09-16T11:09:00Z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