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901E4E5" w:rsidR="00C40420" w:rsidRDefault="00DD466D" w:rsidP="004A448E">
      <w:pPr>
        <w:pStyle w:val="Heading1"/>
      </w:pPr>
      <w:r>
        <w:t>1.ИМЕ НА ЛЕКАРСТВЕНИЯ ПРОДУКТ</w:t>
      </w:r>
    </w:p>
    <w:p w14:paraId="18B6F85D" w14:textId="3E62D317" w:rsidR="0085190A" w:rsidRDefault="0085190A" w:rsidP="0085190A"/>
    <w:p w14:paraId="3F062508" w14:textId="77777777" w:rsidR="0085190A" w:rsidRPr="0085190A" w:rsidRDefault="0085190A" w:rsidP="0085190A">
      <w:pPr>
        <w:rPr>
          <w:sz w:val="24"/>
          <w:szCs w:val="24"/>
        </w:rPr>
      </w:pPr>
      <w:r w:rsidRPr="0085190A">
        <w:rPr>
          <w:lang w:val="en-US"/>
        </w:rPr>
        <w:t xml:space="preserve">URIMAX </w:t>
      </w:r>
      <w:r w:rsidRPr="0085190A">
        <w:rPr>
          <w:lang w:eastAsia="bg-BG"/>
        </w:rPr>
        <w:t>0</w:t>
      </w:r>
      <w:proofErr w:type="gramStart"/>
      <w:r w:rsidRPr="0085190A">
        <w:rPr>
          <w:lang w:eastAsia="bg-BG"/>
        </w:rPr>
        <w:t>,4</w:t>
      </w:r>
      <w:proofErr w:type="gramEnd"/>
      <w:r w:rsidRPr="0085190A">
        <w:rPr>
          <w:lang w:eastAsia="bg-BG"/>
        </w:rPr>
        <w:t xml:space="preserve"> </w:t>
      </w:r>
      <w:r w:rsidRPr="0085190A">
        <w:rPr>
          <w:lang w:val="en-US"/>
        </w:rPr>
        <w:t xml:space="preserve">mg modified </w:t>
      </w:r>
      <w:r w:rsidRPr="0085190A">
        <w:rPr>
          <w:lang w:eastAsia="bg-BG"/>
        </w:rPr>
        <w:t xml:space="preserve">- </w:t>
      </w:r>
      <w:r w:rsidRPr="0085190A">
        <w:rPr>
          <w:lang w:val="en-US"/>
        </w:rPr>
        <w:t>release capsules, hard</w:t>
      </w:r>
    </w:p>
    <w:p w14:paraId="7048E1E2" w14:textId="69C76B89" w:rsidR="0085190A" w:rsidRPr="0085190A" w:rsidRDefault="0085190A" w:rsidP="0085190A">
      <w:r w:rsidRPr="0085190A">
        <w:rPr>
          <w:lang w:eastAsia="bg-BG"/>
        </w:rPr>
        <w:t xml:space="preserve">УРИМАКС </w:t>
      </w:r>
      <w:r w:rsidRPr="0085190A">
        <w:rPr>
          <w:lang w:val="ru-RU"/>
        </w:rPr>
        <w:t xml:space="preserve">0,4 </w:t>
      </w:r>
      <w:r w:rsidRPr="0085190A">
        <w:rPr>
          <w:lang w:val="en-US"/>
        </w:rPr>
        <w:t>mg</w:t>
      </w:r>
      <w:r w:rsidRPr="0085190A">
        <w:rPr>
          <w:lang w:val="ru-RU"/>
        </w:rPr>
        <w:t xml:space="preserve"> </w:t>
      </w:r>
      <w:r w:rsidRPr="0085190A">
        <w:rPr>
          <w:lang w:eastAsia="bg-BG"/>
        </w:rPr>
        <w:t xml:space="preserve">твърди капсули </w:t>
      </w:r>
      <w:r w:rsidRPr="0085190A">
        <w:rPr>
          <w:lang w:val="en-US"/>
        </w:rPr>
        <w:t>c</w:t>
      </w:r>
      <w:r w:rsidRPr="0085190A">
        <w:rPr>
          <w:lang w:val="ru-RU"/>
        </w:rPr>
        <w:t xml:space="preserve"> </w:t>
      </w:r>
      <w:r w:rsidRPr="0085190A">
        <w:rPr>
          <w:lang w:eastAsia="bg-BG"/>
        </w:rPr>
        <w:t>изменено освобождаване</w:t>
      </w:r>
    </w:p>
    <w:p w14:paraId="6920A680" w14:textId="2275597D" w:rsidR="00C40420" w:rsidRDefault="00DD466D" w:rsidP="004A448E">
      <w:pPr>
        <w:pStyle w:val="Heading1"/>
      </w:pPr>
      <w:r>
        <w:t>2. КАЧЕСТВЕН И КОЛИЧЕСТВЕН СЪСТАВ</w:t>
      </w:r>
    </w:p>
    <w:p w14:paraId="0AF6C769" w14:textId="384CC70F" w:rsidR="0085190A" w:rsidRDefault="0085190A" w:rsidP="0085190A"/>
    <w:p w14:paraId="761BA92D" w14:textId="77777777" w:rsidR="0085190A" w:rsidRPr="0085190A" w:rsidRDefault="0085190A" w:rsidP="0085190A">
      <w:pPr>
        <w:rPr>
          <w:sz w:val="24"/>
          <w:szCs w:val="24"/>
        </w:rPr>
      </w:pPr>
      <w:r w:rsidRPr="0085190A">
        <w:rPr>
          <w:lang w:eastAsia="bg-BG"/>
        </w:rPr>
        <w:t xml:space="preserve">Всяка капсула съдържа 0,4 </w:t>
      </w:r>
      <w:r w:rsidRPr="0085190A">
        <w:rPr>
          <w:lang w:val="en-US"/>
        </w:rPr>
        <w:t>mg</w:t>
      </w:r>
      <w:r w:rsidRPr="0085190A">
        <w:t xml:space="preserve"> </w:t>
      </w:r>
      <w:r w:rsidRPr="0085190A">
        <w:rPr>
          <w:lang w:eastAsia="bg-BG"/>
        </w:rPr>
        <w:t xml:space="preserve">тамсулозинов хидрохлорид </w:t>
      </w:r>
      <w:r w:rsidRPr="0085190A">
        <w:rPr>
          <w:i/>
          <w:iCs/>
        </w:rPr>
        <w:t>(</w:t>
      </w:r>
      <w:proofErr w:type="spellStart"/>
      <w:r w:rsidRPr="0085190A">
        <w:rPr>
          <w:i/>
          <w:iCs/>
          <w:lang w:val="en-US"/>
        </w:rPr>
        <w:t>tamsulosin</w:t>
      </w:r>
      <w:proofErr w:type="spellEnd"/>
      <w:r w:rsidRPr="0085190A">
        <w:rPr>
          <w:i/>
          <w:iCs/>
        </w:rPr>
        <w:t xml:space="preserve"> </w:t>
      </w:r>
      <w:r w:rsidRPr="0085190A">
        <w:rPr>
          <w:i/>
          <w:iCs/>
          <w:lang w:val="en-US"/>
        </w:rPr>
        <w:t>hydrochloride</w:t>
      </w:r>
      <w:r w:rsidRPr="0085190A">
        <w:rPr>
          <w:i/>
          <w:iCs/>
        </w:rPr>
        <w:t>)</w:t>
      </w:r>
    </w:p>
    <w:p w14:paraId="1E361C36" w14:textId="77777777" w:rsidR="0085190A" w:rsidRPr="0085190A" w:rsidRDefault="0085190A" w:rsidP="0085190A">
      <w:pPr>
        <w:rPr>
          <w:sz w:val="24"/>
          <w:szCs w:val="24"/>
        </w:rPr>
      </w:pPr>
      <w:r w:rsidRPr="0085190A">
        <w:rPr>
          <w:i/>
          <w:iCs/>
          <w:lang w:eastAsia="bg-BG"/>
        </w:rPr>
        <w:t>Помощни вещества:</w:t>
      </w:r>
    </w:p>
    <w:p w14:paraId="1CE4F6A5" w14:textId="77777777" w:rsidR="0085190A" w:rsidRPr="0085190A" w:rsidRDefault="0085190A" w:rsidP="0085190A">
      <w:pPr>
        <w:rPr>
          <w:sz w:val="24"/>
          <w:szCs w:val="24"/>
        </w:rPr>
      </w:pPr>
      <w:r w:rsidRPr="0085190A">
        <w:rPr>
          <w:lang w:eastAsia="bg-BG"/>
        </w:rPr>
        <w:t>Капсулната обвивка съдържа оцветителите сънсет жълто (Е110) и кармоизин (Е122)</w:t>
      </w:r>
    </w:p>
    <w:p w14:paraId="747D61F6" w14:textId="77777777" w:rsidR="0085190A" w:rsidRPr="0085190A" w:rsidRDefault="0085190A" w:rsidP="0085190A"/>
    <w:p w14:paraId="614984C4" w14:textId="16D6E62B" w:rsidR="008A6AF2" w:rsidRDefault="00DD466D" w:rsidP="002C50EE">
      <w:pPr>
        <w:pStyle w:val="Heading1"/>
      </w:pPr>
      <w:r>
        <w:t>3. ЛЕКАРСТВЕНА ФОРМА</w:t>
      </w:r>
    </w:p>
    <w:p w14:paraId="4D48CB60" w14:textId="7CAEEDD9" w:rsidR="0085190A" w:rsidRDefault="0085190A" w:rsidP="0085190A"/>
    <w:p w14:paraId="07028471" w14:textId="77777777" w:rsidR="0085190A" w:rsidRPr="0085190A" w:rsidRDefault="0085190A" w:rsidP="0085190A">
      <w:pPr>
        <w:rPr>
          <w:sz w:val="24"/>
          <w:szCs w:val="24"/>
        </w:rPr>
      </w:pPr>
      <w:r w:rsidRPr="0085190A">
        <w:rPr>
          <w:lang w:eastAsia="bg-BG"/>
        </w:rPr>
        <w:t>Твърди капсули с изменено освобождаване</w:t>
      </w:r>
    </w:p>
    <w:p w14:paraId="069FA13F" w14:textId="77777777" w:rsidR="0085190A" w:rsidRPr="0085190A" w:rsidRDefault="0085190A" w:rsidP="0085190A">
      <w:pPr>
        <w:rPr>
          <w:sz w:val="24"/>
          <w:szCs w:val="24"/>
        </w:rPr>
      </w:pPr>
      <w:r w:rsidRPr="0085190A">
        <w:rPr>
          <w:lang w:eastAsia="bg-BG"/>
        </w:rPr>
        <w:t xml:space="preserve">Твърди желатинови капсули №2 с почти бяло тяло и кафяво капаче с означение </w:t>
      </w:r>
      <w:r w:rsidRPr="0085190A">
        <w:rPr>
          <w:lang w:val="en-US"/>
        </w:rPr>
        <w:t>UMX</w:t>
      </w:r>
      <w:r w:rsidRPr="0085190A">
        <w:rPr>
          <w:lang w:val="ru-RU"/>
        </w:rPr>
        <w:t xml:space="preserve">- </w:t>
      </w:r>
      <w:r w:rsidRPr="0085190A">
        <w:rPr>
          <w:lang w:eastAsia="bg-BG"/>
        </w:rPr>
        <w:t>0,4 върху кафявото капаче в бял цвят и с черен цвят върху бялото до почти бяло тяло. Капсулите са пълни с бели до почти бели пелети.</w:t>
      </w:r>
    </w:p>
    <w:p w14:paraId="5DE7A513" w14:textId="77777777" w:rsidR="0085190A" w:rsidRPr="0085190A" w:rsidRDefault="0085190A" w:rsidP="0085190A"/>
    <w:p w14:paraId="490FC2C4" w14:textId="32682B15" w:rsidR="002C50EE" w:rsidRDefault="002C50EE" w:rsidP="002C50EE">
      <w:pPr>
        <w:pStyle w:val="Heading1"/>
      </w:pPr>
      <w:r>
        <w:t>4. КЛИНИЧНИ ДАННИ</w:t>
      </w:r>
    </w:p>
    <w:p w14:paraId="0C8E6903" w14:textId="34F99839" w:rsidR="008134C8" w:rsidRDefault="002C50EE" w:rsidP="004A448E">
      <w:pPr>
        <w:pStyle w:val="Heading2"/>
      </w:pPr>
      <w:r>
        <w:t>4.1. Терапевтични показания</w:t>
      </w:r>
    </w:p>
    <w:p w14:paraId="66518E3C" w14:textId="61CA713B" w:rsidR="0085190A" w:rsidRDefault="0085190A" w:rsidP="0085190A"/>
    <w:p w14:paraId="2E66D1AE" w14:textId="034BD565" w:rsidR="0085190A" w:rsidRDefault="0085190A" w:rsidP="0085190A">
      <w:pPr>
        <w:rPr>
          <w:lang w:eastAsia="bg-BG"/>
        </w:rPr>
      </w:pPr>
      <w:r w:rsidRPr="0085190A">
        <w:rPr>
          <w:lang w:eastAsia="bg-BG"/>
        </w:rPr>
        <w:t>Симптоми на долните пикочни пътища, свързани с доброкачествена хиперплазия на простатата (ДХП).</w:t>
      </w:r>
    </w:p>
    <w:p w14:paraId="0F462E1B" w14:textId="77777777" w:rsidR="0085190A" w:rsidRPr="0085190A" w:rsidRDefault="0085190A" w:rsidP="0085190A">
      <w:pPr>
        <w:rPr>
          <w:sz w:val="24"/>
          <w:szCs w:val="24"/>
        </w:rPr>
      </w:pPr>
    </w:p>
    <w:p w14:paraId="30BE2C7B" w14:textId="28323307" w:rsidR="008134C8" w:rsidRDefault="002C50EE" w:rsidP="004A448E">
      <w:pPr>
        <w:pStyle w:val="Heading2"/>
      </w:pPr>
      <w:r>
        <w:t>4.2. Дозировка и начин на приложение</w:t>
      </w:r>
    </w:p>
    <w:p w14:paraId="28DC6A03" w14:textId="12636DF2" w:rsidR="0085190A" w:rsidRDefault="0085190A" w:rsidP="0085190A"/>
    <w:p w14:paraId="04521BF3" w14:textId="77777777" w:rsidR="0085190A" w:rsidRPr="0085190A" w:rsidRDefault="0085190A" w:rsidP="0085190A">
      <w:pPr>
        <w:pStyle w:val="Heading3"/>
        <w:rPr>
          <w:rFonts w:eastAsia="Times New Roman"/>
          <w:i/>
          <w:sz w:val="28"/>
        </w:rPr>
      </w:pPr>
      <w:r w:rsidRPr="0085190A">
        <w:rPr>
          <w:rFonts w:eastAsia="Times New Roman"/>
          <w:i/>
          <w:lang w:eastAsia="bg-BG"/>
        </w:rPr>
        <w:t>Дозировка</w:t>
      </w:r>
    </w:p>
    <w:p w14:paraId="5D06EF4D"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 xml:space="preserve">Препоръчва се една капсула </w:t>
      </w:r>
      <w:r w:rsidRPr="0085190A">
        <w:rPr>
          <w:rFonts w:eastAsia="Times New Roman" w:cs="Arial"/>
          <w:color w:val="000000"/>
          <w:szCs w:val="20"/>
          <w:lang w:val="ru-RU"/>
        </w:rPr>
        <w:t>0,4</w:t>
      </w:r>
      <w:r w:rsidRPr="0085190A">
        <w:rPr>
          <w:rFonts w:eastAsia="Times New Roman" w:cs="Arial"/>
          <w:color w:val="000000"/>
          <w:szCs w:val="20"/>
          <w:lang w:val="en-US"/>
        </w:rPr>
        <w:t>mg</w:t>
      </w:r>
      <w:r w:rsidRPr="0085190A">
        <w:rPr>
          <w:rFonts w:eastAsia="Times New Roman" w:cs="Arial"/>
          <w:color w:val="000000"/>
          <w:szCs w:val="20"/>
          <w:lang w:val="ru-RU"/>
        </w:rPr>
        <w:t xml:space="preserve"> </w:t>
      </w:r>
      <w:r w:rsidRPr="0085190A">
        <w:rPr>
          <w:rFonts w:eastAsia="Times New Roman" w:cs="Arial"/>
          <w:color w:val="000000"/>
          <w:szCs w:val="20"/>
          <w:lang w:eastAsia="bg-BG"/>
        </w:rPr>
        <w:t>еднократна дневна доза.</w:t>
      </w:r>
    </w:p>
    <w:p w14:paraId="6E173563"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Дозата се приема по едно и също време 30 минути след хранене. Капсулата се приема цяла с чаша вода - да не се разрушава или дъвче. Това може да повлияе върху ефекта на освобождаване на активната съставка с продължително действие.</w:t>
      </w:r>
    </w:p>
    <w:p w14:paraId="0B67FDB2"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Не се налага адаптиране на дозата при бъбречно увреждане.</w:t>
      </w:r>
    </w:p>
    <w:p w14:paraId="2F7C4A57"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Не се налага адаптиране на дозата при пациенти с лека до умерено тежка чернодробна недостатъчност (вижте точка 4.3).</w:t>
      </w:r>
    </w:p>
    <w:p w14:paraId="66C6F6FE" w14:textId="77777777" w:rsidR="0085190A" w:rsidRPr="0085190A" w:rsidRDefault="0085190A" w:rsidP="0085190A">
      <w:pPr>
        <w:spacing w:line="240" w:lineRule="auto"/>
        <w:rPr>
          <w:rFonts w:eastAsia="Times New Roman" w:cs="Arial"/>
          <w:i/>
          <w:iCs/>
          <w:color w:val="000000"/>
          <w:szCs w:val="20"/>
          <w:lang w:eastAsia="bg-BG"/>
        </w:rPr>
      </w:pPr>
    </w:p>
    <w:p w14:paraId="4E3CB9AE" w14:textId="0A2FCC8D" w:rsidR="0085190A" w:rsidRPr="0085190A" w:rsidRDefault="0085190A" w:rsidP="0085190A">
      <w:pPr>
        <w:spacing w:line="240" w:lineRule="auto"/>
        <w:rPr>
          <w:rFonts w:eastAsia="Times New Roman" w:cs="Arial"/>
          <w:sz w:val="28"/>
          <w:szCs w:val="24"/>
        </w:rPr>
      </w:pPr>
      <w:r w:rsidRPr="0085190A">
        <w:rPr>
          <w:rFonts w:eastAsia="Times New Roman" w:cs="Arial"/>
          <w:i/>
          <w:iCs/>
          <w:color w:val="000000"/>
          <w:szCs w:val="20"/>
          <w:lang w:eastAsia="bg-BG"/>
        </w:rPr>
        <w:t>Педиатрична популация</w:t>
      </w:r>
    </w:p>
    <w:p w14:paraId="0B7DA6DF" w14:textId="0AAC2C65" w:rsidR="0085190A" w:rsidRPr="0085190A" w:rsidRDefault="0085190A" w:rsidP="0085190A">
      <w:pPr>
        <w:rPr>
          <w:rFonts w:cs="Arial"/>
          <w:sz w:val="24"/>
        </w:rPr>
      </w:pPr>
      <w:r w:rsidRPr="0085190A">
        <w:rPr>
          <w:rFonts w:eastAsia="Times New Roman" w:cs="Arial"/>
          <w:color w:val="000000"/>
          <w:szCs w:val="20"/>
          <w:lang w:eastAsia="bg-BG"/>
        </w:rPr>
        <w:t>Уримакс не е показан за лечение при деца.</w:t>
      </w:r>
    </w:p>
    <w:p w14:paraId="4B652BBD" w14:textId="20AF1835" w:rsidR="0085190A" w:rsidRDefault="0085190A" w:rsidP="0085190A"/>
    <w:p w14:paraId="784060B3" w14:textId="24DB4B4A" w:rsidR="0085190A" w:rsidRPr="0085190A" w:rsidRDefault="0085190A" w:rsidP="0085190A">
      <w:r>
        <w:t>Безопасността и ефективността на тамсулозина при деца на възраст &lt;18 години не е установена. Наличните понастоящем данни са описани в точка 5.1.</w:t>
      </w:r>
    </w:p>
    <w:p w14:paraId="28C984E8" w14:textId="0BE42A2E" w:rsidR="008134C8" w:rsidRDefault="002C50EE" w:rsidP="004A448E">
      <w:pPr>
        <w:pStyle w:val="Heading2"/>
      </w:pPr>
      <w:r>
        <w:lastRenderedPageBreak/>
        <w:t>4.3. Противопоказания</w:t>
      </w:r>
    </w:p>
    <w:p w14:paraId="4B32E773" w14:textId="7AE5FE37" w:rsidR="0085190A" w:rsidRDefault="0085190A" w:rsidP="0085190A"/>
    <w:p w14:paraId="5ADD40FF" w14:textId="77777777" w:rsidR="0085190A" w:rsidRPr="0085190A" w:rsidRDefault="0085190A" w:rsidP="0085190A">
      <w:pPr>
        <w:pStyle w:val="ListParagraph"/>
        <w:numPr>
          <w:ilvl w:val="0"/>
          <w:numId w:val="35"/>
        </w:numPr>
        <w:rPr>
          <w:sz w:val="24"/>
          <w:szCs w:val="24"/>
        </w:rPr>
      </w:pPr>
      <w:r w:rsidRPr="0085190A">
        <w:rPr>
          <w:lang w:eastAsia="bg-BG"/>
        </w:rPr>
        <w:t>Свръхчувствителност към тамсулозин или към някое от помощните вещества на продукта, описани в точка 6.1</w:t>
      </w:r>
    </w:p>
    <w:p w14:paraId="5C52CF01" w14:textId="77777777" w:rsidR="0085190A" w:rsidRPr="0085190A" w:rsidRDefault="0085190A" w:rsidP="0085190A">
      <w:pPr>
        <w:pStyle w:val="ListParagraph"/>
        <w:numPr>
          <w:ilvl w:val="0"/>
          <w:numId w:val="35"/>
        </w:numPr>
        <w:rPr>
          <w:sz w:val="24"/>
          <w:szCs w:val="24"/>
        </w:rPr>
      </w:pPr>
      <w:r w:rsidRPr="0085190A">
        <w:rPr>
          <w:lang w:eastAsia="bg-BG"/>
        </w:rPr>
        <w:t>Анамнеза за ортостатична хипотония.</w:t>
      </w:r>
    </w:p>
    <w:p w14:paraId="7C2CF416" w14:textId="7E2E968E" w:rsidR="0085190A" w:rsidRPr="0085190A" w:rsidRDefault="0085190A" w:rsidP="0085190A">
      <w:pPr>
        <w:pStyle w:val="ListParagraph"/>
        <w:numPr>
          <w:ilvl w:val="0"/>
          <w:numId w:val="35"/>
        </w:numPr>
        <w:rPr>
          <w:sz w:val="24"/>
          <w:szCs w:val="24"/>
        </w:rPr>
      </w:pPr>
      <w:r w:rsidRPr="0085190A">
        <w:rPr>
          <w:lang w:eastAsia="bg-BG"/>
        </w:rPr>
        <w:t>Тежка чернодробна недостатъчност.</w:t>
      </w:r>
    </w:p>
    <w:p w14:paraId="64568335" w14:textId="77777777" w:rsidR="0085190A" w:rsidRPr="0085190A" w:rsidRDefault="0085190A" w:rsidP="0085190A"/>
    <w:p w14:paraId="212F509C" w14:textId="6FDC384B" w:rsidR="004F498A" w:rsidRDefault="002C50EE" w:rsidP="004A448E">
      <w:pPr>
        <w:pStyle w:val="Heading2"/>
      </w:pPr>
      <w:r>
        <w:t>4.4. Специални предупреждения и предпазни мерки при употреба</w:t>
      </w:r>
    </w:p>
    <w:p w14:paraId="6E689AC4" w14:textId="3E06456B" w:rsidR="0085190A" w:rsidRDefault="0085190A" w:rsidP="0085190A"/>
    <w:p w14:paraId="0550783B"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Подобно на другите алфа 1 блокери по време на лечение с Уримакс може да се наблюдава в отделни случаи понижение на кръвното налягане в резултат на което рядко може да се появи синкоп. При поява на признаци на хипотензия, като виене на свят и прилошаване, пациентът трябва да седне или легне докато симптомите отзвучат. Преди да започне лечение с Уримакс, пациенът трябва да бъде изследван, за да се изключат състояния, които дават подобни симптоми на доброкачествена хиперплазия на простатата. Преди лечението се извършва дигитално изследване на простатата и се изследва, ако е необходимо специфичен простатен антиген (ПСА) на определени интервали.</w:t>
      </w:r>
    </w:p>
    <w:p w14:paraId="7B2113C5"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 xml:space="preserve">При болни с напреднала бъбречна недостатъчност (креатининов клирьнс &lt;10 </w:t>
      </w:r>
      <w:r w:rsidRPr="0085190A">
        <w:rPr>
          <w:rFonts w:eastAsia="Times New Roman" w:cs="Arial"/>
          <w:color w:val="000000"/>
          <w:lang w:val="en-US"/>
        </w:rPr>
        <w:t>ml</w:t>
      </w:r>
      <w:r w:rsidRPr="0085190A">
        <w:rPr>
          <w:rFonts w:eastAsia="Times New Roman" w:cs="Arial"/>
          <w:color w:val="000000"/>
          <w:lang w:val="ru-RU"/>
        </w:rPr>
        <w:t>/</w:t>
      </w:r>
      <w:r w:rsidRPr="0085190A">
        <w:rPr>
          <w:rFonts w:eastAsia="Times New Roman" w:cs="Arial"/>
          <w:color w:val="000000"/>
          <w:lang w:val="en-US"/>
        </w:rPr>
        <w:t>min</w:t>
      </w:r>
      <w:r w:rsidRPr="0085190A">
        <w:rPr>
          <w:rFonts w:eastAsia="Times New Roman" w:cs="Arial"/>
          <w:color w:val="000000"/>
          <w:lang w:val="ru-RU"/>
        </w:rPr>
        <w:t xml:space="preserve">) </w:t>
      </w:r>
      <w:r w:rsidRPr="0085190A">
        <w:rPr>
          <w:rFonts w:eastAsia="Times New Roman" w:cs="Arial"/>
          <w:color w:val="000000"/>
          <w:lang w:eastAsia="bg-BG"/>
        </w:rPr>
        <w:t>лечението трябва да бъде проведено с особено внимание поради липса на опит с такива пациенти.</w:t>
      </w:r>
    </w:p>
    <w:p w14:paraId="3F007071"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По време на операции за катаракта при пациенти на, или били на лечение с тамсулозин, е наблюдаван “Интраоперативен Флопи Ирис Синдром”(ИФИС, вариант на синдрома на малката зеница). ИФИС може да доведе до повишаване на риска от процедурни усложнения по време на операцията. Не се препоръчва започване на терапията с тамсулозин при пациенти, при които е планирана операция на катаракта. Счита се, че прекратяване на лечението с тамсулозин 1-2 седмици преди операция за катаракта би могло да помогне, но ползата и продължителността на спиране на терапията преди операция за катаракта все още не са установени.</w:t>
      </w:r>
    </w:p>
    <w:p w14:paraId="0EE66CE8"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По време на предоперативната оценка хирурзите и офталмологичните екипи трябва да обсъдят дали пациентите, подлежащи на операция за катаракта, са или са били лекувани с тамсулозин, за да осигурят съответни мерки, които да се предприемат за справяне с ИФИС по време на операцията.</w:t>
      </w:r>
    </w:p>
    <w:p w14:paraId="11A1E939" w14:textId="7359979C" w:rsidR="0085190A" w:rsidRPr="0085190A" w:rsidRDefault="0085190A" w:rsidP="0085190A">
      <w:pPr>
        <w:rPr>
          <w:rFonts w:eastAsia="Times New Roman" w:cs="Arial"/>
          <w:color w:val="000000"/>
          <w:lang w:val="ru-RU" w:eastAsia="bg-BG"/>
        </w:rPr>
      </w:pPr>
      <w:r w:rsidRPr="0085190A">
        <w:rPr>
          <w:rFonts w:eastAsia="Times New Roman" w:cs="Arial"/>
          <w:color w:val="000000"/>
          <w:lang w:eastAsia="bg-BG"/>
        </w:rPr>
        <w:t xml:space="preserve">Не трябва да се прилага тамсулозинов хидрохлорид в комбинация с мощни инхибитори на </w:t>
      </w:r>
      <w:r w:rsidRPr="0085190A">
        <w:rPr>
          <w:rFonts w:eastAsia="Times New Roman" w:cs="Arial"/>
          <w:color w:val="000000"/>
          <w:lang w:val="en-US"/>
        </w:rPr>
        <w:t>CYP</w:t>
      </w:r>
      <w:r w:rsidRPr="0085190A">
        <w:rPr>
          <w:rFonts w:eastAsia="Times New Roman" w:cs="Arial"/>
          <w:color w:val="000000"/>
          <w:lang w:val="ru-RU"/>
        </w:rPr>
        <w:t>3</w:t>
      </w:r>
      <w:r w:rsidRPr="0085190A">
        <w:rPr>
          <w:rFonts w:eastAsia="Times New Roman" w:cs="Arial"/>
          <w:color w:val="000000"/>
          <w:lang w:val="en-US"/>
        </w:rPr>
        <w:t>A</w:t>
      </w:r>
      <w:r w:rsidRPr="0085190A">
        <w:rPr>
          <w:rFonts w:eastAsia="Times New Roman" w:cs="Arial"/>
          <w:color w:val="000000"/>
          <w:lang w:val="ru-RU"/>
        </w:rPr>
        <w:t xml:space="preserve">4 </w:t>
      </w:r>
      <w:r w:rsidRPr="0085190A">
        <w:rPr>
          <w:rFonts w:eastAsia="Times New Roman" w:cs="Arial"/>
          <w:color w:val="000000"/>
          <w:lang w:eastAsia="bg-BG"/>
        </w:rPr>
        <w:t xml:space="preserve">при пациенти, които са с </w:t>
      </w:r>
      <w:r w:rsidRPr="0085190A">
        <w:rPr>
          <w:rFonts w:eastAsia="Times New Roman" w:cs="Arial"/>
          <w:color w:val="000000"/>
          <w:lang w:val="en-US"/>
        </w:rPr>
        <w:t>CYP</w:t>
      </w:r>
      <w:r w:rsidRPr="0085190A">
        <w:rPr>
          <w:rFonts w:eastAsia="Times New Roman" w:cs="Arial"/>
          <w:color w:val="000000"/>
          <w:lang w:val="ru-RU"/>
        </w:rPr>
        <w:t>2</w:t>
      </w:r>
      <w:r w:rsidRPr="0085190A">
        <w:rPr>
          <w:rFonts w:eastAsia="Times New Roman" w:cs="Arial"/>
          <w:color w:val="000000"/>
          <w:lang w:val="en-US"/>
        </w:rPr>
        <w:t>D</w:t>
      </w:r>
      <w:r w:rsidRPr="0085190A">
        <w:rPr>
          <w:rFonts w:eastAsia="Times New Roman" w:cs="Arial"/>
          <w:color w:val="000000"/>
          <w:lang w:val="ru-RU"/>
        </w:rPr>
        <w:t xml:space="preserve">6 </w:t>
      </w:r>
      <w:r w:rsidRPr="0085190A">
        <w:rPr>
          <w:rFonts w:eastAsia="Times New Roman" w:cs="Arial"/>
          <w:color w:val="000000"/>
          <w:lang w:eastAsia="bg-BG"/>
        </w:rPr>
        <w:t>фенотип на слаби метаболизатори</w:t>
      </w:r>
      <w:r w:rsidRPr="0085190A">
        <w:rPr>
          <w:rFonts w:eastAsia="Times New Roman" w:cs="Arial"/>
          <w:color w:val="000000"/>
          <w:lang w:val="ru-RU" w:eastAsia="bg-BG"/>
        </w:rPr>
        <w:t>.</w:t>
      </w:r>
    </w:p>
    <w:p w14:paraId="435A90E3"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 xml:space="preserve">Тамсулозинов хидрохлорид трябва да се използва с внимание в комбинация със силни и умерени инхибитори на </w:t>
      </w:r>
      <w:r w:rsidRPr="0085190A">
        <w:rPr>
          <w:rFonts w:eastAsia="Times New Roman" w:cs="Arial"/>
          <w:color w:val="000000"/>
          <w:lang w:val="en-US"/>
        </w:rPr>
        <w:t>CYP</w:t>
      </w:r>
      <w:r w:rsidRPr="0085190A">
        <w:rPr>
          <w:rFonts w:eastAsia="Times New Roman" w:cs="Arial"/>
          <w:color w:val="000000"/>
          <w:lang w:val="ru-RU"/>
        </w:rPr>
        <w:t>3</w:t>
      </w:r>
      <w:r w:rsidRPr="0085190A">
        <w:rPr>
          <w:rFonts w:eastAsia="Times New Roman" w:cs="Arial"/>
          <w:color w:val="000000"/>
          <w:lang w:val="en-US"/>
        </w:rPr>
        <w:t>A</w:t>
      </w:r>
      <w:r w:rsidRPr="0085190A">
        <w:rPr>
          <w:rFonts w:eastAsia="Times New Roman" w:cs="Arial"/>
          <w:color w:val="000000"/>
          <w:lang w:val="ru-RU"/>
        </w:rPr>
        <w:t xml:space="preserve">4 </w:t>
      </w:r>
      <w:r w:rsidRPr="0085190A">
        <w:rPr>
          <w:rFonts w:eastAsia="Times New Roman" w:cs="Arial"/>
          <w:color w:val="000000"/>
          <w:lang w:eastAsia="bg-BG"/>
        </w:rPr>
        <w:t>(вижте точка 4.5)</w:t>
      </w:r>
    </w:p>
    <w:p w14:paraId="4F1A21CC" w14:textId="77777777" w:rsidR="0085190A" w:rsidRPr="0085190A" w:rsidRDefault="0085190A" w:rsidP="0085190A"/>
    <w:p w14:paraId="619DED1E" w14:textId="2C1AF568"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1455B91" w14:textId="7CD699C5" w:rsidR="0085190A" w:rsidRDefault="0085190A" w:rsidP="0085190A"/>
    <w:p w14:paraId="07DE6857" w14:textId="77777777" w:rsidR="0085190A" w:rsidRPr="0085190A" w:rsidRDefault="0085190A" w:rsidP="0085190A">
      <w:pPr>
        <w:rPr>
          <w:sz w:val="24"/>
          <w:szCs w:val="24"/>
        </w:rPr>
      </w:pPr>
      <w:r w:rsidRPr="0085190A">
        <w:rPr>
          <w:lang w:eastAsia="bg-BG"/>
        </w:rPr>
        <w:t>Проучвания за взаимодействие с други лекарствени продукти са провеждани само при възрастни.</w:t>
      </w:r>
    </w:p>
    <w:p w14:paraId="7A558EF8" w14:textId="77777777" w:rsidR="0085190A" w:rsidRPr="0085190A" w:rsidRDefault="0085190A" w:rsidP="0085190A">
      <w:pPr>
        <w:rPr>
          <w:sz w:val="24"/>
          <w:szCs w:val="24"/>
        </w:rPr>
      </w:pPr>
      <w:r w:rsidRPr="0085190A">
        <w:rPr>
          <w:lang w:eastAsia="bg-BG"/>
        </w:rPr>
        <w:t>Не са наблюдавани взаимодействия на тамсулозин с атенолол, еналаприл, нифедипин, дигоксин и теофилин. Едновременното приложение със симетидин води до увеличаване на плазмената концентрация на тамсулозин.</w:t>
      </w:r>
    </w:p>
    <w:p w14:paraId="3F5AB73B" w14:textId="77777777" w:rsidR="0085190A" w:rsidRPr="0085190A" w:rsidRDefault="0085190A" w:rsidP="0085190A">
      <w:pPr>
        <w:rPr>
          <w:sz w:val="24"/>
          <w:szCs w:val="24"/>
        </w:rPr>
      </w:pPr>
      <w:r w:rsidRPr="0085190A">
        <w:rPr>
          <w:lang w:eastAsia="bg-BG"/>
        </w:rPr>
        <w:lastRenderedPageBreak/>
        <w:t>Не се препоръчва едновременното приложение на тамсулозин с други алфа- адренергични блокери поради очаквано взаимодействие по отношение на засилен хипотензивен ефект.</w:t>
      </w:r>
    </w:p>
    <w:p w14:paraId="16342515" w14:textId="77777777" w:rsidR="0085190A" w:rsidRPr="0085190A" w:rsidRDefault="0085190A" w:rsidP="0085190A">
      <w:pPr>
        <w:rPr>
          <w:sz w:val="24"/>
          <w:szCs w:val="24"/>
        </w:rPr>
      </w:pPr>
      <w:r w:rsidRPr="0085190A">
        <w:rPr>
          <w:lang w:eastAsia="bg-BG"/>
        </w:rPr>
        <w:t>При едновременно приложение с фуроземид се намалява нивото на тамсулозин (10-12 %), но тази промяна е незначима и не изисква промяна в дозата.</w:t>
      </w:r>
    </w:p>
    <w:p w14:paraId="697F5784" w14:textId="77777777" w:rsidR="0085190A" w:rsidRPr="0085190A" w:rsidRDefault="0085190A" w:rsidP="0085190A">
      <w:pPr>
        <w:rPr>
          <w:sz w:val="24"/>
          <w:szCs w:val="24"/>
        </w:rPr>
      </w:pPr>
      <w:r w:rsidRPr="0085190A">
        <w:rPr>
          <w:lang w:eastAsia="bg-BG"/>
        </w:rPr>
        <w:t xml:space="preserve">В опити </w:t>
      </w:r>
      <w:r w:rsidRPr="0085190A">
        <w:rPr>
          <w:lang w:val="en-US"/>
        </w:rPr>
        <w:t>in</w:t>
      </w:r>
      <w:r w:rsidRPr="0085190A">
        <w:rPr>
          <w:lang w:val="ru-RU"/>
        </w:rPr>
        <w:t xml:space="preserve"> </w:t>
      </w:r>
      <w:r w:rsidRPr="0085190A">
        <w:rPr>
          <w:lang w:val="en-US"/>
        </w:rPr>
        <w:t>vitro</w:t>
      </w:r>
      <w:r w:rsidRPr="0085190A">
        <w:rPr>
          <w:lang w:val="ru-RU"/>
        </w:rPr>
        <w:t xml:space="preserve"> </w:t>
      </w:r>
      <w:r w:rsidRPr="0085190A">
        <w:rPr>
          <w:lang w:eastAsia="bg-BG"/>
        </w:rPr>
        <w:t>е доказано, че попранолол, хлормадинон, амитриптилин, диклофенак, глибенкламид, симвастатин и варфарин не променят свободната фракция на тамсулозин. Самият тамсулозин не променя свободната фракция на диазепам, пропранолол и хлормадинон.</w:t>
      </w:r>
    </w:p>
    <w:p w14:paraId="554D4855" w14:textId="77777777" w:rsidR="0085190A" w:rsidRPr="0085190A" w:rsidRDefault="0085190A" w:rsidP="0085190A">
      <w:pPr>
        <w:rPr>
          <w:sz w:val="24"/>
          <w:szCs w:val="24"/>
        </w:rPr>
      </w:pPr>
      <w:r w:rsidRPr="0085190A">
        <w:rPr>
          <w:lang w:eastAsia="bg-BG"/>
        </w:rPr>
        <w:t xml:space="preserve">Диклофенак и варфарин могат да увеличат скоростта на елиминиране на тамсулозин. Едновременното приложение на тамсулозин с мощни инхибитори на </w:t>
      </w:r>
      <w:r w:rsidRPr="0085190A">
        <w:rPr>
          <w:lang w:val="en-US"/>
        </w:rPr>
        <w:t>CYP</w:t>
      </w:r>
      <w:r w:rsidRPr="0085190A">
        <w:rPr>
          <w:lang w:val="ru-RU"/>
        </w:rPr>
        <w:t>3</w:t>
      </w:r>
      <w:r w:rsidRPr="0085190A">
        <w:rPr>
          <w:lang w:val="en-US"/>
        </w:rPr>
        <w:t>A</w:t>
      </w:r>
      <w:r w:rsidRPr="0085190A">
        <w:rPr>
          <w:lang w:val="ru-RU"/>
        </w:rPr>
        <w:t xml:space="preserve">4 </w:t>
      </w:r>
      <w:r w:rsidRPr="0085190A">
        <w:rPr>
          <w:lang w:eastAsia="bg-BG"/>
        </w:rPr>
        <w:t xml:space="preserve">може да доведе до повишена експозиция на тамсулозинов хидрохлорид. Едновременното приложение с кетоконазол (мощен </w:t>
      </w:r>
      <w:r w:rsidRPr="0085190A">
        <w:rPr>
          <w:lang w:val="en-US"/>
        </w:rPr>
        <w:t>CYP</w:t>
      </w:r>
      <w:r w:rsidRPr="0085190A">
        <w:rPr>
          <w:lang w:val="ru-RU"/>
        </w:rPr>
        <w:t>3</w:t>
      </w:r>
      <w:r w:rsidRPr="0085190A">
        <w:rPr>
          <w:lang w:val="en-US"/>
        </w:rPr>
        <w:t>A</w:t>
      </w:r>
      <w:r w:rsidRPr="0085190A">
        <w:rPr>
          <w:lang w:val="ru-RU"/>
        </w:rPr>
        <w:t xml:space="preserve">4 </w:t>
      </w:r>
      <w:r w:rsidRPr="0085190A">
        <w:rPr>
          <w:lang w:eastAsia="bg-BG"/>
        </w:rPr>
        <w:t xml:space="preserve">инхибигор) води до повишение на </w:t>
      </w:r>
      <w:r w:rsidRPr="0085190A">
        <w:rPr>
          <w:lang w:val="en-US"/>
        </w:rPr>
        <w:t>AUC</w:t>
      </w:r>
      <w:r w:rsidRPr="0085190A">
        <w:rPr>
          <w:lang w:val="ru-RU"/>
        </w:rPr>
        <w:t xml:space="preserve"> </w:t>
      </w:r>
      <w:r w:rsidRPr="0085190A">
        <w:rPr>
          <w:lang w:eastAsia="bg-BG"/>
        </w:rPr>
        <w:t>и С</w:t>
      </w:r>
      <w:r w:rsidRPr="0085190A">
        <w:rPr>
          <w:lang w:val="en-US"/>
        </w:rPr>
        <w:t>max</w:t>
      </w:r>
      <w:r w:rsidRPr="0085190A">
        <w:rPr>
          <w:lang w:eastAsia="bg-BG"/>
        </w:rPr>
        <w:t xml:space="preserve"> на тамсулозин с фактор на съответствие 2.8 и 2.2. Не трябва да се прилага тамсулозинов хидрохлорид с мощни и умерени инхибитори на </w:t>
      </w:r>
      <w:r w:rsidRPr="0085190A">
        <w:rPr>
          <w:lang w:val="en-US"/>
        </w:rPr>
        <w:t>CYP</w:t>
      </w:r>
      <w:r w:rsidRPr="0085190A">
        <w:rPr>
          <w:lang w:val="ru-RU"/>
        </w:rPr>
        <w:t>3</w:t>
      </w:r>
      <w:r w:rsidRPr="0085190A">
        <w:rPr>
          <w:lang w:val="en-US"/>
        </w:rPr>
        <w:t>A</w:t>
      </w:r>
      <w:r w:rsidRPr="0085190A">
        <w:rPr>
          <w:lang w:val="ru-RU"/>
        </w:rPr>
        <w:t>4.</w:t>
      </w:r>
    </w:p>
    <w:p w14:paraId="10DCB581" w14:textId="77777777" w:rsidR="0085190A" w:rsidRPr="0085190A" w:rsidRDefault="0085190A" w:rsidP="0085190A">
      <w:pPr>
        <w:rPr>
          <w:sz w:val="24"/>
          <w:szCs w:val="24"/>
        </w:rPr>
      </w:pPr>
      <w:r w:rsidRPr="0085190A">
        <w:rPr>
          <w:lang w:eastAsia="bg-BG"/>
        </w:rPr>
        <w:t xml:space="preserve">Едновременното приложение на тамсулозинов хидрохлорид с пароксетин, мощен инхибитор на </w:t>
      </w:r>
      <w:r w:rsidRPr="0085190A">
        <w:rPr>
          <w:lang w:val="en-US"/>
        </w:rPr>
        <w:t>CYP</w:t>
      </w:r>
      <w:r w:rsidRPr="0085190A">
        <w:rPr>
          <w:lang w:val="ru-RU"/>
        </w:rPr>
        <w:t>2</w:t>
      </w:r>
      <w:r w:rsidRPr="0085190A">
        <w:rPr>
          <w:lang w:val="en-US"/>
        </w:rPr>
        <w:t>D</w:t>
      </w:r>
      <w:r w:rsidRPr="0085190A">
        <w:rPr>
          <w:lang w:val="ru-RU"/>
        </w:rPr>
        <w:t xml:space="preserve">6 </w:t>
      </w:r>
      <w:r w:rsidRPr="0085190A">
        <w:rPr>
          <w:lang w:eastAsia="bg-BG"/>
        </w:rPr>
        <w:t>довежда до С</w:t>
      </w:r>
      <w:r w:rsidRPr="0085190A">
        <w:rPr>
          <w:lang w:val="en-US"/>
        </w:rPr>
        <w:t>max</w:t>
      </w:r>
      <w:r w:rsidRPr="0085190A">
        <w:rPr>
          <w:lang w:eastAsia="bg-BG"/>
        </w:rPr>
        <w:t xml:space="preserve"> и </w:t>
      </w:r>
      <w:r w:rsidRPr="0085190A">
        <w:rPr>
          <w:lang w:val="en-US"/>
        </w:rPr>
        <w:t>AUC</w:t>
      </w:r>
      <w:r w:rsidRPr="0085190A">
        <w:rPr>
          <w:lang w:val="ru-RU"/>
        </w:rPr>
        <w:t xml:space="preserve"> </w:t>
      </w:r>
      <w:r w:rsidRPr="0085190A">
        <w:rPr>
          <w:lang w:eastAsia="bg-BG"/>
        </w:rPr>
        <w:t>на тамсулозин, които са увеличени с фактор 1.3 и 1.6 съответно, но тези повишения не се считат клинично значими.</w:t>
      </w:r>
    </w:p>
    <w:p w14:paraId="7E2BDA6B" w14:textId="77777777" w:rsidR="0085190A" w:rsidRPr="0085190A" w:rsidRDefault="0085190A" w:rsidP="0085190A">
      <w:pPr>
        <w:rPr>
          <w:sz w:val="24"/>
          <w:szCs w:val="24"/>
        </w:rPr>
      </w:pPr>
      <w:r w:rsidRPr="0085190A">
        <w:rPr>
          <w:i/>
          <w:iCs/>
          <w:lang w:eastAsia="bg-BG"/>
        </w:rPr>
        <w:t>Лабораторни тестове:</w:t>
      </w:r>
    </w:p>
    <w:p w14:paraId="736742CA" w14:textId="77777777" w:rsidR="0085190A" w:rsidRPr="0085190A" w:rsidRDefault="0085190A" w:rsidP="0085190A">
      <w:pPr>
        <w:rPr>
          <w:sz w:val="24"/>
          <w:szCs w:val="24"/>
        </w:rPr>
      </w:pPr>
      <w:r w:rsidRPr="0085190A">
        <w:rPr>
          <w:lang w:eastAsia="bg-BG"/>
        </w:rPr>
        <w:t>Не е установено взаимодействие между тамсулозин и резултатите от лабораторни изпитвания.</w:t>
      </w:r>
    </w:p>
    <w:p w14:paraId="5B7A2C67" w14:textId="77777777" w:rsidR="0085190A" w:rsidRPr="0085190A" w:rsidRDefault="0085190A" w:rsidP="0085190A">
      <w:pPr>
        <w:rPr>
          <w:sz w:val="24"/>
          <w:szCs w:val="24"/>
        </w:rPr>
      </w:pPr>
      <w:r w:rsidRPr="0085190A">
        <w:rPr>
          <w:lang w:eastAsia="bg-BG"/>
        </w:rPr>
        <w:t>Лечението с тамсулозин в продължение на 12 месеца не променя нивото на простатния специфичен антиген (ПСА).</w:t>
      </w:r>
    </w:p>
    <w:p w14:paraId="4FD62170" w14:textId="77777777" w:rsidR="0085190A" w:rsidRPr="0085190A" w:rsidRDefault="0085190A" w:rsidP="0085190A"/>
    <w:p w14:paraId="394A7584" w14:textId="79065058" w:rsidR="004F498A" w:rsidRDefault="002C50EE" w:rsidP="004A448E">
      <w:pPr>
        <w:pStyle w:val="Heading2"/>
      </w:pPr>
      <w:r>
        <w:t>4.6. Фертилитет, бременност и кърмене</w:t>
      </w:r>
    </w:p>
    <w:p w14:paraId="02453383" w14:textId="33D5DFAA" w:rsidR="0085190A" w:rsidRDefault="0085190A" w:rsidP="0085190A"/>
    <w:p w14:paraId="2EF243A5" w14:textId="2ABC6993" w:rsidR="0085190A" w:rsidRDefault="0085190A" w:rsidP="0085190A">
      <w:r>
        <w:t>Неприложимо, тъй като Уримакс е предназначен само за мъже.</w:t>
      </w:r>
    </w:p>
    <w:p w14:paraId="192B00B3" w14:textId="77777777" w:rsidR="0085190A" w:rsidRPr="0085190A" w:rsidRDefault="0085190A" w:rsidP="0085190A"/>
    <w:p w14:paraId="064DF1DE" w14:textId="27BA1704" w:rsidR="00CF77F7" w:rsidRDefault="002C50EE" w:rsidP="004A448E">
      <w:pPr>
        <w:pStyle w:val="Heading2"/>
      </w:pPr>
      <w:r>
        <w:t>4.7. Ефекти върху способността за шофиране и работа с машини</w:t>
      </w:r>
    </w:p>
    <w:p w14:paraId="2911CB99" w14:textId="21C693C4" w:rsidR="0085190A" w:rsidRDefault="0085190A" w:rsidP="0085190A"/>
    <w:p w14:paraId="5A1F9DA5" w14:textId="1BBD321F" w:rsidR="0085190A" w:rsidRDefault="0085190A" w:rsidP="0085190A">
      <w:r>
        <w:t>Няма данни за неблагоприятен ефект на Уримакс върху способността за шофиране и работа с машини. Трябва да се има предвид възможността за поява на световъртеж.</w:t>
      </w:r>
    </w:p>
    <w:p w14:paraId="4438850F" w14:textId="77777777" w:rsidR="0085190A" w:rsidRPr="0085190A" w:rsidRDefault="0085190A" w:rsidP="0085190A"/>
    <w:p w14:paraId="37A3FD9F" w14:textId="082AAECB" w:rsidR="00CF77F7" w:rsidRDefault="002C50EE" w:rsidP="004A448E">
      <w:pPr>
        <w:pStyle w:val="Heading2"/>
      </w:pPr>
      <w:r>
        <w:t>4.8. Нежелани лекарствени реакции</w:t>
      </w:r>
    </w:p>
    <w:p w14:paraId="688043FD" w14:textId="47557A53" w:rsidR="0085190A" w:rsidRDefault="0085190A" w:rsidP="0085190A"/>
    <w:p w14:paraId="72459773"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Честотата на нежеланите лекарствени реакции се определя съгласно следната класификация:</w:t>
      </w:r>
    </w:p>
    <w:p w14:paraId="72D0037F"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Много чести (≥1/10), чести (≥1/100 до &lt;1/10), нечести (≥1/1000 до 1/100), редки (≥1/10000 до 1/1000), много редки (&lt;1/10000), с неизвестна честота.</w:t>
      </w:r>
    </w:p>
    <w:p w14:paraId="77B24A2B" w14:textId="77777777" w:rsidR="0085190A" w:rsidRPr="0085190A" w:rsidRDefault="0085190A" w:rsidP="0085190A">
      <w:pPr>
        <w:spacing w:line="240" w:lineRule="auto"/>
        <w:rPr>
          <w:rFonts w:eastAsia="Times New Roman" w:cs="Arial"/>
          <w:b/>
          <w:bCs/>
          <w:color w:val="000000"/>
          <w:szCs w:val="20"/>
          <w:lang w:eastAsia="bg-BG"/>
        </w:rPr>
      </w:pPr>
      <w:bookmarkStart w:id="1" w:name="bookmark0"/>
    </w:p>
    <w:p w14:paraId="31230E8E" w14:textId="53D6EF9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Нарушения на нервната система</w:t>
      </w:r>
      <w:bookmarkEnd w:id="1"/>
    </w:p>
    <w:p w14:paraId="28F23B53" w14:textId="77777777" w:rsidR="0085190A" w:rsidRPr="0085190A" w:rsidRDefault="0085190A" w:rsidP="0085190A">
      <w:pPr>
        <w:spacing w:line="240" w:lineRule="auto"/>
        <w:rPr>
          <w:rFonts w:eastAsia="Times New Roman" w:cs="Arial"/>
          <w:sz w:val="28"/>
          <w:szCs w:val="24"/>
        </w:rPr>
      </w:pPr>
      <w:r w:rsidRPr="0085190A">
        <w:rPr>
          <w:rFonts w:eastAsia="Times New Roman" w:cs="Arial"/>
          <w:b/>
          <w:color w:val="000000"/>
          <w:szCs w:val="20"/>
          <w:lang w:eastAsia="bg-BG"/>
        </w:rPr>
        <w:t>Чести</w:t>
      </w:r>
      <w:r w:rsidRPr="0085190A">
        <w:rPr>
          <w:rFonts w:eastAsia="Times New Roman" w:cs="Arial"/>
          <w:color w:val="000000"/>
          <w:szCs w:val="20"/>
          <w:lang w:eastAsia="bg-BG"/>
        </w:rPr>
        <w:t xml:space="preserve"> </w:t>
      </w:r>
      <w:r w:rsidRPr="0085190A">
        <w:rPr>
          <w:rFonts w:eastAsia="Times New Roman" w:cs="Arial"/>
          <w:b/>
          <w:color w:val="000000"/>
          <w:szCs w:val="20"/>
          <w:lang w:eastAsia="bg-BG"/>
        </w:rPr>
        <w:t>(&gt;1-100, &lt;1/10):</w:t>
      </w:r>
      <w:r w:rsidRPr="0085190A">
        <w:rPr>
          <w:rFonts w:eastAsia="Times New Roman" w:cs="Arial"/>
          <w:color w:val="000000"/>
          <w:szCs w:val="20"/>
          <w:lang w:eastAsia="bg-BG"/>
        </w:rPr>
        <w:t xml:space="preserve"> световъртеж, главоболие</w:t>
      </w:r>
    </w:p>
    <w:p w14:paraId="6FDA9B8B"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Редки (&gt;1/10 000, &lt; 1/1000) </w:t>
      </w:r>
      <w:r w:rsidRPr="0085190A">
        <w:rPr>
          <w:rFonts w:eastAsia="Times New Roman" w:cs="Arial"/>
          <w:color w:val="000000"/>
          <w:szCs w:val="20"/>
          <w:lang w:eastAsia="bg-BG"/>
        </w:rPr>
        <w:t>синкоп</w:t>
      </w:r>
    </w:p>
    <w:p w14:paraId="271086D9" w14:textId="77777777" w:rsidR="0085190A" w:rsidRPr="0085190A" w:rsidRDefault="0085190A" w:rsidP="0085190A">
      <w:pPr>
        <w:spacing w:line="240" w:lineRule="auto"/>
        <w:rPr>
          <w:rFonts w:eastAsia="Times New Roman" w:cs="Arial"/>
          <w:b/>
          <w:bCs/>
          <w:color w:val="000000"/>
          <w:szCs w:val="20"/>
          <w:lang w:eastAsia="bg-BG"/>
        </w:rPr>
      </w:pPr>
    </w:p>
    <w:p w14:paraId="308E0CC6" w14:textId="0DD45D6B"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Сърдечни нарушения</w:t>
      </w:r>
    </w:p>
    <w:p w14:paraId="548CC359"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Нечести (&gt;1/1000, &lt;1/100) </w:t>
      </w:r>
      <w:r w:rsidRPr="0085190A">
        <w:rPr>
          <w:rFonts w:eastAsia="Times New Roman" w:cs="Arial"/>
          <w:color w:val="000000"/>
          <w:szCs w:val="20"/>
          <w:lang w:eastAsia="bg-BG"/>
        </w:rPr>
        <w:t>палпитации, оргостатична хипотония.</w:t>
      </w:r>
    </w:p>
    <w:p w14:paraId="3015EAA1" w14:textId="77777777" w:rsidR="0085190A" w:rsidRPr="0085190A" w:rsidRDefault="0085190A" w:rsidP="0085190A">
      <w:pPr>
        <w:spacing w:line="240" w:lineRule="auto"/>
        <w:rPr>
          <w:rFonts w:eastAsia="Times New Roman" w:cs="Arial"/>
          <w:b/>
          <w:bCs/>
          <w:color w:val="000000"/>
          <w:szCs w:val="20"/>
          <w:lang w:eastAsia="bg-BG"/>
        </w:rPr>
      </w:pPr>
    </w:p>
    <w:p w14:paraId="372F08BF" w14:textId="53B70A60"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lastRenderedPageBreak/>
        <w:t>Респираторни,гръдни и медиастинални нарушения.</w:t>
      </w:r>
    </w:p>
    <w:p w14:paraId="226F51F1"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Нечести (1/1000, &lt;1/100) </w:t>
      </w:r>
      <w:r w:rsidRPr="0085190A">
        <w:rPr>
          <w:rFonts w:eastAsia="Times New Roman" w:cs="Arial"/>
          <w:bCs/>
          <w:color w:val="000000"/>
          <w:szCs w:val="20"/>
          <w:lang w:eastAsia="bg-BG"/>
        </w:rPr>
        <w:t>ринит</w:t>
      </w:r>
    </w:p>
    <w:p w14:paraId="0C273A92" w14:textId="77777777" w:rsidR="0085190A" w:rsidRPr="0085190A" w:rsidRDefault="0085190A" w:rsidP="0085190A">
      <w:pPr>
        <w:spacing w:line="240" w:lineRule="auto"/>
        <w:rPr>
          <w:rFonts w:eastAsia="Times New Roman" w:cs="Arial"/>
          <w:b/>
          <w:bCs/>
          <w:color w:val="000000"/>
          <w:szCs w:val="20"/>
          <w:lang w:eastAsia="bg-BG"/>
        </w:rPr>
      </w:pPr>
      <w:bookmarkStart w:id="2" w:name="bookmark2"/>
    </w:p>
    <w:p w14:paraId="23A75A20" w14:textId="4011F66B"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Стомашно-чревни нарушения</w:t>
      </w:r>
      <w:bookmarkEnd w:id="2"/>
    </w:p>
    <w:p w14:paraId="404D885E" w14:textId="70B0EEFF"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Нечести (&gt;1/1000, &lt;1/100)</w:t>
      </w:r>
      <w:r w:rsidRPr="0085190A">
        <w:rPr>
          <w:rFonts w:eastAsia="Times New Roman" w:cs="Arial"/>
          <w:sz w:val="28"/>
          <w:szCs w:val="24"/>
          <w:lang w:val="ru-RU"/>
        </w:rPr>
        <w:t xml:space="preserve"> </w:t>
      </w:r>
      <w:r w:rsidRPr="0085190A">
        <w:rPr>
          <w:rFonts w:eastAsia="Times New Roman" w:cs="Arial"/>
          <w:color w:val="000000"/>
          <w:szCs w:val="20"/>
          <w:lang w:eastAsia="bg-BG"/>
        </w:rPr>
        <w:t>констипация, диария, гадене, повръщане</w:t>
      </w:r>
    </w:p>
    <w:p w14:paraId="27CE3ECA" w14:textId="08EEBFE3" w:rsidR="0085190A" w:rsidRPr="0085190A" w:rsidRDefault="0085190A" w:rsidP="0085190A">
      <w:pPr>
        <w:spacing w:line="240" w:lineRule="auto"/>
        <w:rPr>
          <w:rFonts w:eastAsia="Times New Roman" w:cs="Arial"/>
          <w:b/>
          <w:sz w:val="28"/>
          <w:szCs w:val="24"/>
        </w:rPr>
      </w:pPr>
      <w:r w:rsidRPr="0085190A">
        <w:rPr>
          <w:rFonts w:eastAsia="Times New Roman" w:cs="Arial"/>
          <w:b/>
          <w:color w:val="000000"/>
          <w:szCs w:val="20"/>
          <w:lang w:eastAsia="bg-BG"/>
        </w:rPr>
        <w:t>С неизвестна честота</w:t>
      </w:r>
      <w:r w:rsidRPr="0085190A">
        <w:rPr>
          <w:rFonts w:eastAsia="Times New Roman" w:cs="Arial"/>
          <w:b/>
          <w:sz w:val="28"/>
          <w:szCs w:val="24"/>
          <w:lang w:val="ru-RU"/>
        </w:rPr>
        <w:t xml:space="preserve"> </w:t>
      </w:r>
      <w:r w:rsidRPr="0085190A">
        <w:rPr>
          <w:rFonts w:eastAsia="Times New Roman" w:cs="Arial"/>
          <w:color w:val="000000"/>
          <w:szCs w:val="20"/>
          <w:lang w:eastAsia="bg-BG"/>
        </w:rPr>
        <w:t>Сухота в устата</w:t>
      </w:r>
    </w:p>
    <w:p w14:paraId="0A17F24C" w14:textId="77777777" w:rsidR="0085190A" w:rsidRPr="0085190A" w:rsidRDefault="0085190A" w:rsidP="0085190A">
      <w:pPr>
        <w:spacing w:line="240" w:lineRule="auto"/>
        <w:rPr>
          <w:rFonts w:eastAsia="Times New Roman" w:cs="Arial"/>
          <w:b/>
          <w:bCs/>
          <w:color w:val="000000"/>
          <w:szCs w:val="20"/>
          <w:lang w:eastAsia="bg-BG"/>
        </w:rPr>
      </w:pPr>
    </w:p>
    <w:p w14:paraId="2E4B878D" w14:textId="74DAD485"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Нарушения на кожата и подкожната тъкан:</w:t>
      </w:r>
    </w:p>
    <w:p w14:paraId="229C0098"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Нечести (&gt;1/1000, &lt;1/100) </w:t>
      </w:r>
      <w:r w:rsidRPr="0085190A">
        <w:rPr>
          <w:rFonts w:eastAsia="Times New Roman" w:cs="Arial"/>
          <w:color w:val="000000"/>
          <w:szCs w:val="20"/>
          <w:lang w:eastAsia="bg-BG"/>
        </w:rPr>
        <w:t>обрив, пруритус, уртикария</w:t>
      </w:r>
    </w:p>
    <w:p w14:paraId="55CF8EED"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Редки (&gt;1/10 000, &lt; 1/1000) </w:t>
      </w:r>
      <w:r w:rsidRPr="0085190A">
        <w:rPr>
          <w:rFonts w:eastAsia="Times New Roman" w:cs="Arial"/>
          <w:bCs/>
          <w:color w:val="000000"/>
          <w:szCs w:val="20"/>
          <w:lang w:eastAsia="bg-BG"/>
        </w:rPr>
        <w:t>ангиоедема</w:t>
      </w:r>
    </w:p>
    <w:p w14:paraId="16AAED6C"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Много редки (&lt;1/10 000) </w:t>
      </w:r>
      <w:r w:rsidRPr="0085190A">
        <w:rPr>
          <w:rFonts w:eastAsia="Times New Roman" w:cs="Arial"/>
          <w:color w:val="000000"/>
          <w:szCs w:val="20"/>
          <w:lang w:eastAsia="bg-BG"/>
        </w:rPr>
        <w:t xml:space="preserve">синдром на </w:t>
      </w:r>
      <w:r w:rsidRPr="0085190A">
        <w:rPr>
          <w:rFonts w:eastAsia="Times New Roman" w:cs="Arial"/>
          <w:color w:val="000000"/>
          <w:szCs w:val="20"/>
          <w:lang w:val="en-US"/>
        </w:rPr>
        <w:t>Stevens</w:t>
      </w:r>
      <w:r w:rsidRPr="0085190A">
        <w:rPr>
          <w:rFonts w:eastAsia="Times New Roman" w:cs="Arial"/>
          <w:color w:val="000000"/>
          <w:szCs w:val="20"/>
          <w:lang w:val="ru-RU"/>
        </w:rPr>
        <w:t>-</w:t>
      </w:r>
      <w:r w:rsidRPr="0085190A">
        <w:rPr>
          <w:rFonts w:eastAsia="Times New Roman" w:cs="Arial"/>
          <w:color w:val="000000"/>
          <w:szCs w:val="20"/>
          <w:lang w:val="en-US"/>
        </w:rPr>
        <w:t>Johnson</w:t>
      </w:r>
    </w:p>
    <w:p w14:paraId="63B6BF6E" w14:textId="77777777" w:rsidR="0085190A" w:rsidRPr="0085190A" w:rsidRDefault="0085190A" w:rsidP="0085190A">
      <w:pPr>
        <w:spacing w:line="240" w:lineRule="auto"/>
        <w:rPr>
          <w:rFonts w:eastAsia="Times New Roman" w:cs="Arial"/>
          <w:b/>
          <w:bCs/>
          <w:color w:val="000000"/>
          <w:szCs w:val="20"/>
          <w:lang w:eastAsia="bg-BG"/>
        </w:rPr>
      </w:pPr>
      <w:bookmarkStart w:id="3" w:name="bookmark5"/>
    </w:p>
    <w:p w14:paraId="3662FB1D" w14:textId="3FFCE3AA"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Нарушение на възпроизводителната система:</w:t>
      </w:r>
      <w:bookmarkEnd w:id="3"/>
    </w:p>
    <w:p w14:paraId="0E4847D4" w14:textId="77777777" w:rsidR="0085190A" w:rsidRPr="0085190A" w:rsidRDefault="0085190A" w:rsidP="0085190A">
      <w:pPr>
        <w:spacing w:line="240" w:lineRule="auto"/>
        <w:rPr>
          <w:rFonts w:eastAsia="Times New Roman" w:cs="Arial"/>
          <w:sz w:val="28"/>
          <w:szCs w:val="24"/>
        </w:rPr>
      </w:pPr>
      <w:r w:rsidRPr="0085190A">
        <w:rPr>
          <w:rFonts w:eastAsia="Times New Roman" w:cs="Arial"/>
          <w:b/>
          <w:color w:val="000000"/>
          <w:szCs w:val="20"/>
          <w:lang w:eastAsia="bg-BG"/>
        </w:rPr>
        <w:t>Чести</w:t>
      </w:r>
      <w:r w:rsidRPr="0085190A">
        <w:rPr>
          <w:rFonts w:eastAsia="Times New Roman" w:cs="Arial"/>
          <w:color w:val="000000"/>
          <w:szCs w:val="20"/>
          <w:lang w:eastAsia="bg-BG"/>
        </w:rPr>
        <w:t xml:space="preserve"> </w:t>
      </w:r>
      <w:r w:rsidRPr="0085190A">
        <w:rPr>
          <w:rFonts w:eastAsia="Times New Roman" w:cs="Arial"/>
          <w:b/>
          <w:color w:val="000000"/>
          <w:szCs w:val="20"/>
          <w:lang w:eastAsia="bg-BG"/>
        </w:rPr>
        <w:t>(&gt;1-100, &lt;1/10):</w:t>
      </w:r>
      <w:r w:rsidRPr="0085190A">
        <w:rPr>
          <w:rFonts w:eastAsia="Times New Roman" w:cs="Arial"/>
          <w:color w:val="000000"/>
          <w:szCs w:val="20"/>
          <w:lang w:eastAsia="bg-BG"/>
        </w:rPr>
        <w:t xml:space="preserve"> нарушена еякулация</w:t>
      </w:r>
    </w:p>
    <w:p w14:paraId="05F83DA7"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Много редки (&lt; 1/10 000) </w:t>
      </w:r>
      <w:r w:rsidRPr="0085190A">
        <w:rPr>
          <w:rFonts w:eastAsia="Times New Roman" w:cs="Arial"/>
          <w:color w:val="000000"/>
          <w:szCs w:val="20"/>
          <w:lang w:eastAsia="bg-BG"/>
        </w:rPr>
        <w:t>приапизъм</w:t>
      </w:r>
    </w:p>
    <w:p w14:paraId="1F19E898" w14:textId="77777777" w:rsidR="0085190A" w:rsidRPr="0085190A" w:rsidRDefault="0085190A" w:rsidP="0085190A">
      <w:pPr>
        <w:spacing w:line="240" w:lineRule="auto"/>
        <w:rPr>
          <w:rFonts w:eastAsia="Times New Roman" w:cs="Arial"/>
          <w:b/>
          <w:bCs/>
          <w:color w:val="000000"/>
          <w:szCs w:val="20"/>
          <w:lang w:eastAsia="bg-BG"/>
        </w:rPr>
      </w:pPr>
    </w:p>
    <w:p w14:paraId="1F61D489" w14:textId="7F98AC60"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Общи нарушения и ефекти на мястото на приложение</w:t>
      </w:r>
    </w:p>
    <w:p w14:paraId="04D1C922" w14:textId="77777777" w:rsidR="0085190A" w:rsidRPr="0085190A" w:rsidRDefault="0085190A" w:rsidP="0085190A">
      <w:pPr>
        <w:spacing w:line="240" w:lineRule="auto"/>
        <w:rPr>
          <w:rFonts w:eastAsia="Times New Roman" w:cs="Arial"/>
          <w:sz w:val="28"/>
          <w:szCs w:val="24"/>
        </w:rPr>
      </w:pPr>
      <w:r w:rsidRPr="0085190A">
        <w:rPr>
          <w:rFonts w:eastAsia="Times New Roman" w:cs="Arial"/>
          <w:b/>
          <w:bCs/>
          <w:color w:val="000000"/>
          <w:szCs w:val="20"/>
          <w:lang w:eastAsia="bg-BG"/>
        </w:rPr>
        <w:t xml:space="preserve">Невести (1/1000, &lt;1/100) </w:t>
      </w:r>
      <w:r w:rsidRPr="0085190A">
        <w:rPr>
          <w:rFonts w:eastAsia="Times New Roman" w:cs="Arial"/>
          <w:color w:val="000000"/>
          <w:szCs w:val="20"/>
          <w:lang w:eastAsia="bg-BG"/>
        </w:rPr>
        <w:t>астения</w:t>
      </w:r>
    </w:p>
    <w:p w14:paraId="224B8160" w14:textId="77777777" w:rsidR="0085190A" w:rsidRPr="0085190A" w:rsidRDefault="0085190A" w:rsidP="0085190A">
      <w:pPr>
        <w:spacing w:line="240" w:lineRule="auto"/>
        <w:rPr>
          <w:rFonts w:eastAsia="Times New Roman" w:cs="Arial"/>
          <w:b/>
          <w:bCs/>
          <w:color w:val="000000"/>
          <w:szCs w:val="20"/>
          <w:lang w:eastAsia="bg-BG"/>
        </w:rPr>
      </w:pPr>
    </w:p>
    <w:p w14:paraId="67CB268D" w14:textId="77777777" w:rsidR="0085190A" w:rsidRPr="0085190A" w:rsidRDefault="0085190A" w:rsidP="0085190A">
      <w:pPr>
        <w:spacing w:line="240" w:lineRule="auto"/>
        <w:rPr>
          <w:rFonts w:eastAsia="Times New Roman" w:cs="Arial"/>
          <w:color w:val="000000"/>
          <w:szCs w:val="20"/>
          <w:lang w:eastAsia="bg-BG"/>
        </w:rPr>
      </w:pPr>
      <w:r w:rsidRPr="0085190A">
        <w:rPr>
          <w:rFonts w:eastAsia="Times New Roman" w:cs="Arial"/>
          <w:b/>
          <w:bCs/>
          <w:color w:val="000000"/>
          <w:szCs w:val="20"/>
          <w:lang w:eastAsia="bg-BG"/>
        </w:rPr>
        <w:t xml:space="preserve">Нарушения на очите: </w:t>
      </w:r>
      <w:r w:rsidRPr="0085190A">
        <w:rPr>
          <w:rFonts w:eastAsia="Times New Roman" w:cs="Arial"/>
          <w:color w:val="000000"/>
          <w:szCs w:val="20"/>
          <w:lang w:eastAsia="bg-BG"/>
        </w:rPr>
        <w:t xml:space="preserve">по време на операции за катаракта състоянието на малката зеница, известно като </w:t>
      </w:r>
    </w:p>
    <w:p w14:paraId="7F1DC6A2" w14:textId="45AF0E7A"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Интраоперативен Флопи Ирис Синдром (ИФИС) се е свързвало с терапия с тамсулозин по време на пост-маркетинговото наблюдение (вижте точка 4.4).</w:t>
      </w:r>
    </w:p>
    <w:p w14:paraId="55CDB5C2" w14:textId="77777777" w:rsidR="0085190A" w:rsidRPr="0085190A" w:rsidRDefault="0085190A" w:rsidP="0085190A">
      <w:pPr>
        <w:spacing w:line="240" w:lineRule="auto"/>
        <w:rPr>
          <w:rFonts w:eastAsia="Times New Roman" w:cs="Arial"/>
          <w:color w:val="000000"/>
          <w:szCs w:val="20"/>
          <w:lang w:eastAsia="bg-BG"/>
        </w:rPr>
      </w:pPr>
    </w:p>
    <w:p w14:paraId="345A3847" w14:textId="7792CCF4"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Допълнително към нежеланите реакции описани по-горе във връзка с приложението на тамсулозин са съобщени: предсърдно трептене, аритмия, тахикардия и дисплея.</w:t>
      </w:r>
    </w:p>
    <w:p w14:paraId="042DC65A"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Честотата на реакциите и ролята на тамсулозина за причиняването им не е определено точно.</w:t>
      </w:r>
    </w:p>
    <w:p w14:paraId="35428EE1" w14:textId="77777777" w:rsidR="0085190A" w:rsidRPr="0085190A" w:rsidRDefault="0085190A" w:rsidP="0085190A"/>
    <w:p w14:paraId="0A023CE0" w14:textId="4ECD8E6B" w:rsidR="00CF77F7" w:rsidRDefault="002C50EE" w:rsidP="004A448E">
      <w:pPr>
        <w:pStyle w:val="Heading2"/>
      </w:pPr>
      <w:r>
        <w:t>4.9. Предозиране</w:t>
      </w:r>
    </w:p>
    <w:p w14:paraId="3EDD7A5C" w14:textId="51ABECF1" w:rsidR="0085190A" w:rsidRDefault="0085190A" w:rsidP="0085190A"/>
    <w:p w14:paraId="5C4B0A43" w14:textId="77777777" w:rsidR="0085190A" w:rsidRPr="0085190A" w:rsidRDefault="0085190A" w:rsidP="0085190A">
      <w:pPr>
        <w:rPr>
          <w:sz w:val="24"/>
          <w:szCs w:val="24"/>
        </w:rPr>
      </w:pPr>
      <w:r w:rsidRPr="0085190A">
        <w:rPr>
          <w:lang w:eastAsia="bg-BG"/>
        </w:rPr>
        <w:t>Няма съобщения за остро предозиране. Теоретично след предозиране може да се наблюдава хипотония. В такъв случай е необходимо да се стабилизира сърдечно</w:t>
      </w:r>
      <w:r w:rsidRPr="0085190A">
        <w:rPr>
          <w:lang w:eastAsia="bg-BG"/>
        </w:rPr>
        <w:softHyphen/>
        <w:t>съдовата система. Кръвното налягане и сърдечната честота се нормализират след поставяне на пациента в легнало положение. Ако това не помогне се прилагат обемни заместители и при нужда вазопресори. Бъбречната функция трябва да се мониторира и да се приложат общоподдьржащи мерки. Тамсулозин се свързва с плазмените протеини до 99%, което показва, че диализата не би могла да бъде полезна.</w:t>
      </w:r>
    </w:p>
    <w:p w14:paraId="4BADCB5E" w14:textId="45D58D86" w:rsidR="0085190A" w:rsidRPr="0085190A" w:rsidRDefault="0085190A" w:rsidP="0085190A">
      <w:r w:rsidRPr="0085190A">
        <w:rPr>
          <w:lang w:eastAsia="bg-BG"/>
        </w:rPr>
        <w:t>При предозиране, за да се намали резорбцията, могат да се вземат мерки за предизвикване на повръщане. При прием на големи количества тамсулозин се прилага стомашна промивка с активен въглен и осмотични слабителни средства.</w:t>
      </w:r>
    </w:p>
    <w:p w14:paraId="02081B24" w14:textId="14A7EA6A" w:rsidR="00395555" w:rsidRDefault="002C50EE" w:rsidP="008A6AF2">
      <w:pPr>
        <w:pStyle w:val="Heading1"/>
      </w:pPr>
      <w:r>
        <w:t>5. ФАРМАКОЛОГИЧНИ СВОЙСТВА</w:t>
      </w:r>
    </w:p>
    <w:p w14:paraId="08D8AB18" w14:textId="7B286F3D" w:rsidR="0085190A" w:rsidRDefault="0085190A" w:rsidP="0085190A"/>
    <w:p w14:paraId="16DCF73B"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Фармакотерапевтична група-алфа 1-адренергичен антагонист.</w:t>
      </w:r>
    </w:p>
    <w:p w14:paraId="36054E87"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 xml:space="preserve">АТС код </w:t>
      </w:r>
      <w:r w:rsidRPr="0085190A">
        <w:rPr>
          <w:rFonts w:eastAsia="Times New Roman" w:cs="Arial"/>
          <w:color w:val="000000"/>
          <w:lang w:val="en-US"/>
        </w:rPr>
        <w:t>G</w:t>
      </w:r>
      <w:r w:rsidRPr="0085190A">
        <w:rPr>
          <w:rFonts w:eastAsia="Times New Roman" w:cs="Arial"/>
          <w:color w:val="000000"/>
          <w:lang w:val="ru-RU"/>
        </w:rPr>
        <w:t>04</w:t>
      </w:r>
      <w:r w:rsidRPr="0085190A">
        <w:rPr>
          <w:rFonts w:eastAsia="Times New Roman" w:cs="Arial"/>
          <w:color w:val="000000"/>
          <w:lang w:val="en-US"/>
        </w:rPr>
        <w:t>CA</w:t>
      </w:r>
      <w:r w:rsidRPr="0085190A">
        <w:rPr>
          <w:rFonts w:eastAsia="Times New Roman" w:cs="Arial"/>
          <w:color w:val="000000"/>
          <w:lang w:val="ru-RU"/>
        </w:rPr>
        <w:t>02</w:t>
      </w:r>
    </w:p>
    <w:p w14:paraId="04A25E73" w14:textId="77777777" w:rsidR="0085190A" w:rsidRPr="0085190A" w:rsidRDefault="0085190A" w:rsidP="0085190A">
      <w:pPr>
        <w:spacing w:line="240" w:lineRule="auto"/>
        <w:rPr>
          <w:rFonts w:eastAsia="Times New Roman" w:cs="Arial"/>
          <w:i/>
          <w:iCs/>
          <w:color w:val="000000"/>
          <w:lang w:eastAsia="bg-BG"/>
        </w:rPr>
      </w:pPr>
    </w:p>
    <w:p w14:paraId="640E073D" w14:textId="77777777" w:rsidR="0085190A" w:rsidRPr="0085190A" w:rsidRDefault="0085190A" w:rsidP="0085190A">
      <w:pPr>
        <w:spacing w:line="240" w:lineRule="auto"/>
        <w:rPr>
          <w:rFonts w:eastAsia="Times New Roman" w:cs="Arial"/>
        </w:rPr>
      </w:pPr>
      <w:r w:rsidRPr="0085190A">
        <w:rPr>
          <w:rFonts w:eastAsia="Times New Roman" w:cs="Arial"/>
          <w:i/>
          <w:iCs/>
          <w:color w:val="000000"/>
          <w:lang w:eastAsia="bg-BG"/>
        </w:rPr>
        <w:t>Механизъм на действие</w:t>
      </w:r>
    </w:p>
    <w:p w14:paraId="0938A879" w14:textId="77777777" w:rsidR="0085190A" w:rsidRPr="0085190A" w:rsidRDefault="0085190A" w:rsidP="0085190A">
      <w:pPr>
        <w:rPr>
          <w:rFonts w:eastAsia="Times New Roman" w:cs="Arial"/>
        </w:rPr>
      </w:pPr>
      <w:r w:rsidRPr="0085190A">
        <w:rPr>
          <w:rFonts w:eastAsia="Times New Roman" w:cs="Arial"/>
          <w:color w:val="000000"/>
          <w:lang w:eastAsia="bg-BG"/>
        </w:rPr>
        <w:lastRenderedPageBreak/>
        <w:t>Симптомите, съпътстващи ДХП са свързани с обструкция на отвора на пикочния мехур, която са състои от два компонента - статичен и динамичен. Статичният компонент е свързан с нарастване размера на простатата, предизвикано от пролиферацията на стромата на простатата. Тежестта на симптомите на ДХП и степента на обструкцията на уретрата не съответства с големината на простатат</w:t>
      </w:r>
      <w:r w:rsidRPr="0085190A">
        <w:rPr>
          <w:rFonts w:eastAsia="Times New Roman" w:cs="Arial"/>
          <w:color w:val="000000"/>
          <w:lang w:val="en-US"/>
        </w:rPr>
        <w:t>a</w:t>
      </w:r>
      <w:r w:rsidRPr="0085190A">
        <w:rPr>
          <w:rFonts w:eastAsia="Times New Roman" w:cs="Arial"/>
          <w:color w:val="000000"/>
          <w:lang w:val="ru-RU"/>
        </w:rPr>
        <w:t>.</w:t>
      </w:r>
      <w:r w:rsidRPr="0085190A">
        <w:rPr>
          <w:rFonts w:eastAsia="Times New Roman" w:cs="Arial"/>
          <w:color w:val="000000"/>
          <w:lang w:eastAsia="bg-BG"/>
        </w:rPr>
        <w:t xml:space="preserve"> Динамичният компонент </w:t>
      </w:r>
      <w:r w:rsidRPr="0085190A">
        <w:rPr>
          <w:rFonts w:eastAsia="Times New Roman" w:cs="Arial"/>
          <w:color w:val="000000"/>
          <w:lang w:val="en-US"/>
        </w:rPr>
        <w:t>e</w:t>
      </w:r>
      <w:r w:rsidRPr="0085190A">
        <w:rPr>
          <w:rFonts w:eastAsia="Times New Roman" w:cs="Arial"/>
          <w:color w:val="000000"/>
          <w:lang w:eastAsia="bg-BG"/>
        </w:rPr>
        <w:t xml:space="preserve"> функция на повишаване на гладкомускулния тону</w:t>
      </w:r>
      <w:r w:rsidRPr="0085190A">
        <w:rPr>
          <w:rFonts w:eastAsia="Times New Roman" w:cs="Arial"/>
          <w:color w:val="000000"/>
          <w:lang w:val="en-US"/>
        </w:rPr>
        <w:t>s</w:t>
      </w:r>
      <w:r w:rsidRPr="0085190A">
        <w:rPr>
          <w:rFonts w:eastAsia="Times New Roman" w:cs="Arial"/>
          <w:color w:val="000000"/>
          <w:lang w:val="ru-RU"/>
        </w:rPr>
        <w:t xml:space="preserve"> </w:t>
      </w:r>
      <w:proofErr w:type="spellStart"/>
      <w:r w:rsidRPr="0085190A">
        <w:rPr>
          <w:rFonts w:eastAsia="Times New Roman" w:cs="Arial"/>
          <w:color w:val="000000"/>
          <w:lang w:val="en-US"/>
        </w:rPr>
        <w:t>na</w:t>
      </w:r>
      <w:proofErr w:type="spellEnd"/>
      <w:r w:rsidRPr="0085190A">
        <w:rPr>
          <w:rFonts w:eastAsia="Times New Roman" w:cs="Arial"/>
          <w:color w:val="000000"/>
          <w:lang w:eastAsia="bg-BG"/>
        </w:rPr>
        <w:t xml:space="preserve"> простатата и шийката на пикочния мехур, водещи да стеснение на отвора</w:t>
      </w:r>
      <w:r w:rsidRPr="0085190A">
        <w:rPr>
          <w:rFonts w:eastAsia="Times New Roman" w:cs="Arial"/>
          <w:color w:val="000000"/>
          <w:lang w:val="ru-RU"/>
        </w:rPr>
        <w:t xml:space="preserve"> </w:t>
      </w:r>
      <w:r w:rsidRPr="0085190A">
        <w:rPr>
          <w:rFonts w:eastAsia="Times New Roman" w:cs="Arial"/>
          <w:color w:val="000000"/>
          <w:lang w:eastAsia="bg-BG"/>
        </w:rPr>
        <w:t>на последния. Гладкомускулният тонус е медииран от стимулация на алфа адренорецепторите които</w:t>
      </w:r>
      <w:r w:rsidRPr="0085190A">
        <w:rPr>
          <w:rFonts w:eastAsia="Times New Roman" w:cs="Arial"/>
          <w:color w:val="000000"/>
          <w:lang w:val="ru-RU" w:eastAsia="bg-BG"/>
        </w:rPr>
        <w:t xml:space="preserve"> </w:t>
      </w:r>
      <w:r w:rsidRPr="0085190A">
        <w:rPr>
          <w:rFonts w:eastAsia="Times New Roman" w:cs="Arial"/>
          <w:color w:val="000000"/>
          <w:lang w:eastAsia="bg-BG"/>
        </w:rPr>
        <w:t>се разполагат в капсулата на простатата, простатната част на уретрата и шийката на пикочния мехур.</w:t>
      </w:r>
    </w:p>
    <w:p w14:paraId="5DA3E05A"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 xml:space="preserve">Блокирането на тези рецептори може да предизвика релаксация на гладкомускулниге влакна в шийката на мехура </w:t>
      </w:r>
      <w:r w:rsidRPr="0085190A">
        <w:rPr>
          <w:rFonts w:eastAsia="Times New Roman" w:cs="Arial"/>
          <w:i/>
          <w:iCs/>
          <w:color w:val="000000"/>
          <w:lang w:eastAsia="bg-BG"/>
        </w:rPr>
        <w:t>и</w:t>
      </w:r>
      <w:r w:rsidRPr="0085190A">
        <w:rPr>
          <w:rFonts w:eastAsia="Times New Roman" w:cs="Arial"/>
          <w:color w:val="000000"/>
          <w:lang w:eastAsia="bg-BG"/>
        </w:rPr>
        <w:t xml:space="preserve"> простатата и води до подобряване на симптомите на изпразване и увеличаване на максималния уринарен поток.</w:t>
      </w:r>
    </w:p>
    <w:p w14:paraId="72E2D7F3"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 xml:space="preserve">Тамсолузин се свързва избирателно и конкурентно с алфа 1-рецепторите постсинаптично, по-специално с алфа 1А и алфа </w:t>
      </w:r>
      <w:r w:rsidRPr="0085190A">
        <w:rPr>
          <w:rFonts w:eastAsia="Times New Roman" w:cs="Arial"/>
          <w:color w:val="000000"/>
          <w:lang w:val="ru-RU"/>
        </w:rPr>
        <w:t>1</w:t>
      </w:r>
      <w:r w:rsidRPr="0085190A">
        <w:rPr>
          <w:rFonts w:eastAsia="Times New Roman" w:cs="Arial"/>
          <w:color w:val="000000"/>
          <w:lang w:val="en-US"/>
        </w:rPr>
        <w:t>D</w:t>
      </w:r>
      <w:r w:rsidRPr="0085190A">
        <w:rPr>
          <w:rFonts w:eastAsia="Times New Roman" w:cs="Arial"/>
          <w:color w:val="000000"/>
          <w:lang w:val="ru-RU"/>
        </w:rPr>
        <w:t xml:space="preserve">. </w:t>
      </w:r>
      <w:r w:rsidRPr="0085190A">
        <w:rPr>
          <w:rFonts w:eastAsia="Times New Roman" w:cs="Arial"/>
          <w:color w:val="000000"/>
          <w:lang w:eastAsia="bg-BG"/>
        </w:rPr>
        <w:t>В резултат на това свързване се наблюдава отпускане на гладката мускулатура на простатата и уретрата и подобряване на симптомите на ДХП.</w:t>
      </w:r>
    </w:p>
    <w:p w14:paraId="03837DC4"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Идентифицирани са най-малко три алфа 1 подтипа: алфа-1А; алфа-1В и алфа</w:t>
      </w:r>
      <w:r w:rsidRPr="0085190A">
        <w:rPr>
          <w:rFonts w:eastAsia="Times New Roman" w:cs="Arial"/>
          <w:color w:val="000000"/>
          <w:lang w:val="ru-RU"/>
        </w:rPr>
        <w:t>-1</w:t>
      </w:r>
      <w:r w:rsidRPr="0085190A">
        <w:rPr>
          <w:rFonts w:eastAsia="Times New Roman" w:cs="Arial"/>
          <w:color w:val="000000"/>
          <w:lang w:val="en-US"/>
        </w:rPr>
        <w:t>D</w:t>
      </w:r>
      <w:r w:rsidRPr="0085190A">
        <w:rPr>
          <w:rFonts w:eastAsia="Times New Roman" w:cs="Arial"/>
          <w:color w:val="000000"/>
          <w:lang w:val="ru-RU"/>
        </w:rPr>
        <w:t>.</w:t>
      </w:r>
    </w:p>
    <w:p w14:paraId="667C7EAD"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Тяхното разпределение се различава в човешките органи и тъкани. Приблизително 70% от алфа рецепторите в простатата на човека са от алфа 1А подтип.</w:t>
      </w:r>
    </w:p>
    <w:p w14:paraId="51148EB6" w14:textId="77777777" w:rsidR="0085190A" w:rsidRPr="0085190A" w:rsidRDefault="0085190A" w:rsidP="0085190A">
      <w:pPr>
        <w:spacing w:line="240" w:lineRule="auto"/>
        <w:rPr>
          <w:rFonts w:eastAsia="Times New Roman" w:cs="Arial"/>
        </w:rPr>
      </w:pPr>
      <w:r w:rsidRPr="0085190A">
        <w:rPr>
          <w:rFonts w:eastAsia="Times New Roman" w:cs="Arial"/>
          <w:color w:val="000000"/>
          <w:lang w:eastAsia="bg-BG"/>
        </w:rPr>
        <w:t>Ефектът върху симптомите на ДХП се подържа при дългосрочна терапия с тамсулозин. Необходимостта от хирургична намеса или катетиризация се отлага.</w:t>
      </w:r>
    </w:p>
    <w:p w14:paraId="1CB3AA1F" w14:textId="77777777" w:rsidR="0085190A" w:rsidRPr="0085190A" w:rsidRDefault="0085190A" w:rsidP="0085190A">
      <w:pPr>
        <w:rPr>
          <w:rFonts w:eastAsia="Times New Roman" w:cs="Arial"/>
          <w:color w:val="000000"/>
          <w:lang w:eastAsia="bg-BG"/>
        </w:rPr>
      </w:pPr>
      <w:r w:rsidRPr="0085190A">
        <w:rPr>
          <w:rFonts w:eastAsia="Times New Roman" w:cs="Arial"/>
          <w:color w:val="000000"/>
          <w:lang w:eastAsia="bg-BG"/>
        </w:rPr>
        <w:t xml:space="preserve">Алфа 1 блокерите могат да понижат кръвното налягане чрез намаляване на периферното съпротивление. При проведените клинични изпитвания с тамсолузин 0,4 </w:t>
      </w:r>
      <w:r w:rsidRPr="0085190A">
        <w:rPr>
          <w:rFonts w:eastAsia="Times New Roman" w:cs="Arial"/>
          <w:color w:val="000000"/>
          <w:lang w:val="en-US"/>
        </w:rPr>
        <w:t>mg</w:t>
      </w:r>
      <w:r w:rsidRPr="0085190A">
        <w:rPr>
          <w:rFonts w:eastAsia="Times New Roman" w:cs="Arial"/>
          <w:color w:val="000000"/>
          <w:lang w:val="ru-RU"/>
        </w:rPr>
        <w:t xml:space="preserve">. </w:t>
      </w:r>
      <w:r w:rsidRPr="0085190A">
        <w:rPr>
          <w:rFonts w:eastAsia="Times New Roman" w:cs="Arial"/>
          <w:color w:val="000000"/>
          <w:lang w:eastAsia="bg-BG"/>
        </w:rPr>
        <w:t>не е наблюдавано, понижение на кръвното налягане с клинично значение. Уримакс не е предназначен за лечение на хипертония.</w:t>
      </w:r>
    </w:p>
    <w:p w14:paraId="594067DA" w14:textId="77777777" w:rsidR="0085190A" w:rsidRPr="0085190A" w:rsidRDefault="0085190A" w:rsidP="0085190A"/>
    <w:p w14:paraId="32B6DE66" w14:textId="1BC4099B" w:rsidR="00CF77F7" w:rsidRDefault="002C50EE" w:rsidP="004A448E">
      <w:pPr>
        <w:pStyle w:val="Heading2"/>
      </w:pPr>
      <w:r>
        <w:t>5.1. Фармакодинамични свойства</w:t>
      </w:r>
    </w:p>
    <w:p w14:paraId="4AB144C4" w14:textId="0DA7FBA8" w:rsidR="0085190A" w:rsidRDefault="0085190A" w:rsidP="0085190A"/>
    <w:p w14:paraId="55540A23" w14:textId="77777777" w:rsidR="0085190A" w:rsidRPr="0085190A" w:rsidRDefault="0085190A" w:rsidP="0085190A">
      <w:pPr>
        <w:pStyle w:val="Heading3"/>
        <w:rPr>
          <w:rFonts w:eastAsia="Times New Roman"/>
          <w:i/>
          <w:sz w:val="28"/>
        </w:rPr>
      </w:pPr>
      <w:r w:rsidRPr="0085190A">
        <w:rPr>
          <w:rFonts w:eastAsia="Times New Roman"/>
          <w:i/>
          <w:lang w:eastAsia="bg-BG"/>
        </w:rPr>
        <w:t>Резорбция:</w:t>
      </w:r>
    </w:p>
    <w:p w14:paraId="1415BA68"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 xml:space="preserve">Тамсулозин се резорбира в тънките черва при запазена биологична активност. Резорбцията е еднаква при прием на тамсулозин по едно и също време след хранене. Тамсулозин показва линейна кинетика. След прием на единична доза тамсулозин 0,4 </w:t>
      </w:r>
      <w:r w:rsidRPr="0085190A">
        <w:rPr>
          <w:rFonts w:eastAsia="Times New Roman" w:cs="Arial"/>
          <w:color w:val="000000"/>
          <w:szCs w:val="20"/>
          <w:lang w:val="en-US"/>
        </w:rPr>
        <w:t>mg</w:t>
      </w:r>
      <w:r w:rsidRPr="0085190A">
        <w:rPr>
          <w:rFonts w:eastAsia="Times New Roman" w:cs="Arial"/>
          <w:color w:val="000000"/>
          <w:szCs w:val="20"/>
          <w:lang w:val="ru-RU"/>
        </w:rPr>
        <w:t xml:space="preserve"> </w:t>
      </w:r>
      <w:r w:rsidRPr="0085190A">
        <w:rPr>
          <w:rFonts w:eastAsia="Times New Roman" w:cs="Arial"/>
          <w:color w:val="000000"/>
          <w:szCs w:val="20"/>
          <w:lang w:eastAsia="bg-BG"/>
        </w:rPr>
        <w:t xml:space="preserve">след ядене, максималната плазмена концентрация се достига за </w:t>
      </w:r>
      <w:r w:rsidRPr="0085190A">
        <w:rPr>
          <w:rFonts w:eastAsia="Times New Roman" w:cs="Arial"/>
          <w:i/>
          <w:iCs/>
          <w:color w:val="000000"/>
          <w:szCs w:val="20"/>
          <w:lang w:eastAsia="bg-BG"/>
        </w:rPr>
        <w:t>6</w:t>
      </w:r>
      <w:r w:rsidRPr="0085190A">
        <w:rPr>
          <w:rFonts w:eastAsia="Times New Roman" w:cs="Arial"/>
          <w:color w:val="000000"/>
          <w:szCs w:val="20"/>
          <w:lang w:eastAsia="bg-BG"/>
        </w:rPr>
        <w:t xml:space="preserve"> ч., равновесната плазмена концентрация се постига на 5-ия ден, С</w:t>
      </w:r>
      <w:r w:rsidRPr="0085190A">
        <w:rPr>
          <w:rFonts w:eastAsia="Times New Roman" w:cs="Arial"/>
          <w:color w:val="000000"/>
          <w:szCs w:val="20"/>
          <w:lang w:val="en-US"/>
        </w:rPr>
        <w:t>max</w:t>
      </w:r>
      <w:r w:rsidRPr="0085190A">
        <w:rPr>
          <w:rFonts w:eastAsia="Times New Roman" w:cs="Arial"/>
          <w:color w:val="000000"/>
          <w:szCs w:val="20"/>
          <w:lang w:eastAsia="bg-BG"/>
        </w:rPr>
        <w:t xml:space="preserve"> при пациентите е около две трети по-висока от достигнатата след единичен прием. Независимо, че това се наблюдава при възрастни пациенти, може да се очаква същия ефект и при по-млади индивиди. Има значителни индивидуални различия в плазмените нива след еднократен и след многократен прием.</w:t>
      </w:r>
    </w:p>
    <w:p w14:paraId="232AF336" w14:textId="77777777" w:rsidR="0085190A" w:rsidRPr="0085190A" w:rsidRDefault="0085190A" w:rsidP="0085190A">
      <w:pPr>
        <w:spacing w:line="240" w:lineRule="auto"/>
        <w:rPr>
          <w:rFonts w:eastAsia="Times New Roman" w:cs="Arial"/>
          <w:i/>
          <w:iCs/>
          <w:color w:val="000000"/>
          <w:szCs w:val="20"/>
          <w:lang w:eastAsia="bg-BG"/>
        </w:rPr>
      </w:pPr>
    </w:p>
    <w:p w14:paraId="209CEB85" w14:textId="67221FCD" w:rsidR="0085190A" w:rsidRPr="0085190A" w:rsidRDefault="0085190A" w:rsidP="0085190A">
      <w:pPr>
        <w:pStyle w:val="Heading3"/>
        <w:rPr>
          <w:rFonts w:eastAsia="Times New Roman"/>
          <w:i/>
          <w:sz w:val="28"/>
        </w:rPr>
      </w:pPr>
      <w:r w:rsidRPr="0085190A">
        <w:rPr>
          <w:rFonts w:eastAsia="Times New Roman"/>
          <w:i/>
          <w:lang w:eastAsia="bg-BG"/>
        </w:rPr>
        <w:t>Разпределение:</w:t>
      </w:r>
    </w:p>
    <w:p w14:paraId="3F040896"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 xml:space="preserve">Тамсулозин се свързва с плазмените протеини до 99%. Обемът на разпределение е около </w:t>
      </w:r>
      <w:r w:rsidRPr="0085190A">
        <w:rPr>
          <w:rFonts w:eastAsia="Times New Roman" w:cs="Arial"/>
          <w:color w:val="000000"/>
          <w:szCs w:val="20"/>
          <w:lang w:val="ru-RU"/>
        </w:rPr>
        <w:t>0,2</w:t>
      </w:r>
      <w:r w:rsidRPr="0085190A">
        <w:rPr>
          <w:rFonts w:eastAsia="Times New Roman" w:cs="Arial"/>
          <w:color w:val="000000"/>
          <w:szCs w:val="20"/>
          <w:lang w:val="en-US"/>
        </w:rPr>
        <w:t>L</w:t>
      </w:r>
      <w:r w:rsidRPr="0085190A">
        <w:rPr>
          <w:rFonts w:eastAsia="Times New Roman" w:cs="Arial"/>
          <w:color w:val="000000"/>
          <w:szCs w:val="20"/>
          <w:lang w:val="ru-RU"/>
        </w:rPr>
        <w:t>/</w:t>
      </w:r>
      <w:r w:rsidRPr="0085190A">
        <w:rPr>
          <w:rFonts w:eastAsia="Times New Roman" w:cs="Arial"/>
          <w:color w:val="000000"/>
          <w:szCs w:val="20"/>
          <w:lang w:val="en-US"/>
        </w:rPr>
        <w:t>kg</w:t>
      </w:r>
      <w:r w:rsidRPr="0085190A">
        <w:rPr>
          <w:rFonts w:eastAsia="Times New Roman" w:cs="Arial"/>
          <w:color w:val="000000"/>
          <w:szCs w:val="20"/>
          <w:lang w:val="ru-RU"/>
        </w:rPr>
        <w:t>.</w:t>
      </w:r>
    </w:p>
    <w:p w14:paraId="34316CA7" w14:textId="77777777" w:rsidR="0085190A" w:rsidRPr="0085190A" w:rsidRDefault="0085190A" w:rsidP="0085190A">
      <w:pPr>
        <w:spacing w:line="240" w:lineRule="auto"/>
        <w:rPr>
          <w:rFonts w:eastAsia="Times New Roman" w:cs="Arial"/>
          <w:i/>
          <w:iCs/>
          <w:color w:val="000000"/>
          <w:szCs w:val="20"/>
          <w:lang w:eastAsia="bg-BG"/>
        </w:rPr>
      </w:pPr>
    </w:p>
    <w:p w14:paraId="18CA2FF9" w14:textId="1F9F0FE4" w:rsidR="0085190A" w:rsidRPr="0085190A" w:rsidRDefault="0085190A" w:rsidP="0085190A">
      <w:pPr>
        <w:pStyle w:val="Heading3"/>
        <w:rPr>
          <w:rFonts w:eastAsia="Times New Roman"/>
          <w:i/>
          <w:sz w:val="28"/>
        </w:rPr>
      </w:pPr>
      <w:r w:rsidRPr="0085190A">
        <w:rPr>
          <w:rFonts w:eastAsia="Times New Roman"/>
          <w:i/>
          <w:lang w:eastAsia="bg-BG"/>
        </w:rPr>
        <w:t>Биотрансформация:</w:t>
      </w:r>
    </w:p>
    <w:p w14:paraId="3556E518"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Тамсулозин има слаб ефект на първо преминаване, тъй като слабо се метаболизира. В плазмата се представя като непроменено лекарствено вещество. Бавно се метаболизира в черния дроб. След многократно приложение на тамсулозин при плъхове не се установява индукция на микрозомални чернодробни ензими.</w:t>
      </w:r>
    </w:p>
    <w:p w14:paraId="619FA282"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val="en-US"/>
        </w:rPr>
        <w:lastRenderedPageBreak/>
        <w:t>In</w:t>
      </w:r>
      <w:r w:rsidRPr="0085190A">
        <w:rPr>
          <w:rFonts w:eastAsia="Times New Roman" w:cs="Arial"/>
          <w:color w:val="000000"/>
          <w:szCs w:val="20"/>
          <w:lang w:val="ru-RU"/>
        </w:rPr>
        <w:t xml:space="preserve"> </w:t>
      </w:r>
      <w:r w:rsidRPr="0085190A">
        <w:rPr>
          <w:rFonts w:eastAsia="Times New Roman" w:cs="Arial"/>
          <w:color w:val="000000"/>
          <w:szCs w:val="20"/>
          <w:lang w:val="en-US"/>
        </w:rPr>
        <w:t>vitro</w:t>
      </w:r>
      <w:r w:rsidRPr="0085190A">
        <w:rPr>
          <w:rFonts w:eastAsia="Times New Roman" w:cs="Arial"/>
          <w:color w:val="000000"/>
          <w:szCs w:val="20"/>
          <w:lang w:val="ru-RU"/>
        </w:rPr>
        <w:t xml:space="preserve"> </w:t>
      </w:r>
      <w:r w:rsidRPr="0085190A">
        <w:rPr>
          <w:rFonts w:eastAsia="Times New Roman" w:cs="Arial"/>
          <w:color w:val="000000"/>
          <w:szCs w:val="20"/>
          <w:lang w:eastAsia="bg-BG"/>
        </w:rPr>
        <w:t xml:space="preserve">резултати показват, че </w:t>
      </w:r>
      <w:r w:rsidRPr="0085190A">
        <w:rPr>
          <w:rFonts w:eastAsia="Times New Roman" w:cs="Arial"/>
          <w:color w:val="000000"/>
          <w:szCs w:val="20"/>
          <w:lang w:val="en-US"/>
        </w:rPr>
        <w:t>CYP</w:t>
      </w:r>
      <w:r w:rsidRPr="0085190A">
        <w:rPr>
          <w:rFonts w:eastAsia="Times New Roman" w:cs="Arial"/>
          <w:color w:val="000000"/>
          <w:szCs w:val="20"/>
          <w:lang w:val="ru-RU"/>
        </w:rPr>
        <w:t>3</w:t>
      </w:r>
      <w:r w:rsidRPr="0085190A">
        <w:rPr>
          <w:rFonts w:eastAsia="Times New Roman" w:cs="Arial"/>
          <w:color w:val="000000"/>
          <w:szCs w:val="20"/>
          <w:lang w:val="en-US"/>
        </w:rPr>
        <w:t>A</w:t>
      </w:r>
      <w:r w:rsidRPr="0085190A">
        <w:rPr>
          <w:rFonts w:eastAsia="Times New Roman" w:cs="Arial"/>
          <w:color w:val="000000"/>
          <w:szCs w:val="20"/>
          <w:lang w:val="ru-RU"/>
        </w:rPr>
        <w:t xml:space="preserve">4 </w:t>
      </w:r>
      <w:r w:rsidRPr="0085190A">
        <w:rPr>
          <w:rFonts w:eastAsia="Times New Roman" w:cs="Arial"/>
          <w:color w:val="000000"/>
          <w:szCs w:val="20"/>
          <w:lang w:eastAsia="bg-BG"/>
        </w:rPr>
        <w:t xml:space="preserve">както и </w:t>
      </w:r>
      <w:r w:rsidRPr="0085190A">
        <w:rPr>
          <w:rFonts w:eastAsia="Times New Roman" w:cs="Arial"/>
          <w:color w:val="000000"/>
          <w:szCs w:val="20"/>
          <w:lang w:val="en-US"/>
        </w:rPr>
        <w:t>CYP</w:t>
      </w:r>
      <w:r w:rsidRPr="0085190A">
        <w:rPr>
          <w:rFonts w:eastAsia="Times New Roman" w:cs="Arial"/>
          <w:color w:val="000000"/>
          <w:szCs w:val="20"/>
          <w:lang w:val="ru-RU"/>
        </w:rPr>
        <w:t>2</w:t>
      </w:r>
      <w:r w:rsidRPr="0085190A">
        <w:rPr>
          <w:rFonts w:eastAsia="Times New Roman" w:cs="Arial"/>
          <w:color w:val="000000"/>
          <w:szCs w:val="20"/>
          <w:lang w:val="en-US"/>
        </w:rPr>
        <w:t>D</w:t>
      </w:r>
      <w:r w:rsidRPr="0085190A">
        <w:rPr>
          <w:rFonts w:eastAsia="Times New Roman" w:cs="Arial"/>
          <w:color w:val="000000"/>
          <w:szCs w:val="20"/>
          <w:lang w:val="ru-RU"/>
        </w:rPr>
        <w:t xml:space="preserve">6 </w:t>
      </w:r>
      <w:r w:rsidRPr="0085190A">
        <w:rPr>
          <w:rFonts w:eastAsia="Times New Roman" w:cs="Arial"/>
          <w:color w:val="000000"/>
          <w:szCs w:val="20"/>
          <w:lang w:eastAsia="bg-BG"/>
        </w:rPr>
        <w:t xml:space="preserve">се включват в метаболизма с възможно минимално учасие на другите </w:t>
      </w:r>
      <w:r w:rsidRPr="0085190A">
        <w:rPr>
          <w:rFonts w:eastAsia="Times New Roman" w:cs="Arial"/>
          <w:color w:val="000000"/>
          <w:szCs w:val="20"/>
          <w:lang w:val="en-US"/>
        </w:rPr>
        <w:t>CYP</w:t>
      </w:r>
      <w:r w:rsidRPr="0085190A">
        <w:rPr>
          <w:rFonts w:eastAsia="Times New Roman" w:cs="Arial"/>
          <w:color w:val="000000"/>
          <w:szCs w:val="20"/>
          <w:lang w:val="ru-RU"/>
        </w:rPr>
        <w:t xml:space="preserve"> </w:t>
      </w:r>
      <w:r w:rsidRPr="0085190A">
        <w:rPr>
          <w:rFonts w:eastAsia="Times New Roman" w:cs="Arial"/>
          <w:color w:val="000000"/>
          <w:szCs w:val="20"/>
          <w:lang w:eastAsia="bg-BG"/>
        </w:rPr>
        <w:t xml:space="preserve">изоформи за метаболизма на тамсулозин. Инхибирането на </w:t>
      </w:r>
      <w:r w:rsidRPr="0085190A">
        <w:rPr>
          <w:rFonts w:eastAsia="Times New Roman" w:cs="Arial"/>
          <w:color w:val="000000"/>
          <w:szCs w:val="20"/>
          <w:lang w:val="en-US"/>
        </w:rPr>
        <w:t>CYP</w:t>
      </w:r>
      <w:r w:rsidRPr="0085190A">
        <w:rPr>
          <w:rFonts w:eastAsia="Times New Roman" w:cs="Arial"/>
          <w:color w:val="000000"/>
          <w:szCs w:val="20"/>
          <w:lang w:val="ru-RU"/>
        </w:rPr>
        <w:t>3</w:t>
      </w:r>
      <w:r w:rsidRPr="0085190A">
        <w:rPr>
          <w:rFonts w:eastAsia="Times New Roman" w:cs="Arial"/>
          <w:color w:val="000000"/>
          <w:szCs w:val="20"/>
          <w:lang w:val="en-US"/>
        </w:rPr>
        <w:t>A</w:t>
      </w:r>
      <w:r w:rsidRPr="0085190A">
        <w:rPr>
          <w:rFonts w:eastAsia="Times New Roman" w:cs="Arial"/>
          <w:color w:val="000000"/>
          <w:szCs w:val="20"/>
          <w:lang w:val="ru-RU"/>
        </w:rPr>
        <w:t xml:space="preserve">4 </w:t>
      </w:r>
      <w:r w:rsidRPr="0085190A">
        <w:rPr>
          <w:rFonts w:eastAsia="Times New Roman" w:cs="Arial"/>
          <w:color w:val="000000"/>
          <w:szCs w:val="20"/>
          <w:lang w:eastAsia="bg-BG"/>
        </w:rPr>
        <w:t xml:space="preserve">и </w:t>
      </w:r>
      <w:r w:rsidRPr="0085190A">
        <w:rPr>
          <w:rFonts w:eastAsia="Times New Roman" w:cs="Arial"/>
          <w:color w:val="000000"/>
          <w:szCs w:val="20"/>
          <w:lang w:val="en-US"/>
        </w:rPr>
        <w:t>CYP</w:t>
      </w:r>
      <w:r w:rsidRPr="0085190A">
        <w:rPr>
          <w:rFonts w:eastAsia="Times New Roman" w:cs="Arial"/>
          <w:color w:val="000000"/>
          <w:szCs w:val="20"/>
          <w:lang w:val="ru-RU"/>
        </w:rPr>
        <w:t>2</w:t>
      </w:r>
      <w:r w:rsidRPr="0085190A">
        <w:rPr>
          <w:rFonts w:eastAsia="Times New Roman" w:cs="Arial"/>
          <w:color w:val="000000"/>
          <w:szCs w:val="20"/>
          <w:lang w:val="en-US"/>
        </w:rPr>
        <w:t>D</w:t>
      </w:r>
      <w:r w:rsidRPr="0085190A">
        <w:rPr>
          <w:rFonts w:eastAsia="Times New Roman" w:cs="Arial"/>
          <w:color w:val="000000"/>
          <w:szCs w:val="20"/>
          <w:lang w:val="ru-RU"/>
        </w:rPr>
        <w:t xml:space="preserve">6 </w:t>
      </w:r>
      <w:r w:rsidRPr="0085190A">
        <w:rPr>
          <w:rFonts w:eastAsia="Times New Roman" w:cs="Arial"/>
          <w:color w:val="000000"/>
          <w:szCs w:val="20"/>
          <w:lang w:eastAsia="bg-BG"/>
        </w:rPr>
        <w:t>лекарство-метаболизиращи ензими може да доведе до повишена експозиция на тамсулозин (вижте точка 4.4 и 4.5).</w:t>
      </w:r>
    </w:p>
    <w:p w14:paraId="442A386F"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Метаболитите на тамсулозин запазват селективната алфа 1А и алфа1</w:t>
      </w:r>
      <w:r w:rsidRPr="0085190A">
        <w:rPr>
          <w:rFonts w:eastAsia="Times New Roman" w:cs="Arial"/>
          <w:color w:val="000000"/>
          <w:szCs w:val="20"/>
          <w:lang w:val="en-US"/>
        </w:rPr>
        <w:t>D</w:t>
      </w:r>
      <w:r w:rsidRPr="0085190A">
        <w:rPr>
          <w:rFonts w:eastAsia="Times New Roman" w:cs="Arial"/>
          <w:color w:val="000000"/>
          <w:szCs w:val="20"/>
          <w:lang w:eastAsia="bg-BG"/>
        </w:rPr>
        <w:t xml:space="preserve"> активност, но са много по-слабо ефективни в сравнение с изходното съединение. Тези метаболити претърпяват конюгиране до глюкорониди или сулфати преди ренална екскреция.</w:t>
      </w:r>
    </w:p>
    <w:p w14:paraId="22C3C0AF" w14:textId="206908F3" w:rsidR="0085190A" w:rsidRDefault="0085190A" w:rsidP="0085190A">
      <w:pPr>
        <w:spacing w:line="240" w:lineRule="auto"/>
        <w:rPr>
          <w:rFonts w:eastAsia="Times New Roman" w:cs="Arial"/>
          <w:color w:val="000000"/>
          <w:szCs w:val="20"/>
          <w:lang w:eastAsia="bg-BG"/>
        </w:rPr>
      </w:pPr>
      <w:r w:rsidRPr="0085190A">
        <w:rPr>
          <w:rFonts w:eastAsia="Times New Roman" w:cs="Arial"/>
          <w:color w:val="000000"/>
          <w:szCs w:val="20"/>
          <w:lang w:eastAsia="bg-BG"/>
        </w:rPr>
        <w:t>При чернодробно увреждане не се налага корекция на дозата.</w:t>
      </w:r>
    </w:p>
    <w:p w14:paraId="78890B5F" w14:textId="77777777" w:rsidR="0085190A" w:rsidRPr="0085190A" w:rsidRDefault="0085190A" w:rsidP="0085190A">
      <w:pPr>
        <w:spacing w:line="240" w:lineRule="auto"/>
        <w:rPr>
          <w:rFonts w:eastAsia="Times New Roman" w:cs="Arial"/>
          <w:sz w:val="28"/>
          <w:szCs w:val="24"/>
        </w:rPr>
      </w:pPr>
    </w:p>
    <w:p w14:paraId="4AC3C28E" w14:textId="77777777" w:rsidR="0085190A" w:rsidRPr="0085190A" w:rsidRDefault="0085190A" w:rsidP="0085190A">
      <w:pPr>
        <w:pStyle w:val="Heading3"/>
        <w:rPr>
          <w:rFonts w:eastAsia="Times New Roman"/>
          <w:i/>
          <w:sz w:val="28"/>
        </w:rPr>
      </w:pPr>
      <w:r w:rsidRPr="0085190A">
        <w:rPr>
          <w:rFonts w:eastAsia="Times New Roman"/>
          <w:i/>
          <w:lang w:eastAsia="bg-BG"/>
        </w:rPr>
        <w:t>Елиминиране</w:t>
      </w:r>
    </w:p>
    <w:p w14:paraId="530B9847"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След единична доза на тамсулозин 0.4,</w:t>
      </w:r>
      <w:r w:rsidRPr="0085190A">
        <w:rPr>
          <w:rFonts w:eastAsia="Times New Roman" w:cs="Arial"/>
          <w:color w:val="000000"/>
          <w:szCs w:val="20"/>
          <w:lang w:val="en-US"/>
        </w:rPr>
        <w:t>mg</w:t>
      </w:r>
      <w:r w:rsidRPr="0085190A">
        <w:rPr>
          <w:rFonts w:eastAsia="Times New Roman" w:cs="Arial"/>
          <w:color w:val="000000"/>
          <w:szCs w:val="20"/>
          <w:lang w:val="ru-RU"/>
        </w:rPr>
        <w:t xml:space="preserve"> </w:t>
      </w:r>
      <w:r w:rsidRPr="0085190A">
        <w:rPr>
          <w:rFonts w:eastAsia="Times New Roman" w:cs="Arial"/>
          <w:color w:val="000000"/>
          <w:szCs w:val="20"/>
          <w:lang w:eastAsia="bg-BG"/>
        </w:rPr>
        <w:t>във фазата на насищане и в равновесно състояние, времето за полуелиминиране е около 10ч. или съответно 13ч.</w:t>
      </w:r>
    </w:p>
    <w:p w14:paraId="7EDDBBB3" w14:textId="77777777" w:rsidR="0085190A" w:rsidRPr="0085190A" w:rsidRDefault="0085190A" w:rsidP="0085190A">
      <w:pPr>
        <w:spacing w:line="240" w:lineRule="auto"/>
        <w:rPr>
          <w:rFonts w:eastAsia="Times New Roman" w:cs="Arial"/>
          <w:sz w:val="28"/>
          <w:szCs w:val="24"/>
        </w:rPr>
      </w:pPr>
      <w:r w:rsidRPr="0085190A">
        <w:rPr>
          <w:rFonts w:eastAsia="Times New Roman" w:cs="Arial"/>
          <w:color w:val="000000"/>
          <w:szCs w:val="20"/>
          <w:lang w:eastAsia="bg-BG"/>
        </w:rPr>
        <w:t>Тамсулозин се екскретира главно с урината (76%) и по-малко с изпражненията (21%) за 168 ч.</w:t>
      </w:r>
    </w:p>
    <w:p w14:paraId="006E1774" w14:textId="1B76AF0D" w:rsidR="0085190A" w:rsidRPr="0085190A" w:rsidRDefault="0085190A" w:rsidP="0085190A">
      <w:r w:rsidRPr="0085190A">
        <w:rPr>
          <w:rFonts w:eastAsia="Times New Roman" w:cs="Arial"/>
          <w:color w:val="000000"/>
          <w:szCs w:val="20"/>
          <w:lang w:eastAsia="bg-BG"/>
        </w:rPr>
        <w:t>Наличието на бъбречно увреждане не налага промяна в дозата.</w:t>
      </w:r>
    </w:p>
    <w:p w14:paraId="7ECA7F72" w14:textId="77777777" w:rsidR="0085190A" w:rsidRDefault="0085190A" w:rsidP="004A448E">
      <w:pPr>
        <w:pStyle w:val="Heading2"/>
        <w:rPr>
          <w:rFonts w:eastAsiaTheme="minorHAnsi" w:cstheme="minorBidi"/>
          <w:color w:val="auto"/>
          <w:sz w:val="22"/>
          <w:szCs w:val="22"/>
          <w:lang w:val="ru-RU"/>
        </w:rPr>
      </w:pPr>
    </w:p>
    <w:p w14:paraId="648E39DA" w14:textId="39882AD5" w:rsidR="00CF77F7" w:rsidRDefault="002C50EE" w:rsidP="004A448E">
      <w:pPr>
        <w:pStyle w:val="Heading2"/>
      </w:pPr>
      <w:r>
        <w:t>5.3. Предклинични данни за безопасност</w:t>
      </w:r>
    </w:p>
    <w:p w14:paraId="37DFFA7B" w14:textId="26991701" w:rsidR="0085190A" w:rsidRDefault="0085190A" w:rsidP="0085190A"/>
    <w:p w14:paraId="1697E3A8" w14:textId="77777777" w:rsidR="0085190A" w:rsidRPr="0085190A" w:rsidRDefault="0085190A" w:rsidP="0085190A">
      <w:pPr>
        <w:rPr>
          <w:sz w:val="24"/>
          <w:szCs w:val="24"/>
        </w:rPr>
      </w:pPr>
      <w:r w:rsidRPr="0085190A">
        <w:rPr>
          <w:lang w:eastAsia="bg-BG"/>
        </w:rPr>
        <w:t>Извършени са изследвания за токсичност с единични и повтарящи дози на мишки, плъхове и кучета.</w:t>
      </w:r>
    </w:p>
    <w:p w14:paraId="5C0572EE" w14:textId="77777777" w:rsidR="0085190A" w:rsidRPr="0085190A" w:rsidRDefault="0085190A" w:rsidP="0085190A">
      <w:pPr>
        <w:rPr>
          <w:sz w:val="24"/>
          <w:szCs w:val="24"/>
        </w:rPr>
      </w:pPr>
      <w:r w:rsidRPr="0085190A">
        <w:rPr>
          <w:lang w:eastAsia="bg-BG"/>
        </w:rPr>
        <w:t xml:space="preserve">Проучена е репродуктивната токсичност при плъхове, карциногенност при мишки и плъхове и </w:t>
      </w:r>
      <w:r w:rsidRPr="0085190A">
        <w:rPr>
          <w:i/>
          <w:iCs/>
          <w:lang w:val="en-US"/>
        </w:rPr>
        <w:t>in</w:t>
      </w:r>
      <w:r w:rsidRPr="0085190A">
        <w:rPr>
          <w:i/>
          <w:iCs/>
          <w:lang w:val="ru-RU"/>
        </w:rPr>
        <w:t xml:space="preserve"> </w:t>
      </w:r>
      <w:r w:rsidRPr="0085190A">
        <w:rPr>
          <w:i/>
          <w:iCs/>
          <w:lang w:val="en-US"/>
        </w:rPr>
        <w:t>vivo</w:t>
      </w:r>
      <w:r w:rsidRPr="0085190A">
        <w:rPr>
          <w:lang w:val="ru-RU"/>
        </w:rPr>
        <w:t xml:space="preserve"> </w:t>
      </w:r>
      <w:r w:rsidRPr="0085190A">
        <w:rPr>
          <w:lang w:eastAsia="bg-BG"/>
        </w:rPr>
        <w:t xml:space="preserve">и </w:t>
      </w:r>
      <w:r w:rsidRPr="0085190A">
        <w:rPr>
          <w:i/>
          <w:iCs/>
          <w:lang w:val="en-US"/>
        </w:rPr>
        <w:t>in</w:t>
      </w:r>
      <w:r w:rsidRPr="0085190A">
        <w:rPr>
          <w:i/>
          <w:iCs/>
          <w:lang w:val="ru-RU"/>
        </w:rPr>
        <w:t xml:space="preserve"> </w:t>
      </w:r>
      <w:r w:rsidRPr="0085190A">
        <w:rPr>
          <w:i/>
          <w:iCs/>
          <w:lang w:val="en-US"/>
        </w:rPr>
        <w:t>vitro</w:t>
      </w:r>
      <w:r w:rsidRPr="0085190A">
        <w:rPr>
          <w:lang w:val="ru-RU"/>
        </w:rPr>
        <w:t xml:space="preserve"> </w:t>
      </w:r>
      <w:r w:rsidRPr="0085190A">
        <w:rPr>
          <w:lang w:eastAsia="bg-BG"/>
        </w:rPr>
        <w:t>генотоксичност.</w:t>
      </w:r>
    </w:p>
    <w:p w14:paraId="5816F890" w14:textId="77777777" w:rsidR="0085190A" w:rsidRPr="0085190A" w:rsidRDefault="0085190A" w:rsidP="0085190A">
      <w:pPr>
        <w:rPr>
          <w:sz w:val="24"/>
          <w:szCs w:val="24"/>
        </w:rPr>
      </w:pPr>
      <w:r w:rsidRPr="0085190A">
        <w:rPr>
          <w:lang w:eastAsia="bg-BG"/>
        </w:rPr>
        <w:t>Общият профил на безопасност, наблюдаван при високи дози тамсулозин, съвпада с познатото фармакологично действие на алфа-адренергичните блокиращи средства. При високи дози тамсулозин на кучета е наблюдавана промяна в ЕКГ. Тази находка няма клинично значение.</w:t>
      </w:r>
    </w:p>
    <w:p w14:paraId="044A9FEE" w14:textId="77777777" w:rsidR="0085190A" w:rsidRPr="0085190A" w:rsidRDefault="0085190A" w:rsidP="0085190A">
      <w:pPr>
        <w:rPr>
          <w:sz w:val="24"/>
          <w:szCs w:val="24"/>
        </w:rPr>
      </w:pPr>
      <w:r w:rsidRPr="0085190A">
        <w:rPr>
          <w:lang w:eastAsia="bg-BG"/>
        </w:rPr>
        <w:t>Тамсулозин не показва генотоксични свойства. Съобщава се за увеличена поява на пролиферативни изменения в млечните жлези на женски плъхове и мишки. Тези данни са свързани вероятно с хиперпролактинемия и са възникнали при високи дози. Счита се че тези резултати нямат клинично значение.</w:t>
      </w:r>
    </w:p>
    <w:p w14:paraId="5A143E6E" w14:textId="77777777" w:rsidR="0085190A" w:rsidRPr="0085190A" w:rsidRDefault="0085190A" w:rsidP="0085190A"/>
    <w:p w14:paraId="6A7820AB" w14:textId="3DE62B5A" w:rsidR="008A6AF2" w:rsidRDefault="002C50EE" w:rsidP="00395555">
      <w:pPr>
        <w:pStyle w:val="Heading1"/>
      </w:pPr>
      <w:r>
        <w:t>7. ПРИТЕЖАТЕЛ НА РАЗРЕШЕНИЕТО ЗА УПОТРЕБА</w:t>
      </w:r>
    </w:p>
    <w:p w14:paraId="4219F6E2" w14:textId="7921181C" w:rsidR="0085190A" w:rsidRDefault="0085190A" w:rsidP="0085190A"/>
    <w:p w14:paraId="154A075A" w14:textId="77777777" w:rsidR="0085190A" w:rsidRPr="0085190A" w:rsidRDefault="0085190A" w:rsidP="0085190A">
      <w:pPr>
        <w:rPr>
          <w:sz w:val="24"/>
          <w:szCs w:val="24"/>
        </w:rPr>
      </w:pPr>
      <w:r w:rsidRPr="0085190A">
        <w:rPr>
          <w:lang w:eastAsia="bg-BG"/>
        </w:rPr>
        <w:t>СОФАРМА</w:t>
      </w:r>
      <w:r w:rsidRPr="0085190A">
        <w:rPr>
          <w:lang w:val="ru-RU"/>
        </w:rPr>
        <w:t xml:space="preserve"> </w:t>
      </w:r>
      <w:r w:rsidRPr="0085190A">
        <w:rPr>
          <w:lang w:eastAsia="bg-BG"/>
        </w:rPr>
        <w:t>АД</w:t>
      </w:r>
    </w:p>
    <w:p w14:paraId="5408D28C" w14:textId="77777777" w:rsidR="0085190A" w:rsidRPr="0085190A" w:rsidRDefault="0085190A" w:rsidP="0085190A">
      <w:pPr>
        <w:rPr>
          <w:sz w:val="24"/>
          <w:szCs w:val="24"/>
        </w:rPr>
      </w:pPr>
      <w:r w:rsidRPr="0085190A">
        <w:rPr>
          <w:lang w:eastAsia="bg-BG"/>
        </w:rPr>
        <w:t>ул. Илиенско шосе 16,</w:t>
      </w:r>
    </w:p>
    <w:p w14:paraId="05A6EC7A" w14:textId="7182304E" w:rsidR="0085190A" w:rsidRPr="0085190A" w:rsidRDefault="0085190A" w:rsidP="0085190A">
      <w:r w:rsidRPr="0085190A">
        <w:rPr>
          <w:lang w:eastAsia="bg-BG"/>
        </w:rPr>
        <w:t>1220 София, България</w:t>
      </w:r>
    </w:p>
    <w:p w14:paraId="7BA1BA64" w14:textId="2A840C4F" w:rsidR="00CF77F7" w:rsidRDefault="002C50EE" w:rsidP="004A448E">
      <w:pPr>
        <w:pStyle w:val="Heading1"/>
      </w:pPr>
      <w:r>
        <w:t>8. НОМЕР НА РАЗРЕШЕНИЕТО ЗА УПОТРЕБА</w:t>
      </w:r>
    </w:p>
    <w:p w14:paraId="26D902CD" w14:textId="6E4D2C9D" w:rsidR="0085190A" w:rsidRDefault="0085190A" w:rsidP="0085190A"/>
    <w:p w14:paraId="21B58171" w14:textId="1C33F6E8" w:rsidR="0085190A" w:rsidRPr="0085190A" w:rsidRDefault="0085190A" w:rsidP="0085190A">
      <w:r>
        <w:t>20080182</w:t>
      </w:r>
    </w:p>
    <w:p w14:paraId="2CCB5832" w14:textId="1093EBA4" w:rsidR="007C605B" w:rsidRDefault="002C50EE" w:rsidP="007C605B">
      <w:pPr>
        <w:pStyle w:val="Heading1"/>
      </w:pPr>
      <w:r>
        <w:t>9. ДАТА НА ПЪРВО РАЗРЕШАВАНЕ/ПОДНОВЯВАНЕ НА РАЗРЕШЕНИЕТО ЗА УПОТРЕБА</w:t>
      </w:r>
    </w:p>
    <w:p w14:paraId="15C39F63" w14:textId="0CC66445" w:rsidR="0085190A" w:rsidRDefault="0085190A" w:rsidP="0085190A"/>
    <w:p w14:paraId="32017399" w14:textId="7C70C9F9" w:rsidR="0085190A" w:rsidRPr="0085190A" w:rsidRDefault="0085190A" w:rsidP="0085190A">
      <w:r>
        <w:t>15.09.2008</w:t>
      </w:r>
    </w:p>
    <w:p w14:paraId="0E9D0119" w14:textId="0245C6D7" w:rsidR="002C50EE" w:rsidRDefault="002C50EE" w:rsidP="002C50EE">
      <w:pPr>
        <w:pStyle w:val="Heading1"/>
      </w:pPr>
      <w:r>
        <w:lastRenderedPageBreak/>
        <w:t>10. ДАТА НА АКТУАЛИЗИРАНЕ НА ТЕКСТА</w:t>
      </w:r>
    </w:p>
    <w:bookmarkEnd w:id="0"/>
    <w:p w14:paraId="43FB38A2" w14:textId="5A1F9B01" w:rsidR="007C605B" w:rsidRPr="003E3126" w:rsidRDefault="0085190A" w:rsidP="0085190A">
      <w:r>
        <w:t>Септември 2017</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80237"/>
    <w:multiLevelType w:val="hybridMultilevel"/>
    <w:tmpl w:val="35E4DF1A"/>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6"/>
  </w:num>
  <w:num w:numId="29">
    <w:abstractNumId w:val="20"/>
  </w:num>
  <w:num w:numId="30">
    <w:abstractNumId w:val="34"/>
  </w:num>
  <w:num w:numId="31">
    <w:abstractNumId w:val="5"/>
  </w:num>
  <w:num w:numId="32">
    <w:abstractNumId w:val="33"/>
  </w:num>
  <w:num w:numId="33">
    <w:abstractNumId w:val="28"/>
  </w:num>
  <w:num w:numId="34">
    <w:abstractNumId w:val="32"/>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5190A"/>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11358</Characters>
  <Application>Microsoft Office Word</Application>
  <DocSecurity>0</DocSecurity>
  <Lines>94</Lines>
  <Paragraphs>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2022-04-27T09:23:00Z</dcterms:created>
  <dcterms:modified xsi:type="dcterms:W3CDTF">2022-04-27T09:23:00Z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