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09B7B5B9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Урзофалк 250 </w:t>
      </w:r>
      <w:r w:rsidRPr="0063460B">
        <w:rPr>
          <w:rFonts w:eastAsia="Times New Roman" w:cs="Arial"/>
          <w:color w:val="000000"/>
          <w:lang w:val="en-US"/>
        </w:rPr>
        <w:t xml:space="preserve">mg </w:t>
      </w:r>
      <w:r w:rsidRPr="0063460B">
        <w:rPr>
          <w:rFonts w:eastAsia="Times New Roman" w:cs="Arial"/>
          <w:color w:val="000000"/>
          <w:lang w:eastAsia="bg-BG"/>
        </w:rPr>
        <w:t>твърди капсули</w:t>
      </w:r>
    </w:p>
    <w:p w14:paraId="69AC8148" w14:textId="67C336D2" w:rsidR="00EC41ED" w:rsidRPr="0063460B" w:rsidRDefault="004D1553" w:rsidP="004D1553">
      <w:pPr>
        <w:rPr>
          <w:rFonts w:cs="Arial"/>
        </w:rPr>
      </w:pPr>
      <w:proofErr w:type="spellStart"/>
      <w:r w:rsidRPr="0063460B">
        <w:rPr>
          <w:rFonts w:eastAsia="Times New Roman" w:cs="Arial"/>
          <w:color w:val="000000"/>
          <w:lang w:val="en-US"/>
        </w:rPr>
        <w:t>Ursofalk</w:t>
      </w:r>
      <w:proofErr w:type="spellEnd"/>
      <w:r w:rsidRPr="0063460B">
        <w:rPr>
          <w:rFonts w:eastAsia="Times New Roman" w:cs="Arial"/>
          <w:color w:val="000000"/>
          <w:lang w:val="en-US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 xml:space="preserve">250 </w:t>
      </w:r>
      <w:r w:rsidRPr="0063460B">
        <w:rPr>
          <w:rFonts w:eastAsia="Times New Roman" w:cs="Arial"/>
          <w:color w:val="000000"/>
          <w:lang w:val="en-US"/>
        </w:rPr>
        <w:t>mg hard capsules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4384915B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Една твърда Урзофалк капсула съдържа като активно вещество 250 </w:t>
      </w:r>
      <w:r w:rsidRPr="0063460B">
        <w:rPr>
          <w:rFonts w:eastAsia="Times New Roman" w:cs="Arial"/>
          <w:color w:val="000000"/>
          <w:lang w:val="en-US"/>
        </w:rPr>
        <w:t xml:space="preserve">mg </w:t>
      </w:r>
      <w:r w:rsidRPr="0063460B">
        <w:rPr>
          <w:rFonts w:eastAsia="Times New Roman" w:cs="Arial"/>
          <w:color w:val="000000"/>
          <w:lang w:eastAsia="bg-BG"/>
        </w:rPr>
        <w:t xml:space="preserve">урзодезоксихолева киселина </w:t>
      </w:r>
      <w:r w:rsidRPr="0063460B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63460B">
        <w:rPr>
          <w:rFonts w:eastAsia="Times New Roman" w:cs="Arial"/>
          <w:i/>
          <w:iCs/>
          <w:color w:val="000000"/>
          <w:lang w:val="en-US"/>
        </w:rPr>
        <w:t>ursodeoxycholic</w:t>
      </w:r>
      <w:proofErr w:type="spellEnd"/>
      <w:r w:rsidRPr="0063460B">
        <w:rPr>
          <w:rFonts w:eastAsia="Times New Roman" w:cs="Arial"/>
          <w:i/>
          <w:iCs/>
          <w:color w:val="000000"/>
          <w:lang w:val="en-US"/>
        </w:rPr>
        <w:t xml:space="preserve"> acid, UDCA).</w:t>
      </w:r>
    </w:p>
    <w:p w14:paraId="15AAF3A0" w14:textId="77777777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</w:p>
    <w:p w14:paraId="54632B43" w14:textId="7513DA4F" w:rsidR="00EC41ED" w:rsidRPr="0063460B" w:rsidRDefault="004D1553" w:rsidP="004D1553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6E8801FD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Твърда капсула</w:t>
      </w:r>
    </w:p>
    <w:p w14:paraId="31A6880F" w14:textId="77777777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</w:p>
    <w:p w14:paraId="743244F0" w14:textId="77DB4301" w:rsidR="00EC41ED" w:rsidRPr="0063460B" w:rsidRDefault="004D1553" w:rsidP="004D1553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>Външен вид: бели, непрозрачни твърди желатинови капсули с големина 0, съдържащи бял, сбит прах или гранули.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7E133E29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За разтваряне на проницаеми за рентгеновите лъчи холестеролови жлъчни камъни с диаметър не по-голям от 15 </w:t>
      </w:r>
      <w:r w:rsidRPr="0063460B">
        <w:rPr>
          <w:rFonts w:eastAsia="Times New Roman" w:cs="Arial"/>
          <w:color w:val="000000"/>
          <w:lang w:val="en-US"/>
        </w:rPr>
        <w:t xml:space="preserve">mm </w:t>
      </w:r>
      <w:r w:rsidRPr="0063460B">
        <w:rPr>
          <w:rFonts w:eastAsia="Times New Roman" w:cs="Arial"/>
          <w:color w:val="000000"/>
          <w:lang w:eastAsia="bg-BG"/>
        </w:rPr>
        <w:t>при пациенти със запазена функция на жлъчния мехур, независимо от наличието на жлъчни камъни.</w:t>
      </w:r>
    </w:p>
    <w:p w14:paraId="7F2E2E5F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44B1EA" w14:textId="55A03C1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За лечение на билиарен рефлукс гастрит.</w:t>
      </w:r>
    </w:p>
    <w:p w14:paraId="419AE5EB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6A4423" w14:textId="29B5E18F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За лечение на първична билиарна цироза (ПБЦ) при пациенти без декомпенсирана чернодробна цироза.</w:t>
      </w:r>
    </w:p>
    <w:p w14:paraId="56780685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C4BC4C" w14:textId="6E734056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Педиатрична популация</w:t>
      </w:r>
    </w:p>
    <w:p w14:paraId="6DFA4B9D" w14:textId="06787153" w:rsidR="0091385D" w:rsidRPr="0063460B" w:rsidRDefault="004D1553" w:rsidP="004D1553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>Чернодробно заболяване, свързано с кистична фиброза при деца на възраст от 6 до по-малко от 18 години.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33F85809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lastRenderedPageBreak/>
        <w:t xml:space="preserve">Няма възрастови ограничения за приложението на Урзофалк капсули. При пациенти с телесно тегло по-ниско от 47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 xml:space="preserve">или при пациенти, които не могат да преглъщат Урзофалк капсули, се предлага Урзофалк 250 </w:t>
      </w:r>
      <w:r w:rsidRPr="0063460B">
        <w:rPr>
          <w:rFonts w:eastAsia="Times New Roman" w:cs="Arial"/>
          <w:color w:val="000000"/>
          <w:lang w:val="en-US"/>
        </w:rPr>
        <w:t xml:space="preserve">mg/5 ml </w:t>
      </w:r>
      <w:r w:rsidRPr="0063460B">
        <w:rPr>
          <w:rFonts w:eastAsia="Times New Roman" w:cs="Arial"/>
          <w:color w:val="000000"/>
          <w:lang w:eastAsia="bg-BG"/>
        </w:rPr>
        <w:t>суспензия.</w:t>
      </w:r>
    </w:p>
    <w:p w14:paraId="72BB561D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563141" w14:textId="0315B48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За различните показания се препоръчва следната дневна доза:</w:t>
      </w:r>
    </w:p>
    <w:p w14:paraId="70763D2C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AC63BD" w14:textId="2B5ED74C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u w:val="single"/>
          <w:lang w:eastAsia="bg-BG"/>
        </w:rPr>
        <w:t>За разтваряне на жлъчни холестеролови камъни</w:t>
      </w:r>
    </w:p>
    <w:p w14:paraId="6F29A2FE" w14:textId="77777777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</w:p>
    <w:p w14:paraId="7FBF1BCE" w14:textId="17E383C9" w:rsidR="00EC41ED" w:rsidRPr="0063460B" w:rsidRDefault="004D1553" w:rsidP="004D1553">
      <w:pPr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Препоръчителната доза е приблизително 10 </w:t>
      </w:r>
      <w:r w:rsidRPr="0063460B">
        <w:rPr>
          <w:rFonts w:eastAsia="Times New Roman" w:cs="Arial"/>
          <w:color w:val="000000"/>
          <w:lang w:val="en-US"/>
        </w:rPr>
        <w:t xml:space="preserve">mg UDCA </w:t>
      </w:r>
      <w:r w:rsidRPr="0063460B">
        <w:rPr>
          <w:rFonts w:eastAsia="Times New Roman" w:cs="Arial"/>
          <w:color w:val="000000"/>
          <w:lang w:eastAsia="bg-BG"/>
        </w:rPr>
        <w:t xml:space="preserve">на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>телесно тегло дневно, еквивалентни на:</w:t>
      </w:r>
    </w:p>
    <w:p w14:paraId="0E437A22" w14:textId="4DB12219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</w:p>
    <w:p w14:paraId="5E0068A3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до 60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>телесно тегло 2 твърди капсули</w:t>
      </w:r>
    </w:p>
    <w:p w14:paraId="50BB1FD6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61 - 80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 xml:space="preserve">телесно тегло </w:t>
      </w:r>
      <w:r w:rsidRPr="0063460B">
        <w:rPr>
          <w:rFonts w:eastAsia="Times New Roman" w:cs="Arial"/>
          <w:i/>
          <w:iCs/>
          <w:color w:val="000000"/>
          <w:lang w:eastAsia="bg-BG"/>
        </w:rPr>
        <w:t>3</w:t>
      </w:r>
      <w:r w:rsidRPr="0063460B">
        <w:rPr>
          <w:rFonts w:eastAsia="Times New Roman" w:cs="Arial"/>
          <w:color w:val="000000"/>
          <w:lang w:eastAsia="bg-BG"/>
        </w:rPr>
        <w:t xml:space="preserve"> твърди капсули</w:t>
      </w:r>
    </w:p>
    <w:p w14:paraId="35C140CA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81 - 100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>телесно тегло 4 твърди капсули</w:t>
      </w:r>
    </w:p>
    <w:p w14:paraId="51DF5C60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над 100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>телесно тегло 5 твърди капсули</w:t>
      </w:r>
    </w:p>
    <w:p w14:paraId="71FE08C4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E7A44C" w14:textId="7F44159C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Твърдите капсули трябва да се поглъщат цели, с малко течност, вечер преди лягане.</w:t>
      </w:r>
    </w:p>
    <w:p w14:paraId="5196ADC8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Урзофалк капсули трябва да се приемат редовно.</w:t>
      </w:r>
    </w:p>
    <w:p w14:paraId="62D5169D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95B803" w14:textId="2AF06165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За разтваряне на жлъчните камъни обикновено са необходими 6-24 месеца. Ако не се наблюдава намаляване на размера на жлъчните камъни след 12 месеца, лечението трябва да се преустанови.</w:t>
      </w:r>
    </w:p>
    <w:p w14:paraId="36C10EAD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Ефективността на лечението трябва да се проверява чрез ултразвуково или рентгенографско изследване на всеки 6 месеца. При проследяващите изследвания трябва да се провери дали междувременно не е настъпила калцификация на жлъчните камъни. Ако случаят е такъв, лечението трябва да се преустанови.</w:t>
      </w:r>
    </w:p>
    <w:p w14:paraId="451753A3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5CD68B" w14:textId="39A33439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u w:val="single"/>
          <w:lang w:eastAsia="bg-BG"/>
        </w:rPr>
        <w:t>За лечение на билиарен рефлукс гастрит</w:t>
      </w:r>
    </w:p>
    <w:p w14:paraId="33035F9B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9F6837" w14:textId="23D16459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Една твърда Урзофалк капсула се поглъща цяла, с малко течност, един път дневно, вечер преди лягане.</w:t>
      </w:r>
    </w:p>
    <w:p w14:paraId="3EC5F4C7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6DD808" w14:textId="23779CC5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За лечение на билиарен рефлукс гастрит Урзофалк капсули се приема обикновено в продължение на 10 -14 дни. Най-общо, продължителността на лечението зависи от хода на заболяването. Лекуващият лекар преценява продължителността на лечението при всеки отделен случай.</w:t>
      </w:r>
    </w:p>
    <w:p w14:paraId="49465E8D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E055A69" w14:textId="4B4C4D82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u w:val="single"/>
          <w:lang w:eastAsia="bg-BG"/>
        </w:rPr>
        <w:t>За лечение на ПБЦ</w:t>
      </w:r>
    </w:p>
    <w:p w14:paraId="1DDC652B" w14:textId="77777777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</w:p>
    <w:p w14:paraId="1F75F851" w14:textId="2B21F68B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Дневната доза зависи от телесното тегло и варира от 3 до 7 твърди капсули (14 ± 2 </w:t>
      </w:r>
      <w:r w:rsidRPr="0063460B">
        <w:rPr>
          <w:rFonts w:eastAsia="Times New Roman" w:cs="Arial"/>
          <w:color w:val="000000"/>
          <w:lang w:val="en-US"/>
        </w:rPr>
        <w:t xml:space="preserve">mg UDCA </w:t>
      </w:r>
      <w:r w:rsidRPr="0063460B">
        <w:rPr>
          <w:rFonts w:eastAsia="Times New Roman" w:cs="Arial"/>
          <w:color w:val="000000"/>
          <w:lang w:eastAsia="bg-BG"/>
        </w:rPr>
        <w:t xml:space="preserve">на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>телесно тегло). През първите 3 месеца на лечението дневната доза Урзофалк капсули трябва да се приема в разделени приеми сутрин, по обяд и вечер. С подобряване на чернодробните функционални изследвания, общата дневна доза може да бъде приемана един път дневно, вечер.</w:t>
      </w:r>
    </w:p>
    <w:p w14:paraId="50FBF6C1" w14:textId="6D363628" w:rsidR="004D1553" w:rsidRDefault="004D1553" w:rsidP="004D1553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D1553" w14:paraId="6811C8DE" w14:textId="77777777" w:rsidTr="00A00826">
        <w:tc>
          <w:tcPr>
            <w:tcW w:w="1558" w:type="dxa"/>
            <w:vMerge w:val="restart"/>
          </w:tcPr>
          <w:p w14:paraId="23BFF376" w14:textId="32CE0A87" w:rsidR="004D1553" w:rsidRDefault="004D1553" w:rsidP="004D1553">
            <w:r>
              <w:rPr>
                <w:b/>
                <w:bCs/>
              </w:rPr>
              <w:t xml:space="preserve">Телесно тегло </w:t>
            </w:r>
            <w:r>
              <w:rPr>
                <w:b/>
                <w:bCs/>
                <w:lang w:val="en-US"/>
              </w:rPr>
              <w:t>(kg)</w:t>
            </w:r>
          </w:p>
        </w:tc>
        <w:tc>
          <w:tcPr>
            <w:tcW w:w="1558" w:type="dxa"/>
            <w:vMerge w:val="restart"/>
          </w:tcPr>
          <w:p w14:paraId="15EBC9DD" w14:textId="2576A86C" w:rsidR="004D1553" w:rsidRDefault="004D1553" w:rsidP="004D1553">
            <w:r>
              <w:rPr>
                <w:b/>
                <w:bCs/>
              </w:rPr>
              <w:t xml:space="preserve">Дневна доза </w:t>
            </w:r>
            <w:r>
              <w:rPr>
                <w:lang w:val="en-US"/>
              </w:rPr>
              <w:t xml:space="preserve">(mg/kg </w:t>
            </w:r>
            <w:r>
              <w:t>т.т.)</w:t>
            </w:r>
          </w:p>
        </w:tc>
        <w:tc>
          <w:tcPr>
            <w:tcW w:w="6234" w:type="dxa"/>
            <w:gridSpan w:val="4"/>
          </w:tcPr>
          <w:p w14:paraId="53C6C071" w14:textId="77777777" w:rsidR="004D1553" w:rsidRPr="0063460B" w:rsidRDefault="004D1553" w:rsidP="004D1553">
            <w:pPr>
              <w:spacing w:line="240" w:lineRule="auto"/>
              <w:jc w:val="center"/>
              <w:rPr>
                <w:rFonts w:eastAsia="Times New Roman" w:cs="Arial"/>
                <w:lang w:eastAsia="bg-BG"/>
              </w:rPr>
            </w:pPr>
            <w:r w:rsidRPr="0063460B">
              <w:rPr>
                <w:rFonts w:eastAsia="Times New Roman" w:cs="Arial"/>
                <w:b/>
                <w:bCs/>
                <w:color w:val="000000"/>
                <w:lang w:eastAsia="bg-BG"/>
              </w:rPr>
              <w:t>Урзофалк капсули</w:t>
            </w:r>
          </w:p>
          <w:p w14:paraId="2A8915B0" w14:textId="77777777" w:rsidR="004D1553" w:rsidRDefault="004D1553" w:rsidP="004D1553">
            <w:pPr>
              <w:jc w:val="center"/>
            </w:pPr>
          </w:p>
        </w:tc>
      </w:tr>
      <w:tr w:rsidR="004D1553" w14:paraId="14CAF80F" w14:textId="77777777" w:rsidTr="004E2AD1">
        <w:tc>
          <w:tcPr>
            <w:tcW w:w="1558" w:type="dxa"/>
            <w:vMerge/>
          </w:tcPr>
          <w:p w14:paraId="0D53D4E1" w14:textId="77777777" w:rsidR="004D1553" w:rsidRDefault="004D1553" w:rsidP="004D1553"/>
        </w:tc>
        <w:tc>
          <w:tcPr>
            <w:tcW w:w="1558" w:type="dxa"/>
            <w:vMerge/>
          </w:tcPr>
          <w:p w14:paraId="641A6240" w14:textId="77777777" w:rsidR="004D1553" w:rsidRDefault="004D1553" w:rsidP="004D1553"/>
        </w:tc>
        <w:tc>
          <w:tcPr>
            <w:tcW w:w="3116" w:type="dxa"/>
            <w:gridSpan w:val="2"/>
          </w:tcPr>
          <w:p w14:paraId="7A24EAF8" w14:textId="0B938526" w:rsidR="004D1553" w:rsidRDefault="004D1553" w:rsidP="004D1553">
            <w:r>
              <w:rPr>
                <w:b/>
                <w:bCs/>
              </w:rPr>
              <w:t xml:space="preserve">Първите </w:t>
            </w:r>
            <w:r w:rsidRPr="0063460B">
              <w:rPr>
                <w:b/>
              </w:rPr>
              <w:t>3</w:t>
            </w:r>
            <w:r>
              <w:t xml:space="preserve"> </w:t>
            </w:r>
            <w:r>
              <w:rPr>
                <w:b/>
                <w:bCs/>
              </w:rPr>
              <w:t>месеца</w:t>
            </w:r>
          </w:p>
        </w:tc>
        <w:tc>
          <w:tcPr>
            <w:tcW w:w="3118" w:type="dxa"/>
            <w:gridSpan w:val="2"/>
          </w:tcPr>
          <w:p w14:paraId="2C56B0D7" w14:textId="3567C305" w:rsidR="004D1553" w:rsidRDefault="004D1553" w:rsidP="004D1553">
            <w:r>
              <w:rPr>
                <w:b/>
                <w:bCs/>
              </w:rPr>
              <w:t>След това</w:t>
            </w:r>
          </w:p>
        </w:tc>
      </w:tr>
      <w:tr w:rsidR="004D1553" w14:paraId="3B1BDA69" w14:textId="77777777" w:rsidTr="004D1553">
        <w:tc>
          <w:tcPr>
            <w:tcW w:w="1558" w:type="dxa"/>
            <w:vMerge/>
          </w:tcPr>
          <w:p w14:paraId="499B03A8" w14:textId="77777777" w:rsidR="004D1553" w:rsidRDefault="004D1553" w:rsidP="004D1553"/>
        </w:tc>
        <w:tc>
          <w:tcPr>
            <w:tcW w:w="1558" w:type="dxa"/>
            <w:vMerge/>
          </w:tcPr>
          <w:p w14:paraId="5AE82450" w14:textId="77777777" w:rsidR="004D1553" w:rsidRDefault="004D1553" w:rsidP="004D1553"/>
        </w:tc>
        <w:tc>
          <w:tcPr>
            <w:tcW w:w="1558" w:type="dxa"/>
          </w:tcPr>
          <w:p w14:paraId="16C5FA90" w14:textId="496236CD" w:rsidR="004D1553" w:rsidRDefault="004D1553" w:rsidP="004D1553">
            <w:r>
              <w:t>Сутрин</w:t>
            </w:r>
          </w:p>
        </w:tc>
        <w:tc>
          <w:tcPr>
            <w:tcW w:w="1558" w:type="dxa"/>
          </w:tcPr>
          <w:p w14:paraId="442A3690" w14:textId="57DD3089" w:rsidR="004D1553" w:rsidRDefault="004D1553" w:rsidP="004D1553">
            <w:r>
              <w:t>Обед</w:t>
            </w:r>
          </w:p>
        </w:tc>
        <w:tc>
          <w:tcPr>
            <w:tcW w:w="1559" w:type="dxa"/>
          </w:tcPr>
          <w:p w14:paraId="227BFA65" w14:textId="5B9BDE58" w:rsidR="004D1553" w:rsidRDefault="004D1553" w:rsidP="004D1553">
            <w:r>
              <w:t>Вечер</w:t>
            </w:r>
          </w:p>
        </w:tc>
        <w:tc>
          <w:tcPr>
            <w:tcW w:w="1559" w:type="dxa"/>
          </w:tcPr>
          <w:p w14:paraId="0941C47E" w14:textId="05ADC95D" w:rsidR="004D1553" w:rsidRDefault="004D1553" w:rsidP="004D1553">
            <w:r>
              <w:t>Вечер (1 дневно)</w:t>
            </w:r>
          </w:p>
        </w:tc>
      </w:tr>
      <w:tr w:rsidR="004D1553" w14:paraId="4B581F0C" w14:textId="77777777" w:rsidTr="004D1553">
        <w:tc>
          <w:tcPr>
            <w:tcW w:w="1558" w:type="dxa"/>
          </w:tcPr>
          <w:p w14:paraId="3696B04F" w14:textId="3965FBF3" w:rsidR="004D1553" w:rsidRDefault="004D1553" w:rsidP="004D1553">
            <w:r>
              <w:lastRenderedPageBreak/>
              <w:t>47-62</w:t>
            </w:r>
          </w:p>
        </w:tc>
        <w:tc>
          <w:tcPr>
            <w:tcW w:w="1558" w:type="dxa"/>
          </w:tcPr>
          <w:p w14:paraId="4DF68916" w14:textId="187F7DAF" w:rsidR="004D1553" w:rsidRDefault="004D1553" w:rsidP="004D1553">
            <w:r>
              <w:t>12-16</w:t>
            </w:r>
          </w:p>
        </w:tc>
        <w:tc>
          <w:tcPr>
            <w:tcW w:w="1558" w:type="dxa"/>
          </w:tcPr>
          <w:p w14:paraId="05F5E84A" w14:textId="77129DC5" w:rsidR="004D1553" w:rsidRDefault="004D1553" w:rsidP="004D1553">
            <w:r>
              <w:t>1</w:t>
            </w:r>
          </w:p>
        </w:tc>
        <w:tc>
          <w:tcPr>
            <w:tcW w:w="1558" w:type="dxa"/>
          </w:tcPr>
          <w:p w14:paraId="45DD0373" w14:textId="203B761F" w:rsidR="004D1553" w:rsidRDefault="004D1553" w:rsidP="004D1553">
            <w:r>
              <w:t>1</w:t>
            </w:r>
          </w:p>
        </w:tc>
        <w:tc>
          <w:tcPr>
            <w:tcW w:w="1559" w:type="dxa"/>
          </w:tcPr>
          <w:p w14:paraId="4ADA1ED4" w14:textId="242F37F0" w:rsidR="004D1553" w:rsidRDefault="004D1553" w:rsidP="004D1553">
            <w:r>
              <w:t>1</w:t>
            </w:r>
          </w:p>
        </w:tc>
        <w:tc>
          <w:tcPr>
            <w:tcW w:w="1559" w:type="dxa"/>
          </w:tcPr>
          <w:p w14:paraId="2CDD92DE" w14:textId="4281C043" w:rsidR="004D1553" w:rsidRDefault="004D1553" w:rsidP="004D1553">
            <w:r>
              <w:t>3</w:t>
            </w:r>
          </w:p>
        </w:tc>
      </w:tr>
      <w:tr w:rsidR="004D1553" w14:paraId="150B96D5" w14:textId="77777777" w:rsidTr="004D1553">
        <w:tc>
          <w:tcPr>
            <w:tcW w:w="1558" w:type="dxa"/>
          </w:tcPr>
          <w:p w14:paraId="0EABE561" w14:textId="6E056555" w:rsidR="004D1553" w:rsidRDefault="004D1553" w:rsidP="004D1553">
            <w:r>
              <w:t>63-78</w:t>
            </w:r>
          </w:p>
        </w:tc>
        <w:tc>
          <w:tcPr>
            <w:tcW w:w="1558" w:type="dxa"/>
          </w:tcPr>
          <w:p w14:paraId="738B81CB" w14:textId="600D6803" w:rsidR="004D1553" w:rsidRDefault="004D1553" w:rsidP="004D1553">
            <w:r>
              <w:t>13 -16</w:t>
            </w:r>
          </w:p>
        </w:tc>
        <w:tc>
          <w:tcPr>
            <w:tcW w:w="1558" w:type="dxa"/>
          </w:tcPr>
          <w:p w14:paraId="49FF347E" w14:textId="06B9AE86" w:rsidR="004D1553" w:rsidRDefault="004D1553" w:rsidP="004D1553">
            <w:r>
              <w:t>1</w:t>
            </w:r>
          </w:p>
        </w:tc>
        <w:tc>
          <w:tcPr>
            <w:tcW w:w="1558" w:type="dxa"/>
          </w:tcPr>
          <w:p w14:paraId="5E8DA767" w14:textId="1C68F88A" w:rsidR="004D1553" w:rsidRDefault="004D1553" w:rsidP="004D1553">
            <w:r>
              <w:t>1</w:t>
            </w:r>
          </w:p>
        </w:tc>
        <w:tc>
          <w:tcPr>
            <w:tcW w:w="1559" w:type="dxa"/>
          </w:tcPr>
          <w:p w14:paraId="7B5C0E41" w14:textId="02137FE8" w:rsidR="004D1553" w:rsidRDefault="004D1553" w:rsidP="004D1553">
            <w:r>
              <w:t>2</w:t>
            </w:r>
          </w:p>
        </w:tc>
        <w:tc>
          <w:tcPr>
            <w:tcW w:w="1559" w:type="dxa"/>
          </w:tcPr>
          <w:p w14:paraId="159BCCC6" w14:textId="411E9C7B" w:rsidR="004D1553" w:rsidRDefault="004D1553" w:rsidP="004D1553">
            <w:r>
              <w:t>4</w:t>
            </w:r>
          </w:p>
        </w:tc>
      </w:tr>
      <w:tr w:rsidR="004D1553" w14:paraId="5200762A" w14:textId="77777777" w:rsidTr="004D1553">
        <w:tc>
          <w:tcPr>
            <w:tcW w:w="1558" w:type="dxa"/>
          </w:tcPr>
          <w:p w14:paraId="78A6271E" w14:textId="7D5C17EC" w:rsidR="004D1553" w:rsidRDefault="004D1553" w:rsidP="004D1553">
            <w:r>
              <w:t>79-93</w:t>
            </w:r>
          </w:p>
        </w:tc>
        <w:tc>
          <w:tcPr>
            <w:tcW w:w="1558" w:type="dxa"/>
          </w:tcPr>
          <w:p w14:paraId="19379D84" w14:textId="510EBAF6" w:rsidR="004D1553" w:rsidRDefault="004D1553" w:rsidP="004D1553">
            <w:r>
              <w:t>13- 16</w:t>
            </w:r>
          </w:p>
        </w:tc>
        <w:tc>
          <w:tcPr>
            <w:tcW w:w="1558" w:type="dxa"/>
          </w:tcPr>
          <w:p w14:paraId="05A28EEC" w14:textId="4E65F32D" w:rsidR="004D1553" w:rsidRDefault="004D1553" w:rsidP="004D1553">
            <w:r>
              <w:t>1</w:t>
            </w:r>
          </w:p>
        </w:tc>
        <w:tc>
          <w:tcPr>
            <w:tcW w:w="1558" w:type="dxa"/>
          </w:tcPr>
          <w:p w14:paraId="4851AF87" w14:textId="382EE3AF" w:rsidR="004D1553" w:rsidRDefault="004D1553" w:rsidP="004D1553">
            <w:r>
              <w:t>2</w:t>
            </w:r>
          </w:p>
        </w:tc>
        <w:tc>
          <w:tcPr>
            <w:tcW w:w="1559" w:type="dxa"/>
          </w:tcPr>
          <w:p w14:paraId="00C7A5F0" w14:textId="79E17E59" w:rsidR="004D1553" w:rsidRDefault="004D1553" w:rsidP="004D1553">
            <w:r>
              <w:t>2</w:t>
            </w:r>
          </w:p>
        </w:tc>
        <w:tc>
          <w:tcPr>
            <w:tcW w:w="1559" w:type="dxa"/>
          </w:tcPr>
          <w:p w14:paraId="06359E24" w14:textId="5AB90B00" w:rsidR="004D1553" w:rsidRDefault="004D1553" w:rsidP="004D1553">
            <w:r>
              <w:t>5</w:t>
            </w:r>
          </w:p>
        </w:tc>
      </w:tr>
      <w:tr w:rsidR="004D1553" w14:paraId="183A456D" w14:textId="77777777" w:rsidTr="004D1553">
        <w:tc>
          <w:tcPr>
            <w:tcW w:w="1558" w:type="dxa"/>
          </w:tcPr>
          <w:p w14:paraId="76C1F93C" w14:textId="3D273D85" w:rsidR="004D1553" w:rsidRDefault="004D1553" w:rsidP="004D1553">
            <w:r>
              <w:t>94-109</w:t>
            </w:r>
          </w:p>
        </w:tc>
        <w:tc>
          <w:tcPr>
            <w:tcW w:w="1558" w:type="dxa"/>
          </w:tcPr>
          <w:p w14:paraId="0A837ACC" w14:textId="256FDC1A" w:rsidR="004D1553" w:rsidRDefault="004D1553" w:rsidP="004D1553">
            <w:r>
              <w:t>14-16</w:t>
            </w:r>
          </w:p>
        </w:tc>
        <w:tc>
          <w:tcPr>
            <w:tcW w:w="1558" w:type="dxa"/>
          </w:tcPr>
          <w:p w14:paraId="710A8B4B" w14:textId="07E7E3C8" w:rsidR="004D1553" w:rsidRDefault="004D1553" w:rsidP="004D1553">
            <w:r>
              <w:t>2</w:t>
            </w:r>
          </w:p>
        </w:tc>
        <w:tc>
          <w:tcPr>
            <w:tcW w:w="1558" w:type="dxa"/>
          </w:tcPr>
          <w:p w14:paraId="3C8EBC60" w14:textId="661A2EE5" w:rsidR="004D1553" w:rsidRDefault="004D1553" w:rsidP="004D1553">
            <w:r>
              <w:t>2</w:t>
            </w:r>
          </w:p>
        </w:tc>
        <w:tc>
          <w:tcPr>
            <w:tcW w:w="1559" w:type="dxa"/>
          </w:tcPr>
          <w:p w14:paraId="4ADD79BA" w14:textId="1585ECB9" w:rsidR="004D1553" w:rsidRDefault="004D1553" w:rsidP="004D1553">
            <w:r>
              <w:t>2</w:t>
            </w:r>
          </w:p>
        </w:tc>
        <w:tc>
          <w:tcPr>
            <w:tcW w:w="1559" w:type="dxa"/>
          </w:tcPr>
          <w:p w14:paraId="2D93C005" w14:textId="4DD72D67" w:rsidR="004D1553" w:rsidRDefault="004D1553" w:rsidP="004D1553">
            <w:r>
              <w:t>6</w:t>
            </w:r>
          </w:p>
        </w:tc>
      </w:tr>
      <w:tr w:rsidR="004D1553" w14:paraId="69DBFEF2" w14:textId="77777777" w:rsidTr="004D1553">
        <w:tc>
          <w:tcPr>
            <w:tcW w:w="1558" w:type="dxa"/>
          </w:tcPr>
          <w:p w14:paraId="0E8636A0" w14:textId="4F5BA18B" w:rsidR="004D1553" w:rsidRDefault="004D1553" w:rsidP="004D1553">
            <w:r>
              <w:t>над 110</w:t>
            </w:r>
          </w:p>
        </w:tc>
        <w:tc>
          <w:tcPr>
            <w:tcW w:w="1558" w:type="dxa"/>
          </w:tcPr>
          <w:p w14:paraId="4DEA4B4D" w14:textId="77777777" w:rsidR="004D1553" w:rsidRDefault="004D1553" w:rsidP="004D1553"/>
        </w:tc>
        <w:tc>
          <w:tcPr>
            <w:tcW w:w="1558" w:type="dxa"/>
          </w:tcPr>
          <w:p w14:paraId="3057A523" w14:textId="52F5AB19" w:rsidR="004D1553" w:rsidRDefault="004D1553" w:rsidP="004D1553">
            <w:r>
              <w:t>2</w:t>
            </w:r>
          </w:p>
        </w:tc>
        <w:tc>
          <w:tcPr>
            <w:tcW w:w="1558" w:type="dxa"/>
          </w:tcPr>
          <w:p w14:paraId="2D66F33A" w14:textId="35B1C064" w:rsidR="004D1553" w:rsidRDefault="004D1553" w:rsidP="004D1553">
            <w:r>
              <w:t>2</w:t>
            </w:r>
          </w:p>
        </w:tc>
        <w:tc>
          <w:tcPr>
            <w:tcW w:w="1559" w:type="dxa"/>
          </w:tcPr>
          <w:p w14:paraId="618DC4CC" w14:textId="7F2E7BCA" w:rsidR="004D1553" w:rsidRDefault="004D1553" w:rsidP="004D1553">
            <w:r>
              <w:t>3</w:t>
            </w:r>
          </w:p>
        </w:tc>
        <w:tc>
          <w:tcPr>
            <w:tcW w:w="1559" w:type="dxa"/>
          </w:tcPr>
          <w:p w14:paraId="16C39FF4" w14:textId="354FEED1" w:rsidR="004D1553" w:rsidRDefault="004D1553" w:rsidP="004D1553">
            <w:r>
              <w:t>7</w:t>
            </w:r>
          </w:p>
        </w:tc>
      </w:tr>
    </w:tbl>
    <w:p w14:paraId="53C899E3" w14:textId="0AD1922F" w:rsidR="004D1553" w:rsidRDefault="004D1553" w:rsidP="004D1553"/>
    <w:p w14:paraId="53663E1D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Твърдите </w:t>
      </w:r>
      <w:r w:rsidRPr="00885906">
        <w:rPr>
          <w:rFonts w:eastAsia="Times New Roman" w:cs="Arial"/>
          <w:iCs/>
          <w:color w:val="000000"/>
          <w:lang w:eastAsia="bg-BG"/>
        </w:rPr>
        <w:t>капсули</w:t>
      </w:r>
      <w:r w:rsidRPr="0063460B">
        <w:rPr>
          <w:rFonts w:eastAsia="Times New Roman" w:cs="Arial"/>
          <w:color w:val="000000"/>
          <w:lang w:eastAsia="bg-BG"/>
        </w:rPr>
        <w:t xml:space="preserve"> трябва да се поглъщат цели, с малко течност. Урзофалк капсули трябва да се приемат редовно.</w:t>
      </w:r>
    </w:p>
    <w:p w14:paraId="2EF47F38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69D261" w14:textId="3A7ED66A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Приемът на Урзофалк </w:t>
      </w:r>
      <w:r w:rsidRPr="00885906">
        <w:rPr>
          <w:rFonts w:eastAsia="Times New Roman" w:cs="Arial"/>
          <w:iCs/>
          <w:color w:val="000000"/>
          <w:lang w:eastAsia="bg-BG"/>
        </w:rPr>
        <w:t>капсули</w:t>
      </w:r>
      <w:r w:rsidRPr="0063460B">
        <w:rPr>
          <w:rFonts w:eastAsia="Times New Roman" w:cs="Arial"/>
          <w:color w:val="000000"/>
          <w:lang w:eastAsia="bg-BG"/>
        </w:rPr>
        <w:t xml:space="preserve"> при ПБЦ може да продължи неопределено време.</w:t>
      </w:r>
    </w:p>
    <w:p w14:paraId="376434A6" w14:textId="77777777" w:rsidR="004D1553" w:rsidRPr="0063460B" w:rsidRDefault="004D1553" w:rsidP="004D1553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E1D477" w14:textId="61B7B205" w:rsidR="004D1553" w:rsidRPr="0063460B" w:rsidRDefault="004D1553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В редки случаи при пациенти с ПБЦ, клиничните симптоми може да се влошат (напр. може да се увеличи пруритуса) в началото на лечението. В такъв случай лечението трябва да продължи</w:t>
      </w:r>
      <w:r w:rsidR="0063460B"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с една Урзофалк капсула дневно, като всяка следваща седмица, дневната доза се увеличава</w:t>
      </w:r>
      <w:r w:rsidR="0063460B"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постепено с 1 капсула, до достигане на указаната дозировка.</w:t>
      </w:r>
    </w:p>
    <w:p w14:paraId="132F3111" w14:textId="1A4484AC" w:rsidR="005B0F27" w:rsidRPr="0063460B" w:rsidRDefault="005B0F27" w:rsidP="0091385D">
      <w:pPr>
        <w:rPr>
          <w:rFonts w:cs="Arial"/>
        </w:rPr>
      </w:pPr>
    </w:p>
    <w:p w14:paraId="1F2EB2CA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Педиатрична популация</w:t>
      </w:r>
    </w:p>
    <w:p w14:paraId="5D8DB5D0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Деца с кистична фиброза на възраст от 6 до по-малко от 18 години:</w:t>
      </w:r>
    </w:p>
    <w:p w14:paraId="51A26F15" w14:textId="25007DF3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Препоръчителната дневна доза е 20 </w:t>
      </w:r>
      <w:r w:rsidRPr="0063460B">
        <w:rPr>
          <w:rFonts w:eastAsia="Times New Roman" w:cs="Arial"/>
          <w:color w:val="000000"/>
          <w:lang w:val="en-US"/>
        </w:rPr>
        <w:t xml:space="preserve">mg </w:t>
      </w:r>
      <w:r w:rsidRPr="0063460B">
        <w:rPr>
          <w:rFonts w:eastAsia="Times New Roman" w:cs="Arial"/>
          <w:color w:val="000000"/>
          <w:lang w:eastAsia="bg-BG"/>
        </w:rPr>
        <w:t xml:space="preserve">на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>телесно тегло, разделена в 2 - 3 приема, с по</w:t>
      </w:r>
      <w:r w:rsidRPr="0063460B">
        <w:rPr>
          <w:rFonts w:eastAsia="Times New Roman" w:cs="Arial"/>
          <w:color w:val="000000"/>
          <w:lang w:eastAsia="bg-BG"/>
        </w:rPr>
        <w:softHyphen/>
        <w:t xml:space="preserve">нататъшно увеличение на дозата до 30 </w:t>
      </w:r>
      <w:r w:rsidRPr="0063460B">
        <w:rPr>
          <w:rFonts w:eastAsia="Times New Roman" w:cs="Arial"/>
          <w:color w:val="000000"/>
          <w:lang w:val="en-US"/>
        </w:rPr>
        <w:t xml:space="preserve">mg </w:t>
      </w:r>
      <w:r w:rsidRPr="0063460B">
        <w:rPr>
          <w:rFonts w:eastAsia="Times New Roman" w:cs="Arial"/>
          <w:color w:val="000000"/>
          <w:lang w:eastAsia="bg-BG"/>
        </w:rPr>
        <w:t xml:space="preserve">на </w:t>
      </w:r>
      <w:r w:rsidRPr="0063460B">
        <w:rPr>
          <w:rFonts w:eastAsia="Times New Roman" w:cs="Arial"/>
          <w:color w:val="000000"/>
          <w:lang w:val="en-US"/>
        </w:rPr>
        <w:t xml:space="preserve">kg </w:t>
      </w:r>
      <w:r w:rsidRPr="0063460B">
        <w:rPr>
          <w:rFonts w:eastAsia="Times New Roman" w:cs="Arial"/>
          <w:color w:val="000000"/>
          <w:lang w:eastAsia="bg-BG"/>
        </w:rPr>
        <w:t>телесно тегло дневно при необходимост.</w:t>
      </w:r>
    </w:p>
    <w:p w14:paraId="1EEC8D33" w14:textId="73F1A0A9" w:rsidR="004D1553" w:rsidRDefault="004D1553" w:rsidP="004D1553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1553" w14:paraId="04592C68" w14:textId="77777777" w:rsidTr="0010454F">
        <w:tc>
          <w:tcPr>
            <w:tcW w:w="1870" w:type="dxa"/>
          </w:tcPr>
          <w:p w14:paraId="16BC8563" w14:textId="5D054BAB" w:rsidR="004D1553" w:rsidRDefault="004D1553" w:rsidP="004D1553">
            <w:pPr>
              <w:jc w:val="center"/>
            </w:pPr>
            <w:r>
              <w:rPr>
                <w:b/>
                <w:bCs/>
              </w:rPr>
              <w:t xml:space="preserve">Телесно тегло </w:t>
            </w:r>
            <w:r>
              <w:rPr>
                <w:b/>
                <w:bCs/>
                <w:lang w:val="en-US"/>
              </w:rPr>
              <w:t>(BW) [</w:t>
            </w:r>
            <w:proofErr w:type="spellStart"/>
            <w:r>
              <w:rPr>
                <w:b/>
                <w:bCs/>
                <w:lang w:val="en-US"/>
              </w:rPr>
              <w:t>kgl</w:t>
            </w:r>
            <w:proofErr w:type="spellEnd"/>
          </w:p>
        </w:tc>
        <w:tc>
          <w:tcPr>
            <w:tcW w:w="1870" w:type="dxa"/>
          </w:tcPr>
          <w:p w14:paraId="5955DE30" w14:textId="2F34BC7C" w:rsidR="004D1553" w:rsidRDefault="004D1553" w:rsidP="004D1553">
            <w:pPr>
              <w:jc w:val="center"/>
            </w:pPr>
            <w:r>
              <w:rPr>
                <w:b/>
                <w:bCs/>
              </w:rPr>
              <w:t xml:space="preserve">Дневна доза </w:t>
            </w:r>
            <w:r>
              <w:rPr>
                <w:b/>
                <w:bCs/>
                <w:lang w:val="en-US"/>
              </w:rPr>
              <w:t>[mg/kg BW)</w:t>
            </w:r>
          </w:p>
        </w:tc>
        <w:tc>
          <w:tcPr>
            <w:tcW w:w="5610" w:type="dxa"/>
            <w:gridSpan w:val="3"/>
          </w:tcPr>
          <w:p w14:paraId="238D71F3" w14:textId="152FA0F7" w:rsidR="004D1553" w:rsidRDefault="004D1553" w:rsidP="004D1553">
            <w:pPr>
              <w:jc w:val="center"/>
            </w:pPr>
            <w:r>
              <w:rPr>
                <w:b/>
                <w:bCs/>
              </w:rPr>
              <w:t xml:space="preserve">Урзофалк 250 </w:t>
            </w:r>
            <w:r>
              <w:rPr>
                <w:b/>
                <w:bCs/>
                <w:lang w:val="en-US"/>
              </w:rPr>
              <w:t xml:space="preserve">mg </w:t>
            </w:r>
            <w:r>
              <w:rPr>
                <w:b/>
                <w:bCs/>
              </w:rPr>
              <w:t>твърди капсули</w:t>
            </w:r>
          </w:p>
        </w:tc>
      </w:tr>
      <w:tr w:rsidR="004D1553" w14:paraId="249ED8C5" w14:textId="77777777" w:rsidTr="004D1553">
        <w:tc>
          <w:tcPr>
            <w:tcW w:w="1870" w:type="dxa"/>
          </w:tcPr>
          <w:p w14:paraId="6C093CF0" w14:textId="77777777" w:rsidR="004D1553" w:rsidRDefault="004D1553" w:rsidP="004D1553"/>
        </w:tc>
        <w:tc>
          <w:tcPr>
            <w:tcW w:w="1870" w:type="dxa"/>
          </w:tcPr>
          <w:p w14:paraId="3973B501" w14:textId="77777777" w:rsidR="004D1553" w:rsidRDefault="004D1553" w:rsidP="004D1553"/>
        </w:tc>
        <w:tc>
          <w:tcPr>
            <w:tcW w:w="1870" w:type="dxa"/>
          </w:tcPr>
          <w:p w14:paraId="26F3BDE8" w14:textId="3BFF8E59" w:rsidR="004D1553" w:rsidRDefault="004D1553" w:rsidP="004D1553">
            <w:r>
              <w:t>Сутрин</w:t>
            </w:r>
          </w:p>
        </w:tc>
        <w:tc>
          <w:tcPr>
            <w:tcW w:w="1870" w:type="dxa"/>
          </w:tcPr>
          <w:p w14:paraId="6FC93F40" w14:textId="5604BE87" w:rsidR="004D1553" w:rsidRDefault="004D1553" w:rsidP="004D1553">
            <w:r>
              <w:t>Обяд</w:t>
            </w:r>
          </w:p>
        </w:tc>
        <w:tc>
          <w:tcPr>
            <w:tcW w:w="1870" w:type="dxa"/>
          </w:tcPr>
          <w:p w14:paraId="168C6F84" w14:textId="0F0E24DA" w:rsidR="004D1553" w:rsidRDefault="004D1553" w:rsidP="004D1553">
            <w:r>
              <w:t>Вечер</w:t>
            </w:r>
          </w:p>
        </w:tc>
      </w:tr>
      <w:tr w:rsidR="004D1553" w14:paraId="78F6E065" w14:textId="77777777" w:rsidTr="004D1553">
        <w:tc>
          <w:tcPr>
            <w:tcW w:w="1870" w:type="dxa"/>
          </w:tcPr>
          <w:p w14:paraId="7CEED1C8" w14:textId="2CA87093" w:rsidR="004D1553" w:rsidRDefault="004D1553" w:rsidP="004D1553">
            <w:r>
              <w:t>20-29</w:t>
            </w:r>
          </w:p>
        </w:tc>
        <w:tc>
          <w:tcPr>
            <w:tcW w:w="1870" w:type="dxa"/>
          </w:tcPr>
          <w:p w14:paraId="70F2EC26" w14:textId="54F385C7" w:rsidR="004D1553" w:rsidRDefault="004D1553" w:rsidP="004D1553">
            <w:r>
              <w:t>17-25</w:t>
            </w:r>
          </w:p>
        </w:tc>
        <w:tc>
          <w:tcPr>
            <w:tcW w:w="1870" w:type="dxa"/>
          </w:tcPr>
          <w:p w14:paraId="325A6FCE" w14:textId="1D5FFCFC" w:rsidR="004D1553" w:rsidRDefault="004D1553" w:rsidP="004D1553">
            <w:r>
              <w:t>1</w:t>
            </w:r>
          </w:p>
        </w:tc>
        <w:tc>
          <w:tcPr>
            <w:tcW w:w="1870" w:type="dxa"/>
          </w:tcPr>
          <w:p w14:paraId="5280115E" w14:textId="77777777" w:rsidR="004D1553" w:rsidRDefault="004D1553" w:rsidP="004D1553"/>
        </w:tc>
        <w:tc>
          <w:tcPr>
            <w:tcW w:w="1870" w:type="dxa"/>
          </w:tcPr>
          <w:p w14:paraId="162733B2" w14:textId="06791349" w:rsidR="004D1553" w:rsidRDefault="004D1553" w:rsidP="004D1553">
            <w:r>
              <w:t>1</w:t>
            </w:r>
          </w:p>
        </w:tc>
      </w:tr>
      <w:tr w:rsidR="004D1553" w14:paraId="74B220A3" w14:textId="77777777" w:rsidTr="004D1553">
        <w:tc>
          <w:tcPr>
            <w:tcW w:w="1870" w:type="dxa"/>
          </w:tcPr>
          <w:p w14:paraId="320B6D64" w14:textId="6DE592C9" w:rsidR="004D1553" w:rsidRDefault="004D1553" w:rsidP="004D1553">
            <w:r>
              <w:t>30-39</w:t>
            </w:r>
          </w:p>
        </w:tc>
        <w:tc>
          <w:tcPr>
            <w:tcW w:w="1870" w:type="dxa"/>
          </w:tcPr>
          <w:p w14:paraId="7B7061FA" w14:textId="1B3D1CDC" w:rsidR="004D1553" w:rsidRDefault="004D1553" w:rsidP="004D1553">
            <w:r>
              <w:t>19-25</w:t>
            </w:r>
          </w:p>
        </w:tc>
        <w:tc>
          <w:tcPr>
            <w:tcW w:w="1870" w:type="dxa"/>
          </w:tcPr>
          <w:p w14:paraId="216BAD0E" w14:textId="1288F6DF" w:rsidR="004D1553" w:rsidRDefault="004D1553" w:rsidP="004D1553">
            <w:r>
              <w:t>1</w:t>
            </w:r>
          </w:p>
        </w:tc>
        <w:tc>
          <w:tcPr>
            <w:tcW w:w="1870" w:type="dxa"/>
          </w:tcPr>
          <w:p w14:paraId="3ADAC808" w14:textId="2B737F69" w:rsidR="004D1553" w:rsidRDefault="004D1553" w:rsidP="004D1553">
            <w:r>
              <w:t>1</w:t>
            </w:r>
          </w:p>
        </w:tc>
        <w:tc>
          <w:tcPr>
            <w:tcW w:w="1870" w:type="dxa"/>
          </w:tcPr>
          <w:p w14:paraId="76389B7E" w14:textId="08EBB40B" w:rsidR="004D1553" w:rsidRDefault="004D1553" w:rsidP="004D1553">
            <w:r>
              <w:t>1</w:t>
            </w:r>
          </w:p>
        </w:tc>
      </w:tr>
      <w:tr w:rsidR="004D1553" w14:paraId="058EB98C" w14:textId="77777777" w:rsidTr="004D1553">
        <w:tc>
          <w:tcPr>
            <w:tcW w:w="1870" w:type="dxa"/>
          </w:tcPr>
          <w:p w14:paraId="709B14C2" w14:textId="5566B5C1" w:rsidR="004D1553" w:rsidRDefault="004D1553" w:rsidP="004D1553">
            <w:r>
              <w:t>40-49</w:t>
            </w:r>
          </w:p>
        </w:tc>
        <w:tc>
          <w:tcPr>
            <w:tcW w:w="1870" w:type="dxa"/>
          </w:tcPr>
          <w:p w14:paraId="087846F3" w14:textId="605789F3" w:rsidR="004D1553" w:rsidRDefault="004D1553" w:rsidP="004D1553">
            <w:r>
              <w:t>20-25</w:t>
            </w:r>
          </w:p>
        </w:tc>
        <w:tc>
          <w:tcPr>
            <w:tcW w:w="1870" w:type="dxa"/>
          </w:tcPr>
          <w:p w14:paraId="09467E1F" w14:textId="19540B24" w:rsidR="004D1553" w:rsidRDefault="004D1553" w:rsidP="004D1553">
            <w:r>
              <w:t>1</w:t>
            </w:r>
          </w:p>
        </w:tc>
        <w:tc>
          <w:tcPr>
            <w:tcW w:w="1870" w:type="dxa"/>
          </w:tcPr>
          <w:p w14:paraId="70611452" w14:textId="483C3214" w:rsidR="004D1553" w:rsidRDefault="004D1553" w:rsidP="004D1553">
            <w:r>
              <w:t>1</w:t>
            </w:r>
          </w:p>
        </w:tc>
        <w:tc>
          <w:tcPr>
            <w:tcW w:w="1870" w:type="dxa"/>
          </w:tcPr>
          <w:p w14:paraId="57557C4F" w14:textId="485A067A" w:rsidR="004D1553" w:rsidRDefault="004D1553" w:rsidP="004D1553">
            <w:r>
              <w:t>2</w:t>
            </w:r>
          </w:p>
        </w:tc>
      </w:tr>
      <w:tr w:rsidR="004D1553" w14:paraId="60678B8B" w14:textId="77777777" w:rsidTr="004D1553">
        <w:tc>
          <w:tcPr>
            <w:tcW w:w="1870" w:type="dxa"/>
          </w:tcPr>
          <w:p w14:paraId="4F70D0FA" w14:textId="40B74EA9" w:rsidR="004D1553" w:rsidRDefault="004D1553" w:rsidP="004D1553">
            <w:r>
              <w:t>50-59</w:t>
            </w:r>
          </w:p>
        </w:tc>
        <w:tc>
          <w:tcPr>
            <w:tcW w:w="1870" w:type="dxa"/>
          </w:tcPr>
          <w:p w14:paraId="360DEB9A" w14:textId="53518927" w:rsidR="004D1553" w:rsidRDefault="004D1553" w:rsidP="004D1553">
            <w:r>
              <w:t>21-25</w:t>
            </w:r>
          </w:p>
        </w:tc>
        <w:tc>
          <w:tcPr>
            <w:tcW w:w="1870" w:type="dxa"/>
          </w:tcPr>
          <w:p w14:paraId="4F14322F" w14:textId="7A077C40" w:rsidR="004D1553" w:rsidRDefault="004D1553" w:rsidP="004D1553">
            <w:r>
              <w:t>1</w:t>
            </w:r>
          </w:p>
        </w:tc>
        <w:tc>
          <w:tcPr>
            <w:tcW w:w="1870" w:type="dxa"/>
          </w:tcPr>
          <w:p w14:paraId="54D61A9A" w14:textId="0C369059" w:rsidR="004D1553" w:rsidRDefault="004D1553" w:rsidP="004D1553">
            <w:r>
              <w:t>2</w:t>
            </w:r>
          </w:p>
        </w:tc>
        <w:tc>
          <w:tcPr>
            <w:tcW w:w="1870" w:type="dxa"/>
          </w:tcPr>
          <w:p w14:paraId="34C76481" w14:textId="7F8FDF63" w:rsidR="004D1553" w:rsidRPr="0063460B" w:rsidRDefault="0063460B" w:rsidP="004D155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D1553" w14:paraId="4681EE41" w14:textId="77777777" w:rsidTr="004D1553">
        <w:tc>
          <w:tcPr>
            <w:tcW w:w="1870" w:type="dxa"/>
          </w:tcPr>
          <w:p w14:paraId="7F6135CC" w14:textId="244C6BCB" w:rsidR="004D1553" w:rsidRDefault="004D1553" w:rsidP="004D1553">
            <w:r>
              <w:t>60-69</w:t>
            </w:r>
          </w:p>
        </w:tc>
        <w:tc>
          <w:tcPr>
            <w:tcW w:w="1870" w:type="dxa"/>
          </w:tcPr>
          <w:p w14:paraId="4F59DF4D" w14:textId="22D00CD6" w:rsidR="004D1553" w:rsidRDefault="004D1553" w:rsidP="004D1553">
            <w:r>
              <w:t>22 - 25</w:t>
            </w:r>
          </w:p>
        </w:tc>
        <w:tc>
          <w:tcPr>
            <w:tcW w:w="1870" w:type="dxa"/>
          </w:tcPr>
          <w:p w14:paraId="45D8611E" w14:textId="2289292A" w:rsidR="004D1553" w:rsidRDefault="004D1553" w:rsidP="004D1553">
            <w:r>
              <w:t>2</w:t>
            </w:r>
          </w:p>
        </w:tc>
        <w:tc>
          <w:tcPr>
            <w:tcW w:w="1870" w:type="dxa"/>
          </w:tcPr>
          <w:p w14:paraId="19129511" w14:textId="02FCE550" w:rsidR="004D1553" w:rsidRDefault="004D1553" w:rsidP="004D1553">
            <w:r>
              <w:t>2</w:t>
            </w:r>
          </w:p>
        </w:tc>
        <w:tc>
          <w:tcPr>
            <w:tcW w:w="1870" w:type="dxa"/>
          </w:tcPr>
          <w:p w14:paraId="78ED667E" w14:textId="3AF5D241" w:rsidR="004D1553" w:rsidRDefault="004D1553" w:rsidP="004D1553">
            <w:r>
              <w:t>2</w:t>
            </w:r>
          </w:p>
        </w:tc>
      </w:tr>
      <w:tr w:rsidR="004D1553" w14:paraId="16BD4243" w14:textId="77777777" w:rsidTr="004D1553">
        <w:tc>
          <w:tcPr>
            <w:tcW w:w="1870" w:type="dxa"/>
          </w:tcPr>
          <w:p w14:paraId="019DFE79" w14:textId="038FD732" w:rsidR="004D1553" w:rsidRDefault="004D1553" w:rsidP="004D1553">
            <w:r>
              <w:t>70-79</w:t>
            </w:r>
          </w:p>
        </w:tc>
        <w:tc>
          <w:tcPr>
            <w:tcW w:w="1870" w:type="dxa"/>
          </w:tcPr>
          <w:p w14:paraId="253806AE" w14:textId="403F3989" w:rsidR="004D1553" w:rsidRDefault="004D1553" w:rsidP="004D1553">
            <w:r>
              <w:t>22-25</w:t>
            </w:r>
          </w:p>
        </w:tc>
        <w:tc>
          <w:tcPr>
            <w:tcW w:w="1870" w:type="dxa"/>
          </w:tcPr>
          <w:p w14:paraId="716506D1" w14:textId="548F023A" w:rsidR="004D1553" w:rsidRDefault="004D1553" w:rsidP="004D1553">
            <w:r>
              <w:t>2</w:t>
            </w:r>
          </w:p>
        </w:tc>
        <w:tc>
          <w:tcPr>
            <w:tcW w:w="1870" w:type="dxa"/>
          </w:tcPr>
          <w:p w14:paraId="4BC381D0" w14:textId="0D555386" w:rsidR="004D1553" w:rsidRDefault="004D1553" w:rsidP="004D1553">
            <w:r>
              <w:t>2</w:t>
            </w:r>
          </w:p>
        </w:tc>
        <w:tc>
          <w:tcPr>
            <w:tcW w:w="1870" w:type="dxa"/>
          </w:tcPr>
          <w:p w14:paraId="2657F0CA" w14:textId="1D71F71A" w:rsidR="004D1553" w:rsidRDefault="004D1553" w:rsidP="004D1553">
            <w:r>
              <w:t>3</w:t>
            </w:r>
          </w:p>
        </w:tc>
      </w:tr>
      <w:tr w:rsidR="004D1553" w14:paraId="1C4AF9D6" w14:textId="77777777" w:rsidTr="004D1553">
        <w:tc>
          <w:tcPr>
            <w:tcW w:w="1870" w:type="dxa"/>
          </w:tcPr>
          <w:p w14:paraId="75A3C5C0" w14:textId="3821557F" w:rsidR="004D1553" w:rsidRDefault="004D1553" w:rsidP="004D1553">
            <w:r>
              <w:t>80-89</w:t>
            </w:r>
          </w:p>
        </w:tc>
        <w:tc>
          <w:tcPr>
            <w:tcW w:w="1870" w:type="dxa"/>
          </w:tcPr>
          <w:p w14:paraId="26E6468B" w14:textId="71D9B3B0" w:rsidR="004D1553" w:rsidRDefault="004D1553" w:rsidP="004D1553">
            <w:r>
              <w:t>22 - 25</w:t>
            </w:r>
          </w:p>
        </w:tc>
        <w:tc>
          <w:tcPr>
            <w:tcW w:w="1870" w:type="dxa"/>
          </w:tcPr>
          <w:p w14:paraId="6B2D1CA2" w14:textId="47CF5CE0" w:rsidR="004D1553" w:rsidRDefault="004D1553" w:rsidP="004D1553">
            <w:r>
              <w:t>2</w:t>
            </w:r>
          </w:p>
        </w:tc>
        <w:tc>
          <w:tcPr>
            <w:tcW w:w="1870" w:type="dxa"/>
          </w:tcPr>
          <w:p w14:paraId="3CB06066" w14:textId="792AD39D" w:rsidR="004D1553" w:rsidRDefault="004D1553" w:rsidP="004D1553">
            <w:r>
              <w:t>3</w:t>
            </w:r>
          </w:p>
        </w:tc>
        <w:tc>
          <w:tcPr>
            <w:tcW w:w="1870" w:type="dxa"/>
          </w:tcPr>
          <w:p w14:paraId="556EF21C" w14:textId="7B0530DB" w:rsidR="004D1553" w:rsidRDefault="004D1553" w:rsidP="004D1553">
            <w:r>
              <w:t>3</w:t>
            </w:r>
          </w:p>
        </w:tc>
      </w:tr>
      <w:tr w:rsidR="004D1553" w14:paraId="7DFF304E" w14:textId="77777777" w:rsidTr="004D1553">
        <w:tc>
          <w:tcPr>
            <w:tcW w:w="1870" w:type="dxa"/>
          </w:tcPr>
          <w:p w14:paraId="035F3C2C" w14:textId="11304775" w:rsidR="004D1553" w:rsidRDefault="004D1553" w:rsidP="004D1553">
            <w:r>
              <w:t>90-99</w:t>
            </w:r>
          </w:p>
        </w:tc>
        <w:tc>
          <w:tcPr>
            <w:tcW w:w="1870" w:type="dxa"/>
          </w:tcPr>
          <w:p w14:paraId="779404A6" w14:textId="04321DC3" w:rsidR="004D1553" w:rsidRDefault="004D1553" w:rsidP="004D1553">
            <w:r>
              <w:t>23-25</w:t>
            </w:r>
          </w:p>
        </w:tc>
        <w:tc>
          <w:tcPr>
            <w:tcW w:w="1870" w:type="dxa"/>
          </w:tcPr>
          <w:p w14:paraId="04835C01" w14:textId="11AC758B" w:rsidR="004D1553" w:rsidRDefault="004D1553" w:rsidP="004D1553">
            <w:r>
              <w:t>3</w:t>
            </w:r>
          </w:p>
        </w:tc>
        <w:tc>
          <w:tcPr>
            <w:tcW w:w="1870" w:type="dxa"/>
          </w:tcPr>
          <w:p w14:paraId="3E6D440B" w14:textId="202615B6" w:rsidR="004D1553" w:rsidRDefault="004D1553" w:rsidP="004D1553">
            <w:r>
              <w:t>3</w:t>
            </w:r>
          </w:p>
        </w:tc>
        <w:tc>
          <w:tcPr>
            <w:tcW w:w="1870" w:type="dxa"/>
          </w:tcPr>
          <w:p w14:paraId="00D81DE3" w14:textId="701BB424" w:rsidR="004D1553" w:rsidRDefault="004D1553" w:rsidP="004D1553">
            <w:r>
              <w:t>3</w:t>
            </w:r>
          </w:p>
        </w:tc>
      </w:tr>
      <w:tr w:rsidR="004D1553" w14:paraId="687C1C77" w14:textId="77777777" w:rsidTr="004D1553">
        <w:tc>
          <w:tcPr>
            <w:tcW w:w="1870" w:type="dxa"/>
          </w:tcPr>
          <w:p w14:paraId="41ED0BEF" w14:textId="71DABECA" w:rsidR="004D1553" w:rsidRDefault="004D1553" w:rsidP="004D1553">
            <w:r>
              <w:t>100-109</w:t>
            </w:r>
          </w:p>
        </w:tc>
        <w:tc>
          <w:tcPr>
            <w:tcW w:w="1870" w:type="dxa"/>
          </w:tcPr>
          <w:p w14:paraId="3DEFAEE9" w14:textId="6FD63302" w:rsidR="004D1553" w:rsidRDefault="004D1553" w:rsidP="004D1553">
            <w:r>
              <w:t>23-25</w:t>
            </w:r>
          </w:p>
        </w:tc>
        <w:tc>
          <w:tcPr>
            <w:tcW w:w="1870" w:type="dxa"/>
          </w:tcPr>
          <w:p w14:paraId="2F15E761" w14:textId="076FB5A9" w:rsidR="004D1553" w:rsidRDefault="004D1553" w:rsidP="004D1553">
            <w:r>
              <w:t>3</w:t>
            </w:r>
          </w:p>
        </w:tc>
        <w:tc>
          <w:tcPr>
            <w:tcW w:w="1870" w:type="dxa"/>
          </w:tcPr>
          <w:p w14:paraId="765A39B2" w14:textId="6398D774" w:rsidR="004D1553" w:rsidRDefault="004D1553" w:rsidP="004D1553">
            <w:r>
              <w:t>3</w:t>
            </w:r>
          </w:p>
        </w:tc>
        <w:tc>
          <w:tcPr>
            <w:tcW w:w="1870" w:type="dxa"/>
          </w:tcPr>
          <w:p w14:paraId="7E644A1C" w14:textId="798E6CC8" w:rsidR="004D1553" w:rsidRDefault="004D1553" w:rsidP="004D1553">
            <w:r>
              <w:t>4</w:t>
            </w:r>
          </w:p>
        </w:tc>
      </w:tr>
      <w:tr w:rsidR="004D1553" w14:paraId="0224B95C" w14:textId="77777777" w:rsidTr="004D1553">
        <w:tc>
          <w:tcPr>
            <w:tcW w:w="1870" w:type="dxa"/>
          </w:tcPr>
          <w:p w14:paraId="7C5CEAA7" w14:textId="67F02738" w:rsidR="004D1553" w:rsidRDefault="004D1553" w:rsidP="004D1553">
            <w:r>
              <w:t>&gt;110</w:t>
            </w:r>
          </w:p>
        </w:tc>
        <w:tc>
          <w:tcPr>
            <w:tcW w:w="1870" w:type="dxa"/>
          </w:tcPr>
          <w:p w14:paraId="13A2F850" w14:textId="77777777" w:rsidR="004D1553" w:rsidRDefault="004D1553" w:rsidP="004D1553"/>
        </w:tc>
        <w:tc>
          <w:tcPr>
            <w:tcW w:w="1870" w:type="dxa"/>
          </w:tcPr>
          <w:p w14:paraId="6E1CE169" w14:textId="031D8536" w:rsidR="004D1553" w:rsidRDefault="004D1553" w:rsidP="004D1553">
            <w:r>
              <w:t>3</w:t>
            </w:r>
          </w:p>
        </w:tc>
        <w:tc>
          <w:tcPr>
            <w:tcW w:w="1870" w:type="dxa"/>
          </w:tcPr>
          <w:p w14:paraId="65007CDE" w14:textId="1E8C1161" w:rsidR="004D1553" w:rsidRDefault="004D1553" w:rsidP="004D1553">
            <w:r>
              <w:t>4</w:t>
            </w:r>
          </w:p>
        </w:tc>
        <w:tc>
          <w:tcPr>
            <w:tcW w:w="1870" w:type="dxa"/>
          </w:tcPr>
          <w:p w14:paraId="5EC33713" w14:textId="7E8388E2" w:rsidR="004D1553" w:rsidRDefault="004D1553" w:rsidP="004D1553">
            <w:r>
              <w:t>4</w:t>
            </w:r>
          </w:p>
        </w:tc>
      </w:tr>
    </w:tbl>
    <w:p w14:paraId="17AD6A02" w14:textId="77777777" w:rsidR="004D1553" w:rsidRDefault="004D1553" w:rsidP="004D1553"/>
    <w:p w14:paraId="2835B562" w14:textId="77777777" w:rsidR="004D1553" w:rsidRPr="0091385D" w:rsidRDefault="004D1553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319134DB" w14:textId="77777777" w:rsidR="004D1553" w:rsidRPr="0063460B" w:rsidRDefault="004D1553" w:rsidP="004D1553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Урзофалк капсули не трябва да се употребява при пациенти с:</w:t>
      </w:r>
    </w:p>
    <w:p w14:paraId="21CA5479" w14:textId="77777777" w:rsidR="004D1553" w:rsidRPr="0063460B" w:rsidRDefault="004D1553" w:rsidP="004D1553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остро възпаление на жлъчния мехур и жлъчните пътища;</w:t>
      </w:r>
    </w:p>
    <w:p w14:paraId="32A931E0" w14:textId="77777777" w:rsidR="004D1553" w:rsidRPr="0063460B" w:rsidRDefault="004D1553" w:rsidP="004D1553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запушване на жлъчните пътища (запушване на общия жлъчен канал или на </w:t>
      </w:r>
      <w:r w:rsidRPr="0063460B">
        <w:rPr>
          <w:rFonts w:eastAsia="Times New Roman" w:cs="Arial"/>
          <w:color w:val="000000"/>
          <w:lang w:val="en-US"/>
        </w:rPr>
        <w:t xml:space="preserve">ductus </w:t>
      </w:r>
      <w:proofErr w:type="spellStart"/>
      <w:r w:rsidRPr="0063460B">
        <w:rPr>
          <w:rFonts w:eastAsia="Times New Roman" w:cs="Arial"/>
          <w:color w:val="000000"/>
          <w:lang w:val="en-US"/>
        </w:rPr>
        <w:t>cysticus</w:t>
      </w:r>
      <w:proofErr w:type="spellEnd"/>
      <w:r w:rsidRPr="0063460B">
        <w:rPr>
          <w:rFonts w:eastAsia="Times New Roman" w:cs="Arial"/>
          <w:color w:val="000000"/>
          <w:lang w:val="en-US"/>
        </w:rPr>
        <w:t>);</w:t>
      </w:r>
    </w:p>
    <w:p w14:paraId="67C4A70E" w14:textId="77777777" w:rsidR="004D1553" w:rsidRPr="0063460B" w:rsidRDefault="004D1553" w:rsidP="004D1553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 чести епизоди на жлъчна колика;</w:t>
      </w:r>
    </w:p>
    <w:p w14:paraId="2B64DB6F" w14:textId="77777777" w:rsidR="004D1553" w:rsidRPr="0063460B" w:rsidRDefault="004D1553" w:rsidP="004D1553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калцифицирани жлъчни камъни, които не се визуализират при рентгеново изследване; нарушена контрактилност на жлъчния мехур;</w:t>
      </w:r>
    </w:p>
    <w:p w14:paraId="4B7EF017" w14:textId="1CA61AF5" w:rsidR="004D1553" w:rsidRPr="0063460B" w:rsidRDefault="004D1553" w:rsidP="004D1553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lastRenderedPageBreak/>
        <w:t>свръхчувствителност към жлъчни киселини или към някое от помощните вещества, изброени в точка 6.1.</w:t>
      </w:r>
    </w:p>
    <w:p w14:paraId="412A2647" w14:textId="77777777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</w:p>
    <w:p w14:paraId="0EFA3334" w14:textId="77777777" w:rsidR="004D1553" w:rsidRPr="0063460B" w:rsidRDefault="004D1553" w:rsidP="004D1553">
      <w:pPr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Педиатрична популация </w:t>
      </w:r>
    </w:p>
    <w:p w14:paraId="030B6A4D" w14:textId="090B3B9A" w:rsidR="00EC41ED" w:rsidRPr="0063460B" w:rsidRDefault="004D1553" w:rsidP="004D1553">
      <w:pPr>
        <w:pStyle w:val="ListParagraph"/>
        <w:numPr>
          <w:ilvl w:val="0"/>
          <w:numId w:val="37"/>
        </w:num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>неуспешна портоентеростомия или невъзстановен жлъчен отток при деца с билиарна атрезия.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2A7DB92B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Урзофалк капсули трябва да се приемат под лекарско наблюдение.</w:t>
      </w:r>
    </w:p>
    <w:p w14:paraId="7CB35912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356051" w14:textId="40F47182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Чернодробните функционални изследвания (АС АТ/СГОТ, АЛАТ/СГПТ, γ-ГТ) трябва да се проследяват на всеки 4 седмици през първите 3 месеца на лечението, а след това - веднъж на всеки 3 месеца. Освен правейки възможно идентифицирането на повлияващите се и неповлияващите се сред пациентите, третирани за ПБЦ, това проследяване подпомага и ранното откриване на потенциално влошаване на чернодробния статус, особено при пациенти с напреднал стадий на ПБЦ.</w:t>
      </w:r>
    </w:p>
    <w:p w14:paraId="7CC0767D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EBCD804" w14:textId="076D075F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u w:val="single"/>
          <w:lang w:eastAsia="bg-BG"/>
        </w:rPr>
        <w:t>За разтв аряне на холестеролови камъни:</w:t>
      </w:r>
    </w:p>
    <w:p w14:paraId="2DB8146E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С оглед да се прецени ефекта от лечението и за навременно откриване на всяка калцификация на жлъчните камъни, в зависимост от размера на камъка се препоръчва рентгеново изследване  на жлъчния мехур (перорална холецистография) с обзорна и прицелна рентгенографии в изправено и лежащо положение (ултразвуков контрол) 6-10 месеца след началото на лечението.</w:t>
      </w:r>
    </w:p>
    <w:p w14:paraId="09F486EC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</w:p>
    <w:p w14:paraId="0E28BBDE" w14:textId="1AC061CB" w:rsidR="007A2185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Урзофалк капсули не трябва да се приемат, ако жлъчните камъни не се визуализират, ренгенографски или в случаи на калцификация, нарушен контрактилитет на жлъчния мехур или</w:t>
      </w:r>
      <w:r>
        <w:rPr>
          <w:rFonts w:eastAsia="Times New Roman" w:cs="Arial"/>
          <w:lang w:val="en-US" w:eastAsia="bg-BG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чести епизоди на жлъчна колика.</w:t>
      </w:r>
    </w:p>
    <w:p w14:paraId="24E3E82F" w14:textId="7E8E9557" w:rsidR="0091385D" w:rsidRPr="0063460B" w:rsidRDefault="0091385D" w:rsidP="0091385D">
      <w:pPr>
        <w:rPr>
          <w:rFonts w:cs="Arial"/>
        </w:rPr>
      </w:pPr>
    </w:p>
    <w:p w14:paraId="7253C28E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Жените, приемащи Урзофалк капсули за разтваряне на жлъчни камъни, трябва да използват ефективен нехормонален метод на контрацепция, тъй като хормоналните контрацептиви може да стимулират билиарната литиаза (вж. точки 4.5 и 4.6).</w:t>
      </w:r>
    </w:p>
    <w:p w14:paraId="7380494C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25BC3F7" w14:textId="56AE3050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u w:val="single"/>
          <w:lang w:eastAsia="bg-BG"/>
        </w:rPr>
        <w:t>За лечение на напреднал стадий на ПБЦ:</w:t>
      </w:r>
    </w:p>
    <w:p w14:paraId="6579904D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В много редки случаи се наблюдава декомпенсация на чернодробна цироза, която частично претърпява обратно развитие след преустановяване на лечението.</w:t>
      </w:r>
    </w:p>
    <w:p w14:paraId="6C0AFFE5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A1D54F" w14:textId="1B88D974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При пациенти с ПБЦ, в редки случаи се наблюдава влошаване на клиничните симптоми в началото на лечението, напр. увеличен сърбеж. В този случай дозата на Урзофалк капсули трябва да се намали до една Урзофалк капсула дневно и след това постепенно отново да се увеличи, както е описано в точка 4.2.</w:t>
      </w:r>
    </w:p>
    <w:p w14:paraId="319CE207" w14:textId="77777777" w:rsidR="0063460B" w:rsidRPr="0063460B" w:rsidRDefault="0063460B" w:rsidP="0063460B">
      <w:pPr>
        <w:rPr>
          <w:rFonts w:eastAsia="Times New Roman" w:cs="Arial"/>
          <w:color w:val="000000"/>
          <w:lang w:eastAsia="bg-BG"/>
        </w:rPr>
      </w:pPr>
    </w:p>
    <w:p w14:paraId="3F04153B" w14:textId="7D07DC57" w:rsidR="0063460B" w:rsidRPr="0063460B" w:rsidRDefault="0063460B" w:rsidP="0063460B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>При възникване на диария, дозата трябва да се намали, а в случаите на персистираща диария, лечението трябва да се преустанови.</w:t>
      </w:r>
    </w:p>
    <w:p w14:paraId="4FF1BBC3" w14:textId="77777777" w:rsidR="0063460B" w:rsidRPr="0091385D" w:rsidRDefault="0063460B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771672C3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lastRenderedPageBreak/>
        <w:t xml:space="preserve">Урзофалк капсули не трябва да се прилага едновременно с колестирамин, колестипол или антиациди, съдържащи алуминиев хидроксид и/или алуминиев оксид, например смектит, защото тези продукти се свързват с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в червата и по този начин намаляват нейната абсорбция и ефикасност. Ако се налага приложението на продукт, съдържащ някое от тези активни вещества, той трябва да се приема поне 2 часа преди или след Урзофалк капсули.</w:t>
      </w:r>
    </w:p>
    <w:p w14:paraId="20784482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3D8E10" w14:textId="02F5883D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Урзофалк капсули може да наруши абсорбцията на циклоспорин в червата. Пациенти, които провеждат лечение с циклоспорин подлежат на контрол на серумното ниво на същия и при нужда, уточняване на дозата циклоспорин от лекуващия лекар.</w:t>
      </w:r>
    </w:p>
    <w:p w14:paraId="5889E579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7FD2F4" w14:textId="6C0009EE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В отделни случаи Урзофалк капсули може да намали абсорбцията на ципрофлоксацин.</w:t>
      </w:r>
    </w:p>
    <w:p w14:paraId="3C82DA17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CCBDFF" w14:textId="3D353018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В клинично проучване при здрави доброволци, едновременното приложение на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 xml:space="preserve">(500 </w:t>
      </w:r>
      <w:r w:rsidRPr="0063460B">
        <w:rPr>
          <w:rFonts w:eastAsia="Times New Roman" w:cs="Arial"/>
          <w:color w:val="000000"/>
          <w:lang w:val="en-US"/>
        </w:rPr>
        <w:t>mg</w:t>
      </w:r>
      <w:r w:rsidRPr="0063460B">
        <w:rPr>
          <w:rFonts w:eastAsia="Times New Roman" w:cs="Arial"/>
          <w:color w:val="000000"/>
          <w:lang w:eastAsia="bg-BG"/>
        </w:rPr>
        <w:t xml:space="preserve">/ден) и розувастатин (20 </w:t>
      </w:r>
      <w:r w:rsidRPr="0063460B">
        <w:rPr>
          <w:rFonts w:eastAsia="Times New Roman" w:cs="Arial"/>
          <w:color w:val="000000"/>
          <w:lang w:val="en-US"/>
        </w:rPr>
        <w:t>mg</w:t>
      </w:r>
      <w:r w:rsidRPr="0063460B">
        <w:rPr>
          <w:rFonts w:eastAsia="Times New Roman" w:cs="Arial"/>
          <w:color w:val="000000"/>
          <w:lang w:eastAsia="bg-BG"/>
        </w:rPr>
        <w:t>/ден) е довело до леко увеличени плазмени нива на розувастатин. Клиничното значение на това взаимодействие по отношение и на други статини е неизвестно.</w:t>
      </w:r>
    </w:p>
    <w:p w14:paraId="40ED55C4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A1B3EF" w14:textId="3DC16FDD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Доказано е, че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понижава максималните плазмени концентрации (С</w:t>
      </w:r>
      <w:r w:rsidRPr="0063460B">
        <w:rPr>
          <w:rFonts w:eastAsia="Times New Roman" w:cs="Arial"/>
          <w:color w:val="000000"/>
          <w:vertAlign w:val="subscript"/>
          <w:lang w:val="en-US"/>
        </w:rPr>
        <w:t>max</w:t>
      </w:r>
      <w:r w:rsidRPr="0063460B">
        <w:rPr>
          <w:rFonts w:eastAsia="Times New Roman" w:cs="Arial"/>
          <w:color w:val="000000"/>
          <w:lang w:eastAsia="bg-BG"/>
        </w:rPr>
        <w:t xml:space="preserve">) и площта под кривата </w:t>
      </w:r>
      <w:r w:rsidRPr="0063460B">
        <w:rPr>
          <w:rFonts w:eastAsia="Times New Roman" w:cs="Arial"/>
          <w:color w:val="000000"/>
          <w:lang w:val="en-US"/>
        </w:rPr>
        <w:t xml:space="preserve">(AUC) </w:t>
      </w:r>
      <w:r w:rsidRPr="0063460B">
        <w:rPr>
          <w:rFonts w:eastAsia="Times New Roman" w:cs="Arial"/>
          <w:color w:val="000000"/>
          <w:lang w:eastAsia="bg-BG"/>
        </w:rPr>
        <w:t xml:space="preserve">на калциевия антагонист нитрендипин при здрави доброволци. Препоръчва се внимателно мониториране на резултатите от едновременната употреба на нитрендипин и </w:t>
      </w:r>
      <w:r w:rsidRPr="0063460B">
        <w:rPr>
          <w:rFonts w:eastAsia="Times New Roman" w:cs="Arial"/>
          <w:color w:val="000000"/>
          <w:lang w:val="en-US"/>
        </w:rPr>
        <w:t xml:space="preserve">UDCA. </w:t>
      </w:r>
      <w:r w:rsidRPr="0063460B">
        <w:rPr>
          <w:rFonts w:eastAsia="Times New Roman" w:cs="Arial"/>
          <w:color w:val="000000"/>
          <w:lang w:eastAsia="bg-BG"/>
        </w:rPr>
        <w:t xml:space="preserve">Може да е необходимо увеличаване на дозата на нитрендипин. Съобщено е и взаимодействие с намаляване на терапевтичните ефекти на дапсон. Тези наблюдения, заедно с </w:t>
      </w:r>
      <w:r w:rsidRPr="0063460B">
        <w:rPr>
          <w:rFonts w:eastAsia="Times New Roman" w:cs="Arial"/>
          <w:i/>
          <w:iCs/>
          <w:color w:val="000000"/>
          <w:lang w:val="en-US"/>
        </w:rPr>
        <w:t>in vitro</w:t>
      </w:r>
      <w:r w:rsidRPr="0063460B">
        <w:rPr>
          <w:rFonts w:eastAsia="Times New Roman" w:cs="Arial"/>
          <w:color w:val="000000"/>
          <w:lang w:val="en-US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 xml:space="preserve">находките, подсказват за известен потенциал на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да индуцира цитохромните ензими Р450 ЗА. Подобна индукция, обаче, не е наблюдавана при добре замислено проучване за взаимодействията с буденозид, който е известен субстрат на цитохромните ензими Р450 ЗА.</w:t>
      </w:r>
    </w:p>
    <w:p w14:paraId="63BBFC0D" w14:textId="77777777" w:rsidR="0063460B" w:rsidRPr="0063460B" w:rsidRDefault="0063460B" w:rsidP="0063460B">
      <w:pPr>
        <w:rPr>
          <w:rFonts w:eastAsia="Times New Roman" w:cs="Arial"/>
          <w:color w:val="000000"/>
          <w:lang w:eastAsia="bg-BG"/>
        </w:rPr>
      </w:pPr>
    </w:p>
    <w:p w14:paraId="5B2761C5" w14:textId="0469A3C2" w:rsidR="0091385D" w:rsidRPr="0063460B" w:rsidRDefault="0063460B" w:rsidP="0063460B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 xml:space="preserve">Естрогенните хормони и понижаващите холестерола в кръвта продукти, като клофибрат, увеличават секрецията на холестерол от черния дроб и могат, следователно, да стимулират билиарната литиаза, което представлява обратен ефект по отношение на действието на </w:t>
      </w:r>
      <w:r w:rsidRPr="0063460B">
        <w:rPr>
          <w:rFonts w:eastAsia="Times New Roman" w:cs="Arial"/>
          <w:color w:val="000000"/>
          <w:lang w:val="en-US"/>
        </w:rPr>
        <w:t xml:space="preserve">UDCA, </w:t>
      </w:r>
      <w:r w:rsidRPr="0063460B">
        <w:rPr>
          <w:rFonts w:eastAsia="Times New Roman" w:cs="Arial"/>
          <w:color w:val="000000"/>
          <w:lang w:eastAsia="bg-BG"/>
        </w:rPr>
        <w:t>използвана за разтваряне на жлъчните камъни.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38995ED2" w14:textId="3DB84E11" w:rsidR="0063460B" w:rsidRPr="00885906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Проучванията при животни не показват повлияване на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върху</w:t>
      </w:r>
      <w:r w:rsidRPr="0063460B">
        <w:rPr>
          <w:rFonts w:eastAsia="Times New Roman" w:cs="Arial"/>
          <w:color w:val="000000"/>
          <w:lang w:val="en-US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фертилитета (вж. точка</w:t>
      </w:r>
      <w:r w:rsidR="00885906">
        <w:rPr>
          <w:rFonts w:eastAsia="Times New Roman" w:cs="Arial"/>
          <w:lang w:val="en-US" w:eastAsia="bg-BG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 xml:space="preserve">5.3). Липсват данни за ефекти върху фертилитета при хора след лечение с </w:t>
      </w:r>
      <w:r w:rsidRPr="0063460B">
        <w:rPr>
          <w:rFonts w:eastAsia="Times New Roman" w:cs="Arial"/>
          <w:color w:val="000000"/>
          <w:lang w:val="en-US"/>
        </w:rPr>
        <w:t>UDCA.</w:t>
      </w:r>
      <w:r w:rsidRPr="0063460B">
        <w:rPr>
          <w:rFonts w:eastAsia="Times New Roman" w:cs="Arial"/>
          <w:color w:val="000000"/>
          <w:lang w:eastAsia="bg-BG"/>
        </w:rPr>
        <w:t xml:space="preserve"> </w:t>
      </w:r>
    </w:p>
    <w:p w14:paraId="5C3F2F1D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346D86" w14:textId="290B9567" w:rsidR="0063460B" w:rsidRPr="0063460B" w:rsidRDefault="0063460B" w:rsidP="00885906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Липсват или има ограничени данни за употребата на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при бременни. Проучванията при</w:t>
      </w:r>
      <w:r w:rsidR="00885906">
        <w:rPr>
          <w:rFonts w:eastAsia="Times New Roman" w:cs="Arial"/>
          <w:lang w:val="en-US" w:eastAsia="bg-BG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 xml:space="preserve">животни показват репродуктивна токсичност през ранната гестационна фаза (вж. точка 5.5). Урзофалк капсули не трябва да се използват по време на бременност, освен ако лечението не е </w:t>
      </w:r>
      <w:r w:rsidRPr="0063460B">
        <w:rPr>
          <w:rFonts w:eastAsia="Times New Roman" w:cs="Arial"/>
          <w:color w:val="000000"/>
          <w:lang w:val="en-US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категорично необходимо. Жените с детероден потенциал трябва да бъдат лекувани с Урзофалк капсули само ако прилагат надежден метод на контрацепция, като се препоръчват нехормонални проти</w:t>
      </w:r>
      <w:r w:rsidR="00885906">
        <w:rPr>
          <w:rFonts w:eastAsia="Times New Roman" w:cs="Arial"/>
          <w:color w:val="000000"/>
          <w:lang w:eastAsia="bg-BG"/>
        </w:rPr>
        <w:t xml:space="preserve">возачатъчни мерки или перорални </w:t>
      </w:r>
      <w:bookmarkStart w:id="1" w:name="_GoBack"/>
      <w:bookmarkEnd w:id="1"/>
      <w:r w:rsidRPr="0063460B">
        <w:rPr>
          <w:rFonts w:eastAsia="Times New Roman" w:cs="Arial"/>
          <w:color w:val="000000"/>
          <w:lang w:eastAsia="bg-BG"/>
        </w:rPr>
        <w:t xml:space="preserve">противозачатъчни средства с ниско съдържание на естроген. При пациенти, приемащи Урзофалк капсули за разтваряне на жлъчни камъни, обаче, трябва да се прилага само ефективна нехормонална контрацепция, </w:t>
      </w:r>
      <w:r w:rsidR="00885906">
        <w:rPr>
          <w:rFonts w:eastAsia="Times New Roman" w:cs="Arial"/>
          <w:color w:val="000000"/>
          <w:lang w:eastAsia="bg-BG"/>
        </w:rPr>
        <w:t xml:space="preserve">тъй като хормоналните перорални </w:t>
      </w:r>
      <w:r w:rsidRPr="0063460B">
        <w:rPr>
          <w:rFonts w:eastAsia="Times New Roman" w:cs="Arial"/>
          <w:color w:val="000000"/>
          <w:lang w:eastAsia="bg-BG"/>
        </w:rPr>
        <w:t>контрацептиви могат да стимулират билиарната литиаза. Преди започване на лечението трябва да се изключи съществуваща бременност.</w:t>
      </w:r>
    </w:p>
    <w:p w14:paraId="48F0BB4D" w14:textId="77777777" w:rsidR="0063460B" w:rsidRPr="0063460B" w:rsidRDefault="0063460B" w:rsidP="0063460B">
      <w:pPr>
        <w:rPr>
          <w:rFonts w:eastAsia="Times New Roman" w:cs="Arial"/>
          <w:color w:val="000000"/>
          <w:lang w:eastAsia="bg-BG"/>
        </w:rPr>
      </w:pPr>
    </w:p>
    <w:p w14:paraId="102F0D07" w14:textId="6EFBB236" w:rsidR="007A2185" w:rsidRPr="0063460B" w:rsidRDefault="0063460B" w:rsidP="0063460B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lastRenderedPageBreak/>
        <w:t xml:space="preserve">Според малкото на брой документирани случаи на кърмещи жени, стойностите на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в кърмата са много ниски и вероятно не могат да се очакват нежелани реакции при кърмачето.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371248F5" w:rsidR="007A2185" w:rsidRPr="0063460B" w:rsidRDefault="0063460B" w:rsidP="0091385D">
      <w:pPr>
        <w:rPr>
          <w:rFonts w:cs="Arial"/>
        </w:rPr>
      </w:pPr>
      <w:r w:rsidRPr="0063460B">
        <w:rPr>
          <w:rFonts w:cs="Arial"/>
          <w:lang w:val="en-US"/>
        </w:rPr>
        <w:t xml:space="preserve">UDCA </w:t>
      </w:r>
      <w:r w:rsidRPr="0063460B">
        <w:rPr>
          <w:rFonts w:cs="Arial"/>
        </w:rPr>
        <w:t>не повлиява или повлиява пренебрежимо способността за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7016B28B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Оценката на нежеланите реакции е въз основа на следните данни за честота:</w:t>
      </w:r>
    </w:p>
    <w:p w14:paraId="0F67AEFF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CC7A6D" w14:textId="0E989A64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Много чести (&gt; 1/10)</w:t>
      </w:r>
    </w:p>
    <w:p w14:paraId="0C816438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Чести (&gt; 1/100 до &lt;1/10)</w:t>
      </w:r>
    </w:p>
    <w:p w14:paraId="7062AAA7" w14:textId="77777777" w:rsidR="00885906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Нечести (&gt; 1/1 000 до &lt; 1/100) </w:t>
      </w:r>
    </w:p>
    <w:p w14:paraId="034FB937" w14:textId="77777777" w:rsidR="00885906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Редки (&gt; 1/10 000 до &lt; 1/1 000) </w:t>
      </w:r>
    </w:p>
    <w:p w14:paraId="5AEE69CC" w14:textId="1439AA8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Много редки (&lt; 1/10 000) / С неизвестна честота (от наличните данни не може да бъде направена оценка)</w:t>
      </w:r>
    </w:p>
    <w:p w14:paraId="7FC27A5F" w14:textId="77777777" w:rsidR="0063460B" w:rsidRPr="0063460B" w:rsidRDefault="0063460B" w:rsidP="00634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75D8C75" w14:textId="17B116C0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i/>
          <w:iCs/>
          <w:color w:val="000000"/>
          <w:lang w:eastAsia="bg-BG"/>
        </w:rPr>
        <w:t>Стомашно-чревни нарушения:</w:t>
      </w:r>
    </w:p>
    <w:p w14:paraId="2AE213B6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При клиничните изпитвания, съобщенията за кашави изпражнения или диария по време на лечение с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са чести.</w:t>
      </w:r>
    </w:p>
    <w:p w14:paraId="3E1AF13A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Много рядко, по време на лечение на ПБЦ, може да се появи силна абдоминална болка в дясната коремна половина.</w:t>
      </w:r>
    </w:p>
    <w:p w14:paraId="655D5AD2" w14:textId="77777777" w:rsidR="0063460B" w:rsidRPr="0063460B" w:rsidRDefault="0063460B" w:rsidP="00634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AA51C2F" w14:textId="62DD784F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i/>
          <w:iCs/>
          <w:color w:val="000000"/>
          <w:lang w:eastAsia="bg-BG"/>
        </w:rPr>
        <w:t>Хепатобилиарни нарушения:</w:t>
      </w:r>
    </w:p>
    <w:p w14:paraId="1B36EFF3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По време на лечението с </w:t>
      </w:r>
      <w:r w:rsidRPr="0063460B">
        <w:rPr>
          <w:rFonts w:eastAsia="Times New Roman" w:cs="Arial"/>
          <w:color w:val="000000"/>
          <w:lang w:val="en-US"/>
        </w:rPr>
        <w:t xml:space="preserve">UDCA, </w:t>
      </w:r>
      <w:r w:rsidRPr="0063460B">
        <w:rPr>
          <w:rFonts w:eastAsia="Times New Roman" w:cs="Arial"/>
          <w:color w:val="000000"/>
          <w:lang w:eastAsia="bg-BG"/>
        </w:rPr>
        <w:t>в много редки случаи може да настъпи калцификация на жлъчните камъни.</w:t>
      </w:r>
    </w:p>
    <w:p w14:paraId="259FEB96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По време на лечение на напреднала фаза на ПБЦ, в много редки случаи се наблюдава декомпенсация на чернодробна цироза, която частично претърпява обратно развитие след спиране на лечението.</w:t>
      </w:r>
    </w:p>
    <w:p w14:paraId="7EB55C08" w14:textId="77777777" w:rsidR="0063460B" w:rsidRPr="0063460B" w:rsidRDefault="0063460B" w:rsidP="00634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31D96B6" w14:textId="4E250ECB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i/>
          <w:iCs/>
          <w:color w:val="000000"/>
          <w:lang w:eastAsia="bg-BG"/>
        </w:rPr>
        <w:t xml:space="preserve">Нарушения на кожата и подкожната тъкан: </w:t>
      </w:r>
      <w:r w:rsidRPr="0063460B">
        <w:rPr>
          <w:rFonts w:eastAsia="Times New Roman" w:cs="Arial"/>
          <w:color w:val="000000"/>
          <w:lang w:eastAsia="bg-BG"/>
        </w:rPr>
        <w:t>Много рядко, може да се появи уртикария.</w:t>
      </w:r>
    </w:p>
    <w:p w14:paraId="3E2C8CDF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2B86F5" w14:textId="4B4C036F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DE51962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 ул. „Дамян Груев” № 8 1303 София</w:t>
      </w:r>
    </w:p>
    <w:p w14:paraId="0254AACC" w14:textId="790B8DCE" w:rsidR="007A2185" w:rsidRPr="0063460B" w:rsidRDefault="0063460B" w:rsidP="0063460B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 xml:space="preserve">Тел.. +35 928903417 уебсайт: </w:t>
      </w:r>
      <w:r w:rsidRPr="0063460B">
        <w:rPr>
          <w:rFonts w:eastAsia="Times New Roman" w:cs="Arial"/>
          <w:lang w:eastAsia="bg-BG"/>
        </w:rPr>
        <w:fldChar w:fldCharType="begin"/>
      </w:r>
      <w:r w:rsidRPr="0063460B">
        <w:rPr>
          <w:rFonts w:eastAsia="Times New Roman" w:cs="Arial"/>
          <w:lang w:eastAsia="bg-BG"/>
        </w:rPr>
        <w:instrText xml:space="preserve"> HYPERLINK "http://www.bda.bg" </w:instrText>
      </w:r>
      <w:r w:rsidRPr="0063460B">
        <w:rPr>
          <w:rFonts w:eastAsia="Times New Roman" w:cs="Arial"/>
          <w:lang w:eastAsia="bg-BG"/>
        </w:rPr>
      </w:r>
      <w:r w:rsidRPr="0063460B">
        <w:rPr>
          <w:rFonts w:eastAsia="Times New Roman" w:cs="Arial"/>
          <w:lang w:eastAsia="bg-BG"/>
        </w:rPr>
        <w:fldChar w:fldCharType="separate"/>
      </w:r>
      <w:r w:rsidRPr="0063460B">
        <w:rPr>
          <w:rFonts w:eastAsia="Times New Roman" w:cs="Arial"/>
          <w:color w:val="000000"/>
          <w:u w:val="single"/>
          <w:lang w:val="en-US"/>
        </w:rPr>
        <w:t>www.bda.bg</w:t>
      </w:r>
      <w:r w:rsidRPr="0063460B">
        <w:rPr>
          <w:rFonts w:eastAsia="Times New Roman" w:cs="Arial"/>
          <w:lang w:eastAsia="bg-BG"/>
        </w:rPr>
        <w:fldChar w:fldCharType="end"/>
      </w:r>
    </w:p>
    <w:p w14:paraId="443BC107" w14:textId="77777777" w:rsidR="005B0F27" w:rsidRPr="0091385D" w:rsidRDefault="005B0F27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0C1A58CD" w14:textId="137D1ED1" w:rsidR="0063460B" w:rsidRPr="0063460B" w:rsidRDefault="0063460B" w:rsidP="0063460B">
      <w:pPr>
        <w:rPr>
          <w:rFonts w:eastAsia="Times New Roman" w:cs="Arial"/>
          <w:lang w:eastAsia="bg-BG"/>
        </w:rPr>
      </w:pPr>
      <w:r w:rsidRPr="0063460B">
        <w:rPr>
          <w:rFonts w:cs="Arial"/>
        </w:rPr>
        <w:t xml:space="preserve">В случай на предозиране може да се появи диария. Обикновено е малко вероятно да се стигне  до предозиране, защото с увеличаване на дозата, абсорбцията на </w:t>
      </w:r>
      <w:r w:rsidRPr="0063460B">
        <w:rPr>
          <w:rFonts w:cs="Arial"/>
          <w:lang w:val="en-US"/>
        </w:rPr>
        <w:t xml:space="preserve">UDCA </w:t>
      </w:r>
      <w:r w:rsidRPr="0063460B">
        <w:rPr>
          <w:rFonts w:cs="Arial"/>
        </w:rPr>
        <w:t>намалява и екскрецията.</w:t>
      </w:r>
      <w:r w:rsidRPr="0063460B">
        <w:rPr>
          <w:rFonts w:cs="Arial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с фекалиите се увеличава.</w:t>
      </w:r>
    </w:p>
    <w:p w14:paraId="0FBC514B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CD5AE1" w14:textId="4213E170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Не е необходимо прилагане на специфични мерки, а последствията от диарията трябва да се лекуват симптоматично с въстановяване на равновесието на телесните течности и електролити.</w:t>
      </w:r>
    </w:p>
    <w:p w14:paraId="53B8A1A5" w14:textId="77777777" w:rsidR="0063460B" w:rsidRPr="0063460B" w:rsidRDefault="0063460B" w:rsidP="0063460B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624629A" w14:textId="46876849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i/>
          <w:iCs/>
          <w:color w:val="000000"/>
          <w:lang w:eastAsia="bg-BG"/>
        </w:rPr>
        <w:t>Допълнителна информация за специалните популации</w:t>
      </w:r>
    </w:p>
    <w:p w14:paraId="6A43B8F3" w14:textId="3CE760E6" w:rsidR="007A2185" w:rsidRPr="0063460B" w:rsidRDefault="0063460B" w:rsidP="0063460B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 xml:space="preserve">Дългосрочното, високодозово (28-30 </w:t>
      </w:r>
      <w:r w:rsidRPr="0063460B">
        <w:rPr>
          <w:rFonts w:eastAsia="Times New Roman" w:cs="Arial"/>
          <w:color w:val="000000"/>
          <w:lang w:val="en-US"/>
        </w:rPr>
        <w:t>mg/kg</w:t>
      </w:r>
      <w:r w:rsidRPr="0063460B">
        <w:rPr>
          <w:rFonts w:eastAsia="Times New Roman" w:cs="Arial"/>
          <w:color w:val="000000"/>
          <w:lang w:eastAsia="bg-BG"/>
        </w:rPr>
        <w:t xml:space="preserve">/ден) лечение с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при пациенти с първичен склерозиращ холангит (употреба извън одобрените показания) е свързано с по-висока честота на сериозните нежелани събития.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4046087D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Фармакотерапевтична група: Урзодезоксихолева киселина и чернодробно лечение, липотропици,</w:t>
      </w:r>
    </w:p>
    <w:p w14:paraId="59C088F0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АТС код: А05АА02 и А05АВ</w:t>
      </w:r>
    </w:p>
    <w:p w14:paraId="4A523DBF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Физиологично, малки количества от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се намират в жлъчката на човека.</w:t>
      </w:r>
    </w:p>
    <w:p w14:paraId="3365EC85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17AB11" w14:textId="20871188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След перорално приложение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намалява холестероловата сатурация в жлъчката чрез потискане на холестероловата абсорбция в червата и намаляване на холестероловата секреция в жлъчката. Навярно в резултат от дисперсията на холестерола и образуването на течни кристали, се получава постепенно разтваряне на холестероловите жлъчни камъни.</w:t>
      </w:r>
    </w:p>
    <w:p w14:paraId="5BF9BD21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0A8D7C" w14:textId="674EFAD5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Според съвременните познания, ефектите на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 xml:space="preserve">при чернодробни заболявания и холестаза се дължат на относителна замяна на липофилните токсични жлъчни киселини с детергентно действие с хидрофилната, цитопротективна нетоксична </w:t>
      </w:r>
      <w:r w:rsidRPr="0063460B">
        <w:rPr>
          <w:rFonts w:eastAsia="Times New Roman" w:cs="Arial"/>
          <w:color w:val="000000"/>
          <w:lang w:val="en-US"/>
        </w:rPr>
        <w:t xml:space="preserve">UDCA, </w:t>
      </w:r>
      <w:r w:rsidRPr="0063460B">
        <w:rPr>
          <w:rFonts w:eastAsia="Times New Roman" w:cs="Arial"/>
          <w:color w:val="000000"/>
          <w:lang w:eastAsia="bg-BG"/>
        </w:rPr>
        <w:t>както и на подобрената хепатоцитна секреция и имунорегулаторни процеси.</w:t>
      </w:r>
    </w:p>
    <w:p w14:paraId="6DA39222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E28D83" w14:textId="3AEE93A9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Педиатрична популация</w:t>
      </w:r>
    </w:p>
    <w:p w14:paraId="505BAEA9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Кистична фиброза</w:t>
      </w:r>
    </w:p>
    <w:p w14:paraId="038F692B" w14:textId="68485B97" w:rsidR="007A2185" w:rsidRPr="0063460B" w:rsidRDefault="0063460B" w:rsidP="0063460B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 xml:space="preserve">Въз основа на клинични съобщения е събран продължителен опит от 10 и повече години за лечението с урзодезоксихолева киселина при пациенти, страдащи от кистична фиброза, свързана с хепатобилиарни нарушения </w:t>
      </w:r>
      <w:r w:rsidRPr="0063460B">
        <w:rPr>
          <w:rFonts w:eastAsia="Times New Roman" w:cs="Arial"/>
          <w:color w:val="000000"/>
          <w:lang w:val="en-US"/>
        </w:rPr>
        <w:t xml:space="preserve">(CFAHD). </w:t>
      </w:r>
      <w:r w:rsidRPr="0063460B">
        <w:rPr>
          <w:rFonts w:eastAsia="Times New Roman" w:cs="Arial"/>
          <w:color w:val="000000"/>
          <w:lang w:eastAsia="bg-BG"/>
        </w:rPr>
        <w:t>Има данни, че лечението с урзодезоксихолева киселина може да намали пролиферацията на жлъчните канали, да спре прогресията на тъканното увреждане и дори да доведе до обратно развитие на хепатобилиарните промени, ако бъде приложено в ранния стадий на кистичната фиброза, свързана с хепатобилиарни нарушения. Лечението с урзодезоксихолева киселина трябва да се започне възможно най-скоро след поставяне на диагноза „кистична фиброза, свързана с хепатобилиарни нарушения”, за да се оптимизира ефективността на лечението.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6C9A9F32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Перорално приложената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 xml:space="preserve">се абсорбира бързо в йеюнума и горната част на илеума чрез пасивен транспорт, а в терминалния илеум чрез активен транспорт. Степента на </w:t>
      </w:r>
      <w:r w:rsidRPr="0063460B">
        <w:rPr>
          <w:rFonts w:eastAsia="Times New Roman" w:cs="Arial"/>
          <w:color w:val="000000"/>
          <w:lang w:eastAsia="bg-BG"/>
        </w:rPr>
        <w:lastRenderedPageBreak/>
        <w:t>абсорбция обикновено е 60 - 80%. След абсорбцията, жлъчната киселина се подлага на почти пълна конюгация с аминокиселините глицин и таурин в черния дроб и след това се екскретира в жлъчката. Първоначалният клирънс през черния дроб е до 60%.</w:t>
      </w:r>
    </w:p>
    <w:p w14:paraId="38813EA1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869B7BA" w14:textId="7FA97B2B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В зависимост от дневната доза и подлежащото заболяване или състояние на черния дроб по-хидрофилната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се натрупва в жлъчката, В същото време се наблюдава относително  намаляване на другите, по-липофилни жлъчни киселини.</w:t>
      </w:r>
    </w:p>
    <w:p w14:paraId="7AE1B65B" w14:textId="77777777" w:rsidR="0063460B" w:rsidRPr="0063460B" w:rsidRDefault="0063460B" w:rsidP="0063460B">
      <w:pPr>
        <w:rPr>
          <w:rFonts w:eastAsia="Times New Roman" w:cs="Arial"/>
          <w:color w:val="000000"/>
          <w:lang w:eastAsia="bg-BG"/>
        </w:rPr>
      </w:pPr>
    </w:p>
    <w:p w14:paraId="6E3F1D85" w14:textId="77777777" w:rsidR="0063460B" w:rsidRPr="0063460B" w:rsidRDefault="0063460B" w:rsidP="0063460B">
      <w:pPr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Под влияние на чревните бактерии, претърпява частична деградация до 7-кетолитохолева киселина и литохолева киселина. Литохолевата киселина е хепатотоксична и причинява</w:t>
      </w:r>
      <w:r w:rsidRPr="0063460B">
        <w:rPr>
          <w:rFonts w:eastAsia="Times New Roman" w:cs="Arial"/>
          <w:color w:val="000000"/>
          <w:lang w:val="en-US" w:eastAsia="bg-BG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увреждане на чернодробния паренхим при някои животински видове. При човека се резорбират само много малки количества литохолева киселина, които се детоксикират в черния дроб чрез сулфуриране, преди да се екскретират с жлъчката и окончателно да се отстранят с изпражненията.</w:t>
      </w:r>
    </w:p>
    <w:p w14:paraId="6BF46042" w14:textId="77777777" w:rsidR="0063460B" w:rsidRPr="0063460B" w:rsidRDefault="0063460B" w:rsidP="0063460B">
      <w:pPr>
        <w:rPr>
          <w:rFonts w:eastAsia="Times New Roman" w:cs="Arial"/>
          <w:color w:val="000000"/>
          <w:lang w:eastAsia="bg-BG"/>
        </w:rPr>
      </w:pPr>
    </w:p>
    <w:p w14:paraId="45551830" w14:textId="22D54CEA" w:rsidR="007A2185" w:rsidRPr="0063460B" w:rsidRDefault="0063460B" w:rsidP="0063460B">
      <w:pPr>
        <w:rPr>
          <w:rFonts w:cs="Arial"/>
          <w:lang w:val="en-US"/>
        </w:rPr>
      </w:pPr>
      <w:r w:rsidRPr="0063460B">
        <w:rPr>
          <w:rFonts w:eastAsia="Times New Roman" w:cs="Arial"/>
          <w:color w:val="000000"/>
          <w:lang w:eastAsia="bg-BG"/>
        </w:rPr>
        <w:t xml:space="preserve">Времето на биологичното полуелиминиране на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е 3,5 - 5,8 дни.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05E5494C" w14:textId="1C5DF756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val="en-US" w:eastAsia="bg-BG"/>
        </w:rPr>
        <w:t xml:space="preserve">   </w:t>
      </w:r>
      <w:r w:rsidRPr="0063460B">
        <w:rPr>
          <w:rFonts w:eastAsia="Times New Roman" w:cs="Arial"/>
          <w:color w:val="000000"/>
          <w:lang w:eastAsia="bg-BG"/>
        </w:rPr>
        <w:t>а</w:t>
      </w:r>
      <w:r w:rsidRPr="0063460B">
        <w:rPr>
          <w:rFonts w:eastAsia="Times New Roman" w:cs="Arial"/>
          <w:color w:val="000000"/>
          <w:lang w:val="en-US" w:eastAsia="bg-BG"/>
        </w:rPr>
        <w:t>)</w:t>
      </w:r>
      <w:r w:rsidRPr="0063460B">
        <w:rPr>
          <w:rFonts w:eastAsia="Times New Roman" w:cs="Arial"/>
          <w:color w:val="000000"/>
          <w:lang w:eastAsia="bg-BG"/>
        </w:rPr>
        <w:t xml:space="preserve"> </w:t>
      </w:r>
      <w:r w:rsidRPr="0063460B">
        <w:rPr>
          <w:rFonts w:eastAsia="Times New Roman" w:cs="Arial"/>
          <w:color w:val="000000"/>
          <w:lang w:val="en-US" w:eastAsia="bg-BG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Остра токсичност</w:t>
      </w:r>
    </w:p>
    <w:p w14:paraId="48398D06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Проучванията за остра токсичност при животни не показват никакво </w:t>
      </w:r>
      <w:r w:rsidRPr="0063460B">
        <w:rPr>
          <w:rFonts w:eastAsia="Times New Roman" w:cs="Arial"/>
          <w:i/>
          <w:iCs/>
          <w:color w:val="000000"/>
          <w:lang w:eastAsia="bg-BG"/>
        </w:rPr>
        <w:t>токсично</w:t>
      </w:r>
      <w:r w:rsidRPr="0063460B">
        <w:rPr>
          <w:rFonts w:eastAsia="Times New Roman" w:cs="Arial"/>
          <w:color w:val="000000"/>
          <w:lang w:eastAsia="bg-BG"/>
        </w:rPr>
        <w:t xml:space="preserve"> увреждане.</w:t>
      </w:r>
    </w:p>
    <w:p w14:paraId="5222A324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E403A8" w14:textId="12FD59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val="en-US" w:eastAsia="bg-BG"/>
        </w:rPr>
        <w:t xml:space="preserve">   </w:t>
      </w:r>
      <w:r w:rsidRPr="0063460B">
        <w:rPr>
          <w:rFonts w:eastAsia="Times New Roman" w:cs="Arial"/>
          <w:color w:val="000000"/>
          <w:lang w:eastAsia="bg-BG"/>
        </w:rPr>
        <w:t>б</w:t>
      </w:r>
      <w:r w:rsidRPr="0063460B">
        <w:rPr>
          <w:rFonts w:eastAsia="Times New Roman" w:cs="Arial"/>
          <w:color w:val="000000"/>
          <w:lang w:val="en-US" w:eastAsia="bg-BG"/>
        </w:rPr>
        <w:t xml:space="preserve">) </w:t>
      </w:r>
      <w:r w:rsidRPr="0063460B">
        <w:rPr>
          <w:rFonts w:eastAsia="Times New Roman" w:cs="Arial"/>
          <w:color w:val="000000"/>
          <w:lang w:eastAsia="bg-BG"/>
        </w:rPr>
        <w:t xml:space="preserve"> Хронична токсичност</w:t>
      </w:r>
    </w:p>
    <w:p w14:paraId="606D341F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Проучванията за субхронична токсичност при маймуни показват хепатотоксичен ефект, включващ функционални промени (напр. промени на чернодробните ензими) и морфологични промени, като пролиферация на жлъчните канали, огнища на портално възпаление и хепатоцелуларна некроза в групите, получавали високи дози. Тези токсични ефекти най- вероятно се дължат на литохолевата киселина, метаболит на </w:t>
      </w:r>
      <w:r w:rsidRPr="0063460B">
        <w:rPr>
          <w:rFonts w:eastAsia="Times New Roman" w:cs="Arial"/>
          <w:color w:val="000000"/>
          <w:lang w:val="en-US"/>
        </w:rPr>
        <w:t xml:space="preserve">UDCA, </w:t>
      </w:r>
      <w:r w:rsidRPr="0063460B">
        <w:rPr>
          <w:rFonts w:eastAsia="Times New Roman" w:cs="Arial"/>
          <w:color w:val="000000"/>
          <w:lang w:eastAsia="bg-BG"/>
        </w:rPr>
        <w:t>която при маймуните - за разлика от хората - не се детоксикира. Клиничният опит потвърждава, че описаните хепатотоксични ефекти не са от значение при хората.</w:t>
      </w:r>
    </w:p>
    <w:p w14:paraId="1CB97B21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757F46" w14:textId="0DE273C0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val="en-US" w:eastAsia="bg-BG"/>
        </w:rPr>
        <w:t xml:space="preserve">   </w:t>
      </w:r>
      <w:r w:rsidRPr="0063460B">
        <w:rPr>
          <w:rFonts w:eastAsia="Times New Roman" w:cs="Arial"/>
          <w:color w:val="000000"/>
          <w:lang w:eastAsia="bg-BG"/>
        </w:rPr>
        <w:t>в</w:t>
      </w:r>
      <w:r w:rsidRPr="0063460B">
        <w:rPr>
          <w:rFonts w:eastAsia="Times New Roman" w:cs="Arial"/>
          <w:color w:val="000000"/>
          <w:lang w:val="en-US" w:eastAsia="bg-BG"/>
        </w:rPr>
        <w:t xml:space="preserve">) </w:t>
      </w:r>
      <w:r w:rsidRPr="0063460B">
        <w:rPr>
          <w:rFonts w:eastAsia="Times New Roman" w:cs="Arial"/>
          <w:color w:val="000000"/>
          <w:lang w:eastAsia="bg-BG"/>
        </w:rPr>
        <w:t xml:space="preserve"> Карциногенен и мутагенен потенциал</w:t>
      </w:r>
    </w:p>
    <w:p w14:paraId="2EA07D7E" w14:textId="2D52B798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Дългосрочните проучвания при мишки и плъхове не откриват доказателства за карциногенен потенциал на </w:t>
      </w:r>
      <w:r w:rsidRPr="0063460B">
        <w:rPr>
          <w:rFonts w:eastAsia="Times New Roman" w:cs="Arial"/>
          <w:color w:val="000000"/>
          <w:lang w:val="en-US"/>
        </w:rPr>
        <w:t>UDCA.</w:t>
      </w:r>
    </w:p>
    <w:p w14:paraId="5DFB152D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i/>
          <w:iCs/>
          <w:color w:val="000000"/>
          <w:lang w:val="en-US"/>
        </w:rPr>
        <w:t>In vitro</w:t>
      </w:r>
      <w:r w:rsidRPr="0063460B">
        <w:rPr>
          <w:rFonts w:eastAsia="Times New Roman" w:cs="Arial"/>
          <w:color w:val="000000"/>
          <w:lang w:val="en-US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 xml:space="preserve">и </w:t>
      </w:r>
      <w:r w:rsidRPr="0063460B">
        <w:rPr>
          <w:rFonts w:eastAsia="Times New Roman" w:cs="Arial"/>
          <w:i/>
          <w:iCs/>
          <w:color w:val="000000"/>
          <w:lang w:val="en-US"/>
        </w:rPr>
        <w:t>in vivo</w:t>
      </w:r>
      <w:r w:rsidRPr="0063460B">
        <w:rPr>
          <w:rFonts w:eastAsia="Times New Roman" w:cs="Arial"/>
          <w:color w:val="000000"/>
          <w:lang w:val="en-US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 xml:space="preserve">изследванията за генотоксичност на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са отрицателни.</w:t>
      </w:r>
    </w:p>
    <w:p w14:paraId="4B2C4FA0" w14:textId="77777777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68475A" w14:textId="00F34162" w:rsidR="0063460B" w:rsidRPr="0063460B" w:rsidRDefault="0063460B" w:rsidP="0063460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63460B">
        <w:rPr>
          <w:rFonts w:eastAsia="Times New Roman" w:cs="Arial"/>
          <w:color w:val="000000"/>
          <w:lang w:val="en-US" w:eastAsia="bg-BG"/>
        </w:rPr>
        <w:t xml:space="preserve">   </w:t>
      </w:r>
      <w:r w:rsidRPr="0063460B">
        <w:rPr>
          <w:rFonts w:eastAsia="Times New Roman" w:cs="Arial"/>
          <w:color w:val="000000"/>
          <w:lang w:eastAsia="bg-BG"/>
        </w:rPr>
        <w:t>г</w:t>
      </w:r>
      <w:r w:rsidRPr="0063460B">
        <w:rPr>
          <w:rFonts w:eastAsia="Times New Roman" w:cs="Arial"/>
          <w:color w:val="000000"/>
          <w:lang w:val="en-US" w:eastAsia="bg-BG"/>
        </w:rPr>
        <w:t>)</w:t>
      </w:r>
      <w:r w:rsidRPr="0063460B">
        <w:rPr>
          <w:rFonts w:eastAsia="Times New Roman" w:cs="Arial"/>
          <w:color w:val="000000"/>
          <w:lang w:eastAsia="bg-BG"/>
        </w:rPr>
        <w:t xml:space="preserve"> </w:t>
      </w:r>
      <w:r w:rsidRPr="0063460B">
        <w:rPr>
          <w:rFonts w:eastAsia="Times New Roman" w:cs="Arial"/>
          <w:color w:val="000000"/>
          <w:lang w:val="en-US" w:eastAsia="bg-BG"/>
        </w:rPr>
        <w:t xml:space="preserve"> </w:t>
      </w:r>
      <w:r w:rsidRPr="0063460B">
        <w:rPr>
          <w:rFonts w:eastAsia="Times New Roman" w:cs="Arial"/>
          <w:color w:val="000000"/>
          <w:lang w:eastAsia="bg-BG"/>
        </w:rPr>
        <w:t>Репродуктивна токсичност</w:t>
      </w:r>
    </w:p>
    <w:p w14:paraId="2F85FFAB" w14:textId="77777777" w:rsidR="0063460B" w:rsidRPr="0063460B" w:rsidRDefault="0063460B" w:rsidP="0063460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При проучвания върху плъхове е наблюдавана аплазия на опашката след прилагане </w:t>
      </w:r>
      <w:r w:rsidRPr="0063460B">
        <w:rPr>
          <w:rFonts w:eastAsia="Times New Roman" w:cs="Arial"/>
          <w:i/>
          <w:iCs/>
          <w:color w:val="000000"/>
          <w:lang w:eastAsia="bg-BG"/>
        </w:rPr>
        <w:t>на</w:t>
      </w:r>
      <w:r w:rsidRPr="0063460B">
        <w:rPr>
          <w:rFonts w:eastAsia="Times New Roman" w:cs="Arial"/>
          <w:color w:val="000000"/>
          <w:lang w:eastAsia="bg-BG"/>
        </w:rPr>
        <w:t xml:space="preserve">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 xml:space="preserve">в доза 2000 </w:t>
      </w:r>
      <w:r w:rsidRPr="0063460B">
        <w:rPr>
          <w:rFonts w:eastAsia="Times New Roman" w:cs="Arial"/>
          <w:color w:val="000000"/>
          <w:lang w:val="en-US"/>
        </w:rPr>
        <w:t xml:space="preserve">mg/kg </w:t>
      </w:r>
      <w:r w:rsidRPr="0063460B">
        <w:rPr>
          <w:rFonts w:eastAsia="Times New Roman" w:cs="Arial"/>
          <w:color w:val="000000"/>
          <w:lang w:eastAsia="bg-BG"/>
        </w:rPr>
        <w:t>телесно тегло.</w:t>
      </w:r>
    </w:p>
    <w:p w14:paraId="13A7B62A" w14:textId="42AE10E6" w:rsidR="007A2185" w:rsidRPr="0063460B" w:rsidRDefault="0063460B" w:rsidP="0063460B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 xml:space="preserve">При зайци не са установени тератогенни ефекти, въпреки установените ембриотоксични ефекти (при доза 100 </w:t>
      </w:r>
      <w:r w:rsidRPr="0063460B">
        <w:rPr>
          <w:rFonts w:eastAsia="Times New Roman" w:cs="Arial"/>
          <w:color w:val="000000"/>
          <w:lang w:val="en-US"/>
        </w:rPr>
        <w:t xml:space="preserve">mg </w:t>
      </w:r>
      <w:r w:rsidRPr="0063460B">
        <w:rPr>
          <w:rFonts w:eastAsia="Times New Roman" w:cs="Arial"/>
          <w:color w:val="000000"/>
          <w:lang w:eastAsia="bg-BG"/>
        </w:rPr>
        <w:t>урзодезоксихолева киселина</w:t>
      </w:r>
      <w:r w:rsidRPr="0063460B">
        <w:rPr>
          <w:rFonts w:eastAsia="Times New Roman" w:cs="Arial"/>
          <w:color w:val="000000"/>
          <w:lang w:val="en-US"/>
        </w:rPr>
        <w:t xml:space="preserve">/kg </w:t>
      </w:r>
      <w:r w:rsidRPr="0063460B">
        <w:rPr>
          <w:rFonts w:eastAsia="Times New Roman" w:cs="Arial"/>
          <w:color w:val="000000"/>
          <w:lang w:eastAsia="bg-BG"/>
        </w:rPr>
        <w:t xml:space="preserve">телесно тегло). </w:t>
      </w:r>
      <w:r w:rsidRPr="0063460B">
        <w:rPr>
          <w:rFonts w:eastAsia="Times New Roman" w:cs="Arial"/>
          <w:color w:val="000000"/>
          <w:lang w:val="en-US"/>
        </w:rPr>
        <w:t xml:space="preserve">UDCA </w:t>
      </w:r>
      <w:r w:rsidRPr="0063460B">
        <w:rPr>
          <w:rFonts w:eastAsia="Times New Roman" w:cs="Arial"/>
          <w:color w:val="000000"/>
          <w:lang w:eastAsia="bg-BG"/>
        </w:rPr>
        <w:t>не влияе върху фертилитета на плъхове и не засяга пери-/пост-наталното развитие на поколението.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7EC9B792" w14:textId="77777777" w:rsidR="0063460B" w:rsidRPr="0063460B" w:rsidRDefault="0063460B" w:rsidP="0063460B">
      <w:pPr>
        <w:spacing w:line="240" w:lineRule="auto"/>
        <w:rPr>
          <w:rFonts w:eastAsia="Times New Roman" w:cs="Arial"/>
          <w:lang w:val="en-US" w:eastAsia="bg-BG"/>
        </w:rPr>
      </w:pPr>
      <w:r w:rsidRPr="0063460B">
        <w:rPr>
          <w:rFonts w:eastAsia="Times New Roman" w:cs="Arial"/>
          <w:color w:val="000000"/>
          <w:lang w:val="en-US"/>
        </w:rPr>
        <w:t>Dr. Falk Pharma GmbH</w:t>
      </w:r>
    </w:p>
    <w:p w14:paraId="1B9465AF" w14:textId="77777777" w:rsidR="0063460B" w:rsidRPr="0063460B" w:rsidRDefault="0063460B" w:rsidP="0063460B">
      <w:pPr>
        <w:spacing w:line="240" w:lineRule="auto"/>
        <w:rPr>
          <w:rFonts w:eastAsia="Times New Roman" w:cs="Arial"/>
          <w:lang w:val="en-US" w:eastAsia="bg-BG"/>
        </w:rPr>
      </w:pPr>
      <w:proofErr w:type="spellStart"/>
      <w:r w:rsidRPr="0063460B">
        <w:rPr>
          <w:rFonts w:eastAsia="Times New Roman" w:cs="Arial"/>
          <w:color w:val="000000"/>
          <w:lang w:val="en-US"/>
        </w:rPr>
        <w:t>Leinenwererastr</w:t>
      </w:r>
      <w:proofErr w:type="spellEnd"/>
      <w:r w:rsidRPr="0063460B">
        <w:rPr>
          <w:rFonts w:eastAsia="Times New Roman" w:cs="Arial"/>
          <w:color w:val="000000"/>
          <w:lang w:val="en-US"/>
        </w:rPr>
        <w:t>. 5</w:t>
      </w:r>
    </w:p>
    <w:p w14:paraId="270DB7FA" w14:textId="77777777" w:rsidR="0063460B" w:rsidRPr="0063460B" w:rsidRDefault="0063460B" w:rsidP="0063460B">
      <w:pPr>
        <w:spacing w:line="240" w:lineRule="auto"/>
        <w:rPr>
          <w:rFonts w:eastAsia="Times New Roman" w:cs="Arial"/>
          <w:lang w:val="en-US" w:eastAsia="bg-BG"/>
        </w:rPr>
      </w:pPr>
      <w:r w:rsidRPr="0063460B">
        <w:rPr>
          <w:rFonts w:eastAsia="Times New Roman" w:cs="Arial"/>
          <w:color w:val="000000"/>
          <w:lang w:val="en-US"/>
        </w:rPr>
        <w:lastRenderedPageBreak/>
        <w:t>79108 Freiburg</w:t>
      </w:r>
    </w:p>
    <w:p w14:paraId="5457BDA6" w14:textId="77777777" w:rsidR="0063460B" w:rsidRPr="0063460B" w:rsidRDefault="0063460B" w:rsidP="0063460B">
      <w:pPr>
        <w:spacing w:line="240" w:lineRule="auto"/>
        <w:rPr>
          <w:rFonts w:eastAsia="Times New Roman" w:cs="Arial"/>
          <w:lang w:val="en-US" w:eastAsia="bg-BG"/>
        </w:rPr>
      </w:pPr>
      <w:r w:rsidRPr="0063460B">
        <w:rPr>
          <w:rFonts w:eastAsia="Times New Roman" w:cs="Arial"/>
          <w:color w:val="000000"/>
          <w:lang w:eastAsia="bg-BG"/>
        </w:rPr>
        <w:t>Германия</w:t>
      </w:r>
    </w:p>
    <w:p w14:paraId="45135C40" w14:textId="77777777" w:rsidR="0063460B" w:rsidRPr="0063460B" w:rsidRDefault="0063460B" w:rsidP="0063460B">
      <w:pPr>
        <w:spacing w:line="240" w:lineRule="auto"/>
        <w:rPr>
          <w:rFonts w:eastAsia="Times New Roman" w:cs="Arial"/>
          <w:lang w:val="en-US" w:eastAsia="bg-BG"/>
        </w:rPr>
      </w:pPr>
      <w:r w:rsidRPr="0063460B">
        <w:rPr>
          <w:rFonts w:eastAsia="Times New Roman" w:cs="Arial"/>
          <w:color w:val="000000"/>
          <w:lang w:eastAsia="bg-BG"/>
        </w:rPr>
        <w:t>Тел.:</w:t>
      </w:r>
      <w:r w:rsidRPr="0063460B">
        <w:rPr>
          <w:rFonts w:eastAsia="Times New Roman" w:cs="Arial"/>
          <w:color w:val="000000"/>
          <w:lang w:val="en-US"/>
        </w:rPr>
        <w:t xml:space="preserve">+49 </w:t>
      </w:r>
      <w:r w:rsidRPr="0063460B">
        <w:rPr>
          <w:rFonts w:eastAsia="Times New Roman" w:cs="Arial"/>
          <w:color w:val="000000"/>
          <w:lang w:eastAsia="bg-BG"/>
        </w:rPr>
        <w:t>(0)761/1514-0</w:t>
      </w:r>
    </w:p>
    <w:p w14:paraId="12C6E004" w14:textId="77777777" w:rsidR="0063460B" w:rsidRPr="0063460B" w:rsidRDefault="0063460B" w:rsidP="0063460B">
      <w:pPr>
        <w:spacing w:line="240" w:lineRule="auto"/>
        <w:rPr>
          <w:rFonts w:eastAsia="Times New Roman" w:cs="Arial"/>
          <w:lang w:val="en-US"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Факс: </w:t>
      </w:r>
      <w:r w:rsidRPr="0063460B">
        <w:rPr>
          <w:rFonts w:eastAsia="Times New Roman" w:cs="Arial"/>
          <w:color w:val="000000"/>
          <w:lang w:val="en-US"/>
        </w:rPr>
        <w:t xml:space="preserve">+49 </w:t>
      </w:r>
      <w:r w:rsidRPr="0063460B">
        <w:rPr>
          <w:rFonts w:eastAsia="Times New Roman" w:cs="Arial"/>
          <w:color w:val="000000"/>
          <w:lang w:eastAsia="bg-BG"/>
        </w:rPr>
        <w:t>(0)761/1514-321</w:t>
      </w:r>
    </w:p>
    <w:p w14:paraId="728CA7FB" w14:textId="77777777" w:rsidR="0063460B" w:rsidRPr="0063460B" w:rsidRDefault="0063460B" w:rsidP="0063460B">
      <w:pPr>
        <w:spacing w:line="240" w:lineRule="auto"/>
        <w:rPr>
          <w:rFonts w:eastAsia="Times New Roman" w:cs="Arial"/>
          <w:lang w:val="en-US" w:eastAsia="bg-BG"/>
        </w:rPr>
      </w:pPr>
      <w:r w:rsidRPr="0063460B">
        <w:rPr>
          <w:rFonts w:eastAsia="Times New Roman" w:cs="Arial"/>
          <w:color w:val="000000"/>
          <w:lang w:eastAsia="bg-BG"/>
        </w:rPr>
        <w:t xml:space="preserve">имейл: </w:t>
      </w:r>
      <w:hyperlink r:id="rId5" w:history="1">
        <w:r w:rsidRPr="0063460B">
          <w:rPr>
            <w:rFonts w:eastAsia="Times New Roman" w:cs="Arial"/>
            <w:color w:val="000000"/>
            <w:u w:val="single"/>
            <w:lang w:val="en-US"/>
          </w:rPr>
          <w:t>zentrale@drfalkpharma.de</w:t>
        </w:r>
      </w:hyperlink>
    </w:p>
    <w:p w14:paraId="4F02909F" w14:textId="191540AC" w:rsidR="007A2185" w:rsidRPr="0063460B" w:rsidRDefault="0063460B" w:rsidP="0063460B">
      <w:pPr>
        <w:rPr>
          <w:rFonts w:cs="Arial"/>
        </w:rPr>
      </w:pPr>
      <w:proofErr w:type="gramStart"/>
      <w:r w:rsidRPr="0063460B">
        <w:rPr>
          <w:rFonts w:eastAsia="Times New Roman" w:cs="Arial"/>
          <w:color w:val="000000"/>
          <w:lang w:val="en-US"/>
        </w:rPr>
        <w:t>http</w:t>
      </w:r>
      <w:proofErr w:type="gramEnd"/>
      <w:r w:rsidRPr="0063460B">
        <w:rPr>
          <w:rFonts w:eastAsia="Times New Roman" w:cs="Arial"/>
          <w:color w:val="000000"/>
          <w:lang w:val="en-US"/>
        </w:rPr>
        <w:t xml:space="preserve">: //www. </w:t>
      </w:r>
      <w:proofErr w:type="spellStart"/>
      <w:proofErr w:type="gramStart"/>
      <w:r w:rsidRPr="0063460B">
        <w:rPr>
          <w:rFonts w:eastAsia="Times New Roman" w:cs="Arial"/>
          <w:color w:val="000000"/>
          <w:lang w:val="en-US"/>
        </w:rPr>
        <w:t>drfalkpharma</w:t>
      </w:r>
      <w:proofErr w:type="spellEnd"/>
      <w:proofErr w:type="gramEnd"/>
      <w:r w:rsidRPr="0063460B">
        <w:rPr>
          <w:rFonts w:eastAsia="Times New Roman" w:cs="Arial"/>
          <w:color w:val="000000"/>
          <w:lang w:val="en-US"/>
        </w:rPr>
        <w:t xml:space="preserve"> .de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53158840" w:rsidR="007A2185" w:rsidRPr="0063460B" w:rsidRDefault="0063460B" w:rsidP="0091385D">
      <w:pPr>
        <w:rPr>
          <w:rFonts w:cs="Arial"/>
        </w:rPr>
      </w:pPr>
      <w:r w:rsidRPr="0063460B">
        <w:rPr>
          <w:rFonts w:cs="Arial"/>
        </w:rPr>
        <w:t>Pe</w:t>
      </w:r>
      <w:r w:rsidRPr="0063460B">
        <w:rPr>
          <w:rFonts w:cs="Arial"/>
          <w:lang w:eastAsia="bg-BG"/>
        </w:rPr>
        <w:t>г</w:t>
      </w:r>
      <w:r w:rsidRPr="0063460B">
        <w:rPr>
          <w:rFonts w:cs="Arial"/>
        </w:rPr>
        <w:t xml:space="preserve">. № </w:t>
      </w:r>
      <w:r w:rsidRPr="0063460B">
        <w:rPr>
          <w:rFonts w:cs="Arial"/>
          <w:iCs/>
        </w:rPr>
        <w:t>9600066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0BC97F15" w14:textId="77777777" w:rsidR="0063460B" w:rsidRPr="0063460B" w:rsidRDefault="0063460B" w:rsidP="0063460B">
      <w:pPr>
        <w:spacing w:line="240" w:lineRule="auto"/>
        <w:rPr>
          <w:rFonts w:eastAsia="Times New Roman" w:cs="Arial"/>
          <w:lang w:eastAsia="bg-BG"/>
        </w:rPr>
      </w:pPr>
      <w:r w:rsidRPr="0063460B">
        <w:rPr>
          <w:rFonts w:eastAsia="Times New Roman" w:cs="Arial"/>
          <w:color w:val="000000"/>
          <w:lang w:eastAsia="bg-BG"/>
        </w:rPr>
        <w:t>Дата на първо разрешаване: 04 юли 2002 г.</w:t>
      </w:r>
    </w:p>
    <w:p w14:paraId="6C57D8B6" w14:textId="4C1CF416" w:rsidR="007A2185" w:rsidRPr="0063460B" w:rsidRDefault="0063460B" w:rsidP="0063460B">
      <w:pPr>
        <w:rPr>
          <w:rFonts w:cs="Arial"/>
        </w:rPr>
      </w:pPr>
      <w:r w:rsidRPr="0063460B">
        <w:rPr>
          <w:rFonts w:eastAsia="Times New Roman" w:cs="Arial"/>
          <w:color w:val="000000"/>
          <w:lang w:eastAsia="bg-BG"/>
        </w:rPr>
        <w:t>Дата на последно подновяване: 31 март 2008 г.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4A33C46E" w:rsidR="007A2185" w:rsidRPr="0063460B" w:rsidRDefault="0063460B" w:rsidP="0091385D">
      <w:pPr>
        <w:rPr>
          <w:rFonts w:cs="Arial"/>
        </w:rPr>
      </w:pPr>
      <w:r w:rsidRPr="0063460B">
        <w:rPr>
          <w:rFonts w:cs="Arial"/>
        </w:rPr>
        <w:t>04/2014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E3A69"/>
    <w:multiLevelType w:val="hybridMultilevel"/>
    <w:tmpl w:val="0FD4A5EC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337"/>
    <w:multiLevelType w:val="hybridMultilevel"/>
    <w:tmpl w:val="F18C19F6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2"/>
  </w:num>
  <w:num w:numId="10">
    <w:abstractNumId w:val="4"/>
  </w:num>
  <w:num w:numId="11">
    <w:abstractNumId w:val="32"/>
  </w:num>
  <w:num w:numId="12">
    <w:abstractNumId w:val="16"/>
  </w:num>
  <w:num w:numId="13">
    <w:abstractNumId w:val="21"/>
  </w:num>
  <w:num w:numId="14">
    <w:abstractNumId w:val="12"/>
  </w:num>
  <w:num w:numId="15">
    <w:abstractNumId w:val="31"/>
  </w:num>
  <w:num w:numId="16">
    <w:abstractNumId w:val="10"/>
  </w:num>
  <w:num w:numId="17">
    <w:abstractNumId w:val="26"/>
  </w:num>
  <w:num w:numId="18">
    <w:abstractNumId w:val="7"/>
  </w:num>
  <w:num w:numId="19">
    <w:abstractNumId w:val="28"/>
  </w:num>
  <w:num w:numId="20">
    <w:abstractNumId w:val="25"/>
  </w:num>
  <w:num w:numId="21">
    <w:abstractNumId w:val="19"/>
  </w:num>
  <w:num w:numId="22">
    <w:abstractNumId w:val="27"/>
  </w:num>
  <w:num w:numId="23">
    <w:abstractNumId w:val="20"/>
  </w:num>
  <w:num w:numId="24">
    <w:abstractNumId w:val="8"/>
  </w:num>
  <w:num w:numId="25">
    <w:abstractNumId w:val="24"/>
  </w:num>
  <w:num w:numId="26">
    <w:abstractNumId w:val="23"/>
  </w:num>
  <w:num w:numId="27">
    <w:abstractNumId w:val="33"/>
  </w:num>
  <w:num w:numId="28">
    <w:abstractNumId w:val="6"/>
  </w:num>
  <w:num w:numId="29">
    <w:abstractNumId w:val="22"/>
  </w:num>
  <w:num w:numId="30">
    <w:abstractNumId w:val="36"/>
  </w:num>
  <w:num w:numId="31">
    <w:abstractNumId w:val="5"/>
  </w:num>
  <w:num w:numId="32">
    <w:abstractNumId w:val="35"/>
  </w:num>
  <w:num w:numId="33">
    <w:abstractNumId w:val="30"/>
  </w:num>
  <w:num w:numId="34">
    <w:abstractNumId w:val="34"/>
  </w:num>
  <w:num w:numId="35">
    <w:abstractNumId w:val="15"/>
  </w:num>
  <w:num w:numId="36">
    <w:abstractNumId w:val="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1553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3460B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85906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trale@drfalkpharm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2572</Words>
  <Characters>14661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2023-05-09T16:34:00Z</dcterms:created>
  <dcterms:modified xsi:type="dcterms:W3CDTF">2023-05-09T16:34:00Z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