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78CA682D" w:rsidR="00C40420" w:rsidRDefault="00DD466D" w:rsidP="004A448E">
      <w:pPr>
        <w:pStyle w:val="Heading1"/>
      </w:pPr>
      <w:r>
        <w:t>1.ИМЕ НА ЛЕКАРСТВЕНИЯ ПРОДУКТ</w:t>
      </w:r>
    </w:p>
    <w:p w14:paraId="080B76F8" w14:textId="3ADFBBDF" w:rsidR="000E3B08" w:rsidRDefault="000E3B08" w:rsidP="000E3B08"/>
    <w:p w14:paraId="399E7FB1" w14:textId="77777777" w:rsidR="000E3B08" w:rsidRPr="000E3B08" w:rsidRDefault="000E3B08" w:rsidP="000E3B08">
      <w:pPr>
        <w:rPr>
          <w:sz w:val="24"/>
          <w:szCs w:val="24"/>
        </w:rPr>
      </w:pPr>
      <w:r w:rsidRPr="000E3B08">
        <w:rPr>
          <w:lang w:eastAsia="bg-BG"/>
        </w:rPr>
        <w:t xml:space="preserve">Валцит 450 </w:t>
      </w:r>
      <w:r w:rsidRPr="000E3B08">
        <w:rPr>
          <w:lang w:val="en-US"/>
        </w:rPr>
        <w:t xml:space="preserve">mg </w:t>
      </w:r>
      <w:r w:rsidRPr="000E3B08">
        <w:rPr>
          <w:lang w:eastAsia="bg-BG"/>
        </w:rPr>
        <w:t>филмирани таблетки</w:t>
      </w:r>
    </w:p>
    <w:p w14:paraId="34372132" w14:textId="10957A60" w:rsidR="000E3B08" w:rsidRPr="000E3B08" w:rsidRDefault="000E3B08" w:rsidP="000E3B08">
      <w:r w:rsidRPr="000E3B08">
        <w:rPr>
          <w:lang w:val="en-US"/>
        </w:rPr>
        <w:t xml:space="preserve">Valcyte </w:t>
      </w:r>
      <w:r w:rsidRPr="000E3B08">
        <w:rPr>
          <w:lang w:eastAsia="bg-BG"/>
        </w:rPr>
        <w:t xml:space="preserve">450 </w:t>
      </w:r>
      <w:r w:rsidRPr="000E3B08">
        <w:rPr>
          <w:lang w:val="en-US"/>
        </w:rPr>
        <w:t>mg film-coated tablets</w:t>
      </w:r>
    </w:p>
    <w:p w14:paraId="6920A680" w14:textId="51847CE1" w:rsidR="00C40420" w:rsidRDefault="00DD466D" w:rsidP="004A448E">
      <w:pPr>
        <w:pStyle w:val="Heading1"/>
      </w:pPr>
      <w:r>
        <w:t>2. КАЧЕСТВЕН И КОЛИЧЕСТВЕН СЪСТАВ</w:t>
      </w:r>
    </w:p>
    <w:p w14:paraId="62B7B2EE" w14:textId="3C584395" w:rsidR="000E3B08" w:rsidRDefault="000E3B08" w:rsidP="000E3B08"/>
    <w:p w14:paraId="2319264A" w14:textId="77777777" w:rsidR="000E3B08" w:rsidRPr="000E3B08" w:rsidRDefault="000E3B08" w:rsidP="000E3B08">
      <w:pPr>
        <w:rPr>
          <w:sz w:val="24"/>
          <w:szCs w:val="24"/>
        </w:rPr>
      </w:pPr>
      <w:r w:rsidRPr="000E3B08">
        <w:rPr>
          <w:lang w:eastAsia="bg-BG"/>
        </w:rPr>
        <w:t xml:space="preserve">Всяка филмирана таблетка съдържа 496,3 </w:t>
      </w:r>
      <w:r w:rsidRPr="000E3B08">
        <w:rPr>
          <w:lang w:val="en-US"/>
        </w:rPr>
        <w:t>mg</w:t>
      </w:r>
      <w:r w:rsidRPr="000E3B08">
        <w:t xml:space="preserve"> </w:t>
      </w:r>
      <w:r w:rsidRPr="000E3B08">
        <w:rPr>
          <w:lang w:eastAsia="bg-BG"/>
        </w:rPr>
        <w:t xml:space="preserve">валганцикловир хидрохлорид </w:t>
      </w:r>
      <w:r w:rsidRPr="000E3B08">
        <w:t>(</w:t>
      </w:r>
      <w:r w:rsidRPr="000E3B08">
        <w:rPr>
          <w:lang w:val="en-US"/>
        </w:rPr>
        <w:t>valganciclovir</w:t>
      </w:r>
      <w:r w:rsidRPr="000E3B08">
        <w:t xml:space="preserve"> </w:t>
      </w:r>
      <w:r w:rsidRPr="000E3B08">
        <w:rPr>
          <w:lang w:val="en-US"/>
        </w:rPr>
        <w:t>hydrochloride</w:t>
      </w:r>
      <w:r w:rsidRPr="000E3B08">
        <w:t xml:space="preserve">), </w:t>
      </w:r>
      <w:r w:rsidRPr="000E3B08">
        <w:rPr>
          <w:lang w:eastAsia="bg-BG"/>
        </w:rPr>
        <w:t xml:space="preserve">еквивалентен на 450 </w:t>
      </w:r>
      <w:r w:rsidRPr="000E3B08">
        <w:rPr>
          <w:lang w:val="en-US"/>
        </w:rPr>
        <w:t>mg</w:t>
      </w:r>
      <w:r w:rsidRPr="000E3B08">
        <w:t xml:space="preserve"> </w:t>
      </w:r>
      <w:r w:rsidRPr="000E3B08">
        <w:rPr>
          <w:lang w:eastAsia="bg-BG"/>
        </w:rPr>
        <w:t>валганцикловир (като свободна база).</w:t>
      </w:r>
    </w:p>
    <w:p w14:paraId="21256CEB" w14:textId="77777777" w:rsidR="000E3B08" w:rsidRPr="000E3B08" w:rsidRDefault="000E3B08" w:rsidP="000E3B08"/>
    <w:p w14:paraId="614984C4" w14:textId="16DEA985" w:rsidR="008A6AF2" w:rsidRDefault="00DD466D" w:rsidP="002C50EE">
      <w:pPr>
        <w:pStyle w:val="Heading1"/>
      </w:pPr>
      <w:r>
        <w:t>3. ЛЕКАРСТВЕНА ФОРМА</w:t>
      </w:r>
    </w:p>
    <w:p w14:paraId="771A157A" w14:textId="3EB6D212" w:rsidR="000E3B08" w:rsidRDefault="000E3B08" w:rsidP="000E3B08"/>
    <w:p w14:paraId="3C489BDD" w14:textId="77777777" w:rsidR="000E3B08" w:rsidRPr="000E3B08" w:rsidRDefault="000E3B08" w:rsidP="000E3B08">
      <w:pPr>
        <w:rPr>
          <w:sz w:val="24"/>
          <w:szCs w:val="24"/>
        </w:rPr>
      </w:pPr>
      <w:r w:rsidRPr="000E3B08">
        <w:rPr>
          <w:lang w:eastAsia="bg-BG"/>
        </w:rPr>
        <w:t>Филмирани таблетки</w:t>
      </w:r>
    </w:p>
    <w:p w14:paraId="78BC69FF" w14:textId="77777777" w:rsidR="000E3B08" w:rsidRDefault="000E3B08" w:rsidP="000E3B08">
      <w:pPr>
        <w:rPr>
          <w:lang w:eastAsia="bg-BG"/>
        </w:rPr>
      </w:pPr>
    </w:p>
    <w:p w14:paraId="48903F2E" w14:textId="7C91998B" w:rsidR="000E3B08" w:rsidRPr="000E3B08" w:rsidRDefault="000E3B08" w:rsidP="000E3B08">
      <w:pPr>
        <w:rPr>
          <w:lang w:eastAsia="bg-BG"/>
        </w:rPr>
      </w:pPr>
      <w:r w:rsidRPr="000E3B08">
        <w:rPr>
          <w:lang w:eastAsia="bg-BG"/>
        </w:rPr>
        <w:t xml:space="preserve">Розови, изпъкнали, овални филмирани таблетки, с гравиран надпис </w:t>
      </w:r>
      <w:r w:rsidRPr="000E3B08">
        <w:rPr>
          <w:lang w:val="ru-RU"/>
        </w:rPr>
        <w:t>“</w:t>
      </w:r>
      <w:r w:rsidRPr="000E3B08">
        <w:rPr>
          <w:lang w:val="en-US"/>
        </w:rPr>
        <w:t>VGC</w:t>
      </w:r>
      <w:r w:rsidRPr="000E3B08">
        <w:rPr>
          <w:lang w:val="ru-RU"/>
        </w:rPr>
        <w:t xml:space="preserve">” </w:t>
      </w:r>
      <w:r w:rsidRPr="000E3B08">
        <w:rPr>
          <w:lang w:eastAsia="bg-BG"/>
        </w:rPr>
        <w:t>от едната страна и “450” от другата страна.</w:t>
      </w:r>
    </w:p>
    <w:p w14:paraId="06A5D3FC" w14:textId="77777777" w:rsidR="000E3B08" w:rsidRPr="000E3B08" w:rsidRDefault="000E3B08" w:rsidP="000E3B08"/>
    <w:p w14:paraId="490FC2C4" w14:textId="32682B15" w:rsidR="002C50EE" w:rsidRDefault="002C50EE" w:rsidP="002C50EE">
      <w:pPr>
        <w:pStyle w:val="Heading1"/>
      </w:pPr>
      <w:r>
        <w:t>4. КЛИНИЧНИ ДАННИ</w:t>
      </w:r>
    </w:p>
    <w:p w14:paraId="0C8E6903" w14:textId="6F3B4941" w:rsidR="008134C8" w:rsidRDefault="002C50EE" w:rsidP="004A448E">
      <w:pPr>
        <w:pStyle w:val="Heading2"/>
      </w:pPr>
      <w:r>
        <w:t>4.1. Терапевтични показания</w:t>
      </w:r>
    </w:p>
    <w:p w14:paraId="507638ED" w14:textId="6272AEBE" w:rsidR="000E3B08" w:rsidRDefault="000E3B08" w:rsidP="000E3B08"/>
    <w:p w14:paraId="3D267F57" w14:textId="77777777" w:rsidR="000E3B08" w:rsidRPr="000E3B08" w:rsidRDefault="000E3B08" w:rsidP="000E3B08">
      <w:pPr>
        <w:rPr>
          <w:sz w:val="24"/>
          <w:szCs w:val="24"/>
        </w:rPr>
      </w:pPr>
      <w:r w:rsidRPr="000E3B08">
        <w:rPr>
          <w:lang w:eastAsia="bg-BG"/>
        </w:rPr>
        <w:t xml:space="preserve">Валцит е показан за въвеждащо и поддържащо лечение на цитомегаловирусен </w:t>
      </w:r>
      <w:r w:rsidRPr="000E3B08">
        <w:rPr>
          <w:lang w:val="ru-RU"/>
        </w:rPr>
        <w:t>(</w:t>
      </w:r>
      <w:r w:rsidRPr="000E3B08">
        <w:rPr>
          <w:lang w:val="en-US"/>
        </w:rPr>
        <w:t>CMV</w:t>
      </w:r>
      <w:r w:rsidRPr="000E3B08">
        <w:rPr>
          <w:lang w:val="ru-RU"/>
        </w:rPr>
        <w:t xml:space="preserve">) </w:t>
      </w:r>
      <w:r w:rsidRPr="000E3B08">
        <w:rPr>
          <w:lang w:eastAsia="bg-BG"/>
        </w:rPr>
        <w:t>ретинит при възрастни пациенти със синдром на придобита имунна недостатъчност (СПИН).</w:t>
      </w:r>
    </w:p>
    <w:p w14:paraId="041BF4E4" w14:textId="77777777" w:rsidR="000E3B08" w:rsidRDefault="000E3B08" w:rsidP="000E3B08">
      <w:pPr>
        <w:rPr>
          <w:lang w:eastAsia="bg-BG"/>
        </w:rPr>
      </w:pPr>
    </w:p>
    <w:p w14:paraId="08F01270" w14:textId="7D000064" w:rsidR="000E3B08" w:rsidRPr="000E3B08" w:rsidRDefault="000E3B08" w:rsidP="000E3B08">
      <w:pPr>
        <w:rPr>
          <w:sz w:val="24"/>
          <w:szCs w:val="24"/>
        </w:rPr>
      </w:pPr>
      <w:r w:rsidRPr="000E3B08">
        <w:rPr>
          <w:lang w:eastAsia="bg-BG"/>
        </w:rPr>
        <w:t xml:space="preserve">Валцит е показан за профилактика на </w:t>
      </w:r>
      <w:r w:rsidRPr="000E3B08">
        <w:rPr>
          <w:lang w:val="en-US"/>
        </w:rPr>
        <w:t>CMV</w:t>
      </w:r>
      <w:r w:rsidRPr="000E3B08">
        <w:rPr>
          <w:lang w:val="ru-RU"/>
        </w:rPr>
        <w:t xml:space="preserve"> </w:t>
      </w:r>
      <w:r w:rsidRPr="000E3B08">
        <w:rPr>
          <w:lang w:eastAsia="bg-BG"/>
        </w:rPr>
        <w:t xml:space="preserve">заболяване при </w:t>
      </w:r>
      <w:r w:rsidRPr="000E3B08">
        <w:rPr>
          <w:lang w:val="en-US"/>
        </w:rPr>
        <w:t>CMV</w:t>
      </w:r>
      <w:r w:rsidRPr="000E3B08">
        <w:rPr>
          <w:lang w:eastAsia="bg-BG"/>
        </w:rPr>
        <w:t xml:space="preserve">-отрицателни възрастни и деца (на възраст от раждането до 18 години), които са получили трансплантат на солиден орган от </w:t>
      </w:r>
      <w:r w:rsidRPr="000E3B08">
        <w:rPr>
          <w:lang w:val="en-US"/>
        </w:rPr>
        <w:t>CMV</w:t>
      </w:r>
      <w:r w:rsidRPr="000E3B08">
        <w:rPr>
          <w:lang w:eastAsia="bg-BG"/>
        </w:rPr>
        <w:t>- положителен донор.</w:t>
      </w:r>
    </w:p>
    <w:p w14:paraId="64A69646" w14:textId="77777777" w:rsidR="000E3B08" w:rsidRPr="000E3B08" w:rsidRDefault="000E3B08" w:rsidP="000E3B08"/>
    <w:p w14:paraId="30BE2C7B" w14:textId="3F8E8C58" w:rsidR="008134C8" w:rsidRDefault="002C50EE" w:rsidP="004A448E">
      <w:pPr>
        <w:pStyle w:val="Heading2"/>
      </w:pPr>
      <w:r>
        <w:t>4.2. Дозировка и начин на приложение</w:t>
      </w:r>
    </w:p>
    <w:p w14:paraId="5AAAEAAD" w14:textId="69F9DF76" w:rsidR="000E3B08" w:rsidRDefault="000E3B08" w:rsidP="000E3B08"/>
    <w:p w14:paraId="544BEA05" w14:textId="77777777" w:rsidR="000E3B08" w:rsidRPr="000E3B08" w:rsidRDefault="000E3B08" w:rsidP="000E3B08">
      <w:pPr>
        <w:pStyle w:val="Heading3"/>
        <w:rPr>
          <w:rFonts w:eastAsia="Times New Roman"/>
          <w:u w:val="single"/>
        </w:rPr>
      </w:pPr>
      <w:r w:rsidRPr="000E3B08">
        <w:rPr>
          <w:rFonts w:eastAsia="Times New Roman"/>
          <w:u w:val="single"/>
          <w:lang w:eastAsia="bg-BG"/>
        </w:rPr>
        <w:t>Дозировка</w:t>
      </w:r>
    </w:p>
    <w:p w14:paraId="274A5C16" w14:textId="77777777" w:rsidR="000E3B08" w:rsidRDefault="000E3B08" w:rsidP="000E3B08">
      <w:pPr>
        <w:spacing w:line="240" w:lineRule="auto"/>
        <w:rPr>
          <w:rFonts w:eastAsia="Times New Roman" w:cs="Arial"/>
          <w:b/>
          <w:bCs/>
          <w:color w:val="000000"/>
          <w:lang w:eastAsia="bg-BG"/>
        </w:rPr>
      </w:pPr>
      <w:bookmarkStart w:id="1" w:name="bookmark0"/>
    </w:p>
    <w:p w14:paraId="7F5D9D27" w14:textId="1DA392FB" w:rsidR="000E3B08" w:rsidRPr="000E3B08" w:rsidRDefault="000E3B08" w:rsidP="000E3B08">
      <w:pPr>
        <w:spacing w:line="240" w:lineRule="auto"/>
        <w:rPr>
          <w:rFonts w:eastAsia="Times New Roman" w:cs="Arial"/>
        </w:rPr>
      </w:pPr>
      <w:r w:rsidRPr="000E3B08">
        <w:rPr>
          <w:rFonts w:eastAsia="Times New Roman" w:cs="Arial"/>
          <w:b/>
          <w:bCs/>
          <w:color w:val="000000"/>
          <w:lang w:eastAsia="bg-BG"/>
        </w:rPr>
        <w:t>Внимание - Стриктното спазване на препоръките за дозиране е много важно, за да се избегне предозиране (вж. точки 4.4 и 4.9).</w:t>
      </w:r>
      <w:bookmarkEnd w:id="1"/>
    </w:p>
    <w:p w14:paraId="34755C7D" w14:textId="77777777" w:rsidR="000E3B08" w:rsidRDefault="000E3B08" w:rsidP="000E3B08">
      <w:pPr>
        <w:spacing w:line="240" w:lineRule="auto"/>
        <w:rPr>
          <w:rFonts w:eastAsia="Times New Roman" w:cs="Arial"/>
          <w:color w:val="000000"/>
          <w:lang w:eastAsia="bg-BG"/>
        </w:rPr>
      </w:pPr>
    </w:p>
    <w:p w14:paraId="4562CB1E" w14:textId="6ABB749B" w:rsidR="000E3B08" w:rsidRPr="000E3B08" w:rsidRDefault="000E3B08" w:rsidP="000E3B08">
      <w:pPr>
        <w:spacing w:line="240" w:lineRule="auto"/>
        <w:rPr>
          <w:rFonts w:eastAsia="Times New Roman" w:cs="Arial"/>
        </w:rPr>
      </w:pPr>
      <w:r w:rsidRPr="000E3B08">
        <w:rPr>
          <w:rFonts w:eastAsia="Times New Roman" w:cs="Arial"/>
          <w:color w:val="000000"/>
          <w:lang w:eastAsia="bg-BG"/>
        </w:rPr>
        <w:t xml:space="preserve">Валганцикловир бързо и в голяма степен се метаболизира до ганцикловир след перорален прием. Пероралното приложение на валганцикловир 900 </w:t>
      </w:r>
      <w:r w:rsidRPr="000E3B08">
        <w:rPr>
          <w:rFonts w:eastAsia="Times New Roman" w:cs="Arial"/>
          <w:color w:val="000000"/>
          <w:lang w:val="en-US"/>
        </w:rPr>
        <w:t>mg</w:t>
      </w:r>
      <w:r w:rsidRPr="000E3B08">
        <w:rPr>
          <w:rFonts w:eastAsia="Times New Roman" w:cs="Arial"/>
          <w:color w:val="000000"/>
          <w:lang w:val="ru-RU"/>
        </w:rPr>
        <w:t xml:space="preserve"> </w:t>
      </w:r>
      <w:r w:rsidRPr="000E3B08">
        <w:rPr>
          <w:rFonts w:eastAsia="Times New Roman" w:cs="Arial"/>
          <w:color w:val="000000"/>
          <w:lang w:eastAsia="bg-BG"/>
        </w:rPr>
        <w:t xml:space="preserve">два пъти дневно е терапевтично еквивалентно на интравенозния ганцикловир 5 </w:t>
      </w:r>
      <w:r w:rsidRPr="000E3B08">
        <w:rPr>
          <w:rFonts w:eastAsia="Times New Roman" w:cs="Arial"/>
          <w:color w:val="000000"/>
          <w:lang w:val="en-US"/>
        </w:rPr>
        <w:t>mg</w:t>
      </w:r>
      <w:r w:rsidRPr="000E3B08">
        <w:rPr>
          <w:rFonts w:eastAsia="Times New Roman" w:cs="Arial"/>
          <w:color w:val="000000"/>
          <w:lang w:val="ru-RU"/>
        </w:rPr>
        <w:t>/</w:t>
      </w:r>
      <w:r w:rsidRPr="000E3B08">
        <w:rPr>
          <w:rFonts w:eastAsia="Times New Roman" w:cs="Arial"/>
          <w:color w:val="000000"/>
          <w:lang w:val="en-US"/>
        </w:rPr>
        <w:t>kg</w:t>
      </w:r>
      <w:r w:rsidRPr="000E3B08">
        <w:rPr>
          <w:rFonts w:eastAsia="Times New Roman" w:cs="Arial"/>
          <w:color w:val="000000"/>
          <w:lang w:val="ru-RU"/>
        </w:rPr>
        <w:t xml:space="preserve"> </w:t>
      </w:r>
      <w:r w:rsidRPr="000E3B08">
        <w:rPr>
          <w:rFonts w:eastAsia="Times New Roman" w:cs="Arial"/>
          <w:color w:val="000000"/>
          <w:lang w:eastAsia="bg-BG"/>
        </w:rPr>
        <w:t>два пъти дневно.</w:t>
      </w:r>
    </w:p>
    <w:p w14:paraId="1E124DAF" w14:textId="77777777" w:rsidR="000E3B08" w:rsidRDefault="000E3B08" w:rsidP="000E3B08">
      <w:pPr>
        <w:spacing w:line="240" w:lineRule="auto"/>
        <w:rPr>
          <w:rFonts w:eastAsia="Times New Roman" w:cs="Arial"/>
          <w:b/>
          <w:bCs/>
          <w:color w:val="000000"/>
          <w:lang w:eastAsia="bg-BG"/>
        </w:rPr>
      </w:pPr>
      <w:bookmarkStart w:id="2" w:name="bookmark2"/>
    </w:p>
    <w:p w14:paraId="7A1711BD" w14:textId="1569FCC2" w:rsidR="000E3B08" w:rsidRPr="000E3B08" w:rsidRDefault="000E3B08" w:rsidP="000E3B08">
      <w:pPr>
        <w:spacing w:line="240" w:lineRule="auto"/>
        <w:rPr>
          <w:rFonts w:eastAsia="Times New Roman" w:cs="Arial"/>
        </w:rPr>
      </w:pPr>
      <w:r w:rsidRPr="000E3B08">
        <w:rPr>
          <w:rFonts w:eastAsia="Times New Roman" w:cs="Arial"/>
          <w:b/>
          <w:bCs/>
          <w:color w:val="000000"/>
          <w:lang w:eastAsia="bg-BG"/>
        </w:rPr>
        <w:t xml:space="preserve">Лечение на цитомегаловирус </w:t>
      </w:r>
      <w:r w:rsidRPr="000E3B08">
        <w:rPr>
          <w:rFonts w:eastAsia="Times New Roman" w:cs="Arial"/>
          <w:b/>
          <w:bCs/>
          <w:color w:val="000000"/>
          <w:lang w:val="ru-RU"/>
        </w:rPr>
        <w:t>(</w:t>
      </w:r>
      <w:r w:rsidRPr="000E3B08">
        <w:rPr>
          <w:rFonts w:eastAsia="Times New Roman" w:cs="Arial"/>
          <w:b/>
          <w:bCs/>
          <w:color w:val="000000"/>
          <w:lang w:val="en-US"/>
        </w:rPr>
        <w:t>CMV</w:t>
      </w:r>
      <w:r w:rsidRPr="000E3B08">
        <w:rPr>
          <w:rFonts w:eastAsia="Times New Roman" w:cs="Arial"/>
          <w:b/>
          <w:bCs/>
          <w:color w:val="000000"/>
          <w:lang w:val="ru-RU"/>
        </w:rPr>
        <w:t xml:space="preserve">) </w:t>
      </w:r>
      <w:r w:rsidRPr="000E3B08">
        <w:rPr>
          <w:rFonts w:eastAsia="Times New Roman" w:cs="Arial"/>
          <w:b/>
          <w:bCs/>
          <w:color w:val="000000"/>
          <w:lang w:eastAsia="bg-BG"/>
        </w:rPr>
        <w:t>ретинит</w:t>
      </w:r>
      <w:bookmarkEnd w:id="2"/>
    </w:p>
    <w:p w14:paraId="621089AD" w14:textId="7CAD99CE" w:rsidR="000E3B08" w:rsidRPr="000E3B08" w:rsidRDefault="000E3B08" w:rsidP="000E3B08">
      <w:pPr>
        <w:spacing w:line="240" w:lineRule="auto"/>
        <w:rPr>
          <w:rFonts w:eastAsia="Times New Roman" w:cs="Arial"/>
        </w:rPr>
      </w:pPr>
      <w:r w:rsidRPr="000E3B08">
        <w:rPr>
          <w:rFonts w:eastAsia="Times New Roman" w:cs="Arial"/>
          <w:i/>
          <w:iCs/>
          <w:color w:val="000000"/>
          <w:u w:val="single"/>
          <w:lang w:eastAsia="bg-BG"/>
        </w:rPr>
        <w:lastRenderedPageBreak/>
        <w:t>Възрастни пациенти</w:t>
      </w:r>
    </w:p>
    <w:p w14:paraId="31941E61" w14:textId="77777777" w:rsidR="000E3B08" w:rsidRDefault="000E3B08" w:rsidP="000E3B08">
      <w:pPr>
        <w:spacing w:line="240" w:lineRule="auto"/>
        <w:rPr>
          <w:rFonts w:eastAsia="Times New Roman" w:cs="Arial"/>
          <w:i/>
          <w:iCs/>
          <w:color w:val="000000"/>
          <w:lang w:eastAsia="bg-BG"/>
        </w:rPr>
      </w:pPr>
    </w:p>
    <w:p w14:paraId="2F7EA22B" w14:textId="2AF26EDF" w:rsidR="000E3B08" w:rsidRPr="000E3B08" w:rsidRDefault="000E3B08" w:rsidP="000E3B08">
      <w:pPr>
        <w:spacing w:line="240" w:lineRule="auto"/>
        <w:rPr>
          <w:rFonts w:eastAsia="Times New Roman" w:cs="Arial"/>
        </w:rPr>
      </w:pPr>
      <w:r w:rsidRPr="000E3B08">
        <w:rPr>
          <w:rFonts w:eastAsia="Times New Roman" w:cs="Arial"/>
          <w:i/>
          <w:iCs/>
          <w:color w:val="000000"/>
          <w:lang w:eastAsia="bg-BG"/>
        </w:rPr>
        <w:t xml:space="preserve">Въвеждащо лечение при </w:t>
      </w:r>
      <w:r w:rsidRPr="000E3B08">
        <w:rPr>
          <w:rFonts w:eastAsia="Times New Roman" w:cs="Arial"/>
          <w:i/>
          <w:iCs/>
          <w:color w:val="000000"/>
          <w:lang w:val="en-US"/>
        </w:rPr>
        <w:t>CMV</w:t>
      </w:r>
      <w:r w:rsidRPr="000E3B08">
        <w:rPr>
          <w:rFonts w:eastAsia="Times New Roman" w:cs="Arial"/>
          <w:i/>
          <w:iCs/>
          <w:color w:val="000000"/>
          <w:lang w:val="ru-RU"/>
        </w:rPr>
        <w:t xml:space="preserve"> </w:t>
      </w:r>
      <w:r w:rsidRPr="000E3B08">
        <w:rPr>
          <w:rFonts w:eastAsia="Times New Roman" w:cs="Arial"/>
          <w:i/>
          <w:iCs/>
          <w:color w:val="000000"/>
          <w:lang w:eastAsia="bg-BG"/>
        </w:rPr>
        <w:t>ретинит</w:t>
      </w:r>
    </w:p>
    <w:p w14:paraId="2CCA8596" w14:textId="77777777" w:rsidR="000E3B08" w:rsidRDefault="000E3B08" w:rsidP="000E3B08">
      <w:pPr>
        <w:spacing w:line="240" w:lineRule="auto"/>
        <w:rPr>
          <w:rFonts w:eastAsia="Times New Roman" w:cs="Arial"/>
          <w:color w:val="000000"/>
          <w:lang w:eastAsia="bg-BG"/>
        </w:rPr>
      </w:pPr>
    </w:p>
    <w:p w14:paraId="31FEB24C" w14:textId="0B958CB7" w:rsidR="000E3B08" w:rsidRDefault="000E3B08" w:rsidP="000E3B08">
      <w:pPr>
        <w:spacing w:line="240" w:lineRule="auto"/>
        <w:rPr>
          <w:rFonts w:eastAsia="Times New Roman" w:cs="Arial"/>
          <w:color w:val="000000"/>
          <w:lang w:eastAsia="bg-BG"/>
        </w:rPr>
      </w:pPr>
      <w:r w:rsidRPr="000E3B08">
        <w:rPr>
          <w:rFonts w:eastAsia="Times New Roman" w:cs="Arial"/>
          <w:color w:val="000000"/>
          <w:lang w:eastAsia="bg-BG"/>
        </w:rPr>
        <w:t xml:space="preserve">При пациенти с активен </w:t>
      </w:r>
      <w:r w:rsidRPr="000E3B08">
        <w:rPr>
          <w:rFonts w:eastAsia="Times New Roman" w:cs="Arial"/>
          <w:color w:val="000000"/>
          <w:lang w:val="en-US"/>
        </w:rPr>
        <w:t>CMV</w:t>
      </w:r>
      <w:r w:rsidRPr="000E3B08">
        <w:rPr>
          <w:rFonts w:eastAsia="Times New Roman" w:cs="Arial"/>
          <w:color w:val="000000"/>
          <w:lang w:val="ru-RU"/>
        </w:rPr>
        <w:t xml:space="preserve"> </w:t>
      </w:r>
      <w:r w:rsidRPr="000E3B08">
        <w:rPr>
          <w:rFonts w:eastAsia="Times New Roman" w:cs="Arial"/>
          <w:color w:val="000000"/>
          <w:lang w:eastAsia="bg-BG"/>
        </w:rPr>
        <w:t xml:space="preserve">ретинит препоръчителната доза е 900 </w:t>
      </w:r>
      <w:r w:rsidRPr="000E3B08">
        <w:rPr>
          <w:rFonts w:eastAsia="Times New Roman" w:cs="Arial"/>
          <w:color w:val="000000"/>
          <w:lang w:val="en-US"/>
        </w:rPr>
        <w:t>mg</w:t>
      </w:r>
      <w:r w:rsidRPr="000E3B08">
        <w:rPr>
          <w:rFonts w:eastAsia="Times New Roman" w:cs="Arial"/>
          <w:color w:val="000000"/>
          <w:lang w:val="ru-RU"/>
        </w:rPr>
        <w:t xml:space="preserve"> </w:t>
      </w:r>
      <w:r w:rsidRPr="000E3B08">
        <w:rPr>
          <w:rFonts w:eastAsia="Times New Roman" w:cs="Arial"/>
          <w:color w:val="000000"/>
          <w:lang w:eastAsia="bg-BG"/>
        </w:rPr>
        <w:t xml:space="preserve">валганцикловир (две </w:t>
      </w:r>
      <w:r w:rsidRPr="000E3B08">
        <w:rPr>
          <w:rFonts w:eastAsia="Times New Roman" w:cs="Arial"/>
          <w:color w:val="000000"/>
          <w:u w:val="single"/>
          <w:lang w:eastAsia="bg-BG"/>
        </w:rPr>
        <w:t>таблетк</w:t>
      </w:r>
      <w:r w:rsidRPr="000E3B08">
        <w:rPr>
          <w:rFonts w:eastAsia="Times New Roman" w:cs="Arial"/>
          <w:color w:val="000000"/>
          <w:lang w:eastAsia="bg-BG"/>
        </w:rPr>
        <w:t xml:space="preserve">и Валцит 450 </w:t>
      </w:r>
      <w:r w:rsidRPr="000E3B08">
        <w:rPr>
          <w:rFonts w:eastAsia="Times New Roman" w:cs="Arial"/>
          <w:color w:val="000000"/>
          <w:lang w:val="en-US"/>
        </w:rPr>
        <w:t>mg</w:t>
      </w:r>
      <w:r w:rsidRPr="000E3B08">
        <w:rPr>
          <w:rFonts w:eastAsia="Times New Roman" w:cs="Arial"/>
          <w:color w:val="000000"/>
          <w:lang w:val="ru-RU"/>
        </w:rPr>
        <w:t xml:space="preserve">) </w:t>
      </w:r>
      <w:r w:rsidRPr="000E3B08">
        <w:rPr>
          <w:rFonts w:eastAsia="Times New Roman" w:cs="Arial"/>
          <w:color w:val="000000"/>
          <w:lang w:eastAsia="bg-BG"/>
        </w:rPr>
        <w:t>два пъти дневно в продължение на 21 дена, като, когато е възможно, тряба да се приема с храна. Продължителното въвеждащо лечение може да увеличи риска от костномозъчна</w:t>
      </w:r>
      <w:r>
        <w:rPr>
          <w:rFonts w:eastAsia="Times New Roman" w:cs="Arial"/>
        </w:rPr>
        <w:t xml:space="preserve"> </w:t>
      </w:r>
      <w:r w:rsidRPr="000E3B08">
        <w:rPr>
          <w:rFonts w:eastAsia="Times New Roman" w:cs="Arial"/>
          <w:color w:val="000000"/>
          <w:lang w:eastAsia="bg-BG"/>
        </w:rPr>
        <w:t>токсичност (вж. точка 4.4).</w:t>
      </w:r>
    </w:p>
    <w:p w14:paraId="03440268" w14:textId="631CF80E" w:rsidR="000E3B08" w:rsidRDefault="000E3B08" w:rsidP="000E3B08">
      <w:pPr>
        <w:spacing w:line="240" w:lineRule="auto"/>
        <w:rPr>
          <w:rFonts w:eastAsia="Times New Roman" w:cs="Arial"/>
          <w:color w:val="000000"/>
          <w:lang w:eastAsia="bg-BG"/>
        </w:rPr>
      </w:pPr>
    </w:p>
    <w:p w14:paraId="70FB18C2" w14:textId="77777777" w:rsidR="000E3B08" w:rsidRPr="000E3B08" w:rsidRDefault="000E3B08" w:rsidP="000E3B08">
      <w:pPr>
        <w:spacing w:line="240" w:lineRule="auto"/>
        <w:rPr>
          <w:rFonts w:eastAsia="Times New Roman" w:cs="Arial"/>
        </w:rPr>
      </w:pPr>
      <w:r w:rsidRPr="000E3B08">
        <w:rPr>
          <w:rFonts w:eastAsia="Times New Roman" w:cs="Arial"/>
          <w:i/>
          <w:iCs/>
          <w:color w:val="000000"/>
          <w:lang w:eastAsia="bg-BG"/>
        </w:rPr>
        <w:t xml:space="preserve">Поддържащо лечение на </w:t>
      </w:r>
      <w:r w:rsidRPr="000E3B08">
        <w:rPr>
          <w:rFonts w:eastAsia="Times New Roman" w:cs="Arial"/>
          <w:i/>
          <w:iCs/>
          <w:color w:val="000000"/>
          <w:lang w:val="en-US"/>
        </w:rPr>
        <w:t>CMV</w:t>
      </w:r>
      <w:r w:rsidRPr="000E3B08">
        <w:rPr>
          <w:rFonts w:eastAsia="Times New Roman" w:cs="Arial"/>
          <w:i/>
          <w:iCs/>
          <w:color w:val="000000"/>
          <w:lang w:eastAsia="bg-BG"/>
        </w:rPr>
        <w:t>ретинит:</w:t>
      </w:r>
    </w:p>
    <w:p w14:paraId="71A4C0E6" w14:textId="77777777" w:rsidR="000E3B08" w:rsidRDefault="000E3B08" w:rsidP="000E3B08">
      <w:pPr>
        <w:spacing w:line="240" w:lineRule="auto"/>
        <w:rPr>
          <w:rFonts w:eastAsia="Times New Roman" w:cs="Arial"/>
          <w:color w:val="000000"/>
          <w:lang w:eastAsia="bg-BG"/>
        </w:rPr>
      </w:pPr>
    </w:p>
    <w:p w14:paraId="6BF1C4C2" w14:textId="051AD688" w:rsidR="000E3B08" w:rsidRPr="000E3B08" w:rsidRDefault="000E3B08" w:rsidP="000E3B08">
      <w:pPr>
        <w:spacing w:line="240" w:lineRule="auto"/>
        <w:rPr>
          <w:rFonts w:eastAsia="Times New Roman" w:cs="Arial"/>
        </w:rPr>
      </w:pPr>
      <w:r w:rsidRPr="000E3B08">
        <w:rPr>
          <w:rFonts w:eastAsia="Times New Roman" w:cs="Arial"/>
          <w:color w:val="000000"/>
          <w:lang w:eastAsia="bg-BG"/>
        </w:rPr>
        <w:t xml:space="preserve">След въвеждащо лечение или при пациенти с неактивен </w:t>
      </w:r>
      <w:r w:rsidRPr="000E3B08">
        <w:rPr>
          <w:rFonts w:eastAsia="Times New Roman" w:cs="Arial"/>
          <w:color w:val="000000"/>
          <w:lang w:val="en-US"/>
        </w:rPr>
        <w:t>CMV</w:t>
      </w:r>
      <w:r w:rsidRPr="000E3B08">
        <w:rPr>
          <w:rFonts w:eastAsia="Times New Roman" w:cs="Arial"/>
          <w:color w:val="000000"/>
          <w:lang w:val="ru-RU"/>
        </w:rPr>
        <w:t xml:space="preserve"> </w:t>
      </w:r>
      <w:r w:rsidRPr="000E3B08">
        <w:rPr>
          <w:rFonts w:eastAsia="Times New Roman" w:cs="Arial"/>
          <w:color w:val="000000"/>
          <w:lang w:eastAsia="bg-BG"/>
        </w:rPr>
        <w:t xml:space="preserve">ретинит препоръчителната доза е 900 </w:t>
      </w:r>
      <w:r w:rsidRPr="000E3B08">
        <w:rPr>
          <w:rFonts w:eastAsia="Times New Roman" w:cs="Arial"/>
          <w:color w:val="000000"/>
          <w:lang w:val="en-US"/>
        </w:rPr>
        <w:t>mg</w:t>
      </w:r>
      <w:r w:rsidRPr="000E3B08">
        <w:rPr>
          <w:rFonts w:eastAsia="Times New Roman" w:cs="Arial"/>
          <w:color w:val="000000"/>
          <w:lang w:val="ru-RU"/>
        </w:rPr>
        <w:t xml:space="preserve"> </w:t>
      </w:r>
      <w:r w:rsidRPr="000E3B08">
        <w:rPr>
          <w:rFonts w:eastAsia="Times New Roman" w:cs="Arial"/>
          <w:color w:val="000000"/>
          <w:lang w:eastAsia="bg-BG"/>
        </w:rPr>
        <w:t xml:space="preserve">валганцикловир (две таблетки Валцит 450 </w:t>
      </w:r>
      <w:r w:rsidRPr="000E3B08">
        <w:rPr>
          <w:rFonts w:eastAsia="Times New Roman" w:cs="Arial"/>
          <w:color w:val="000000"/>
          <w:lang w:val="en-US"/>
        </w:rPr>
        <w:t>mg</w:t>
      </w:r>
      <w:r w:rsidRPr="000E3B08">
        <w:rPr>
          <w:rFonts w:eastAsia="Times New Roman" w:cs="Arial"/>
          <w:color w:val="000000"/>
          <w:lang w:val="ru-RU"/>
        </w:rPr>
        <w:t xml:space="preserve">) </w:t>
      </w:r>
      <w:r w:rsidRPr="000E3B08">
        <w:rPr>
          <w:rFonts w:eastAsia="Times New Roman" w:cs="Arial"/>
          <w:color w:val="000000"/>
          <w:lang w:eastAsia="bg-BG"/>
        </w:rPr>
        <w:t>веднъж дневно, като, когато е възможно, трябва да се приема с храна. Пациенти, при които ретинитьт се влоши, може да повторят въвеждащото лечение. Трябва, обаче, да се има предвид възможността за наличие на резистентност на вируса към лекарството.</w:t>
      </w:r>
    </w:p>
    <w:p w14:paraId="1E89B4B6" w14:textId="77777777" w:rsidR="000E3B08" w:rsidRDefault="000E3B08" w:rsidP="000E3B08">
      <w:pPr>
        <w:spacing w:line="240" w:lineRule="auto"/>
        <w:rPr>
          <w:rFonts w:eastAsia="Times New Roman" w:cs="Arial"/>
          <w:color w:val="000000"/>
          <w:lang w:eastAsia="bg-BG"/>
        </w:rPr>
      </w:pPr>
    </w:p>
    <w:p w14:paraId="3516311A" w14:textId="588918CF" w:rsidR="000E3B08" w:rsidRPr="000E3B08" w:rsidRDefault="000E3B08" w:rsidP="000E3B08">
      <w:pPr>
        <w:spacing w:line="240" w:lineRule="auto"/>
        <w:rPr>
          <w:rFonts w:eastAsia="Times New Roman" w:cs="Arial"/>
        </w:rPr>
      </w:pPr>
      <w:r w:rsidRPr="000E3B08">
        <w:rPr>
          <w:rFonts w:eastAsia="Times New Roman" w:cs="Arial"/>
          <w:color w:val="000000"/>
          <w:lang w:eastAsia="bg-BG"/>
        </w:rPr>
        <w:t>Продължителността на поддържащото лечение трябва да се определя индивидуално.</w:t>
      </w:r>
    </w:p>
    <w:p w14:paraId="5BC0526D" w14:textId="77777777" w:rsidR="000E3B08" w:rsidRDefault="000E3B08" w:rsidP="000E3B08">
      <w:pPr>
        <w:spacing w:line="240" w:lineRule="auto"/>
        <w:rPr>
          <w:rFonts w:eastAsia="Times New Roman" w:cs="Arial"/>
          <w:i/>
          <w:iCs/>
          <w:color w:val="000000"/>
          <w:lang w:eastAsia="bg-BG"/>
        </w:rPr>
      </w:pPr>
    </w:p>
    <w:p w14:paraId="2F667834" w14:textId="23E67918" w:rsidR="000E3B08" w:rsidRPr="000E3B08" w:rsidRDefault="000E3B08" w:rsidP="000E3B08">
      <w:pPr>
        <w:spacing w:line="240" w:lineRule="auto"/>
        <w:rPr>
          <w:rFonts w:eastAsia="Times New Roman" w:cs="Arial"/>
        </w:rPr>
      </w:pPr>
      <w:r w:rsidRPr="000E3B08">
        <w:rPr>
          <w:rFonts w:eastAsia="Times New Roman" w:cs="Arial"/>
          <w:i/>
          <w:iCs/>
          <w:color w:val="000000"/>
          <w:lang w:eastAsia="bg-BG"/>
        </w:rPr>
        <w:t>Педиатрична популация</w:t>
      </w:r>
    </w:p>
    <w:p w14:paraId="017AC9FD" w14:textId="77777777" w:rsidR="000E3B08" w:rsidRDefault="000E3B08" w:rsidP="000E3B08">
      <w:pPr>
        <w:spacing w:line="240" w:lineRule="auto"/>
        <w:rPr>
          <w:rFonts w:eastAsia="Times New Roman" w:cs="Arial"/>
          <w:color w:val="000000"/>
          <w:lang w:eastAsia="bg-BG"/>
        </w:rPr>
      </w:pPr>
    </w:p>
    <w:p w14:paraId="091E40DB" w14:textId="7C270F16" w:rsidR="000E3B08" w:rsidRPr="000E3B08" w:rsidRDefault="000E3B08" w:rsidP="000E3B08">
      <w:pPr>
        <w:spacing w:line="240" w:lineRule="auto"/>
        <w:rPr>
          <w:rFonts w:eastAsia="Times New Roman" w:cs="Arial"/>
        </w:rPr>
      </w:pPr>
      <w:r w:rsidRPr="000E3B08">
        <w:rPr>
          <w:rFonts w:eastAsia="Times New Roman" w:cs="Arial"/>
          <w:color w:val="000000"/>
          <w:lang w:eastAsia="bg-BG"/>
        </w:rPr>
        <w:t xml:space="preserve">Безопасността и ефикасността на Валцит за лечение на </w:t>
      </w:r>
      <w:r w:rsidRPr="000E3B08">
        <w:rPr>
          <w:rFonts w:eastAsia="Times New Roman" w:cs="Arial"/>
          <w:color w:val="000000"/>
          <w:lang w:val="en-US"/>
        </w:rPr>
        <w:t>CMV</w:t>
      </w:r>
      <w:r w:rsidRPr="000E3B08">
        <w:rPr>
          <w:rFonts w:eastAsia="Times New Roman" w:cs="Arial"/>
          <w:color w:val="000000"/>
          <w:lang w:val="ru-RU"/>
        </w:rPr>
        <w:t xml:space="preserve"> </w:t>
      </w:r>
      <w:r w:rsidRPr="000E3B08">
        <w:rPr>
          <w:rFonts w:eastAsia="Times New Roman" w:cs="Arial"/>
          <w:color w:val="000000"/>
          <w:lang w:eastAsia="bg-BG"/>
        </w:rPr>
        <w:t>ретинит не са установени при адекватни и добре контролирани клинични изпитвания при педиатрични пациенти.</w:t>
      </w:r>
    </w:p>
    <w:p w14:paraId="46490542" w14:textId="77777777" w:rsidR="000E3B08" w:rsidRDefault="000E3B08" w:rsidP="000E3B08">
      <w:pPr>
        <w:spacing w:line="240" w:lineRule="auto"/>
        <w:rPr>
          <w:rFonts w:eastAsia="Times New Roman" w:cs="Arial"/>
          <w:b/>
          <w:bCs/>
          <w:color w:val="000000"/>
          <w:lang w:eastAsia="bg-BG"/>
        </w:rPr>
      </w:pPr>
    </w:p>
    <w:p w14:paraId="68AABC7E" w14:textId="5EA3A049" w:rsidR="000E3B08" w:rsidRPr="000E3B08" w:rsidRDefault="000E3B08" w:rsidP="000E3B08">
      <w:pPr>
        <w:spacing w:line="240" w:lineRule="auto"/>
        <w:rPr>
          <w:rFonts w:eastAsia="Times New Roman" w:cs="Arial"/>
        </w:rPr>
      </w:pPr>
      <w:r w:rsidRPr="000E3B08">
        <w:rPr>
          <w:rFonts w:eastAsia="Times New Roman" w:cs="Arial"/>
          <w:b/>
          <w:bCs/>
          <w:color w:val="000000"/>
          <w:lang w:eastAsia="bg-BG"/>
        </w:rPr>
        <w:t xml:space="preserve">Профилактика на </w:t>
      </w:r>
      <w:r w:rsidRPr="000E3B08">
        <w:rPr>
          <w:rFonts w:eastAsia="Times New Roman" w:cs="Arial"/>
          <w:b/>
          <w:bCs/>
          <w:color w:val="000000"/>
          <w:lang w:val="en-US"/>
        </w:rPr>
        <w:t>CMV</w:t>
      </w:r>
      <w:r w:rsidRPr="000E3B08">
        <w:rPr>
          <w:rFonts w:eastAsia="Times New Roman" w:cs="Arial"/>
          <w:b/>
          <w:bCs/>
          <w:color w:val="000000"/>
          <w:lang w:val="ru-RU"/>
        </w:rPr>
        <w:t xml:space="preserve"> </w:t>
      </w:r>
      <w:r w:rsidRPr="000E3B08">
        <w:rPr>
          <w:rFonts w:eastAsia="Times New Roman" w:cs="Arial"/>
          <w:b/>
          <w:bCs/>
          <w:color w:val="000000"/>
          <w:lang w:eastAsia="bg-BG"/>
        </w:rPr>
        <w:t>заболяване при трансплантация на солиден орган</w:t>
      </w:r>
    </w:p>
    <w:p w14:paraId="2734C612" w14:textId="77777777" w:rsidR="000E3B08" w:rsidRDefault="000E3B08" w:rsidP="000E3B08">
      <w:pPr>
        <w:spacing w:line="240" w:lineRule="auto"/>
        <w:rPr>
          <w:rFonts w:eastAsia="Times New Roman" w:cs="Arial"/>
          <w:i/>
          <w:iCs/>
          <w:color w:val="000000"/>
          <w:lang w:eastAsia="bg-BG"/>
        </w:rPr>
      </w:pPr>
    </w:p>
    <w:p w14:paraId="790E0AAE" w14:textId="7A5B9A20" w:rsidR="000E3B08" w:rsidRPr="000E3B08" w:rsidRDefault="000E3B08" w:rsidP="000E3B08">
      <w:pPr>
        <w:spacing w:line="240" w:lineRule="auto"/>
        <w:rPr>
          <w:rFonts w:eastAsia="Times New Roman" w:cs="Arial"/>
        </w:rPr>
      </w:pPr>
      <w:r w:rsidRPr="000E3B08">
        <w:rPr>
          <w:rFonts w:eastAsia="Times New Roman" w:cs="Arial"/>
          <w:i/>
          <w:iCs/>
          <w:color w:val="000000"/>
          <w:lang w:eastAsia="bg-BG"/>
        </w:rPr>
        <w:t>Възрастни пациенти</w:t>
      </w:r>
    </w:p>
    <w:p w14:paraId="2ABCBE68" w14:textId="77777777" w:rsidR="000E3B08" w:rsidRPr="000E3B08" w:rsidRDefault="000E3B08" w:rsidP="000E3B08">
      <w:pPr>
        <w:spacing w:line="240" w:lineRule="auto"/>
        <w:rPr>
          <w:rFonts w:eastAsia="Times New Roman" w:cs="Arial"/>
        </w:rPr>
      </w:pPr>
      <w:r w:rsidRPr="000E3B08">
        <w:rPr>
          <w:rFonts w:eastAsia="Times New Roman" w:cs="Arial"/>
          <w:color w:val="000000"/>
          <w:lang w:eastAsia="bg-BG"/>
        </w:rPr>
        <w:t xml:space="preserve">При пациенти с бъбречна трансплантация препоръчителната доза е 900 </w:t>
      </w:r>
      <w:r w:rsidRPr="000E3B08">
        <w:rPr>
          <w:rFonts w:eastAsia="Times New Roman" w:cs="Arial"/>
          <w:color w:val="000000"/>
          <w:lang w:val="en-US"/>
        </w:rPr>
        <w:t>mg</w:t>
      </w:r>
      <w:r w:rsidRPr="000E3B08">
        <w:rPr>
          <w:rFonts w:eastAsia="Times New Roman" w:cs="Arial"/>
          <w:color w:val="000000"/>
          <w:lang w:val="ru-RU"/>
        </w:rPr>
        <w:t xml:space="preserve"> </w:t>
      </w:r>
      <w:r w:rsidRPr="000E3B08">
        <w:rPr>
          <w:rFonts w:eastAsia="Times New Roman" w:cs="Arial"/>
          <w:color w:val="000000"/>
          <w:lang w:eastAsia="bg-BG"/>
        </w:rPr>
        <w:t xml:space="preserve">(две таблетки Валцит 450 </w:t>
      </w:r>
      <w:r w:rsidRPr="000E3B08">
        <w:rPr>
          <w:rFonts w:eastAsia="Times New Roman" w:cs="Arial"/>
          <w:color w:val="000000"/>
          <w:lang w:val="en-US"/>
        </w:rPr>
        <w:t>mg</w:t>
      </w:r>
      <w:r w:rsidRPr="000E3B08">
        <w:rPr>
          <w:rFonts w:eastAsia="Times New Roman" w:cs="Arial"/>
          <w:color w:val="000000"/>
          <w:lang w:val="ru-RU"/>
        </w:rPr>
        <w:t xml:space="preserve">) </w:t>
      </w:r>
      <w:r w:rsidRPr="000E3B08">
        <w:rPr>
          <w:rFonts w:eastAsia="Times New Roman" w:cs="Arial"/>
          <w:color w:val="000000"/>
          <w:lang w:eastAsia="bg-BG"/>
        </w:rPr>
        <w:t>веднъж дневно, като се започне до 10 дни след трансппантацията и се продължи до 100 дни след трансплантацията. Профилактиката може да се продължи до 200 дни след трансплантацията (вж. точки 4.4,4.8 и 5.1).</w:t>
      </w:r>
    </w:p>
    <w:p w14:paraId="35D37C2C" w14:textId="77777777" w:rsidR="000E3B08" w:rsidRDefault="000E3B08" w:rsidP="000E3B08">
      <w:pPr>
        <w:spacing w:line="240" w:lineRule="auto"/>
        <w:rPr>
          <w:rFonts w:eastAsia="Times New Roman" w:cs="Arial"/>
          <w:color w:val="000000"/>
          <w:lang w:eastAsia="bg-BG"/>
        </w:rPr>
      </w:pPr>
    </w:p>
    <w:p w14:paraId="3BAC6F92" w14:textId="77777777" w:rsidR="000E3B08" w:rsidRDefault="000E3B08" w:rsidP="000E3B08">
      <w:pPr>
        <w:spacing w:line="240" w:lineRule="auto"/>
        <w:rPr>
          <w:rFonts w:eastAsia="Times New Roman" w:cs="Arial"/>
          <w:color w:val="000000"/>
          <w:lang w:eastAsia="bg-BG"/>
        </w:rPr>
      </w:pPr>
      <w:r w:rsidRPr="000E3B08">
        <w:rPr>
          <w:rFonts w:eastAsia="Times New Roman" w:cs="Arial"/>
          <w:color w:val="000000"/>
          <w:lang w:eastAsia="bg-BG"/>
        </w:rPr>
        <w:t xml:space="preserve">При пациенти, които са получили трансплантат на солиден орган, но не бъбрек, препоръчителната доза е 900 </w:t>
      </w:r>
      <w:r w:rsidRPr="000E3B08">
        <w:rPr>
          <w:rFonts w:eastAsia="Times New Roman" w:cs="Arial"/>
          <w:color w:val="000000"/>
          <w:lang w:val="en-US"/>
        </w:rPr>
        <w:t>mg</w:t>
      </w:r>
      <w:r w:rsidRPr="000E3B08">
        <w:rPr>
          <w:rFonts w:eastAsia="Times New Roman" w:cs="Arial"/>
          <w:color w:val="000000"/>
          <w:lang w:val="ru-RU"/>
        </w:rPr>
        <w:t xml:space="preserve"> </w:t>
      </w:r>
      <w:r w:rsidRPr="000E3B08">
        <w:rPr>
          <w:rFonts w:eastAsia="Times New Roman" w:cs="Arial"/>
          <w:color w:val="000000"/>
          <w:lang w:eastAsia="bg-BG"/>
        </w:rPr>
        <w:t xml:space="preserve">(две таблетки Валцит 450 </w:t>
      </w:r>
      <w:r w:rsidRPr="000E3B08">
        <w:rPr>
          <w:rFonts w:eastAsia="Times New Roman" w:cs="Arial"/>
          <w:color w:val="000000"/>
          <w:lang w:val="en-US"/>
        </w:rPr>
        <w:t>mg</w:t>
      </w:r>
      <w:r w:rsidRPr="000E3B08">
        <w:rPr>
          <w:rFonts w:eastAsia="Times New Roman" w:cs="Arial"/>
          <w:color w:val="000000"/>
          <w:lang w:val="ru-RU"/>
        </w:rPr>
        <w:t xml:space="preserve">) </w:t>
      </w:r>
      <w:r w:rsidRPr="000E3B08">
        <w:rPr>
          <w:rFonts w:eastAsia="Times New Roman" w:cs="Arial"/>
          <w:color w:val="000000"/>
          <w:lang w:eastAsia="bg-BG"/>
        </w:rPr>
        <w:t xml:space="preserve">веднъж дневно, като се започне до 10 дни след трансплантацията и се продължи до 100 дни след </w:t>
      </w:r>
    </w:p>
    <w:p w14:paraId="25E165BD" w14:textId="0D4F70F0" w:rsidR="000E3B08" w:rsidRPr="000E3B08" w:rsidRDefault="000E3B08" w:rsidP="000E3B08">
      <w:pPr>
        <w:spacing w:line="240" w:lineRule="auto"/>
        <w:rPr>
          <w:rFonts w:eastAsia="Times New Roman" w:cs="Arial"/>
        </w:rPr>
      </w:pPr>
      <w:r w:rsidRPr="000E3B08">
        <w:rPr>
          <w:rFonts w:eastAsia="Times New Roman" w:cs="Arial"/>
          <w:color w:val="000000"/>
          <w:lang w:eastAsia="bg-BG"/>
        </w:rPr>
        <w:t>трансплантацията.</w:t>
      </w:r>
    </w:p>
    <w:p w14:paraId="14AAA5D9" w14:textId="77777777" w:rsidR="000E3B08" w:rsidRDefault="000E3B08" w:rsidP="000E3B08">
      <w:pPr>
        <w:spacing w:line="240" w:lineRule="auto"/>
        <w:rPr>
          <w:rFonts w:eastAsia="Times New Roman" w:cs="Arial"/>
          <w:color w:val="000000"/>
          <w:lang w:eastAsia="bg-BG"/>
        </w:rPr>
      </w:pPr>
    </w:p>
    <w:p w14:paraId="5308C1DA" w14:textId="6140F959" w:rsidR="000E3B08" w:rsidRPr="000E3B08" w:rsidRDefault="000E3B08" w:rsidP="000E3B08">
      <w:pPr>
        <w:spacing w:line="240" w:lineRule="auto"/>
        <w:rPr>
          <w:rFonts w:eastAsia="Times New Roman" w:cs="Arial"/>
        </w:rPr>
      </w:pPr>
      <w:r w:rsidRPr="000E3B08">
        <w:rPr>
          <w:rFonts w:eastAsia="Times New Roman" w:cs="Arial"/>
          <w:color w:val="000000"/>
          <w:lang w:eastAsia="bg-BG"/>
        </w:rPr>
        <w:t>Когато е възможно, таблетките трябва да се приемат с храна.</w:t>
      </w:r>
    </w:p>
    <w:p w14:paraId="040F7171" w14:textId="77777777" w:rsidR="000E3B08" w:rsidRDefault="000E3B08" w:rsidP="000E3B08">
      <w:pPr>
        <w:spacing w:line="240" w:lineRule="auto"/>
        <w:rPr>
          <w:rFonts w:eastAsia="Times New Roman" w:cs="Arial"/>
          <w:i/>
          <w:iCs/>
          <w:color w:val="000000"/>
          <w:lang w:eastAsia="bg-BG"/>
        </w:rPr>
      </w:pPr>
    </w:p>
    <w:p w14:paraId="120198E5" w14:textId="71A9397D" w:rsidR="000E3B08" w:rsidRPr="000E3B08" w:rsidRDefault="000E3B08" w:rsidP="000E3B08">
      <w:pPr>
        <w:spacing w:line="240" w:lineRule="auto"/>
        <w:rPr>
          <w:rFonts w:eastAsia="Times New Roman" w:cs="Arial"/>
        </w:rPr>
      </w:pPr>
      <w:r w:rsidRPr="000E3B08">
        <w:rPr>
          <w:rFonts w:eastAsia="Times New Roman" w:cs="Arial"/>
          <w:i/>
          <w:iCs/>
          <w:color w:val="000000"/>
          <w:lang w:eastAsia="bg-BG"/>
        </w:rPr>
        <w:t xml:space="preserve">Педиатрична популация  При </w:t>
      </w:r>
      <w:r w:rsidRPr="000E3B08">
        <w:rPr>
          <w:rFonts w:eastAsia="Times New Roman" w:cs="Arial"/>
          <w:color w:val="000000"/>
          <w:lang w:eastAsia="bg-BG"/>
        </w:rPr>
        <w:t xml:space="preserve">педиатрични пациенти с трансплантация на солидни органи на възраст след раждането, изложени на риск от развитие на </w:t>
      </w:r>
      <w:r w:rsidRPr="000E3B08">
        <w:rPr>
          <w:rFonts w:eastAsia="Times New Roman" w:cs="Arial"/>
          <w:color w:val="000000"/>
          <w:lang w:val="en-US"/>
        </w:rPr>
        <w:t>CMV</w:t>
      </w:r>
      <w:r w:rsidRPr="000E3B08">
        <w:rPr>
          <w:rFonts w:eastAsia="Times New Roman" w:cs="Arial"/>
          <w:color w:val="000000"/>
          <w:lang w:val="ru-RU"/>
        </w:rPr>
        <w:t xml:space="preserve"> </w:t>
      </w:r>
      <w:r w:rsidRPr="000E3B08">
        <w:rPr>
          <w:rFonts w:eastAsia="Times New Roman" w:cs="Arial"/>
          <w:color w:val="000000"/>
          <w:lang w:eastAsia="bg-BG"/>
        </w:rPr>
        <w:t xml:space="preserve">заболяване, препоръчваната доза Валцит веднъж дневно се основава на площта на телесната повърхност </w:t>
      </w:r>
      <w:r w:rsidRPr="000E3B08">
        <w:rPr>
          <w:rFonts w:eastAsia="Times New Roman" w:cs="Arial"/>
          <w:color w:val="000000"/>
          <w:lang w:val="ru-RU"/>
        </w:rPr>
        <w:t>(</w:t>
      </w:r>
      <w:r w:rsidRPr="000E3B08">
        <w:rPr>
          <w:rFonts w:eastAsia="Times New Roman" w:cs="Arial"/>
          <w:color w:val="000000"/>
          <w:lang w:val="en-US"/>
        </w:rPr>
        <w:t>BSA</w:t>
      </w:r>
      <w:r w:rsidRPr="000E3B08">
        <w:rPr>
          <w:rFonts w:eastAsia="Times New Roman" w:cs="Arial"/>
          <w:color w:val="000000"/>
          <w:lang w:val="ru-RU"/>
        </w:rPr>
        <w:t xml:space="preserve">) </w:t>
      </w:r>
      <w:r w:rsidRPr="000E3B08">
        <w:rPr>
          <w:rFonts w:eastAsia="Times New Roman" w:cs="Arial"/>
          <w:color w:val="000000"/>
          <w:lang w:eastAsia="bg-BG"/>
        </w:rPr>
        <w:t>и креатининовия клирънс (С</w:t>
      </w:r>
      <w:r w:rsidRPr="000E3B08">
        <w:rPr>
          <w:rFonts w:eastAsia="Times New Roman" w:cs="Arial"/>
          <w:color w:val="000000"/>
          <w:lang w:val="en-US"/>
        </w:rPr>
        <w:t>l</w:t>
      </w:r>
      <w:r w:rsidRPr="000E3B08">
        <w:rPr>
          <w:rFonts w:eastAsia="Times New Roman" w:cs="Arial"/>
          <w:color w:val="000000"/>
          <w:lang w:eastAsia="bg-BG"/>
        </w:rPr>
        <w:t xml:space="preserve">сг), получен по формулата на </w:t>
      </w:r>
      <w:r w:rsidRPr="000E3B08">
        <w:rPr>
          <w:rFonts w:eastAsia="Times New Roman" w:cs="Arial"/>
          <w:color w:val="000000"/>
          <w:lang w:val="en-US"/>
        </w:rPr>
        <w:t>Schwartz</w:t>
      </w:r>
      <w:r w:rsidRPr="000E3B08">
        <w:rPr>
          <w:rFonts w:eastAsia="Times New Roman" w:cs="Arial"/>
          <w:color w:val="000000"/>
          <w:lang w:val="ru-RU"/>
        </w:rPr>
        <w:t xml:space="preserve"> (</w:t>
      </w:r>
      <w:r w:rsidRPr="000E3B08">
        <w:rPr>
          <w:rFonts w:eastAsia="Times New Roman" w:cs="Arial"/>
          <w:color w:val="000000"/>
          <w:lang w:val="en-US"/>
        </w:rPr>
        <w:t>ClcrS</w:t>
      </w:r>
      <w:r w:rsidRPr="000E3B08">
        <w:rPr>
          <w:rFonts w:eastAsia="Times New Roman" w:cs="Arial"/>
          <w:color w:val="000000"/>
          <w:lang w:val="ru-RU"/>
        </w:rPr>
        <w:t xml:space="preserve">), </w:t>
      </w:r>
      <w:r w:rsidRPr="000E3B08">
        <w:rPr>
          <w:rFonts w:eastAsia="Times New Roman" w:cs="Arial"/>
          <w:color w:val="000000"/>
          <w:lang w:eastAsia="bg-BG"/>
        </w:rPr>
        <w:t>и се изчислява с помощта на уравнението по-долу:</w:t>
      </w:r>
    </w:p>
    <w:p w14:paraId="3F472DAF" w14:textId="77777777" w:rsidR="000E3B08" w:rsidRDefault="000E3B08" w:rsidP="000E3B08">
      <w:pPr>
        <w:spacing w:line="240" w:lineRule="auto"/>
        <w:rPr>
          <w:rFonts w:eastAsia="Times New Roman" w:cs="Arial"/>
          <w:color w:val="000000"/>
          <w:lang w:eastAsia="bg-BG"/>
        </w:rPr>
      </w:pPr>
    </w:p>
    <w:p w14:paraId="625354B8" w14:textId="5F7FA76F" w:rsidR="000E3B08" w:rsidRPr="000E3B08" w:rsidRDefault="000E3B08" w:rsidP="000E3B08">
      <w:pPr>
        <w:spacing w:line="240" w:lineRule="auto"/>
        <w:rPr>
          <w:rFonts w:eastAsia="Times New Roman" w:cs="Arial"/>
        </w:rPr>
      </w:pPr>
      <w:r w:rsidRPr="000E3B08">
        <w:rPr>
          <w:rFonts w:eastAsia="Times New Roman" w:cs="Arial"/>
          <w:color w:val="000000"/>
          <w:lang w:eastAsia="bg-BG"/>
        </w:rPr>
        <w:t xml:space="preserve">Педиатрична доза </w:t>
      </w:r>
      <w:r w:rsidRPr="000E3B08">
        <w:rPr>
          <w:rFonts w:eastAsia="Times New Roman" w:cs="Arial"/>
          <w:color w:val="000000"/>
          <w:lang w:val="ru-RU"/>
        </w:rPr>
        <w:t>(</w:t>
      </w:r>
      <w:r w:rsidRPr="000E3B08">
        <w:rPr>
          <w:rFonts w:eastAsia="Times New Roman" w:cs="Arial"/>
          <w:color w:val="000000"/>
          <w:lang w:val="en-US"/>
        </w:rPr>
        <w:t>mg</w:t>
      </w:r>
      <w:r w:rsidRPr="000E3B08">
        <w:rPr>
          <w:rFonts w:eastAsia="Times New Roman" w:cs="Arial"/>
          <w:color w:val="000000"/>
          <w:lang w:val="ru-RU"/>
        </w:rPr>
        <w:t xml:space="preserve">) </w:t>
      </w:r>
      <w:r w:rsidRPr="000E3B08">
        <w:rPr>
          <w:rFonts w:eastAsia="Times New Roman" w:cs="Arial"/>
          <w:color w:val="000000"/>
          <w:lang w:eastAsia="bg-BG"/>
        </w:rPr>
        <w:t xml:space="preserve">= 7 х </w:t>
      </w:r>
      <w:r w:rsidRPr="000E3B08">
        <w:rPr>
          <w:rFonts w:eastAsia="Times New Roman" w:cs="Arial"/>
          <w:color w:val="000000"/>
          <w:lang w:val="en-US"/>
        </w:rPr>
        <w:t>BSA</w:t>
      </w:r>
      <w:r w:rsidRPr="000E3B08">
        <w:rPr>
          <w:rFonts w:eastAsia="Times New Roman" w:cs="Arial"/>
          <w:color w:val="000000"/>
          <w:lang w:val="ru-RU"/>
        </w:rPr>
        <w:t xml:space="preserve"> </w:t>
      </w:r>
      <w:r w:rsidRPr="000E3B08">
        <w:rPr>
          <w:rFonts w:eastAsia="Times New Roman" w:cs="Arial"/>
          <w:color w:val="000000"/>
          <w:lang w:eastAsia="bg-BG"/>
        </w:rPr>
        <w:t xml:space="preserve">х </w:t>
      </w:r>
      <w:r w:rsidRPr="000E3B08">
        <w:rPr>
          <w:rFonts w:eastAsia="Times New Roman" w:cs="Arial"/>
          <w:color w:val="000000"/>
          <w:lang w:val="en-US"/>
        </w:rPr>
        <w:t>ClcrS</w:t>
      </w:r>
      <w:r w:rsidRPr="000E3B08">
        <w:rPr>
          <w:rFonts w:eastAsia="Times New Roman" w:cs="Arial"/>
          <w:color w:val="000000"/>
          <w:lang w:val="ru-RU"/>
        </w:rPr>
        <w:t xml:space="preserve"> </w:t>
      </w:r>
      <w:r w:rsidRPr="000E3B08">
        <w:rPr>
          <w:rFonts w:eastAsia="Times New Roman" w:cs="Arial"/>
          <w:color w:val="000000"/>
          <w:lang w:eastAsia="bg-BG"/>
        </w:rPr>
        <w:t xml:space="preserve">(виж по-долу формулата на </w:t>
      </w:r>
      <w:r w:rsidRPr="000E3B08">
        <w:rPr>
          <w:rFonts w:eastAsia="Times New Roman" w:cs="Arial"/>
          <w:color w:val="000000"/>
          <w:lang w:val="en-US"/>
        </w:rPr>
        <w:t>Mosteller</w:t>
      </w:r>
      <w:r w:rsidRPr="000E3B08">
        <w:rPr>
          <w:rFonts w:eastAsia="Times New Roman" w:cs="Arial"/>
          <w:color w:val="000000"/>
          <w:lang w:val="ru-RU"/>
        </w:rPr>
        <w:t xml:space="preserve"> </w:t>
      </w:r>
      <w:r w:rsidRPr="000E3B08">
        <w:rPr>
          <w:rFonts w:eastAsia="Times New Roman" w:cs="Arial"/>
          <w:color w:val="000000"/>
          <w:lang w:eastAsia="bg-BG"/>
        </w:rPr>
        <w:t xml:space="preserve">за </w:t>
      </w:r>
      <w:r w:rsidRPr="000E3B08">
        <w:rPr>
          <w:rFonts w:eastAsia="Times New Roman" w:cs="Arial"/>
          <w:color w:val="000000"/>
          <w:lang w:val="en-US"/>
        </w:rPr>
        <w:t>BSA</w:t>
      </w:r>
      <w:r w:rsidRPr="000E3B08">
        <w:rPr>
          <w:rFonts w:eastAsia="Times New Roman" w:cs="Arial"/>
          <w:color w:val="000000"/>
          <w:lang w:val="ru-RU"/>
        </w:rPr>
        <w:t xml:space="preserve"> </w:t>
      </w:r>
      <w:r w:rsidRPr="000E3B08">
        <w:rPr>
          <w:rFonts w:eastAsia="Times New Roman" w:cs="Arial"/>
          <w:color w:val="000000"/>
          <w:lang w:eastAsia="bg-BG"/>
        </w:rPr>
        <w:t xml:space="preserve">и формулата на </w:t>
      </w:r>
      <w:r w:rsidRPr="000E3B08">
        <w:rPr>
          <w:rFonts w:eastAsia="Times New Roman" w:cs="Arial"/>
          <w:color w:val="000000"/>
          <w:lang w:val="en-US"/>
        </w:rPr>
        <w:t>Schwartz</w:t>
      </w:r>
      <w:r w:rsidRPr="000E3B08">
        <w:rPr>
          <w:rFonts w:eastAsia="Times New Roman" w:cs="Arial"/>
          <w:color w:val="000000"/>
          <w:lang w:val="ru-RU"/>
        </w:rPr>
        <w:t xml:space="preserve"> </w:t>
      </w:r>
      <w:r w:rsidRPr="000E3B08">
        <w:rPr>
          <w:rFonts w:eastAsia="Times New Roman" w:cs="Arial"/>
          <w:color w:val="000000"/>
          <w:lang w:eastAsia="bg-BG"/>
        </w:rPr>
        <w:t>за креатининовия клирънс).</w:t>
      </w:r>
    </w:p>
    <w:p w14:paraId="10E04B57" w14:textId="77777777" w:rsidR="000E3B08" w:rsidRDefault="000E3B08" w:rsidP="000E3B08">
      <w:pPr>
        <w:spacing w:line="240" w:lineRule="auto"/>
        <w:rPr>
          <w:rFonts w:eastAsia="Times New Roman" w:cs="Arial"/>
          <w:color w:val="000000"/>
          <w:lang w:eastAsia="bg-BG"/>
        </w:rPr>
      </w:pPr>
    </w:p>
    <w:p w14:paraId="31E5F448" w14:textId="28B05CAE" w:rsidR="000E3B08" w:rsidRPr="000E3B08" w:rsidRDefault="000E3B08" w:rsidP="000E3B08">
      <w:pPr>
        <w:spacing w:line="240" w:lineRule="auto"/>
        <w:rPr>
          <w:rFonts w:eastAsia="Times New Roman" w:cs="Arial"/>
        </w:rPr>
      </w:pPr>
      <w:r w:rsidRPr="000E3B08">
        <w:rPr>
          <w:rFonts w:eastAsia="Times New Roman" w:cs="Arial"/>
          <w:color w:val="000000"/>
          <w:lang w:eastAsia="bg-BG"/>
        </w:rPr>
        <w:t xml:space="preserve">Ако изчисленият по </w:t>
      </w:r>
      <w:r w:rsidRPr="000E3B08">
        <w:rPr>
          <w:rFonts w:eastAsia="Times New Roman" w:cs="Arial"/>
          <w:color w:val="000000"/>
          <w:lang w:val="en-US"/>
        </w:rPr>
        <w:t>Schwartz</w:t>
      </w:r>
      <w:r w:rsidRPr="000E3B08">
        <w:rPr>
          <w:rFonts w:eastAsia="Times New Roman" w:cs="Arial"/>
          <w:color w:val="000000"/>
          <w:lang w:val="ru-RU"/>
        </w:rPr>
        <w:t xml:space="preserve"> </w:t>
      </w:r>
      <w:r w:rsidRPr="000E3B08">
        <w:rPr>
          <w:rFonts w:eastAsia="Times New Roman" w:cs="Arial"/>
          <w:color w:val="000000"/>
          <w:lang w:eastAsia="bg-BG"/>
        </w:rPr>
        <w:t xml:space="preserve">креатининов клирънс надхвърля 150 </w:t>
      </w:r>
      <w:r w:rsidRPr="000E3B08">
        <w:rPr>
          <w:rFonts w:eastAsia="Times New Roman" w:cs="Arial"/>
          <w:color w:val="000000"/>
          <w:lang w:val="en-US"/>
        </w:rPr>
        <w:t>ml</w:t>
      </w:r>
      <w:r w:rsidRPr="000E3B08">
        <w:rPr>
          <w:rFonts w:eastAsia="Times New Roman" w:cs="Arial"/>
          <w:color w:val="000000"/>
          <w:lang w:val="ru-RU"/>
        </w:rPr>
        <w:t>/</w:t>
      </w:r>
      <w:r w:rsidRPr="000E3B08">
        <w:rPr>
          <w:rFonts w:eastAsia="Times New Roman" w:cs="Arial"/>
          <w:color w:val="000000"/>
          <w:lang w:val="en-US"/>
        </w:rPr>
        <w:t>min</w:t>
      </w:r>
      <w:r w:rsidRPr="000E3B08">
        <w:rPr>
          <w:rFonts w:eastAsia="Times New Roman" w:cs="Arial"/>
          <w:color w:val="000000"/>
          <w:lang w:val="ru-RU"/>
        </w:rPr>
        <w:t>/</w:t>
      </w:r>
      <w:r w:rsidRPr="000E3B08">
        <w:rPr>
          <w:rFonts w:eastAsia="Times New Roman" w:cs="Arial"/>
          <w:color w:val="000000"/>
          <w:lang w:val="en-US"/>
        </w:rPr>
        <w:t>l</w:t>
      </w:r>
      <w:r w:rsidRPr="000E3B08">
        <w:rPr>
          <w:rFonts w:eastAsia="Times New Roman" w:cs="Arial"/>
          <w:color w:val="000000"/>
          <w:lang w:val="ru-RU"/>
        </w:rPr>
        <w:t>,73</w:t>
      </w:r>
      <w:r w:rsidRPr="000E3B08">
        <w:rPr>
          <w:rFonts w:eastAsia="Times New Roman" w:cs="Arial"/>
          <w:color w:val="000000"/>
          <w:lang w:val="en-US"/>
        </w:rPr>
        <w:t>m</w:t>
      </w:r>
      <w:r w:rsidRPr="000E3B08">
        <w:rPr>
          <w:rFonts w:eastAsia="Times New Roman" w:cs="Arial"/>
          <w:color w:val="000000"/>
          <w:vertAlign w:val="superscript"/>
          <w:lang w:val="ru-RU"/>
        </w:rPr>
        <w:t>2</w:t>
      </w:r>
      <w:r w:rsidRPr="000E3B08">
        <w:rPr>
          <w:rFonts w:eastAsia="Times New Roman" w:cs="Arial"/>
          <w:color w:val="000000"/>
          <w:lang w:val="ru-RU"/>
        </w:rPr>
        <w:t xml:space="preserve">, </w:t>
      </w:r>
      <w:r w:rsidRPr="000E3B08">
        <w:rPr>
          <w:rFonts w:eastAsia="Times New Roman" w:cs="Arial"/>
          <w:color w:val="000000"/>
          <w:lang w:eastAsia="bg-BG"/>
        </w:rPr>
        <w:t xml:space="preserve">тогава в уравнението трябва да се използва максимална стойност от 150 </w:t>
      </w:r>
      <w:r w:rsidRPr="000E3B08">
        <w:rPr>
          <w:rFonts w:eastAsia="Times New Roman" w:cs="Arial"/>
          <w:color w:val="000000"/>
          <w:lang w:val="en-US"/>
        </w:rPr>
        <w:t>ml</w:t>
      </w:r>
      <w:r w:rsidRPr="000E3B08">
        <w:rPr>
          <w:rFonts w:eastAsia="Times New Roman" w:cs="Arial"/>
          <w:color w:val="000000"/>
          <w:lang w:val="ru-RU"/>
        </w:rPr>
        <w:t>/</w:t>
      </w:r>
      <w:r w:rsidRPr="000E3B08">
        <w:rPr>
          <w:rFonts w:eastAsia="Times New Roman" w:cs="Arial"/>
          <w:color w:val="000000"/>
          <w:lang w:val="en-US"/>
        </w:rPr>
        <w:t>min</w:t>
      </w:r>
      <w:r w:rsidRPr="000E3B08">
        <w:rPr>
          <w:rFonts w:eastAsia="Times New Roman" w:cs="Arial"/>
          <w:color w:val="000000"/>
          <w:lang w:val="ru-RU"/>
        </w:rPr>
        <w:t>/ 1.73</w:t>
      </w:r>
      <w:r w:rsidRPr="000E3B08">
        <w:rPr>
          <w:rFonts w:eastAsia="Times New Roman" w:cs="Arial"/>
          <w:color w:val="000000"/>
          <w:lang w:val="en-US"/>
        </w:rPr>
        <w:t>m</w:t>
      </w:r>
      <w:r w:rsidRPr="000E3B08">
        <w:rPr>
          <w:rFonts w:eastAsia="Times New Roman" w:cs="Arial"/>
          <w:color w:val="000000"/>
          <w:vertAlign w:val="superscript"/>
          <w:lang w:val="ru-RU"/>
        </w:rPr>
        <w:t>2</w:t>
      </w:r>
      <w:r w:rsidRPr="000E3B08">
        <w:rPr>
          <w:rFonts w:eastAsia="Times New Roman" w:cs="Arial"/>
          <w:color w:val="000000"/>
          <w:lang w:val="ru-RU"/>
        </w:rPr>
        <w:t>:</w:t>
      </w:r>
    </w:p>
    <w:p w14:paraId="69650FFC" w14:textId="04C0A870" w:rsidR="000E3B08" w:rsidRPr="000E3B08" w:rsidRDefault="000E3B08" w:rsidP="000E3B08">
      <w:pPr>
        <w:rPr>
          <w:rFonts w:eastAsia="Times New Roman" w:cs="Arial"/>
        </w:rPr>
      </w:pPr>
      <m:oMathPara>
        <m:oMathParaPr>
          <m:jc m:val="center"/>
        </m:oMathParaPr>
        <m:oMath>
          <m:r>
            <w:rPr>
              <w:rFonts w:ascii="Cambria Math" w:hAnsi="Cambria Math"/>
            </w:rPr>
            <w:lastRenderedPageBreak/>
            <m:t>MostellerBSA</m:t>
          </m:r>
          <m:d>
            <m:dPr>
              <m:ctrlPr>
                <w:rPr>
                  <w:rFonts w:ascii="Cambria Math" w:hAnsi="Cambria Math"/>
                </w:rPr>
              </m:ctrlPr>
            </m:dPr>
            <m:e>
              <m:sSup>
                <m:sSupPr>
                  <m:ctrlPr>
                    <w:rPr>
                      <w:rFonts w:ascii="Cambria Math" w:hAnsi="Cambria Math"/>
                    </w:rPr>
                  </m:ctrlPr>
                </m:sSupPr>
                <m:e>
                  <m:r>
                    <w:rPr>
                      <w:rFonts w:ascii="Cambria Math" w:hAnsi="Cambria Math"/>
                      <w:lang w:val="en-US"/>
                    </w:rPr>
                    <m:t>m</m:t>
                  </m:r>
                </m:e>
                <m:sup>
                  <m:r>
                    <m:rPr>
                      <m:sty m:val="p"/>
                    </m:rPr>
                    <w:rPr>
                      <w:rFonts w:ascii="Cambria Math" w:hAnsi="Cambria Math"/>
                    </w:rPr>
                    <m:t>2</m:t>
                  </m:r>
                </m:sup>
              </m:sSup>
            </m:e>
          </m:d>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 xml:space="preserve">Височина </m:t>
                  </m:r>
                  <m:r>
                    <m:rPr>
                      <m:sty m:val="p"/>
                    </m:rPr>
                    <w:rPr>
                      <w:rFonts w:ascii="Cambria Math" w:hAnsi="Cambria Math"/>
                      <w:lang w:val="en-US"/>
                    </w:rPr>
                    <m:t>(</m:t>
                  </m:r>
                  <m:r>
                    <w:rPr>
                      <w:rFonts w:ascii="Cambria Math" w:hAnsi="Cambria Math"/>
                      <w:lang w:val="en-US"/>
                    </w:rPr>
                    <m:t>cm</m:t>
                  </m:r>
                  <m:r>
                    <m:rPr>
                      <m:sty m:val="p"/>
                    </m:rPr>
                    <w:rPr>
                      <w:rFonts w:ascii="Cambria Math" w:hAnsi="Cambria Math"/>
                      <w:lang w:val="en-US"/>
                    </w:rPr>
                    <m:t xml:space="preserve">) </m:t>
                  </m:r>
                  <m:r>
                    <m:rPr>
                      <m:sty m:val="p"/>
                    </m:rPr>
                    <w:rPr>
                      <w:rFonts w:ascii="Cambria Math" w:hAnsi="Cambria Math"/>
                    </w:rPr>
                    <m:t xml:space="preserve">х Тегло </m:t>
                  </m:r>
                  <m:r>
                    <m:rPr>
                      <m:sty m:val="p"/>
                    </m:rPr>
                    <w:rPr>
                      <w:rFonts w:ascii="Cambria Math" w:hAnsi="Cambria Math"/>
                      <w:lang w:val="en-US"/>
                    </w:rPr>
                    <m:t>(</m:t>
                  </m:r>
                  <m:r>
                    <w:rPr>
                      <w:rFonts w:ascii="Cambria Math" w:hAnsi="Cambria Math"/>
                      <w:lang w:val="en-US"/>
                    </w:rPr>
                    <m:t>kg</m:t>
                  </m:r>
                  <m:r>
                    <m:rPr>
                      <m:sty m:val="p"/>
                    </m:rPr>
                    <w:rPr>
                      <w:rFonts w:ascii="Cambria Math" w:hAnsi="Cambria Math"/>
                      <w:lang w:val="en-US"/>
                    </w:rPr>
                    <m:t>)</m:t>
                  </m:r>
                </m:num>
                <m:den>
                  <m:r>
                    <m:rPr>
                      <m:sty m:val="p"/>
                    </m:rPr>
                    <w:rPr>
                      <w:rFonts w:ascii="Cambria Math" w:hAnsi="Cambria Math"/>
                    </w:rPr>
                    <m:t>3600</m:t>
                  </m:r>
                </m:den>
              </m:f>
            </m:e>
          </m:rad>
        </m:oMath>
      </m:oMathPara>
    </w:p>
    <w:p w14:paraId="6E0A7121" w14:textId="5792922B" w:rsidR="000E3B08" w:rsidRPr="000E3B08" w:rsidRDefault="000E3B08" w:rsidP="000E3B08">
      <w:pPr>
        <w:rPr>
          <w:rFonts w:eastAsia="Times New Roman" w:cs="Arial"/>
          <w:sz w:val="40"/>
          <w:szCs w:val="40"/>
        </w:rPr>
      </w:pPr>
      <m:oMathPara>
        <m:oMath>
          <m:r>
            <w:rPr>
              <w:rFonts w:ascii="Cambria Math" w:hAnsi="Cambria Math" w:cs="Arial"/>
            </w:rPr>
            <m:t>Schwartz</m:t>
          </m:r>
          <m:r>
            <m:rPr>
              <m:sty m:val="p"/>
            </m:rPr>
            <w:rPr>
              <w:rFonts w:ascii="Cambria Math" w:hAnsi="Cambria Math" w:cs="Arial"/>
            </w:rPr>
            <m:t xml:space="preserve"> </m:t>
          </m:r>
          <m:r>
            <m:rPr>
              <m:sty m:val="p"/>
            </m:rPr>
            <w:rPr>
              <w:rFonts w:ascii="Cambria Math" w:hAnsi="Cambria Math" w:cs="Arial"/>
              <w:lang w:eastAsia="bg-BG"/>
            </w:rPr>
            <m:t xml:space="preserve">Креатининов Клирънс </m:t>
          </m:r>
          <m:r>
            <m:rPr>
              <m:sty m:val="p"/>
            </m:rPr>
            <w:rPr>
              <w:rFonts w:ascii="Cambria Math" w:hAnsi="Cambria Math" w:cs="Arial"/>
            </w:rPr>
            <m:t>(</m:t>
          </m:r>
          <m:r>
            <w:rPr>
              <w:rFonts w:ascii="Cambria Math" w:hAnsi="Cambria Math" w:cs="Arial"/>
            </w:rPr>
            <m:t>ml</m:t>
          </m:r>
          <m:r>
            <m:rPr>
              <m:sty m:val="p"/>
            </m:rPr>
            <w:rPr>
              <w:rFonts w:ascii="Cambria Math" w:hAnsi="Cambria Math" w:cs="Arial"/>
              <w:sz w:val="40"/>
              <w:szCs w:val="40"/>
            </w:rPr>
            <m:t xml:space="preserve"> </m:t>
          </m:r>
          <m:r>
            <m:rPr>
              <m:sty m:val="p"/>
            </m:rPr>
            <w:rPr>
              <w:rFonts w:ascii="Cambria Math" w:hAnsi="Cambria Math" w:cs="Arial"/>
            </w:rPr>
            <m:t>/min/1,73</m:t>
          </m:r>
          <m:sSup>
            <m:sSupPr>
              <m:ctrlPr>
                <w:rPr>
                  <w:rFonts w:ascii="Cambria Math" w:hAnsi="Cambria Math" w:cs="Arial"/>
                </w:rPr>
              </m:ctrlPr>
            </m:sSupPr>
            <m:e>
              <m:r>
                <w:rPr>
                  <w:rFonts w:ascii="Cambria Math" w:hAnsi="Cambria Math" w:cs="Arial"/>
                </w:rPr>
                <m:t>m</m:t>
              </m:r>
            </m:e>
            <m:sup>
              <m:r>
                <m:rPr>
                  <m:sty m:val="p"/>
                </m:rPr>
                <w:rPr>
                  <w:rFonts w:ascii="Cambria Math" w:hAnsi="Cambria Math" w:cs="Arial"/>
                </w:rPr>
                <m:t>2</m:t>
              </m:r>
            </m:sup>
          </m:sSup>
          <m:r>
            <m:rPr>
              <m:sty m:val="p"/>
            </m:rPr>
            <w:rPr>
              <w:rFonts w:ascii="Cambria Math" w:hAnsi="Cambria Math"/>
            </w:rPr>
            <m:t>=</m:t>
          </m:r>
          <m:f>
            <m:fPr>
              <m:ctrlPr>
                <w:rPr>
                  <w:rFonts w:ascii="Cambria Math" w:hAnsi="Cambria Math" w:cs="Arial"/>
                  <w:sz w:val="40"/>
                  <w:szCs w:val="40"/>
                </w:rPr>
              </m:ctrlPr>
            </m:fPr>
            <m:num>
              <m:r>
                <m:rPr>
                  <m:sty m:val="p"/>
                </m:rPr>
                <w:rPr>
                  <w:rFonts w:ascii="Cambria Math" w:hAnsi="Cambria Math" w:cs="Arial"/>
                </w:rPr>
                <m:t>k</m:t>
              </m:r>
              <m:r>
                <m:rPr>
                  <m:sty m:val="p"/>
                </m:rPr>
                <w:rPr>
                  <w:rFonts w:ascii="Cambria Math" w:hAnsi="Cambria Math" w:cs="Arial"/>
                </w:rPr>
                <m:t xml:space="preserve"> х Височина </m:t>
              </m:r>
              <m:r>
                <m:rPr>
                  <m:sty m:val="p"/>
                </m:rPr>
                <w:rPr>
                  <w:rFonts w:ascii="Cambria Math" w:hAnsi="Cambria Math" w:cs="Arial"/>
                  <w:lang w:val="en-US"/>
                </w:rPr>
                <m:t>(</m:t>
              </m:r>
              <m:r>
                <w:rPr>
                  <w:rFonts w:ascii="Cambria Math" w:hAnsi="Cambria Math" w:cs="Arial"/>
                  <w:lang w:val="en-US"/>
                </w:rPr>
                <m:t>cm</m:t>
              </m:r>
              <m:r>
                <m:rPr>
                  <m:sty m:val="p"/>
                </m:rPr>
                <w:rPr>
                  <w:rFonts w:ascii="Cambria Math" w:hAnsi="Cambria Math" w:cs="Arial"/>
                  <w:lang w:val="en-US"/>
                </w:rPr>
                <m:t>)</m:t>
              </m:r>
            </m:num>
            <m:den>
              <m:r>
                <m:rPr>
                  <m:sty m:val="p"/>
                </m:rPr>
                <w:rPr>
                  <w:rFonts w:ascii="Cambria Math" w:hAnsi="Cambria Math" w:cs="Arial"/>
                </w:rPr>
                <m:t xml:space="preserve">Серумен Креатинин </m:t>
              </m:r>
              <m:r>
                <m:rPr>
                  <m:sty m:val="p"/>
                </m:rPr>
                <w:rPr>
                  <w:rFonts w:ascii="Cambria Math" w:hAnsi="Cambria Math" w:cs="Arial"/>
                  <w:lang w:val="en-US"/>
                </w:rPr>
                <m:t>(</m:t>
              </m:r>
              <m:r>
                <w:rPr>
                  <w:rFonts w:ascii="Cambria Math" w:hAnsi="Cambria Math" w:cs="Arial"/>
                  <w:lang w:val="en-US"/>
                </w:rPr>
                <m:t>mg</m:t>
              </m:r>
              <m:r>
                <m:rPr>
                  <m:sty m:val="p"/>
                </m:rPr>
                <w:rPr>
                  <w:rFonts w:ascii="Cambria Math" w:hAnsi="Cambria Math" w:cs="Arial"/>
                  <w:lang w:val="en-US"/>
                </w:rPr>
                <m:t>/</m:t>
              </m:r>
              <m:r>
                <w:rPr>
                  <w:rFonts w:ascii="Cambria Math" w:hAnsi="Cambria Math" w:cs="Arial"/>
                  <w:lang w:val="en-US"/>
                </w:rPr>
                <m:t>dl</m:t>
              </m:r>
              <m:r>
                <m:rPr>
                  <m:sty m:val="p"/>
                </m:rPr>
                <w:rPr>
                  <w:rFonts w:ascii="Cambria Math" w:hAnsi="Cambria Math" w:cs="Arial"/>
                  <w:lang w:val="en-US"/>
                </w:rPr>
                <m:t>)</m:t>
              </m:r>
            </m:den>
          </m:f>
        </m:oMath>
      </m:oMathPara>
    </w:p>
    <w:p w14:paraId="2CFE626D" w14:textId="3612AB2B" w:rsidR="000E3B08" w:rsidRDefault="000E3B08" w:rsidP="000E3B08">
      <w:pPr>
        <w:rPr>
          <w:rFonts w:eastAsia="Times New Roman" w:cs="Arial"/>
          <w:sz w:val="40"/>
          <w:szCs w:val="40"/>
        </w:rPr>
      </w:pPr>
    </w:p>
    <w:p w14:paraId="4F772E38" w14:textId="2A34F994" w:rsidR="000E3B08" w:rsidRDefault="000E3B08" w:rsidP="000E3B08">
      <w:pPr>
        <w:rPr>
          <w:lang w:eastAsia="bg-BG"/>
        </w:rPr>
      </w:pPr>
      <w:r w:rsidRPr="000E3B08">
        <w:rPr>
          <w:lang w:eastAsia="bg-BG"/>
        </w:rPr>
        <w:t xml:space="preserve">където </w:t>
      </w:r>
      <w:r w:rsidRPr="000E3B08">
        <w:rPr>
          <w:lang w:val="en-US"/>
        </w:rPr>
        <w:t>k</w:t>
      </w:r>
      <w:r w:rsidRPr="000E3B08">
        <w:rPr>
          <w:lang w:val="ru-RU"/>
        </w:rPr>
        <w:t xml:space="preserve"> </w:t>
      </w:r>
      <w:r w:rsidRPr="000E3B08">
        <w:rPr>
          <w:lang w:eastAsia="bg-BG"/>
        </w:rPr>
        <w:t>= 0.45* при пациенти на възраст &lt; 2 години, 0,55 за момчетата на възраст от 2 до &lt; 13 години и момичетата на възраст от 2 до 16 години и 0,7 за момчетата на възраст от 13 до 16 години. Виж дозирането за възрастни при пациенти по-големи от 16-годишна възраст.</w:t>
      </w:r>
    </w:p>
    <w:p w14:paraId="4D57776F" w14:textId="2F8DC0E8" w:rsidR="000E3B08" w:rsidRDefault="000E3B08" w:rsidP="000E3B08">
      <w:pPr>
        <w:rPr>
          <w:lang w:eastAsia="bg-BG"/>
        </w:rPr>
      </w:pPr>
    </w:p>
    <w:p w14:paraId="290EEB97" w14:textId="77777777" w:rsidR="000E3B08" w:rsidRPr="000E3B08" w:rsidRDefault="000E3B08" w:rsidP="000E3B08">
      <w:pPr>
        <w:spacing w:line="240" w:lineRule="auto"/>
        <w:rPr>
          <w:rFonts w:eastAsia="Times New Roman" w:cs="Arial"/>
        </w:rPr>
      </w:pPr>
      <w:r w:rsidRPr="000E3B08">
        <w:rPr>
          <w:rFonts w:eastAsia="Times New Roman" w:cs="Arial"/>
          <w:color w:val="000000"/>
          <w:lang w:eastAsia="bg-BG"/>
        </w:rPr>
        <w:t xml:space="preserve">Дадените стойности на к се основават на метода на </w:t>
      </w:r>
      <w:r w:rsidRPr="000E3B08">
        <w:rPr>
          <w:rFonts w:eastAsia="Times New Roman" w:cs="Arial"/>
          <w:color w:val="000000"/>
          <w:lang w:val="en-US"/>
        </w:rPr>
        <w:t>Jaffe</w:t>
      </w:r>
      <w:r w:rsidRPr="000E3B08">
        <w:rPr>
          <w:rFonts w:eastAsia="Times New Roman" w:cs="Arial"/>
          <w:color w:val="000000"/>
          <w:lang w:val="ru-RU"/>
        </w:rPr>
        <w:t xml:space="preserve"> </w:t>
      </w:r>
      <w:r w:rsidRPr="000E3B08">
        <w:rPr>
          <w:rFonts w:eastAsia="Times New Roman" w:cs="Arial"/>
          <w:color w:val="000000"/>
          <w:lang w:eastAsia="bg-BG"/>
        </w:rPr>
        <w:t>за измерване на серумния креатинин и може да се наложи корекция, когато се използват ензимни методи.</w:t>
      </w:r>
    </w:p>
    <w:p w14:paraId="3ED533A1" w14:textId="77777777" w:rsidR="000E3B08" w:rsidRDefault="000E3B08" w:rsidP="000E3B08">
      <w:pPr>
        <w:spacing w:line="240" w:lineRule="auto"/>
        <w:rPr>
          <w:rFonts w:eastAsia="Times New Roman" w:cs="Arial"/>
          <w:color w:val="000000"/>
          <w:lang w:eastAsia="bg-BG"/>
        </w:rPr>
      </w:pPr>
    </w:p>
    <w:p w14:paraId="3A718A90" w14:textId="77777777" w:rsidR="000E3B08" w:rsidRDefault="000E3B08" w:rsidP="000E3B08">
      <w:pPr>
        <w:spacing w:line="240" w:lineRule="auto"/>
        <w:rPr>
          <w:rFonts w:eastAsia="Times New Roman" w:cs="Arial"/>
          <w:color w:val="000000"/>
          <w:lang w:eastAsia="bg-BG"/>
        </w:rPr>
      </w:pPr>
      <w:r w:rsidRPr="000E3B08">
        <w:rPr>
          <w:rFonts w:eastAsia="Times New Roman" w:cs="Arial"/>
          <w:color w:val="000000"/>
          <w:lang w:eastAsia="bg-BG"/>
        </w:rPr>
        <w:t xml:space="preserve">*3а съответните субпопулации може да е необходимо също и понижаване на стойността </w:t>
      </w:r>
    </w:p>
    <w:p w14:paraId="3C70C11E" w14:textId="142A6BAD" w:rsidR="000E3B08" w:rsidRPr="000E3B08" w:rsidRDefault="000E3B08" w:rsidP="000E3B08">
      <w:pPr>
        <w:spacing w:line="240" w:lineRule="auto"/>
        <w:rPr>
          <w:rFonts w:eastAsia="Times New Roman" w:cs="Arial"/>
        </w:rPr>
      </w:pPr>
      <w:r w:rsidRPr="000E3B08">
        <w:rPr>
          <w:rFonts w:eastAsia="Times New Roman" w:cs="Arial"/>
          <w:color w:val="000000"/>
          <w:lang w:eastAsia="bg-BG"/>
        </w:rPr>
        <w:t xml:space="preserve">на </w:t>
      </w:r>
      <w:r w:rsidRPr="000E3B08">
        <w:rPr>
          <w:rFonts w:eastAsia="Times New Roman" w:cs="Arial"/>
          <w:color w:val="000000"/>
          <w:lang w:val="en-US"/>
        </w:rPr>
        <w:t>k</w:t>
      </w:r>
      <w:r w:rsidRPr="000E3B08">
        <w:rPr>
          <w:rFonts w:eastAsia="Times New Roman" w:cs="Arial"/>
          <w:color w:val="000000"/>
          <w:lang w:val="ru-RU"/>
        </w:rPr>
        <w:t xml:space="preserve"> </w:t>
      </w:r>
      <w:r w:rsidRPr="000E3B08">
        <w:rPr>
          <w:rFonts w:eastAsia="Times New Roman" w:cs="Arial"/>
          <w:color w:val="000000"/>
          <w:lang w:eastAsia="bg-BG"/>
        </w:rPr>
        <w:t>(напр. при педиатрични пациенти с ниско тегло при раждането).</w:t>
      </w:r>
    </w:p>
    <w:p w14:paraId="3F20D7A4" w14:textId="77777777" w:rsidR="000E3B08" w:rsidRDefault="000E3B08" w:rsidP="000E3B08">
      <w:pPr>
        <w:spacing w:line="240" w:lineRule="auto"/>
        <w:rPr>
          <w:rFonts w:eastAsia="Times New Roman" w:cs="Arial"/>
          <w:color w:val="000000"/>
          <w:lang w:eastAsia="bg-BG"/>
        </w:rPr>
      </w:pPr>
    </w:p>
    <w:p w14:paraId="4CAD7DC1" w14:textId="30DD916D" w:rsidR="000E3B08" w:rsidRPr="000E3B08" w:rsidRDefault="000E3B08" w:rsidP="000E3B08">
      <w:pPr>
        <w:spacing w:line="240" w:lineRule="auto"/>
        <w:rPr>
          <w:rFonts w:eastAsia="Times New Roman" w:cs="Arial"/>
        </w:rPr>
      </w:pPr>
      <w:r w:rsidRPr="000E3B08">
        <w:rPr>
          <w:rFonts w:eastAsia="Times New Roman" w:cs="Arial"/>
          <w:color w:val="000000"/>
          <w:lang w:eastAsia="bg-BG"/>
        </w:rPr>
        <w:t xml:space="preserve">При педиатрични пациенти с бъбречна трансплантация препоръчваната доза веднъж дневно в </w:t>
      </w:r>
      <w:r w:rsidRPr="000E3B08">
        <w:rPr>
          <w:rFonts w:eastAsia="Times New Roman" w:cs="Arial"/>
          <w:color w:val="000000"/>
          <w:lang w:val="en-US"/>
        </w:rPr>
        <w:t>mg</w:t>
      </w:r>
      <w:r w:rsidRPr="000E3B08">
        <w:rPr>
          <w:rFonts w:eastAsia="Times New Roman" w:cs="Arial"/>
          <w:color w:val="000000"/>
          <w:lang w:val="ru-RU"/>
        </w:rPr>
        <w:t xml:space="preserve"> </w:t>
      </w:r>
      <w:r w:rsidRPr="000E3B08">
        <w:rPr>
          <w:rFonts w:eastAsia="Times New Roman" w:cs="Arial"/>
          <w:color w:val="000000"/>
          <w:lang w:eastAsia="bg-BG"/>
        </w:rPr>
        <w:t xml:space="preserve">(7 х </w:t>
      </w:r>
      <w:r w:rsidRPr="000E3B08">
        <w:rPr>
          <w:rFonts w:eastAsia="Times New Roman" w:cs="Arial"/>
          <w:color w:val="000000"/>
          <w:lang w:val="en-US"/>
        </w:rPr>
        <w:t>BSA</w:t>
      </w:r>
      <w:r w:rsidRPr="000E3B08">
        <w:rPr>
          <w:rFonts w:eastAsia="Times New Roman" w:cs="Arial"/>
          <w:color w:val="000000"/>
          <w:lang w:val="ru-RU"/>
        </w:rPr>
        <w:t xml:space="preserve"> </w:t>
      </w:r>
      <w:r w:rsidRPr="000E3B08">
        <w:rPr>
          <w:rFonts w:eastAsia="Times New Roman" w:cs="Arial"/>
          <w:color w:val="000000"/>
          <w:lang w:eastAsia="bg-BG"/>
        </w:rPr>
        <w:t xml:space="preserve">х </w:t>
      </w:r>
      <w:r w:rsidRPr="000E3B08">
        <w:rPr>
          <w:rFonts w:eastAsia="Times New Roman" w:cs="Arial"/>
          <w:color w:val="000000"/>
          <w:lang w:val="en-US"/>
        </w:rPr>
        <w:t>ClcrS</w:t>
      </w:r>
      <w:r w:rsidRPr="000E3B08">
        <w:rPr>
          <w:rFonts w:eastAsia="Times New Roman" w:cs="Arial"/>
          <w:color w:val="000000"/>
          <w:lang w:val="ru-RU"/>
        </w:rPr>
        <w:t xml:space="preserve">) </w:t>
      </w:r>
      <w:r w:rsidRPr="000E3B08">
        <w:rPr>
          <w:rFonts w:eastAsia="Times New Roman" w:cs="Arial"/>
          <w:color w:val="000000"/>
          <w:lang w:eastAsia="bg-BG"/>
        </w:rPr>
        <w:t>трябва да започне да се прилага до 10 дни след трансплантацията и да продължи до 200 дни след нея.</w:t>
      </w:r>
    </w:p>
    <w:p w14:paraId="3F55D7CF" w14:textId="77777777" w:rsidR="000E3B08" w:rsidRDefault="000E3B08" w:rsidP="000E3B08">
      <w:pPr>
        <w:spacing w:line="240" w:lineRule="auto"/>
        <w:rPr>
          <w:rFonts w:eastAsia="Times New Roman" w:cs="Arial"/>
          <w:color w:val="000000"/>
          <w:lang w:eastAsia="bg-BG"/>
        </w:rPr>
      </w:pPr>
    </w:p>
    <w:p w14:paraId="36BE377F" w14:textId="69FD8EA2" w:rsidR="000E3B08" w:rsidRPr="000E3B08" w:rsidRDefault="000E3B08" w:rsidP="000E3B08">
      <w:pPr>
        <w:spacing w:line="240" w:lineRule="auto"/>
        <w:rPr>
          <w:rFonts w:eastAsia="Times New Roman" w:cs="Arial"/>
        </w:rPr>
      </w:pPr>
      <w:r w:rsidRPr="000E3B08">
        <w:rPr>
          <w:rFonts w:eastAsia="Times New Roman" w:cs="Arial"/>
          <w:color w:val="000000"/>
          <w:lang w:eastAsia="bg-BG"/>
        </w:rPr>
        <w:t xml:space="preserve">При педиатрични пациенти с трансплантация на солидни органи, различни от бъбреците, препоръчваната доза веднъж дневно в </w:t>
      </w:r>
      <w:r w:rsidRPr="000E3B08">
        <w:rPr>
          <w:rFonts w:eastAsia="Times New Roman" w:cs="Arial"/>
          <w:color w:val="000000"/>
          <w:lang w:val="en-US"/>
        </w:rPr>
        <w:t>mg</w:t>
      </w:r>
      <w:r w:rsidRPr="000E3B08">
        <w:rPr>
          <w:rFonts w:eastAsia="Times New Roman" w:cs="Arial"/>
          <w:color w:val="000000"/>
          <w:lang w:val="ru-RU"/>
        </w:rPr>
        <w:t xml:space="preserve"> </w:t>
      </w:r>
      <w:r w:rsidRPr="000E3B08">
        <w:rPr>
          <w:rFonts w:eastAsia="Times New Roman" w:cs="Arial"/>
          <w:color w:val="000000"/>
          <w:lang w:eastAsia="bg-BG"/>
        </w:rPr>
        <w:t xml:space="preserve">(7 х </w:t>
      </w:r>
      <w:r w:rsidRPr="000E3B08">
        <w:rPr>
          <w:rFonts w:eastAsia="Times New Roman" w:cs="Arial"/>
          <w:color w:val="000000"/>
          <w:lang w:val="en-US"/>
        </w:rPr>
        <w:t>BSA</w:t>
      </w:r>
      <w:r w:rsidRPr="000E3B08">
        <w:rPr>
          <w:rFonts w:eastAsia="Times New Roman" w:cs="Arial"/>
          <w:color w:val="000000"/>
          <w:lang w:val="ru-RU"/>
        </w:rPr>
        <w:t xml:space="preserve"> </w:t>
      </w:r>
      <w:r w:rsidRPr="000E3B08">
        <w:rPr>
          <w:rFonts w:eastAsia="Times New Roman" w:cs="Arial"/>
          <w:color w:val="000000"/>
          <w:lang w:eastAsia="bg-BG"/>
        </w:rPr>
        <w:t xml:space="preserve">х </w:t>
      </w:r>
      <w:r w:rsidRPr="000E3B08">
        <w:rPr>
          <w:rFonts w:eastAsia="Times New Roman" w:cs="Arial"/>
          <w:color w:val="000000"/>
          <w:lang w:val="en-US"/>
        </w:rPr>
        <w:t>ClcrS</w:t>
      </w:r>
      <w:r w:rsidRPr="000E3B08">
        <w:rPr>
          <w:rFonts w:eastAsia="Times New Roman" w:cs="Arial"/>
          <w:color w:val="000000"/>
          <w:lang w:val="ru-RU"/>
        </w:rPr>
        <w:t xml:space="preserve">) </w:t>
      </w:r>
      <w:r w:rsidRPr="000E3B08">
        <w:rPr>
          <w:rFonts w:eastAsia="Times New Roman" w:cs="Arial"/>
          <w:color w:val="000000"/>
          <w:lang w:eastAsia="bg-BG"/>
        </w:rPr>
        <w:t>трябва да започне да се прилага до 10 дни след трансплантацията и да продължи до 100 дни след нея.</w:t>
      </w:r>
    </w:p>
    <w:p w14:paraId="00A37E86" w14:textId="77777777" w:rsidR="000E3B08" w:rsidRDefault="000E3B08" w:rsidP="000E3B08">
      <w:pPr>
        <w:spacing w:line="240" w:lineRule="auto"/>
        <w:rPr>
          <w:rFonts w:eastAsia="Times New Roman" w:cs="Arial"/>
          <w:color w:val="000000"/>
          <w:lang w:eastAsia="bg-BG"/>
        </w:rPr>
      </w:pPr>
    </w:p>
    <w:p w14:paraId="3A63C992" w14:textId="5B44FCCF" w:rsidR="000E3B08" w:rsidRPr="000E3B08" w:rsidRDefault="000E3B08" w:rsidP="000E3B08">
      <w:pPr>
        <w:spacing w:line="240" w:lineRule="auto"/>
        <w:rPr>
          <w:rFonts w:eastAsia="Times New Roman" w:cs="Arial"/>
        </w:rPr>
      </w:pPr>
      <w:r w:rsidRPr="000E3B08">
        <w:rPr>
          <w:rFonts w:eastAsia="Times New Roman" w:cs="Arial"/>
          <w:color w:val="000000"/>
          <w:lang w:eastAsia="bg-BG"/>
        </w:rPr>
        <w:t xml:space="preserve">За получаване на действителната доза за приложение всички изчислени дози трябва да се закръглят към най-близкото повишение с 25 </w:t>
      </w:r>
      <w:r w:rsidRPr="000E3B08">
        <w:rPr>
          <w:rFonts w:eastAsia="Times New Roman" w:cs="Arial"/>
          <w:color w:val="000000"/>
          <w:lang w:val="en-US"/>
        </w:rPr>
        <w:t>mg</w:t>
      </w:r>
      <w:r w:rsidRPr="000E3B08">
        <w:rPr>
          <w:rFonts w:eastAsia="Times New Roman" w:cs="Arial"/>
          <w:color w:val="000000"/>
          <w:lang w:val="ru-RU"/>
        </w:rPr>
        <w:t xml:space="preserve">. </w:t>
      </w:r>
      <w:r w:rsidRPr="000E3B08">
        <w:rPr>
          <w:rFonts w:eastAsia="Times New Roman" w:cs="Arial"/>
          <w:color w:val="000000"/>
          <w:lang w:eastAsia="bg-BG"/>
        </w:rPr>
        <w:t xml:space="preserve">Ако изчислената доза надхвърля 900 </w:t>
      </w:r>
      <w:r w:rsidRPr="000E3B08">
        <w:rPr>
          <w:rFonts w:eastAsia="Times New Roman" w:cs="Arial"/>
          <w:color w:val="000000"/>
          <w:lang w:val="en-US"/>
        </w:rPr>
        <w:t>mg</w:t>
      </w:r>
      <w:r w:rsidRPr="000E3B08">
        <w:rPr>
          <w:rFonts w:eastAsia="Times New Roman" w:cs="Arial"/>
          <w:color w:val="000000"/>
          <w:lang w:val="ru-RU"/>
        </w:rPr>
        <w:t xml:space="preserve">, </w:t>
      </w:r>
      <w:r w:rsidRPr="000E3B08">
        <w:rPr>
          <w:rFonts w:eastAsia="Times New Roman" w:cs="Arial"/>
          <w:color w:val="000000"/>
          <w:lang w:eastAsia="bg-BG"/>
        </w:rPr>
        <w:t xml:space="preserve">трябва да се приложи максимална доза от 900 </w:t>
      </w:r>
      <w:r w:rsidRPr="000E3B08">
        <w:rPr>
          <w:rFonts w:eastAsia="Times New Roman" w:cs="Arial"/>
          <w:color w:val="000000"/>
          <w:lang w:val="en-US"/>
        </w:rPr>
        <w:t>mg</w:t>
      </w:r>
      <w:r w:rsidRPr="000E3B08">
        <w:rPr>
          <w:rFonts w:eastAsia="Times New Roman" w:cs="Arial"/>
          <w:color w:val="000000"/>
          <w:lang w:val="ru-RU"/>
        </w:rPr>
        <w:t xml:space="preserve">. </w:t>
      </w:r>
      <w:r w:rsidRPr="000E3B08">
        <w:rPr>
          <w:rFonts w:eastAsia="Times New Roman" w:cs="Arial"/>
          <w:color w:val="000000"/>
          <w:lang w:eastAsia="bg-BG"/>
        </w:rPr>
        <w:t xml:space="preserve">Пероралният разтвор е предпочитаната лекарствена форма, тъй като той позволява да се приложи доза, изчислена според горната формула. Може обаче да се използват Валцит филмирани таблетки, ако изчислените дози са в рамките на 10% от наличните таблетни дози и пациентът може да преглъща таблетки. Например, ако изчислената доза е между 405 </w:t>
      </w:r>
      <w:r w:rsidRPr="000E3B08">
        <w:rPr>
          <w:rFonts w:eastAsia="Times New Roman" w:cs="Arial"/>
          <w:color w:val="000000"/>
          <w:lang w:val="en-US"/>
        </w:rPr>
        <w:t>mg</w:t>
      </w:r>
      <w:r w:rsidRPr="000E3B08">
        <w:rPr>
          <w:rFonts w:eastAsia="Times New Roman" w:cs="Arial"/>
          <w:color w:val="000000"/>
          <w:lang w:val="ru-RU"/>
        </w:rPr>
        <w:t xml:space="preserve"> </w:t>
      </w:r>
      <w:r w:rsidRPr="000E3B08">
        <w:rPr>
          <w:rFonts w:eastAsia="Times New Roman" w:cs="Arial"/>
          <w:color w:val="000000"/>
          <w:lang w:eastAsia="bg-BG"/>
        </w:rPr>
        <w:t xml:space="preserve">и 495 </w:t>
      </w:r>
      <w:r w:rsidRPr="000E3B08">
        <w:rPr>
          <w:rFonts w:eastAsia="Times New Roman" w:cs="Arial"/>
          <w:color w:val="000000"/>
          <w:lang w:val="en-US"/>
        </w:rPr>
        <w:t>mg</w:t>
      </w:r>
      <w:r w:rsidRPr="000E3B08">
        <w:rPr>
          <w:rFonts w:eastAsia="Times New Roman" w:cs="Arial"/>
          <w:color w:val="000000"/>
          <w:lang w:val="ru-RU"/>
        </w:rPr>
        <w:t xml:space="preserve">, </w:t>
      </w:r>
      <w:r w:rsidRPr="000E3B08">
        <w:rPr>
          <w:rFonts w:eastAsia="Times New Roman" w:cs="Arial"/>
          <w:color w:val="000000"/>
          <w:lang w:eastAsia="bg-BG"/>
        </w:rPr>
        <w:t xml:space="preserve">може да се приеме една таблетка от 450 </w:t>
      </w:r>
      <w:r w:rsidRPr="000E3B08">
        <w:rPr>
          <w:rFonts w:eastAsia="Times New Roman" w:cs="Arial"/>
          <w:color w:val="000000"/>
          <w:lang w:val="en-US"/>
        </w:rPr>
        <w:t>mg</w:t>
      </w:r>
      <w:r w:rsidRPr="000E3B08">
        <w:rPr>
          <w:rFonts w:eastAsia="Times New Roman" w:cs="Arial"/>
          <w:color w:val="000000"/>
          <w:lang w:val="ru-RU"/>
        </w:rPr>
        <w:t>.</w:t>
      </w:r>
    </w:p>
    <w:p w14:paraId="0A23854D" w14:textId="77777777" w:rsidR="000E3B08" w:rsidRDefault="000E3B08" w:rsidP="000E3B08">
      <w:pPr>
        <w:spacing w:line="240" w:lineRule="auto"/>
        <w:rPr>
          <w:rFonts w:eastAsia="Times New Roman" w:cs="Arial"/>
          <w:color w:val="000000"/>
          <w:lang w:eastAsia="bg-BG"/>
        </w:rPr>
      </w:pPr>
    </w:p>
    <w:p w14:paraId="2138B5FD" w14:textId="1B398EAF" w:rsidR="000E3B08" w:rsidRPr="000E3B08" w:rsidRDefault="000E3B08" w:rsidP="000E3B08">
      <w:pPr>
        <w:spacing w:line="240" w:lineRule="auto"/>
        <w:rPr>
          <w:rFonts w:eastAsia="Times New Roman" w:cs="Arial"/>
        </w:rPr>
      </w:pPr>
      <w:r w:rsidRPr="000E3B08">
        <w:rPr>
          <w:rFonts w:eastAsia="Times New Roman" w:cs="Arial"/>
          <w:color w:val="000000"/>
          <w:lang w:eastAsia="bg-BG"/>
        </w:rPr>
        <w:t>Препоръчва се редовно да се проследяват нивата на серумния креатинин и да се имат предвид промените в ръста и телесното тегло, като дозата се адаптира съответно по време на периода за профилактика.</w:t>
      </w:r>
    </w:p>
    <w:p w14:paraId="7923AFF2" w14:textId="77777777" w:rsidR="000E3B08" w:rsidRDefault="000E3B08" w:rsidP="000E3B08">
      <w:pPr>
        <w:spacing w:line="240" w:lineRule="auto"/>
        <w:rPr>
          <w:rFonts w:eastAsia="Times New Roman" w:cs="Arial"/>
          <w:color w:val="000000"/>
          <w:u w:val="single"/>
          <w:lang w:eastAsia="bg-BG"/>
        </w:rPr>
      </w:pPr>
    </w:p>
    <w:p w14:paraId="17AA7D7C" w14:textId="0FBDA305" w:rsidR="000E3B08" w:rsidRPr="000E3B08" w:rsidRDefault="000E3B08" w:rsidP="000E3B08">
      <w:pPr>
        <w:spacing w:line="240" w:lineRule="auto"/>
        <w:rPr>
          <w:rFonts w:eastAsia="Times New Roman" w:cs="Arial"/>
        </w:rPr>
      </w:pPr>
      <w:r w:rsidRPr="000E3B08">
        <w:rPr>
          <w:rFonts w:eastAsia="Times New Roman" w:cs="Arial"/>
          <w:color w:val="000000"/>
          <w:u w:val="single"/>
          <w:lang w:eastAsia="bg-BG"/>
        </w:rPr>
        <w:t>Специални инструкции за дозиране</w:t>
      </w:r>
    </w:p>
    <w:p w14:paraId="5247DB8B" w14:textId="77777777" w:rsidR="000E3B08" w:rsidRDefault="000E3B08" w:rsidP="000E3B08">
      <w:pPr>
        <w:spacing w:line="240" w:lineRule="auto"/>
        <w:rPr>
          <w:rFonts w:eastAsia="Times New Roman" w:cs="Arial"/>
          <w:i/>
          <w:iCs/>
          <w:color w:val="000000"/>
          <w:lang w:eastAsia="bg-BG"/>
        </w:rPr>
      </w:pPr>
    </w:p>
    <w:p w14:paraId="029CB7F8" w14:textId="6921D727" w:rsidR="000E3B08" w:rsidRPr="000E3B08" w:rsidRDefault="000E3B08" w:rsidP="000E3B08">
      <w:pPr>
        <w:spacing w:line="240" w:lineRule="auto"/>
        <w:rPr>
          <w:rFonts w:eastAsia="Times New Roman" w:cs="Arial"/>
        </w:rPr>
      </w:pPr>
      <w:r w:rsidRPr="000E3B08">
        <w:rPr>
          <w:rFonts w:eastAsia="Times New Roman" w:cs="Arial"/>
          <w:i/>
          <w:iCs/>
          <w:color w:val="000000"/>
          <w:lang w:eastAsia="bg-BG"/>
        </w:rPr>
        <w:t>Педиатрична популация:</w:t>
      </w:r>
    </w:p>
    <w:p w14:paraId="514A683B" w14:textId="77777777" w:rsidR="000E3B08" w:rsidRPr="000E3B08" w:rsidRDefault="000E3B08" w:rsidP="000E3B08">
      <w:pPr>
        <w:spacing w:line="240" w:lineRule="auto"/>
        <w:rPr>
          <w:rFonts w:eastAsia="Times New Roman" w:cs="Arial"/>
        </w:rPr>
      </w:pPr>
      <w:r w:rsidRPr="000E3B08">
        <w:rPr>
          <w:rFonts w:eastAsia="Times New Roman" w:cs="Arial"/>
          <w:color w:val="000000"/>
          <w:lang w:eastAsia="bg-BG"/>
        </w:rPr>
        <w:t>При педиатрични пациенти с трансплантация на солиден орган (ТСО) дозирането трябва да се индивидуализира въз основа на бъбречната функция и телесната повърхност на пациента.</w:t>
      </w:r>
    </w:p>
    <w:p w14:paraId="02693C3D" w14:textId="77777777" w:rsidR="000E3B08" w:rsidRDefault="000E3B08" w:rsidP="000E3B08">
      <w:pPr>
        <w:spacing w:line="240" w:lineRule="auto"/>
        <w:rPr>
          <w:rFonts w:eastAsia="Times New Roman" w:cs="Arial"/>
          <w:i/>
          <w:iCs/>
          <w:color w:val="000000"/>
          <w:lang w:eastAsia="bg-BG"/>
        </w:rPr>
      </w:pPr>
    </w:p>
    <w:p w14:paraId="2E8D6FAF" w14:textId="29BE3E50" w:rsidR="000E3B08" w:rsidRPr="000E3B08" w:rsidRDefault="000E3B08" w:rsidP="000E3B08">
      <w:pPr>
        <w:spacing w:line="240" w:lineRule="auto"/>
        <w:rPr>
          <w:rFonts w:eastAsia="Times New Roman" w:cs="Arial"/>
        </w:rPr>
      </w:pPr>
      <w:r w:rsidRPr="000E3B08">
        <w:rPr>
          <w:rFonts w:eastAsia="Times New Roman" w:cs="Arial"/>
          <w:i/>
          <w:iCs/>
          <w:color w:val="000000"/>
          <w:lang w:eastAsia="bg-BG"/>
        </w:rPr>
        <w:t>Пациенти в старческа възраст:</w:t>
      </w:r>
    </w:p>
    <w:p w14:paraId="03026BAA" w14:textId="77777777" w:rsidR="000E3B08" w:rsidRPr="000E3B08" w:rsidRDefault="000E3B08" w:rsidP="000E3B08">
      <w:pPr>
        <w:spacing w:line="240" w:lineRule="auto"/>
        <w:rPr>
          <w:rFonts w:eastAsia="Times New Roman" w:cs="Arial"/>
        </w:rPr>
      </w:pPr>
      <w:r w:rsidRPr="000E3B08">
        <w:rPr>
          <w:rFonts w:eastAsia="Times New Roman" w:cs="Arial"/>
          <w:color w:val="000000"/>
          <w:lang w:eastAsia="bg-BG"/>
        </w:rPr>
        <w:t xml:space="preserve">Безопасността и ефикасността не са установени при тази популация пациенти. Не са провеждани проучвания при възрастни над 65-годишна възраст. Тъй като бъбречният клирънс намалява с възрастта, Валцит трябва да се прилага при пациенти в старческа </w:t>
      </w:r>
      <w:r w:rsidRPr="000E3B08">
        <w:rPr>
          <w:rFonts w:eastAsia="Times New Roman" w:cs="Arial"/>
          <w:color w:val="000000"/>
          <w:lang w:eastAsia="bg-BG"/>
        </w:rPr>
        <w:lastRenderedPageBreak/>
        <w:t>възраст, като специално се отчита бъбречният им статус (вижте таблицата по-долу) (вж. точка 5.2).</w:t>
      </w:r>
    </w:p>
    <w:p w14:paraId="0791B0EC" w14:textId="77777777" w:rsidR="000E3B08" w:rsidRDefault="000E3B08" w:rsidP="000E3B08">
      <w:pPr>
        <w:spacing w:line="240" w:lineRule="auto"/>
        <w:rPr>
          <w:rFonts w:eastAsia="Times New Roman" w:cs="Arial"/>
          <w:i/>
          <w:iCs/>
          <w:color w:val="000000"/>
          <w:lang w:eastAsia="bg-BG"/>
        </w:rPr>
      </w:pPr>
    </w:p>
    <w:p w14:paraId="0EE8F921" w14:textId="1A3893FB" w:rsidR="000E3B08" w:rsidRPr="000E3B08" w:rsidRDefault="000E3B08" w:rsidP="000E3B08">
      <w:pPr>
        <w:spacing w:line="240" w:lineRule="auto"/>
        <w:rPr>
          <w:rFonts w:eastAsia="Times New Roman" w:cs="Arial"/>
        </w:rPr>
      </w:pPr>
      <w:r w:rsidRPr="000E3B08">
        <w:rPr>
          <w:rFonts w:eastAsia="Times New Roman" w:cs="Arial"/>
          <w:i/>
          <w:iCs/>
          <w:color w:val="000000"/>
          <w:lang w:eastAsia="bg-BG"/>
        </w:rPr>
        <w:t>Пациенти с бъбречно увреждане:</w:t>
      </w:r>
    </w:p>
    <w:p w14:paraId="1AAA2C74" w14:textId="77777777" w:rsidR="000E3B08" w:rsidRPr="000E3B08" w:rsidRDefault="000E3B08" w:rsidP="000E3B08">
      <w:pPr>
        <w:spacing w:line="240" w:lineRule="auto"/>
        <w:rPr>
          <w:rFonts w:eastAsia="Times New Roman" w:cs="Arial"/>
        </w:rPr>
      </w:pPr>
      <w:r w:rsidRPr="000E3B08">
        <w:rPr>
          <w:rFonts w:eastAsia="Times New Roman" w:cs="Arial"/>
          <w:color w:val="000000"/>
          <w:lang w:eastAsia="bg-BG"/>
        </w:rPr>
        <w:t>Трябва да се проследяват внимателно нивата на серумния креатинин или изчисления креатининов клирънс. Необходимо е коригиране на дозата според креатининовия клирънс, както е показано в таблицата по-долу (вж. точки 4.4 и 5.2).</w:t>
      </w:r>
    </w:p>
    <w:p w14:paraId="6E9DC3B3" w14:textId="77777777" w:rsidR="000E3B08" w:rsidRDefault="000E3B08" w:rsidP="000E3B08">
      <w:pPr>
        <w:spacing w:line="240" w:lineRule="auto"/>
        <w:rPr>
          <w:rFonts w:eastAsia="Times New Roman" w:cs="Arial"/>
          <w:color w:val="000000"/>
          <w:lang w:eastAsia="bg-BG"/>
        </w:rPr>
      </w:pPr>
    </w:p>
    <w:p w14:paraId="0D7810DF" w14:textId="7B3D02B5" w:rsidR="000E3B08" w:rsidRPr="000E3B08" w:rsidRDefault="000E3B08" w:rsidP="000E3B08">
      <w:pPr>
        <w:spacing w:line="240" w:lineRule="auto"/>
        <w:rPr>
          <w:rFonts w:eastAsia="Times New Roman" w:cs="Arial"/>
        </w:rPr>
      </w:pPr>
      <w:r w:rsidRPr="000E3B08">
        <w:rPr>
          <w:rFonts w:eastAsia="Times New Roman" w:cs="Arial"/>
          <w:color w:val="000000"/>
          <w:lang w:eastAsia="bg-BG"/>
        </w:rPr>
        <w:t xml:space="preserve">Креатининовият клирънс </w:t>
      </w:r>
      <w:r w:rsidRPr="000E3B08">
        <w:rPr>
          <w:rFonts w:eastAsia="Times New Roman" w:cs="Arial"/>
          <w:color w:val="000000"/>
          <w:lang w:val="ru-RU"/>
        </w:rPr>
        <w:t>(</w:t>
      </w:r>
      <w:r w:rsidRPr="000E3B08">
        <w:rPr>
          <w:rFonts w:eastAsia="Times New Roman" w:cs="Arial"/>
          <w:color w:val="000000"/>
          <w:lang w:val="en-US"/>
        </w:rPr>
        <w:t>mVmin</w:t>
      </w:r>
      <w:r w:rsidRPr="000E3B08">
        <w:rPr>
          <w:rFonts w:eastAsia="Times New Roman" w:cs="Arial"/>
          <w:color w:val="000000"/>
          <w:lang w:val="ru-RU"/>
        </w:rPr>
        <w:t xml:space="preserve">) </w:t>
      </w:r>
      <w:r w:rsidRPr="000E3B08">
        <w:rPr>
          <w:rFonts w:eastAsia="Times New Roman" w:cs="Arial"/>
          <w:color w:val="000000"/>
          <w:lang w:eastAsia="bg-BG"/>
        </w:rPr>
        <w:t>може да се изчисли от серумния креатинин по следната формула:</w:t>
      </w:r>
    </w:p>
    <w:p w14:paraId="6C2E471D" w14:textId="634BB8E3" w:rsidR="000E3B08" w:rsidRPr="000E3B08" w:rsidRDefault="000E3B08" w:rsidP="000E3B08">
      <w:pPr>
        <w:rPr>
          <w:rFonts w:cs="Arial"/>
          <w:sz w:val="24"/>
          <w:szCs w:val="24"/>
        </w:rPr>
      </w:pPr>
      <m:oMathPara>
        <m:oMathParaPr>
          <m:jc m:val="left"/>
        </m:oMathParaPr>
        <m:oMath>
          <m:r>
            <m:rPr>
              <m:sty m:val="p"/>
            </m:rPr>
            <w:rPr>
              <w:rFonts w:ascii="Cambria Math" w:hAnsi="Cambria Math" w:cs="Arial"/>
            </w:rPr>
            <m:t>При мъже=</m:t>
          </m:r>
          <m:f>
            <m:fPr>
              <m:ctrlPr>
                <w:rPr>
                  <w:rFonts w:ascii="Cambria Math" w:hAnsi="Cambria Math" w:cs="Arial"/>
                </w:rPr>
              </m:ctrlPr>
            </m:fPr>
            <m:num>
              <m:r>
                <m:rPr>
                  <m:sty m:val="p"/>
                </m:rPr>
                <w:rPr>
                  <w:rFonts w:ascii="Cambria Math" w:hAnsi="Cambria Math" w:cs="Arial"/>
                  <w:u w:val="single"/>
                </w:rPr>
                <m:t>(140- възрастта [години]) х (телесното тегло [</m:t>
              </m:r>
              <m:r>
                <m:rPr>
                  <m:sty m:val="p"/>
                </m:rPr>
                <w:rPr>
                  <w:rFonts w:ascii="Cambria Math" w:hAnsi="Cambria Math" w:cs="Arial"/>
                  <w:u w:val="single"/>
                  <w:lang w:val="en-US"/>
                </w:rPr>
                <m:t>kg</m:t>
              </m:r>
              <m:r>
                <m:rPr>
                  <m:sty m:val="p"/>
                </m:rPr>
                <w:rPr>
                  <w:rFonts w:ascii="Cambria Math" w:hAnsi="Cambria Math" w:cs="Arial"/>
                  <w:u w:val="single"/>
                </w:rPr>
                <m:t>])</m:t>
              </m:r>
            </m:num>
            <m:den>
              <m:r>
                <m:rPr>
                  <m:sty m:val="p"/>
                </m:rPr>
                <w:rPr>
                  <w:rFonts w:ascii="Cambria Math" w:hAnsi="Cambria Math" w:cs="Arial"/>
                </w:rPr>
                <m:t>(72) х (0,011 х серумния креатинин [микромол/1])</m:t>
              </m:r>
            </m:den>
          </m:f>
          <m:r>
            <m:rPr>
              <m:sty m:val="p"/>
            </m:rPr>
            <w:rPr>
              <w:rFonts w:ascii="Cambria Math" w:hAnsi="Cambria Math" w:cs="Arial"/>
            </w:rPr>
            <m:t xml:space="preserve"> </m:t>
          </m:r>
        </m:oMath>
      </m:oMathPara>
    </w:p>
    <w:p w14:paraId="053D539C" w14:textId="6B00BD92" w:rsidR="000E3B08" w:rsidRDefault="000E3B08" w:rsidP="000E3B08">
      <w:r>
        <w:t>При жени = 0,85 х стойността при мъжете</w:t>
      </w:r>
    </w:p>
    <w:p w14:paraId="16757377" w14:textId="32DB6596" w:rsidR="000E3B08" w:rsidRDefault="000E3B08" w:rsidP="000E3B08"/>
    <w:tbl>
      <w:tblPr>
        <w:tblStyle w:val="TableGrid"/>
        <w:tblW w:w="0" w:type="auto"/>
        <w:tblLook w:val="04A0" w:firstRow="1" w:lastRow="0" w:firstColumn="1" w:lastColumn="0" w:noHBand="0" w:noVBand="1"/>
      </w:tblPr>
      <w:tblGrid>
        <w:gridCol w:w="3090"/>
        <w:gridCol w:w="3130"/>
        <w:gridCol w:w="3130"/>
      </w:tblGrid>
      <w:tr w:rsidR="000E3B08" w14:paraId="396B3633" w14:textId="77777777" w:rsidTr="006F01DD">
        <w:tc>
          <w:tcPr>
            <w:tcW w:w="3192" w:type="dxa"/>
            <w:vAlign w:val="center"/>
          </w:tcPr>
          <w:p w14:paraId="61B03827" w14:textId="1318CAE6" w:rsidR="000E3B08" w:rsidRDefault="000E3B08" w:rsidP="000E3B08">
            <w:pPr>
              <w:rPr>
                <w:rFonts w:eastAsia="Times New Roman" w:cs="Arial"/>
              </w:rPr>
            </w:pPr>
            <w:r>
              <w:rPr>
                <w:lang w:val="en-US"/>
              </w:rPr>
              <w:t>Clcr (ml/min)</w:t>
            </w:r>
          </w:p>
        </w:tc>
        <w:tc>
          <w:tcPr>
            <w:tcW w:w="3192" w:type="dxa"/>
            <w:vAlign w:val="center"/>
          </w:tcPr>
          <w:p w14:paraId="40671266" w14:textId="392C9EA4" w:rsidR="000E3B08" w:rsidRDefault="000E3B08" w:rsidP="000E3B08">
            <w:pPr>
              <w:rPr>
                <w:rFonts w:eastAsia="Times New Roman" w:cs="Arial"/>
              </w:rPr>
            </w:pPr>
            <w:r>
              <w:t>Въвеждаща доза валганцикловир</w:t>
            </w:r>
          </w:p>
        </w:tc>
        <w:tc>
          <w:tcPr>
            <w:tcW w:w="3192" w:type="dxa"/>
            <w:vAlign w:val="bottom"/>
          </w:tcPr>
          <w:p w14:paraId="4D39B1EA" w14:textId="7FCEBF2F" w:rsidR="000E3B08" w:rsidRDefault="000E3B08" w:rsidP="000E3B08">
            <w:pPr>
              <w:rPr>
                <w:rFonts w:eastAsia="Times New Roman" w:cs="Arial"/>
              </w:rPr>
            </w:pPr>
            <w:r>
              <w:t>Поддържаща доза/доза при профилактика валганцикловир</w:t>
            </w:r>
          </w:p>
        </w:tc>
      </w:tr>
      <w:tr w:rsidR="000E3B08" w14:paraId="5222B3BE" w14:textId="77777777" w:rsidTr="006F01DD">
        <w:tc>
          <w:tcPr>
            <w:tcW w:w="3192" w:type="dxa"/>
            <w:vAlign w:val="bottom"/>
          </w:tcPr>
          <w:p w14:paraId="610B1459" w14:textId="39896476" w:rsidR="000E3B08" w:rsidRDefault="000E3B08" w:rsidP="000E3B08">
            <w:pPr>
              <w:rPr>
                <w:rFonts w:eastAsia="Times New Roman" w:cs="Arial"/>
              </w:rPr>
            </w:pPr>
            <w:r>
              <w:t>≥</w:t>
            </w:r>
            <w:r>
              <w:rPr>
                <w:lang w:val="en-US"/>
              </w:rPr>
              <w:t>60</w:t>
            </w:r>
          </w:p>
        </w:tc>
        <w:tc>
          <w:tcPr>
            <w:tcW w:w="3192" w:type="dxa"/>
            <w:vAlign w:val="bottom"/>
          </w:tcPr>
          <w:p w14:paraId="011881AA" w14:textId="66DFDC68" w:rsidR="000E3B08" w:rsidRDefault="000E3B08" w:rsidP="000E3B08">
            <w:pPr>
              <w:rPr>
                <w:rFonts w:eastAsia="Times New Roman" w:cs="Arial"/>
              </w:rPr>
            </w:pPr>
            <w:r>
              <w:t xml:space="preserve">900 </w:t>
            </w:r>
            <w:r>
              <w:rPr>
                <w:lang w:val="en-US"/>
              </w:rPr>
              <w:t xml:space="preserve">mg </w:t>
            </w:r>
            <w:r>
              <w:t>(2 таблетки) 2 пъти дневно</w:t>
            </w:r>
          </w:p>
        </w:tc>
        <w:tc>
          <w:tcPr>
            <w:tcW w:w="3192" w:type="dxa"/>
            <w:vAlign w:val="bottom"/>
          </w:tcPr>
          <w:p w14:paraId="2432F661" w14:textId="35175DF2" w:rsidR="000E3B08" w:rsidRDefault="000E3B08" w:rsidP="000E3B08">
            <w:pPr>
              <w:rPr>
                <w:rFonts w:eastAsia="Times New Roman" w:cs="Arial"/>
              </w:rPr>
            </w:pPr>
            <w:r>
              <w:t>900</w:t>
            </w:r>
            <w:r>
              <w:rPr>
                <w:lang w:val="en-US"/>
              </w:rPr>
              <w:t>mg</w:t>
            </w:r>
            <w:r>
              <w:t xml:space="preserve"> (2 таблетки) 1 път денвно</w:t>
            </w:r>
          </w:p>
        </w:tc>
      </w:tr>
      <w:tr w:rsidR="000E3B08" w14:paraId="1E2C1E87" w14:textId="77777777" w:rsidTr="000E3B08">
        <w:tc>
          <w:tcPr>
            <w:tcW w:w="3192" w:type="dxa"/>
          </w:tcPr>
          <w:p w14:paraId="18565076" w14:textId="066DF8C4" w:rsidR="000E3B08" w:rsidRPr="000E3B08" w:rsidRDefault="000E3B08" w:rsidP="000E3B08">
            <w:pPr>
              <w:rPr>
                <w:rFonts w:eastAsia="Times New Roman" w:cs="Arial"/>
              </w:rPr>
            </w:pPr>
            <w:r w:rsidRPr="000E3B08">
              <w:t>40-59</w:t>
            </w:r>
          </w:p>
        </w:tc>
        <w:tc>
          <w:tcPr>
            <w:tcW w:w="3192" w:type="dxa"/>
          </w:tcPr>
          <w:p w14:paraId="42598526" w14:textId="43ED255C" w:rsidR="000E3B08" w:rsidRPr="000E3B08" w:rsidRDefault="000E3B08" w:rsidP="000E3B08">
            <w:pPr>
              <w:rPr>
                <w:rFonts w:eastAsia="Times New Roman" w:cs="Arial"/>
              </w:rPr>
            </w:pPr>
            <w:r w:rsidRPr="000E3B08">
              <w:t xml:space="preserve">450 </w:t>
            </w:r>
            <w:r w:rsidRPr="000E3B08">
              <w:rPr>
                <w:lang w:val="en-US"/>
              </w:rPr>
              <w:t xml:space="preserve">mg </w:t>
            </w:r>
            <w:r w:rsidRPr="000E3B08">
              <w:t>(1 таблетка) 2 пъти дневно</w:t>
            </w:r>
          </w:p>
        </w:tc>
        <w:tc>
          <w:tcPr>
            <w:tcW w:w="3192" w:type="dxa"/>
          </w:tcPr>
          <w:p w14:paraId="7F55EB2D" w14:textId="7BBF1010" w:rsidR="000E3B08" w:rsidRPr="000E3B08" w:rsidRDefault="000E3B08" w:rsidP="000E3B08">
            <w:pPr>
              <w:rPr>
                <w:rFonts w:eastAsia="Times New Roman" w:cs="Arial"/>
              </w:rPr>
            </w:pPr>
            <w:r w:rsidRPr="000E3B08">
              <w:t xml:space="preserve">450 </w:t>
            </w:r>
            <w:r w:rsidRPr="000E3B08">
              <w:rPr>
                <w:lang w:val="en-US"/>
              </w:rPr>
              <w:t xml:space="preserve">mg </w:t>
            </w:r>
            <w:r w:rsidRPr="000E3B08">
              <w:t>(1 таблетка) 1 път дневно</w:t>
            </w:r>
          </w:p>
        </w:tc>
      </w:tr>
      <w:tr w:rsidR="000E3B08" w14:paraId="088719B0" w14:textId="77777777" w:rsidTr="000E3B08">
        <w:tc>
          <w:tcPr>
            <w:tcW w:w="3192" w:type="dxa"/>
          </w:tcPr>
          <w:p w14:paraId="1D9BDA37" w14:textId="6BD82740" w:rsidR="000E3B08" w:rsidRPr="000E3B08" w:rsidRDefault="000E3B08" w:rsidP="000E3B08">
            <w:pPr>
              <w:rPr>
                <w:rFonts w:eastAsia="Times New Roman" w:cs="Arial"/>
              </w:rPr>
            </w:pPr>
            <w:r w:rsidRPr="000E3B08">
              <w:t>25-39</w:t>
            </w:r>
          </w:p>
        </w:tc>
        <w:tc>
          <w:tcPr>
            <w:tcW w:w="3192" w:type="dxa"/>
          </w:tcPr>
          <w:p w14:paraId="7F0F3A28" w14:textId="5E66C2C0" w:rsidR="000E3B08" w:rsidRPr="000E3B08" w:rsidRDefault="000E3B08" w:rsidP="000E3B08">
            <w:pPr>
              <w:rPr>
                <w:rFonts w:eastAsia="Times New Roman" w:cs="Arial"/>
              </w:rPr>
            </w:pPr>
            <w:r w:rsidRPr="000E3B08">
              <w:t xml:space="preserve">450 </w:t>
            </w:r>
            <w:r w:rsidRPr="000E3B08">
              <w:rPr>
                <w:lang w:val="en-US"/>
              </w:rPr>
              <w:t xml:space="preserve">mg </w:t>
            </w:r>
            <w:r w:rsidRPr="000E3B08">
              <w:t>(1 таблетка) 1 път дневно</w:t>
            </w:r>
          </w:p>
        </w:tc>
        <w:tc>
          <w:tcPr>
            <w:tcW w:w="3192" w:type="dxa"/>
          </w:tcPr>
          <w:p w14:paraId="063709FE" w14:textId="274A2D5F" w:rsidR="000E3B08" w:rsidRPr="000E3B08" w:rsidRDefault="000E3B08" w:rsidP="000E3B08">
            <w:pPr>
              <w:rPr>
                <w:rFonts w:eastAsia="Times New Roman" w:cs="Arial"/>
              </w:rPr>
            </w:pPr>
            <w:r w:rsidRPr="000E3B08">
              <w:t xml:space="preserve">450 </w:t>
            </w:r>
            <w:r w:rsidRPr="000E3B08">
              <w:rPr>
                <w:lang w:val="en-US"/>
              </w:rPr>
              <w:t xml:space="preserve">mg </w:t>
            </w:r>
            <w:r w:rsidRPr="000E3B08">
              <w:t>(1 таблетка) през 2 дни</w:t>
            </w:r>
          </w:p>
        </w:tc>
      </w:tr>
      <w:tr w:rsidR="000E3B08" w14:paraId="3D15D4D7" w14:textId="77777777" w:rsidTr="000E3B08">
        <w:tc>
          <w:tcPr>
            <w:tcW w:w="3192" w:type="dxa"/>
          </w:tcPr>
          <w:p w14:paraId="41F12232" w14:textId="63BB6562" w:rsidR="000E3B08" w:rsidRPr="000E3B08" w:rsidRDefault="000E3B08" w:rsidP="000E3B08">
            <w:pPr>
              <w:rPr>
                <w:rFonts w:eastAsia="Times New Roman" w:cs="Arial"/>
              </w:rPr>
            </w:pPr>
            <w:r w:rsidRPr="000E3B08">
              <w:t>10-24</w:t>
            </w:r>
          </w:p>
        </w:tc>
        <w:tc>
          <w:tcPr>
            <w:tcW w:w="3192" w:type="dxa"/>
          </w:tcPr>
          <w:p w14:paraId="5AB9A6EA" w14:textId="272D5292" w:rsidR="000E3B08" w:rsidRPr="000E3B08" w:rsidRDefault="000E3B08" w:rsidP="000E3B08">
            <w:pPr>
              <w:rPr>
                <w:rFonts w:eastAsia="Times New Roman" w:cs="Arial"/>
              </w:rPr>
            </w:pPr>
            <w:r w:rsidRPr="000E3B08">
              <w:t xml:space="preserve">450 </w:t>
            </w:r>
            <w:r w:rsidRPr="000E3B08">
              <w:rPr>
                <w:lang w:val="en-US"/>
              </w:rPr>
              <w:t xml:space="preserve">mg </w:t>
            </w:r>
            <w:r w:rsidRPr="000E3B08">
              <w:t>(1 таблетка) през 2 дни</w:t>
            </w:r>
          </w:p>
        </w:tc>
        <w:tc>
          <w:tcPr>
            <w:tcW w:w="3192" w:type="dxa"/>
          </w:tcPr>
          <w:p w14:paraId="1F45352D" w14:textId="10C56915" w:rsidR="000E3B08" w:rsidRPr="000E3B08" w:rsidRDefault="000E3B08" w:rsidP="000E3B08">
            <w:pPr>
              <w:rPr>
                <w:rFonts w:eastAsia="Times New Roman" w:cs="Arial"/>
              </w:rPr>
            </w:pPr>
            <w:r w:rsidRPr="000E3B08">
              <w:t xml:space="preserve">450 </w:t>
            </w:r>
            <w:r w:rsidRPr="000E3B08">
              <w:rPr>
                <w:lang w:val="en-US"/>
              </w:rPr>
              <w:t xml:space="preserve">mg </w:t>
            </w:r>
            <w:r w:rsidRPr="000E3B08">
              <w:t>(1 таблетка) 2 пъти седмично</w:t>
            </w:r>
          </w:p>
        </w:tc>
      </w:tr>
      <w:tr w:rsidR="000E3B08" w14:paraId="071C23A3" w14:textId="77777777" w:rsidTr="000E3B08">
        <w:tc>
          <w:tcPr>
            <w:tcW w:w="3192" w:type="dxa"/>
          </w:tcPr>
          <w:p w14:paraId="09931F9D" w14:textId="005D0D65" w:rsidR="000E3B08" w:rsidRPr="000E3B08" w:rsidRDefault="000E3B08" w:rsidP="000E3B08">
            <w:pPr>
              <w:rPr>
                <w:rFonts w:eastAsia="Times New Roman" w:cs="Arial"/>
              </w:rPr>
            </w:pPr>
            <w:r w:rsidRPr="000E3B08">
              <w:t>&lt;10</w:t>
            </w:r>
          </w:p>
        </w:tc>
        <w:tc>
          <w:tcPr>
            <w:tcW w:w="3192" w:type="dxa"/>
          </w:tcPr>
          <w:p w14:paraId="6C3085E7" w14:textId="0CD7891A" w:rsidR="000E3B08" w:rsidRPr="000E3B08" w:rsidRDefault="000E3B08" w:rsidP="000E3B08">
            <w:pPr>
              <w:rPr>
                <w:rFonts w:eastAsia="Times New Roman" w:cs="Arial"/>
              </w:rPr>
            </w:pPr>
            <w:r w:rsidRPr="000E3B08">
              <w:t>Не се препоръчва</w:t>
            </w:r>
          </w:p>
        </w:tc>
        <w:tc>
          <w:tcPr>
            <w:tcW w:w="3192" w:type="dxa"/>
          </w:tcPr>
          <w:p w14:paraId="1C8DCDC8" w14:textId="43B360C5" w:rsidR="000E3B08" w:rsidRPr="000E3B08" w:rsidRDefault="000E3B08" w:rsidP="000E3B08">
            <w:pPr>
              <w:rPr>
                <w:rFonts w:eastAsia="Times New Roman" w:cs="Arial"/>
              </w:rPr>
            </w:pPr>
            <w:r w:rsidRPr="000E3B08">
              <w:t>Не се препоръчва</w:t>
            </w:r>
          </w:p>
        </w:tc>
      </w:tr>
    </w:tbl>
    <w:p w14:paraId="1F2A59BE" w14:textId="77777777" w:rsidR="000E3B08" w:rsidRDefault="000E3B08" w:rsidP="000E3B08">
      <w:pPr>
        <w:spacing w:line="240" w:lineRule="auto"/>
        <w:rPr>
          <w:rFonts w:eastAsia="Times New Roman" w:cs="Arial"/>
          <w:i/>
          <w:iCs/>
          <w:color w:val="000000"/>
          <w:lang w:eastAsia="bg-BG"/>
        </w:rPr>
      </w:pPr>
    </w:p>
    <w:p w14:paraId="454687EF" w14:textId="3B03E30E" w:rsidR="000E3B08" w:rsidRPr="000E3B08" w:rsidRDefault="000E3B08" w:rsidP="000E3B08">
      <w:pPr>
        <w:spacing w:line="240" w:lineRule="auto"/>
        <w:rPr>
          <w:rFonts w:eastAsia="Times New Roman" w:cs="Arial"/>
        </w:rPr>
      </w:pPr>
      <w:r w:rsidRPr="000E3B08">
        <w:rPr>
          <w:rFonts w:eastAsia="Times New Roman" w:cs="Arial"/>
          <w:i/>
          <w:iCs/>
          <w:color w:val="000000"/>
          <w:lang w:eastAsia="bg-BG"/>
        </w:rPr>
        <w:t>Пациенти, подложени на хемодиализа:</w:t>
      </w:r>
    </w:p>
    <w:p w14:paraId="3DD9AD6C" w14:textId="77777777" w:rsidR="000E3B08" w:rsidRPr="000E3B08" w:rsidRDefault="000E3B08" w:rsidP="000E3B08">
      <w:pPr>
        <w:spacing w:line="240" w:lineRule="auto"/>
        <w:rPr>
          <w:rFonts w:eastAsia="Times New Roman" w:cs="Arial"/>
        </w:rPr>
      </w:pPr>
      <w:r w:rsidRPr="000E3B08">
        <w:rPr>
          <w:rFonts w:eastAsia="Times New Roman" w:cs="Arial"/>
          <w:color w:val="000000"/>
          <w:lang w:eastAsia="bg-BG"/>
        </w:rPr>
        <w:t xml:space="preserve">Не може да се дадат препоръки за дозиране при пациенти на хемодиализа (креатининов клирънс </w:t>
      </w:r>
      <w:r w:rsidRPr="000E3B08">
        <w:rPr>
          <w:rFonts w:eastAsia="Times New Roman" w:cs="Arial"/>
          <w:color w:val="000000"/>
          <w:lang w:val="ru-RU"/>
        </w:rPr>
        <w:t>(</w:t>
      </w:r>
      <w:r w:rsidRPr="000E3B08">
        <w:rPr>
          <w:rFonts w:eastAsia="Times New Roman" w:cs="Arial"/>
          <w:color w:val="000000"/>
          <w:lang w:val="en-US"/>
        </w:rPr>
        <w:t>Clcr</w:t>
      </w:r>
      <w:r w:rsidRPr="000E3B08">
        <w:rPr>
          <w:rFonts w:eastAsia="Times New Roman" w:cs="Arial"/>
          <w:color w:val="000000"/>
          <w:lang w:val="ru-RU"/>
        </w:rPr>
        <w:t xml:space="preserve">) </w:t>
      </w:r>
      <w:r w:rsidRPr="000E3B08">
        <w:rPr>
          <w:rFonts w:eastAsia="Times New Roman" w:cs="Arial"/>
          <w:color w:val="000000"/>
          <w:lang w:eastAsia="bg-BG"/>
        </w:rPr>
        <w:t xml:space="preserve">&lt; 10 </w:t>
      </w:r>
      <w:r w:rsidRPr="000E3B08">
        <w:rPr>
          <w:rFonts w:eastAsia="Times New Roman" w:cs="Arial"/>
          <w:color w:val="000000"/>
          <w:lang w:val="en-US"/>
        </w:rPr>
        <w:t>ml</w:t>
      </w:r>
      <w:r w:rsidRPr="000E3B08">
        <w:rPr>
          <w:rFonts w:eastAsia="Times New Roman" w:cs="Arial"/>
          <w:color w:val="000000"/>
          <w:lang w:val="ru-RU"/>
        </w:rPr>
        <w:t>/</w:t>
      </w:r>
      <w:r w:rsidRPr="000E3B08">
        <w:rPr>
          <w:rFonts w:eastAsia="Times New Roman" w:cs="Arial"/>
          <w:color w:val="000000"/>
          <w:lang w:val="en-US"/>
        </w:rPr>
        <w:t>min</w:t>
      </w:r>
      <w:r w:rsidRPr="000E3B08">
        <w:rPr>
          <w:rFonts w:eastAsia="Times New Roman" w:cs="Arial"/>
          <w:color w:val="000000"/>
          <w:lang w:val="ru-RU"/>
        </w:rPr>
        <w:t xml:space="preserve">). </w:t>
      </w:r>
      <w:r w:rsidRPr="000E3B08">
        <w:rPr>
          <w:rFonts w:eastAsia="Times New Roman" w:cs="Arial"/>
          <w:color w:val="000000"/>
          <w:lang w:eastAsia="bg-BG"/>
        </w:rPr>
        <w:t>Ето защо, Валцит филмирани таблетки не трябва да се използва при тези пациенти (вж. точки 4.4 и 5.2).</w:t>
      </w:r>
    </w:p>
    <w:p w14:paraId="3BBF5893" w14:textId="77777777" w:rsidR="000E3B08" w:rsidRDefault="000E3B08" w:rsidP="000E3B08">
      <w:pPr>
        <w:spacing w:line="240" w:lineRule="auto"/>
        <w:rPr>
          <w:rFonts w:eastAsia="Times New Roman" w:cs="Arial"/>
          <w:i/>
          <w:iCs/>
          <w:color w:val="000000"/>
          <w:lang w:eastAsia="bg-BG"/>
        </w:rPr>
      </w:pPr>
    </w:p>
    <w:p w14:paraId="62DEDAA7" w14:textId="36C196B4" w:rsidR="000E3B08" w:rsidRPr="000E3B08" w:rsidRDefault="000E3B08" w:rsidP="000E3B08">
      <w:pPr>
        <w:spacing w:line="240" w:lineRule="auto"/>
        <w:rPr>
          <w:rFonts w:eastAsia="Times New Roman" w:cs="Arial"/>
        </w:rPr>
      </w:pPr>
      <w:r w:rsidRPr="000E3B08">
        <w:rPr>
          <w:rFonts w:eastAsia="Times New Roman" w:cs="Arial"/>
          <w:i/>
          <w:iCs/>
          <w:color w:val="000000"/>
          <w:lang w:eastAsia="bg-BG"/>
        </w:rPr>
        <w:t>Пациенти с чернодробно увреждане:</w:t>
      </w:r>
    </w:p>
    <w:p w14:paraId="1A773161" w14:textId="77777777" w:rsidR="000E3B08" w:rsidRPr="000E3B08" w:rsidRDefault="000E3B08" w:rsidP="000E3B08">
      <w:pPr>
        <w:spacing w:line="240" w:lineRule="auto"/>
        <w:rPr>
          <w:rFonts w:eastAsia="Times New Roman" w:cs="Arial"/>
        </w:rPr>
      </w:pPr>
      <w:r w:rsidRPr="000E3B08">
        <w:rPr>
          <w:rFonts w:eastAsia="Times New Roman" w:cs="Arial"/>
          <w:color w:val="000000"/>
          <w:lang w:eastAsia="bg-BG"/>
        </w:rPr>
        <w:t>Безопасността и ефикасността на Валцит таблетки не са установени при пациенти с чернодробно увреждане (вж. точка 5.2).</w:t>
      </w:r>
    </w:p>
    <w:p w14:paraId="76FD6C7B" w14:textId="77777777" w:rsidR="000E3B08" w:rsidRDefault="000E3B08" w:rsidP="000E3B08">
      <w:pPr>
        <w:spacing w:line="240" w:lineRule="auto"/>
        <w:rPr>
          <w:rFonts w:eastAsia="Times New Roman" w:cs="Arial"/>
          <w:i/>
          <w:iCs/>
          <w:color w:val="000000"/>
          <w:lang w:eastAsia="bg-BG"/>
        </w:rPr>
      </w:pPr>
    </w:p>
    <w:p w14:paraId="69AE219D" w14:textId="36B5C96F" w:rsidR="000E3B08" w:rsidRPr="000E3B08" w:rsidRDefault="000E3B08" w:rsidP="000E3B08">
      <w:pPr>
        <w:spacing w:line="240" w:lineRule="auto"/>
        <w:rPr>
          <w:rFonts w:eastAsia="Times New Roman" w:cs="Arial"/>
        </w:rPr>
      </w:pPr>
      <w:r w:rsidRPr="000E3B08">
        <w:rPr>
          <w:rFonts w:eastAsia="Times New Roman" w:cs="Arial"/>
          <w:i/>
          <w:iCs/>
          <w:color w:val="000000"/>
          <w:lang w:eastAsia="bg-BG"/>
        </w:rPr>
        <w:t xml:space="preserve">Пациенти с тежка левкопения, неутропения, анемия, тромбоцитопения и панцитопения </w:t>
      </w:r>
      <w:r w:rsidRPr="000E3B08">
        <w:rPr>
          <w:rFonts w:eastAsia="Times New Roman" w:cs="Arial"/>
          <w:color w:val="000000"/>
          <w:lang w:eastAsia="bg-BG"/>
        </w:rPr>
        <w:t>Вижте точка 4.4 преди започване на лечението.</w:t>
      </w:r>
    </w:p>
    <w:p w14:paraId="37A6CF2E" w14:textId="77777777" w:rsidR="000E3B08" w:rsidRDefault="000E3B08" w:rsidP="000E3B08">
      <w:pPr>
        <w:spacing w:line="240" w:lineRule="auto"/>
        <w:rPr>
          <w:rFonts w:eastAsia="Times New Roman" w:cs="Arial"/>
          <w:color w:val="000000"/>
          <w:lang w:eastAsia="bg-BG"/>
        </w:rPr>
      </w:pPr>
    </w:p>
    <w:p w14:paraId="584C79E5" w14:textId="73379D9F" w:rsidR="000E3B08" w:rsidRPr="000E3B08" w:rsidRDefault="000E3B08" w:rsidP="000E3B08">
      <w:pPr>
        <w:spacing w:line="240" w:lineRule="auto"/>
        <w:rPr>
          <w:rFonts w:eastAsia="Times New Roman" w:cs="Arial"/>
        </w:rPr>
      </w:pPr>
      <w:r w:rsidRPr="000E3B08">
        <w:rPr>
          <w:rFonts w:eastAsia="Times New Roman" w:cs="Arial"/>
          <w:color w:val="000000"/>
          <w:lang w:eastAsia="bg-BG"/>
        </w:rPr>
        <w:t>Ако има значително влошаване на кръвната картина по време на лечение с Валцит, трябва да се обмисли лечение с хематопоетични растежни фактори и/или прекъсване на приема (вж. точка 4.4).</w:t>
      </w:r>
    </w:p>
    <w:p w14:paraId="25AA29CC" w14:textId="77777777" w:rsidR="000E3B08" w:rsidRDefault="000E3B08" w:rsidP="000E3B08">
      <w:pPr>
        <w:spacing w:line="240" w:lineRule="auto"/>
        <w:rPr>
          <w:rFonts w:eastAsia="Times New Roman" w:cs="Arial"/>
          <w:color w:val="000000"/>
          <w:u w:val="single"/>
          <w:lang w:eastAsia="bg-BG"/>
        </w:rPr>
      </w:pPr>
    </w:p>
    <w:p w14:paraId="08ED3BAF" w14:textId="1566D947" w:rsidR="000E3B08" w:rsidRPr="000E3B08" w:rsidRDefault="000E3B08" w:rsidP="000E3B08">
      <w:pPr>
        <w:pStyle w:val="Heading3"/>
        <w:rPr>
          <w:rFonts w:eastAsia="Times New Roman"/>
          <w:u w:val="single"/>
        </w:rPr>
      </w:pPr>
      <w:r w:rsidRPr="000E3B08">
        <w:rPr>
          <w:rFonts w:eastAsia="Times New Roman"/>
          <w:u w:val="single"/>
          <w:lang w:eastAsia="bg-BG"/>
        </w:rPr>
        <w:t>Начин на приложение</w:t>
      </w:r>
    </w:p>
    <w:p w14:paraId="348799A9" w14:textId="77777777" w:rsidR="000E3B08" w:rsidRDefault="000E3B08" w:rsidP="000E3B08">
      <w:pPr>
        <w:spacing w:line="240" w:lineRule="auto"/>
        <w:rPr>
          <w:rFonts w:eastAsia="Times New Roman" w:cs="Arial"/>
          <w:color w:val="000000"/>
          <w:lang w:eastAsia="bg-BG"/>
        </w:rPr>
      </w:pPr>
    </w:p>
    <w:p w14:paraId="101754DC" w14:textId="0C124902" w:rsidR="000E3B08" w:rsidRPr="000E3B08" w:rsidRDefault="000E3B08" w:rsidP="000E3B08">
      <w:pPr>
        <w:spacing w:line="240" w:lineRule="auto"/>
        <w:rPr>
          <w:rFonts w:eastAsia="Times New Roman" w:cs="Arial"/>
        </w:rPr>
      </w:pPr>
      <w:r w:rsidRPr="000E3B08">
        <w:rPr>
          <w:rFonts w:eastAsia="Times New Roman" w:cs="Arial"/>
          <w:color w:val="000000"/>
          <w:lang w:eastAsia="bg-BG"/>
        </w:rPr>
        <w:t>Валцит се прилага перорално и, когато е възможно, трябва да се приема с храната (вж. точка 5.2).</w:t>
      </w:r>
    </w:p>
    <w:p w14:paraId="207672DB" w14:textId="77777777" w:rsidR="000E3B08" w:rsidRDefault="000E3B08" w:rsidP="000E3B08">
      <w:pPr>
        <w:spacing w:line="240" w:lineRule="auto"/>
        <w:rPr>
          <w:rFonts w:eastAsia="Times New Roman" w:cs="Arial"/>
          <w:color w:val="000000"/>
          <w:lang w:eastAsia="bg-BG"/>
        </w:rPr>
      </w:pPr>
    </w:p>
    <w:p w14:paraId="6A1F3CCF" w14:textId="511EAA41" w:rsidR="000E3B08" w:rsidRPr="000E3B08" w:rsidRDefault="000E3B08" w:rsidP="000E3B08">
      <w:pPr>
        <w:spacing w:line="240" w:lineRule="auto"/>
        <w:rPr>
          <w:rFonts w:eastAsia="Times New Roman" w:cs="Arial"/>
        </w:rPr>
      </w:pPr>
      <w:r w:rsidRPr="000E3B08">
        <w:rPr>
          <w:rFonts w:eastAsia="Times New Roman" w:cs="Arial"/>
          <w:color w:val="000000"/>
          <w:lang w:eastAsia="bg-BG"/>
        </w:rPr>
        <w:lastRenderedPageBreak/>
        <w:t>При педиатричните пациенти, които не могат да приемат Валцит филмирани таблетки, може да се приложи Валцит прах за перорална суспензия.</w:t>
      </w:r>
    </w:p>
    <w:p w14:paraId="3B95A5E3" w14:textId="77777777" w:rsidR="000E3B08" w:rsidRDefault="000E3B08" w:rsidP="000E3B08">
      <w:pPr>
        <w:spacing w:line="240" w:lineRule="auto"/>
        <w:rPr>
          <w:rFonts w:eastAsia="Times New Roman" w:cs="Arial"/>
          <w:i/>
          <w:iCs/>
          <w:color w:val="000000"/>
          <w:lang w:eastAsia="bg-BG"/>
        </w:rPr>
      </w:pPr>
    </w:p>
    <w:p w14:paraId="4B6CB694" w14:textId="7B20FCF8" w:rsidR="000E3B08" w:rsidRPr="000E3B08" w:rsidRDefault="000E3B08" w:rsidP="000E3B08">
      <w:pPr>
        <w:spacing w:line="240" w:lineRule="auto"/>
        <w:rPr>
          <w:rFonts w:eastAsia="Times New Roman" w:cs="Arial"/>
        </w:rPr>
      </w:pPr>
      <w:r w:rsidRPr="000E3B08">
        <w:rPr>
          <w:rFonts w:eastAsia="Times New Roman" w:cs="Arial"/>
          <w:i/>
          <w:iCs/>
          <w:color w:val="000000"/>
          <w:lang w:eastAsia="bg-BG"/>
        </w:rPr>
        <w:t>Предпазни мерки, които трябва да бъдат взети преди работа със или приложение на лекарствения продукт</w:t>
      </w:r>
    </w:p>
    <w:p w14:paraId="24A51C64" w14:textId="77777777" w:rsidR="000E3B08" w:rsidRPr="000E3B08" w:rsidRDefault="000E3B08" w:rsidP="000E3B08">
      <w:pPr>
        <w:spacing w:line="240" w:lineRule="auto"/>
        <w:rPr>
          <w:rFonts w:eastAsia="Times New Roman" w:cs="Arial"/>
        </w:rPr>
      </w:pPr>
      <w:r w:rsidRPr="000E3B08">
        <w:rPr>
          <w:rFonts w:eastAsia="Times New Roman" w:cs="Arial"/>
          <w:color w:val="000000"/>
          <w:lang w:eastAsia="bg-BG"/>
        </w:rPr>
        <w:t>Таблетките не трябва да се чупят или да се мачкат. Тъй като Валцит се счита за потенциален тератоген и карциноген при човека, трябва да се внимава при работа със счупени таблетки (вж. точка 4.4). Трябва да се избягва директен контакт на кожата или лигавиците със счупени или смачкани таблетки. При възникване на такъв контакт, мястото трябва да се измие обилно със сапун и вода, очите да се промият със стерилна вода или с чиста вода, ако няма стерилна.</w:t>
      </w:r>
    </w:p>
    <w:p w14:paraId="25D4FEAA" w14:textId="77777777" w:rsidR="000E3B08" w:rsidRPr="000E3B08" w:rsidRDefault="000E3B08" w:rsidP="000E3B08">
      <w:pPr>
        <w:rPr>
          <w:rFonts w:eastAsia="Times New Roman" w:cs="Arial"/>
        </w:rPr>
      </w:pPr>
    </w:p>
    <w:p w14:paraId="28C984E8" w14:textId="65D438AD" w:rsidR="008134C8" w:rsidRDefault="002C50EE" w:rsidP="004A448E">
      <w:pPr>
        <w:pStyle w:val="Heading2"/>
      </w:pPr>
      <w:r>
        <w:t>4.3. Противопоказания</w:t>
      </w:r>
    </w:p>
    <w:p w14:paraId="198F20CA" w14:textId="22E993FE" w:rsidR="000E3B08" w:rsidRDefault="000E3B08" w:rsidP="000E3B08"/>
    <w:p w14:paraId="0539F15D" w14:textId="77777777" w:rsidR="000E3B08" w:rsidRPr="000E3B08" w:rsidRDefault="000E3B08" w:rsidP="000E3B08">
      <w:pPr>
        <w:rPr>
          <w:sz w:val="24"/>
          <w:szCs w:val="24"/>
        </w:rPr>
      </w:pPr>
      <w:r w:rsidRPr="000E3B08">
        <w:rPr>
          <w:lang w:eastAsia="bg-BG"/>
        </w:rPr>
        <w:t>Валцит е противопоказан при пациенти със свръхчувствителност към валганцикловир, ганцикловир или към някое от помощните вещества, изброени в точка 6.1.</w:t>
      </w:r>
    </w:p>
    <w:p w14:paraId="3A5AF09F" w14:textId="77777777" w:rsidR="000E3B08" w:rsidRDefault="000E3B08" w:rsidP="000E3B08">
      <w:pPr>
        <w:rPr>
          <w:lang w:eastAsia="bg-BG"/>
        </w:rPr>
      </w:pPr>
    </w:p>
    <w:p w14:paraId="1AED318A" w14:textId="189229D1" w:rsidR="000E3B08" w:rsidRPr="000E3B08" w:rsidRDefault="000E3B08" w:rsidP="000E3B08">
      <w:pPr>
        <w:rPr>
          <w:sz w:val="24"/>
          <w:szCs w:val="24"/>
        </w:rPr>
      </w:pPr>
      <w:r w:rsidRPr="000E3B08">
        <w:rPr>
          <w:lang w:eastAsia="bg-BG"/>
        </w:rPr>
        <w:t>Валцит е противопоказан по време на кърмене (вж. точка 4.6).</w:t>
      </w:r>
    </w:p>
    <w:p w14:paraId="75DF29FF" w14:textId="77777777" w:rsidR="000E3B08" w:rsidRPr="000E3B08" w:rsidRDefault="000E3B08" w:rsidP="000E3B08"/>
    <w:p w14:paraId="212F509C" w14:textId="4DCDD85B" w:rsidR="004F498A" w:rsidRDefault="002C50EE" w:rsidP="004A448E">
      <w:pPr>
        <w:pStyle w:val="Heading2"/>
      </w:pPr>
      <w:r>
        <w:t>4.4. Специални предупреждения и предпазни мерки при употреба</w:t>
      </w:r>
    </w:p>
    <w:p w14:paraId="6CF1F7AB" w14:textId="19B74872" w:rsidR="000E3B08" w:rsidRDefault="000E3B08" w:rsidP="000E3B08"/>
    <w:p w14:paraId="300C2172" w14:textId="77777777" w:rsidR="000E3B08" w:rsidRPr="000E3B08" w:rsidRDefault="000E3B08" w:rsidP="000E3B08">
      <w:pPr>
        <w:spacing w:line="240" w:lineRule="auto"/>
        <w:rPr>
          <w:rFonts w:eastAsia="Times New Roman" w:cs="Arial"/>
        </w:rPr>
      </w:pPr>
      <w:r w:rsidRPr="000E3B08">
        <w:rPr>
          <w:rFonts w:eastAsia="Times New Roman" w:cs="Arial"/>
          <w:color w:val="000000"/>
          <w:u w:val="single"/>
          <w:lang w:eastAsia="bg-BG"/>
        </w:rPr>
        <w:t>Кръстосана свръхчувствителност</w:t>
      </w:r>
    </w:p>
    <w:p w14:paraId="5C6BD2A0" w14:textId="77777777" w:rsidR="000E3B08" w:rsidRPr="000E3B08" w:rsidRDefault="000E3B08" w:rsidP="000E3B08">
      <w:pPr>
        <w:spacing w:line="240" w:lineRule="auto"/>
        <w:rPr>
          <w:rFonts w:eastAsia="Times New Roman" w:cs="Arial"/>
        </w:rPr>
      </w:pPr>
      <w:r w:rsidRPr="000E3B08">
        <w:rPr>
          <w:rFonts w:eastAsia="Times New Roman" w:cs="Arial"/>
          <w:color w:val="000000"/>
          <w:lang w:eastAsia="bg-BG"/>
        </w:rPr>
        <w:t>Поради сходство в химическата структура на ганцикловир с тази на ацикловир и пенцикловир е възможна кръстосана реакция на свръхчувствителност между тези лекарства. Затова трябва да се внимава, когато се предписва Валцит на пациенти с известна свръхчувствителност към ацикловир или пенцикловир (или към техните прекурсори, съответно валацикловир или фамцикловир).</w:t>
      </w:r>
    </w:p>
    <w:p w14:paraId="71B7B00C" w14:textId="77777777" w:rsidR="000E3B08" w:rsidRDefault="000E3B08" w:rsidP="000E3B08">
      <w:pPr>
        <w:spacing w:line="240" w:lineRule="auto"/>
        <w:rPr>
          <w:rFonts w:eastAsia="Times New Roman" w:cs="Arial"/>
          <w:color w:val="000000"/>
          <w:u w:val="single"/>
          <w:lang w:eastAsia="bg-BG"/>
        </w:rPr>
      </w:pPr>
    </w:p>
    <w:p w14:paraId="2F7C3784" w14:textId="4C04DDA4" w:rsidR="000E3B08" w:rsidRPr="000E3B08" w:rsidRDefault="000E3B08" w:rsidP="000E3B08">
      <w:pPr>
        <w:spacing w:line="240" w:lineRule="auto"/>
        <w:rPr>
          <w:rFonts w:eastAsia="Times New Roman" w:cs="Arial"/>
        </w:rPr>
      </w:pPr>
      <w:r w:rsidRPr="000E3B08">
        <w:rPr>
          <w:rFonts w:eastAsia="Times New Roman" w:cs="Arial"/>
          <w:color w:val="000000"/>
          <w:u w:val="single"/>
          <w:lang w:eastAsia="bg-BG"/>
        </w:rPr>
        <w:t>Мутагенност, тератогенност, карциногенност, фергилитет и контрацепция</w:t>
      </w:r>
    </w:p>
    <w:p w14:paraId="193ED7FE" w14:textId="77777777" w:rsidR="000E3B08" w:rsidRPr="000E3B08" w:rsidRDefault="000E3B08" w:rsidP="000E3B08">
      <w:pPr>
        <w:rPr>
          <w:rFonts w:eastAsia="Times New Roman" w:cs="Arial"/>
        </w:rPr>
      </w:pPr>
      <w:r w:rsidRPr="000E3B08">
        <w:rPr>
          <w:rFonts w:eastAsia="Times New Roman" w:cs="Arial"/>
          <w:color w:val="000000"/>
          <w:lang w:eastAsia="bg-BG"/>
        </w:rPr>
        <w:t>Преди започване на лечение с валганцикловир пациентите трябва да бъдат уведомени за потенциалния риск за фетуса. При изпитвания върху животни ганцикловир е</w:t>
      </w:r>
      <w:r>
        <w:rPr>
          <w:rFonts w:eastAsia="Times New Roman" w:cs="Arial"/>
          <w:color w:val="000000"/>
          <w:lang w:eastAsia="bg-BG"/>
        </w:rPr>
        <w:t xml:space="preserve"> показал мутагенен, тератогенен </w:t>
      </w:r>
      <w:r w:rsidRPr="000E3B08">
        <w:rPr>
          <w:rFonts w:eastAsia="Times New Roman" w:cs="Arial"/>
          <w:color w:val="000000"/>
          <w:lang w:eastAsia="bg-BG"/>
        </w:rPr>
        <w:t>карциногенен ефект, както и, че той потиска фертилитета. Поради това, Валцит трябва да се счита за потенциален тератоген и карциноген при хората, с възможност за предизвикване на вродени малформации и рак (вж. точка 5.3), Въз основа на клинични и неклинични проучвания се счита също, че е вероятно Валцит да предизвиква временно или трайно инхибиране на сперматогенезата. Жени с детероден потенциал трябва да бъдат съветвани да използват ефективна контрацепция по време на и в продължение най-малко на 30 дни след спиране на лечението. Мъжете трябва да бъдат съветвани да прилагат бариерен метод на контрацепция по време на лечението и в продължение на най-малко 90 дни след това, освен ако не е сигурно, че няма риск партньорката им да забременее (вж. точки 4.6, 4.8 и 5.3).</w:t>
      </w:r>
    </w:p>
    <w:p w14:paraId="2F6C2AD6" w14:textId="77777777" w:rsidR="000E3B08" w:rsidRDefault="000E3B08" w:rsidP="000E3B08">
      <w:pPr>
        <w:spacing w:line="240" w:lineRule="auto"/>
        <w:rPr>
          <w:rFonts w:eastAsia="Times New Roman" w:cs="Arial"/>
          <w:color w:val="000000"/>
          <w:lang w:eastAsia="bg-BG"/>
        </w:rPr>
      </w:pPr>
    </w:p>
    <w:p w14:paraId="1AF0FB60" w14:textId="4E37029D" w:rsidR="000E3B08" w:rsidRPr="000E3B08" w:rsidRDefault="000E3B08" w:rsidP="000E3B08">
      <w:pPr>
        <w:spacing w:line="240" w:lineRule="auto"/>
        <w:rPr>
          <w:rFonts w:eastAsia="Times New Roman" w:cs="Arial"/>
        </w:rPr>
      </w:pPr>
      <w:r w:rsidRPr="000E3B08">
        <w:rPr>
          <w:rFonts w:eastAsia="Times New Roman" w:cs="Arial"/>
          <w:color w:val="000000"/>
          <w:lang w:eastAsia="bg-BG"/>
        </w:rPr>
        <w:t>Валганцикловир има потенциал за предизвикване на карциногенност и репродуктивна токсичност като късни ефекти.</w:t>
      </w:r>
    </w:p>
    <w:p w14:paraId="0F432177" w14:textId="77777777" w:rsidR="000E3B08" w:rsidRDefault="000E3B08" w:rsidP="000E3B08">
      <w:pPr>
        <w:spacing w:line="240" w:lineRule="auto"/>
        <w:rPr>
          <w:rFonts w:eastAsia="Times New Roman" w:cs="Arial"/>
          <w:color w:val="000000"/>
          <w:u w:val="single"/>
          <w:lang w:eastAsia="bg-BG"/>
        </w:rPr>
      </w:pPr>
    </w:p>
    <w:p w14:paraId="29E84C05" w14:textId="63B41980" w:rsidR="000E3B08" w:rsidRPr="000E3B08" w:rsidRDefault="000E3B08" w:rsidP="000E3B08">
      <w:pPr>
        <w:spacing w:line="240" w:lineRule="auto"/>
        <w:rPr>
          <w:rFonts w:eastAsia="Times New Roman" w:cs="Arial"/>
        </w:rPr>
      </w:pPr>
      <w:r w:rsidRPr="000E3B08">
        <w:rPr>
          <w:rFonts w:eastAsia="Times New Roman" w:cs="Arial"/>
          <w:color w:val="000000"/>
          <w:u w:val="single"/>
          <w:lang w:eastAsia="bg-BG"/>
        </w:rPr>
        <w:t>Миелосупресия</w:t>
      </w:r>
    </w:p>
    <w:p w14:paraId="4FB933DB" w14:textId="77777777" w:rsidR="000E3B08" w:rsidRPr="000E3B08" w:rsidRDefault="000E3B08" w:rsidP="000E3B08">
      <w:pPr>
        <w:spacing w:line="240" w:lineRule="auto"/>
        <w:rPr>
          <w:rFonts w:eastAsia="Times New Roman" w:cs="Arial"/>
        </w:rPr>
      </w:pPr>
      <w:r w:rsidRPr="000E3B08">
        <w:rPr>
          <w:rFonts w:eastAsia="Times New Roman" w:cs="Arial"/>
          <w:color w:val="000000"/>
          <w:lang w:eastAsia="bg-BG"/>
        </w:rPr>
        <w:t xml:space="preserve">При пациенти, лекувани с Валцит (и ганцикловир), са наблюдавани тежка левкопения, неутропения, анемия, тромбоцитопения, панцитопения, костномозъчна недостатъчност и апластична анемия. Лечението не трябва да се започва, ако абсолютният брой на </w:t>
      </w:r>
      <w:r w:rsidRPr="000E3B08">
        <w:rPr>
          <w:rFonts w:eastAsia="Times New Roman" w:cs="Arial"/>
          <w:color w:val="000000"/>
          <w:lang w:eastAsia="bg-BG"/>
        </w:rPr>
        <w:lastRenderedPageBreak/>
        <w:t>неутрофилите е под 500 клетки/μ</w:t>
      </w:r>
      <w:r w:rsidRPr="000E3B08">
        <w:rPr>
          <w:rFonts w:eastAsia="Times New Roman" w:cs="Arial"/>
          <w:color w:val="000000"/>
          <w:lang w:val="en-US"/>
        </w:rPr>
        <w:t>l</w:t>
      </w:r>
      <w:r w:rsidRPr="000E3B08">
        <w:rPr>
          <w:rFonts w:eastAsia="Times New Roman" w:cs="Arial"/>
          <w:color w:val="000000"/>
          <w:lang w:eastAsia="bg-BG"/>
        </w:rPr>
        <w:t>, броят на тромбоцитите е под 25 000/μ</w:t>
      </w:r>
      <w:r w:rsidRPr="000E3B08">
        <w:rPr>
          <w:rFonts w:eastAsia="Times New Roman" w:cs="Arial"/>
          <w:color w:val="000000"/>
          <w:lang w:val="en-US"/>
        </w:rPr>
        <w:t>l</w:t>
      </w:r>
      <w:r w:rsidRPr="000E3B08">
        <w:rPr>
          <w:rFonts w:eastAsia="Times New Roman" w:cs="Arial"/>
          <w:color w:val="000000"/>
          <w:lang w:eastAsia="bg-BG"/>
        </w:rPr>
        <w:t xml:space="preserve"> или нивото на хемоглобина е под 8 </w:t>
      </w:r>
      <w:r w:rsidRPr="000E3B08">
        <w:rPr>
          <w:rFonts w:eastAsia="Times New Roman" w:cs="Arial"/>
          <w:color w:val="000000"/>
          <w:lang w:val="en-US"/>
        </w:rPr>
        <w:t>g</w:t>
      </w:r>
      <w:r w:rsidRPr="000E3B08">
        <w:rPr>
          <w:rFonts w:eastAsia="Times New Roman" w:cs="Arial"/>
          <w:color w:val="000000"/>
          <w:lang w:val="ru-RU"/>
        </w:rPr>
        <w:t>/</w:t>
      </w:r>
      <w:r w:rsidRPr="000E3B08">
        <w:rPr>
          <w:rFonts w:eastAsia="Times New Roman" w:cs="Arial"/>
          <w:color w:val="000000"/>
          <w:lang w:val="en-US"/>
        </w:rPr>
        <w:t>dl</w:t>
      </w:r>
      <w:r w:rsidRPr="000E3B08">
        <w:rPr>
          <w:rFonts w:eastAsia="Times New Roman" w:cs="Arial"/>
          <w:color w:val="000000"/>
          <w:lang w:val="ru-RU"/>
        </w:rPr>
        <w:t xml:space="preserve"> </w:t>
      </w:r>
      <w:r w:rsidRPr="000E3B08">
        <w:rPr>
          <w:rFonts w:eastAsia="Times New Roman" w:cs="Arial"/>
          <w:color w:val="000000"/>
          <w:lang w:eastAsia="bg-BG"/>
        </w:rPr>
        <w:t>(вж. точки 4.2 и 4.8).</w:t>
      </w:r>
    </w:p>
    <w:p w14:paraId="2639912C" w14:textId="77777777" w:rsidR="000E3B08" w:rsidRDefault="000E3B08" w:rsidP="000E3B08">
      <w:pPr>
        <w:spacing w:line="240" w:lineRule="auto"/>
        <w:rPr>
          <w:rFonts w:eastAsia="Times New Roman" w:cs="Arial"/>
          <w:color w:val="000000"/>
          <w:lang w:eastAsia="bg-BG"/>
        </w:rPr>
      </w:pPr>
    </w:p>
    <w:p w14:paraId="0F0742CF" w14:textId="1D677D2B" w:rsidR="000E3B08" w:rsidRPr="000E3B08" w:rsidRDefault="000E3B08" w:rsidP="000E3B08">
      <w:pPr>
        <w:spacing w:line="240" w:lineRule="auto"/>
        <w:rPr>
          <w:rFonts w:eastAsia="Times New Roman" w:cs="Arial"/>
        </w:rPr>
      </w:pPr>
      <w:r w:rsidRPr="000E3B08">
        <w:rPr>
          <w:rFonts w:eastAsia="Times New Roman" w:cs="Arial"/>
          <w:color w:val="000000"/>
          <w:lang w:eastAsia="bg-BG"/>
        </w:rPr>
        <w:t>Когато профилактиката се удължава до по-малко от 100 дни, необходимо е да се вземе под внимание възможният риск от възникване на левкопения и неутропения (вж. точки 4.2,</w:t>
      </w:r>
      <w:r w:rsidRPr="000E3B08">
        <w:rPr>
          <w:rFonts w:eastAsia="Times New Roman" w:cs="Arial"/>
          <w:color w:val="000000"/>
          <w:lang w:val="ru-RU"/>
        </w:rPr>
        <w:t xml:space="preserve"> </w:t>
      </w:r>
      <w:r w:rsidRPr="000E3B08">
        <w:rPr>
          <w:rFonts w:eastAsia="Times New Roman" w:cs="Arial"/>
          <w:color w:val="000000"/>
          <w:lang w:eastAsia="bg-BG"/>
        </w:rPr>
        <w:t>4.5 и 5.1).</w:t>
      </w:r>
    </w:p>
    <w:p w14:paraId="01DB8906" w14:textId="77777777" w:rsidR="000E3B08" w:rsidRDefault="000E3B08" w:rsidP="000E3B08">
      <w:pPr>
        <w:spacing w:line="240" w:lineRule="auto"/>
        <w:rPr>
          <w:rFonts w:eastAsia="Times New Roman" w:cs="Arial"/>
          <w:color w:val="000000"/>
          <w:lang w:eastAsia="bg-BG"/>
        </w:rPr>
      </w:pPr>
    </w:p>
    <w:p w14:paraId="249AC868" w14:textId="09830175" w:rsidR="000E3B08" w:rsidRPr="000E3B08" w:rsidRDefault="000E3B08" w:rsidP="000E3B08">
      <w:pPr>
        <w:spacing w:line="240" w:lineRule="auto"/>
        <w:rPr>
          <w:rFonts w:eastAsia="Times New Roman" w:cs="Arial"/>
        </w:rPr>
      </w:pPr>
      <w:r w:rsidRPr="000E3B08">
        <w:rPr>
          <w:rFonts w:eastAsia="Times New Roman" w:cs="Arial"/>
          <w:color w:val="000000"/>
          <w:lang w:eastAsia="bg-BG"/>
        </w:rPr>
        <w:t>Валцит трябва да се използва внимателно при пациенти с предшестваща хематологична цитопения или анамнеза за хематологична цитопения, свързана с приложение на лекарства, и при пациенти, подложени на лъчетерапия.</w:t>
      </w:r>
    </w:p>
    <w:p w14:paraId="34DFDE3D" w14:textId="77777777" w:rsidR="000E3B08" w:rsidRDefault="000E3B08" w:rsidP="000E3B08">
      <w:pPr>
        <w:spacing w:line="240" w:lineRule="auto"/>
        <w:rPr>
          <w:rFonts w:eastAsia="Times New Roman" w:cs="Arial"/>
          <w:color w:val="000000"/>
          <w:lang w:eastAsia="bg-BG"/>
        </w:rPr>
      </w:pPr>
    </w:p>
    <w:p w14:paraId="61070303" w14:textId="5E246266" w:rsidR="000E3B08" w:rsidRPr="000E3B08" w:rsidRDefault="000E3B08" w:rsidP="000E3B08">
      <w:pPr>
        <w:spacing w:line="240" w:lineRule="auto"/>
        <w:rPr>
          <w:rFonts w:eastAsia="Times New Roman" w:cs="Arial"/>
        </w:rPr>
      </w:pPr>
      <w:r w:rsidRPr="000E3B08">
        <w:rPr>
          <w:rFonts w:eastAsia="Times New Roman" w:cs="Arial"/>
          <w:color w:val="000000"/>
          <w:lang w:eastAsia="bg-BG"/>
        </w:rPr>
        <w:t>Препоръчва се по време на лечението да се проследява редовно пълната кръвна картина и броят на тромбоцитите. При пациенти с бъбречно увреждане може да се наложи засилено мониториране на хематологичните показатели и в педиатрията, минимално всеки път, когато пациентът е в клиниката по трансплантация. При пациенти, развиващи тежка левкопения, неутропения, анемия и/или тромбоцитопения, се препоръчва да се обмисли лечение с хематопоетични растежни фактори и/или прекъсване на приложението (вж. точка 4.2).</w:t>
      </w:r>
    </w:p>
    <w:p w14:paraId="23A87752" w14:textId="77777777" w:rsidR="000E3B08" w:rsidRDefault="000E3B08" w:rsidP="000E3B08">
      <w:pPr>
        <w:spacing w:line="240" w:lineRule="auto"/>
        <w:rPr>
          <w:rFonts w:eastAsia="Times New Roman" w:cs="Arial"/>
          <w:color w:val="000000"/>
          <w:u w:val="single"/>
          <w:lang w:eastAsia="bg-BG"/>
        </w:rPr>
      </w:pPr>
    </w:p>
    <w:p w14:paraId="650B83FF" w14:textId="0B5DAC52" w:rsidR="000E3B08" w:rsidRPr="000E3B08" w:rsidRDefault="000E3B08" w:rsidP="000E3B08">
      <w:pPr>
        <w:spacing w:line="240" w:lineRule="auto"/>
        <w:rPr>
          <w:rFonts w:eastAsia="Times New Roman" w:cs="Arial"/>
        </w:rPr>
      </w:pPr>
      <w:r w:rsidRPr="000E3B08">
        <w:rPr>
          <w:rFonts w:eastAsia="Times New Roman" w:cs="Arial"/>
          <w:color w:val="000000"/>
          <w:u w:val="single"/>
          <w:lang w:eastAsia="bg-BG"/>
        </w:rPr>
        <w:t>Разлика в бионаличността при перорален ганцикловир</w:t>
      </w:r>
    </w:p>
    <w:p w14:paraId="05D3BBC9" w14:textId="77777777" w:rsidR="000E3B08" w:rsidRPr="000E3B08" w:rsidRDefault="000E3B08" w:rsidP="000E3B08">
      <w:pPr>
        <w:spacing w:line="240" w:lineRule="auto"/>
        <w:rPr>
          <w:rFonts w:eastAsia="Times New Roman" w:cs="Arial"/>
        </w:rPr>
      </w:pPr>
      <w:r w:rsidRPr="000E3B08">
        <w:rPr>
          <w:rFonts w:eastAsia="Times New Roman" w:cs="Arial"/>
          <w:color w:val="000000"/>
          <w:lang w:eastAsia="bg-BG"/>
        </w:rPr>
        <w:t xml:space="preserve">Бионаличността на ганцикловир след еднократна доза от 900 </w:t>
      </w:r>
      <w:r w:rsidRPr="000E3B08">
        <w:rPr>
          <w:rFonts w:eastAsia="Times New Roman" w:cs="Arial"/>
          <w:color w:val="000000"/>
          <w:lang w:val="en-US"/>
        </w:rPr>
        <w:t>mg</w:t>
      </w:r>
      <w:r w:rsidRPr="000E3B08">
        <w:rPr>
          <w:rFonts w:eastAsia="Times New Roman" w:cs="Arial"/>
          <w:color w:val="000000"/>
          <w:lang w:val="ru-RU"/>
        </w:rPr>
        <w:t xml:space="preserve"> </w:t>
      </w:r>
      <w:r w:rsidRPr="000E3B08">
        <w:rPr>
          <w:rFonts w:eastAsia="Times New Roman" w:cs="Arial"/>
          <w:color w:val="000000"/>
          <w:lang w:eastAsia="bg-BG"/>
        </w:rPr>
        <w:t xml:space="preserve">валганцикловир е приблизително 60% в сравнение с приблизително 6% след перорално приложение на 1000 </w:t>
      </w:r>
      <w:r w:rsidRPr="000E3B08">
        <w:rPr>
          <w:rFonts w:eastAsia="Times New Roman" w:cs="Arial"/>
          <w:color w:val="000000"/>
          <w:lang w:val="en-US"/>
        </w:rPr>
        <w:t>mg</w:t>
      </w:r>
      <w:r w:rsidRPr="000E3B08">
        <w:rPr>
          <w:rFonts w:eastAsia="Times New Roman" w:cs="Arial"/>
          <w:color w:val="000000"/>
          <w:lang w:val="ru-RU"/>
        </w:rPr>
        <w:t xml:space="preserve"> </w:t>
      </w:r>
      <w:r w:rsidRPr="000E3B08">
        <w:rPr>
          <w:rFonts w:eastAsia="Times New Roman" w:cs="Arial"/>
          <w:color w:val="000000"/>
          <w:lang w:eastAsia="bg-BG"/>
        </w:rPr>
        <w:t>ганцикловир (във вид на капсули). Прекомерната експозиция на ганцикловир може да бъде свързана с животозастрашаващи нежелани реакции. Поради това се препоръчва стриктно спазване на препоръките за дозиране при започване на лечение, когато се преминава от въвеждаща към поддържаща терапия и при пациенти, преминаващи от перорален ганцикловир към валганцикловир, тъй като Валцит не може да замести ганцикловир капсули на базата едно към едно. Пациентите, преминаващи от ганцикловир капсули, трябва да бъдат предупредени за риска от предозиране, ако приемат повече от предписания брой таблетки Валцит (вж. точки 4.2 и 4.9).</w:t>
      </w:r>
    </w:p>
    <w:p w14:paraId="5138361B" w14:textId="77777777" w:rsidR="000E3B08" w:rsidRDefault="000E3B08" w:rsidP="000E3B08">
      <w:pPr>
        <w:spacing w:line="240" w:lineRule="auto"/>
        <w:rPr>
          <w:rFonts w:eastAsia="Times New Roman" w:cs="Arial"/>
          <w:color w:val="000000"/>
          <w:u w:val="single"/>
          <w:lang w:eastAsia="bg-BG"/>
        </w:rPr>
      </w:pPr>
    </w:p>
    <w:p w14:paraId="26D7C1F2" w14:textId="10F63ABE" w:rsidR="000E3B08" w:rsidRPr="000E3B08" w:rsidRDefault="000E3B08" w:rsidP="000E3B08">
      <w:pPr>
        <w:spacing w:line="240" w:lineRule="auto"/>
        <w:rPr>
          <w:rFonts w:eastAsia="Times New Roman" w:cs="Arial"/>
        </w:rPr>
      </w:pPr>
      <w:r w:rsidRPr="000E3B08">
        <w:rPr>
          <w:rFonts w:eastAsia="Times New Roman" w:cs="Arial"/>
          <w:color w:val="000000"/>
          <w:u w:val="single"/>
          <w:lang w:eastAsia="bg-BG"/>
        </w:rPr>
        <w:t>Бъбречно увреждане</w:t>
      </w:r>
    </w:p>
    <w:p w14:paraId="3E383608" w14:textId="77777777" w:rsidR="000E3B08" w:rsidRPr="000E3B08" w:rsidRDefault="000E3B08" w:rsidP="000E3B08">
      <w:pPr>
        <w:spacing w:line="240" w:lineRule="auto"/>
        <w:rPr>
          <w:rFonts w:eastAsia="Times New Roman" w:cs="Arial"/>
        </w:rPr>
      </w:pPr>
      <w:r w:rsidRPr="000E3B08">
        <w:rPr>
          <w:rFonts w:eastAsia="Times New Roman" w:cs="Arial"/>
          <w:color w:val="000000"/>
          <w:lang w:eastAsia="bg-BG"/>
        </w:rPr>
        <w:t>При пациенти с увредена бъбречна функция се налага коригиране на дозата въз основа на креатининовия клирънс (вж. точки 4.2 и 5.2).</w:t>
      </w:r>
    </w:p>
    <w:p w14:paraId="03D3CBA0" w14:textId="77777777" w:rsidR="000E3B08" w:rsidRDefault="000E3B08" w:rsidP="000E3B08">
      <w:pPr>
        <w:spacing w:line="240" w:lineRule="auto"/>
        <w:rPr>
          <w:rFonts w:eastAsia="Times New Roman" w:cs="Arial"/>
          <w:color w:val="000000"/>
          <w:lang w:eastAsia="bg-BG"/>
        </w:rPr>
      </w:pPr>
    </w:p>
    <w:p w14:paraId="0D7DB7F0" w14:textId="748094A7" w:rsidR="000E3B08" w:rsidRPr="000E3B08" w:rsidRDefault="000E3B08" w:rsidP="000E3B08">
      <w:pPr>
        <w:spacing w:line="240" w:lineRule="auto"/>
        <w:rPr>
          <w:rFonts w:eastAsia="Times New Roman" w:cs="Arial"/>
        </w:rPr>
      </w:pPr>
      <w:r w:rsidRPr="000E3B08">
        <w:rPr>
          <w:rFonts w:eastAsia="Times New Roman" w:cs="Arial"/>
          <w:color w:val="000000"/>
          <w:lang w:eastAsia="bg-BG"/>
        </w:rPr>
        <w:t>Валцит филмирани таблетки не трябва да се използва при пациенти на хемодиализа (вж. точки 4.2 и 5.2).</w:t>
      </w:r>
    </w:p>
    <w:p w14:paraId="3A097BBE" w14:textId="77777777" w:rsidR="000E3B08" w:rsidRDefault="000E3B08" w:rsidP="000E3B08">
      <w:pPr>
        <w:spacing w:line="240" w:lineRule="auto"/>
        <w:rPr>
          <w:rFonts w:eastAsia="Times New Roman" w:cs="Arial"/>
          <w:color w:val="000000"/>
          <w:u w:val="single"/>
          <w:lang w:eastAsia="bg-BG"/>
        </w:rPr>
      </w:pPr>
    </w:p>
    <w:p w14:paraId="2B061C4C" w14:textId="6F375D76" w:rsidR="000E3B08" w:rsidRPr="000E3B08" w:rsidRDefault="000E3B08" w:rsidP="000E3B08">
      <w:pPr>
        <w:spacing w:line="240" w:lineRule="auto"/>
        <w:rPr>
          <w:rFonts w:eastAsia="Times New Roman" w:cs="Arial"/>
        </w:rPr>
      </w:pPr>
      <w:r w:rsidRPr="000E3B08">
        <w:rPr>
          <w:rFonts w:eastAsia="Times New Roman" w:cs="Arial"/>
          <w:color w:val="000000"/>
          <w:u w:val="single"/>
          <w:lang w:eastAsia="bg-BG"/>
        </w:rPr>
        <w:t>Употреба с други лекарствени продукти</w:t>
      </w:r>
    </w:p>
    <w:p w14:paraId="3DB54535" w14:textId="77777777" w:rsidR="000E3B08" w:rsidRPr="000E3B08" w:rsidRDefault="000E3B08" w:rsidP="000E3B08">
      <w:pPr>
        <w:rPr>
          <w:rFonts w:eastAsia="Times New Roman" w:cs="Arial"/>
        </w:rPr>
      </w:pPr>
      <w:r w:rsidRPr="000E3B08">
        <w:rPr>
          <w:rFonts w:eastAsia="Times New Roman" w:cs="Arial"/>
          <w:color w:val="000000"/>
          <w:lang w:eastAsia="bg-BG"/>
        </w:rPr>
        <w:t>Съобщава се за гърчове при пациенти, приемащи имипенем-циластатин и ганцикловир. Валцит не трябва да се използва едновременно с имипенем-циластатин, освен ако потенциалната полза не</w:t>
      </w:r>
      <w:r w:rsidRPr="000E3B08">
        <w:rPr>
          <w:rFonts w:eastAsia="Times New Roman" w:cs="Arial"/>
          <w:color w:val="000000"/>
          <w:lang w:val="ru-RU" w:eastAsia="bg-BG"/>
        </w:rPr>
        <w:t xml:space="preserve"> </w:t>
      </w:r>
      <w:r w:rsidRPr="000E3B08">
        <w:rPr>
          <w:rFonts w:eastAsia="Times New Roman" w:cs="Arial"/>
          <w:color w:val="000000"/>
          <w:lang w:eastAsia="bg-BG"/>
        </w:rPr>
        <w:t>надхвърля потенциалния риск (вж. точка 4.5).</w:t>
      </w:r>
    </w:p>
    <w:p w14:paraId="6304C9CE" w14:textId="77777777" w:rsidR="000E3B08" w:rsidRDefault="000E3B08" w:rsidP="000E3B08">
      <w:pPr>
        <w:spacing w:line="240" w:lineRule="auto"/>
        <w:rPr>
          <w:rFonts w:eastAsia="Times New Roman" w:cs="Arial"/>
          <w:color w:val="000000"/>
          <w:lang w:eastAsia="bg-BG"/>
        </w:rPr>
      </w:pPr>
    </w:p>
    <w:p w14:paraId="6E2CE0D0" w14:textId="6F9284FD" w:rsidR="000E3B08" w:rsidRPr="000E3B08" w:rsidRDefault="000E3B08" w:rsidP="000E3B08">
      <w:pPr>
        <w:spacing w:line="240" w:lineRule="auto"/>
        <w:rPr>
          <w:rFonts w:eastAsia="Times New Roman" w:cs="Arial"/>
        </w:rPr>
      </w:pPr>
      <w:r w:rsidRPr="000E3B08">
        <w:rPr>
          <w:rFonts w:eastAsia="Times New Roman" w:cs="Arial"/>
          <w:color w:val="000000"/>
          <w:lang w:eastAsia="bg-BG"/>
        </w:rPr>
        <w:t>Пациенти, лекувани с Валцит и (а) диданозин, (б) лекарства, за които се знае, че притежават миелосупресивно действие (напр. зидовудин), или (в) вещества, повлияващи бъбречната функция, трябва стриктно да се проследяват за признаци на адитивна токсичност (вж. точка 4.5).</w:t>
      </w:r>
    </w:p>
    <w:p w14:paraId="1A6A0019" w14:textId="77777777" w:rsidR="000E3B08" w:rsidRDefault="000E3B08" w:rsidP="000E3B08">
      <w:pPr>
        <w:spacing w:line="240" w:lineRule="auto"/>
        <w:rPr>
          <w:rFonts w:eastAsia="Times New Roman" w:cs="Arial"/>
          <w:color w:val="000000"/>
          <w:lang w:eastAsia="bg-BG"/>
        </w:rPr>
      </w:pPr>
    </w:p>
    <w:p w14:paraId="4AB96E3E" w14:textId="4375D49A" w:rsidR="000E3B08" w:rsidRPr="000E3B08" w:rsidRDefault="000E3B08" w:rsidP="000E3B08">
      <w:pPr>
        <w:spacing w:line="240" w:lineRule="auto"/>
        <w:rPr>
          <w:rFonts w:eastAsia="Times New Roman" w:cs="Arial"/>
        </w:rPr>
      </w:pPr>
      <w:r w:rsidRPr="000E3B08">
        <w:rPr>
          <w:rFonts w:eastAsia="Times New Roman" w:cs="Arial"/>
          <w:color w:val="000000"/>
          <w:lang w:eastAsia="bg-BG"/>
        </w:rPr>
        <w:t xml:space="preserve">Контролираните клинични изпитвания с приложение на валганцикловир като профилактично лечение на </w:t>
      </w:r>
      <w:r w:rsidRPr="000E3B08">
        <w:rPr>
          <w:rFonts w:eastAsia="Times New Roman" w:cs="Arial"/>
          <w:color w:val="000000"/>
          <w:lang w:val="en-US"/>
        </w:rPr>
        <w:t>CMV</w:t>
      </w:r>
      <w:r w:rsidRPr="000E3B08">
        <w:rPr>
          <w:rFonts w:eastAsia="Times New Roman" w:cs="Arial"/>
          <w:color w:val="000000"/>
          <w:lang w:val="ru-RU"/>
        </w:rPr>
        <w:t xml:space="preserve"> </w:t>
      </w:r>
      <w:r w:rsidRPr="000E3B08">
        <w:rPr>
          <w:rFonts w:eastAsia="Times New Roman" w:cs="Arial"/>
          <w:color w:val="000000"/>
          <w:lang w:eastAsia="bg-BG"/>
        </w:rPr>
        <w:t xml:space="preserve">заболяване след трансплантация, както подробно е </w:t>
      </w:r>
      <w:r w:rsidRPr="000E3B08">
        <w:rPr>
          <w:rFonts w:eastAsia="Times New Roman" w:cs="Arial"/>
          <w:color w:val="000000"/>
          <w:lang w:eastAsia="bg-BG"/>
        </w:rPr>
        <w:lastRenderedPageBreak/>
        <w:t>описано в точка 5.1, не са включвали пациенти с трансплантация на бял дроб и черва. Поради това, опитът с пациенти с такъв вид трансплантация е ограничен.</w:t>
      </w:r>
    </w:p>
    <w:p w14:paraId="663E9E91" w14:textId="7EB1A5E2" w:rsidR="000E3B08" w:rsidRPr="000E3B08" w:rsidRDefault="000E3B08" w:rsidP="000E3B08"/>
    <w:p w14:paraId="619DED1E" w14:textId="0035D142"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2BA971B9" w14:textId="1E7C8826" w:rsidR="006F01DD" w:rsidRDefault="006F01DD" w:rsidP="006F01DD"/>
    <w:p w14:paraId="2A4D736F" w14:textId="77777777" w:rsidR="006F01DD" w:rsidRPr="006F01DD" w:rsidRDefault="006F01DD" w:rsidP="006F01DD">
      <w:pPr>
        <w:spacing w:line="240" w:lineRule="auto"/>
        <w:rPr>
          <w:rFonts w:eastAsia="Times New Roman" w:cs="Arial"/>
        </w:rPr>
      </w:pPr>
      <w:r w:rsidRPr="006F01DD">
        <w:rPr>
          <w:rFonts w:eastAsia="Times New Roman" w:cs="Arial"/>
          <w:color w:val="000000"/>
          <w:u w:val="single"/>
          <w:lang w:eastAsia="bg-BG"/>
        </w:rPr>
        <w:t>Лекарствени взаимодействия с валганцикловир</w:t>
      </w:r>
    </w:p>
    <w:p w14:paraId="7852421C" w14:textId="77777777" w:rsidR="006F01DD" w:rsidRPr="006F01DD" w:rsidRDefault="006F01DD" w:rsidP="006F01DD">
      <w:pPr>
        <w:spacing w:line="240" w:lineRule="auto"/>
        <w:rPr>
          <w:rFonts w:eastAsia="Times New Roman" w:cs="Arial"/>
        </w:rPr>
      </w:pPr>
      <w:r w:rsidRPr="006F01DD">
        <w:rPr>
          <w:rFonts w:eastAsia="Times New Roman" w:cs="Arial"/>
          <w:color w:val="000000"/>
          <w:lang w:eastAsia="bg-BG"/>
        </w:rPr>
        <w:t xml:space="preserve">Не са провеждани </w:t>
      </w:r>
      <w:r w:rsidRPr="006F01DD">
        <w:rPr>
          <w:rFonts w:eastAsia="Times New Roman" w:cs="Arial"/>
          <w:i/>
          <w:iCs/>
          <w:color w:val="000000"/>
          <w:lang w:val="en-US"/>
        </w:rPr>
        <w:t>in</w:t>
      </w:r>
      <w:r w:rsidRPr="006F01DD">
        <w:rPr>
          <w:rFonts w:eastAsia="Times New Roman" w:cs="Arial"/>
          <w:i/>
          <w:iCs/>
          <w:color w:val="000000"/>
          <w:lang w:val="ru-RU"/>
        </w:rPr>
        <w:t xml:space="preserve"> </w:t>
      </w:r>
      <w:r w:rsidRPr="006F01DD">
        <w:rPr>
          <w:rFonts w:eastAsia="Times New Roman" w:cs="Arial"/>
          <w:i/>
          <w:iCs/>
          <w:color w:val="000000"/>
          <w:lang w:val="en-US"/>
        </w:rPr>
        <w:t>vivo</w:t>
      </w:r>
      <w:r w:rsidRPr="006F01DD">
        <w:rPr>
          <w:rFonts w:eastAsia="Times New Roman" w:cs="Arial"/>
          <w:color w:val="000000"/>
          <w:lang w:val="ru-RU"/>
        </w:rPr>
        <w:t xml:space="preserve"> </w:t>
      </w:r>
      <w:r w:rsidRPr="006F01DD">
        <w:rPr>
          <w:rFonts w:eastAsia="Times New Roman" w:cs="Arial"/>
          <w:color w:val="000000"/>
          <w:lang w:eastAsia="bg-BG"/>
        </w:rPr>
        <w:t>изпитвания за лекарствените взаимодействия с Валцит. Тъй като валганцикловир се метаболизира бързо и в голяма степен до ганцикловир, се очакват при валганцикловир лекарствени взаимодействия, свързани с ганцикловир.</w:t>
      </w:r>
    </w:p>
    <w:p w14:paraId="731A66F0" w14:textId="77777777" w:rsidR="006F01DD" w:rsidRDefault="006F01DD" w:rsidP="006F01DD">
      <w:pPr>
        <w:spacing w:line="240" w:lineRule="auto"/>
        <w:rPr>
          <w:rFonts w:eastAsia="Times New Roman" w:cs="Arial"/>
          <w:color w:val="000000"/>
          <w:u w:val="single"/>
          <w:lang w:eastAsia="bg-BG"/>
        </w:rPr>
      </w:pPr>
    </w:p>
    <w:p w14:paraId="06BF35BE" w14:textId="278D4EF2" w:rsidR="006F01DD" w:rsidRPr="006F01DD" w:rsidRDefault="006F01DD" w:rsidP="006F01DD">
      <w:pPr>
        <w:spacing w:line="240" w:lineRule="auto"/>
        <w:rPr>
          <w:rFonts w:eastAsia="Times New Roman" w:cs="Arial"/>
        </w:rPr>
      </w:pPr>
      <w:r w:rsidRPr="006F01DD">
        <w:rPr>
          <w:rFonts w:eastAsia="Times New Roman" w:cs="Arial"/>
          <w:color w:val="000000"/>
          <w:u w:val="single"/>
          <w:lang w:eastAsia="bg-BG"/>
        </w:rPr>
        <w:t>Лекарствени взаимодействия с ганцикловир</w:t>
      </w:r>
    </w:p>
    <w:p w14:paraId="707D8061" w14:textId="77777777" w:rsidR="006F01DD" w:rsidRPr="006F01DD" w:rsidRDefault="006F01DD" w:rsidP="006F01DD">
      <w:pPr>
        <w:spacing w:line="240" w:lineRule="auto"/>
        <w:rPr>
          <w:rFonts w:eastAsia="Times New Roman" w:cs="Arial"/>
        </w:rPr>
      </w:pPr>
      <w:r w:rsidRPr="006F01DD">
        <w:rPr>
          <w:rFonts w:eastAsia="Times New Roman" w:cs="Arial"/>
          <w:color w:val="000000"/>
          <w:u w:val="single"/>
          <w:lang w:eastAsia="bg-BG"/>
        </w:rPr>
        <w:t>Фармакокинетични взаимодействия</w:t>
      </w:r>
    </w:p>
    <w:p w14:paraId="19B2F896" w14:textId="77777777" w:rsidR="006F01DD" w:rsidRPr="006F01DD" w:rsidRDefault="006F01DD" w:rsidP="006F01DD">
      <w:pPr>
        <w:spacing w:line="240" w:lineRule="auto"/>
        <w:rPr>
          <w:rFonts w:eastAsia="Times New Roman" w:cs="Arial"/>
        </w:rPr>
      </w:pPr>
      <w:r w:rsidRPr="006F01DD">
        <w:rPr>
          <w:rFonts w:eastAsia="Times New Roman" w:cs="Arial"/>
          <w:i/>
          <w:iCs/>
          <w:color w:val="000000"/>
          <w:lang w:eastAsia="bg-BG"/>
        </w:rPr>
        <w:t>Пробенецид</w:t>
      </w:r>
    </w:p>
    <w:p w14:paraId="01F742FA" w14:textId="77777777" w:rsidR="006F01DD" w:rsidRPr="006F01DD" w:rsidRDefault="006F01DD" w:rsidP="006F01DD">
      <w:pPr>
        <w:spacing w:line="240" w:lineRule="auto"/>
        <w:rPr>
          <w:rFonts w:eastAsia="Times New Roman" w:cs="Arial"/>
        </w:rPr>
      </w:pPr>
      <w:r w:rsidRPr="006F01DD">
        <w:rPr>
          <w:rFonts w:eastAsia="Times New Roman" w:cs="Arial"/>
          <w:color w:val="000000"/>
          <w:lang w:eastAsia="bg-BG"/>
        </w:rPr>
        <w:t>Приложение на пробенецид с перорален ганцикловир е предизвикало статистически значимо намаление на бъбречния клирънс на ганцикловир (20%), водещо до статистически значимо увеличение на експозицията (40%). Тези промени съответстват на механизма на взаимодействие, който включва конкуриране за тубулната екскреция в бъбреците. Поради това пациенти, които вземат пробенецид и валганцикловир, трябва внимателно да бъдат проследявани за токсичност на ганцикловир.</w:t>
      </w:r>
    </w:p>
    <w:p w14:paraId="3605312E" w14:textId="77777777" w:rsidR="006F01DD" w:rsidRDefault="006F01DD" w:rsidP="006F01DD">
      <w:pPr>
        <w:spacing w:line="240" w:lineRule="auto"/>
        <w:rPr>
          <w:rFonts w:eastAsia="Times New Roman" w:cs="Arial"/>
          <w:i/>
          <w:iCs/>
          <w:color w:val="000000"/>
          <w:lang w:eastAsia="bg-BG"/>
        </w:rPr>
      </w:pPr>
    </w:p>
    <w:p w14:paraId="05D111F1" w14:textId="56EBFAE6" w:rsidR="006F01DD" w:rsidRPr="006F01DD" w:rsidRDefault="006F01DD" w:rsidP="006F01DD">
      <w:pPr>
        <w:spacing w:line="240" w:lineRule="auto"/>
        <w:rPr>
          <w:rFonts w:eastAsia="Times New Roman" w:cs="Arial"/>
        </w:rPr>
      </w:pPr>
      <w:r w:rsidRPr="006F01DD">
        <w:rPr>
          <w:rFonts w:eastAsia="Times New Roman" w:cs="Arial"/>
          <w:i/>
          <w:iCs/>
          <w:color w:val="000000"/>
          <w:lang w:eastAsia="bg-BG"/>
        </w:rPr>
        <w:t>Диданозин</w:t>
      </w:r>
    </w:p>
    <w:p w14:paraId="40AA08F8" w14:textId="77777777" w:rsidR="006F01DD" w:rsidRPr="006F01DD" w:rsidRDefault="006F01DD" w:rsidP="006F01DD">
      <w:pPr>
        <w:spacing w:line="240" w:lineRule="auto"/>
        <w:rPr>
          <w:rFonts w:eastAsia="Times New Roman" w:cs="Arial"/>
        </w:rPr>
      </w:pPr>
      <w:r w:rsidRPr="006F01DD">
        <w:rPr>
          <w:rFonts w:eastAsia="Times New Roman" w:cs="Arial"/>
          <w:color w:val="000000"/>
          <w:lang w:eastAsia="bg-BG"/>
        </w:rPr>
        <w:t xml:space="preserve">Установено е, че плазмените концентрации на диданозин са постоянно повишени, когато се прилага с ганцикловир </w:t>
      </w:r>
      <w:r w:rsidRPr="006F01DD">
        <w:rPr>
          <w:rFonts w:eastAsia="Times New Roman" w:cs="Arial"/>
          <w:color w:val="000000"/>
          <w:lang w:val="en-US"/>
        </w:rPr>
        <w:t>i</w:t>
      </w:r>
      <w:r w:rsidRPr="006F01DD">
        <w:rPr>
          <w:rFonts w:eastAsia="Times New Roman" w:cs="Arial"/>
          <w:color w:val="000000"/>
          <w:lang w:val="ru-RU"/>
        </w:rPr>
        <w:t>.</w:t>
      </w:r>
      <w:r w:rsidRPr="006F01DD">
        <w:rPr>
          <w:rFonts w:eastAsia="Times New Roman" w:cs="Arial"/>
          <w:color w:val="000000"/>
          <w:lang w:val="en-US"/>
        </w:rPr>
        <w:t>v</w:t>
      </w:r>
      <w:r w:rsidRPr="006F01DD">
        <w:rPr>
          <w:rFonts w:eastAsia="Times New Roman" w:cs="Arial"/>
          <w:color w:val="000000"/>
          <w:lang w:val="ru-RU"/>
        </w:rPr>
        <w:t xml:space="preserve">. </w:t>
      </w:r>
      <w:r w:rsidRPr="006F01DD">
        <w:rPr>
          <w:rFonts w:eastAsia="Times New Roman" w:cs="Arial"/>
          <w:color w:val="000000"/>
          <w:lang w:eastAsia="bg-BG"/>
        </w:rPr>
        <w:t xml:space="preserve">При интравенозни дози 5 и 10 </w:t>
      </w:r>
      <w:r w:rsidRPr="006F01DD">
        <w:rPr>
          <w:rFonts w:eastAsia="Times New Roman" w:cs="Arial"/>
          <w:color w:val="000000"/>
          <w:lang w:val="en-US"/>
        </w:rPr>
        <w:t>mg</w:t>
      </w:r>
      <w:r w:rsidRPr="006F01DD">
        <w:rPr>
          <w:rFonts w:eastAsia="Times New Roman" w:cs="Arial"/>
          <w:color w:val="000000"/>
          <w:lang w:val="ru-RU"/>
        </w:rPr>
        <w:t>/</w:t>
      </w:r>
      <w:r w:rsidRPr="006F01DD">
        <w:rPr>
          <w:rFonts w:eastAsia="Times New Roman" w:cs="Arial"/>
          <w:color w:val="000000"/>
          <w:lang w:val="en-US"/>
        </w:rPr>
        <w:t>kg</w:t>
      </w:r>
      <w:r w:rsidRPr="006F01DD">
        <w:rPr>
          <w:rFonts w:eastAsia="Times New Roman" w:cs="Arial"/>
          <w:color w:val="000000"/>
          <w:lang w:eastAsia="bg-BG"/>
        </w:rPr>
        <w:t xml:space="preserve">/ден е наблюдавано повишение на </w:t>
      </w:r>
      <w:r w:rsidRPr="006F01DD">
        <w:rPr>
          <w:rFonts w:eastAsia="Times New Roman" w:cs="Arial"/>
          <w:color w:val="000000"/>
          <w:lang w:val="en-US"/>
        </w:rPr>
        <w:t>AUC</w:t>
      </w:r>
      <w:r w:rsidRPr="006F01DD">
        <w:rPr>
          <w:rFonts w:eastAsia="Times New Roman" w:cs="Arial"/>
          <w:color w:val="000000"/>
          <w:lang w:val="ru-RU"/>
        </w:rPr>
        <w:t xml:space="preserve"> </w:t>
      </w:r>
      <w:r w:rsidRPr="006F01DD">
        <w:rPr>
          <w:rFonts w:eastAsia="Times New Roman" w:cs="Arial"/>
          <w:color w:val="000000"/>
          <w:lang w:eastAsia="bg-BG"/>
        </w:rPr>
        <w:t>на диданозин, вариращо от 38 % до 67 %, което потвърждава, че при едновременно приложение на тези лекарства има фармакокинетично взаимодействие. Няма значим ефект върху концентрациите на ганцикловир. Пациентите трябва внимателно да бъдат проследявани за токсичност на диданозин, напр. панкреатит (вж. точка 4.4).</w:t>
      </w:r>
    </w:p>
    <w:p w14:paraId="2EF6040F" w14:textId="77777777" w:rsidR="006F01DD" w:rsidRDefault="006F01DD" w:rsidP="006F01DD">
      <w:pPr>
        <w:spacing w:line="240" w:lineRule="auto"/>
        <w:rPr>
          <w:rFonts w:eastAsia="Times New Roman" w:cs="Arial"/>
          <w:i/>
          <w:iCs/>
          <w:color w:val="000000"/>
          <w:lang w:eastAsia="bg-BG"/>
        </w:rPr>
      </w:pPr>
    </w:p>
    <w:p w14:paraId="5626E853" w14:textId="003C9392" w:rsidR="006F01DD" w:rsidRPr="006F01DD" w:rsidRDefault="006F01DD" w:rsidP="006F01DD">
      <w:pPr>
        <w:spacing w:line="240" w:lineRule="auto"/>
        <w:rPr>
          <w:rFonts w:eastAsia="Times New Roman" w:cs="Arial"/>
        </w:rPr>
      </w:pPr>
      <w:r w:rsidRPr="006F01DD">
        <w:rPr>
          <w:rFonts w:eastAsia="Times New Roman" w:cs="Arial"/>
          <w:i/>
          <w:iCs/>
          <w:color w:val="000000"/>
          <w:lang w:eastAsia="bg-BG"/>
        </w:rPr>
        <w:t>Други антиретровирусни средства</w:t>
      </w:r>
    </w:p>
    <w:p w14:paraId="2DABABB1" w14:textId="77777777" w:rsidR="006F01DD" w:rsidRPr="006F01DD" w:rsidRDefault="006F01DD" w:rsidP="006F01DD">
      <w:pPr>
        <w:spacing w:line="240" w:lineRule="auto"/>
        <w:rPr>
          <w:rFonts w:eastAsia="Times New Roman" w:cs="Arial"/>
        </w:rPr>
      </w:pPr>
      <w:r w:rsidRPr="006F01DD">
        <w:rPr>
          <w:rFonts w:eastAsia="Times New Roman" w:cs="Arial"/>
          <w:color w:val="000000"/>
          <w:lang w:eastAsia="bg-BG"/>
        </w:rPr>
        <w:t>Изоензимите на цитохром Р450 не играят роля във фармакокинетиката на ганцикловир. Поради тази причина не се очакват фармакокинетични взаимодействия с протеазни инхибитори и ненуклеозидни инхибитори на обратната транскриптаза.</w:t>
      </w:r>
    </w:p>
    <w:p w14:paraId="267EB170" w14:textId="77777777" w:rsidR="006F01DD" w:rsidRDefault="006F01DD" w:rsidP="006F01DD">
      <w:pPr>
        <w:spacing w:line="240" w:lineRule="auto"/>
        <w:rPr>
          <w:rFonts w:eastAsia="Times New Roman" w:cs="Arial"/>
          <w:color w:val="000000"/>
          <w:u w:val="single"/>
          <w:lang w:eastAsia="bg-BG"/>
        </w:rPr>
      </w:pPr>
    </w:p>
    <w:p w14:paraId="2DE68297" w14:textId="2F0679E2" w:rsidR="006F01DD" w:rsidRPr="006F01DD" w:rsidRDefault="006F01DD" w:rsidP="006F01DD">
      <w:pPr>
        <w:spacing w:line="240" w:lineRule="auto"/>
        <w:rPr>
          <w:rFonts w:eastAsia="Times New Roman" w:cs="Arial"/>
        </w:rPr>
      </w:pPr>
      <w:r w:rsidRPr="006F01DD">
        <w:rPr>
          <w:rFonts w:eastAsia="Times New Roman" w:cs="Arial"/>
          <w:color w:val="000000"/>
          <w:u w:val="single"/>
          <w:lang w:eastAsia="bg-BG"/>
        </w:rPr>
        <w:t>Фармакодинамични взаимодействия</w:t>
      </w:r>
    </w:p>
    <w:p w14:paraId="7F2C93CC" w14:textId="77777777" w:rsidR="006F01DD" w:rsidRPr="006F01DD" w:rsidRDefault="006F01DD" w:rsidP="006F01DD">
      <w:pPr>
        <w:spacing w:line="240" w:lineRule="auto"/>
        <w:rPr>
          <w:rFonts w:eastAsia="Times New Roman" w:cs="Arial"/>
        </w:rPr>
      </w:pPr>
      <w:r w:rsidRPr="006F01DD">
        <w:rPr>
          <w:rFonts w:eastAsia="Times New Roman" w:cs="Arial"/>
          <w:i/>
          <w:iCs/>
          <w:color w:val="000000"/>
          <w:lang w:eastAsia="bg-BG"/>
        </w:rPr>
        <w:t>Имипенем-циластатин</w:t>
      </w:r>
    </w:p>
    <w:p w14:paraId="6C2EFB1C" w14:textId="77777777" w:rsidR="006F01DD" w:rsidRPr="006F01DD" w:rsidRDefault="006F01DD" w:rsidP="006F01DD">
      <w:pPr>
        <w:spacing w:line="240" w:lineRule="auto"/>
        <w:rPr>
          <w:rFonts w:eastAsia="Times New Roman" w:cs="Arial"/>
        </w:rPr>
      </w:pPr>
      <w:r w:rsidRPr="006F01DD">
        <w:rPr>
          <w:rFonts w:eastAsia="Times New Roman" w:cs="Arial"/>
          <w:color w:val="000000"/>
          <w:lang w:eastAsia="bg-BG"/>
        </w:rPr>
        <w:t>Съобщава се за гърчове при пациенти, приемащи едновременно ганцикловир и имипенем-циластатин. Не може да се изключи фармакодинамично взаимодействие между тези две лекарства. Тези лекарства не трябва да се използват едновременно, освен ако потенциалната полза не надхвърля потенциалния риск (вж. точка 4.4).</w:t>
      </w:r>
    </w:p>
    <w:p w14:paraId="2A48148A" w14:textId="77777777" w:rsidR="006F01DD" w:rsidRDefault="006F01DD" w:rsidP="006F01DD">
      <w:pPr>
        <w:spacing w:line="240" w:lineRule="auto"/>
        <w:rPr>
          <w:rFonts w:eastAsia="Times New Roman" w:cs="Arial"/>
          <w:i/>
          <w:iCs/>
          <w:color w:val="000000"/>
          <w:lang w:eastAsia="bg-BG"/>
        </w:rPr>
      </w:pPr>
    </w:p>
    <w:p w14:paraId="616440B4" w14:textId="6569E376" w:rsidR="006F01DD" w:rsidRPr="006F01DD" w:rsidRDefault="006F01DD" w:rsidP="006F01DD">
      <w:pPr>
        <w:spacing w:line="240" w:lineRule="auto"/>
        <w:rPr>
          <w:rFonts w:eastAsia="Times New Roman" w:cs="Arial"/>
        </w:rPr>
      </w:pPr>
      <w:r w:rsidRPr="006F01DD">
        <w:rPr>
          <w:rFonts w:eastAsia="Times New Roman" w:cs="Arial"/>
          <w:i/>
          <w:iCs/>
          <w:color w:val="000000"/>
          <w:lang w:eastAsia="bg-BG"/>
        </w:rPr>
        <w:t>Зидовудин</w:t>
      </w:r>
    </w:p>
    <w:p w14:paraId="5E132A02" w14:textId="77777777" w:rsidR="006F01DD" w:rsidRPr="006F01DD" w:rsidRDefault="006F01DD" w:rsidP="006F01DD">
      <w:pPr>
        <w:spacing w:line="240" w:lineRule="auto"/>
        <w:rPr>
          <w:rFonts w:eastAsia="Times New Roman" w:cs="Arial"/>
        </w:rPr>
      </w:pPr>
      <w:r w:rsidRPr="006F01DD">
        <w:rPr>
          <w:rFonts w:eastAsia="Times New Roman" w:cs="Arial"/>
          <w:color w:val="000000"/>
          <w:lang w:eastAsia="bg-BG"/>
        </w:rPr>
        <w:t>Зидовудин, както и ганцикловир, могат потенциално да предизвикат неутропения и анемия. По време на едновременно приложение на тези лекарства може да възникне фармакодинамично взаимодействие. Някои пациенти може да не понасът едновременна терапия в пълна доза (вж. точка 4.4).</w:t>
      </w:r>
    </w:p>
    <w:p w14:paraId="41A6F097" w14:textId="77777777" w:rsidR="006F01DD" w:rsidRDefault="006F01DD" w:rsidP="006F01DD">
      <w:pPr>
        <w:spacing w:line="240" w:lineRule="auto"/>
        <w:rPr>
          <w:rFonts w:eastAsia="Times New Roman" w:cs="Arial"/>
          <w:i/>
          <w:iCs/>
          <w:color w:val="000000"/>
          <w:lang w:eastAsia="bg-BG"/>
        </w:rPr>
      </w:pPr>
    </w:p>
    <w:p w14:paraId="203F68CB" w14:textId="2A48B07A" w:rsidR="006F01DD" w:rsidRPr="006F01DD" w:rsidRDefault="006F01DD" w:rsidP="006F01DD">
      <w:pPr>
        <w:spacing w:line="240" w:lineRule="auto"/>
        <w:rPr>
          <w:rFonts w:eastAsia="Times New Roman" w:cs="Arial"/>
        </w:rPr>
      </w:pPr>
      <w:r w:rsidRPr="006F01DD">
        <w:rPr>
          <w:rFonts w:eastAsia="Times New Roman" w:cs="Arial"/>
          <w:i/>
          <w:iCs/>
          <w:color w:val="000000"/>
          <w:lang w:eastAsia="bg-BG"/>
        </w:rPr>
        <w:t>Потенциални лекарствени взаимодействия</w:t>
      </w:r>
    </w:p>
    <w:p w14:paraId="3CCAFB38" w14:textId="77777777" w:rsidR="006F01DD" w:rsidRPr="006F01DD" w:rsidRDefault="006F01DD" w:rsidP="006F01DD">
      <w:pPr>
        <w:rPr>
          <w:rFonts w:ascii="Times New Roman" w:eastAsia="Times New Roman" w:hAnsi="Times New Roman" w:cs="Times New Roman"/>
          <w:sz w:val="24"/>
          <w:szCs w:val="24"/>
        </w:rPr>
      </w:pPr>
      <w:r w:rsidRPr="006F01DD">
        <w:rPr>
          <w:rFonts w:eastAsia="Times New Roman" w:cs="Arial"/>
          <w:color w:val="000000"/>
          <w:lang w:eastAsia="bg-BG"/>
        </w:rPr>
        <w:lastRenderedPageBreak/>
        <w:t>Токсичността може да бъде засилена, когато ганцикловир/валганцикловир се прилага едновременно с</w:t>
      </w:r>
      <w:r w:rsidRPr="006F01DD">
        <w:rPr>
          <w:rFonts w:eastAsia="Times New Roman" w:cs="Arial"/>
          <w:color w:val="000000"/>
          <w:lang w:val="ru-RU" w:eastAsia="bg-BG"/>
        </w:rPr>
        <w:t xml:space="preserve"> </w:t>
      </w:r>
      <w:r w:rsidRPr="006F01DD">
        <w:rPr>
          <w:lang w:eastAsia="bg-BG"/>
        </w:rPr>
        <w:t>други лекарства, за които е известно, че имат миелосупресивно действие или са свързани с бъбречно увреждане. Това включва нуклеозидни (напр. зидовудин, диданозин, ставудин) и нуклеотидни аналози (напр. тенофовир. адефовир), имуносупресори (напр. циклоспорин, такролимус, микофенолат мофетил), антинеопластични средства (напр. доксорубицин, винбластин, винкристин, хидроксиурея) и антиинфекциозни средства (триметоприм/сулфонамиди, дапсон, амфотерицин В, флуцитозин, пентамидин). Поради това едновременното приложение на тези лекарства с валганцикловир трябва да се има предвид, само ако потенциалните ползи надхвърлят потенциалните рискове (вж. точка 4.4).</w:t>
      </w:r>
    </w:p>
    <w:p w14:paraId="2A7FD5AD" w14:textId="3C68BA81" w:rsidR="006F01DD" w:rsidRPr="006F01DD" w:rsidRDefault="006F01DD" w:rsidP="006F01DD">
      <w:pPr>
        <w:rPr>
          <w:rFonts w:cs="Arial"/>
        </w:rPr>
      </w:pPr>
    </w:p>
    <w:p w14:paraId="394A7584" w14:textId="52146025" w:rsidR="004F498A" w:rsidRDefault="002C50EE" w:rsidP="004A448E">
      <w:pPr>
        <w:pStyle w:val="Heading2"/>
      </w:pPr>
      <w:r>
        <w:t>4.6. Фертилитет, бременност и кърмене</w:t>
      </w:r>
    </w:p>
    <w:p w14:paraId="72B94C3F" w14:textId="49AF00CD" w:rsidR="006F01DD" w:rsidRDefault="006F01DD" w:rsidP="006F01DD"/>
    <w:p w14:paraId="253BAB47" w14:textId="77777777" w:rsidR="006F01DD" w:rsidRPr="006F01DD" w:rsidRDefault="006F01DD" w:rsidP="006F01DD">
      <w:pPr>
        <w:spacing w:line="240" w:lineRule="auto"/>
        <w:rPr>
          <w:rFonts w:eastAsia="Times New Roman" w:cs="Arial"/>
        </w:rPr>
      </w:pPr>
      <w:r w:rsidRPr="006F01DD">
        <w:rPr>
          <w:rFonts w:eastAsia="Times New Roman" w:cs="Arial"/>
          <w:color w:val="000000"/>
          <w:u w:val="single"/>
          <w:lang w:eastAsia="bg-BG"/>
        </w:rPr>
        <w:t>Контрацепция при мъже и жени</w:t>
      </w:r>
    </w:p>
    <w:p w14:paraId="7D268480" w14:textId="77777777" w:rsidR="006F01DD" w:rsidRPr="006F01DD" w:rsidRDefault="006F01DD" w:rsidP="006F01DD">
      <w:pPr>
        <w:spacing w:line="240" w:lineRule="auto"/>
        <w:rPr>
          <w:rFonts w:eastAsia="Times New Roman" w:cs="Arial"/>
        </w:rPr>
      </w:pPr>
      <w:r w:rsidRPr="006F01DD">
        <w:rPr>
          <w:rFonts w:eastAsia="Times New Roman" w:cs="Arial"/>
          <w:color w:val="000000"/>
          <w:lang w:eastAsia="bg-BG"/>
        </w:rPr>
        <w:t>Поради потенциала за репродуктивна токсичност и тератогенност, жените в детеродна възраст трябва да бъдат посъветвани да използват ефективна контрацепция по време на лечението и в продължение най-малко на 30 дни след края на лечението. Мъжете трябва да бъдат посъветвани да прилагат бариерен метод на контрацепция по време на и в продължение най-малко на 90 дни след лечение с валганцикловир, освен ако не е сигурно, че не съществува риск за партньорката им да забременее (вж. точки 4.4 и 5.3).</w:t>
      </w:r>
    </w:p>
    <w:p w14:paraId="23C7504F" w14:textId="77777777" w:rsidR="006F01DD" w:rsidRDefault="006F01DD" w:rsidP="006F01DD">
      <w:pPr>
        <w:spacing w:line="240" w:lineRule="auto"/>
        <w:rPr>
          <w:rFonts w:eastAsia="Times New Roman" w:cs="Arial"/>
          <w:color w:val="000000"/>
          <w:u w:val="single"/>
          <w:lang w:eastAsia="bg-BG"/>
        </w:rPr>
      </w:pPr>
    </w:p>
    <w:p w14:paraId="49B62E2B" w14:textId="08D66402" w:rsidR="006F01DD" w:rsidRPr="006F01DD" w:rsidRDefault="006F01DD" w:rsidP="006F01DD">
      <w:pPr>
        <w:spacing w:line="240" w:lineRule="auto"/>
        <w:rPr>
          <w:rFonts w:eastAsia="Times New Roman" w:cs="Arial"/>
        </w:rPr>
      </w:pPr>
      <w:r w:rsidRPr="006F01DD">
        <w:rPr>
          <w:rFonts w:eastAsia="Times New Roman" w:cs="Arial"/>
          <w:color w:val="000000"/>
          <w:u w:val="single"/>
          <w:lang w:eastAsia="bg-BG"/>
        </w:rPr>
        <w:t>Бременност</w:t>
      </w:r>
    </w:p>
    <w:p w14:paraId="6D15F146" w14:textId="77777777" w:rsidR="006F01DD" w:rsidRPr="006F01DD" w:rsidRDefault="006F01DD" w:rsidP="006F01DD">
      <w:pPr>
        <w:spacing w:line="240" w:lineRule="auto"/>
        <w:rPr>
          <w:rFonts w:eastAsia="Times New Roman" w:cs="Arial"/>
        </w:rPr>
      </w:pPr>
      <w:r w:rsidRPr="006F01DD">
        <w:rPr>
          <w:rFonts w:eastAsia="Times New Roman" w:cs="Arial"/>
          <w:color w:val="000000"/>
          <w:lang w:eastAsia="bg-BG"/>
        </w:rPr>
        <w:t>Безопасността на Валцит при употреба при бременни жени не е установена. Активният му метаболит ганцикловир лесно преминава през плацентата при човека. Въз основа на фармакологичния му механизъм на действие и репродуктивна токсичност, наблюдавана при проучванията върху животни с ганцикловир (вж. точка 5.3), може да се приеме, че има теоретичен риск от тератогенност при хора.</w:t>
      </w:r>
    </w:p>
    <w:p w14:paraId="4D845929" w14:textId="77777777" w:rsidR="006F01DD" w:rsidRDefault="006F01DD" w:rsidP="006F01DD">
      <w:pPr>
        <w:spacing w:line="240" w:lineRule="auto"/>
        <w:rPr>
          <w:rFonts w:eastAsia="Times New Roman" w:cs="Arial"/>
          <w:color w:val="000000"/>
          <w:lang w:eastAsia="bg-BG"/>
        </w:rPr>
      </w:pPr>
    </w:p>
    <w:p w14:paraId="7DD5F978" w14:textId="194D8217" w:rsidR="006F01DD" w:rsidRPr="006F01DD" w:rsidRDefault="006F01DD" w:rsidP="006F01DD">
      <w:pPr>
        <w:spacing w:line="240" w:lineRule="auto"/>
        <w:rPr>
          <w:rFonts w:eastAsia="Times New Roman" w:cs="Arial"/>
        </w:rPr>
      </w:pPr>
      <w:r w:rsidRPr="006F01DD">
        <w:rPr>
          <w:rFonts w:eastAsia="Times New Roman" w:cs="Arial"/>
          <w:color w:val="000000"/>
          <w:lang w:eastAsia="bg-BG"/>
        </w:rPr>
        <w:t>Валцит не трябва да се прилага по време на бременност, освен ако терапевтичната полза за майката не надхвърля потенциалния риск от тератогенно увреждане на плода.</w:t>
      </w:r>
    </w:p>
    <w:p w14:paraId="06FE8B64" w14:textId="77777777" w:rsidR="006F01DD" w:rsidRDefault="006F01DD" w:rsidP="006F01DD">
      <w:pPr>
        <w:spacing w:line="240" w:lineRule="auto"/>
        <w:rPr>
          <w:rFonts w:eastAsia="Times New Roman" w:cs="Arial"/>
          <w:color w:val="000000"/>
          <w:u w:val="single"/>
          <w:lang w:eastAsia="bg-BG"/>
        </w:rPr>
      </w:pPr>
    </w:p>
    <w:p w14:paraId="14D0784B" w14:textId="3060A74A" w:rsidR="006F01DD" w:rsidRPr="006F01DD" w:rsidRDefault="006F01DD" w:rsidP="006F01DD">
      <w:pPr>
        <w:spacing w:line="240" w:lineRule="auto"/>
        <w:rPr>
          <w:rFonts w:eastAsia="Times New Roman" w:cs="Arial"/>
        </w:rPr>
      </w:pPr>
      <w:r w:rsidRPr="006F01DD">
        <w:rPr>
          <w:rFonts w:eastAsia="Times New Roman" w:cs="Arial"/>
          <w:color w:val="000000"/>
          <w:u w:val="single"/>
          <w:lang w:eastAsia="bg-BG"/>
        </w:rPr>
        <w:t>Кърмене</w:t>
      </w:r>
    </w:p>
    <w:p w14:paraId="1CA386ED" w14:textId="77777777" w:rsidR="006F01DD" w:rsidRPr="006F01DD" w:rsidRDefault="006F01DD" w:rsidP="006F01DD">
      <w:pPr>
        <w:spacing w:line="240" w:lineRule="auto"/>
        <w:rPr>
          <w:rFonts w:eastAsia="Times New Roman" w:cs="Arial"/>
        </w:rPr>
      </w:pPr>
      <w:r w:rsidRPr="006F01DD">
        <w:rPr>
          <w:rFonts w:eastAsia="Times New Roman" w:cs="Arial"/>
          <w:color w:val="000000"/>
          <w:lang w:eastAsia="bg-BG"/>
        </w:rPr>
        <w:t>Не е известно дали ганцикловир се екскретира в кърмата на човек, но възможността ганцикловир да се екскретира в кърмата и да предизвика сериозни нежелани реакции в кърмачето не може да се отхвърли. Данните при животни показват, че ганцикловир се екскретира в кърмата на кърмещи плъхове. Поради това кърменето трябва да бъде преустановено по време на лечение с валганцикловир(вж. точки 4.3 и 5.3).</w:t>
      </w:r>
    </w:p>
    <w:p w14:paraId="30C539F7" w14:textId="77777777" w:rsidR="006F01DD" w:rsidRDefault="006F01DD" w:rsidP="006F01DD">
      <w:pPr>
        <w:spacing w:line="240" w:lineRule="auto"/>
        <w:rPr>
          <w:rFonts w:eastAsia="Times New Roman" w:cs="Arial"/>
          <w:color w:val="000000"/>
          <w:u w:val="single"/>
          <w:lang w:eastAsia="bg-BG"/>
        </w:rPr>
      </w:pPr>
    </w:p>
    <w:p w14:paraId="487BF5FC" w14:textId="6E363612" w:rsidR="006F01DD" w:rsidRPr="006F01DD" w:rsidRDefault="006F01DD" w:rsidP="006F01DD">
      <w:pPr>
        <w:spacing w:line="240" w:lineRule="auto"/>
        <w:rPr>
          <w:rFonts w:eastAsia="Times New Roman" w:cs="Arial"/>
        </w:rPr>
      </w:pPr>
      <w:r w:rsidRPr="006F01DD">
        <w:rPr>
          <w:rFonts w:eastAsia="Times New Roman" w:cs="Arial"/>
          <w:color w:val="000000"/>
          <w:u w:val="single"/>
          <w:lang w:eastAsia="bg-BG"/>
        </w:rPr>
        <w:t>Фертилитет</w:t>
      </w:r>
    </w:p>
    <w:p w14:paraId="56988DC0" w14:textId="77777777" w:rsidR="006F01DD" w:rsidRPr="006F01DD" w:rsidRDefault="006F01DD" w:rsidP="006F01DD">
      <w:pPr>
        <w:spacing w:line="240" w:lineRule="auto"/>
        <w:rPr>
          <w:rFonts w:eastAsia="Times New Roman" w:cs="Arial"/>
        </w:rPr>
      </w:pPr>
      <w:r w:rsidRPr="006F01DD">
        <w:rPr>
          <w:rFonts w:eastAsia="Times New Roman" w:cs="Arial"/>
          <w:color w:val="000000"/>
          <w:lang w:eastAsia="bg-BG"/>
        </w:rPr>
        <w:t xml:space="preserve">В едно малко клинично проучване с пациенти с бъбречна трансплантация, които се лекуват с Валцит за профилактика на </w:t>
      </w:r>
      <w:r w:rsidRPr="006F01DD">
        <w:rPr>
          <w:rFonts w:eastAsia="Times New Roman" w:cs="Arial"/>
          <w:color w:val="000000"/>
          <w:lang w:val="en-US"/>
        </w:rPr>
        <w:t>CMV</w:t>
      </w:r>
      <w:r w:rsidRPr="006F01DD">
        <w:rPr>
          <w:rFonts w:eastAsia="Times New Roman" w:cs="Arial"/>
          <w:color w:val="000000"/>
          <w:lang w:val="ru-RU"/>
        </w:rPr>
        <w:t xml:space="preserve"> </w:t>
      </w:r>
      <w:r w:rsidRPr="006F01DD">
        <w:rPr>
          <w:rFonts w:eastAsia="Times New Roman" w:cs="Arial"/>
          <w:color w:val="000000"/>
          <w:lang w:eastAsia="bg-BG"/>
        </w:rPr>
        <w:t>в продължение на до 200 дни се наблюдава влияние на валганцикловир върху сперматогенезата, с понижена плътност на спермата и подвижност, измерени след края на лечението. Този ефект изглежда обратим и приблизително 6 месеца след преустановяване на Валцит, средната плътност на спермата и подвижността са възстановени до нива сравними с тези наблюдавани в нелекуваната контролна група.</w:t>
      </w:r>
    </w:p>
    <w:p w14:paraId="3FF43BD8" w14:textId="77777777" w:rsidR="006F01DD" w:rsidRDefault="006F01DD" w:rsidP="006F01DD">
      <w:pPr>
        <w:spacing w:line="240" w:lineRule="auto"/>
        <w:rPr>
          <w:rFonts w:eastAsia="Times New Roman" w:cs="Arial"/>
          <w:color w:val="000000"/>
          <w:lang w:eastAsia="bg-BG"/>
        </w:rPr>
      </w:pPr>
    </w:p>
    <w:p w14:paraId="3582EA59" w14:textId="695D6B8F" w:rsidR="006F01DD" w:rsidRPr="006F01DD" w:rsidRDefault="006F01DD" w:rsidP="006F01DD">
      <w:pPr>
        <w:spacing w:line="240" w:lineRule="auto"/>
        <w:rPr>
          <w:rFonts w:eastAsia="Times New Roman" w:cs="Arial"/>
        </w:rPr>
      </w:pPr>
      <w:r w:rsidRPr="006F01DD">
        <w:rPr>
          <w:rFonts w:eastAsia="Times New Roman" w:cs="Arial"/>
          <w:color w:val="000000"/>
          <w:lang w:eastAsia="bg-BG"/>
        </w:rPr>
        <w:lastRenderedPageBreak/>
        <w:t>При проучвания при животни ганцикловир уврежда фертилитета при мъжки и женски мишки, като е показал вероятност за инхибиране на сперматогенезата и индуциране на атрофия на тестисите при мишки, плъхове и кучета в дози, считани за клинично значими.</w:t>
      </w:r>
    </w:p>
    <w:p w14:paraId="3B2A5EC1" w14:textId="77777777" w:rsidR="006F01DD" w:rsidRDefault="006F01DD" w:rsidP="006F01DD">
      <w:pPr>
        <w:spacing w:line="240" w:lineRule="auto"/>
        <w:rPr>
          <w:rFonts w:eastAsia="Times New Roman" w:cs="Arial"/>
          <w:color w:val="000000"/>
          <w:lang w:eastAsia="bg-BG"/>
        </w:rPr>
      </w:pPr>
    </w:p>
    <w:p w14:paraId="7A652BE0" w14:textId="17A8A0B8" w:rsidR="006F01DD" w:rsidRPr="006F01DD" w:rsidRDefault="006F01DD" w:rsidP="006F01DD">
      <w:pPr>
        <w:spacing w:line="240" w:lineRule="auto"/>
        <w:rPr>
          <w:rFonts w:eastAsia="Times New Roman" w:cs="Arial"/>
        </w:rPr>
      </w:pPr>
      <w:r w:rsidRPr="006F01DD">
        <w:rPr>
          <w:rFonts w:eastAsia="Times New Roman" w:cs="Arial"/>
          <w:color w:val="000000"/>
          <w:lang w:eastAsia="bg-BG"/>
        </w:rPr>
        <w:t>Въз основа на клинични и неклинични проучвания се счита, че има вероятност ганцикловир (и валганцикловир) да предизвика временно или трайно инхибиране на сперматогенезата при хора (вж. точка 4.4 и 5.3).</w:t>
      </w:r>
    </w:p>
    <w:p w14:paraId="59BE924F" w14:textId="77777777" w:rsidR="006F01DD" w:rsidRPr="006F01DD" w:rsidRDefault="006F01DD" w:rsidP="006F01DD"/>
    <w:p w14:paraId="064DF1DE" w14:textId="6381D685" w:rsidR="00CF77F7" w:rsidRDefault="002C50EE" w:rsidP="004A448E">
      <w:pPr>
        <w:pStyle w:val="Heading2"/>
      </w:pPr>
      <w:r>
        <w:t>4.7. Ефекти върху способността за шофиране и работа с машини</w:t>
      </w:r>
    </w:p>
    <w:p w14:paraId="070FA64E" w14:textId="7E6BA6B8" w:rsidR="006F01DD" w:rsidRDefault="006F01DD" w:rsidP="006F01DD"/>
    <w:p w14:paraId="02E7DD61" w14:textId="6DB48269" w:rsidR="006F01DD" w:rsidRDefault="006F01DD" w:rsidP="006F01DD">
      <w:r>
        <w:t>Не са провеждани проучвания на ефектите върху способността за шофиране и работа с малцини.</w:t>
      </w:r>
    </w:p>
    <w:p w14:paraId="40FBDFF2" w14:textId="19CB0CAD" w:rsidR="006F01DD" w:rsidRDefault="006F01DD" w:rsidP="006F01DD"/>
    <w:p w14:paraId="1DB20072" w14:textId="434CB5A3" w:rsidR="006F01DD" w:rsidRDefault="006F01DD" w:rsidP="006F01DD">
      <w:r>
        <w:t>При употребата на Валцит и/или ганцикловир се съобщава за нежелани реакции като гърчове, замайване и объркване. Ако възникнат, тези ефекти може да повлияят изпълнението на задачи, изискващи бдителност, включително способността на пациентите за шофиране и работа с машини.</w:t>
      </w:r>
    </w:p>
    <w:p w14:paraId="70E11623" w14:textId="77777777" w:rsidR="006F01DD" w:rsidRPr="006F01DD" w:rsidRDefault="006F01DD" w:rsidP="006F01DD"/>
    <w:p w14:paraId="37A3FD9F" w14:textId="061B3A73" w:rsidR="00CF77F7" w:rsidRDefault="002C50EE" w:rsidP="004A448E">
      <w:pPr>
        <w:pStyle w:val="Heading2"/>
      </w:pPr>
      <w:r>
        <w:t>4.8. Нежелани лекарствени реакции</w:t>
      </w:r>
    </w:p>
    <w:p w14:paraId="5D9DF976" w14:textId="1077F9BD" w:rsidR="006F01DD" w:rsidRDefault="006F01DD" w:rsidP="006F01DD"/>
    <w:p w14:paraId="6AFE92FB" w14:textId="3ABA2008" w:rsidR="006F01DD" w:rsidRPr="006F01DD" w:rsidRDefault="006F01DD" w:rsidP="006F01DD">
      <w:pPr>
        <w:pStyle w:val="ListParagraph"/>
        <w:numPr>
          <w:ilvl w:val="0"/>
          <w:numId w:val="35"/>
        </w:numPr>
        <w:spacing w:line="240" w:lineRule="auto"/>
        <w:rPr>
          <w:rFonts w:eastAsia="Times New Roman" w:cs="Arial"/>
          <w:b/>
          <w:bCs/>
          <w:i/>
          <w:iCs/>
          <w:color w:val="000000"/>
          <w:lang w:eastAsia="bg-BG"/>
        </w:rPr>
      </w:pPr>
      <w:r w:rsidRPr="006F01DD">
        <w:rPr>
          <w:rFonts w:eastAsia="Times New Roman" w:cs="Arial"/>
          <w:b/>
          <w:bCs/>
          <w:i/>
          <w:iCs/>
          <w:color w:val="000000"/>
          <w:lang w:eastAsia="bg-BG"/>
        </w:rPr>
        <w:t>Резюме на профила на безопасност</w:t>
      </w:r>
    </w:p>
    <w:p w14:paraId="3BEBAB52" w14:textId="77777777" w:rsidR="006F01DD" w:rsidRDefault="006F01DD" w:rsidP="006F01DD">
      <w:pPr>
        <w:spacing w:line="240" w:lineRule="auto"/>
        <w:rPr>
          <w:rFonts w:eastAsia="Times New Roman" w:cs="Arial"/>
          <w:color w:val="000000"/>
          <w:lang w:eastAsia="bg-BG"/>
        </w:rPr>
      </w:pPr>
    </w:p>
    <w:p w14:paraId="4359A404" w14:textId="25835F4C" w:rsidR="006F01DD" w:rsidRPr="006F01DD" w:rsidRDefault="006F01DD" w:rsidP="006F01DD">
      <w:pPr>
        <w:spacing w:line="240" w:lineRule="auto"/>
        <w:rPr>
          <w:rFonts w:eastAsia="Times New Roman" w:cs="Arial"/>
        </w:rPr>
      </w:pPr>
      <w:r w:rsidRPr="006F01DD">
        <w:rPr>
          <w:rFonts w:eastAsia="Times New Roman" w:cs="Arial"/>
          <w:color w:val="000000"/>
          <w:lang w:eastAsia="bg-BG"/>
        </w:rPr>
        <w:t xml:space="preserve">Валганцикловир е прекурсор на ганцикловир, който след перорално приложение бързо и в голяма степен се метаболизира до ганцикловир. Може да се очакват нежеланите реакции, свързани с употребата на ганцикловир, да възникнат при валганцикловир. Всички нежелани лекарствени реакции, наблюдавани по време на клиничните проучвания с валганцикловир, преди това са били наблюдавани с ганцикловир. Поради това нежеланите лекарствени реакции, съобщени при приложение на </w:t>
      </w:r>
      <w:r w:rsidRPr="006F01DD">
        <w:rPr>
          <w:rFonts w:eastAsia="Times New Roman" w:cs="Arial"/>
          <w:color w:val="000000"/>
          <w:lang w:val="en-US"/>
        </w:rPr>
        <w:t>i</w:t>
      </w:r>
      <w:r w:rsidRPr="006F01DD">
        <w:rPr>
          <w:rFonts w:eastAsia="Times New Roman" w:cs="Arial"/>
          <w:color w:val="000000"/>
          <w:lang w:val="ru-RU"/>
        </w:rPr>
        <w:t>.</w:t>
      </w:r>
      <w:r w:rsidRPr="006F01DD">
        <w:rPr>
          <w:rFonts w:eastAsia="Times New Roman" w:cs="Arial"/>
          <w:color w:val="000000"/>
          <w:lang w:val="en-US"/>
        </w:rPr>
        <w:t>v</w:t>
      </w:r>
      <w:r w:rsidRPr="006F01DD">
        <w:rPr>
          <w:rFonts w:eastAsia="Times New Roman" w:cs="Arial"/>
          <w:color w:val="000000"/>
          <w:lang w:val="ru-RU"/>
        </w:rPr>
        <w:t xml:space="preserve">. </w:t>
      </w:r>
      <w:r w:rsidRPr="006F01DD">
        <w:rPr>
          <w:rFonts w:eastAsia="Times New Roman" w:cs="Arial"/>
          <w:color w:val="000000"/>
          <w:lang w:eastAsia="bg-BG"/>
        </w:rPr>
        <w:t>или перорален ганцикловир (лекарствена форма, която вече не се произвежда) или на валганцикловир, са включени в таблицата на нежеланите лекарствени реакции по-долу.</w:t>
      </w:r>
    </w:p>
    <w:p w14:paraId="4A3FE900" w14:textId="77777777" w:rsidR="006F01DD" w:rsidRDefault="006F01DD" w:rsidP="006F01DD">
      <w:pPr>
        <w:spacing w:line="240" w:lineRule="auto"/>
        <w:rPr>
          <w:rFonts w:eastAsia="Times New Roman" w:cs="Arial"/>
          <w:color w:val="000000"/>
          <w:lang w:eastAsia="bg-BG"/>
        </w:rPr>
      </w:pPr>
    </w:p>
    <w:p w14:paraId="60F5F89B" w14:textId="5B1831EB" w:rsidR="006F01DD" w:rsidRPr="006F01DD" w:rsidRDefault="006F01DD" w:rsidP="006F01DD">
      <w:pPr>
        <w:spacing w:line="240" w:lineRule="auto"/>
        <w:rPr>
          <w:rFonts w:eastAsia="Times New Roman" w:cs="Arial"/>
        </w:rPr>
      </w:pPr>
      <w:r w:rsidRPr="006F01DD">
        <w:rPr>
          <w:rFonts w:eastAsia="Times New Roman" w:cs="Arial"/>
          <w:color w:val="000000"/>
          <w:lang w:eastAsia="bg-BG"/>
        </w:rPr>
        <w:t>При пациенти, лекувани с валганцикловир/ганцикловир, най-сериозните и чести нежелани лекарствени реакции са хематологичните реакции и те включват неутропения, анемия и тромбоцитопения - вижте точка 4.4.</w:t>
      </w:r>
    </w:p>
    <w:p w14:paraId="28ED7388" w14:textId="77777777" w:rsidR="006F01DD" w:rsidRDefault="006F01DD" w:rsidP="006F01DD">
      <w:pPr>
        <w:spacing w:line="240" w:lineRule="auto"/>
        <w:rPr>
          <w:rFonts w:eastAsia="Times New Roman" w:cs="Arial"/>
          <w:color w:val="000000"/>
          <w:lang w:eastAsia="bg-BG"/>
        </w:rPr>
      </w:pPr>
    </w:p>
    <w:p w14:paraId="574F3344" w14:textId="10DA7CAB" w:rsidR="006F01DD" w:rsidRPr="006F01DD" w:rsidRDefault="006F01DD" w:rsidP="006F01DD">
      <w:pPr>
        <w:spacing w:line="240" w:lineRule="auto"/>
        <w:rPr>
          <w:rFonts w:eastAsia="Times New Roman" w:cs="Arial"/>
        </w:rPr>
      </w:pPr>
      <w:r w:rsidRPr="006F01DD">
        <w:rPr>
          <w:rFonts w:eastAsia="Times New Roman" w:cs="Arial"/>
          <w:color w:val="000000"/>
          <w:lang w:eastAsia="bg-BG"/>
        </w:rPr>
        <w:t>Честотите, представени в таблицата на нежеланите реакции, са получени от сборна популация пациенти (</w:t>
      </w:r>
      <w:r w:rsidRPr="006F01DD">
        <w:rPr>
          <w:rFonts w:eastAsia="Times New Roman" w:cs="Arial"/>
          <w:color w:val="000000"/>
          <w:lang w:val="en-US"/>
        </w:rPr>
        <w:t>n</w:t>
      </w:r>
      <w:r w:rsidRPr="006F01DD">
        <w:rPr>
          <w:rFonts w:eastAsia="Times New Roman" w:cs="Arial"/>
          <w:color w:val="000000"/>
          <w:lang w:val="ru-RU"/>
        </w:rPr>
        <w:t>=</w:t>
      </w:r>
      <w:r w:rsidRPr="006F01DD">
        <w:rPr>
          <w:rFonts w:eastAsia="Times New Roman" w:cs="Arial"/>
          <w:color w:val="000000"/>
          <w:lang w:eastAsia="bg-BG"/>
        </w:rPr>
        <w:t>1</w:t>
      </w:r>
      <w:r w:rsidRPr="006F01DD">
        <w:rPr>
          <w:rFonts w:eastAsia="Times New Roman" w:cs="Arial"/>
          <w:color w:val="000000"/>
          <w:lang w:val="ru-RU"/>
        </w:rPr>
        <w:t xml:space="preserve"> </w:t>
      </w:r>
      <w:r w:rsidRPr="006F01DD">
        <w:rPr>
          <w:rFonts w:eastAsia="Times New Roman" w:cs="Arial"/>
          <w:color w:val="000000"/>
          <w:lang w:eastAsia="bg-BG"/>
        </w:rPr>
        <w:t xml:space="preserve">704), получавали поддържаща терапия с ганцикловир или валганцикловир. Изключение правят анафилактнчна реакция, агранулоцитоза и гранулоцитопения, чиито честоти са получени от постмаркетинговия опит. Нежеланите реакции са изброени съгласно системата </w:t>
      </w:r>
      <w:r w:rsidRPr="006F01DD">
        <w:rPr>
          <w:rFonts w:eastAsia="Times New Roman" w:cs="Arial"/>
          <w:color w:val="000000"/>
          <w:lang w:val="en-US"/>
        </w:rPr>
        <w:t>MedDRA</w:t>
      </w:r>
      <w:r w:rsidRPr="006F01DD">
        <w:rPr>
          <w:rFonts w:eastAsia="Times New Roman" w:cs="Arial"/>
          <w:color w:val="000000"/>
          <w:lang w:val="ru-RU"/>
        </w:rPr>
        <w:t xml:space="preserve"> </w:t>
      </w:r>
      <w:r w:rsidRPr="006F01DD">
        <w:rPr>
          <w:rFonts w:eastAsia="Times New Roman" w:cs="Arial"/>
          <w:color w:val="000000"/>
          <w:lang w:eastAsia="bg-BG"/>
        </w:rPr>
        <w:t>по системо- органен клас. Категориите честоти са определени в съотвествие със следната конвенция: много чести (≥ 1/10), чести (≥ 1/100 до &lt; 1/10), нечести (≥ 1/1 000 до &lt; 1/100), редки (≥ 1/10 000 до &lt; 1/1000) и много редки (&lt; 1/10 000).</w:t>
      </w:r>
    </w:p>
    <w:p w14:paraId="1D1997EC" w14:textId="77777777" w:rsidR="006F01DD" w:rsidRDefault="006F01DD" w:rsidP="006F01DD">
      <w:pPr>
        <w:spacing w:line="240" w:lineRule="auto"/>
        <w:rPr>
          <w:rFonts w:eastAsia="Times New Roman" w:cs="Arial"/>
          <w:color w:val="000000"/>
          <w:lang w:eastAsia="bg-BG"/>
        </w:rPr>
      </w:pPr>
    </w:p>
    <w:p w14:paraId="146E9332" w14:textId="3875DFDB" w:rsidR="006F01DD" w:rsidRPr="006F01DD" w:rsidRDefault="006F01DD" w:rsidP="006F01DD">
      <w:pPr>
        <w:spacing w:line="240" w:lineRule="auto"/>
        <w:rPr>
          <w:rFonts w:eastAsia="Times New Roman" w:cs="Arial"/>
        </w:rPr>
      </w:pPr>
      <w:r w:rsidRPr="006F01DD">
        <w:rPr>
          <w:rFonts w:eastAsia="Times New Roman" w:cs="Arial"/>
          <w:color w:val="000000"/>
          <w:lang w:eastAsia="bg-BG"/>
        </w:rPr>
        <w:t xml:space="preserve">Общият профил на безопасност на ганцикловир/валганцикловир съответства при популациите с </w:t>
      </w:r>
      <w:r w:rsidRPr="006F01DD">
        <w:rPr>
          <w:rFonts w:eastAsia="Times New Roman" w:cs="Arial"/>
          <w:color w:val="000000"/>
          <w:lang w:val="en-US"/>
        </w:rPr>
        <w:t>HIV</w:t>
      </w:r>
      <w:r w:rsidRPr="006F01DD">
        <w:rPr>
          <w:rFonts w:eastAsia="Times New Roman" w:cs="Arial"/>
          <w:color w:val="000000"/>
          <w:lang w:val="ru-RU"/>
        </w:rPr>
        <w:t xml:space="preserve"> </w:t>
      </w:r>
      <w:r w:rsidRPr="006F01DD">
        <w:rPr>
          <w:rFonts w:eastAsia="Times New Roman" w:cs="Arial"/>
          <w:color w:val="000000"/>
          <w:lang w:eastAsia="bg-BG"/>
        </w:rPr>
        <w:t xml:space="preserve">и с трансплантация с изключение на отлепването на ретината, което се съобщава само при пациенти с </w:t>
      </w:r>
      <w:r w:rsidRPr="006F01DD">
        <w:rPr>
          <w:rFonts w:eastAsia="Times New Roman" w:cs="Arial"/>
          <w:color w:val="000000"/>
          <w:lang w:val="en-US"/>
        </w:rPr>
        <w:t>CMV</w:t>
      </w:r>
      <w:r w:rsidRPr="006F01DD">
        <w:rPr>
          <w:rFonts w:eastAsia="Times New Roman" w:cs="Arial"/>
          <w:color w:val="000000"/>
          <w:lang w:val="ru-RU"/>
        </w:rPr>
        <w:t xml:space="preserve"> </w:t>
      </w:r>
      <w:r w:rsidRPr="006F01DD">
        <w:rPr>
          <w:rFonts w:eastAsia="Times New Roman" w:cs="Arial"/>
          <w:color w:val="000000"/>
          <w:lang w:eastAsia="bg-BG"/>
        </w:rPr>
        <w:t xml:space="preserve">ретинит. Има обаче известни разлики в честотата на някои реакции. Валганцикловир е свързан с по-висок риск от диария в сравнение с интравенозен ганцикловир. Пирексия, инфекции с </w:t>
      </w:r>
      <w:r w:rsidRPr="006F01DD">
        <w:rPr>
          <w:rFonts w:eastAsia="Times New Roman" w:cs="Arial"/>
          <w:b/>
          <w:bCs/>
          <w:i/>
          <w:iCs/>
          <w:color w:val="000000"/>
          <w:lang w:val="en-US"/>
        </w:rPr>
        <w:t>Candida</w:t>
      </w:r>
      <w:r w:rsidRPr="006F01DD">
        <w:rPr>
          <w:rFonts w:eastAsia="Times New Roman" w:cs="Arial"/>
          <w:b/>
          <w:bCs/>
          <w:i/>
          <w:iCs/>
          <w:color w:val="000000"/>
          <w:lang w:val="ru-RU"/>
        </w:rPr>
        <w:t xml:space="preserve">, </w:t>
      </w:r>
      <w:r w:rsidRPr="006F01DD">
        <w:rPr>
          <w:rFonts w:eastAsia="Times New Roman" w:cs="Arial"/>
          <w:color w:val="000000"/>
          <w:lang w:eastAsia="bg-BG"/>
        </w:rPr>
        <w:t xml:space="preserve">депресия, тежка неутропения </w:t>
      </w:r>
      <w:r w:rsidRPr="006F01DD">
        <w:rPr>
          <w:rFonts w:eastAsia="Times New Roman" w:cs="Arial"/>
          <w:color w:val="000000"/>
          <w:lang w:val="ru-RU"/>
        </w:rPr>
        <w:lastRenderedPageBreak/>
        <w:t>(</w:t>
      </w:r>
      <w:r w:rsidRPr="006F01DD">
        <w:rPr>
          <w:rFonts w:eastAsia="Times New Roman" w:cs="Arial"/>
          <w:color w:val="000000"/>
          <w:lang w:val="en-US"/>
        </w:rPr>
        <w:t>ANC</w:t>
      </w:r>
      <w:r w:rsidRPr="006F01DD">
        <w:rPr>
          <w:rFonts w:eastAsia="Times New Roman" w:cs="Arial"/>
          <w:color w:val="000000"/>
          <w:lang w:val="ru-RU"/>
        </w:rPr>
        <w:t xml:space="preserve"> </w:t>
      </w:r>
      <w:r w:rsidRPr="006F01DD">
        <w:rPr>
          <w:rFonts w:eastAsia="Times New Roman" w:cs="Arial"/>
          <w:color w:val="000000"/>
          <w:lang w:eastAsia="bg-BG"/>
        </w:rPr>
        <w:t xml:space="preserve">&lt; </w:t>
      </w:r>
      <w:r w:rsidRPr="006F01DD">
        <w:rPr>
          <w:rFonts w:eastAsia="Times New Roman" w:cs="Arial"/>
          <w:color w:val="000000"/>
          <w:lang w:val="ru-RU"/>
        </w:rPr>
        <w:t>500/</w:t>
      </w:r>
      <w:r w:rsidRPr="006F01DD">
        <w:rPr>
          <w:rFonts w:eastAsia="Times New Roman" w:cs="Arial"/>
          <w:color w:val="000000"/>
          <w:lang w:eastAsia="bg-BG"/>
        </w:rPr>
        <w:t>μ</w:t>
      </w:r>
      <w:r w:rsidRPr="006F01DD">
        <w:rPr>
          <w:rFonts w:eastAsia="Times New Roman" w:cs="Arial"/>
          <w:color w:val="000000"/>
          <w:lang w:val="en-US"/>
        </w:rPr>
        <w:t>L</w:t>
      </w:r>
      <w:r w:rsidRPr="006F01DD">
        <w:rPr>
          <w:rFonts w:eastAsia="Times New Roman" w:cs="Arial"/>
          <w:color w:val="000000"/>
          <w:lang w:val="ru-RU"/>
        </w:rPr>
        <w:t xml:space="preserve">) </w:t>
      </w:r>
      <w:r w:rsidRPr="006F01DD">
        <w:rPr>
          <w:rFonts w:eastAsia="Times New Roman" w:cs="Arial"/>
          <w:color w:val="000000"/>
          <w:lang w:eastAsia="bg-BG"/>
        </w:rPr>
        <w:t xml:space="preserve">и кожни реакции се съобщават по-често при пациенти с </w:t>
      </w:r>
      <w:r w:rsidRPr="006F01DD">
        <w:rPr>
          <w:rFonts w:eastAsia="Times New Roman" w:cs="Arial"/>
          <w:color w:val="000000"/>
          <w:lang w:val="en-US"/>
        </w:rPr>
        <w:t>HIV</w:t>
      </w:r>
      <w:r w:rsidRPr="006F01DD">
        <w:rPr>
          <w:rFonts w:eastAsia="Times New Roman" w:cs="Arial"/>
          <w:color w:val="000000"/>
          <w:lang w:val="ru-RU"/>
        </w:rPr>
        <w:t xml:space="preserve">. </w:t>
      </w:r>
      <w:r w:rsidRPr="006F01DD">
        <w:rPr>
          <w:rFonts w:eastAsia="Times New Roman" w:cs="Arial"/>
          <w:color w:val="000000"/>
          <w:lang w:eastAsia="bg-BG"/>
        </w:rPr>
        <w:t>Бъбречна и чернодробна дисфункция се съобщава по-често при реципиенти на органни трансплантати.</w:t>
      </w:r>
    </w:p>
    <w:p w14:paraId="0655B1C4" w14:textId="77777777" w:rsidR="006F01DD" w:rsidRDefault="006F01DD" w:rsidP="006F01DD">
      <w:pPr>
        <w:spacing w:line="240" w:lineRule="auto"/>
        <w:rPr>
          <w:rFonts w:eastAsia="Times New Roman" w:cs="Arial"/>
          <w:b/>
          <w:bCs/>
          <w:i/>
          <w:iCs/>
          <w:color w:val="000000"/>
          <w:lang w:eastAsia="bg-BG"/>
        </w:rPr>
      </w:pPr>
    </w:p>
    <w:p w14:paraId="71119052" w14:textId="0B011214" w:rsidR="006F01DD" w:rsidRPr="006F01DD" w:rsidRDefault="006F01DD" w:rsidP="006F01DD">
      <w:pPr>
        <w:pStyle w:val="ListParagraph"/>
        <w:numPr>
          <w:ilvl w:val="0"/>
          <w:numId w:val="35"/>
        </w:numPr>
        <w:spacing w:line="240" w:lineRule="auto"/>
        <w:rPr>
          <w:rFonts w:eastAsia="Times New Roman" w:cs="Arial"/>
          <w:b/>
          <w:bCs/>
          <w:i/>
          <w:iCs/>
          <w:color w:val="000000"/>
          <w:lang w:eastAsia="bg-BG"/>
        </w:rPr>
      </w:pPr>
      <w:r w:rsidRPr="006F01DD">
        <w:rPr>
          <w:rFonts w:eastAsia="Times New Roman" w:cs="Arial"/>
          <w:b/>
          <w:bCs/>
          <w:i/>
          <w:iCs/>
          <w:color w:val="000000"/>
          <w:lang w:eastAsia="bg-BG"/>
        </w:rPr>
        <w:t>Списък на нежеланите лекарствени реакции в табличен вид</w:t>
      </w:r>
    </w:p>
    <w:p w14:paraId="65B48147" w14:textId="4E3558D1" w:rsidR="006F01DD" w:rsidRDefault="006F01DD" w:rsidP="006F01DD"/>
    <w:tbl>
      <w:tblPr>
        <w:tblStyle w:val="TableGrid"/>
        <w:tblW w:w="0" w:type="auto"/>
        <w:tblLook w:val="04A0" w:firstRow="1" w:lastRow="0" w:firstColumn="1" w:lastColumn="0" w:noHBand="0" w:noVBand="1"/>
      </w:tblPr>
      <w:tblGrid>
        <w:gridCol w:w="4697"/>
        <w:gridCol w:w="4653"/>
      </w:tblGrid>
      <w:tr w:rsidR="006F01DD" w14:paraId="18602F7F" w14:textId="77777777" w:rsidTr="006F01DD">
        <w:tc>
          <w:tcPr>
            <w:tcW w:w="4788" w:type="dxa"/>
            <w:vAlign w:val="bottom"/>
          </w:tcPr>
          <w:p w14:paraId="7C348D0D" w14:textId="77777777" w:rsidR="006F01DD" w:rsidRPr="006F01DD" w:rsidRDefault="006F01DD" w:rsidP="006F01DD">
            <w:r w:rsidRPr="006F01DD">
              <w:rPr>
                <w:b/>
                <w:bCs/>
              </w:rPr>
              <w:t>НЛР</w:t>
            </w:r>
          </w:p>
          <w:p w14:paraId="07141513" w14:textId="77777777" w:rsidR="006F01DD" w:rsidRPr="006F01DD" w:rsidRDefault="006F01DD" w:rsidP="006F01DD">
            <w:r w:rsidRPr="006F01DD">
              <w:rPr>
                <w:b/>
                <w:bCs/>
                <w:lang w:val="ru-RU"/>
              </w:rPr>
              <w:t>(</w:t>
            </w:r>
            <w:r w:rsidRPr="006F01DD">
              <w:rPr>
                <w:b/>
                <w:bCs/>
                <w:lang w:val="en-US"/>
              </w:rPr>
              <w:t>MedDRA</w:t>
            </w:r>
            <w:r w:rsidRPr="006F01DD">
              <w:rPr>
                <w:b/>
                <w:bCs/>
                <w:lang w:val="ru-RU"/>
              </w:rPr>
              <w:t>)</w:t>
            </w:r>
          </w:p>
          <w:p w14:paraId="5582DF8B" w14:textId="28793C5E" w:rsidR="006F01DD" w:rsidRPr="006F01DD" w:rsidRDefault="006F01DD" w:rsidP="006F01DD">
            <w:r w:rsidRPr="006F01DD">
              <w:rPr>
                <w:b/>
                <w:bCs/>
              </w:rPr>
              <w:t>Системо-органен клас</w:t>
            </w:r>
          </w:p>
        </w:tc>
        <w:tc>
          <w:tcPr>
            <w:tcW w:w="4788" w:type="dxa"/>
          </w:tcPr>
          <w:p w14:paraId="18C6A978" w14:textId="4E0D9A0B" w:rsidR="006F01DD" w:rsidRPr="006F01DD" w:rsidRDefault="006F01DD" w:rsidP="006F01DD">
            <w:r w:rsidRPr="006F01DD">
              <w:rPr>
                <w:b/>
                <w:bCs/>
              </w:rPr>
              <w:t>Категория честота</w:t>
            </w:r>
          </w:p>
        </w:tc>
      </w:tr>
      <w:tr w:rsidR="006F01DD" w14:paraId="79AC5A29" w14:textId="77777777" w:rsidTr="006F01DD">
        <w:tc>
          <w:tcPr>
            <w:tcW w:w="9576" w:type="dxa"/>
            <w:gridSpan w:val="2"/>
          </w:tcPr>
          <w:p w14:paraId="642EFCFD" w14:textId="6FA4297F" w:rsidR="006F01DD" w:rsidRPr="006F01DD" w:rsidRDefault="006F01DD" w:rsidP="006F01DD">
            <w:r w:rsidRPr="006F01DD">
              <w:rPr>
                <w:b/>
                <w:bCs/>
                <w:i/>
                <w:iCs/>
              </w:rPr>
              <w:t>Инфекции и инфестации:</w:t>
            </w:r>
          </w:p>
        </w:tc>
      </w:tr>
      <w:tr w:rsidR="006F01DD" w14:paraId="5A8B3667" w14:textId="77777777" w:rsidTr="006F01DD">
        <w:tc>
          <w:tcPr>
            <w:tcW w:w="4788" w:type="dxa"/>
          </w:tcPr>
          <w:p w14:paraId="640BD872" w14:textId="52908F0C" w:rsidR="006F01DD" w:rsidRPr="006F01DD" w:rsidRDefault="006F01DD" w:rsidP="006F01DD">
            <w:r w:rsidRPr="006F01DD">
              <w:t xml:space="preserve">Инфекции с </w:t>
            </w:r>
            <w:r w:rsidRPr="006F01DD">
              <w:rPr>
                <w:b/>
                <w:bCs/>
                <w:i/>
                <w:iCs/>
                <w:lang w:val="en-US"/>
              </w:rPr>
              <w:t>Candida</w:t>
            </w:r>
            <w:r w:rsidRPr="006F01DD">
              <w:rPr>
                <w:b/>
                <w:bCs/>
                <w:i/>
                <w:iCs/>
                <w:lang w:val="ru-RU"/>
              </w:rPr>
              <w:t>,</w:t>
            </w:r>
            <w:r w:rsidRPr="006F01DD">
              <w:rPr>
                <w:lang w:val="ru-RU"/>
              </w:rPr>
              <w:t xml:space="preserve"> </w:t>
            </w:r>
            <w:r w:rsidRPr="006F01DD">
              <w:t>включително орална кандидоза.</w:t>
            </w:r>
          </w:p>
        </w:tc>
        <w:tc>
          <w:tcPr>
            <w:tcW w:w="4788" w:type="dxa"/>
          </w:tcPr>
          <w:p w14:paraId="357B6980" w14:textId="0ECCA3B1" w:rsidR="006F01DD" w:rsidRPr="006F01DD" w:rsidRDefault="006F01DD" w:rsidP="006F01DD">
            <w:r w:rsidRPr="006F01DD">
              <w:t>Много чести</w:t>
            </w:r>
          </w:p>
        </w:tc>
      </w:tr>
      <w:tr w:rsidR="006F01DD" w14:paraId="5817FED5" w14:textId="77777777" w:rsidTr="006F01DD">
        <w:tc>
          <w:tcPr>
            <w:tcW w:w="4788" w:type="dxa"/>
          </w:tcPr>
          <w:p w14:paraId="29B304A1" w14:textId="5BB07918" w:rsidR="006F01DD" w:rsidRPr="006F01DD" w:rsidRDefault="006F01DD" w:rsidP="006F01DD">
            <w:r w:rsidRPr="006F01DD">
              <w:t>Инфекция на горните дихателни пътища</w:t>
            </w:r>
          </w:p>
        </w:tc>
        <w:tc>
          <w:tcPr>
            <w:tcW w:w="4788" w:type="dxa"/>
          </w:tcPr>
          <w:p w14:paraId="53C56DF4" w14:textId="77777777" w:rsidR="006F01DD" w:rsidRPr="006F01DD" w:rsidRDefault="006F01DD" w:rsidP="006F01DD"/>
        </w:tc>
      </w:tr>
      <w:tr w:rsidR="006F01DD" w14:paraId="2742F86F" w14:textId="77777777" w:rsidTr="006F01DD">
        <w:tc>
          <w:tcPr>
            <w:tcW w:w="4788" w:type="dxa"/>
          </w:tcPr>
          <w:p w14:paraId="2B981F60" w14:textId="1C22659D" w:rsidR="006F01DD" w:rsidRPr="006F01DD" w:rsidRDefault="006F01DD" w:rsidP="006F01DD">
            <w:r w:rsidRPr="006F01DD">
              <w:t>Сепсис</w:t>
            </w:r>
          </w:p>
        </w:tc>
        <w:tc>
          <w:tcPr>
            <w:tcW w:w="4788" w:type="dxa"/>
          </w:tcPr>
          <w:p w14:paraId="05F8723B" w14:textId="6EA0EDFB" w:rsidR="006F01DD" w:rsidRPr="006F01DD" w:rsidRDefault="006F01DD" w:rsidP="006F01DD">
            <w:r w:rsidRPr="006F01DD">
              <w:t>Чести</w:t>
            </w:r>
          </w:p>
        </w:tc>
      </w:tr>
      <w:tr w:rsidR="006F01DD" w14:paraId="4CDFC5AE" w14:textId="77777777" w:rsidTr="006F01DD">
        <w:tc>
          <w:tcPr>
            <w:tcW w:w="4788" w:type="dxa"/>
          </w:tcPr>
          <w:p w14:paraId="4F417A3D" w14:textId="2ED6ADFF" w:rsidR="006F01DD" w:rsidRPr="006F01DD" w:rsidRDefault="006F01DD" w:rsidP="006F01DD">
            <w:r w:rsidRPr="006F01DD">
              <w:t>Грип</w:t>
            </w:r>
          </w:p>
        </w:tc>
        <w:tc>
          <w:tcPr>
            <w:tcW w:w="4788" w:type="dxa"/>
          </w:tcPr>
          <w:p w14:paraId="1DFB4DAE" w14:textId="77777777" w:rsidR="006F01DD" w:rsidRPr="006F01DD" w:rsidRDefault="006F01DD" w:rsidP="006F01DD"/>
        </w:tc>
      </w:tr>
      <w:tr w:rsidR="006F01DD" w14:paraId="6A368A42" w14:textId="77777777" w:rsidTr="006F01DD">
        <w:tc>
          <w:tcPr>
            <w:tcW w:w="4788" w:type="dxa"/>
          </w:tcPr>
          <w:p w14:paraId="3FAF8A43" w14:textId="7CDDD431" w:rsidR="006F01DD" w:rsidRPr="006F01DD" w:rsidRDefault="006F01DD" w:rsidP="006F01DD">
            <w:r w:rsidRPr="006F01DD">
              <w:t>Инфекция на пикочните пътища</w:t>
            </w:r>
          </w:p>
        </w:tc>
        <w:tc>
          <w:tcPr>
            <w:tcW w:w="4788" w:type="dxa"/>
          </w:tcPr>
          <w:p w14:paraId="4C581550" w14:textId="77777777" w:rsidR="006F01DD" w:rsidRPr="006F01DD" w:rsidRDefault="006F01DD" w:rsidP="006F01DD"/>
        </w:tc>
      </w:tr>
      <w:tr w:rsidR="006F01DD" w14:paraId="4657CCCA" w14:textId="77777777" w:rsidTr="006F01DD">
        <w:tc>
          <w:tcPr>
            <w:tcW w:w="4788" w:type="dxa"/>
          </w:tcPr>
          <w:p w14:paraId="4962EAE8" w14:textId="652263B8" w:rsidR="006F01DD" w:rsidRPr="006F01DD" w:rsidRDefault="006F01DD" w:rsidP="006F01DD">
            <w:r w:rsidRPr="006F01DD">
              <w:t>Целулит</w:t>
            </w:r>
          </w:p>
        </w:tc>
        <w:tc>
          <w:tcPr>
            <w:tcW w:w="4788" w:type="dxa"/>
          </w:tcPr>
          <w:p w14:paraId="72DA9374" w14:textId="77777777" w:rsidR="006F01DD" w:rsidRPr="006F01DD" w:rsidRDefault="006F01DD" w:rsidP="006F01DD"/>
        </w:tc>
      </w:tr>
      <w:tr w:rsidR="006F01DD" w14:paraId="64B5BD89" w14:textId="77777777" w:rsidTr="006F01DD">
        <w:tc>
          <w:tcPr>
            <w:tcW w:w="9576" w:type="dxa"/>
            <w:gridSpan w:val="2"/>
          </w:tcPr>
          <w:p w14:paraId="21B981D0" w14:textId="15ECCDE4" w:rsidR="006F01DD" w:rsidRPr="006F01DD" w:rsidRDefault="006F01DD" w:rsidP="006F01DD">
            <w:r w:rsidRPr="006F01DD">
              <w:rPr>
                <w:b/>
                <w:bCs/>
                <w:i/>
                <w:iCs/>
              </w:rPr>
              <w:t>Нарушения на кръвта и лимфната система:</w:t>
            </w:r>
          </w:p>
        </w:tc>
      </w:tr>
      <w:tr w:rsidR="006F01DD" w14:paraId="7ED5FBD9" w14:textId="77777777" w:rsidTr="006F01DD">
        <w:tc>
          <w:tcPr>
            <w:tcW w:w="4788" w:type="dxa"/>
          </w:tcPr>
          <w:p w14:paraId="2B351AB8" w14:textId="23D4E124" w:rsidR="006F01DD" w:rsidRPr="006F01DD" w:rsidRDefault="006F01DD" w:rsidP="006F01DD">
            <w:r w:rsidRPr="006F01DD">
              <w:t>Неутропения</w:t>
            </w:r>
          </w:p>
        </w:tc>
        <w:tc>
          <w:tcPr>
            <w:tcW w:w="4788" w:type="dxa"/>
          </w:tcPr>
          <w:p w14:paraId="2F4ED88A" w14:textId="38CDE870" w:rsidR="006F01DD" w:rsidRPr="006F01DD" w:rsidRDefault="006F01DD" w:rsidP="006F01DD">
            <w:r w:rsidRPr="006F01DD">
              <w:rPr>
                <w:u w:val="single"/>
              </w:rPr>
              <w:t>Много</w:t>
            </w:r>
            <w:r w:rsidRPr="006F01DD">
              <w:rPr>
                <w:u w:val="single"/>
                <w:lang w:val="en-US"/>
              </w:rPr>
              <w:t xml:space="preserve"> </w:t>
            </w:r>
            <w:r w:rsidRPr="006F01DD">
              <w:rPr>
                <w:u w:val="single"/>
              </w:rPr>
              <w:t>чести</w:t>
            </w:r>
          </w:p>
        </w:tc>
      </w:tr>
      <w:tr w:rsidR="006F01DD" w14:paraId="712E6841" w14:textId="77777777" w:rsidTr="006F01DD">
        <w:tc>
          <w:tcPr>
            <w:tcW w:w="4788" w:type="dxa"/>
          </w:tcPr>
          <w:p w14:paraId="722BAC3D" w14:textId="41D2BBA8" w:rsidR="006F01DD" w:rsidRPr="006F01DD" w:rsidRDefault="006F01DD" w:rsidP="006F01DD">
            <w:r w:rsidRPr="006F01DD">
              <w:t>Анемия</w:t>
            </w:r>
          </w:p>
        </w:tc>
        <w:tc>
          <w:tcPr>
            <w:tcW w:w="4788" w:type="dxa"/>
          </w:tcPr>
          <w:p w14:paraId="107B9C78" w14:textId="77777777" w:rsidR="006F01DD" w:rsidRPr="006F01DD" w:rsidRDefault="006F01DD" w:rsidP="006F01DD"/>
        </w:tc>
      </w:tr>
      <w:tr w:rsidR="006F01DD" w14:paraId="6F8DF661" w14:textId="77777777" w:rsidTr="006F01DD">
        <w:tc>
          <w:tcPr>
            <w:tcW w:w="4788" w:type="dxa"/>
          </w:tcPr>
          <w:p w14:paraId="1C627C74" w14:textId="4C760501" w:rsidR="006F01DD" w:rsidRPr="006F01DD" w:rsidRDefault="006F01DD" w:rsidP="006F01DD">
            <w:r w:rsidRPr="006F01DD">
              <w:t>Тромбоцитопения</w:t>
            </w:r>
          </w:p>
        </w:tc>
        <w:tc>
          <w:tcPr>
            <w:tcW w:w="4788" w:type="dxa"/>
          </w:tcPr>
          <w:p w14:paraId="094D24EB" w14:textId="66AAE38F" w:rsidR="006F01DD" w:rsidRPr="006F01DD" w:rsidRDefault="006F01DD" w:rsidP="006F01DD">
            <w:r w:rsidRPr="006F01DD">
              <w:t>Чести</w:t>
            </w:r>
          </w:p>
        </w:tc>
      </w:tr>
      <w:tr w:rsidR="006F01DD" w14:paraId="373B36CC" w14:textId="77777777" w:rsidTr="006F01DD">
        <w:tc>
          <w:tcPr>
            <w:tcW w:w="4788" w:type="dxa"/>
          </w:tcPr>
          <w:p w14:paraId="3431CB1E" w14:textId="44E8C9E1" w:rsidR="006F01DD" w:rsidRPr="006F01DD" w:rsidRDefault="006F01DD" w:rsidP="006F01DD">
            <w:r w:rsidRPr="006F01DD">
              <w:t>Левкопения</w:t>
            </w:r>
          </w:p>
        </w:tc>
        <w:tc>
          <w:tcPr>
            <w:tcW w:w="4788" w:type="dxa"/>
          </w:tcPr>
          <w:p w14:paraId="754A1CAE" w14:textId="77777777" w:rsidR="006F01DD" w:rsidRPr="006F01DD" w:rsidRDefault="006F01DD" w:rsidP="006F01DD"/>
        </w:tc>
      </w:tr>
      <w:tr w:rsidR="006F01DD" w14:paraId="74F64180" w14:textId="77777777" w:rsidTr="006F01DD">
        <w:tc>
          <w:tcPr>
            <w:tcW w:w="4788" w:type="dxa"/>
          </w:tcPr>
          <w:p w14:paraId="75B2060D" w14:textId="319589EA" w:rsidR="006F01DD" w:rsidRPr="006F01DD" w:rsidRDefault="006F01DD" w:rsidP="006F01DD">
            <w:r w:rsidRPr="006F01DD">
              <w:t>Панцитопения</w:t>
            </w:r>
          </w:p>
        </w:tc>
        <w:tc>
          <w:tcPr>
            <w:tcW w:w="4788" w:type="dxa"/>
          </w:tcPr>
          <w:p w14:paraId="499F07AD" w14:textId="77777777" w:rsidR="006F01DD" w:rsidRPr="006F01DD" w:rsidRDefault="006F01DD" w:rsidP="006F01DD"/>
        </w:tc>
      </w:tr>
      <w:tr w:rsidR="006F01DD" w14:paraId="5A8067FB" w14:textId="77777777" w:rsidTr="006F01DD">
        <w:tc>
          <w:tcPr>
            <w:tcW w:w="4788" w:type="dxa"/>
          </w:tcPr>
          <w:p w14:paraId="263BBA8C" w14:textId="50D8B34B" w:rsidR="006F01DD" w:rsidRPr="006F01DD" w:rsidRDefault="006F01DD" w:rsidP="006F01DD">
            <w:r w:rsidRPr="006F01DD">
              <w:t>Костно-мозъчна недостатъчност</w:t>
            </w:r>
          </w:p>
        </w:tc>
        <w:tc>
          <w:tcPr>
            <w:tcW w:w="4788" w:type="dxa"/>
          </w:tcPr>
          <w:p w14:paraId="5C7047D4" w14:textId="2463238F" w:rsidR="006F01DD" w:rsidRPr="006F01DD" w:rsidRDefault="006F01DD" w:rsidP="006F01DD">
            <w:r w:rsidRPr="006F01DD">
              <w:t>Нечести</w:t>
            </w:r>
          </w:p>
        </w:tc>
      </w:tr>
      <w:tr w:rsidR="006F01DD" w14:paraId="1E6F8FD0" w14:textId="77777777" w:rsidTr="006F01DD">
        <w:tc>
          <w:tcPr>
            <w:tcW w:w="4788" w:type="dxa"/>
          </w:tcPr>
          <w:p w14:paraId="0B21EB78" w14:textId="0A57DA3A" w:rsidR="006F01DD" w:rsidRPr="006F01DD" w:rsidRDefault="006F01DD" w:rsidP="006F01DD">
            <w:r w:rsidRPr="006F01DD">
              <w:t>Апластична анемия</w:t>
            </w:r>
          </w:p>
        </w:tc>
        <w:tc>
          <w:tcPr>
            <w:tcW w:w="4788" w:type="dxa"/>
          </w:tcPr>
          <w:p w14:paraId="2F53018F" w14:textId="675B9C2A" w:rsidR="006F01DD" w:rsidRPr="006F01DD" w:rsidRDefault="006F01DD" w:rsidP="006F01DD">
            <w:r w:rsidRPr="006F01DD">
              <w:t>Редки</w:t>
            </w:r>
          </w:p>
        </w:tc>
      </w:tr>
      <w:tr w:rsidR="006F01DD" w14:paraId="561F8AC5" w14:textId="77777777" w:rsidTr="006F01DD">
        <w:tc>
          <w:tcPr>
            <w:tcW w:w="4788" w:type="dxa"/>
            <w:vAlign w:val="bottom"/>
          </w:tcPr>
          <w:p w14:paraId="38ECCF44" w14:textId="4082E0D5" w:rsidR="006F01DD" w:rsidRPr="006F01DD" w:rsidRDefault="006F01DD" w:rsidP="006F01DD">
            <w:r w:rsidRPr="006F01DD">
              <w:t>Агранулоцитоза*</w:t>
            </w:r>
          </w:p>
        </w:tc>
        <w:tc>
          <w:tcPr>
            <w:tcW w:w="4788" w:type="dxa"/>
          </w:tcPr>
          <w:p w14:paraId="6FD84016" w14:textId="77777777" w:rsidR="006F01DD" w:rsidRPr="006F01DD" w:rsidRDefault="006F01DD" w:rsidP="006F01DD"/>
        </w:tc>
      </w:tr>
      <w:tr w:rsidR="006F01DD" w14:paraId="50DE14B9" w14:textId="77777777" w:rsidTr="006F01DD">
        <w:tc>
          <w:tcPr>
            <w:tcW w:w="4788" w:type="dxa"/>
            <w:vAlign w:val="bottom"/>
          </w:tcPr>
          <w:p w14:paraId="131B8E4C" w14:textId="77F82298" w:rsidR="006F01DD" w:rsidRPr="006F01DD" w:rsidRDefault="006F01DD" w:rsidP="006F01DD">
            <w:r w:rsidRPr="006F01DD">
              <w:t>Гранулоцитопения *</w:t>
            </w:r>
          </w:p>
        </w:tc>
        <w:tc>
          <w:tcPr>
            <w:tcW w:w="4788" w:type="dxa"/>
          </w:tcPr>
          <w:p w14:paraId="232EAE36" w14:textId="77777777" w:rsidR="006F01DD" w:rsidRPr="006F01DD" w:rsidRDefault="006F01DD" w:rsidP="006F01DD"/>
        </w:tc>
      </w:tr>
      <w:tr w:rsidR="006F01DD" w14:paraId="42401645" w14:textId="77777777" w:rsidTr="006F01DD">
        <w:tc>
          <w:tcPr>
            <w:tcW w:w="9576" w:type="dxa"/>
            <w:gridSpan w:val="2"/>
            <w:vAlign w:val="bottom"/>
          </w:tcPr>
          <w:p w14:paraId="5FEA8012" w14:textId="7A567163" w:rsidR="006F01DD" w:rsidRPr="006F01DD" w:rsidRDefault="006F01DD" w:rsidP="006F01DD">
            <w:r w:rsidRPr="006F01DD">
              <w:rPr>
                <w:b/>
                <w:bCs/>
                <w:i/>
                <w:iCs/>
              </w:rPr>
              <w:t>Нарушения на имунната система:</w:t>
            </w:r>
          </w:p>
        </w:tc>
      </w:tr>
      <w:tr w:rsidR="006F01DD" w14:paraId="1E659C43" w14:textId="77777777" w:rsidTr="006F01DD">
        <w:tc>
          <w:tcPr>
            <w:tcW w:w="4788" w:type="dxa"/>
          </w:tcPr>
          <w:p w14:paraId="2FA325D7" w14:textId="044BA3C0" w:rsidR="006F01DD" w:rsidRPr="006F01DD" w:rsidRDefault="006F01DD" w:rsidP="006F01DD">
            <w:r w:rsidRPr="006F01DD">
              <w:t>Свръхчувствителност</w:t>
            </w:r>
          </w:p>
        </w:tc>
        <w:tc>
          <w:tcPr>
            <w:tcW w:w="4788" w:type="dxa"/>
          </w:tcPr>
          <w:p w14:paraId="20EF7B9B" w14:textId="64D59E77" w:rsidR="006F01DD" w:rsidRPr="006F01DD" w:rsidRDefault="006F01DD" w:rsidP="006F01DD">
            <w:r w:rsidRPr="006F01DD">
              <w:t>Чести</w:t>
            </w:r>
          </w:p>
        </w:tc>
      </w:tr>
      <w:tr w:rsidR="006F01DD" w14:paraId="5F3B221B" w14:textId="77777777" w:rsidTr="006F01DD">
        <w:tc>
          <w:tcPr>
            <w:tcW w:w="4788" w:type="dxa"/>
          </w:tcPr>
          <w:p w14:paraId="3B287D99" w14:textId="722D3164" w:rsidR="006F01DD" w:rsidRPr="006F01DD" w:rsidRDefault="006F01DD" w:rsidP="006F01DD">
            <w:r w:rsidRPr="006F01DD">
              <w:t>Анафилактична реакция*</w:t>
            </w:r>
          </w:p>
        </w:tc>
        <w:tc>
          <w:tcPr>
            <w:tcW w:w="4788" w:type="dxa"/>
          </w:tcPr>
          <w:p w14:paraId="1B672675" w14:textId="4ACCB453" w:rsidR="006F01DD" w:rsidRPr="006F01DD" w:rsidRDefault="006F01DD" w:rsidP="006F01DD">
            <w:r w:rsidRPr="006F01DD">
              <w:t>Редки</w:t>
            </w:r>
          </w:p>
        </w:tc>
      </w:tr>
      <w:tr w:rsidR="006F01DD" w14:paraId="75FE66DD" w14:textId="77777777" w:rsidTr="006F01DD">
        <w:tc>
          <w:tcPr>
            <w:tcW w:w="9576" w:type="dxa"/>
            <w:gridSpan w:val="2"/>
            <w:vAlign w:val="bottom"/>
          </w:tcPr>
          <w:p w14:paraId="3F63E2BE" w14:textId="10A20D9F" w:rsidR="006F01DD" w:rsidRPr="006F01DD" w:rsidRDefault="006F01DD" w:rsidP="006F01DD">
            <w:r w:rsidRPr="006F01DD">
              <w:rPr>
                <w:b/>
                <w:bCs/>
                <w:i/>
                <w:iCs/>
              </w:rPr>
              <w:t>Нарушения на метаболизма и храненето:</w:t>
            </w:r>
          </w:p>
        </w:tc>
      </w:tr>
      <w:tr w:rsidR="006F01DD" w14:paraId="7785B36F" w14:textId="77777777" w:rsidTr="006F01DD">
        <w:tc>
          <w:tcPr>
            <w:tcW w:w="4788" w:type="dxa"/>
          </w:tcPr>
          <w:p w14:paraId="3BBD364E" w14:textId="7A707872" w:rsidR="006F01DD" w:rsidRPr="006F01DD" w:rsidRDefault="006F01DD" w:rsidP="006F01DD">
            <w:r w:rsidRPr="006F01DD">
              <w:t>Намален апетит</w:t>
            </w:r>
          </w:p>
        </w:tc>
        <w:tc>
          <w:tcPr>
            <w:tcW w:w="4788" w:type="dxa"/>
          </w:tcPr>
          <w:p w14:paraId="64D9184A" w14:textId="47C9B40F" w:rsidR="006F01DD" w:rsidRPr="006F01DD" w:rsidRDefault="006F01DD" w:rsidP="006F01DD">
            <w:r w:rsidRPr="006F01DD">
              <w:t>Много чести</w:t>
            </w:r>
          </w:p>
        </w:tc>
      </w:tr>
      <w:tr w:rsidR="006F01DD" w14:paraId="2BB8BC15" w14:textId="77777777" w:rsidTr="006F01DD">
        <w:tc>
          <w:tcPr>
            <w:tcW w:w="4788" w:type="dxa"/>
          </w:tcPr>
          <w:p w14:paraId="5F41A062" w14:textId="200D8D07" w:rsidR="006F01DD" w:rsidRPr="006F01DD" w:rsidRDefault="006F01DD" w:rsidP="006F01DD">
            <w:r w:rsidRPr="006F01DD">
              <w:t>Намалено тегло</w:t>
            </w:r>
          </w:p>
        </w:tc>
        <w:tc>
          <w:tcPr>
            <w:tcW w:w="4788" w:type="dxa"/>
          </w:tcPr>
          <w:p w14:paraId="73B2C191" w14:textId="42E7F665" w:rsidR="006F01DD" w:rsidRPr="006F01DD" w:rsidRDefault="006F01DD" w:rsidP="006F01DD">
            <w:r w:rsidRPr="006F01DD">
              <w:t>Чести</w:t>
            </w:r>
          </w:p>
        </w:tc>
      </w:tr>
      <w:tr w:rsidR="006F01DD" w14:paraId="4C4BFFC5" w14:textId="77777777" w:rsidTr="006F01DD">
        <w:tc>
          <w:tcPr>
            <w:tcW w:w="9576" w:type="dxa"/>
            <w:gridSpan w:val="2"/>
            <w:vAlign w:val="bottom"/>
          </w:tcPr>
          <w:p w14:paraId="472AB419" w14:textId="1CE3DEAF" w:rsidR="006F01DD" w:rsidRPr="006F01DD" w:rsidRDefault="006F01DD" w:rsidP="006F01DD">
            <w:r w:rsidRPr="006F01DD">
              <w:rPr>
                <w:b/>
                <w:bCs/>
                <w:i/>
                <w:iCs/>
              </w:rPr>
              <w:t>Психични нарушения:</w:t>
            </w:r>
          </w:p>
        </w:tc>
      </w:tr>
      <w:tr w:rsidR="006F01DD" w14:paraId="351973EA" w14:textId="77777777" w:rsidTr="006F01DD">
        <w:tc>
          <w:tcPr>
            <w:tcW w:w="4788" w:type="dxa"/>
          </w:tcPr>
          <w:p w14:paraId="1A9FF67F" w14:textId="70EA48A0" w:rsidR="006F01DD" w:rsidRPr="006F01DD" w:rsidRDefault="006F01DD" w:rsidP="006F01DD">
            <w:r w:rsidRPr="006F01DD">
              <w:t>Депресия</w:t>
            </w:r>
          </w:p>
        </w:tc>
        <w:tc>
          <w:tcPr>
            <w:tcW w:w="4788" w:type="dxa"/>
          </w:tcPr>
          <w:p w14:paraId="05C01605" w14:textId="66F10999" w:rsidR="006F01DD" w:rsidRPr="006F01DD" w:rsidRDefault="006F01DD" w:rsidP="006F01DD">
            <w:r w:rsidRPr="006F01DD">
              <w:t>Чести</w:t>
            </w:r>
          </w:p>
        </w:tc>
      </w:tr>
      <w:tr w:rsidR="006F01DD" w14:paraId="186F012A" w14:textId="77777777" w:rsidTr="006F01DD">
        <w:tc>
          <w:tcPr>
            <w:tcW w:w="4788" w:type="dxa"/>
            <w:vAlign w:val="bottom"/>
          </w:tcPr>
          <w:p w14:paraId="2C80B765" w14:textId="480A2CF1" w:rsidR="006F01DD" w:rsidRPr="006F01DD" w:rsidRDefault="006F01DD" w:rsidP="006F01DD">
            <w:r w:rsidRPr="006F01DD">
              <w:t>Състояние на обърканост</w:t>
            </w:r>
          </w:p>
        </w:tc>
        <w:tc>
          <w:tcPr>
            <w:tcW w:w="4788" w:type="dxa"/>
          </w:tcPr>
          <w:p w14:paraId="610859EF" w14:textId="77777777" w:rsidR="006F01DD" w:rsidRPr="006F01DD" w:rsidRDefault="006F01DD" w:rsidP="006F01DD"/>
        </w:tc>
      </w:tr>
      <w:tr w:rsidR="006F01DD" w14:paraId="7B294E0C" w14:textId="77777777" w:rsidTr="006F01DD">
        <w:tc>
          <w:tcPr>
            <w:tcW w:w="4788" w:type="dxa"/>
            <w:vAlign w:val="bottom"/>
          </w:tcPr>
          <w:p w14:paraId="758C6BD7" w14:textId="496AE4C7" w:rsidR="006F01DD" w:rsidRPr="006F01DD" w:rsidRDefault="006F01DD" w:rsidP="006F01DD">
            <w:r w:rsidRPr="006F01DD">
              <w:t>Тревожност</w:t>
            </w:r>
          </w:p>
        </w:tc>
        <w:tc>
          <w:tcPr>
            <w:tcW w:w="4788" w:type="dxa"/>
          </w:tcPr>
          <w:p w14:paraId="2712112A" w14:textId="77777777" w:rsidR="006F01DD" w:rsidRPr="006F01DD" w:rsidRDefault="006F01DD" w:rsidP="006F01DD"/>
        </w:tc>
      </w:tr>
      <w:tr w:rsidR="006F01DD" w14:paraId="2AA17337" w14:textId="77777777" w:rsidTr="006F01DD">
        <w:tc>
          <w:tcPr>
            <w:tcW w:w="4788" w:type="dxa"/>
          </w:tcPr>
          <w:p w14:paraId="7AA421BC" w14:textId="24D78E38" w:rsidR="006F01DD" w:rsidRPr="006F01DD" w:rsidRDefault="006F01DD" w:rsidP="006F01DD">
            <w:r w:rsidRPr="006F01DD">
              <w:t>Ажитация</w:t>
            </w:r>
          </w:p>
        </w:tc>
        <w:tc>
          <w:tcPr>
            <w:tcW w:w="4788" w:type="dxa"/>
          </w:tcPr>
          <w:p w14:paraId="05AF2169" w14:textId="7C77D1B5" w:rsidR="006F01DD" w:rsidRPr="006F01DD" w:rsidRDefault="006F01DD" w:rsidP="006F01DD">
            <w:r w:rsidRPr="006F01DD">
              <w:t>Нечести</w:t>
            </w:r>
          </w:p>
        </w:tc>
      </w:tr>
      <w:tr w:rsidR="006F01DD" w14:paraId="6579248C" w14:textId="77777777" w:rsidTr="006F01DD">
        <w:tc>
          <w:tcPr>
            <w:tcW w:w="4788" w:type="dxa"/>
            <w:vAlign w:val="bottom"/>
          </w:tcPr>
          <w:p w14:paraId="0ECDD60E" w14:textId="1BB50504" w:rsidR="006F01DD" w:rsidRPr="006F01DD" w:rsidRDefault="006F01DD" w:rsidP="006F01DD">
            <w:r w:rsidRPr="006F01DD">
              <w:t>Психотично разстройство</w:t>
            </w:r>
          </w:p>
        </w:tc>
        <w:tc>
          <w:tcPr>
            <w:tcW w:w="4788" w:type="dxa"/>
          </w:tcPr>
          <w:p w14:paraId="09999F18" w14:textId="77777777" w:rsidR="006F01DD" w:rsidRPr="006F01DD" w:rsidRDefault="006F01DD" w:rsidP="006F01DD"/>
        </w:tc>
      </w:tr>
      <w:tr w:rsidR="006F01DD" w14:paraId="6F94E183" w14:textId="77777777" w:rsidTr="006F01DD">
        <w:tc>
          <w:tcPr>
            <w:tcW w:w="4788" w:type="dxa"/>
          </w:tcPr>
          <w:p w14:paraId="737BFDFA" w14:textId="0A8E3276" w:rsidR="006F01DD" w:rsidRPr="006F01DD" w:rsidRDefault="006F01DD" w:rsidP="006F01DD">
            <w:r w:rsidRPr="006F01DD">
              <w:t>Абнормно мислене</w:t>
            </w:r>
          </w:p>
        </w:tc>
        <w:tc>
          <w:tcPr>
            <w:tcW w:w="4788" w:type="dxa"/>
          </w:tcPr>
          <w:p w14:paraId="76CB47F8" w14:textId="77777777" w:rsidR="006F01DD" w:rsidRPr="006F01DD" w:rsidRDefault="006F01DD" w:rsidP="006F01DD"/>
        </w:tc>
      </w:tr>
      <w:tr w:rsidR="006F01DD" w14:paraId="28F3FA51" w14:textId="77777777" w:rsidTr="006F01DD">
        <w:tc>
          <w:tcPr>
            <w:tcW w:w="4788" w:type="dxa"/>
          </w:tcPr>
          <w:p w14:paraId="3D9C5880" w14:textId="0C32A1B3" w:rsidR="006F01DD" w:rsidRPr="006F01DD" w:rsidRDefault="006F01DD" w:rsidP="006F01DD">
            <w:r w:rsidRPr="006F01DD">
              <w:t>Халюцинации</w:t>
            </w:r>
          </w:p>
        </w:tc>
        <w:tc>
          <w:tcPr>
            <w:tcW w:w="4788" w:type="dxa"/>
          </w:tcPr>
          <w:p w14:paraId="31FBEE5B" w14:textId="77777777" w:rsidR="006F01DD" w:rsidRPr="006F01DD" w:rsidRDefault="006F01DD" w:rsidP="006F01DD"/>
        </w:tc>
      </w:tr>
      <w:tr w:rsidR="006F01DD" w14:paraId="7AC9AE2A" w14:textId="77777777" w:rsidTr="006F01DD">
        <w:tc>
          <w:tcPr>
            <w:tcW w:w="9576" w:type="dxa"/>
            <w:gridSpan w:val="2"/>
            <w:vAlign w:val="bottom"/>
          </w:tcPr>
          <w:p w14:paraId="748704A2" w14:textId="7DFE4690" w:rsidR="006F01DD" w:rsidRPr="006F01DD" w:rsidRDefault="006F01DD" w:rsidP="006F01DD">
            <w:r w:rsidRPr="006F01DD">
              <w:rPr>
                <w:b/>
                <w:bCs/>
                <w:i/>
                <w:iCs/>
              </w:rPr>
              <w:t>Нарушения на нервната система:</w:t>
            </w:r>
          </w:p>
        </w:tc>
      </w:tr>
      <w:tr w:rsidR="006F01DD" w14:paraId="61CE39C2" w14:textId="77777777" w:rsidTr="006F01DD">
        <w:tc>
          <w:tcPr>
            <w:tcW w:w="4788" w:type="dxa"/>
          </w:tcPr>
          <w:p w14:paraId="262B7014" w14:textId="7328A417" w:rsidR="006F01DD" w:rsidRPr="006F01DD" w:rsidRDefault="006F01DD" w:rsidP="006F01DD">
            <w:r w:rsidRPr="006F01DD">
              <w:t>Главоболие</w:t>
            </w:r>
          </w:p>
        </w:tc>
        <w:tc>
          <w:tcPr>
            <w:tcW w:w="4788" w:type="dxa"/>
          </w:tcPr>
          <w:p w14:paraId="6B777B9D" w14:textId="792BEA4F" w:rsidR="006F01DD" w:rsidRPr="006F01DD" w:rsidRDefault="006F01DD" w:rsidP="006F01DD">
            <w:r w:rsidRPr="006F01DD">
              <w:t>Много чести</w:t>
            </w:r>
          </w:p>
        </w:tc>
      </w:tr>
      <w:tr w:rsidR="006F01DD" w14:paraId="616A801A" w14:textId="77777777" w:rsidTr="006F01DD">
        <w:tc>
          <w:tcPr>
            <w:tcW w:w="4788" w:type="dxa"/>
          </w:tcPr>
          <w:p w14:paraId="3F8AADE7" w14:textId="24C8BE87" w:rsidR="006F01DD" w:rsidRPr="006F01DD" w:rsidRDefault="006F01DD" w:rsidP="006F01DD">
            <w:r w:rsidRPr="006F01DD">
              <w:t>Безсъние</w:t>
            </w:r>
          </w:p>
        </w:tc>
        <w:tc>
          <w:tcPr>
            <w:tcW w:w="4788" w:type="dxa"/>
          </w:tcPr>
          <w:p w14:paraId="463E5C5F" w14:textId="44421530" w:rsidR="006F01DD" w:rsidRPr="006F01DD" w:rsidRDefault="006F01DD" w:rsidP="006F01DD">
            <w:r w:rsidRPr="006F01DD">
              <w:t>Чести</w:t>
            </w:r>
          </w:p>
        </w:tc>
      </w:tr>
      <w:tr w:rsidR="006F01DD" w14:paraId="3854B147" w14:textId="77777777" w:rsidTr="006F01DD">
        <w:tc>
          <w:tcPr>
            <w:tcW w:w="4788" w:type="dxa"/>
            <w:vAlign w:val="bottom"/>
          </w:tcPr>
          <w:p w14:paraId="4DC14C3F" w14:textId="3633AB9A" w:rsidR="006F01DD" w:rsidRPr="006F01DD" w:rsidRDefault="006F01DD" w:rsidP="006F01DD">
            <w:r w:rsidRPr="006F01DD">
              <w:t>Периферна невропатия</w:t>
            </w:r>
          </w:p>
        </w:tc>
        <w:tc>
          <w:tcPr>
            <w:tcW w:w="4788" w:type="dxa"/>
            <w:vAlign w:val="bottom"/>
          </w:tcPr>
          <w:p w14:paraId="0B96EED2" w14:textId="77777777" w:rsidR="006F01DD" w:rsidRPr="006F01DD" w:rsidRDefault="006F01DD" w:rsidP="006F01DD"/>
        </w:tc>
      </w:tr>
      <w:tr w:rsidR="006F01DD" w14:paraId="3D765E67" w14:textId="77777777" w:rsidTr="006F01DD">
        <w:tc>
          <w:tcPr>
            <w:tcW w:w="4788" w:type="dxa"/>
          </w:tcPr>
          <w:p w14:paraId="2421B31B" w14:textId="774B12A0" w:rsidR="006F01DD" w:rsidRPr="006F01DD" w:rsidRDefault="006F01DD" w:rsidP="006F01DD">
            <w:r w:rsidRPr="006F01DD">
              <w:t>Замайване</w:t>
            </w:r>
          </w:p>
        </w:tc>
        <w:tc>
          <w:tcPr>
            <w:tcW w:w="4788" w:type="dxa"/>
          </w:tcPr>
          <w:p w14:paraId="3BE0E322" w14:textId="77777777" w:rsidR="006F01DD" w:rsidRPr="006F01DD" w:rsidRDefault="006F01DD" w:rsidP="006F01DD"/>
        </w:tc>
      </w:tr>
      <w:tr w:rsidR="006F01DD" w14:paraId="3021745C" w14:textId="77777777" w:rsidTr="006F01DD">
        <w:tc>
          <w:tcPr>
            <w:tcW w:w="4788" w:type="dxa"/>
            <w:vAlign w:val="bottom"/>
          </w:tcPr>
          <w:p w14:paraId="0110611A" w14:textId="1616829B" w:rsidR="006F01DD" w:rsidRPr="006F01DD" w:rsidRDefault="006F01DD" w:rsidP="006F01DD">
            <w:r w:rsidRPr="006F01DD">
              <w:lastRenderedPageBreak/>
              <w:t>Парестезия</w:t>
            </w:r>
          </w:p>
        </w:tc>
        <w:tc>
          <w:tcPr>
            <w:tcW w:w="4788" w:type="dxa"/>
          </w:tcPr>
          <w:p w14:paraId="6C69C117" w14:textId="77777777" w:rsidR="006F01DD" w:rsidRPr="006F01DD" w:rsidRDefault="006F01DD" w:rsidP="006F01DD"/>
        </w:tc>
      </w:tr>
      <w:tr w:rsidR="006F01DD" w14:paraId="2EFFBAF4" w14:textId="77777777" w:rsidTr="006F01DD">
        <w:tc>
          <w:tcPr>
            <w:tcW w:w="4788" w:type="dxa"/>
          </w:tcPr>
          <w:p w14:paraId="0E79CD1C" w14:textId="789D3F29" w:rsidR="006F01DD" w:rsidRPr="006F01DD" w:rsidRDefault="006F01DD" w:rsidP="006F01DD">
            <w:r w:rsidRPr="006F01DD">
              <w:t>Хипоестезия</w:t>
            </w:r>
          </w:p>
        </w:tc>
        <w:tc>
          <w:tcPr>
            <w:tcW w:w="4788" w:type="dxa"/>
          </w:tcPr>
          <w:p w14:paraId="71BE5CEC" w14:textId="77777777" w:rsidR="006F01DD" w:rsidRPr="006F01DD" w:rsidRDefault="006F01DD" w:rsidP="006F01DD"/>
        </w:tc>
      </w:tr>
      <w:tr w:rsidR="006F01DD" w14:paraId="22676EA1" w14:textId="77777777" w:rsidTr="006F01DD">
        <w:tc>
          <w:tcPr>
            <w:tcW w:w="4788" w:type="dxa"/>
            <w:vAlign w:val="bottom"/>
          </w:tcPr>
          <w:p w14:paraId="23B3E7CD" w14:textId="438CF358" w:rsidR="006F01DD" w:rsidRPr="006F01DD" w:rsidRDefault="006F01DD" w:rsidP="006F01DD">
            <w:r w:rsidRPr="006F01DD">
              <w:t>Гърчове</w:t>
            </w:r>
          </w:p>
        </w:tc>
        <w:tc>
          <w:tcPr>
            <w:tcW w:w="4788" w:type="dxa"/>
          </w:tcPr>
          <w:p w14:paraId="47D0700D" w14:textId="77777777" w:rsidR="006F01DD" w:rsidRPr="006F01DD" w:rsidRDefault="006F01DD" w:rsidP="006F01DD"/>
        </w:tc>
      </w:tr>
      <w:tr w:rsidR="006F01DD" w14:paraId="60C0E4C5" w14:textId="77777777" w:rsidTr="006F01DD">
        <w:tc>
          <w:tcPr>
            <w:tcW w:w="4788" w:type="dxa"/>
            <w:vAlign w:val="bottom"/>
          </w:tcPr>
          <w:p w14:paraId="750BCA09" w14:textId="11603CBB" w:rsidR="006F01DD" w:rsidRPr="006F01DD" w:rsidRDefault="006F01DD" w:rsidP="006F01DD">
            <w:r w:rsidRPr="006F01DD">
              <w:t>Дисгеузия (нарушение на вкуса)</w:t>
            </w:r>
          </w:p>
        </w:tc>
        <w:tc>
          <w:tcPr>
            <w:tcW w:w="4788" w:type="dxa"/>
          </w:tcPr>
          <w:p w14:paraId="6052BA45" w14:textId="77777777" w:rsidR="006F01DD" w:rsidRPr="006F01DD" w:rsidRDefault="006F01DD" w:rsidP="006F01DD"/>
        </w:tc>
      </w:tr>
      <w:tr w:rsidR="006F01DD" w14:paraId="2A2BE5C9" w14:textId="77777777" w:rsidTr="006F01DD">
        <w:tc>
          <w:tcPr>
            <w:tcW w:w="4788" w:type="dxa"/>
          </w:tcPr>
          <w:p w14:paraId="6315557F" w14:textId="34068988" w:rsidR="006F01DD" w:rsidRPr="006F01DD" w:rsidRDefault="006F01DD" w:rsidP="006F01DD">
            <w:r w:rsidRPr="006F01DD">
              <w:t>Тремор</w:t>
            </w:r>
          </w:p>
        </w:tc>
        <w:tc>
          <w:tcPr>
            <w:tcW w:w="4788" w:type="dxa"/>
          </w:tcPr>
          <w:p w14:paraId="447DD39C" w14:textId="79D6F7B3" w:rsidR="006F01DD" w:rsidRPr="006F01DD" w:rsidRDefault="006F01DD" w:rsidP="006F01DD">
            <w:r w:rsidRPr="006F01DD">
              <w:t>Нечести</w:t>
            </w:r>
          </w:p>
        </w:tc>
      </w:tr>
      <w:tr w:rsidR="006F01DD" w14:paraId="302DD6DE" w14:textId="77777777" w:rsidTr="006F01DD">
        <w:tc>
          <w:tcPr>
            <w:tcW w:w="9576" w:type="dxa"/>
            <w:gridSpan w:val="2"/>
            <w:vAlign w:val="bottom"/>
          </w:tcPr>
          <w:p w14:paraId="3530E780" w14:textId="1423B252" w:rsidR="006F01DD" w:rsidRPr="006F01DD" w:rsidRDefault="006F01DD" w:rsidP="006F01DD">
            <w:r w:rsidRPr="006F01DD">
              <w:rPr>
                <w:b/>
                <w:bCs/>
                <w:i/>
                <w:iCs/>
              </w:rPr>
              <w:t>Нарушения на очите:</w:t>
            </w:r>
          </w:p>
        </w:tc>
      </w:tr>
      <w:tr w:rsidR="006F01DD" w14:paraId="6C9CE73F" w14:textId="77777777" w:rsidTr="006F01DD">
        <w:tc>
          <w:tcPr>
            <w:tcW w:w="4788" w:type="dxa"/>
          </w:tcPr>
          <w:p w14:paraId="6998D36B" w14:textId="2B06B2CE" w:rsidR="006F01DD" w:rsidRPr="006F01DD" w:rsidRDefault="006F01DD" w:rsidP="006F01DD">
            <w:r w:rsidRPr="006F01DD">
              <w:t>Зрителни нарушения</w:t>
            </w:r>
          </w:p>
        </w:tc>
        <w:tc>
          <w:tcPr>
            <w:tcW w:w="4788" w:type="dxa"/>
          </w:tcPr>
          <w:p w14:paraId="26F3A8BB" w14:textId="3B064022" w:rsidR="006F01DD" w:rsidRPr="006F01DD" w:rsidRDefault="006F01DD" w:rsidP="006F01DD">
            <w:r w:rsidRPr="006F01DD">
              <w:t>Чести</w:t>
            </w:r>
          </w:p>
        </w:tc>
      </w:tr>
      <w:tr w:rsidR="006F01DD" w14:paraId="436F20EB" w14:textId="77777777" w:rsidTr="006F01DD">
        <w:tc>
          <w:tcPr>
            <w:tcW w:w="4788" w:type="dxa"/>
            <w:vAlign w:val="bottom"/>
          </w:tcPr>
          <w:p w14:paraId="5A604981" w14:textId="79D73423" w:rsidR="006F01DD" w:rsidRPr="006F01DD" w:rsidRDefault="006F01DD" w:rsidP="006F01DD">
            <w:r w:rsidRPr="006F01DD">
              <w:t>Отлепване на ретината**</w:t>
            </w:r>
          </w:p>
        </w:tc>
        <w:tc>
          <w:tcPr>
            <w:tcW w:w="4788" w:type="dxa"/>
          </w:tcPr>
          <w:p w14:paraId="3AF0D02D" w14:textId="77777777" w:rsidR="006F01DD" w:rsidRPr="006F01DD" w:rsidRDefault="006F01DD" w:rsidP="006F01DD"/>
        </w:tc>
      </w:tr>
      <w:tr w:rsidR="006F01DD" w14:paraId="1E6420DF" w14:textId="77777777" w:rsidTr="006F01DD">
        <w:tc>
          <w:tcPr>
            <w:tcW w:w="4788" w:type="dxa"/>
          </w:tcPr>
          <w:p w14:paraId="194EB7A8" w14:textId="4FF8101C" w:rsidR="006F01DD" w:rsidRPr="006F01DD" w:rsidRDefault="006F01DD" w:rsidP="006F01DD">
            <w:r w:rsidRPr="006F01DD">
              <w:t>Плуващи мътнини в стъкловидното тяло</w:t>
            </w:r>
          </w:p>
        </w:tc>
        <w:tc>
          <w:tcPr>
            <w:tcW w:w="4788" w:type="dxa"/>
          </w:tcPr>
          <w:p w14:paraId="7BE86B2A" w14:textId="77777777" w:rsidR="006F01DD" w:rsidRPr="006F01DD" w:rsidRDefault="006F01DD" w:rsidP="006F01DD"/>
        </w:tc>
      </w:tr>
      <w:tr w:rsidR="006F01DD" w14:paraId="7EAE8FD7" w14:textId="77777777" w:rsidTr="006F01DD">
        <w:tc>
          <w:tcPr>
            <w:tcW w:w="4788" w:type="dxa"/>
          </w:tcPr>
          <w:p w14:paraId="024DD32C" w14:textId="7A8EE380" w:rsidR="006F01DD" w:rsidRPr="006F01DD" w:rsidRDefault="006F01DD" w:rsidP="006F01DD">
            <w:r w:rsidRPr="006F01DD">
              <w:t>Очна болка</w:t>
            </w:r>
          </w:p>
        </w:tc>
        <w:tc>
          <w:tcPr>
            <w:tcW w:w="4788" w:type="dxa"/>
          </w:tcPr>
          <w:p w14:paraId="7EAAEF62" w14:textId="77777777" w:rsidR="006F01DD" w:rsidRPr="006F01DD" w:rsidRDefault="006F01DD" w:rsidP="006F01DD"/>
        </w:tc>
      </w:tr>
      <w:tr w:rsidR="006F01DD" w14:paraId="19E31936" w14:textId="77777777" w:rsidTr="006F01DD">
        <w:tc>
          <w:tcPr>
            <w:tcW w:w="4788" w:type="dxa"/>
          </w:tcPr>
          <w:p w14:paraId="09D12B03" w14:textId="56BAA3D4" w:rsidR="006F01DD" w:rsidRPr="006F01DD" w:rsidRDefault="006F01DD" w:rsidP="006F01DD">
            <w:r w:rsidRPr="006F01DD">
              <w:t>Конюнктивит</w:t>
            </w:r>
          </w:p>
        </w:tc>
        <w:tc>
          <w:tcPr>
            <w:tcW w:w="4788" w:type="dxa"/>
          </w:tcPr>
          <w:p w14:paraId="386BC7F7" w14:textId="77777777" w:rsidR="006F01DD" w:rsidRPr="006F01DD" w:rsidRDefault="006F01DD" w:rsidP="006F01DD"/>
        </w:tc>
      </w:tr>
      <w:tr w:rsidR="006F01DD" w14:paraId="7388DCE2" w14:textId="77777777" w:rsidTr="006F01DD">
        <w:tc>
          <w:tcPr>
            <w:tcW w:w="4788" w:type="dxa"/>
          </w:tcPr>
          <w:p w14:paraId="384AF539" w14:textId="512BDF72" w:rsidR="006F01DD" w:rsidRPr="006F01DD" w:rsidRDefault="006F01DD" w:rsidP="006F01DD">
            <w:r w:rsidRPr="006F01DD">
              <w:t>Оток на макулата</w:t>
            </w:r>
          </w:p>
        </w:tc>
        <w:tc>
          <w:tcPr>
            <w:tcW w:w="4788" w:type="dxa"/>
          </w:tcPr>
          <w:p w14:paraId="2EAE65EC" w14:textId="77777777" w:rsidR="006F01DD" w:rsidRPr="006F01DD" w:rsidRDefault="006F01DD" w:rsidP="006F01DD"/>
        </w:tc>
      </w:tr>
      <w:tr w:rsidR="006F01DD" w14:paraId="203A7E95" w14:textId="77777777" w:rsidTr="006F01DD">
        <w:tc>
          <w:tcPr>
            <w:tcW w:w="9576" w:type="dxa"/>
            <w:gridSpan w:val="2"/>
            <w:vAlign w:val="bottom"/>
          </w:tcPr>
          <w:p w14:paraId="51CC287F" w14:textId="000ADFE9" w:rsidR="006F01DD" w:rsidRPr="006F01DD" w:rsidRDefault="006F01DD" w:rsidP="006F01DD">
            <w:r w:rsidRPr="006F01DD">
              <w:rPr>
                <w:b/>
                <w:bCs/>
                <w:i/>
                <w:iCs/>
              </w:rPr>
              <w:t>Нарушения на ухото и лабиринта:</w:t>
            </w:r>
          </w:p>
        </w:tc>
      </w:tr>
      <w:tr w:rsidR="006F01DD" w14:paraId="3624C53F" w14:textId="77777777" w:rsidTr="006F01DD">
        <w:tc>
          <w:tcPr>
            <w:tcW w:w="4788" w:type="dxa"/>
            <w:vAlign w:val="bottom"/>
          </w:tcPr>
          <w:p w14:paraId="7F16E9ED" w14:textId="66BC16D3" w:rsidR="006F01DD" w:rsidRPr="006F01DD" w:rsidRDefault="006F01DD" w:rsidP="006F01DD">
            <w:r w:rsidRPr="006F01DD">
              <w:t>Болка в ушите</w:t>
            </w:r>
          </w:p>
        </w:tc>
        <w:tc>
          <w:tcPr>
            <w:tcW w:w="4788" w:type="dxa"/>
            <w:vAlign w:val="bottom"/>
          </w:tcPr>
          <w:p w14:paraId="2D191419" w14:textId="58C49AD5" w:rsidR="006F01DD" w:rsidRPr="006F01DD" w:rsidRDefault="006F01DD" w:rsidP="006F01DD">
            <w:r w:rsidRPr="006F01DD">
              <w:t>Чести</w:t>
            </w:r>
          </w:p>
        </w:tc>
      </w:tr>
      <w:tr w:rsidR="006F01DD" w14:paraId="45CEEC23" w14:textId="77777777" w:rsidTr="006F01DD">
        <w:tc>
          <w:tcPr>
            <w:tcW w:w="4788" w:type="dxa"/>
            <w:vAlign w:val="bottom"/>
          </w:tcPr>
          <w:p w14:paraId="3BAFC446" w14:textId="0974B2BA" w:rsidR="006F01DD" w:rsidRPr="006F01DD" w:rsidRDefault="006F01DD" w:rsidP="006F01DD">
            <w:r w:rsidRPr="006F01DD">
              <w:t>Глухота</w:t>
            </w:r>
          </w:p>
        </w:tc>
        <w:tc>
          <w:tcPr>
            <w:tcW w:w="4788" w:type="dxa"/>
            <w:vAlign w:val="bottom"/>
          </w:tcPr>
          <w:p w14:paraId="610988B8" w14:textId="5CF938C6" w:rsidR="006F01DD" w:rsidRPr="006F01DD" w:rsidRDefault="006F01DD" w:rsidP="006F01DD">
            <w:r w:rsidRPr="006F01DD">
              <w:t>Нечести</w:t>
            </w:r>
          </w:p>
        </w:tc>
      </w:tr>
      <w:tr w:rsidR="006F01DD" w14:paraId="51EB2A7C" w14:textId="77777777" w:rsidTr="006F01DD">
        <w:tc>
          <w:tcPr>
            <w:tcW w:w="9576" w:type="dxa"/>
            <w:gridSpan w:val="2"/>
            <w:vAlign w:val="bottom"/>
          </w:tcPr>
          <w:p w14:paraId="45E7350E" w14:textId="22E0473B" w:rsidR="006F01DD" w:rsidRPr="006F01DD" w:rsidRDefault="006F01DD" w:rsidP="006F01DD">
            <w:r w:rsidRPr="006F01DD">
              <w:rPr>
                <w:b/>
                <w:bCs/>
                <w:i/>
                <w:iCs/>
              </w:rPr>
              <w:t>Сърдечни нарушения:</w:t>
            </w:r>
          </w:p>
        </w:tc>
      </w:tr>
      <w:tr w:rsidR="006F01DD" w14:paraId="791DEDAD" w14:textId="77777777" w:rsidTr="006F01DD">
        <w:tc>
          <w:tcPr>
            <w:tcW w:w="4788" w:type="dxa"/>
            <w:vAlign w:val="bottom"/>
          </w:tcPr>
          <w:p w14:paraId="45C9AD11" w14:textId="11DDC388" w:rsidR="006F01DD" w:rsidRPr="006F01DD" w:rsidRDefault="006F01DD" w:rsidP="006F01DD">
            <w:r w:rsidRPr="006F01DD">
              <w:t>Аритмия</w:t>
            </w:r>
          </w:p>
        </w:tc>
        <w:tc>
          <w:tcPr>
            <w:tcW w:w="4788" w:type="dxa"/>
            <w:vAlign w:val="bottom"/>
          </w:tcPr>
          <w:p w14:paraId="65012CBB" w14:textId="03A2F148" w:rsidR="006F01DD" w:rsidRPr="006F01DD" w:rsidRDefault="006F01DD" w:rsidP="006F01DD">
            <w:r w:rsidRPr="006F01DD">
              <w:t>Нечести</w:t>
            </w:r>
          </w:p>
        </w:tc>
      </w:tr>
      <w:tr w:rsidR="006F01DD" w14:paraId="07E8F6CE" w14:textId="77777777" w:rsidTr="006F01DD">
        <w:tc>
          <w:tcPr>
            <w:tcW w:w="9576" w:type="dxa"/>
            <w:gridSpan w:val="2"/>
            <w:vAlign w:val="bottom"/>
          </w:tcPr>
          <w:p w14:paraId="43FE2547" w14:textId="28A3BC70" w:rsidR="006F01DD" w:rsidRPr="006F01DD" w:rsidRDefault="006F01DD" w:rsidP="006F01DD">
            <w:r w:rsidRPr="006F01DD">
              <w:rPr>
                <w:b/>
                <w:bCs/>
                <w:i/>
                <w:iCs/>
                <w:u w:val="single"/>
              </w:rPr>
              <w:t>Съдови нарушения:</w:t>
            </w:r>
          </w:p>
        </w:tc>
      </w:tr>
      <w:tr w:rsidR="006F01DD" w14:paraId="272C9ADE" w14:textId="77777777" w:rsidTr="006F01DD">
        <w:tc>
          <w:tcPr>
            <w:tcW w:w="4788" w:type="dxa"/>
          </w:tcPr>
          <w:p w14:paraId="0F50E06E" w14:textId="53D95661" w:rsidR="006F01DD" w:rsidRPr="006F01DD" w:rsidRDefault="006F01DD" w:rsidP="006F01DD">
            <w:r w:rsidRPr="006F01DD">
              <w:t>Хипотония</w:t>
            </w:r>
          </w:p>
        </w:tc>
        <w:tc>
          <w:tcPr>
            <w:tcW w:w="4788" w:type="dxa"/>
          </w:tcPr>
          <w:p w14:paraId="2CBE9A27" w14:textId="53D3B9BA" w:rsidR="006F01DD" w:rsidRPr="006F01DD" w:rsidRDefault="006F01DD" w:rsidP="006F01DD">
            <w:r w:rsidRPr="006F01DD">
              <w:t>Чести</w:t>
            </w:r>
          </w:p>
        </w:tc>
      </w:tr>
      <w:tr w:rsidR="006F01DD" w14:paraId="2D75C6FA" w14:textId="77777777" w:rsidTr="006F01DD">
        <w:tc>
          <w:tcPr>
            <w:tcW w:w="9576" w:type="dxa"/>
            <w:gridSpan w:val="2"/>
            <w:vAlign w:val="bottom"/>
          </w:tcPr>
          <w:p w14:paraId="66E655C8" w14:textId="278870CE" w:rsidR="006F01DD" w:rsidRPr="006F01DD" w:rsidRDefault="006F01DD" w:rsidP="006F01DD">
            <w:r w:rsidRPr="006F01DD">
              <w:rPr>
                <w:b/>
                <w:bCs/>
                <w:i/>
                <w:iCs/>
              </w:rPr>
              <w:t>Респираторни, гръдни и медиастинални нарушения:</w:t>
            </w:r>
          </w:p>
        </w:tc>
      </w:tr>
      <w:tr w:rsidR="006F01DD" w14:paraId="6CE369CC" w14:textId="77777777" w:rsidTr="006F01DD">
        <w:tc>
          <w:tcPr>
            <w:tcW w:w="4788" w:type="dxa"/>
          </w:tcPr>
          <w:p w14:paraId="1A5F3F30" w14:textId="2F53DF9B" w:rsidR="006F01DD" w:rsidRPr="006F01DD" w:rsidRDefault="006F01DD" w:rsidP="006F01DD">
            <w:r w:rsidRPr="006F01DD">
              <w:t>Кашлица</w:t>
            </w:r>
          </w:p>
        </w:tc>
        <w:tc>
          <w:tcPr>
            <w:tcW w:w="4788" w:type="dxa"/>
          </w:tcPr>
          <w:p w14:paraId="5307CA29" w14:textId="3FB613DA" w:rsidR="006F01DD" w:rsidRPr="006F01DD" w:rsidRDefault="006F01DD" w:rsidP="006F01DD">
            <w:r w:rsidRPr="006F01DD">
              <w:t>Много чести</w:t>
            </w:r>
          </w:p>
        </w:tc>
      </w:tr>
      <w:tr w:rsidR="006F01DD" w14:paraId="3439C7C1" w14:textId="77777777" w:rsidTr="006F01DD">
        <w:tc>
          <w:tcPr>
            <w:tcW w:w="4788" w:type="dxa"/>
            <w:vAlign w:val="bottom"/>
          </w:tcPr>
          <w:p w14:paraId="6B5EAE51" w14:textId="4724642B" w:rsidR="006F01DD" w:rsidRPr="006F01DD" w:rsidRDefault="006F01DD" w:rsidP="006F01DD">
            <w:r w:rsidRPr="006F01DD">
              <w:t>Диспнея</w:t>
            </w:r>
          </w:p>
        </w:tc>
        <w:tc>
          <w:tcPr>
            <w:tcW w:w="4788" w:type="dxa"/>
          </w:tcPr>
          <w:p w14:paraId="2A525954" w14:textId="77777777" w:rsidR="006F01DD" w:rsidRPr="006F01DD" w:rsidRDefault="006F01DD" w:rsidP="006F01DD"/>
        </w:tc>
      </w:tr>
      <w:tr w:rsidR="006F01DD" w14:paraId="550834DD" w14:textId="77777777" w:rsidTr="006F01DD">
        <w:tc>
          <w:tcPr>
            <w:tcW w:w="9576" w:type="dxa"/>
            <w:gridSpan w:val="2"/>
            <w:vAlign w:val="bottom"/>
          </w:tcPr>
          <w:p w14:paraId="4C96ECD3" w14:textId="2646812C" w:rsidR="006F01DD" w:rsidRPr="006F01DD" w:rsidRDefault="006F01DD" w:rsidP="006F01DD">
            <w:r w:rsidRPr="006F01DD">
              <w:rPr>
                <w:b/>
                <w:bCs/>
                <w:i/>
                <w:iCs/>
              </w:rPr>
              <w:t>Стомашно-чревни нарушения:</w:t>
            </w:r>
          </w:p>
        </w:tc>
      </w:tr>
      <w:tr w:rsidR="006F01DD" w14:paraId="24B04314" w14:textId="77777777" w:rsidTr="006F01DD">
        <w:tc>
          <w:tcPr>
            <w:tcW w:w="4788" w:type="dxa"/>
            <w:vAlign w:val="bottom"/>
          </w:tcPr>
          <w:p w14:paraId="36E0F6CD" w14:textId="2205966C" w:rsidR="006F01DD" w:rsidRPr="006F01DD" w:rsidRDefault="006F01DD" w:rsidP="006F01DD">
            <w:r w:rsidRPr="006F01DD">
              <w:t>Диария</w:t>
            </w:r>
          </w:p>
        </w:tc>
        <w:tc>
          <w:tcPr>
            <w:tcW w:w="4788" w:type="dxa"/>
            <w:vAlign w:val="bottom"/>
          </w:tcPr>
          <w:p w14:paraId="6F68DB41" w14:textId="4B687A7C" w:rsidR="006F01DD" w:rsidRPr="006F01DD" w:rsidRDefault="006F01DD" w:rsidP="006F01DD">
            <w:r w:rsidRPr="006F01DD">
              <w:t>Много чести</w:t>
            </w:r>
          </w:p>
        </w:tc>
      </w:tr>
      <w:tr w:rsidR="006F01DD" w14:paraId="276AB337" w14:textId="77777777" w:rsidTr="006F01DD">
        <w:tc>
          <w:tcPr>
            <w:tcW w:w="4788" w:type="dxa"/>
          </w:tcPr>
          <w:p w14:paraId="190A107D" w14:textId="022FCB4E" w:rsidR="006F01DD" w:rsidRPr="006F01DD" w:rsidRDefault="006F01DD" w:rsidP="006F01DD">
            <w:r w:rsidRPr="006F01DD">
              <w:t>Гадене</w:t>
            </w:r>
          </w:p>
        </w:tc>
        <w:tc>
          <w:tcPr>
            <w:tcW w:w="4788" w:type="dxa"/>
          </w:tcPr>
          <w:p w14:paraId="3227440F" w14:textId="77777777" w:rsidR="006F01DD" w:rsidRPr="006F01DD" w:rsidRDefault="006F01DD" w:rsidP="006F01DD"/>
        </w:tc>
      </w:tr>
      <w:tr w:rsidR="006F01DD" w14:paraId="3BE6077C" w14:textId="77777777" w:rsidTr="006F01DD">
        <w:tc>
          <w:tcPr>
            <w:tcW w:w="4788" w:type="dxa"/>
          </w:tcPr>
          <w:p w14:paraId="436A0E8F" w14:textId="7E972428" w:rsidR="006F01DD" w:rsidRPr="006F01DD" w:rsidRDefault="006F01DD" w:rsidP="006F01DD">
            <w:r w:rsidRPr="006F01DD">
              <w:t>Повръщане</w:t>
            </w:r>
          </w:p>
        </w:tc>
        <w:tc>
          <w:tcPr>
            <w:tcW w:w="4788" w:type="dxa"/>
          </w:tcPr>
          <w:p w14:paraId="56BD6C06" w14:textId="77777777" w:rsidR="006F01DD" w:rsidRPr="006F01DD" w:rsidRDefault="006F01DD" w:rsidP="006F01DD"/>
        </w:tc>
      </w:tr>
      <w:tr w:rsidR="006F01DD" w14:paraId="1B49FEBA" w14:textId="77777777" w:rsidTr="006F01DD">
        <w:tc>
          <w:tcPr>
            <w:tcW w:w="4788" w:type="dxa"/>
            <w:vAlign w:val="bottom"/>
          </w:tcPr>
          <w:p w14:paraId="02B9E9B5" w14:textId="075314EA" w:rsidR="006F01DD" w:rsidRPr="006F01DD" w:rsidRDefault="006F01DD" w:rsidP="006F01DD">
            <w:r w:rsidRPr="006F01DD">
              <w:t>Коремна болка</w:t>
            </w:r>
          </w:p>
        </w:tc>
        <w:tc>
          <w:tcPr>
            <w:tcW w:w="4788" w:type="dxa"/>
          </w:tcPr>
          <w:p w14:paraId="31476713" w14:textId="77777777" w:rsidR="006F01DD" w:rsidRPr="006F01DD" w:rsidRDefault="006F01DD" w:rsidP="006F01DD"/>
        </w:tc>
      </w:tr>
      <w:tr w:rsidR="006F01DD" w14:paraId="1A7D88CE" w14:textId="77777777" w:rsidTr="006F01DD">
        <w:tc>
          <w:tcPr>
            <w:tcW w:w="4788" w:type="dxa"/>
          </w:tcPr>
          <w:p w14:paraId="00BDE03E" w14:textId="1955FB4D" w:rsidR="006F01DD" w:rsidRPr="006F01DD" w:rsidRDefault="006F01DD" w:rsidP="006F01DD">
            <w:r w:rsidRPr="006F01DD">
              <w:t>Диспепсия</w:t>
            </w:r>
          </w:p>
        </w:tc>
        <w:tc>
          <w:tcPr>
            <w:tcW w:w="4788" w:type="dxa"/>
          </w:tcPr>
          <w:p w14:paraId="0F50669F" w14:textId="1296657C" w:rsidR="006F01DD" w:rsidRPr="006F01DD" w:rsidRDefault="006F01DD" w:rsidP="006F01DD">
            <w:r w:rsidRPr="006F01DD">
              <w:t>Чести</w:t>
            </w:r>
          </w:p>
        </w:tc>
      </w:tr>
      <w:tr w:rsidR="006F01DD" w14:paraId="503C4A63" w14:textId="77777777" w:rsidTr="006F01DD">
        <w:tc>
          <w:tcPr>
            <w:tcW w:w="4788" w:type="dxa"/>
            <w:vAlign w:val="bottom"/>
          </w:tcPr>
          <w:p w14:paraId="5CF5F7CD" w14:textId="655578E1" w:rsidR="006F01DD" w:rsidRPr="006F01DD" w:rsidRDefault="006F01DD" w:rsidP="006F01DD">
            <w:r w:rsidRPr="006F01DD">
              <w:t>Метеоризъм</w:t>
            </w:r>
          </w:p>
        </w:tc>
        <w:tc>
          <w:tcPr>
            <w:tcW w:w="4788" w:type="dxa"/>
          </w:tcPr>
          <w:p w14:paraId="63305511" w14:textId="77777777" w:rsidR="006F01DD" w:rsidRPr="006F01DD" w:rsidRDefault="006F01DD" w:rsidP="006F01DD"/>
        </w:tc>
      </w:tr>
      <w:tr w:rsidR="006F01DD" w14:paraId="4B8BD7CD" w14:textId="77777777" w:rsidTr="006F01DD">
        <w:tc>
          <w:tcPr>
            <w:tcW w:w="4788" w:type="dxa"/>
            <w:vAlign w:val="bottom"/>
          </w:tcPr>
          <w:p w14:paraId="33FE904E" w14:textId="1B0B3F89" w:rsidR="006F01DD" w:rsidRPr="006F01DD" w:rsidRDefault="006F01DD" w:rsidP="006F01DD">
            <w:r w:rsidRPr="006F01DD">
              <w:t>Болка в горните отдели на корема</w:t>
            </w:r>
          </w:p>
        </w:tc>
        <w:tc>
          <w:tcPr>
            <w:tcW w:w="4788" w:type="dxa"/>
          </w:tcPr>
          <w:p w14:paraId="47F2E018" w14:textId="77777777" w:rsidR="006F01DD" w:rsidRPr="006F01DD" w:rsidRDefault="006F01DD" w:rsidP="006F01DD"/>
        </w:tc>
      </w:tr>
      <w:tr w:rsidR="006F01DD" w14:paraId="3322FE96" w14:textId="77777777" w:rsidTr="006F01DD">
        <w:tc>
          <w:tcPr>
            <w:tcW w:w="4788" w:type="dxa"/>
          </w:tcPr>
          <w:p w14:paraId="4EE2C091" w14:textId="19911E8C" w:rsidR="006F01DD" w:rsidRPr="006F01DD" w:rsidRDefault="006F01DD" w:rsidP="006F01DD">
            <w:r w:rsidRPr="006F01DD">
              <w:t>Запек</w:t>
            </w:r>
          </w:p>
        </w:tc>
        <w:tc>
          <w:tcPr>
            <w:tcW w:w="4788" w:type="dxa"/>
          </w:tcPr>
          <w:p w14:paraId="6C02667F" w14:textId="77777777" w:rsidR="006F01DD" w:rsidRPr="006F01DD" w:rsidRDefault="006F01DD" w:rsidP="006F01DD"/>
        </w:tc>
      </w:tr>
      <w:tr w:rsidR="006F01DD" w14:paraId="041326CF" w14:textId="77777777" w:rsidTr="006F01DD">
        <w:tc>
          <w:tcPr>
            <w:tcW w:w="4788" w:type="dxa"/>
          </w:tcPr>
          <w:p w14:paraId="608DA26C" w14:textId="6F4DA80A" w:rsidR="006F01DD" w:rsidRPr="006F01DD" w:rsidRDefault="006F01DD" w:rsidP="006F01DD">
            <w:r w:rsidRPr="006F01DD">
              <w:t>Разязвяване в устата</w:t>
            </w:r>
          </w:p>
        </w:tc>
        <w:tc>
          <w:tcPr>
            <w:tcW w:w="4788" w:type="dxa"/>
          </w:tcPr>
          <w:p w14:paraId="349CF296" w14:textId="77777777" w:rsidR="006F01DD" w:rsidRPr="006F01DD" w:rsidRDefault="006F01DD" w:rsidP="006F01DD"/>
        </w:tc>
      </w:tr>
      <w:tr w:rsidR="006F01DD" w14:paraId="43B47BAB" w14:textId="77777777" w:rsidTr="006F01DD">
        <w:tc>
          <w:tcPr>
            <w:tcW w:w="4788" w:type="dxa"/>
          </w:tcPr>
          <w:p w14:paraId="6DC47D28" w14:textId="113476E8" w:rsidR="006F01DD" w:rsidRPr="006F01DD" w:rsidRDefault="006F01DD" w:rsidP="006F01DD">
            <w:r w:rsidRPr="006F01DD">
              <w:t>Дисфагия</w:t>
            </w:r>
          </w:p>
        </w:tc>
        <w:tc>
          <w:tcPr>
            <w:tcW w:w="4788" w:type="dxa"/>
          </w:tcPr>
          <w:p w14:paraId="26025CF2" w14:textId="77777777" w:rsidR="006F01DD" w:rsidRPr="006F01DD" w:rsidRDefault="006F01DD" w:rsidP="006F01DD"/>
        </w:tc>
      </w:tr>
      <w:tr w:rsidR="006F01DD" w14:paraId="5E5ACE53" w14:textId="77777777" w:rsidTr="006F01DD">
        <w:tc>
          <w:tcPr>
            <w:tcW w:w="4788" w:type="dxa"/>
          </w:tcPr>
          <w:p w14:paraId="7DF91B18" w14:textId="24C24BB8" w:rsidR="006F01DD" w:rsidRPr="006F01DD" w:rsidRDefault="006F01DD" w:rsidP="006F01DD">
            <w:r w:rsidRPr="006F01DD">
              <w:t>Подуване на корема</w:t>
            </w:r>
          </w:p>
        </w:tc>
        <w:tc>
          <w:tcPr>
            <w:tcW w:w="4788" w:type="dxa"/>
          </w:tcPr>
          <w:p w14:paraId="58916EF7" w14:textId="77777777" w:rsidR="006F01DD" w:rsidRPr="006F01DD" w:rsidRDefault="006F01DD" w:rsidP="006F01DD"/>
        </w:tc>
      </w:tr>
      <w:tr w:rsidR="006F01DD" w14:paraId="75B57F41" w14:textId="77777777" w:rsidTr="006F01DD">
        <w:tc>
          <w:tcPr>
            <w:tcW w:w="4788" w:type="dxa"/>
          </w:tcPr>
          <w:p w14:paraId="5CAA22C3" w14:textId="4CDF967A" w:rsidR="006F01DD" w:rsidRPr="006F01DD" w:rsidRDefault="006F01DD" w:rsidP="006F01DD">
            <w:r w:rsidRPr="006F01DD">
              <w:t>Панкреатит</w:t>
            </w:r>
          </w:p>
        </w:tc>
        <w:tc>
          <w:tcPr>
            <w:tcW w:w="4788" w:type="dxa"/>
          </w:tcPr>
          <w:p w14:paraId="0604802A" w14:textId="77777777" w:rsidR="006F01DD" w:rsidRPr="006F01DD" w:rsidRDefault="006F01DD" w:rsidP="006F01DD"/>
        </w:tc>
      </w:tr>
      <w:tr w:rsidR="006F01DD" w14:paraId="49C8A690" w14:textId="77777777" w:rsidTr="006F01DD">
        <w:tc>
          <w:tcPr>
            <w:tcW w:w="9576" w:type="dxa"/>
            <w:gridSpan w:val="2"/>
            <w:vAlign w:val="bottom"/>
          </w:tcPr>
          <w:p w14:paraId="7E16BFCA" w14:textId="447B093B" w:rsidR="006F01DD" w:rsidRPr="006F01DD" w:rsidRDefault="006F01DD" w:rsidP="006F01DD">
            <w:r w:rsidRPr="006F01DD">
              <w:rPr>
                <w:b/>
                <w:bCs/>
                <w:i/>
                <w:iCs/>
              </w:rPr>
              <w:t>Хепато-билиарни нарушения:</w:t>
            </w:r>
          </w:p>
        </w:tc>
      </w:tr>
      <w:tr w:rsidR="006F01DD" w14:paraId="2D63410E" w14:textId="77777777" w:rsidTr="006F01DD">
        <w:tc>
          <w:tcPr>
            <w:tcW w:w="4788" w:type="dxa"/>
          </w:tcPr>
          <w:p w14:paraId="31AAB7A8" w14:textId="6DEC7D37" w:rsidR="006F01DD" w:rsidRPr="006F01DD" w:rsidRDefault="006F01DD" w:rsidP="006F01DD">
            <w:r w:rsidRPr="006F01DD">
              <w:t>Повишена алкална фосфатаза в кръвта</w:t>
            </w:r>
          </w:p>
        </w:tc>
        <w:tc>
          <w:tcPr>
            <w:tcW w:w="4788" w:type="dxa"/>
          </w:tcPr>
          <w:p w14:paraId="7D547D99" w14:textId="248CA4A3" w:rsidR="006F01DD" w:rsidRPr="006F01DD" w:rsidRDefault="006F01DD" w:rsidP="006F01DD">
            <w:r w:rsidRPr="006F01DD">
              <w:t>Чести</w:t>
            </w:r>
          </w:p>
        </w:tc>
      </w:tr>
      <w:tr w:rsidR="006F01DD" w14:paraId="7A69849C" w14:textId="77777777" w:rsidTr="006F01DD">
        <w:tc>
          <w:tcPr>
            <w:tcW w:w="4788" w:type="dxa"/>
            <w:vAlign w:val="bottom"/>
          </w:tcPr>
          <w:p w14:paraId="53C39445" w14:textId="4294CC38" w:rsidR="006F01DD" w:rsidRPr="006F01DD" w:rsidRDefault="006F01DD" w:rsidP="006F01DD">
            <w:r w:rsidRPr="006F01DD">
              <w:t>Абнормна чернодробна функция</w:t>
            </w:r>
          </w:p>
        </w:tc>
        <w:tc>
          <w:tcPr>
            <w:tcW w:w="4788" w:type="dxa"/>
          </w:tcPr>
          <w:p w14:paraId="111C0146" w14:textId="77777777" w:rsidR="006F01DD" w:rsidRPr="006F01DD" w:rsidRDefault="006F01DD" w:rsidP="006F01DD"/>
        </w:tc>
      </w:tr>
      <w:tr w:rsidR="006F01DD" w14:paraId="6E6127BA" w14:textId="77777777" w:rsidTr="006F01DD">
        <w:tc>
          <w:tcPr>
            <w:tcW w:w="4788" w:type="dxa"/>
            <w:vAlign w:val="bottom"/>
          </w:tcPr>
          <w:p w14:paraId="3D115EFD" w14:textId="1EB5D0FC" w:rsidR="006F01DD" w:rsidRPr="006F01DD" w:rsidRDefault="006F01DD" w:rsidP="006F01DD">
            <w:r w:rsidRPr="006F01DD">
              <w:t>Повишена аспартат аминотрансфераза</w:t>
            </w:r>
          </w:p>
        </w:tc>
        <w:tc>
          <w:tcPr>
            <w:tcW w:w="4788" w:type="dxa"/>
          </w:tcPr>
          <w:p w14:paraId="5E75F5BC" w14:textId="77777777" w:rsidR="006F01DD" w:rsidRPr="006F01DD" w:rsidRDefault="006F01DD" w:rsidP="006F01DD"/>
        </w:tc>
      </w:tr>
      <w:tr w:rsidR="006F01DD" w14:paraId="6C2DDF5B" w14:textId="77777777" w:rsidTr="006F01DD">
        <w:tc>
          <w:tcPr>
            <w:tcW w:w="4788" w:type="dxa"/>
            <w:vAlign w:val="bottom"/>
          </w:tcPr>
          <w:p w14:paraId="203E0322" w14:textId="401F242C" w:rsidR="006F01DD" w:rsidRPr="006F01DD" w:rsidRDefault="006F01DD" w:rsidP="006F01DD">
            <w:r w:rsidRPr="006F01DD">
              <w:t>Повишена аланин аминотрансфераза</w:t>
            </w:r>
          </w:p>
        </w:tc>
        <w:tc>
          <w:tcPr>
            <w:tcW w:w="4788" w:type="dxa"/>
          </w:tcPr>
          <w:p w14:paraId="060AECDF" w14:textId="77777777" w:rsidR="006F01DD" w:rsidRPr="006F01DD" w:rsidRDefault="006F01DD" w:rsidP="006F01DD"/>
        </w:tc>
      </w:tr>
      <w:tr w:rsidR="006F01DD" w14:paraId="0D2E6518" w14:textId="77777777" w:rsidTr="006F01DD">
        <w:tc>
          <w:tcPr>
            <w:tcW w:w="9576" w:type="dxa"/>
            <w:gridSpan w:val="2"/>
            <w:vAlign w:val="bottom"/>
          </w:tcPr>
          <w:p w14:paraId="144744FD" w14:textId="0FE1EC25" w:rsidR="006F01DD" w:rsidRPr="006F01DD" w:rsidRDefault="006F01DD" w:rsidP="006F01DD">
            <w:r w:rsidRPr="006F01DD">
              <w:rPr>
                <w:b/>
                <w:bCs/>
                <w:i/>
                <w:iCs/>
              </w:rPr>
              <w:t>Нарушения на кожата и подкожната тъкан:</w:t>
            </w:r>
          </w:p>
        </w:tc>
      </w:tr>
      <w:tr w:rsidR="006F01DD" w14:paraId="63A98FDC" w14:textId="77777777" w:rsidTr="006F01DD">
        <w:tc>
          <w:tcPr>
            <w:tcW w:w="4788" w:type="dxa"/>
          </w:tcPr>
          <w:p w14:paraId="47E912A0" w14:textId="02D9660F" w:rsidR="006F01DD" w:rsidRPr="006F01DD" w:rsidRDefault="006F01DD" w:rsidP="006F01DD">
            <w:r w:rsidRPr="006F01DD">
              <w:t>Дерматит</w:t>
            </w:r>
          </w:p>
        </w:tc>
        <w:tc>
          <w:tcPr>
            <w:tcW w:w="4788" w:type="dxa"/>
          </w:tcPr>
          <w:p w14:paraId="537C53D9" w14:textId="692CED97" w:rsidR="006F01DD" w:rsidRPr="006F01DD" w:rsidRDefault="006F01DD" w:rsidP="006F01DD">
            <w:r w:rsidRPr="006F01DD">
              <w:t>Много чести</w:t>
            </w:r>
          </w:p>
        </w:tc>
      </w:tr>
      <w:tr w:rsidR="006F01DD" w14:paraId="3639D39D" w14:textId="77777777" w:rsidTr="006F01DD">
        <w:tc>
          <w:tcPr>
            <w:tcW w:w="4788" w:type="dxa"/>
          </w:tcPr>
          <w:p w14:paraId="7B00D791" w14:textId="7BA3B722" w:rsidR="006F01DD" w:rsidRPr="006F01DD" w:rsidRDefault="006F01DD" w:rsidP="006F01DD">
            <w:r w:rsidRPr="006F01DD">
              <w:t>Нощни изпотявания</w:t>
            </w:r>
          </w:p>
        </w:tc>
        <w:tc>
          <w:tcPr>
            <w:tcW w:w="4788" w:type="dxa"/>
          </w:tcPr>
          <w:p w14:paraId="6A5ABE0C" w14:textId="52B59F2B" w:rsidR="006F01DD" w:rsidRPr="006F01DD" w:rsidRDefault="006F01DD" w:rsidP="006F01DD">
            <w:r w:rsidRPr="006F01DD">
              <w:t>Чести</w:t>
            </w:r>
          </w:p>
        </w:tc>
      </w:tr>
      <w:tr w:rsidR="006F01DD" w14:paraId="0CAB3B41" w14:textId="77777777" w:rsidTr="006F01DD">
        <w:tc>
          <w:tcPr>
            <w:tcW w:w="4788" w:type="dxa"/>
            <w:vAlign w:val="bottom"/>
          </w:tcPr>
          <w:p w14:paraId="6377EE2C" w14:textId="1CA80C5D" w:rsidR="006F01DD" w:rsidRPr="006F01DD" w:rsidRDefault="006F01DD" w:rsidP="006F01DD">
            <w:r w:rsidRPr="006F01DD">
              <w:t>Сърбеж</w:t>
            </w:r>
          </w:p>
        </w:tc>
        <w:tc>
          <w:tcPr>
            <w:tcW w:w="4788" w:type="dxa"/>
          </w:tcPr>
          <w:p w14:paraId="0AF8FA69" w14:textId="77777777" w:rsidR="006F01DD" w:rsidRPr="006F01DD" w:rsidRDefault="006F01DD" w:rsidP="006F01DD"/>
        </w:tc>
      </w:tr>
      <w:tr w:rsidR="006F01DD" w14:paraId="52801A78" w14:textId="77777777" w:rsidTr="006F01DD">
        <w:tc>
          <w:tcPr>
            <w:tcW w:w="4788" w:type="dxa"/>
          </w:tcPr>
          <w:p w14:paraId="200CED6E" w14:textId="75EF1A28" w:rsidR="006F01DD" w:rsidRPr="006F01DD" w:rsidRDefault="006F01DD" w:rsidP="006F01DD">
            <w:r w:rsidRPr="006F01DD">
              <w:t>Обрив</w:t>
            </w:r>
          </w:p>
        </w:tc>
        <w:tc>
          <w:tcPr>
            <w:tcW w:w="4788" w:type="dxa"/>
          </w:tcPr>
          <w:p w14:paraId="2AFD4D02" w14:textId="77777777" w:rsidR="006F01DD" w:rsidRPr="006F01DD" w:rsidRDefault="006F01DD" w:rsidP="006F01DD"/>
        </w:tc>
      </w:tr>
      <w:tr w:rsidR="006F01DD" w14:paraId="7B94D3A4" w14:textId="77777777" w:rsidTr="006F01DD">
        <w:tc>
          <w:tcPr>
            <w:tcW w:w="4788" w:type="dxa"/>
          </w:tcPr>
          <w:p w14:paraId="17845825" w14:textId="70CB7095" w:rsidR="006F01DD" w:rsidRPr="006F01DD" w:rsidRDefault="006F01DD" w:rsidP="006F01DD">
            <w:r w:rsidRPr="006F01DD">
              <w:t>Алопеция</w:t>
            </w:r>
          </w:p>
        </w:tc>
        <w:tc>
          <w:tcPr>
            <w:tcW w:w="4788" w:type="dxa"/>
          </w:tcPr>
          <w:p w14:paraId="4B364228" w14:textId="77777777" w:rsidR="006F01DD" w:rsidRPr="006F01DD" w:rsidRDefault="006F01DD" w:rsidP="006F01DD"/>
        </w:tc>
      </w:tr>
      <w:tr w:rsidR="006F01DD" w14:paraId="14D0C2C7" w14:textId="77777777" w:rsidTr="006F01DD">
        <w:tc>
          <w:tcPr>
            <w:tcW w:w="4788" w:type="dxa"/>
          </w:tcPr>
          <w:p w14:paraId="178835FD" w14:textId="47AAEE4D" w:rsidR="006F01DD" w:rsidRPr="006F01DD" w:rsidRDefault="006F01DD" w:rsidP="006F01DD">
            <w:r w:rsidRPr="006F01DD">
              <w:lastRenderedPageBreak/>
              <w:t>Сухота на кожата</w:t>
            </w:r>
          </w:p>
        </w:tc>
        <w:tc>
          <w:tcPr>
            <w:tcW w:w="4788" w:type="dxa"/>
          </w:tcPr>
          <w:p w14:paraId="5F8BE4AE" w14:textId="0384E8A7" w:rsidR="006F01DD" w:rsidRPr="006F01DD" w:rsidRDefault="006F01DD" w:rsidP="006F01DD">
            <w:r w:rsidRPr="006F01DD">
              <w:t>Нечести</w:t>
            </w:r>
          </w:p>
        </w:tc>
      </w:tr>
      <w:tr w:rsidR="006F01DD" w14:paraId="5AA55D84" w14:textId="77777777" w:rsidTr="006F01DD">
        <w:tc>
          <w:tcPr>
            <w:tcW w:w="4788" w:type="dxa"/>
          </w:tcPr>
          <w:p w14:paraId="27CCFE6C" w14:textId="1CDDF8A1" w:rsidR="006F01DD" w:rsidRPr="006F01DD" w:rsidRDefault="006F01DD" w:rsidP="006F01DD">
            <w:r w:rsidRPr="006F01DD">
              <w:t>Уртикария</w:t>
            </w:r>
          </w:p>
        </w:tc>
        <w:tc>
          <w:tcPr>
            <w:tcW w:w="4788" w:type="dxa"/>
          </w:tcPr>
          <w:p w14:paraId="7E493C90" w14:textId="77777777" w:rsidR="006F01DD" w:rsidRPr="006F01DD" w:rsidRDefault="006F01DD" w:rsidP="006F01DD"/>
        </w:tc>
      </w:tr>
      <w:tr w:rsidR="002C7D88" w14:paraId="75F51FF5" w14:textId="77777777" w:rsidTr="005474BD">
        <w:tc>
          <w:tcPr>
            <w:tcW w:w="9576" w:type="dxa"/>
            <w:gridSpan w:val="2"/>
            <w:vAlign w:val="bottom"/>
          </w:tcPr>
          <w:p w14:paraId="756D1CC1" w14:textId="77F827AF" w:rsidR="002C7D88" w:rsidRPr="002C7D88" w:rsidRDefault="002C7D88" w:rsidP="002C7D88">
            <w:r w:rsidRPr="002C7D88">
              <w:rPr>
                <w:b/>
                <w:bCs/>
                <w:i/>
                <w:iCs/>
              </w:rPr>
              <w:t>Нарушения на мускулно-скелетната система и съединителната тъкан:</w:t>
            </w:r>
          </w:p>
        </w:tc>
      </w:tr>
      <w:tr w:rsidR="002C7D88" w14:paraId="346A3BA0" w14:textId="77777777" w:rsidTr="005474BD">
        <w:tc>
          <w:tcPr>
            <w:tcW w:w="4788" w:type="dxa"/>
            <w:vAlign w:val="bottom"/>
          </w:tcPr>
          <w:p w14:paraId="57D7DFFB" w14:textId="320FD475" w:rsidR="002C7D88" w:rsidRPr="002C7D88" w:rsidRDefault="002C7D88" w:rsidP="002C7D88">
            <w:r w:rsidRPr="002C7D88">
              <w:t>Болка в гърба</w:t>
            </w:r>
          </w:p>
        </w:tc>
        <w:tc>
          <w:tcPr>
            <w:tcW w:w="4788" w:type="dxa"/>
            <w:vAlign w:val="bottom"/>
          </w:tcPr>
          <w:p w14:paraId="0FB88245" w14:textId="24566D2A" w:rsidR="002C7D88" w:rsidRPr="002C7D88" w:rsidRDefault="002C7D88" w:rsidP="002C7D88">
            <w:r w:rsidRPr="002C7D88">
              <w:t>Чести</w:t>
            </w:r>
          </w:p>
        </w:tc>
      </w:tr>
      <w:tr w:rsidR="002C7D88" w14:paraId="5BE4E22F" w14:textId="77777777" w:rsidTr="006F01DD">
        <w:tc>
          <w:tcPr>
            <w:tcW w:w="4788" w:type="dxa"/>
          </w:tcPr>
          <w:p w14:paraId="6A7E498E" w14:textId="22A6A3E0" w:rsidR="002C7D88" w:rsidRPr="002C7D88" w:rsidRDefault="002C7D88" w:rsidP="002C7D88">
            <w:r w:rsidRPr="002C7D88">
              <w:t>Миалгия</w:t>
            </w:r>
          </w:p>
        </w:tc>
        <w:tc>
          <w:tcPr>
            <w:tcW w:w="4788" w:type="dxa"/>
          </w:tcPr>
          <w:p w14:paraId="09D8C406" w14:textId="77777777" w:rsidR="002C7D88" w:rsidRPr="002C7D88" w:rsidRDefault="002C7D88" w:rsidP="002C7D88"/>
        </w:tc>
      </w:tr>
      <w:tr w:rsidR="002C7D88" w14:paraId="4B765784" w14:textId="77777777" w:rsidTr="005474BD">
        <w:tc>
          <w:tcPr>
            <w:tcW w:w="4788" w:type="dxa"/>
            <w:vAlign w:val="bottom"/>
          </w:tcPr>
          <w:p w14:paraId="76C61444" w14:textId="6DE98404" w:rsidR="002C7D88" w:rsidRPr="002C7D88" w:rsidRDefault="002C7D88" w:rsidP="002C7D88">
            <w:r w:rsidRPr="002C7D88">
              <w:t>Артралгия</w:t>
            </w:r>
          </w:p>
        </w:tc>
        <w:tc>
          <w:tcPr>
            <w:tcW w:w="4788" w:type="dxa"/>
          </w:tcPr>
          <w:p w14:paraId="280463D3" w14:textId="77777777" w:rsidR="002C7D88" w:rsidRPr="002C7D88" w:rsidRDefault="002C7D88" w:rsidP="002C7D88"/>
        </w:tc>
      </w:tr>
      <w:tr w:rsidR="002C7D88" w14:paraId="040D982E" w14:textId="77777777" w:rsidTr="006F01DD">
        <w:tc>
          <w:tcPr>
            <w:tcW w:w="4788" w:type="dxa"/>
          </w:tcPr>
          <w:p w14:paraId="16082FD5" w14:textId="327A7DC6" w:rsidR="002C7D88" w:rsidRPr="002C7D88" w:rsidRDefault="002C7D88" w:rsidP="002C7D88">
            <w:r w:rsidRPr="002C7D88">
              <w:t>Мускулни спазми</w:t>
            </w:r>
          </w:p>
        </w:tc>
        <w:tc>
          <w:tcPr>
            <w:tcW w:w="4788" w:type="dxa"/>
          </w:tcPr>
          <w:p w14:paraId="531FBFCA" w14:textId="77777777" w:rsidR="002C7D88" w:rsidRPr="002C7D88" w:rsidRDefault="002C7D88" w:rsidP="002C7D88"/>
        </w:tc>
      </w:tr>
      <w:tr w:rsidR="002C7D88" w14:paraId="3F801A20" w14:textId="77777777" w:rsidTr="005474BD">
        <w:tc>
          <w:tcPr>
            <w:tcW w:w="9576" w:type="dxa"/>
            <w:gridSpan w:val="2"/>
            <w:vAlign w:val="bottom"/>
          </w:tcPr>
          <w:p w14:paraId="79B21297" w14:textId="2A85CA39" w:rsidR="002C7D88" w:rsidRPr="002C7D88" w:rsidRDefault="002C7D88" w:rsidP="002C7D88">
            <w:r w:rsidRPr="002C7D88">
              <w:rPr>
                <w:b/>
                <w:bCs/>
                <w:i/>
                <w:iCs/>
              </w:rPr>
              <w:t>Нарушения на бъбреците и пикочните пътища:</w:t>
            </w:r>
          </w:p>
        </w:tc>
      </w:tr>
      <w:tr w:rsidR="002C7D88" w14:paraId="6B9666F5" w14:textId="77777777" w:rsidTr="006F01DD">
        <w:tc>
          <w:tcPr>
            <w:tcW w:w="4788" w:type="dxa"/>
          </w:tcPr>
          <w:p w14:paraId="30770D6D" w14:textId="18ADFCD5" w:rsidR="002C7D88" w:rsidRPr="002C7D88" w:rsidRDefault="002C7D88" w:rsidP="002C7D88">
            <w:r w:rsidRPr="002C7D88">
              <w:t>Бъбречно увреждане</w:t>
            </w:r>
          </w:p>
        </w:tc>
        <w:tc>
          <w:tcPr>
            <w:tcW w:w="4788" w:type="dxa"/>
          </w:tcPr>
          <w:p w14:paraId="624AD33B" w14:textId="65C93EC9" w:rsidR="002C7D88" w:rsidRPr="002C7D88" w:rsidRDefault="002C7D88" w:rsidP="002C7D88">
            <w:r w:rsidRPr="002C7D88">
              <w:t>Чести</w:t>
            </w:r>
          </w:p>
        </w:tc>
      </w:tr>
      <w:tr w:rsidR="002C7D88" w14:paraId="7538CC73" w14:textId="77777777" w:rsidTr="005474BD">
        <w:tc>
          <w:tcPr>
            <w:tcW w:w="4788" w:type="dxa"/>
            <w:vAlign w:val="bottom"/>
          </w:tcPr>
          <w:p w14:paraId="03F8ADC2" w14:textId="747A82D4" w:rsidR="002C7D88" w:rsidRPr="002C7D88" w:rsidRDefault="002C7D88" w:rsidP="002C7D88">
            <w:r w:rsidRPr="002C7D88">
              <w:t>Намален бъбречен креатининов клирънс</w:t>
            </w:r>
          </w:p>
        </w:tc>
        <w:tc>
          <w:tcPr>
            <w:tcW w:w="4788" w:type="dxa"/>
          </w:tcPr>
          <w:p w14:paraId="762E9C8D" w14:textId="77777777" w:rsidR="002C7D88" w:rsidRPr="002C7D88" w:rsidRDefault="002C7D88" w:rsidP="002C7D88"/>
        </w:tc>
      </w:tr>
      <w:tr w:rsidR="002C7D88" w14:paraId="1F4D07BF" w14:textId="77777777" w:rsidTr="005474BD">
        <w:tc>
          <w:tcPr>
            <w:tcW w:w="4788" w:type="dxa"/>
            <w:vAlign w:val="bottom"/>
          </w:tcPr>
          <w:p w14:paraId="1F08421A" w14:textId="1AF9E8BE" w:rsidR="002C7D88" w:rsidRPr="002C7D88" w:rsidRDefault="002C7D88" w:rsidP="002C7D88">
            <w:r w:rsidRPr="002C7D88">
              <w:t>Повишен креатинин в кръвта</w:t>
            </w:r>
          </w:p>
        </w:tc>
        <w:tc>
          <w:tcPr>
            <w:tcW w:w="4788" w:type="dxa"/>
          </w:tcPr>
          <w:p w14:paraId="1ADCAFB2" w14:textId="77777777" w:rsidR="002C7D88" w:rsidRPr="002C7D88" w:rsidRDefault="002C7D88" w:rsidP="002C7D88"/>
        </w:tc>
      </w:tr>
      <w:tr w:rsidR="002C7D88" w14:paraId="32484311" w14:textId="77777777" w:rsidTr="006F01DD">
        <w:tc>
          <w:tcPr>
            <w:tcW w:w="4788" w:type="dxa"/>
          </w:tcPr>
          <w:p w14:paraId="692EFA2F" w14:textId="00627FE4" w:rsidR="002C7D88" w:rsidRPr="002C7D88" w:rsidRDefault="002C7D88" w:rsidP="002C7D88">
            <w:r w:rsidRPr="002C7D88">
              <w:t>Бъбречна недостатъчност</w:t>
            </w:r>
          </w:p>
        </w:tc>
        <w:tc>
          <w:tcPr>
            <w:tcW w:w="4788" w:type="dxa"/>
          </w:tcPr>
          <w:p w14:paraId="4A40C812" w14:textId="5DD11083" w:rsidR="002C7D88" w:rsidRPr="002C7D88" w:rsidRDefault="002C7D88" w:rsidP="002C7D88">
            <w:r w:rsidRPr="002C7D88">
              <w:t>Нечести</w:t>
            </w:r>
          </w:p>
        </w:tc>
      </w:tr>
      <w:tr w:rsidR="002C7D88" w14:paraId="78E2713C" w14:textId="77777777" w:rsidTr="005474BD">
        <w:tc>
          <w:tcPr>
            <w:tcW w:w="4788" w:type="dxa"/>
            <w:vAlign w:val="bottom"/>
          </w:tcPr>
          <w:p w14:paraId="1941A591" w14:textId="387364C2" w:rsidR="002C7D88" w:rsidRPr="002C7D88" w:rsidRDefault="002C7D88" w:rsidP="002C7D88">
            <w:r w:rsidRPr="002C7D88">
              <w:t>Хематурия</w:t>
            </w:r>
          </w:p>
        </w:tc>
        <w:tc>
          <w:tcPr>
            <w:tcW w:w="4788" w:type="dxa"/>
          </w:tcPr>
          <w:p w14:paraId="06795C9C" w14:textId="77777777" w:rsidR="002C7D88" w:rsidRPr="002C7D88" w:rsidRDefault="002C7D88" w:rsidP="002C7D88"/>
        </w:tc>
      </w:tr>
      <w:tr w:rsidR="002C7D88" w14:paraId="7DB9F3DC" w14:textId="77777777" w:rsidTr="005474BD">
        <w:tc>
          <w:tcPr>
            <w:tcW w:w="9576" w:type="dxa"/>
            <w:gridSpan w:val="2"/>
            <w:vAlign w:val="bottom"/>
          </w:tcPr>
          <w:p w14:paraId="19E4E88C" w14:textId="5169C7A8" w:rsidR="002C7D88" w:rsidRPr="002C7D88" w:rsidRDefault="002C7D88" w:rsidP="002C7D88">
            <w:r w:rsidRPr="002C7D88">
              <w:rPr>
                <w:b/>
                <w:bCs/>
                <w:i/>
                <w:iCs/>
              </w:rPr>
              <w:t>Нарушения на възпроизводителната система и гърдата:</w:t>
            </w:r>
          </w:p>
        </w:tc>
      </w:tr>
      <w:tr w:rsidR="002C7D88" w14:paraId="3750C476" w14:textId="77777777" w:rsidTr="006F01DD">
        <w:tc>
          <w:tcPr>
            <w:tcW w:w="4788" w:type="dxa"/>
          </w:tcPr>
          <w:p w14:paraId="61CD372E" w14:textId="035D5D40" w:rsidR="002C7D88" w:rsidRDefault="002C7D88" w:rsidP="002C7D88">
            <w:r>
              <w:t>Инфертилитет при мъжете</w:t>
            </w:r>
          </w:p>
        </w:tc>
        <w:tc>
          <w:tcPr>
            <w:tcW w:w="4788" w:type="dxa"/>
          </w:tcPr>
          <w:p w14:paraId="18CACE15" w14:textId="2FCF0E8F" w:rsidR="002C7D88" w:rsidRDefault="002C7D88" w:rsidP="002C7D88">
            <w:r>
              <w:t>Нечести</w:t>
            </w:r>
          </w:p>
        </w:tc>
      </w:tr>
      <w:tr w:rsidR="002C7D88" w14:paraId="36C408EB" w14:textId="77777777" w:rsidTr="005474BD">
        <w:tc>
          <w:tcPr>
            <w:tcW w:w="9576" w:type="dxa"/>
            <w:gridSpan w:val="2"/>
          </w:tcPr>
          <w:p w14:paraId="45FDDAE9" w14:textId="0C1273BE" w:rsidR="002C7D88" w:rsidRPr="002C7D88" w:rsidRDefault="002C7D88" w:rsidP="002C7D88">
            <w:pPr>
              <w:rPr>
                <w:b/>
                <w:i/>
              </w:rPr>
            </w:pPr>
            <w:r w:rsidRPr="002C7D88">
              <w:rPr>
                <w:b/>
                <w:i/>
                <w:lang w:eastAsia="bg-BG"/>
              </w:rPr>
              <w:t>Общи нарушения и ефекти на мястото на приложение:</w:t>
            </w:r>
          </w:p>
        </w:tc>
      </w:tr>
      <w:tr w:rsidR="002C7D88" w14:paraId="241AFDE8" w14:textId="77777777" w:rsidTr="005474BD">
        <w:tc>
          <w:tcPr>
            <w:tcW w:w="4788" w:type="dxa"/>
            <w:vAlign w:val="bottom"/>
          </w:tcPr>
          <w:p w14:paraId="1996E4E8" w14:textId="3FE7DDDA" w:rsidR="002C7D88" w:rsidRPr="002C7D88" w:rsidRDefault="002C7D88" w:rsidP="002C7D88">
            <w:r w:rsidRPr="002C7D88">
              <w:t>Пирексия</w:t>
            </w:r>
          </w:p>
        </w:tc>
        <w:tc>
          <w:tcPr>
            <w:tcW w:w="4788" w:type="dxa"/>
            <w:vMerge w:val="restart"/>
          </w:tcPr>
          <w:p w14:paraId="4CD86156" w14:textId="3D36DB99" w:rsidR="002C7D88" w:rsidRPr="002C7D88" w:rsidRDefault="002C7D88" w:rsidP="002C7D88">
            <w:r w:rsidRPr="002C7D88">
              <w:t>Много чести</w:t>
            </w:r>
          </w:p>
        </w:tc>
      </w:tr>
      <w:tr w:rsidR="002C7D88" w14:paraId="6197805A" w14:textId="77777777" w:rsidTr="006F01DD">
        <w:tc>
          <w:tcPr>
            <w:tcW w:w="4788" w:type="dxa"/>
          </w:tcPr>
          <w:p w14:paraId="3A8B62B5" w14:textId="7C934988" w:rsidR="002C7D88" w:rsidRPr="002C7D88" w:rsidRDefault="002C7D88" w:rsidP="002C7D88">
            <w:r w:rsidRPr="002C7D88">
              <w:t>Умора</w:t>
            </w:r>
          </w:p>
        </w:tc>
        <w:tc>
          <w:tcPr>
            <w:tcW w:w="4788" w:type="dxa"/>
            <w:vMerge/>
          </w:tcPr>
          <w:p w14:paraId="105680CA" w14:textId="77777777" w:rsidR="002C7D88" w:rsidRPr="002C7D88" w:rsidRDefault="002C7D88" w:rsidP="002C7D88"/>
        </w:tc>
      </w:tr>
      <w:tr w:rsidR="002C7D88" w14:paraId="4BB1CC2C" w14:textId="77777777" w:rsidTr="006F01DD">
        <w:tc>
          <w:tcPr>
            <w:tcW w:w="4788" w:type="dxa"/>
          </w:tcPr>
          <w:p w14:paraId="0C23D4AA" w14:textId="3978D527" w:rsidR="002C7D88" w:rsidRPr="002C7D88" w:rsidRDefault="002C7D88" w:rsidP="002C7D88">
            <w:r w:rsidRPr="002C7D88">
              <w:t>Болка</w:t>
            </w:r>
          </w:p>
        </w:tc>
        <w:tc>
          <w:tcPr>
            <w:tcW w:w="4788" w:type="dxa"/>
            <w:vMerge w:val="restart"/>
          </w:tcPr>
          <w:p w14:paraId="55A23AAC" w14:textId="6B95FEA0" w:rsidR="002C7D88" w:rsidRPr="002C7D88" w:rsidRDefault="002C7D88" w:rsidP="002C7D88">
            <w:r w:rsidRPr="002C7D88">
              <w:t>Чести</w:t>
            </w:r>
          </w:p>
        </w:tc>
      </w:tr>
      <w:tr w:rsidR="002C7D88" w14:paraId="7437A553" w14:textId="77777777" w:rsidTr="005474BD">
        <w:tc>
          <w:tcPr>
            <w:tcW w:w="4788" w:type="dxa"/>
            <w:vAlign w:val="bottom"/>
          </w:tcPr>
          <w:p w14:paraId="7EF29F34" w14:textId="74562892" w:rsidR="002C7D88" w:rsidRPr="002C7D88" w:rsidRDefault="002C7D88" w:rsidP="002C7D88">
            <w:r w:rsidRPr="002C7D88">
              <w:t>Студени тръпки</w:t>
            </w:r>
          </w:p>
        </w:tc>
        <w:tc>
          <w:tcPr>
            <w:tcW w:w="4788" w:type="dxa"/>
            <w:vMerge/>
          </w:tcPr>
          <w:p w14:paraId="3CD28B52" w14:textId="77777777" w:rsidR="002C7D88" w:rsidRPr="002C7D88" w:rsidRDefault="002C7D88" w:rsidP="002C7D88"/>
        </w:tc>
      </w:tr>
      <w:tr w:rsidR="002C7D88" w14:paraId="1FC537CA" w14:textId="77777777" w:rsidTr="006F01DD">
        <w:tc>
          <w:tcPr>
            <w:tcW w:w="4788" w:type="dxa"/>
          </w:tcPr>
          <w:p w14:paraId="15CE4782" w14:textId="285F7156" w:rsidR="002C7D88" w:rsidRPr="002C7D88" w:rsidRDefault="002C7D88" w:rsidP="002C7D88">
            <w:r w:rsidRPr="002C7D88">
              <w:t>Безпокойство</w:t>
            </w:r>
          </w:p>
        </w:tc>
        <w:tc>
          <w:tcPr>
            <w:tcW w:w="4788" w:type="dxa"/>
            <w:vMerge/>
          </w:tcPr>
          <w:p w14:paraId="2599FE80" w14:textId="77777777" w:rsidR="002C7D88" w:rsidRPr="002C7D88" w:rsidRDefault="002C7D88" w:rsidP="002C7D88"/>
        </w:tc>
      </w:tr>
      <w:tr w:rsidR="002C7D88" w14:paraId="5F366E44" w14:textId="77777777" w:rsidTr="006F01DD">
        <w:tc>
          <w:tcPr>
            <w:tcW w:w="4788" w:type="dxa"/>
          </w:tcPr>
          <w:p w14:paraId="6BF9F834" w14:textId="708BB34D" w:rsidR="002C7D88" w:rsidRPr="002C7D88" w:rsidRDefault="002C7D88" w:rsidP="002C7D88">
            <w:r w:rsidRPr="002C7D88">
              <w:t>Астения</w:t>
            </w:r>
          </w:p>
        </w:tc>
        <w:tc>
          <w:tcPr>
            <w:tcW w:w="4788" w:type="dxa"/>
            <w:vMerge/>
          </w:tcPr>
          <w:p w14:paraId="6FB3C917" w14:textId="77777777" w:rsidR="002C7D88" w:rsidRPr="002C7D88" w:rsidRDefault="002C7D88" w:rsidP="002C7D88"/>
        </w:tc>
      </w:tr>
      <w:tr w:rsidR="002C7D88" w14:paraId="53D1DA24" w14:textId="77777777" w:rsidTr="006F01DD">
        <w:tc>
          <w:tcPr>
            <w:tcW w:w="4788" w:type="dxa"/>
          </w:tcPr>
          <w:p w14:paraId="46310ABB" w14:textId="3A6A809E" w:rsidR="002C7D88" w:rsidRPr="002C7D88" w:rsidRDefault="002C7D88" w:rsidP="002C7D88">
            <w:r w:rsidRPr="002C7D88">
              <w:t>Болка в гърдите</w:t>
            </w:r>
          </w:p>
        </w:tc>
        <w:tc>
          <w:tcPr>
            <w:tcW w:w="4788" w:type="dxa"/>
          </w:tcPr>
          <w:p w14:paraId="62759494" w14:textId="22D4F9C1" w:rsidR="002C7D88" w:rsidRPr="002C7D88" w:rsidRDefault="002C7D88" w:rsidP="002C7D88">
            <w:r w:rsidRPr="002C7D88">
              <w:t>Нечести</w:t>
            </w:r>
          </w:p>
        </w:tc>
      </w:tr>
    </w:tbl>
    <w:p w14:paraId="5F0DC871" w14:textId="77777777" w:rsidR="002C7D88" w:rsidRDefault="002C7D88" w:rsidP="002C7D88">
      <w:pPr>
        <w:spacing w:line="240" w:lineRule="auto"/>
        <w:rPr>
          <w:rFonts w:eastAsia="Times New Roman" w:cs="Arial"/>
          <w:i/>
          <w:iCs/>
          <w:color w:val="000000"/>
          <w:lang w:val="ru-RU" w:eastAsia="bg-BG"/>
        </w:rPr>
      </w:pPr>
    </w:p>
    <w:p w14:paraId="06D17ED7" w14:textId="55F2CF76" w:rsidR="002C7D88" w:rsidRPr="002C7D88" w:rsidRDefault="002C7D88" w:rsidP="002C7D88">
      <w:pPr>
        <w:spacing w:line="240" w:lineRule="auto"/>
        <w:rPr>
          <w:rFonts w:eastAsia="Times New Roman" w:cs="Arial"/>
          <w:i/>
          <w:iCs/>
          <w:color w:val="000000"/>
          <w:lang w:eastAsia="bg-BG"/>
        </w:rPr>
      </w:pPr>
      <w:r w:rsidRPr="002C7D88">
        <w:rPr>
          <w:rFonts w:eastAsia="Times New Roman" w:cs="Arial"/>
          <w:i/>
          <w:iCs/>
          <w:color w:val="000000"/>
          <w:lang w:val="ru-RU" w:eastAsia="bg-BG"/>
        </w:rPr>
        <w:t>*</w:t>
      </w:r>
      <w:r w:rsidRPr="002C7D88">
        <w:rPr>
          <w:rFonts w:eastAsia="Times New Roman" w:cs="Arial"/>
          <w:i/>
          <w:iCs/>
          <w:color w:val="000000"/>
          <w:lang w:eastAsia="bg-BG"/>
        </w:rPr>
        <w:t>Честотата на тези нежелани реакции е получена от постмаркетинговия опит</w:t>
      </w:r>
    </w:p>
    <w:p w14:paraId="2DFBAF7C" w14:textId="2392E89F" w:rsidR="002C7D88" w:rsidRPr="002C7D88" w:rsidRDefault="002C7D88" w:rsidP="002C7D88">
      <w:pPr>
        <w:spacing w:line="240" w:lineRule="auto"/>
        <w:rPr>
          <w:rFonts w:eastAsia="Times New Roman" w:cs="Arial"/>
          <w:i/>
          <w:iCs/>
          <w:color w:val="000000"/>
          <w:lang w:eastAsia="bg-BG"/>
        </w:rPr>
      </w:pPr>
      <w:r w:rsidRPr="002C7D88">
        <w:rPr>
          <w:rFonts w:eastAsia="Times New Roman" w:cs="Arial"/>
          <w:i/>
          <w:iCs/>
          <w:color w:val="000000"/>
          <w:lang w:val="ru-RU" w:eastAsia="bg-BG"/>
        </w:rPr>
        <w:t>*</w:t>
      </w:r>
      <w:r w:rsidRPr="002C7D88">
        <w:rPr>
          <w:rFonts w:eastAsia="Times New Roman" w:cs="Arial"/>
          <w:i/>
          <w:iCs/>
          <w:color w:val="000000"/>
          <w:lang w:eastAsia="bg-BG"/>
        </w:rPr>
        <w:t xml:space="preserve">* Отлепване на ретината се съобщава само при пациенти с ХИВ, лекувани за </w:t>
      </w:r>
      <w:r w:rsidRPr="002C7D88">
        <w:rPr>
          <w:rFonts w:eastAsia="Times New Roman" w:cs="Arial"/>
          <w:i/>
          <w:iCs/>
          <w:color w:val="000000"/>
          <w:lang w:val="en-US"/>
        </w:rPr>
        <w:t>CMV</w:t>
      </w:r>
      <w:r w:rsidRPr="002C7D88">
        <w:rPr>
          <w:rFonts w:eastAsia="Times New Roman" w:cs="Arial"/>
          <w:i/>
          <w:iCs/>
          <w:color w:val="000000"/>
          <w:lang w:eastAsia="bg-BG"/>
        </w:rPr>
        <w:t xml:space="preserve"> ретинит</w:t>
      </w:r>
    </w:p>
    <w:p w14:paraId="6AFEE066" w14:textId="77777777" w:rsidR="002C7D88" w:rsidRDefault="002C7D88" w:rsidP="002C7D88">
      <w:pPr>
        <w:spacing w:line="240" w:lineRule="auto"/>
        <w:rPr>
          <w:rFonts w:eastAsia="Times New Roman" w:cs="Arial"/>
          <w:b/>
          <w:bCs/>
          <w:color w:val="000000"/>
          <w:lang w:eastAsia="bg-BG"/>
        </w:rPr>
      </w:pPr>
    </w:p>
    <w:p w14:paraId="2B87F66C" w14:textId="2ECF8A71" w:rsidR="002C7D88" w:rsidRPr="002C7D88" w:rsidRDefault="002C7D88" w:rsidP="002C7D88">
      <w:pPr>
        <w:spacing w:line="240" w:lineRule="auto"/>
        <w:rPr>
          <w:rFonts w:eastAsia="Times New Roman" w:cs="Arial"/>
        </w:rPr>
      </w:pPr>
      <w:r w:rsidRPr="002C7D88">
        <w:rPr>
          <w:rFonts w:eastAsia="Times New Roman" w:cs="Arial"/>
          <w:b/>
          <w:bCs/>
          <w:color w:val="000000"/>
          <w:lang w:eastAsia="bg-BG"/>
        </w:rPr>
        <w:t>Описание на избрани нежелани реакции</w:t>
      </w:r>
    </w:p>
    <w:p w14:paraId="70FF6558" w14:textId="77777777" w:rsidR="002C7D88" w:rsidRDefault="002C7D88" w:rsidP="002C7D88">
      <w:pPr>
        <w:spacing w:line="240" w:lineRule="auto"/>
        <w:rPr>
          <w:rFonts w:eastAsia="Times New Roman" w:cs="Arial"/>
          <w:i/>
          <w:iCs/>
          <w:color w:val="000000"/>
          <w:lang w:eastAsia="bg-BG"/>
        </w:rPr>
      </w:pPr>
    </w:p>
    <w:p w14:paraId="1A0566ED" w14:textId="4EF3909B" w:rsidR="002C7D88" w:rsidRPr="002C7D88" w:rsidRDefault="002C7D88" w:rsidP="002C7D88">
      <w:pPr>
        <w:spacing w:line="240" w:lineRule="auto"/>
        <w:rPr>
          <w:rFonts w:eastAsia="Times New Roman" w:cs="Arial"/>
        </w:rPr>
      </w:pPr>
      <w:r w:rsidRPr="002C7D88">
        <w:rPr>
          <w:rFonts w:eastAsia="Times New Roman" w:cs="Arial"/>
          <w:i/>
          <w:iCs/>
          <w:color w:val="000000"/>
          <w:lang w:eastAsia="bg-BG"/>
        </w:rPr>
        <w:t>Неутропения</w:t>
      </w:r>
    </w:p>
    <w:p w14:paraId="5C4A55D5" w14:textId="77777777" w:rsidR="002C7D88" w:rsidRPr="002C7D88" w:rsidRDefault="002C7D88" w:rsidP="002C7D88">
      <w:pPr>
        <w:spacing w:line="240" w:lineRule="auto"/>
        <w:rPr>
          <w:rFonts w:eastAsia="Times New Roman" w:cs="Arial"/>
        </w:rPr>
      </w:pPr>
      <w:r w:rsidRPr="002C7D88">
        <w:rPr>
          <w:rFonts w:eastAsia="Times New Roman" w:cs="Arial"/>
          <w:color w:val="000000"/>
          <w:lang w:eastAsia="bg-BG"/>
        </w:rPr>
        <w:t>Рискът от неутропения не може да се предвиди въз основа на броя на неутрофилите преди лечението. Неутропения обикновено възниква по време на първата или втората седмица на индукционна терапия. Броят на клетките обикновено се нормализира в рамките на 2 до 5 дни след преустановяване на лекарството или след намаляване на дозата (вж. точка 4.4).</w:t>
      </w:r>
    </w:p>
    <w:p w14:paraId="760ADB1B" w14:textId="77777777" w:rsidR="002C7D88" w:rsidRDefault="002C7D88" w:rsidP="002C7D88">
      <w:pPr>
        <w:spacing w:line="240" w:lineRule="auto"/>
        <w:rPr>
          <w:rFonts w:eastAsia="Times New Roman" w:cs="Arial"/>
          <w:i/>
          <w:iCs/>
          <w:color w:val="000000"/>
          <w:lang w:eastAsia="bg-BG"/>
        </w:rPr>
      </w:pPr>
    </w:p>
    <w:p w14:paraId="2ACBAE03" w14:textId="10DFD569" w:rsidR="002C7D88" w:rsidRPr="002C7D88" w:rsidRDefault="002C7D88" w:rsidP="002C7D88">
      <w:pPr>
        <w:spacing w:line="240" w:lineRule="auto"/>
        <w:rPr>
          <w:rFonts w:eastAsia="Times New Roman" w:cs="Arial"/>
        </w:rPr>
      </w:pPr>
      <w:r w:rsidRPr="002C7D88">
        <w:rPr>
          <w:rFonts w:eastAsia="Times New Roman" w:cs="Arial"/>
          <w:i/>
          <w:iCs/>
          <w:color w:val="000000"/>
          <w:lang w:eastAsia="bg-BG"/>
        </w:rPr>
        <w:t>Тромбоцитопения</w:t>
      </w:r>
    </w:p>
    <w:p w14:paraId="62DF7690" w14:textId="77777777" w:rsidR="002C7D88" w:rsidRPr="002C7D88" w:rsidRDefault="002C7D88" w:rsidP="002C7D88">
      <w:pPr>
        <w:spacing w:line="240" w:lineRule="auto"/>
        <w:rPr>
          <w:rFonts w:eastAsia="Times New Roman" w:cs="Arial"/>
        </w:rPr>
      </w:pPr>
      <w:r w:rsidRPr="002C7D88">
        <w:rPr>
          <w:rFonts w:eastAsia="Times New Roman" w:cs="Arial"/>
          <w:color w:val="000000"/>
          <w:lang w:eastAsia="bg-BG"/>
        </w:rPr>
        <w:t>Пациентите с нисък изходен брой тромбоцити (&lt; 100 000</w:t>
      </w:r>
      <w:r w:rsidRPr="002C7D88">
        <w:rPr>
          <w:rFonts w:eastAsia="Times New Roman" w:cs="Arial"/>
          <w:color w:val="000000"/>
          <w:lang w:val="ru-RU"/>
        </w:rPr>
        <w:t>/</w:t>
      </w:r>
      <w:r w:rsidRPr="002C7D88">
        <w:rPr>
          <w:rFonts w:eastAsia="Times New Roman" w:cs="Arial"/>
          <w:color w:val="000000"/>
          <w:lang w:eastAsia="bg-BG"/>
        </w:rPr>
        <w:t>μ</w:t>
      </w:r>
      <w:r w:rsidRPr="002C7D88">
        <w:rPr>
          <w:rFonts w:eastAsia="Times New Roman" w:cs="Arial"/>
          <w:color w:val="000000"/>
          <w:lang w:val="en-US"/>
        </w:rPr>
        <w:t>L</w:t>
      </w:r>
      <w:r w:rsidRPr="002C7D88">
        <w:rPr>
          <w:rFonts w:eastAsia="Times New Roman" w:cs="Arial"/>
          <w:color w:val="000000"/>
          <w:lang w:val="ru-RU"/>
        </w:rPr>
        <w:t xml:space="preserve">) </w:t>
      </w:r>
      <w:r w:rsidRPr="002C7D88">
        <w:rPr>
          <w:rFonts w:eastAsia="Times New Roman" w:cs="Arial"/>
          <w:color w:val="000000"/>
          <w:lang w:eastAsia="bg-BG"/>
        </w:rPr>
        <w:t>имат повишен риск от развитие на тромбоцитопения. Пациентите с ятрогенна имуносупресия, поради лечение с имуносупресори са изложени на по-голям риск от тромбоцитопения, отколкото тези със СПИН (вж. точка 4.4). Тежката тромбоцитопения може да бъде свързана с потенциално животозастрашаващо кървене.</w:t>
      </w:r>
    </w:p>
    <w:p w14:paraId="107AA58F" w14:textId="77777777" w:rsidR="002C7D88" w:rsidRDefault="002C7D88" w:rsidP="002C7D88">
      <w:pPr>
        <w:spacing w:line="240" w:lineRule="auto"/>
        <w:rPr>
          <w:rFonts w:eastAsia="Times New Roman" w:cs="Arial"/>
          <w:i/>
          <w:iCs/>
          <w:color w:val="000000"/>
          <w:lang w:eastAsia="bg-BG"/>
        </w:rPr>
      </w:pPr>
    </w:p>
    <w:p w14:paraId="31D46B79" w14:textId="1984A355" w:rsidR="002C7D88" w:rsidRPr="002C7D88" w:rsidRDefault="002C7D88" w:rsidP="002C7D88">
      <w:pPr>
        <w:spacing w:line="240" w:lineRule="auto"/>
        <w:rPr>
          <w:rFonts w:eastAsia="Times New Roman" w:cs="Arial"/>
        </w:rPr>
      </w:pPr>
      <w:r w:rsidRPr="002C7D88">
        <w:rPr>
          <w:rFonts w:eastAsia="Times New Roman" w:cs="Arial"/>
          <w:i/>
          <w:iCs/>
          <w:color w:val="000000"/>
          <w:lang w:eastAsia="bg-BG"/>
        </w:rPr>
        <w:t xml:space="preserve">Влияние на продължителността на лечение или показанието върху нежеланите реакции </w:t>
      </w:r>
      <w:r w:rsidRPr="002C7D88">
        <w:rPr>
          <w:rFonts w:eastAsia="Times New Roman" w:cs="Arial"/>
          <w:color w:val="000000"/>
          <w:lang w:eastAsia="bg-BG"/>
        </w:rPr>
        <w:t xml:space="preserve">Тежка неутропения </w:t>
      </w:r>
      <w:r w:rsidRPr="002C7D88">
        <w:rPr>
          <w:rFonts w:eastAsia="Times New Roman" w:cs="Arial"/>
          <w:color w:val="000000"/>
          <w:lang w:val="ru-RU"/>
        </w:rPr>
        <w:t>(</w:t>
      </w:r>
      <w:r w:rsidRPr="002C7D88">
        <w:rPr>
          <w:rFonts w:eastAsia="Times New Roman" w:cs="Arial"/>
          <w:color w:val="000000"/>
          <w:lang w:val="en-US"/>
        </w:rPr>
        <w:t>ANC</w:t>
      </w:r>
      <w:r w:rsidRPr="002C7D88">
        <w:rPr>
          <w:rFonts w:eastAsia="Times New Roman" w:cs="Arial"/>
          <w:color w:val="000000"/>
          <w:lang w:val="ru-RU"/>
        </w:rPr>
        <w:t xml:space="preserve"> </w:t>
      </w:r>
      <w:r w:rsidRPr="002C7D88">
        <w:rPr>
          <w:rFonts w:eastAsia="Times New Roman" w:cs="Arial"/>
          <w:color w:val="000000"/>
          <w:lang w:eastAsia="bg-BG"/>
        </w:rPr>
        <w:t xml:space="preserve">&lt; </w:t>
      </w:r>
      <w:r w:rsidRPr="002C7D88">
        <w:rPr>
          <w:rFonts w:eastAsia="Times New Roman" w:cs="Arial"/>
          <w:color w:val="000000"/>
          <w:lang w:val="ru-RU"/>
        </w:rPr>
        <w:t>500/</w:t>
      </w:r>
      <w:r w:rsidRPr="002C7D88">
        <w:rPr>
          <w:rFonts w:eastAsia="Times New Roman" w:cs="Arial"/>
          <w:color w:val="000000"/>
          <w:lang w:eastAsia="bg-BG"/>
        </w:rPr>
        <w:t>μ</w:t>
      </w:r>
      <w:r w:rsidRPr="002C7D88">
        <w:rPr>
          <w:rFonts w:eastAsia="Times New Roman" w:cs="Arial"/>
          <w:color w:val="000000"/>
          <w:lang w:val="en-US"/>
        </w:rPr>
        <w:t>L</w:t>
      </w:r>
      <w:r w:rsidRPr="002C7D88">
        <w:rPr>
          <w:rFonts w:eastAsia="Times New Roman" w:cs="Arial"/>
          <w:color w:val="000000"/>
          <w:lang w:val="ru-RU"/>
        </w:rPr>
        <w:t xml:space="preserve">) </w:t>
      </w:r>
      <w:r w:rsidRPr="002C7D88">
        <w:rPr>
          <w:rFonts w:eastAsia="Times New Roman" w:cs="Arial"/>
          <w:color w:val="000000"/>
          <w:lang w:eastAsia="bg-BG"/>
        </w:rPr>
        <w:t xml:space="preserve">се наблюдава по-често при пациенти с </w:t>
      </w:r>
      <w:r w:rsidRPr="002C7D88">
        <w:rPr>
          <w:rFonts w:eastAsia="Times New Roman" w:cs="Arial"/>
          <w:color w:val="000000"/>
          <w:lang w:val="en-US"/>
        </w:rPr>
        <w:t>CMV</w:t>
      </w:r>
      <w:r w:rsidRPr="002C7D88">
        <w:rPr>
          <w:rFonts w:eastAsia="Times New Roman" w:cs="Arial"/>
          <w:color w:val="000000"/>
          <w:lang w:val="ru-RU"/>
        </w:rPr>
        <w:t xml:space="preserve"> </w:t>
      </w:r>
      <w:r w:rsidRPr="002C7D88">
        <w:rPr>
          <w:rFonts w:eastAsia="Times New Roman" w:cs="Arial"/>
          <w:color w:val="000000"/>
          <w:lang w:eastAsia="bg-BG"/>
        </w:rPr>
        <w:t xml:space="preserve">ретинит (14 %), подложени на лечение с валганцикловир, интравенозен или перорален ганцикловир отколкото при пациенти с трансплантация на солидни органи, получаващи </w:t>
      </w:r>
      <w:r w:rsidRPr="002C7D88">
        <w:rPr>
          <w:rFonts w:eastAsia="Times New Roman" w:cs="Arial"/>
          <w:color w:val="000000"/>
          <w:lang w:eastAsia="bg-BG"/>
        </w:rPr>
        <w:lastRenderedPageBreak/>
        <w:t>валганцикловир или перорален ганцикловир. При пациентите, получаващи валганцикловир или перорален ганцикловир до Ден 100 след трансплантацията, честотата на тежка неутропения е съответно 5 % и 3 %, докато при пациентите, получаващи валганцикловир до Ден 200 след трансплантацията, честотата на тежка неутропения е 10 %.</w:t>
      </w:r>
    </w:p>
    <w:p w14:paraId="20FB34F3" w14:textId="77777777" w:rsidR="002C7D88" w:rsidRDefault="002C7D88" w:rsidP="002C7D88">
      <w:pPr>
        <w:spacing w:line="240" w:lineRule="auto"/>
        <w:rPr>
          <w:rFonts w:eastAsia="Times New Roman" w:cs="Arial"/>
          <w:color w:val="000000"/>
          <w:lang w:eastAsia="bg-BG"/>
        </w:rPr>
      </w:pPr>
    </w:p>
    <w:p w14:paraId="3D2BCFC8" w14:textId="4C2E22D5" w:rsidR="002C7D88" w:rsidRPr="002C7D88" w:rsidRDefault="002C7D88" w:rsidP="002C7D88">
      <w:pPr>
        <w:spacing w:line="240" w:lineRule="auto"/>
        <w:rPr>
          <w:rFonts w:eastAsia="Times New Roman" w:cs="Arial"/>
        </w:rPr>
      </w:pPr>
      <w:r w:rsidRPr="002C7D88">
        <w:rPr>
          <w:rFonts w:eastAsia="Times New Roman" w:cs="Arial"/>
          <w:color w:val="000000"/>
          <w:lang w:eastAsia="bg-BG"/>
        </w:rPr>
        <w:t xml:space="preserve">Наблюдавано е по-голямо повишение на серумния креатинин при пациенти с трансплантация на солидни органи, лекувани до Ден 100 или Ден 200 след трансплантацията както с валганцикловир, така и с перорален ганцикловир, в сравнение с пациенти с </w:t>
      </w:r>
      <w:r w:rsidRPr="002C7D88">
        <w:rPr>
          <w:rFonts w:eastAsia="Times New Roman" w:cs="Arial"/>
          <w:color w:val="000000"/>
          <w:lang w:val="en-US"/>
        </w:rPr>
        <w:t>CMV</w:t>
      </w:r>
      <w:r w:rsidRPr="002C7D88">
        <w:rPr>
          <w:rFonts w:eastAsia="Times New Roman" w:cs="Arial"/>
          <w:color w:val="000000"/>
          <w:lang w:val="ru-RU"/>
        </w:rPr>
        <w:t xml:space="preserve"> </w:t>
      </w:r>
      <w:r w:rsidRPr="002C7D88">
        <w:rPr>
          <w:rFonts w:eastAsia="Times New Roman" w:cs="Arial"/>
          <w:color w:val="000000"/>
          <w:lang w:eastAsia="bg-BG"/>
        </w:rPr>
        <w:t>ретинит. Увредената бъбречна функция обаче е обща характеристика за пациентите с трансплантация на солидни органи.</w:t>
      </w:r>
    </w:p>
    <w:p w14:paraId="6F985C22" w14:textId="77777777" w:rsidR="002C7D88" w:rsidRDefault="002C7D88" w:rsidP="002C7D88">
      <w:pPr>
        <w:spacing w:line="240" w:lineRule="auto"/>
        <w:rPr>
          <w:rFonts w:eastAsia="Times New Roman" w:cs="Arial"/>
          <w:color w:val="000000"/>
          <w:lang w:eastAsia="bg-BG"/>
        </w:rPr>
      </w:pPr>
    </w:p>
    <w:p w14:paraId="54CF08CB" w14:textId="602B1382" w:rsidR="002C7D88" w:rsidRPr="002C7D88" w:rsidRDefault="002C7D88" w:rsidP="002C7D88">
      <w:pPr>
        <w:spacing w:line="240" w:lineRule="auto"/>
        <w:rPr>
          <w:rFonts w:eastAsia="Times New Roman" w:cs="Arial"/>
        </w:rPr>
      </w:pPr>
      <w:r w:rsidRPr="002C7D88">
        <w:rPr>
          <w:rFonts w:eastAsia="Times New Roman" w:cs="Arial"/>
          <w:color w:val="000000"/>
          <w:lang w:eastAsia="bg-BG"/>
        </w:rPr>
        <w:t>Общият профил на безопасност на Валцит не се променя при продължаване на профилактиката до 200 дни при високорискови пациенти с бъбречна трансплантация. Левкопения се съобщава с малко по- висока честота в рамото с 200 дни, докато честотата на неутропения, анемия и тромбоцитопения е подобна в двете рамена.</w:t>
      </w:r>
    </w:p>
    <w:p w14:paraId="6F9D1BE5" w14:textId="4313727F" w:rsidR="006F01DD" w:rsidRDefault="006F01DD" w:rsidP="006F01DD"/>
    <w:p w14:paraId="59ED7D83" w14:textId="77777777" w:rsidR="002C7D88" w:rsidRPr="002C7D88" w:rsidRDefault="002C7D88" w:rsidP="002C7D88">
      <w:pPr>
        <w:spacing w:line="240" w:lineRule="auto"/>
        <w:rPr>
          <w:rFonts w:eastAsia="Times New Roman" w:cs="Arial"/>
        </w:rPr>
      </w:pPr>
      <w:r w:rsidRPr="002C7D88">
        <w:rPr>
          <w:rFonts w:eastAsia="Times New Roman" w:cs="Arial"/>
          <w:i/>
          <w:iCs/>
          <w:color w:val="000000"/>
          <w:lang w:eastAsia="bg-BG"/>
        </w:rPr>
        <w:t>в) Педиатрична популация</w:t>
      </w:r>
    </w:p>
    <w:p w14:paraId="7EEBCEF2" w14:textId="77777777" w:rsidR="002C7D88" w:rsidRDefault="002C7D88" w:rsidP="002C7D88">
      <w:pPr>
        <w:spacing w:line="240" w:lineRule="auto"/>
        <w:rPr>
          <w:rFonts w:eastAsia="Times New Roman" w:cs="Arial"/>
          <w:color w:val="000000"/>
          <w:lang w:eastAsia="bg-BG"/>
        </w:rPr>
      </w:pPr>
    </w:p>
    <w:p w14:paraId="06F4DF30" w14:textId="438FCE58" w:rsidR="002C7D88" w:rsidRPr="002C7D88" w:rsidRDefault="002C7D88" w:rsidP="002C7D88">
      <w:pPr>
        <w:spacing w:line="240" w:lineRule="auto"/>
        <w:rPr>
          <w:rFonts w:eastAsia="Times New Roman" w:cs="Arial"/>
        </w:rPr>
      </w:pPr>
      <w:r w:rsidRPr="002C7D88">
        <w:rPr>
          <w:rFonts w:eastAsia="Times New Roman" w:cs="Arial"/>
          <w:color w:val="000000"/>
          <w:lang w:eastAsia="bg-BG"/>
        </w:rPr>
        <w:t xml:space="preserve">Валцит е изследван при 179 педиатрични пациенти с трансплантация на солидни органи с риск от развитие на </w:t>
      </w:r>
      <w:r w:rsidRPr="002C7D88">
        <w:rPr>
          <w:rFonts w:eastAsia="Times New Roman" w:cs="Arial"/>
          <w:color w:val="000000"/>
          <w:lang w:val="en-US"/>
        </w:rPr>
        <w:t>CMV</w:t>
      </w:r>
      <w:r w:rsidRPr="002C7D88">
        <w:rPr>
          <w:rFonts w:eastAsia="Times New Roman" w:cs="Arial"/>
          <w:color w:val="000000"/>
          <w:lang w:val="ru-RU"/>
        </w:rPr>
        <w:t xml:space="preserve"> </w:t>
      </w:r>
      <w:r w:rsidRPr="002C7D88">
        <w:rPr>
          <w:rFonts w:eastAsia="Times New Roman" w:cs="Arial"/>
          <w:color w:val="000000"/>
          <w:lang w:eastAsia="bg-BG"/>
        </w:rPr>
        <w:t xml:space="preserve">заболяване (на възраст от 3 седмици до 16 години) и при 133 новородени със симптоматично вродено </w:t>
      </w:r>
      <w:r w:rsidRPr="002C7D88">
        <w:rPr>
          <w:rFonts w:eastAsia="Times New Roman" w:cs="Arial"/>
          <w:color w:val="000000"/>
          <w:lang w:val="en-US"/>
        </w:rPr>
        <w:t>CMV</w:t>
      </w:r>
      <w:r w:rsidRPr="002C7D88">
        <w:rPr>
          <w:rFonts w:eastAsia="Times New Roman" w:cs="Arial"/>
          <w:color w:val="000000"/>
          <w:lang w:val="ru-RU"/>
        </w:rPr>
        <w:t xml:space="preserve"> </w:t>
      </w:r>
      <w:r w:rsidRPr="002C7D88">
        <w:rPr>
          <w:rFonts w:eastAsia="Times New Roman" w:cs="Arial"/>
          <w:color w:val="000000"/>
          <w:lang w:eastAsia="bg-BG"/>
        </w:rPr>
        <w:t>заболяване (на възраст от 2 до 31 дни) с продължителност на експозицията на ганцикловир от 2 до 200 дни.</w:t>
      </w:r>
    </w:p>
    <w:p w14:paraId="3BD10814" w14:textId="77777777" w:rsidR="002C7D88" w:rsidRDefault="002C7D88" w:rsidP="002C7D88">
      <w:pPr>
        <w:spacing w:line="240" w:lineRule="auto"/>
        <w:rPr>
          <w:rFonts w:eastAsia="Times New Roman" w:cs="Arial"/>
          <w:color w:val="000000"/>
          <w:lang w:eastAsia="bg-BG"/>
        </w:rPr>
      </w:pPr>
    </w:p>
    <w:p w14:paraId="7B22EAAF" w14:textId="376F16F8" w:rsidR="002C7D88" w:rsidRPr="002C7D88" w:rsidRDefault="002C7D88" w:rsidP="002C7D88">
      <w:pPr>
        <w:spacing w:line="240" w:lineRule="auto"/>
        <w:rPr>
          <w:rFonts w:eastAsia="Times New Roman" w:cs="Arial"/>
        </w:rPr>
      </w:pPr>
      <w:r w:rsidRPr="002C7D88">
        <w:rPr>
          <w:rFonts w:eastAsia="Times New Roman" w:cs="Arial"/>
          <w:color w:val="000000"/>
          <w:lang w:eastAsia="bg-BG"/>
        </w:rPr>
        <w:t>Най-често съобщаваните нежелани реакции при лечение в педиатричните клинични изпитвания са диария, гадене, неутропения, левкопения и анемия.</w:t>
      </w:r>
    </w:p>
    <w:p w14:paraId="0A3B6F90" w14:textId="77777777" w:rsidR="002C7D88" w:rsidRDefault="002C7D88" w:rsidP="002C7D88">
      <w:pPr>
        <w:spacing w:line="240" w:lineRule="auto"/>
        <w:rPr>
          <w:rFonts w:eastAsia="Times New Roman" w:cs="Arial"/>
          <w:color w:val="000000"/>
          <w:lang w:eastAsia="bg-BG"/>
        </w:rPr>
      </w:pPr>
    </w:p>
    <w:p w14:paraId="059228E6" w14:textId="5D2FB4E4" w:rsidR="002C7D88" w:rsidRPr="002C7D88" w:rsidRDefault="002C7D88" w:rsidP="002C7D88">
      <w:pPr>
        <w:spacing w:line="240" w:lineRule="auto"/>
        <w:rPr>
          <w:rFonts w:eastAsia="Times New Roman" w:cs="Arial"/>
        </w:rPr>
      </w:pPr>
      <w:r w:rsidRPr="002C7D88">
        <w:rPr>
          <w:rFonts w:eastAsia="Times New Roman" w:cs="Arial"/>
          <w:color w:val="000000"/>
          <w:lang w:eastAsia="bg-BG"/>
        </w:rPr>
        <w:t>При пациентите с трансплантация на солидни органи общият профил на безопасност при педиатричните пациенти е подобен на този при възрастните. Неутропения се съобщава с малко по- голяма честота в двете клинични изпитвания, проведени при педиатрични пациенти с трансплантация на солидни органи, в сравнение с възрастните, но няма корелация между неутропенията и инфекциозните нежелани събития в педиатричната популация. По-високият риск от цитопении при новородените и кърмачетата налага внимателно проследяване на кръвната картина при тези възрастови групи (вж. точка 4.4).</w:t>
      </w:r>
    </w:p>
    <w:p w14:paraId="4AA30814" w14:textId="77777777" w:rsidR="002C7D88" w:rsidRDefault="002C7D88" w:rsidP="002C7D88">
      <w:pPr>
        <w:spacing w:line="240" w:lineRule="auto"/>
        <w:rPr>
          <w:rFonts w:eastAsia="Times New Roman" w:cs="Arial"/>
          <w:color w:val="000000"/>
          <w:lang w:eastAsia="bg-BG"/>
        </w:rPr>
      </w:pPr>
    </w:p>
    <w:p w14:paraId="5337B3A1" w14:textId="2533ADE6" w:rsidR="002C7D88" w:rsidRPr="002C7D88" w:rsidRDefault="002C7D88" w:rsidP="002C7D88">
      <w:pPr>
        <w:spacing w:line="240" w:lineRule="auto"/>
        <w:rPr>
          <w:rFonts w:eastAsia="Times New Roman" w:cs="Arial"/>
        </w:rPr>
      </w:pPr>
      <w:r w:rsidRPr="002C7D88">
        <w:rPr>
          <w:rFonts w:eastAsia="Times New Roman" w:cs="Arial"/>
          <w:color w:val="000000"/>
          <w:lang w:eastAsia="bg-BG"/>
        </w:rPr>
        <w:t xml:space="preserve">При педиатрични пациенти с бъбречна трансплантация удължаването на експозицията на валганцикловир до 200 дни не е свързано с общо увеличение на честотата на нежеланите събития. Честотата на тежка неутропения (АБН &lt; </w:t>
      </w:r>
      <w:r w:rsidRPr="002C7D88">
        <w:rPr>
          <w:rFonts w:eastAsia="Times New Roman" w:cs="Arial"/>
          <w:color w:val="000000"/>
          <w:lang w:val="ru-RU"/>
        </w:rPr>
        <w:t>500/</w:t>
      </w:r>
      <w:r w:rsidRPr="002C7D88">
        <w:rPr>
          <w:rFonts w:eastAsia="Times New Roman" w:cs="Arial"/>
          <w:color w:val="000000"/>
          <w:lang w:eastAsia="bg-BG"/>
        </w:rPr>
        <w:t>μ</w:t>
      </w:r>
      <w:r w:rsidRPr="002C7D88">
        <w:rPr>
          <w:rFonts w:eastAsia="Times New Roman" w:cs="Arial"/>
          <w:color w:val="000000"/>
          <w:lang w:val="en-US"/>
        </w:rPr>
        <w:t>L</w:t>
      </w:r>
      <w:r w:rsidRPr="002C7D88">
        <w:rPr>
          <w:rFonts w:eastAsia="Times New Roman" w:cs="Arial"/>
          <w:color w:val="000000"/>
          <w:lang w:val="ru-RU"/>
        </w:rPr>
        <w:t xml:space="preserve">) </w:t>
      </w:r>
      <w:r w:rsidRPr="002C7D88">
        <w:rPr>
          <w:rFonts w:eastAsia="Times New Roman" w:cs="Arial"/>
          <w:color w:val="000000"/>
          <w:lang w:eastAsia="bg-BG"/>
        </w:rPr>
        <w:t>е по-висока при педиатричните пациенти с бъбречна трансплантация, лекувани до ден 200, в сравнение с педиатричните пациенти, лекувани до ден 100, и с възрастните пациенти с бъбречна трансплантация, лекувани до ден 100 или ден 200 (вж. точка 4.4).</w:t>
      </w:r>
    </w:p>
    <w:p w14:paraId="369EF540" w14:textId="77777777" w:rsidR="002C7D88" w:rsidRDefault="002C7D88" w:rsidP="002C7D88">
      <w:pPr>
        <w:spacing w:line="240" w:lineRule="auto"/>
        <w:rPr>
          <w:rFonts w:eastAsia="Times New Roman" w:cs="Arial"/>
          <w:color w:val="000000"/>
          <w:lang w:eastAsia="bg-BG"/>
        </w:rPr>
      </w:pPr>
    </w:p>
    <w:p w14:paraId="1AF30A8C" w14:textId="6B79B198" w:rsidR="002C7D88" w:rsidRPr="002C7D88" w:rsidRDefault="002C7D88" w:rsidP="002C7D88">
      <w:pPr>
        <w:spacing w:line="240" w:lineRule="auto"/>
        <w:rPr>
          <w:rFonts w:eastAsia="Times New Roman" w:cs="Arial"/>
        </w:rPr>
      </w:pPr>
      <w:r w:rsidRPr="002C7D88">
        <w:rPr>
          <w:rFonts w:eastAsia="Times New Roman" w:cs="Arial"/>
          <w:color w:val="000000"/>
          <w:lang w:eastAsia="bg-BG"/>
        </w:rPr>
        <w:t xml:space="preserve">Има само ограничени данни при новородените или кърмачетата със симптомна вродена </w:t>
      </w:r>
      <w:r w:rsidRPr="002C7D88">
        <w:rPr>
          <w:rFonts w:eastAsia="Times New Roman" w:cs="Arial"/>
          <w:color w:val="000000"/>
          <w:lang w:val="en-US"/>
        </w:rPr>
        <w:t>CMV</w:t>
      </w:r>
      <w:r w:rsidRPr="002C7D88">
        <w:rPr>
          <w:rFonts w:eastAsia="Times New Roman" w:cs="Arial"/>
          <w:color w:val="000000"/>
          <w:lang w:val="ru-RU"/>
        </w:rPr>
        <w:t xml:space="preserve"> </w:t>
      </w:r>
      <w:r w:rsidRPr="002C7D88">
        <w:rPr>
          <w:rFonts w:eastAsia="Times New Roman" w:cs="Arial"/>
          <w:color w:val="000000"/>
          <w:lang w:eastAsia="bg-BG"/>
        </w:rPr>
        <w:t>инфекция, лекувана с Валцит. Безопасността обаче изглежда съответства на известния профил на безопасност на валганцикловир/ганцикловир.</w:t>
      </w:r>
    </w:p>
    <w:p w14:paraId="50FA1F06" w14:textId="77777777" w:rsidR="002C7D88" w:rsidRDefault="002C7D88" w:rsidP="002C7D88">
      <w:pPr>
        <w:spacing w:line="240" w:lineRule="auto"/>
        <w:rPr>
          <w:rFonts w:eastAsia="Times New Roman" w:cs="Arial"/>
          <w:b/>
          <w:bCs/>
          <w:color w:val="000000"/>
          <w:u w:val="single"/>
          <w:lang w:eastAsia="bg-BG"/>
        </w:rPr>
      </w:pPr>
    </w:p>
    <w:p w14:paraId="78E85547" w14:textId="0B337AC9" w:rsidR="002C7D88" w:rsidRPr="002C7D88" w:rsidRDefault="002C7D88" w:rsidP="002C7D88">
      <w:pPr>
        <w:spacing w:line="240" w:lineRule="auto"/>
        <w:rPr>
          <w:rFonts w:eastAsia="Times New Roman" w:cs="Arial"/>
        </w:rPr>
      </w:pPr>
      <w:r w:rsidRPr="002C7D88">
        <w:rPr>
          <w:rFonts w:eastAsia="Times New Roman" w:cs="Arial"/>
          <w:b/>
          <w:bCs/>
          <w:color w:val="000000"/>
          <w:u w:val="single"/>
          <w:lang w:eastAsia="bg-BG"/>
        </w:rPr>
        <w:t>Съобщаване на подозирани нежелани реакции</w:t>
      </w:r>
    </w:p>
    <w:p w14:paraId="041C7C62" w14:textId="77777777" w:rsidR="002C7D88" w:rsidRPr="002C7D88" w:rsidRDefault="002C7D88" w:rsidP="002C7D88">
      <w:pPr>
        <w:spacing w:line="240" w:lineRule="auto"/>
        <w:rPr>
          <w:rFonts w:eastAsia="Times New Roman" w:cs="Arial"/>
        </w:rPr>
      </w:pPr>
      <w:r w:rsidRPr="002C7D88">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5AD9C592" w14:textId="77777777" w:rsidR="002C7D88" w:rsidRDefault="002C7D88" w:rsidP="002C7D88">
      <w:pPr>
        <w:spacing w:line="240" w:lineRule="auto"/>
        <w:rPr>
          <w:rFonts w:eastAsia="Times New Roman" w:cs="Arial"/>
          <w:color w:val="000000"/>
          <w:lang w:eastAsia="bg-BG"/>
        </w:rPr>
      </w:pPr>
    </w:p>
    <w:p w14:paraId="53DC6B2E" w14:textId="26851740" w:rsidR="002C7D88" w:rsidRPr="002C7D88" w:rsidRDefault="002C7D88" w:rsidP="002C7D88">
      <w:pPr>
        <w:spacing w:line="240" w:lineRule="auto"/>
        <w:rPr>
          <w:rFonts w:eastAsia="Times New Roman" w:cs="Arial"/>
        </w:rPr>
      </w:pPr>
      <w:r w:rsidRPr="002C7D88">
        <w:rPr>
          <w:rFonts w:eastAsia="Times New Roman" w:cs="Arial"/>
          <w:color w:val="000000"/>
          <w:lang w:eastAsia="bg-BG"/>
        </w:rPr>
        <w:t>Изпълнителната агенция по лекарствата</w:t>
      </w:r>
    </w:p>
    <w:p w14:paraId="4A08AAAA" w14:textId="77777777" w:rsidR="002C7D88" w:rsidRPr="002C7D88" w:rsidRDefault="002C7D88" w:rsidP="002C7D88">
      <w:pPr>
        <w:spacing w:line="240" w:lineRule="auto"/>
        <w:rPr>
          <w:rFonts w:eastAsia="Times New Roman" w:cs="Arial"/>
        </w:rPr>
      </w:pPr>
      <w:r w:rsidRPr="002C7D88">
        <w:rPr>
          <w:rFonts w:eastAsia="Times New Roman" w:cs="Arial"/>
          <w:color w:val="000000"/>
          <w:lang w:eastAsia="bg-BG"/>
        </w:rPr>
        <w:t>ул. „Дамян Груев” № 8</w:t>
      </w:r>
    </w:p>
    <w:p w14:paraId="49880543" w14:textId="77777777" w:rsidR="002C7D88" w:rsidRPr="002C7D88" w:rsidRDefault="002C7D88" w:rsidP="002C7D88">
      <w:pPr>
        <w:spacing w:line="240" w:lineRule="auto"/>
        <w:rPr>
          <w:rFonts w:eastAsia="Times New Roman" w:cs="Arial"/>
        </w:rPr>
      </w:pPr>
      <w:r w:rsidRPr="002C7D88">
        <w:rPr>
          <w:rFonts w:eastAsia="Times New Roman" w:cs="Arial"/>
          <w:color w:val="000000"/>
          <w:lang w:eastAsia="bg-BG"/>
        </w:rPr>
        <w:t>1303 София</w:t>
      </w:r>
    </w:p>
    <w:p w14:paraId="023EBC73" w14:textId="77777777" w:rsidR="002C7D88" w:rsidRPr="002C7D88" w:rsidRDefault="002C7D88" w:rsidP="002C7D88">
      <w:pPr>
        <w:spacing w:line="240" w:lineRule="auto"/>
        <w:rPr>
          <w:rFonts w:eastAsia="Times New Roman" w:cs="Arial"/>
        </w:rPr>
      </w:pPr>
      <w:r w:rsidRPr="002C7D88">
        <w:rPr>
          <w:rFonts w:eastAsia="Times New Roman" w:cs="Arial"/>
          <w:color w:val="000000"/>
          <w:lang w:eastAsia="bg-BG"/>
        </w:rPr>
        <w:t>Тел.: +35 928903417</w:t>
      </w:r>
    </w:p>
    <w:p w14:paraId="3BD04AD7" w14:textId="77777777" w:rsidR="002C7D88" w:rsidRPr="002C7D88" w:rsidRDefault="002C7D88" w:rsidP="002C7D88">
      <w:pPr>
        <w:spacing w:line="240" w:lineRule="auto"/>
        <w:rPr>
          <w:rFonts w:eastAsia="Times New Roman" w:cs="Arial"/>
        </w:rPr>
      </w:pPr>
      <w:r w:rsidRPr="002C7D88">
        <w:rPr>
          <w:rFonts w:eastAsia="Times New Roman" w:cs="Arial"/>
          <w:color w:val="000000"/>
          <w:lang w:eastAsia="bg-BG"/>
        </w:rPr>
        <w:t xml:space="preserve">уебсайт: </w:t>
      </w:r>
      <w:hyperlink r:id="rId5" w:history="1">
        <w:r w:rsidRPr="002C7D88">
          <w:rPr>
            <w:rFonts w:eastAsia="Times New Roman" w:cs="Arial"/>
            <w:color w:val="000000"/>
            <w:u w:val="single"/>
            <w:lang w:val="en-US"/>
          </w:rPr>
          <w:t>www</w:t>
        </w:r>
        <w:r w:rsidRPr="002C7D88">
          <w:rPr>
            <w:rFonts w:eastAsia="Times New Roman" w:cs="Arial"/>
            <w:color w:val="000000"/>
            <w:u w:val="single"/>
            <w:lang w:val="ru-RU"/>
          </w:rPr>
          <w:t>.</w:t>
        </w:r>
        <w:r w:rsidRPr="002C7D88">
          <w:rPr>
            <w:rFonts w:eastAsia="Times New Roman" w:cs="Arial"/>
            <w:color w:val="000000"/>
            <w:u w:val="single"/>
            <w:lang w:val="en-US"/>
          </w:rPr>
          <w:t>bda</w:t>
        </w:r>
        <w:r w:rsidRPr="002C7D88">
          <w:rPr>
            <w:rFonts w:eastAsia="Times New Roman" w:cs="Arial"/>
            <w:color w:val="000000"/>
            <w:u w:val="single"/>
            <w:lang w:val="ru-RU"/>
          </w:rPr>
          <w:t>.</w:t>
        </w:r>
        <w:r w:rsidRPr="002C7D88">
          <w:rPr>
            <w:rFonts w:eastAsia="Times New Roman" w:cs="Arial"/>
            <w:color w:val="000000"/>
            <w:u w:val="single"/>
            <w:lang w:val="en-US"/>
          </w:rPr>
          <w:t>bg</w:t>
        </w:r>
      </w:hyperlink>
    </w:p>
    <w:p w14:paraId="5C1C4C93" w14:textId="77777777" w:rsidR="002C7D88" w:rsidRPr="006F01DD" w:rsidRDefault="002C7D88" w:rsidP="006F01DD"/>
    <w:p w14:paraId="0A023CE0" w14:textId="6F7D4B47" w:rsidR="00CF77F7" w:rsidRDefault="002C50EE" w:rsidP="004A448E">
      <w:pPr>
        <w:pStyle w:val="Heading2"/>
      </w:pPr>
      <w:r>
        <w:t>4.9. Предозиране</w:t>
      </w:r>
    </w:p>
    <w:p w14:paraId="34BDC972" w14:textId="6FE5EE8E" w:rsidR="002C7D88" w:rsidRDefault="002C7D88" w:rsidP="002C7D88"/>
    <w:p w14:paraId="7822BABE" w14:textId="77777777" w:rsidR="002C7D88" w:rsidRPr="002C7D88" w:rsidRDefault="002C7D88" w:rsidP="002C7D88">
      <w:pPr>
        <w:spacing w:line="240" w:lineRule="auto"/>
        <w:rPr>
          <w:rFonts w:eastAsia="Times New Roman" w:cs="Arial"/>
        </w:rPr>
      </w:pPr>
      <w:r w:rsidRPr="002C7D88">
        <w:rPr>
          <w:rFonts w:eastAsia="Times New Roman" w:cs="Arial"/>
          <w:color w:val="000000"/>
          <w:u w:val="single"/>
          <w:lang w:eastAsia="bg-BG"/>
        </w:rPr>
        <w:t>Опит с предозиране на валганцикловир и интравенозен ганцикловир</w:t>
      </w:r>
    </w:p>
    <w:p w14:paraId="6763060E" w14:textId="77777777" w:rsidR="002C7D88" w:rsidRPr="002C7D88" w:rsidRDefault="002C7D88" w:rsidP="002C7D88">
      <w:pPr>
        <w:spacing w:line="240" w:lineRule="auto"/>
        <w:rPr>
          <w:rFonts w:eastAsia="Times New Roman" w:cs="Arial"/>
        </w:rPr>
      </w:pPr>
      <w:r w:rsidRPr="002C7D88">
        <w:rPr>
          <w:rFonts w:eastAsia="Times New Roman" w:cs="Arial"/>
          <w:color w:val="000000"/>
          <w:lang w:eastAsia="bg-BG"/>
        </w:rPr>
        <w:t>Очаква се, че предозиране на валганцикловир би могло да доведе до повишена бъбречна токсичност (вж. точки 4.2 и 4.4).</w:t>
      </w:r>
    </w:p>
    <w:p w14:paraId="1A504F4F" w14:textId="77777777" w:rsidR="002C7D88" w:rsidRDefault="002C7D88" w:rsidP="002C7D88">
      <w:pPr>
        <w:spacing w:line="240" w:lineRule="auto"/>
        <w:rPr>
          <w:rFonts w:eastAsia="Times New Roman" w:cs="Arial"/>
          <w:color w:val="000000"/>
          <w:lang w:eastAsia="bg-BG"/>
        </w:rPr>
      </w:pPr>
    </w:p>
    <w:p w14:paraId="5CEC2AD0" w14:textId="180531B3" w:rsidR="002C7D88" w:rsidRPr="002C7D88" w:rsidRDefault="002C7D88" w:rsidP="002C7D88">
      <w:pPr>
        <w:spacing w:line="240" w:lineRule="auto"/>
        <w:rPr>
          <w:rFonts w:eastAsia="Times New Roman" w:cs="Arial"/>
        </w:rPr>
      </w:pPr>
      <w:r w:rsidRPr="002C7D88">
        <w:rPr>
          <w:rFonts w:eastAsia="Times New Roman" w:cs="Arial"/>
          <w:color w:val="000000"/>
          <w:lang w:eastAsia="bg-BG"/>
        </w:rPr>
        <w:t>Съобщения за предозиране на интравенозен ганцикловир, някои с летален изход, са получени от клинични проучвания и по време на постмаркетинговия опит. В някои от тези случаи не се съобщават нежелани събития. Повечето от пациентите са имали едно или повече от следните нежелани събития:</w:t>
      </w:r>
    </w:p>
    <w:p w14:paraId="032080E2" w14:textId="77777777" w:rsidR="002C7D88" w:rsidRPr="002C7D88" w:rsidRDefault="002C7D88" w:rsidP="002C7D88">
      <w:pPr>
        <w:pStyle w:val="ListParagraph"/>
        <w:numPr>
          <w:ilvl w:val="0"/>
          <w:numId w:val="2"/>
        </w:numPr>
        <w:spacing w:line="240" w:lineRule="auto"/>
        <w:rPr>
          <w:rFonts w:eastAsia="Times New Roman" w:cs="Arial"/>
          <w:i/>
          <w:iCs/>
          <w:color w:val="000000"/>
          <w:lang w:eastAsia="bg-BG"/>
        </w:rPr>
      </w:pPr>
      <w:r w:rsidRPr="002C7D88">
        <w:rPr>
          <w:rFonts w:eastAsia="Times New Roman" w:cs="Arial"/>
          <w:i/>
          <w:iCs/>
          <w:color w:val="000000"/>
          <w:lang w:eastAsia="bg-BG"/>
        </w:rPr>
        <w:t>Хематологична токсичност:</w:t>
      </w:r>
      <w:r w:rsidRPr="002C7D88">
        <w:rPr>
          <w:rFonts w:eastAsia="Times New Roman" w:cs="Arial"/>
          <w:color w:val="000000"/>
          <w:lang w:eastAsia="bg-BG"/>
        </w:rPr>
        <w:t xml:space="preserve"> миелосупресия, включително панцитопения, костномозъчна недостатъчност, левкопения, неутропения, гранулоцитопения.</w:t>
      </w:r>
    </w:p>
    <w:p w14:paraId="26A1558F" w14:textId="77777777" w:rsidR="002C7D88" w:rsidRPr="002C7D88" w:rsidRDefault="002C7D88" w:rsidP="002C7D88">
      <w:pPr>
        <w:pStyle w:val="ListParagraph"/>
        <w:numPr>
          <w:ilvl w:val="0"/>
          <w:numId w:val="2"/>
        </w:numPr>
        <w:spacing w:line="240" w:lineRule="auto"/>
        <w:rPr>
          <w:rFonts w:eastAsia="Times New Roman" w:cs="Arial"/>
          <w:i/>
          <w:iCs/>
          <w:color w:val="000000"/>
          <w:lang w:eastAsia="bg-BG"/>
        </w:rPr>
      </w:pPr>
      <w:r w:rsidRPr="002C7D88">
        <w:rPr>
          <w:rFonts w:eastAsia="Times New Roman" w:cs="Arial"/>
          <w:i/>
          <w:iCs/>
          <w:color w:val="000000"/>
          <w:lang w:eastAsia="bg-BG"/>
        </w:rPr>
        <w:t>Хепатотоксичност:</w:t>
      </w:r>
      <w:r w:rsidRPr="002C7D88">
        <w:rPr>
          <w:rFonts w:eastAsia="Times New Roman" w:cs="Arial"/>
          <w:color w:val="000000"/>
          <w:lang w:eastAsia="bg-BG"/>
        </w:rPr>
        <w:t xml:space="preserve"> хепатит, функционални чернодробни нарушения.</w:t>
      </w:r>
    </w:p>
    <w:p w14:paraId="5F5B0682" w14:textId="77777777" w:rsidR="002C7D88" w:rsidRPr="002C7D88" w:rsidRDefault="002C7D88" w:rsidP="002C7D88">
      <w:pPr>
        <w:pStyle w:val="ListParagraph"/>
        <w:numPr>
          <w:ilvl w:val="0"/>
          <w:numId w:val="2"/>
        </w:numPr>
        <w:spacing w:line="240" w:lineRule="auto"/>
        <w:rPr>
          <w:rFonts w:eastAsia="Times New Roman" w:cs="Arial"/>
          <w:i/>
          <w:iCs/>
          <w:color w:val="000000"/>
          <w:lang w:eastAsia="bg-BG"/>
        </w:rPr>
      </w:pPr>
      <w:r w:rsidRPr="002C7D88">
        <w:rPr>
          <w:rFonts w:eastAsia="Times New Roman" w:cs="Arial"/>
          <w:i/>
          <w:iCs/>
          <w:color w:val="000000"/>
          <w:lang w:eastAsia="bg-BG"/>
        </w:rPr>
        <w:t>Бъбречна токсичност:</w:t>
      </w:r>
      <w:r w:rsidRPr="002C7D88">
        <w:rPr>
          <w:rFonts w:eastAsia="Times New Roman" w:cs="Arial"/>
          <w:color w:val="000000"/>
          <w:lang w:eastAsia="bg-BG"/>
        </w:rPr>
        <w:t xml:space="preserve"> влошаване на хематурия при пациент с предшестващо бъбречно увреждане</w:t>
      </w:r>
      <w:r w:rsidRPr="002C7D88">
        <w:rPr>
          <w:rFonts w:eastAsia="Times New Roman" w:cs="Arial"/>
          <w:color w:val="000000"/>
          <w:lang w:val="ru-RU" w:eastAsia="bg-BG"/>
        </w:rPr>
        <w:t xml:space="preserve"> </w:t>
      </w:r>
      <w:r w:rsidRPr="002C7D88">
        <w:rPr>
          <w:rFonts w:eastAsia="Times New Roman" w:cs="Arial"/>
          <w:color w:val="000000"/>
          <w:lang w:eastAsia="bg-BG"/>
        </w:rPr>
        <w:t>остро бъбречно увреждане, повишен креатинин.</w:t>
      </w:r>
    </w:p>
    <w:p w14:paraId="5814667D" w14:textId="77777777" w:rsidR="002C7D88" w:rsidRPr="002C7D88" w:rsidRDefault="002C7D88" w:rsidP="002C7D88">
      <w:pPr>
        <w:pStyle w:val="ListParagraph"/>
        <w:numPr>
          <w:ilvl w:val="0"/>
          <w:numId w:val="2"/>
        </w:numPr>
        <w:spacing w:line="240" w:lineRule="auto"/>
        <w:rPr>
          <w:rFonts w:eastAsia="Times New Roman" w:cs="Arial"/>
          <w:i/>
          <w:iCs/>
          <w:color w:val="000000"/>
          <w:lang w:eastAsia="bg-BG"/>
        </w:rPr>
      </w:pPr>
      <w:r w:rsidRPr="002C7D88">
        <w:rPr>
          <w:rFonts w:eastAsia="Times New Roman" w:cs="Arial"/>
          <w:i/>
          <w:iCs/>
          <w:color w:val="000000"/>
          <w:lang w:eastAsia="bg-BG"/>
        </w:rPr>
        <w:t>Стомашно-чревна токсичност:</w:t>
      </w:r>
      <w:r w:rsidRPr="002C7D88">
        <w:rPr>
          <w:rFonts w:eastAsia="Times New Roman" w:cs="Arial"/>
          <w:color w:val="000000"/>
          <w:lang w:eastAsia="bg-BG"/>
        </w:rPr>
        <w:t xml:space="preserve"> коремна болка, диария, повръщане.</w:t>
      </w:r>
    </w:p>
    <w:p w14:paraId="3DBF01FE" w14:textId="34C3D6CE" w:rsidR="002C7D88" w:rsidRPr="002C7D88" w:rsidRDefault="002C7D88" w:rsidP="002C7D88">
      <w:pPr>
        <w:pStyle w:val="ListParagraph"/>
        <w:numPr>
          <w:ilvl w:val="0"/>
          <w:numId w:val="2"/>
        </w:numPr>
        <w:spacing w:line="240" w:lineRule="auto"/>
        <w:rPr>
          <w:rFonts w:eastAsia="Times New Roman" w:cs="Arial"/>
          <w:i/>
          <w:iCs/>
          <w:color w:val="000000"/>
          <w:lang w:eastAsia="bg-BG"/>
        </w:rPr>
      </w:pPr>
      <w:r w:rsidRPr="002C7D88">
        <w:rPr>
          <w:rFonts w:eastAsia="Times New Roman" w:cs="Arial"/>
          <w:i/>
          <w:iCs/>
          <w:color w:val="000000"/>
          <w:lang w:eastAsia="bg-BG"/>
        </w:rPr>
        <w:t>Невротоксичност:</w:t>
      </w:r>
      <w:r w:rsidRPr="002C7D88">
        <w:rPr>
          <w:rFonts w:eastAsia="Times New Roman" w:cs="Arial"/>
          <w:color w:val="000000"/>
          <w:lang w:eastAsia="bg-BG"/>
        </w:rPr>
        <w:t xml:space="preserve"> генерализиран тремор, гърчове.</w:t>
      </w:r>
    </w:p>
    <w:p w14:paraId="7A2D1B52" w14:textId="77777777" w:rsidR="002C7D88" w:rsidRDefault="002C7D88" w:rsidP="002C7D88">
      <w:pPr>
        <w:spacing w:line="240" w:lineRule="auto"/>
        <w:rPr>
          <w:rFonts w:eastAsia="Times New Roman" w:cs="Arial"/>
          <w:color w:val="000000"/>
          <w:lang w:eastAsia="bg-BG"/>
        </w:rPr>
      </w:pPr>
    </w:p>
    <w:p w14:paraId="63BC3F9E" w14:textId="21ACB875" w:rsidR="002C7D88" w:rsidRPr="002C7D88" w:rsidRDefault="002C7D88" w:rsidP="002C7D88">
      <w:pPr>
        <w:spacing w:line="240" w:lineRule="auto"/>
        <w:rPr>
          <w:rFonts w:eastAsia="Times New Roman" w:cs="Arial"/>
        </w:rPr>
      </w:pPr>
      <w:r w:rsidRPr="002C7D88">
        <w:rPr>
          <w:rFonts w:eastAsia="Times New Roman" w:cs="Arial"/>
          <w:color w:val="000000"/>
          <w:lang w:eastAsia="bg-BG"/>
        </w:rPr>
        <w:t>Хемодиализата и хидратирането могат да бъдат от полза за намаляване на плазмените нива в кръвта при пациенти с предозиране на валганцикловир (вж. точка 5.2).</w:t>
      </w:r>
    </w:p>
    <w:p w14:paraId="1D3B65F5" w14:textId="2F7E092F" w:rsidR="002C7D88" w:rsidRPr="002C7D88" w:rsidRDefault="002C7D88" w:rsidP="002C7D88"/>
    <w:p w14:paraId="02081B24" w14:textId="1F46E296" w:rsidR="00395555" w:rsidRPr="00395555" w:rsidRDefault="002C50EE" w:rsidP="008A6AF2">
      <w:pPr>
        <w:pStyle w:val="Heading1"/>
      </w:pPr>
      <w:r>
        <w:t>5. ФАРМАКОЛОГИЧНИ СВОЙСТВА</w:t>
      </w:r>
    </w:p>
    <w:p w14:paraId="32B6DE66" w14:textId="1133153C" w:rsidR="00CF77F7" w:rsidRDefault="002C50EE" w:rsidP="004A448E">
      <w:pPr>
        <w:pStyle w:val="Heading2"/>
      </w:pPr>
      <w:r>
        <w:t>5.1. Фармакодинамични свойства</w:t>
      </w:r>
    </w:p>
    <w:p w14:paraId="6FC26B5F" w14:textId="109E0DC8" w:rsidR="002C7D88" w:rsidRDefault="002C7D88" w:rsidP="002C7D88"/>
    <w:p w14:paraId="7C41BA93" w14:textId="77777777" w:rsidR="002C7D88" w:rsidRPr="002C7D88" w:rsidRDefault="002C7D88" w:rsidP="002C7D88">
      <w:pPr>
        <w:spacing w:line="240" w:lineRule="auto"/>
        <w:rPr>
          <w:rFonts w:eastAsia="Times New Roman" w:cs="Arial"/>
        </w:rPr>
      </w:pPr>
      <w:r w:rsidRPr="002C7D88">
        <w:rPr>
          <w:rFonts w:eastAsia="Times New Roman" w:cs="Arial"/>
          <w:color w:val="000000"/>
          <w:lang w:eastAsia="bg-BG"/>
        </w:rPr>
        <w:t xml:space="preserve">Фармакотерапевтична група: противовирусни средства за системно приложение, нуклеозиди и нуклеотиди с изключение на инхибитори на обратната транскриптаза АТС код: </w:t>
      </w:r>
      <w:r w:rsidRPr="002C7D88">
        <w:rPr>
          <w:rFonts w:eastAsia="Times New Roman" w:cs="Arial"/>
          <w:color w:val="000000"/>
          <w:lang w:val="en-US"/>
        </w:rPr>
        <w:t>JO</w:t>
      </w:r>
      <w:r w:rsidRPr="002C7D88">
        <w:rPr>
          <w:rFonts w:eastAsia="Times New Roman" w:cs="Arial"/>
          <w:color w:val="000000"/>
          <w:lang w:val="ru-RU"/>
        </w:rPr>
        <w:t>5</w:t>
      </w:r>
      <w:r w:rsidRPr="002C7D88">
        <w:rPr>
          <w:rFonts w:eastAsia="Times New Roman" w:cs="Arial"/>
          <w:color w:val="000000"/>
          <w:lang w:val="en-US"/>
        </w:rPr>
        <w:t>A</w:t>
      </w:r>
      <w:r w:rsidRPr="002C7D88">
        <w:rPr>
          <w:rFonts w:eastAsia="Times New Roman" w:cs="Arial"/>
          <w:color w:val="000000"/>
          <w:lang w:val="ru-RU"/>
        </w:rPr>
        <w:t xml:space="preserve"> </w:t>
      </w:r>
      <w:r w:rsidRPr="002C7D88">
        <w:rPr>
          <w:rFonts w:eastAsia="Times New Roman" w:cs="Arial"/>
          <w:color w:val="000000"/>
          <w:lang w:eastAsia="bg-BG"/>
        </w:rPr>
        <w:t>В14.</w:t>
      </w:r>
    </w:p>
    <w:p w14:paraId="45635205" w14:textId="77777777" w:rsidR="002C7D88" w:rsidRDefault="002C7D88" w:rsidP="002C7D88">
      <w:pPr>
        <w:spacing w:line="240" w:lineRule="auto"/>
        <w:rPr>
          <w:rFonts w:eastAsia="Times New Roman" w:cs="Arial"/>
          <w:color w:val="000000"/>
          <w:u w:val="single"/>
          <w:lang w:eastAsia="bg-BG"/>
        </w:rPr>
      </w:pPr>
    </w:p>
    <w:p w14:paraId="009F91E4" w14:textId="3499E1B9" w:rsidR="002C7D88" w:rsidRPr="002C7D88" w:rsidRDefault="002C7D88" w:rsidP="002C7D88">
      <w:pPr>
        <w:spacing w:line="240" w:lineRule="auto"/>
        <w:rPr>
          <w:rFonts w:eastAsia="Times New Roman" w:cs="Arial"/>
        </w:rPr>
      </w:pPr>
      <w:r w:rsidRPr="002C7D88">
        <w:rPr>
          <w:rFonts w:eastAsia="Times New Roman" w:cs="Arial"/>
          <w:color w:val="000000"/>
          <w:u w:val="single"/>
          <w:lang w:eastAsia="bg-BG"/>
        </w:rPr>
        <w:t>Механизъм на действие</w:t>
      </w:r>
    </w:p>
    <w:p w14:paraId="433C88AC" w14:textId="77777777" w:rsidR="002C7D88" w:rsidRDefault="002C7D88" w:rsidP="002C7D88">
      <w:pPr>
        <w:spacing w:line="240" w:lineRule="auto"/>
        <w:rPr>
          <w:rFonts w:eastAsia="Times New Roman" w:cs="Arial"/>
          <w:color w:val="000000"/>
          <w:lang w:eastAsia="bg-BG"/>
        </w:rPr>
      </w:pPr>
    </w:p>
    <w:p w14:paraId="04AC8E4E" w14:textId="0E75409D" w:rsidR="002C7D88" w:rsidRPr="002C7D88" w:rsidRDefault="002C7D88" w:rsidP="002C7D88">
      <w:pPr>
        <w:spacing w:line="240" w:lineRule="auto"/>
        <w:rPr>
          <w:rFonts w:eastAsia="Times New Roman" w:cs="Arial"/>
        </w:rPr>
      </w:pPr>
      <w:r w:rsidRPr="002C7D88">
        <w:rPr>
          <w:rFonts w:eastAsia="Times New Roman" w:cs="Arial"/>
          <w:color w:val="000000"/>
          <w:lang w:eastAsia="bg-BG"/>
        </w:rPr>
        <w:t xml:space="preserve">Валганцикловир е </w:t>
      </w:r>
      <w:r w:rsidRPr="002C7D88">
        <w:rPr>
          <w:rFonts w:eastAsia="Times New Roman" w:cs="Arial"/>
          <w:color w:val="000000"/>
          <w:lang w:val="en-US"/>
        </w:rPr>
        <w:t>L</w:t>
      </w:r>
      <w:r w:rsidRPr="002C7D88">
        <w:rPr>
          <w:rFonts w:eastAsia="Times New Roman" w:cs="Arial"/>
          <w:color w:val="000000"/>
          <w:lang w:eastAsia="bg-BG"/>
        </w:rPr>
        <w:t xml:space="preserve">-валилов естер (прекурсор) на ганцикловир. След перорално приложение валганцикловир бързо и в голяма степен се метаболизира до ганцикловир с помощта на чревните и чернодробните естерази. Ганцикловир е синтетичен аналог на 2'-дезоксигуанозин, който инхибира репликацията на херпес вирусите </w:t>
      </w:r>
      <w:r w:rsidRPr="002C7D88">
        <w:rPr>
          <w:rFonts w:eastAsia="Times New Roman" w:cs="Arial"/>
          <w:i/>
          <w:iCs/>
          <w:color w:val="000000"/>
          <w:lang w:val="en-US"/>
        </w:rPr>
        <w:t>in</w:t>
      </w:r>
      <w:r w:rsidRPr="002C7D88">
        <w:rPr>
          <w:rFonts w:eastAsia="Times New Roman" w:cs="Arial"/>
          <w:i/>
          <w:iCs/>
          <w:color w:val="000000"/>
          <w:lang w:val="ru-RU"/>
        </w:rPr>
        <w:t xml:space="preserve"> </w:t>
      </w:r>
      <w:r w:rsidRPr="002C7D88">
        <w:rPr>
          <w:rFonts w:eastAsia="Times New Roman" w:cs="Arial"/>
          <w:i/>
          <w:iCs/>
          <w:color w:val="000000"/>
          <w:lang w:val="en-US"/>
        </w:rPr>
        <w:t>vitro</w:t>
      </w:r>
      <w:r w:rsidRPr="002C7D88">
        <w:rPr>
          <w:rFonts w:eastAsia="Times New Roman" w:cs="Arial"/>
          <w:color w:val="000000"/>
          <w:lang w:val="ru-RU"/>
        </w:rPr>
        <w:t xml:space="preserve"> </w:t>
      </w:r>
      <w:r w:rsidRPr="002C7D88">
        <w:rPr>
          <w:rFonts w:eastAsia="Times New Roman" w:cs="Arial"/>
          <w:color w:val="000000"/>
          <w:lang w:eastAsia="bg-BG"/>
        </w:rPr>
        <w:t xml:space="preserve">и </w:t>
      </w:r>
      <w:r w:rsidRPr="002C7D88">
        <w:rPr>
          <w:rFonts w:eastAsia="Times New Roman" w:cs="Arial"/>
          <w:i/>
          <w:iCs/>
          <w:color w:val="000000"/>
          <w:lang w:val="en-US"/>
        </w:rPr>
        <w:t>in</w:t>
      </w:r>
      <w:r w:rsidRPr="002C7D88">
        <w:rPr>
          <w:rFonts w:eastAsia="Times New Roman" w:cs="Arial"/>
          <w:i/>
          <w:iCs/>
          <w:color w:val="000000"/>
          <w:lang w:val="ru-RU"/>
        </w:rPr>
        <w:t xml:space="preserve"> </w:t>
      </w:r>
      <w:r w:rsidRPr="002C7D88">
        <w:rPr>
          <w:rFonts w:eastAsia="Times New Roman" w:cs="Arial"/>
          <w:i/>
          <w:iCs/>
          <w:color w:val="000000"/>
          <w:lang w:val="en-US"/>
        </w:rPr>
        <w:t>vivo</w:t>
      </w:r>
      <w:r w:rsidRPr="002C7D88">
        <w:rPr>
          <w:rFonts w:eastAsia="Times New Roman" w:cs="Arial"/>
          <w:i/>
          <w:iCs/>
          <w:color w:val="000000"/>
          <w:lang w:val="ru-RU"/>
        </w:rPr>
        <w:t>.</w:t>
      </w:r>
      <w:r w:rsidRPr="002C7D88">
        <w:rPr>
          <w:rFonts w:eastAsia="Times New Roman" w:cs="Arial"/>
          <w:color w:val="000000"/>
          <w:lang w:val="ru-RU"/>
        </w:rPr>
        <w:t xml:space="preserve"> </w:t>
      </w:r>
      <w:r w:rsidRPr="002C7D88">
        <w:rPr>
          <w:rFonts w:eastAsia="Times New Roman" w:cs="Arial"/>
          <w:color w:val="000000"/>
          <w:lang w:eastAsia="bg-BG"/>
        </w:rPr>
        <w:t xml:space="preserve">Чувствителните вируси при човека включват човешки цитомегаловирус </w:t>
      </w:r>
      <w:r w:rsidRPr="002C7D88">
        <w:rPr>
          <w:rFonts w:eastAsia="Times New Roman" w:cs="Arial"/>
          <w:color w:val="000000"/>
          <w:lang w:val="ru-RU"/>
        </w:rPr>
        <w:t>(</w:t>
      </w:r>
      <w:r w:rsidRPr="002C7D88">
        <w:rPr>
          <w:rFonts w:eastAsia="Times New Roman" w:cs="Arial"/>
          <w:color w:val="000000"/>
          <w:lang w:val="en-US"/>
        </w:rPr>
        <w:t>HCMV</w:t>
      </w:r>
      <w:r w:rsidRPr="002C7D88">
        <w:rPr>
          <w:rFonts w:eastAsia="Times New Roman" w:cs="Arial"/>
          <w:color w:val="000000"/>
          <w:lang w:val="ru-RU"/>
        </w:rPr>
        <w:t xml:space="preserve">), </w:t>
      </w:r>
      <w:r w:rsidRPr="002C7D88">
        <w:rPr>
          <w:rFonts w:eastAsia="Times New Roman" w:cs="Arial"/>
          <w:color w:val="000000"/>
          <w:lang w:eastAsia="bg-BG"/>
        </w:rPr>
        <w:t xml:space="preserve">херпес симплекс вирус-1 и -2 </w:t>
      </w:r>
      <w:r w:rsidRPr="002C7D88">
        <w:rPr>
          <w:rFonts w:eastAsia="Times New Roman" w:cs="Arial"/>
          <w:color w:val="000000"/>
          <w:lang w:val="ru-RU"/>
        </w:rPr>
        <w:t>(</w:t>
      </w:r>
      <w:r w:rsidRPr="002C7D88">
        <w:rPr>
          <w:rFonts w:eastAsia="Times New Roman" w:cs="Arial"/>
          <w:color w:val="000000"/>
          <w:lang w:val="en-US"/>
        </w:rPr>
        <w:t>HSV</w:t>
      </w:r>
      <w:r w:rsidRPr="002C7D88">
        <w:rPr>
          <w:rFonts w:eastAsia="Times New Roman" w:cs="Arial"/>
          <w:color w:val="000000"/>
          <w:lang w:val="ru-RU"/>
        </w:rPr>
        <w:t xml:space="preserve">-1 </w:t>
      </w:r>
      <w:r w:rsidRPr="002C7D88">
        <w:rPr>
          <w:rFonts w:eastAsia="Times New Roman" w:cs="Arial"/>
          <w:color w:val="000000"/>
          <w:lang w:eastAsia="bg-BG"/>
        </w:rPr>
        <w:t xml:space="preserve">и </w:t>
      </w:r>
      <w:r w:rsidRPr="002C7D88">
        <w:rPr>
          <w:rFonts w:eastAsia="Times New Roman" w:cs="Arial"/>
          <w:color w:val="000000"/>
          <w:lang w:val="en-US"/>
        </w:rPr>
        <w:t>HSV</w:t>
      </w:r>
      <w:r w:rsidRPr="002C7D88">
        <w:rPr>
          <w:rFonts w:eastAsia="Times New Roman" w:cs="Arial"/>
          <w:color w:val="000000"/>
          <w:lang w:val="ru-RU"/>
        </w:rPr>
        <w:t xml:space="preserve">-2), </w:t>
      </w:r>
      <w:r w:rsidRPr="002C7D88">
        <w:rPr>
          <w:rFonts w:eastAsia="Times New Roman" w:cs="Arial"/>
          <w:color w:val="000000"/>
          <w:lang w:eastAsia="bg-BG"/>
        </w:rPr>
        <w:t xml:space="preserve">човешки херпес вирус -6, -7 и -8 </w:t>
      </w:r>
      <w:r w:rsidRPr="002C7D88">
        <w:rPr>
          <w:rFonts w:eastAsia="Times New Roman" w:cs="Arial"/>
          <w:color w:val="000000"/>
          <w:lang w:val="ru-RU"/>
        </w:rPr>
        <w:t>(</w:t>
      </w:r>
      <w:r w:rsidRPr="002C7D88">
        <w:rPr>
          <w:rFonts w:eastAsia="Times New Roman" w:cs="Arial"/>
          <w:color w:val="000000"/>
          <w:lang w:val="en-US"/>
        </w:rPr>
        <w:t>HHV</w:t>
      </w:r>
      <w:r w:rsidRPr="002C7D88">
        <w:rPr>
          <w:rFonts w:eastAsia="Times New Roman" w:cs="Arial"/>
          <w:color w:val="000000"/>
          <w:lang w:val="ru-RU"/>
        </w:rPr>
        <w:t xml:space="preserve">-6, </w:t>
      </w:r>
      <w:r w:rsidRPr="002C7D88">
        <w:rPr>
          <w:rFonts w:eastAsia="Times New Roman" w:cs="Arial"/>
          <w:color w:val="000000"/>
          <w:lang w:val="en-US"/>
        </w:rPr>
        <w:t>HHV</w:t>
      </w:r>
      <w:r w:rsidRPr="002C7D88">
        <w:rPr>
          <w:rFonts w:eastAsia="Times New Roman" w:cs="Arial"/>
          <w:color w:val="000000"/>
          <w:lang w:val="ru-RU"/>
        </w:rPr>
        <w:t xml:space="preserve">-7 </w:t>
      </w:r>
      <w:r w:rsidRPr="002C7D88">
        <w:rPr>
          <w:rFonts w:eastAsia="Times New Roman" w:cs="Arial"/>
          <w:color w:val="000000"/>
          <w:lang w:eastAsia="bg-BG"/>
        </w:rPr>
        <w:t xml:space="preserve">и </w:t>
      </w:r>
      <w:r w:rsidRPr="002C7D88">
        <w:rPr>
          <w:rFonts w:eastAsia="Times New Roman" w:cs="Arial"/>
          <w:color w:val="000000"/>
          <w:lang w:val="en-US"/>
        </w:rPr>
        <w:t>HHV</w:t>
      </w:r>
      <w:r w:rsidRPr="002C7D88">
        <w:rPr>
          <w:rFonts w:eastAsia="Times New Roman" w:cs="Arial"/>
          <w:color w:val="000000"/>
          <w:lang w:val="ru-RU"/>
        </w:rPr>
        <w:t xml:space="preserve">-8), </w:t>
      </w:r>
      <w:r w:rsidRPr="002C7D88">
        <w:rPr>
          <w:rFonts w:eastAsia="Times New Roman" w:cs="Arial"/>
          <w:color w:val="000000"/>
          <w:lang w:val="en-US"/>
        </w:rPr>
        <w:t>Epstein</w:t>
      </w:r>
      <w:r w:rsidRPr="002C7D88">
        <w:rPr>
          <w:rFonts w:eastAsia="Times New Roman" w:cs="Arial"/>
          <w:color w:val="000000"/>
          <w:lang w:val="ru-RU"/>
        </w:rPr>
        <w:t>-</w:t>
      </w:r>
      <w:r w:rsidRPr="002C7D88">
        <w:rPr>
          <w:rFonts w:eastAsia="Times New Roman" w:cs="Arial"/>
          <w:color w:val="000000"/>
          <w:lang w:val="en-US"/>
        </w:rPr>
        <w:t>Barr</w:t>
      </w:r>
      <w:r w:rsidRPr="002C7D88">
        <w:rPr>
          <w:rFonts w:eastAsia="Times New Roman" w:cs="Arial"/>
          <w:color w:val="000000"/>
          <w:lang w:val="ru-RU"/>
        </w:rPr>
        <w:t xml:space="preserve"> </w:t>
      </w:r>
      <w:r w:rsidRPr="002C7D88">
        <w:rPr>
          <w:rFonts w:eastAsia="Times New Roman" w:cs="Arial"/>
          <w:color w:val="000000"/>
          <w:lang w:eastAsia="bg-BG"/>
        </w:rPr>
        <w:t xml:space="preserve">вирус </w:t>
      </w:r>
      <w:r w:rsidRPr="002C7D88">
        <w:rPr>
          <w:rFonts w:eastAsia="Times New Roman" w:cs="Arial"/>
          <w:color w:val="000000"/>
          <w:lang w:val="ru-RU"/>
        </w:rPr>
        <w:t>(</w:t>
      </w:r>
      <w:r w:rsidRPr="002C7D88">
        <w:rPr>
          <w:rFonts w:eastAsia="Times New Roman" w:cs="Arial"/>
          <w:color w:val="000000"/>
          <w:lang w:val="en-US"/>
        </w:rPr>
        <w:t>EBV</w:t>
      </w:r>
      <w:r w:rsidRPr="002C7D88">
        <w:rPr>
          <w:rFonts w:eastAsia="Times New Roman" w:cs="Arial"/>
          <w:color w:val="000000"/>
          <w:lang w:val="ru-RU"/>
        </w:rPr>
        <w:t xml:space="preserve">), </w:t>
      </w:r>
      <w:r w:rsidRPr="002C7D88">
        <w:rPr>
          <w:rFonts w:eastAsia="Times New Roman" w:cs="Arial"/>
          <w:color w:val="000000"/>
          <w:lang w:eastAsia="bg-BG"/>
        </w:rPr>
        <w:t xml:space="preserve">варицела зостер вирус </w:t>
      </w:r>
      <w:r w:rsidRPr="002C7D88">
        <w:rPr>
          <w:rFonts w:eastAsia="Times New Roman" w:cs="Arial"/>
          <w:color w:val="000000"/>
          <w:lang w:val="ru-RU"/>
        </w:rPr>
        <w:t>(</w:t>
      </w:r>
      <w:r w:rsidRPr="002C7D88">
        <w:rPr>
          <w:rFonts w:eastAsia="Times New Roman" w:cs="Arial"/>
          <w:color w:val="000000"/>
          <w:lang w:val="en-US"/>
        </w:rPr>
        <w:t>VZV</w:t>
      </w:r>
      <w:r w:rsidRPr="002C7D88">
        <w:rPr>
          <w:rFonts w:eastAsia="Times New Roman" w:cs="Arial"/>
          <w:color w:val="000000"/>
          <w:lang w:val="ru-RU"/>
        </w:rPr>
        <w:t xml:space="preserve">) </w:t>
      </w:r>
      <w:r w:rsidRPr="002C7D88">
        <w:rPr>
          <w:rFonts w:eastAsia="Times New Roman" w:cs="Arial"/>
          <w:color w:val="000000"/>
          <w:lang w:eastAsia="bg-BG"/>
        </w:rPr>
        <w:t xml:space="preserve">и вируса на хепатит В </w:t>
      </w:r>
      <w:r w:rsidRPr="002C7D88">
        <w:rPr>
          <w:rFonts w:eastAsia="Times New Roman" w:cs="Arial"/>
          <w:color w:val="000000"/>
          <w:lang w:val="ru-RU"/>
        </w:rPr>
        <w:t>(</w:t>
      </w:r>
      <w:r w:rsidRPr="002C7D88">
        <w:rPr>
          <w:rFonts w:eastAsia="Times New Roman" w:cs="Arial"/>
          <w:color w:val="000000"/>
          <w:lang w:val="en-US"/>
        </w:rPr>
        <w:t>HBV</w:t>
      </w:r>
      <w:r w:rsidRPr="002C7D88">
        <w:rPr>
          <w:rFonts w:eastAsia="Times New Roman" w:cs="Arial"/>
          <w:color w:val="000000"/>
          <w:lang w:val="ru-RU"/>
        </w:rPr>
        <w:t>).</w:t>
      </w:r>
    </w:p>
    <w:p w14:paraId="277CA211" w14:textId="77777777" w:rsidR="002C7D88" w:rsidRDefault="002C7D88" w:rsidP="002C7D88">
      <w:pPr>
        <w:spacing w:line="240" w:lineRule="auto"/>
        <w:rPr>
          <w:rFonts w:eastAsia="Times New Roman" w:cs="Arial"/>
          <w:color w:val="000000"/>
          <w:lang w:eastAsia="bg-BG"/>
        </w:rPr>
      </w:pPr>
    </w:p>
    <w:p w14:paraId="6ADBFBD5" w14:textId="04540CD3" w:rsidR="002C7D88" w:rsidRPr="002C7D88" w:rsidRDefault="002C7D88" w:rsidP="002C7D88">
      <w:pPr>
        <w:spacing w:line="240" w:lineRule="auto"/>
        <w:rPr>
          <w:rFonts w:eastAsia="Times New Roman" w:cs="Arial"/>
        </w:rPr>
      </w:pPr>
      <w:r w:rsidRPr="002C7D88">
        <w:rPr>
          <w:rFonts w:eastAsia="Times New Roman" w:cs="Arial"/>
          <w:color w:val="000000"/>
          <w:lang w:eastAsia="bg-BG"/>
        </w:rPr>
        <w:lastRenderedPageBreak/>
        <w:t xml:space="preserve">В клетките, инфектирани с </w:t>
      </w:r>
      <w:r w:rsidRPr="002C7D88">
        <w:rPr>
          <w:rFonts w:eastAsia="Times New Roman" w:cs="Arial"/>
          <w:color w:val="000000"/>
          <w:lang w:val="en-US"/>
        </w:rPr>
        <w:t>CMV</w:t>
      </w:r>
      <w:r w:rsidRPr="002C7D88">
        <w:rPr>
          <w:rFonts w:eastAsia="Times New Roman" w:cs="Arial"/>
          <w:color w:val="000000"/>
          <w:lang w:val="ru-RU"/>
        </w:rPr>
        <w:t xml:space="preserve">, </w:t>
      </w:r>
      <w:r w:rsidRPr="002C7D88">
        <w:rPr>
          <w:rFonts w:eastAsia="Times New Roman" w:cs="Arial"/>
          <w:color w:val="000000"/>
          <w:lang w:eastAsia="bg-BG"/>
        </w:rPr>
        <w:t xml:space="preserve">ганцикловир първоначално се фосфорилира от вирусната протеин киназа </w:t>
      </w:r>
      <w:r w:rsidRPr="002C7D88">
        <w:rPr>
          <w:rFonts w:eastAsia="Times New Roman" w:cs="Arial"/>
          <w:color w:val="000000"/>
          <w:lang w:val="en-US"/>
        </w:rPr>
        <w:t>pUL</w:t>
      </w:r>
      <w:r w:rsidRPr="002C7D88">
        <w:rPr>
          <w:rFonts w:eastAsia="Times New Roman" w:cs="Arial"/>
          <w:color w:val="000000"/>
          <w:lang w:val="ru-RU"/>
        </w:rPr>
        <w:t xml:space="preserve">97 </w:t>
      </w:r>
      <w:r w:rsidRPr="002C7D88">
        <w:rPr>
          <w:rFonts w:eastAsia="Times New Roman" w:cs="Arial"/>
          <w:color w:val="000000"/>
          <w:lang w:eastAsia="bg-BG"/>
        </w:rPr>
        <w:t xml:space="preserve">до ганцикловир монофосфат. След това фосфорилирането се извършва от клетъчните кинази, като се получава ганцикловир трифосфат, който после бавно се метаболизира интрацелуларно. Доказано е, че трифосфатният метаболизъм се наблюдава в клетки, инфектирани с </w:t>
      </w:r>
      <w:r w:rsidRPr="002C7D88">
        <w:rPr>
          <w:rFonts w:eastAsia="Times New Roman" w:cs="Arial"/>
          <w:color w:val="000000"/>
          <w:lang w:val="en-US"/>
        </w:rPr>
        <w:t>HSV</w:t>
      </w:r>
      <w:r w:rsidRPr="002C7D88">
        <w:rPr>
          <w:rFonts w:eastAsia="Times New Roman" w:cs="Arial"/>
          <w:color w:val="000000"/>
          <w:lang w:val="ru-RU"/>
        </w:rPr>
        <w:t xml:space="preserve">- </w:t>
      </w:r>
      <w:r w:rsidRPr="002C7D88">
        <w:rPr>
          <w:rFonts w:eastAsia="Times New Roman" w:cs="Arial"/>
          <w:color w:val="000000"/>
          <w:lang w:eastAsia="bg-BG"/>
        </w:rPr>
        <w:t xml:space="preserve">и </w:t>
      </w:r>
      <w:r w:rsidRPr="002C7D88">
        <w:rPr>
          <w:rFonts w:eastAsia="Times New Roman" w:cs="Arial"/>
          <w:color w:val="000000"/>
          <w:lang w:val="en-US"/>
        </w:rPr>
        <w:t>HCMV</w:t>
      </w:r>
      <w:r w:rsidRPr="002C7D88">
        <w:rPr>
          <w:rFonts w:eastAsia="Times New Roman" w:cs="Arial"/>
          <w:color w:val="000000"/>
          <w:lang w:val="ru-RU"/>
        </w:rPr>
        <w:t xml:space="preserve">, </w:t>
      </w:r>
      <w:r w:rsidRPr="002C7D88">
        <w:rPr>
          <w:rFonts w:eastAsia="Times New Roman" w:cs="Arial"/>
          <w:color w:val="000000"/>
          <w:lang w:eastAsia="bg-BG"/>
        </w:rPr>
        <w:t>като времето на полуелиминиране е било съответно 18 и съответно между 6 до 24 часа, след елиминирането на екстрацелуларния ганцикловир. Тъй като фосфорилирането зависи в голяма степен от вирусната киназа, фосфорилирането на ганцикловир се извършва преференциално в инфектираните с вирус клетки.</w:t>
      </w:r>
    </w:p>
    <w:p w14:paraId="189E0964" w14:textId="77777777" w:rsidR="002C7D88" w:rsidRDefault="002C7D88" w:rsidP="002C7D88">
      <w:pPr>
        <w:spacing w:line="240" w:lineRule="auto"/>
        <w:rPr>
          <w:rFonts w:eastAsia="Times New Roman" w:cs="Arial"/>
          <w:color w:val="000000"/>
          <w:lang w:eastAsia="bg-BG"/>
        </w:rPr>
      </w:pPr>
    </w:p>
    <w:p w14:paraId="14591A3E" w14:textId="73622E7B" w:rsidR="002C7D88" w:rsidRPr="002C7D88" w:rsidRDefault="002C7D88" w:rsidP="002C7D88">
      <w:pPr>
        <w:spacing w:line="240" w:lineRule="auto"/>
        <w:rPr>
          <w:rFonts w:eastAsia="Times New Roman" w:cs="Arial"/>
        </w:rPr>
      </w:pPr>
      <w:r w:rsidRPr="002C7D88">
        <w:rPr>
          <w:rFonts w:eastAsia="Times New Roman" w:cs="Arial"/>
          <w:color w:val="000000"/>
          <w:lang w:eastAsia="bg-BG"/>
        </w:rPr>
        <w:t>Вирустатичната активност на ганцикловир се дължи на инхибирането на синтезата на вирусната ДНК чрез: (а) конкурентно инхибиране на инкорпорирането на дезоксигуанозин трифосфат в ДНК от вирусната ДНК полимераза и (б) инкорпориране на ганцикловир трифосфат във вирусната ДНК, което предизвиква прекъсване или силно ограничаване на по-нататъшното удължаване на вирусната ДНК.</w:t>
      </w:r>
    </w:p>
    <w:p w14:paraId="48A64C3B" w14:textId="77777777" w:rsidR="002C7D88" w:rsidRDefault="002C7D88" w:rsidP="002C7D88">
      <w:pPr>
        <w:spacing w:line="240" w:lineRule="auto"/>
        <w:rPr>
          <w:rFonts w:eastAsia="Times New Roman" w:cs="Arial"/>
          <w:color w:val="000000"/>
          <w:u w:val="single"/>
          <w:lang w:eastAsia="bg-BG"/>
        </w:rPr>
      </w:pPr>
    </w:p>
    <w:p w14:paraId="39507A7D" w14:textId="01DAF99A" w:rsidR="002C7D88" w:rsidRPr="002C7D88" w:rsidRDefault="002C7D88" w:rsidP="002C7D88">
      <w:pPr>
        <w:spacing w:line="240" w:lineRule="auto"/>
        <w:rPr>
          <w:rFonts w:eastAsia="Times New Roman" w:cs="Arial"/>
        </w:rPr>
      </w:pPr>
      <w:r w:rsidRPr="002C7D88">
        <w:rPr>
          <w:rFonts w:eastAsia="Times New Roman" w:cs="Arial"/>
          <w:color w:val="000000"/>
          <w:u w:val="single"/>
          <w:lang w:eastAsia="bg-BG"/>
        </w:rPr>
        <w:t>Антивирусна активност</w:t>
      </w:r>
    </w:p>
    <w:p w14:paraId="2F93179B" w14:textId="77777777" w:rsidR="002C7D88" w:rsidRDefault="002C7D88" w:rsidP="002C7D88">
      <w:pPr>
        <w:spacing w:line="240" w:lineRule="auto"/>
        <w:rPr>
          <w:rFonts w:eastAsia="Times New Roman" w:cs="Arial"/>
          <w:color w:val="000000"/>
          <w:lang w:eastAsia="bg-BG"/>
        </w:rPr>
      </w:pPr>
    </w:p>
    <w:p w14:paraId="5F77EF91" w14:textId="2EC7519F" w:rsidR="002C7D88" w:rsidRPr="002C7D88" w:rsidRDefault="002C7D88" w:rsidP="002C7D88">
      <w:pPr>
        <w:spacing w:line="240" w:lineRule="auto"/>
        <w:rPr>
          <w:rFonts w:eastAsia="Times New Roman" w:cs="Arial"/>
        </w:rPr>
      </w:pPr>
      <w:r w:rsidRPr="002C7D88">
        <w:rPr>
          <w:rFonts w:eastAsia="Times New Roman" w:cs="Arial"/>
          <w:color w:val="000000"/>
          <w:lang w:eastAsia="bg-BG"/>
        </w:rPr>
        <w:t xml:space="preserve">Антивирусната активност на ганцикловир срещу </w:t>
      </w:r>
      <w:r w:rsidRPr="002C7D88">
        <w:rPr>
          <w:rFonts w:eastAsia="Times New Roman" w:cs="Arial"/>
          <w:color w:val="000000"/>
          <w:lang w:val="en-US"/>
        </w:rPr>
        <w:t>CMV</w:t>
      </w:r>
      <w:r w:rsidRPr="002C7D88">
        <w:rPr>
          <w:rFonts w:eastAsia="Times New Roman" w:cs="Arial"/>
          <w:color w:val="000000"/>
          <w:lang w:val="ru-RU"/>
        </w:rPr>
        <w:t xml:space="preserve"> </w:t>
      </w:r>
      <w:r w:rsidRPr="002C7D88">
        <w:rPr>
          <w:rFonts w:eastAsia="Times New Roman" w:cs="Arial"/>
          <w:color w:val="000000"/>
          <w:lang w:val="en-US"/>
        </w:rPr>
        <w:t>in</w:t>
      </w:r>
      <w:r w:rsidRPr="002C7D88">
        <w:rPr>
          <w:rFonts w:eastAsia="Times New Roman" w:cs="Arial"/>
          <w:color w:val="000000"/>
          <w:lang w:val="ru-RU"/>
        </w:rPr>
        <w:t xml:space="preserve"> </w:t>
      </w:r>
      <w:r w:rsidRPr="002C7D88">
        <w:rPr>
          <w:rFonts w:eastAsia="Times New Roman" w:cs="Arial"/>
          <w:color w:val="000000"/>
          <w:lang w:val="en-US"/>
        </w:rPr>
        <w:t>vitro</w:t>
      </w:r>
      <w:r w:rsidRPr="002C7D88">
        <w:rPr>
          <w:rFonts w:eastAsia="Times New Roman" w:cs="Arial"/>
          <w:color w:val="000000"/>
          <w:lang w:val="ru-RU"/>
        </w:rPr>
        <w:t xml:space="preserve">, </w:t>
      </w:r>
      <w:r w:rsidRPr="002C7D88">
        <w:rPr>
          <w:rFonts w:eastAsia="Times New Roman" w:cs="Arial"/>
          <w:color w:val="000000"/>
          <w:lang w:eastAsia="bg-BG"/>
        </w:rPr>
        <w:t xml:space="preserve">измерена чрез </w:t>
      </w:r>
      <w:r w:rsidRPr="002C7D88">
        <w:rPr>
          <w:rFonts w:eastAsia="Times New Roman" w:cs="Arial"/>
          <w:color w:val="000000"/>
          <w:lang w:val="en-US"/>
        </w:rPr>
        <w:t>I</w:t>
      </w:r>
      <w:r w:rsidRPr="002C7D88">
        <w:rPr>
          <w:rFonts w:eastAsia="Times New Roman" w:cs="Arial"/>
          <w:color w:val="000000"/>
          <w:lang w:eastAsia="bg-BG"/>
        </w:rPr>
        <w:t>С</w:t>
      </w:r>
      <w:r w:rsidRPr="002C7D88">
        <w:rPr>
          <w:rFonts w:eastAsia="Times New Roman" w:cs="Arial"/>
          <w:color w:val="000000"/>
          <w:vertAlign w:val="subscript"/>
          <w:lang w:eastAsia="bg-BG"/>
        </w:rPr>
        <w:t>50</w:t>
      </w:r>
      <w:r w:rsidRPr="002C7D88">
        <w:rPr>
          <w:rFonts w:eastAsia="Times New Roman" w:cs="Arial"/>
          <w:color w:val="000000"/>
          <w:lang w:eastAsia="bg-BG"/>
        </w:rPr>
        <w:t>, е в границите на 0,08 μМ (0,02 микрограма</w:t>
      </w:r>
      <w:r w:rsidRPr="002C7D88">
        <w:rPr>
          <w:rFonts w:eastAsia="Times New Roman" w:cs="Arial"/>
          <w:color w:val="000000"/>
          <w:lang w:val="ru-RU"/>
        </w:rPr>
        <w:t>/</w:t>
      </w:r>
      <w:r w:rsidRPr="002C7D88">
        <w:rPr>
          <w:rFonts w:eastAsia="Times New Roman" w:cs="Arial"/>
          <w:color w:val="000000"/>
          <w:lang w:val="en-US"/>
        </w:rPr>
        <w:t>ml</w:t>
      </w:r>
      <w:r w:rsidRPr="002C7D88">
        <w:rPr>
          <w:rFonts w:eastAsia="Times New Roman" w:cs="Arial"/>
          <w:color w:val="000000"/>
          <w:lang w:val="ru-RU"/>
        </w:rPr>
        <w:t xml:space="preserve">) </w:t>
      </w:r>
      <w:r w:rsidRPr="002C7D88">
        <w:rPr>
          <w:rFonts w:eastAsia="Times New Roman" w:cs="Arial"/>
          <w:color w:val="000000"/>
          <w:lang w:eastAsia="bg-BG"/>
        </w:rPr>
        <w:t>до 14 μМ (3,5 микрограма</w:t>
      </w:r>
      <w:r w:rsidRPr="002C7D88">
        <w:rPr>
          <w:rFonts w:eastAsia="Times New Roman" w:cs="Arial"/>
          <w:color w:val="000000"/>
          <w:lang w:val="ru-RU"/>
        </w:rPr>
        <w:t>/</w:t>
      </w:r>
      <w:r w:rsidRPr="002C7D88">
        <w:rPr>
          <w:rFonts w:eastAsia="Times New Roman" w:cs="Arial"/>
          <w:color w:val="000000"/>
          <w:lang w:val="en-US"/>
        </w:rPr>
        <w:t>ml</w:t>
      </w:r>
      <w:r w:rsidRPr="002C7D88">
        <w:rPr>
          <w:rFonts w:eastAsia="Times New Roman" w:cs="Arial"/>
          <w:color w:val="000000"/>
          <w:lang w:val="ru-RU"/>
        </w:rPr>
        <w:t>).</w:t>
      </w:r>
    </w:p>
    <w:p w14:paraId="6ADD9629" w14:textId="77777777" w:rsidR="002C7D88" w:rsidRDefault="002C7D88" w:rsidP="002C7D88">
      <w:pPr>
        <w:spacing w:line="240" w:lineRule="auto"/>
        <w:rPr>
          <w:rFonts w:eastAsia="Times New Roman" w:cs="Arial"/>
          <w:color w:val="000000"/>
          <w:lang w:eastAsia="bg-BG"/>
        </w:rPr>
      </w:pPr>
    </w:p>
    <w:p w14:paraId="172E6592" w14:textId="38FD5CCA" w:rsidR="002C7D88" w:rsidRPr="002C7D88" w:rsidRDefault="002C7D88" w:rsidP="002C7D88">
      <w:pPr>
        <w:spacing w:line="240" w:lineRule="auto"/>
        <w:rPr>
          <w:rFonts w:eastAsia="Times New Roman" w:cs="Arial"/>
        </w:rPr>
      </w:pPr>
      <w:r w:rsidRPr="002C7D88">
        <w:rPr>
          <w:rFonts w:eastAsia="Times New Roman" w:cs="Arial"/>
          <w:color w:val="000000"/>
          <w:lang w:eastAsia="bg-BG"/>
        </w:rPr>
        <w:t xml:space="preserve">Клиничният антивирусен ефект на Валцит е доказан при лечение на пациенти със СПИН с новодиагностициран </w:t>
      </w:r>
      <w:r w:rsidRPr="002C7D88">
        <w:rPr>
          <w:rFonts w:eastAsia="Times New Roman" w:cs="Arial"/>
          <w:color w:val="000000"/>
          <w:lang w:val="en-US"/>
        </w:rPr>
        <w:t>CMV</w:t>
      </w:r>
      <w:r w:rsidRPr="002C7D88">
        <w:rPr>
          <w:rFonts w:eastAsia="Times New Roman" w:cs="Arial"/>
          <w:color w:val="000000"/>
          <w:lang w:val="ru-RU"/>
        </w:rPr>
        <w:t xml:space="preserve"> </w:t>
      </w:r>
      <w:r w:rsidRPr="002C7D88">
        <w:rPr>
          <w:rFonts w:eastAsia="Times New Roman" w:cs="Arial"/>
          <w:color w:val="000000"/>
          <w:lang w:eastAsia="bg-BG"/>
        </w:rPr>
        <w:t xml:space="preserve">ретинит. Отделянето на </w:t>
      </w:r>
      <w:r w:rsidRPr="002C7D88">
        <w:rPr>
          <w:rFonts w:eastAsia="Times New Roman" w:cs="Arial"/>
          <w:color w:val="000000"/>
          <w:lang w:val="en-US"/>
        </w:rPr>
        <w:t>CMV</w:t>
      </w:r>
      <w:r w:rsidRPr="002C7D88">
        <w:rPr>
          <w:rFonts w:eastAsia="Times New Roman" w:cs="Arial"/>
          <w:color w:val="000000"/>
          <w:lang w:val="ru-RU"/>
        </w:rPr>
        <w:t xml:space="preserve"> </w:t>
      </w:r>
      <w:r w:rsidRPr="002C7D88">
        <w:rPr>
          <w:rFonts w:eastAsia="Times New Roman" w:cs="Arial"/>
          <w:color w:val="000000"/>
          <w:lang w:eastAsia="bg-BG"/>
        </w:rPr>
        <w:t>в урината е намаляло от 46% (32/69) пациенти в началото на изпитването на 7% (4/55) болни след четири седмици лечение с Валцит.</w:t>
      </w:r>
    </w:p>
    <w:p w14:paraId="2E3F55AA" w14:textId="77777777" w:rsidR="002C7D88" w:rsidRDefault="002C7D88" w:rsidP="002C7D88">
      <w:pPr>
        <w:spacing w:line="240" w:lineRule="auto"/>
        <w:rPr>
          <w:rFonts w:eastAsia="Times New Roman" w:cs="Arial"/>
          <w:color w:val="000000"/>
          <w:u w:val="single"/>
          <w:lang w:eastAsia="bg-BG"/>
        </w:rPr>
      </w:pPr>
    </w:p>
    <w:p w14:paraId="69FB47FC" w14:textId="51D6887F" w:rsidR="002C7D88" w:rsidRPr="002C7D88" w:rsidRDefault="002C7D88" w:rsidP="002C7D88">
      <w:pPr>
        <w:spacing w:line="240" w:lineRule="auto"/>
        <w:rPr>
          <w:rFonts w:eastAsia="Times New Roman" w:cs="Arial"/>
        </w:rPr>
      </w:pPr>
      <w:r w:rsidRPr="002C7D88">
        <w:rPr>
          <w:rFonts w:eastAsia="Times New Roman" w:cs="Arial"/>
          <w:color w:val="000000"/>
          <w:u w:val="single"/>
          <w:lang w:eastAsia="bg-BG"/>
        </w:rPr>
        <w:t>Клинична ефикасност и безопасност</w:t>
      </w:r>
    </w:p>
    <w:p w14:paraId="2591BB1C" w14:textId="77777777" w:rsidR="002C7D88" w:rsidRDefault="002C7D88" w:rsidP="002C7D88">
      <w:pPr>
        <w:spacing w:line="240" w:lineRule="auto"/>
        <w:rPr>
          <w:rFonts w:eastAsia="Times New Roman" w:cs="Arial"/>
          <w:color w:val="000000"/>
          <w:u w:val="single"/>
          <w:lang w:eastAsia="bg-BG"/>
        </w:rPr>
      </w:pPr>
    </w:p>
    <w:p w14:paraId="6805865B" w14:textId="4EC63951" w:rsidR="002C7D88" w:rsidRPr="002C7D88" w:rsidRDefault="002C7D88" w:rsidP="002C7D88">
      <w:pPr>
        <w:spacing w:line="240" w:lineRule="auto"/>
        <w:rPr>
          <w:rFonts w:eastAsia="Times New Roman" w:cs="Arial"/>
        </w:rPr>
      </w:pPr>
      <w:r w:rsidRPr="002C7D88">
        <w:rPr>
          <w:rFonts w:eastAsia="Times New Roman" w:cs="Arial"/>
          <w:color w:val="000000"/>
          <w:u w:val="single"/>
          <w:lang w:eastAsia="bg-BG"/>
        </w:rPr>
        <w:t>Възрастни пациенти</w:t>
      </w:r>
    </w:p>
    <w:p w14:paraId="37003BE8" w14:textId="77777777" w:rsidR="002C7D88" w:rsidRPr="002C7D88" w:rsidRDefault="002C7D88" w:rsidP="002C7D88">
      <w:pPr>
        <w:spacing w:line="240" w:lineRule="auto"/>
        <w:rPr>
          <w:rFonts w:eastAsia="Times New Roman" w:cs="Arial"/>
        </w:rPr>
      </w:pPr>
      <w:r w:rsidRPr="002C7D88">
        <w:rPr>
          <w:rFonts w:eastAsia="Times New Roman" w:cs="Arial"/>
          <w:i/>
          <w:iCs/>
          <w:color w:val="000000"/>
          <w:lang w:eastAsia="bg-BG"/>
        </w:rPr>
        <w:t xml:space="preserve">Лечение на </w:t>
      </w:r>
      <w:r w:rsidRPr="002C7D88">
        <w:rPr>
          <w:rFonts w:eastAsia="Times New Roman" w:cs="Arial"/>
          <w:i/>
          <w:iCs/>
          <w:color w:val="000000"/>
          <w:lang w:val="en-US"/>
        </w:rPr>
        <w:t>CMV</w:t>
      </w:r>
      <w:r w:rsidRPr="002C7D88">
        <w:rPr>
          <w:rFonts w:eastAsia="Times New Roman" w:cs="Arial"/>
          <w:i/>
          <w:iCs/>
          <w:color w:val="000000"/>
          <w:lang w:val="ru-RU"/>
        </w:rPr>
        <w:t xml:space="preserve"> </w:t>
      </w:r>
      <w:r w:rsidRPr="002C7D88">
        <w:rPr>
          <w:rFonts w:eastAsia="Times New Roman" w:cs="Arial"/>
          <w:i/>
          <w:iCs/>
          <w:color w:val="000000"/>
          <w:lang w:eastAsia="bg-BG"/>
        </w:rPr>
        <w:t>ретинит:</w:t>
      </w:r>
    </w:p>
    <w:p w14:paraId="13603DA1" w14:textId="77777777" w:rsidR="002C7D88" w:rsidRPr="002C7D88" w:rsidRDefault="002C7D88" w:rsidP="002C7D88">
      <w:pPr>
        <w:rPr>
          <w:rFonts w:eastAsia="Times New Roman" w:cs="Arial"/>
        </w:rPr>
      </w:pPr>
      <w:r w:rsidRPr="002C7D88">
        <w:rPr>
          <w:rFonts w:eastAsia="Times New Roman" w:cs="Arial"/>
          <w:color w:val="000000"/>
          <w:lang w:eastAsia="bg-BG"/>
        </w:rPr>
        <w:t xml:space="preserve">Пациенти с новодиагностициран </w:t>
      </w:r>
      <w:r w:rsidRPr="002C7D88">
        <w:rPr>
          <w:rFonts w:eastAsia="Times New Roman" w:cs="Arial"/>
          <w:color w:val="000000"/>
          <w:lang w:val="en-US"/>
        </w:rPr>
        <w:t>CMV</w:t>
      </w:r>
      <w:r w:rsidRPr="002C7D88">
        <w:rPr>
          <w:rFonts w:eastAsia="Times New Roman" w:cs="Arial"/>
          <w:color w:val="000000"/>
          <w:lang w:val="ru-RU"/>
        </w:rPr>
        <w:t xml:space="preserve"> </w:t>
      </w:r>
      <w:r w:rsidRPr="002C7D88">
        <w:rPr>
          <w:rFonts w:eastAsia="Times New Roman" w:cs="Arial"/>
          <w:color w:val="000000"/>
          <w:lang w:eastAsia="bg-BG"/>
        </w:rPr>
        <w:t xml:space="preserve">ретинит са били рандомизирани за участие в едно изпитване с въвеждащо лечение с Валцит 900 </w:t>
      </w:r>
      <w:r w:rsidRPr="002C7D88">
        <w:rPr>
          <w:rFonts w:eastAsia="Times New Roman" w:cs="Arial"/>
          <w:color w:val="000000"/>
          <w:lang w:val="en-US"/>
        </w:rPr>
        <w:t>mg</w:t>
      </w:r>
      <w:r w:rsidRPr="002C7D88">
        <w:rPr>
          <w:rFonts w:eastAsia="Times New Roman" w:cs="Arial"/>
          <w:color w:val="000000"/>
          <w:lang w:val="ru-RU"/>
        </w:rPr>
        <w:t xml:space="preserve"> </w:t>
      </w:r>
      <w:r w:rsidRPr="002C7D88">
        <w:rPr>
          <w:rFonts w:eastAsia="Times New Roman" w:cs="Arial"/>
          <w:color w:val="000000"/>
          <w:lang w:eastAsia="bg-BG"/>
        </w:rPr>
        <w:t>два пъти дневно или с ганцикловир интравенозно 5</w:t>
      </w:r>
      <w:r w:rsidRPr="002C7D88">
        <w:rPr>
          <w:rFonts w:eastAsia="Times New Roman" w:cs="Arial"/>
          <w:color w:val="000000"/>
          <w:lang w:val="en-US"/>
        </w:rPr>
        <w:t>mg</w:t>
      </w:r>
      <w:r w:rsidRPr="002C7D88">
        <w:rPr>
          <w:rFonts w:eastAsia="Times New Roman" w:cs="Arial"/>
          <w:color w:val="000000"/>
          <w:lang w:val="ru-RU"/>
        </w:rPr>
        <w:t>/</w:t>
      </w:r>
      <w:r w:rsidRPr="002C7D88">
        <w:rPr>
          <w:rFonts w:eastAsia="Times New Roman" w:cs="Arial"/>
          <w:color w:val="000000"/>
          <w:lang w:val="en-US"/>
        </w:rPr>
        <w:t>kg</w:t>
      </w:r>
      <w:r w:rsidRPr="002C7D88">
        <w:rPr>
          <w:rFonts w:eastAsia="Times New Roman" w:cs="Arial"/>
          <w:color w:val="000000"/>
          <w:lang w:val="ru-RU"/>
        </w:rPr>
        <w:t xml:space="preserve"> </w:t>
      </w:r>
      <w:r w:rsidRPr="002C7D88">
        <w:rPr>
          <w:rFonts w:eastAsia="Times New Roman" w:cs="Arial"/>
          <w:color w:val="000000"/>
          <w:lang w:eastAsia="bg-BG"/>
        </w:rPr>
        <w:t xml:space="preserve">два пъти дневно. Процентът на болни с прогресиране на </w:t>
      </w:r>
      <w:r w:rsidRPr="002C7D88">
        <w:rPr>
          <w:rFonts w:eastAsia="Times New Roman" w:cs="Arial"/>
          <w:color w:val="000000"/>
          <w:lang w:val="en-US"/>
        </w:rPr>
        <w:t>CMV</w:t>
      </w:r>
      <w:r w:rsidRPr="002C7D88">
        <w:rPr>
          <w:rFonts w:eastAsia="Times New Roman" w:cs="Arial"/>
          <w:color w:val="000000"/>
          <w:lang w:val="ru-RU"/>
        </w:rPr>
        <w:t xml:space="preserve"> </w:t>
      </w:r>
      <w:r w:rsidRPr="002C7D88">
        <w:rPr>
          <w:rFonts w:eastAsia="Times New Roman" w:cs="Arial"/>
          <w:color w:val="000000"/>
          <w:lang w:eastAsia="bg-BG"/>
        </w:rPr>
        <w:t>ретинита на 4-та седмица е бил сравним в</w:t>
      </w:r>
      <w:r w:rsidRPr="002C7D88">
        <w:rPr>
          <w:rFonts w:eastAsia="Times New Roman" w:cs="Arial"/>
          <w:color w:val="000000"/>
          <w:lang w:val="ru-RU" w:eastAsia="bg-BG"/>
        </w:rPr>
        <w:t xml:space="preserve"> </w:t>
      </w:r>
      <w:r w:rsidRPr="002C7D88">
        <w:rPr>
          <w:rFonts w:eastAsia="Times New Roman" w:cs="Arial"/>
          <w:color w:val="000000"/>
          <w:lang w:eastAsia="bg-BG"/>
        </w:rPr>
        <w:t>двете групи - 7/70 и 7/71 пациенти с прогресиране на заболяването съответно в рамената с интравенозен ганцикловир и валганцикловир.</w:t>
      </w:r>
    </w:p>
    <w:p w14:paraId="787BCE97" w14:textId="77777777" w:rsidR="002C7D88" w:rsidRDefault="002C7D88" w:rsidP="002C7D88">
      <w:pPr>
        <w:spacing w:line="240" w:lineRule="auto"/>
        <w:rPr>
          <w:rFonts w:eastAsia="Times New Roman" w:cs="Arial"/>
          <w:color w:val="000000"/>
          <w:lang w:eastAsia="bg-BG"/>
        </w:rPr>
      </w:pPr>
    </w:p>
    <w:p w14:paraId="6E28F9E4" w14:textId="085D25B2" w:rsidR="002C7D88" w:rsidRPr="002C7D88" w:rsidRDefault="002C7D88" w:rsidP="002C7D88">
      <w:pPr>
        <w:spacing w:line="240" w:lineRule="auto"/>
        <w:rPr>
          <w:rFonts w:eastAsia="Times New Roman" w:cs="Arial"/>
        </w:rPr>
      </w:pPr>
      <w:r w:rsidRPr="002C7D88">
        <w:rPr>
          <w:rFonts w:eastAsia="Times New Roman" w:cs="Arial"/>
          <w:color w:val="000000"/>
          <w:lang w:eastAsia="bg-BG"/>
        </w:rPr>
        <w:t xml:space="preserve">След дозирането при въвеждащото лечение всички пациенти в това изпитване са получавали под държащо лечение с Валцит в доза 900 </w:t>
      </w:r>
      <w:r w:rsidRPr="002C7D88">
        <w:rPr>
          <w:rFonts w:eastAsia="Times New Roman" w:cs="Arial"/>
          <w:color w:val="000000"/>
          <w:lang w:val="en-US"/>
        </w:rPr>
        <w:t>mg</w:t>
      </w:r>
      <w:r w:rsidRPr="002C7D88">
        <w:rPr>
          <w:rFonts w:eastAsia="Times New Roman" w:cs="Arial"/>
          <w:color w:val="000000"/>
          <w:lang w:val="ru-RU"/>
        </w:rPr>
        <w:t xml:space="preserve"> </w:t>
      </w:r>
      <w:r w:rsidRPr="002C7D88">
        <w:rPr>
          <w:rFonts w:eastAsia="Times New Roman" w:cs="Arial"/>
          <w:color w:val="000000"/>
          <w:lang w:eastAsia="bg-BG"/>
        </w:rPr>
        <w:t xml:space="preserve">веднъж дневно. Средното (медианно) време от рандомизирането до прогресията на </w:t>
      </w:r>
      <w:r w:rsidRPr="002C7D88">
        <w:rPr>
          <w:rFonts w:eastAsia="Times New Roman" w:cs="Arial"/>
          <w:color w:val="000000"/>
          <w:lang w:val="en-US"/>
        </w:rPr>
        <w:t>CMV</w:t>
      </w:r>
      <w:r w:rsidRPr="002C7D88">
        <w:rPr>
          <w:rFonts w:eastAsia="Times New Roman" w:cs="Arial"/>
          <w:color w:val="000000"/>
          <w:lang w:val="ru-RU"/>
        </w:rPr>
        <w:t xml:space="preserve"> </w:t>
      </w:r>
      <w:r w:rsidRPr="002C7D88">
        <w:rPr>
          <w:rFonts w:eastAsia="Times New Roman" w:cs="Arial"/>
          <w:color w:val="000000"/>
          <w:lang w:eastAsia="bg-BG"/>
        </w:rPr>
        <w:t>ретинит в групата, получаваща въвеждащо и поддържащо лечение с Валцит, е било 226 (160) дни, а в групата с въвеждащо лечение с ганцикловир интравенозно и поддържащо лечение с Валцит е било 219 (125) дни.</w:t>
      </w:r>
    </w:p>
    <w:p w14:paraId="027BE042" w14:textId="77777777" w:rsidR="002C7D88" w:rsidRDefault="002C7D88" w:rsidP="002C7D88">
      <w:pPr>
        <w:spacing w:line="240" w:lineRule="auto"/>
        <w:rPr>
          <w:rFonts w:eastAsia="Times New Roman" w:cs="Arial"/>
          <w:i/>
          <w:iCs/>
          <w:color w:val="000000"/>
          <w:lang w:eastAsia="bg-BG"/>
        </w:rPr>
      </w:pPr>
    </w:p>
    <w:p w14:paraId="350786B5" w14:textId="03B2EEB2" w:rsidR="002C7D88" w:rsidRPr="002C7D88" w:rsidRDefault="002C7D88" w:rsidP="002C7D88">
      <w:pPr>
        <w:spacing w:line="240" w:lineRule="auto"/>
        <w:rPr>
          <w:rFonts w:eastAsia="Times New Roman" w:cs="Arial"/>
        </w:rPr>
      </w:pPr>
      <w:r w:rsidRPr="002C7D88">
        <w:rPr>
          <w:rFonts w:eastAsia="Times New Roman" w:cs="Arial"/>
          <w:i/>
          <w:iCs/>
          <w:color w:val="000000"/>
          <w:lang w:eastAsia="bg-BG"/>
        </w:rPr>
        <w:t xml:space="preserve">Профилактика на </w:t>
      </w:r>
      <w:r w:rsidRPr="002C7D88">
        <w:rPr>
          <w:rFonts w:eastAsia="Times New Roman" w:cs="Arial"/>
          <w:i/>
          <w:iCs/>
          <w:color w:val="000000"/>
          <w:lang w:val="en-US"/>
        </w:rPr>
        <w:t>CMV</w:t>
      </w:r>
      <w:r w:rsidRPr="002C7D88">
        <w:rPr>
          <w:rFonts w:eastAsia="Times New Roman" w:cs="Arial"/>
          <w:i/>
          <w:iCs/>
          <w:color w:val="000000"/>
          <w:lang w:val="ru-RU"/>
        </w:rPr>
        <w:t xml:space="preserve"> </w:t>
      </w:r>
      <w:r w:rsidRPr="002C7D88">
        <w:rPr>
          <w:rFonts w:eastAsia="Times New Roman" w:cs="Arial"/>
          <w:i/>
          <w:iCs/>
          <w:color w:val="000000"/>
          <w:lang w:eastAsia="bg-BG"/>
        </w:rPr>
        <w:t>заболяване при трансплантация:</w:t>
      </w:r>
    </w:p>
    <w:p w14:paraId="7CC7905D" w14:textId="0C85CA6A" w:rsidR="002C7D88" w:rsidRPr="002C7D88" w:rsidRDefault="002C7D88" w:rsidP="002C7D88">
      <w:pPr>
        <w:spacing w:line="240" w:lineRule="auto"/>
        <w:rPr>
          <w:rFonts w:eastAsia="Times New Roman" w:cs="Arial"/>
        </w:rPr>
      </w:pPr>
      <w:r w:rsidRPr="002C7D88">
        <w:rPr>
          <w:rFonts w:eastAsia="Times New Roman" w:cs="Arial"/>
          <w:color w:val="000000"/>
          <w:lang w:eastAsia="bg-BG"/>
        </w:rPr>
        <w:t xml:space="preserve">Двойно-сляпо клинично изпитване с активно лекарство за сравнение и двойна имитация е проведено при пациенти с трансплантация на сърце, черен дроб и бъбреци (болни с белодробна и стомашно- чревна трансплантация не са били включени в изпитването) с висок риск от </w:t>
      </w:r>
      <w:r w:rsidRPr="002C7D88">
        <w:rPr>
          <w:rFonts w:eastAsia="Times New Roman" w:cs="Arial"/>
          <w:color w:val="000000"/>
          <w:lang w:val="en-US"/>
        </w:rPr>
        <w:t>CMV</w:t>
      </w:r>
      <w:r w:rsidRPr="002C7D88">
        <w:rPr>
          <w:rFonts w:eastAsia="Times New Roman" w:cs="Arial"/>
          <w:color w:val="000000"/>
          <w:lang w:val="ru-RU"/>
        </w:rPr>
        <w:t xml:space="preserve"> </w:t>
      </w:r>
      <w:r w:rsidRPr="002C7D88">
        <w:rPr>
          <w:rFonts w:eastAsia="Times New Roman" w:cs="Arial"/>
          <w:color w:val="000000"/>
          <w:lang w:eastAsia="bg-BG"/>
        </w:rPr>
        <w:t xml:space="preserve">заболяване </w:t>
      </w:r>
      <w:r w:rsidRPr="002C7D88">
        <w:rPr>
          <w:rFonts w:eastAsia="Times New Roman" w:cs="Arial"/>
          <w:color w:val="000000"/>
          <w:lang w:val="ru-RU"/>
        </w:rPr>
        <w:t>(</w:t>
      </w:r>
      <w:r w:rsidRPr="002C7D88">
        <w:rPr>
          <w:rFonts w:eastAsia="Times New Roman" w:cs="Arial"/>
          <w:color w:val="000000"/>
          <w:lang w:val="en-US"/>
        </w:rPr>
        <w:t>D</w:t>
      </w:r>
      <w:r w:rsidRPr="002C7D88">
        <w:rPr>
          <w:rFonts w:eastAsia="Times New Roman" w:cs="Arial"/>
          <w:color w:val="000000"/>
          <w:lang w:val="ru-RU"/>
        </w:rPr>
        <w:t>+/</w:t>
      </w:r>
      <w:r w:rsidRPr="002C7D88">
        <w:rPr>
          <w:rFonts w:eastAsia="Times New Roman" w:cs="Arial"/>
          <w:color w:val="000000"/>
          <w:lang w:val="en-US"/>
        </w:rPr>
        <w:t>R</w:t>
      </w:r>
      <w:r w:rsidRPr="002C7D88">
        <w:rPr>
          <w:rFonts w:eastAsia="Times New Roman" w:cs="Arial"/>
          <w:color w:val="000000"/>
          <w:lang w:val="ru-RU"/>
        </w:rPr>
        <w:t xml:space="preserve">-), </w:t>
      </w:r>
      <w:r w:rsidRPr="002C7D88">
        <w:rPr>
          <w:rFonts w:eastAsia="Times New Roman" w:cs="Arial"/>
          <w:color w:val="000000"/>
          <w:lang w:eastAsia="bg-BG"/>
        </w:rPr>
        <w:t xml:space="preserve">които са получавали Валцит (900 </w:t>
      </w:r>
      <w:r w:rsidRPr="002C7D88">
        <w:rPr>
          <w:rFonts w:eastAsia="Times New Roman" w:cs="Arial"/>
          <w:color w:val="000000"/>
          <w:lang w:val="en-US"/>
        </w:rPr>
        <w:t>mg</w:t>
      </w:r>
      <w:r w:rsidRPr="002C7D88">
        <w:rPr>
          <w:rFonts w:eastAsia="Times New Roman" w:cs="Arial"/>
          <w:color w:val="000000"/>
          <w:lang w:val="ru-RU"/>
        </w:rPr>
        <w:t xml:space="preserve"> </w:t>
      </w:r>
      <w:r w:rsidRPr="002C7D88">
        <w:rPr>
          <w:rFonts w:eastAsia="Times New Roman" w:cs="Arial"/>
          <w:color w:val="000000"/>
          <w:lang w:eastAsia="bg-BG"/>
        </w:rPr>
        <w:t xml:space="preserve">веднъж дневно) или ганцикловир перорално (1 000 </w:t>
      </w:r>
      <w:r w:rsidRPr="002C7D88">
        <w:rPr>
          <w:rFonts w:eastAsia="Times New Roman" w:cs="Arial"/>
          <w:color w:val="000000"/>
          <w:lang w:val="en-US"/>
        </w:rPr>
        <w:t>mg</w:t>
      </w:r>
      <w:r w:rsidRPr="002C7D88">
        <w:rPr>
          <w:rFonts w:eastAsia="Times New Roman" w:cs="Arial"/>
          <w:color w:val="000000"/>
          <w:lang w:val="ru-RU"/>
        </w:rPr>
        <w:t xml:space="preserve"> </w:t>
      </w:r>
      <w:r w:rsidRPr="002C7D88">
        <w:rPr>
          <w:rFonts w:eastAsia="Times New Roman" w:cs="Arial"/>
          <w:color w:val="000000"/>
          <w:lang w:eastAsia="bg-BG"/>
        </w:rPr>
        <w:t xml:space="preserve">три пъти дневно) с начало до 10 дни от </w:t>
      </w:r>
      <w:r w:rsidRPr="002C7D88">
        <w:rPr>
          <w:rFonts w:eastAsia="Times New Roman" w:cs="Arial"/>
          <w:color w:val="000000"/>
          <w:lang w:eastAsia="bg-BG"/>
        </w:rPr>
        <w:lastRenderedPageBreak/>
        <w:t xml:space="preserve">трансплантацията до ден 100 след трансплантацията. Честотата на </w:t>
      </w:r>
      <w:r w:rsidRPr="002C7D88">
        <w:rPr>
          <w:rFonts w:eastAsia="Times New Roman" w:cs="Arial"/>
          <w:color w:val="000000"/>
          <w:lang w:val="en-US"/>
        </w:rPr>
        <w:t>CMV</w:t>
      </w:r>
      <w:r w:rsidRPr="002C7D88">
        <w:rPr>
          <w:rFonts w:eastAsia="Times New Roman" w:cs="Arial"/>
          <w:color w:val="000000"/>
          <w:lang w:val="ru-RU"/>
        </w:rPr>
        <w:t xml:space="preserve"> </w:t>
      </w:r>
      <w:r w:rsidRPr="002C7D88">
        <w:rPr>
          <w:rFonts w:eastAsia="Times New Roman" w:cs="Arial"/>
          <w:color w:val="000000"/>
          <w:lang w:eastAsia="bg-BG"/>
        </w:rPr>
        <w:t xml:space="preserve">заболяване </w:t>
      </w:r>
      <w:r w:rsidRPr="002C7D88">
        <w:rPr>
          <w:rFonts w:eastAsia="Times New Roman" w:cs="Arial"/>
          <w:color w:val="000000"/>
          <w:lang w:val="ru-RU"/>
        </w:rPr>
        <w:t>(</w:t>
      </w:r>
      <w:r w:rsidRPr="002C7D88">
        <w:rPr>
          <w:rFonts w:eastAsia="Times New Roman" w:cs="Arial"/>
          <w:color w:val="000000"/>
          <w:lang w:val="en-US"/>
        </w:rPr>
        <w:t>CMV</w:t>
      </w:r>
      <w:r w:rsidRPr="002C7D88">
        <w:rPr>
          <w:rFonts w:eastAsia="Times New Roman" w:cs="Arial"/>
          <w:color w:val="000000"/>
          <w:lang w:val="ru-RU"/>
        </w:rPr>
        <w:t xml:space="preserve"> </w:t>
      </w:r>
      <w:r w:rsidRPr="002C7D88">
        <w:rPr>
          <w:rFonts w:eastAsia="Times New Roman" w:cs="Arial"/>
          <w:color w:val="000000"/>
          <w:lang w:eastAsia="bg-BG"/>
        </w:rPr>
        <w:t>синдром + заболяване с тьканна инвазия) през първите 6 месеца след трансплантацията е била 12,1 % в рамото с Валцит (</w:t>
      </w:r>
      <w:r w:rsidRPr="002C7D88">
        <w:rPr>
          <w:rFonts w:eastAsia="Times New Roman" w:cs="Arial"/>
          <w:color w:val="000000"/>
          <w:lang w:val="en-US"/>
        </w:rPr>
        <w:t>n</w:t>
      </w:r>
      <w:r w:rsidRPr="002C7D88">
        <w:rPr>
          <w:rFonts w:eastAsia="Times New Roman" w:cs="Arial"/>
          <w:color w:val="000000"/>
          <w:lang w:val="ru-RU"/>
        </w:rPr>
        <w:t>=</w:t>
      </w:r>
      <w:r w:rsidRPr="002C7D88">
        <w:rPr>
          <w:rFonts w:eastAsia="Times New Roman" w:cs="Arial"/>
          <w:color w:val="000000"/>
          <w:lang w:eastAsia="bg-BG"/>
        </w:rPr>
        <w:t>239) в сравнение с 15,2 % в рамото с перорален ганцикловир (</w:t>
      </w:r>
      <w:r w:rsidRPr="002C7D88">
        <w:rPr>
          <w:rFonts w:eastAsia="Times New Roman" w:cs="Arial"/>
          <w:color w:val="000000"/>
          <w:lang w:val="en-US"/>
        </w:rPr>
        <w:t>n</w:t>
      </w:r>
      <w:r w:rsidRPr="002C7D88">
        <w:rPr>
          <w:rFonts w:eastAsia="Times New Roman" w:cs="Arial"/>
          <w:color w:val="000000"/>
          <w:lang w:val="ru-RU"/>
        </w:rPr>
        <w:t>=</w:t>
      </w:r>
      <w:r w:rsidRPr="002C7D88">
        <w:rPr>
          <w:rFonts w:eastAsia="Times New Roman" w:cs="Arial"/>
          <w:color w:val="000000"/>
          <w:lang w:eastAsia="bg-BG"/>
        </w:rPr>
        <w:t>125). В голямото мнозинство от случаите заболяването се е появило след прекратяване на профилактиката (след ден 100), като заболяването в рамото с валганцикловир се е появило средно по-късно отколкото в рамото с пероралния ганцикловир. Честотата на остро отхвърляне през първите 6 месеца е била 29,7 % при пациентите, рандомизирани за лечение с валганцикловир, в сравнение с 36,0 % в рамото с перорално приложения ганцикловир, като честотата на загуба на присадката (0,8 %) е била еквивалентна при пациентите във всяко от рамената.</w:t>
      </w:r>
    </w:p>
    <w:p w14:paraId="56261A61" w14:textId="77777777" w:rsidR="002C7D88" w:rsidRDefault="002C7D88" w:rsidP="002C7D88">
      <w:pPr>
        <w:spacing w:line="240" w:lineRule="auto"/>
        <w:rPr>
          <w:rFonts w:eastAsia="Times New Roman" w:cs="Arial"/>
          <w:color w:val="000000"/>
          <w:lang w:eastAsia="bg-BG"/>
        </w:rPr>
      </w:pPr>
    </w:p>
    <w:p w14:paraId="0EFA2BFC" w14:textId="6557034A" w:rsidR="002C7D88" w:rsidRPr="002C7D88" w:rsidRDefault="002C7D88" w:rsidP="002C7D88">
      <w:pPr>
        <w:spacing w:line="240" w:lineRule="auto"/>
        <w:rPr>
          <w:rFonts w:eastAsia="Times New Roman" w:cs="Arial"/>
        </w:rPr>
      </w:pPr>
      <w:r w:rsidRPr="002C7D88">
        <w:rPr>
          <w:rFonts w:eastAsia="Times New Roman" w:cs="Arial"/>
          <w:color w:val="000000"/>
          <w:lang w:eastAsia="bg-BG"/>
        </w:rPr>
        <w:t xml:space="preserve">Едно двойно-сляпо, плацебо-контролирано изпитване е проведено при 326 пациенти с бъбречна трансплантация, с висок риск от </w:t>
      </w:r>
      <w:r w:rsidRPr="002C7D88">
        <w:rPr>
          <w:rFonts w:eastAsia="Times New Roman" w:cs="Arial"/>
          <w:color w:val="000000"/>
          <w:lang w:val="en-US"/>
        </w:rPr>
        <w:t>CMV</w:t>
      </w:r>
      <w:r w:rsidRPr="002C7D88">
        <w:rPr>
          <w:rFonts w:eastAsia="Times New Roman" w:cs="Arial"/>
          <w:color w:val="000000"/>
          <w:lang w:val="ru-RU"/>
        </w:rPr>
        <w:t xml:space="preserve"> </w:t>
      </w:r>
      <w:r w:rsidRPr="002C7D88">
        <w:rPr>
          <w:rFonts w:eastAsia="Times New Roman" w:cs="Arial"/>
          <w:color w:val="000000"/>
          <w:lang w:eastAsia="bg-BG"/>
        </w:rPr>
        <w:t xml:space="preserve">заболяване </w:t>
      </w:r>
      <w:r w:rsidRPr="002C7D88">
        <w:rPr>
          <w:rFonts w:eastAsia="Times New Roman" w:cs="Arial"/>
          <w:color w:val="000000"/>
          <w:lang w:val="ru-RU"/>
        </w:rPr>
        <w:t>(</w:t>
      </w:r>
      <w:r w:rsidRPr="002C7D88">
        <w:rPr>
          <w:rFonts w:eastAsia="Times New Roman" w:cs="Arial"/>
          <w:color w:val="000000"/>
          <w:lang w:val="en-US"/>
        </w:rPr>
        <w:t>D</w:t>
      </w:r>
      <w:r w:rsidRPr="002C7D88">
        <w:rPr>
          <w:rFonts w:eastAsia="Times New Roman" w:cs="Arial"/>
          <w:color w:val="000000"/>
          <w:lang w:val="ru-RU"/>
        </w:rPr>
        <w:t>+/</w:t>
      </w:r>
      <w:r w:rsidRPr="002C7D88">
        <w:rPr>
          <w:rFonts w:eastAsia="Times New Roman" w:cs="Arial"/>
          <w:color w:val="000000"/>
          <w:lang w:val="en-US"/>
        </w:rPr>
        <w:t>R</w:t>
      </w:r>
      <w:r w:rsidRPr="002C7D88">
        <w:rPr>
          <w:rFonts w:eastAsia="Times New Roman" w:cs="Arial"/>
          <w:color w:val="000000"/>
          <w:lang w:val="ru-RU"/>
        </w:rPr>
        <w:t xml:space="preserve">-) </w:t>
      </w:r>
      <w:r w:rsidRPr="002C7D88">
        <w:rPr>
          <w:rFonts w:eastAsia="Times New Roman" w:cs="Arial"/>
          <w:color w:val="000000"/>
          <w:lang w:eastAsia="bg-BG"/>
        </w:rPr>
        <w:t xml:space="preserve">за оценка на ефикасността и безопасността при удължаване на профилактиката за </w:t>
      </w:r>
      <w:r w:rsidRPr="002C7D88">
        <w:rPr>
          <w:rFonts w:eastAsia="Times New Roman" w:cs="Arial"/>
          <w:color w:val="000000"/>
          <w:lang w:val="en-US"/>
        </w:rPr>
        <w:t>CMV</w:t>
      </w:r>
      <w:r w:rsidRPr="002C7D88">
        <w:rPr>
          <w:rFonts w:eastAsia="Times New Roman" w:cs="Arial"/>
          <w:color w:val="000000"/>
          <w:lang w:val="ru-RU"/>
        </w:rPr>
        <w:t xml:space="preserve"> </w:t>
      </w:r>
      <w:r w:rsidRPr="002C7D88">
        <w:rPr>
          <w:rFonts w:eastAsia="Times New Roman" w:cs="Arial"/>
          <w:color w:val="000000"/>
          <w:lang w:eastAsia="bg-BG"/>
        </w:rPr>
        <w:t xml:space="preserve">с Валцит от 100 на 200 дни след трансплантацията. Пациентите са рандомизирани (1:1) да получават Валцит таблетки (900 </w:t>
      </w:r>
      <w:r w:rsidRPr="002C7D88">
        <w:rPr>
          <w:rFonts w:eastAsia="Times New Roman" w:cs="Arial"/>
          <w:color w:val="000000"/>
          <w:lang w:val="en-US"/>
        </w:rPr>
        <w:t>mg</w:t>
      </w:r>
      <w:r w:rsidRPr="002C7D88">
        <w:rPr>
          <w:rFonts w:eastAsia="Times New Roman" w:cs="Arial"/>
          <w:color w:val="000000"/>
          <w:lang w:val="ru-RU"/>
        </w:rPr>
        <w:t xml:space="preserve"> </w:t>
      </w:r>
      <w:r w:rsidRPr="002C7D88">
        <w:rPr>
          <w:rFonts w:eastAsia="Times New Roman" w:cs="Arial"/>
          <w:color w:val="000000"/>
          <w:lang w:eastAsia="bg-BG"/>
        </w:rPr>
        <w:t>веднъж дневно), започвайки до 10 дни след трансплантацията или до ден 200 след трансплантацията, или до ден 100 след трансплантацията, последвано от 100 дни прием на плацебо.</w:t>
      </w:r>
    </w:p>
    <w:p w14:paraId="2E76211D" w14:textId="77777777" w:rsidR="002C7D88" w:rsidRPr="002C7D88" w:rsidRDefault="002C7D88" w:rsidP="002C7D88">
      <w:pPr>
        <w:spacing w:line="240" w:lineRule="auto"/>
        <w:rPr>
          <w:rFonts w:eastAsia="Times New Roman" w:cs="Arial"/>
        </w:rPr>
      </w:pPr>
      <w:r w:rsidRPr="002C7D88">
        <w:rPr>
          <w:rFonts w:eastAsia="Times New Roman" w:cs="Arial"/>
          <w:color w:val="000000"/>
          <w:lang w:eastAsia="bg-BG"/>
        </w:rPr>
        <w:t xml:space="preserve">Процентът пациенти, които са развили </w:t>
      </w:r>
      <w:r w:rsidRPr="002C7D88">
        <w:rPr>
          <w:rFonts w:eastAsia="Times New Roman" w:cs="Arial"/>
          <w:color w:val="000000"/>
          <w:lang w:val="en-US"/>
        </w:rPr>
        <w:t>CMV</w:t>
      </w:r>
      <w:r w:rsidRPr="002C7D88">
        <w:rPr>
          <w:rFonts w:eastAsia="Times New Roman" w:cs="Arial"/>
          <w:color w:val="000000"/>
          <w:lang w:val="ru-RU"/>
        </w:rPr>
        <w:t xml:space="preserve"> </w:t>
      </w:r>
      <w:r w:rsidRPr="002C7D88">
        <w:rPr>
          <w:rFonts w:eastAsia="Times New Roman" w:cs="Arial"/>
          <w:color w:val="000000"/>
          <w:lang w:eastAsia="bg-BG"/>
        </w:rPr>
        <w:t>заболяване през първите 12 месеца след трансплантацията, е представен в таблицата по-долу.</w:t>
      </w:r>
    </w:p>
    <w:p w14:paraId="335AA933" w14:textId="77777777" w:rsidR="002C7D88" w:rsidRDefault="002C7D88" w:rsidP="002C7D88">
      <w:pPr>
        <w:spacing w:line="240" w:lineRule="auto"/>
        <w:rPr>
          <w:rFonts w:eastAsia="Times New Roman" w:cs="Arial"/>
          <w:b/>
          <w:bCs/>
          <w:color w:val="000000"/>
          <w:lang w:eastAsia="bg-BG"/>
        </w:rPr>
      </w:pPr>
    </w:p>
    <w:p w14:paraId="1F070DDF" w14:textId="0ECEECAF" w:rsidR="002C7D88" w:rsidRPr="002C7D88" w:rsidRDefault="002C7D88" w:rsidP="002C7D88">
      <w:pPr>
        <w:spacing w:line="240" w:lineRule="auto"/>
        <w:rPr>
          <w:rFonts w:eastAsia="Times New Roman" w:cs="Arial"/>
          <w:lang w:val="ru-RU"/>
        </w:rPr>
      </w:pPr>
      <w:r w:rsidRPr="002C7D88">
        <w:rPr>
          <w:rFonts w:eastAsia="Times New Roman" w:cs="Arial"/>
          <w:b/>
          <w:bCs/>
          <w:color w:val="000000"/>
          <w:lang w:eastAsia="bg-BG"/>
        </w:rPr>
        <w:t xml:space="preserve">Процент пациенти с бъбречна трансплантация и с </w:t>
      </w:r>
      <w:r w:rsidRPr="002C7D88">
        <w:rPr>
          <w:rFonts w:eastAsia="Times New Roman" w:cs="Arial"/>
          <w:b/>
          <w:bCs/>
          <w:color w:val="000000"/>
          <w:lang w:val="en-US"/>
        </w:rPr>
        <w:t>CMV</w:t>
      </w:r>
      <w:r w:rsidRPr="002C7D88">
        <w:rPr>
          <w:rFonts w:eastAsia="Times New Roman" w:cs="Arial"/>
          <w:b/>
          <w:bCs/>
          <w:color w:val="000000"/>
          <w:lang w:val="ru-RU"/>
        </w:rPr>
        <w:t xml:space="preserve"> </w:t>
      </w:r>
      <w:r w:rsidRPr="002C7D88">
        <w:rPr>
          <w:rFonts w:eastAsia="Times New Roman" w:cs="Arial"/>
          <w:b/>
          <w:bCs/>
          <w:color w:val="000000"/>
          <w:lang w:eastAsia="bg-BG"/>
        </w:rPr>
        <w:t>заболяване</w:t>
      </w:r>
      <w:r w:rsidRPr="002C7D88">
        <w:rPr>
          <w:rFonts w:eastAsia="Times New Roman" w:cs="Arial"/>
          <w:b/>
          <w:bCs/>
          <w:color w:val="000000"/>
          <w:vertAlign w:val="superscript"/>
          <w:lang w:eastAsia="bg-BG"/>
        </w:rPr>
        <w:t>1</w:t>
      </w:r>
      <w:r w:rsidRPr="002C7D88">
        <w:rPr>
          <w:rFonts w:eastAsia="Times New Roman" w:cs="Arial"/>
          <w:b/>
          <w:bCs/>
          <w:color w:val="000000"/>
          <w:lang w:eastAsia="bg-BG"/>
        </w:rPr>
        <w:t xml:space="preserve">,12 месеца </w:t>
      </w:r>
      <w:r w:rsidRPr="002C7D88">
        <w:rPr>
          <w:rFonts w:eastAsia="Times New Roman" w:cs="Arial"/>
          <w:b/>
          <w:bCs/>
          <w:color w:val="000000"/>
          <w:lang w:val="en-US"/>
        </w:rPr>
        <w:t>ITT</w:t>
      </w:r>
      <w:r w:rsidRPr="002C7D88">
        <w:rPr>
          <w:rFonts w:eastAsia="Times New Roman" w:cs="Arial"/>
          <w:b/>
          <w:bCs/>
          <w:color w:val="000000"/>
          <w:lang w:val="ru-RU"/>
        </w:rPr>
        <w:t xml:space="preserve"> </w:t>
      </w:r>
      <w:r w:rsidRPr="002C7D88">
        <w:rPr>
          <w:rFonts w:eastAsia="Times New Roman" w:cs="Arial"/>
          <w:b/>
          <w:bCs/>
          <w:color w:val="000000"/>
          <w:lang w:eastAsia="bg-BG"/>
        </w:rPr>
        <w:t>популация</w:t>
      </w:r>
      <w:r w:rsidRPr="002C7D88">
        <w:rPr>
          <w:rFonts w:eastAsia="Times New Roman" w:cs="Arial"/>
          <w:b/>
          <w:bCs/>
          <w:color w:val="000000"/>
          <w:vertAlign w:val="superscript"/>
          <w:lang w:val="en-US"/>
        </w:rPr>
        <w:t>A</w:t>
      </w:r>
    </w:p>
    <w:tbl>
      <w:tblPr>
        <w:tblStyle w:val="TableGrid"/>
        <w:tblW w:w="0" w:type="auto"/>
        <w:tblLook w:val="04A0" w:firstRow="1" w:lastRow="0" w:firstColumn="1" w:lastColumn="0" w:noHBand="0" w:noVBand="1"/>
      </w:tblPr>
      <w:tblGrid>
        <w:gridCol w:w="2324"/>
        <w:gridCol w:w="2366"/>
        <w:gridCol w:w="2366"/>
        <w:gridCol w:w="2294"/>
      </w:tblGrid>
      <w:tr w:rsidR="005474BD" w14:paraId="7CA2A583" w14:textId="77777777" w:rsidTr="005474BD">
        <w:tc>
          <w:tcPr>
            <w:tcW w:w="2394" w:type="dxa"/>
          </w:tcPr>
          <w:p w14:paraId="16CB7F1C" w14:textId="77777777" w:rsidR="005474BD" w:rsidRPr="005474BD" w:rsidRDefault="005474BD" w:rsidP="005474BD"/>
        </w:tc>
        <w:tc>
          <w:tcPr>
            <w:tcW w:w="2394" w:type="dxa"/>
            <w:vAlign w:val="bottom"/>
          </w:tcPr>
          <w:p w14:paraId="385D7586" w14:textId="77777777" w:rsidR="005474BD" w:rsidRPr="005474BD" w:rsidRDefault="005474BD" w:rsidP="005474BD">
            <w:r w:rsidRPr="005474BD">
              <w:rPr>
                <w:b/>
                <w:bCs/>
              </w:rPr>
              <w:t>Валганцикловир</w:t>
            </w:r>
          </w:p>
          <w:p w14:paraId="74726F37" w14:textId="77777777" w:rsidR="005474BD" w:rsidRPr="005474BD" w:rsidRDefault="005474BD" w:rsidP="005474BD">
            <w:r w:rsidRPr="005474BD">
              <w:rPr>
                <w:b/>
                <w:bCs/>
              </w:rPr>
              <w:t xml:space="preserve">900 </w:t>
            </w:r>
            <w:r w:rsidRPr="005474BD">
              <w:rPr>
                <w:b/>
                <w:bCs/>
                <w:lang w:val="en-US"/>
              </w:rPr>
              <w:t>mg</w:t>
            </w:r>
            <w:r w:rsidRPr="005474BD">
              <w:rPr>
                <w:b/>
                <w:bCs/>
                <w:lang w:val="ru-RU"/>
              </w:rPr>
              <w:t xml:space="preserve"> </w:t>
            </w:r>
            <w:r w:rsidRPr="005474BD">
              <w:rPr>
                <w:b/>
                <w:bCs/>
              </w:rPr>
              <w:t>веднъж дневно</w:t>
            </w:r>
          </w:p>
          <w:p w14:paraId="65219381" w14:textId="77777777" w:rsidR="005474BD" w:rsidRPr="005474BD" w:rsidRDefault="005474BD" w:rsidP="005474BD">
            <w:r w:rsidRPr="005474BD">
              <w:rPr>
                <w:b/>
                <w:bCs/>
              </w:rPr>
              <w:t>100 дни</w:t>
            </w:r>
          </w:p>
          <w:p w14:paraId="17D825B9" w14:textId="5424A5E3" w:rsidR="005474BD" w:rsidRPr="005474BD" w:rsidRDefault="005474BD" w:rsidP="005474BD">
            <w:r w:rsidRPr="005474BD">
              <w:rPr>
                <w:b/>
                <w:bCs/>
                <w:lang w:val="ru-RU"/>
              </w:rPr>
              <w:t>(</w:t>
            </w:r>
            <w:r w:rsidRPr="005474BD">
              <w:rPr>
                <w:b/>
                <w:bCs/>
                <w:lang w:val="en-US"/>
              </w:rPr>
              <w:t>N</w:t>
            </w:r>
            <w:r w:rsidRPr="005474BD">
              <w:rPr>
                <w:b/>
                <w:bCs/>
                <w:lang w:val="ru-RU"/>
              </w:rPr>
              <w:t xml:space="preserve"> </w:t>
            </w:r>
            <w:r w:rsidRPr="005474BD">
              <w:rPr>
                <w:b/>
                <w:bCs/>
              </w:rPr>
              <w:t>= 163)</w:t>
            </w:r>
          </w:p>
        </w:tc>
        <w:tc>
          <w:tcPr>
            <w:tcW w:w="2394" w:type="dxa"/>
            <w:vAlign w:val="bottom"/>
          </w:tcPr>
          <w:p w14:paraId="1CFCD021" w14:textId="77777777" w:rsidR="005474BD" w:rsidRPr="005474BD" w:rsidRDefault="005474BD" w:rsidP="005474BD">
            <w:r w:rsidRPr="005474BD">
              <w:rPr>
                <w:b/>
                <w:bCs/>
              </w:rPr>
              <w:t>Валганцикловир</w:t>
            </w:r>
          </w:p>
          <w:p w14:paraId="29C95396" w14:textId="77777777" w:rsidR="005474BD" w:rsidRPr="005474BD" w:rsidRDefault="005474BD" w:rsidP="005474BD">
            <w:r w:rsidRPr="005474BD">
              <w:rPr>
                <w:b/>
                <w:bCs/>
              </w:rPr>
              <w:t xml:space="preserve">900 </w:t>
            </w:r>
            <w:r w:rsidRPr="005474BD">
              <w:rPr>
                <w:b/>
                <w:bCs/>
                <w:lang w:val="en-US"/>
              </w:rPr>
              <w:t>mg</w:t>
            </w:r>
            <w:r w:rsidRPr="005474BD">
              <w:rPr>
                <w:b/>
                <w:bCs/>
                <w:lang w:val="ru-RU"/>
              </w:rPr>
              <w:t xml:space="preserve"> </w:t>
            </w:r>
            <w:r w:rsidRPr="005474BD">
              <w:rPr>
                <w:b/>
                <w:bCs/>
              </w:rPr>
              <w:t>веднъж дневно</w:t>
            </w:r>
          </w:p>
          <w:p w14:paraId="2B9873EA" w14:textId="77777777" w:rsidR="005474BD" w:rsidRPr="005474BD" w:rsidRDefault="005474BD" w:rsidP="005474BD">
            <w:r w:rsidRPr="005474BD">
              <w:rPr>
                <w:b/>
                <w:bCs/>
              </w:rPr>
              <w:t>200 дни</w:t>
            </w:r>
          </w:p>
          <w:p w14:paraId="5A2BE7CC" w14:textId="12A3AA5B" w:rsidR="005474BD" w:rsidRPr="005474BD" w:rsidRDefault="005474BD" w:rsidP="005474BD">
            <w:r w:rsidRPr="005474BD">
              <w:rPr>
                <w:b/>
                <w:bCs/>
                <w:lang w:val="ru-RU"/>
              </w:rPr>
              <w:t>(</w:t>
            </w:r>
            <w:r w:rsidRPr="005474BD">
              <w:rPr>
                <w:b/>
                <w:bCs/>
                <w:lang w:val="en-US"/>
              </w:rPr>
              <w:t>N</w:t>
            </w:r>
            <w:r w:rsidRPr="005474BD">
              <w:rPr>
                <w:b/>
                <w:bCs/>
                <w:lang w:val="ru-RU"/>
              </w:rPr>
              <w:t xml:space="preserve"> </w:t>
            </w:r>
            <w:r w:rsidRPr="005474BD">
              <w:rPr>
                <w:b/>
                <w:bCs/>
              </w:rPr>
              <w:t>= 155)</w:t>
            </w:r>
          </w:p>
        </w:tc>
        <w:tc>
          <w:tcPr>
            <w:tcW w:w="2394" w:type="dxa"/>
          </w:tcPr>
          <w:p w14:paraId="616862C9" w14:textId="2BCB3070" w:rsidR="005474BD" w:rsidRPr="005474BD" w:rsidRDefault="005474BD" w:rsidP="005474BD">
            <w:r w:rsidRPr="005474BD">
              <w:rPr>
                <w:b/>
                <w:bCs/>
              </w:rPr>
              <w:t>Разлика между групите за лечение</w:t>
            </w:r>
          </w:p>
        </w:tc>
      </w:tr>
      <w:tr w:rsidR="005474BD" w14:paraId="4002DE95" w14:textId="77777777" w:rsidTr="005474BD">
        <w:tc>
          <w:tcPr>
            <w:tcW w:w="2394" w:type="dxa"/>
            <w:vAlign w:val="bottom"/>
          </w:tcPr>
          <w:p w14:paraId="06B49365" w14:textId="2D0E0830" w:rsidR="005474BD" w:rsidRPr="005474BD" w:rsidRDefault="005474BD" w:rsidP="005474BD">
            <w:r w:rsidRPr="005474BD">
              <w:t xml:space="preserve">Пациенти с потвърдено или подозирано </w:t>
            </w:r>
            <w:r w:rsidRPr="005474BD">
              <w:rPr>
                <w:lang w:val="en-US"/>
              </w:rPr>
              <w:t>CMV</w:t>
            </w:r>
            <w:r w:rsidRPr="005474BD">
              <w:rPr>
                <w:lang w:val="ru-RU"/>
              </w:rPr>
              <w:t xml:space="preserve"> </w:t>
            </w:r>
            <w:r w:rsidRPr="005474BD">
              <w:t>заболяване</w:t>
            </w:r>
            <w:r w:rsidRPr="005474BD">
              <w:rPr>
                <w:vertAlign w:val="superscript"/>
              </w:rPr>
              <w:t>2</w:t>
            </w:r>
          </w:p>
        </w:tc>
        <w:tc>
          <w:tcPr>
            <w:tcW w:w="2394" w:type="dxa"/>
            <w:vAlign w:val="bottom"/>
          </w:tcPr>
          <w:p w14:paraId="4DEBCBE4" w14:textId="77777777" w:rsidR="005474BD" w:rsidRDefault="005474BD" w:rsidP="005474BD">
            <w:r w:rsidRPr="005474BD">
              <w:t xml:space="preserve">71 (43,6 %) </w:t>
            </w:r>
          </w:p>
          <w:p w14:paraId="58874675" w14:textId="60CDB028" w:rsidR="005474BD" w:rsidRPr="005474BD" w:rsidRDefault="005474BD" w:rsidP="005474BD">
            <w:r w:rsidRPr="005474BD">
              <w:t>[35,8 %; 51,5 %]</w:t>
            </w:r>
          </w:p>
        </w:tc>
        <w:tc>
          <w:tcPr>
            <w:tcW w:w="2394" w:type="dxa"/>
            <w:vAlign w:val="bottom"/>
          </w:tcPr>
          <w:p w14:paraId="2FB17353" w14:textId="77777777" w:rsidR="005474BD" w:rsidRDefault="005474BD" w:rsidP="005474BD">
            <w:r w:rsidRPr="005474BD">
              <w:t xml:space="preserve">36 (23,2 %) </w:t>
            </w:r>
          </w:p>
          <w:p w14:paraId="58A6DC41" w14:textId="69F9D01A" w:rsidR="005474BD" w:rsidRPr="005474BD" w:rsidRDefault="005474BD" w:rsidP="005474BD">
            <w:r w:rsidRPr="005474BD">
              <w:t>[16,8 %; 30,7 %]</w:t>
            </w:r>
          </w:p>
        </w:tc>
        <w:tc>
          <w:tcPr>
            <w:tcW w:w="2394" w:type="dxa"/>
            <w:vAlign w:val="bottom"/>
          </w:tcPr>
          <w:p w14:paraId="080ED442" w14:textId="77777777" w:rsidR="005474BD" w:rsidRPr="005474BD" w:rsidRDefault="005474BD" w:rsidP="005474BD">
            <w:r w:rsidRPr="005474BD">
              <w:t>20,3 %</w:t>
            </w:r>
          </w:p>
          <w:p w14:paraId="145C9D15" w14:textId="3BF1A6FE" w:rsidR="005474BD" w:rsidRPr="005474BD" w:rsidRDefault="005474BD" w:rsidP="005474BD">
            <w:r w:rsidRPr="005474BD">
              <w:t>[9,9 %; 30,8 %]</w:t>
            </w:r>
          </w:p>
        </w:tc>
      </w:tr>
      <w:tr w:rsidR="005474BD" w14:paraId="7CA6D365" w14:textId="77777777" w:rsidTr="005474BD">
        <w:tc>
          <w:tcPr>
            <w:tcW w:w="2394" w:type="dxa"/>
          </w:tcPr>
          <w:p w14:paraId="4921DD8F" w14:textId="40A02EE6" w:rsidR="005474BD" w:rsidRPr="005474BD" w:rsidRDefault="005474BD" w:rsidP="005474BD">
            <w:r w:rsidRPr="005474BD">
              <w:t xml:space="preserve">Пациенти с потвърдено </w:t>
            </w:r>
            <w:r w:rsidRPr="005474BD">
              <w:rPr>
                <w:lang w:val="en-US"/>
              </w:rPr>
              <w:t>CMV</w:t>
            </w:r>
            <w:r w:rsidRPr="005474BD">
              <w:rPr>
                <w:lang w:val="ru-RU"/>
              </w:rPr>
              <w:t xml:space="preserve"> </w:t>
            </w:r>
            <w:r w:rsidRPr="005474BD">
              <w:t>заболяване</w:t>
            </w:r>
          </w:p>
        </w:tc>
        <w:tc>
          <w:tcPr>
            <w:tcW w:w="2394" w:type="dxa"/>
          </w:tcPr>
          <w:p w14:paraId="5C33F21D" w14:textId="77777777" w:rsidR="005474BD" w:rsidRPr="005474BD" w:rsidRDefault="005474BD" w:rsidP="005474BD">
            <w:r w:rsidRPr="005474BD">
              <w:t>60(36,8 %)</w:t>
            </w:r>
          </w:p>
          <w:p w14:paraId="333D9237" w14:textId="4FDC2417" w:rsidR="005474BD" w:rsidRPr="005474BD" w:rsidRDefault="005474BD" w:rsidP="005474BD">
            <w:r w:rsidRPr="005474BD">
              <w:t>[29,4 %; 44,7 %]</w:t>
            </w:r>
          </w:p>
        </w:tc>
        <w:tc>
          <w:tcPr>
            <w:tcW w:w="2394" w:type="dxa"/>
          </w:tcPr>
          <w:p w14:paraId="4B61733A" w14:textId="77777777" w:rsidR="005474BD" w:rsidRPr="005474BD" w:rsidRDefault="005474BD" w:rsidP="005474BD">
            <w:r w:rsidRPr="005474BD">
              <w:t>25(16,1 %)</w:t>
            </w:r>
          </w:p>
          <w:p w14:paraId="5C1F0499" w14:textId="748E4EFC" w:rsidR="005474BD" w:rsidRPr="005474BD" w:rsidRDefault="005474BD" w:rsidP="005474BD">
            <w:r w:rsidRPr="005474BD">
              <w:t>[10,7 %; 22,9 %]</w:t>
            </w:r>
          </w:p>
        </w:tc>
        <w:tc>
          <w:tcPr>
            <w:tcW w:w="2394" w:type="dxa"/>
          </w:tcPr>
          <w:p w14:paraId="12790E5D" w14:textId="77777777" w:rsidR="005474BD" w:rsidRPr="005474BD" w:rsidRDefault="005474BD" w:rsidP="005474BD">
            <w:r w:rsidRPr="005474BD">
              <w:t>20,7 %</w:t>
            </w:r>
          </w:p>
          <w:p w14:paraId="2D003966" w14:textId="4928C027" w:rsidR="005474BD" w:rsidRPr="005474BD" w:rsidRDefault="005474BD" w:rsidP="005474BD">
            <w:r w:rsidRPr="005474BD">
              <w:t>[10,9 %; 30,4 %]</w:t>
            </w:r>
          </w:p>
        </w:tc>
      </w:tr>
    </w:tbl>
    <w:p w14:paraId="0E147FB9" w14:textId="77777777" w:rsidR="005474BD" w:rsidRPr="005474BD" w:rsidRDefault="005474BD" w:rsidP="005474BD">
      <w:pPr>
        <w:spacing w:line="240" w:lineRule="auto"/>
        <w:rPr>
          <w:rFonts w:eastAsia="Times New Roman" w:cs="Arial"/>
        </w:rPr>
      </w:pPr>
      <w:r w:rsidRPr="005474BD">
        <w:rPr>
          <w:rFonts w:eastAsia="Times New Roman" w:cs="Arial"/>
          <w:color w:val="000000"/>
          <w:vertAlign w:val="superscript"/>
          <w:lang w:eastAsia="bg-BG"/>
        </w:rPr>
        <w:t>1</w:t>
      </w:r>
      <w:r w:rsidRPr="005474BD">
        <w:rPr>
          <w:rFonts w:eastAsia="Times New Roman" w:cs="Arial"/>
          <w:color w:val="000000"/>
          <w:lang w:val="en-US"/>
        </w:rPr>
        <w:t>CMV</w:t>
      </w:r>
      <w:r w:rsidRPr="005474BD">
        <w:rPr>
          <w:rFonts w:eastAsia="Times New Roman" w:cs="Arial"/>
          <w:color w:val="000000"/>
          <w:lang w:val="ru-RU"/>
        </w:rPr>
        <w:t xml:space="preserve"> </w:t>
      </w:r>
      <w:r w:rsidRPr="005474BD">
        <w:rPr>
          <w:rFonts w:eastAsia="Times New Roman" w:cs="Arial"/>
          <w:color w:val="000000"/>
          <w:lang w:eastAsia="bg-BG"/>
        </w:rPr>
        <w:t xml:space="preserve">заболяване се определя като </w:t>
      </w:r>
      <w:r w:rsidRPr="005474BD">
        <w:rPr>
          <w:rFonts w:eastAsia="Times New Roman" w:cs="Arial"/>
          <w:color w:val="000000"/>
          <w:lang w:val="en-US"/>
        </w:rPr>
        <w:t>CMV</w:t>
      </w:r>
      <w:r w:rsidRPr="005474BD">
        <w:rPr>
          <w:rFonts w:eastAsia="Times New Roman" w:cs="Arial"/>
          <w:color w:val="000000"/>
          <w:lang w:val="ru-RU"/>
        </w:rPr>
        <w:t xml:space="preserve"> </w:t>
      </w:r>
      <w:r w:rsidRPr="005474BD">
        <w:rPr>
          <w:rFonts w:eastAsia="Times New Roman" w:cs="Arial"/>
          <w:color w:val="000000"/>
          <w:lang w:eastAsia="bg-BG"/>
        </w:rPr>
        <w:t xml:space="preserve">синдром или тьканна инвазия с </w:t>
      </w:r>
      <w:r w:rsidRPr="005474BD">
        <w:rPr>
          <w:rFonts w:eastAsia="Times New Roman" w:cs="Arial"/>
          <w:color w:val="000000"/>
          <w:lang w:val="en-US"/>
        </w:rPr>
        <w:t>CMV</w:t>
      </w:r>
      <w:r w:rsidRPr="005474BD">
        <w:rPr>
          <w:rFonts w:eastAsia="Times New Roman" w:cs="Arial"/>
          <w:color w:val="000000"/>
          <w:lang w:val="ru-RU"/>
        </w:rPr>
        <w:t>.</w:t>
      </w:r>
      <w:r w:rsidRPr="005474BD">
        <w:rPr>
          <w:rFonts w:eastAsia="Times New Roman" w:cs="Arial"/>
          <w:color w:val="000000"/>
          <w:vertAlign w:val="superscript"/>
          <w:lang w:val="ru-RU"/>
        </w:rPr>
        <w:t>2</w:t>
      </w:r>
      <w:r w:rsidRPr="005474BD">
        <w:rPr>
          <w:rFonts w:eastAsia="Times New Roman" w:cs="Arial"/>
          <w:color w:val="000000"/>
          <w:lang w:val="ru-RU"/>
        </w:rPr>
        <w:t xml:space="preserve"> </w:t>
      </w:r>
      <w:r w:rsidRPr="005474BD">
        <w:rPr>
          <w:rFonts w:eastAsia="Times New Roman" w:cs="Arial"/>
          <w:color w:val="000000"/>
          <w:lang w:eastAsia="bg-BG"/>
        </w:rPr>
        <w:t xml:space="preserve">Потвърдено </w:t>
      </w:r>
      <w:r w:rsidRPr="005474BD">
        <w:rPr>
          <w:rFonts w:eastAsia="Times New Roman" w:cs="Arial"/>
          <w:color w:val="000000"/>
          <w:lang w:val="en-US"/>
        </w:rPr>
        <w:t>CMV</w:t>
      </w:r>
      <w:r w:rsidRPr="005474BD">
        <w:rPr>
          <w:rFonts w:eastAsia="Times New Roman" w:cs="Arial"/>
          <w:color w:val="000000"/>
          <w:lang w:val="ru-RU"/>
        </w:rPr>
        <w:t xml:space="preserve"> </w:t>
      </w:r>
      <w:r w:rsidRPr="005474BD">
        <w:rPr>
          <w:rFonts w:eastAsia="Times New Roman" w:cs="Arial"/>
          <w:color w:val="000000"/>
          <w:lang w:eastAsia="bg-BG"/>
        </w:rPr>
        <w:t xml:space="preserve">е клинично потвърден случай на </w:t>
      </w:r>
      <w:r w:rsidRPr="005474BD">
        <w:rPr>
          <w:rFonts w:eastAsia="Times New Roman" w:cs="Arial"/>
          <w:color w:val="000000"/>
          <w:lang w:val="en-US"/>
        </w:rPr>
        <w:t>CMV</w:t>
      </w:r>
      <w:r w:rsidRPr="005474BD">
        <w:rPr>
          <w:rFonts w:eastAsia="Times New Roman" w:cs="Arial"/>
          <w:color w:val="000000"/>
          <w:lang w:val="ru-RU"/>
        </w:rPr>
        <w:t xml:space="preserve"> </w:t>
      </w:r>
      <w:r w:rsidRPr="005474BD">
        <w:rPr>
          <w:rFonts w:eastAsia="Times New Roman" w:cs="Arial"/>
          <w:color w:val="000000"/>
          <w:lang w:eastAsia="bg-BG"/>
        </w:rPr>
        <w:t xml:space="preserve">заболяване. Подозира се, че пациентите имат </w:t>
      </w:r>
      <w:r w:rsidRPr="005474BD">
        <w:rPr>
          <w:rFonts w:eastAsia="Times New Roman" w:cs="Arial"/>
          <w:color w:val="000000"/>
          <w:lang w:val="en-US"/>
        </w:rPr>
        <w:t>CMV</w:t>
      </w:r>
      <w:r w:rsidRPr="005474BD">
        <w:rPr>
          <w:rFonts w:eastAsia="Times New Roman" w:cs="Arial"/>
          <w:color w:val="000000"/>
          <w:lang w:val="ru-RU"/>
        </w:rPr>
        <w:t xml:space="preserve"> </w:t>
      </w:r>
      <w:r w:rsidRPr="005474BD">
        <w:rPr>
          <w:rFonts w:eastAsia="Times New Roman" w:cs="Arial"/>
          <w:color w:val="000000"/>
          <w:lang w:eastAsia="bg-BG"/>
        </w:rPr>
        <w:t xml:space="preserve">заболяване, ако няма оценка на седмица 52 и няма потвърждение на </w:t>
      </w:r>
      <w:r w:rsidRPr="005474BD">
        <w:rPr>
          <w:rFonts w:eastAsia="Times New Roman" w:cs="Arial"/>
          <w:color w:val="000000"/>
          <w:lang w:val="en-US"/>
        </w:rPr>
        <w:t>CMV</w:t>
      </w:r>
      <w:r w:rsidRPr="005474BD">
        <w:rPr>
          <w:rFonts w:eastAsia="Times New Roman" w:cs="Arial"/>
          <w:color w:val="000000"/>
          <w:lang w:val="ru-RU"/>
        </w:rPr>
        <w:t xml:space="preserve"> </w:t>
      </w:r>
      <w:r w:rsidRPr="005474BD">
        <w:rPr>
          <w:rFonts w:eastAsia="Times New Roman" w:cs="Arial"/>
          <w:color w:val="000000"/>
          <w:lang w:eastAsia="bg-BG"/>
        </w:rPr>
        <w:t>заболяването преди това време.</w:t>
      </w:r>
    </w:p>
    <w:p w14:paraId="43749049" w14:textId="77777777" w:rsidR="005474BD" w:rsidRPr="005474BD" w:rsidRDefault="005474BD" w:rsidP="005474BD">
      <w:pPr>
        <w:spacing w:line="240" w:lineRule="auto"/>
        <w:rPr>
          <w:rFonts w:eastAsia="Times New Roman" w:cs="Arial"/>
        </w:rPr>
      </w:pPr>
      <w:r w:rsidRPr="005474BD">
        <w:rPr>
          <w:rFonts w:eastAsia="Times New Roman" w:cs="Arial"/>
          <w:color w:val="000000"/>
          <w:vertAlign w:val="superscript"/>
          <w:lang w:eastAsia="bg-BG"/>
        </w:rPr>
        <w:t>А</w:t>
      </w:r>
      <w:r w:rsidRPr="005474BD">
        <w:rPr>
          <w:rFonts w:eastAsia="Times New Roman" w:cs="Arial"/>
          <w:color w:val="000000"/>
          <w:lang w:eastAsia="bg-BG"/>
        </w:rPr>
        <w:t xml:space="preserve">Получените резултати до 24 месеца съответстват на резултатите до 12 месеца: Потвърденото или подозирано </w:t>
      </w:r>
      <w:r w:rsidRPr="005474BD">
        <w:rPr>
          <w:rFonts w:eastAsia="Times New Roman" w:cs="Arial"/>
          <w:color w:val="000000"/>
          <w:lang w:val="en-US"/>
        </w:rPr>
        <w:t>CMV</w:t>
      </w:r>
      <w:r w:rsidRPr="005474BD">
        <w:rPr>
          <w:rFonts w:eastAsia="Times New Roman" w:cs="Arial"/>
          <w:color w:val="000000"/>
          <w:lang w:val="ru-RU"/>
        </w:rPr>
        <w:t xml:space="preserve"> </w:t>
      </w:r>
      <w:r w:rsidRPr="005474BD">
        <w:rPr>
          <w:rFonts w:eastAsia="Times New Roman" w:cs="Arial"/>
          <w:color w:val="000000"/>
          <w:lang w:eastAsia="bg-BG"/>
        </w:rPr>
        <w:t>заболяване е 48,5 % в групата с лечение в продължение на 100 дни в сравнение с 34,2 % в групата с 200 дни лечение; разликата между двете групи на лечение е 14,3 % [3,2 %; 25,3 %].</w:t>
      </w:r>
    </w:p>
    <w:p w14:paraId="3DCB5DEB" w14:textId="77777777" w:rsidR="005474BD" w:rsidRDefault="005474BD" w:rsidP="005474BD">
      <w:pPr>
        <w:spacing w:line="240" w:lineRule="auto"/>
        <w:rPr>
          <w:rFonts w:eastAsia="Times New Roman" w:cs="Arial"/>
          <w:color w:val="000000"/>
          <w:lang w:eastAsia="bg-BG"/>
        </w:rPr>
      </w:pPr>
    </w:p>
    <w:p w14:paraId="1A836549" w14:textId="00D5D71A" w:rsidR="002C7D88" w:rsidRDefault="005474BD" w:rsidP="005474BD">
      <w:pPr>
        <w:spacing w:line="240" w:lineRule="auto"/>
        <w:rPr>
          <w:rFonts w:eastAsia="Times New Roman" w:cs="Arial"/>
          <w:color w:val="000000"/>
          <w:lang w:eastAsia="bg-BG"/>
        </w:rPr>
      </w:pPr>
      <w:r w:rsidRPr="005474BD">
        <w:rPr>
          <w:rFonts w:eastAsia="Times New Roman" w:cs="Arial"/>
          <w:color w:val="000000"/>
          <w:lang w:eastAsia="bg-BG"/>
        </w:rPr>
        <w:t>Значително по-малко високорискови пациенти с бъбречна трансплантация развиват</w:t>
      </w:r>
      <w:r w:rsidRPr="005474BD">
        <w:rPr>
          <w:rFonts w:eastAsia="Times New Roman" w:cs="Arial"/>
          <w:color w:val="000000"/>
          <w:lang w:val="ru-RU"/>
        </w:rPr>
        <w:t xml:space="preserve"> </w:t>
      </w:r>
      <w:r w:rsidRPr="005474BD">
        <w:rPr>
          <w:rFonts w:eastAsia="Times New Roman" w:cs="Arial"/>
          <w:color w:val="000000"/>
          <w:lang w:val="en-US"/>
        </w:rPr>
        <w:t>CMV</w:t>
      </w:r>
      <w:r w:rsidRPr="005474BD">
        <w:rPr>
          <w:rFonts w:eastAsia="Times New Roman" w:cs="Arial"/>
          <w:color w:val="000000"/>
          <w:lang w:val="ru-RU"/>
        </w:rPr>
        <w:t xml:space="preserve"> </w:t>
      </w:r>
      <w:r w:rsidRPr="005474BD">
        <w:rPr>
          <w:rFonts w:eastAsia="Times New Roman" w:cs="Arial"/>
          <w:color w:val="000000"/>
          <w:lang w:eastAsia="bg-BG"/>
        </w:rPr>
        <w:t>заболяване</w:t>
      </w:r>
      <w:r w:rsidRPr="005474BD">
        <w:rPr>
          <w:rFonts w:eastAsia="Times New Roman" w:cs="Arial"/>
          <w:lang w:val="ru-RU"/>
        </w:rPr>
        <w:t xml:space="preserve"> </w:t>
      </w:r>
      <w:r w:rsidRPr="005474BD">
        <w:rPr>
          <w:rFonts w:eastAsia="Times New Roman" w:cs="Arial"/>
          <w:color w:val="000000"/>
          <w:lang w:eastAsia="bg-BG"/>
        </w:rPr>
        <w:t xml:space="preserve">след профилактика с Валцит до ден 200 след транслантацията в сравнение с пациенти, които получават профилактика на </w:t>
      </w:r>
      <w:r w:rsidRPr="005474BD">
        <w:rPr>
          <w:rFonts w:eastAsia="Times New Roman" w:cs="Arial"/>
          <w:color w:val="000000"/>
          <w:lang w:val="en-US"/>
        </w:rPr>
        <w:t>CMV</w:t>
      </w:r>
      <w:r w:rsidRPr="005474BD">
        <w:rPr>
          <w:rFonts w:eastAsia="Times New Roman" w:cs="Arial"/>
          <w:color w:val="000000"/>
          <w:lang w:val="ru-RU"/>
        </w:rPr>
        <w:t xml:space="preserve"> </w:t>
      </w:r>
      <w:r w:rsidRPr="005474BD">
        <w:rPr>
          <w:rFonts w:eastAsia="Times New Roman" w:cs="Arial"/>
          <w:color w:val="000000"/>
          <w:lang w:eastAsia="bg-BG"/>
        </w:rPr>
        <w:t>с Валцит до ден 100 след транслаплантацията.</w:t>
      </w:r>
    </w:p>
    <w:p w14:paraId="26A9ABAE" w14:textId="562C04A2" w:rsidR="005474BD" w:rsidRDefault="005474BD" w:rsidP="005474BD">
      <w:pPr>
        <w:spacing w:line="240" w:lineRule="auto"/>
        <w:rPr>
          <w:rFonts w:eastAsia="Times New Roman" w:cs="Arial"/>
          <w:color w:val="000000"/>
          <w:lang w:eastAsia="bg-BG"/>
        </w:rPr>
      </w:pPr>
    </w:p>
    <w:p w14:paraId="4FF1E68E" w14:textId="77777777" w:rsidR="005474BD" w:rsidRPr="005474BD" w:rsidRDefault="005474BD" w:rsidP="005474BD">
      <w:pPr>
        <w:spacing w:line="240" w:lineRule="auto"/>
        <w:rPr>
          <w:rFonts w:eastAsia="Times New Roman" w:cs="Arial"/>
        </w:rPr>
      </w:pPr>
      <w:r w:rsidRPr="005474BD">
        <w:rPr>
          <w:rFonts w:eastAsia="Times New Roman" w:cs="Arial"/>
          <w:color w:val="000000"/>
          <w:lang w:eastAsia="bg-BG"/>
        </w:rPr>
        <w:lastRenderedPageBreak/>
        <w:t>Честотата на преживяване на присадката, както и честотата на остро отхвръляне, потвърдено с биопсия, са подобни в двете групи на лечение.Честотата на преживяемост на трансплантата 12 месеца след трансплантацията е 98,2 % (160/163) при схемата на лечение в продължение на 100 дни и 98,1 % (152/155) при схемата на лечение от 200 дни. До 24 месеца след трансплантацията се съобщават още четири случая на загуба на присадката, всички в групата с приложение в продължение на 100 дни. Честотата на остро отхвърляне, доказано чрез биопсия, 12 месеца след трансплантацията е 17,2 % (28/163) за схемата на лечение в продължение на 100 дни и 11,0 % (17/155) при схемата на лечение в продължение на 200 дни. До 24 месеца след трансплантацията се съобщава още един случай в трупата с приложение в продължение на 200 дни.</w:t>
      </w:r>
    </w:p>
    <w:p w14:paraId="68DC20D7" w14:textId="77777777" w:rsidR="005474BD" w:rsidRDefault="005474BD" w:rsidP="005474BD">
      <w:pPr>
        <w:spacing w:line="240" w:lineRule="auto"/>
        <w:rPr>
          <w:rFonts w:eastAsia="Times New Roman" w:cs="Arial"/>
          <w:color w:val="000000"/>
          <w:u w:val="single"/>
          <w:lang w:eastAsia="bg-BG"/>
        </w:rPr>
      </w:pPr>
    </w:p>
    <w:p w14:paraId="0E26C1F0" w14:textId="6612588E" w:rsidR="005474BD" w:rsidRPr="005474BD" w:rsidRDefault="005474BD" w:rsidP="005474BD">
      <w:pPr>
        <w:spacing w:line="240" w:lineRule="auto"/>
        <w:rPr>
          <w:rFonts w:eastAsia="Times New Roman" w:cs="Arial"/>
        </w:rPr>
      </w:pPr>
      <w:r w:rsidRPr="005474BD">
        <w:rPr>
          <w:rFonts w:eastAsia="Times New Roman" w:cs="Arial"/>
          <w:color w:val="000000"/>
          <w:u w:val="single"/>
          <w:lang w:eastAsia="bg-BG"/>
        </w:rPr>
        <w:t>Вирусна резистентност</w:t>
      </w:r>
    </w:p>
    <w:p w14:paraId="67F7EFA1" w14:textId="77777777" w:rsidR="005474BD" w:rsidRDefault="005474BD" w:rsidP="005474BD">
      <w:pPr>
        <w:spacing w:line="240" w:lineRule="auto"/>
        <w:rPr>
          <w:rFonts w:eastAsia="Times New Roman" w:cs="Arial"/>
          <w:color w:val="000000"/>
          <w:lang w:eastAsia="bg-BG"/>
        </w:rPr>
      </w:pPr>
    </w:p>
    <w:p w14:paraId="7FEABA53" w14:textId="5FE4CF77" w:rsidR="005474BD" w:rsidRPr="005474BD" w:rsidRDefault="005474BD" w:rsidP="005474BD">
      <w:pPr>
        <w:spacing w:line="240" w:lineRule="auto"/>
        <w:rPr>
          <w:rFonts w:eastAsia="Times New Roman" w:cs="Arial"/>
        </w:rPr>
      </w:pPr>
      <w:r w:rsidRPr="005474BD">
        <w:rPr>
          <w:rFonts w:eastAsia="Times New Roman" w:cs="Arial"/>
          <w:color w:val="000000"/>
          <w:lang w:eastAsia="bg-BG"/>
        </w:rPr>
        <w:t xml:space="preserve">Вирусната резистентност към ганцикловир може да се повиши след хронично приложение на валганцикловир чрез селекция на мутации на някой от гените на вирусната киназа </w:t>
      </w:r>
      <w:r w:rsidRPr="005474BD">
        <w:rPr>
          <w:rFonts w:eastAsia="Times New Roman" w:cs="Arial"/>
          <w:color w:val="000000"/>
          <w:lang w:val="ru-RU"/>
        </w:rPr>
        <w:t>(</w:t>
      </w:r>
      <w:r w:rsidRPr="005474BD">
        <w:rPr>
          <w:rFonts w:eastAsia="Times New Roman" w:cs="Arial"/>
          <w:color w:val="000000"/>
          <w:lang w:val="en-US"/>
        </w:rPr>
        <w:t>UL</w:t>
      </w:r>
      <w:r w:rsidRPr="005474BD">
        <w:rPr>
          <w:rFonts w:eastAsia="Times New Roman" w:cs="Arial"/>
          <w:color w:val="000000"/>
          <w:lang w:val="ru-RU"/>
        </w:rPr>
        <w:t xml:space="preserve">97), </w:t>
      </w:r>
      <w:r w:rsidRPr="005474BD">
        <w:rPr>
          <w:rFonts w:eastAsia="Times New Roman" w:cs="Arial"/>
          <w:color w:val="000000"/>
          <w:lang w:eastAsia="bg-BG"/>
        </w:rPr>
        <w:t xml:space="preserve">отговорни за монофосфорилирането на ганцикловир, и/или гена на вирусната полимераза </w:t>
      </w:r>
      <w:r w:rsidRPr="005474BD">
        <w:rPr>
          <w:rFonts w:eastAsia="Times New Roman" w:cs="Arial"/>
          <w:color w:val="000000"/>
          <w:lang w:val="ru-RU"/>
        </w:rPr>
        <w:t>(</w:t>
      </w:r>
      <w:r w:rsidRPr="005474BD">
        <w:rPr>
          <w:rFonts w:eastAsia="Times New Roman" w:cs="Arial"/>
          <w:color w:val="000000"/>
          <w:lang w:val="en-US"/>
        </w:rPr>
        <w:t>UL</w:t>
      </w:r>
      <w:r w:rsidRPr="005474BD">
        <w:rPr>
          <w:rFonts w:eastAsia="Times New Roman" w:cs="Arial"/>
          <w:color w:val="000000"/>
          <w:lang w:val="ru-RU"/>
        </w:rPr>
        <w:t xml:space="preserve">54). </w:t>
      </w:r>
      <w:r w:rsidRPr="005474BD">
        <w:rPr>
          <w:rFonts w:eastAsia="Times New Roman" w:cs="Arial"/>
          <w:color w:val="000000"/>
          <w:lang w:eastAsia="bg-BG"/>
        </w:rPr>
        <w:t xml:space="preserve">В клинични изолати, седем канонични </w:t>
      </w:r>
      <w:r w:rsidRPr="005474BD">
        <w:rPr>
          <w:rFonts w:eastAsia="Times New Roman" w:cs="Arial"/>
          <w:color w:val="000000"/>
          <w:lang w:val="en-US"/>
        </w:rPr>
        <w:t>UL</w:t>
      </w:r>
      <w:r w:rsidRPr="005474BD">
        <w:rPr>
          <w:rFonts w:eastAsia="Times New Roman" w:cs="Arial"/>
          <w:color w:val="000000"/>
          <w:lang w:val="ru-RU"/>
        </w:rPr>
        <w:t xml:space="preserve">97 </w:t>
      </w:r>
      <w:r w:rsidRPr="005474BD">
        <w:rPr>
          <w:rFonts w:eastAsia="Times New Roman" w:cs="Arial"/>
          <w:color w:val="000000"/>
          <w:lang w:eastAsia="bg-BG"/>
        </w:rPr>
        <w:t xml:space="preserve">субституции, </w:t>
      </w:r>
      <w:r w:rsidRPr="005474BD">
        <w:rPr>
          <w:rFonts w:eastAsia="Times New Roman" w:cs="Arial"/>
          <w:color w:val="000000"/>
          <w:lang w:val="en-US"/>
        </w:rPr>
        <w:t>M</w:t>
      </w:r>
      <w:r w:rsidRPr="005474BD">
        <w:rPr>
          <w:rFonts w:eastAsia="Times New Roman" w:cs="Arial"/>
          <w:color w:val="000000"/>
          <w:lang w:val="ru-RU"/>
        </w:rPr>
        <w:t>460</w:t>
      </w:r>
      <w:r w:rsidRPr="005474BD">
        <w:rPr>
          <w:rFonts w:eastAsia="Times New Roman" w:cs="Arial"/>
          <w:color w:val="000000"/>
          <w:lang w:val="en-US"/>
        </w:rPr>
        <w:t>V</w:t>
      </w:r>
      <w:r w:rsidRPr="005474BD">
        <w:rPr>
          <w:rFonts w:eastAsia="Times New Roman" w:cs="Arial"/>
          <w:color w:val="000000"/>
          <w:lang w:val="ru-RU"/>
        </w:rPr>
        <w:t>7</w:t>
      </w:r>
      <w:r w:rsidRPr="005474BD">
        <w:rPr>
          <w:rFonts w:eastAsia="Times New Roman" w:cs="Arial"/>
          <w:color w:val="000000"/>
          <w:lang w:val="en-US"/>
        </w:rPr>
        <w:t>I</w:t>
      </w:r>
      <w:r w:rsidRPr="005474BD">
        <w:rPr>
          <w:rFonts w:eastAsia="Times New Roman" w:cs="Arial"/>
          <w:color w:val="000000"/>
          <w:lang w:val="ru-RU"/>
        </w:rPr>
        <w:t xml:space="preserve">, </w:t>
      </w:r>
      <w:r w:rsidRPr="005474BD">
        <w:rPr>
          <w:rFonts w:eastAsia="Times New Roman" w:cs="Arial"/>
          <w:color w:val="000000"/>
          <w:lang w:val="en-US"/>
        </w:rPr>
        <w:t>H</w:t>
      </w:r>
      <w:r w:rsidRPr="005474BD">
        <w:rPr>
          <w:rFonts w:eastAsia="Times New Roman" w:cs="Arial"/>
          <w:color w:val="000000"/>
          <w:lang w:val="ru-RU"/>
        </w:rPr>
        <w:t>520</w:t>
      </w:r>
      <w:r w:rsidRPr="005474BD">
        <w:rPr>
          <w:rFonts w:eastAsia="Times New Roman" w:cs="Arial"/>
          <w:color w:val="000000"/>
          <w:lang w:val="en-US"/>
        </w:rPr>
        <w:t>Q</w:t>
      </w:r>
      <w:r w:rsidRPr="005474BD">
        <w:rPr>
          <w:rFonts w:eastAsia="Times New Roman" w:cs="Arial"/>
          <w:color w:val="000000"/>
          <w:lang w:val="ru-RU"/>
        </w:rPr>
        <w:t xml:space="preserve">, </w:t>
      </w:r>
      <w:r w:rsidRPr="005474BD">
        <w:rPr>
          <w:rFonts w:eastAsia="Times New Roman" w:cs="Arial"/>
          <w:color w:val="000000"/>
          <w:lang w:val="en-US"/>
        </w:rPr>
        <w:t>C</w:t>
      </w:r>
      <w:r w:rsidRPr="005474BD">
        <w:rPr>
          <w:rFonts w:eastAsia="Times New Roman" w:cs="Arial"/>
          <w:color w:val="000000"/>
          <w:lang w:val="ru-RU"/>
        </w:rPr>
        <w:t>592</w:t>
      </w:r>
      <w:r w:rsidRPr="005474BD">
        <w:rPr>
          <w:rFonts w:eastAsia="Times New Roman" w:cs="Arial"/>
          <w:color w:val="000000"/>
          <w:lang w:val="en-US"/>
        </w:rPr>
        <w:t>G</w:t>
      </w:r>
      <w:r w:rsidRPr="005474BD">
        <w:rPr>
          <w:rFonts w:eastAsia="Times New Roman" w:cs="Arial"/>
          <w:color w:val="000000"/>
          <w:lang w:val="ru-RU"/>
        </w:rPr>
        <w:t xml:space="preserve">, </w:t>
      </w:r>
      <w:r w:rsidRPr="005474BD">
        <w:rPr>
          <w:rFonts w:eastAsia="Times New Roman" w:cs="Arial"/>
          <w:color w:val="000000"/>
          <w:lang w:val="en-US"/>
        </w:rPr>
        <w:t>A</w:t>
      </w:r>
      <w:r w:rsidRPr="005474BD">
        <w:rPr>
          <w:rFonts w:eastAsia="Times New Roman" w:cs="Arial"/>
          <w:color w:val="000000"/>
          <w:lang w:val="ru-RU"/>
        </w:rPr>
        <w:t>594</w:t>
      </w:r>
      <w:r w:rsidRPr="005474BD">
        <w:rPr>
          <w:rFonts w:eastAsia="Times New Roman" w:cs="Arial"/>
          <w:color w:val="000000"/>
          <w:lang w:val="en-US"/>
        </w:rPr>
        <w:t>V</w:t>
      </w:r>
      <w:r w:rsidRPr="005474BD">
        <w:rPr>
          <w:rFonts w:eastAsia="Times New Roman" w:cs="Arial"/>
          <w:color w:val="000000"/>
          <w:lang w:val="ru-RU"/>
        </w:rPr>
        <w:t xml:space="preserve">, </w:t>
      </w:r>
      <w:r w:rsidRPr="005474BD">
        <w:rPr>
          <w:rFonts w:eastAsia="Times New Roman" w:cs="Arial"/>
          <w:color w:val="000000"/>
          <w:lang w:val="en-US"/>
        </w:rPr>
        <w:t>L</w:t>
      </w:r>
      <w:r w:rsidRPr="005474BD">
        <w:rPr>
          <w:rFonts w:eastAsia="Times New Roman" w:cs="Arial"/>
          <w:color w:val="000000"/>
          <w:lang w:val="ru-RU"/>
        </w:rPr>
        <w:t>595</w:t>
      </w:r>
      <w:r w:rsidRPr="005474BD">
        <w:rPr>
          <w:rFonts w:eastAsia="Times New Roman" w:cs="Arial"/>
          <w:color w:val="000000"/>
          <w:lang w:val="en-US"/>
        </w:rPr>
        <w:t>S</w:t>
      </w:r>
      <w:r w:rsidRPr="005474BD">
        <w:rPr>
          <w:rFonts w:eastAsia="Times New Roman" w:cs="Arial"/>
          <w:color w:val="000000"/>
          <w:lang w:val="ru-RU"/>
        </w:rPr>
        <w:t xml:space="preserve">, </w:t>
      </w:r>
      <w:r w:rsidRPr="005474BD">
        <w:rPr>
          <w:rFonts w:eastAsia="Times New Roman" w:cs="Arial"/>
          <w:color w:val="000000"/>
          <w:lang w:val="en-US"/>
        </w:rPr>
        <w:t>C</w:t>
      </w:r>
      <w:r w:rsidRPr="005474BD">
        <w:rPr>
          <w:rFonts w:eastAsia="Times New Roman" w:cs="Arial"/>
          <w:color w:val="000000"/>
          <w:lang w:val="ru-RU"/>
        </w:rPr>
        <w:t>603</w:t>
      </w:r>
      <w:r w:rsidRPr="005474BD">
        <w:rPr>
          <w:rFonts w:eastAsia="Times New Roman" w:cs="Arial"/>
          <w:color w:val="000000"/>
          <w:lang w:val="en-US"/>
        </w:rPr>
        <w:t>W</w:t>
      </w:r>
      <w:r w:rsidRPr="005474BD">
        <w:rPr>
          <w:rFonts w:eastAsia="Times New Roman" w:cs="Arial"/>
          <w:color w:val="000000"/>
          <w:lang w:val="ru-RU"/>
        </w:rPr>
        <w:t xml:space="preserve">, </w:t>
      </w:r>
      <w:r w:rsidRPr="005474BD">
        <w:rPr>
          <w:rFonts w:eastAsia="Times New Roman" w:cs="Arial"/>
          <w:color w:val="000000"/>
          <w:lang w:eastAsia="bg-BG"/>
        </w:rPr>
        <w:t xml:space="preserve">са най- често съобщаваните субституции при ганцикловир, свързани с резистентността. Вирусите, съдържащи мутации на ген </w:t>
      </w:r>
      <w:r w:rsidRPr="005474BD">
        <w:rPr>
          <w:rFonts w:eastAsia="Times New Roman" w:cs="Arial"/>
          <w:color w:val="000000"/>
          <w:lang w:val="en-US"/>
        </w:rPr>
        <w:t>UL</w:t>
      </w:r>
      <w:r w:rsidRPr="005474BD">
        <w:rPr>
          <w:rFonts w:eastAsia="Times New Roman" w:cs="Arial"/>
          <w:color w:val="000000"/>
          <w:lang w:val="ru-RU"/>
        </w:rPr>
        <w:t xml:space="preserve">97, </w:t>
      </w:r>
      <w:r w:rsidRPr="005474BD">
        <w:rPr>
          <w:rFonts w:eastAsia="Times New Roman" w:cs="Arial"/>
          <w:color w:val="000000"/>
          <w:lang w:eastAsia="bg-BG"/>
        </w:rPr>
        <w:t xml:space="preserve">са резистентни само към ганцикловир, докато вирусите с мутации в ген </w:t>
      </w:r>
      <w:r w:rsidRPr="005474BD">
        <w:rPr>
          <w:rFonts w:eastAsia="Times New Roman" w:cs="Arial"/>
          <w:color w:val="000000"/>
          <w:lang w:val="en-US"/>
        </w:rPr>
        <w:t>UL</w:t>
      </w:r>
      <w:r w:rsidRPr="005474BD">
        <w:rPr>
          <w:rFonts w:eastAsia="Times New Roman" w:cs="Arial"/>
          <w:color w:val="000000"/>
          <w:lang w:val="ru-RU"/>
        </w:rPr>
        <w:t xml:space="preserve">54 </w:t>
      </w:r>
      <w:r w:rsidRPr="005474BD">
        <w:rPr>
          <w:rFonts w:eastAsia="Times New Roman" w:cs="Arial"/>
          <w:color w:val="000000"/>
          <w:lang w:eastAsia="bg-BG"/>
        </w:rPr>
        <w:t>са резистентни към ганцикловир, но може да покажат кръстосана резистентност към други антивирусни средства, които също се прицелват във вирусната полимераза.</w:t>
      </w:r>
    </w:p>
    <w:p w14:paraId="76933537" w14:textId="77777777" w:rsidR="005474BD" w:rsidRDefault="005474BD" w:rsidP="005474BD">
      <w:pPr>
        <w:spacing w:line="240" w:lineRule="auto"/>
        <w:rPr>
          <w:rFonts w:eastAsia="Times New Roman" w:cs="Arial"/>
          <w:i/>
          <w:iCs/>
          <w:color w:val="000000"/>
          <w:lang w:eastAsia="bg-BG"/>
        </w:rPr>
      </w:pPr>
    </w:p>
    <w:p w14:paraId="6AFAED73" w14:textId="2DB0E6CE" w:rsidR="005474BD" w:rsidRPr="005474BD" w:rsidRDefault="005474BD" w:rsidP="005474BD">
      <w:pPr>
        <w:spacing w:line="240" w:lineRule="auto"/>
        <w:rPr>
          <w:rFonts w:eastAsia="Times New Roman" w:cs="Arial"/>
        </w:rPr>
      </w:pPr>
      <w:r w:rsidRPr="005474BD">
        <w:rPr>
          <w:rFonts w:eastAsia="Times New Roman" w:cs="Arial"/>
          <w:i/>
          <w:iCs/>
          <w:color w:val="000000"/>
          <w:lang w:eastAsia="bg-BG"/>
        </w:rPr>
        <w:t xml:space="preserve">Лечение на </w:t>
      </w:r>
      <w:r w:rsidRPr="005474BD">
        <w:rPr>
          <w:rFonts w:eastAsia="Times New Roman" w:cs="Arial"/>
          <w:i/>
          <w:iCs/>
          <w:color w:val="000000"/>
          <w:lang w:val="en-US"/>
        </w:rPr>
        <w:t>CMV</w:t>
      </w:r>
      <w:r w:rsidRPr="005474BD">
        <w:rPr>
          <w:rFonts w:eastAsia="Times New Roman" w:cs="Arial"/>
          <w:i/>
          <w:iCs/>
          <w:color w:val="000000"/>
          <w:lang w:val="ru-RU"/>
        </w:rPr>
        <w:t xml:space="preserve"> </w:t>
      </w:r>
      <w:r w:rsidRPr="005474BD">
        <w:rPr>
          <w:rFonts w:eastAsia="Times New Roman" w:cs="Arial"/>
          <w:i/>
          <w:iCs/>
          <w:color w:val="000000"/>
          <w:lang w:eastAsia="bg-BG"/>
        </w:rPr>
        <w:t>ретинит:</w:t>
      </w:r>
    </w:p>
    <w:p w14:paraId="377432D0" w14:textId="77777777" w:rsidR="005474BD" w:rsidRPr="005474BD" w:rsidRDefault="005474BD" w:rsidP="005474BD">
      <w:pPr>
        <w:spacing w:line="240" w:lineRule="auto"/>
        <w:rPr>
          <w:rFonts w:eastAsia="Times New Roman" w:cs="Arial"/>
        </w:rPr>
      </w:pPr>
      <w:r w:rsidRPr="005474BD">
        <w:rPr>
          <w:rFonts w:eastAsia="Times New Roman" w:cs="Arial"/>
          <w:color w:val="000000"/>
          <w:lang w:eastAsia="bg-BG"/>
        </w:rPr>
        <w:t xml:space="preserve">Генотипният анализ на </w:t>
      </w:r>
      <w:r w:rsidRPr="005474BD">
        <w:rPr>
          <w:rFonts w:eastAsia="Times New Roman" w:cs="Arial"/>
          <w:color w:val="000000"/>
          <w:lang w:val="en-US"/>
        </w:rPr>
        <w:t>CMV</w:t>
      </w:r>
      <w:r w:rsidRPr="005474BD">
        <w:rPr>
          <w:rFonts w:eastAsia="Times New Roman" w:cs="Arial"/>
          <w:color w:val="000000"/>
          <w:lang w:val="ru-RU"/>
        </w:rPr>
        <w:t xml:space="preserve"> </w:t>
      </w:r>
      <w:r w:rsidRPr="005474BD">
        <w:rPr>
          <w:rFonts w:eastAsia="Times New Roman" w:cs="Arial"/>
          <w:color w:val="000000"/>
          <w:lang w:eastAsia="bg-BG"/>
        </w:rPr>
        <w:t xml:space="preserve">в изолати на полиморфонуклеарни левкоцити </w:t>
      </w:r>
      <w:r w:rsidRPr="005474BD">
        <w:rPr>
          <w:rFonts w:eastAsia="Times New Roman" w:cs="Arial"/>
          <w:color w:val="000000"/>
          <w:lang w:val="ru-RU"/>
        </w:rPr>
        <w:t>(</w:t>
      </w:r>
      <w:r w:rsidRPr="005474BD">
        <w:rPr>
          <w:rFonts w:eastAsia="Times New Roman" w:cs="Arial"/>
          <w:color w:val="000000"/>
          <w:lang w:val="en-US"/>
        </w:rPr>
        <w:t>PMNL</w:t>
      </w:r>
      <w:r w:rsidRPr="005474BD">
        <w:rPr>
          <w:rFonts w:eastAsia="Times New Roman" w:cs="Arial"/>
          <w:color w:val="000000"/>
          <w:lang w:val="ru-RU"/>
        </w:rPr>
        <w:t xml:space="preserve">) </w:t>
      </w:r>
      <w:r w:rsidRPr="005474BD">
        <w:rPr>
          <w:rFonts w:eastAsia="Times New Roman" w:cs="Arial"/>
          <w:color w:val="000000"/>
          <w:lang w:eastAsia="bg-BG"/>
        </w:rPr>
        <w:t xml:space="preserve">от 148 пациенти с </w:t>
      </w:r>
      <w:r w:rsidRPr="005474BD">
        <w:rPr>
          <w:rFonts w:eastAsia="Times New Roman" w:cs="Arial"/>
          <w:color w:val="000000"/>
          <w:lang w:val="en-US"/>
        </w:rPr>
        <w:t>CMV</w:t>
      </w:r>
      <w:r w:rsidRPr="005474BD">
        <w:rPr>
          <w:rFonts w:eastAsia="Times New Roman" w:cs="Arial"/>
          <w:color w:val="000000"/>
          <w:lang w:val="ru-RU"/>
        </w:rPr>
        <w:t xml:space="preserve"> </w:t>
      </w:r>
      <w:r w:rsidRPr="005474BD">
        <w:rPr>
          <w:rFonts w:eastAsia="Times New Roman" w:cs="Arial"/>
          <w:color w:val="000000"/>
          <w:lang w:eastAsia="bg-BG"/>
        </w:rPr>
        <w:t xml:space="preserve">ретинит, включени в едно клинично изпитване, е показал, че 2,2 %, 6,5 %, 12,8 % и 15,3 % съдържат мутации на </w:t>
      </w:r>
      <w:r w:rsidRPr="005474BD">
        <w:rPr>
          <w:rFonts w:eastAsia="Times New Roman" w:cs="Arial"/>
          <w:color w:val="000000"/>
          <w:lang w:val="en-US"/>
        </w:rPr>
        <w:t>UL</w:t>
      </w:r>
      <w:r w:rsidRPr="005474BD">
        <w:rPr>
          <w:rFonts w:eastAsia="Times New Roman" w:cs="Arial"/>
          <w:color w:val="000000"/>
          <w:lang w:val="ru-RU"/>
        </w:rPr>
        <w:t xml:space="preserve">97 </w:t>
      </w:r>
      <w:r w:rsidRPr="005474BD">
        <w:rPr>
          <w:rFonts w:eastAsia="Times New Roman" w:cs="Arial"/>
          <w:color w:val="000000"/>
          <w:lang w:eastAsia="bg-BG"/>
        </w:rPr>
        <w:t>след съответно 3, 6, 12 и 18 месеца на лечение с валганцикловир.</w:t>
      </w:r>
    </w:p>
    <w:p w14:paraId="68A16341" w14:textId="77777777" w:rsidR="005474BD" w:rsidRDefault="005474BD" w:rsidP="005474BD">
      <w:pPr>
        <w:spacing w:line="240" w:lineRule="auto"/>
        <w:rPr>
          <w:rFonts w:eastAsia="Times New Roman" w:cs="Arial"/>
          <w:i/>
          <w:iCs/>
          <w:color w:val="000000"/>
          <w:lang w:eastAsia="bg-BG"/>
        </w:rPr>
      </w:pPr>
    </w:p>
    <w:p w14:paraId="7FCE2DE6" w14:textId="086D6AA8" w:rsidR="005474BD" w:rsidRPr="005474BD" w:rsidRDefault="005474BD" w:rsidP="005474BD">
      <w:pPr>
        <w:spacing w:line="240" w:lineRule="auto"/>
        <w:rPr>
          <w:rFonts w:eastAsia="Times New Roman" w:cs="Arial"/>
        </w:rPr>
      </w:pPr>
      <w:r w:rsidRPr="005474BD">
        <w:rPr>
          <w:rFonts w:eastAsia="Times New Roman" w:cs="Arial"/>
          <w:i/>
          <w:iCs/>
          <w:color w:val="000000"/>
          <w:lang w:eastAsia="bg-BG"/>
        </w:rPr>
        <w:t xml:space="preserve">Профилактика на </w:t>
      </w:r>
      <w:r w:rsidRPr="005474BD">
        <w:rPr>
          <w:rFonts w:eastAsia="Times New Roman" w:cs="Arial"/>
          <w:i/>
          <w:iCs/>
          <w:color w:val="000000"/>
          <w:lang w:val="en-US"/>
        </w:rPr>
        <w:t>CMV</w:t>
      </w:r>
      <w:r w:rsidRPr="005474BD">
        <w:rPr>
          <w:rFonts w:eastAsia="Times New Roman" w:cs="Arial"/>
          <w:i/>
          <w:iCs/>
          <w:color w:val="000000"/>
          <w:lang w:val="ru-RU"/>
        </w:rPr>
        <w:t xml:space="preserve"> </w:t>
      </w:r>
      <w:r w:rsidRPr="005474BD">
        <w:rPr>
          <w:rFonts w:eastAsia="Times New Roman" w:cs="Arial"/>
          <w:i/>
          <w:iCs/>
          <w:color w:val="000000"/>
          <w:lang w:eastAsia="bg-BG"/>
        </w:rPr>
        <w:t>заболяване при трансплантация:</w:t>
      </w:r>
    </w:p>
    <w:p w14:paraId="23C3D6AE" w14:textId="77777777" w:rsidR="005474BD" w:rsidRPr="005474BD" w:rsidRDefault="005474BD" w:rsidP="005474BD">
      <w:pPr>
        <w:spacing w:line="240" w:lineRule="auto"/>
        <w:rPr>
          <w:rFonts w:eastAsia="Times New Roman" w:cs="Arial"/>
        </w:rPr>
      </w:pPr>
      <w:r w:rsidRPr="005474BD">
        <w:rPr>
          <w:rFonts w:eastAsia="Times New Roman" w:cs="Arial"/>
          <w:color w:val="000000"/>
          <w:u w:val="single"/>
          <w:lang w:eastAsia="bg-BG"/>
        </w:rPr>
        <w:t>Клинично изпитване с активно лекарство за сравнение</w:t>
      </w:r>
    </w:p>
    <w:p w14:paraId="2B0F8A15" w14:textId="77777777" w:rsidR="005474BD" w:rsidRPr="005474BD" w:rsidRDefault="005474BD" w:rsidP="005474BD">
      <w:pPr>
        <w:spacing w:line="240" w:lineRule="auto"/>
        <w:rPr>
          <w:rFonts w:eastAsia="Times New Roman" w:cs="Arial"/>
        </w:rPr>
      </w:pPr>
      <w:r w:rsidRPr="005474BD">
        <w:rPr>
          <w:rFonts w:eastAsia="Times New Roman" w:cs="Arial"/>
          <w:color w:val="000000"/>
          <w:lang w:eastAsia="bg-BG"/>
        </w:rPr>
        <w:t xml:space="preserve">Резистентността е била проучена чрез генотипен анализ на </w:t>
      </w:r>
      <w:r w:rsidRPr="005474BD">
        <w:rPr>
          <w:rFonts w:eastAsia="Times New Roman" w:cs="Arial"/>
          <w:color w:val="000000"/>
          <w:lang w:val="en-US"/>
        </w:rPr>
        <w:t>CMV</w:t>
      </w:r>
      <w:r w:rsidRPr="005474BD">
        <w:rPr>
          <w:rFonts w:eastAsia="Times New Roman" w:cs="Arial"/>
          <w:color w:val="000000"/>
          <w:lang w:val="ru-RU"/>
        </w:rPr>
        <w:t xml:space="preserve"> </w:t>
      </w:r>
      <w:r w:rsidRPr="005474BD">
        <w:rPr>
          <w:rFonts w:eastAsia="Times New Roman" w:cs="Arial"/>
          <w:color w:val="000000"/>
          <w:lang w:eastAsia="bg-BG"/>
        </w:rPr>
        <w:t xml:space="preserve">в проби на </w:t>
      </w:r>
      <w:r w:rsidRPr="005474BD">
        <w:rPr>
          <w:rFonts w:eastAsia="Times New Roman" w:cs="Arial"/>
          <w:color w:val="000000"/>
          <w:lang w:val="en-US"/>
        </w:rPr>
        <w:t>PMNL</w:t>
      </w:r>
      <w:r w:rsidRPr="005474BD">
        <w:rPr>
          <w:rFonts w:eastAsia="Times New Roman" w:cs="Arial"/>
          <w:color w:val="000000"/>
          <w:lang w:val="ru-RU"/>
        </w:rPr>
        <w:t xml:space="preserve">, </w:t>
      </w:r>
      <w:r w:rsidRPr="005474BD">
        <w:rPr>
          <w:rFonts w:eastAsia="Times New Roman" w:cs="Arial"/>
          <w:color w:val="000000"/>
          <w:lang w:eastAsia="bg-BG"/>
        </w:rPr>
        <w:t xml:space="preserve">събрани 1) в ден 100 (в края на изпитването с лекарствената профилактика) и 2) в случаи, суспектни за </w:t>
      </w:r>
      <w:r w:rsidRPr="005474BD">
        <w:rPr>
          <w:rFonts w:eastAsia="Times New Roman" w:cs="Arial"/>
          <w:color w:val="000000"/>
          <w:lang w:val="en-US"/>
        </w:rPr>
        <w:t>CMV</w:t>
      </w:r>
      <w:r w:rsidRPr="005474BD">
        <w:rPr>
          <w:rFonts w:eastAsia="Times New Roman" w:cs="Arial"/>
          <w:color w:val="000000"/>
          <w:lang w:val="ru-RU"/>
        </w:rPr>
        <w:t xml:space="preserve"> </w:t>
      </w:r>
      <w:r w:rsidRPr="005474BD">
        <w:rPr>
          <w:rFonts w:eastAsia="Times New Roman" w:cs="Arial"/>
          <w:color w:val="000000"/>
          <w:lang w:eastAsia="bg-BG"/>
        </w:rPr>
        <w:t>заболяване до 6 месеца след трансплантацията. От 245-те пациенти, рандомизирани да получават валганцикловир, са били анализирани 198 проби на ден 100 и не са били открити мутации на резистентност към ганцикловир. Това се сравнява с 2 мутации на резистентност към ганцикловир, открити в 103 изследвани проби (1,9 %) при пациентите в рамото с компаратора ганцикловир.</w:t>
      </w:r>
    </w:p>
    <w:p w14:paraId="7A0301D9" w14:textId="77777777" w:rsidR="005474BD" w:rsidRDefault="005474BD" w:rsidP="005474BD">
      <w:pPr>
        <w:spacing w:line="240" w:lineRule="auto"/>
        <w:rPr>
          <w:rFonts w:eastAsia="Times New Roman" w:cs="Arial"/>
          <w:color w:val="000000"/>
          <w:lang w:eastAsia="bg-BG"/>
        </w:rPr>
      </w:pPr>
    </w:p>
    <w:p w14:paraId="0E311C4D" w14:textId="1269A59C" w:rsidR="005474BD" w:rsidRPr="005474BD" w:rsidRDefault="005474BD" w:rsidP="005474BD">
      <w:pPr>
        <w:spacing w:line="240" w:lineRule="auto"/>
        <w:rPr>
          <w:rFonts w:eastAsia="Times New Roman" w:cs="Arial"/>
        </w:rPr>
      </w:pPr>
      <w:r w:rsidRPr="005474BD">
        <w:rPr>
          <w:rFonts w:eastAsia="Times New Roman" w:cs="Arial"/>
          <w:color w:val="000000"/>
          <w:lang w:eastAsia="bg-BG"/>
        </w:rPr>
        <w:t xml:space="preserve">От 245-те пациенти, рандомизирани да получават валганцикловир, са били изследвани проби от 50 пациенти с подозрение за </w:t>
      </w:r>
      <w:r w:rsidRPr="005474BD">
        <w:rPr>
          <w:rFonts w:eastAsia="Times New Roman" w:cs="Arial"/>
          <w:color w:val="000000"/>
          <w:lang w:val="en-US"/>
        </w:rPr>
        <w:t>CMV</w:t>
      </w:r>
      <w:r w:rsidRPr="005474BD">
        <w:rPr>
          <w:rFonts w:eastAsia="Times New Roman" w:cs="Arial"/>
          <w:color w:val="000000"/>
          <w:lang w:val="ru-RU"/>
        </w:rPr>
        <w:t xml:space="preserve"> </w:t>
      </w:r>
      <w:r w:rsidRPr="005474BD">
        <w:rPr>
          <w:rFonts w:eastAsia="Times New Roman" w:cs="Arial"/>
          <w:color w:val="000000"/>
          <w:lang w:eastAsia="bg-BG"/>
        </w:rPr>
        <w:t xml:space="preserve">заболяване и не са били открити мутации на резистентност. От 127-те пациенти, рандомизирани в рамото с компаратора ганцикловир, са били изследвани проби от 29 пациенти с подозрение за </w:t>
      </w:r>
      <w:r w:rsidRPr="005474BD">
        <w:rPr>
          <w:rFonts w:eastAsia="Times New Roman" w:cs="Arial"/>
          <w:color w:val="000000"/>
          <w:lang w:val="en-US"/>
        </w:rPr>
        <w:t>CMV</w:t>
      </w:r>
      <w:r w:rsidRPr="005474BD">
        <w:rPr>
          <w:rFonts w:eastAsia="Times New Roman" w:cs="Arial"/>
          <w:color w:val="000000"/>
          <w:lang w:val="ru-RU"/>
        </w:rPr>
        <w:t xml:space="preserve"> </w:t>
      </w:r>
      <w:r w:rsidRPr="005474BD">
        <w:rPr>
          <w:rFonts w:eastAsia="Times New Roman" w:cs="Arial"/>
          <w:color w:val="000000"/>
          <w:lang w:eastAsia="bg-BG"/>
        </w:rPr>
        <w:t>заболяване, при които са били наблюдавани две мутации на резистентност, представляващи честота на резистентност 6,9 %.</w:t>
      </w:r>
    </w:p>
    <w:p w14:paraId="7E4072AB" w14:textId="77777777" w:rsidR="005474BD" w:rsidRDefault="005474BD" w:rsidP="005474BD">
      <w:pPr>
        <w:spacing w:line="240" w:lineRule="auto"/>
        <w:rPr>
          <w:rFonts w:eastAsia="Times New Roman" w:cs="Arial"/>
          <w:color w:val="000000"/>
          <w:u w:val="single"/>
          <w:lang w:eastAsia="bg-BG"/>
        </w:rPr>
      </w:pPr>
    </w:p>
    <w:p w14:paraId="0D177331" w14:textId="606ADA2A" w:rsidR="005474BD" w:rsidRPr="005474BD" w:rsidRDefault="005474BD" w:rsidP="005474BD">
      <w:pPr>
        <w:spacing w:line="240" w:lineRule="auto"/>
        <w:rPr>
          <w:rFonts w:eastAsia="Times New Roman" w:cs="Arial"/>
        </w:rPr>
      </w:pPr>
      <w:r w:rsidRPr="005474BD">
        <w:rPr>
          <w:rFonts w:eastAsia="Times New Roman" w:cs="Arial"/>
          <w:color w:val="000000"/>
          <w:u w:val="single"/>
          <w:lang w:eastAsia="bg-BG"/>
        </w:rPr>
        <w:t xml:space="preserve">Клинично изпитване с удължаване на профилактиката от 100 до 200 дни след трансплантацията </w:t>
      </w:r>
      <w:r w:rsidRPr="005474BD">
        <w:rPr>
          <w:rFonts w:eastAsia="Times New Roman" w:cs="Arial"/>
          <w:color w:val="000000"/>
          <w:lang w:eastAsia="bg-BG"/>
        </w:rPr>
        <w:t xml:space="preserve">Извършен е генотипен анализ на гени </w:t>
      </w:r>
      <w:r w:rsidRPr="005474BD">
        <w:rPr>
          <w:rFonts w:eastAsia="Times New Roman" w:cs="Arial"/>
          <w:color w:val="000000"/>
          <w:lang w:val="en-US"/>
        </w:rPr>
        <w:t>UL</w:t>
      </w:r>
      <w:r w:rsidRPr="005474BD">
        <w:rPr>
          <w:rFonts w:eastAsia="Times New Roman" w:cs="Arial"/>
          <w:color w:val="000000"/>
          <w:lang w:val="ru-RU"/>
        </w:rPr>
        <w:t xml:space="preserve">54 </w:t>
      </w:r>
      <w:r w:rsidRPr="005474BD">
        <w:rPr>
          <w:rFonts w:eastAsia="Times New Roman" w:cs="Arial"/>
          <w:color w:val="000000"/>
          <w:lang w:eastAsia="bg-BG"/>
        </w:rPr>
        <w:t xml:space="preserve">и </w:t>
      </w:r>
      <w:r w:rsidRPr="005474BD">
        <w:rPr>
          <w:rFonts w:eastAsia="Times New Roman" w:cs="Arial"/>
          <w:color w:val="000000"/>
          <w:lang w:val="en-US"/>
        </w:rPr>
        <w:t>UL</w:t>
      </w:r>
      <w:r w:rsidRPr="005474BD">
        <w:rPr>
          <w:rFonts w:eastAsia="Times New Roman" w:cs="Arial"/>
          <w:color w:val="000000"/>
          <w:lang w:val="ru-RU"/>
        </w:rPr>
        <w:t xml:space="preserve">97, </w:t>
      </w:r>
      <w:r w:rsidRPr="005474BD">
        <w:rPr>
          <w:rFonts w:eastAsia="Times New Roman" w:cs="Arial"/>
          <w:color w:val="000000"/>
          <w:lang w:eastAsia="bg-BG"/>
        </w:rPr>
        <w:t>получени от вирус, екстрахиран от 72 пациенти, отговарящи на критериите за резистентност: пациенти с положително вирусно натоварване (&gt; 600 копия</w:t>
      </w:r>
      <w:r w:rsidRPr="005474BD">
        <w:rPr>
          <w:rFonts w:eastAsia="Times New Roman" w:cs="Arial"/>
          <w:color w:val="000000"/>
          <w:lang w:val="ru-RU"/>
        </w:rPr>
        <w:t>/</w:t>
      </w:r>
      <w:r w:rsidRPr="005474BD">
        <w:rPr>
          <w:rFonts w:eastAsia="Times New Roman" w:cs="Arial"/>
          <w:color w:val="000000"/>
          <w:lang w:val="en-US"/>
        </w:rPr>
        <w:t>ml</w:t>
      </w:r>
      <w:r w:rsidRPr="005474BD">
        <w:rPr>
          <w:rFonts w:eastAsia="Times New Roman" w:cs="Arial"/>
          <w:color w:val="000000"/>
          <w:lang w:val="ru-RU"/>
        </w:rPr>
        <w:t xml:space="preserve">) </w:t>
      </w:r>
      <w:r w:rsidRPr="005474BD">
        <w:rPr>
          <w:rFonts w:eastAsia="Times New Roman" w:cs="Arial"/>
          <w:color w:val="000000"/>
          <w:lang w:eastAsia="bg-BG"/>
        </w:rPr>
        <w:t xml:space="preserve">в края на профилактиката и/или болни с потвърдено </w:t>
      </w:r>
      <w:r w:rsidRPr="005474BD">
        <w:rPr>
          <w:rFonts w:eastAsia="Times New Roman" w:cs="Arial"/>
          <w:color w:val="000000"/>
          <w:lang w:val="en-US"/>
        </w:rPr>
        <w:t>CMV</w:t>
      </w:r>
      <w:r w:rsidRPr="005474BD">
        <w:rPr>
          <w:rFonts w:eastAsia="Times New Roman" w:cs="Arial"/>
          <w:color w:val="000000"/>
          <w:lang w:val="ru-RU"/>
        </w:rPr>
        <w:t xml:space="preserve"> </w:t>
      </w:r>
      <w:r w:rsidRPr="005474BD">
        <w:rPr>
          <w:rFonts w:eastAsia="Times New Roman" w:cs="Arial"/>
          <w:color w:val="000000"/>
          <w:lang w:eastAsia="bg-BG"/>
        </w:rPr>
        <w:t xml:space="preserve">заболяване до 12 месеца (52 седмици) след трансплантацията. </w:t>
      </w:r>
      <w:r w:rsidRPr="005474BD">
        <w:rPr>
          <w:rFonts w:eastAsia="Times New Roman" w:cs="Arial"/>
          <w:color w:val="000000"/>
          <w:lang w:eastAsia="bg-BG"/>
        </w:rPr>
        <w:lastRenderedPageBreak/>
        <w:t>Трима пациенти във всяка група на лечение са имали известна мутация на резистентност към ганцикловир.</w:t>
      </w:r>
    </w:p>
    <w:p w14:paraId="74859C6A" w14:textId="77777777" w:rsidR="005474BD" w:rsidRDefault="005474BD" w:rsidP="005474BD">
      <w:pPr>
        <w:spacing w:line="240" w:lineRule="auto"/>
        <w:rPr>
          <w:rFonts w:eastAsia="Times New Roman" w:cs="Arial"/>
          <w:color w:val="000000"/>
          <w:u w:val="single"/>
          <w:lang w:eastAsia="bg-BG"/>
        </w:rPr>
      </w:pPr>
    </w:p>
    <w:p w14:paraId="57AAE1A3" w14:textId="097BFC2A" w:rsidR="005474BD" w:rsidRPr="005474BD" w:rsidRDefault="005474BD" w:rsidP="005474BD">
      <w:pPr>
        <w:spacing w:line="240" w:lineRule="auto"/>
        <w:rPr>
          <w:rFonts w:eastAsia="Times New Roman" w:cs="Arial"/>
        </w:rPr>
      </w:pPr>
      <w:r w:rsidRPr="005474BD">
        <w:rPr>
          <w:rFonts w:eastAsia="Times New Roman" w:cs="Arial"/>
          <w:color w:val="000000"/>
          <w:u w:val="single"/>
          <w:lang w:eastAsia="bg-BG"/>
        </w:rPr>
        <w:t>Педиатрична популация</w:t>
      </w:r>
    </w:p>
    <w:p w14:paraId="4148E4D4" w14:textId="77777777" w:rsidR="005474BD" w:rsidRDefault="005474BD" w:rsidP="005474BD">
      <w:pPr>
        <w:spacing w:line="240" w:lineRule="auto"/>
        <w:rPr>
          <w:rFonts w:eastAsia="Times New Roman" w:cs="Arial"/>
          <w:i/>
          <w:iCs/>
          <w:color w:val="000000"/>
          <w:lang w:eastAsia="bg-BG"/>
        </w:rPr>
      </w:pPr>
    </w:p>
    <w:p w14:paraId="519F04F4" w14:textId="44CE8173" w:rsidR="005474BD" w:rsidRPr="005474BD" w:rsidRDefault="005474BD" w:rsidP="005474BD">
      <w:pPr>
        <w:spacing w:line="240" w:lineRule="auto"/>
        <w:rPr>
          <w:rFonts w:eastAsia="Times New Roman" w:cs="Arial"/>
        </w:rPr>
      </w:pPr>
      <w:r w:rsidRPr="005474BD">
        <w:rPr>
          <w:rFonts w:eastAsia="Times New Roman" w:cs="Arial"/>
          <w:i/>
          <w:iCs/>
          <w:color w:val="000000"/>
          <w:lang w:eastAsia="bg-BG"/>
        </w:rPr>
        <w:t xml:space="preserve">Лечение на </w:t>
      </w:r>
      <w:r w:rsidRPr="005474BD">
        <w:rPr>
          <w:rFonts w:eastAsia="Times New Roman" w:cs="Arial"/>
          <w:i/>
          <w:iCs/>
          <w:color w:val="000000"/>
          <w:lang w:val="en-US"/>
        </w:rPr>
        <w:t>CMV</w:t>
      </w:r>
      <w:r w:rsidRPr="005474BD">
        <w:rPr>
          <w:rFonts w:eastAsia="Times New Roman" w:cs="Arial"/>
          <w:i/>
          <w:iCs/>
          <w:color w:val="000000"/>
          <w:lang w:eastAsia="bg-BG"/>
        </w:rPr>
        <w:t>ретинит:</w:t>
      </w:r>
    </w:p>
    <w:p w14:paraId="4A7F950C" w14:textId="4E3EFD68" w:rsidR="005474BD" w:rsidRPr="005474BD" w:rsidRDefault="005474BD" w:rsidP="005474BD">
      <w:pPr>
        <w:spacing w:line="240" w:lineRule="auto"/>
        <w:rPr>
          <w:rFonts w:eastAsia="Times New Roman" w:cs="Arial"/>
          <w:color w:val="000000"/>
          <w:lang w:val="ru-RU" w:eastAsia="bg-BG"/>
        </w:rPr>
      </w:pPr>
      <w:r w:rsidRPr="005474BD">
        <w:rPr>
          <w:rFonts w:eastAsia="Times New Roman" w:cs="Arial"/>
          <w:color w:val="000000"/>
          <w:lang w:eastAsia="bg-BG"/>
        </w:rPr>
        <w:t xml:space="preserve">Европейската агенция по лекарствата отмени задължението да се извършват клинични изпитвания с Валцит за всички подгрупи от педиатричната популация при лечение на инфекции, дължащи се на </w:t>
      </w:r>
      <w:r w:rsidRPr="005474BD">
        <w:rPr>
          <w:rFonts w:eastAsia="Times New Roman" w:cs="Arial"/>
          <w:color w:val="000000"/>
          <w:lang w:val="en-US"/>
        </w:rPr>
        <w:t>CMV</w:t>
      </w:r>
      <w:r w:rsidRPr="005474BD">
        <w:rPr>
          <w:rFonts w:eastAsia="Times New Roman" w:cs="Arial"/>
          <w:color w:val="000000"/>
          <w:lang w:val="ru-RU"/>
        </w:rPr>
        <w:t xml:space="preserve">, </w:t>
      </w:r>
      <w:r w:rsidRPr="005474BD">
        <w:rPr>
          <w:rFonts w:eastAsia="Times New Roman" w:cs="Arial"/>
          <w:color w:val="000000"/>
          <w:lang w:eastAsia="bg-BG"/>
        </w:rPr>
        <w:t>при имунокомпрометирани пациенти (вж. точка 4.2 за информация за педиатричната употреба)</w:t>
      </w:r>
      <w:r w:rsidRPr="005474BD">
        <w:rPr>
          <w:rFonts w:eastAsia="Times New Roman" w:cs="Arial"/>
          <w:color w:val="000000"/>
          <w:lang w:val="ru-RU" w:eastAsia="bg-BG"/>
        </w:rPr>
        <w:t>.</w:t>
      </w:r>
    </w:p>
    <w:p w14:paraId="618C4C41" w14:textId="5E5652C5" w:rsidR="005474BD" w:rsidRDefault="005474BD" w:rsidP="005474BD">
      <w:pPr>
        <w:spacing w:line="240" w:lineRule="auto"/>
        <w:rPr>
          <w:rFonts w:eastAsia="Times New Roman" w:cs="Arial"/>
          <w:color w:val="000000"/>
          <w:lang w:val="ru-RU" w:eastAsia="bg-BG"/>
        </w:rPr>
      </w:pPr>
    </w:p>
    <w:p w14:paraId="09946DFA" w14:textId="77777777" w:rsidR="005474BD" w:rsidRPr="005474BD" w:rsidRDefault="005474BD" w:rsidP="005474BD">
      <w:pPr>
        <w:spacing w:line="240" w:lineRule="auto"/>
        <w:rPr>
          <w:rFonts w:eastAsia="Times New Roman" w:cs="Arial"/>
        </w:rPr>
      </w:pPr>
      <w:r w:rsidRPr="005474BD">
        <w:rPr>
          <w:rFonts w:eastAsia="Times New Roman" w:cs="Arial"/>
          <w:i/>
          <w:iCs/>
          <w:color w:val="000000"/>
          <w:lang w:eastAsia="bg-BG"/>
        </w:rPr>
        <w:t xml:space="preserve">Профилактика на </w:t>
      </w:r>
      <w:r w:rsidRPr="005474BD">
        <w:rPr>
          <w:rFonts w:eastAsia="Times New Roman" w:cs="Arial"/>
          <w:i/>
          <w:iCs/>
          <w:color w:val="000000"/>
          <w:lang w:val="en-US"/>
        </w:rPr>
        <w:t>CMV</w:t>
      </w:r>
      <w:r w:rsidRPr="005474BD">
        <w:rPr>
          <w:rFonts w:eastAsia="Times New Roman" w:cs="Arial"/>
          <w:i/>
          <w:iCs/>
          <w:color w:val="000000"/>
          <w:lang w:val="ru-RU"/>
        </w:rPr>
        <w:t xml:space="preserve"> </w:t>
      </w:r>
      <w:r w:rsidRPr="005474BD">
        <w:rPr>
          <w:rFonts w:eastAsia="Times New Roman" w:cs="Arial"/>
          <w:i/>
          <w:iCs/>
          <w:color w:val="000000"/>
          <w:lang w:eastAsia="bg-BG"/>
        </w:rPr>
        <w:t>заболяване при трансплантация</w:t>
      </w:r>
    </w:p>
    <w:p w14:paraId="1E4BD49B" w14:textId="77777777" w:rsidR="005474BD" w:rsidRPr="005474BD" w:rsidRDefault="005474BD" w:rsidP="005474BD">
      <w:pPr>
        <w:spacing w:line="240" w:lineRule="auto"/>
        <w:rPr>
          <w:rFonts w:eastAsia="Times New Roman" w:cs="Arial"/>
        </w:rPr>
      </w:pPr>
      <w:r w:rsidRPr="005474BD">
        <w:rPr>
          <w:rFonts w:eastAsia="Times New Roman" w:cs="Arial"/>
          <w:color w:val="000000"/>
          <w:lang w:eastAsia="bg-BG"/>
        </w:rPr>
        <w:t xml:space="preserve">В едно клинично изпитване на фармакокинетиката и безопасността фаза II при педиатрични реципиенти на трансплантати на солидни органи (на възраст 4 месеца до 16 години, </w:t>
      </w:r>
      <w:r w:rsidRPr="005474BD">
        <w:rPr>
          <w:rFonts w:eastAsia="Times New Roman" w:cs="Arial"/>
          <w:color w:val="000000"/>
          <w:lang w:val="en-US"/>
        </w:rPr>
        <w:t>n</w:t>
      </w:r>
      <w:r w:rsidRPr="005474BD">
        <w:rPr>
          <w:rFonts w:eastAsia="Times New Roman" w:cs="Arial"/>
          <w:color w:val="000000"/>
          <w:lang w:val="ru-RU"/>
        </w:rPr>
        <w:t>=</w:t>
      </w:r>
      <w:r w:rsidRPr="005474BD">
        <w:rPr>
          <w:rFonts w:eastAsia="Times New Roman" w:cs="Arial"/>
          <w:color w:val="000000"/>
          <w:lang w:eastAsia="bg-BG"/>
        </w:rPr>
        <w:t xml:space="preserve">63), получаващи валганцикловир веднъж дневно в продължение на до 100 дни според педиатричния алгоритъм за дозиране (вж. точка 4.2), са получени експозиции, подобни на тези при възрастните (виж точка 5.2). Проследяването след лечението е 12 седмици. Серологичният статус </w:t>
      </w:r>
      <w:r w:rsidRPr="005474BD">
        <w:rPr>
          <w:rFonts w:eastAsia="Times New Roman" w:cs="Arial"/>
          <w:color w:val="000000"/>
          <w:lang w:val="en-US"/>
        </w:rPr>
        <w:t>CMV</w:t>
      </w:r>
      <w:r w:rsidRPr="005474BD">
        <w:rPr>
          <w:rFonts w:eastAsia="Times New Roman" w:cs="Arial"/>
          <w:color w:val="000000"/>
          <w:lang w:val="ru-RU"/>
        </w:rPr>
        <w:t xml:space="preserve"> </w:t>
      </w:r>
      <w:r w:rsidRPr="005474BD">
        <w:rPr>
          <w:rFonts w:eastAsia="Times New Roman" w:cs="Arial"/>
          <w:color w:val="000000"/>
          <w:lang w:val="en-US"/>
        </w:rPr>
        <w:t>D</w:t>
      </w:r>
      <w:r w:rsidRPr="005474BD">
        <w:rPr>
          <w:rFonts w:eastAsia="Times New Roman" w:cs="Arial"/>
          <w:color w:val="000000"/>
          <w:lang w:val="ru-RU"/>
        </w:rPr>
        <w:t>/</w:t>
      </w:r>
      <w:r w:rsidRPr="005474BD">
        <w:rPr>
          <w:rFonts w:eastAsia="Times New Roman" w:cs="Arial"/>
          <w:color w:val="000000"/>
          <w:lang w:val="en-US"/>
        </w:rPr>
        <w:t>R</w:t>
      </w:r>
      <w:r w:rsidRPr="005474BD">
        <w:rPr>
          <w:rFonts w:eastAsia="Times New Roman" w:cs="Arial"/>
          <w:color w:val="000000"/>
          <w:lang w:val="ru-RU"/>
        </w:rPr>
        <w:t xml:space="preserve"> </w:t>
      </w:r>
      <w:r w:rsidRPr="005474BD">
        <w:rPr>
          <w:rFonts w:eastAsia="Times New Roman" w:cs="Arial"/>
          <w:color w:val="000000"/>
          <w:lang w:eastAsia="bg-BG"/>
        </w:rPr>
        <w:t xml:space="preserve">на изходно ниво е </w:t>
      </w:r>
      <w:r w:rsidRPr="005474BD">
        <w:rPr>
          <w:rFonts w:eastAsia="Times New Roman" w:cs="Arial"/>
          <w:color w:val="000000"/>
          <w:lang w:val="en-US"/>
        </w:rPr>
        <w:t>D</w:t>
      </w:r>
      <w:r w:rsidRPr="005474BD">
        <w:rPr>
          <w:rFonts w:eastAsia="Times New Roman" w:cs="Arial"/>
          <w:color w:val="000000"/>
          <w:lang w:val="ru-RU"/>
        </w:rPr>
        <w:t>+/</w:t>
      </w:r>
      <w:r w:rsidRPr="005474BD">
        <w:rPr>
          <w:rFonts w:eastAsia="Times New Roman" w:cs="Arial"/>
          <w:color w:val="000000"/>
          <w:lang w:val="en-US"/>
        </w:rPr>
        <w:t>R</w:t>
      </w:r>
      <w:r w:rsidRPr="005474BD">
        <w:rPr>
          <w:rFonts w:eastAsia="Times New Roman" w:cs="Arial"/>
          <w:color w:val="000000"/>
          <w:lang w:val="ru-RU"/>
        </w:rPr>
        <w:t xml:space="preserve">- </w:t>
      </w:r>
      <w:r w:rsidRPr="005474BD">
        <w:rPr>
          <w:rFonts w:eastAsia="Times New Roman" w:cs="Arial"/>
          <w:color w:val="000000"/>
          <w:lang w:eastAsia="bg-BG"/>
        </w:rPr>
        <w:t xml:space="preserve">в 40%, </w:t>
      </w:r>
      <w:r w:rsidRPr="005474BD">
        <w:rPr>
          <w:rFonts w:eastAsia="Times New Roman" w:cs="Arial"/>
          <w:color w:val="000000"/>
          <w:lang w:val="en-US"/>
        </w:rPr>
        <w:t>D</w:t>
      </w:r>
      <w:r w:rsidRPr="005474BD">
        <w:rPr>
          <w:rFonts w:eastAsia="Times New Roman" w:cs="Arial"/>
          <w:color w:val="000000"/>
          <w:lang w:val="ru-RU"/>
        </w:rPr>
        <w:t>+/</w:t>
      </w:r>
      <w:r w:rsidRPr="005474BD">
        <w:rPr>
          <w:rFonts w:eastAsia="Times New Roman" w:cs="Arial"/>
          <w:color w:val="000000"/>
          <w:lang w:val="en-US"/>
        </w:rPr>
        <w:t>R</w:t>
      </w:r>
      <w:r w:rsidRPr="005474BD">
        <w:rPr>
          <w:rFonts w:eastAsia="Times New Roman" w:cs="Arial"/>
          <w:color w:val="000000"/>
          <w:lang w:val="ru-RU"/>
        </w:rPr>
        <w:t xml:space="preserve">+ </w:t>
      </w:r>
      <w:r w:rsidRPr="005474BD">
        <w:rPr>
          <w:rFonts w:eastAsia="Times New Roman" w:cs="Arial"/>
          <w:color w:val="000000"/>
          <w:lang w:eastAsia="bg-BG"/>
        </w:rPr>
        <w:t xml:space="preserve">в 38%, </w:t>
      </w:r>
      <w:r w:rsidRPr="005474BD">
        <w:rPr>
          <w:rFonts w:eastAsia="Times New Roman" w:cs="Arial"/>
          <w:color w:val="000000"/>
          <w:lang w:val="en-US"/>
        </w:rPr>
        <w:t>D</w:t>
      </w:r>
      <w:r w:rsidRPr="005474BD">
        <w:rPr>
          <w:rFonts w:eastAsia="Times New Roman" w:cs="Arial"/>
          <w:color w:val="000000"/>
          <w:lang w:val="ru-RU"/>
        </w:rPr>
        <w:t>-/</w:t>
      </w:r>
      <w:r w:rsidRPr="005474BD">
        <w:rPr>
          <w:rFonts w:eastAsia="Times New Roman" w:cs="Arial"/>
          <w:color w:val="000000"/>
          <w:lang w:val="en-US"/>
        </w:rPr>
        <w:t>R</w:t>
      </w:r>
      <w:r w:rsidRPr="005474BD">
        <w:rPr>
          <w:rFonts w:eastAsia="Times New Roman" w:cs="Arial"/>
          <w:color w:val="000000"/>
          <w:lang w:val="ru-RU"/>
        </w:rPr>
        <w:t xml:space="preserve">+ </w:t>
      </w:r>
      <w:r w:rsidRPr="005474BD">
        <w:rPr>
          <w:rFonts w:eastAsia="Times New Roman" w:cs="Arial"/>
          <w:color w:val="000000"/>
          <w:lang w:eastAsia="bg-BG"/>
        </w:rPr>
        <w:t xml:space="preserve">в 19% и </w:t>
      </w:r>
      <w:r w:rsidRPr="005474BD">
        <w:rPr>
          <w:rFonts w:eastAsia="Times New Roman" w:cs="Arial"/>
          <w:color w:val="000000"/>
          <w:lang w:val="en-US"/>
        </w:rPr>
        <w:t>D</w:t>
      </w:r>
      <w:r w:rsidRPr="005474BD">
        <w:rPr>
          <w:rFonts w:eastAsia="Times New Roman" w:cs="Arial"/>
          <w:color w:val="000000"/>
          <w:lang w:val="ru-RU"/>
        </w:rPr>
        <w:t>-/</w:t>
      </w:r>
      <w:r w:rsidRPr="005474BD">
        <w:rPr>
          <w:rFonts w:eastAsia="Times New Roman" w:cs="Arial"/>
          <w:color w:val="000000"/>
          <w:lang w:val="en-US"/>
        </w:rPr>
        <w:t>R</w:t>
      </w:r>
      <w:r w:rsidRPr="005474BD">
        <w:rPr>
          <w:rFonts w:eastAsia="Times New Roman" w:cs="Arial"/>
          <w:color w:val="000000"/>
          <w:lang w:val="ru-RU"/>
        </w:rPr>
        <w:t xml:space="preserve">- </w:t>
      </w:r>
      <w:r w:rsidRPr="005474BD">
        <w:rPr>
          <w:rFonts w:eastAsia="Times New Roman" w:cs="Arial"/>
          <w:color w:val="000000"/>
          <w:lang w:eastAsia="bg-BG"/>
        </w:rPr>
        <w:t xml:space="preserve">в 3% от случаите. Наличие на </w:t>
      </w:r>
      <w:r w:rsidRPr="005474BD">
        <w:rPr>
          <w:rFonts w:eastAsia="Times New Roman" w:cs="Arial"/>
          <w:color w:val="000000"/>
          <w:lang w:val="en-US"/>
        </w:rPr>
        <w:t>CMV</w:t>
      </w:r>
      <w:r w:rsidRPr="005474BD">
        <w:rPr>
          <w:rFonts w:eastAsia="Times New Roman" w:cs="Arial"/>
          <w:color w:val="000000"/>
          <w:lang w:val="ru-RU"/>
        </w:rPr>
        <w:t xml:space="preserve"> </w:t>
      </w:r>
      <w:r w:rsidRPr="005474BD">
        <w:rPr>
          <w:rFonts w:eastAsia="Times New Roman" w:cs="Arial"/>
          <w:color w:val="000000"/>
          <w:lang w:eastAsia="bg-BG"/>
        </w:rPr>
        <w:t>вирус се съобщава при 7 пациенти. Естеството на наблюдаваните нежелани лекарствени реакции е подобно на тези при възрастните (вж. точка 4.8).</w:t>
      </w:r>
    </w:p>
    <w:p w14:paraId="4111FE6A" w14:textId="77777777" w:rsidR="005474BD" w:rsidRDefault="005474BD" w:rsidP="005474BD">
      <w:pPr>
        <w:spacing w:line="240" w:lineRule="auto"/>
        <w:rPr>
          <w:rFonts w:eastAsia="Times New Roman" w:cs="Arial"/>
          <w:color w:val="000000"/>
          <w:lang w:eastAsia="bg-BG"/>
        </w:rPr>
      </w:pPr>
    </w:p>
    <w:p w14:paraId="5E280E68" w14:textId="763742FE" w:rsidR="005474BD" w:rsidRPr="005474BD" w:rsidRDefault="005474BD" w:rsidP="005474BD">
      <w:pPr>
        <w:spacing w:line="240" w:lineRule="auto"/>
        <w:rPr>
          <w:rFonts w:eastAsia="Times New Roman" w:cs="Arial"/>
        </w:rPr>
      </w:pPr>
      <w:r w:rsidRPr="005474BD">
        <w:rPr>
          <w:rFonts w:eastAsia="Times New Roman" w:cs="Arial"/>
          <w:color w:val="000000"/>
          <w:lang w:eastAsia="bg-BG"/>
        </w:rPr>
        <w:t xml:space="preserve">Едно клинично изпитване за поносимост фаза IV при педиатрични реципиенти на бъбречен трансплант (на възраст от 1 до 16 години, </w:t>
      </w:r>
      <w:r w:rsidRPr="005474BD">
        <w:rPr>
          <w:rFonts w:eastAsia="Times New Roman" w:cs="Arial"/>
          <w:color w:val="000000"/>
          <w:lang w:val="en-US"/>
        </w:rPr>
        <w:t>n</w:t>
      </w:r>
      <w:r w:rsidRPr="005474BD">
        <w:rPr>
          <w:rFonts w:eastAsia="Times New Roman" w:cs="Arial"/>
          <w:color w:val="000000"/>
          <w:lang w:eastAsia="bg-BG"/>
        </w:rPr>
        <w:t xml:space="preserve">= 57), получавали валганцикловир веднъж дневно в продължение на до 200 дни в съответствие с алгоритъма на дозиране (виж точка 4.2), показва ниска честота на </w:t>
      </w:r>
      <w:r w:rsidRPr="005474BD">
        <w:rPr>
          <w:rFonts w:eastAsia="Times New Roman" w:cs="Arial"/>
          <w:color w:val="000000"/>
          <w:lang w:val="en-US"/>
        </w:rPr>
        <w:t>CMV</w:t>
      </w:r>
      <w:r w:rsidRPr="005474BD">
        <w:rPr>
          <w:rFonts w:eastAsia="Times New Roman" w:cs="Arial"/>
          <w:color w:val="000000"/>
          <w:lang w:val="ru-RU"/>
        </w:rPr>
        <w:t xml:space="preserve">. </w:t>
      </w:r>
      <w:r w:rsidRPr="005474BD">
        <w:rPr>
          <w:rFonts w:eastAsia="Times New Roman" w:cs="Arial"/>
          <w:color w:val="000000"/>
          <w:lang w:eastAsia="bg-BG"/>
        </w:rPr>
        <w:t xml:space="preserve">Проследяването след лечението е 24 седмици. Изходният серологичен статус </w:t>
      </w:r>
      <w:r w:rsidRPr="005474BD">
        <w:rPr>
          <w:rFonts w:eastAsia="Times New Roman" w:cs="Arial"/>
          <w:color w:val="000000"/>
          <w:lang w:val="en-US"/>
        </w:rPr>
        <w:t>CMV</w:t>
      </w:r>
      <w:r w:rsidRPr="005474BD">
        <w:rPr>
          <w:rFonts w:eastAsia="Times New Roman" w:cs="Arial"/>
          <w:color w:val="000000"/>
          <w:lang w:val="ru-RU"/>
        </w:rPr>
        <w:t xml:space="preserve"> </w:t>
      </w:r>
      <w:r w:rsidRPr="005474BD">
        <w:rPr>
          <w:rFonts w:eastAsia="Times New Roman" w:cs="Arial"/>
          <w:color w:val="000000"/>
          <w:lang w:val="en-US"/>
        </w:rPr>
        <w:t>D</w:t>
      </w:r>
      <w:r w:rsidRPr="005474BD">
        <w:rPr>
          <w:rFonts w:eastAsia="Times New Roman" w:cs="Arial"/>
          <w:color w:val="000000"/>
          <w:lang w:val="ru-RU"/>
        </w:rPr>
        <w:t>/</w:t>
      </w:r>
      <w:r w:rsidRPr="005474BD">
        <w:rPr>
          <w:rFonts w:eastAsia="Times New Roman" w:cs="Arial"/>
          <w:color w:val="000000"/>
          <w:lang w:val="en-US"/>
        </w:rPr>
        <w:t>R</w:t>
      </w:r>
      <w:r w:rsidRPr="005474BD">
        <w:rPr>
          <w:rFonts w:eastAsia="Times New Roman" w:cs="Arial"/>
          <w:color w:val="000000"/>
          <w:lang w:val="ru-RU"/>
        </w:rPr>
        <w:t xml:space="preserve"> </w:t>
      </w:r>
      <w:r w:rsidRPr="005474BD">
        <w:rPr>
          <w:rFonts w:eastAsia="Times New Roman" w:cs="Arial"/>
          <w:color w:val="000000"/>
          <w:lang w:eastAsia="bg-BG"/>
        </w:rPr>
        <w:t xml:space="preserve">е </w:t>
      </w:r>
      <w:r w:rsidRPr="005474BD">
        <w:rPr>
          <w:rFonts w:eastAsia="Times New Roman" w:cs="Arial"/>
          <w:color w:val="000000"/>
          <w:lang w:val="en-US"/>
        </w:rPr>
        <w:t>D</w:t>
      </w:r>
      <w:r w:rsidRPr="005474BD">
        <w:rPr>
          <w:rFonts w:eastAsia="Times New Roman" w:cs="Arial"/>
          <w:color w:val="000000"/>
          <w:lang w:val="ru-RU"/>
        </w:rPr>
        <w:t>+/</w:t>
      </w:r>
      <w:r w:rsidRPr="005474BD">
        <w:rPr>
          <w:rFonts w:eastAsia="Times New Roman" w:cs="Arial"/>
          <w:color w:val="000000"/>
          <w:lang w:val="en-US"/>
        </w:rPr>
        <w:t>R</w:t>
      </w:r>
      <w:r w:rsidRPr="005474BD">
        <w:rPr>
          <w:rFonts w:eastAsia="Times New Roman" w:cs="Arial"/>
          <w:color w:val="000000"/>
          <w:lang w:val="ru-RU"/>
        </w:rPr>
        <w:t xml:space="preserve">+ </w:t>
      </w:r>
      <w:r w:rsidRPr="005474BD">
        <w:rPr>
          <w:rFonts w:eastAsia="Times New Roman" w:cs="Arial"/>
          <w:color w:val="000000"/>
          <w:lang w:eastAsia="bg-BG"/>
        </w:rPr>
        <w:t xml:space="preserve">в 45 %, </w:t>
      </w:r>
      <w:r w:rsidRPr="005474BD">
        <w:rPr>
          <w:rFonts w:eastAsia="Times New Roman" w:cs="Arial"/>
          <w:color w:val="000000"/>
          <w:lang w:val="en-US"/>
        </w:rPr>
        <w:t>D</w:t>
      </w:r>
      <w:r w:rsidRPr="005474BD">
        <w:rPr>
          <w:rFonts w:eastAsia="Times New Roman" w:cs="Arial"/>
          <w:color w:val="000000"/>
          <w:lang w:val="ru-RU"/>
        </w:rPr>
        <w:t>+</w:t>
      </w:r>
      <w:r w:rsidRPr="005474BD">
        <w:rPr>
          <w:rFonts w:eastAsia="Times New Roman" w:cs="Arial"/>
          <w:color w:val="000000"/>
          <w:lang w:val="en-US"/>
        </w:rPr>
        <w:t>ZR</w:t>
      </w:r>
      <w:r w:rsidRPr="005474BD">
        <w:rPr>
          <w:rFonts w:eastAsia="Times New Roman" w:cs="Arial"/>
          <w:color w:val="000000"/>
          <w:lang w:val="ru-RU"/>
        </w:rPr>
        <w:t xml:space="preserve">- </w:t>
      </w:r>
      <w:r w:rsidRPr="005474BD">
        <w:rPr>
          <w:rFonts w:eastAsia="Times New Roman" w:cs="Arial"/>
          <w:color w:val="000000"/>
          <w:lang w:eastAsia="bg-BG"/>
        </w:rPr>
        <w:t xml:space="preserve">в 39 %, </w:t>
      </w:r>
      <w:r w:rsidRPr="005474BD">
        <w:rPr>
          <w:rFonts w:eastAsia="Times New Roman" w:cs="Arial"/>
          <w:color w:val="000000"/>
          <w:lang w:val="en-US"/>
        </w:rPr>
        <w:t>D</w:t>
      </w:r>
      <w:r w:rsidRPr="005474BD">
        <w:rPr>
          <w:rFonts w:eastAsia="Times New Roman" w:cs="Arial"/>
          <w:color w:val="000000"/>
          <w:lang w:val="ru-RU"/>
        </w:rPr>
        <w:t>-/</w:t>
      </w:r>
      <w:r w:rsidRPr="005474BD">
        <w:rPr>
          <w:rFonts w:eastAsia="Times New Roman" w:cs="Arial"/>
          <w:color w:val="000000"/>
          <w:lang w:val="en-US"/>
        </w:rPr>
        <w:t>R</w:t>
      </w:r>
      <w:r w:rsidRPr="005474BD">
        <w:rPr>
          <w:rFonts w:eastAsia="Times New Roman" w:cs="Arial"/>
          <w:color w:val="000000"/>
          <w:lang w:val="ru-RU"/>
        </w:rPr>
        <w:t xml:space="preserve">+ </w:t>
      </w:r>
      <w:r w:rsidRPr="005474BD">
        <w:rPr>
          <w:rFonts w:eastAsia="Times New Roman" w:cs="Arial"/>
          <w:color w:val="000000"/>
          <w:lang w:eastAsia="bg-BG"/>
        </w:rPr>
        <w:t xml:space="preserve">в 7 %, </w:t>
      </w:r>
      <w:r w:rsidRPr="005474BD">
        <w:rPr>
          <w:rFonts w:eastAsia="Times New Roman" w:cs="Arial"/>
          <w:color w:val="000000"/>
          <w:lang w:val="en-US"/>
        </w:rPr>
        <w:t>D</w:t>
      </w:r>
      <w:r w:rsidRPr="005474BD">
        <w:rPr>
          <w:rFonts w:eastAsia="Times New Roman" w:cs="Arial"/>
          <w:color w:val="000000"/>
          <w:lang w:val="ru-RU"/>
        </w:rPr>
        <w:t>-/</w:t>
      </w:r>
      <w:r w:rsidRPr="005474BD">
        <w:rPr>
          <w:rFonts w:eastAsia="Times New Roman" w:cs="Arial"/>
          <w:color w:val="000000"/>
          <w:lang w:val="en-US"/>
        </w:rPr>
        <w:t>R</w:t>
      </w:r>
      <w:r w:rsidRPr="005474BD">
        <w:rPr>
          <w:rFonts w:eastAsia="Times New Roman" w:cs="Arial"/>
          <w:color w:val="000000"/>
          <w:lang w:val="ru-RU"/>
        </w:rPr>
        <w:t xml:space="preserve">- </w:t>
      </w:r>
      <w:r w:rsidRPr="005474BD">
        <w:rPr>
          <w:rFonts w:eastAsia="Times New Roman" w:cs="Arial"/>
          <w:color w:val="000000"/>
          <w:lang w:eastAsia="bg-BG"/>
        </w:rPr>
        <w:t xml:space="preserve">в 7 % и </w:t>
      </w:r>
      <w:r w:rsidRPr="005474BD">
        <w:rPr>
          <w:rFonts w:eastAsia="Times New Roman" w:cs="Arial"/>
          <w:color w:val="000000"/>
          <w:lang w:val="en-US"/>
        </w:rPr>
        <w:t>ND</w:t>
      </w:r>
      <w:r w:rsidRPr="005474BD">
        <w:rPr>
          <w:rFonts w:eastAsia="Times New Roman" w:cs="Arial"/>
          <w:color w:val="000000"/>
          <w:lang w:val="ru-RU"/>
        </w:rPr>
        <w:t>/</w:t>
      </w:r>
      <w:r w:rsidRPr="005474BD">
        <w:rPr>
          <w:rFonts w:eastAsia="Times New Roman" w:cs="Arial"/>
          <w:color w:val="000000"/>
          <w:lang w:val="en-US"/>
        </w:rPr>
        <w:t>R</w:t>
      </w:r>
      <w:r w:rsidRPr="005474BD">
        <w:rPr>
          <w:rFonts w:eastAsia="Times New Roman" w:cs="Arial"/>
          <w:color w:val="000000"/>
          <w:lang w:val="ru-RU"/>
        </w:rPr>
        <w:t xml:space="preserve">+ </w:t>
      </w:r>
      <w:r w:rsidRPr="005474BD">
        <w:rPr>
          <w:rFonts w:eastAsia="Times New Roman" w:cs="Arial"/>
          <w:color w:val="000000"/>
          <w:lang w:eastAsia="bg-BG"/>
        </w:rPr>
        <w:t xml:space="preserve">в 2 % от случаите. </w:t>
      </w:r>
      <w:r w:rsidRPr="005474BD">
        <w:rPr>
          <w:rFonts w:eastAsia="Times New Roman" w:cs="Arial"/>
          <w:color w:val="000000"/>
          <w:lang w:val="en-US"/>
        </w:rPr>
        <w:t>CMV</w:t>
      </w:r>
      <w:r w:rsidRPr="005474BD">
        <w:rPr>
          <w:rFonts w:eastAsia="Times New Roman" w:cs="Arial"/>
          <w:color w:val="000000"/>
          <w:lang w:val="ru-RU"/>
        </w:rPr>
        <w:t xml:space="preserve"> </w:t>
      </w:r>
      <w:r w:rsidRPr="005474BD">
        <w:rPr>
          <w:rFonts w:eastAsia="Times New Roman" w:cs="Arial"/>
          <w:color w:val="000000"/>
          <w:lang w:eastAsia="bg-BG"/>
        </w:rPr>
        <w:t xml:space="preserve">виремия се съобщава при 3 пациенти и при един пациент има подозрение за случай на </w:t>
      </w:r>
      <w:r w:rsidRPr="005474BD">
        <w:rPr>
          <w:rFonts w:eastAsia="Times New Roman" w:cs="Arial"/>
          <w:color w:val="000000"/>
          <w:lang w:val="en-US"/>
        </w:rPr>
        <w:t>CMV</w:t>
      </w:r>
      <w:r w:rsidRPr="005474BD">
        <w:rPr>
          <w:rFonts w:eastAsia="Times New Roman" w:cs="Arial"/>
          <w:color w:val="000000"/>
          <w:lang w:val="ru-RU"/>
        </w:rPr>
        <w:t xml:space="preserve"> </w:t>
      </w:r>
      <w:r w:rsidRPr="005474BD">
        <w:rPr>
          <w:rFonts w:eastAsia="Times New Roman" w:cs="Arial"/>
          <w:color w:val="000000"/>
          <w:lang w:eastAsia="bg-BG"/>
        </w:rPr>
        <w:t xml:space="preserve">синдром, но той не е потвърден чрез </w:t>
      </w:r>
      <w:r w:rsidRPr="005474BD">
        <w:rPr>
          <w:rFonts w:eastAsia="Times New Roman" w:cs="Arial"/>
          <w:color w:val="000000"/>
          <w:lang w:val="en-US"/>
        </w:rPr>
        <w:t>CMV</w:t>
      </w:r>
      <w:r w:rsidRPr="005474BD">
        <w:rPr>
          <w:rFonts w:eastAsia="Times New Roman" w:cs="Arial"/>
          <w:color w:val="000000"/>
          <w:lang w:val="ru-RU"/>
        </w:rPr>
        <w:t xml:space="preserve"> </w:t>
      </w:r>
      <w:r w:rsidRPr="005474BD">
        <w:rPr>
          <w:rFonts w:eastAsia="Times New Roman" w:cs="Arial"/>
          <w:color w:val="000000"/>
          <w:lang w:val="en-US"/>
        </w:rPr>
        <w:t>PCR</w:t>
      </w:r>
      <w:r w:rsidRPr="005474BD">
        <w:rPr>
          <w:rFonts w:eastAsia="Times New Roman" w:cs="Arial"/>
          <w:color w:val="000000"/>
          <w:lang w:val="ru-RU"/>
        </w:rPr>
        <w:t xml:space="preserve"> </w:t>
      </w:r>
      <w:r w:rsidRPr="005474BD">
        <w:rPr>
          <w:rFonts w:eastAsia="Times New Roman" w:cs="Arial"/>
          <w:color w:val="000000"/>
          <w:lang w:eastAsia="bg-BG"/>
        </w:rPr>
        <w:t>от централната лаборатория. Естеството на наблюдаваните нежелани лекарствени реакции е подобно на тези при възрастните (вж точка 4.8).</w:t>
      </w:r>
    </w:p>
    <w:p w14:paraId="177E0003" w14:textId="77777777" w:rsidR="005474BD" w:rsidRDefault="005474BD" w:rsidP="005474BD">
      <w:pPr>
        <w:spacing w:line="240" w:lineRule="auto"/>
        <w:rPr>
          <w:rFonts w:eastAsia="Times New Roman" w:cs="Arial"/>
          <w:color w:val="000000"/>
          <w:lang w:eastAsia="bg-BG"/>
        </w:rPr>
      </w:pPr>
    </w:p>
    <w:p w14:paraId="41BD8C4A" w14:textId="6A59F0F6" w:rsidR="005474BD" w:rsidRPr="005474BD" w:rsidRDefault="005474BD" w:rsidP="005474BD">
      <w:pPr>
        <w:spacing w:line="240" w:lineRule="auto"/>
        <w:rPr>
          <w:rFonts w:eastAsia="Times New Roman" w:cs="Arial"/>
        </w:rPr>
      </w:pPr>
      <w:r w:rsidRPr="005474BD">
        <w:rPr>
          <w:rFonts w:eastAsia="Times New Roman" w:cs="Arial"/>
          <w:color w:val="000000"/>
          <w:lang w:eastAsia="bg-BG"/>
        </w:rPr>
        <w:t>Тези данни подкрепят екстраполирането на данните за ефикасност от възрастните на децата и осигуряват препоръки за дозиране при педиатричните пациенти.</w:t>
      </w:r>
    </w:p>
    <w:p w14:paraId="59F7204C" w14:textId="77777777" w:rsidR="005474BD" w:rsidRDefault="005474BD" w:rsidP="005474BD">
      <w:pPr>
        <w:spacing w:line="240" w:lineRule="auto"/>
        <w:rPr>
          <w:rFonts w:eastAsia="Times New Roman" w:cs="Arial"/>
          <w:color w:val="000000"/>
          <w:lang w:eastAsia="bg-BG"/>
        </w:rPr>
      </w:pPr>
    </w:p>
    <w:p w14:paraId="1FBBCAED" w14:textId="57D3231E" w:rsidR="005474BD" w:rsidRPr="005474BD" w:rsidRDefault="005474BD" w:rsidP="005474BD">
      <w:pPr>
        <w:spacing w:line="240" w:lineRule="auto"/>
        <w:rPr>
          <w:rFonts w:eastAsia="Times New Roman" w:cs="Arial"/>
        </w:rPr>
      </w:pPr>
      <w:r w:rsidRPr="005474BD">
        <w:rPr>
          <w:rFonts w:eastAsia="Times New Roman" w:cs="Arial"/>
          <w:color w:val="000000"/>
          <w:lang w:eastAsia="bg-BG"/>
        </w:rPr>
        <w:t xml:space="preserve">Едно клинично изпитване фаза I за проучване на фармакокинетиката и безопасността при пациенти с трансплантация на сърце (на възраст от 3 седмици до 125 дни, </w:t>
      </w:r>
      <w:r w:rsidRPr="005474BD">
        <w:rPr>
          <w:rFonts w:eastAsia="Times New Roman" w:cs="Arial"/>
          <w:color w:val="000000"/>
          <w:lang w:val="en-US"/>
        </w:rPr>
        <w:t>n</w:t>
      </w:r>
      <w:r w:rsidRPr="005474BD">
        <w:rPr>
          <w:rFonts w:eastAsia="Times New Roman" w:cs="Arial"/>
          <w:color w:val="000000"/>
          <w:lang w:eastAsia="bg-BG"/>
        </w:rPr>
        <w:t xml:space="preserve"> = 14), получавали еднократна дневна доза валганцикловир в съответствие с педиатричния алгоритъм на дозиране (вж. точка 4.2) в 2 последователни дни, показва експозиции, подобни на тези при възрастните (вж. точка 5.2). Проследяването след лечението е 7 дни. Профилът на безопасност съответства на този от другите клинични изпитвания при педиатрични и възрастни пациенти, въпреки че броят на пациентите и експозицията на валганцикловир са ограничени в това клинично изпитване.</w:t>
      </w:r>
    </w:p>
    <w:p w14:paraId="013ADB1C" w14:textId="77777777" w:rsidR="005474BD" w:rsidRDefault="005474BD" w:rsidP="005474BD">
      <w:pPr>
        <w:spacing w:line="240" w:lineRule="auto"/>
        <w:rPr>
          <w:rFonts w:eastAsia="Times New Roman" w:cs="Arial"/>
          <w:i/>
          <w:iCs/>
          <w:color w:val="000000"/>
          <w:lang w:eastAsia="bg-BG"/>
        </w:rPr>
      </w:pPr>
    </w:p>
    <w:p w14:paraId="0264A9FD" w14:textId="789EDABF" w:rsidR="005474BD" w:rsidRPr="005474BD" w:rsidRDefault="005474BD" w:rsidP="005474BD">
      <w:pPr>
        <w:spacing w:line="240" w:lineRule="auto"/>
        <w:rPr>
          <w:rFonts w:eastAsia="Times New Roman" w:cs="Arial"/>
        </w:rPr>
      </w:pPr>
      <w:r w:rsidRPr="005474BD">
        <w:rPr>
          <w:rFonts w:eastAsia="Times New Roman" w:cs="Arial"/>
          <w:i/>
          <w:iCs/>
          <w:color w:val="000000"/>
          <w:lang w:eastAsia="bg-BG"/>
        </w:rPr>
        <w:t xml:space="preserve">Вроден </w:t>
      </w:r>
      <w:r w:rsidRPr="005474BD">
        <w:rPr>
          <w:rFonts w:eastAsia="Times New Roman" w:cs="Arial"/>
          <w:i/>
          <w:iCs/>
          <w:color w:val="000000"/>
          <w:lang w:val="en-US"/>
        </w:rPr>
        <w:t>CMV</w:t>
      </w:r>
    </w:p>
    <w:p w14:paraId="6AD9F1C0" w14:textId="77777777" w:rsidR="005474BD" w:rsidRPr="005474BD" w:rsidRDefault="005474BD" w:rsidP="005474BD">
      <w:pPr>
        <w:spacing w:line="240" w:lineRule="auto"/>
        <w:rPr>
          <w:rFonts w:eastAsia="Times New Roman" w:cs="Arial"/>
        </w:rPr>
      </w:pPr>
      <w:r w:rsidRPr="005474BD">
        <w:rPr>
          <w:rFonts w:eastAsia="Times New Roman" w:cs="Arial"/>
          <w:color w:val="000000"/>
          <w:lang w:eastAsia="bg-BG"/>
        </w:rPr>
        <w:t xml:space="preserve">Ефикасността и безопасността на ганцикловир и/или валганцикловир е изследвана при новородени и кърмачета с вродена симптомна </w:t>
      </w:r>
      <w:r w:rsidRPr="005474BD">
        <w:rPr>
          <w:rFonts w:eastAsia="Times New Roman" w:cs="Arial"/>
          <w:color w:val="000000"/>
          <w:lang w:val="en-US"/>
        </w:rPr>
        <w:t>CMV</w:t>
      </w:r>
      <w:r w:rsidRPr="005474BD">
        <w:rPr>
          <w:rFonts w:eastAsia="Times New Roman" w:cs="Arial"/>
          <w:color w:val="000000"/>
          <w:lang w:val="ru-RU"/>
        </w:rPr>
        <w:t xml:space="preserve"> </w:t>
      </w:r>
      <w:r w:rsidRPr="005474BD">
        <w:rPr>
          <w:rFonts w:eastAsia="Times New Roman" w:cs="Arial"/>
          <w:color w:val="000000"/>
          <w:lang w:eastAsia="bg-BG"/>
        </w:rPr>
        <w:t>инфекция в две клинични изпитвания.</w:t>
      </w:r>
    </w:p>
    <w:p w14:paraId="415CDF4A" w14:textId="77777777" w:rsidR="005474BD" w:rsidRDefault="005474BD" w:rsidP="005474BD">
      <w:pPr>
        <w:spacing w:line="240" w:lineRule="auto"/>
        <w:rPr>
          <w:rFonts w:eastAsia="Times New Roman" w:cs="Arial"/>
          <w:color w:val="000000"/>
          <w:lang w:eastAsia="bg-BG"/>
        </w:rPr>
      </w:pPr>
    </w:p>
    <w:p w14:paraId="461C3E59" w14:textId="49F46F41" w:rsidR="005474BD" w:rsidRPr="005474BD" w:rsidRDefault="005474BD" w:rsidP="005474BD">
      <w:pPr>
        <w:spacing w:line="240" w:lineRule="auto"/>
        <w:rPr>
          <w:rFonts w:eastAsia="Times New Roman" w:cs="Arial"/>
        </w:rPr>
      </w:pPr>
      <w:r w:rsidRPr="005474BD">
        <w:rPr>
          <w:rFonts w:eastAsia="Times New Roman" w:cs="Arial"/>
          <w:color w:val="000000"/>
          <w:lang w:eastAsia="bg-BG"/>
        </w:rPr>
        <w:t xml:space="preserve">В първото клинично изпитване фармакокинетиката и безопасността на единична доза валганцикловир (дозова граница 14-16-20 </w:t>
      </w:r>
      <w:r w:rsidRPr="005474BD">
        <w:rPr>
          <w:rFonts w:eastAsia="Times New Roman" w:cs="Arial"/>
          <w:color w:val="000000"/>
          <w:lang w:val="en-US"/>
        </w:rPr>
        <w:t>mg</w:t>
      </w:r>
      <w:r w:rsidRPr="005474BD">
        <w:rPr>
          <w:rFonts w:eastAsia="Times New Roman" w:cs="Arial"/>
          <w:color w:val="000000"/>
          <w:lang w:val="ru-RU"/>
        </w:rPr>
        <w:t>/</w:t>
      </w:r>
      <w:r w:rsidRPr="005474BD">
        <w:rPr>
          <w:rFonts w:eastAsia="Times New Roman" w:cs="Arial"/>
          <w:color w:val="000000"/>
          <w:lang w:val="en-US"/>
        </w:rPr>
        <w:t>kg</w:t>
      </w:r>
      <w:r w:rsidRPr="005474BD">
        <w:rPr>
          <w:rFonts w:eastAsia="Times New Roman" w:cs="Arial"/>
          <w:color w:val="000000"/>
          <w:lang w:eastAsia="bg-BG"/>
        </w:rPr>
        <w:t xml:space="preserve">/доза) са изследвани при 24 новородени </w:t>
      </w:r>
      <w:r w:rsidRPr="005474BD">
        <w:rPr>
          <w:rFonts w:eastAsia="Times New Roman" w:cs="Arial"/>
          <w:color w:val="000000"/>
          <w:lang w:eastAsia="bg-BG"/>
        </w:rPr>
        <w:lastRenderedPageBreak/>
        <w:t xml:space="preserve">(на възраст 8-34 дни) със симптоматично вродено </w:t>
      </w:r>
      <w:r w:rsidRPr="005474BD">
        <w:rPr>
          <w:rFonts w:eastAsia="Times New Roman" w:cs="Arial"/>
          <w:color w:val="000000"/>
          <w:lang w:val="en-US"/>
        </w:rPr>
        <w:t>CMV</w:t>
      </w:r>
      <w:r w:rsidRPr="005474BD">
        <w:rPr>
          <w:rFonts w:eastAsia="Times New Roman" w:cs="Arial"/>
          <w:color w:val="000000"/>
          <w:lang w:val="ru-RU"/>
        </w:rPr>
        <w:t xml:space="preserve"> </w:t>
      </w:r>
      <w:r w:rsidRPr="005474BD">
        <w:rPr>
          <w:rFonts w:eastAsia="Times New Roman" w:cs="Arial"/>
          <w:color w:val="000000"/>
          <w:lang w:eastAsia="bg-BG"/>
        </w:rPr>
        <w:t xml:space="preserve">заболяване (вж. точка 5.2). Новородените получавали антивирусно лечение в продължение на 6 седмици, а 19 от 24 пациенти получавали до 4 седмици лечение с перорален валганцикловир, през останалите 2 седмици те получавали ганцикловир </w:t>
      </w:r>
      <w:r w:rsidRPr="005474BD">
        <w:rPr>
          <w:rFonts w:eastAsia="Times New Roman" w:cs="Arial"/>
          <w:color w:val="000000"/>
          <w:lang w:val="en-US"/>
        </w:rPr>
        <w:t>i</w:t>
      </w:r>
      <w:r w:rsidRPr="005474BD">
        <w:rPr>
          <w:rFonts w:eastAsia="Times New Roman" w:cs="Arial"/>
          <w:color w:val="000000"/>
          <w:lang w:val="ru-RU"/>
        </w:rPr>
        <w:t>.</w:t>
      </w:r>
      <w:r w:rsidRPr="005474BD">
        <w:rPr>
          <w:rFonts w:eastAsia="Times New Roman" w:cs="Arial"/>
          <w:color w:val="000000"/>
          <w:lang w:val="en-US"/>
        </w:rPr>
        <w:t>v</w:t>
      </w:r>
      <w:r w:rsidRPr="005474BD">
        <w:rPr>
          <w:rFonts w:eastAsia="Times New Roman" w:cs="Arial"/>
          <w:color w:val="000000"/>
          <w:lang w:val="ru-RU"/>
        </w:rPr>
        <w:t xml:space="preserve">. </w:t>
      </w:r>
      <w:r w:rsidRPr="005474BD">
        <w:rPr>
          <w:rFonts w:eastAsia="Times New Roman" w:cs="Arial"/>
          <w:color w:val="000000"/>
          <w:lang w:eastAsia="bg-BG"/>
        </w:rPr>
        <w:t xml:space="preserve">Останалите 5 пациенти получавали ганцикловир </w:t>
      </w:r>
      <w:r w:rsidRPr="005474BD">
        <w:rPr>
          <w:rFonts w:eastAsia="Times New Roman" w:cs="Arial"/>
          <w:color w:val="000000"/>
          <w:lang w:val="en-US"/>
        </w:rPr>
        <w:t>i</w:t>
      </w:r>
      <w:r w:rsidRPr="005474BD">
        <w:rPr>
          <w:rFonts w:eastAsia="Times New Roman" w:cs="Arial"/>
          <w:color w:val="000000"/>
          <w:lang w:val="ru-RU"/>
        </w:rPr>
        <w:t>.</w:t>
      </w:r>
      <w:r w:rsidRPr="005474BD">
        <w:rPr>
          <w:rFonts w:eastAsia="Times New Roman" w:cs="Arial"/>
          <w:color w:val="000000"/>
          <w:lang w:val="en-US"/>
        </w:rPr>
        <w:t>v</w:t>
      </w:r>
      <w:r w:rsidRPr="005474BD">
        <w:rPr>
          <w:rFonts w:eastAsia="Times New Roman" w:cs="Arial"/>
          <w:color w:val="000000"/>
          <w:lang w:val="ru-RU"/>
        </w:rPr>
        <w:t xml:space="preserve">. </w:t>
      </w:r>
      <w:r w:rsidRPr="005474BD">
        <w:rPr>
          <w:rFonts w:eastAsia="Times New Roman" w:cs="Arial"/>
          <w:color w:val="000000"/>
          <w:lang w:eastAsia="bg-BG"/>
        </w:rPr>
        <w:t xml:space="preserve">през повечето от времето в клиничното изпитване. Във второто клинично изпитване са проучвани ефикасността и безопасността на лечение с валганцикловир в продължение на шест седмици срещу шест месеца при 109 кърмачета на възраст от 2 до 30 дни със симптомно вродено </w:t>
      </w:r>
      <w:r w:rsidRPr="005474BD">
        <w:rPr>
          <w:rFonts w:eastAsia="Times New Roman" w:cs="Arial"/>
          <w:color w:val="000000"/>
          <w:lang w:val="en-US"/>
        </w:rPr>
        <w:t>CMV</w:t>
      </w:r>
      <w:r w:rsidRPr="005474BD">
        <w:rPr>
          <w:rFonts w:eastAsia="Times New Roman" w:cs="Arial"/>
          <w:color w:val="000000"/>
          <w:lang w:val="ru-RU"/>
        </w:rPr>
        <w:t xml:space="preserve"> </w:t>
      </w:r>
      <w:r w:rsidRPr="005474BD">
        <w:rPr>
          <w:rFonts w:eastAsia="Times New Roman" w:cs="Arial"/>
          <w:color w:val="000000"/>
          <w:lang w:eastAsia="bg-BG"/>
        </w:rPr>
        <w:t xml:space="preserve">заболяване. Всички кърмачета са получавали перорално валганцикловир в доза 16 </w:t>
      </w:r>
      <w:r w:rsidRPr="005474BD">
        <w:rPr>
          <w:rFonts w:eastAsia="Times New Roman" w:cs="Arial"/>
          <w:color w:val="000000"/>
          <w:lang w:val="en-US"/>
        </w:rPr>
        <w:t>mg</w:t>
      </w:r>
      <w:r w:rsidRPr="005474BD">
        <w:rPr>
          <w:rFonts w:eastAsia="Times New Roman" w:cs="Arial"/>
          <w:color w:val="000000"/>
          <w:lang w:val="ru-RU"/>
        </w:rPr>
        <w:t>/</w:t>
      </w:r>
      <w:r w:rsidRPr="005474BD">
        <w:rPr>
          <w:rFonts w:eastAsia="Times New Roman" w:cs="Arial"/>
          <w:color w:val="000000"/>
          <w:lang w:val="en-US"/>
        </w:rPr>
        <w:t>kg</w:t>
      </w:r>
      <w:r w:rsidRPr="005474BD">
        <w:rPr>
          <w:rFonts w:eastAsia="Times New Roman" w:cs="Arial"/>
          <w:color w:val="000000"/>
          <w:lang w:val="ru-RU"/>
        </w:rPr>
        <w:t xml:space="preserve"> </w:t>
      </w:r>
      <w:r w:rsidRPr="005474BD">
        <w:rPr>
          <w:rFonts w:eastAsia="Times New Roman" w:cs="Arial"/>
          <w:color w:val="000000"/>
          <w:lang w:eastAsia="bg-BG"/>
        </w:rPr>
        <w:t>2 пъти дневно в продължение на 6 седмици. След 6 седмици на лечение кърмачетата са рандомизирани 1:1 за продължаване на лечението с валганцикловир в същата доза или за получаване на съответно плацебо до завършване на 6 месеца на лечение.</w:t>
      </w:r>
    </w:p>
    <w:p w14:paraId="44287075" w14:textId="77777777" w:rsidR="005474BD" w:rsidRDefault="005474BD" w:rsidP="005474BD">
      <w:pPr>
        <w:spacing w:line="240" w:lineRule="auto"/>
        <w:rPr>
          <w:rFonts w:eastAsia="Times New Roman" w:cs="Arial"/>
          <w:color w:val="000000"/>
          <w:lang w:eastAsia="bg-BG"/>
        </w:rPr>
      </w:pPr>
    </w:p>
    <w:p w14:paraId="30B244C1" w14:textId="5E6F0AEC" w:rsidR="005474BD" w:rsidRDefault="005474BD" w:rsidP="005474BD">
      <w:pPr>
        <w:spacing w:line="240" w:lineRule="auto"/>
        <w:rPr>
          <w:rFonts w:eastAsia="Times New Roman" w:cs="Arial"/>
          <w:color w:val="000000"/>
          <w:lang w:eastAsia="bg-BG"/>
        </w:rPr>
      </w:pPr>
      <w:r w:rsidRPr="005474BD">
        <w:rPr>
          <w:rFonts w:eastAsia="Times New Roman" w:cs="Arial"/>
          <w:color w:val="000000"/>
          <w:lang w:eastAsia="bg-BG"/>
        </w:rPr>
        <w:t>Това показание за лечение понастоящем не се препоръчва за валганцикловир. Дизайнът на клиничните изпитвания и получените резултати са твърде ограничени, за да позволят подходящи заключения</w:t>
      </w:r>
      <w:r w:rsidRPr="005474BD">
        <w:rPr>
          <w:rFonts w:eastAsia="Times New Roman" w:cs="Arial"/>
          <w:color w:val="000000"/>
          <w:u w:val="single"/>
          <w:lang w:eastAsia="bg-BG"/>
        </w:rPr>
        <w:t xml:space="preserve"> </w:t>
      </w:r>
      <w:r w:rsidRPr="005474BD">
        <w:rPr>
          <w:rFonts w:eastAsia="Times New Roman" w:cs="Arial"/>
          <w:color w:val="000000"/>
          <w:lang w:eastAsia="bg-BG"/>
        </w:rPr>
        <w:t>относно ефикасността и безопасността на валганцикловир.</w:t>
      </w:r>
    </w:p>
    <w:p w14:paraId="6502F871" w14:textId="53085AD7" w:rsidR="005474BD" w:rsidRDefault="005474BD" w:rsidP="005474BD">
      <w:pPr>
        <w:spacing w:line="240" w:lineRule="auto"/>
        <w:rPr>
          <w:rFonts w:eastAsia="Times New Roman" w:cs="Arial"/>
          <w:color w:val="000000"/>
          <w:lang w:eastAsia="bg-BG"/>
        </w:rPr>
      </w:pPr>
    </w:p>
    <w:p w14:paraId="2F1F352E" w14:textId="77777777" w:rsidR="00A9231D" w:rsidRPr="00CF77F7" w:rsidRDefault="00A9231D" w:rsidP="00A9231D">
      <w:pPr>
        <w:pStyle w:val="Heading2"/>
      </w:pPr>
      <w:r>
        <w:t>5.2. Фармакокинетични свойства</w:t>
      </w:r>
    </w:p>
    <w:p w14:paraId="0291D183" w14:textId="77777777" w:rsidR="00A9231D" w:rsidRDefault="00A9231D" w:rsidP="005474BD">
      <w:pPr>
        <w:spacing w:line="240" w:lineRule="auto"/>
        <w:rPr>
          <w:rFonts w:eastAsia="Times New Roman" w:cs="Arial"/>
          <w:color w:val="000000"/>
          <w:lang w:eastAsia="bg-BG"/>
        </w:rPr>
      </w:pPr>
    </w:p>
    <w:p w14:paraId="732C51AE" w14:textId="77777777" w:rsidR="005474BD" w:rsidRPr="005474BD" w:rsidRDefault="005474BD" w:rsidP="005474BD">
      <w:pPr>
        <w:spacing w:line="240" w:lineRule="auto"/>
        <w:rPr>
          <w:rFonts w:eastAsia="Times New Roman" w:cs="Arial"/>
        </w:rPr>
      </w:pPr>
      <w:r w:rsidRPr="005474BD">
        <w:rPr>
          <w:rFonts w:eastAsia="Times New Roman" w:cs="Arial"/>
          <w:color w:val="000000"/>
          <w:lang w:eastAsia="bg-BG"/>
        </w:rPr>
        <w:t xml:space="preserve">Фармакокинетичните свойства на валганцикловир са били оценявани при </w:t>
      </w:r>
      <w:r w:rsidRPr="005474BD">
        <w:rPr>
          <w:rFonts w:eastAsia="Times New Roman" w:cs="Arial"/>
          <w:color w:val="000000"/>
          <w:lang w:val="en-US"/>
        </w:rPr>
        <w:t>HIV</w:t>
      </w:r>
      <w:r w:rsidRPr="005474BD">
        <w:rPr>
          <w:rFonts w:eastAsia="Times New Roman" w:cs="Arial"/>
          <w:color w:val="000000"/>
          <w:lang w:val="ru-RU"/>
        </w:rPr>
        <w:t xml:space="preserve">- </w:t>
      </w:r>
      <w:r w:rsidRPr="005474BD">
        <w:rPr>
          <w:rFonts w:eastAsia="Times New Roman" w:cs="Arial"/>
          <w:color w:val="000000"/>
          <w:lang w:eastAsia="bg-BG"/>
        </w:rPr>
        <w:t xml:space="preserve">и </w:t>
      </w:r>
      <w:r w:rsidRPr="005474BD">
        <w:rPr>
          <w:rFonts w:eastAsia="Times New Roman" w:cs="Arial"/>
          <w:color w:val="000000"/>
          <w:lang w:val="en-US"/>
        </w:rPr>
        <w:t>CMV</w:t>
      </w:r>
      <w:r w:rsidRPr="005474BD">
        <w:rPr>
          <w:rFonts w:eastAsia="Times New Roman" w:cs="Arial"/>
          <w:color w:val="000000"/>
          <w:lang w:eastAsia="bg-BG"/>
        </w:rPr>
        <w:t xml:space="preserve">-серопозитивни пациенти, при пациенти със СПИН и </w:t>
      </w:r>
      <w:r w:rsidRPr="005474BD">
        <w:rPr>
          <w:rFonts w:eastAsia="Times New Roman" w:cs="Arial"/>
          <w:color w:val="000000"/>
          <w:lang w:val="en-US"/>
        </w:rPr>
        <w:t>CMV</w:t>
      </w:r>
      <w:r w:rsidRPr="005474BD">
        <w:rPr>
          <w:rFonts w:eastAsia="Times New Roman" w:cs="Arial"/>
          <w:color w:val="000000"/>
          <w:lang w:val="ru-RU"/>
        </w:rPr>
        <w:t xml:space="preserve"> </w:t>
      </w:r>
      <w:r w:rsidRPr="005474BD">
        <w:rPr>
          <w:rFonts w:eastAsia="Times New Roman" w:cs="Arial"/>
          <w:color w:val="000000"/>
          <w:lang w:eastAsia="bg-BG"/>
        </w:rPr>
        <w:t>ретинит и при болни с трансплантация на солидни органи.</w:t>
      </w:r>
    </w:p>
    <w:p w14:paraId="5265D22B" w14:textId="77777777" w:rsidR="005474BD" w:rsidRDefault="005474BD" w:rsidP="005474BD">
      <w:pPr>
        <w:spacing w:line="240" w:lineRule="auto"/>
        <w:rPr>
          <w:rFonts w:eastAsia="Times New Roman" w:cs="Arial"/>
          <w:color w:val="000000"/>
          <w:lang w:eastAsia="bg-BG"/>
        </w:rPr>
      </w:pPr>
    </w:p>
    <w:p w14:paraId="06467973" w14:textId="034392DD" w:rsidR="005474BD" w:rsidRPr="005474BD" w:rsidRDefault="005474BD" w:rsidP="005474BD">
      <w:pPr>
        <w:spacing w:line="240" w:lineRule="auto"/>
        <w:rPr>
          <w:rFonts w:eastAsia="Times New Roman" w:cs="Arial"/>
        </w:rPr>
      </w:pPr>
      <w:r w:rsidRPr="005474BD">
        <w:rPr>
          <w:rFonts w:eastAsia="Times New Roman" w:cs="Arial"/>
          <w:color w:val="000000"/>
          <w:lang w:eastAsia="bg-BG"/>
        </w:rPr>
        <w:t xml:space="preserve">Пропорционалност на дозата по отношение на </w:t>
      </w:r>
      <w:r w:rsidRPr="005474BD">
        <w:rPr>
          <w:rFonts w:eastAsia="Times New Roman" w:cs="Arial"/>
          <w:color w:val="000000"/>
          <w:lang w:val="en-US"/>
        </w:rPr>
        <w:t>AUC</w:t>
      </w:r>
      <w:r w:rsidRPr="005474BD">
        <w:rPr>
          <w:rFonts w:eastAsia="Times New Roman" w:cs="Arial"/>
          <w:color w:val="000000"/>
          <w:lang w:val="ru-RU"/>
        </w:rPr>
        <w:t xml:space="preserve"> </w:t>
      </w:r>
      <w:r w:rsidRPr="005474BD">
        <w:rPr>
          <w:rFonts w:eastAsia="Times New Roman" w:cs="Arial"/>
          <w:color w:val="000000"/>
          <w:lang w:eastAsia="bg-BG"/>
        </w:rPr>
        <w:t xml:space="preserve">на ганцикловир след прилагане на валганцикловир в дозови граници от 450 до 2 625 </w:t>
      </w:r>
      <w:r w:rsidRPr="005474BD">
        <w:rPr>
          <w:rFonts w:eastAsia="Times New Roman" w:cs="Arial"/>
          <w:color w:val="000000"/>
          <w:lang w:val="en-US"/>
        </w:rPr>
        <w:t>mg</w:t>
      </w:r>
      <w:r w:rsidRPr="005474BD">
        <w:rPr>
          <w:rFonts w:eastAsia="Times New Roman" w:cs="Arial"/>
          <w:color w:val="000000"/>
          <w:lang w:val="ru-RU"/>
        </w:rPr>
        <w:t xml:space="preserve"> </w:t>
      </w:r>
      <w:r w:rsidRPr="005474BD">
        <w:rPr>
          <w:rFonts w:eastAsia="Times New Roman" w:cs="Arial"/>
          <w:color w:val="000000"/>
          <w:lang w:eastAsia="bg-BG"/>
        </w:rPr>
        <w:t>е доказана само след нахранване.</w:t>
      </w:r>
    </w:p>
    <w:p w14:paraId="70CD7B19" w14:textId="77777777" w:rsidR="005474BD" w:rsidRDefault="005474BD" w:rsidP="005474BD">
      <w:pPr>
        <w:spacing w:line="240" w:lineRule="auto"/>
        <w:rPr>
          <w:rFonts w:eastAsia="Times New Roman" w:cs="Arial"/>
          <w:color w:val="000000"/>
          <w:u w:val="single"/>
          <w:lang w:eastAsia="bg-BG"/>
        </w:rPr>
      </w:pPr>
    </w:p>
    <w:p w14:paraId="58ADE05B" w14:textId="28DE3CC1" w:rsidR="005474BD" w:rsidRPr="005474BD" w:rsidRDefault="005474BD" w:rsidP="005474BD">
      <w:pPr>
        <w:spacing w:line="240" w:lineRule="auto"/>
        <w:rPr>
          <w:rFonts w:eastAsia="Times New Roman" w:cs="Arial"/>
        </w:rPr>
      </w:pPr>
      <w:r w:rsidRPr="005474BD">
        <w:rPr>
          <w:rFonts w:eastAsia="Times New Roman" w:cs="Arial"/>
          <w:color w:val="000000"/>
          <w:u w:val="single"/>
          <w:lang w:eastAsia="bg-BG"/>
        </w:rPr>
        <w:t>Резорбция</w:t>
      </w:r>
    </w:p>
    <w:p w14:paraId="5D5534FA" w14:textId="77777777" w:rsidR="005474BD" w:rsidRDefault="005474BD" w:rsidP="005474BD">
      <w:pPr>
        <w:spacing w:line="240" w:lineRule="auto"/>
        <w:rPr>
          <w:rFonts w:eastAsia="Times New Roman" w:cs="Arial"/>
          <w:color w:val="000000"/>
          <w:lang w:eastAsia="bg-BG"/>
        </w:rPr>
      </w:pPr>
      <w:r w:rsidRPr="005474BD">
        <w:rPr>
          <w:rFonts w:eastAsia="Times New Roman" w:cs="Arial"/>
          <w:color w:val="000000"/>
          <w:lang w:eastAsia="bg-BG"/>
        </w:rPr>
        <w:t xml:space="preserve">Валганцикловир е прекурсор на ганцикловир. Той се резорбира добре от стомашно-чревния тракт и бързо и в голяма степен се метаболизира в чревната стена и черния </w:t>
      </w:r>
    </w:p>
    <w:p w14:paraId="2184EA03" w14:textId="273CAA12" w:rsidR="005474BD" w:rsidRPr="005474BD" w:rsidRDefault="005474BD" w:rsidP="005474BD">
      <w:pPr>
        <w:spacing w:line="240" w:lineRule="auto"/>
        <w:rPr>
          <w:rFonts w:eastAsia="Times New Roman" w:cs="Arial"/>
        </w:rPr>
      </w:pPr>
      <w:r w:rsidRPr="005474BD">
        <w:rPr>
          <w:rFonts w:eastAsia="Times New Roman" w:cs="Arial"/>
          <w:color w:val="000000"/>
          <w:lang w:eastAsia="bg-BG"/>
        </w:rPr>
        <w:t xml:space="preserve">дроб до ганцикловир. Системната експозиция на валганцикловир е преходна и ниска. Бионаличността на ганцикловир, получен от перорален прием на валганцикловир, е приблизително 60 % при всички изследвани популации пациенти и получената експозиция на ганцикловир е подобна на тази след интравенозно приложение (моля, вижте по-долу). За сравнение бионаличността на ганцикловир след перорално приложение на 1000 </w:t>
      </w:r>
      <w:r w:rsidRPr="005474BD">
        <w:rPr>
          <w:rFonts w:eastAsia="Times New Roman" w:cs="Arial"/>
          <w:color w:val="000000"/>
          <w:lang w:val="en-US"/>
        </w:rPr>
        <w:t>mg</w:t>
      </w:r>
      <w:r w:rsidRPr="005474BD">
        <w:rPr>
          <w:rFonts w:eastAsia="Times New Roman" w:cs="Arial"/>
          <w:color w:val="000000"/>
          <w:lang w:val="ru-RU"/>
        </w:rPr>
        <w:t xml:space="preserve"> </w:t>
      </w:r>
      <w:r w:rsidRPr="005474BD">
        <w:rPr>
          <w:rFonts w:eastAsia="Times New Roman" w:cs="Arial"/>
          <w:color w:val="000000"/>
          <w:lang w:eastAsia="bg-BG"/>
        </w:rPr>
        <w:t>ганцикловир (под формата на капсули) е 6-8 %.</w:t>
      </w:r>
    </w:p>
    <w:p w14:paraId="732520DF" w14:textId="77777777" w:rsidR="005474BD" w:rsidRDefault="005474BD" w:rsidP="005474BD">
      <w:pPr>
        <w:spacing w:line="240" w:lineRule="auto"/>
        <w:rPr>
          <w:rFonts w:eastAsia="Times New Roman" w:cs="Arial"/>
          <w:i/>
          <w:iCs/>
          <w:color w:val="000000"/>
          <w:lang w:eastAsia="bg-BG"/>
        </w:rPr>
      </w:pPr>
    </w:p>
    <w:p w14:paraId="03123E99" w14:textId="15F856C2" w:rsidR="005474BD" w:rsidRPr="005474BD" w:rsidRDefault="005474BD" w:rsidP="005474BD">
      <w:pPr>
        <w:spacing w:line="240" w:lineRule="auto"/>
        <w:rPr>
          <w:rFonts w:eastAsia="Times New Roman" w:cs="Arial"/>
        </w:rPr>
      </w:pPr>
      <w:r w:rsidRPr="005474BD">
        <w:rPr>
          <w:rFonts w:eastAsia="Times New Roman" w:cs="Arial"/>
          <w:i/>
          <w:iCs/>
          <w:color w:val="000000"/>
          <w:lang w:eastAsia="bg-BG"/>
        </w:rPr>
        <w:t xml:space="preserve">Валганцикловир при НIV-положителни, </w:t>
      </w:r>
      <w:r w:rsidRPr="005474BD">
        <w:rPr>
          <w:rFonts w:eastAsia="Times New Roman" w:cs="Arial"/>
          <w:i/>
          <w:iCs/>
          <w:color w:val="000000"/>
          <w:lang w:val="en-US"/>
        </w:rPr>
        <w:t>CMV</w:t>
      </w:r>
      <w:r w:rsidRPr="005474BD">
        <w:rPr>
          <w:rFonts w:eastAsia="Times New Roman" w:cs="Arial"/>
          <w:i/>
          <w:iCs/>
          <w:color w:val="000000"/>
          <w:lang w:eastAsia="bg-BG"/>
        </w:rPr>
        <w:t>-положителни пациенти:</w:t>
      </w:r>
    </w:p>
    <w:p w14:paraId="6DF82E53" w14:textId="77777777" w:rsidR="005474BD" w:rsidRPr="005474BD" w:rsidRDefault="005474BD" w:rsidP="005474BD">
      <w:pPr>
        <w:spacing w:line="240" w:lineRule="auto"/>
        <w:rPr>
          <w:rFonts w:eastAsia="Times New Roman" w:cs="Arial"/>
        </w:rPr>
      </w:pPr>
      <w:r w:rsidRPr="005474BD">
        <w:rPr>
          <w:rFonts w:eastAsia="Times New Roman" w:cs="Arial"/>
          <w:color w:val="000000"/>
          <w:lang w:eastAsia="bg-BG"/>
        </w:rPr>
        <w:t xml:space="preserve">Системната експозиция на </w:t>
      </w:r>
      <w:r w:rsidRPr="005474BD">
        <w:rPr>
          <w:rFonts w:eastAsia="Times New Roman" w:cs="Arial"/>
          <w:color w:val="000000"/>
          <w:lang w:val="en-US"/>
        </w:rPr>
        <w:t>HIV</w:t>
      </w:r>
      <w:r w:rsidRPr="005474BD">
        <w:rPr>
          <w:rFonts w:eastAsia="Times New Roman" w:cs="Arial"/>
          <w:color w:val="000000"/>
          <w:lang w:eastAsia="bg-BG"/>
        </w:rPr>
        <w:t xml:space="preserve">-положителни и </w:t>
      </w:r>
      <w:r w:rsidRPr="005474BD">
        <w:rPr>
          <w:rFonts w:eastAsia="Times New Roman" w:cs="Arial"/>
          <w:color w:val="000000"/>
          <w:lang w:val="en-US"/>
        </w:rPr>
        <w:t>CMV</w:t>
      </w:r>
      <w:r w:rsidRPr="005474BD">
        <w:rPr>
          <w:rFonts w:eastAsia="Times New Roman" w:cs="Arial"/>
          <w:color w:val="000000"/>
          <w:lang w:eastAsia="bg-BG"/>
        </w:rPr>
        <w:t>-положителни пациенти след приложение на ганцикловир и валганцикловир два пъти дневно в продължение на една седмица е:</w:t>
      </w:r>
    </w:p>
    <w:tbl>
      <w:tblPr>
        <w:tblStyle w:val="TableGrid"/>
        <w:tblW w:w="0" w:type="auto"/>
        <w:tblLook w:val="04A0" w:firstRow="1" w:lastRow="0" w:firstColumn="1" w:lastColumn="0" w:noHBand="0" w:noVBand="1"/>
      </w:tblPr>
      <w:tblGrid>
        <w:gridCol w:w="2166"/>
        <w:gridCol w:w="2217"/>
        <w:gridCol w:w="2676"/>
        <w:gridCol w:w="2291"/>
      </w:tblGrid>
      <w:tr w:rsidR="00A9231D" w14:paraId="1ECF5F03" w14:textId="77777777" w:rsidTr="00A9231D">
        <w:tc>
          <w:tcPr>
            <w:tcW w:w="2230" w:type="dxa"/>
            <w:vMerge w:val="restart"/>
          </w:tcPr>
          <w:p w14:paraId="0B313A25" w14:textId="50CBCDEC" w:rsidR="00A9231D" w:rsidRPr="005474BD" w:rsidRDefault="00A9231D" w:rsidP="005474BD">
            <w:pPr>
              <w:spacing w:line="240" w:lineRule="auto"/>
              <w:rPr>
                <w:rFonts w:eastAsia="Times New Roman" w:cs="Arial"/>
                <w:color w:val="000000"/>
                <w:lang w:eastAsia="bg-BG"/>
              </w:rPr>
            </w:pPr>
            <w:r w:rsidRPr="005474BD">
              <w:rPr>
                <w:lang w:eastAsia="bg-BG"/>
              </w:rPr>
              <w:t>Показател</w:t>
            </w:r>
          </w:p>
        </w:tc>
        <w:tc>
          <w:tcPr>
            <w:tcW w:w="2267" w:type="dxa"/>
            <w:vMerge w:val="restart"/>
          </w:tcPr>
          <w:p w14:paraId="7A904D9E" w14:textId="35A7B166" w:rsidR="00A9231D" w:rsidRPr="005474BD" w:rsidRDefault="00A9231D" w:rsidP="005474BD">
            <w:pPr>
              <w:spacing w:line="240" w:lineRule="auto"/>
              <w:rPr>
                <w:rFonts w:eastAsia="Times New Roman" w:cs="Arial"/>
                <w:color w:val="000000"/>
                <w:lang w:eastAsia="bg-BG"/>
              </w:rPr>
            </w:pPr>
            <w:r w:rsidRPr="005474BD">
              <w:rPr>
                <w:lang w:eastAsia="bg-BG"/>
              </w:rPr>
              <w:t xml:space="preserve">Ганцикловир (5 </w:t>
            </w:r>
            <w:r w:rsidRPr="005474BD">
              <w:t>mg/kg, i.v.) n</w:t>
            </w:r>
            <w:r w:rsidRPr="005474BD">
              <w:rPr>
                <w:lang w:eastAsia="bg-BG"/>
              </w:rPr>
              <w:t xml:space="preserve">= </w:t>
            </w:r>
            <w:r w:rsidRPr="005474BD">
              <w:t>18</w:t>
            </w:r>
          </w:p>
        </w:tc>
        <w:tc>
          <w:tcPr>
            <w:tcW w:w="5079" w:type="dxa"/>
            <w:gridSpan w:val="2"/>
          </w:tcPr>
          <w:p w14:paraId="1F1C6159" w14:textId="7D7CB2BE" w:rsidR="00A9231D" w:rsidRPr="00A9231D" w:rsidRDefault="00A9231D" w:rsidP="00A9231D">
            <w:r w:rsidRPr="00A9231D">
              <w:rPr>
                <w:lang w:eastAsia="bg-BG"/>
              </w:rPr>
              <w:t xml:space="preserve">Валганцикловир </w:t>
            </w:r>
            <w:r w:rsidRPr="00A9231D">
              <w:t xml:space="preserve">(900 </w:t>
            </w:r>
            <w:r w:rsidRPr="00A9231D">
              <w:rPr>
                <w:lang w:val="en-US"/>
              </w:rPr>
              <w:t>mg</w:t>
            </w:r>
            <w:r w:rsidRPr="00A9231D">
              <w:t xml:space="preserve">, </w:t>
            </w:r>
            <w:r w:rsidRPr="00A9231D">
              <w:rPr>
                <w:lang w:val="en-US"/>
              </w:rPr>
              <w:t>p</w:t>
            </w:r>
            <w:r w:rsidRPr="00A9231D">
              <w:t>.</w:t>
            </w:r>
            <w:r w:rsidRPr="00A9231D">
              <w:rPr>
                <w:lang w:val="en-US"/>
              </w:rPr>
              <w:t>o</w:t>
            </w:r>
            <w:r w:rsidRPr="00A9231D">
              <w:t xml:space="preserve">.) </w:t>
            </w:r>
            <w:r w:rsidRPr="00A9231D">
              <w:rPr>
                <w:lang w:val="en-US"/>
              </w:rPr>
              <w:t>n</w:t>
            </w:r>
            <w:r w:rsidRPr="00A9231D">
              <w:t xml:space="preserve"> = 25</w:t>
            </w:r>
          </w:p>
        </w:tc>
      </w:tr>
      <w:tr w:rsidR="00A9231D" w14:paraId="23F8F16C" w14:textId="77777777" w:rsidTr="00A9231D">
        <w:tc>
          <w:tcPr>
            <w:tcW w:w="2230" w:type="dxa"/>
            <w:vMerge/>
          </w:tcPr>
          <w:p w14:paraId="147CBB1A" w14:textId="77777777" w:rsidR="00A9231D" w:rsidRPr="005474BD" w:rsidRDefault="00A9231D" w:rsidP="00A9231D">
            <w:pPr>
              <w:spacing w:line="240" w:lineRule="auto"/>
              <w:rPr>
                <w:rFonts w:eastAsia="Times New Roman" w:cs="Arial"/>
                <w:color w:val="000000"/>
                <w:lang w:eastAsia="bg-BG"/>
              </w:rPr>
            </w:pPr>
          </w:p>
        </w:tc>
        <w:tc>
          <w:tcPr>
            <w:tcW w:w="2267" w:type="dxa"/>
            <w:vMerge/>
          </w:tcPr>
          <w:p w14:paraId="10229317" w14:textId="77777777" w:rsidR="00A9231D" w:rsidRPr="005474BD" w:rsidRDefault="00A9231D" w:rsidP="00A9231D">
            <w:pPr>
              <w:spacing w:line="240" w:lineRule="auto"/>
              <w:rPr>
                <w:rFonts w:eastAsia="Times New Roman" w:cs="Arial"/>
                <w:color w:val="000000"/>
                <w:lang w:eastAsia="bg-BG"/>
              </w:rPr>
            </w:pPr>
          </w:p>
        </w:tc>
        <w:tc>
          <w:tcPr>
            <w:tcW w:w="2759" w:type="dxa"/>
          </w:tcPr>
          <w:p w14:paraId="19718724" w14:textId="0CFA713B" w:rsidR="00A9231D" w:rsidRDefault="00A9231D" w:rsidP="00A9231D">
            <w:pPr>
              <w:rPr>
                <w:rFonts w:eastAsia="Times New Roman" w:cs="Arial"/>
                <w:color w:val="000000"/>
                <w:lang w:eastAsia="bg-BG"/>
              </w:rPr>
            </w:pPr>
            <w:r>
              <w:rPr>
                <w:lang w:eastAsia="bg-BG"/>
              </w:rPr>
              <w:t>Ганцикловир</w:t>
            </w:r>
          </w:p>
        </w:tc>
        <w:tc>
          <w:tcPr>
            <w:tcW w:w="2320" w:type="dxa"/>
          </w:tcPr>
          <w:p w14:paraId="335A22E1" w14:textId="7ED6998E" w:rsidR="00A9231D" w:rsidRDefault="00A9231D" w:rsidP="00A9231D">
            <w:pPr>
              <w:rPr>
                <w:rFonts w:eastAsia="Times New Roman" w:cs="Arial"/>
                <w:color w:val="000000"/>
                <w:lang w:eastAsia="bg-BG"/>
              </w:rPr>
            </w:pPr>
            <w:r>
              <w:rPr>
                <w:lang w:eastAsia="bg-BG"/>
              </w:rPr>
              <w:t>Валганцикловир</w:t>
            </w:r>
          </w:p>
        </w:tc>
      </w:tr>
      <w:tr w:rsidR="00A9231D" w14:paraId="398F1FB9" w14:textId="77777777" w:rsidTr="00A9231D">
        <w:tc>
          <w:tcPr>
            <w:tcW w:w="2230" w:type="dxa"/>
          </w:tcPr>
          <w:p w14:paraId="2052945A" w14:textId="7D4D67A6" w:rsidR="00A9231D" w:rsidRPr="005474BD" w:rsidRDefault="00A9231D" w:rsidP="00A9231D">
            <w:pPr>
              <w:spacing w:line="240" w:lineRule="auto"/>
              <w:rPr>
                <w:rFonts w:eastAsia="Times New Roman" w:cs="Arial"/>
                <w:color w:val="000000"/>
                <w:lang w:eastAsia="bg-BG"/>
              </w:rPr>
            </w:pPr>
            <w:r w:rsidRPr="005474BD">
              <w:t>AUC</w:t>
            </w:r>
            <w:r w:rsidRPr="005474BD">
              <w:rPr>
                <w:vertAlign w:val="subscript"/>
              </w:rPr>
              <w:t>(0-12h)</w:t>
            </w:r>
            <w:r w:rsidRPr="005474BD">
              <w:t xml:space="preserve"> (</w:t>
            </w:r>
            <w:r w:rsidRPr="005474BD">
              <w:rPr>
                <w:lang w:eastAsia="bg-BG"/>
              </w:rPr>
              <w:t>μ</w:t>
            </w:r>
            <w:r w:rsidRPr="005474BD">
              <w:t>g.h/ml)</w:t>
            </w:r>
          </w:p>
        </w:tc>
        <w:tc>
          <w:tcPr>
            <w:tcW w:w="2267" w:type="dxa"/>
          </w:tcPr>
          <w:p w14:paraId="1B120B8D" w14:textId="1D8E4417" w:rsidR="00A9231D" w:rsidRPr="005474BD" w:rsidRDefault="00A9231D" w:rsidP="00A9231D">
            <w:pPr>
              <w:spacing w:line="240" w:lineRule="auto"/>
              <w:rPr>
                <w:rFonts w:eastAsia="Times New Roman" w:cs="Arial"/>
                <w:color w:val="000000"/>
                <w:lang w:eastAsia="bg-BG"/>
              </w:rPr>
            </w:pPr>
            <w:r w:rsidRPr="005474BD">
              <w:t>28,6 ± 9,0</w:t>
            </w:r>
          </w:p>
        </w:tc>
        <w:tc>
          <w:tcPr>
            <w:tcW w:w="2759" w:type="dxa"/>
          </w:tcPr>
          <w:p w14:paraId="1E51E54F" w14:textId="09CDD47A" w:rsidR="00A9231D" w:rsidRDefault="00A9231D" w:rsidP="00A9231D">
            <w:pPr>
              <w:rPr>
                <w:rFonts w:eastAsia="Times New Roman" w:cs="Arial"/>
                <w:color w:val="000000"/>
                <w:lang w:eastAsia="bg-BG"/>
              </w:rPr>
            </w:pPr>
            <w:r>
              <w:t>32,8 ± 10,1</w:t>
            </w:r>
          </w:p>
        </w:tc>
        <w:tc>
          <w:tcPr>
            <w:tcW w:w="2320" w:type="dxa"/>
          </w:tcPr>
          <w:p w14:paraId="46D6CD4F" w14:textId="385CF169" w:rsidR="00A9231D" w:rsidRDefault="00A9231D" w:rsidP="00A9231D">
            <w:pPr>
              <w:rPr>
                <w:rFonts w:eastAsia="Times New Roman" w:cs="Arial"/>
                <w:color w:val="000000"/>
                <w:lang w:eastAsia="bg-BG"/>
              </w:rPr>
            </w:pPr>
            <w:r>
              <w:t>0,37 ± 0,22</w:t>
            </w:r>
          </w:p>
        </w:tc>
      </w:tr>
      <w:tr w:rsidR="00A9231D" w14:paraId="02E164E5" w14:textId="77777777" w:rsidTr="00A9231D">
        <w:tc>
          <w:tcPr>
            <w:tcW w:w="2230" w:type="dxa"/>
          </w:tcPr>
          <w:p w14:paraId="42C0D5BF" w14:textId="75D6F8B3" w:rsidR="00A9231D" w:rsidRPr="005474BD" w:rsidRDefault="00A9231D" w:rsidP="00A9231D">
            <w:pPr>
              <w:spacing w:line="240" w:lineRule="auto"/>
              <w:rPr>
                <w:rFonts w:eastAsia="Times New Roman" w:cs="Arial"/>
                <w:color w:val="000000"/>
                <w:lang w:eastAsia="bg-BG"/>
              </w:rPr>
            </w:pPr>
            <w:r w:rsidRPr="005474BD">
              <w:t>C</w:t>
            </w:r>
            <w:r w:rsidRPr="005474BD">
              <w:rPr>
                <w:vertAlign w:val="subscript"/>
              </w:rPr>
              <w:t>max</w:t>
            </w:r>
            <w:r w:rsidRPr="005474BD">
              <w:t xml:space="preserve"> (</w:t>
            </w:r>
            <w:r w:rsidRPr="005474BD">
              <w:rPr>
                <w:lang w:eastAsia="bg-BG"/>
              </w:rPr>
              <w:t>μ</w:t>
            </w:r>
            <w:r w:rsidRPr="005474BD">
              <w:t>g/ml)</w:t>
            </w:r>
          </w:p>
        </w:tc>
        <w:tc>
          <w:tcPr>
            <w:tcW w:w="2267" w:type="dxa"/>
          </w:tcPr>
          <w:p w14:paraId="7AD4DC8C" w14:textId="530FDCC5" w:rsidR="00A9231D" w:rsidRPr="005474BD" w:rsidRDefault="00A9231D" w:rsidP="00A9231D">
            <w:pPr>
              <w:spacing w:line="240" w:lineRule="auto"/>
              <w:rPr>
                <w:rFonts w:eastAsia="Times New Roman" w:cs="Arial"/>
                <w:color w:val="000000"/>
                <w:lang w:eastAsia="bg-BG"/>
              </w:rPr>
            </w:pPr>
            <w:r w:rsidRPr="005474BD">
              <w:t>10,4 ±4,9</w:t>
            </w:r>
          </w:p>
        </w:tc>
        <w:tc>
          <w:tcPr>
            <w:tcW w:w="2759" w:type="dxa"/>
          </w:tcPr>
          <w:p w14:paraId="531DD0BB" w14:textId="60A61F9C" w:rsidR="00A9231D" w:rsidRDefault="00A9231D" w:rsidP="00A9231D">
            <w:pPr>
              <w:rPr>
                <w:rFonts w:eastAsia="Times New Roman" w:cs="Arial"/>
                <w:color w:val="000000"/>
                <w:lang w:eastAsia="bg-BG"/>
              </w:rPr>
            </w:pPr>
            <w:r>
              <w:t>6,7 ± 2,1</w:t>
            </w:r>
          </w:p>
        </w:tc>
        <w:tc>
          <w:tcPr>
            <w:tcW w:w="2320" w:type="dxa"/>
          </w:tcPr>
          <w:p w14:paraId="39DD8919" w14:textId="60179509" w:rsidR="00A9231D" w:rsidRDefault="00A9231D" w:rsidP="00A9231D">
            <w:pPr>
              <w:rPr>
                <w:rFonts w:eastAsia="Times New Roman" w:cs="Arial"/>
                <w:color w:val="000000"/>
                <w:lang w:eastAsia="bg-BG"/>
              </w:rPr>
            </w:pPr>
            <w:r>
              <w:t>0,18 ±0,06</w:t>
            </w:r>
          </w:p>
        </w:tc>
      </w:tr>
    </w:tbl>
    <w:p w14:paraId="6CB2533E" w14:textId="33E20E9F" w:rsidR="005474BD" w:rsidRDefault="005474BD" w:rsidP="005474BD">
      <w:pPr>
        <w:spacing w:line="240" w:lineRule="auto"/>
        <w:rPr>
          <w:rFonts w:eastAsia="Times New Roman" w:cs="Arial"/>
          <w:color w:val="000000"/>
          <w:lang w:eastAsia="bg-BG"/>
        </w:rPr>
      </w:pPr>
    </w:p>
    <w:p w14:paraId="0DE607E5" w14:textId="77777777" w:rsidR="00A9231D" w:rsidRPr="00A9231D" w:rsidRDefault="00A9231D" w:rsidP="00A9231D">
      <w:pPr>
        <w:spacing w:line="240" w:lineRule="auto"/>
        <w:rPr>
          <w:rFonts w:eastAsia="Times New Roman" w:cs="Arial"/>
        </w:rPr>
      </w:pPr>
      <w:r w:rsidRPr="00A9231D">
        <w:rPr>
          <w:rFonts w:eastAsia="Times New Roman" w:cs="Arial"/>
          <w:color w:val="000000"/>
          <w:lang w:eastAsia="bg-BG"/>
        </w:rPr>
        <w:t xml:space="preserve">Доказано е, че ефикасността на ганцикловир по отношение на удължаването на времето до прогресия на </w:t>
      </w:r>
      <w:r w:rsidRPr="00A9231D">
        <w:rPr>
          <w:rFonts w:eastAsia="Times New Roman" w:cs="Arial"/>
          <w:color w:val="000000"/>
          <w:lang w:val="en-US"/>
        </w:rPr>
        <w:t>CMV</w:t>
      </w:r>
      <w:r w:rsidRPr="00A9231D">
        <w:rPr>
          <w:rFonts w:eastAsia="Times New Roman" w:cs="Arial"/>
          <w:color w:val="000000"/>
          <w:lang w:val="ru-RU"/>
        </w:rPr>
        <w:t xml:space="preserve"> </w:t>
      </w:r>
      <w:r w:rsidRPr="00A9231D">
        <w:rPr>
          <w:rFonts w:eastAsia="Times New Roman" w:cs="Arial"/>
          <w:color w:val="000000"/>
          <w:lang w:eastAsia="bg-BG"/>
        </w:rPr>
        <w:t xml:space="preserve">ретинит корелира със системната експозиция </w:t>
      </w:r>
      <w:r w:rsidRPr="00A9231D">
        <w:rPr>
          <w:rFonts w:eastAsia="Times New Roman" w:cs="Arial"/>
          <w:color w:val="000000"/>
          <w:lang w:val="ru-RU"/>
        </w:rPr>
        <w:t>(</w:t>
      </w:r>
      <w:r w:rsidRPr="00A9231D">
        <w:rPr>
          <w:rFonts w:eastAsia="Times New Roman" w:cs="Arial"/>
          <w:color w:val="000000"/>
          <w:lang w:val="en-US"/>
        </w:rPr>
        <w:t>AUC</w:t>
      </w:r>
      <w:r w:rsidRPr="00A9231D">
        <w:rPr>
          <w:rFonts w:eastAsia="Times New Roman" w:cs="Arial"/>
          <w:color w:val="000000"/>
          <w:lang w:val="ru-RU"/>
        </w:rPr>
        <w:t>).</w:t>
      </w:r>
    </w:p>
    <w:p w14:paraId="54B2723B" w14:textId="77777777" w:rsidR="00A9231D" w:rsidRDefault="00A9231D" w:rsidP="00A9231D">
      <w:pPr>
        <w:spacing w:line="240" w:lineRule="auto"/>
        <w:rPr>
          <w:rFonts w:eastAsia="Times New Roman" w:cs="Arial"/>
          <w:i/>
          <w:iCs/>
          <w:color w:val="000000"/>
          <w:lang w:eastAsia="bg-BG"/>
        </w:rPr>
      </w:pPr>
    </w:p>
    <w:p w14:paraId="4CC99BBB" w14:textId="5CD51C05" w:rsidR="00A9231D" w:rsidRDefault="00A9231D" w:rsidP="00A9231D">
      <w:pPr>
        <w:spacing w:line="240" w:lineRule="auto"/>
        <w:rPr>
          <w:rFonts w:eastAsia="Times New Roman" w:cs="Arial"/>
          <w:color w:val="000000"/>
          <w:lang w:eastAsia="bg-BG"/>
        </w:rPr>
      </w:pPr>
      <w:r w:rsidRPr="00A9231D">
        <w:rPr>
          <w:rFonts w:eastAsia="Times New Roman" w:cs="Arial"/>
          <w:i/>
          <w:iCs/>
          <w:color w:val="000000"/>
          <w:lang w:eastAsia="bg-BG"/>
        </w:rPr>
        <w:t xml:space="preserve">Валганцикловир при пациенти с трансплантация на солидни органи: </w:t>
      </w:r>
      <w:r w:rsidRPr="00A9231D">
        <w:rPr>
          <w:rFonts w:eastAsia="Times New Roman" w:cs="Arial"/>
          <w:color w:val="000000"/>
          <w:lang w:eastAsia="bg-BG"/>
        </w:rPr>
        <w:t xml:space="preserve">Системната експозиция в равновесно състояние на ганцикловир при пациентите с трансплантация на </w:t>
      </w:r>
      <w:r w:rsidRPr="00A9231D">
        <w:rPr>
          <w:rFonts w:eastAsia="Times New Roman" w:cs="Arial"/>
          <w:color w:val="000000"/>
          <w:lang w:eastAsia="bg-BG"/>
        </w:rPr>
        <w:lastRenderedPageBreak/>
        <w:t>солидни органи след ежедневно перорално приложение на ганцикловир и валганцикловир е:</w:t>
      </w:r>
    </w:p>
    <w:tbl>
      <w:tblPr>
        <w:tblStyle w:val="TableGrid"/>
        <w:tblW w:w="0" w:type="auto"/>
        <w:tblLook w:val="04A0" w:firstRow="1" w:lastRow="0" w:firstColumn="1" w:lastColumn="0" w:noHBand="0" w:noVBand="1"/>
      </w:tblPr>
      <w:tblGrid>
        <w:gridCol w:w="2343"/>
        <w:gridCol w:w="2354"/>
        <w:gridCol w:w="4653"/>
      </w:tblGrid>
      <w:tr w:rsidR="00A9231D" w14:paraId="727532AC" w14:textId="77777777" w:rsidTr="00543A16">
        <w:tc>
          <w:tcPr>
            <w:tcW w:w="2394" w:type="dxa"/>
            <w:vMerge w:val="restart"/>
          </w:tcPr>
          <w:p w14:paraId="60B9CDB9" w14:textId="27E4E9B7" w:rsidR="00A9231D" w:rsidRDefault="00A9231D" w:rsidP="00A9231D">
            <w:pPr>
              <w:rPr>
                <w:rFonts w:ascii="Times New Roman" w:eastAsia="Times New Roman" w:hAnsi="Times New Roman" w:cs="Times New Roman"/>
                <w:sz w:val="24"/>
                <w:szCs w:val="24"/>
              </w:rPr>
            </w:pPr>
            <w:r>
              <w:rPr>
                <w:lang w:eastAsia="bg-BG"/>
              </w:rPr>
              <w:t>Показател</w:t>
            </w:r>
          </w:p>
        </w:tc>
        <w:tc>
          <w:tcPr>
            <w:tcW w:w="2394" w:type="dxa"/>
            <w:vMerge w:val="restart"/>
          </w:tcPr>
          <w:p w14:paraId="53162D9D" w14:textId="13E6DEE2" w:rsidR="00A9231D" w:rsidRDefault="00A9231D" w:rsidP="00A9231D">
            <w:pPr>
              <w:rPr>
                <w:rFonts w:ascii="Times New Roman" w:eastAsia="Times New Roman" w:hAnsi="Times New Roman" w:cs="Times New Roman"/>
                <w:sz w:val="24"/>
                <w:szCs w:val="24"/>
              </w:rPr>
            </w:pPr>
            <w:r>
              <w:rPr>
                <w:lang w:eastAsia="bg-BG"/>
              </w:rPr>
              <w:t xml:space="preserve">Ганцикловир </w:t>
            </w:r>
            <w:r>
              <w:t xml:space="preserve">(1000 mg 3 </w:t>
            </w:r>
            <w:r>
              <w:rPr>
                <w:lang w:eastAsia="bg-BG"/>
              </w:rPr>
              <w:t xml:space="preserve">пъти дневно) </w:t>
            </w:r>
            <w:r>
              <w:t>n = 82</w:t>
            </w:r>
          </w:p>
        </w:tc>
        <w:tc>
          <w:tcPr>
            <w:tcW w:w="4788" w:type="dxa"/>
          </w:tcPr>
          <w:p w14:paraId="0D362D51" w14:textId="604EF83F" w:rsidR="00A9231D" w:rsidRDefault="00A9231D" w:rsidP="00A9231D">
            <w:pPr>
              <w:rPr>
                <w:rFonts w:ascii="Times New Roman" w:eastAsia="Times New Roman" w:hAnsi="Times New Roman" w:cs="Times New Roman"/>
                <w:sz w:val="24"/>
                <w:szCs w:val="24"/>
              </w:rPr>
            </w:pPr>
            <w:r>
              <w:t xml:space="preserve">Валганцикловир </w:t>
            </w:r>
            <w:r w:rsidRPr="00A9231D">
              <w:rPr>
                <w:lang w:val="ru-RU"/>
              </w:rPr>
              <w:t xml:space="preserve">(900 </w:t>
            </w:r>
            <w:r>
              <w:rPr>
                <w:lang w:val="en-US"/>
              </w:rPr>
              <w:t>mg</w:t>
            </w:r>
            <w:r w:rsidRPr="00A9231D">
              <w:rPr>
                <w:lang w:val="ru-RU"/>
              </w:rPr>
              <w:t xml:space="preserve">, </w:t>
            </w:r>
            <w:r>
              <w:t xml:space="preserve">веднъж дневно) </w:t>
            </w:r>
            <w:r>
              <w:rPr>
                <w:lang w:val="en-US"/>
              </w:rPr>
              <w:t>n</w:t>
            </w:r>
            <w:r w:rsidRPr="00A9231D">
              <w:rPr>
                <w:lang w:val="ru-RU"/>
              </w:rPr>
              <w:t>=161</w:t>
            </w:r>
          </w:p>
        </w:tc>
      </w:tr>
      <w:tr w:rsidR="00A9231D" w14:paraId="131CED9B" w14:textId="77777777" w:rsidTr="00F46C7F">
        <w:tc>
          <w:tcPr>
            <w:tcW w:w="2394" w:type="dxa"/>
            <w:vMerge/>
          </w:tcPr>
          <w:p w14:paraId="1525DDCF" w14:textId="77777777" w:rsidR="00A9231D" w:rsidRDefault="00A9231D" w:rsidP="00A9231D">
            <w:pPr>
              <w:rPr>
                <w:rFonts w:ascii="Times New Roman" w:eastAsia="Times New Roman" w:hAnsi="Times New Roman" w:cs="Times New Roman"/>
                <w:sz w:val="24"/>
                <w:szCs w:val="24"/>
              </w:rPr>
            </w:pPr>
          </w:p>
        </w:tc>
        <w:tc>
          <w:tcPr>
            <w:tcW w:w="2394" w:type="dxa"/>
            <w:vMerge/>
          </w:tcPr>
          <w:p w14:paraId="68BB0246" w14:textId="77777777" w:rsidR="00A9231D" w:rsidRDefault="00A9231D" w:rsidP="00A9231D">
            <w:pPr>
              <w:rPr>
                <w:rFonts w:ascii="Times New Roman" w:eastAsia="Times New Roman" w:hAnsi="Times New Roman" w:cs="Times New Roman"/>
                <w:sz w:val="24"/>
                <w:szCs w:val="24"/>
              </w:rPr>
            </w:pPr>
          </w:p>
        </w:tc>
        <w:tc>
          <w:tcPr>
            <w:tcW w:w="4788" w:type="dxa"/>
          </w:tcPr>
          <w:p w14:paraId="342BE5D5" w14:textId="509682F2" w:rsidR="00A9231D" w:rsidRDefault="00A9231D" w:rsidP="00A9231D">
            <w:pPr>
              <w:rPr>
                <w:rFonts w:ascii="Times New Roman" w:eastAsia="Times New Roman" w:hAnsi="Times New Roman" w:cs="Times New Roman"/>
                <w:sz w:val="24"/>
                <w:szCs w:val="24"/>
              </w:rPr>
            </w:pPr>
            <w:r>
              <w:t>Ганцикловир</w:t>
            </w:r>
          </w:p>
        </w:tc>
      </w:tr>
      <w:tr w:rsidR="00A9231D" w14:paraId="601FD88D" w14:textId="77777777" w:rsidTr="00884C3B">
        <w:tc>
          <w:tcPr>
            <w:tcW w:w="2394" w:type="dxa"/>
          </w:tcPr>
          <w:p w14:paraId="57D402E3" w14:textId="1B014FEE" w:rsidR="00A9231D" w:rsidRDefault="00A9231D" w:rsidP="00A9231D">
            <w:pPr>
              <w:rPr>
                <w:rFonts w:ascii="Times New Roman" w:eastAsia="Times New Roman" w:hAnsi="Times New Roman" w:cs="Times New Roman"/>
                <w:sz w:val="24"/>
                <w:szCs w:val="24"/>
              </w:rPr>
            </w:pPr>
            <w:r>
              <w:t>AUC</w:t>
            </w:r>
            <w:r>
              <w:rPr>
                <w:vertAlign w:val="subscript"/>
              </w:rPr>
              <w:t>(0-24h)</w:t>
            </w:r>
            <w:r>
              <w:t xml:space="preserve"> (</w:t>
            </w:r>
            <w:r>
              <w:rPr>
                <w:lang w:eastAsia="bg-BG"/>
              </w:rPr>
              <w:t>μ</w:t>
            </w:r>
            <w:r>
              <w:t>g.h/ml)</w:t>
            </w:r>
          </w:p>
        </w:tc>
        <w:tc>
          <w:tcPr>
            <w:tcW w:w="2394" w:type="dxa"/>
          </w:tcPr>
          <w:p w14:paraId="7B7FA56A" w14:textId="1C643069" w:rsidR="00A9231D" w:rsidRDefault="00A9231D" w:rsidP="00A9231D">
            <w:pPr>
              <w:rPr>
                <w:rFonts w:ascii="Times New Roman" w:eastAsia="Times New Roman" w:hAnsi="Times New Roman" w:cs="Times New Roman"/>
                <w:sz w:val="24"/>
                <w:szCs w:val="24"/>
              </w:rPr>
            </w:pPr>
            <w:r>
              <w:t>28,0 ±10,9</w:t>
            </w:r>
          </w:p>
        </w:tc>
        <w:tc>
          <w:tcPr>
            <w:tcW w:w="4788" w:type="dxa"/>
          </w:tcPr>
          <w:p w14:paraId="0AC91B10" w14:textId="392A53A2" w:rsidR="00A9231D" w:rsidRDefault="00A9231D" w:rsidP="00A9231D">
            <w:pPr>
              <w:rPr>
                <w:rFonts w:ascii="Times New Roman" w:eastAsia="Times New Roman" w:hAnsi="Times New Roman" w:cs="Times New Roman"/>
                <w:sz w:val="24"/>
                <w:szCs w:val="24"/>
              </w:rPr>
            </w:pPr>
            <w:r>
              <w:rPr>
                <w:lang w:val="en-US"/>
              </w:rPr>
              <w:t>46,3 ±15,2</w:t>
            </w:r>
          </w:p>
        </w:tc>
      </w:tr>
      <w:tr w:rsidR="00A9231D" w14:paraId="11E5772A" w14:textId="77777777" w:rsidTr="003C5889">
        <w:tc>
          <w:tcPr>
            <w:tcW w:w="2394" w:type="dxa"/>
          </w:tcPr>
          <w:p w14:paraId="40C38BB7" w14:textId="4AA1E28B" w:rsidR="00A9231D" w:rsidRDefault="00A9231D" w:rsidP="00A9231D">
            <w:pPr>
              <w:rPr>
                <w:rFonts w:ascii="Times New Roman" w:eastAsia="Times New Roman" w:hAnsi="Times New Roman" w:cs="Times New Roman"/>
                <w:sz w:val="24"/>
                <w:szCs w:val="24"/>
              </w:rPr>
            </w:pPr>
            <w:r>
              <w:t>C</w:t>
            </w:r>
            <w:r>
              <w:rPr>
                <w:vertAlign w:val="subscript"/>
              </w:rPr>
              <w:t>max</w:t>
            </w:r>
            <w:r>
              <w:t xml:space="preserve"> (</w:t>
            </w:r>
            <w:r>
              <w:rPr>
                <w:lang w:eastAsia="bg-BG"/>
              </w:rPr>
              <w:t>μ</w:t>
            </w:r>
            <w:r>
              <w:t>g/ml)</w:t>
            </w:r>
          </w:p>
        </w:tc>
        <w:tc>
          <w:tcPr>
            <w:tcW w:w="2394" w:type="dxa"/>
          </w:tcPr>
          <w:p w14:paraId="28D3B3F0" w14:textId="3F7CC364" w:rsidR="00A9231D" w:rsidRDefault="00A9231D" w:rsidP="00A9231D">
            <w:pPr>
              <w:rPr>
                <w:rFonts w:ascii="Times New Roman" w:eastAsia="Times New Roman" w:hAnsi="Times New Roman" w:cs="Times New Roman"/>
                <w:sz w:val="24"/>
                <w:szCs w:val="24"/>
              </w:rPr>
            </w:pPr>
            <w:r>
              <w:t>1,4 ± 0,5</w:t>
            </w:r>
          </w:p>
        </w:tc>
        <w:tc>
          <w:tcPr>
            <w:tcW w:w="4788" w:type="dxa"/>
          </w:tcPr>
          <w:p w14:paraId="1F260DA0" w14:textId="27D73FE6" w:rsidR="00A9231D" w:rsidRDefault="00A9231D" w:rsidP="00A9231D">
            <w:pPr>
              <w:rPr>
                <w:rFonts w:ascii="Times New Roman" w:eastAsia="Times New Roman" w:hAnsi="Times New Roman" w:cs="Times New Roman"/>
                <w:sz w:val="24"/>
                <w:szCs w:val="24"/>
              </w:rPr>
            </w:pPr>
            <w:r>
              <w:rPr>
                <w:lang w:val="en-US"/>
              </w:rPr>
              <w:t>5,3 ±1,5</w:t>
            </w:r>
          </w:p>
        </w:tc>
      </w:tr>
    </w:tbl>
    <w:p w14:paraId="76A0DCCE" w14:textId="07BB306D" w:rsidR="00A9231D" w:rsidRDefault="00A9231D" w:rsidP="00A9231D">
      <w:pPr>
        <w:spacing w:line="240" w:lineRule="auto"/>
        <w:rPr>
          <w:rFonts w:ascii="Times New Roman" w:eastAsia="Times New Roman" w:hAnsi="Times New Roman" w:cs="Times New Roman"/>
          <w:sz w:val="24"/>
          <w:szCs w:val="24"/>
        </w:rPr>
      </w:pPr>
    </w:p>
    <w:p w14:paraId="6275BBC4" w14:textId="77777777" w:rsidR="00A9231D" w:rsidRPr="00A9231D" w:rsidRDefault="00A9231D" w:rsidP="00A9231D">
      <w:pPr>
        <w:spacing w:line="240" w:lineRule="auto"/>
        <w:rPr>
          <w:rFonts w:eastAsia="Times New Roman" w:cs="Arial"/>
        </w:rPr>
      </w:pPr>
      <w:r w:rsidRPr="00A9231D">
        <w:rPr>
          <w:rFonts w:eastAsia="Times New Roman" w:cs="Arial"/>
          <w:color w:val="000000"/>
          <w:lang w:eastAsia="bg-BG"/>
        </w:rPr>
        <w:t>Системната експозиция на ганцикловир при реципиенти с трансплантация на сърце, бъбреци и черен дроб е била подобна след перорално приложение на валганцикловир според алгоритъма за приложение в зависимост от бъбречната функция.</w:t>
      </w:r>
    </w:p>
    <w:p w14:paraId="6BE332A1" w14:textId="77777777" w:rsidR="00A9231D" w:rsidRDefault="00A9231D" w:rsidP="00A9231D">
      <w:pPr>
        <w:spacing w:line="240" w:lineRule="auto"/>
        <w:rPr>
          <w:rFonts w:eastAsia="Times New Roman" w:cs="Arial"/>
          <w:i/>
          <w:iCs/>
          <w:color w:val="000000"/>
          <w:lang w:eastAsia="bg-BG"/>
        </w:rPr>
      </w:pPr>
    </w:p>
    <w:p w14:paraId="59B13B86" w14:textId="74BF59C1" w:rsidR="00A9231D" w:rsidRPr="00A9231D" w:rsidRDefault="00A9231D" w:rsidP="00A9231D">
      <w:pPr>
        <w:spacing w:line="240" w:lineRule="auto"/>
        <w:rPr>
          <w:rFonts w:eastAsia="Times New Roman" w:cs="Arial"/>
        </w:rPr>
      </w:pPr>
      <w:r w:rsidRPr="00A9231D">
        <w:rPr>
          <w:rFonts w:eastAsia="Times New Roman" w:cs="Arial"/>
          <w:i/>
          <w:iCs/>
          <w:color w:val="000000"/>
          <w:lang w:eastAsia="bg-BG"/>
        </w:rPr>
        <w:t>Ефекти на храната:</w:t>
      </w:r>
    </w:p>
    <w:p w14:paraId="7F455E0A" w14:textId="77777777" w:rsidR="00A9231D" w:rsidRPr="00A9231D" w:rsidRDefault="00A9231D" w:rsidP="00A9231D">
      <w:pPr>
        <w:spacing w:line="240" w:lineRule="auto"/>
        <w:rPr>
          <w:rFonts w:eastAsia="Times New Roman" w:cs="Arial"/>
        </w:rPr>
      </w:pPr>
      <w:r w:rsidRPr="00A9231D">
        <w:rPr>
          <w:rFonts w:eastAsia="Times New Roman" w:cs="Arial"/>
          <w:color w:val="000000"/>
          <w:lang w:eastAsia="bg-BG"/>
        </w:rPr>
        <w:t xml:space="preserve">Когато валганцикловир е даван с храната в препоръчителната доза от 900 </w:t>
      </w:r>
      <w:r w:rsidRPr="00A9231D">
        <w:rPr>
          <w:rFonts w:eastAsia="Times New Roman" w:cs="Arial"/>
          <w:color w:val="000000"/>
          <w:lang w:val="en-US"/>
        </w:rPr>
        <w:t>mg</w:t>
      </w:r>
      <w:r w:rsidRPr="00A9231D">
        <w:rPr>
          <w:rFonts w:eastAsia="Times New Roman" w:cs="Arial"/>
          <w:color w:val="000000"/>
          <w:lang w:val="ru-RU"/>
        </w:rPr>
        <w:t xml:space="preserve">, </w:t>
      </w:r>
      <w:r w:rsidRPr="00A9231D">
        <w:rPr>
          <w:rFonts w:eastAsia="Times New Roman" w:cs="Arial"/>
          <w:color w:val="000000"/>
          <w:lang w:eastAsia="bg-BG"/>
        </w:rPr>
        <w:t xml:space="preserve">е наблюдавано повишение както на средната </w:t>
      </w:r>
      <w:r w:rsidRPr="00A9231D">
        <w:rPr>
          <w:rFonts w:eastAsia="Times New Roman" w:cs="Arial"/>
          <w:color w:val="000000"/>
          <w:lang w:val="en-US"/>
        </w:rPr>
        <w:t>AUC</w:t>
      </w:r>
      <w:r w:rsidRPr="00A9231D">
        <w:rPr>
          <w:rFonts w:eastAsia="Times New Roman" w:cs="Arial"/>
          <w:color w:val="000000"/>
          <w:lang w:val="ru-RU"/>
        </w:rPr>
        <w:t xml:space="preserve"> </w:t>
      </w:r>
      <w:r w:rsidRPr="00A9231D">
        <w:rPr>
          <w:rFonts w:eastAsia="Times New Roman" w:cs="Arial"/>
          <w:color w:val="000000"/>
          <w:lang w:eastAsia="bg-BG"/>
        </w:rPr>
        <w:t>на ганцикловир (приблизително 30 %), така и на средните стойности на С</w:t>
      </w:r>
      <w:r w:rsidRPr="00A9231D">
        <w:rPr>
          <w:rFonts w:eastAsia="Times New Roman" w:cs="Arial"/>
          <w:color w:val="000000"/>
          <w:vertAlign w:val="subscript"/>
          <w:lang w:val="en-US"/>
        </w:rPr>
        <w:t>max</w:t>
      </w:r>
      <w:r w:rsidRPr="00A9231D">
        <w:rPr>
          <w:rFonts w:eastAsia="Times New Roman" w:cs="Arial"/>
          <w:color w:val="000000"/>
          <w:lang w:eastAsia="bg-BG"/>
        </w:rPr>
        <w:t xml:space="preserve"> на ганцикловир (приблизително 14 %) в сравнение със стойностите на гладно. Освен това интериндивидуалните разлики в експозицията на ганцикловир намаляват при приемане на Валцит с храната. По време на клиничните изпитвания Валцит е бил прилаган само с храна. Поради това се препоръчва Валцит да се прилага с храна (вж. точка 4.2).</w:t>
      </w:r>
    </w:p>
    <w:p w14:paraId="35046FD9" w14:textId="77777777" w:rsidR="00A9231D" w:rsidRDefault="00A9231D" w:rsidP="00A9231D">
      <w:pPr>
        <w:spacing w:line="240" w:lineRule="auto"/>
        <w:rPr>
          <w:rFonts w:eastAsia="Times New Roman" w:cs="Arial"/>
          <w:color w:val="000000"/>
          <w:u w:val="single"/>
          <w:lang w:eastAsia="bg-BG"/>
        </w:rPr>
      </w:pPr>
    </w:p>
    <w:p w14:paraId="2335A816" w14:textId="061A2B86" w:rsidR="00A9231D" w:rsidRPr="00A9231D" w:rsidRDefault="00A9231D" w:rsidP="00A9231D">
      <w:pPr>
        <w:spacing w:line="240" w:lineRule="auto"/>
        <w:rPr>
          <w:rFonts w:eastAsia="Times New Roman" w:cs="Arial"/>
        </w:rPr>
      </w:pPr>
      <w:r w:rsidRPr="00A9231D">
        <w:rPr>
          <w:rFonts w:eastAsia="Times New Roman" w:cs="Arial"/>
          <w:color w:val="000000"/>
          <w:u w:val="single"/>
          <w:lang w:eastAsia="bg-BG"/>
        </w:rPr>
        <w:t>Разпределение</w:t>
      </w:r>
    </w:p>
    <w:p w14:paraId="14BD6579" w14:textId="77777777" w:rsidR="00A9231D" w:rsidRPr="00A9231D" w:rsidRDefault="00A9231D" w:rsidP="00A9231D">
      <w:pPr>
        <w:rPr>
          <w:rFonts w:eastAsia="Times New Roman" w:cs="Arial"/>
        </w:rPr>
      </w:pPr>
      <w:r w:rsidRPr="00A9231D">
        <w:rPr>
          <w:rFonts w:eastAsia="Times New Roman" w:cs="Arial"/>
          <w:color w:val="000000"/>
          <w:lang w:eastAsia="bg-BG"/>
        </w:rPr>
        <w:t>Поради бързото превръщане на валганцикловир в ганцикловир, свързването на валганцикловир с</w:t>
      </w:r>
      <w:r w:rsidRPr="00A9231D">
        <w:rPr>
          <w:rFonts w:eastAsia="Times New Roman" w:cs="Arial"/>
          <w:color w:val="000000"/>
          <w:lang w:val="ru-RU" w:eastAsia="bg-BG"/>
        </w:rPr>
        <w:t xml:space="preserve"> </w:t>
      </w:r>
      <w:r w:rsidRPr="00A9231D">
        <w:rPr>
          <w:rFonts w:eastAsia="Times New Roman" w:cs="Arial"/>
          <w:color w:val="000000"/>
          <w:lang w:eastAsia="bg-BG"/>
        </w:rPr>
        <w:t xml:space="preserve">протеините не е определяно. Обемът на разпределение </w:t>
      </w:r>
      <w:r w:rsidRPr="00A9231D">
        <w:rPr>
          <w:rFonts w:eastAsia="Times New Roman" w:cs="Arial"/>
          <w:color w:val="000000"/>
          <w:lang w:val="ru-RU"/>
        </w:rPr>
        <w:t>(</w:t>
      </w:r>
      <w:r w:rsidRPr="00A9231D">
        <w:rPr>
          <w:rFonts w:eastAsia="Times New Roman" w:cs="Arial"/>
          <w:color w:val="000000"/>
          <w:lang w:val="en-US"/>
        </w:rPr>
        <w:t>V</w:t>
      </w:r>
      <w:r w:rsidRPr="00A9231D">
        <w:rPr>
          <w:rFonts w:eastAsia="Times New Roman" w:cs="Arial"/>
          <w:color w:val="000000"/>
          <w:vertAlign w:val="subscript"/>
          <w:lang w:val="en-US"/>
        </w:rPr>
        <w:t>d</w:t>
      </w:r>
      <w:r w:rsidRPr="00A9231D">
        <w:rPr>
          <w:rFonts w:eastAsia="Times New Roman" w:cs="Arial"/>
          <w:color w:val="000000"/>
          <w:lang w:val="ru-RU"/>
        </w:rPr>
        <w:t xml:space="preserve">) </w:t>
      </w:r>
      <w:r w:rsidRPr="00A9231D">
        <w:rPr>
          <w:rFonts w:eastAsia="Times New Roman" w:cs="Arial"/>
          <w:color w:val="000000"/>
          <w:lang w:eastAsia="bg-BG"/>
        </w:rPr>
        <w:t>в равновесно състояние на ганцикловир след интравенозно приложение е бил 0,680 ±0,161</w:t>
      </w:r>
      <w:r w:rsidRPr="00A9231D">
        <w:rPr>
          <w:rFonts w:eastAsia="Times New Roman" w:cs="Arial"/>
          <w:color w:val="000000"/>
          <w:lang w:val="ru-RU"/>
        </w:rPr>
        <w:t>1/</w:t>
      </w:r>
      <w:r w:rsidRPr="00A9231D">
        <w:rPr>
          <w:rFonts w:eastAsia="Times New Roman" w:cs="Arial"/>
          <w:color w:val="000000"/>
          <w:lang w:val="en-US"/>
        </w:rPr>
        <w:t>kg</w:t>
      </w:r>
      <w:r w:rsidRPr="00A9231D">
        <w:rPr>
          <w:rFonts w:eastAsia="Times New Roman" w:cs="Arial"/>
          <w:color w:val="000000"/>
          <w:lang w:val="ru-RU"/>
        </w:rPr>
        <w:t xml:space="preserve"> (</w:t>
      </w:r>
      <w:r w:rsidRPr="00A9231D">
        <w:rPr>
          <w:rFonts w:eastAsia="Times New Roman" w:cs="Arial"/>
          <w:color w:val="000000"/>
          <w:lang w:val="en-US"/>
        </w:rPr>
        <w:t>n</w:t>
      </w:r>
      <w:r w:rsidRPr="00A9231D">
        <w:rPr>
          <w:rFonts w:eastAsia="Times New Roman" w:cs="Arial"/>
          <w:color w:val="000000"/>
          <w:lang w:val="ru-RU"/>
        </w:rPr>
        <w:t xml:space="preserve"> </w:t>
      </w:r>
      <w:r w:rsidRPr="00A9231D">
        <w:rPr>
          <w:rFonts w:eastAsia="Times New Roman" w:cs="Arial"/>
          <w:color w:val="000000"/>
          <w:lang w:eastAsia="bg-BG"/>
        </w:rPr>
        <w:t xml:space="preserve">= 114). Обемът на разпределение на </w:t>
      </w:r>
      <w:r w:rsidRPr="00A9231D">
        <w:rPr>
          <w:rFonts w:eastAsia="Times New Roman" w:cs="Arial"/>
          <w:color w:val="000000"/>
          <w:lang w:val="en-US"/>
        </w:rPr>
        <w:t>i</w:t>
      </w:r>
      <w:r w:rsidRPr="00A9231D">
        <w:rPr>
          <w:rFonts w:eastAsia="Times New Roman" w:cs="Arial"/>
          <w:color w:val="000000"/>
          <w:lang w:val="ru-RU"/>
        </w:rPr>
        <w:t>.</w:t>
      </w:r>
      <w:r w:rsidRPr="00A9231D">
        <w:rPr>
          <w:rFonts w:eastAsia="Times New Roman" w:cs="Arial"/>
          <w:color w:val="000000"/>
          <w:lang w:val="en-US"/>
        </w:rPr>
        <w:t>v</w:t>
      </w:r>
      <w:r w:rsidRPr="00A9231D">
        <w:rPr>
          <w:rFonts w:eastAsia="Times New Roman" w:cs="Arial"/>
          <w:color w:val="000000"/>
          <w:lang w:val="ru-RU"/>
        </w:rPr>
        <w:t xml:space="preserve">. </w:t>
      </w:r>
      <w:r w:rsidRPr="00A9231D">
        <w:rPr>
          <w:rFonts w:eastAsia="Times New Roman" w:cs="Arial"/>
          <w:color w:val="000000"/>
          <w:lang w:eastAsia="bg-BG"/>
        </w:rPr>
        <w:t xml:space="preserve">приложен ганцикловир корелира с телесното тегло. Обемът на разпределение в стационарно състояние е в границите на 0,54-0,87 </w:t>
      </w:r>
      <w:r w:rsidRPr="00A9231D">
        <w:rPr>
          <w:rFonts w:eastAsia="Times New Roman" w:cs="Arial"/>
          <w:color w:val="000000"/>
          <w:lang w:val="en-US"/>
        </w:rPr>
        <w:t>l</w:t>
      </w:r>
      <w:r w:rsidRPr="00A9231D">
        <w:rPr>
          <w:rFonts w:eastAsia="Times New Roman" w:cs="Arial"/>
          <w:color w:val="000000"/>
          <w:lang w:val="ru-RU"/>
        </w:rPr>
        <w:t>/</w:t>
      </w:r>
      <w:r w:rsidRPr="00A9231D">
        <w:rPr>
          <w:rFonts w:eastAsia="Times New Roman" w:cs="Arial"/>
          <w:color w:val="000000"/>
          <w:lang w:val="en-US"/>
        </w:rPr>
        <w:t>kg</w:t>
      </w:r>
      <w:r w:rsidRPr="00A9231D">
        <w:rPr>
          <w:rFonts w:eastAsia="Times New Roman" w:cs="Arial"/>
          <w:color w:val="000000"/>
          <w:lang w:val="ru-RU"/>
        </w:rPr>
        <w:t xml:space="preserve">. </w:t>
      </w:r>
      <w:r w:rsidRPr="00A9231D">
        <w:rPr>
          <w:rFonts w:eastAsia="Times New Roman" w:cs="Arial"/>
          <w:color w:val="000000"/>
          <w:lang w:eastAsia="bg-BG"/>
        </w:rPr>
        <w:t>Ганцикловир прониква в гръбначно-мозъчната течност. Свързването с плазмените протеини е 1 %-2 % при концентрации на ганцикловир от 0,5 и 51 μ</w:t>
      </w:r>
      <w:r w:rsidRPr="00A9231D">
        <w:rPr>
          <w:rFonts w:eastAsia="Times New Roman" w:cs="Arial"/>
          <w:color w:val="000000"/>
          <w:lang w:val="en-US"/>
        </w:rPr>
        <w:t>g</w:t>
      </w:r>
      <w:r w:rsidRPr="00A9231D">
        <w:rPr>
          <w:rFonts w:eastAsia="Times New Roman" w:cs="Arial"/>
          <w:color w:val="000000"/>
          <w:lang w:val="ru-RU"/>
        </w:rPr>
        <w:t>/</w:t>
      </w:r>
      <w:r w:rsidRPr="00A9231D">
        <w:rPr>
          <w:rFonts w:eastAsia="Times New Roman" w:cs="Arial"/>
          <w:color w:val="000000"/>
          <w:lang w:val="en-US"/>
        </w:rPr>
        <w:t>ml</w:t>
      </w:r>
      <w:r w:rsidRPr="00A9231D">
        <w:rPr>
          <w:rFonts w:eastAsia="Times New Roman" w:cs="Arial"/>
          <w:color w:val="000000"/>
          <w:lang w:val="ru-RU"/>
        </w:rPr>
        <w:t>.</w:t>
      </w:r>
    </w:p>
    <w:p w14:paraId="472F04BD" w14:textId="77777777" w:rsidR="00A9231D" w:rsidRDefault="00A9231D" w:rsidP="00A9231D">
      <w:pPr>
        <w:spacing w:line="240" w:lineRule="auto"/>
        <w:rPr>
          <w:rFonts w:eastAsia="Times New Roman" w:cs="Arial"/>
          <w:color w:val="000000"/>
          <w:u w:val="single"/>
          <w:lang w:eastAsia="bg-BG"/>
        </w:rPr>
      </w:pPr>
    </w:p>
    <w:p w14:paraId="40EA83BC" w14:textId="0057E669" w:rsidR="00A9231D" w:rsidRPr="00A9231D" w:rsidRDefault="00A9231D" w:rsidP="00A9231D">
      <w:pPr>
        <w:spacing w:line="240" w:lineRule="auto"/>
        <w:rPr>
          <w:rFonts w:eastAsia="Times New Roman" w:cs="Arial"/>
        </w:rPr>
      </w:pPr>
      <w:r w:rsidRPr="00A9231D">
        <w:rPr>
          <w:rFonts w:eastAsia="Times New Roman" w:cs="Arial"/>
          <w:color w:val="000000"/>
          <w:u w:val="single"/>
          <w:lang w:eastAsia="bg-BG"/>
        </w:rPr>
        <w:t>Биотрансформация</w:t>
      </w:r>
    </w:p>
    <w:p w14:paraId="7FCCA6A6" w14:textId="77777777" w:rsidR="00A9231D" w:rsidRPr="00A9231D" w:rsidRDefault="00A9231D" w:rsidP="00A9231D">
      <w:pPr>
        <w:spacing w:line="240" w:lineRule="auto"/>
        <w:rPr>
          <w:rFonts w:eastAsia="Times New Roman" w:cs="Arial"/>
        </w:rPr>
      </w:pPr>
      <w:r w:rsidRPr="00A9231D">
        <w:rPr>
          <w:rFonts w:eastAsia="Times New Roman" w:cs="Arial"/>
          <w:color w:val="000000"/>
          <w:lang w:eastAsia="bg-BG"/>
        </w:rPr>
        <w:t>Валганцикловир се метаболизира бързо и в голяма степен до ганцикловир; не са открити други метаболити. Самият ганцикловир не се метаболизира в значима степен.</w:t>
      </w:r>
    </w:p>
    <w:p w14:paraId="2BBA6BB7" w14:textId="77777777" w:rsidR="00A9231D" w:rsidRDefault="00A9231D" w:rsidP="00A9231D">
      <w:pPr>
        <w:spacing w:line="240" w:lineRule="auto"/>
        <w:rPr>
          <w:rFonts w:eastAsia="Times New Roman" w:cs="Arial"/>
          <w:color w:val="000000"/>
          <w:u w:val="single"/>
          <w:lang w:eastAsia="bg-BG"/>
        </w:rPr>
      </w:pPr>
    </w:p>
    <w:p w14:paraId="692228F6" w14:textId="71D5A225" w:rsidR="00A9231D" w:rsidRPr="00A9231D" w:rsidRDefault="00A9231D" w:rsidP="00A9231D">
      <w:pPr>
        <w:spacing w:line="240" w:lineRule="auto"/>
        <w:rPr>
          <w:rFonts w:eastAsia="Times New Roman" w:cs="Arial"/>
        </w:rPr>
      </w:pPr>
      <w:r w:rsidRPr="00A9231D">
        <w:rPr>
          <w:rFonts w:eastAsia="Times New Roman" w:cs="Arial"/>
          <w:color w:val="000000"/>
          <w:u w:val="single"/>
          <w:lang w:eastAsia="bg-BG"/>
        </w:rPr>
        <w:t>Елиминиране</w:t>
      </w:r>
    </w:p>
    <w:p w14:paraId="5E8A4C8B" w14:textId="77777777" w:rsidR="00A9231D" w:rsidRPr="00A9231D" w:rsidRDefault="00A9231D" w:rsidP="00A9231D">
      <w:pPr>
        <w:spacing w:line="240" w:lineRule="auto"/>
        <w:rPr>
          <w:rFonts w:eastAsia="Times New Roman" w:cs="Arial"/>
        </w:rPr>
      </w:pPr>
      <w:r w:rsidRPr="00A9231D">
        <w:rPr>
          <w:rFonts w:eastAsia="Times New Roman" w:cs="Arial"/>
          <w:color w:val="000000"/>
          <w:lang w:eastAsia="bg-BG"/>
        </w:rPr>
        <w:t xml:space="preserve">След прилагане на перорален валганцикловир, лекарството бързо се хидролизира до ганцикловир. Ганцикловир се елиминира от системното кръвообращение чрез гломерулна филтрация и активна тубулна секреция. При пациенти с нормална бъбречна функция над 90 % от </w:t>
      </w:r>
      <w:r w:rsidRPr="00A9231D">
        <w:rPr>
          <w:rFonts w:eastAsia="Times New Roman" w:cs="Arial"/>
          <w:color w:val="000000"/>
          <w:lang w:val="en-US"/>
        </w:rPr>
        <w:t>i</w:t>
      </w:r>
      <w:r w:rsidRPr="00A9231D">
        <w:rPr>
          <w:rFonts w:eastAsia="Times New Roman" w:cs="Arial"/>
          <w:color w:val="000000"/>
          <w:lang w:eastAsia="bg-BG"/>
        </w:rPr>
        <w:t>.</w:t>
      </w:r>
      <w:r w:rsidRPr="00A9231D">
        <w:rPr>
          <w:rFonts w:eastAsia="Times New Roman" w:cs="Arial"/>
          <w:color w:val="000000"/>
          <w:lang w:val="en-US"/>
        </w:rPr>
        <w:t>v</w:t>
      </w:r>
      <w:r w:rsidRPr="00A9231D">
        <w:rPr>
          <w:rFonts w:eastAsia="Times New Roman" w:cs="Arial"/>
          <w:color w:val="000000"/>
          <w:lang w:val="ru-RU"/>
        </w:rPr>
        <w:t xml:space="preserve">. </w:t>
      </w:r>
      <w:r w:rsidRPr="00A9231D">
        <w:rPr>
          <w:rFonts w:eastAsia="Times New Roman" w:cs="Arial"/>
          <w:color w:val="000000"/>
          <w:lang w:eastAsia="bg-BG"/>
        </w:rPr>
        <w:t>приложения ганцикловир се открива непроменен в урината до 24 часа. При пациенти с нормална бъбречна функция пост-максималните плазмени концентрации на ганцикловир след приложение на валганцикловир намаляват с време на полуелиминиране, вариращо от 0,4 часа до 2,0 часа.</w:t>
      </w:r>
    </w:p>
    <w:p w14:paraId="3B9BAD92" w14:textId="77777777" w:rsidR="00A9231D" w:rsidRDefault="00A9231D" w:rsidP="00A9231D">
      <w:pPr>
        <w:spacing w:line="240" w:lineRule="auto"/>
        <w:rPr>
          <w:rFonts w:eastAsia="Times New Roman" w:cs="Arial"/>
          <w:color w:val="000000"/>
          <w:u w:val="single"/>
          <w:lang w:eastAsia="bg-BG"/>
        </w:rPr>
      </w:pPr>
    </w:p>
    <w:p w14:paraId="7AA74EE7" w14:textId="29C31224" w:rsidR="00A9231D" w:rsidRPr="00A9231D" w:rsidRDefault="00A9231D" w:rsidP="00A9231D">
      <w:pPr>
        <w:spacing w:line="240" w:lineRule="auto"/>
        <w:rPr>
          <w:rFonts w:eastAsia="Times New Roman" w:cs="Arial"/>
        </w:rPr>
      </w:pPr>
      <w:r w:rsidRPr="00A9231D">
        <w:rPr>
          <w:rFonts w:eastAsia="Times New Roman" w:cs="Arial"/>
          <w:color w:val="000000"/>
          <w:u w:val="single"/>
          <w:lang w:eastAsia="bg-BG"/>
        </w:rPr>
        <w:t>Фармакокинетика при специални клинични ситуации</w:t>
      </w:r>
    </w:p>
    <w:p w14:paraId="6A6AD24B" w14:textId="77777777" w:rsidR="00A9231D" w:rsidRDefault="00A9231D" w:rsidP="00A9231D">
      <w:pPr>
        <w:spacing w:line="240" w:lineRule="auto"/>
        <w:rPr>
          <w:rFonts w:eastAsia="Times New Roman" w:cs="Arial"/>
          <w:i/>
          <w:iCs/>
          <w:color w:val="000000"/>
          <w:lang w:eastAsia="bg-BG"/>
        </w:rPr>
      </w:pPr>
    </w:p>
    <w:p w14:paraId="7F8AEF06" w14:textId="5E5E803F" w:rsidR="00A9231D" w:rsidRPr="00A9231D" w:rsidRDefault="00A9231D" w:rsidP="00A9231D">
      <w:pPr>
        <w:spacing w:line="240" w:lineRule="auto"/>
        <w:rPr>
          <w:rFonts w:eastAsia="Times New Roman" w:cs="Arial"/>
        </w:rPr>
      </w:pPr>
      <w:r w:rsidRPr="00A9231D">
        <w:rPr>
          <w:rFonts w:eastAsia="Times New Roman" w:cs="Arial"/>
          <w:i/>
          <w:iCs/>
          <w:color w:val="000000"/>
          <w:lang w:eastAsia="bg-BG"/>
        </w:rPr>
        <w:t>Педиатрична популация</w:t>
      </w:r>
    </w:p>
    <w:p w14:paraId="1000A3CE" w14:textId="77777777" w:rsidR="00A9231D" w:rsidRPr="00A9231D" w:rsidRDefault="00A9231D" w:rsidP="00A9231D">
      <w:pPr>
        <w:spacing w:line="240" w:lineRule="auto"/>
        <w:rPr>
          <w:rFonts w:eastAsia="Times New Roman" w:cs="Arial"/>
        </w:rPr>
      </w:pPr>
      <w:r w:rsidRPr="00A9231D">
        <w:rPr>
          <w:rFonts w:eastAsia="Times New Roman" w:cs="Arial"/>
          <w:color w:val="000000"/>
          <w:lang w:eastAsia="bg-BG"/>
        </w:rPr>
        <w:t xml:space="preserve">В едно клинично изпитване на фармакокинетиката и безопасността фаза II при педиатрични реципиенти на трансплантати на солидни органи (на възраст 4 месеца до 16 години, </w:t>
      </w:r>
      <w:r w:rsidRPr="00A9231D">
        <w:rPr>
          <w:rFonts w:eastAsia="Times New Roman" w:cs="Arial"/>
          <w:color w:val="000000"/>
          <w:lang w:val="en-US"/>
        </w:rPr>
        <w:t>n</w:t>
      </w:r>
      <w:r w:rsidRPr="00A9231D">
        <w:rPr>
          <w:rFonts w:eastAsia="Times New Roman" w:cs="Arial"/>
          <w:color w:val="000000"/>
          <w:lang w:eastAsia="bg-BG"/>
        </w:rPr>
        <w:t xml:space="preserve"> = 63) валганцикловир е даван веднъж дневно в продължение на до 100 дни. </w:t>
      </w:r>
      <w:r w:rsidRPr="00A9231D">
        <w:rPr>
          <w:rFonts w:eastAsia="Times New Roman" w:cs="Arial"/>
          <w:color w:val="000000"/>
          <w:lang w:eastAsia="bg-BG"/>
        </w:rPr>
        <w:lastRenderedPageBreak/>
        <w:t>Фармакокинетичните показатели са подобни при всички видове органи и възрастови граници и са сравними с възрастните.</w:t>
      </w:r>
    </w:p>
    <w:p w14:paraId="0398DB99" w14:textId="77777777" w:rsidR="00A9231D" w:rsidRPr="00A9231D" w:rsidRDefault="00A9231D" w:rsidP="00A9231D">
      <w:pPr>
        <w:spacing w:line="240" w:lineRule="auto"/>
        <w:rPr>
          <w:rFonts w:eastAsia="Times New Roman" w:cs="Arial"/>
        </w:rPr>
      </w:pPr>
      <w:r w:rsidRPr="00A9231D">
        <w:rPr>
          <w:rFonts w:eastAsia="Times New Roman" w:cs="Arial"/>
          <w:color w:val="000000"/>
          <w:lang w:eastAsia="bg-BG"/>
        </w:rPr>
        <w:t>Популационното фармакокинетично моделиране показва, че бионаличността е приблизително 60 %. Клирънсът се повлиява положително от телесната повърхност и бъбречната функция.</w:t>
      </w:r>
    </w:p>
    <w:p w14:paraId="1FE6D1DF" w14:textId="77777777" w:rsidR="00A9231D" w:rsidRDefault="00A9231D" w:rsidP="00A9231D">
      <w:pPr>
        <w:spacing w:line="240" w:lineRule="auto"/>
        <w:rPr>
          <w:rFonts w:eastAsia="Times New Roman" w:cs="Arial"/>
          <w:color w:val="000000"/>
          <w:lang w:eastAsia="bg-BG"/>
        </w:rPr>
      </w:pPr>
    </w:p>
    <w:p w14:paraId="1A2D342E" w14:textId="1F12662F" w:rsidR="00A9231D" w:rsidRPr="00A9231D" w:rsidRDefault="00A9231D" w:rsidP="00A9231D">
      <w:pPr>
        <w:spacing w:line="240" w:lineRule="auto"/>
        <w:rPr>
          <w:rFonts w:eastAsia="Times New Roman" w:cs="Arial"/>
        </w:rPr>
      </w:pPr>
      <w:r w:rsidRPr="00A9231D">
        <w:rPr>
          <w:rFonts w:eastAsia="Times New Roman" w:cs="Arial"/>
          <w:color w:val="000000"/>
          <w:lang w:eastAsia="bg-BG"/>
        </w:rPr>
        <w:t xml:space="preserve">В едно клинично изпитване фаза I за проучване на фармакокинетиката и безопасността при педиатрични реципиенти на трансплантация на сърце (на възраст от 3 седмици до 125 дни, </w:t>
      </w:r>
      <w:r w:rsidRPr="00A9231D">
        <w:rPr>
          <w:rFonts w:eastAsia="Times New Roman" w:cs="Arial"/>
          <w:color w:val="000000"/>
          <w:lang w:val="en-US"/>
        </w:rPr>
        <w:t>n</w:t>
      </w:r>
      <w:r w:rsidRPr="00A9231D">
        <w:rPr>
          <w:rFonts w:eastAsia="Times New Roman" w:cs="Arial"/>
          <w:color w:val="000000"/>
          <w:lang w:eastAsia="bg-BG"/>
        </w:rPr>
        <w:t xml:space="preserve"> =14) валганцикловир е даван веднъж дневно в продължение на два дни от изпитването. Популационната фармакокинетика изчислява средна бионаличност от 64 %.</w:t>
      </w:r>
    </w:p>
    <w:p w14:paraId="3AC99ED2" w14:textId="77777777" w:rsidR="00A9231D" w:rsidRDefault="00A9231D" w:rsidP="00A9231D">
      <w:pPr>
        <w:spacing w:line="240" w:lineRule="auto"/>
        <w:rPr>
          <w:rFonts w:eastAsia="Times New Roman" w:cs="Arial"/>
          <w:color w:val="000000"/>
          <w:lang w:eastAsia="bg-BG"/>
        </w:rPr>
      </w:pPr>
    </w:p>
    <w:p w14:paraId="53379A02" w14:textId="750E25B6" w:rsidR="00A9231D" w:rsidRPr="00A9231D" w:rsidRDefault="00A9231D" w:rsidP="00A9231D">
      <w:pPr>
        <w:spacing w:line="240" w:lineRule="auto"/>
        <w:rPr>
          <w:rFonts w:eastAsia="Times New Roman" w:cs="Arial"/>
        </w:rPr>
      </w:pPr>
      <w:r w:rsidRPr="00A9231D">
        <w:rPr>
          <w:rFonts w:eastAsia="Times New Roman" w:cs="Arial"/>
          <w:color w:val="000000"/>
          <w:lang w:eastAsia="bg-BG"/>
        </w:rPr>
        <w:t xml:space="preserve">Сравнение на резултатите от тези две клинични изпитвания и фармакокинетичните резултати от възрастната популация показва, че границите на </w:t>
      </w:r>
      <w:r w:rsidRPr="00A9231D">
        <w:rPr>
          <w:rFonts w:eastAsia="Times New Roman" w:cs="Arial"/>
          <w:color w:val="000000"/>
          <w:lang w:val="en-US"/>
        </w:rPr>
        <w:t>AUC</w:t>
      </w:r>
      <w:r w:rsidRPr="00A9231D">
        <w:rPr>
          <w:rFonts w:eastAsia="Times New Roman" w:cs="Arial"/>
          <w:color w:val="000000"/>
          <w:vertAlign w:val="subscript"/>
          <w:lang w:val="ru-RU"/>
        </w:rPr>
        <w:t>0-24</w:t>
      </w:r>
      <w:r w:rsidRPr="00A9231D">
        <w:rPr>
          <w:rFonts w:eastAsia="Times New Roman" w:cs="Arial"/>
          <w:color w:val="000000"/>
          <w:vertAlign w:val="subscript"/>
          <w:lang w:val="en-US"/>
        </w:rPr>
        <w:t>h</w:t>
      </w:r>
      <w:r w:rsidRPr="00A9231D">
        <w:rPr>
          <w:rFonts w:eastAsia="Times New Roman" w:cs="Arial"/>
          <w:color w:val="000000"/>
          <w:lang w:val="ru-RU"/>
        </w:rPr>
        <w:t xml:space="preserve"> </w:t>
      </w:r>
      <w:r w:rsidRPr="00A9231D">
        <w:rPr>
          <w:rFonts w:eastAsia="Times New Roman" w:cs="Arial"/>
          <w:color w:val="000000"/>
          <w:lang w:eastAsia="bg-BG"/>
        </w:rPr>
        <w:t xml:space="preserve">са много подобни във всички възрастови групи, включително възрастните. Средните стойности за </w:t>
      </w:r>
      <w:r w:rsidRPr="00A9231D">
        <w:rPr>
          <w:rFonts w:eastAsia="Times New Roman" w:cs="Arial"/>
          <w:color w:val="000000"/>
          <w:lang w:val="en-US"/>
        </w:rPr>
        <w:t>AUC</w:t>
      </w:r>
      <w:r w:rsidRPr="00A9231D">
        <w:rPr>
          <w:rFonts w:eastAsia="Times New Roman" w:cs="Arial"/>
          <w:color w:val="000000"/>
          <w:vertAlign w:val="subscript"/>
          <w:lang w:val="ru-RU"/>
        </w:rPr>
        <w:t>0-24</w:t>
      </w:r>
      <w:r w:rsidRPr="00A9231D">
        <w:rPr>
          <w:rFonts w:eastAsia="Times New Roman" w:cs="Arial"/>
          <w:color w:val="000000"/>
          <w:vertAlign w:val="subscript"/>
          <w:lang w:val="en-US"/>
        </w:rPr>
        <w:t>h</w:t>
      </w:r>
      <w:r w:rsidRPr="00A9231D">
        <w:rPr>
          <w:rFonts w:eastAsia="Times New Roman" w:cs="Arial"/>
          <w:color w:val="000000"/>
          <w:lang w:val="ru-RU"/>
        </w:rPr>
        <w:t xml:space="preserve"> </w:t>
      </w:r>
      <w:r w:rsidRPr="00A9231D">
        <w:rPr>
          <w:rFonts w:eastAsia="Times New Roman" w:cs="Arial"/>
          <w:color w:val="000000"/>
          <w:lang w:eastAsia="bg-BG"/>
        </w:rPr>
        <w:t>и С</w:t>
      </w:r>
      <w:r w:rsidRPr="00A9231D">
        <w:rPr>
          <w:rFonts w:eastAsia="Times New Roman" w:cs="Arial"/>
          <w:color w:val="000000"/>
          <w:vertAlign w:val="subscript"/>
          <w:lang w:val="en-US"/>
        </w:rPr>
        <w:t>max</w:t>
      </w:r>
      <w:r w:rsidRPr="00A9231D">
        <w:rPr>
          <w:rFonts w:eastAsia="Times New Roman" w:cs="Arial"/>
          <w:color w:val="000000"/>
          <w:lang w:eastAsia="bg-BG"/>
        </w:rPr>
        <w:t xml:space="preserve"> също са подобни в педиатричните групи на възраст &lt; 12 години, въпреки че съществува тенденция за намаляване на средните стойности на </w:t>
      </w:r>
      <w:r w:rsidRPr="00A9231D">
        <w:rPr>
          <w:rFonts w:eastAsia="Times New Roman" w:cs="Arial"/>
          <w:color w:val="000000"/>
          <w:lang w:val="en-US"/>
        </w:rPr>
        <w:t>AUC</w:t>
      </w:r>
      <w:r w:rsidRPr="00A9231D">
        <w:rPr>
          <w:rFonts w:eastAsia="Times New Roman" w:cs="Arial"/>
          <w:color w:val="000000"/>
          <w:vertAlign w:val="subscript"/>
          <w:lang w:val="ru-RU"/>
        </w:rPr>
        <w:t>0-24</w:t>
      </w:r>
      <w:r w:rsidRPr="00A9231D">
        <w:rPr>
          <w:rFonts w:eastAsia="Times New Roman" w:cs="Arial"/>
          <w:color w:val="000000"/>
          <w:vertAlign w:val="subscript"/>
          <w:lang w:val="en-US"/>
        </w:rPr>
        <w:t>h</w:t>
      </w:r>
      <w:r w:rsidRPr="00A9231D">
        <w:rPr>
          <w:rFonts w:eastAsia="Times New Roman" w:cs="Arial"/>
          <w:color w:val="000000"/>
          <w:lang w:val="ru-RU"/>
        </w:rPr>
        <w:t xml:space="preserve"> </w:t>
      </w:r>
      <w:r w:rsidRPr="00A9231D">
        <w:rPr>
          <w:rFonts w:eastAsia="Times New Roman" w:cs="Arial"/>
          <w:color w:val="000000"/>
          <w:lang w:eastAsia="bg-BG"/>
        </w:rPr>
        <w:t>и С</w:t>
      </w:r>
      <w:r w:rsidRPr="00A9231D">
        <w:rPr>
          <w:rFonts w:eastAsia="Times New Roman" w:cs="Arial"/>
          <w:color w:val="000000"/>
          <w:vertAlign w:val="subscript"/>
          <w:lang w:val="en-US"/>
        </w:rPr>
        <w:t>max</w:t>
      </w:r>
      <w:r w:rsidRPr="00A9231D">
        <w:rPr>
          <w:rFonts w:eastAsia="Times New Roman" w:cs="Arial"/>
          <w:color w:val="000000"/>
          <w:lang w:eastAsia="bg-BG"/>
        </w:rPr>
        <w:t xml:space="preserve"> в целия педиатричен възрастов диапазон, което изглежда корелира с увеличаващата се възраст. Тази тенденция е по-очевидна при средните стойности на клирънса и времето на полуелиминиране (</w:t>
      </w:r>
      <w:r w:rsidRPr="00A9231D">
        <w:rPr>
          <w:rFonts w:eastAsia="Times New Roman" w:cs="Arial"/>
          <w:color w:val="000000"/>
          <w:lang w:val="en-US"/>
        </w:rPr>
        <w:t>t</w:t>
      </w:r>
      <w:r w:rsidRPr="00A9231D">
        <w:rPr>
          <w:rFonts w:eastAsia="Times New Roman" w:cs="Arial"/>
          <w:color w:val="000000"/>
          <w:vertAlign w:val="subscript"/>
          <w:lang w:val="ru-RU"/>
        </w:rPr>
        <w:t>1/2</w:t>
      </w:r>
      <w:r w:rsidRPr="00A9231D">
        <w:rPr>
          <w:rFonts w:eastAsia="Times New Roman" w:cs="Arial"/>
          <w:color w:val="000000"/>
          <w:lang w:eastAsia="bg-BG"/>
        </w:rPr>
        <w:t>). Това обаче трябва да се очаква, тъй като клирънсът се повлиява от промените в теглото, ръста и бъбречната функция, свързани с израстването на пациентите, както показва популационното фармакокинетично моделиране.</w:t>
      </w:r>
    </w:p>
    <w:p w14:paraId="6EC9C402" w14:textId="77777777" w:rsidR="00A9231D" w:rsidRDefault="00A9231D" w:rsidP="00A9231D">
      <w:pPr>
        <w:spacing w:line="240" w:lineRule="auto"/>
        <w:rPr>
          <w:rFonts w:eastAsia="Times New Roman" w:cs="Arial"/>
          <w:color w:val="000000"/>
          <w:lang w:eastAsia="bg-BG"/>
        </w:rPr>
      </w:pPr>
    </w:p>
    <w:p w14:paraId="171C1BA4" w14:textId="63DEA0C0" w:rsidR="00A9231D" w:rsidRPr="00A9231D" w:rsidRDefault="00A9231D" w:rsidP="00A9231D">
      <w:pPr>
        <w:spacing w:line="240" w:lineRule="auto"/>
        <w:rPr>
          <w:rFonts w:eastAsia="Times New Roman" w:cs="Arial"/>
        </w:rPr>
      </w:pPr>
      <w:r w:rsidRPr="00A9231D">
        <w:rPr>
          <w:rFonts w:eastAsia="Times New Roman" w:cs="Arial"/>
          <w:color w:val="000000"/>
          <w:lang w:eastAsia="bg-BG"/>
        </w:rPr>
        <w:t xml:space="preserve">Следната таблица обобщава изчислените от модела граници на </w:t>
      </w:r>
      <w:r w:rsidRPr="00A9231D">
        <w:rPr>
          <w:rFonts w:eastAsia="Times New Roman" w:cs="Arial"/>
          <w:color w:val="000000"/>
          <w:lang w:val="en-US"/>
        </w:rPr>
        <w:t>AUC</w:t>
      </w:r>
      <w:r w:rsidRPr="00A9231D">
        <w:rPr>
          <w:rFonts w:eastAsia="Times New Roman" w:cs="Arial"/>
          <w:color w:val="000000"/>
          <w:vertAlign w:val="subscript"/>
          <w:lang w:val="ru-RU"/>
        </w:rPr>
        <w:t>0-24</w:t>
      </w:r>
      <w:r w:rsidRPr="00A9231D">
        <w:rPr>
          <w:rFonts w:eastAsia="Times New Roman" w:cs="Arial"/>
          <w:color w:val="000000"/>
          <w:vertAlign w:val="subscript"/>
          <w:lang w:val="en-US"/>
        </w:rPr>
        <w:t>h</w:t>
      </w:r>
      <w:r w:rsidRPr="00A9231D">
        <w:rPr>
          <w:rFonts w:eastAsia="Times New Roman" w:cs="Arial"/>
          <w:color w:val="000000"/>
          <w:lang w:val="ru-RU"/>
        </w:rPr>
        <w:t xml:space="preserve"> </w:t>
      </w:r>
      <w:r w:rsidRPr="00A9231D">
        <w:rPr>
          <w:rFonts w:eastAsia="Times New Roman" w:cs="Arial"/>
          <w:color w:val="000000"/>
          <w:lang w:eastAsia="bg-BG"/>
        </w:rPr>
        <w:t xml:space="preserve">за ганцикловир в тези две клинични изпитвания, както и стойностите на средното и стандартното отклонение за </w:t>
      </w:r>
      <w:r w:rsidRPr="00A9231D">
        <w:rPr>
          <w:rFonts w:eastAsia="Times New Roman" w:cs="Arial"/>
          <w:color w:val="000000"/>
          <w:lang w:val="en-US"/>
        </w:rPr>
        <w:t>AUC</w:t>
      </w:r>
      <w:r w:rsidRPr="00A9231D">
        <w:rPr>
          <w:rFonts w:eastAsia="Times New Roman" w:cs="Arial"/>
          <w:color w:val="000000"/>
          <w:vertAlign w:val="subscript"/>
          <w:lang w:val="ru-RU"/>
        </w:rPr>
        <w:t>0-24</w:t>
      </w:r>
      <w:r w:rsidRPr="00A9231D">
        <w:rPr>
          <w:rFonts w:eastAsia="Times New Roman" w:cs="Arial"/>
          <w:color w:val="000000"/>
          <w:vertAlign w:val="subscript"/>
          <w:lang w:val="en-US"/>
        </w:rPr>
        <w:t>h</w:t>
      </w:r>
      <w:r w:rsidRPr="00A9231D">
        <w:rPr>
          <w:rFonts w:eastAsia="Times New Roman" w:cs="Arial"/>
          <w:color w:val="000000"/>
          <w:lang w:val="ru-RU"/>
        </w:rPr>
        <w:t xml:space="preserve">, </w:t>
      </w:r>
      <w:r w:rsidRPr="00A9231D">
        <w:rPr>
          <w:rFonts w:eastAsia="Times New Roman" w:cs="Arial"/>
          <w:color w:val="000000"/>
          <w:lang w:val="en-US"/>
        </w:rPr>
        <w:t>C</w:t>
      </w:r>
      <w:r w:rsidRPr="00A9231D">
        <w:rPr>
          <w:rFonts w:eastAsia="Times New Roman" w:cs="Arial"/>
          <w:color w:val="000000"/>
          <w:vertAlign w:val="subscript"/>
          <w:lang w:val="en-US"/>
        </w:rPr>
        <w:t>max</w:t>
      </w:r>
      <w:r w:rsidRPr="00A9231D">
        <w:rPr>
          <w:rFonts w:eastAsia="Times New Roman" w:cs="Arial"/>
          <w:color w:val="000000"/>
          <w:lang w:val="ru-RU"/>
        </w:rPr>
        <w:t xml:space="preserve">, </w:t>
      </w:r>
      <w:r w:rsidRPr="00A9231D">
        <w:rPr>
          <w:rFonts w:eastAsia="Times New Roman" w:cs="Arial"/>
          <w:color w:val="000000"/>
          <w:lang w:val="en-US"/>
        </w:rPr>
        <w:t>CL</w:t>
      </w:r>
      <w:r w:rsidRPr="00A9231D">
        <w:rPr>
          <w:rFonts w:eastAsia="Times New Roman" w:cs="Arial"/>
          <w:color w:val="000000"/>
          <w:lang w:val="ru-RU"/>
        </w:rPr>
        <w:t xml:space="preserve"> </w:t>
      </w:r>
      <w:r w:rsidRPr="00A9231D">
        <w:rPr>
          <w:rFonts w:eastAsia="Times New Roman" w:cs="Arial"/>
          <w:color w:val="000000"/>
          <w:lang w:eastAsia="bg-BG"/>
        </w:rPr>
        <w:t xml:space="preserve">и </w:t>
      </w:r>
      <w:r w:rsidRPr="00A9231D">
        <w:rPr>
          <w:rFonts w:eastAsia="Times New Roman" w:cs="Arial"/>
          <w:color w:val="000000"/>
          <w:lang w:val="en-US"/>
        </w:rPr>
        <w:t>t</w:t>
      </w:r>
      <w:r w:rsidRPr="00A9231D">
        <w:rPr>
          <w:rFonts w:eastAsia="Times New Roman" w:cs="Arial"/>
          <w:color w:val="000000"/>
          <w:lang w:val="ru-RU"/>
        </w:rPr>
        <w:t xml:space="preserve">1/2 </w:t>
      </w:r>
      <w:r w:rsidRPr="00A9231D">
        <w:rPr>
          <w:rFonts w:eastAsia="Times New Roman" w:cs="Arial"/>
          <w:color w:val="000000"/>
          <w:lang w:eastAsia="bg-BG"/>
        </w:rPr>
        <w:t>за съответните педиатрични възрастови групи, сравнени с данните при възрастните:</w:t>
      </w:r>
    </w:p>
    <w:tbl>
      <w:tblPr>
        <w:tblStyle w:val="TableGrid"/>
        <w:tblW w:w="0" w:type="auto"/>
        <w:tblLook w:val="04A0" w:firstRow="1" w:lastRow="0" w:firstColumn="1" w:lastColumn="0" w:noHBand="0" w:noVBand="1"/>
      </w:tblPr>
      <w:tblGrid>
        <w:gridCol w:w="1574"/>
        <w:gridCol w:w="1588"/>
        <w:gridCol w:w="1552"/>
        <w:gridCol w:w="1552"/>
        <w:gridCol w:w="1542"/>
        <w:gridCol w:w="1542"/>
      </w:tblGrid>
      <w:tr w:rsidR="00A9231D" w14:paraId="1B79DF3C" w14:textId="77777777" w:rsidTr="00526601">
        <w:tc>
          <w:tcPr>
            <w:tcW w:w="1596" w:type="dxa"/>
          </w:tcPr>
          <w:p w14:paraId="4EB77258" w14:textId="42838C2A" w:rsidR="00A9231D" w:rsidRPr="00A9231D" w:rsidRDefault="00A9231D" w:rsidP="00A9231D">
            <w:pPr>
              <w:rPr>
                <w:rFonts w:eastAsia="Times New Roman" w:cs="Arial"/>
                <w:b/>
              </w:rPr>
            </w:pPr>
            <w:r w:rsidRPr="00A9231D">
              <w:rPr>
                <w:b/>
              </w:rPr>
              <w:t>ФК показател</w:t>
            </w:r>
          </w:p>
        </w:tc>
        <w:tc>
          <w:tcPr>
            <w:tcW w:w="1596" w:type="dxa"/>
          </w:tcPr>
          <w:p w14:paraId="6EAA851D" w14:textId="4BA5115B" w:rsidR="00A9231D" w:rsidRPr="00A9231D" w:rsidRDefault="00A9231D" w:rsidP="00A9231D">
            <w:pPr>
              <w:rPr>
                <w:rFonts w:eastAsia="Times New Roman" w:cs="Arial"/>
                <w:b/>
              </w:rPr>
            </w:pPr>
            <w:r w:rsidRPr="00A9231D">
              <w:rPr>
                <w:b/>
              </w:rPr>
              <w:t>Възрастни*</w:t>
            </w:r>
          </w:p>
        </w:tc>
        <w:tc>
          <w:tcPr>
            <w:tcW w:w="6384" w:type="dxa"/>
            <w:gridSpan w:val="4"/>
          </w:tcPr>
          <w:p w14:paraId="40DDE3D3" w14:textId="1697B1B1" w:rsidR="00A9231D" w:rsidRPr="00A9231D" w:rsidRDefault="00A9231D" w:rsidP="00A9231D">
            <w:pPr>
              <w:rPr>
                <w:rFonts w:eastAsia="Times New Roman" w:cs="Arial"/>
                <w:b/>
              </w:rPr>
            </w:pPr>
            <w:r w:rsidRPr="00A9231D">
              <w:rPr>
                <w:b/>
              </w:rPr>
              <w:t>Педиатрични пациенти</w:t>
            </w:r>
          </w:p>
        </w:tc>
      </w:tr>
      <w:tr w:rsidR="00A9231D" w14:paraId="0892004D" w14:textId="77777777" w:rsidTr="00A9231D">
        <w:tc>
          <w:tcPr>
            <w:tcW w:w="1596" w:type="dxa"/>
          </w:tcPr>
          <w:p w14:paraId="2D75C283" w14:textId="77777777" w:rsidR="00A9231D" w:rsidRPr="00A9231D" w:rsidRDefault="00A9231D" w:rsidP="00A9231D">
            <w:pPr>
              <w:spacing w:line="240" w:lineRule="auto"/>
              <w:rPr>
                <w:rFonts w:eastAsia="Times New Roman" w:cs="Arial"/>
                <w:b/>
              </w:rPr>
            </w:pPr>
          </w:p>
        </w:tc>
        <w:tc>
          <w:tcPr>
            <w:tcW w:w="1596" w:type="dxa"/>
          </w:tcPr>
          <w:p w14:paraId="351DA7DA" w14:textId="77777777" w:rsidR="00A9231D" w:rsidRPr="00A9231D" w:rsidRDefault="00A9231D" w:rsidP="00A9231D">
            <w:pPr>
              <w:rPr>
                <w:b/>
              </w:rPr>
            </w:pPr>
            <w:r w:rsidRPr="00A9231D">
              <w:rPr>
                <w:b/>
              </w:rPr>
              <w:t>≥</w:t>
            </w:r>
            <w:r w:rsidRPr="00A9231D">
              <w:rPr>
                <w:b/>
                <w:lang w:val="en-US"/>
              </w:rPr>
              <w:t xml:space="preserve">18 </w:t>
            </w:r>
            <w:r w:rsidRPr="00A9231D">
              <w:rPr>
                <w:b/>
              </w:rPr>
              <w:t>години</w:t>
            </w:r>
          </w:p>
          <w:p w14:paraId="19B3DA88" w14:textId="4DBD1BF4" w:rsidR="00A9231D" w:rsidRPr="00A9231D" w:rsidRDefault="00A9231D" w:rsidP="00A9231D">
            <w:pPr>
              <w:spacing w:line="240" w:lineRule="auto"/>
              <w:rPr>
                <w:rFonts w:eastAsia="Times New Roman" w:cs="Arial"/>
                <w:b/>
              </w:rPr>
            </w:pPr>
            <w:r w:rsidRPr="00A9231D">
              <w:rPr>
                <w:b/>
                <w:lang w:val="en-US"/>
              </w:rPr>
              <w:t>(n=160)</w:t>
            </w:r>
          </w:p>
        </w:tc>
        <w:tc>
          <w:tcPr>
            <w:tcW w:w="1596" w:type="dxa"/>
          </w:tcPr>
          <w:p w14:paraId="6AE63D99" w14:textId="77777777" w:rsidR="00A9231D" w:rsidRPr="00A9231D" w:rsidRDefault="00A9231D" w:rsidP="00A9231D">
            <w:pPr>
              <w:rPr>
                <w:b/>
              </w:rPr>
            </w:pPr>
            <w:r w:rsidRPr="00A9231D">
              <w:rPr>
                <w:b/>
              </w:rPr>
              <w:t>&lt; 4 месеца</w:t>
            </w:r>
          </w:p>
          <w:p w14:paraId="23D35D10" w14:textId="1DD60E3F" w:rsidR="00A9231D" w:rsidRPr="00A9231D" w:rsidRDefault="00A9231D" w:rsidP="00A9231D">
            <w:pPr>
              <w:spacing w:line="240" w:lineRule="auto"/>
              <w:rPr>
                <w:rFonts w:eastAsia="Times New Roman" w:cs="Arial"/>
                <w:b/>
              </w:rPr>
            </w:pPr>
            <w:r w:rsidRPr="00A9231D">
              <w:rPr>
                <w:b/>
              </w:rPr>
              <w:t>(</w:t>
            </w:r>
            <w:r w:rsidRPr="00A9231D">
              <w:rPr>
                <w:b/>
                <w:lang w:val="en-US"/>
              </w:rPr>
              <w:t>n=</w:t>
            </w:r>
            <w:r w:rsidRPr="00A9231D">
              <w:rPr>
                <w:b/>
              </w:rPr>
              <w:t xml:space="preserve"> 14)</w:t>
            </w:r>
          </w:p>
        </w:tc>
        <w:tc>
          <w:tcPr>
            <w:tcW w:w="1596" w:type="dxa"/>
          </w:tcPr>
          <w:p w14:paraId="37ED3D83" w14:textId="77777777" w:rsidR="00A9231D" w:rsidRPr="00A9231D" w:rsidRDefault="00A9231D" w:rsidP="00A9231D">
            <w:pPr>
              <w:rPr>
                <w:b/>
              </w:rPr>
            </w:pPr>
            <w:r w:rsidRPr="00A9231D">
              <w:rPr>
                <w:b/>
              </w:rPr>
              <w:t>4 месеца - ≤ 2 год.</w:t>
            </w:r>
          </w:p>
          <w:p w14:paraId="7EA5F77D" w14:textId="235D8E07" w:rsidR="00A9231D" w:rsidRPr="00A9231D" w:rsidRDefault="00A9231D" w:rsidP="00A9231D">
            <w:pPr>
              <w:spacing w:line="240" w:lineRule="auto"/>
              <w:rPr>
                <w:rFonts w:eastAsia="Times New Roman" w:cs="Arial"/>
                <w:b/>
              </w:rPr>
            </w:pPr>
            <w:r w:rsidRPr="00A9231D">
              <w:rPr>
                <w:b/>
              </w:rPr>
              <w:t>(</w:t>
            </w:r>
            <w:r w:rsidRPr="00A9231D">
              <w:rPr>
                <w:b/>
                <w:lang w:val="en-US"/>
              </w:rPr>
              <w:t>n</w:t>
            </w:r>
            <w:r w:rsidRPr="00A9231D">
              <w:rPr>
                <w:b/>
              </w:rPr>
              <w:t>=17)</w:t>
            </w:r>
          </w:p>
        </w:tc>
        <w:tc>
          <w:tcPr>
            <w:tcW w:w="1596" w:type="dxa"/>
          </w:tcPr>
          <w:p w14:paraId="571E684D" w14:textId="77777777" w:rsidR="00A9231D" w:rsidRPr="00A9231D" w:rsidRDefault="00A9231D" w:rsidP="00A9231D">
            <w:pPr>
              <w:rPr>
                <w:b/>
              </w:rPr>
            </w:pPr>
            <w:r w:rsidRPr="00A9231D">
              <w:rPr>
                <w:b/>
              </w:rPr>
              <w:t>&gt;2 - &lt; 12 год,</w:t>
            </w:r>
          </w:p>
          <w:p w14:paraId="40147DF5" w14:textId="44942FEF" w:rsidR="00A9231D" w:rsidRPr="00A9231D" w:rsidRDefault="00A9231D" w:rsidP="00A9231D">
            <w:pPr>
              <w:spacing w:line="240" w:lineRule="auto"/>
              <w:rPr>
                <w:rFonts w:eastAsia="Times New Roman" w:cs="Arial"/>
                <w:b/>
              </w:rPr>
            </w:pPr>
            <w:r w:rsidRPr="00A9231D">
              <w:rPr>
                <w:b/>
              </w:rPr>
              <w:t>(</w:t>
            </w:r>
            <w:r w:rsidRPr="00A9231D">
              <w:rPr>
                <w:b/>
                <w:lang w:val="en-US"/>
              </w:rPr>
              <w:t>n</w:t>
            </w:r>
            <w:r w:rsidRPr="00A9231D">
              <w:rPr>
                <w:b/>
              </w:rPr>
              <w:t>=21)</w:t>
            </w:r>
          </w:p>
        </w:tc>
        <w:tc>
          <w:tcPr>
            <w:tcW w:w="1596" w:type="dxa"/>
          </w:tcPr>
          <w:p w14:paraId="03FFB520" w14:textId="77777777" w:rsidR="00A9231D" w:rsidRPr="00A9231D" w:rsidRDefault="00A9231D" w:rsidP="00A9231D">
            <w:pPr>
              <w:rPr>
                <w:b/>
              </w:rPr>
            </w:pPr>
            <w:r w:rsidRPr="00A9231D">
              <w:rPr>
                <w:b/>
              </w:rPr>
              <w:t>≥ 12 год. -16 год.</w:t>
            </w:r>
          </w:p>
          <w:p w14:paraId="6D30EA1B" w14:textId="03D4432D" w:rsidR="00A9231D" w:rsidRPr="00A9231D" w:rsidRDefault="00A9231D" w:rsidP="00A9231D">
            <w:pPr>
              <w:spacing w:line="240" w:lineRule="auto"/>
              <w:rPr>
                <w:rFonts w:eastAsia="Times New Roman" w:cs="Arial"/>
                <w:b/>
              </w:rPr>
            </w:pPr>
            <w:r w:rsidRPr="00A9231D">
              <w:rPr>
                <w:b/>
              </w:rPr>
              <w:t>(</w:t>
            </w:r>
            <w:r w:rsidRPr="00A9231D">
              <w:rPr>
                <w:b/>
                <w:lang w:val="en-US"/>
              </w:rPr>
              <w:t>n</w:t>
            </w:r>
            <w:r w:rsidRPr="00A9231D">
              <w:rPr>
                <w:b/>
              </w:rPr>
              <w:t>=25)</w:t>
            </w:r>
          </w:p>
        </w:tc>
      </w:tr>
      <w:tr w:rsidR="00A9231D" w14:paraId="7489A3B9" w14:textId="77777777" w:rsidTr="00A9231D">
        <w:tc>
          <w:tcPr>
            <w:tcW w:w="1596" w:type="dxa"/>
          </w:tcPr>
          <w:p w14:paraId="6422526D" w14:textId="0121D1D2" w:rsidR="00A9231D" w:rsidRPr="00A9231D" w:rsidRDefault="00A9231D" w:rsidP="00A9231D">
            <w:pPr>
              <w:spacing w:line="240" w:lineRule="auto"/>
              <w:rPr>
                <w:rFonts w:eastAsia="Times New Roman" w:cs="Arial"/>
              </w:rPr>
            </w:pPr>
            <w:r w:rsidRPr="00A9231D">
              <w:rPr>
                <w:lang w:val="en-US"/>
              </w:rPr>
              <w:t>AUC</w:t>
            </w:r>
            <w:r w:rsidRPr="00A9231D">
              <w:rPr>
                <w:vertAlign w:val="subscript"/>
                <w:lang w:val="en-US"/>
              </w:rPr>
              <w:t>(0-24h)</w:t>
            </w:r>
            <w:r w:rsidRPr="00A9231D">
              <w:rPr>
                <w:lang w:val="en-US"/>
              </w:rPr>
              <w:t xml:space="preserve"> (</w:t>
            </w:r>
            <w:r w:rsidRPr="00A9231D">
              <w:t>μ</w:t>
            </w:r>
            <w:r w:rsidRPr="00A9231D">
              <w:rPr>
                <w:lang w:val="en-US"/>
              </w:rPr>
              <w:t>g.h/ml)</w:t>
            </w:r>
          </w:p>
        </w:tc>
        <w:tc>
          <w:tcPr>
            <w:tcW w:w="1596" w:type="dxa"/>
          </w:tcPr>
          <w:p w14:paraId="13C1123E" w14:textId="097B08CF" w:rsidR="00A9231D" w:rsidRPr="00A9231D" w:rsidRDefault="00A9231D" w:rsidP="00A9231D">
            <w:pPr>
              <w:spacing w:line="240" w:lineRule="auto"/>
              <w:rPr>
                <w:rFonts w:eastAsia="Times New Roman" w:cs="Arial"/>
              </w:rPr>
            </w:pPr>
            <w:r w:rsidRPr="00A9231D">
              <w:t>46,3 ± 15,2</w:t>
            </w:r>
          </w:p>
        </w:tc>
        <w:tc>
          <w:tcPr>
            <w:tcW w:w="1596" w:type="dxa"/>
          </w:tcPr>
          <w:p w14:paraId="70E5848D" w14:textId="500DA46C" w:rsidR="00A9231D" w:rsidRPr="00A9231D" w:rsidRDefault="00A9231D" w:rsidP="00A9231D">
            <w:pPr>
              <w:spacing w:line="240" w:lineRule="auto"/>
              <w:rPr>
                <w:rFonts w:eastAsia="Times New Roman" w:cs="Arial"/>
              </w:rPr>
            </w:pPr>
            <w:r w:rsidRPr="00A9231D">
              <w:t>68,1 ± 19,8</w:t>
            </w:r>
          </w:p>
        </w:tc>
        <w:tc>
          <w:tcPr>
            <w:tcW w:w="1596" w:type="dxa"/>
          </w:tcPr>
          <w:p w14:paraId="301AFF9F" w14:textId="3669A38E" w:rsidR="00A9231D" w:rsidRPr="00A9231D" w:rsidRDefault="00A9231D" w:rsidP="00A9231D">
            <w:pPr>
              <w:spacing w:line="240" w:lineRule="auto"/>
              <w:rPr>
                <w:rFonts w:eastAsia="Times New Roman" w:cs="Arial"/>
              </w:rPr>
            </w:pPr>
            <w:r w:rsidRPr="00A9231D">
              <w:t>64,3 ± 29,2</w:t>
            </w:r>
          </w:p>
        </w:tc>
        <w:tc>
          <w:tcPr>
            <w:tcW w:w="1596" w:type="dxa"/>
          </w:tcPr>
          <w:p w14:paraId="16CD4DE8" w14:textId="0DB4585A" w:rsidR="00A9231D" w:rsidRPr="00A9231D" w:rsidRDefault="00A9231D" w:rsidP="00A9231D">
            <w:pPr>
              <w:spacing w:line="240" w:lineRule="auto"/>
              <w:rPr>
                <w:rFonts w:eastAsia="Times New Roman" w:cs="Arial"/>
              </w:rPr>
            </w:pPr>
            <w:r w:rsidRPr="00A9231D">
              <w:t>59,2 ± 15,1</w:t>
            </w:r>
          </w:p>
        </w:tc>
        <w:tc>
          <w:tcPr>
            <w:tcW w:w="1596" w:type="dxa"/>
          </w:tcPr>
          <w:p w14:paraId="5D327A45" w14:textId="5AAE3F66" w:rsidR="00A9231D" w:rsidRPr="00A9231D" w:rsidRDefault="00A9231D" w:rsidP="00A9231D">
            <w:pPr>
              <w:spacing w:line="240" w:lineRule="auto"/>
              <w:rPr>
                <w:rFonts w:eastAsia="Times New Roman" w:cs="Arial"/>
              </w:rPr>
            </w:pPr>
            <w:r w:rsidRPr="00A9231D">
              <w:t>50,3 ± 15,0</w:t>
            </w:r>
          </w:p>
        </w:tc>
      </w:tr>
      <w:tr w:rsidR="00A9231D" w14:paraId="4FB5D42F" w14:textId="77777777" w:rsidTr="00A9231D">
        <w:tc>
          <w:tcPr>
            <w:tcW w:w="1596" w:type="dxa"/>
          </w:tcPr>
          <w:p w14:paraId="69C30990" w14:textId="77777777" w:rsidR="00A9231D" w:rsidRPr="00A9231D" w:rsidRDefault="00A9231D" w:rsidP="00A9231D">
            <w:r w:rsidRPr="00A9231D">
              <w:t>Граница на</w:t>
            </w:r>
          </w:p>
          <w:p w14:paraId="5F5AD74F" w14:textId="7A52CD86" w:rsidR="00A9231D" w:rsidRPr="00A9231D" w:rsidRDefault="00A9231D" w:rsidP="00A9231D">
            <w:pPr>
              <w:spacing w:line="240" w:lineRule="auto"/>
              <w:rPr>
                <w:rFonts w:eastAsia="Times New Roman" w:cs="Arial"/>
              </w:rPr>
            </w:pPr>
            <w:r w:rsidRPr="00A9231D">
              <w:rPr>
                <w:lang w:val="en-US"/>
              </w:rPr>
              <w:t>AUC</w:t>
            </w:r>
            <w:r w:rsidRPr="00A9231D">
              <w:rPr>
                <w:vertAlign w:val="subscript"/>
                <w:lang w:val="en-US"/>
              </w:rPr>
              <w:t>0-24h</w:t>
            </w:r>
          </w:p>
        </w:tc>
        <w:tc>
          <w:tcPr>
            <w:tcW w:w="1596" w:type="dxa"/>
          </w:tcPr>
          <w:p w14:paraId="3B02C924" w14:textId="55A38351" w:rsidR="00A9231D" w:rsidRPr="00A9231D" w:rsidRDefault="00A9231D" w:rsidP="00A9231D">
            <w:pPr>
              <w:spacing w:line="240" w:lineRule="auto"/>
              <w:rPr>
                <w:rFonts w:eastAsia="Times New Roman" w:cs="Arial"/>
              </w:rPr>
            </w:pPr>
            <w:r w:rsidRPr="00A9231D">
              <w:t>15,4-116,1</w:t>
            </w:r>
          </w:p>
        </w:tc>
        <w:tc>
          <w:tcPr>
            <w:tcW w:w="1596" w:type="dxa"/>
          </w:tcPr>
          <w:p w14:paraId="74EB42F1" w14:textId="7CF19B28" w:rsidR="00A9231D" w:rsidRPr="00A9231D" w:rsidRDefault="00A9231D" w:rsidP="00A9231D">
            <w:pPr>
              <w:spacing w:line="240" w:lineRule="auto"/>
              <w:rPr>
                <w:rFonts w:eastAsia="Times New Roman" w:cs="Arial"/>
              </w:rPr>
            </w:pPr>
            <w:r w:rsidRPr="00A9231D">
              <w:t>34 -124</w:t>
            </w:r>
          </w:p>
        </w:tc>
        <w:tc>
          <w:tcPr>
            <w:tcW w:w="1596" w:type="dxa"/>
          </w:tcPr>
          <w:p w14:paraId="007401BA" w14:textId="5BDA3A7A" w:rsidR="00A9231D" w:rsidRPr="00A9231D" w:rsidRDefault="00A9231D" w:rsidP="00A9231D">
            <w:pPr>
              <w:spacing w:line="240" w:lineRule="auto"/>
              <w:rPr>
                <w:rFonts w:eastAsia="Times New Roman" w:cs="Arial"/>
              </w:rPr>
            </w:pPr>
            <w:r w:rsidRPr="00A9231D">
              <w:t>34-152</w:t>
            </w:r>
          </w:p>
        </w:tc>
        <w:tc>
          <w:tcPr>
            <w:tcW w:w="1596" w:type="dxa"/>
          </w:tcPr>
          <w:p w14:paraId="7D72FEE1" w14:textId="5E02385B" w:rsidR="00A9231D" w:rsidRPr="00A9231D" w:rsidRDefault="00A9231D" w:rsidP="00A9231D">
            <w:pPr>
              <w:spacing w:line="240" w:lineRule="auto"/>
              <w:rPr>
                <w:rFonts w:eastAsia="Times New Roman" w:cs="Arial"/>
              </w:rPr>
            </w:pPr>
            <w:r w:rsidRPr="00A9231D">
              <w:t>36-108</w:t>
            </w:r>
          </w:p>
        </w:tc>
        <w:tc>
          <w:tcPr>
            <w:tcW w:w="1596" w:type="dxa"/>
          </w:tcPr>
          <w:p w14:paraId="3FA8F46D" w14:textId="1638D354" w:rsidR="00A9231D" w:rsidRPr="00A9231D" w:rsidRDefault="00A9231D" w:rsidP="00A9231D">
            <w:pPr>
              <w:spacing w:line="240" w:lineRule="auto"/>
              <w:rPr>
                <w:rFonts w:eastAsia="Times New Roman" w:cs="Arial"/>
              </w:rPr>
            </w:pPr>
            <w:r w:rsidRPr="00A9231D">
              <w:t>22-93</w:t>
            </w:r>
          </w:p>
        </w:tc>
      </w:tr>
      <w:tr w:rsidR="00A9231D" w14:paraId="16B6D6D4" w14:textId="77777777" w:rsidTr="00A9231D">
        <w:tc>
          <w:tcPr>
            <w:tcW w:w="1596" w:type="dxa"/>
          </w:tcPr>
          <w:p w14:paraId="0D9A0012" w14:textId="1D0FEFF2" w:rsidR="00A9231D" w:rsidRPr="00A9231D" w:rsidRDefault="00A9231D" w:rsidP="00A9231D">
            <w:pPr>
              <w:spacing w:line="240" w:lineRule="auto"/>
              <w:rPr>
                <w:rFonts w:eastAsia="Times New Roman" w:cs="Arial"/>
              </w:rPr>
            </w:pPr>
            <w:r w:rsidRPr="00A9231D">
              <w:rPr>
                <w:lang w:val="en-US"/>
              </w:rPr>
              <w:t>C</w:t>
            </w:r>
            <w:r w:rsidRPr="00A9231D">
              <w:rPr>
                <w:vertAlign w:val="subscript"/>
                <w:lang w:val="en-US"/>
              </w:rPr>
              <w:t>max</w:t>
            </w:r>
            <w:r w:rsidRPr="00A9231D">
              <w:rPr>
                <w:lang w:val="en-US"/>
              </w:rPr>
              <w:t xml:space="preserve"> (</w:t>
            </w:r>
            <w:r w:rsidRPr="00A9231D">
              <w:t>μ</w:t>
            </w:r>
            <w:r w:rsidRPr="00A9231D">
              <w:rPr>
                <w:lang w:val="en-US"/>
              </w:rPr>
              <w:t>g/ml)</w:t>
            </w:r>
          </w:p>
        </w:tc>
        <w:tc>
          <w:tcPr>
            <w:tcW w:w="1596" w:type="dxa"/>
          </w:tcPr>
          <w:p w14:paraId="680162B7" w14:textId="0774D3C2" w:rsidR="00A9231D" w:rsidRPr="00A9231D" w:rsidRDefault="00A9231D" w:rsidP="00A9231D">
            <w:pPr>
              <w:spacing w:line="240" w:lineRule="auto"/>
              <w:rPr>
                <w:rFonts w:eastAsia="Times New Roman" w:cs="Arial"/>
              </w:rPr>
            </w:pPr>
            <w:r w:rsidRPr="00A9231D">
              <w:t>5,3 ± 1,5</w:t>
            </w:r>
          </w:p>
        </w:tc>
        <w:tc>
          <w:tcPr>
            <w:tcW w:w="1596" w:type="dxa"/>
          </w:tcPr>
          <w:p w14:paraId="1834FED1" w14:textId="27EC7FD6" w:rsidR="00A9231D" w:rsidRPr="00A9231D" w:rsidRDefault="00A9231D" w:rsidP="00A9231D">
            <w:pPr>
              <w:spacing w:line="240" w:lineRule="auto"/>
              <w:rPr>
                <w:rFonts w:eastAsia="Times New Roman" w:cs="Arial"/>
              </w:rPr>
            </w:pPr>
            <w:r w:rsidRPr="00A9231D">
              <w:t>10,5 ±3,36</w:t>
            </w:r>
          </w:p>
        </w:tc>
        <w:tc>
          <w:tcPr>
            <w:tcW w:w="1596" w:type="dxa"/>
          </w:tcPr>
          <w:p w14:paraId="442066D3" w14:textId="36F0FDB9" w:rsidR="00A9231D" w:rsidRPr="00A9231D" w:rsidRDefault="00A9231D" w:rsidP="00A9231D">
            <w:pPr>
              <w:spacing w:line="240" w:lineRule="auto"/>
              <w:rPr>
                <w:rFonts w:eastAsia="Times New Roman" w:cs="Arial"/>
              </w:rPr>
            </w:pPr>
            <w:r w:rsidRPr="00A9231D">
              <w:t>10,3 ± 3,3</w:t>
            </w:r>
          </w:p>
        </w:tc>
        <w:tc>
          <w:tcPr>
            <w:tcW w:w="1596" w:type="dxa"/>
          </w:tcPr>
          <w:p w14:paraId="2A1590C2" w14:textId="564278E6" w:rsidR="00A9231D" w:rsidRPr="00A9231D" w:rsidRDefault="00A9231D" w:rsidP="00A9231D">
            <w:pPr>
              <w:spacing w:line="240" w:lineRule="auto"/>
              <w:rPr>
                <w:rFonts w:eastAsia="Times New Roman" w:cs="Arial"/>
              </w:rPr>
            </w:pPr>
            <w:r w:rsidRPr="00A9231D">
              <w:t>9,4 ±2,7</w:t>
            </w:r>
          </w:p>
        </w:tc>
        <w:tc>
          <w:tcPr>
            <w:tcW w:w="1596" w:type="dxa"/>
          </w:tcPr>
          <w:p w14:paraId="185F2FBB" w14:textId="4F24EF76" w:rsidR="00A9231D" w:rsidRPr="00A9231D" w:rsidRDefault="00A9231D" w:rsidP="00A9231D">
            <w:pPr>
              <w:spacing w:line="240" w:lineRule="auto"/>
              <w:rPr>
                <w:rFonts w:eastAsia="Times New Roman" w:cs="Arial"/>
              </w:rPr>
            </w:pPr>
            <w:r w:rsidRPr="00A9231D">
              <w:t>8,0 ± 2,4</w:t>
            </w:r>
          </w:p>
        </w:tc>
      </w:tr>
      <w:tr w:rsidR="00A9231D" w14:paraId="67091D33" w14:textId="77777777" w:rsidTr="00A9231D">
        <w:tc>
          <w:tcPr>
            <w:tcW w:w="1596" w:type="dxa"/>
          </w:tcPr>
          <w:p w14:paraId="7F5C37D6" w14:textId="57036EE3" w:rsidR="00A9231D" w:rsidRPr="00A9231D" w:rsidRDefault="00A9231D" w:rsidP="00A9231D">
            <w:pPr>
              <w:spacing w:line="240" w:lineRule="auto"/>
              <w:rPr>
                <w:rFonts w:eastAsia="Times New Roman" w:cs="Arial"/>
              </w:rPr>
            </w:pPr>
            <w:r w:rsidRPr="00A9231D">
              <w:t xml:space="preserve">Клирънс </w:t>
            </w:r>
            <w:r w:rsidRPr="00A9231D">
              <w:rPr>
                <w:lang w:val="en-US"/>
              </w:rPr>
              <w:t>(l/h)</w:t>
            </w:r>
          </w:p>
        </w:tc>
        <w:tc>
          <w:tcPr>
            <w:tcW w:w="1596" w:type="dxa"/>
          </w:tcPr>
          <w:p w14:paraId="0FD70F1F" w14:textId="39C1DF52" w:rsidR="00A9231D" w:rsidRPr="00A9231D" w:rsidRDefault="00A9231D" w:rsidP="00A9231D">
            <w:pPr>
              <w:spacing w:line="240" w:lineRule="auto"/>
              <w:rPr>
                <w:rFonts w:eastAsia="Times New Roman" w:cs="Arial"/>
              </w:rPr>
            </w:pPr>
            <w:r w:rsidRPr="00A9231D">
              <w:t>12,7 ±4,5</w:t>
            </w:r>
          </w:p>
        </w:tc>
        <w:tc>
          <w:tcPr>
            <w:tcW w:w="1596" w:type="dxa"/>
          </w:tcPr>
          <w:p w14:paraId="486BCDD6" w14:textId="5DA112FF" w:rsidR="00A9231D" w:rsidRPr="00A9231D" w:rsidRDefault="00A9231D" w:rsidP="00A9231D">
            <w:pPr>
              <w:spacing w:line="240" w:lineRule="auto"/>
              <w:rPr>
                <w:rFonts w:eastAsia="Times New Roman" w:cs="Arial"/>
              </w:rPr>
            </w:pPr>
            <w:r w:rsidRPr="00A9231D">
              <w:t>1,25 ±0,473</w:t>
            </w:r>
          </w:p>
        </w:tc>
        <w:tc>
          <w:tcPr>
            <w:tcW w:w="1596" w:type="dxa"/>
          </w:tcPr>
          <w:p w14:paraId="6AC45FB5" w14:textId="0762A20C" w:rsidR="00A9231D" w:rsidRPr="00A9231D" w:rsidRDefault="00A9231D" w:rsidP="00A9231D">
            <w:pPr>
              <w:spacing w:line="240" w:lineRule="auto"/>
              <w:rPr>
                <w:rFonts w:eastAsia="Times New Roman" w:cs="Arial"/>
              </w:rPr>
            </w:pPr>
            <w:r w:rsidRPr="00A9231D">
              <w:t>2,5 ± 2,4</w:t>
            </w:r>
          </w:p>
        </w:tc>
        <w:tc>
          <w:tcPr>
            <w:tcW w:w="1596" w:type="dxa"/>
          </w:tcPr>
          <w:p w14:paraId="0A98A236" w14:textId="6DEF5EEE" w:rsidR="00A9231D" w:rsidRPr="00A9231D" w:rsidRDefault="00A9231D" w:rsidP="00A9231D">
            <w:pPr>
              <w:spacing w:line="240" w:lineRule="auto"/>
              <w:rPr>
                <w:rFonts w:eastAsia="Times New Roman" w:cs="Arial"/>
              </w:rPr>
            </w:pPr>
            <w:r w:rsidRPr="00A9231D">
              <w:t>4,5 ±2,9</w:t>
            </w:r>
          </w:p>
        </w:tc>
        <w:tc>
          <w:tcPr>
            <w:tcW w:w="1596" w:type="dxa"/>
          </w:tcPr>
          <w:p w14:paraId="1C93A40C" w14:textId="1319AF9F" w:rsidR="00A9231D" w:rsidRPr="00A9231D" w:rsidRDefault="00A9231D" w:rsidP="00A9231D">
            <w:pPr>
              <w:spacing w:line="240" w:lineRule="auto"/>
              <w:rPr>
                <w:rFonts w:eastAsia="Times New Roman" w:cs="Arial"/>
              </w:rPr>
            </w:pPr>
            <w:r w:rsidRPr="00A9231D">
              <w:t>6,4 ± 2,9</w:t>
            </w:r>
          </w:p>
        </w:tc>
      </w:tr>
      <w:tr w:rsidR="00A9231D" w14:paraId="72754758" w14:textId="77777777" w:rsidTr="00A9231D">
        <w:tc>
          <w:tcPr>
            <w:tcW w:w="1596" w:type="dxa"/>
          </w:tcPr>
          <w:p w14:paraId="63B21A3F" w14:textId="5B73349C" w:rsidR="00A9231D" w:rsidRPr="00A9231D" w:rsidRDefault="00A9231D" w:rsidP="00A9231D">
            <w:pPr>
              <w:spacing w:line="240" w:lineRule="auto"/>
              <w:rPr>
                <w:rFonts w:eastAsia="Times New Roman" w:cs="Arial"/>
              </w:rPr>
            </w:pPr>
            <w:r w:rsidRPr="00A9231D">
              <w:rPr>
                <w:lang w:val="en-US"/>
              </w:rPr>
              <w:t>t1/2 (h)</w:t>
            </w:r>
          </w:p>
        </w:tc>
        <w:tc>
          <w:tcPr>
            <w:tcW w:w="1596" w:type="dxa"/>
          </w:tcPr>
          <w:p w14:paraId="42A5D23B" w14:textId="6DB63A4F" w:rsidR="00A9231D" w:rsidRPr="00A9231D" w:rsidRDefault="00A9231D" w:rsidP="00A9231D">
            <w:pPr>
              <w:spacing w:line="240" w:lineRule="auto"/>
              <w:rPr>
                <w:rFonts w:eastAsia="Times New Roman" w:cs="Arial"/>
              </w:rPr>
            </w:pPr>
            <w:r w:rsidRPr="00A9231D">
              <w:t>6,5 ±1,4</w:t>
            </w:r>
          </w:p>
        </w:tc>
        <w:tc>
          <w:tcPr>
            <w:tcW w:w="1596" w:type="dxa"/>
          </w:tcPr>
          <w:p w14:paraId="6E7EF820" w14:textId="02E7C949" w:rsidR="00A9231D" w:rsidRPr="00A9231D" w:rsidRDefault="00A9231D" w:rsidP="00A9231D">
            <w:pPr>
              <w:spacing w:line="240" w:lineRule="auto"/>
              <w:rPr>
                <w:rFonts w:eastAsia="Times New Roman" w:cs="Arial"/>
              </w:rPr>
            </w:pPr>
            <w:r w:rsidRPr="00A9231D">
              <w:t>1,97 ±0,185</w:t>
            </w:r>
          </w:p>
        </w:tc>
        <w:tc>
          <w:tcPr>
            <w:tcW w:w="1596" w:type="dxa"/>
          </w:tcPr>
          <w:p w14:paraId="1801C389" w14:textId="1121AE3E" w:rsidR="00A9231D" w:rsidRPr="00A9231D" w:rsidRDefault="00A9231D" w:rsidP="00A9231D">
            <w:pPr>
              <w:spacing w:line="240" w:lineRule="auto"/>
              <w:rPr>
                <w:rFonts w:eastAsia="Times New Roman" w:cs="Arial"/>
              </w:rPr>
            </w:pPr>
            <w:r w:rsidRPr="00A9231D">
              <w:t>3,1 ±1,4</w:t>
            </w:r>
          </w:p>
        </w:tc>
        <w:tc>
          <w:tcPr>
            <w:tcW w:w="1596" w:type="dxa"/>
          </w:tcPr>
          <w:p w14:paraId="16B7256E" w14:textId="54264742" w:rsidR="00A9231D" w:rsidRPr="00A9231D" w:rsidRDefault="00A9231D" w:rsidP="00A9231D">
            <w:pPr>
              <w:spacing w:line="240" w:lineRule="auto"/>
              <w:rPr>
                <w:rFonts w:eastAsia="Times New Roman" w:cs="Arial"/>
              </w:rPr>
            </w:pPr>
            <w:r w:rsidRPr="00A9231D">
              <w:t>4,1 ± 1,3</w:t>
            </w:r>
          </w:p>
        </w:tc>
        <w:tc>
          <w:tcPr>
            <w:tcW w:w="1596" w:type="dxa"/>
          </w:tcPr>
          <w:p w14:paraId="0B23AB74" w14:textId="5B888B70" w:rsidR="00A9231D" w:rsidRPr="00A9231D" w:rsidRDefault="00A9231D" w:rsidP="00A9231D">
            <w:pPr>
              <w:spacing w:line="240" w:lineRule="auto"/>
              <w:rPr>
                <w:rFonts w:eastAsia="Times New Roman" w:cs="Arial"/>
              </w:rPr>
            </w:pPr>
            <w:r w:rsidRPr="00A9231D">
              <w:t>5,5 ± 1,1</w:t>
            </w:r>
          </w:p>
        </w:tc>
      </w:tr>
    </w:tbl>
    <w:p w14:paraId="5584D751" w14:textId="2FC74386" w:rsidR="00A9231D" w:rsidRPr="00A9231D" w:rsidRDefault="00A9231D" w:rsidP="00A9231D">
      <w:pPr>
        <w:spacing w:line="240" w:lineRule="auto"/>
        <w:rPr>
          <w:rFonts w:eastAsia="Times New Roman" w:cs="Arial"/>
        </w:rPr>
      </w:pPr>
      <w:r w:rsidRPr="00A9231D">
        <w:rPr>
          <w:rFonts w:eastAsia="Times New Roman" w:cs="Arial"/>
          <w:color w:val="000000"/>
          <w:lang w:eastAsia="bg-BG"/>
        </w:rPr>
        <w:t xml:space="preserve">* Извлечени от доклад на клинично изпитване </w:t>
      </w:r>
      <w:r w:rsidRPr="00A9231D">
        <w:rPr>
          <w:rFonts w:eastAsia="Times New Roman" w:cs="Arial"/>
          <w:color w:val="000000"/>
          <w:lang w:val="en-US"/>
        </w:rPr>
        <w:t>PV</w:t>
      </w:r>
      <w:r w:rsidRPr="00A9231D">
        <w:rPr>
          <w:rFonts w:eastAsia="Times New Roman" w:cs="Arial"/>
          <w:color w:val="000000"/>
          <w:lang w:val="ru-RU"/>
        </w:rPr>
        <w:t xml:space="preserve"> </w:t>
      </w:r>
      <w:r w:rsidRPr="00A9231D">
        <w:rPr>
          <w:rFonts w:eastAsia="Times New Roman" w:cs="Arial"/>
          <w:color w:val="000000"/>
          <w:lang w:eastAsia="bg-BG"/>
        </w:rPr>
        <w:t>16</w:t>
      </w:r>
      <w:r>
        <w:rPr>
          <w:rFonts w:eastAsia="Times New Roman" w:cs="Arial"/>
          <w:color w:val="000000"/>
          <w:lang w:eastAsia="bg-BG"/>
        </w:rPr>
        <w:t> </w:t>
      </w:r>
      <w:r w:rsidRPr="00A9231D">
        <w:rPr>
          <w:rFonts w:eastAsia="Times New Roman" w:cs="Arial"/>
          <w:color w:val="000000"/>
          <w:lang w:eastAsia="bg-BG"/>
        </w:rPr>
        <w:t>000</w:t>
      </w:r>
    </w:p>
    <w:p w14:paraId="73B52F3F" w14:textId="77777777" w:rsidR="00A9231D" w:rsidRDefault="00A9231D" w:rsidP="00A9231D">
      <w:pPr>
        <w:spacing w:line="240" w:lineRule="auto"/>
        <w:rPr>
          <w:rFonts w:eastAsia="Times New Roman" w:cs="Arial"/>
          <w:color w:val="000000"/>
          <w:lang w:eastAsia="bg-BG"/>
        </w:rPr>
      </w:pPr>
    </w:p>
    <w:p w14:paraId="64452873" w14:textId="0A7633FD" w:rsidR="00A9231D" w:rsidRPr="00A9231D" w:rsidRDefault="00A9231D" w:rsidP="00A9231D">
      <w:pPr>
        <w:spacing w:line="240" w:lineRule="auto"/>
        <w:rPr>
          <w:rFonts w:eastAsia="Times New Roman" w:cs="Arial"/>
        </w:rPr>
      </w:pPr>
      <w:r w:rsidRPr="00A9231D">
        <w:rPr>
          <w:rFonts w:eastAsia="Times New Roman" w:cs="Arial"/>
          <w:color w:val="000000"/>
          <w:lang w:eastAsia="bg-BG"/>
        </w:rPr>
        <w:t xml:space="preserve">Дозата на Валцит в двете клинични изпитвания описани по-горе с приложение веднъж дневно се основава на телесната повърхност </w:t>
      </w:r>
      <w:r w:rsidRPr="00A9231D">
        <w:rPr>
          <w:rFonts w:eastAsia="Times New Roman" w:cs="Arial"/>
          <w:color w:val="000000"/>
          <w:lang w:val="ru-RU"/>
        </w:rPr>
        <w:t>(</w:t>
      </w:r>
      <w:r w:rsidRPr="00A9231D">
        <w:rPr>
          <w:rFonts w:eastAsia="Times New Roman" w:cs="Arial"/>
          <w:color w:val="000000"/>
          <w:lang w:val="en-US"/>
        </w:rPr>
        <w:t>BSA</w:t>
      </w:r>
      <w:r w:rsidRPr="00A9231D">
        <w:rPr>
          <w:rFonts w:eastAsia="Times New Roman" w:cs="Arial"/>
          <w:color w:val="000000"/>
          <w:lang w:val="ru-RU"/>
        </w:rPr>
        <w:t xml:space="preserve">) </w:t>
      </w:r>
      <w:r w:rsidRPr="00A9231D">
        <w:rPr>
          <w:rFonts w:eastAsia="Times New Roman" w:cs="Arial"/>
          <w:color w:val="000000"/>
          <w:lang w:eastAsia="bg-BG"/>
        </w:rPr>
        <w:t xml:space="preserve">и креатининовия клирънс </w:t>
      </w:r>
      <w:r w:rsidRPr="00A9231D">
        <w:rPr>
          <w:rFonts w:eastAsia="Times New Roman" w:cs="Arial"/>
          <w:color w:val="000000"/>
          <w:lang w:val="ru-RU"/>
        </w:rPr>
        <w:t>(</w:t>
      </w:r>
      <w:r w:rsidRPr="00A9231D">
        <w:rPr>
          <w:rFonts w:eastAsia="Times New Roman" w:cs="Arial"/>
          <w:color w:val="000000"/>
          <w:lang w:val="en-US"/>
        </w:rPr>
        <w:t>Clcr</w:t>
      </w:r>
      <w:r w:rsidRPr="00A9231D">
        <w:rPr>
          <w:rFonts w:eastAsia="Times New Roman" w:cs="Arial"/>
          <w:color w:val="000000"/>
          <w:lang w:val="ru-RU"/>
        </w:rPr>
        <w:t xml:space="preserve">), </w:t>
      </w:r>
      <w:r w:rsidRPr="00A9231D">
        <w:rPr>
          <w:rFonts w:eastAsia="Times New Roman" w:cs="Arial"/>
          <w:color w:val="000000"/>
          <w:lang w:eastAsia="bg-BG"/>
        </w:rPr>
        <w:t xml:space="preserve">получени чрез модифицирана формула на </w:t>
      </w:r>
      <w:r w:rsidRPr="00A9231D">
        <w:rPr>
          <w:rFonts w:eastAsia="Times New Roman" w:cs="Arial"/>
          <w:color w:val="000000"/>
          <w:lang w:val="en-US"/>
        </w:rPr>
        <w:t>Schwartz</w:t>
      </w:r>
      <w:r w:rsidRPr="00A9231D">
        <w:rPr>
          <w:rFonts w:eastAsia="Times New Roman" w:cs="Arial"/>
          <w:color w:val="000000"/>
          <w:lang w:val="ru-RU"/>
        </w:rPr>
        <w:t xml:space="preserve"> </w:t>
      </w:r>
      <w:r w:rsidRPr="00A9231D">
        <w:rPr>
          <w:rFonts w:eastAsia="Times New Roman" w:cs="Arial"/>
          <w:color w:val="000000"/>
          <w:lang w:eastAsia="bg-BG"/>
        </w:rPr>
        <w:t>и изчислени с помощта на алгоритъма за дозиране, представен в точка 4.2.</w:t>
      </w:r>
    </w:p>
    <w:p w14:paraId="75AA2FD3" w14:textId="77777777" w:rsidR="00A9231D" w:rsidRDefault="00A9231D" w:rsidP="00A9231D">
      <w:pPr>
        <w:spacing w:line="240" w:lineRule="auto"/>
        <w:rPr>
          <w:rFonts w:eastAsia="Times New Roman" w:cs="Arial"/>
          <w:color w:val="000000"/>
          <w:lang w:eastAsia="bg-BG"/>
        </w:rPr>
      </w:pPr>
    </w:p>
    <w:p w14:paraId="4C2D9E71" w14:textId="08E288E3" w:rsidR="00A9231D" w:rsidRPr="00A9231D" w:rsidRDefault="00A9231D" w:rsidP="00A9231D">
      <w:pPr>
        <w:spacing w:line="240" w:lineRule="auto"/>
        <w:rPr>
          <w:rFonts w:eastAsia="Times New Roman" w:cs="Arial"/>
        </w:rPr>
      </w:pPr>
      <w:r w:rsidRPr="00A9231D">
        <w:rPr>
          <w:rFonts w:eastAsia="Times New Roman" w:cs="Arial"/>
          <w:color w:val="000000"/>
          <w:lang w:eastAsia="bg-BG"/>
        </w:rPr>
        <w:t xml:space="preserve">Фармакокинетиката на ганцикловир след приложение на валганцикловир също е оценявана при две клинични изпитвания при новородени и кърмачета със симптоматично вродено </w:t>
      </w:r>
      <w:r w:rsidRPr="00A9231D">
        <w:rPr>
          <w:rFonts w:eastAsia="Times New Roman" w:cs="Arial"/>
          <w:color w:val="000000"/>
          <w:lang w:val="en-US"/>
        </w:rPr>
        <w:t>CMV</w:t>
      </w:r>
      <w:r w:rsidRPr="00A9231D">
        <w:rPr>
          <w:rFonts w:eastAsia="Times New Roman" w:cs="Arial"/>
          <w:color w:val="000000"/>
          <w:lang w:val="ru-RU"/>
        </w:rPr>
        <w:t xml:space="preserve"> </w:t>
      </w:r>
      <w:r w:rsidRPr="00A9231D">
        <w:rPr>
          <w:rFonts w:eastAsia="Times New Roman" w:cs="Arial"/>
          <w:color w:val="000000"/>
          <w:lang w:eastAsia="bg-BG"/>
        </w:rPr>
        <w:t xml:space="preserve">заболяване. В първото клинично изпитване 24 новородени на възраст 8 до 34 дни са получавали 6 </w:t>
      </w:r>
      <w:r w:rsidRPr="00A9231D">
        <w:rPr>
          <w:rFonts w:eastAsia="Times New Roman" w:cs="Arial"/>
          <w:color w:val="000000"/>
          <w:lang w:val="en-US"/>
        </w:rPr>
        <w:t>mg</w:t>
      </w:r>
      <w:r w:rsidRPr="00A9231D">
        <w:rPr>
          <w:rFonts w:eastAsia="Times New Roman" w:cs="Arial"/>
          <w:color w:val="000000"/>
          <w:lang w:val="ru-RU"/>
        </w:rPr>
        <w:t>/</w:t>
      </w:r>
      <w:r w:rsidRPr="00A9231D">
        <w:rPr>
          <w:rFonts w:eastAsia="Times New Roman" w:cs="Arial"/>
          <w:color w:val="000000"/>
          <w:lang w:val="en-US"/>
        </w:rPr>
        <w:t>kg</w:t>
      </w:r>
      <w:r w:rsidRPr="00A9231D">
        <w:rPr>
          <w:rFonts w:eastAsia="Times New Roman" w:cs="Arial"/>
          <w:color w:val="000000"/>
          <w:lang w:val="ru-RU"/>
        </w:rPr>
        <w:t xml:space="preserve"> </w:t>
      </w:r>
      <w:r w:rsidRPr="00A9231D">
        <w:rPr>
          <w:rFonts w:eastAsia="Times New Roman" w:cs="Arial"/>
          <w:color w:val="000000"/>
          <w:lang w:eastAsia="bg-BG"/>
        </w:rPr>
        <w:t xml:space="preserve">ганцикловир интравенозно два пъти дневно. След това, пациентите са лекувани с перорален валганцикловир, където дозата на валганцикловир </w:t>
      </w:r>
      <w:r w:rsidRPr="00A9231D">
        <w:rPr>
          <w:rFonts w:eastAsia="Times New Roman" w:cs="Arial"/>
          <w:color w:val="000000"/>
          <w:lang w:eastAsia="bg-BG"/>
        </w:rPr>
        <w:lastRenderedPageBreak/>
        <w:t xml:space="preserve">прах за перорален разтвор варира от 14 </w:t>
      </w:r>
      <w:r w:rsidRPr="00A9231D">
        <w:rPr>
          <w:rFonts w:eastAsia="Times New Roman" w:cs="Arial"/>
          <w:color w:val="000000"/>
          <w:lang w:val="en-US"/>
        </w:rPr>
        <w:t>mg</w:t>
      </w:r>
      <w:r w:rsidRPr="00A9231D">
        <w:rPr>
          <w:rFonts w:eastAsia="Times New Roman" w:cs="Arial"/>
          <w:color w:val="000000"/>
          <w:lang w:val="ru-RU"/>
        </w:rPr>
        <w:t>/</w:t>
      </w:r>
      <w:r w:rsidRPr="00A9231D">
        <w:rPr>
          <w:rFonts w:eastAsia="Times New Roman" w:cs="Arial"/>
          <w:color w:val="000000"/>
          <w:lang w:val="en-US"/>
        </w:rPr>
        <w:t>kg</w:t>
      </w:r>
      <w:r w:rsidRPr="00A9231D">
        <w:rPr>
          <w:rFonts w:eastAsia="Times New Roman" w:cs="Arial"/>
          <w:color w:val="000000"/>
          <w:lang w:val="ru-RU"/>
        </w:rPr>
        <w:t xml:space="preserve"> </w:t>
      </w:r>
      <w:r w:rsidRPr="00A9231D">
        <w:rPr>
          <w:rFonts w:eastAsia="Times New Roman" w:cs="Arial"/>
          <w:color w:val="000000"/>
          <w:lang w:eastAsia="bg-BG"/>
        </w:rPr>
        <w:t xml:space="preserve">до 20 </w:t>
      </w:r>
      <w:r w:rsidRPr="00A9231D">
        <w:rPr>
          <w:rFonts w:eastAsia="Times New Roman" w:cs="Arial"/>
          <w:color w:val="000000"/>
          <w:lang w:val="en-US"/>
        </w:rPr>
        <w:t>mg</w:t>
      </w:r>
      <w:r w:rsidRPr="00A9231D">
        <w:rPr>
          <w:rFonts w:eastAsia="Times New Roman" w:cs="Arial"/>
          <w:color w:val="000000"/>
          <w:lang w:val="ru-RU"/>
        </w:rPr>
        <w:t>/</w:t>
      </w:r>
      <w:r w:rsidRPr="00A9231D">
        <w:rPr>
          <w:rFonts w:eastAsia="Times New Roman" w:cs="Arial"/>
          <w:color w:val="000000"/>
          <w:lang w:val="en-US"/>
        </w:rPr>
        <w:t>kg</w:t>
      </w:r>
      <w:r w:rsidRPr="00A9231D">
        <w:rPr>
          <w:rFonts w:eastAsia="Times New Roman" w:cs="Arial"/>
          <w:color w:val="000000"/>
          <w:lang w:val="ru-RU"/>
        </w:rPr>
        <w:t xml:space="preserve"> </w:t>
      </w:r>
      <w:r w:rsidRPr="00A9231D">
        <w:rPr>
          <w:rFonts w:eastAsia="Times New Roman" w:cs="Arial"/>
          <w:color w:val="000000"/>
          <w:lang w:eastAsia="bg-BG"/>
        </w:rPr>
        <w:t xml:space="preserve">два пъти дневно; общата продължителност на лечение е 6 седмици. Доза от 16 </w:t>
      </w:r>
      <w:r w:rsidRPr="00A9231D">
        <w:rPr>
          <w:rFonts w:eastAsia="Times New Roman" w:cs="Arial"/>
          <w:color w:val="000000"/>
          <w:lang w:val="en-US"/>
        </w:rPr>
        <w:t>mg</w:t>
      </w:r>
      <w:r w:rsidRPr="00A9231D">
        <w:rPr>
          <w:rFonts w:eastAsia="Times New Roman" w:cs="Arial"/>
          <w:color w:val="000000"/>
          <w:lang w:val="ru-RU"/>
        </w:rPr>
        <w:t>/</w:t>
      </w:r>
      <w:r w:rsidRPr="00A9231D">
        <w:rPr>
          <w:rFonts w:eastAsia="Times New Roman" w:cs="Arial"/>
          <w:color w:val="000000"/>
          <w:lang w:val="en-US"/>
        </w:rPr>
        <w:t>kg</w:t>
      </w:r>
      <w:r w:rsidRPr="00A9231D">
        <w:rPr>
          <w:rFonts w:eastAsia="Times New Roman" w:cs="Arial"/>
          <w:color w:val="000000"/>
          <w:lang w:val="ru-RU"/>
        </w:rPr>
        <w:t xml:space="preserve"> </w:t>
      </w:r>
      <w:r w:rsidRPr="00A9231D">
        <w:rPr>
          <w:rFonts w:eastAsia="Times New Roman" w:cs="Arial"/>
          <w:color w:val="000000"/>
          <w:lang w:eastAsia="bg-BG"/>
        </w:rPr>
        <w:t xml:space="preserve">два пъти дневно валганцикловир прах за перорален разтвор осигурява експозиция на ганцикловир, сравнима с 6 </w:t>
      </w:r>
      <w:r w:rsidRPr="00A9231D">
        <w:rPr>
          <w:rFonts w:eastAsia="Times New Roman" w:cs="Arial"/>
          <w:color w:val="000000"/>
          <w:lang w:val="en-US"/>
        </w:rPr>
        <w:t>mg</w:t>
      </w:r>
      <w:r w:rsidRPr="00A9231D">
        <w:rPr>
          <w:rFonts w:eastAsia="Times New Roman" w:cs="Arial"/>
          <w:color w:val="000000"/>
          <w:lang w:val="ru-RU"/>
        </w:rPr>
        <w:t>/</w:t>
      </w:r>
      <w:r w:rsidRPr="00A9231D">
        <w:rPr>
          <w:rFonts w:eastAsia="Times New Roman" w:cs="Arial"/>
          <w:color w:val="000000"/>
          <w:lang w:val="en-US"/>
        </w:rPr>
        <w:t>kg</w:t>
      </w:r>
      <w:r w:rsidRPr="00A9231D">
        <w:rPr>
          <w:rFonts w:eastAsia="Times New Roman" w:cs="Arial"/>
          <w:color w:val="000000"/>
          <w:lang w:val="ru-RU"/>
        </w:rPr>
        <w:t xml:space="preserve"> </w:t>
      </w:r>
      <w:r w:rsidRPr="00A9231D">
        <w:rPr>
          <w:rFonts w:eastAsia="Times New Roman" w:cs="Arial"/>
          <w:color w:val="000000"/>
          <w:lang w:eastAsia="bg-BG"/>
        </w:rPr>
        <w:t xml:space="preserve">интравенозно ганцикловир два пъти дневно при новородени, като постига също експозиция на ганцикловир, подобна на ефективната интравенозна доза от 5 </w:t>
      </w:r>
      <w:r w:rsidRPr="00A9231D">
        <w:rPr>
          <w:rFonts w:eastAsia="Times New Roman" w:cs="Arial"/>
          <w:color w:val="000000"/>
          <w:lang w:val="en-US"/>
        </w:rPr>
        <w:t>mg</w:t>
      </w:r>
      <w:r w:rsidRPr="00A9231D">
        <w:rPr>
          <w:rFonts w:eastAsia="Times New Roman" w:cs="Arial"/>
          <w:color w:val="000000"/>
          <w:lang w:val="ru-RU"/>
        </w:rPr>
        <w:t>/</w:t>
      </w:r>
      <w:r w:rsidRPr="00A9231D">
        <w:rPr>
          <w:rFonts w:eastAsia="Times New Roman" w:cs="Arial"/>
          <w:color w:val="000000"/>
          <w:lang w:val="en-US"/>
        </w:rPr>
        <w:t>kg</w:t>
      </w:r>
      <w:r w:rsidRPr="00A9231D">
        <w:rPr>
          <w:rFonts w:eastAsia="Times New Roman" w:cs="Arial"/>
          <w:color w:val="000000"/>
          <w:lang w:val="ru-RU"/>
        </w:rPr>
        <w:t xml:space="preserve"> </w:t>
      </w:r>
      <w:r w:rsidRPr="00A9231D">
        <w:rPr>
          <w:rFonts w:eastAsia="Times New Roman" w:cs="Arial"/>
          <w:color w:val="000000"/>
          <w:lang w:eastAsia="bg-BG"/>
        </w:rPr>
        <w:t>при възрастните.</w:t>
      </w:r>
    </w:p>
    <w:p w14:paraId="2E1B3F11" w14:textId="77777777" w:rsidR="00A9231D" w:rsidRDefault="00A9231D" w:rsidP="00A9231D">
      <w:pPr>
        <w:spacing w:line="240" w:lineRule="auto"/>
        <w:rPr>
          <w:rFonts w:eastAsia="Times New Roman" w:cs="Arial"/>
          <w:color w:val="000000"/>
          <w:lang w:eastAsia="bg-BG"/>
        </w:rPr>
      </w:pPr>
    </w:p>
    <w:p w14:paraId="0D2426A7" w14:textId="1CF996CF" w:rsidR="00A9231D" w:rsidRPr="00A9231D" w:rsidRDefault="00A9231D" w:rsidP="00A9231D">
      <w:pPr>
        <w:spacing w:line="240" w:lineRule="auto"/>
        <w:rPr>
          <w:rFonts w:eastAsia="Times New Roman" w:cs="Arial"/>
        </w:rPr>
      </w:pPr>
      <w:r w:rsidRPr="00A9231D">
        <w:rPr>
          <w:rFonts w:eastAsia="Times New Roman" w:cs="Arial"/>
          <w:color w:val="000000"/>
          <w:lang w:eastAsia="bg-BG"/>
        </w:rPr>
        <w:t xml:space="preserve">Във второто клинично изпитване 109 новородени на възраст от 2 до 30 дни получават 16 </w:t>
      </w:r>
      <w:r w:rsidRPr="00A9231D">
        <w:rPr>
          <w:rFonts w:eastAsia="Times New Roman" w:cs="Arial"/>
          <w:color w:val="000000"/>
          <w:lang w:val="en-US"/>
        </w:rPr>
        <w:t>mg</w:t>
      </w:r>
      <w:r w:rsidRPr="00A9231D">
        <w:rPr>
          <w:rFonts w:eastAsia="Times New Roman" w:cs="Arial"/>
          <w:color w:val="000000"/>
          <w:lang w:val="ru-RU"/>
        </w:rPr>
        <w:t>/</w:t>
      </w:r>
      <w:r w:rsidRPr="00A9231D">
        <w:rPr>
          <w:rFonts w:eastAsia="Times New Roman" w:cs="Arial"/>
          <w:color w:val="000000"/>
          <w:lang w:val="en-US"/>
        </w:rPr>
        <w:t>kg</w:t>
      </w:r>
      <w:r w:rsidRPr="00A9231D">
        <w:rPr>
          <w:rFonts w:eastAsia="Times New Roman" w:cs="Arial"/>
          <w:color w:val="000000"/>
          <w:lang w:val="ru-RU"/>
        </w:rPr>
        <w:t xml:space="preserve"> </w:t>
      </w:r>
      <w:r w:rsidRPr="00A9231D">
        <w:rPr>
          <w:rFonts w:eastAsia="Times New Roman" w:cs="Arial"/>
          <w:color w:val="000000"/>
          <w:lang w:eastAsia="bg-BG"/>
        </w:rPr>
        <w:t xml:space="preserve">валганцикловир прах за перорален разтвор два пъти дневно в продължение на 6 седмици и след това 96 от всичките 109 включени пациенти са рандомизирани да продължат да получават валганцикловир или плацебо в продължение на 6 месеца. Средната </w:t>
      </w:r>
      <w:r w:rsidRPr="00A9231D">
        <w:rPr>
          <w:rFonts w:eastAsia="Times New Roman" w:cs="Arial"/>
          <w:color w:val="000000"/>
          <w:lang w:val="en-US"/>
        </w:rPr>
        <w:t>AUC</w:t>
      </w:r>
      <w:r w:rsidRPr="00A9231D">
        <w:rPr>
          <w:rFonts w:eastAsia="Times New Roman" w:cs="Arial"/>
          <w:color w:val="000000"/>
          <w:vertAlign w:val="subscript"/>
          <w:lang w:val="ru-RU"/>
        </w:rPr>
        <w:t>0-12</w:t>
      </w:r>
      <w:r w:rsidRPr="00A9231D">
        <w:rPr>
          <w:rFonts w:eastAsia="Times New Roman" w:cs="Arial"/>
          <w:color w:val="000000"/>
          <w:vertAlign w:val="subscript"/>
          <w:lang w:val="en-US"/>
        </w:rPr>
        <w:t>h</w:t>
      </w:r>
      <w:r w:rsidRPr="00A9231D">
        <w:rPr>
          <w:rFonts w:eastAsia="Times New Roman" w:cs="Arial"/>
          <w:color w:val="000000"/>
          <w:lang w:val="ru-RU"/>
        </w:rPr>
        <w:t xml:space="preserve"> </w:t>
      </w:r>
      <w:r w:rsidRPr="00A9231D">
        <w:rPr>
          <w:rFonts w:eastAsia="Times New Roman" w:cs="Arial"/>
          <w:color w:val="000000"/>
          <w:lang w:eastAsia="bg-BG"/>
        </w:rPr>
        <w:t>обаче е по-ниска в сравнение със стойностите на средната А</w:t>
      </w:r>
      <w:r w:rsidRPr="00A9231D">
        <w:rPr>
          <w:rFonts w:eastAsia="Times New Roman" w:cs="Arial"/>
          <w:color w:val="000000"/>
          <w:lang w:val="en-US"/>
        </w:rPr>
        <w:t>UC</w:t>
      </w:r>
      <w:r w:rsidRPr="00A9231D">
        <w:rPr>
          <w:rFonts w:eastAsia="Times New Roman" w:cs="Arial"/>
          <w:color w:val="000000"/>
          <w:vertAlign w:val="subscript"/>
          <w:lang w:val="ru-RU"/>
        </w:rPr>
        <w:t>0-12</w:t>
      </w:r>
      <w:r w:rsidRPr="00A9231D">
        <w:rPr>
          <w:rFonts w:eastAsia="Times New Roman" w:cs="Arial"/>
          <w:color w:val="000000"/>
          <w:vertAlign w:val="subscript"/>
          <w:lang w:val="en-US"/>
        </w:rPr>
        <w:t>h</w:t>
      </w:r>
      <w:r w:rsidRPr="00A9231D">
        <w:rPr>
          <w:rFonts w:eastAsia="Times New Roman" w:cs="Arial"/>
          <w:color w:val="000000"/>
          <w:lang w:val="ru-RU"/>
        </w:rPr>
        <w:t xml:space="preserve"> </w:t>
      </w:r>
      <w:r w:rsidRPr="00A9231D">
        <w:rPr>
          <w:rFonts w:eastAsia="Times New Roman" w:cs="Arial"/>
          <w:color w:val="000000"/>
          <w:lang w:eastAsia="bg-BG"/>
        </w:rPr>
        <w:t xml:space="preserve">в първото клинично изпитване. Следната таблица показва средните стойности на </w:t>
      </w:r>
      <w:r w:rsidRPr="00A9231D">
        <w:rPr>
          <w:rFonts w:eastAsia="Times New Roman" w:cs="Arial"/>
          <w:color w:val="000000"/>
          <w:lang w:val="en-US"/>
        </w:rPr>
        <w:t>AUC</w:t>
      </w:r>
      <w:r w:rsidRPr="00A9231D">
        <w:rPr>
          <w:rFonts w:eastAsia="Times New Roman" w:cs="Arial"/>
          <w:color w:val="000000"/>
          <w:lang w:val="ru-RU"/>
        </w:rPr>
        <w:t xml:space="preserve">, </w:t>
      </w:r>
      <w:r w:rsidRPr="00A9231D">
        <w:rPr>
          <w:rFonts w:eastAsia="Times New Roman" w:cs="Arial"/>
          <w:color w:val="000000"/>
          <w:lang w:eastAsia="bg-BG"/>
        </w:rPr>
        <w:t>С</w:t>
      </w:r>
      <w:r w:rsidRPr="00A9231D">
        <w:rPr>
          <w:rFonts w:eastAsia="Times New Roman" w:cs="Arial"/>
          <w:color w:val="000000"/>
          <w:vertAlign w:val="subscript"/>
          <w:lang w:val="en-US"/>
        </w:rPr>
        <w:t>max</w:t>
      </w:r>
      <w:r w:rsidRPr="00A9231D">
        <w:rPr>
          <w:rFonts w:eastAsia="Times New Roman" w:cs="Arial"/>
          <w:color w:val="000000"/>
          <w:lang w:eastAsia="bg-BG"/>
        </w:rPr>
        <w:t xml:space="preserve"> и </w:t>
      </w:r>
      <w:r w:rsidRPr="00A9231D">
        <w:rPr>
          <w:rFonts w:eastAsia="Times New Roman" w:cs="Arial"/>
          <w:color w:val="000000"/>
          <w:lang w:val="en-US"/>
        </w:rPr>
        <w:t>t</w:t>
      </w:r>
      <w:r w:rsidRPr="00A9231D">
        <w:rPr>
          <w:rFonts w:eastAsia="Times New Roman" w:cs="Arial"/>
          <w:color w:val="000000"/>
          <w:lang w:val="ru-RU"/>
        </w:rPr>
        <w:t>1/2</w:t>
      </w:r>
      <w:r w:rsidRPr="00A9231D">
        <w:rPr>
          <w:rFonts w:eastAsia="Times New Roman" w:cs="Arial"/>
          <w:color w:val="000000"/>
          <w:lang w:eastAsia="bg-BG"/>
        </w:rPr>
        <w:t>, включително стандартните отклонения, в сравнение с данните при възрастните:</w:t>
      </w:r>
    </w:p>
    <w:p w14:paraId="0257BD50" w14:textId="664F4E08" w:rsidR="00A9231D" w:rsidRDefault="00A9231D" w:rsidP="005474BD">
      <w:pPr>
        <w:spacing w:line="240" w:lineRule="auto"/>
        <w:rPr>
          <w:rFonts w:eastAsia="Times New Roman" w:cs="Arial"/>
          <w:color w:val="000000"/>
          <w:lang w:eastAsia="bg-BG"/>
        </w:rPr>
      </w:pPr>
    </w:p>
    <w:tbl>
      <w:tblPr>
        <w:tblStyle w:val="TableGrid"/>
        <w:tblW w:w="0" w:type="auto"/>
        <w:tblLook w:val="04A0" w:firstRow="1" w:lastRow="0" w:firstColumn="1" w:lastColumn="0" w:noHBand="0" w:noVBand="1"/>
      </w:tblPr>
      <w:tblGrid>
        <w:gridCol w:w="1878"/>
        <w:gridCol w:w="1883"/>
        <w:gridCol w:w="1859"/>
        <w:gridCol w:w="1859"/>
        <w:gridCol w:w="1871"/>
      </w:tblGrid>
      <w:tr w:rsidR="00A9231D" w14:paraId="1504E1F5" w14:textId="77777777" w:rsidTr="005E651F">
        <w:tc>
          <w:tcPr>
            <w:tcW w:w="1915" w:type="dxa"/>
          </w:tcPr>
          <w:p w14:paraId="60EBC3F1" w14:textId="5F3E25C2" w:rsidR="00A9231D" w:rsidRPr="00A9231D" w:rsidRDefault="00A9231D" w:rsidP="00A9231D">
            <w:pPr>
              <w:rPr>
                <w:rFonts w:eastAsia="Times New Roman" w:cs="Arial"/>
                <w:b/>
                <w:color w:val="000000"/>
                <w:lang w:eastAsia="bg-BG"/>
              </w:rPr>
            </w:pPr>
            <w:r w:rsidRPr="00A9231D">
              <w:rPr>
                <w:b/>
              </w:rPr>
              <w:t>ФК показател</w:t>
            </w:r>
          </w:p>
        </w:tc>
        <w:tc>
          <w:tcPr>
            <w:tcW w:w="1915" w:type="dxa"/>
          </w:tcPr>
          <w:p w14:paraId="4FC8D32F" w14:textId="6E3B6C39" w:rsidR="00A9231D" w:rsidRPr="00A9231D" w:rsidRDefault="00A9231D" w:rsidP="00A9231D">
            <w:pPr>
              <w:rPr>
                <w:rFonts w:eastAsia="Times New Roman" w:cs="Arial"/>
                <w:b/>
                <w:color w:val="000000"/>
                <w:lang w:eastAsia="bg-BG"/>
              </w:rPr>
            </w:pPr>
            <w:r w:rsidRPr="00A9231D">
              <w:rPr>
                <w:b/>
              </w:rPr>
              <w:t>Възрастни</w:t>
            </w:r>
          </w:p>
        </w:tc>
        <w:tc>
          <w:tcPr>
            <w:tcW w:w="5746" w:type="dxa"/>
            <w:gridSpan w:val="3"/>
          </w:tcPr>
          <w:p w14:paraId="65D77087" w14:textId="78B3C45C" w:rsidR="00A9231D" w:rsidRPr="00A9231D" w:rsidRDefault="00A9231D" w:rsidP="00A9231D">
            <w:pPr>
              <w:rPr>
                <w:rFonts w:eastAsia="Times New Roman" w:cs="Arial"/>
                <w:b/>
                <w:color w:val="000000"/>
                <w:lang w:eastAsia="bg-BG"/>
              </w:rPr>
            </w:pPr>
            <w:r w:rsidRPr="00A9231D">
              <w:rPr>
                <w:b/>
              </w:rPr>
              <w:t>Педиатрични пациенти (новородени и кърмачета)</w:t>
            </w:r>
          </w:p>
        </w:tc>
      </w:tr>
      <w:tr w:rsidR="00A9231D" w14:paraId="096B6E87" w14:textId="77777777" w:rsidTr="00A9231D">
        <w:tc>
          <w:tcPr>
            <w:tcW w:w="1915" w:type="dxa"/>
          </w:tcPr>
          <w:p w14:paraId="775D3198" w14:textId="77777777" w:rsidR="00A9231D" w:rsidRPr="00A9231D" w:rsidRDefault="00A9231D" w:rsidP="00A9231D">
            <w:pPr>
              <w:rPr>
                <w:b/>
                <w:lang w:eastAsia="bg-BG"/>
              </w:rPr>
            </w:pPr>
          </w:p>
        </w:tc>
        <w:tc>
          <w:tcPr>
            <w:tcW w:w="1915" w:type="dxa"/>
          </w:tcPr>
          <w:p w14:paraId="4D4479E5" w14:textId="04DDA4A8" w:rsidR="00A9231D" w:rsidRPr="00A9231D" w:rsidRDefault="00A9231D" w:rsidP="00A9231D">
            <w:pPr>
              <w:rPr>
                <w:b/>
                <w:lang w:eastAsia="bg-BG"/>
              </w:rPr>
            </w:pPr>
            <w:r w:rsidRPr="00A9231D">
              <w:rPr>
                <w:b/>
              </w:rPr>
              <w:t xml:space="preserve">5 mg/kg GAN </w:t>
            </w:r>
            <w:r w:rsidRPr="00A9231D">
              <w:rPr>
                <w:b/>
                <w:lang w:eastAsia="bg-BG"/>
              </w:rPr>
              <w:t xml:space="preserve">Единична доза </w:t>
            </w:r>
            <w:r w:rsidRPr="00A9231D">
              <w:rPr>
                <w:b/>
              </w:rPr>
              <w:t>(n=8)</w:t>
            </w:r>
          </w:p>
        </w:tc>
        <w:tc>
          <w:tcPr>
            <w:tcW w:w="1915" w:type="dxa"/>
          </w:tcPr>
          <w:p w14:paraId="570532C3" w14:textId="460263A6" w:rsidR="00A9231D" w:rsidRPr="00A9231D" w:rsidRDefault="00A9231D" w:rsidP="00A9231D">
            <w:pPr>
              <w:rPr>
                <w:b/>
                <w:lang w:eastAsia="bg-BG"/>
              </w:rPr>
            </w:pPr>
            <w:r w:rsidRPr="00A9231D">
              <w:rPr>
                <w:b/>
                <w:lang w:eastAsia="bg-BG"/>
              </w:rPr>
              <w:t xml:space="preserve">6 </w:t>
            </w:r>
            <w:r w:rsidRPr="00A9231D">
              <w:rPr>
                <w:b/>
              </w:rPr>
              <w:t xml:space="preserve">mg/kg GAN </w:t>
            </w:r>
            <w:r w:rsidRPr="00A9231D">
              <w:rPr>
                <w:b/>
                <w:lang w:eastAsia="bg-BG"/>
              </w:rPr>
              <w:t>2 х дневно (</w:t>
            </w:r>
            <w:r w:rsidRPr="00A9231D">
              <w:rPr>
                <w:b/>
              </w:rPr>
              <w:t>n</w:t>
            </w:r>
            <w:r w:rsidRPr="00A9231D">
              <w:rPr>
                <w:b/>
                <w:lang w:eastAsia="bg-BG"/>
              </w:rPr>
              <w:t>=19)</w:t>
            </w:r>
          </w:p>
        </w:tc>
        <w:tc>
          <w:tcPr>
            <w:tcW w:w="1915" w:type="dxa"/>
          </w:tcPr>
          <w:p w14:paraId="7D79443E" w14:textId="64B5ADFF" w:rsidR="00A9231D" w:rsidRPr="00A9231D" w:rsidRDefault="00A9231D" w:rsidP="00A9231D">
            <w:pPr>
              <w:rPr>
                <w:b/>
                <w:lang w:eastAsia="bg-BG"/>
              </w:rPr>
            </w:pPr>
            <w:r w:rsidRPr="00A9231D">
              <w:rPr>
                <w:b/>
                <w:lang w:eastAsia="bg-BG"/>
              </w:rPr>
              <w:t xml:space="preserve">16 </w:t>
            </w:r>
            <w:r w:rsidRPr="00A9231D">
              <w:rPr>
                <w:b/>
              </w:rPr>
              <w:t xml:space="preserve">mg/kg VAL 2 x </w:t>
            </w:r>
            <w:r w:rsidRPr="00A9231D">
              <w:rPr>
                <w:b/>
                <w:lang w:eastAsia="bg-BG"/>
              </w:rPr>
              <w:t xml:space="preserve">дневно </w:t>
            </w:r>
            <w:r w:rsidRPr="00A9231D">
              <w:rPr>
                <w:b/>
              </w:rPr>
              <w:t>(n=19)</w:t>
            </w:r>
          </w:p>
        </w:tc>
        <w:tc>
          <w:tcPr>
            <w:tcW w:w="1916" w:type="dxa"/>
          </w:tcPr>
          <w:p w14:paraId="303C03D2" w14:textId="28E0EF8C" w:rsidR="00A9231D" w:rsidRPr="00A9231D" w:rsidRDefault="00A9231D" w:rsidP="00A9231D">
            <w:pPr>
              <w:rPr>
                <w:b/>
                <w:lang w:eastAsia="bg-BG"/>
              </w:rPr>
            </w:pPr>
            <w:r w:rsidRPr="00A9231D">
              <w:rPr>
                <w:b/>
              </w:rPr>
              <w:t xml:space="preserve">16 mg/kg VAL 2 x </w:t>
            </w:r>
            <w:r w:rsidRPr="00A9231D">
              <w:rPr>
                <w:b/>
                <w:lang w:eastAsia="bg-BG"/>
              </w:rPr>
              <w:t xml:space="preserve">дневно </w:t>
            </w:r>
            <w:r w:rsidRPr="00A9231D">
              <w:rPr>
                <w:b/>
              </w:rPr>
              <w:t>(n = 100)</w:t>
            </w:r>
          </w:p>
        </w:tc>
      </w:tr>
      <w:tr w:rsidR="00A9231D" w14:paraId="680277CA" w14:textId="77777777" w:rsidTr="00A9231D">
        <w:tc>
          <w:tcPr>
            <w:tcW w:w="1915" w:type="dxa"/>
          </w:tcPr>
          <w:p w14:paraId="797BDF58" w14:textId="58529484" w:rsidR="00A9231D" w:rsidRPr="00A9231D" w:rsidRDefault="00A9231D" w:rsidP="00A9231D">
            <w:pPr>
              <w:rPr>
                <w:lang w:eastAsia="bg-BG"/>
              </w:rPr>
            </w:pPr>
            <w:r w:rsidRPr="00A9231D">
              <w:t>AUC</w:t>
            </w:r>
            <w:r w:rsidRPr="00A9231D">
              <w:rPr>
                <w:vertAlign w:val="subscript"/>
              </w:rPr>
              <w:t>(0-∞h)</w:t>
            </w:r>
            <w:r w:rsidRPr="00A9231D">
              <w:t xml:space="preserve"> (</w:t>
            </w:r>
            <w:r w:rsidRPr="00A9231D">
              <w:rPr>
                <w:lang w:eastAsia="bg-BG"/>
              </w:rPr>
              <w:t>μ</w:t>
            </w:r>
            <w:r w:rsidRPr="00A9231D">
              <w:t>g.h/ml)</w:t>
            </w:r>
          </w:p>
        </w:tc>
        <w:tc>
          <w:tcPr>
            <w:tcW w:w="1915" w:type="dxa"/>
          </w:tcPr>
          <w:p w14:paraId="20343CEA" w14:textId="731870CE" w:rsidR="00A9231D" w:rsidRPr="00A9231D" w:rsidRDefault="00A9231D" w:rsidP="00A9231D">
            <w:pPr>
              <w:rPr>
                <w:lang w:eastAsia="bg-BG"/>
              </w:rPr>
            </w:pPr>
            <w:r w:rsidRPr="00A9231D">
              <w:t>25,4 ± 4,32</w:t>
            </w:r>
          </w:p>
        </w:tc>
        <w:tc>
          <w:tcPr>
            <w:tcW w:w="1915" w:type="dxa"/>
          </w:tcPr>
          <w:p w14:paraId="0F119FEC" w14:textId="0BAC7B69" w:rsidR="00A9231D" w:rsidRPr="00A9231D" w:rsidRDefault="00A9231D" w:rsidP="00A9231D">
            <w:pPr>
              <w:rPr>
                <w:lang w:eastAsia="bg-BG"/>
              </w:rPr>
            </w:pPr>
            <w:r w:rsidRPr="00A9231D">
              <w:t>-</w:t>
            </w:r>
          </w:p>
        </w:tc>
        <w:tc>
          <w:tcPr>
            <w:tcW w:w="1915" w:type="dxa"/>
          </w:tcPr>
          <w:p w14:paraId="3230DC14" w14:textId="73072643" w:rsidR="00A9231D" w:rsidRPr="00A9231D" w:rsidRDefault="00A9231D" w:rsidP="00A9231D">
            <w:pPr>
              <w:rPr>
                <w:lang w:eastAsia="bg-BG"/>
              </w:rPr>
            </w:pPr>
            <w:r w:rsidRPr="00A9231D">
              <w:t>-</w:t>
            </w:r>
          </w:p>
        </w:tc>
        <w:tc>
          <w:tcPr>
            <w:tcW w:w="1916" w:type="dxa"/>
          </w:tcPr>
          <w:p w14:paraId="1777BFB6" w14:textId="7453BE3D" w:rsidR="00A9231D" w:rsidRPr="00A9231D" w:rsidRDefault="00A9231D" w:rsidP="00A9231D">
            <w:pPr>
              <w:rPr>
                <w:lang w:eastAsia="bg-BG"/>
              </w:rPr>
            </w:pPr>
            <w:r w:rsidRPr="00A9231D">
              <w:t>-</w:t>
            </w:r>
          </w:p>
        </w:tc>
      </w:tr>
      <w:tr w:rsidR="00A9231D" w14:paraId="00AE0B2A" w14:textId="77777777" w:rsidTr="00A9231D">
        <w:tc>
          <w:tcPr>
            <w:tcW w:w="1915" w:type="dxa"/>
          </w:tcPr>
          <w:p w14:paraId="41BA75F2" w14:textId="4BB62B90" w:rsidR="00A9231D" w:rsidRPr="00A9231D" w:rsidRDefault="00A9231D" w:rsidP="00A9231D">
            <w:pPr>
              <w:rPr>
                <w:lang w:eastAsia="bg-BG"/>
              </w:rPr>
            </w:pPr>
            <w:r w:rsidRPr="00A9231D">
              <w:t>AUC</w:t>
            </w:r>
            <w:r w:rsidRPr="00A9231D">
              <w:rPr>
                <w:vertAlign w:val="subscript"/>
              </w:rPr>
              <w:t>(0-12h)</w:t>
            </w:r>
            <w:r w:rsidRPr="00A9231D">
              <w:t xml:space="preserve"> (</w:t>
            </w:r>
            <w:r w:rsidRPr="00A9231D">
              <w:rPr>
                <w:lang w:eastAsia="bg-BG"/>
              </w:rPr>
              <w:t>μ</w:t>
            </w:r>
            <w:r w:rsidRPr="00A9231D">
              <w:t>g.h/ml)</w:t>
            </w:r>
          </w:p>
        </w:tc>
        <w:tc>
          <w:tcPr>
            <w:tcW w:w="1915" w:type="dxa"/>
          </w:tcPr>
          <w:p w14:paraId="294B9E88" w14:textId="26B20177" w:rsidR="00A9231D" w:rsidRPr="00A9231D" w:rsidRDefault="00A9231D" w:rsidP="00A9231D">
            <w:pPr>
              <w:rPr>
                <w:lang w:eastAsia="bg-BG"/>
              </w:rPr>
            </w:pPr>
            <w:r w:rsidRPr="00A9231D">
              <w:t>-</w:t>
            </w:r>
          </w:p>
        </w:tc>
        <w:tc>
          <w:tcPr>
            <w:tcW w:w="1915" w:type="dxa"/>
          </w:tcPr>
          <w:p w14:paraId="550D842C" w14:textId="15EEF704" w:rsidR="00A9231D" w:rsidRPr="00A9231D" w:rsidRDefault="00A9231D" w:rsidP="00A9231D">
            <w:pPr>
              <w:rPr>
                <w:lang w:eastAsia="bg-BG"/>
              </w:rPr>
            </w:pPr>
            <w:r w:rsidRPr="00A9231D">
              <w:rPr>
                <w:lang w:eastAsia="bg-BG"/>
              </w:rPr>
              <w:t>38,2 ±42,7</w:t>
            </w:r>
          </w:p>
        </w:tc>
        <w:tc>
          <w:tcPr>
            <w:tcW w:w="1915" w:type="dxa"/>
          </w:tcPr>
          <w:p w14:paraId="029471BE" w14:textId="0B87248E" w:rsidR="00A9231D" w:rsidRPr="00A9231D" w:rsidRDefault="00A9231D" w:rsidP="00A9231D">
            <w:pPr>
              <w:rPr>
                <w:lang w:eastAsia="bg-BG"/>
              </w:rPr>
            </w:pPr>
            <w:r w:rsidRPr="00A9231D">
              <w:t>30,1 ±15,1</w:t>
            </w:r>
          </w:p>
        </w:tc>
        <w:tc>
          <w:tcPr>
            <w:tcW w:w="1916" w:type="dxa"/>
          </w:tcPr>
          <w:p w14:paraId="13DC2CC4" w14:textId="5A9215BB" w:rsidR="00A9231D" w:rsidRPr="00A9231D" w:rsidRDefault="00A9231D" w:rsidP="00A9231D">
            <w:pPr>
              <w:rPr>
                <w:lang w:eastAsia="bg-BG"/>
              </w:rPr>
            </w:pPr>
            <w:r w:rsidRPr="00A9231D">
              <w:t>20,85 ± 5,40</w:t>
            </w:r>
          </w:p>
        </w:tc>
      </w:tr>
      <w:tr w:rsidR="00A9231D" w14:paraId="1C5E187A" w14:textId="77777777" w:rsidTr="00A9231D">
        <w:tc>
          <w:tcPr>
            <w:tcW w:w="1915" w:type="dxa"/>
          </w:tcPr>
          <w:p w14:paraId="2FEEF7F7" w14:textId="31587EFA" w:rsidR="00A9231D" w:rsidRPr="00A9231D" w:rsidRDefault="00A9231D" w:rsidP="00A9231D">
            <w:pPr>
              <w:rPr>
                <w:lang w:eastAsia="bg-BG"/>
              </w:rPr>
            </w:pPr>
            <w:r w:rsidRPr="00A9231D">
              <w:t>C</w:t>
            </w:r>
            <w:r w:rsidRPr="00A9231D">
              <w:rPr>
                <w:vertAlign w:val="subscript"/>
              </w:rPr>
              <w:t>max</w:t>
            </w:r>
            <w:r w:rsidRPr="00A9231D">
              <w:t xml:space="preserve"> (</w:t>
            </w:r>
            <w:r w:rsidRPr="00A9231D">
              <w:rPr>
                <w:lang w:eastAsia="bg-BG"/>
              </w:rPr>
              <w:t>μ</w:t>
            </w:r>
            <w:r w:rsidRPr="00A9231D">
              <w:t>g/ml)</w:t>
            </w:r>
          </w:p>
        </w:tc>
        <w:tc>
          <w:tcPr>
            <w:tcW w:w="1915" w:type="dxa"/>
          </w:tcPr>
          <w:p w14:paraId="7DAB90ED" w14:textId="2B0C00B5" w:rsidR="00A9231D" w:rsidRPr="00A9231D" w:rsidRDefault="00A9231D" w:rsidP="00A9231D">
            <w:pPr>
              <w:rPr>
                <w:lang w:eastAsia="bg-BG"/>
              </w:rPr>
            </w:pPr>
            <w:r w:rsidRPr="00A9231D">
              <w:t>9,03 ± 1,26</w:t>
            </w:r>
          </w:p>
        </w:tc>
        <w:tc>
          <w:tcPr>
            <w:tcW w:w="1915" w:type="dxa"/>
          </w:tcPr>
          <w:p w14:paraId="39E3C368" w14:textId="0683E8F6" w:rsidR="00A9231D" w:rsidRPr="00A9231D" w:rsidRDefault="00A9231D" w:rsidP="00A9231D">
            <w:pPr>
              <w:rPr>
                <w:lang w:eastAsia="bg-BG"/>
              </w:rPr>
            </w:pPr>
            <w:r w:rsidRPr="00A9231D">
              <w:rPr>
                <w:lang w:eastAsia="bg-BG"/>
              </w:rPr>
              <w:t>12,9 ±21,5</w:t>
            </w:r>
          </w:p>
        </w:tc>
        <w:tc>
          <w:tcPr>
            <w:tcW w:w="1915" w:type="dxa"/>
          </w:tcPr>
          <w:p w14:paraId="71CC2CD8" w14:textId="0D8CEA9B" w:rsidR="00A9231D" w:rsidRPr="00A9231D" w:rsidRDefault="00A9231D" w:rsidP="00A9231D">
            <w:pPr>
              <w:rPr>
                <w:lang w:eastAsia="bg-BG"/>
              </w:rPr>
            </w:pPr>
            <w:r w:rsidRPr="00A9231D">
              <w:t>5,44 ±4,04</w:t>
            </w:r>
          </w:p>
        </w:tc>
        <w:tc>
          <w:tcPr>
            <w:tcW w:w="1916" w:type="dxa"/>
          </w:tcPr>
          <w:p w14:paraId="40E13FEC" w14:textId="77777777" w:rsidR="00A9231D" w:rsidRPr="00A9231D" w:rsidRDefault="00A9231D" w:rsidP="00A9231D">
            <w:pPr>
              <w:rPr>
                <w:lang w:eastAsia="bg-BG"/>
              </w:rPr>
            </w:pPr>
          </w:p>
        </w:tc>
      </w:tr>
      <w:tr w:rsidR="00A9231D" w14:paraId="62B50C46" w14:textId="77777777" w:rsidTr="00A9231D">
        <w:tc>
          <w:tcPr>
            <w:tcW w:w="1915" w:type="dxa"/>
          </w:tcPr>
          <w:p w14:paraId="60DDCEB2" w14:textId="7210E97D" w:rsidR="00A9231D" w:rsidRPr="00A9231D" w:rsidRDefault="00A9231D" w:rsidP="00A9231D">
            <w:pPr>
              <w:rPr>
                <w:lang w:eastAsia="bg-BG"/>
              </w:rPr>
            </w:pPr>
            <w:r w:rsidRPr="00A9231D">
              <w:t>t1/2 (h)</w:t>
            </w:r>
          </w:p>
        </w:tc>
        <w:tc>
          <w:tcPr>
            <w:tcW w:w="1915" w:type="dxa"/>
          </w:tcPr>
          <w:p w14:paraId="384F5C5B" w14:textId="0DDA4E8F" w:rsidR="00A9231D" w:rsidRPr="00A9231D" w:rsidRDefault="00A9231D" w:rsidP="00A9231D">
            <w:pPr>
              <w:rPr>
                <w:lang w:eastAsia="bg-BG"/>
              </w:rPr>
            </w:pPr>
            <w:r w:rsidRPr="00A9231D">
              <w:t>3,32 ±0,47</w:t>
            </w:r>
          </w:p>
        </w:tc>
        <w:tc>
          <w:tcPr>
            <w:tcW w:w="1915" w:type="dxa"/>
          </w:tcPr>
          <w:p w14:paraId="5796D2CB" w14:textId="0B047807" w:rsidR="00A9231D" w:rsidRPr="00A9231D" w:rsidRDefault="00A9231D" w:rsidP="00A9231D">
            <w:pPr>
              <w:rPr>
                <w:lang w:eastAsia="bg-BG"/>
              </w:rPr>
            </w:pPr>
            <w:r w:rsidRPr="00A9231D">
              <w:rPr>
                <w:lang w:eastAsia="bg-BG"/>
              </w:rPr>
              <w:t>2,52 ± 0,55</w:t>
            </w:r>
          </w:p>
        </w:tc>
        <w:tc>
          <w:tcPr>
            <w:tcW w:w="1915" w:type="dxa"/>
          </w:tcPr>
          <w:p w14:paraId="50219761" w14:textId="457D613C" w:rsidR="00A9231D" w:rsidRPr="00A9231D" w:rsidRDefault="00A9231D" w:rsidP="00A9231D">
            <w:pPr>
              <w:rPr>
                <w:lang w:eastAsia="bg-BG"/>
              </w:rPr>
            </w:pPr>
            <w:r w:rsidRPr="00A9231D">
              <w:t>2,98 ±1,26</w:t>
            </w:r>
          </w:p>
        </w:tc>
        <w:tc>
          <w:tcPr>
            <w:tcW w:w="1916" w:type="dxa"/>
          </w:tcPr>
          <w:p w14:paraId="33B931B7" w14:textId="76081994" w:rsidR="00A9231D" w:rsidRPr="00A9231D" w:rsidRDefault="00A9231D" w:rsidP="00A9231D">
            <w:pPr>
              <w:rPr>
                <w:lang w:eastAsia="bg-BG"/>
              </w:rPr>
            </w:pPr>
            <w:r w:rsidRPr="00A9231D">
              <w:t>2,98±5,40</w:t>
            </w:r>
          </w:p>
        </w:tc>
      </w:tr>
    </w:tbl>
    <w:p w14:paraId="0B718777" w14:textId="6E5E61E9" w:rsidR="00A9231D" w:rsidRDefault="00A9231D" w:rsidP="00A9231D">
      <w:pPr>
        <w:rPr>
          <w:lang w:eastAsia="bg-BG"/>
        </w:rPr>
      </w:pPr>
      <w:r w:rsidRPr="00A9231D">
        <w:rPr>
          <w:lang w:val="en-US"/>
        </w:rPr>
        <w:t>GAN</w:t>
      </w:r>
      <w:r w:rsidRPr="00A9231D">
        <w:t xml:space="preserve"> = </w:t>
      </w:r>
      <w:r w:rsidRPr="00A9231D">
        <w:rPr>
          <w:lang w:eastAsia="bg-BG"/>
        </w:rPr>
        <w:t xml:space="preserve">Ганцикловир, </w:t>
      </w:r>
      <w:r w:rsidRPr="00A9231D">
        <w:rPr>
          <w:lang w:val="en-US"/>
        </w:rPr>
        <w:t>i</w:t>
      </w:r>
      <w:r w:rsidRPr="00A9231D">
        <w:t>.</w:t>
      </w:r>
      <w:r w:rsidRPr="00A9231D">
        <w:rPr>
          <w:lang w:val="en-US"/>
        </w:rPr>
        <w:t>v</w:t>
      </w:r>
      <w:r w:rsidRPr="00A9231D">
        <w:t xml:space="preserve"> </w:t>
      </w:r>
      <w:r w:rsidRPr="00A9231D">
        <w:rPr>
          <w:lang w:val="en-US"/>
        </w:rPr>
        <w:t>VAL</w:t>
      </w:r>
      <w:r w:rsidRPr="00A9231D">
        <w:t xml:space="preserve"> = </w:t>
      </w:r>
      <w:r w:rsidRPr="00A9231D">
        <w:rPr>
          <w:lang w:eastAsia="bg-BG"/>
        </w:rPr>
        <w:t>Валганцикловир, перорално</w:t>
      </w:r>
    </w:p>
    <w:p w14:paraId="35DF1F62" w14:textId="4BC3B044" w:rsidR="00A9231D" w:rsidRDefault="00A9231D" w:rsidP="00A9231D">
      <w:pPr>
        <w:rPr>
          <w:lang w:eastAsia="bg-BG"/>
        </w:rPr>
      </w:pPr>
    </w:p>
    <w:p w14:paraId="719F24F7" w14:textId="77777777" w:rsidR="00A9231D" w:rsidRPr="00A9231D" w:rsidRDefault="00A9231D" w:rsidP="00A9231D">
      <w:pPr>
        <w:spacing w:line="240" w:lineRule="auto"/>
        <w:rPr>
          <w:rFonts w:eastAsia="Times New Roman" w:cs="Arial"/>
        </w:rPr>
      </w:pPr>
      <w:r w:rsidRPr="00A9231D">
        <w:rPr>
          <w:rFonts w:eastAsia="Times New Roman" w:cs="Arial"/>
          <w:color w:val="000000"/>
          <w:lang w:eastAsia="bg-BG"/>
        </w:rPr>
        <w:t xml:space="preserve">Тези данни са твърде ограничени, за да позволят да се направят заключения относно ефикасността или препоръки за дозиране при педиатрични пациенти с вродена </w:t>
      </w:r>
      <w:r w:rsidRPr="00A9231D">
        <w:rPr>
          <w:rFonts w:eastAsia="Times New Roman" w:cs="Arial"/>
          <w:color w:val="000000"/>
          <w:lang w:val="en-US"/>
        </w:rPr>
        <w:t>CMV</w:t>
      </w:r>
      <w:r w:rsidRPr="00A9231D">
        <w:rPr>
          <w:rFonts w:eastAsia="Times New Roman" w:cs="Arial"/>
          <w:color w:val="000000"/>
          <w:lang w:val="ru-RU"/>
        </w:rPr>
        <w:t xml:space="preserve"> </w:t>
      </w:r>
      <w:r w:rsidRPr="00A9231D">
        <w:rPr>
          <w:rFonts w:eastAsia="Times New Roman" w:cs="Arial"/>
          <w:color w:val="000000"/>
          <w:lang w:eastAsia="bg-BG"/>
        </w:rPr>
        <w:t>инфекция.</w:t>
      </w:r>
    </w:p>
    <w:p w14:paraId="7F0DE078" w14:textId="77777777" w:rsidR="00A9231D" w:rsidRDefault="00A9231D" w:rsidP="00A9231D">
      <w:pPr>
        <w:spacing w:line="240" w:lineRule="auto"/>
        <w:rPr>
          <w:rFonts w:eastAsia="Times New Roman" w:cs="Arial"/>
          <w:i/>
          <w:iCs/>
          <w:color w:val="000000"/>
          <w:lang w:eastAsia="bg-BG"/>
        </w:rPr>
      </w:pPr>
    </w:p>
    <w:p w14:paraId="015A025C" w14:textId="086AAA24" w:rsidR="00A9231D" w:rsidRPr="00A9231D" w:rsidRDefault="00A9231D" w:rsidP="00A9231D">
      <w:pPr>
        <w:spacing w:line="240" w:lineRule="auto"/>
        <w:rPr>
          <w:rFonts w:eastAsia="Times New Roman" w:cs="Arial"/>
        </w:rPr>
      </w:pPr>
      <w:r w:rsidRPr="00A9231D">
        <w:rPr>
          <w:rFonts w:eastAsia="Times New Roman" w:cs="Arial"/>
          <w:i/>
          <w:iCs/>
          <w:color w:val="000000"/>
          <w:lang w:eastAsia="bg-BG"/>
        </w:rPr>
        <w:t>Старческа възраст</w:t>
      </w:r>
    </w:p>
    <w:p w14:paraId="751922D0" w14:textId="77777777" w:rsidR="00A9231D" w:rsidRPr="00A9231D" w:rsidRDefault="00A9231D" w:rsidP="00A9231D">
      <w:pPr>
        <w:spacing w:line="240" w:lineRule="auto"/>
        <w:rPr>
          <w:rFonts w:eastAsia="Times New Roman" w:cs="Arial"/>
        </w:rPr>
      </w:pPr>
      <w:r w:rsidRPr="00A9231D">
        <w:rPr>
          <w:rFonts w:eastAsia="Times New Roman" w:cs="Arial"/>
          <w:color w:val="000000"/>
          <w:lang w:eastAsia="bg-BG"/>
        </w:rPr>
        <w:t>Не са провеждани изследвания на фармакокинетиката на валганцикловир или ганцикловир при възрастни над 65-годишна възраст (вж. точка 4.2).</w:t>
      </w:r>
    </w:p>
    <w:p w14:paraId="2FBCA9CE" w14:textId="77777777" w:rsidR="00A9231D" w:rsidRDefault="00A9231D" w:rsidP="00A9231D">
      <w:pPr>
        <w:spacing w:line="240" w:lineRule="auto"/>
        <w:rPr>
          <w:rFonts w:eastAsia="Times New Roman" w:cs="Arial"/>
          <w:i/>
          <w:iCs/>
          <w:color w:val="000000"/>
          <w:lang w:eastAsia="bg-BG"/>
        </w:rPr>
      </w:pPr>
    </w:p>
    <w:p w14:paraId="605989E3" w14:textId="5269610A" w:rsidR="00A9231D" w:rsidRPr="00A9231D" w:rsidRDefault="00A9231D" w:rsidP="00A9231D">
      <w:pPr>
        <w:spacing w:line="240" w:lineRule="auto"/>
        <w:rPr>
          <w:rFonts w:eastAsia="Times New Roman" w:cs="Arial"/>
        </w:rPr>
      </w:pPr>
      <w:r w:rsidRPr="00A9231D">
        <w:rPr>
          <w:rFonts w:eastAsia="Times New Roman" w:cs="Arial"/>
          <w:i/>
          <w:iCs/>
          <w:color w:val="000000"/>
          <w:lang w:eastAsia="bg-BG"/>
        </w:rPr>
        <w:t>Пациенти с бъбречно увреждане</w:t>
      </w:r>
    </w:p>
    <w:p w14:paraId="660BA64D" w14:textId="77777777" w:rsidR="00A9231D" w:rsidRPr="00A9231D" w:rsidRDefault="00A9231D" w:rsidP="00A9231D">
      <w:pPr>
        <w:spacing w:line="240" w:lineRule="auto"/>
        <w:rPr>
          <w:rFonts w:eastAsia="Times New Roman" w:cs="Arial"/>
        </w:rPr>
      </w:pPr>
      <w:r w:rsidRPr="00A9231D">
        <w:rPr>
          <w:rFonts w:eastAsia="Times New Roman" w:cs="Arial"/>
          <w:color w:val="000000"/>
          <w:lang w:eastAsia="bg-BG"/>
        </w:rPr>
        <w:t xml:space="preserve">Фармакокинетиката на ганцикловир след еднократна доза 900 </w:t>
      </w:r>
      <w:r w:rsidRPr="00A9231D">
        <w:rPr>
          <w:rFonts w:eastAsia="Times New Roman" w:cs="Arial"/>
          <w:color w:val="000000"/>
          <w:lang w:val="en-US"/>
        </w:rPr>
        <w:t>mg</w:t>
      </w:r>
      <w:r w:rsidRPr="00A9231D">
        <w:rPr>
          <w:rFonts w:eastAsia="Times New Roman" w:cs="Arial"/>
          <w:color w:val="000000"/>
          <w:lang w:val="ru-RU"/>
        </w:rPr>
        <w:t xml:space="preserve"> </w:t>
      </w:r>
      <w:r w:rsidRPr="00A9231D">
        <w:rPr>
          <w:rFonts w:eastAsia="Times New Roman" w:cs="Arial"/>
          <w:color w:val="000000"/>
          <w:lang w:eastAsia="bg-BG"/>
        </w:rPr>
        <w:t>валганцикловир е оценена при 24 иначе здрави индивиди с бъбречно увреждане.</w:t>
      </w:r>
    </w:p>
    <w:p w14:paraId="503BBEAB" w14:textId="77777777" w:rsidR="00A9231D" w:rsidRDefault="00A9231D" w:rsidP="00A9231D">
      <w:pPr>
        <w:spacing w:line="240" w:lineRule="auto"/>
        <w:rPr>
          <w:rFonts w:eastAsia="Times New Roman" w:cs="Arial"/>
          <w:color w:val="000000"/>
          <w:lang w:eastAsia="bg-BG"/>
        </w:rPr>
      </w:pPr>
    </w:p>
    <w:p w14:paraId="67F7B3D5" w14:textId="73CB1043" w:rsidR="00A9231D" w:rsidRPr="00A9231D" w:rsidRDefault="00A9231D" w:rsidP="00A9231D">
      <w:pPr>
        <w:spacing w:line="240" w:lineRule="auto"/>
        <w:rPr>
          <w:rFonts w:eastAsia="Times New Roman" w:cs="Arial"/>
        </w:rPr>
      </w:pPr>
      <w:r w:rsidRPr="00A9231D">
        <w:rPr>
          <w:rFonts w:eastAsia="Times New Roman" w:cs="Arial"/>
          <w:color w:val="000000"/>
          <w:lang w:eastAsia="bg-BG"/>
        </w:rPr>
        <w:t xml:space="preserve">Фармакокинетични показатели на ганцикловир след еднократна доза Валцит таблетки 900 </w:t>
      </w:r>
      <w:r w:rsidRPr="00A9231D">
        <w:rPr>
          <w:rFonts w:eastAsia="Times New Roman" w:cs="Arial"/>
          <w:color w:val="000000"/>
          <w:lang w:val="en-US"/>
        </w:rPr>
        <w:t>mg</w:t>
      </w:r>
      <w:r w:rsidRPr="00A9231D">
        <w:rPr>
          <w:rFonts w:eastAsia="Times New Roman" w:cs="Arial"/>
          <w:color w:val="000000"/>
          <w:lang w:val="ru-RU"/>
        </w:rPr>
        <w:t xml:space="preserve"> </w:t>
      </w:r>
      <w:r w:rsidRPr="00A9231D">
        <w:rPr>
          <w:rFonts w:eastAsia="Times New Roman" w:cs="Arial"/>
          <w:color w:val="000000"/>
          <w:lang w:eastAsia="bg-BG"/>
        </w:rPr>
        <w:t>при пациенти с различна степен на бъбречно увреждане:</w:t>
      </w:r>
    </w:p>
    <w:tbl>
      <w:tblPr>
        <w:tblStyle w:val="TableGrid"/>
        <w:tblW w:w="0" w:type="auto"/>
        <w:tblLook w:val="04A0" w:firstRow="1" w:lastRow="0" w:firstColumn="1" w:lastColumn="0" w:noHBand="0" w:noVBand="1"/>
      </w:tblPr>
      <w:tblGrid>
        <w:gridCol w:w="1868"/>
        <w:gridCol w:w="1673"/>
        <w:gridCol w:w="1795"/>
        <w:gridCol w:w="1793"/>
        <w:gridCol w:w="2221"/>
      </w:tblGrid>
      <w:tr w:rsidR="00A9231D" w14:paraId="1733211D" w14:textId="77777777" w:rsidTr="00A9231D">
        <w:tc>
          <w:tcPr>
            <w:tcW w:w="1888" w:type="dxa"/>
          </w:tcPr>
          <w:p w14:paraId="02C2EB26" w14:textId="21550879" w:rsidR="00A9231D" w:rsidRPr="00A9231D" w:rsidRDefault="00A9231D" w:rsidP="00A9231D">
            <w:r w:rsidRPr="00A9231D">
              <w:rPr>
                <w:b/>
                <w:bCs/>
              </w:rPr>
              <w:t xml:space="preserve">Изчислен креатининов клирънс </w:t>
            </w:r>
            <w:r w:rsidRPr="00A9231D">
              <w:rPr>
                <w:b/>
                <w:bCs/>
                <w:lang w:val="ru-RU"/>
              </w:rPr>
              <w:t>(</w:t>
            </w:r>
            <w:r w:rsidRPr="00A9231D">
              <w:rPr>
                <w:b/>
                <w:bCs/>
                <w:lang w:val="en-US"/>
              </w:rPr>
              <w:t>ml</w:t>
            </w:r>
            <w:r w:rsidRPr="00A9231D">
              <w:rPr>
                <w:b/>
                <w:bCs/>
                <w:lang w:val="ru-RU"/>
              </w:rPr>
              <w:t>/</w:t>
            </w:r>
            <w:r w:rsidRPr="00A9231D">
              <w:rPr>
                <w:b/>
                <w:bCs/>
                <w:lang w:val="en-US"/>
              </w:rPr>
              <w:t>min</w:t>
            </w:r>
            <w:r w:rsidRPr="00A9231D">
              <w:rPr>
                <w:b/>
                <w:bCs/>
                <w:lang w:val="ru-RU"/>
              </w:rPr>
              <w:t>)</w:t>
            </w:r>
          </w:p>
        </w:tc>
        <w:tc>
          <w:tcPr>
            <w:tcW w:w="1776" w:type="dxa"/>
          </w:tcPr>
          <w:p w14:paraId="0AC3C808" w14:textId="5632C380" w:rsidR="00A9231D" w:rsidRPr="00A9231D" w:rsidRDefault="00A9231D" w:rsidP="00A9231D">
            <w:r w:rsidRPr="00A9231D">
              <w:rPr>
                <w:b/>
                <w:bCs/>
                <w:lang w:val="en-US"/>
              </w:rPr>
              <w:t>N</w:t>
            </w:r>
          </w:p>
        </w:tc>
        <w:tc>
          <w:tcPr>
            <w:tcW w:w="1846" w:type="dxa"/>
          </w:tcPr>
          <w:p w14:paraId="13DD895E" w14:textId="7482F285" w:rsidR="00A9231D" w:rsidRPr="00A9231D" w:rsidRDefault="00A9231D" w:rsidP="00A9231D">
            <w:r w:rsidRPr="00A9231D">
              <w:rPr>
                <w:b/>
                <w:bCs/>
              </w:rPr>
              <w:t xml:space="preserve">Видим клирънс </w:t>
            </w:r>
            <w:r w:rsidRPr="00A9231D">
              <w:rPr>
                <w:b/>
                <w:bCs/>
                <w:lang w:val="ru-RU"/>
              </w:rPr>
              <w:t>(</w:t>
            </w:r>
            <w:r w:rsidRPr="00A9231D">
              <w:rPr>
                <w:b/>
                <w:bCs/>
                <w:lang w:val="en-US"/>
              </w:rPr>
              <w:t>ml</w:t>
            </w:r>
            <w:r w:rsidRPr="00A9231D">
              <w:rPr>
                <w:b/>
                <w:bCs/>
                <w:lang w:val="ru-RU"/>
              </w:rPr>
              <w:t>/</w:t>
            </w:r>
            <w:r w:rsidRPr="00A9231D">
              <w:rPr>
                <w:b/>
                <w:bCs/>
                <w:lang w:val="en-US"/>
              </w:rPr>
              <w:t>min</w:t>
            </w:r>
            <w:r w:rsidRPr="00A9231D">
              <w:rPr>
                <w:b/>
                <w:bCs/>
                <w:lang w:val="ru-RU"/>
              </w:rPr>
              <w:t xml:space="preserve">) </w:t>
            </w:r>
            <w:r w:rsidRPr="00A9231D">
              <w:rPr>
                <w:b/>
                <w:bCs/>
              </w:rPr>
              <w:t xml:space="preserve">Средно ± </w:t>
            </w:r>
            <w:r w:rsidRPr="00A9231D">
              <w:rPr>
                <w:b/>
                <w:bCs/>
                <w:lang w:val="en-US"/>
              </w:rPr>
              <w:t>SD</w:t>
            </w:r>
          </w:p>
        </w:tc>
        <w:tc>
          <w:tcPr>
            <w:tcW w:w="1845" w:type="dxa"/>
          </w:tcPr>
          <w:p w14:paraId="5E9EBD2B" w14:textId="77777777" w:rsidR="00A9231D" w:rsidRPr="00A9231D" w:rsidRDefault="00A9231D" w:rsidP="00A9231D">
            <w:r w:rsidRPr="00A9231D">
              <w:rPr>
                <w:b/>
                <w:bCs/>
                <w:lang w:val="en-US"/>
              </w:rPr>
              <w:t>AUClast</w:t>
            </w:r>
            <w:r w:rsidRPr="00A9231D">
              <w:rPr>
                <w:b/>
                <w:bCs/>
              </w:rPr>
              <w:t xml:space="preserve"> (μ</w:t>
            </w:r>
            <w:r w:rsidRPr="00A9231D">
              <w:rPr>
                <w:b/>
                <w:bCs/>
                <w:lang w:val="en-US"/>
              </w:rPr>
              <w:t>g</w:t>
            </w:r>
            <w:r w:rsidRPr="00A9231D">
              <w:rPr>
                <w:b/>
                <w:bCs/>
              </w:rPr>
              <w:t>.</w:t>
            </w:r>
            <w:r w:rsidRPr="00A9231D">
              <w:rPr>
                <w:b/>
                <w:bCs/>
                <w:lang w:val="en-US"/>
              </w:rPr>
              <w:t>h</w:t>
            </w:r>
            <w:r w:rsidRPr="00A9231D">
              <w:rPr>
                <w:b/>
                <w:bCs/>
              </w:rPr>
              <w:t>/</w:t>
            </w:r>
            <w:r w:rsidRPr="00A9231D">
              <w:rPr>
                <w:b/>
                <w:bCs/>
                <w:lang w:val="en-US"/>
              </w:rPr>
              <w:t>ml</w:t>
            </w:r>
            <w:r w:rsidRPr="00A9231D">
              <w:rPr>
                <w:b/>
                <w:bCs/>
              </w:rPr>
              <w:t>)</w:t>
            </w:r>
          </w:p>
          <w:p w14:paraId="34EB96EF" w14:textId="0ACC0758" w:rsidR="00A9231D" w:rsidRPr="00A9231D" w:rsidRDefault="00A9231D" w:rsidP="00A9231D">
            <w:r w:rsidRPr="00A9231D">
              <w:rPr>
                <w:b/>
                <w:bCs/>
              </w:rPr>
              <w:t xml:space="preserve">Средно ± </w:t>
            </w:r>
            <w:r w:rsidRPr="00A9231D">
              <w:rPr>
                <w:b/>
                <w:bCs/>
                <w:lang w:val="en-US"/>
              </w:rPr>
              <w:t>SD</w:t>
            </w:r>
          </w:p>
        </w:tc>
        <w:tc>
          <w:tcPr>
            <w:tcW w:w="2221" w:type="dxa"/>
          </w:tcPr>
          <w:p w14:paraId="4D0A1777" w14:textId="504283F3" w:rsidR="00A9231D" w:rsidRPr="00A9231D" w:rsidRDefault="00A9231D" w:rsidP="00A9231D">
            <w:r w:rsidRPr="00A9231D">
              <w:rPr>
                <w:b/>
                <w:bCs/>
              </w:rPr>
              <w:t xml:space="preserve">Време на полуелиминиране (часове) Средно ± </w:t>
            </w:r>
            <w:r w:rsidRPr="00A9231D">
              <w:rPr>
                <w:b/>
                <w:bCs/>
                <w:lang w:val="en-US"/>
              </w:rPr>
              <w:t>SD</w:t>
            </w:r>
          </w:p>
        </w:tc>
      </w:tr>
      <w:tr w:rsidR="00A9231D" w14:paraId="76F794F3" w14:textId="77777777" w:rsidTr="00A9231D">
        <w:tc>
          <w:tcPr>
            <w:tcW w:w="1888" w:type="dxa"/>
          </w:tcPr>
          <w:p w14:paraId="1F8A0E7C" w14:textId="22CCD7F9" w:rsidR="00A9231D" w:rsidRPr="00A9231D" w:rsidRDefault="00A9231D" w:rsidP="00A9231D">
            <w:r w:rsidRPr="00A9231D">
              <w:t>51-70</w:t>
            </w:r>
          </w:p>
        </w:tc>
        <w:tc>
          <w:tcPr>
            <w:tcW w:w="1776" w:type="dxa"/>
          </w:tcPr>
          <w:p w14:paraId="0E5A6053" w14:textId="27862501" w:rsidR="00A9231D" w:rsidRPr="00A9231D" w:rsidRDefault="00A9231D" w:rsidP="00A9231D">
            <w:r w:rsidRPr="00A9231D">
              <w:t>6</w:t>
            </w:r>
          </w:p>
        </w:tc>
        <w:tc>
          <w:tcPr>
            <w:tcW w:w="1846" w:type="dxa"/>
          </w:tcPr>
          <w:p w14:paraId="3C2E0940" w14:textId="60465E05" w:rsidR="00A9231D" w:rsidRPr="00A9231D" w:rsidRDefault="00A9231D" w:rsidP="00A9231D">
            <w:r w:rsidRPr="00A9231D">
              <w:t>249 ± 99</w:t>
            </w:r>
          </w:p>
        </w:tc>
        <w:tc>
          <w:tcPr>
            <w:tcW w:w="1845" w:type="dxa"/>
          </w:tcPr>
          <w:p w14:paraId="4D259F76" w14:textId="0691CAAC" w:rsidR="00A9231D" w:rsidRPr="00A9231D" w:rsidRDefault="00A9231D" w:rsidP="00A9231D">
            <w:r w:rsidRPr="00A9231D">
              <w:t>49,5 ± 22,4</w:t>
            </w:r>
          </w:p>
        </w:tc>
        <w:tc>
          <w:tcPr>
            <w:tcW w:w="2221" w:type="dxa"/>
          </w:tcPr>
          <w:p w14:paraId="37634916" w14:textId="2218EEB2" w:rsidR="00A9231D" w:rsidRPr="00A9231D" w:rsidRDefault="00A9231D" w:rsidP="00A9231D">
            <w:r w:rsidRPr="00A9231D">
              <w:t>4,85 ± 1,4</w:t>
            </w:r>
          </w:p>
        </w:tc>
      </w:tr>
      <w:tr w:rsidR="00A9231D" w14:paraId="079C1C9E" w14:textId="77777777" w:rsidTr="00A9231D">
        <w:tc>
          <w:tcPr>
            <w:tcW w:w="1888" w:type="dxa"/>
          </w:tcPr>
          <w:p w14:paraId="131A24D1" w14:textId="3189DDB5" w:rsidR="00A9231D" w:rsidRPr="00A9231D" w:rsidRDefault="00A9231D" w:rsidP="00A9231D">
            <w:r w:rsidRPr="00A9231D">
              <w:t>21-50</w:t>
            </w:r>
          </w:p>
        </w:tc>
        <w:tc>
          <w:tcPr>
            <w:tcW w:w="1776" w:type="dxa"/>
          </w:tcPr>
          <w:p w14:paraId="6D032730" w14:textId="110B47B1" w:rsidR="00A9231D" w:rsidRPr="00A9231D" w:rsidRDefault="00A9231D" w:rsidP="00A9231D">
            <w:r w:rsidRPr="00A9231D">
              <w:t>6</w:t>
            </w:r>
          </w:p>
        </w:tc>
        <w:tc>
          <w:tcPr>
            <w:tcW w:w="1846" w:type="dxa"/>
          </w:tcPr>
          <w:p w14:paraId="2D033E4C" w14:textId="78CA0A18" w:rsidR="00A9231D" w:rsidRPr="00A9231D" w:rsidRDefault="00A9231D" w:rsidP="00A9231D">
            <w:r w:rsidRPr="00A9231D">
              <w:t>136 ±64</w:t>
            </w:r>
          </w:p>
        </w:tc>
        <w:tc>
          <w:tcPr>
            <w:tcW w:w="1845" w:type="dxa"/>
          </w:tcPr>
          <w:p w14:paraId="7079A5C6" w14:textId="79F22EC8" w:rsidR="00A9231D" w:rsidRPr="00A9231D" w:rsidRDefault="00A9231D" w:rsidP="00A9231D">
            <w:r w:rsidRPr="00A9231D">
              <w:t>91,9 ±43,9</w:t>
            </w:r>
          </w:p>
        </w:tc>
        <w:tc>
          <w:tcPr>
            <w:tcW w:w="2221" w:type="dxa"/>
          </w:tcPr>
          <w:p w14:paraId="05D997AB" w14:textId="5AF9966E" w:rsidR="00A9231D" w:rsidRPr="00A9231D" w:rsidRDefault="00A9231D" w:rsidP="00A9231D">
            <w:r w:rsidRPr="00A9231D">
              <w:t>10,2 ±4,4</w:t>
            </w:r>
          </w:p>
        </w:tc>
      </w:tr>
      <w:tr w:rsidR="00A9231D" w14:paraId="0DFBA011" w14:textId="77777777" w:rsidTr="00A9231D">
        <w:tc>
          <w:tcPr>
            <w:tcW w:w="1888" w:type="dxa"/>
          </w:tcPr>
          <w:p w14:paraId="0B02944C" w14:textId="340CE9D4" w:rsidR="00A9231D" w:rsidRPr="00A9231D" w:rsidRDefault="00A9231D" w:rsidP="00A9231D">
            <w:r w:rsidRPr="00A9231D">
              <w:t>11-20</w:t>
            </w:r>
          </w:p>
        </w:tc>
        <w:tc>
          <w:tcPr>
            <w:tcW w:w="1776" w:type="dxa"/>
          </w:tcPr>
          <w:p w14:paraId="7CFFD23D" w14:textId="6E734B1F" w:rsidR="00A9231D" w:rsidRPr="00A9231D" w:rsidRDefault="00A9231D" w:rsidP="00A9231D">
            <w:r w:rsidRPr="00A9231D">
              <w:t>6</w:t>
            </w:r>
          </w:p>
        </w:tc>
        <w:tc>
          <w:tcPr>
            <w:tcW w:w="1846" w:type="dxa"/>
          </w:tcPr>
          <w:p w14:paraId="7D317BEC" w14:textId="5815CDAF" w:rsidR="00A9231D" w:rsidRPr="00A9231D" w:rsidRDefault="00A9231D" w:rsidP="00A9231D">
            <w:r w:rsidRPr="00A9231D">
              <w:t>45 ±11</w:t>
            </w:r>
          </w:p>
        </w:tc>
        <w:tc>
          <w:tcPr>
            <w:tcW w:w="1845" w:type="dxa"/>
          </w:tcPr>
          <w:p w14:paraId="6E6C000C" w14:textId="5780A24B" w:rsidR="00A9231D" w:rsidRPr="00A9231D" w:rsidRDefault="00A9231D" w:rsidP="00A9231D">
            <w:r w:rsidRPr="00A9231D">
              <w:t>223 ± 46</w:t>
            </w:r>
          </w:p>
        </w:tc>
        <w:tc>
          <w:tcPr>
            <w:tcW w:w="2221" w:type="dxa"/>
          </w:tcPr>
          <w:p w14:paraId="404ABB2E" w14:textId="7CDEEA6A" w:rsidR="00A9231D" w:rsidRPr="00A9231D" w:rsidRDefault="00A9231D" w:rsidP="00A9231D">
            <w:r w:rsidRPr="00A9231D">
              <w:t>21,8 ±5,2</w:t>
            </w:r>
          </w:p>
        </w:tc>
      </w:tr>
      <w:tr w:rsidR="00A9231D" w14:paraId="02136F38" w14:textId="77777777" w:rsidTr="00A9231D">
        <w:tc>
          <w:tcPr>
            <w:tcW w:w="1888" w:type="dxa"/>
          </w:tcPr>
          <w:p w14:paraId="0938632D" w14:textId="0ED3D62D" w:rsidR="00A9231D" w:rsidRPr="00A9231D" w:rsidRDefault="00A9231D" w:rsidP="00A9231D">
            <w:r w:rsidRPr="00A9231D">
              <w:lastRenderedPageBreak/>
              <w:t>≤10</w:t>
            </w:r>
          </w:p>
        </w:tc>
        <w:tc>
          <w:tcPr>
            <w:tcW w:w="1776" w:type="dxa"/>
          </w:tcPr>
          <w:p w14:paraId="53417543" w14:textId="6FCC44F3" w:rsidR="00A9231D" w:rsidRPr="00A9231D" w:rsidRDefault="00A9231D" w:rsidP="00A9231D">
            <w:r w:rsidRPr="00A9231D">
              <w:t>6</w:t>
            </w:r>
          </w:p>
        </w:tc>
        <w:tc>
          <w:tcPr>
            <w:tcW w:w="1846" w:type="dxa"/>
          </w:tcPr>
          <w:p w14:paraId="113C62DC" w14:textId="0A7E1EDC" w:rsidR="00A9231D" w:rsidRPr="00A9231D" w:rsidRDefault="00A9231D" w:rsidP="00A9231D">
            <w:r w:rsidRPr="00A9231D">
              <w:t>12,8 ±8</w:t>
            </w:r>
          </w:p>
        </w:tc>
        <w:tc>
          <w:tcPr>
            <w:tcW w:w="1845" w:type="dxa"/>
          </w:tcPr>
          <w:p w14:paraId="54A94B64" w14:textId="237285B6" w:rsidR="00A9231D" w:rsidRPr="00A9231D" w:rsidRDefault="00A9231D" w:rsidP="00A9231D">
            <w:r w:rsidRPr="00A9231D">
              <w:t>366 ± 66</w:t>
            </w:r>
          </w:p>
        </w:tc>
        <w:tc>
          <w:tcPr>
            <w:tcW w:w="2221" w:type="dxa"/>
          </w:tcPr>
          <w:p w14:paraId="7DBE2161" w14:textId="7B805BE6" w:rsidR="00A9231D" w:rsidRPr="00A9231D" w:rsidRDefault="00A9231D" w:rsidP="00A9231D">
            <w:r w:rsidRPr="00A9231D">
              <w:t>67,5 ± 34</w:t>
            </w:r>
          </w:p>
        </w:tc>
      </w:tr>
    </w:tbl>
    <w:p w14:paraId="18C18786" w14:textId="77777777" w:rsidR="00A9231D" w:rsidRDefault="00A9231D" w:rsidP="00A9231D">
      <w:pPr>
        <w:spacing w:line="240" w:lineRule="auto"/>
        <w:rPr>
          <w:rFonts w:eastAsia="Times New Roman" w:cs="Arial"/>
          <w:color w:val="000000"/>
          <w:lang w:eastAsia="bg-BG"/>
        </w:rPr>
      </w:pPr>
    </w:p>
    <w:p w14:paraId="2F48E0B1" w14:textId="58C500EE" w:rsidR="00A9231D" w:rsidRPr="00A9231D" w:rsidRDefault="00A9231D" w:rsidP="00A9231D">
      <w:pPr>
        <w:spacing w:line="240" w:lineRule="auto"/>
        <w:rPr>
          <w:rFonts w:eastAsia="Times New Roman" w:cs="Arial"/>
        </w:rPr>
      </w:pPr>
      <w:r w:rsidRPr="00A9231D">
        <w:rPr>
          <w:rFonts w:eastAsia="Times New Roman" w:cs="Arial"/>
          <w:color w:val="000000"/>
          <w:lang w:eastAsia="bg-BG"/>
        </w:rPr>
        <w:t>Намалената бъбречна функция е довела до намален клирънс на ганцикловир, получен от валганцикловир, със съответното увеличение на терминалното време на полуелиминиране. Поради това се налага коригиране на дозата при пациенти с бъбречно увреждане (вж. точки 4.2 и 4.4).</w:t>
      </w:r>
    </w:p>
    <w:p w14:paraId="60B90FA1" w14:textId="77777777" w:rsidR="00A9231D" w:rsidRDefault="00A9231D" w:rsidP="00A9231D">
      <w:pPr>
        <w:spacing w:line="240" w:lineRule="auto"/>
        <w:rPr>
          <w:rFonts w:eastAsia="Times New Roman" w:cs="Arial"/>
          <w:i/>
          <w:iCs/>
          <w:color w:val="000000"/>
          <w:lang w:eastAsia="bg-BG"/>
        </w:rPr>
      </w:pPr>
    </w:p>
    <w:p w14:paraId="19E0C4B7" w14:textId="5378EA15" w:rsidR="00A9231D" w:rsidRPr="00A9231D" w:rsidRDefault="00A9231D" w:rsidP="00A9231D">
      <w:pPr>
        <w:spacing w:line="240" w:lineRule="auto"/>
        <w:rPr>
          <w:rFonts w:eastAsia="Times New Roman" w:cs="Arial"/>
        </w:rPr>
      </w:pPr>
      <w:r w:rsidRPr="00A9231D">
        <w:rPr>
          <w:rFonts w:eastAsia="Times New Roman" w:cs="Arial"/>
          <w:i/>
          <w:iCs/>
          <w:color w:val="000000"/>
          <w:lang w:eastAsia="bg-BG"/>
        </w:rPr>
        <w:t>Пациенти, подложени на хемодиализа</w:t>
      </w:r>
    </w:p>
    <w:p w14:paraId="5EE74EDC" w14:textId="77777777" w:rsidR="00A9231D" w:rsidRPr="00A9231D" w:rsidRDefault="00A9231D" w:rsidP="00A9231D">
      <w:pPr>
        <w:spacing w:line="240" w:lineRule="auto"/>
        <w:rPr>
          <w:rFonts w:eastAsia="Times New Roman" w:cs="Arial"/>
        </w:rPr>
      </w:pPr>
      <w:r w:rsidRPr="00A9231D">
        <w:rPr>
          <w:rFonts w:eastAsia="Times New Roman" w:cs="Arial"/>
          <w:color w:val="000000"/>
          <w:lang w:eastAsia="bg-BG"/>
        </w:rPr>
        <w:t xml:space="preserve">При пациенти на хемодиализа не могат да се дадат препоръки за дозиране на Валцит 450 </w:t>
      </w:r>
      <w:r w:rsidRPr="00A9231D">
        <w:rPr>
          <w:rFonts w:eastAsia="Times New Roman" w:cs="Arial"/>
          <w:color w:val="000000"/>
          <w:lang w:val="en-US"/>
        </w:rPr>
        <w:t>mg</w:t>
      </w:r>
      <w:r w:rsidRPr="00A9231D">
        <w:rPr>
          <w:rFonts w:eastAsia="Times New Roman" w:cs="Arial"/>
          <w:color w:val="000000"/>
          <w:lang w:val="ru-RU"/>
        </w:rPr>
        <w:t xml:space="preserve"> </w:t>
      </w:r>
      <w:r w:rsidRPr="00A9231D">
        <w:rPr>
          <w:rFonts w:eastAsia="Times New Roman" w:cs="Arial"/>
          <w:color w:val="000000"/>
          <w:lang w:eastAsia="bg-BG"/>
        </w:rPr>
        <w:t xml:space="preserve">филмирани таблетки. Това е така, защото индивидуалната доза на Валцит, необходима при тези пациенти, е по-малка от 450 </w:t>
      </w:r>
      <w:r w:rsidRPr="00A9231D">
        <w:rPr>
          <w:rFonts w:eastAsia="Times New Roman" w:cs="Arial"/>
          <w:color w:val="000000"/>
          <w:lang w:val="en-US"/>
        </w:rPr>
        <w:t>mg</w:t>
      </w:r>
      <w:r w:rsidRPr="00A9231D">
        <w:rPr>
          <w:rFonts w:eastAsia="Times New Roman" w:cs="Arial"/>
          <w:color w:val="000000"/>
          <w:lang w:val="ru-RU"/>
        </w:rPr>
        <w:t xml:space="preserve"> </w:t>
      </w:r>
      <w:r w:rsidRPr="00A9231D">
        <w:rPr>
          <w:rFonts w:eastAsia="Times New Roman" w:cs="Arial"/>
          <w:color w:val="000000"/>
          <w:lang w:eastAsia="bg-BG"/>
        </w:rPr>
        <w:t>таблетка. Поради това, Валцит филмирани таблетки не трябва да се използва при тези пациенти (вж. точки 4.2 и 4.4).</w:t>
      </w:r>
    </w:p>
    <w:p w14:paraId="37B0796E" w14:textId="77777777" w:rsidR="00A9231D" w:rsidRDefault="00A9231D" w:rsidP="00A9231D">
      <w:pPr>
        <w:spacing w:line="240" w:lineRule="auto"/>
        <w:rPr>
          <w:rFonts w:eastAsia="Times New Roman" w:cs="Arial"/>
          <w:i/>
          <w:iCs/>
          <w:color w:val="000000"/>
          <w:lang w:eastAsia="bg-BG"/>
        </w:rPr>
      </w:pPr>
    </w:p>
    <w:p w14:paraId="6AC93878" w14:textId="369971D3" w:rsidR="00A9231D" w:rsidRPr="00A9231D" w:rsidRDefault="00A9231D" w:rsidP="00A9231D">
      <w:pPr>
        <w:spacing w:line="240" w:lineRule="auto"/>
        <w:rPr>
          <w:rFonts w:eastAsia="Times New Roman" w:cs="Arial"/>
        </w:rPr>
      </w:pPr>
      <w:r w:rsidRPr="00A9231D">
        <w:rPr>
          <w:rFonts w:eastAsia="Times New Roman" w:cs="Arial"/>
          <w:i/>
          <w:iCs/>
          <w:color w:val="000000"/>
          <w:lang w:eastAsia="bg-BG"/>
        </w:rPr>
        <w:t>Стабилни пациенти е чернодробна трансплантация</w:t>
      </w:r>
    </w:p>
    <w:p w14:paraId="448838AC" w14:textId="77777777" w:rsidR="00A9231D" w:rsidRPr="00A9231D" w:rsidRDefault="00A9231D" w:rsidP="00A9231D">
      <w:pPr>
        <w:spacing w:line="240" w:lineRule="auto"/>
        <w:rPr>
          <w:rFonts w:eastAsia="Times New Roman" w:cs="Arial"/>
        </w:rPr>
      </w:pPr>
      <w:r w:rsidRPr="00A9231D">
        <w:rPr>
          <w:rFonts w:eastAsia="Times New Roman" w:cs="Arial"/>
          <w:color w:val="000000"/>
          <w:lang w:eastAsia="bg-BG"/>
        </w:rPr>
        <w:t xml:space="preserve">В едно открито кръстосано проучване от 4 части </w:t>
      </w:r>
      <w:r w:rsidRPr="00A9231D">
        <w:rPr>
          <w:rFonts w:eastAsia="Times New Roman" w:cs="Arial"/>
          <w:color w:val="000000"/>
          <w:lang w:val="ru-RU"/>
        </w:rPr>
        <w:t>(</w:t>
      </w:r>
      <w:r w:rsidRPr="00A9231D">
        <w:rPr>
          <w:rFonts w:eastAsia="Times New Roman" w:cs="Arial"/>
          <w:color w:val="000000"/>
          <w:lang w:val="en-US"/>
        </w:rPr>
        <w:t>N</w:t>
      </w:r>
      <w:r w:rsidRPr="00A9231D">
        <w:rPr>
          <w:rFonts w:eastAsia="Times New Roman" w:cs="Arial"/>
          <w:color w:val="000000"/>
          <w:lang w:val="ru-RU"/>
        </w:rPr>
        <w:t xml:space="preserve">=28) </w:t>
      </w:r>
      <w:r w:rsidRPr="00A9231D">
        <w:rPr>
          <w:rFonts w:eastAsia="Times New Roman" w:cs="Arial"/>
          <w:color w:val="000000"/>
          <w:lang w:eastAsia="bg-BG"/>
        </w:rPr>
        <w:t xml:space="preserve">е изследвана фармакокинетиката на ганцикловир, получен от валганцикловир, при стабилни пациенти с чернодробна трансплантация. Бионаличността на ганцикловир, получен от валганцикловир, след еднократна доза от 900 </w:t>
      </w:r>
      <w:r w:rsidRPr="00A9231D">
        <w:rPr>
          <w:rFonts w:eastAsia="Times New Roman" w:cs="Arial"/>
          <w:color w:val="000000"/>
          <w:lang w:val="en-US"/>
        </w:rPr>
        <w:t>mg</w:t>
      </w:r>
      <w:r w:rsidRPr="00A9231D">
        <w:rPr>
          <w:rFonts w:eastAsia="Times New Roman" w:cs="Arial"/>
          <w:color w:val="000000"/>
          <w:lang w:val="ru-RU"/>
        </w:rPr>
        <w:t xml:space="preserve"> </w:t>
      </w:r>
      <w:r w:rsidRPr="00A9231D">
        <w:rPr>
          <w:rFonts w:eastAsia="Times New Roman" w:cs="Arial"/>
          <w:color w:val="000000"/>
          <w:lang w:eastAsia="bg-BG"/>
        </w:rPr>
        <w:t xml:space="preserve">валганцикловир след нахранване е приблизително 60 %. </w:t>
      </w:r>
      <w:r w:rsidRPr="00A9231D">
        <w:rPr>
          <w:rFonts w:eastAsia="Times New Roman" w:cs="Arial"/>
          <w:color w:val="000000"/>
          <w:lang w:val="en-US"/>
        </w:rPr>
        <w:t>AUC</w:t>
      </w:r>
      <w:r w:rsidRPr="00A9231D">
        <w:rPr>
          <w:rFonts w:eastAsia="Times New Roman" w:cs="Arial"/>
          <w:color w:val="000000"/>
          <w:vertAlign w:val="subscript"/>
          <w:lang w:val="ru-RU"/>
        </w:rPr>
        <w:t>0-24</w:t>
      </w:r>
      <w:r w:rsidRPr="00A9231D">
        <w:rPr>
          <w:rFonts w:eastAsia="Times New Roman" w:cs="Arial"/>
          <w:color w:val="000000"/>
          <w:vertAlign w:val="subscript"/>
          <w:lang w:val="en-US"/>
        </w:rPr>
        <w:t>h</w:t>
      </w:r>
      <w:r w:rsidRPr="00A9231D">
        <w:rPr>
          <w:rFonts w:eastAsia="Times New Roman" w:cs="Arial"/>
          <w:color w:val="000000"/>
          <w:lang w:val="ru-RU"/>
        </w:rPr>
        <w:t xml:space="preserve"> </w:t>
      </w:r>
      <w:r w:rsidRPr="00A9231D">
        <w:rPr>
          <w:rFonts w:eastAsia="Times New Roman" w:cs="Arial"/>
          <w:color w:val="000000"/>
          <w:lang w:eastAsia="bg-BG"/>
        </w:rPr>
        <w:t xml:space="preserve">на ганцикловир е сравнима с тази, получена при 5 </w:t>
      </w:r>
      <w:r w:rsidRPr="00A9231D">
        <w:rPr>
          <w:rFonts w:eastAsia="Times New Roman" w:cs="Arial"/>
          <w:color w:val="000000"/>
          <w:lang w:val="en-US"/>
        </w:rPr>
        <w:t>mg</w:t>
      </w:r>
      <w:r w:rsidRPr="00A9231D">
        <w:rPr>
          <w:rFonts w:eastAsia="Times New Roman" w:cs="Arial"/>
          <w:color w:val="000000"/>
          <w:lang w:val="ru-RU"/>
        </w:rPr>
        <w:t>/</w:t>
      </w:r>
      <w:r w:rsidRPr="00A9231D">
        <w:rPr>
          <w:rFonts w:eastAsia="Times New Roman" w:cs="Arial"/>
          <w:color w:val="000000"/>
          <w:lang w:val="en-US"/>
        </w:rPr>
        <w:t>kg</w:t>
      </w:r>
      <w:r w:rsidRPr="00A9231D">
        <w:rPr>
          <w:rFonts w:eastAsia="Times New Roman" w:cs="Arial"/>
          <w:color w:val="000000"/>
          <w:lang w:val="ru-RU"/>
        </w:rPr>
        <w:t xml:space="preserve"> </w:t>
      </w:r>
      <w:r w:rsidRPr="00A9231D">
        <w:rPr>
          <w:rFonts w:eastAsia="Times New Roman" w:cs="Arial"/>
          <w:color w:val="000000"/>
          <w:lang w:eastAsia="bg-BG"/>
        </w:rPr>
        <w:t>интравенозен ганцикловир при пациенти с чернодробна трансплантация.</w:t>
      </w:r>
    </w:p>
    <w:p w14:paraId="16B4CA69" w14:textId="77777777" w:rsidR="00A9231D" w:rsidRDefault="00A9231D" w:rsidP="00A9231D">
      <w:pPr>
        <w:spacing w:line="240" w:lineRule="auto"/>
        <w:rPr>
          <w:rFonts w:eastAsia="Times New Roman" w:cs="Arial"/>
          <w:i/>
          <w:iCs/>
          <w:color w:val="000000"/>
          <w:lang w:eastAsia="bg-BG"/>
        </w:rPr>
      </w:pPr>
    </w:p>
    <w:p w14:paraId="38F2F9AC" w14:textId="082F3945" w:rsidR="00A9231D" w:rsidRPr="00A9231D" w:rsidRDefault="00A9231D" w:rsidP="00A9231D">
      <w:pPr>
        <w:spacing w:line="240" w:lineRule="auto"/>
        <w:rPr>
          <w:rFonts w:eastAsia="Times New Roman" w:cs="Arial"/>
        </w:rPr>
      </w:pPr>
      <w:r w:rsidRPr="00A9231D">
        <w:rPr>
          <w:rFonts w:eastAsia="Times New Roman" w:cs="Arial"/>
          <w:i/>
          <w:iCs/>
          <w:color w:val="000000"/>
          <w:lang w:eastAsia="bg-BG"/>
        </w:rPr>
        <w:t>Пациенти с чернодробно увреждане</w:t>
      </w:r>
    </w:p>
    <w:p w14:paraId="5C61177F" w14:textId="77777777" w:rsidR="00A9231D" w:rsidRPr="00A9231D" w:rsidRDefault="00A9231D" w:rsidP="00A9231D">
      <w:pPr>
        <w:spacing w:line="240" w:lineRule="auto"/>
        <w:rPr>
          <w:rFonts w:eastAsia="Times New Roman" w:cs="Arial"/>
        </w:rPr>
      </w:pPr>
      <w:r w:rsidRPr="00A9231D">
        <w:rPr>
          <w:rFonts w:eastAsia="Times New Roman" w:cs="Arial"/>
          <w:color w:val="000000"/>
          <w:lang w:eastAsia="bg-BG"/>
        </w:rPr>
        <w:t>Безопасността и ефикасността на Валцит филмирани таблетки не са изследвани при пациенти с чернодробно увреждане. Чернодробното увреждане не би трябвало да повлиява фармакокинетиката на ганцикловир, тъй като той се екскретира през бъбреците и поради това не се направени специфични препоръки за дозиране.</w:t>
      </w:r>
    </w:p>
    <w:p w14:paraId="30BF8A28" w14:textId="77777777" w:rsidR="00A9231D" w:rsidRDefault="00A9231D" w:rsidP="00A9231D">
      <w:pPr>
        <w:spacing w:line="240" w:lineRule="auto"/>
        <w:rPr>
          <w:rFonts w:eastAsia="Times New Roman" w:cs="Arial"/>
          <w:i/>
          <w:iCs/>
          <w:color w:val="000000"/>
          <w:lang w:eastAsia="bg-BG"/>
        </w:rPr>
      </w:pPr>
    </w:p>
    <w:p w14:paraId="13CF3F14" w14:textId="30C5D66B" w:rsidR="00A9231D" w:rsidRPr="00A9231D" w:rsidRDefault="00A9231D" w:rsidP="00A9231D">
      <w:pPr>
        <w:spacing w:line="240" w:lineRule="auto"/>
        <w:rPr>
          <w:rFonts w:eastAsia="Times New Roman" w:cs="Arial"/>
        </w:rPr>
      </w:pPr>
      <w:r w:rsidRPr="00A9231D">
        <w:rPr>
          <w:rFonts w:eastAsia="Times New Roman" w:cs="Arial"/>
          <w:i/>
          <w:iCs/>
          <w:color w:val="000000"/>
          <w:lang w:eastAsia="bg-BG"/>
        </w:rPr>
        <w:t>Пациенти с муковисцидоза</w:t>
      </w:r>
    </w:p>
    <w:p w14:paraId="2D4E0D5A" w14:textId="714924FE" w:rsidR="00A9231D" w:rsidRDefault="00A9231D" w:rsidP="00A9231D">
      <w:r w:rsidRPr="00A9231D">
        <w:rPr>
          <w:lang w:eastAsia="bg-BG"/>
        </w:rPr>
        <w:t xml:space="preserve">В едно фармакокинетично проучване фаза I при реципиенти с белодробна трансплантация със или без муковисцидоза </w:t>
      </w:r>
      <w:r w:rsidRPr="00A9231D">
        <w:rPr>
          <w:lang w:val="ru-RU"/>
        </w:rPr>
        <w:t>(</w:t>
      </w:r>
      <w:r w:rsidRPr="00A9231D">
        <w:rPr>
          <w:lang w:val="en-US"/>
        </w:rPr>
        <w:t>CF</w:t>
      </w:r>
      <w:r w:rsidRPr="00A9231D">
        <w:rPr>
          <w:lang w:val="ru-RU"/>
        </w:rPr>
        <w:t xml:space="preserve">) </w:t>
      </w:r>
      <w:r w:rsidRPr="00A9231D">
        <w:rPr>
          <w:lang w:eastAsia="bg-BG"/>
        </w:rPr>
        <w:t xml:space="preserve">31 пациенти (16 </w:t>
      </w:r>
      <w:r w:rsidRPr="00A9231D">
        <w:rPr>
          <w:lang w:val="en-US"/>
        </w:rPr>
        <w:t>CF</w:t>
      </w:r>
      <w:r w:rsidRPr="00A9231D">
        <w:rPr>
          <w:lang w:val="ru-RU"/>
        </w:rPr>
        <w:t>/</w:t>
      </w:r>
      <w:r w:rsidRPr="00A9231D">
        <w:rPr>
          <w:lang w:eastAsia="bg-BG"/>
        </w:rPr>
        <w:t>15 не</w:t>
      </w:r>
      <w:r w:rsidRPr="00A9231D">
        <w:rPr>
          <w:lang w:val="ru-RU"/>
        </w:rPr>
        <w:t>-</w:t>
      </w:r>
      <w:r w:rsidRPr="00A9231D">
        <w:rPr>
          <w:lang w:val="en-US"/>
        </w:rPr>
        <w:t>CF</w:t>
      </w:r>
      <w:r w:rsidRPr="00A9231D">
        <w:rPr>
          <w:lang w:val="ru-RU"/>
        </w:rPr>
        <w:t xml:space="preserve">) </w:t>
      </w:r>
      <w:r w:rsidRPr="00A9231D">
        <w:rPr>
          <w:lang w:eastAsia="bg-BG"/>
        </w:rPr>
        <w:t xml:space="preserve">са получили пост-трансплантационна профилактика с 900 </w:t>
      </w:r>
      <w:r w:rsidRPr="00A9231D">
        <w:rPr>
          <w:lang w:val="en-US"/>
        </w:rPr>
        <w:t>mg</w:t>
      </w:r>
      <w:r w:rsidRPr="00A9231D">
        <w:rPr>
          <w:lang w:val="ru-RU"/>
        </w:rPr>
        <w:t xml:space="preserve"> </w:t>
      </w:r>
      <w:r w:rsidRPr="00A9231D">
        <w:rPr>
          <w:lang w:eastAsia="bg-BG"/>
        </w:rPr>
        <w:t xml:space="preserve">Валцит дневно. Проучването показва, че муковисцидозата не повлиява значимо системната експозиция на ганцикловир при реципиентите с белодробна трансплантация. Експозицията на ганцикловир при реципиенти с белодробна трансплантация е сравнима с експозицията с доказана ефикасност за профилактика на </w:t>
      </w:r>
      <w:r w:rsidRPr="00A9231D">
        <w:rPr>
          <w:lang w:val="en-US"/>
        </w:rPr>
        <w:t>CMV</w:t>
      </w:r>
      <w:r w:rsidRPr="00A9231D">
        <w:rPr>
          <w:lang w:val="ru-RU"/>
        </w:rPr>
        <w:t xml:space="preserve"> </w:t>
      </w:r>
      <w:r w:rsidRPr="00A9231D">
        <w:rPr>
          <w:lang w:eastAsia="bg-BG"/>
        </w:rPr>
        <w:t>заболяване при реципиенти с</w:t>
      </w:r>
      <w:r w:rsidRPr="00A9231D">
        <w:rPr>
          <w:lang w:val="ru-RU" w:eastAsia="bg-BG"/>
        </w:rPr>
        <w:t xml:space="preserve"> </w:t>
      </w:r>
      <w:r w:rsidRPr="00A9231D">
        <w:t>трансплантация на други солидни органи.</w:t>
      </w:r>
    </w:p>
    <w:p w14:paraId="1E1D1E2F" w14:textId="77777777" w:rsidR="00A9231D" w:rsidRPr="00A9231D" w:rsidRDefault="00A9231D" w:rsidP="00A9231D">
      <w:pPr>
        <w:rPr>
          <w:lang w:val="ru-RU"/>
        </w:rPr>
      </w:pPr>
    </w:p>
    <w:p w14:paraId="648E39DA" w14:textId="5B47EE18" w:rsidR="00CF77F7" w:rsidRDefault="002C50EE" w:rsidP="004A448E">
      <w:pPr>
        <w:pStyle w:val="Heading2"/>
      </w:pPr>
      <w:r>
        <w:t>5.3. Предклинични данни за безопасност</w:t>
      </w:r>
    </w:p>
    <w:p w14:paraId="7185EB07" w14:textId="3996635B" w:rsidR="00A9231D" w:rsidRDefault="00A9231D" w:rsidP="00A9231D"/>
    <w:p w14:paraId="29B62FE7" w14:textId="77777777" w:rsidR="00A9231D" w:rsidRPr="00A9231D" w:rsidRDefault="00A9231D" w:rsidP="00A9231D">
      <w:pPr>
        <w:spacing w:line="240" w:lineRule="auto"/>
        <w:rPr>
          <w:rFonts w:eastAsia="Times New Roman" w:cs="Arial"/>
        </w:rPr>
      </w:pPr>
      <w:r w:rsidRPr="00A9231D">
        <w:rPr>
          <w:rFonts w:eastAsia="Times New Roman" w:cs="Arial"/>
          <w:color w:val="000000"/>
          <w:lang w:eastAsia="bg-BG"/>
        </w:rPr>
        <w:t>Валганцикловир е прекурсор на ганцикловир и поради това ефектите, наблюдавани с ганцикловир, се отнасят и за валганцикловир. Токсичността на валганцикловир в предклинични проучвания за безопасност е същата като тази наблюдвана при ганцикловир и се индуцира при нива на експозиция на ганцикловир, сравними или по-ниски от тези при хора, получаващи индукционна доза.</w:t>
      </w:r>
    </w:p>
    <w:p w14:paraId="32BCA228" w14:textId="77777777" w:rsidR="00A9231D" w:rsidRDefault="00A9231D" w:rsidP="00A9231D">
      <w:pPr>
        <w:spacing w:line="240" w:lineRule="auto"/>
        <w:rPr>
          <w:rFonts w:eastAsia="Times New Roman" w:cs="Arial"/>
          <w:color w:val="000000"/>
          <w:lang w:eastAsia="bg-BG"/>
        </w:rPr>
      </w:pPr>
    </w:p>
    <w:p w14:paraId="4D588450" w14:textId="540A85D2" w:rsidR="00A9231D" w:rsidRPr="00A9231D" w:rsidRDefault="00A9231D" w:rsidP="00A9231D">
      <w:pPr>
        <w:spacing w:line="240" w:lineRule="auto"/>
        <w:rPr>
          <w:rFonts w:eastAsia="Times New Roman" w:cs="Arial"/>
        </w:rPr>
      </w:pPr>
      <w:r w:rsidRPr="00A9231D">
        <w:rPr>
          <w:rFonts w:eastAsia="Times New Roman" w:cs="Arial"/>
          <w:color w:val="000000"/>
          <w:lang w:eastAsia="bg-BG"/>
        </w:rPr>
        <w:t>Тези констатации са гонадотоксичност (загуба на тестикуларни клетки) и нефротоксичност (уремия, клетъчна дегенерация), които са необратими; миелотоксичност (анемия, неутропения, лимфоцитопения) и стомашно-чревна токсичност (некроза на мукозните клетки), които са обратими.</w:t>
      </w:r>
    </w:p>
    <w:p w14:paraId="316B9E35" w14:textId="77777777" w:rsidR="00A9231D" w:rsidRDefault="00A9231D" w:rsidP="00A9231D">
      <w:pPr>
        <w:spacing w:line="240" w:lineRule="auto"/>
        <w:rPr>
          <w:rFonts w:eastAsia="Times New Roman" w:cs="Arial"/>
          <w:color w:val="000000"/>
          <w:lang w:eastAsia="bg-BG"/>
        </w:rPr>
      </w:pPr>
    </w:p>
    <w:p w14:paraId="57D8D145" w14:textId="09A59C58" w:rsidR="00A9231D" w:rsidRPr="00A9231D" w:rsidRDefault="00A9231D" w:rsidP="00A9231D">
      <w:pPr>
        <w:spacing w:line="240" w:lineRule="auto"/>
        <w:rPr>
          <w:rFonts w:eastAsia="Times New Roman" w:cs="Arial"/>
        </w:rPr>
      </w:pPr>
      <w:r w:rsidRPr="00A9231D">
        <w:rPr>
          <w:rFonts w:eastAsia="Times New Roman" w:cs="Arial"/>
          <w:color w:val="000000"/>
          <w:lang w:eastAsia="bg-BG"/>
        </w:rPr>
        <w:t>Ганцикловир е мутагенен в миши лимфомни клетки и е кластогенен в клетки на бозайници. Тези резултати съответстват на положителните резултати от проучването за карциногенност на ганцикловир при мишки. Ганцикловир е потенциален карциноген.</w:t>
      </w:r>
    </w:p>
    <w:p w14:paraId="286CD3D8" w14:textId="77777777" w:rsidR="00A9231D" w:rsidRDefault="00A9231D" w:rsidP="00A9231D">
      <w:pPr>
        <w:spacing w:line="240" w:lineRule="auto"/>
        <w:rPr>
          <w:rFonts w:eastAsia="Times New Roman" w:cs="Arial"/>
          <w:color w:val="000000"/>
          <w:lang w:eastAsia="bg-BG"/>
        </w:rPr>
      </w:pPr>
    </w:p>
    <w:p w14:paraId="33E12699" w14:textId="08A1209D" w:rsidR="00A9231D" w:rsidRPr="00A9231D" w:rsidRDefault="00A9231D" w:rsidP="00A9231D">
      <w:pPr>
        <w:spacing w:line="240" w:lineRule="auto"/>
        <w:rPr>
          <w:rFonts w:eastAsia="Times New Roman" w:cs="Arial"/>
        </w:rPr>
      </w:pPr>
      <w:r w:rsidRPr="00A9231D">
        <w:rPr>
          <w:rFonts w:eastAsia="Times New Roman" w:cs="Arial"/>
          <w:color w:val="000000"/>
          <w:lang w:eastAsia="bg-BG"/>
        </w:rPr>
        <w:t>Допълнителни проучвания сочат, че ганцикловир е тератогенен, ембриотоксичен, инхибира сперматогенезата (т.е. уврежда мъжкия фертилитет) и потиска женския фертилитет.</w:t>
      </w:r>
    </w:p>
    <w:p w14:paraId="30E10476" w14:textId="77777777" w:rsidR="00A9231D" w:rsidRDefault="00A9231D" w:rsidP="00A9231D">
      <w:pPr>
        <w:spacing w:line="240" w:lineRule="auto"/>
        <w:rPr>
          <w:rFonts w:eastAsia="Times New Roman" w:cs="Arial"/>
          <w:color w:val="000000"/>
          <w:lang w:eastAsia="bg-BG"/>
        </w:rPr>
      </w:pPr>
    </w:p>
    <w:p w14:paraId="5F928FF3" w14:textId="7207D0C5" w:rsidR="00A9231D" w:rsidRPr="00A9231D" w:rsidRDefault="00A9231D" w:rsidP="00A9231D">
      <w:pPr>
        <w:spacing w:line="240" w:lineRule="auto"/>
        <w:rPr>
          <w:rFonts w:ascii="Times New Roman" w:eastAsia="Times New Roman" w:hAnsi="Times New Roman" w:cs="Times New Roman"/>
          <w:sz w:val="24"/>
          <w:szCs w:val="24"/>
        </w:rPr>
      </w:pPr>
      <w:r w:rsidRPr="00A9231D">
        <w:rPr>
          <w:rFonts w:eastAsia="Times New Roman" w:cs="Arial"/>
          <w:color w:val="000000"/>
          <w:lang w:eastAsia="bg-BG"/>
        </w:rPr>
        <w:t>Данните при животни показват, че ганцикловир се екскретира в кърмата на кърмещи плъхове.</w:t>
      </w:r>
    </w:p>
    <w:p w14:paraId="596E5E9E" w14:textId="77777777" w:rsidR="00A9231D" w:rsidRPr="00A9231D" w:rsidRDefault="00A9231D" w:rsidP="00A9231D"/>
    <w:p w14:paraId="6A7820AB" w14:textId="4374F61D" w:rsidR="008A6AF2" w:rsidRDefault="002C50EE" w:rsidP="00395555">
      <w:pPr>
        <w:pStyle w:val="Heading1"/>
      </w:pPr>
      <w:r>
        <w:t>7. ПРИТЕЖАТЕЛ НА РАЗРЕШЕНИЕТО ЗА УПОТРЕБА</w:t>
      </w:r>
    </w:p>
    <w:p w14:paraId="791288CE" w14:textId="5717319C" w:rsidR="00A9231D" w:rsidRDefault="00A9231D" w:rsidP="00A9231D"/>
    <w:p w14:paraId="7900EC70" w14:textId="77777777" w:rsidR="00A9231D" w:rsidRPr="00A9231D" w:rsidRDefault="00A9231D" w:rsidP="00A9231D">
      <w:pPr>
        <w:rPr>
          <w:sz w:val="24"/>
          <w:szCs w:val="24"/>
        </w:rPr>
      </w:pPr>
      <w:r w:rsidRPr="00A9231D">
        <w:rPr>
          <w:lang w:eastAsia="bg-BG"/>
        </w:rPr>
        <w:t>Рош България ЕООД</w:t>
      </w:r>
    </w:p>
    <w:p w14:paraId="337B7D8C" w14:textId="77777777" w:rsidR="00A9231D" w:rsidRPr="00A9231D" w:rsidRDefault="00A9231D" w:rsidP="00A9231D">
      <w:pPr>
        <w:rPr>
          <w:sz w:val="24"/>
          <w:szCs w:val="24"/>
        </w:rPr>
      </w:pPr>
      <w:r w:rsidRPr="00A9231D">
        <w:rPr>
          <w:lang w:eastAsia="bg-BG"/>
        </w:rPr>
        <w:t>ул.”Бяло поле” №16</w:t>
      </w:r>
    </w:p>
    <w:p w14:paraId="238C3D40" w14:textId="77777777" w:rsidR="00A9231D" w:rsidRPr="00A9231D" w:rsidRDefault="00A9231D" w:rsidP="00A9231D">
      <w:pPr>
        <w:rPr>
          <w:sz w:val="24"/>
          <w:szCs w:val="24"/>
        </w:rPr>
      </w:pPr>
      <w:r w:rsidRPr="00A9231D">
        <w:rPr>
          <w:lang w:eastAsia="bg-BG"/>
        </w:rPr>
        <w:t>София 1618</w:t>
      </w:r>
    </w:p>
    <w:p w14:paraId="56168E79" w14:textId="77777777" w:rsidR="00A9231D" w:rsidRPr="00A9231D" w:rsidRDefault="00A9231D" w:rsidP="00A9231D">
      <w:pPr>
        <w:rPr>
          <w:sz w:val="24"/>
          <w:szCs w:val="24"/>
        </w:rPr>
      </w:pPr>
      <w:r w:rsidRPr="00A9231D">
        <w:rPr>
          <w:lang w:eastAsia="bg-BG"/>
        </w:rPr>
        <w:t>България</w:t>
      </w:r>
    </w:p>
    <w:p w14:paraId="3A64AA13" w14:textId="77777777" w:rsidR="00A9231D" w:rsidRPr="00A9231D" w:rsidRDefault="00A9231D" w:rsidP="00A9231D">
      <w:pPr>
        <w:rPr>
          <w:sz w:val="24"/>
          <w:szCs w:val="24"/>
        </w:rPr>
      </w:pPr>
      <w:r w:rsidRPr="00A9231D">
        <w:rPr>
          <w:lang w:eastAsia="bg-BG"/>
        </w:rPr>
        <w:t>тел.:+359 2 818 44 44</w:t>
      </w:r>
    </w:p>
    <w:p w14:paraId="42DD66E1" w14:textId="77777777" w:rsidR="00A9231D" w:rsidRPr="00A9231D" w:rsidRDefault="00A9231D" w:rsidP="00A9231D">
      <w:pPr>
        <w:rPr>
          <w:sz w:val="24"/>
          <w:szCs w:val="24"/>
        </w:rPr>
      </w:pPr>
      <w:r w:rsidRPr="00A9231D">
        <w:rPr>
          <w:lang w:eastAsia="bg-BG"/>
        </w:rPr>
        <w:t>факс:+359 2 859 11 99</w:t>
      </w:r>
    </w:p>
    <w:p w14:paraId="2FD7015E" w14:textId="6628FDCC" w:rsidR="00A9231D" w:rsidRPr="00A9231D" w:rsidRDefault="00A9231D" w:rsidP="00A9231D">
      <w:pPr>
        <w:rPr>
          <w:sz w:val="24"/>
          <w:szCs w:val="24"/>
        </w:rPr>
      </w:pPr>
      <w:r w:rsidRPr="00A9231D">
        <w:rPr>
          <w:lang w:eastAsia="bg-BG"/>
        </w:rPr>
        <w:t>Гореща линия: 0700 10 280 (денонощно на цената на един градски разговор от цялата страна)</w:t>
      </w:r>
    </w:p>
    <w:p w14:paraId="7BA1BA64" w14:textId="4D9D6CA0" w:rsidR="00CF77F7" w:rsidRDefault="002C50EE" w:rsidP="004A448E">
      <w:pPr>
        <w:pStyle w:val="Heading1"/>
      </w:pPr>
      <w:r>
        <w:t>8. НОМЕР НА РАЗРЕШЕНИЕТО ЗА УПОТРЕБА</w:t>
      </w:r>
    </w:p>
    <w:p w14:paraId="2B5D1715" w14:textId="2D4B5C1E" w:rsidR="00A9231D" w:rsidRDefault="00A9231D" w:rsidP="00A9231D"/>
    <w:p w14:paraId="3F19BC6C" w14:textId="1AF51F3F" w:rsidR="00A9231D" w:rsidRPr="00A9231D" w:rsidRDefault="00A9231D" w:rsidP="00A9231D">
      <w:r>
        <w:t>20040580</w:t>
      </w:r>
    </w:p>
    <w:p w14:paraId="2CCB5832" w14:textId="48BC79CB" w:rsidR="007C605B" w:rsidRDefault="002C50EE" w:rsidP="007C605B">
      <w:pPr>
        <w:pStyle w:val="Heading1"/>
      </w:pPr>
      <w:r>
        <w:t>9. ДАТА НА ПЪРВО РАЗРЕШАВАНЕ/ПОДНОВЯВАНЕ НА РАЗРЕШЕНИЕТО ЗА УПОТРЕБА</w:t>
      </w:r>
    </w:p>
    <w:p w14:paraId="01994CA6" w14:textId="711E1EFE" w:rsidR="00A9231D" w:rsidRDefault="00A9231D" w:rsidP="00A9231D"/>
    <w:p w14:paraId="2B97FA4D" w14:textId="6338B8A7" w:rsidR="00A9231D" w:rsidRPr="00A9231D" w:rsidRDefault="00A9231D" w:rsidP="00A9231D">
      <w:r>
        <w:t>20 декември 2004 г. / 09 декември 2013 г.</w:t>
      </w:r>
      <w:bookmarkStart w:id="3" w:name="_GoBack"/>
      <w:bookmarkEnd w:id="3"/>
    </w:p>
    <w:p w14:paraId="0E9D0119" w14:textId="0245C6D7" w:rsidR="002C50EE" w:rsidRDefault="002C50EE" w:rsidP="002C50EE">
      <w:pPr>
        <w:pStyle w:val="Heading1"/>
      </w:pPr>
      <w:r>
        <w:t>10. ДАТА НА АКТУАЛИЗИРАНЕ НА ТЕКСТА</w:t>
      </w:r>
    </w:p>
    <w:bookmarkEnd w:id="0"/>
    <w:p w14:paraId="43FB38A2" w14:textId="5DAC0D15" w:rsidR="007C605B" w:rsidRPr="003E3126" w:rsidRDefault="00A9231D" w:rsidP="00A9231D">
      <w:r>
        <w:t>29 Май 2018 г.</w:t>
      </w:r>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16B6A83"/>
    <w:multiLevelType w:val="hybridMultilevel"/>
    <w:tmpl w:val="BD8C3E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3"/>
  </w:num>
  <w:num w:numId="4">
    <w:abstractNumId w:val="3"/>
  </w:num>
  <w:num w:numId="5">
    <w:abstractNumId w:val="1"/>
  </w:num>
  <w:num w:numId="6">
    <w:abstractNumId w:val="16"/>
  </w:num>
  <w:num w:numId="7">
    <w:abstractNumId w:val="11"/>
  </w:num>
  <w:num w:numId="8">
    <w:abstractNumId w:val="15"/>
  </w:num>
  <w:num w:numId="9">
    <w:abstractNumId w:val="2"/>
  </w:num>
  <w:num w:numId="10">
    <w:abstractNumId w:val="4"/>
  </w:num>
  <w:num w:numId="11">
    <w:abstractNumId w:val="30"/>
  </w:num>
  <w:num w:numId="12">
    <w:abstractNumId w:val="14"/>
  </w:num>
  <w:num w:numId="13">
    <w:abstractNumId w:val="19"/>
  </w:num>
  <w:num w:numId="14">
    <w:abstractNumId w:val="12"/>
  </w:num>
  <w:num w:numId="15">
    <w:abstractNumId w:val="29"/>
  </w:num>
  <w:num w:numId="16">
    <w:abstractNumId w:val="10"/>
  </w:num>
  <w:num w:numId="17">
    <w:abstractNumId w:val="24"/>
  </w:num>
  <w:num w:numId="18">
    <w:abstractNumId w:val="8"/>
  </w:num>
  <w:num w:numId="19">
    <w:abstractNumId w:val="26"/>
  </w:num>
  <w:num w:numId="20">
    <w:abstractNumId w:val="23"/>
  </w:num>
  <w:num w:numId="21">
    <w:abstractNumId w:val="17"/>
  </w:num>
  <w:num w:numId="22">
    <w:abstractNumId w:val="25"/>
  </w:num>
  <w:num w:numId="23">
    <w:abstractNumId w:val="18"/>
  </w:num>
  <w:num w:numId="24">
    <w:abstractNumId w:val="9"/>
  </w:num>
  <w:num w:numId="25">
    <w:abstractNumId w:val="22"/>
  </w:num>
  <w:num w:numId="26">
    <w:abstractNumId w:val="21"/>
  </w:num>
  <w:num w:numId="27">
    <w:abstractNumId w:val="31"/>
  </w:num>
  <w:num w:numId="28">
    <w:abstractNumId w:val="6"/>
  </w:num>
  <w:num w:numId="29">
    <w:abstractNumId w:val="20"/>
  </w:num>
  <w:num w:numId="30">
    <w:abstractNumId w:val="34"/>
  </w:num>
  <w:num w:numId="31">
    <w:abstractNumId w:val="5"/>
  </w:num>
  <w:num w:numId="32">
    <w:abstractNumId w:val="33"/>
  </w:num>
  <w:num w:numId="33">
    <w:abstractNumId w:val="28"/>
  </w:num>
  <w:num w:numId="34">
    <w:abstractNumId w:val="3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E3B08"/>
    <w:rsid w:val="00185A46"/>
    <w:rsid w:val="001915B6"/>
    <w:rsid w:val="001D1B23"/>
    <w:rsid w:val="002B3C38"/>
    <w:rsid w:val="002B4DBB"/>
    <w:rsid w:val="002C50EE"/>
    <w:rsid w:val="002C7D88"/>
    <w:rsid w:val="00340A0A"/>
    <w:rsid w:val="003765DC"/>
    <w:rsid w:val="00395555"/>
    <w:rsid w:val="003E3126"/>
    <w:rsid w:val="00426E5F"/>
    <w:rsid w:val="004A448E"/>
    <w:rsid w:val="004D4D6B"/>
    <w:rsid w:val="004F1CE7"/>
    <w:rsid w:val="004F498A"/>
    <w:rsid w:val="00517A5B"/>
    <w:rsid w:val="005474BD"/>
    <w:rsid w:val="00593A00"/>
    <w:rsid w:val="005A66D9"/>
    <w:rsid w:val="00605BCA"/>
    <w:rsid w:val="006158A1"/>
    <w:rsid w:val="00617B1F"/>
    <w:rsid w:val="00672487"/>
    <w:rsid w:val="00672600"/>
    <w:rsid w:val="00681D4A"/>
    <w:rsid w:val="00685882"/>
    <w:rsid w:val="006F01DD"/>
    <w:rsid w:val="0075649D"/>
    <w:rsid w:val="007C605B"/>
    <w:rsid w:val="008134C8"/>
    <w:rsid w:val="00814073"/>
    <w:rsid w:val="00826F0D"/>
    <w:rsid w:val="00893B92"/>
    <w:rsid w:val="008A6AF2"/>
    <w:rsid w:val="008C70A2"/>
    <w:rsid w:val="009773E4"/>
    <w:rsid w:val="009B171C"/>
    <w:rsid w:val="009F1313"/>
    <w:rsid w:val="00A20351"/>
    <w:rsid w:val="00A65A81"/>
    <w:rsid w:val="00A9231D"/>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3B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8599</Words>
  <Characters>49018</Characters>
  <Application>Microsoft Office Word</Application>
  <DocSecurity>0</DocSecurity>
  <Lines>408</Lines>
  <Paragraphs>115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2022-05-10T11:47:00Z</dcterms:created>
  <dcterms:modified xsi:type="dcterms:W3CDTF">2022-05-10T11:47:00Z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