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D9F8980" w:rsidR="00C40420" w:rsidRDefault="00DD466D" w:rsidP="004A448E">
      <w:pPr>
        <w:pStyle w:val="Heading1"/>
      </w:pPr>
      <w:r>
        <w:t>1.ИМЕ НА ЛЕКАРСТВЕНИЯ ПРОДУКТ</w:t>
      </w:r>
    </w:p>
    <w:p w14:paraId="2C6ACD91" w14:textId="185CF3E4" w:rsidR="00C73E3C" w:rsidRDefault="00C73E3C" w:rsidP="00C73E3C"/>
    <w:p w14:paraId="2BF92AF3" w14:textId="77777777" w:rsidR="00C73E3C" w:rsidRPr="00C73E3C" w:rsidRDefault="00C73E3C" w:rsidP="00C73E3C">
      <w:pPr>
        <w:rPr>
          <w:sz w:val="24"/>
          <w:szCs w:val="24"/>
        </w:rPr>
      </w:pPr>
      <w:r w:rsidRPr="00C73E3C">
        <w:rPr>
          <w:lang w:eastAsia="bg-BG"/>
        </w:rPr>
        <w:t xml:space="preserve">Валсаркон 160 </w:t>
      </w:r>
      <w:r w:rsidRPr="00C73E3C">
        <w:rPr>
          <w:lang w:val="en-US"/>
        </w:rPr>
        <w:t>mg</w:t>
      </w:r>
      <w:r w:rsidRPr="00C73E3C">
        <w:t xml:space="preserve"> </w:t>
      </w:r>
      <w:r w:rsidRPr="00C73E3C">
        <w:rPr>
          <w:lang w:eastAsia="bg-BG"/>
        </w:rPr>
        <w:t>филмирани таблетки</w:t>
      </w:r>
    </w:p>
    <w:p w14:paraId="10F1861F" w14:textId="77777777" w:rsidR="00C73E3C" w:rsidRPr="00C73E3C" w:rsidRDefault="00C73E3C" w:rsidP="00C73E3C">
      <w:pPr>
        <w:rPr>
          <w:sz w:val="24"/>
          <w:szCs w:val="24"/>
        </w:rPr>
      </w:pPr>
      <w:proofErr w:type="spellStart"/>
      <w:r w:rsidRPr="00C73E3C">
        <w:rPr>
          <w:lang w:val="en-US"/>
        </w:rPr>
        <w:t>Valsarcon</w:t>
      </w:r>
      <w:proofErr w:type="spellEnd"/>
      <w:r w:rsidRPr="00C73E3C">
        <w:t xml:space="preserve"> </w:t>
      </w:r>
      <w:r w:rsidRPr="00C73E3C">
        <w:rPr>
          <w:lang w:eastAsia="bg-BG"/>
        </w:rPr>
        <w:t xml:space="preserve">160 </w:t>
      </w:r>
      <w:r w:rsidRPr="00C73E3C">
        <w:rPr>
          <w:lang w:val="en-US"/>
        </w:rPr>
        <w:t>mg</w:t>
      </w:r>
      <w:r w:rsidRPr="00C73E3C">
        <w:t xml:space="preserve"> </w:t>
      </w:r>
      <w:r w:rsidRPr="00C73E3C">
        <w:rPr>
          <w:lang w:val="en-US"/>
        </w:rPr>
        <w:t>film</w:t>
      </w:r>
      <w:r w:rsidRPr="00C73E3C">
        <w:t>-</w:t>
      </w:r>
      <w:r w:rsidRPr="00C73E3C">
        <w:rPr>
          <w:lang w:val="en-US"/>
        </w:rPr>
        <w:t>coated</w:t>
      </w:r>
      <w:r w:rsidRPr="00C73E3C">
        <w:t xml:space="preserve"> </w:t>
      </w:r>
      <w:r w:rsidRPr="00C73E3C">
        <w:rPr>
          <w:lang w:val="en-US"/>
        </w:rPr>
        <w:t>tablets</w:t>
      </w:r>
    </w:p>
    <w:p w14:paraId="4538DF31" w14:textId="77777777" w:rsidR="00C73E3C" w:rsidRDefault="00C73E3C" w:rsidP="00C73E3C">
      <w:pPr>
        <w:rPr>
          <w:lang w:eastAsia="bg-BG"/>
        </w:rPr>
      </w:pPr>
    </w:p>
    <w:p w14:paraId="1CB2FE93" w14:textId="4E664A2F" w:rsidR="00C73E3C" w:rsidRPr="00C73E3C" w:rsidRDefault="00C73E3C" w:rsidP="00C73E3C">
      <w:pPr>
        <w:rPr>
          <w:sz w:val="24"/>
          <w:szCs w:val="24"/>
        </w:rPr>
      </w:pPr>
      <w:r w:rsidRPr="00C73E3C">
        <w:rPr>
          <w:lang w:eastAsia="bg-BG"/>
        </w:rPr>
        <w:t xml:space="preserve">Валсаркон </w:t>
      </w:r>
      <w:r w:rsidRPr="00C73E3C">
        <w:t xml:space="preserve">320 </w:t>
      </w:r>
      <w:r w:rsidRPr="00C73E3C">
        <w:rPr>
          <w:lang w:val="en-US"/>
        </w:rPr>
        <w:t>mg</w:t>
      </w:r>
      <w:r w:rsidRPr="00C73E3C">
        <w:t xml:space="preserve"> </w:t>
      </w:r>
      <w:r w:rsidRPr="00C73E3C">
        <w:rPr>
          <w:lang w:eastAsia="bg-BG"/>
        </w:rPr>
        <w:t>филмирани таблетки</w:t>
      </w:r>
    </w:p>
    <w:p w14:paraId="19DD006E" w14:textId="77777777" w:rsidR="00C73E3C" w:rsidRPr="00C73E3C" w:rsidRDefault="00C73E3C" w:rsidP="00C73E3C">
      <w:pPr>
        <w:rPr>
          <w:sz w:val="24"/>
          <w:szCs w:val="24"/>
        </w:rPr>
      </w:pPr>
      <w:proofErr w:type="spellStart"/>
      <w:r w:rsidRPr="00C73E3C">
        <w:rPr>
          <w:lang w:val="en-US"/>
        </w:rPr>
        <w:t>Valsarcon</w:t>
      </w:r>
      <w:proofErr w:type="spellEnd"/>
      <w:r w:rsidRPr="00C73E3C">
        <w:t xml:space="preserve"> 320 </w:t>
      </w:r>
      <w:r w:rsidRPr="00C73E3C">
        <w:rPr>
          <w:lang w:val="en-US"/>
        </w:rPr>
        <w:t>mg</w:t>
      </w:r>
      <w:r w:rsidRPr="00C73E3C">
        <w:t xml:space="preserve"> </w:t>
      </w:r>
      <w:r w:rsidRPr="00C73E3C">
        <w:rPr>
          <w:lang w:val="en-US"/>
        </w:rPr>
        <w:t>film</w:t>
      </w:r>
      <w:r w:rsidRPr="00C73E3C">
        <w:t>-</w:t>
      </w:r>
      <w:r w:rsidRPr="00C73E3C">
        <w:rPr>
          <w:lang w:val="en-US"/>
        </w:rPr>
        <w:t>coated</w:t>
      </w:r>
      <w:r w:rsidRPr="00C73E3C">
        <w:t xml:space="preserve"> </w:t>
      </w:r>
      <w:r w:rsidRPr="00C73E3C">
        <w:rPr>
          <w:lang w:val="en-US"/>
        </w:rPr>
        <w:t>tablets</w:t>
      </w:r>
    </w:p>
    <w:p w14:paraId="41053EDB" w14:textId="77777777" w:rsidR="00C73E3C" w:rsidRPr="00C73E3C" w:rsidRDefault="00C73E3C" w:rsidP="00C73E3C"/>
    <w:p w14:paraId="6920A680" w14:textId="31D726C7" w:rsidR="00C40420" w:rsidRDefault="00DD466D" w:rsidP="004A448E">
      <w:pPr>
        <w:pStyle w:val="Heading1"/>
      </w:pPr>
      <w:r>
        <w:t>2. КАЧЕСТВЕН И КОЛИЧЕСТВЕН СЪСТАВ</w:t>
      </w:r>
    </w:p>
    <w:p w14:paraId="25F7812D" w14:textId="23236FDE" w:rsidR="00C73E3C" w:rsidRDefault="00C73E3C" w:rsidP="00C73E3C"/>
    <w:p w14:paraId="2BE25F4E" w14:textId="77777777" w:rsidR="00C73E3C" w:rsidRPr="00C73E3C" w:rsidRDefault="00C73E3C" w:rsidP="00C73E3C">
      <w:pPr>
        <w:rPr>
          <w:sz w:val="24"/>
          <w:szCs w:val="24"/>
        </w:rPr>
      </w:pPr>
      <w:r w:rsidRPr="00C73E3C">
        <w:rPr>
          <w:lang w:eastAsia="bg-BG"/>
        </w:rPr>
        <w:t xml:space="preserve">Една филмирана таблетка Валсаркон 160 </w:t>
      </w:r>
      <w:r w:rsidRPr="00C73E3C">
        <w:rPr>
          <w:lang w:val="en-US"/>
        </w:rPr>
        <w:t>mg</w:t>
      </w:r>
      <w:r w:rsidRPr="00C73E3C">
        <w:t xml:space="preserve"> </w:t>
      </w:r>
      <w:r w:rsidRPr="00C73E3C">
        <w:rPr>
          <w:lang w:eastAsia="bg-BG"/>
        </w:rPr>
        <w:t xml:space="preserve">съдържа 160 </w:t>
      </w:r>
      <w:r w:rsidRPr="00C73E3C">
        <w:rPr>
          <w:lang w:val="en-US"/>
        </w:rPr>
        <w:t>mg</w:t>
      </w:r>
      <w:r w:rsidRPr="00C73E3C">
        <w:t xml:space="preserve"> </w:t>
      </w:r>
      <w:r w:rsidRPr="00C73E3C">
        <w:rPr>
          <w:lang w:eastAsia="bg-BG"/>
        </w:rPr>
        <w:t xml:space="preserve">валсартан </w:t>
      </w:r>
      <w:r w:rsidRPr="00C73E3C">
        <w:t>(</w:t>
      </w:r>
      <w:r w:rsidRPr="00C73E3C">
        <w:rPr>
          <w:lang w:val="en-US"/>
        </w:rPr>
        <w:t>valsartan</w:t>
      </w:r>
      <w:r w:rsidRPr="00C73E3C">
        <w:t>).</w:t>
      </w:r>
    </w:p>
    <w:p w14:paraId="266F0755" w14:textId="77777777" w:rsidR="00C73E3C" w:rsidRPr="00C73E3C" w:rsidRDefault="00C73E3C" w:rsidP="00C73E3C">
      <w:pPr>
        <w:rPr>
          <w:sz w:val="24"/>
          <w:szCs w:val="24"/>
        </w:rPr>
      </w:pPr>
      <w:r w:rsidRPr="00C73E3C">
        <w:rPr>
          <w:lang w:eastAsia="bg-BG"/>
        </w:rPr>
        <w:t xml:space="preserve">Една филмирана таблетка Валсаркон 320 </w:t>
      </w:r>
      <w:r w:rsidRPr="00C73E3C">
        <w:rPr>
          <w:lang w:val="en-US"/>
        </w:rPr>
        <w:t>mg</w:t>
      </w:r>
      <w:r w:rsidRPr="00C73E3C">
        <w:t xml:space="preserve"> </w:t>
      </w:r>
      <w:r w:rsidRPr="00C73E3C">
        <w:rPr>
          <w:lang w:eastAsia="bg-BG"/>
        </w:rPr>
        <w:t xml:space="preserve">съдържа 320 </w:t>
      </w:r>
      <w:r w:rsidRPr="00C73E3C">
        <w:rPr>
          <w:lang w:val="en-US"/>
        </w:rPr>
        <w:t>mg</w:t>
      </w:r>
      <w:r w:rsidRPr="00C73E3C">
        <w:t xml:space="preserve"> </w:t>
      </w:r>
      <w:r w:rsidRPr="00C73E3C">
        <w:rPr>
          <w:lang w:eastAsia="bg-BG"/>
        </w:rPr>
        <w:t xml:space="preserve">валсартан </w:t>
      </w:r>
      <w:r w:rsidRPr="00C73E3C">
        <w:t>(</w:t>
      </w:r>
      <w:r w:rsidRPr="00C73E3C">
        <w:rPr>
          <w:lang w:val="en-US"/>
        </w:rPr>
        <w:t>valsartan</w:t>
      </w:r>
      <w:r w:rsidRPr="00C73E3C">
        <w:t>).</w:t>
      </w:r>
    </w:p>
    <w:p w14:paraId="5245D0F6" w14:textId="77777777" w:rsidR="00C73E3C" w:rsidRDefault="00C73E3C" w:rsidP="00C73E3C">
      <w:pPr>
        <w:rPr>
          <w:u w:val="single"/>
          <w:lang w:eastAsia="bg-BG"/>
        </w:rPr>
      </w:pPr>
    </w:p>
    <w:p w14:paraId="0C79131C" w14:textId="1E698CA8" w:rsidR="00C73E3C" w:rsidRPr="00C73E3C" w:rsidRDefault="00C73E3C" w:rsidP="00C73E3C">
      <w:pPr>
        <w:rPr>
          <w:sz w:val="24"/>
          <w:szCs w:val="24"/>
        </w:rPr>
      </w:pPr>
      <w:r w:rsidRPr="00C73E3C">
        <w:rPr>
          <w:u w:val="single"/>
          <w:lang w:eastAsia="bg-BG"/>
        </w:rPr>
        <w:t>Помощни вещества с известно действие:</w:t>
      </w:r>
    </w:p>
    <w:p w14:paraId="1BDEDABD" w14:textId="77777777" w:rsidR="00C73E3C" w:rsidRPr="00C73E3C" w:rsidRDefault="00C73E3C" w:rsidP="00C73E3C">
      <w:pPr>
        <w:rPr>
          <w:sz w:val="24"/>
          <w:szCs w:val="24"/>
        </w:rPr>
      </w:pPr>
      <w:r w:rsidRPr="00C73E3C">
        <w:rPr>
          <w:lang w:eastAsia="bg-BG"/>
        </w:rPr>
        <w:t xml:space="preserve">Една филмирана таблетка Валсаркон 160 </w:t>
      </w:r>
      <w:r w:rsidRPr="00C73E3C">
        <w:rPr>
          <w:lang w:val="en-US"/>
        </w:rPr>
        <w:t>mg</w:t>
      </w:r>
      <w:r w:rsidRPr="00C73E3C">
        <w:rPr>
          <w:lang w:val="ru-RU"/>
        </w:rPr>
        <w:t xml:space="preserve"> </w:t>
      </w:r>
      <w:r w:rsidRPr="00C73E3C">
        <w:rPr>
          <w:lang w:eastAsia="bg-BG"/>
        </w:rPr>
        <w:t xml:space="preserve">съдържа 96,00 </w:t>
      </w:r>
      <w:r w:rsidRPr="00C73E3C">
        <w:rPr>
          <w:lang w:val="en-US"/>
        </w:rPr>
        <w:t>mg</w:t>
      </w:r>
      <w:r w:rsidRPr="00C73E3C">
        <w:rPr>
          <w:lang w:val="ru-RU"/>
        </w:rPr>
        <w:t xml:space="preserve"> </w:t>
      </w:r>
      <w:r w:rsidRPr="00C73E3C">
        <w:rPr>
          <w:lang w:eastAsia="bg-BG"/>
        </w:rPr>
        <w:t>лактоза монохидрат.</w:t>
      </w:r>
    </w:p>
    <w:p w14:paraId="4F7A35AA" w14:textId="77777777" w:rsidR="00C73E3C" w:rsidRPr="00C73E3C" w:rsidRDefault="00C73E3C" w:rsidP="00C73E3C">
      <w:pPr>
        <w:rPr>
          <w:sz w:val="24"/>
          <w:szCs w:val="24"/>
        </w:rPr>
      </w:pPr>
      <w:r w:rsidRPr="00C73E3C">
        <w:rPr>
          <w:lang w:eastAsia="bg-BG"/>
        </w:rPr>
        <w:t xml:space="preserve">Една филмирана таблетка Валсаркон 320 </w:t>
      </w:r>
      <w:r w:rsidRPr="00C73E3C">
        <w:rPr>
          <w:lang w:val="en-US"/>
        </w:rPr>
        <w:t>mg</w:t>
      </w:r>
      <w:r w:rsidRPr="00C73E3C">
        <w:rPr>
          <w:lang w:val="ru-RU"/>
        </w:rPr>
        <w:t xml:space="preserve"> </w:t>
      </w:r>
      <w:r w:rsidRPr="00C73E3C">
        <w:rPr>
          <w:lang w:eastAsia="bg-BG"/>
        </w:rPr>
        <w:t xml:space="preserve">съдържа 120,00 </w:t>
      </w:r>
      <w:r w:rsidRPr="00C73E3C">
        <w:rPr>
          <w:lang w:val="en-US"/>
        </w:rPr>
        <w:t>mg</w:t>
      </w:r>
      <w:r w:rsidRPr="00C73E3C">
        <w:rPr>
          <w:lang w:val="ru-RU"/>
        </w:rPr>
        <w:t xml:space="preserve"> </w:t>
      </w:r>
      <w:r w:rsidRPr="00C73E3C">
        <w:rPr>
          <w:lang w:eastAsia="bg-BG"/>
        </w:rPr>
        <w:t>лактоза монохидрат.</w:t>
      </w:r>
    </w:p>
    <w:p w14:paraId="21876D4B" w14:textId="77777777" w:rsidR="00C73E3C" w:rsidRPr="00C73E3C" w:rsidRDefault="00C73E3C" w:rsidP="00C73E3C"/>
    <w:p w14:paraId="614984C4" w14:textId="5B6E5597" w:rsidR="008A6AF2" w:rsidRDefault="00DD466D" w:rsidP="002C50EE">
      <w:pPr>
        <w:pStyle w:val="Heading1"/>
      </w:pPr>
      <w:r>
        <w:t>3. ЛЕКАРСТВЕНА ФОРМА</w:t>
      </w:r>
    </w:p>
    <w:p w14:paraId="32D67519" w14:textId="6857017E" w:rsidR="00C73E3C" w:rsidRDefault="00C73E3C" w:rsidP="00C73E3C"/>
    <w:p w14:paraId="250C8728"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Филмирана таблетка</w:t>
      </w:r>
    </w:p>
    <w:p w14:paraId="3B40AEE8" w14:textId="77777777" w:rsidR="00C73E3C" w:rsidRDefault="00C73E3C" w:rsidP="00C73E3C">
      <w:pPr>
        <w:spacing w:line="240" w:lineRule="auto"/>
        <w:rPr>
          <w:rFonts w:eastAsia="Times New Roman" w:cs="Arial"/>
          <w:color w:val="000000"/>
          <w:lang w:eastAsia="bg-BG"/>
        </w:rPr>
      </w:pPr>
    </w:p>
    <w:p w14:paraId="6CA9D6EE" w14:textId="4F423D90"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Валсаркон 160 </w:t>
      </w:r>
      <w:r w:rsidRPr="00C73E3C">
        <w:rPr>
          <w:rFonts w:eastAsia="Times New Roman" w:cs="Arial"/>
          <w:color w:val="000000"/>
          <w:lang w:val="en-US"/>
        </w:rPr>
        <w:t>mg</w:t>
      </w:r>
      <w:r w:rsidRPr="00C73E3C">
        <w:rPr>
          <w:rFonts w:eastAsia="Times New Roman" w:cs="Arial"/>
          <w:color w:val="000000"/>
          <w:lang w:val="ru-RU"/>
        </w:rPr>
        <w:t>:</w:t>
      </w:r>
    </w:p>
    <w:p w14:paraId="4AA75AA7"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Сиво-оранжеви, елипсовидни, със скосени ръбове, двойноизпъкнали, филмирани таблетки, гравирани с "I" от едната страна и "75" от другата страна, с делителна черта, разделяща 7 и 5, с размери 17,6 </w:t>
      </w:r>
      <w:r w:rsidRPr="00C73E3C">
        <w:rPr>
          <w:rFonts w:eastAsia="Times New Roman" w:cs="Arial"/>
          <w:color w:val="000000"/>
          <w:lang w:val="en-US"/>
        </w:rPr>
        <w:t>mm</w:t>
      </w:r>
      <w:r w:rsidRPr="00C73E3C">
        <w:rPr>
          <w:rFonts w:eastAsia="Times New Roman" w:cs="Arial"/>
          <w:color w:val="000000"/>
          <w:lang w:val="ru-RU"/>
        </w:rPr>
        <w:t xml:space="preserve"> </w:t>
      </w:r>
      <w:r w:rsidRPr="00C73E3C">
        <w:rPr>
          <w:rFonts w:eastAsia="Times New Roman" w:cs="Arial"/>
          <w:color w:val="000000"/>
          <w:lang w:eastAsia="bg-BG"/>
        </w:rPr>
        <w:t xml:space="preserve">х 7,6 </w:t>
      </w:r>
      <w:r w:rsidRPr="00C73E3C">
        <w:rPr>
          <w:rFonts w:eastAsia="Times New Roman" w:cs="Arial"/>
          <w:color w:val="000000"/>
          <w:lang w:val="en-US"/>
        </w:rPr>
        <w:t>mm</w:t>
      </w:r>
      <w:r w:rsidRPr="00C73E3C">
        <w:rPr>
          <w:rFonts w:eastAsia="Times New Roman" w:cs="Arial"/>
          <w:color w:val="000000"/>
          <w:lang w:val="ru-RU"/>
        </w:rPr>
        <w:t>.</w:t>
      </w:r>
    </w:p>
    <w:p w14:paraId="329312BA" w14:textId="77777777" w:rsidR="00C73E3C" w:rsidRDefault="00C73E3C" w:rsidP="00C73E3C">
      <w:pPr>
        <w:spacing w:line="240" w:lineRule="auto"/>
        <w:rPr>
          <w:rFonts w:eastAsia="Times New Roman" w:cs="Arial"/>
          <w:color w:val="000000"/>
          <w:lang w:eastAsia="bg-BG"/>
        </w:rPr>
      </w:pPr>
    </w:p>
    <w:p w14:paraId="114D8B9E" w14:textId="3D27952F"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Валсаркон 320 </w:t>
      </w:r>
      <w:r w:rsidRPr="00C73E3C">
        <w:rPr>
          <w:rFonts w:eastAsia="Times New Roman" w:cs="Arial"/>
          <w:color w:val="000000"/>
          <w:lang w:val="en-US"/>
        </w:rPr>
        <w:t>mg</w:t>
      </w:r>
      <w:r w:rsidRPr="00C73E3C">
        <w:rPr>
          <w:rFonts w:eastAsia="Times New Roman" w:cs="Arial"/>
          <w:color w:val="000000"/>
          <w:lang w:val="ru-RU"/>
        </w:rPr>
        <w:t>:</w:t>
      </w:r>
    </w:p>
    <w:p w14:paraId="66F1E2C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Тъмносиво-виолетови, елипсовидни, със скосени ръбове, двойноизпъкнали, филмирани таблетки, гравирани с "I" от едната страна и "18" от другата страна, с делителна черта, разделяща 1 и 8, с размери 21,1 </w:t>
      </w:r>
      <w:r w:rsidRPr="00C73E3C">
        <w:rPr>
          <w:rFonts w:eastAsia="Times New Roman" w:cs="Arial"/>
          <w:color w:val="000000"/>
          <w:lang w:val="en-US"/>
        </w:rPr>
        <w:t>mm</w:t>
      </w:r>
      <w:r w:rsidRPr="00C73E3C">
        <w:rPr>
          <w:rFonts w:eastAsia="Times New Roman" w:cs="Arial"/>
          <w:color w:val="000000"/>
          <w:lang w:val="ru-RU"/>
        </w:rPr>
        <w:t xml:space="preserve"> </w:t>
      </w:r>
      <w:r w:rsidRPr="00C73E3C">
        <w:rPr>
          <w:rFonts w:eastAsia="Times New Roman" w:cs="Arial"/>
          <w:color w:val="000000"/>
          <w:lang w:eastAsia="bg-BG"/>
        </w:rPr>
        <w:t xml:space="preserve">х 9,7 </w:t>
      </w:r>
      <w:r w:rsidRPr="00C73E3C">
        <w:rPr>
          <w:rFonts w:eastAsia="Times New Roman" w:cs="Arial"/>
          <w:color w:val="000000"/>
          <w:lang w:val="en-US"/>
        </w:rPr>
        <w:t>mm</w:t>
      </w:r>
      <w:r w:rsidRPr="00C73E3C">
        <w:rPr>
          <w:rFonts w:eastAsia="Times New Roman" w:cs="Arial"/>
          <w:color w:val="000000"/>
          <w:lang w:val="ru-RU"/>
        </w:rPr>
        <w:t>.</w:t>
      </w:r>
    </w:p>
    <w:p w14:paraId="216D24D6" w14:textId="77777777" w:rsidR="00C73E3C" w:rsidRDefault="00C73E3C" w:rsidP="00C73E3C">
      <w:pPr>
        <w:spacing w:line="240" w:lineRule="auto"/>
        <w:rPr>
          <w:rFonts w:eastAsia="Times New Roman" w:cs="Arial"/>
          <w:color w:val="000000"/>
          <w:lang w:eastAsia="bg-BG"/>
        </w:rPr>
      </w:pPr>
    </w:p>
    <w:p w14:paraId="68968100" w14:textId="3B82BBD8" w:rsidR="00C73E3C" w:rsidRPr="00C73E3C" w:rsidRDefault="00C73E3C" w:rsidP="00C73E3C">
      <w:pPr>
        <w:spacing w:line="240" w:lineRule="auto"/>
        <w:rPr>
          <w:rFonts w:ascii="Times New Roman" w:eastAsia="Times New Roman" w:hAnsi="Times New Roman" w:cs="Times New Roman"/>
          <w:sz w:val="24"/>
          <w:szCs w:val="24"/>
        </w:rPr>
      </w:pPr>
      <w:r w:rsidRPr="00C73E3C">
        <w:rPr>
          <w:rFonts w:eastAsia="Times New Roman" w:cs="Arial"/>
          <w:color w:val="000000"/>
          <w:lang w:eastAsia="bg-BG"/>
        </w:rPr>
        <w:t>Таблетката може да бъде разделена на две равни дози.</w:t>
      </w:r>
    </w:p>
    <w:p w14:paraId="6CE12E90" w14:textId="77777777" w:rsidR="00C73E3C" w:rsidRPr="00C73E3C" w:rsidRDefault="00C73E3C" w:rsidP="00C73E3C"/>
    <w:p w14:paraId="490FC2C4" w14:textId="32682B15" w:rsidR="002C50EE" w:rsidRDefault="002C50EE" w:rsidP="002C50EE">
      <w:pPr>
        <w:pStyle w:val="Heading1"/>
      </w:pPr>
      <w:r>
        <w:t>4. КЛИНИЧНИ ДАННИ</w:t>
      </w:r>
    </w:p>
    <w:p w14:paraId="0C8E6903" w14:textId="732AF7A3" w:rsidR="008134C8" w:rsidRDefault="002C50EE" w:rsidP="004A448E">
      <w:pPr>
        <w:pStyle w:val="Heading2"/>
      </w:pPr>
      <w:r>
        <w:t>4.1. Терапевтични показания</w:t>
      </w:r>
    </w:p>
    <w:p w14:paraId="526B1682" w14:textId="714B6173" w:rsidR="00C73E3C" w:rsidRDefault="00C73E3C" w:rsidP="00C73E3C"/>
    <w:p w14:paraId="48036BAA" w14:textId="77777777"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Хипертония</w:t>
      </w:r>
    </w:p>
    <w:p w14:paraId="46463FEF"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Лечение на есенциална хипертония при възрастни и хипертония при деца и юноши на възраст от 6 до 18 години.</w:t>
      </w:r>
    </w:p>
    <w:p w14:paraId="69AA76A9" w14:textId="77777777" w:rsidR="00C73E3C" w:rsidRPr="00C73E3C" w:rsidRDefault="00C73E3C" w:rsidP="00C73E3C">
      <w:pPr>
        <w:spacing w:line="240" w:lineRule="auto"/>
        <w:rPr>
          <w:rFonts w:eastAsia="Times New Roman" w:cs="Arial"/>
          <w:color w:val="000000"/>
          <w:u w:val="single"/>
          <w:lang w:eastAsia="bg-BG"/>
        </w:rPr>
      </w:pPr>
    </w:p>
    <w:p w14:paraId="100F923D" w14:textId="45B5C745"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Пресен миокарден инфаркт</w:t>
      </w:r>
    </w:p>
    <w:p w14:paraId="4069DC8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lastRenderedPageBreak/>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-10 дни) миокарден инфаркт (вж. точки 4.4 и 5.1).</w:t>
      </w:r>
    </w:p>
    <w:p w14:paraId="5BB4E4AE" w14:textId="77777777" w:rsidR="00C73E3C" w:rsidRPr="00C73E3C" w:rsidRDefault="00C73E3C" w:rsidP="00C73E3C">
      <w:pPr>
        <w:spacing w:line="240" w:lineRule="auto"/>
        <w:rPr>
          <w:rFonts w:eastAsia="Times New Roman" w:cs="Arial"/>
          <w:color w:val="000000"/>
          <w:u w:val="single"/>
          <w:lang w:eastAsia="bg-BG"/>
        </w:rPr>
      </w:pPr>
    </w:p>
    <w:p w14:paraId="383E84AF" w14:textId="0D99AE00"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Сърдечна недостатъчност</w:t>
      </w:r>
    </w:p>
    <w:p w14:paraId="5174EC4A" w14:textId="77777777" w:rsidR="00C73E3C" w:rsidRPr="00C73E3C" w:rsidRDefault="00C73E3C" w:rsidP="00C73E3C">
      <w:pPr>
        <w:spacing w:line="240" w:lineRule="auto"/>
        <w:rPr>
          <w:rFonts w:ascii="Times New Roman" w:eastAsia="Times New Roman" w:hAnsi="Times New Roman" w:cs="Times New Roman"/>
          <w:sz w:val="24"/>
          <w:szCs w:val="24"/>
        </w:rPr>
      </w:pPr>
      <w:r w:rsidRPr="00C73E3C">
        <w:rPr>
          <w:rFonts w:eastAsia="Times New Roman" w:cs="Arial"/>
          <w:color w:val="000000"/>
          <w:lang w:eastAsia="bg-BG"/>
        </w:rPr>
        <w:t>Лечение на симптоматична сърдечна недостатъчност при възрастни пациенти, когато не могат да бъдат прилагани инхибитори на ангиотензин конвертиращия ензим (АСЕ) или като допълваща терапия към АСЕ инхибиторите, когато не могат да бъдат прилагани бета-блокери (вж. точки 4.4 и 5.1).</w:t>
      </w:r>
    </w:p>
    <w:p w14:paraId="73E66C04" w14:textId="77777777" w:rsidR="00C73E3C" w:rsidRPr="00C73E3C" w:rsidRDefault="00C73E3C" w:rsidP="00C73E3C"/>
    <w:p w14:paraId="30BE2C7B" w14:textId="3D78473A" w:rsidR="008134C8" w:rsidRDefault="002C50EE" w:rsidP="004A448E">
      <w:pPr>
        <w:pStyle w:val="Heading2"/>
      </w:pPr>
      <w:r>
        <w:t>4.2. Дозировка и начин на приложение</w:t>
      </w:r>
    </w:p>
    <w:p w14:paraId="4A514A38" w14:textId="2B99317E" w:rsidR="00C73E3C" w:rsidRDefault="00C73E3C" w:rsidP="00C73E3C"/>
    <w:p w14:paraId="723A005A" w14:textId="77777777" w:rsidR="00C73E3C" w:rsidRPr="00C73E3C" w:rsidRDefault="00C73E3C" w:rsidP="00C73E3C">
      <w:pPr>
        <w:pStyle w:val="Heading3"/>
        <w:rPr>
          <w:rFonts w:eastAsia="Times New Roman"/>
          <w:u w:val="single"/>
        </w:rPr>
      </w:pPr>
      <w:r w:rsidRPr="00C73E3C">
        <w:rPr>
          <w:rFonts w:eastAsia="Times New Roman"/>
          <w:u w:val="single"/>
          <w:lang w:eastAsia="bg-BG"/>
        </w:rPr>
        <w:t>Дозировка</w:t>
      </w:r>
    </w:p>
    <w:p w14:paraId="27454B3B" w14:textId="77777777" w:rsidR="00C73E3C" w:rsidRDefault="00C73E3C" w:rsidP="00C73E3C">
      <w:pPr>
        <w:spacing w:line="240" w:lineRule="auto"/>
        <w:rPr>
          <w:rFonts w:eastAsia="Times New Roman" w:cs="Arial"/>
          <w:color w:val="000000"/>
          <w:u w:val="single"/>
          <w:lang w:eastAsia="bg-BG"/>
        </w:rPr>
      </w:pPr>
    </w:p>
    <w:p w14:paraId="362C70FC" w14:textId="60B55330"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Хипертония</w:t>
      </w:r>
    </w:p>
    <w:p w14:paraId="61F749CA"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Препоръчваната доза Валсаркон е 80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един път дневно. Антихипертензивният ефект е ясно изразен след 2 седмици, а максимален ефект се постига след 4 седмици. При пациенти, чието артериално налягане не се контролира адекватно, дозата може да бъде завишена до 160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и максимално до 320 </w:t>
      </w:r>
      <w:r w:rsidRPr="00C73E3C">
        <w:rPr>
          <w:rFonts w:eastAsia="Times New Roman" w:cs="Arial"/>
          <w:color w:val="000000"/>
          <w:lang w:val="en-US"/>
        </w:rPr>
        <w:t>mg</w:t>
      </w:r>
      <w:r w:rsidRPr="00C73E3C">
        <w:rPr>
          <w:rFonts w:eastAsia="Times New Roman" w:cs="Arial"/>
          <w:color w:val="000000"/>
          <w:lang w:val="ru-RU"/>
        </w:rPr>
        <w:t>.</w:t>
      </w:r>
    </w:p>
    <w:p w14:paraId="66D6A6D8"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Валсаркон може да бъде прилаган едновременно с други антихипертензивни лекарствени продукти. Добавянето на диуретик, например хидрохлоротиазид, допълнително понижава артериалното налягане при тези пациенти.</w:t>
      </w:r>
    </w:p>
    <w:p w14:paraId="699EAC94" w14:textId="77777777" w:rsidR="00C73E3C" w:rsidRDefault="00C73E3C" w:rsidP="00C73E3C">
      <w:pPr>
        <w:spacing w:line="240" w:lineRule="auto"/>
        <w:rPr>
          <w:rFonts w:eastAsia="Times New Roman" w:cs="Arial"/>
          <w:color w:val="000000"/>
          <w:u w:val="single"/>
          <w:lang w:eastAsia="bg-BG"/>
        </w:rPr>
      </w:pPr>
    </w:p>
    <w:p w14:paraId="53CB8BDA" w14:textId="3AA5118A"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Пресен миокарден инфаркт</w:t>
      </w:r>
    </w:p>
    <w:p w14:paraId="42C10CCD" w14:textId="38980282"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При клинично стабилни пациенти лечението може да бъде започнато в рамките на12 часа след миокардния инфаркт. След начална доза от 20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дозата на валсартан трябва да се повиши до 40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80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и 160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в следващите няколко седмици. Началната доза се осигурява чрез 40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делими таблетки. Прицелната максимална доза е 160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Препоръчва се пациентите да достигнат доза от 80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за две седмици след започване на лечението, а прицелната максимална доза от 160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два пъти дневно да се достигне за три месеца в зависимост от поносимостта на пациента. При поява на симптоматична хипотония или нарушение на бъбречната функция следва да се обсъди намаляване на дозата.</w:t>
      </w:r>
    </w:p>
    <w:p w14:paraId="0314EFD0"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Валсартан може да се прилага при пациенти, лекувани с други средства за лечение на слединфарктни състояния, напр. тромболитици, ацетилсалицилова киселина, бета-блокери, статини и диуретици. Комбинацията с АСЕ инхибитори не се препоръчва (вж. точки 4.4 и 5.1). Оценката иа пациентите след миокарден инфаркт винаги трябва да включва оценка на бъбречната функция.</w:t>
      </w:r>
    </w:p>
    <w:p w14:paraId="130525A0" w14:textId="77777777" w:rsidR="00C73E3C" w:rsidRDefault="00C73E3C" w:rsidP="00C73E3C">
      <w:pPr>
        <w:spacing w:line="240" w:lineRule="auto"/>
        <w:rPr>
          <w:rFonts w:eastAsia="Times New Roman" w:cs="Arial"/>
          <w:color w:val="000000"/>
          <w:u w:val="single"/>
          <w:lang w:eastAsia="bg-BG"/>
        </w:rPr>
      </w:pPr>
    </w:p>
    <w:p w14:paraId="5540C226" w14:textId="074F949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Сърдечна недостатъчност</w:t>
      </w:r>
    </w:p>
    <w:p w14:paraId="3064FF8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Препоръчваната начална доза на Валсаркон е 40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Покачването на дозата до 80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и 160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два пъти дневно трябва да се осъществява през интервали от най-малко две седмици, до най-високата доза в зависимост от поносимостта на пациента. Следва да се обсъди намаляване на дозата на включения в лечението диуретик. Максималната дневна доза, прилагана в клинични проучвания, е 320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в неколкократен прием. Валсартан може да бъде прилаган с други схеми за лечение на сърдечна недостатъчност. Независимо от това, не се препоръчва тройната комбинация от АСЕ инхибитор, бета-блокер и валсартан (вж. точки 4.4 и 5.1). Оценката на пациентите със сърдечна недостатъчност винаги трябва да включва оценка на бъбречната функция.</w:t>
      </w:r>
    </w:p>
    <w:p w14:paraId="2C7923AB" w14:textId="77777777" w:rsidR="00C73E3C" w:rsidRDefault="00C73E3C" w:rsidP="00C73E3C">
      <w:pPr>
        <w:spacing w:line="240" w:lineRule="auto"/>
        <w:rPr>
          <w:rFonts w:eastAsia="Times New Roman" w:cs="Arial"/>
          <w:i/>
          <w:iCs/>
          <w:color w:val="000000"/>
          <w:u w:val="single"/>
          <w:lang w:eastAsia="bg-BG"/>
        </w:rPr>
      </w:pPr>
    </w:p>
    <w:p w14:paraId="2DAABE39" w14:textId="04723573" w:rsidR="00C73E3C" w:rsidRPr="00C73E3C" w:rsidRDefault="00C73E3C" w:rsidP="00C73E3C">
      <w:pPr>
        <w:spacing w:line="240" w:lineRule="auto"/>
        <w:rPr>
          <w:rFonts w:eastAsia="Times New Roman" w:cs="Arial"/>
          <w:i/>
          <w:iCs/>
          <w:color w:val="000000"/>
          <w:u w:val="single"/>
          <w:lang w:eastAsia="bg-BG"/>
        </w:rPr>
      </w:pPr>
      <w:r w:rsidRPr="00C73E3C">
        <w:rPr>
          <w:rFonts w:eastAsia="Times New Roman" w:cs="Arial"/>
          <w:i/>
          <w:iCs/>
          <w:color w:val="000000"/>
          <w:u w:val="single"/>
          <w:lang w:eastAsia="bg-BG"/>
        </w:rPr>
        <w:lastRenderedPageBreak/>
        <w:t>Допълнителна информация за специални групи пациенти</w:t>
      </w:r>
    </w:p>
    <w:p w14:paraId="20E4EF48" w14:textId="77777777" w:rsidR="00C73E3C" w:rsidRDefault="00C73E3C" w:rsidP="00C73E3C">
      <w:pPr>
        <w:spacing w:line="240" w:lineRule="auto"/>
        <w:rPr>
          <w:rFonts w:eastAsia="Times New Roman" w:cs="Arial"/>
          <w:color w:val="000000"/>
          <w:u w:val="single"/>
          <w:lang w:eastAsia="bg-BG"/>
        </w:rPr>
      </w:pPr>
    </w:p>
    <w:p w14:paraId="0A5059B1" w14:textId="3E5A1503"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Хора в старческа възраст</w:t>
      </w:r>
    </w:p>
    <w:p w14:paraId="478D8BA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Не се налага промяна в дозировката при пациенти в старческа възраст.</w:t>
      </w:r>
    </w:p>
    <w:p w14:paraId="18C184C7" w14:textId="77777777" w:rsidR="00C73E3C" w:rsidRDefault="00C73E3C" w:rsidP="00C73E3C">
      <w:pPr>
        <w:spacing w:line="240" w:lineRule="auto"/>
        <w:rPr>
          <w:rFonts w:eastAsia="Times New Roman" w:cs="Arial"/>
          <w:color w:val="000000"/>
          <w:u w:val="single"/>
          <w:lang w:eastAsia="bg-BG"/>
        </w:rPr>
      </w:pPr>
    </w:p>
    <w:p w14:paraId="1C327F66" w14:textId="09BC52CF"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Бъбречно увреждане</w:t>
      </w:r>
    </w:p>
    <w:p w14:paraId="584E32B6"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Не се налага промяна в дозировката при възрастни пациенти с креатининов клирънс &gt;10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 xml:space="preserve">(вж. точки 4.4 и 5.2). Едновременната употреба на Валсаркон с алискирен е противопоказана при пациенти с бъбречно увреждане </w:t>
      </w:r>
      <w:r w:rsidRPr="00C73E3C">
        <w:rPr>
          <w:rFonts w:eastAsia="Times New Roman" w:cs="Arial"/>
          <w:color w:val="000000"/>
          <w:lang w:val="ru-RU"/>
        </w:rPr>
        <w:t>(</w:t>
      </w:r>
      <w:r w:rsidRPr="00C73E3C">
        <w:rPr>
          <w:rFonts w:eastAsia="Times New Roman" w:cs="Arial"/>
          <w:color w:val="000000"/>
          <w:lang w:val="en-US"/>
        </w:rPr>
        <w:t>GFR</w:t>
      </w:r>
      <w:r w:rsidRPr="00C73E3C">
        <w:rPr>
          <w:rFonts w:eastAsia="Times New Roman" w:cs="Arial"/>
          <w:color w:val="000000"/>
          <w:lang w:val="ru-RU"/>
        </w:rPr>
        <w:t xml:space="preserve"> </w:t>
      </w:r>
      <w:r w:rsidRPr="00C73E3C">
        <w:rPr>
          <w:rFonts w:eastAsia="Times New Roman" w:cs="Arial"/>
          <w:color w:val="000000"/>
          <w:lang w:eastAsia="bg-BG"/>
        </w:rPr>
        <w:t xml:space="preserve">&lt;60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/1,73 </w:t>
      </w:r>
      <w:r w:rsidRPr="00C73E3C">
        <w:rPr>
          <w:rFonts w:eastAsia="Times New Roman" w:cs="Arial"/>
          <w:color w:val="000000"/>
          <w:lang w:eastAsia="bg-BG"/>
        </w:rPr>
        <w:t>m2) (вж. точка 4.3).</w:t>
      </w:r>
    </w:p>
    <w:p w14:paraId="130474A6" w14:textId="77777777" w:rsidR="00C73E3C" w:rsidRDefault="00C73E3C" w:rsidP="00C73E3C">
      <w:pPr>
        <w:spacing w:line="240" w:lineRule="auto"/>
        <w:rPr>
          <w:rFonts w:eastAsia="Times New Roman" w:cs="Arial"/>
          <w:color w:val="000000"/>
          <w:u w:val="single"/>
          <w:lang w:eastAsia="bg-BG"/>
        </w:rPr>
      </w:pPr>
    </w:p>
    <w:p w14:paraId="4AFC54F8" w14:textId="530F74E6"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Захарен диабет</w:t>
      </w:r>
    </w:p>
    <w:p w14:paraId="4D549AAA"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Едновременната употреба на Валсаркон с алискирен е противопоказана при пациенти със захарен диабет (вж. точка 4.3).</w:t>
      </w:r>
    </w:p>
    <w:p w14:paraId="41BE4D2A" w14:textId="43DCD633"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Чернодробно увреждане</w:t>
      </w:r>
    </w:p>
    <w:p w14:paraId="3CA3233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Валсаркон е противопоказан при пациенти с тежко чернодробно увреждане, билиарна цироза и при пациенти с холестаза (вж. точки 4.3,4.4 и 5.2). При пациенти с леко до</w:t>
      </w:r>
      <w:r w:rsidRPr="00C73E3C">
        <w:rPr>
          <w:rFonts w:eastAsia="Times New Roman" w:cs="Arial"/>
          <w:color w:val="000000"/>
          <w:lang w:val="ru-RU"/>
        </w:rPr>
        <w:t xml:space="preserve"> </w:t>
      </w:r>
      <w:r w:rsidRPr="00C73E3C">
        <w:rPr>
          <w:rFonts w:eastAsia="Times New Roman" w:cs="Arial"/>
          <w:color w:val="000000"/>
          <w:lang w:eastAsia="bg-BG"/>
        </w:rPr>
        <w:t xml:space="preserve">умерено чернодробно увреждане без холестаза дозата на валсартан не трябва да превишава 80 </w:t>
      </w:r>
      <w:r w:rsidRPr="00C73E3C">
        <w:rPr>
          <w:rFonts w:eastAsia="Times New Roman" w:cs="Arial"/>
          <w:color w:val="000000"/>
          <w:lang w:val="en-US"/>
        </w:rPr>
        <w:t>mg</w:t>
      </w:r>
      <w:r w:rsidRPr="00C73E3C">
        <w:rPr>
          <w:rFonts w:eastAsia="Times New Roman" w:cs="Arial"/>
          <w:color w:val="000000"/>
          <w:lang w:val="ru-RU"/>
        </w:rPr>
        <w:t>.</w:t>
      </w:r>
    </w:p>
    <w:p w14:paraId="7B18377F" w14:textId="77777777" w:rsidR="00C73E3C" w:rsidRDefault="00C73E3C" w:rsidP="00C73E3C">
      <w:pPr>
        <w:spacing w:line="240" w:lineRule="auto"/>
        <w:rPr>
          <w:rFonts w:eastAsia="Times New Roman" w:cs="Arial"/>
          <w:i/>
          <w:iCs/>
          <w:color w:val="000000"/>
          <w:u w:val="single"/>
          <w:lang w:eastAsia="bg-BG"/>
        </w:rPr>
      </w:pPr>
    </w:p>
    <w:p w14:paraId="5989EDF5" w14:textId="0A124CC7" w:rsidR="00C73E3C" w:rsidRPr="00C73E3C" w:rsidRDefault="00C73E3C" w:rsidP="00C73E3C">
      <w:pPr>
        <w:spacing w:line="240" w:lineRule="auto"/>
        <w:rPr>
          <w:rFonts w:eastAsia="Times New Roman" w:cs="Arial"/>
        </w:rPr>
      </w:pPr>
      <w:r w:rsidRPr="00C73E3C">
        <w:rPr>
          <w:rFonts w:eastAsia="Times New Roman" w:cs="Arial"/>
          <w:i/>
          <w:iCs/>
          <w:color w:val="000000"/>
          <w:u w:val="single"/>
          <w:lang w:eastAsia="bg-BG"/>
        </w:rPr>
        <w:t>Педиатрична популация</w:t>
      </w:r>
    </w:p>
    <w:p w14:paraId="2F0C7EE0" w14:textId="6B15EEBB" w:rsidR="00C73E3C" w:rsidRDefault="00C73E3C" w:rsidP="00C73E3C"/>
    <w:p w14:paraId="1E75C61E" w14:textId="77777777"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Хипертония при депа</w:t>
      </w:r>
    </w:p>
    <w:p w14:paraId="273E26F8" w14:textId="77777777" w:rsidR="00C73E3C" w:rsidRPr="00C73E3C" w:rsidRDefault="00C73E3C" w:rsidP="00C73E3C">
      <w:pPr>
        <w:spacing w:line="240" w:lineRule="auto"/>
        <w:rPr>
          <w:rFonts w:eastAsia="Times New Roman" w:cs="Arial"/>
        </w:rPr>
      </w:pPr>
      <w:r w:rsidRPr="00C73E3C">
        <w:rPr>
          <w:rFonts w:eastAsia="Times New Roman" w:cs="Arial"/>
          <w:i/>
          <w:iCs/>
          <w:color w:val="000000"/>
          <w:lang w:eastAsia="bg-BG"/>
        </w:rPr>
        <w:t>Деца и юноши на възраст от 6 до 18 години</w:t>
      </w:r>
    </w:p>
    <w:p w14:paraId="1669C92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Началната доза е 40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веднъж дневно за деца с тегло под 35 </w:t>
      </w:r>
      <w:r w:rsidRPr="00C73E3C">
        <w:rPr>
          <w:rFonts w:eastAsia="Times New Roman" w:cs="Arial"/>
          <w:color w:val="000000"/>
          <w:lang w:val="en-US"/>
        </w:rPr>
        <w:t>kg</w:t>
      </w:r>
      <w:r w:rsidRPr="00C73E3C">
        <w:rPr>
          <w:rFonts w:eastAsia="Times New Roman" w:cs="Arial"/>
          <w:color w:val="000000"/>
          <w:lang w:val="ru-RU"/>
        </w:rPr>
        <w:t xml:space="preserve"> </w:t>
      </w:r>
      <w:r w:rsidRPr="00C73E3C">
        <w:rPr>
          <w:rFonts w:eastAsia="Times New Roman" w:cs="Arial"/>
          <w:color w:val="000000"/>
          <w:lang w:eastAsia="bg-BG"/>
        </w:rPr>
        <w:t xml:space="preserve">и 80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веднъж дневно за тези с тегло 35 </w:t>
      </w:r>
      <w:r w:rsidRPr="00C73E3C">
        <w:rPr>
          <w:rFonts w:eastAsia="Times New Roman" w:cs="Arial"/>
          <w:color w:val="000000"/>
          <w:lang w:val="en-US"/>
        </w:rPr>
        <w:t>kg</w:t>
      </w:r>
      <w:r w:rsidRPr="00C73E3C">
        <w:rPr>
          <w:rFonts w:eastAsia="Times New Roman" w:cs="Arial"/>
          <w:color w:val="000000"/>
          <w:lang w:val="ru-RU"/>
        </w:rPr>
        <w:t xml:space="preserve"> </w:t>
      </w:r>
      <w:r w:rsidRPr="00C73E3C">
        <w:rPr>
          <w:rFonts w:eastAsia="Times New Roman" w:cs="Arial"/>
          <w:color w:val="000000"/>
          <w:lang w:eastAsia="bg-BG"/>
        </w:rPr>
        <w:t>или повече. Дозата трябва да се коригира в зависимост от повлияването на артериалното налягане. Моля, вижте максималните дози, проучени в хода на клиничните изпитвания в таблицата по-долу.</w:t>
      </w:r>
    </w:p>
    <w:p w14:paraId="437475D8" w14:textId="160D6DB9" w:rsidR="00C73E3C" w:rsidRDefault="00C73E3C" w:rsidP="00C73E3C">
      <w:pPr>
        <w:rPr>
          <w:rFonts w:eastAsia="Times New Roman" w:cs="Arial"/>
          <w:color w:val="000000"/>
          <w:lang w:eastAsia="bg-BG"/>
        </w:rPr>
      </w:pPr>
      <w:r w:rsidRPr="00C73E3C">
        <w:rPr>
          <w:rFonts w:eastAsia="Times New Roman" w:cs="Arial"/>
          <w:color w:val="000000"/>
          <w:lang w:eastAsia="bg-BG"/>
        </w:rPr>
        <w:t>Дози по-високи от описаните не са били проучвани и поради тази причина не се препоръчват.</w:t>
      </w:r>
    </w:p>
    <w:p w14:paraId="1C371F16" w14:textId="09B05069" w:rsidR="00C73E3C" w:rsidRDefault="00C73E3C" w:rsidP="00C73E3C">
      <w:pPr>
        <w:rPr>
          <w:rFonts w:eastAsia="Times New Roman" w:cs="Arial"/>
          <w:color w:val="000000"/>
          <w:lang w:eastAsia="bg-BG"/>
        </w:rPr>
      </w:pPr>
    </w:p>
    <w:tbl>
      <w:tblPr>
        <w:tblStyle w:val="TableGrid"/>
        <w:tblW w:w="0" w:type="auto"/>
        <w:tblLook w:val="04A0" w:firstRow="1" w:lastRow="0" w:firstColumn="1" w:lastColumn="0" w:noHBand="0" w:noVBand="1"/>
      </w:tblPr>
      <w:tblGrid>
        <w:gridCol w:w="2235"/>
        <w:gridCol w:w="3969"/>
      </w:tblGrid>
      <w:tr w:rsidR="00C73E3C" w14:paraId="0AE1CEF4" w14:textId="77777777" w:rsidTr="00C73E3C">
        <w:tc>
          <w:tcPr>
            <w:tcW w:w="2235" w:type="dxa"/>
          </w:tcPr>
          <w:p w14:paraId="6D706B83" w14:textId="760F2F44" w:rsidR="00C73E3C" w:rsidRDefault="00C73E3C" w:rsidP="00C73E3C">
            <w:pPr>
              <w:rPr>
                <w:rFonts w:cs="Arial"/>
              </w:rPr>
            </w:pPr>
            <w:r>
              <w:t>Тегло</w:t>
            </w:r>
          </w:p>
        </w:tc>
        <w:tc>
          <w:tcPr>
            <w:tcW w:w="3969" w:type="dxa"/>
          </w:tcPr>
          <w:p w14:paraId="3F953884" w14:textId="77777777" w:rsidR="00C73E3C" w:rsidRDefault="00C73E3C" w:rsidP="00C73E3C">
            <w:r>
              <w:t>Максимална</w:t>
            </w:r>
            <w:r>
              <w:tab/>
              <w:t>доза,</w:t>
            </w:r>
          </w:p>
          <w:p w14:paraId="0CD96419" w14:textId="5AA600AF" w:rsidR="00C73E3C" w:rsidRDefault="00C73E3C" w:rsidP="00C73E3C">
            <w:pPr>
              <w:rPr>
                <w:rFonts w:cs="Arial"/>
              </w:rPr>
            </w:pPr>
            <w:r>
              <w:t>проучена в клиничните изпитвания</w:t>
            </w:r>
          </w:p>
        </w:tc>
      </w:tr>
      <w:tr w:rsidR="00C73E3C" w14:paraId="3CF5EB1A" w14:textId="77777777" w:rsidTr="00C73E3C">
        <w:tc>
          <w:tcPr>
            <w:tcW w:w="2235" w:type="dxa"/>
          </w:tcPr>
          <w:p w14:paraId="13CD1F24" w14:textId="2D752685" w:rsidR="00C73E3C" w:rsidRDefault="00C73E3C" w:rsidP="00C73E3C">
            <w:pPr>
              <w:rPr>
                <w:rFonts w:cs="Arial"/>
              </w:rPr>
            </w:pPr>
            <w:r>
              <w:t xml:space="preserve">≥18 </w:t>
            </w:r>
            <w:r>
              <w:rPr>
                <w:lang w:val="en-US"/>
              </w:rPr>
              <w:t xml:space="preserve">kg </w:t>
            </w:r>
            <w:r>
              <w:t xml:space="preserve">до&lt;35 </w:t>
            </w:r>
            <w:r>
              <w:rPr>
                <w:lang w:val="en-US"/>
              </w:rPr>
              <w:t>kg</w:t>
            </w:r>
          </w:p>
        </w:tc>
        <w:tc>
          <w:tcPr>
            <w:tcW w:w="3969" w:type="dxa"/>
          </w:tcPr>
          <w:p w14:paraId="3F3059E8" w14:textId="02539A35" w:rsidR="00C73E3C" w:rsidRDefault="00C73E3C" w:rsidP="00C73E3C">
            <w:pPr>
              <w:rPr>
                <w:rFonts w:cs="Arial"/>
              </w:rPr>
            </w:pPr>
            <w:r>
              <w:t xml:space="preserve">80 </w:t>
            </w:r>
            <w:r>
              <w:rPr>
                <w:lang w:val="en-US"/>
              </w:rPr>
              <w:t>mg</w:t>
            </w:r>
          </w:p>
        </w:tc>
      </w:tr>
      <w:tr w:rsidR="00C73E3C" w14:paraId="2292AD83" w14:textId="77777777" w:rsidTr="00C73E3C">
        <w:tc>
          <w:tcPr>
            <w:tcW w:w="2235" w:type="dxa"/>
          </w:tcPr>
          <w:p w14:paraId="41492BC6" w14:textId="5C4F8738" w:rsidR="00C73E3C" w:rsidRPr="00C73E3C" w:rsidRDefault="00C73E3C" w:rsidP="00C73E3C">
            <w:pPr>
              <w:rPr>
                <w:rFonts w:cs="Arial"/>
              </w:rPr>
            </w:pPr>
            <w:r w:rsidRPr="00C73E3C">
              <w:t xml:space="preserve">≥35 </w:t>
            </w:r>
            <w:r w:rsidRPr="00C73E3C">
              <w:rPr>
                <w:lang w:val="en-US"/>
              </w:rPr>
              <w:t xml:space="preserve">kg </w:t>
            </w:r>
            <w:r w:rsidRPr="00C73E3C">
              <w:t xml:space="preserve">до&lt;80 </w:t>
            </w:r>
            <w:r w:rsidRPr="00C73E3C">
              <w:rPr>
                <w:lang w:val="en-US"/>
              </w:rPr>
              <w:t>kg</w:t>
            </w:r>
          </w:p>
        </w:tc>
        <w:tc>
          <w:tcPr>
            <w:tcW w:w="3969" w:type="dxa"/>
          </w:tcPr>
          <w:p w14:paraId="2F2110EA" w14:textId="72035060" w:rsidR="00C73E3C" w:rsidRDefault="00C73E3C" w:rsidP="00C73E3C">
            <w:pPr>
              <w:rPr>
                <w:rFonts w:cs="Arial"/>
              </w:rPr>
            </w:pPr>
            <w:r>
              <w:t xml:space="preserve">160 </w:t>
            </w:r>
            <w:r>
              <w:rPr>
                <w:lang w:val="en-US"/>
              </w:rPr>
              <w:t>mg</w:t>
            </w:r>
          </w:p>
        </w:tc>
      </w:tr>
      <w:tr w:rsidR="00C73E3C" w14:paraId="06CFA5D3" w14:textId="77777777" w:rsidTr="00C73E3C">
        <w:tc>
          <w:tcPr>
            <w:tcW w:w="2235" w:type="dxa"/>
          </w:tcPr>
          <w:p w14:paraId="70173F85" w14:textId="042F6C56" w:rsidR="00C73E3C" w:rsidRDefault="00C73E3C" w:rsidP="00C73E3C">
            <w:pPr>
              <w:rPr>
                <w:rFonts w:cs="Arial"/>
              </w:rPr>
            </w:pPr>
            <w:r>
              <w:t xml:space="preserve">≥80 </w:t>
            </w:r>
            <w:r>
              <w:rPr>
                <w:lang w:val="en-US"/>
              </w:rPr>
              <w:t xml:space="preserve">kg </w:t>
            </w:r>
            <w:r>
              <w:t xml:space="preserve">до&lt;160 </w:t>
            </w:r>
            <w:r>
              <w:rPr>
                <w:lang w:val="en-US"/>
              </w:rPr>
              <w:t>kg</w:t>
            </w:r>
          </w:p>
        </w:tc>
        <w:tc>
          <w:tcPr>
            <w:tcW w:w="3969" w:type="dxa"/>
          </w:tcPr>
          <w:p w14:paraId="46ECD5B7" w14:textId="2A5BE3A7" w:rsidR="00C73E3C" w:rsidRDefault="00C73E3C" w:rsidP="00C73E3C">
            <w:pPr>
              <w:rPr>
                <w:rFonts w:cs="Arial"/>
              </w:rPr>
            </w:pPr>
            <w:r>
              <w:t xml:space="preserve">320 </w:t>
            </w:r>
            <w:r>
              <w:rPr>
                <w:lang w:val="en-US"/>
              </w:rPr>
              <w:t>mg</w:t>
            </w:r>
          </w:p>
        </w:tc>
      </w:tr>
    </w:tbl>
    <w:p w14:paraId="4C096F36" w14:textId="00348408" w:rsidR="00C73E3C" w:rsidRDefault="00C73E3C" w:rsidP="00C73E3C">
      <w:pPr>
        <w:rPr>
          <w:rFonts w:cs="Arial"/>
        </w:rPr>
      </w:pPr>
    </w:p>
    <w:p w14:paraId="663A8366" w14:textId="77777777" w:rsidR="00C73E3C" w:rsidRPr="00C73E3C" w:rsidRDefault="00C73E3C" w:rsidP="00C73E3C">
      <w:pPr>
        <w:spacing w:line="240" w:lineRule="auto"/>
        <w:rPr>
          <w:rFonts w:eastAsia="Times New Roman" w:cs="Arial"/>
        </w:rPr>
      </w:pPr>
      <w:r w:rsidRPr="00C73E3C">
        <w:rPr>
          <w:rFonts w:eastAsia="Times New Roman" w:cs="Arial"/>
          <w:i/>
          <w:iCs/>
          <w:color w:val="000000"/>
          <w:lang w:eastAsia="bg-BG"/>
        </w:rPr>
        <w:t>Деца под 6-годишна възраст</w:t>
      </w:r>
    </w:p>
    <w:p w14:paraId="6DCFC8E0"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Наличните данни са описани в точки 4.8, 5.1 и 5.2. Безопасността и ефикасността на Валсаркон при деца на възраст от 1 до 6 години не са установени.</w:t>
      </w:r>
    </w:p>
    <w:p w14:paraId="42F25040" w14:textId="77777777" w:rsidR="00C73E3C" w:rsidRDefault="00C73E3C" w:rsidP="00C73E3C">
      <w:pPr>
        <w:spacing w:line="240" w:lineRule="auto"/>
        <w:rPr>
          <w:rFonts w:eastAsia="Times New Roman" w:cs="Arial"/>
          <w:i/>
          <w:iCs/>
          <w:color w:val="000000"/>
          <w:u w:val="single"/>
          <w:lang w:eastAsia="bg-BG"/>
        </w:rPr>
      </w:pPr>
    </w:p>
    <w:p w14:paraId="575A3DFF" w14:textId="3D24AC49" w:rsidR="00C73E3C" w:rsidRPr="00C73E3C" w:rsidRDefault="00C73E3C" w:rsidP="00C73E3C">
      <w:pPr>
        <w:spacing w:line="240" w:lineRule="auto"/>
        <w:rPr>
          <w:rFonts w:eastAsia="Times New Roman" w:cs="Arial"/>
        </w:rPr>
      </w:pPr>
      <w:r w:rsidRPr="00C73E3C">
        <w:rPr>
          <w:rFonts w:eastAsia="Times New Roman" w:cs="Arial"/>
          <w:i/>
          <w:iCs/>
          <w:color w:val="000000"/>
          <w:u w:val="single"/>
          <w:lang w:eastAsia="bg-BG"/>
        </w:rPr>
        <w:t xml:space="preserve">Употреба при педиатрични паииенти на възраст от 6 до 18 години с бъбречно увреждане </w:t>
      </w:r>
      <w:r w:rsidRPr="00C73E3C">
        <w:rPr>
          <w:rFonts w:eastAsia="Times New Roman" w:cs="Arial"/>
          <w:color w:val="000000"/>
          <w:lang w:eastAsia="bg-BG"/>
        </w:rPr>
        <w:t xml:space="preserve">Употребата при педиатрични пациенти с креатининов клирънс &lt;30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Бъбречната функция и нивата на серумния калий трябва да бъдат внимателно проследявани (вж. точки 4.4 и 5.2).</w:t>
      </w:r>
    </w:p>
    <w:p w14:paraId="6AF250AC" w14:textId="77777777" w:rsidR="00C73E3C" w:rsidRDefault="00C73E3C" w:rsidP="00C73E3C">
      <w:pPr>
        <w:spacing w:line="240" w:lineRule="auto"/>
        <w:rPr>
          <w:rFonts w:eastAsia="Times New Roman" w:cs="Arial"/>
          <w:i/>
          <w:iCs/>
          <w:color w:val="000000"/>
          <w:u w:val="single"/>
          <w:lang w:eastAsia="bg-BG"/>
        </w:rPr>
      </w:pPr>
    </w:p>
    <w:p w14:paraId="3C094CF5" w14:textId="64FD7805" w:rsidR="00C73E3C" w:rsidRPr="00C73E3C" w:rsidRDefault="00C73E3C" w:rsidP="00C73E3C">
      <w:pPr>
        <w:spacing w:line="240" w:lineRule="auto"/>
        <w:rPr>
          <w:rFonts w:eastAsia="Times New Roman" w:cs="Arial"/>
        </w:rPr>
      </w:pPr>
      <w:r w:rsidRPr="00C73E3C">
        <w:rPr>
          <w:rFonts w:eastAsia="Times New Roman" w:cs="Arial"/>
          <w:i/>
          <w:iCs/>
          <w:color w:val="000000"/>
          <w:u w:val="single"/>
          <w:lang w:eastAsia="bg-BG"/>
        </w:rPr>
        <w:lastRenderedPageBreak/>
        <w:t>Употреба при педиатрични паииенти на възраст от 6 до 18 години с чернодробно увреждане</w:t>
      </w:r>
      <w:r w:rsidRPr="00C73E3C">
        <w:rPr>
          <w:rFonts w:eastAsia="Times New Roman" w:cs="Arial"/>
          <w:i/>
          <w:iCs/>
          <w:color w:val="000000"/>
          <w:lang w:eastAsia="bg-BG"/>
        </w:rPr>
        <w:t xml:space="preserve"> </w:t>
      </w:r>
      <w:r w:rsidRPr="00C73E3C">
        <w:rPr>
          <w:rFonts w:eastAsia="Times New Roman" w:cs="Arial"/>
          <w:i/>
          <w:iCs/>
          <w:color w:val="000000"/>
          <w:vertAlign w:val="subscript"/>
          <w:lang w:val="en-US"/>
        </w:rPr>
        <w:t>t</w:t>
      </w:r>
      <w:r w:rsidRPr="00C73E3C">
        <w:rPr>
          <w:rFonts w:eastAsia="Times New Roman" w:cs="Arial"/>
          <w:i/>
          <w:iCs/>
          <w:color w:val="000000"/>
          <w:vertAlign w:val="subscript"/>
          <w:lang w:val="ru-RU"/>
        </w:rPr>
        <w:t xml:space="preserve"> </w:t>
      </w:r>
      <w:r w:rsidRPr="00C73E3C">
        <w:rPr>
          <w:rFonts w:eastAsia="Times New Roman" w:cs="Arial"/>
          <w:color w:val="000000"/>
          <w:lang w:eastAsia="bg-BG"/>
        </w:rPr>
        <w:t xml:space="preserve">Подобно на възрастните пациенти, Валсаркон е противопоказан при педиатрични пациенти с тежко чернодробно увреждане, билиарна цироза и пациенти с холестаза (вж. точки 4.3,4.4 и 5.2). Има ограничен клиничен опит с употребата на Валсаркон при педиатрични пациенти с леко до умерено чернодробно увреждане. При такива пациенти дозата на валсартан не трябва да превишава 80 </w:t>
      </w:r>
      <w:r w:rsidRPr="00C73E3C">
        <w:rPr>
          <w:rFonts w:eastAsia="Times New Roman" w:cs="Arial"/>
          <w:color w:val="000000"/>
          <w:lang w:val="en-US"/>
        </w:rPr>
        <w:t>mg</w:t>
      </w:r>
      <w:r w:rsidRPr="00C73E3C">
        <w:rPr>
          <w:rFonts w:eastAsia="Times New Roman" w:cs="Arial"/>
          <w:color w:val="000000"/>
          <w:lang w:val="ru-RU"/>
        </w:rPr>
        <w:t>.</w:t>
      </w:r>
    </w:p>
    <w:p w14:paraId="46DDD084" w14:textId="77777777" w:rsidR="00C73E3C" w:rsidRDefault="00C73E3C" w:rsidP="00C73E3C">
      <w:pPr>
        <w:spacing w:line="240" w:lineRule="auto"/>
        <w:rPr>
          <w:rFonts w:eastAsia="Times New Roman" w:cs="Arial"/>
          <w:i/>
          <w:iCs/>
          <w:color w:val="000000"/>
          <w:u w:val="single"/>
          <w:lang w:eastAsia="bg-BG"/>
        </w:rPr>
      </w:pPr>
    </w:p>
    <w:p w14:paraId="4BDA2D5E" w14:textId="6D0DD629" w:rsidR="00C73E3C" w:rsidRPr="00C73E3C" w:rsidRDefault="00C73E3C" w:rsidP="00C73E3C">
      <w:pPr>
        <w:spacing w:line="240" w:lineRule="auto"/>
        <w:rPr>
          <w:rFonts w:eastAsia="Times New Roman" w:cs="Arial"/>
        </w:rPr>
      </w:pPr>
      <w:r w:rsidRPr="00C73E3C">
        <w:rPr>
          <w:rFonts w:eastAsia="Times New Roman" w:cs="Arial"/>
          <w:i/>
          <w:iCs/>
          <w:color w:val="000000"/>
          <w:u w:val="single"/>
          <w:lang w:eastAsia="bg-BG"/>
        </w:rPr>
        <w:t>Сърдечна недостатъчност и пресен миокарден инфаркт при деца</w:t>
      </w:r>
    </w:p>
    <w:p w14:paraId="0C0B4B3D"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Валсартан 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w:t>
      </w:r>
    </w:p>
    <w:p w14:paraId="63289B7D" w14:textId="77777777" w:rsidR="00C73E3C" w:rsidRDefault="00C73E3C" w:rsidP="00C73E3C">
      <w:pPr>
        <w:spacing w:line="240" w:lineRule="auto"/>
        <w:rPr>
          <w:rFonts w:eastAsia="Times New Roman" w:cs="Arial"/>
          <w:b/>
          <w:bCs/>
          <w:color w:val="000000"/>
          <w:lang w:eastAsia="bg-BG"/>
        </w:rPr>
      </w:pPr>
      <w:bookmarkStart w:id="1" w:name="bookmark0"/>
    </w:p>
    <w:p w14:paraId="28521FB4" w14:textId="469527E7" w:rsidR="00C73E3C" w:rsidRPr="00C73E3C" w:rsidRDefault="00C73E3C" w:rsidP="00C73E3C">
      <w:pPr>
        <w:pStyle w:val="Heading3"/>
        <w:rPr>
          <w:rFonts w:eastAsia="Times New Roman"/>
          <w:u w:val="single"/>
        </w:rPr>
      </w:pPr>
      <w:r w:rsidRPr="00C73E3C">
        <w:rPr>
          <w:rFonts w:eastAsia="Times New Roman"/>
          <w:u w:val="single"/>
          <w:lang w:eastAsia="bg-BG"/>
        </w:rPr>
        <w:t>Начин на приложение</w:t>
      </w:r>
      <w:bookmarkEnd w:id="1"/>
    </w:p>
    <w:p w14:paraId="71970D3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Валсартан може да се прилага независимо от приема на храна и да се приема с вода.</w:t>
      </w:r>
    </w:p>
    <w:p w14:paraId="79B9D762" w14:textId="77777777" w:rsidR="00C73E3C" w:rsidRPr="00C73E3C" w:rsidRDefault="00C73E3C" w:rsidP="00C73E3C">
      <w:pPr>
        <w:rPr>
          <w:rFonts w:cs="Arial"/>
        </w:rPr>
      </w:pPr>
    </w:p>
    <w:p w14:paraId="28C984E8" w14:textId="27E1EAB2" w:rsidR="008134C8" w:rsidRDefault="002C50EE" w:rsidP="004A448E">
      <w:pPr>
        <w:pStyle w:val="Heading2"/>
      </w:pPr>
      <w:r>
        <w:t>4.3. Противопоказания</w:t>
      </w:r>
    </w:p>
    <w:p w14:paraId="20F571CD" w14:textId="031B95BA" w:rsidR="00C73E3C" w:rsidRDefault="00C73E3C" w:rsidP="00C73E3C"/>
    <w:p w14:paraId="0DDBC3A5" w14:textId="77777777" w:rsidR="00C73E3C" w:rsidRDefault="00C73E3C" w:rsidP="00C73E3C">
      <w:pPr>
        <w:pStyle w:val="ListParagraph"/>
        <w:numPr>
          <w:ilvl w:val="0"/>
          <w:numId w:val="36"/>
        </w:numPr>
        <w:rPr>
          <w:lang w:eastAsia="bg-BG"/>
        </w:rPr>
      </w:pPr>
      <w:r w:rsidRPr="00C73E3C">
        <w:rPr>
          <w:lang w:eastAsia="bg-BG"/>
        </w:rPr>
        <w:t>Свръхчувствителност към активното вещество или към някое от помощните вещества, изброени в точка 6.1.</w:t>
      </w:r>
    </w:p>
    <w:p w14:paraId="540BCD4D" w14:textId="77777777" w:rsidR="00C73E3C" w:rsidRDefault="00C73E3C" w:rsidP="00C73E3C">
      <w:pPr>
        <w:pStyle w:val="ListParagraph"/>
        <w:numPr>
          <w:ilvl w:val="0"/>
          <w:numId w:val="36"/>
        </w:numPr>
        <w:rPr>
          <w:lang w:eastAsia="bg-BG"/>
        </w:rPr>
      </w:pPr>
      <w:r w:rsidRPr="00C73E3C">
        <w:rPr>
          <w:lang w:eastAsia="bg-BG"/>
        </w:rPr>
        <w:t>Тежко чернодробно увреждане, билиарна цироза и холестаза.</w:t>
      </w:r>
    </w:p>
    <w:p w14:paraId="387BA2DB" w14:textId="77777777" w:rsidR="00C73E3C" w:rsidRDefault="00C73E3C" w:rsidP="00C73E3C">
      <w:pPr>
        <w:pStyle w:val="ListParagraph"/>
        <w:numPr>
          <w:ilvl w:val="0"/>
          <w:numId w:val="36"/>
        </w:numPr>
        <w:rPr>
          <w:lang w:eastAsia="bg-BG"/>
        </w:rPr>
      </w:pPr>
      <w:r w:rsidRPr="00C73E3C">
        <w:rPr>
          <w:lang w:eastAsia="bg-BG"/>
        </w:rPr>
        <w:t>Втори и трети триместър на бремеността (вж. точки 4.4 и 4.6).</w:t>
      </w:r>
    </w:p>
    <w:p w14:paraId="00CE3D0C" w14:textId="1741202A" w:rsidR="00C73E3C" w:rsidRPr="00C73E3C" w:rsidRDefault="00C73E3C" w:rsidP="00C73E3C">
      <w:pPr>
        <w:pStyle w:val="ListParagraph"/>
        <w:numPr>
          <w:ilvl w:val="0"/>
          <w:numId w:val="36"/>
        </w:numPr>
        <w:rPr>
          <w:lang w:eastAsia="bg-BG"/>
        </w:rPr>
      </w:pPr>
      <w:r w:rsidRPr="00C73E3C">
        <w:rPr>
          <w:lang w:eastAsia="bg-BG"/>
        </w:rPr>
        <w:t xml:space="preserve">Едновременното приложение на ангиотензин II рецепторни антагонисти </w:t>
      </w:r>
      <w:r w:rsidRPr="00C73E3C">
        <w:rPr>
          <w:lang w:val="ru-RU"/>
        </w:rPr>
        <w:t>(</w:t>
      </w:r>
      <w:r w:rsidRPr="00C73E3C">
        <w:rPr>
          <w:lang w:val="en-US"/>
        </w:rPr>
        <w:t>ARBs</w:t>
      </w:r>
      <w:r w:rsidRPr="00C73E3C">
        <w:rPr>
          <w:lang w:val="ru-RU"/>
        </w:rPr>
        <w:t xml:space="preserve">), </w:t>
      </w:r>
      <w:r w:rsidRPr="00C73E3C">
        <w:rPr>
          <w:lang w:eastAsia="bg-BG"/>
        </w:rPr>
        <w:t xml:space="preserve">включително валсартан или инхибитори на ангиотензин-конвертиращия ензим (АСЕ инхибитори) с алискирен е противопоказана при пациенти със захарен диабет или бъбречно увреждане </w:t>
      </w:r>
      <w:r w:rsidRPr="00C73E3C">
        <w:rPr>
          <w:lang w:val="ru-RU"/>
        </w:rPr>
        <w:t>(</w:t>
      </w:r>
      <w:r w:rsidRPr="00C73E3C">
        <w:rPr>
          <w:lang w:val="en-US"/>
        </w:rPr>
        <w:t>GFR</w:t>
      </w:r>
      <w:r w:rsidRPr="00C73E3C">
        <w:rPr>
          <w:lang w:val="ru-RU"/>
        </w:rPr>
        <w:t xml:space="preserve"> </w:t>
      </w:r>
      <w:r w:rsidRPr="00C73E3C">
        <w:rPr>
          <w:lang w:eastAsia="bg-BG"/>
        </w:rPr>
        <w:t xml:space="preserve">&lt; 60 </w:t>
      </w:r>
      <w:r w:rsidRPr="00C73E3C">
        <w:rPr>
          <w:lang w:val="en-US"/>
        </w:rPr>
        <w:t>mL</w:t>
      </w:r>
      <w:r w:rsidRPr="00C73E3C">
        <w:rPr>
          <w:lang w:val="ru-RU"/>
        </w:rPr>
        <w:t>/</w:t>
      </w:r>
      <w:r w:rsidRPr="00C73E3C">
        <w:rPr>
          <w:lang w:val="en-US"/>
        </w:rPr>
        <w:t>min</w:t>
      </w:r>
      <w:r w:rsidRPr="00C73E3C">
        <w:rPr>
          <w:lang w:val="ru-RU"/>
        </w:rPr>
        <w:t xml:space="preserve">/1,73 </w:t>
      </w:r>
      <w:r w:rsidRPr="00C73E3C">
        <w:rPr>
          <w:lang w:eastAsia="bg-BG"/>
        </w:rPr>
        <w:t>m2) (вижте точки 4.4 и 4.5).</w:t>
      </w:r>
    </w:p>
    <w:p w14:paraId="544BA24A" w14:textId="77777777" w:rsidR="00C73E3C" w:rsidRPr="00C73E3C" w:rsidRDefault="00C73E3C" w:rsidP="00C73E3C"/>
    <w:p w14:paraId="212F509C" w14:textId="7FED1D4D" w:rsidR="004F498A" w:rsidRDefault="002C50EE" w:rsidP="004A448E">
      <w:pPr>
        <w:pStyle w:val="Heading2"/>
      </w:pPr>
      <w:r>
        <w:t>4.4. Специални предупреждения и предпазни мерки при употреба</w:t>
      </w:r>
    </w:p>
    <w:p w14:paraId="468A08D6" w14:textId="3881C8F1" w:rsidR="00C73E3C" w:rsidRDefault="00C73E3C" w:rsidP="00C73E3C"/>
    <w:p w14:paraId="3158C128" w14:textId="77777777"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Хиперкалиемия</w:t>
      </w:r>
    </w:p>
    <w:p w14:paraId="34F6D66D"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w:t>
      </w:r>
    </w:p>
    <w:p w14:paraId="5DFD748E"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на калий (хепарин и т.н.), не се препоръчва. Стойностите на калия трябва да се мониторират съответно.</w:t>
      </w:r>
    </w:p>
    <w:p w14:paraId="36F73542" w14:textId="77777777" w:rsidR="00C73E3C" w:rsidRDefault="00C73E3C" w:rsidP="00C73E3C">
      <w:pPr>
        <w:spacing w:line="240" w:lineRule="auto"/>
        <w:rPr>
          <w:rFonts w:eastAsia="Times New Roman" w:cs="Arial"/>
          <w:color w:val="000000"/>
          <w:u w:val="single"/>
          <w:lang w:eastAsia="bg-BG"/>
        </w:rPr>
      </w:pPr>
    </w:p>
    <w:p w14:paraId="5F6D6604" w14:textId="699291FB"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 xml:space="preserve">Нарушена бъбречна </w:t>
      </w:r>
      <w:r w:rsidRPr="00C73E3C">
        <w:rPr>
          <w:rFonts w:eastAsia="Times New Roman" w:cs="Arial"/>
          <w:smallCaps/>
          <w:color w:val="000000"/>
          <w:u w:val="single"/>
          <w:lang w:eastAsia="bg-BG"/>
        </w:rPr>
        <w:t>Функция</w:t>
      </w:r>
    </w:p>
    <w:p w14:paraId="02EFA004"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Понастоящем няма натрупан опит относно безопасната употреба при пациенти с креатининов клирънс &lt; 10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 xml:space="preserve">и пациенти подложени на хемодиализа, поради тази причина валсартан трябва да се използва с повишено внимание при такива пациенти. Не се изисква коригиране на дозата при пациенти с креатининов клирънс &gt;10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(вж. точки 4.2 и 5.2).</w:t>
      </w:r>
    </w:p>
    <w:p w14:paraId="3DDA76E5"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Едновременното приложение на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ARBs</w:t>
      </w:r>
      <w:r w:rsidRPr="00C73E3C">
        <w:rPr>
          <w:rFonts w:eastAsia="Times New Roman" w:cs="Arial"/>
          <w:color w:val="000000"/>
          <w:lang w:val="ru-RU"/>
        </w:rPr>
        <w:t xml:space="preserve">), </w:t>
      </w:r>
      <w:r w:rsidRPr="00C73E3C">
        <w:rPr>
          <w:rFonts w:eastAsia="Times New Roman" w:cs="Arial"/>
          <w:color w:val="000000"/>
          <w:lang w:eastAsia="bg-BG"/>
        </w:rPr>
        <w:t xml:space="preserve">включително валсартан или инхибитори на ангиотензин-конвертиращия ензим (АСЕ инхибитори) с алискирен е противопоказано при пациенти с бъбречно увреждане </w:t>
      </w:r>
      <w:r w:rsidRPr="00C73E3C">
        <w:rPr>
          <w:rFonts w:eastAsia="Times New Roman" w:cs="Arial"/>
          <w:color w:val="000000"/>
          <w:lang w:val="ru-RU"/>
        </w:rPr>
        <w:t>(</w:t>
      </w:r>
      <w:r w:rsidRPr="00C73E3C">
        <w:rPr>
          <w:rFonts w:eastAsia="Times New Roman" w:cs="Arial"/>
          <w:color w:val="000000"/>
          <w:lang w:val="en-US"/>
        </w:rPr>
        <w:t>GFR</w:t>
      </w:r>
      <w:r w:rsidRPr="00C73E3C">
        <w:rPr>
          <w:rFonts w:eastAsia="Times New Roman" w:cs="Arial"/>
          <w:color w:val="000000"/>
          <w:lang w:val="ru-RU"/>
        </w:rPr>
        <w:t xml:space="preserve"> </w:t>
      </w:r>
      <w:r w:rsidRPr="00C73E3C">
        <w:rPr>
          <w:rFonts w:eastAsia="Times New Roman" w:cs="Arial"/>
          <w:color w:val="000000"/>
          <w:lang w:eastAsia="bg-BG"/>
        </w:rPr>
        <w:t xml:space="preserve">&lt; 60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/1,73 </w:t>
      </w:r>
      <w:r w:rsidRPr="00C73E3C">
        <w:rPr>
          <w:rFonts w:eastAsia="Times New Roman" w:cs="Arial"/>
          <w:color w:val="000000"/>
          <w:lang w:val="en-US"/>
        </w:rPr>
        <w:t>m</w:t>
      </w:r>
      <w:r w:rsidRPr="00C73E3C">
        <w:rPr>
          <w:rFonts w:eastAsia="Times New Roman" w:cs="Arial"/>
          <w:color w:val="000000"/>
          <w:vertAlign w:val="superscript"/>
          <w:lang w:val="ru-RU"/>
        </w:rPr>
        <w:t>2</w:t>
      </w:r>
      <w:r w:rsidRPr="00C73E3C">
        <w:rPr>
          <w:rFonts w:eastAsia="Times New Roman" w:cs="Arial"/>
          <w:color w:val="000000"/>
          <w:lang w:val="ru-RU"/>
        </w:rPr>
        <w:t xml:space="preserve">) </w:t>
      </w:r>
      <w:r w:rsidRPr="00C73E3C">
        <w:rPr>
          <w:rFonts w:eastAsia="Times New Roman" w:cs="Arial"/>
          <w:color w:val="000000"/>
          <w:lang w:eastAsia="bg-BG"/>
        </w:rPr>
        <w:t>(вижте точки 4.4 и 4.5).</w:t>
      </w:r>
    </w:p>
    <w:p w14:paraId="05356671" w14:textId="77777777" w:rsidR="00C73E3C" w:rsidRDefault="00C73E3C" w:rsidP="00C73E3C">
      <w:pPr>
        <w:spacing w:line="240" w:lineRule="auto"/>
        <w:rPr>
          <w:rFonts w:eastAsia="Times New Roman" w:cs="Arial"/>
          <w:color w:val="000000"/>
          <w:u w:val="single"/>
          <w:lang w:eastAsia="bg-BG"/>
        </w:rPr>
      </w:pPr>
    </w:p>
    <w:p w14:paraId="011006F0" w14:textId="44C2EE1B"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Чернодробно увреждане</w:t>
      </w:r>
    </w:p>
    <w:p w14:paraId="5EE6E433"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lastRenderedPageBreak/>
        <w:t>При пациенти с леко до умерено чернодробно увреждане без холестаза валсартан трябва да се използва с повишено внимание (вж. точки 4.2 и 5.2).</w:t>
      </w:r>
    </w:p>
    <w:p w14:paraId="77D8A076" w14:textId="77777777" w:rsidR="00C73E3C" w:rsidRDefault="00C73E3C" w:rsidP="00C73E3C">
      <w:pPr>
        <w:spacing w:line="240" w:lineRule="auto"/>
        <w:rPr>
          <w:rFonts w:eastAsia="Times New Roman" w:cs="Arial"/>
          <w:color w:val="000000"/>
          <w:u w:val="single"/>
          <w:lang w:eastAsia="bg-BG"/>
        </w:rPr>
      </w:pPr>
    </w:p>
    <w:p w14:paraId="5ACD6F83" w14:textId="6CA7AE5A"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Пациенти с натриев и/или обемен дефицит</w:t>
      </w:r>
    </w:p>
    <w:p w14:paraId="163BEAF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При пациенти с тежък натриев и/или обемен дефицит, които получават високи дози диуретици в редки случаи след започване на терапия с Валсартан може да се появи сиптоматична хипотония. Натриевият и/или обемният дефицит трябва да се коригира преди започване на лечението с валсартан, например чрез намаляване на дозата на диуретиците.</w:t>
      </w:r>
    </w:p>
    <w:p w14:paraId="6AFFF04D" w14:textId="77777777" w:rsidR="00C73E3C" w:rsidRDefault="00C73E3C" w:rsidP="00C73E3C">
      <w:pPr>
        <w:spacing w:line="240" w:lineRule="auto"/>
        <w:rPr>
          <w:rFonts w:eastAsia="Times New Roman" w:cs="Arial"/>
          <w:color w:val="000000"/>
          <w:u w:val="single"/>
          <w:lang w:eastAsia="bg-BG"/>
        </w:rPr>
      </w:pPr>
    </w:p>
    <w:p w14:paraId="13B2525D" w14:textId="4C90D31D"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Стеноза на бъбречната артерия</w:t>
      </w:r>
    </w:p>
    <w:p w14:paraId="3B0E6F96"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При пациенти с билатерална стеноза на бъбречните артерии или при стеноза на бъбречните артерии на единствен бъбрек безопасната употреба на Валсаркон не е установена.</w:t>
      </w:r>
    </w:p>
    <w:p w14:paraId="33DB910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Краткосрочно приложение на Валсаркон при дванадесет пациенти с реновазална хипертония вследствие на едностранна стеноза на бъбречната артерия не води до значими промени в бъбречната хемодинамика, серумния креатинин или нивото на уреята в кръвта </w:t>
      </w:r>
      <w:r w:rsidRPr="00C73E3C">
        <w:rPr>
          <w:rFonts w:eastAsia="Times New Roman" w:cs="Arial"/>
          <w:color w:val="000000"/>
          <w:lang w:val="ru-RU"/>
        </w:rPr>
        <w:t>(</w:t>
      </w:r>
      <w:r w:rsidRPr="00C73E3C">
        <w:rPr>
          <w:rFonts w:eastAsia="Times New Roman" w:cs="Arial"/>
          <w:color w:val="000000"/>
          <w:lang w:val="en-US"/>
        </w:rPr>
        <w:t>BUN</w:t>
      </w:r>
      <w:r w:rsidRPr="00C73E3C">
        <w:rPr>
          <w:rFonts w:eastAsia="Times New Roman" w:cs="Arial"/>
          <w:color w:val="000000"/>
          <w:lang w:val="ru-RU"/>
        </w:rPr>
        <w:t>).</w:t>
      </w:r>
    </w:p>
    <w:p w14:paraId="1AFCABCB" w14:textId="77777777" w:rsidR="00C73E3C" w:rsidRDefault="00C73E3C" w:rsidP="00C73E3C">
      <w:pPr>
        <w:spacing w:line="240" w:lineRule="auto"/>
        <w:rPr>
          <w:rFonts w:eastAsia="Times New Roman" w:cs="Arial"/>
          <w:color w:val="000000"/>
          <w:u w:val="single"/>
          <w:lang w:eastAsia="bg-BG"/>
        </w:rPr>
      </w:pPr>
    </w:p>
    <w:p w14:paraId="0956A018" w14:textId="77B2A1F8"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Бъбречна трансплантация</w:t>
      </w:r>
    </w:p>
    <w:p w14:paraId="5B486C3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До този момент няма натрупан опит по отношение на безопасната употреба на валсартан при пациенти, прекарали наскоро бъбречна трансплантация.</w:t>
      </w:r>
    </w:p>
    <w:p w14:paraId="33EEB4DB" w14:textId="77777777" w:rsidR="00C73E3C" w:rsidRDefault="00C73E3C" w:rsidP="00C73E3C">
      <w:pPr>
        <w:spacing w:line="240" w:lineRule="auto"/>
        <w:rPr>
          <w:rFonts w:eastAsia="Times New Roman" w:cs="Arial"/>
          <w:color w:val="000000"/>
          <w:u w:val="single"/>
          <w:lang w:eastAsia="bg-BG"/>
        </w:rPr>
      </w:pPr>
    </w:p>
    <w:p w14:paraId="046B8BD7" w14:textId="6A575898"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Първичен хипералдостеронизъм</w:t>
      </w:r>
    </w:p>
    <w:p w14:paraId="2CE06A22"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Пациентите с първичен хипералдостеронизъм не трябва да се лекуват с валсартан, тъй като тяхната система ренин-ангиотензин не е активирана.</w:t>
      </w:r>
    </w:p>
    <w:p w14:paraId="10674217" w14:textId="77777777" w:rsidR="00C73E3C" w:rsidRDefault="00C73E3C" w:rsidP="00C73E3C">
      <w:pPr>
        <w:spacing w:line="240" w:lineRule="auto"/>
        <w:rPr>
          <w:rFonts w:eastAsia="Times New Roman" w:cs="Arial"/>
          <w:color w:val="000000"/>
          <w:u w:val="single"/>
          <w:lang w:eastAsia="bg-BG"/>
        </w:rPr>
      </w:pPr>
    </w:p>
    <w:p w14:paraId="38546894" w14:textId="679D1624"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Аортна и митрална клапна стеноза, обструктивна хипертрофна кардиомиопатия</w:t>
      </w:r>
    </w:p>
    <w:p w14:paraId="193CC185"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Както при всички други вазодилататори е необходимо повишено внимание при пациенти, страдащи от аортна или митрална стеноза или от обструктивна хипертрофна кардиомиопатия (ОХКМ).</w:t>
      </w:r>
    </w:p>
    <w:p w14:paraId="322C6AD8" w14:textId="77777777" w:rsidR="00C73E3C" w:rsidRDefault="00C73E3C" w:rsidP="00C73E3C">
      <w:pPr>
        <w:spacing w:line="240" w:lineRule="auto"/>
        <w:rPr>
          <w:rFonts w:eastAsia="Times New Roman" w:cs="Arial"/>
          <w:color w:val="000000"/>
          <w:u w:val="single"/>
          <w:lang w:eastAsia="bg-BG"/>
        </w:rPr>
      </w:pPr>
    </w:p>
    <w:p w14:paraId="4AD8D74B" w14:textId="645F2C1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Бременност</w:t>
      </w:r>
    </w:p>
    <w:p w14:paraId="7BC83920"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Не трябва да се започва лечение с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AIIRAs</w:t>
      </w:r>
      <w:r w:rsidRPr="00C73E3C">
        <w:rPr>
          <w:rFonts w:eastAsia="Times New Roman" w:cs="Arial"/>
          <w:color w:val="000000"/>
          <w:lang w:val="ru-RU"/>
        </w:rPr>
        <w:t xml:space="preserve">) </w:t>
      </w:r>
      <w:r w:rsidRPr="00C73E3C">
        <w:rPr>
          <w:rFonts w:eastAsia="Times New Roman" w:cs="Arial"/>
          <w:color w:val="000000"/>
          <w:lang w:eastAsia="bg-BG"/>
        </w:rPr>
        <w:t>по време на бременност. Освен ако продължителната терапия с ангиотензин II рецепторни антагонисти се прецени като съществена, лечението 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ангиотензин II рецепторни антагонисти трябва незабавно да се преустанови и да се започне алтернативно лечение, ако е подходящо (вж. точки 4.3 и 4.6).</w:t>
      </w:r>
    </w:p>
    <w:p w14:paraId="7259A403" w14:textId="77777777" w:rsidR="00C73E3C" w:rsidRDefault="00C73E3C" w:rsidP="00C73E3C">
      <w:pPr>
        <w:spacing w:line="240" w:lineRule="auto"/>
        <w:rPr>
          <w:rFonts w:eastAsia="Times New Roman" w:cs="Arial"/>
          <w:color w:val="000000"/>
          <w:u w:val="single"/>
          <w:lang w:eastAsia="bg-BG"/>
        </w:rPr>
      </w:pPr>
    </w:p>
    <w:p w14:paraId="4B447B82" w14:textId="6D0BA22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Анамнеза за ангиоедем</w:t>
      </w:r>
    </w:p>
    <w:p w14:paraId="66069F2A" w14:textId="3A0BAD15" w:rsidR="00C73E3C" w:rsidRPr="00C73E3C" w:rsidRDefault="00C73E3C" w:rsidP="00C73E3C">
      <w:pPr>
        <w:rPr>
          <w:rFonts w:cs="Arial"/>
        </w:rPr>
      </w:pPr>
      <w:r w:rsidRPr="00C73E3C">
        <w:rPr>
          <w:rFonts w:eastAsia="Times New Roman" w:cs="Arial"/>
          <w:color w:val="000000"/>
          <w:lang w:eastAsia="bg-BG"/>
        </w:rPr>
        <w:t>Ангиоедем, включително подуване на ларинкса и глотиса, предизвикващо обструкция и/или подуване на лицето, устните, фаринкса и/или езика са докладвани при пациенти, лекувани валсартан; някои от тези пациенти са имали в миналото ангиоедем с други лекарства,</w:t>
      </w:r>
      <w:r>
        <w:rPr>
          <w:rFonts w:eastAsia="Times New Roman" w:cs="Arial"/>
          <w:color w:val="000000"/>
          <w:lang w:eastAsia="bg-BG"/>
        </w:rPr>
        <w:t xml:space="preserve"> </w:t>
      </w:r>
      <w:r w:rsidRPr="00C73E3C">
        <w:rPr>
          <w:rFonts w:cs="Arial"/>
        </w:rPr>
        <w:t>включително АСЕ инхибитори. Валсартан трябва веднага да се преустанови при пациенти, които развиват ангиоедем и да не се започва лечение с валсартан отново.</w:t>
      </w:r>
    </w:p>
    <w:p w14:paraId="6CFBBFD0" w14:textId="10FA8FD1" w:rsidR="00C73E3C" w:rsidRPr="00C73E3C" w:rsidRDefault="00C73E3C" w:rsidP="00C73E3C">
      <w:pPr>
        <w:rPr>
          <w:rFonts w:cs="Arial"/>
        </w:rPr>
      </w:pPr>
    </w:p>
    <w:p w14:paraId="5858E58D" w14:textId="77777777" w:rsidR="00C73E3C" w:rsidRPr="00C73E3C" w:rsidRDefault="00C73E3C" w:rsidP="00C73E3C">
      <w:pPr>
        <w:spacing w:line="240" w:lineRule="auto"/>
        <w:rPr>
          <w:rFonts w:eastAsia="Times New Roman" w:cs="Arial"/>
        </w:rPr>
      </w:pPr>
      <w:r w:rsidRPr="00C73E3C">
        <w:rPr>
          <w:rFonts w:eastAsia="Times New Roman" w:cs="Arial"/>
          <w:i/>
          <w:iCs/>
          <w:color w:val="000000"/>
          <w:lang w:eastAsia="bg-BG"/>
        </w:rPr>
        <w:t>Двойно блокиране наренин-ангиотензин-алдостероновата система (РААС)</w:t>
      </w:r>
    </w:p>
    <w:p w14:paraId="656B2803"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lastRenderedPageBreak/>
        <w:t xml:space="preserve">Има съобщения за хипотония, синкоп, инсулт, хиперкалиемия и промени в бъбречната функция (включително остра бъбречна недостатъчност) при чувствителни индивиди, особено при комбиниране на лекарствени продукти, които повлияват тази система. Особено внимание се изисква при едновременното приложение на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ARBs</w:t>
      </w:r>
      <w:r w:rsidRPr="00C73E3C">
        <w:rPr>
          <w:rFonts w:eastAsia="Times New Roman" w:cs="Arial"/>
          <w:color w:val="000000"/>
          <w:lang w:val="ru-RU"/>
        </w:rPr>
        <w:t xml:space="preserve">), </w:t>
      </w:r>
      <w:r w:rsidRPr="00C73E3C">
        <w:rPr>
          <w:rFonts w:eastAsia="Times New Roman" w:cs="Arial"/>
          <w:color w:val="000000"/>
          <w:lang w:eastAsia="bg-BG"/>
        </w:rPr>
        <w:t xml:space="preserve">включително валсартан с други лекарствени продукти, които блокират ренин-ангиотензин- алдостероновата система </w:t>
      </w:r>
      <w:r w:rsidRPr="00C73E3C">
        <w:rPr>
          <w:rFonts w:eastAsia="Times New Roman" w:cs="Arial"/>
          <w:color w:val="000000"/>
          <w:lang w:val="ru-RU"/>
        </w:rPr>
        <w:t>(</w:t>
      </w:r>
      <w:r w:rsidRPr="00C73E3C">
        <w:rPr>
          <w:rFonts w:eastAsia="Times New Roman" w:cs="Arial"/>
          <w:color w:val="000000"/>
          <w:lang w:val="en-US"/>
        </w:rPr>
        <w:t>RAAS</w:t>
      </w:r>
      <w:r w:rsidRPr="00C73E3C">
        <w:rPr>
          <w:rFonts w:eastAsia="Times New Roman" w:cs="Arial"/>
          <w:color w:val="000000"/>
          <w:lang w:val="ru-RU"/>
        </w:rPr>
        <w:t xml:space="preserve">), </w:t>
      </w:r>
      <w:r w:rsidRPr="00C73E3C">
        <w:rPr>
          <w:rFonts w:eastAsia="Times New Roman" w:cs="Arial"/>
          <w:color w:val="000000"/>
          <w:lang w:eastAsia="bg-BG"/>
        </w:rPr>
        <w:t>каквито са АСЕ инхибиторите или алискирен (вижте точки 4.3 и 5.1).</w:t>
      </w:r>
    </w:p>
    <w:p w14:paraId="06469FBB" w14:textId="77777777" w:rsidR="00C73E3C" w:rsidRDefault="00C73E3C" w:rsidP="00C73E3C">
      <w:pPr>
        <w:spacing w:line="240" w:lineRule="auto"/>
        <w:rPr>
          <w:rFonts w:eastAsia="Times New Roman" w:cs="Arial"/>
          <w:color w:val="000000"/>
          <w:lang w:eastAsia="bg-BG"/>
        </w:rPr>
      </w:pPr>
    </w:p>
    <w:p w14:paraId="5AEAFA77" w14:textId="090E57B0"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Едновременното приложение на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ARBs</w:t>
      </w:r>
      <w:r w:rsidRPr="00C73E3C">
        <w:rPr>
          <w:rFonts w:eastAsia="Times New Roman" w:cs="Arial"/>
          <w:color w:val="000000"/>
          <w:lang w:val="ru-RU"/>
        </w:rPr>
        <w:t xml:space="preserve">), </w:t>
      </w:r>
      <w:r w:rsidRPr="00C73E3C">
        <w:rPr>
          <w:rFonts w:eastAsia="Times New Roman" w:cs="Arial"/>
          <w:color w:val="000000"/>
          <w:lang w:eastAsia="bg-BG"/>
        </w:rPr>
        <w:t xml:space="preserve">какъвто е валсартан или АСЕ инхибитори с алискирен при пациенти със захарен диабет или бъбречно увреждане </w:t>
      </w:r>
      <w:r w:rsidRPr="00C73E3C">
        <w:rPr>
          <w:rFonts w:eastAsia="Times New Roman" w:cs="Arial"/>
          <w:color w:val="000000"/>
          <w:lang w:val="ru-RU"/>
        </w:rPr>
        <w:t>(</w:t>
      </w:r>
      <w:r w:rsidRPr="00C73E3C">
        <w:rPr>
          <w:rFonts w:eastAsia="Times New Roman" w:cs="Arial"/>
          <w:color w:val="000000"/>
          <w:lang w:val="en-US"/>
        </w:rPr>
        <w:t>GFR</w:t>
      </w:r>
      <w:r w:rsidRPr="00C73E3C">
        <w:rPr>
          <w:rFonts w:eastAsia="Times New Roman" w:cs="Arial"/>
          <w:color w:val="000000"/>
          <w:lang w:val="ru-RU"/>
        </w:rPr>
        <w:t xml:space="preserve"> </w:t>
      </w:r>
      <w:r w:rsidRPr="00C73E3C">
        <w:rPr>
          <w:rFonts w:eastAsia="Times New Roman" w:cs="Arial"/>
          <w:color w:val="000000"/>
          <w:lang w:eastAsia="bg-BG"/>
        </w:rPr>
        <w:t xml:space="preserve">&lt; 60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/1,73 </w:t>
      </w:r>
      <w:r w:rsidRPr="00C73E3C">
        <w:rPr>
          <w:rFonts w:eastAsia="Times New Roman" w:cs="Arial"/>
          <w:color w:val="000000"/>
          <w:lang w:eastAsia="bg-BG"/>
        </w:rPr>
        <w:t>m2) е противопоказано (вижте точки 4.3 и 4.5). Ако терапията с двойно блокиране на ренин-ангиотензин-алдостероновата система се счита за крайно необходима, тя трябва да се провежда при стриктен лекарски контрол и проследяване на бъбречната функция, електролитите и кръвното налягане. АСЕ инхибитори и ангиотензин II рецепторни блокери не трябва да се използват едновременно при пациенти с диабетна нефропатия.</w:t>
      </w:r>
    </w:p>
    <w:p w14:paraId="40A80681" w14:textId="77777777" w:rsidR="00C73E3C" w:rsidRDefault="00C73E3C" w:rsidP="00C73E3C">
      <w:pPr>
        <w:spacing w:line="240" w:lineRule="auto"/>
        <w:rPr>
          <w:rFonts w:eastAsia="Times New Roman" w:cs="Arial"/>
          <w:color w:val="000000"/>
          <w:u w:val="single"/>
          <w:lang w:eastAsia="bg-BG"/>
        </w:rPr>
      </w:pPr>
    </w:p>
    <w:p w14:paraId="03979F58" w14:textId="175C07E8"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Помощни вещества</w:t>
      </w:r>
    </w:p>
    <w:p w14:paraId="6AC8ACF6"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Пациенти с редки наследствени проблеми на галактозна непоносимост, </w:t>
      </w:r>
      <w:r w:rsidRPr="00C73E3C">
        <w:rPr>
          <w:rFonts w:eastAsia="Times New Roman" w:cs="Arial"/>
          <w:color w:val="000000"/>
          <w:lang w:val="en-US"/>
        </w:rPr>
        <w:t>Lapp</w:t>
      </w:r>
      <w:r w:rsidRPr="00C73E3C">
        <w:rPr>
          <w:rFonts w:eastAsia="Times New Roman" w:cs="Arial"/>
          <w:color w:val="000000"/>
          <w:lang w:val="ru-RU"/>
        </w:rPr>
        <w:t xml:space="preserve"> </w:t>
      </w:r>
      <w:r w:rsidRPr="00C73E3C">
        <w:rPr>
          <w:rFonts w:eastAsia="Times New Roman" w:cs="Arial"/>
          <w:color w:val="000000"/>
          <w:lang w:eastAsia="bg-BG"/>
        </w:rPr>
        <w:t>лактазен дефицит или глюкозо-галактозна малабсорбция, не трябва да приемат този лекарствен продукт (вижте точка 6.1).</w:t>
      </w:r>
    </w:p>
    <w:p w14:paraId="3744AD88" w14:textId="77777777" w:rsidR="00C73E3C" w:rsidRDefault="00C73E3C" w:rsidP="00C73E3C">
      <w:pPr>
        <w:spacing w:line="240" w:lineRule="auto"/>
        <w:rPr>
          <w:rFonts w:eastAsia="Times New Roman" w:cs="Arial"/>
          <w:color w:val="000000"/>
          <w:u w:val="single"/>
          <w:lang w:eastAsia="bg-BG"/>
        </w:rPr>
      </w:pPr>
    </w:p>
    <w:p w14:paraId="2FA049D6" w14:textId="5E6A8387"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Пресен миокарден инфаркт</w:t>
      </w:r>
    </w:p>
    <w:p w14:paraId="333D62F2"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Комбинацията на каптоприл и валсартан не показва допълнителна клинична полза, напротив, рискът от нежелани реакции се повишава в сравнение със съответните терапии (вж. точки 4.2 и 5.1). Поради това не се препоръчва комбинацията на валсартан и АСЕ инхибитор. Необходимо е да се обърне особено внимание при започване на терапия при пациенти след миокарден инфаркт. Оценката на пациентите след прекаран миокарден инфаркт винаги трябва да включва оценка на бъбречната функция (вж. точка 4.2).</w:t>
      </w:r>
    </w:p>
    <w:p w14:paraId="0F5074EB" w14:textId="77777777" w:rsidR="00C73E3C" w:rsidRDefault="00C73E3C" w:rsidP="00C73E3C">
      <w:pPr>
        <w:spacing w:line="240" w:lineRule="auto"/>
        <w:rPr>
          <w:rFonts w:eastAsia="Times New Roman" w:cs="Arial"/>
          <w:color w:val="000000"/>
          <w:lang w:eastAsia="bg-BG"/>
        </w:rPr>
      </w:pPr>
    </w:p>
    <w:p w14:paraId="5509AD56" w14:textId="60C20BED" w:rsidR="00C73E3C" w:rsidRPr="00C73E3C" w:rsidRDefault="00C73E3C" w:rsidP="00C73E3C">
      <w:pPr>
        <w:spacing w:line="240" w:lineRule="auto"/>
        <w:rPr>
          <w:rFonts w:eastAsia="Times New Roman" w:cs="Arial"/>
        </w:rPr>
      </w:pPr>
      <w:r w:rsidRPr="00C73E3C">
        <w:rPr>
          <w:rFonts w:eastAsia="Times New Roman" w:cs="Arial"/>
          <w:color w:val="000000"/>
          <w:lang w:eastAsia="bg-BG"/>
        </w:rPr>
        <w:t>Употребата на валсартан 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0F9F1254" w14:textId="77777777" w:rsidR="00C73E3C" w:rsidRDefault="00C73E3C" w:rsidP="00C73E3C">
      <w:pPr>
        <w:spacing w:line="240" w:lineRule="auto"/>
        <w:rPr>
          <w:rFonts w:eastAsia="Times New Roman" w:cs="Arial"/>
          <w:color w:val="000000"/>
          <w:u w:val="single"/>
          <w:lang w:eastAsia="bg-BG"/>
        </w:rPr>
      </w:pPr>
    </w:p>
    <w:p w14:paraId="6F4BAAC2" w14:textId="1CA20B7A"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Сърдечна недостатъчност</w:t>
      </w:r>
    </w:p>
    <w:p w14:paraId="44E2D19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Рискът от нежелани лекарствени реакции, особено хипотония, хиперкалиемия и намаляване на бъбречната функция (включително остра бъбречна недостатъчност) може да се повиши, когато - валсартан се използва в комбинация с АСЕ инхибитор. При пациенти със сърдечна недостатъчност тройната комбинация от АСЕ инхибитор, бета блокер и валсартан не показва клинична полза (вж. точка 5.1). Тази комбинация видимо повишава риска от нежелани събития и следователно не се препоръчва. Тройна комбинация от АСЕ инхибитор, минералкортикоцден рецепторен антагонист и валсартан 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5561F4B7" w14:textId="77777777" w:rsidR="00C73E3C" w:rsidRDefault="00C73E3C" w:rsidP="00C73E3C">
      <w:pPr>
        <w:spacing w:line="240" w:lineRule="auto"/>
        <w:rPr>
          <w:rFonts w:eastAsia="Times New Roman" w:cs="Arial"/>
          <w:color w:val="000000"/>
          <w:lang w:eastAsia="bg-BG"/>
        </w:rPr>
      </w:pPr>
    </w:p>
    <w:p w14:paraId="4C900E56" w14:textId="5499CDFE" w:rsidR="00C73E3C" w:rsidRPr="00C73E3C" w:rsidRDefault="00C73E3C" w:rsidP="00C73E3C">
      <w:pPr>
        <w:spacing w:line="240" w:lineRule="auto"/>
        <w:rPr>
          <w:rFonts w:eastAsia="Times New Roman" w:cs="Arial"/>
        </w:rPr>
      </w:pPr>
      <w:r w:rsidRPr="00C73E3C">
        <w:rPr>
          <w:rFonts w:eastAsia="Times New Roman" w:cs="Arial"/>
          <w:color w:val="000000"/>
          <w:lang w:eastAsia="bg-BG"/>
        </w:rPr>
        <w:t>Необходимо е повишено внимание при започване на тера</w:t>
      </w:r>
      <w:r>
        <w:rPr>
          <w:rFonts w:eastAsia="Times New Roman" w:cs="Arial"/>
          <w:color w:val="000000"/>
          <w:lang w:eastAsia="bg-BG"/>
        </w:rPr>
        <w:t xml:space="preserve">пия при пациенти със сърдечна </w:t>
      </w:r>
      <w:r w:rsidRPr="00C73E3C">
        <w:rPr>
          <w:rFonts w:eastAsia="Times New Roman" w:cs="Arial"/>
          <w:color w:val="000000"/>
          <w:lang w:eastAsia="bg-BG"/>
        </w:rPr>
        <w:t>недостатъчност. Оценката на пациенти със сърдечна недостатъчност винаги трябва да включва оценка на бъбречната функция (вж. точка 4.2).</w:t>
      </w:r>
    </w:p>
    <w:p w14:paraId="58CF4D1C" w14:textId="77777777" w:rsidR="00C73E3C" w:rsidRDefault="00C73E3C" w:rsidP="00C73E3C">
      <w:pPr>
        <w:spacing w:line="240" w:lineRule="auto"/>
        <w:rPr>
          <w:rFonts w:eastAsia="Times New Roman" w:cs="Arial"/>
          <w:color w:val="000000"/>
          <w:lang w:eastAsia="bg-BG"/>
        </w:rPr>
      </w:pPr>
    </w:p>
    <w:p w14:paraId="05124427" w14:textId="16F949C7" w:rsidR="00C73E3C" w:rsidRPr="00C73E3C" w:rsidRDefault="00C73E3C" w:rsidP="00CD566F">
      <w:pPr>
        <w:spacing w:line="240" w:lineRule="auto"/>
        <w:rPr>
          <w:rFonts w:eastAsia="Times New Roman" w:cs="Arial"/>
        </w:rPr>
      </w:pPr>
      <w:r w:rsidRPr="00C73E3C">
        <w:rPr>
          <w:rFonts w:eastAsia="Times New Roman" w:cs="Arial"/>
          <w:color w:val="000000"/>
          <w:lang w:eastAsia="bg-BG"/>
        </w:rPr>
        <w:lastRenderedPageBreak/>
        <w:t xml:space="preserve">Употребата на валсартан при пациенти със сърдечна недостатъчност често води до </w:t>
      </w:r>
      <w:r w:rsidR="00CD566F">
        <w:rPr>
          <w:rFonts w:eastAsia="Times New Roman" w:cs="Arial"/>
          <w:color w:val="000000"/>
          <w:lang w:eastAsia="bg-BG"/>
        </w:rPr>
        <w:t>известно</w:t>
      </w:r>
      <w:r w:rsidR="00CD566F">
        <w:rPr>
          <w:rFonts w:eastAsia="Times New Roman" w:cs="Arial"/>
        </w:rPr>
        <w:t xml:space="preserve"> </w:t>
      </w:r>
      <w:r w:rsidRPr="00C73E3C">
        <w:rPr>
          <w:rFonts w:eastAsia="Times New Roman" w:cs="Arial"/>
          <w:color w:val="000000"/>
          <w:lang w:eastAsia="bg-BG"/>
        </w:rPr>
        <w:t>спадане на кръвното налягане, но прекъсване на терапията поради продължаваща</w:t>
      </w:r>
      <w:r>
        <w:rPr>
          <w:rFonts w:eastAsia="Times New Roman" w:cs="Arial"/>
          <w:color w:val="000000"/>
          <w:lang w:eastAsia="bg-BG"/>
        </w:rPr>
        <w:t xml:space="preserve"> </w:t>
      </w:r>
      <w:r w:rsidRPr="00C73E3C">
        <w:rPr>
          <w:rFonts w:eastAsia="Times New Roman" w:cs="Arial"/>
          <w:color w:val="000000"/>
          <w:lang w:eastAsia="bg-BG"/>
        </w:rPr>
        <w:t>симптоматична хипотония обикновено не е необходимо, при условие че се спазват инструкциите за дозиране (вж. точка 4.2).</w:t>
      </w:r>
    </w:p>
    <w:p w14:paraId="28CD384D"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При пациенти, чиято бъбречна функция може да зависи от активността на ренин-ангиотензин- алдостероновата система (напр. пациенти с тежка застойна сърдечна недостатъчност), . лечението с АСЕ инхибитори се свързва с олигурия и/или прогресираща азотемия и в редки случаи с остра бъбречна недостатъчност и/или смърт. Тъй като валсартан е ангиотензин II - рецепторен блокер, не може да се изключи възможна връзка на употребата на валсартан с увреждане на бъбречната функция.</w:t>
      </w:r>
    </w:p>
    <w:p w14:paraId="63F5BB49"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АСЕ инхибитори и ангиотензин II -рецепторни блокери не трябва да се използват едновременно при пациенти с диабетна нефропатия.</w:t>
      </w:r>
    </w:p>
    <w:p w14:paraId="35D3F74C" w14:textId="77777777" w:rsidR="00C73E3C" w:rsidRDefault="00C73E3C" w:rsidP="00C73E3C">
      <w:pPr>
        <w:spacing w:line="240" w:lineRule="auto"/>
        <w:rPr>
          <w:rFonts w:eastAsia="Times New Roman" w:cs="Arial"/>
          <w:color w:val="000000"/>
          <w:u w:val="single"/>
          <w:lang w:eastAsia="bg-BG"/>
        </w:rPr>
      </w:pPr>
    </w:p>
    <w:p w14:paraId="651ECD23" w14:textId="3FC64F10"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Педиатрична популация</w:t>
      </w:r>
    </w:p>
    <w:p w14:paraId="160A0238" w14:textId="77777777" w:rsidR="00C73E3C" w:rsidRDefault="00C73E3C" w:rsidP="00C73E3C">
      <w:pPr>
        <w:spacing w:line="240" w:lineRule="auto"/>
        <w:rPr>
          <w:rFonts w:eastAsia="Times New Roman" w:cs="Arial"/>
          <w:color w:val="000000"/>
          <w:u w:val="single"/>
          <w:lang w:eastAsia="bg-BG"/>
        </w:rPr>
      </w:pPr>
    </w:p>
    <w:p w14:paraId="69B0ADF3" w14:textId="1FC2FA53"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Нарушена бъбречна функция</w:t>
      </w:r>
    </w:p>
    <w:p w14:paraId="3A0E353E"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Употребата при педиатрични пациенти с креатининов клирънс &lt; 30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 </w:t>
      </w:r>
      <w:r w:rsidRPr="00C73E3C">
        <w:rPr>
          <w:rFonts w:eastAsia="Times New Roman" w:cs="Arial"/>
          <w:color w:val="000000"/>
          <w:lang w:eastAsia="bg-BG"/>
        </w:rPr>
        <w:t xml:space="preserve">(вж. точки 4.2 и 5.2). Бъбречната функция и нивата на серумния калий трябва да бъдат внимателно проследявани по време на лечението с валсартан, особено когато валсартан се прилага при наличие на други състояния (температура, дехидратация), които могат да предизвикат нарушение на бъбречната функция. Едновременното приложение на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ARBs</w:t>
      </w:r>
      <w:r w:rsidRPr="00C73E3C">
        <w:rPr>
          <w:rFonts w:eastAsia="Times New Roman" w:cs="Arial"/>
          <w:color w:val="000000"/>
          <w:lang w:val="ru-RU"/>
        </w:rPr>
        <w:t xml:space="preserve">), </w:t>
      </w:r>
      <w:r w:rsidRPr="00C73E3C">
        <w:rPr>
          <w:rFonts w:eastAsia="Times New Roman" w:cs="Arial"/>
          <w:color w:val="000000"/>
          <w:lang w:eastAsia="bg-BG"/>
        </w:rPr>
        <w:t xml:space="preserve">включително валсартан или на АСЕ инхибитори с алискирен е противопоказано при пациенти с бъбречно увреждане </w:t>
      </w:r>
      <w:r w:rsidRPr="00C73E3C">
        <w:rPr>
          <w:rFonts w:eastAsia="Times New Roman" w:cs="Arial"/>
          <w:color w:val="000000"/>
          <w:lang w:val="ru-RU"/>
        </w:rPr>
        <w:t>(</w:t>
      </w:r>
      <w:r w:rsidRPr="00C73E3C">
        <w:rPr>
          <w:rFonts w:eastAsia="Times New Roman" w:cs="Arial"/>
          <w:color w:val="000000"/>
          <w:lang w:val="en-US"/>
        </w:rPr>
        <w:t>GFR</w:t>
      </w:r>
      <w:r w:rsidRPr="00C73E3C">
        <w:rPr>
          <w:rFonts w:eastAsia="Times New Roman" w:cs="Arial"/>
          <w:color w:val="000000"/>
          <w:lang w:val="ru-RU"/>
        </w:rPr>
        <w:t xml:space="preserve"> </w:t>
      </w:r>
      <w:r w:rsidRPr="00C73E3C">
        <w:rPr>
          <w:rFonts w:eastAsia="Times New Roman" w:cs="Arial"/>
          <w:color w:val="000000"/>
          <w:lang w:eastAsia="bg-BG"/>
        </w:rPr>
        <w:t xml:space="preserve">&lt; 60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/1</w:t>
      </w:r>
      <w:r w:rsidRPr="00C73E3C">
        <w:rPr>
          <w:rFonts w:eastAsia="Times New Roman" w:cs="Arial"/>
          <w:color w:val="000000"/>
          <w:lang w:eastAsia="bg-BG"/>
        </w:rPr>
        <w:t xml:space="preserve">,73 </w:t>
      </w:r>
      <w:r w:rsidRPr="00C73E3C">
        <w:rPr>
          <w:rFonts w:eastAsia="Times New Roman" w:cs="Arial"/>
          <w:color w:val="000000"/>
          <w:lang w:val="en-US"/>
        </w:rPr>
        <w:t>m</w:t>
      </w:r>
      <w:r w:rsidRPr="00C73E3C">
        <w:rPr>
          <w:rFonts w:eastAsia="Times New Roman" w:cs="Arial"/>
          <w:color w:val="000000"/>
          <w:vertAlign w:val="superscript"/>
          <w:lang w:val="ru-RU"/>
        </w:rPr>
        <w:t>2</w:t>
      </w:r>
      <w:r w:rsidRPr="00C73E3C">
        <w:rPr>
          <w:rFonts w:eastAsia="Times New Roman" w:cs="Arial"/>
          <w:color w:val="000000"/>
          <w:lang w:eastAsia="bg-BG"/>
        </w:rPr>
        <w:t>) (вижте точки 4.3 и 4.5).</w:t>
      </w:r>
    </w:p>
    <w:p w14:paraId="4452C2EA" w14:textId="77777777" w:rsidR="00C73E3C" w:rsidRDefault="00C73E3C" w:rsidP="00C73E3C">
      <w:pPr>
        <w:spacing w:line="240" w:lineRule="auto"/>
        <w:rPr>
          <w:rFonts w:eastAsia="Times New Roman" w:cs="Arial"/>
          <w:color w:val="000000"/>
          <w:u w:val="single"/>
          <w:lang w:eastAsia="bg-BG"/>
        </w:rPr>
      </w:pPr>
    </w:p>
    <w:p w14:paraId="4E1D6FED" w14:textId="1903DD70"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Нарушена чернодробна функция</w:t>
      </w:r>
    </w:p>
    <w:p w14:paraId="5A5BC039"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Подобно на възрастните пациенти, Валсаркон е противопоказан при педиатрични пациенти с тежко чернодробно увреждане, билиарна цироза и пациенти с холестаза (вж. точки 4.3 и 5.2). Има ограничен клиничен опит с употребата на Валсаркон при педиатрични пациенти с леко до умерено чернодробно увреждане. При такива пациенти дозата на валсартан не трябва да превишава 80 </w:t>
      </w:r>
      <w:r w:rsidRPr="00C73E3C">
        <w:rPr>
          <w:rFonts w:eastAsia="Times New Roman" w:cs="Arial"/>
          <w:color w:val="000000"/>
          <w:lang w:val="en-US"/>
        </w:rPr>
        <w:t>mg</w:t>
      </w:r>
      <w:r w:rsidRPr="00C73E3C">
        <w:rPr>
          <w:rFonts w:eastAsia="Times New Roman" w:cs="Arial"/>
          <w:color w:val="000000"/>
          <w:lang w:val="ru-RU"/>
        </w:rPr>
        <w:t>.</w:t>
      </w:r>
    </w:p>
    <w:p w14:paraId="1676F422" w14:textId="77777777" w:rsidR="00C73E3C" w:rsidRDefault="00C73E3C" w:rsidP="00C73E3C">
      <w:pPr>
        <w:spacing w:line="240" w:lineRule="auto"/>
        <w:rPr>
          <w:rFonts w:eastAsia="Times New Roman" w:cs="Arial"/>
          <w:color w:val="000000"/>
          <w:lang w:eastAsia="bg-BG"/>
        </w:rPr>
      </w:pPr>
    </w:p>
    <w:p w14:paraId="0CEA1E7B" w14:textId="360C71CF"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Този лекарствен продукт съдържа лактоза. Пациенти с редки наследствени заболявания като галактозна непоносимост, </w:t>
      </w:r>
      <w:r w:rsidRPr="00C73E3C">
        <w:rPr>
          <w:rFonts w:eastAsia="Times New Roman" w:cs="Arial"/>
          <w:color w:val="000000"/>
          <w:lang w:val="en-US"/>
        </w:rPr>
        <w:t>Lapp</w:t>
      </w:r>
      <w:r w:rsidRPr="00C73E3C">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776C0523" w14:textId="2B807B3E" w:rsidR="00C73E3C" w:rsidRPr="00C73E3C" w:rsidRDefault="00C73E3C" w:rsidP="00C73E3C">
      <w:pPr>
        <w:rPr>
          <w:rFonts w:eastAsia="Times New Roman" w:cs="Arial"/>
          <w:color w:val="000000"/>
          <w:lang w:eastAsia="bg-BG"/>
        </w:rPr>
      </w:pPr>
    </w:p>
    <w:p w14:paraId="68AF99AA" w14:textId="77777777" w:rsidR="00C73E3C" w:rsidRPr="00C73E3C" w:rsidRDefault="00C73E3C" w:rsidP="00C73E3C">
      <w:pPr>
        <w:rPr>
          <w:rFonts w:cs="Arial"/>
        </w:rPr>
      </w:pPr>
    </w:p>
    <w:p w14:paraId="619DED1E" w14:textId="6C807F5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8A1EEEB" w14:textId="17577DC6" w:rsidR="00C73E3C" w:rsidRDefault="00C73E3C" w:rsidP="00C73E3C"/>
    <w:p w14:paraId="281CC4FF" w14:textId="77777777" w:rsidR="00C73E3C" w:rsidRPr="00C73E3C" w:rsidRDefault="00C73E3C" w:rsidP="00C73E3C">
      <w:pPr>
        <w:spacing w:line="240" w:lineRule="auto"/>
        <w:rPr>
          <w:rFonts w:eastAsia="Times New Roman" w:cs="Arial"/>
        </w:rPr>
      </w:pPr>
      <w:r w:rsidRPr="00C73E3C">
        <w:rPr>
          <w:rFonts w:eastAsia="Times New Roman" w:cs="Arial"/>
          <w:i/>
          <w:iCs/>
          <w:color w:val="000000"/>
          <w:lang w:eastAsia="bg-BG"/>
        </w:rPr>
        <w:t xml:space="preserve">Двойна блокада на ренин-ангнотензиновата система </w:t>
      </w:r>
      <w:r w:rsidRPr="00C73E3C">
        <w:rPr>
          <w:rFonts w:eastAsia="Times New Roman" w:cs="Arial"/>
          <w:i/>
          <w:iCs/>
          <w:color w:val="000000"/>
          <w:lang w:val="ru-RU"/>
        </w:rPr>
        <w:t>(</w:t>
      </w:r>
      <w:r w:rsidRPr="00C73E3C">
        <w:rPr>
          <w:rFonts w:eastAsia="Times New Roman" w:cs="Arial"/>
          <w:i/>
          <w:iCs/>
          <w:color w:val="000000"/>
          <w:lang w:val="en-US"/>
        </w:rPr>
        <w:t>RAS</w:t>
      </w:r>
      <w:r w:rsidRPr="00C73E3C">
        <w:rPr>
          <w:rFonts w:eastAsia="Times New Roman" w:cs="Arial"/>
          <w:i/>
          <w:iCs/>
          <w:color w:val="000000"/>
          <w:lang w:val="ru-RU"/>
        </w:rPr>
        <w:t xml:space="preserve">) </w:t>
      </w:r>
      <w:r w:rsidRPr="00C73E3C">
        <w:rPr>
          <w:rFonts w:eastAsia="Times New Roman" w:cs="Arial"/>
          <w:i/>
          <w:iCs/>
          <w:color w:val="000000"/>
          <w:lang w:eastAsia="bg-BG"/>
        </w:rPr>
        <w:t xml:space="preserve">с ангиотензин II рецепторни антагонисти </w:t>
      </w:r>
      <w:r w:rsidRPr="00C73E3C">
        <w:rPr>
          <w:rFonts w:eastAsia="Times New Roman" w:cs="Arial"/>
          <w:i/>
          <w:iCs/>
          <w:color w:val="000000"/>
          <w:lang w:val="ru-RU"/>
        </w:rPr>
        <w:t>(</w:t>
      </w:r>
      <w:r w:rsidRPr="00C73E3C">
        <w:rPr>
          <w:rFonts w:eastAsia="Times New Roman" w:cs="Arial"/>
          <w:i/>
          <w:iCs/>
          <w:color w:val="000000"/>
          <w:lang w:val="en-US"/>
        </w:rPr>
        <w:t>ARBs</w:t>
      </w:r>
      <w:r w:rsidRPr="00C73E3C">
        <w:rPr>
          <w:rFonts w:eastAsia="Times New Roman" w:cs="Arial"/>
          <w:i/>
          <w:iCs/>
          <w:color w:val="000000"/>
          <w:lang w:val="ru-RU"/>
        </w:rPr>
        <w:t xml:space="preserve">), </w:t>
      </w:r>
      <w:r w:rsidRPr="00C73E3C">
        <w:rPr>
          <w:rFonts w:eastAsia="Times New Roman" w:cs="Arial"/>
          <w:i/>
          <w:iCs/>
          <w:color w:val="000000"/>
          <w:lang w:eastAsia="bg-BG"/>
        </w:rPr>
        <w:t>АСЕ инхибитори, или алискирен</w:t>
      </w:r>
    </w:p>
    <w:p w14:paraId="72BE45A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Едновременното приложение на ангиотензин II рецепторни антагонисти </w:t>
      </w:r>
      <w:r w:rsidRPr="00C73E3C">
        <w:rPr>
          <w:rFonts w:eastAsia="Times New Roman" w:cs="Arial"/>
          <w:color w:val="000000"/>
          <w:lang w:val="ru-RU"/>
        </w:rPr>
        <w:t>(</w:t>
      </w:r>
      <w:r w:rsidRPr="00C73E3C">
        <w:rPr>
          <w:rFonts w:eastAsia="Times New Roman" w:cs="Arial"/>
          <w:color w:val="000000"/>
          <w:lang w:val="en-US"/>
        </w:rPr>
        <w:t>ARBs</w:t>
      </w:r>
      <w:r w:rsidRPr="00C73E3C">
        <w:rPr>
          <w:rFonts w:eastAsia="Times New Roman" w:cs="Arial"/>
          <w:color w:val="000000"/>
          <w:lang w:val="ru-RU"/>
        </w:rPr>
        <w:t xml:space="preserve">), </w:t>
      </w:r>
      <w:r w:rsidRPr="00C73E3C">
        <w:rPr>
          <w:rFonts w:eastAsia="Times New Roman" w:cs="Arial"/>
          <w:color w:val="000000"/>
          <w:lang w:eastAsia="bg-BG"/>
        </w:rPr>
        <w:t xml:space="preserve">включително валсартан или инхибитор на ангиотензин-конвертиращия ензим (АСЕ инхибитори) с алискирен е противопоказно при пациентите със захарен диабет и пациенти с бъбречно увреждане </w:t>
      </w:r>
      <w:r w:rsidRPr="00C73E3C">
        <w:rPr>
          <w:rFonts w:eastAsia="Times New Roman" w:cs="Arial"/>
          <w:color w:val="000000"/>
          <w:lang w:val="ru-RU"/>
        </w:rPr>
        <w:t>(</w:t>
      </w:r>
      <w:r w:rsidRPr="00C73E3C">
        <w:rPr>
          <w:rFonts w:eastAsia="Times New Roman" w:cs="Arial"/>
          <w:color w:val="000000"/>
          <w:lang w:val="en-US"/>
        </w:rPr>
        <w:t>GFR</w:t>
      </w:r>
      <w:r w:rsidRPr="00C73E3C">
        <w:rPr>
          <w:rFonts w:eastAsia="Times New Roman" w:cs="Arial"/>
          <w:color w:val="000000"/>
          <w:lang w:val="ru-RU"/>
        </w:rPr>
        <w:t xml:space="preserve">&lt; </w:t>
      </w:r>
      <w:r w:rsidRPr="00C73E3C">
        <w:rPr>
          <w:rFonts w:eastAsia="Times New Roman" w:cs="Arial"/>
          <w:color w:val="000000"/>
          <w:lang w:eastAsia="bg-BG"/>
        </w:rPr>
        <w:t xml:space="preserve">60 </w:t>
      </w:r>
      <w:r w:rsidRPr="00C73E3C">
        <w:rPr>
          <w:rFonts w:eastAsia="Times New Roman" w:cs="Arial"/>
          <w:color w:val="000000"/>
          <w:lang w:val="en-US"/>
        </w:rPr>
        <w:t>ml</w:t>
      </w:r>
      <w:r w:rsidRPr="00C73E3C">
        <w:rPr>
          <w:rFonts w:eastAsia="Times New Roman" w:cs="Arial"/>
          <w:color w:val="000000"/>
          <w:lang w:val="ru-RU"/>
        </w:rPr>
        <w:t>/</w:t>
      </w:r>
      <w:r w:rsidRPr="00C73E3C">
        <w:rPr>
          <w:rFonts w:eastAsia="Times New Roman" w:cs="Arial"/>
          <w:color w:val="000000"/>
          <w:lang w:val="en-US"/>
        </w:rPr>
        <w:t>min</w:t>
      </w:r>
      <w:r w:rsidRPr="00C73E3C">
        <w:rPr>
          <w:rFonts w:eastAsia="Times New Roman" w:cs="Arial"/>
          <w:color w:val="000000"/>
          <w:lang w:val="ru-RU"/>
        </w:rPr>
        <w:t xml:space="preserve">/1 </w:t>
      </w:r>
      <w:r w:rsidRPr="00C73E3C">
        <w:rPr>
          <w:rFonts w:eastAsia="Times New Roman" w:cs="Arial"/>
          <w:color w:val="000000"/>
          <w:lang w:eastAsia="bg-BG"/>
        </w:rPr>
        <w:t xml:space="preserve">,73 </w:t>
      </w:r>
      <w:r w:rsidRPr="00C73E3C">
        <w:rPr>
          <w:rFonts w:eastAsia="Times New Roman" w:cs="Arial"/>
          <w:color w:val="000000"/>
          <w:lang w:val="en-US"/>
        </w:rPr>
        <w:t>m</w:t>
      </w:r>
      <w:r w:rsidRPr="00C73E3C">
        <w:rPr>
          <w:rFonts w:eastAsia="Times New Roman" w:cs="Arial"/>
          <w:color w:val="000000"/>
          <w:vertAlign w:val="superscript"/>
          <w:lang w:val="ru-RU"/>
        </w:rPr>
        <w:t>2</w:t>
      </w:r>
      <w:r w:rsidRPr="00C73E3C">
        <w:rPr>
          <w:rFonts w:eastAsia="Times New Roman" w:cs="Arial"/>
          <w:color w:val="000000"/>
          <w:lang w:val="ru-RU"/>
        </w:rPr>
        <w:t xml:space="preserve">) </w:t>
      </w:r>
      <w:r w:rsidRPr="00C73E3C">
        <w:rPr>
          <w:rFonts w:eastAsia="Times New Roman" w:cs="Arial"/>
          <w:color w:val="000000"/>
          <w:lang w:eastAsia="bg-BG"/>
        </w:rPr>
        <w:t xml:space="preserve">(вижте точка 4.3 и 4.4). Данни от клинични проучвания показват, че двойното блокиране на ренин-ангиотензин- </w:t>
      </w:r>
      <w:r w:rsidRPr="00C73E3C">
        <w:rPr>
          <w:rFonts w:eastAsia="Times New Roman" w:cs="Arial"/>
          <w:color w:val="000000"/>
          <w:lang w:eastAsia="bg-BG"/>
        </w:rPr>
        <w:lastRenderedPageBreak/>
        <w:t>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374C600" w14:textId="77777777" w:rsidR="00C73E3C" w:rsidRPr="00C73E3C" w:rsidRDefault="00C73E3C" w:rsidP="00C73E3C">
      <w:pPr>
        <w:spacing w:line="240" w:lineRule="auto"/>
        <w:rPr>
          <w:rFonts w:eastAsia="Times New Roman" w:cs="Arial"/>
          <w:b/>
          <w:bCs/>
          <w:color w:val="000000"/>
          <w:lang w:eastAsia="bg-BG"/>
        </w:rPr>
      </w:pPr>
    </w:p>
    <w:p w14:paraId="0883CBED" w14:textId="01FA895F" w:rsidR="00C73E3C" w:rsidRPr="00C73E3C" w:rsidRDefault="00C73E3C" w:rsidP="00C73E3C">
      <w:pPr>
        <w:spacing w:line="240" w:lineRule="auto"/>
        <w:rPr>
          <w:rFonts w:eastAsia="Times New Roman" w:cs="Arial"/>
        </w:rPr>
      </w:pPr>
      <w:r w:rsidRPr="00C73E3C">
        <w:rPr>
          <w:rFonts w:eastAsia="Times New Roman" w:cs="Arial"/>
          <w:b/>
          <w:bCs/>
          <w:color w:val="000000"/>
          <w:lang w:eastAsia="bg-BG"/>
        </w:rPr>
        <w:t>Не се препоръчва едновременна употреба с:</w:t>
      </w:r>
    </w:p>
    <w:p w14:paraId="63B3C0DB" w14:textId="77777777" w:rsidR="00C73E3C" w:rsidRPr="00C73E3C" w:rsidRDefault="00C73E3C" w:rsidP="00C73E3C">
      <w:pPr>
        <w:spacing w:line="240" w:lineRule="auto"/>
        <w:rPr>
          <w:rFonts w:eastAsia="Times New Roman" w:cs="Arial"/>
          <w:color w:val="000000"/>
          <w:u w:val="single"/>
          <w:lang w:eastAsia="bg-BG"/>
        </w:rPr>
      </w:pPr>
    </w:p>
    <w:p w14:paraId="43330110" w14:textId="5E1195FC"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Литий</w:t>
      </w:r>
    </w:p>
    <w:p w14:paraId="0F96F14F" w14:textId="77777777" w:rsidR="00C73E3C" w:rsidRPr="00C73E3C" w:rsidRDefault="00C73E3C" w:rsidP="00C73E3C">
      <w:pPr>
        <w:rPr>
          <w:rFonts w:eastAsia="Times New Roman" w:cs="Arial"/>
        </w:rPr>
      </w:pPr>
      <w:r w:rsidRPr="00C73E3C">
        <w:rPr>
          <w:rFonts w:eastAsia="Times New Roman" w:cs="Arial"/>
          <w:color w:val="000000"/>
          <w:lang w:eastAsia="bg-BG"/>
        </w:rPr>
        <w:t>Обратимо повишаване на серумните концентрации на литий и токсичност са съобщени при</w:t>
      </w:r>
      <w:r w:rsidRPr="00C73E3C">
        <w:rPr>
          <w:rFonts w:eastAsia="Times New Roman" w:cs="Arial"/>
          <w:b/>
          <w:bCs/>
          <w:color w:val="000000"/>
          <w:lang w:eastAsia="bg-BG"/>
        </w:rPr>
        <w:t xml:space="preserve"> </w:t>
      </w:r>
      <w:r w:rsidRPr="00C73E3C">
        <w:rPr>
          <w:rFonts w:eastAsia="Times New Roman" w:cs="Arial"/>
          <w:color w:val="000000"/>
          <w:lang w:eastAsia="bg-BG"/>
        </w:rPr>
        <w:t>едновременната употреба с АСЕ инхибитори. Поради липсата на опит от едновременна употреба на валсартан и литий тази комбинация не се препоръчва. Препоръчва се внимателно . следене на серумните нива на литий, ако се прецени, че комбинацията е необходима.</w:t>
      </w:r>
    </w:p>
    <w:p w14:paraId="7E1E5F72" w14:textId="77777777" w:rsidR="00C73E3C" w:rsidRDefault="00C73E3C" w:rsidP="00C73E3C">
      <w:pPr>
        <w:spacing w:line="240" w:lineRule="auto"/>
        <w:rPr>
          <w:rFonts w:eastAsia="Times New Roman" w:cs="Arial"/>
          <w:color w:val="000000"/>
          <w:u w:val="single"/>
          <w:lang w:eastAsia="bg-BG"/>
        </w:rPr>
      </w:pPr>
    </w:p>
    <w:p w14:paraId="2CB40E09" w14:textId="11517C68"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Калий-съхраняваши диуретици. калиеви добавки, заместители на солта, съдържащи калий или други субстанции, които биха могли да повишат нивата на калий</w:t>
      </w:r>
    </w:p>
    <w:p w14:paraId="128B3ACD"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3C3D78FA" w14:textId="77777777" w:rsidR="00C73E3C" w:rsidRDefault="00C73E3C" w:rsidP="00C73E3C">
      <w:pPr>
        <w:spacing w:line="240" w:lineRule="auto"/>
        <w:rPr>
          <w:rFonts w:eastAsia="Times New Roman" w:cs="Arial"/>
          <w:b/>
          <w:bCs/>
          <w:color w:val="000000"/>
          <w:lang w:eastAsia="bg-BG"/>
        </w:rPr>
      </w:pPr>
    </w:p>
    <w:p w14:paraId="025B818D" w14:textId="6E40850F" w:rsidR="00C73E3C" w:rsidRPr="00C73E3C" w:rsidRDefault="00C73E3C" w:rsidP="00C73E3C">
      <w:pPr>
        <w:spacing w:line="240" w:lineRule="auto"/>
        <w:rPr>
          <w:rFonts w:eastAsia="Times New Roman" w:cs="Arial"/>
        </w:rPr>
      </w:pPr>
      <w:r w:rsidRPr="00C73E3C">
        <w:rPr>
          <w:rFonts w:eastAsia="Times New Roman" w:cs="Arial"/>
          <w:b/>
          <w:bCs/>
          <w:color w:val="000000"/>
          <w:lang w:eastAsia="bg-BG"/>
        </w:rPr>
        <w:t>Особено внимание се изисква при едновременна употреба с:</w:t>
      </w:r>
    </w:p>
    <w:p w14:paraId="26A7956B" w14:textId="77777777" w:rsidR="00C73E3C" w:rsidRDefault="00C73E3C" w:rsidP="00C73E3C">
      <w:pPr>
        <w:spacing w:line="240" w:lineRule="auto"/>
        <w:rPr>
          <w:rFonts w:eastAsia="Times New Roman" w:cs="Arial"/>
          <w:color w:val="000000"/>
          <w:u w:val="single"/>
          <w:lang w:eastAsia="bg-BG"/>
        </w:rPr>
      </w:pPr>
    </w:p>
    <w:p w14:paraId="0B859EBF" w14:textId="1D56D149"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 xml:space="preserve">Нестероидни противовъзпалителни средства (НСПВС, включително селективни СОХ-2 инхибитори, ацетилсалинилова киселина &gt;3 </w:t>
      </w:r>
      <w:r w:rsidRPr="00C73E3C">
        <w:rPr>
          <w:rFonts w:eastAsia="Times New Roman" w:cs="Arial"/>
          <w:color w:val="000000"/>
          <w:u w:val="single"/>
          <w:lang w:val="en-US"/>
        </w:rPr>
        <w:t>g</w:t>
      </w:r>
      <w:r w:rsidRPr="00C73E3C">
        <w:rPr>
          <w:rFonts w:eastAsia="Times New Roman" w:cs="Arial"/>
          <w:color w:val="000000"/>
          <w:u w:val="single"/>
          <w:lang w:val="ru-RU"/>
        </w:rPr>
        <w:t xml:space="preserve"> </w:t>
      </w:r>
      <w:r w:rsidRPr="00C73E3C">
        <w:rPr>
          <w:rFonts w:eastAsia="Times New Roman" w:cs="Arial"/>
          <w:color w:val="000000"/>
          <w:u w:val="single"/>
          <w:lang w:eastAsia="bg-BG"/>
        </w:rPr>
        <w:t>/дневно и неселективни НСПВС</w:t>
      </w:r>
    </w:p>
    <w:p w14:paraId="2027B26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Когато ангиотензин </w:t>
      </w:r>
      <w:r w:rsidRPr="00C73E3C">
        <w:rPr>
          <w:rFonts w:eastAsia="Times New Roman" w:cs="Arial"/>
          <w:color w:val="000000"/>
          <w:lang w:val="en-US"/>
        </w:rPr>
        <w:t>II</w:t>
      </w:r>
      <w:r w:rsidRPr="00C73E3C">
        <w:rPr>
          <w:rFonts w:eastAsia="Times New Roman" w:cs="Arial"/>
          <w:color w:val="000000"/>
          <w:lang w:eastAsia="bg-BG"/>
        </w:rPr>
        <w:t xml:space="preserve"> рецепторни антагонисти се прилагат едновременно с НСПВС, може да се наблюдава отслабване на антихипертензивния ефект. Освен това едновременната употреба на ангиотензин II рецепторни блокери и НСПВС може да доведе до повишен риск от </w:t>
      </w:r>
      <w:r w:rsidRPr="00C73E3C">
        <w:rPr>
          <w:rFonts w:eastAsia="Times New Roman" w:cs="Arial"/>
          <w:i/>
          <w:iCs/>
          <w:color w:val="000000"/>
          <w:lang w:eastAsia="bg-BG"/>
        </w:rPr>
        <w:t xml:space="preserve">влошаване </w:t>
      </w:r>
      <w:r w:rsidRPr="00C73E3C">
        <w:rPr>
          <w:rFonts w:eastAsia="Times New Roman" w:cs="Arial"/>
          <w:color w:val="000000"/>
          <w:lang w:eastAsia="bg-BG"/>
        </w:rPr>
        <w:t>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78ED0FA2" w14:textId="77777777" w:rsidR="00C73E3C" w:rsidRDefault="00C73E3C" w:rsidP="00C73E3C">
      <w:pPr>
        <w:spacing w:line="240" w:lineRule="auto"/>
        <w:rPr>
          <w:rFonts w:eastAsia="Times New Roman" w:cs="Arial"/>
          <w:color w:val="000000"/>
          <w:u w:val="single"/>
          <w:lang w:eastAsia="bg-BG"/>
        </w:rPr>
      </w:pPr>
    </w:p>
    <w:p w14:paraId="2DF4AA13" w14:textId="061BF0AF"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Транспортери</w:t>
      </w:r>
    </w:p>
    <w:p w14:paraId="1E2D651F"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Резултатите от </w:t>
      </w:r>
      <w:r w:rsidRPr="00C73E3C">
        <w:rPr>
          <w:rFonts w:eastAsia="Times New Roman" w:cs="Arial"/>
          <w:i/>
          <w:iCs/>
          <w:color w:val="000000"/>
          <w:lang w:val="en-US"/>
        </w:rPr>
        <w:t>in</w:t>
      </w:r>
      <w:r w:rsidRPr="00C73E3C">
        <w:rPr>
          <w:rFonts w:eastAsia="Times New Roman" w:cs="Arial"/>
          <w:i/>
          <w:iCs/>
          <w:color w:val="000000"/>
          <w:lang w:val="ru-RU"/>
        </w:rPr>
        <w:t xml:space="preserve"> </w:t>
      </w:r>
      <w:r w:rsidRPr="00C73E3C">
        <w:rPr>
          <w:rFonts w:eastAsia="Times New Roman" w:cs="Arial"/>
          <w:i/>
          <w:iCs/>
          <w:color w:val="000000"/>
          <w:lang w:val="en-US"/>
        </w:rPr>
        <w:t>vitro</w:t>
      </w:r>
      <w:r w:rsidRPr="00C73E3C">
        <w:rPr>
          <w:rFonts w:eastAsia="Times New Roman" w:cs="Arial"/>
          <w:color w:val="000000"/>
          <w:lang w:val="ru-RU"/>
        </w:rPr>
        <w:t xml:space="preserve"> </w:t>
      </w:r>
      <w:r w:rsidRPr="00C73E3C">
        <w:rPr>
          <w:rFonts w:eastAsia="Times New Roman" w:cs="Arial"/>
          <w:color w:val="000000"/>
          <w:lang w:eastAsia="bg-BG"/>
        </w:rPr>
        <w:t xml:space="preserve">проучване с тъкан от човешки черен дроб показва, че валсартан е субстрат на транспортерите за чернодробно захващане ОАТР1В1/ОАТР1ВЗ и на чернодробния ефлуксен транспортер </w:t>
      </w:r>
      <w:r w:rsidRPr="00C73E3C">
        <w:rPr>
          <w:rFonts w:eastAsia="Times New Roman" w:cs="Arial"/>
          <w:color w:val="000000"/>
          <w:lang w:val="en-US"/>
        </w:rPr>
        <w:t>MRP</w:t>
      </w:r>
      <w:r w:rsidRPr="00C73E3C">
        <w:rPr>
          <w:rFonts w:eastAsia="Times New Roman" w:cs="Arial"/>
          <w:color w:val="000000"/>
          <w:lang w:val="ru-RU"/>
        </w:rPr>
        <w:t xml:space="preserve">2. </w:t>
      </w:r>
      <w:r w:rsidRPr="00C73E3C">
        <w:rPr>
          <w:rFonts w:eastAsia="Times New Roman" w:cs="Arial"/>
          <w:color w:val="000000"/>
          <w:lang w:eastAsia="bg-BG"/>
        </w:rPr>
        <w:t>Едновременното приложение с инхибитори на транспортерите за захващане (например рифампицин, циклоспорин) или на ефлуксния транспортер (например ритонавир) може да повиши системната експозиция на валсартан. Повишено внимание трябва, когато при започване или приключване на такава комбинирана терапия с посочените лекарствени продукти.</w:t>
      </w:r>
    </w:p>
    <w:p w14:paraId="28E9EABB" w14:textId="77777777" w:rsidR="00C73E3C" w:rsidRDefault="00C73E3C" w:rsidP="00C73E3C">
      <w:pPr>
        <w:spacing w:line="240" w:lineRule="auto"/>
        <w:rPr>
          <w:rFonts w:eastAsia="Times New Roman" w:cs="Arial"/>
          <w:color w:val="000000"/>
          <w:u w:val="single"/>
          <w:lang w:eastAsia="bg-BG"/>
        </w:rPr>
      </w:pPr>
    </w:p>
    <w:p w14:paraId="4E8D19A9" w14:textId="397DC48B"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Други</w:t>
      </w:r>
    </w:p>
    <w:p w14:paraId="161E3DDA"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или някое от следните вещества: циметидин, варфарин, фуроземид, дигоксин, атенолол, индометацин, хидрохлоротиазид, амлодипин, глибенкламид.</w:t>
      </w:r>
    </w:p>
    <w:p w14:paraId="6C891426" w14:textId="77777777" w:rsidR="00C73E3C" w:rsidRDefault="00C73E3C" w:rsidP="00C73E3C">
      <w:pPr>
        <w:spacing w:line="240" w:lineRule="auto"/>
        <w:rPr>
          <w:rFonts w:eastAsia="Times New Roman" w:cs="Arial"/>
          <w:color w:val="000000"/>
          <w:u w:val="single"/>
          <w:lang w:eastAsia="bg-BG"/>
        </w:rPr>
      </w:pPr>
    </w:p>
    <w:p w14:paraId="2137A113" w14:textId="30DEC06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Педиатрична популация</w:t>
      </w:r>
    </w:p>
    <w:p w14:paraId="6E2B1750"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При лечение на хипертония при деца и юноши, при които често пъти има и подлежаща бъбречна патология, се препоръчва повишено внимание при едновременно прилагане на валсартан с други вещества, които потискат ренин-ангиотензин-алдостероновата система </w:t>
      </w:r>
      <w:r w:rsidRPr="00C73E3C">
        <w:rPr>
          <w:rFonts w:eastAsia="Times New Roman" w:cs="Arial"/>
          <w:color w:val="000000"/>
          <w:lang w:eastAsia="bg-BG"/>
        </w:rPr>
        <w:lastRenderedPageBreak/>
        <w:t>и могат да доведат до повишаване на нивата на серумния калий. Бъбречната функция и нивата на серумния калий трябва да бъдат внимателно проследявани.</w:t>
      </w:r>
    </w:p>
    <w:p w14:paraId="1280C496" w14:textId="31DCA23B" w:rsidR="00C73E3C" w:rsidRPr="00C73E3C" w:rsidRDefault="00C73E3C" w:rsidP="00C73E3C"/>
    <w:p w14:paraId="394A7584" w14:textId="61D6EDFD" w:rsidR="004F498A" w:rsidRDefault="002C50EE" w:rsidP="004A448E">
      <w:pPr>
        <w:pStyle w:val="Heading2"/>
      </w:pPr>
      <w:r>
        <w:t>4.6. Фертилитет, бременност и кърмене</w:t>
      </w:r>
    </w:p>
    <w:p w14:paraId="0D74EA3D" w14:textId="594AEC24" w:rsidR="00C73E3C" w:rsidRDefault="00C73E3C" w:rsidP="00C73E3C"/>
    <w:tbl>
      <w:tblPr>
        <w:tblStyle w:val="TableGrid"/>
        <w:tblW w:w="0" w:type="auto"/>
        <w:tblLook w:val="04A0" w:firstRow="1" w:lastRow="0" w:firstColumn="1" w:lastColumn="0" w:noHBand="0" w:noVBand="1"/>
      </w:tblPr>
      <w:tblGrid>
        <w:gridCol w:w="9350"/>
      </w:tblGrid>
      <w:tr w:rsidR="00C73E3C" w14:paraId="260BE414" w14:textId="77777777" w:rsidTr="00C73E3C">
        <w:tc>
          <w:tcPr>
            <w:tcW w:w="9576" w:type="dxa"/>
          </w:tcPr>
          <w:p w14:paraId="1EDD2CC9" w14:textId="6DB0ED4C" w:rsidR="00C73E3C" w:rsidRDefault="00C73E3C" w:rsidP="00C73E3C">
            <w:r>
              <w:t xml:space="preserve">Употребата на ангиотензин II рецепторни антагонисти </w:t>
            </w:r>
            <w:r w:rsidRPr="00C73E3C">
              <w:rPr>
                <w:lang w:val="ru-RU"/>
              </w:rPr>
              <w:t>(</w:t>
            </w:r>
            <w:r>
              <w:rPr>
                <w:lang w:val="en-US"/>
              </w:rPr>
              <w:t>AIIRAs</w:t>
            </w:r>
            <w:r w:rsidRPr="00C73E3C">
              <w:rPr>
                <w:lang w:val="ru-RU"/>
              </w:rPr>
              <w:t xml:space="preserve">) </w:t>
            </w:r>
            <w:r>
              <w:t xml:space="preserve">не се препоръчва през първия триместър на бременността (вж. точка 4.4). Употребата на </w:t>
            </w:r>
            <w:r>
              <w:rPr>
                <w:lang w:val="en-US"/>
              </w:rPr>
              <w:t>AIIRAs</w:t>
            </w:r>
            <w:r w:rsidRPr="00C73E3C">
              <w:rPr>
                <w:lang w:val="ru-RU"/>
              </w:rPr>
              <w:t xml:space="preserve"> </w:t>
            </w:r>
            <w:r>
              <w:t>е противопоказана през втория и третия триместър на бременността (вж. точки 4.3 и 4.4).</w:t>
            </w:r>
          </w:p>
        </w:tc>
      </w:tr>
    </w:tbl>
    <w:p w14:paraId="2A5213F2" w14:textId="378C801C" w:rsidR="00C73E3C" w:rsidRDefault="00C73E3C" w:rsidP="00C73E3C"/>
    <w:p w14:paraId="1F267748" w14:textId="77777777" w:rsidR="00C73E3C" w:rsidRPr="00C73E3C" w:rsidRDefault="00C73E3C" w:rsidP="00C73E3C">
      <w:pPr>
        <w:rPr>
          <w:rFonts w:eastAsia="Times New Roman" w:cs="Arial"/>
        </w:rPr>
      </w:pPr>
      <w:r w:rsidRPr="00C73E3C">
        <w:rPr>
          <w:rFonts w:cs="Arial"/>
        </w:rPr>
        <w:t>Епидемиологичните данни за риска от тератогенност след експозиция на АСЕ инхибитори през първия триместър на бременността не са окончателни, независимо от това не може да се изключи леко повишение на риска. Въпреки че няма контролирани епидемиологични данни за риска от ангиотензин II рецепторни антагонисти, подобен риск може да съществува при този клас лекарства. Освен в случай че терапията с ангиотензин II рецепторни антагонисти се преценява като много важна, пациентките, които плануват бременност, трябва да преминат на алтернативно антихипертензивно лечение с доказан профил на безопасност за употре</w:t>
      </w:r>
      <w:r w:rsidRPr="00C73E3C">
        <w:rPr>
          <w:rFonts w:cs="Arial"/>
          <w:u w:val="single"/>
        </w:rPr>
        <w:t xml:space="preserve">ба при </w:t>
      </w:r>
      <w:r w:rsidRPr="00C73E3C">
        <w:rPr>
          <w:rFonts w:cs="Arial"/>
        </w:rPr>
        <w:t>бременност. При установяване на бременност лечението с ангиотензин II рецепторни</w:t>
      </w:r>
      <w:r w:rsidRPr="00C73E3C">
        <w:rPr>
          <w:rFonts w:cs="Arial"/>
          <w:b/>
          <w:bCs/>
        </w:rPr>
        <w:t xml:space="preserve"> </w:t>
      </w:r>
      <w:r w:rsidRPr="00C73E3C">
        <w:rPr>
          <w:rFonts w:cs="Arial"/>
        </w:rPr>
        <w:t xml:space="preserve">антагонисти трябва да се преустанови незабавно и при необходимост да се започне алтернативна терапия. Известно е, че експозицията на терапия с ангиотензин </w:t>
      </w:r>
      <w:r w:rsidRPr="00C73E3C">
        <w:rPr>
          <w:rFonts w:cs="Arial"/>
          <w:lang w:val="en-US"/>
        </w:rPr>
        <w:t>II</w:t>
      </w:r>
      <w:r w:rsidRPr="00C73E3C">
        <w:rPr>
          <w:rFonts w:cs="Arial"/>
          <w:lang w:val="ru-RU"/>
        </w:rPr>
        <w:t xml:space="preserve"> </w:t>
      </w:r>
      <w:r w:rsidRPr="00C73E3C">
        <w:rPr>
          <w:rFonts w:cs="Arial"/>
        </w:rPr>
        <w:t xml:space="preserve">рецепторни антагонисти по време на втория и третия триместър на бременността причинява </w:t>
      </w:r>
      <w:r w:rsidRPr="00C73E3C">
        <w:rPr>
          <w:rFonts w:eastAsia="Times New Roman" w:cs="Arial"/>
          <w:color w:val="000000"/>
          <w:lang w:eastAsia="bg-BG"/>
        </w:rPr>
        <w:t>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(вижте също точка 5.3 "Предклинични данни за безопасност").</w:t>
      </w:r>
    </w:p>
    <w:p w14:paraId="21BAD08A"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 случай на експозиция на ангиотензин II рецепторни антагонисти след втория триместър на бременността се препоръчва ултразвукова проверка на бъбречната функция и черепа.</w:t>
      </w:r>
    </w:p>
    <w:p w14:paraId="16DEFE46"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Новородени, чиито майки са приемали ангиотензин II рецепторни антагонисти, трябва да бъдат внимателно наблюдавани за хипотония (вж. също точки 4.3 и 4.4).</w:t>
      </w:r>
    </w:p>
    <w:p w14:paraId="6F71AC52" w14:textId="77777777" w:rsidR="00C73E3C" w:rsidRDefault="00C73E3C" w:rsidP="00C73E3C">
      <w:pPr>
        <w:spacing w:line="240" w:lineRule="auto"/>
        <w:rPr>
          <w:rFonts w:eastAsia="Times New Roman" w:cs="Arial"/>
          <w:color w:val="000000"/>
          <w:u w:val="single"/>
          <w:lang w:eastAsia="bg-BG"/>
        </w:rPr>
      </w:pPr>
    </w:p>
    <w:p w14:paraId="03CD897E" w14:textId="78C66DDD" w:rsidR="00C73E3C" w:rsidRPr="00C73E3C" w:rsidRDefault="00C73E3C" w:rsidP="00C73E3C">
      <w:pPr>
        <w:pStyle w:val="Heading3"/>
        <w:rPr>
          <w:rFonts w:eastAsia="Times New Roman"/>
          <w:u w:val="single"/>
        </w:rPr>
      </w:pPr>
      <w:r w:rsidRPr="00C73E3C">
        <w:rPr>
          <w:rFonts w:eastAsia="Times New Roman"/>
          <w:u w:val="single"/>
          <w:lang w:eastAsia="bg-BG"/>
        </w:rPr>
        <w:t>Кърмене</w:t>
      </w:r>
    </w:p>
    <w:p w14:paraId="7F2053E0"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Поради липсата на данни относно употребата на валсартан по време на кърмене приемът на валсартан не се препоръчва, а се предпочита алтернативно лечение с по-добре установен профил на безопасност по време на кърмене, особено при кърмене на новородено или недоносено бебе.</w:t>
      </w:r>
    </w:p>
    <w:p w14:paraId="72E20520" w14:textId="77777777" w:rsidR="00C73E3C" w:rsidRDefault="00C73E3C" w:rsidP="00C73E3C">
      <w:pPr>
        <w:spacing w:line="240" w:lineRule="auto"/>
        <w:rPr>
          <w:rFonts w:eastAsia="Times New Roman" w:cs="Arial"/>
          <w:color w:val="000000"/>
          <w:u w:val="single"/>
          <w:lang w:eastAsia="bg-BG"/>
        </w:rPr>
      </w:pPr>
    </w:p>
    <w:p w14:paraId="163EC5EB" w14:textId="76ECBB80" w:rsidR="00C73E3C" w:rsidRPr="00C73E3C" w:rsidRDefault="00C73E3C" w:rsidP="00C73E3C">
      <w:pPr>
        <w:pStyle w:val="Heading3"/>
        <w:rPr>
          <w:rFonts w:eastAsia="Times New Roman"/>
          <w:u w:val="single"/>
        </w:rPr>
      </w:pPr>
      <w:r w:rsidRPr="00C73E3C">
        <w:rPr>
          <w:rFonts w:eastAsia="Times New Roman"/>
          <w:u w:val="single"/>
          <w:lang w:eastAsia="bg-BG"/>
        </w:rPr>
        <w:t>Фертилитет</w:t>
      </w:r>
    </w:p>
    <w:p w14:paraId="013B807F"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C73E3C">
        <w:rPr>
          <w:rFonts w:eastAsia="Times New Roman" w:cs="Arial"/>
          <w:color w:val="000000"/>
          <w:lang w:val="en-US"/>
        </w:rPr>
        <w:t>mg</w:t>
      </w:r>
      <w:r w:rsidRPr="00C73E3C">
        <w:rPr>
          <w:rFonts w:eastAsia="Times New Roman" w:cs="Arial"/>
          <w:color w:val="000000"/>
          <w:lang w:val="ru-RU"/>
        </w:rPr>
        <w:t>/</w:t>
      </w:r>
      <w:r w:rsidRPr="00C73E3C">
        <w:rPr>
          <w:rFonts w:eastAsia="Times New Roman" w:cs="Arial"/>
          <w:color w:val="000000"/>
          <w:lang w:val="en-US"/>
        </w:rPr>
        <w:t>kg</w:t>
      </w:r>
      <w:r w:rsidRPr="00C73E3C">
        <w:rPr>
          <w:rFonts w:eastAsia="Times New Roman" w:cs="Arial"/>
          <w:color w:val="000000"/>
          <w:lang w:eastAsia="bg-BG"/>
        </w:rPr>
        <w:t xml:space="preserve">/ден. Тази доза е 6 пъти по-висока от максималната препоръчвана доза при хора определена на база </w:t>
      </w:r>
      <w:r w:rsidRPr="00C73E3C">
        <w:rPr>
          <w:rFonts w:eastAsia="Times New Roman" w:cs="Arial"/>
          <w:color w:val="000000"/>
          <w:lang w:val="en-US"/>
        </w:rPr>
        <w:t>mg</w:t>
      </w:r>
      <w:r w:rsidRPr="00C73E3C">
        <w:rPr>
          <w:rFonts w:eastAsia="Times New Roman" w:cs="Arial"/>
          <w:color w:val="000000"/>
          <w:lang w:val="ru-RU"/>
        </w:rPr>
        <w:t>/</w:t>
      </w:r>
      <w:r w:rsidRPr="00C73E3C">
        <w:rPr>
          <w:rFonts w:eastAsia="Times New Roman" w:cs="Arial"/>
          <w:color w:val="000000"/>
          <w:lang w:val="en-US"/>
        </w:rPr>
        <w:t>m</w:t>
      </w:r>
      <w:r w:rsidRPr="00C73E3C">
        <w:rPr>
          <w:rFonts w:eastAsia="Times New Roman" w:cs="Arial"/>
          <w:color w:val="000000"/>
          <w:lang w:val="ru-RU"/>
        </w:rPr>
        <w:t xml:space="preserve"> </w:t>
      </w:r>
      <w:r w:rsidRPr="00C73E3C">
        <w:rPr>
          <w:rFonts w:eastAsia="Times New Roman" w:cs="Arial"/>
          <w:color w:val="000000"/>
          <w:lang w:eastAsia="bg-BG"/>
        </w:rPr>
        <w:t xml:space="preserve">(изчислението е за перорална доза от 320 </w:t>
      </w:r>
      <w:r w:rsidRPr="00C73E3C">
        <w:rPr>
          <w:rFonts w:eastAsia="Times New Roman" w:cs="Arial"/>
          <w:color w:val="000000"/>
          <w:lang w:val="en-US"/>
        </w:rPr>
        <w:t>mg</w:t>
      </w:r>
      <w:r w:rsidRPr="00C73E3C">
        <w:rPr>
          <w:rFonts w:eastAsia="Times New Roman" w:cs="Arial"/>
          <w:color w:val="000000"/>
          <w:lang w:eastAsia="bg-BG"/>
        </w:rPr>
        <w:t>/ден и 60-килограмов пациент).</w:t>
      </w:r>
    </w:p>
    <w:p w14:paraId="241B839F" w14:textId="29BB6213" w:rsidR="00C73E3C" w:rsidRPr="00C73E3C" w:rsidRDefault="00C73E3C" w:rsidP="00C73E3C"/>
    <w:p w14:paraId="064DF1DE" w14:textId="63EB7E8E" w:rsidR="00CF77F7" w:rsidRDefault="002C50EE" w:rsidP="004A448E">
      <w:pPr>
        <w:pStyle w:val="Heading2"/>
      </w:pPr>
      <w:r>
        <w:t>4.7. Ефекти върху способността за шофиране и работа с машини</w:t>
      </w:r>
    </w:p>
    <w:p w14:paraId="5C62F702" w14:textId="5BAAF75E" w:rsidR="00C73E3C" w:rsidRDefault="00C73E3C" w:rsidP="00C73E3C"/>
    <w:p w14:paraId="797216A9" w14:textId="77777777" w:rsidR="00C73E3C" w:rsidRPr="00C73E3C" w:rsidRDefault="00C73E3C" w:rsidP="00C73E3C">
      <w:pPr>
        <w:spacing w:line="240" w:lineRule="auto"/>
        <w:rPr>
          <w:rFonts w:ascii="Times New Roman" w:eastAsia="Times New Roman" w:hAnsi="Times New Roman" w:cs="Times New Roman"/>
          <w:sz w:val="24"/>
          <w:szCs w:val="24"/>
        </w:rPr>
      </w:pPr>
      <w:r w:rsidRPr="00C73E3C">
        <w:rPr>
          <w:lang w:eastAsia="bg-BG"/>
        </w:rPr>
        <w:t>Не са провеждани проучвания за ефектите върху способността за шофиране. Трябва да се има</w:t>
      </w:r>
      <w:r w:rsidRPr="00C73E3C">
        <w:rPr>
          <w:rFonts w:ascii="Times New Roman" w:eastAsia="Times New Roman" w:hAnsi="Times New Roman" w:cs="Times New Roman"/>
          <w:color w:val="000000"/>
          <w:sz w:val="42"/>
          <w:szCs w:val="42"/>
          <w:lang w:eastAsia="bg-BG"/>
        </w:rPr>
        <w:t xml:space="preserve"> </w:t>
      </w:r>
      <w:r w:rsidRPr="00C73E3C">
        <w:rPr>
          <w:lang w:eastAsia="bg-BG"/>
        </w:rPr>
        <w:t>предвид, че при шофиране и работа с машини е възможно понякога да настъпят замаяност и умора</w:t>
      </w:r>
    </w:p>
    <w:p w14:paraId="48E0C3B7" w14:textId="77777777" w:rsidR="00C73E3C" w:rsidRPr="00C73E3C" w:rsidRDefault="00C73E3C" w:rsidP="00C73E3C"/>
    <w:p w14:paraId="37A3FD9F" w14:textId="28DC37D3" w:rsidR="00CF77F7" w:rsidRDefault="002C50EE" w:rsidP="004A448E">
      <w:pPr>
        <w:pStyle w:val="Heading2"/>
      </w:pPr>
      <w:r>
        <w:lastRenderedPageBreak/>
        <w:t>4.8. Нежелани лекарствени реакции</w:t>
      </w:r>
    </w:p>
    <w:p w14:paraId="235658D2" w14:textId="429A287C" w:rsidR="00C73E3C" w:rsidRDefault="00C73E3C" w:rsidP="00C73E3C"/>
    <w:p w14:paraId="60B31327"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В контролирани клинични проучвания при пациенти с хипертония общата честота на нежелани реакции (НЛР) е сравнима с тази при плацебо и е в съгласие с фармакологичния профил на валсартан. Честотата на НЛР не е свързана с дозата или продължителността на лечението, а също така не показва връзка с пола, възрастта или расата.</w:t>
      </w:r>
    </w:p>
    <w:p w14:paraId="50F2A3C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Основани на клинични проучвания, посг-маркегингов опит и лабораторни резултати НЛР са изброени по-долу съгласно системо-органната класификация.</w:t>
      </w:r>
    </w:p>
    <w:p w14:paraId="77F58FFA" w14:textId="77777777" w:rsidR="00C73E3C" w:rsidRDefault="00C73E3C" w:rsidP="00C73E3C">
      <w:pPr>
        <w:spacing w:line="240" w:lineRule="auto"/>
        <w:rPr>
          <w:rFonts w:eastAsia="Times New Roman" w:cs="Arial"/>
          <w:color w:val="000000"/>
          <w:lang w:eastAsia="bg-BG"/>
        </w:rPr>
      </w:pPr>
    </w:p>
    <w:p w14:paraId="0782A0C7" w14:textId="42C418BB" w:rsidR="00C73E3C" w:rsidRPr="00C73E3C" w:rsidRDefault="00C73E3C" w:rsidP="00C73E3C">
      <w:pPr>
        <w:spacing w:line="240" w:lineRule="auto"/>
        <w:rPr>
          <w:rFonts w:eastAsia="Times New Roman" w:cs="Arial"/>
        </w:rPr>
      </w:pPr>
      <w:r w:rsidRPr="00C73E3C">
        <w:rPr>
          <w:rFonts w:eastAsia="Times New Roman" w:cs="Arial"/>
          <w:color w:val="000000"/>
          <w:lang w:eastAsia="bg-BG"/>
        </w:rPr>
        <w:t>Нежеланите реакции са подредени по честота, като най-честите са първи, според следната конвенция:</w:t>
      </w:r>
    </w:p>
    <w:p w14:paraId="24D4E0DC" w14:textId="77777777" w:rsidR="00C73E3C" w:rsidRDefault="00C73E3C" w:rsidP="00C73E3C">
      <w:pPr>
        <w:spacing w:line="240" w:lineRule="auto"/>
        <w:rPr>
          <w:rFonts w:eastAsia="Times New Roman" w:cs="Arial"/>
          <w:color w:val="000000"/>
          <w:lang w:eastAsia="bg-BG"/>
        </w:rPr>
      </w:pPr>
    </w:p>
    <w:p w14:paraId="395EB9B3" w14:textId="22A1660E" w:rsidR="00C73E3C" w:rsidRPr="00C73E3C" w:rsidRDefault="00C73E3C" w:rsidP="00C73E3C">
      <w:pPr>
        <w:spacing w:line="240" w:lineRule="auto"/>
        <w:rPr>
          <w:rFonts w:eastAsia="Times New Roman" w:cs="Arial"/>
        </w:rPr>
      </w:pPr>
      <w:r w:rsidRPr="00C73E3C">
        <w:rPr>
          <w:rFonts w:eastAsia="Times New Roman" w:cs="Arial"/>
          <w:color w:val="000000"/>
          <w:lang w:eastAsia="bg-BG"/>
        </w:rPr>
        <w:t>Много чести (&gt;1/10)</w:t>
      </w:r>
    </w:p>
    <w:p w14:paraId="0206E5D7"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Чести (&gt;1/100 до&lt;1/10)</w:t>
      </w:r>
    </w:p>
    <w:p w14:paraId="5DAC2C77"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Нечести (&gt;1/1 000 до &lt;1/100)</w:t>
      </w:r>
    </w:p>
    <w:p w14:paraId="3132B663"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Редки (&gt;1/10 000 до &lt;1/1 000)</w:t>
      </w:r>
    </w:p>
    <w:p w14:paraId="018BC6B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Много редки (&lt;1/10 000), включително отделни съобщения.</w:t>
      </w:r>
    </w:p>
    <w:p w14:paraId="6A5215C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С неизвестна честота: от наличните данни не може да бъде направена оценка.</w:t>
      </w:r>
    </w:p>
    <w:p w14:paraId="76DB36C0" w14:textId="77777777" w:rsidR="00C73E3C" w:rsidRDefault="00C73E3C" w:rsidP="00C73E3C">
      <w:pPr>
        <w:spacing w:line="240" w:lineRule="auto"/>
        <w:rPr>
          <w:rFonts w:eastAsia="Times New Roman" w:cs="Arial"/>
          <w:color w:val="000000"/>
          <w:lang w:eastAsia="bg-BG"/>
        </w:rPr>
      </w:pPr>
    </w:p>
    <w:p w14:paraId="6A1AEE00" w14:textId="15C30D20"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62978D4"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За всички НЛР, съобщени от постмаркетинговия опит и лабораторните находки, не е възможно да се приложи никоя честота на НЛР и поради това те са упоменати с "неизвестна" честота.</w:t>
      </w:r>
    </w:p>
    <w:p w14:paraId="07FD48C3" w14:textId="77777777" w:rsidR="00C73E3C" w:rsidRDefault="00C73E3C" w:rsidP="00C73E3C">
      <w:pPr>
        <w:spacing w:line="240" w:lineRule="auto"/>
        <w:rPr>
          <w:rFonts w:eastAsia="Times New Roman" w:cs="Arial"/>
          <w:color w:val="000000"/>
          <w:lang w:eastAsia="bg-BG"/>
        </w:rPr>
      </w:pPr>
    </w:p>
    <w:p w14:paraId="200D160A" w14:textId="65D06D48" w:rsidR="00C73E3C" w:rsidRPr="00C73E3C" w:rsidRDefault="00C73E3C" w:rsidP="00C73E3C">
      <w:pPr>
        <w:pStyle w:val="ListParagraph"/>
        <w:numPr>
          <w:ilvl w:val="0"/>
          <w:numId w:val="37"/>
        </w:numPr>
        <w:spacing w:line="240" w:lineRule="auto"/>
        <w:rPr>
          <w:rFonts w:eastAsia="Times New Roman" w:cs="Arial"/>
        </w:rPr>
      </w:pPr>
      <w:r w:rsidRPr="00C73E3C">
        <w:rPr>
          <w:rFonts w:eastAsia="Times New Roman" w:cs="Arial"/>
          <w:color w:val="000000"/>
          <w:u w:val="single"/>
          <w:lang w:eastAsia="bg-BG"/>
        </w:rPr>
        <w:t>Хипертония</w:t>
      </w:r>
    </w:p>
    <w:p w14:paraId="2F0FFFBB" w14:textId="0F4CF265" w:rsidR="00C73E3C" w:rsidRDefault="00C73E3C" w:rsidP="00C73E3C"/>
    <w:tbl>
      <w:tblPr>
        <w:tblStyle w:val="TableGrid"/>
        <w:tblW w:w="0" w:type="auto"/>
        <w:tblLook w:val="04A0" w:firstRow="1" w:lastRow="0" w:firstColumn="1" w:lastColumn="0" w:noHBand="0" w:noVBand="1"/>
      </w:tblPr>
      <w:tblGrid>
        <w:gridCol w:w="3115"/>
        <w:gridCol w:w="3087"/>
        <w:gridCol w:w="3148"/>
      </w:tblGrid>
      <w:tr w:rsidR="00C73E3C" w14:paraId="289746AE" w14:textId="77777777" w:rsidTr="00C73E3C">
        <w:tc>
          <w:tcPr>
            <w:tcW w:w="3192" w:type="dxa"/>
            <w:vAlign w:val="bottom"/>
          </w:tcPr>
          <w:p w14:paraId="6BDA5E91" w14:textId="08CAF047" w:rsidR="00C73E3C" w:rsidRPr="00C73E3C" w:rsidRDefault="00C73E3C" w:rsidP="00C73E3C">
            <w:r w:rsidRPr="00C73E3C">
              <w:rPr>
                <w:b/>
                <w:bCs/>
              </w:rPr>
              <w:t>Система/орган</w:t>
            </w:r>
          </w:p>
        </w:tc>
        <w:tc>
          <w:tcPr>
            <w:tcW w:w="3192" w:type="dxa"/>
            <w:vAlign w:val="bottom"/>
          </w:tcPr>
          <w:p w14:paraId="336AD03F" w14:textId="6C707CA0" w:rsidR="00C73E3C" w:rsidRPr="00C73E3C" w:rsidRDefault="00C73E3C" w:rsidP="00C73E3C">
            <w:r w:rsidRPr="00C73E3C">
              <w:rPr>
                <w:b/>
                <w:bCs/>
              </w:rPr>
              <w:t>Нечести</w:t>
            </w:r>
          </w:p>
        </w:tc>
        <w:tc>
          <w:tcPr>
            <w:tcW w:w="3192" w:type="dxa"/>
            <w:vAlign w:val="bottom"/>
          </w:tcPr>
          <w:p w14:paraId="23C3C633" w14:textId="326A061B" w:rsidR="00C73E3C" w:rsidRPr="00C73E3C" w:rsidRDefault="00C73E3C" w:rsidP="00C73E3C">
            <w:r w:rsidRPr="00C73E3C">
              <w:rPr>
                <w:b/>
                <w:bCs/>
              </w:rPr>
              <w:t>С неизвестна честота</w:t>
            </w:r>
          </w:p>
        </w:tc>
      </w:tr>
      <w:tr w:rsidR="00C73E3C" w14:paraId="35466ED6" w14:textId="77777777" w:rsidTr="00C73E3C">
        <w:tc>
          <w:tcPr>
            <w:tcW w:w="3192" w:type="dxa"/>
          </w:tcPr>
          <w:p w14:paraId="4E7F44DF" w14:textId="2878F694" w:rsidR="00C73E3C" w:rsidRPr="00C73E3C" w:rsidRDefault="00C73E3C" w:rsidP="00C73E3C">
            <w:r w:rsidRPr="00C73E3C">
              <w:rPr>
                <w:b/>
                <w:bCs/>
              </w:rPr>
              <w:t>Нарушения на кръвта и лимфната система</w:t>
            </w:r>
          </w:p>
        </w:tc>
        <w:tc>
          <w:tcPr>
            <w:tcW w:w="3192" w:type="dxa"/>
          </w:tcPr>
          <w:p w14:paraId="0381F9AE" w14:textId="77777777" w:rsidR="00C73E3C" w:rsidRPr="00C73E3C" w:rsidRDefault="00C73E3C" w:rsidP="00C73E3C"/>
        </w:tc>
        <w:tc>
          <w:tcPr>
            <w:tcW w:w="3192" w:type="dxa"/>
            <w:vAlign w:val="bottom"/>
          </w:tcPr>
          <w:p w14:paraId="43984B28" w14:textId="77777777" w:rsidR="00C73E3C" w:rsidRPr="00C73E3C" w:rsidRDefault="00C73E3C" w:rsidP="00C73E3C">
            <w:r w:rsidRPr="00C73E3C">
              <w:t>Понижен хемоглобин, понижен хематокрит неутропения,</w:t>
            </w:r>
          </w:p>
          <w:p w14:paraId="2C543372" w14:textId="44880AA2" w:rsidR="00C73E3C" w:rsidRPr="00C73E3C" w:rsidRDefault="00C73E3C" w:rsidP="00C73E3C">
            <w:r w:rsidRPr="00C73E3C">
              <w:t>тромбоцетопения</w:t>
            </w:r>
          </w:p>
        </w:tc>
      </w:tr>
      <w:tr w:rsidR="00C73E3C" w14:paraId="68DBB73B" w14:textId="77777777" w:rsidTr="00C73E3C">
        <w:tc>
          <w:tcPr>
            <w:tcW w:w="3192" w:type="dxa"/>
          </w:tcPr>
          <w:p w14:paraId="6A16DA16" w14:textId="52628E82" w:rsidR="00C73E3C" w:rsidRPr="00C73E3C" w:rsidRDefault="00C73E3C" w:rsidP="00C73E3C">
            <w:r w:rsidRPr="00C73E3C">
              <w:rPr>
                <w:b/>
                <w:bCs/>
              </w:rPr>
              <w:t>Нарушения на имунната система</w:t>
            </w:r>
          </w:p>
        </w:tc>
        <w:tc>
          <w:tcPr>
            <w:tcW w:w="3192" w:type="dxa"/>
          </w:tcPr>
          <w:p w14:paraId="09B96FBD" w14:textId="77777777" w:rsidR="00C73E3C" w:rsidRPr="00C73E3C" w:rsidRDefault="00C73E3C" w:rsidP="00C73E3C"/>
        </w:tc>
        <w:tc>
          <w:tcPr>
            <w:tcW w:w="3192" w:type="dxa"/>
          </w:tcPr>
          <w:p w14:paraId="2A004ECC" w14:textId="2A01E06D" w:rsidR="00C73E3C" w:rsidRPr="00C73E3C" w:rsidRDefault="00C73E3C" w:rsidP="00C73E3C">
            <w:r w:rsidRPr="00C73E3C">
              <w:t>Свръхчувствителност, включително серумна болест</w:t>
            </w:r>
          </w:p>
        </w:tc>
      </w:tr>
      <w:tr w:rsidR="00C73E3C" w14:paraId="72CE1D51" w14:textId="77777777" w:rsidTr="00C73E3C">
        <w:tc>
          <w:tcPr>
            <w:tcW w:w="3192" w:type="dxa"/>
          </w:tcPr>
          <w:p w14:paraId="50114B71" w14:textId="250B8F37" w:rsidR="00C73E3C" w:rsidRPr="00C73E3C" w:rsidRDefault="00C73E3C" w:rsidP="00C73E3C">
            <w:r w:rsidRPr="00C73E3C">
              <w:rPr>
                <w:b/>
                <w:bCs/>
              </w:rPr>
              <w:t>Нарушения на метаболизма и храненето</w:t>
            </w:r>
          </w:p>
        </w:tc>
        <w:tc>
          <w:tcPr>
            <w:tcW w:w="3192" w:type="dxa"/>
          </w:tcPr>
          <w:p w14:paraId="4288154D" w14:textId="77777777" w:rsidR="00C73E3C" w:rsidRPr="00C73E3C" w:rsidRDefault="00C73E3C" w:rsidP="00C73E3C"/>
        </w:tc>
        <w:tc>
          <w:tcPr>
            <w:tcW w:w="3192" w:type="dxa"/>
          </w:tcPr>
          <w:p w14:paraId="4781EDBF" w14:textId="7F4E01B7" w:rsidR="00C73E3C" w:rsidRPr="00C73E3C" w:rsidRDefault="00C73E3C" w:rsidP="00C73E3C">
            <w:r>
              <w:t xml:space="preserve">Повишен </w:t>
            </w:r>
            <w:r w:rsidRPr="00C73E3C">
              <w:t>серумен</w:t>
            </w:r>
          </w:p>
          <w:p w14:paraId="79A61059" w14:textId="5E8A9E23" w:rsidR="00C73E3C" w:rsidRPr="00C73E3C" w:rsidRDefault="00C73E3C" w:rsidP="00C73E3C">
            <w:r w:rsidRPr="00C73E3C">
              <w:t>калий, хипонатриемия</w:t>
            </w:r>
          </w:p>
        </w:tc>
      </w:tr>
      <w:tr w:rsidR="00C73E3C" w14:paraId="78C1D30C" w14:textId="77777777" w:rsidTr="00C73E3C">
        <w:tc>
          <w:tcPr>
            <w:tcW w:w="3192" w:type="dxa"/>
          </w:tcPr>
          <w:p w14:paraId="68479759" w14:textId="06E1982F" w:rsidR="00C73E3C" w:rsidRPr="00C73E3C" w:rsidRDefault="00C73E3C" w:rsidP="00C73E3C">
            <w:r w:rsidRPr="00C73E3C">
              <w:rPr>
                <w:b/>
                <w:bCs/>
              </w:rPr>
              <w:t>Нарушения на ухото и лабиринта</w:t>
            </w:r>
          </w:p>
        </w:tc>
        <w:tc>
          <w:tcPr>
            <w:tcW w:w="3192" w:type="dxa"/>
          </w:tcPr>
          <w:p w14:paraId="1D8612F7" w14:textId="1797F308" w:rsidR="00C73E3C" w:rsidRPr="00C73E3C" w:rsidRDefault="00C73E3C" w:rsidP="00C73E3C">
            <w:r w:rsidRPr="00C73E3C">
              <w:t>Световъртеж</w:t>
            </w:r>
          </w:p>
        </w:tc>
        <w:tc>
          <w:tcPr>
            <w:tcW w:w="3192" w:type="dxa"/>
          </w:tcPr>
          <w:p w14:paraId="3B925B35" w14:textId="77777777" w:rsidR="00C73E3C" w:rsidRPr="00C73E3C" w:rsidRDefault="00C73E3C" w:rsidP="00C73E3C"/>
        </w:tc>
      </w:tr>
      <w:tr w:rsidR="00C73E3C" w14:paraId="5547EFC1" w14:textId="77777777" w:rsidTr="00C73E3C">
        <w:tc>
          <w:tcPr>
            <w:tcW w:w="3192" w:type="dxa"/>
          </w:tcPr>
          <w:p w14:paraId="3ECA688C" w14:textId="3B5336F9" w:rsidR="00C73E3C" w:rsidRPr="00C73E3C" w:rsidRDefault="00C73E3C" w:rsidP="00C73E3C">
            <w:r w:rsidRPr="00C73E3C">
              <w:rPr>
                <w:b/>
                <w:bCs/>
              </w:rPr>
              <w:t>Съдови нарушения</w:t>
            </w:r>
          </w:p>
        </w:tc>
        <w:tc>
          <w:tcPr>
            <w:tcW w:w="3192" w:type="dxa"/>
          </w:tcPr>
          <w:p w14:paraId="76199FFE" w14:textId="320C2B77" w:rsidR="00C73E3C" w:rsidRPr="00C73E3C" w:rsidRDefault="00C73E3C" w:rsidP="00C73E3C"/>
        </w:tc>
        <w:tc>
          <w:tcPr>
            <w:tcW w:w="3192" w:type="dxa"/>
          </w:tcPr>
          <w:p w14:paraId="501BCB02" w14:textId="3BF77AD3" w:rsidR="00C73E3C" w:rsidRPr="00C73E3C" w:rsidRDefault="00C73E3C" w:rsidP="00C73E3C">
            <w:r w:rsidRPr="00C73E3C">
              <w:t>Васкулит</w:t>
            </w:r>
          </w:p>
        </w:tc>
      </w:tr>
      <w:tr w:rsidR="00C73E3C" w14:paraId="45767B43" w14:textId="77777777" w:rsidTr="00C73E3C">
        <w:tc>
          <w:tcPr>
            <w:tcW w:w="3192" w:type="dxa"/>
          </w:tcPr>
          <w:p w14:paraId="43C5ABC2" w14:textId="202FC879" w:rsidR="00C73E3C" w:rsidRPr="00C73E3C" w:rsidRDefault="00C73E3C" w:rsidP="00C73E3C">
            <w:r w:rsidRPr="00C73E3C">
              <w:rPr>
                <w:b/>
                <w:bCs/>
              </w:rPr>
              <w:t>Респираторни, гръдни и медиастинални нарушения</w:t>
            </w:r>
          </w:p>
        </w:tc>
        <w:tc>
          <w:tcPr>
            <w:tcW w:w="3192" w:type="dxa"/>
          </w:tcPr>
          <w:p w14:paraId="115B19DB" w14:textId="642A8FF0" w:rsidR="00C73E3C" w:rsidRPr="00C73E3C" w:rsidRDefault="00C73E3C" w:rsidP="00C73E3C">
            <w:r w:rsidRPr="00C73E3C">
              <w:t>Кашлица</w:t>
            </w:r>
          </w:p>
        </w:tc>
        <w:tc>
          <w:tcPr>
            <w:tcW w:w="3192" w:type="dxa"/>
          </w:tcPr>
          <w:p w14:paraId="6EFB9B02" w14:textId="77777777" w:rsidR="00C73E3C" w:rsidRPr="00C73E3C" w:rsidRDefault="00C73E3C" w:rsidP="00C73E3C"/>
        </w:tc>
      </w:tr>
      <w:tr w:rsidR="00C73E3C" w14:paraId="0D09A111" w14:textId="77777777" w:rsidTr="00C73E3C">
        <w:tc>
          <w:tcPr>
            <w:tcW w:w="3192" w:type="dxa"/>
          </w:tcPr>
          <w:p w14:paraId="6D638397" w14:textId="4FE0DD0D" w:rsidR="00C73E3C" w:rsidRPr="00C73E3C" w:rsidRDefault="00C73E3C" w:rsidP="00C73E3C">
            <w:r w:rsidRPr="00C73E3C">
              <w:rPr>
                <w:b/>
                <w:bCs/>
              </w:rPr>
              <w:t>Стомашно-чревни нарушения</w:t>
            </w:r>
          </w:p>
        </w:tc>
        <w:tc>
          <w:tcPr>
            <w:tcW w:w="3192" w:type="dxa"/>
          </w:tcPr>
          <w:p w14:paraId="1DBC3849" w14:textId="008D2706" w:rsidR="00C73E3C" w:rsidRPr="00C73E3C" w:rsidRDefault="00C73E3C" w:rsidP="00C73E3C">
            <w:r w:rsidRPr="00C73E3C">
              <w:t>Коремна болка</w:t>
            </w:r>
          </w:p>
        </w:tc>
        <w:tc>
          <w:tcPr>
            <w:tcW w:w="3192" w:type="dxa"/>
          </w:tcPr>
          <w:p w14:paraId="58C808E2" w14:textId="77777777" w:rsidR="00C73E3C" w:rsidRPr="00C73E3C" w:rsidRDefault="00C73E3C" w:rsidP="00C73E3C"/>
        </w:tc>
      </w:tr>
      <w:tr w:rsidR="00C73E3C" w14:paraId="169677FD" w14:textId="77777777" w:rsidTr="00C73E3C">
        <w:tc>
          <w:tcPr>
            <w:tcW w:w="3192" w:type="dxa"/>
          </w:tcPr>
          <w:p w14:paraId="4574D048" w14:textId="70E59C7B" w:rsidR="00C73E3C" w:rsidRPr="00C73E3C" w:rsidRDefault="00C73E3C" w:rsidP="00C73E3C">
            <w:r w:rsidRPr="00C73E3C">
              <w:rPr>
                <w:b/>
                <w:bCs/>
              </w:rPr>
              <w:t>Хепато-билиарни нарушения</w:t>
            </w:r>
          </w:p>
        </w:tc>
        <w:tc>
          <w:tcPr>
            <w:tcW w:w="3192" w:type="dxa"/>
          </w:tcPr>
          <w:p w14:paraId="2D674275" w14:textId="77777777" w:rsidR="00C73E3C" w:rsidRPr="00C73E3C" w:rsidRDefault="00C73E3C" w:rsidP="00C73E3C"/>
        </w:tc>
        <w:tc>
          <w:tcPr>
            <w:tcW w:w="3192" w:type="dxa"/>
          </w:tcPr>
          <w:p w14:paraId="33B10A7A" w14:textId="60502D42" w:rsidR="00C73E3C" w:rsidRPr="00C73E3C" w:rsidRDefault="00C73E3C" w:rsidP="00C73E3C">
            <w:r>
              <w:t xml:space="preserve">Повишение </w:t>
            </w:r>
            <w:r w:rsidRPr="00C73E3C">
              <w:t>на</w:t>
            </w:r>
          </w:p>
          <w:p w14:paraId="29EBC476" w14:textId="77777777" w:rsidR="00C73E3C" w:rsidRPr="00C73E3C" w:rsidRDefault="00C73E3C" w:rsidP="00C73E3C">
            <w:r w:rsidRPr="00C73E3C">
              <w:t>показателите</w:t>
            </w:r>
            <w:r w:rsidRPr="00C73E3C">
              <w:tab/>
              <w:t>за</w:t>
            </w:r>
          </w:p>
          <w:p w14:paraId="6D6D5659" w14:textId="54DCAA0C" w:rsidR="00C73E3C" w:rsidRPr="00C73E3C" w:rsidRDefault="00C73E3C" w:rsidP="00C73E3C">
            <w:r w:rsidRPr="00C73E3C">
              <w:lastRenderedPageBreak/>
              <w:t>чернодробна функция, включително повишаване на серумния билирубин</w:t>
            </w:r>
          </w:p>
        </w:tc>
      </w:tr>
      <w:tr w:rsidR="00C73E3C" w14:paraId="7DDECA5C" w14:textId="77777777" w:rsidTr="00C73E3C">
        <w:tc>
          <w:tcPr>
            <w:tcW w:w="3192" w:type="dxa"/>
          </w:tcPr>
          <w:p w14:paraId="2585EEDE" w14:textId="30747DA1" w:rsidR="00C73E3C" w:rsidRPr="00C73E3C" w:rsidRDefault="00C73E3C" w:rsidP="00C73E3C">
            <w:r w:rsidRPr="00C73E3C">
              <w:rPr>
                <w:b/>
                <w:bCs/>
              </w:rPr>
              <w:lastRenderedPageBreak/>
              <w:t>Нарушения на кожата и подкожната тъкан</w:t>
            </w:r>
          </w:p>
        </w:tc>
        <w:tc>
          <w:tcPr>
            <w:tcW w:w="3192" w:type="dxa"/>
          </w:tcPr>
          <w:p w14:paraId="1E2978D7" w14:textId="77777777" w:rsidR="00C73E3C" w:rsidRPr="00C73E3C" w:rsidRDefault="00C73E3C" w:rsidP="00C73E3C"/>
        </w:tc>
        <w:tc>
          <w:tcPr>
            <w:tcW w:w="3192" w:type="dxa"/>
          </w:tcPr>
          <w:p w14:paraId="380DA0CE" w14:textId="00045937" w:rsidR="00C73E3C" w:rsidRPr="00C73E3C" w:rsidRDefault="00C73E3C" w:rsidP="00C73E3C">
            <w:r w:rsidRPr="00C73E3C">
              <w:t>Ангиоедем, булозен дерматит, обрив, сърбеж</w:t>
            </w:r>
          </w:p>
        </w:tc>
      </w:tr>
      <w:tr w:rsidR="00C73E3C" w14:paraId="2CD68980" w14:textId="77777777" w:rsidTr="00C73E3C">
        <w:tc>
          <w:tcPr>
            <w:tcW w:w="3192" w:type="dxa"/>
          </w:tcPr>
          <w:p w14:paraId="67062F38" w14:textId="41DF50A6" w:rsidR="00C73E3C" w:rsidRPr="00C73E3C" w:rsidRDefault="00C73E3C" w:rsidP="00C73E3C">
            <w:r w:rsidRPr="00C73E3C">
              <w:rPr>
                <w:b/>
                <w:bCs/>
              </w:rPr>
              <w:t>Нарушения на мускулно- скелетната система и съединителната тъкан</w:t>
            </w:r>
          </w:p>
        </w:tc>
        <w:tc>
          <w:tcPr>
            <w:tcW w:w="3192" w:type="dxa"/>
          </w:tcPr>
          <w:p w14:paraId="734E64A9" w14:textId="77777777" w:rsidR="00C73E3C" w:rsidRPr="00C73E3C" w:rsidRDefault="00C73E3C" w:rsidP="00C73E3C"/>
        </w:tc>
        <w:tc>
          <w:tcPr>
            <w:tcW w:w="3192" w:type="dxa"/>
          </w:tcPr>
          <w:p w14:paraId="2178A820" w14:textId="2F25B697" w:rsidR="00C73E3C" w:rsidRPr="00C73E3C" w:rsidRDefault="00C73E3C" w:rsidP="00C73E3C">
            <w:r w:rsidRPr="00C73E3C">
              <w:t>Миалгия</w:t>
            </w:r>
          </w:p>
        </w:tc>
      </w:tr>
      <w:tr w:rsidR="00C73E3C" w14:paraId="402EFCBC" w14:textId="77777777" w:rsidTr="00C73E3C">
        <w:tc>
          <w:tcPr>
            <w:tcW w:w="3192" w:type="dxa"/>
          </w:tcPr>
          <w:p w14:paraId="3D65BDFB" w14:textId="54DA8EBA" w:rsidR="00C73E3C" w:rsidRPr="00C73E3C" w:rsidRDefault="00C73E3C" w:rsidP="00C73E3C">
            <w:r w:rsidRPr="00C73E3C">
              <w:rPr>
                <w:b/>
                <w:bCs/>
              </w:rPr>
              <w:t>Нарушения на бъбреците и пикочните пътища</w:t>
            </w:r>
          </w:p>
        </w:tc>
        <w:tc>
          <w:tcPr>
            <w:tcW w:w="3192" w:type="dxa"/>
          </w:tcPr>
          <w:p w14:paraId="03360ECB" w14:textId="77777777" w:rsidR="00C73E3C" w:rsidRPr="00C73E3C" w:rsidRDefault="00C73E3C" w:rsidP="00C73E3C"/>
        </w:tc>
        <w:tc>
          <w:tcPr>
            <w:tcW w:w="3192" w:type="dxa"/>
          </w:tcPr>
          <w:p w14:paraId="5FA26789" w14:textId="45DF9B44" w:rsidR="00C73E3C" w:rsidRPr="00C73E3C" w:rsidRDefault="00C73E3C" w:rsidP="00C73E3C">
            <w:r>
              <w:t xml:space="preserve">Бъбречна недостатъчност </w:t>
            </w:r>
            <w:r w:rsidRPr="00C73E3C">
              <w:t>и</w:t>
            </w:r>
          </w:p>
          <w:p w14:paraId="0F52AC73" w14:textId="77777777" w:rsidR="00C73E3C" w:rsidRDefault="00C73E3C" w:rsidP="00C73E3C">
            <w:r w:rsidRPr="00C73E3C">
              <w:t>уврежд</w:t>
            </w:r>
            <w:r>
              <w:t xml:space="preserve">ане </w:t>
            </w:r>
          </w:p>
          <w:p w14:paraId="746AD72C" w14:textId="49AD102F" w:rsidR="00C73E3C" w:rsidRPr="00C73E3C" w:rsidRDefault="00C73E3C" w:rsidP="00C73E3C">
            <w:r>
              <w:t xml:space="preserve">Повишаване </w:t>
            </w:r>
            <w:r w:rsidRPr="00C73E3C">
              <w:t>на</w:t>
            </w:r>
          </w:p>
          <w:p w14:paraId="4BE23599" w14:textId="41CD9C1C" w:rsidR="00C73E3C" w:rsidRPr="00C73E3C" w:rsidRDefault="00C73E3C" w:rsidP="00C73E3C">
            <w:r w:rsidRPr="00C73E3C">
              <w:t>серумния креатинин</w:t>
            </w:r>
          </w:p>
        </w:tc>
      </w:tr>
      <w:tr w:rsidR="00C73E3C" w14:paraId="411E938E" w14:textId="77777777" w:rsidTr="00C73E3C">
        <w:tc>
          <w:tcPr>
            <w:tcW w:w="3192" w:type="dxa"/>
          </w:tcPr>
          <w:p w14:paraId="65A29415" w14:textId="07EAB205" w:rsidR="00C73E3C" w:rsidRPr="00C73E3C" w:rsidRDefault="00C73E3C" w:rsidP="00C73E3C">
            <w:r w:rsidRPr="00C73E3C">
              <w:rPr>
                <w:b/>
                <w:bCs/>
              </w:rPr>
              <w:t>Общи нарушения и ефекти на мястото на приложение</w:t>
            </w:r>
          </w:p>
        </w:tc>
        <w:tc>
          <w:tcPr>
            <w:tcW w:w="3192" w:type="dxa"/>
          </w:tcPr>
          <w:p w14:paraId="2917D707" w14:textId="51BC271B" w:rsidR="00C73E3C" w:rsidRPr="00C73E3C" w:rsidRDefault="00C73E3C" w:rsidP="00C73E3C">
            <w:r w:rsidRPr="00C73E3C">
              <w:t>Умора</w:t>
            </w:r>
          </w:p>
        </w:tc>
        <w:tc>
          <w:tcPr>
            <w:tcW w:w="3192" w:type="dxa"/>
          </w:tcPr>
          <w:p w14:paraId="12A0E284" w14:textId="3A3526FA" w:rsidR="00C73E3C" w:rsidRPr="00C73E3C" w:rsidRDefault="00C73E3C" w:rsidP="00C73E3C">
            <w:r w:rsidRPr="00C73E3C">
              <w:t>Астения, умора</w:t>
            </w:r>
          </w:p>
        </w:tc>
      </w:tr>
    </w:tbl>
    <w:p w14:paraId="10D5732F" w14:textId="77777777" w:rsidR="00C73E3C" w:rsidRDefault="00C73E3C" w:rsidP="00C73E3C">
      <w:pPr>
        <w:spacing w:line="240" w:lineRule="auto"/>
        <w:rPr>
          <w:rFonts w:eastAsia="Times New Roman" w:cs="Arial"/>
          <w:i/>
          <w:iCs/>
          <w:color w:val="000000"/>
          <w:u w:val="single"/>
          <w:lang w:eastAsia="bg-BG"/>
        </w:rPr>
      </w:pPr>
    </w:p>
    <w:p w14:paraId="692887B4" w14:textId="0867CAA3" w:rsidR="00C73E3C" w:rsidRPr="00C73E3C" w:rsidRDefault="00C73E3C" w:rsidP="00C73E3C">
      <w:pPr>
        <w:spacing w:line="240" w:lineRule="auto"/>
        <w:rPr>
          <w:rFonts w:eastAsia="Times New Roman" w:cs="Arial"/>
        </w:rPr>
      </w:pPr>
      <w:r w:rsidRPr="00C73E3C">
        <w:rPr>
          <w:rFonts w:eastAsia="Times New Roman" w:cs="Arial"/>
          <w:i/>
          <w:iCs/>
          <w:color w:val="000000"/>
          <w:u w:val="single"/>
          <w:lang w:eastAsia="bg-BG"/>
        </w:rPr>
        <w:t>Педиатрична популаиия</w:t>
      </w:r>
    </w:p>
    <w:p w14:paraId="7B14377A" w14:textId="77777777" w:rsidR="00C73E3C" w:rsidRDefault="00C73E3C" w:rsidP="00C73E3C">
      <w:pPr>
        <w:spacing w:line="240" w:lineRule="auto"/>
        <w:rPr>
          <w:rFonts w:eastAsia="Times New Roman" w:cs="Arial"/>
          <w:color w:val="000000"/>
          <w:u w:val="single"/>
          <w:lang w:eastAsia="bg-BG"/>
        </w:rPr>
      </w:pPr>
    </w:p>
    <w:p w14:paraId="52EB0532" w14:textId="67B08CB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Хипертония</w:t>
      </w:r>
    </w:p>
    <w:p w14:paraId="1D3322DD"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Антихипертензивният ефект на валсартан е оценен в хода на две рандомизирани, двойно-слепи клинични проучвания при 561 педиатрични пациенти на възраст от 6 до 18 години. С изключение на изолирани случаи на стомашно-чревни нарушения (като коремна болка, гадене, повръщане) и замаяност, не са установени значими различия във вида, честотата и тежестта на нежеланите реакции, наблюдавани при педиатрични пациенти на възраст от 6 до 18 години и тези, съобщени преди това при възрастни пациенти. Оценката на невро-когнитивните функции и развитието на педиатрични пациенти на възраст от 6 до 16 години, като цяло не показва някакво клинично значимо неблагоприятно повлияване при лечение с валсартан в продължение на една година.</w:t>
      </w:r>
    </w:p>
    <w:p w14:paraId="30CB12E5" w14:textId="77777777" w:rsidR="00C73E3C" w:rsidRDefault="00C73E3C" w:rsidP="00C73E3C">
      <w:pPr>
        <w:spacing w:line="240" w:lineRule="auto"/>
        <w:rPr>
          <w:rFonts w:eastAsia="Times New Roman" w:cs="Arial"/>
          <w:color w:val="000000"/>
          <w:lang w:eastAsia="bg-BG"/>
        </w:rPr>
      </w:pPr>
    </w:p>
    <w:p w14:paraId="4DCD27A4" w14:textId="51A13715" w:rsidR="00C73E3C" w:rsidRPr="00C73E3C" w:rsidRDefault="00C73E3C" w:rsidP="00C73E3C">
      <w:pPr>
        <w:spacing w:line="240" w:lineRule="auto"/>
        <w:rPr>
          <w:rFonts w:eastAsia="Times New Roman" w:cs="Arial"/>
        </w:rPr>
      </w:pPr>
      <w:r w:rsidRPr="00C73E3C">
        <w:rPr>
          <w:rFonts w:eastAsia="Times New Roman" w:cs="Arial"/>
          <w:color w:val="000000"/>
          <w:lang w:eastAsia="bg-BG"/>
        </w:rPr>
        <w:t>В едно двойно-сляпо, рандомизирано проучване при 90 деца на възраст от 1 до 6 години, което е продължено като едногодишно отворено проучване, са наблюдавани два смъртни случая и изолирани случаи на изразено повишаване на чернодробните трансаминази. Случаите са наблюдавани в популация със значими съпътстващи заболявания. Причинно-следствена връзка с употребата на валсартан не е установена.</w:t>
      </w:r>
    </w:p>
    <w:p w14:paraId="2550A573" w14:textId="77777777" w:rsidR="00C73E3C" w:rsidRDefault="00C73E3C" w:rsidP="00C73E3C">
      <w:pPr>
        <w:spacing w:line="240" w:lineRule="auto"/>
        <w:rPr>
          <w:rFonts w:eastAsia="Times New Roman" w:cs="Arial"/>
          <w:color w:val="000000"/>
          <w:lang w:eastAsia="bg-BG"/>
        </w:rPr>
      </w:pPr>
    </w:p>
    <w:p w14:paraId="527690A0" w14:textId="79A0B51A" w:rsidR="00C73E3C" w:rsidRPr="00C73E3C" w:rsidRDefault="00C73E3C" w:rsidP="00C73E3C">
      <w:pPr>
        <w:spacing w:line="240" w:lineRule="auto"/>
        <w:rPr>
          <w:rFonts w:eastAsia="Times New Roman" w:cs="Arial"/>
        </w:rPr>
      </w:pPr>
      <w:r w:rsidRPr="00C73E3C">
        <w:rPr>
          <w:rFonts w:eastAsia="Times New Roman" w:cs="Arial"/>
          <w:color w:val="000000"/>
          <w:lang w:eastAsia="bg-BG"/>
        </w:rPr>
        <w:t>В друго проучване, в което са рандомизирани 75 деца на възраст от 1 до 6 години, не са наблюдавани значими повишения на чернодробните трансаминази, нито смъртни случаи при лечение с валсартан.</w:t>
      </w:r>
    </w:p>
    <w:p w14:paraId="5CA634D4" w14:textId="77777777" w:rsidR="00C73E3C" w:rsidRDefault="00C73E3C" w:rsidP="00C73E3C">
      <w:pPr>
        <w:rPr>
          <w:rFonts w:eastAsia="Times New Roman" w:cs="Arial"/>
          <w:color w:val="000000"/>
          <w:lang w:eastAsia="bg-BG"/>
        </w:rPr>
      </w:pPr>
    </w:p>
    <w:p w14:paraId="15FBC005" w14:textId="6F45937C" w:rsidR="00C73E3C" w:rsidRDefault="00C73E3C" w:rsidP="00C73E3C">
      <w:pPr>
        <w:rPr>
          <w:rFonts w:eastAsia="Times New Roman" w:cs="Arial"/>
          <w:color w:val="000000"/>
          <w:lang w:eastAsia="bg-BG"/>
        </w:rPr>
      </w:pPr>
      <w:r w:rsidRPr="00C73E3C">
        <w:rPr>
          <w:rFonts w:eastAsia="Times New Roman" w:cs="Arial"/>
          <w:color w:val="000000"/>
          <w:lang w:eastAsia="bg-BG"/>
        </w:rPr>
        <w:t>Хиперкалиемия се наблюдава по-често при деца и юноши на възраст от 6 до 18 години с подлежащо хронично бъбречно заболяване.</w:t>
      </w:r>
    </w:p>
    <w:p w14:paraId="5B380085" w14:textId="0E78CD8E" w:rsidR="00C73E3C" w:rsidRDefault="00C73E3C" w:rsidP="00C73E3C">
      <w:pPr>
        <w:rPr>
          <w:rFonts w:eastAsia="Times New Roman" w:cs="Arial"/>
          <w:color w:val="000000"/>
          <w:lang w:eastAsia="bg-BG"/>
        </w:rPr>
      </w:pPr>
    </w:p>
    <w:p w14:paraId="28855E0B"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Профилът на безопасност, наблюдаван при контролирани клинични проучвания при възрастни пациенти след миокарден инфаркт и/или със сърдечна недостатъчност, се различава от цялостния профил на безопасност при пациенти с хипертония. Това може да е свързано с придружаващото заболяване на пациента.</w:t>
      </w:r>
    </w:p>
    <w:p w14:paraId="57310CE3" w14:textId="77777777" w:rsidR="00C73E3C" w:rsidRDefault="00C73E3C" w:rsidP="00C73E3C">
      <w:pPr>
        <w:spacing w:line="240" w:lineRule="auto"/>
        <w:rPr>
          <w:rFonts w:eastAsia="Times New Roman" w:cs="Arial"/>
          <w:color w:val="000000"/>
          <w:lang w:eastAsia="bg-BG"/>
        </w:rPr>
      </w:pPr>
    </w:p>
    <w:p w14:paraId="1F75943B" w14:textId="4539D870" w:rsidR="00C73E3C" w:rsidRPr="00C73E3C" w:rsidRDefault="00C73E3C" w:rsidP="00C73E3C">
      <w:pPr>
        <w:spacing w:line="240" w:lineRule="auto"/>
        <w:rPr>
          <w:rFonts w:eastAsia="Times New Roman" w:cs="Arial"/>
        </w:rPr>
      </w:pPr>
      <w:r w:rsidRPr="00C73E3C">
        <w:rPr>
          <w:rFonts w:eastAsia="Times New Roman" w:cs="Arial"/>
          <w:color w:val="000000"/>
          <w:lang w:eastAsia="bg-BG"/>
        </w:rPr>
        <w:t>НЛР, които настъпват при възрастни пациенти след миокарден инфаркт и/или при пациенти със сърдечна недостатъчност, са изброени по-долу:</w:t>
      </w:r>
    </w:p>
    <w:p w14:paraId="4B726EE4" w14:textId="3206F86E" w:rsidR="00C73E3C" w:rsidRPr="00C73E3C" w:rsidRDefault="00C73E3C" w:rsidP="00C73E3C">
      <w:pPr>
        <w:pStyle w:val="ListParagraph"/>
        <w:numPr>
          <w:ilvl w:val="0"/>
          <w:numId w:val="37"/>
        </w:numPr>
        <w:rPr>
          <w:rFonts w:cs="Arial"/>
        </w:rPr>
      </w:pPr>
      <w:r w:rsidRPr="00C73E3C">
        <w:rPr>
          <w:rFonts w:eastAsia="Times New Roman" w:cs="Arial"/>
          <w:color w:val="000000"/>
          <w:u w:val="single"/>
          <w:lang w:eastAsia="bg-BG"/>
        </w:rPr>
        <w:lastRenderedPageBreak/>
        <w:t xml:space="preserve">Състояние след миокарден инфаркт </w:t>
      </w:r>
      <w:r w:rsidRPr="00C73E3C">
        <w:rPr>
          <w:rFonts w:eastAsia="Times New Roman" w:cs="Arial"/>
          <w:i/>
          <w:iCs/>
          <w:color w:val="000000"/>
          <w:u w:val="single"/>
          <w:lang w:eastAsia="bg-BG"/>
        </w:rPr>
        <w:t>и/или</w:t>
      </w:r>
      <w:r w:rsidRPr="00C73E3C">
        <w:rPr>
          <w:rFonts w:eastAsia="Times New Roman" w:cs="Arial"/>
          <w:color w:val="000000"/>
          <w:u w:val="single"/>
          <w:lang w:eastAsia="bg-BG"/>
        </w:rPr>
        <w:t xml:space="preserve"> сърдечна недостатъчност (проучвания само при възрастни пациенти)</w:t>
      </w:r>
    </w:p>
    <w:p w14:paraId="50755E37" w14:textId="57263123" w:rsidR="00C73E3C" w:rsidRDefault="00C73E3C" w:rsidP="00C73E3C">
      <w:pPr>
        <w:rPr>
          <w:rFonts w:cs="Arial"/>
        </w:rPr>
      </w:pPr>
    </w:p>
    <w:tbl>
      <w:tblPr>
        <w:tblStyle w:val="TableGrid"/>
        <w:tblW w:w="0" w:type="auto"/>
        <w:tblLook w:val="04A0" w:firstRow="1" w:lastRow="0" w:firstColumn="1" w:lastColumn="0" w:noHBand="0" w:noVBand="1"/>
      </w:tblPr>
      <w:tblGrid>
        <w:gridCol w:w="2300"/>
        <w:gridCol w:w="2249"/>
        <w:gridCol w:w="2280"/>
        <w:gridCol w:w="2521"/>
      </w:tblGrid>
      <w:tr w:rsidR="00C73E3C" w14:paraId="5BCBE44B" w14:textId="77777777" w:rsidTr="00C73E3C">
        <w:tc>
          <w:tcPr>
            <w:tcW w:w="2360" w:type="dxa"/>
          </w:tcPr>
          <w:p w14:paraId="5B285F15" w14:textId="625BEC7D" w:rsidR="00C73E3C" w:rsidRPr="00C73E3C" w:rsidRDefault="00C73E3C" w:rsidP="00C73E3C">
            <w:pPr>
              <w:rPr>
                <w:rFonts w:cs="Arial"/>
              </w:rPr>
            </w:pPr>
            <w:r w:rsidRPr="00C73E3C">
              <w:rPr>
                <w:b/>
                <w:bCs/>
              </w:rPr>
              <w:t>Система/орган</w:t>
            </w:r>
          </w:p>
        </w:tc>
        <w:tc>
          <w:tcPr>
            <w:tcW w:w="2335" w:type="dxa"/>
          </w:tcPr>
          <w:p w14:paraId="36D4811F" w14:textId="7B8C591D" w:rsidR="00C73E3C" w:rsidRPr="00C73E3C" w:rsidRDefault="00C73E3C" w:rsidP="00C73E3C">
            <w:pPr>
              <w:rPr>
                <w:rFonts w:cs="Arial"/>
              </w:rPr>
            </w:pPr>
            <w:r w:rsidRPr="00C73E3C">
              <w:rPr>
                <w:b/>
                <w:bCs/>
              </w:rPr>
              <w:t>Чести</w:t>
            </w:r>
          </w:p>
        </w:tc>
        <w:tc>
          <w:tcPr>
            <w:tcW w:w="2360" w:type="dxa"/>
          </w:tcPr>
          <w:p w14:paraId="116A4999" w14:textId="5243A858" w:rsidR="00C73E3C" w:rsidRPr="00C73E3C" w:rsidRDefault="00C73E3C" w:rsidP="00C73E3C">
            <w:pPr>
              <w:rPr>
                <w:rFonts w:cs="Arial"/>
              </w:rPr>
            </w:pPr>
            <w:r w:rsidRPr="00C73E3C">
              <w:rPr>
                <w:b/>
                <w:bCs/>
              </w:rPr>
              <w:t>Нечести</w:t>
            </w:r>
          </w:p>
        </w:tc>
        <w:tc>
          <w:tcPr>
            <w:tcW w:w="2521" w:type="dxa"/>
          </w:tcPr>
          <w:p w14:paraId="089E06B9" w14:textId="77777777" w:rsidR="00C73E3C" w:rsidRPr="00C73E3C" w:rsidRDefault="00C73E3C" w:rsidP="00C73E3C">
            <w:r w:rsidRPr="00C73E3C">
              <w:rPr>
                <w:b/>
                <w:bCs/>
              </w:rPr>
              <w:t>С</w:t>
            </w:r>
            <w:r w:rsidRPr="00C73E3C">
              <w:rPr>
                <w:b/>
                <w:bCs/>
              </w:rPr>
              <w:tab/>
              <w:t>неизвестна</w:t>
            </w:r>
          </w:p>
          <w:p w14:paraId="35962310" w14:textId="31749703" w:rsidR="00C73E3C" w:rsidRPr="00C73E3C" w:rsidRDefault="00C73E3C" w:rsidP="00C73E3C">
            <w:pPr>
              <w:rPr>
                <w:rFonts w:cs="Arial"/>
              </w:rPr>
            </w:pPr>
            <w:r w:rsidRPr="00C73E3C">
              <w:rPr>
                <w:b/>
                <w:bCs/>
              </w:rPr>
              <w:t>честота</w:t>
            </w:r>
          </w:p>
        </w:tc>
      </w:tr>
      <w:tr w:rsidR="00C73E3C" w14:paraId="64F5E9AE" w14:textId="77777777" w:rsidTr="00C73E3C">
        <w:tc>
          <w:tcPr>
            <w:tcW w:w="2360" w:type="dxa"/>
          </w:tcPr>
          <w:p w14:paraId="60D22395" w14:textId="77777777" w:rsidR="00C73E3C" w:rsidRPr="00C73E3C" w:rsidRDefault="00C73E3C" w:rsidP="00C73E3C">
            <w:r w:rsidRPr="00C73E3C">
              <w:rPr>
                <w:b/>
                <w:bCs/>
              </w:rPr>
              <w:t>Нарушения</w:t>
            </w:r>
            <w:r w:rsidRPr="00C73E3C">
              <w:rPr>
                <w:b/>
                <w:bCs/>
              </w:rPr>
              <w:tab/>
              <w:t>на</w:t>
            </w:r>
          </w:p>
          <w:p w14:paraId="3801F607" w14:textId="78ABEEA1" w:rsidR="00C73E3C" w:rsidRPr="00C73E3C" w:rsidRDefault="00C73E3C" w:rsidP="00C73E3C">
            <w:pPr>
              <w:rPr>
                <w:rFonts w:cs="Arial"/>
              </w:rPr>
            </w:pPr>
            <w:r w:rsidRPr="00C73E3C">
              <w:rPr>
                <w:b/>
                <w:bCs/>
              </w:rPr>
              <w:t>кръвта и лимфната система</w:t>
            </w:r>
          </w:p>
        </w:tc>
        <w:tc>
          <w:tcPr>
            <w:tcW w:w="2335" w:type="dxa"/>
          </w:tcPr>
          <w:p w14:paraId="3E4829C8" w14:textId="77777777" w:rsidR="00C73E3C" w:rsidRPr="00C73E3C" w:rsidRDefault="00C73E3C" w:rsidP="00C73E3C">
            <w:pPr>
              <w:rPr>
                <w:rFonts w:cs="Arial"/>
              </w:rPr>
            </w:pPr>
          </w:p>
        </w:tc>
        <w:tc>
          <w:tcPr>
            <w:tcW w:w="2360" w:type="dxa"/>
          </w:tcPr>
          <w:p w14:paraId="7177C32E" w14:textId="77777777" w:rsidR="00C73E3C" w:rsidRPr="00C73E3C" w:rsidRDefault="00C73E3C" w:rsidP="00C73E3C">
            <w:pPr>
              <w:rPr>
                <w:rFonts w:cs="Arial"/>
              </w:rPr>
            </w:pPr>
          </w:p>
        </w:tc>
        <w:tc>
          <w:tcPr>
            <w:tcW w:w="2521" w:type="dxa"/>
          </w:tcPr>
          <w:p w14:paraId="1A87C0A3" w14:textId="76EE9F14" w:rsidR="00C73E3C" w:rsidRPr="00C73E3C" w:rsidRDefault="00C73E3C" w:rsidP="00C73E3C">
            <w:pPr>
              <w:rPr>
                <w:rFonts w:cs="Arial"/>
              </w:rPr>
            </w:pPr>
            <w:r w:rsidRPr="00C73E3C">
              <w:t>Тромбоцитопения</w:t>
            </w:r>
          </w:p>
        </w:tc>
      </w:tr>
      <w:tr w:rsidR="00C73E3C" w14:paraId="7F3C51B6" w14:textId="77777777" w:rsidTr="00C73E3C">
        <w:tc>
          <w:tcPr>
            <w:tcW w:w="2360" w:type="dxa"/>
          </w:tcPr>
          <w:p w14:paraId="3B59C790" w14:textId="77777777" w:rsidR="00C73E3C" w:rsidRPr="00C73E3C" w:rsidRDefault="00C73E3C" w:rsidP="00C73E3C">
            <w:r w:rsidRPr="00C73E3C">
              <w:rPr>
                <w:b/>
                <w:bCs/>
              </w:rPr>
              <w:t>Нарушения</w:t>
            </w:r>
            <w:r w:rsidRPr="00C73E3C">
              <w:rPr>
                <w:b/>
                <w:bCs/>
              </w:rPr>
              <w:tab/>
              <w:t>на</w:t>
            </w:r>
          </w:p>
          <w:p w14:paraId="4912A874" w14:textId="7E49BE8B" w:rsidR="00C73E3C" w:rsidRPr="00C73E3C" w:rsidRDefault="00C73E3C" w:rsidP="00C73E3C">
            <w:pPr>
              <w:rPr>
                <w:rFonts w:cs="Arial"/>
              </w:rPr>
            </w:pPr>
            <w:r w:rsidRPr="00C73E3C">
              <w:rPr>
                <w:b/>
                <w:bCs/>
              </w:rPr>
              <w:t>имунната система</w:t>
            </w:r>
          </w:p>
        </w:tc>
        <w:tc>
          <w:tcPr>
            <w:tcW w:w="2335" w:type="dxa"/>
          </w:tcPr>
          <w:p w14:paraId="6BD547B9" w14:textId="77777777" w:rsidR="00C73E3C" w:rsidRPr="00C73E3C" w:rsidRDefault="00C73E3C" w:rsidP="00C73E3C">
            <w:pPr>
              <w:rPr>
                <w:rFonts w:cs="Arial"/>
              </w:rPr>
            </w:pPr>
          </w:p>
        </w:tc>
        <w:tc>
          <w:tcPr>
            <w:tcW w:w="2360" w:type="dxa"/>
          </w:tcPr>
          <w:p w14:paraId="702D7F63" w14:textId="77777777" w:rsidR="00C73E3C" w:rsidRPr="00C73E3C" w:rsidRDefault="00C73E3C" w:rsidP="00C73E3C">
            <w:pPr>
              <w:rPr>
                <w:rFonts w:cs="Arial"/>
              </w:rPr>
            </w:pPr>
          </w:p>
        </w:tc>
        <w:tc>
          <w:tcPr>
            <w:tcW w:w="2521" w:type="dxa"/>
          </w:tcPr>
          <w:p w14:paraId="1C7CEA7C" w14:textId="6E1FD587" w:rsidR="00C73E3C" w:rsidRPr="00C73E3C" w:rsidRDefault="00C73E3C" w:rsidP="00C73E3C">
            <w:pPr>
              <w:rPr>
                <w:rFonts w:cs="Arial"/>
              </w:rPr>
            </w:pPr>
            <w:r w:rsidRPr="00C73E3C">
              <w:t>Свръхчувствителност, включително серумна болест</w:t>
            </w:r>
          </w:p>
        </w:tc>
      </w:tr>
      <w:tr w:rsidR="00C73E3C" w14:paraId="48ED127C" w14:textId="77777777" w:rsidTr="00C73E3C">
        <w:tc>
          <w:tcPr>
            <w:tcW w:w="2360" w:type="dxa"/>
          </w:tcPr>
          <w:p w14:paraId="4817BBF0" w14:textId="564F7FC6" w:rsidR="00C73E3C" w:rsidRPr="00C73E3C" w:rsidRDefault="00C73E3C" w:rsidP="00C73E3C">
            <w:pPr>
              <w:rPr>
                <w:rFonts w:cs="Arial"/>
              </w:rPr>
            </w:pPr>
            <w:r w:rsidRPr="00C73E3C">
              <w:rPr>
                <w:b/>
                <w:bCs/>
              </w:rPr>
              <w:t>Нарушения на метаболизма и храненето</w:t>
            </w:r>
          </w:p>
        </w:tc>
        <w:tc>
          <w:tcPr>
            <w:tcW w:w="2335" w:type="dxa"/>
          </w:tcPr>
          <w:p w14:paraId="5191B3BD" w14:textId="77777777" w:rsidR="00C73E3C" w:rsidRPr="00C73E3C" w:rsidRDefault="00C73E3C" w:rsidP="00C73E3C">
            <w:pPr>
              <w:rPr>
                <w:rFonts w:cs="Arial"/>
              </w:rPr>
            </w:pPr>
          </w:p>
        </w:tc>
        <w:tc>
          <w:tcPr>
            <w:tcW w:w="2360" w:type="dxa"/>
          </w:tcPr>
          <w:p w14:paraId="5DA9336C" w14:textId="42E59FC7" w:rsidR="00C73E3C" w:rsidRPr="00C73E3C" w:rsidRDefault="00C73E3C" w:rsidP="00C73E3C">
            <w:pPr>
              <w:rPr>
                <w:rFonts w:cs="Arial"/>
              </w:rPr>
            </w:pPr>
            <w:r w:rsidRPr="00C73E3C">
              <w:t>Хиперкалиемия</w:t>
            </w:r>
          </w:p>
        </w:tc>
        <w:tc>
          <w:tcPr>
            <w:tcW w:w="2521" w:type="dxa"/>
          </w:tcPr>
          <w:p w14:paraId="3F26A74D" w14:textId="7E2F6EC1" w:rsidR="00C73E3C" w:rsidRPr="00C73E3C" w:rsidRDefault="00C73E3C" w:rsidP="00C73E3C">
            <w:pPr>
              <w:rPr>
                <w:rFonts w:cs="Arial"/>
              </w:rPr>
            </w:pPr>
            <w:r w:rsidRPr="00C73E3C">
              <w:t>Повишен серумен калий</w:t>
            </w:r>
          </w:p>
        </w:tc>
      </w:tr>
      <w:tr w:rsidR="00C73E3C" w14:paraId="34A639FC" w14:textId="77777777" w:rsidTr="00C73E3C">
        <w:tc>
          <w:tcPr>
            <w:tcW w:w="2360" w:type="dxa"/>
          </w:tcPr>
          <w:p w14:paraId="7CB8DDAB" w14:textId="76D69395" w:rsidR="00C73E3C" w:rsidRPr="00C73E3C" w:rsidRDefault="00C73E3C" w:rsidP="00C73E3C">
            <w:r>
              <w:rPr>
                <w:b/>
                <w:bCs/>
              </w:rPr>
              <w:t xml:space="preserve">Нарушения </w:t>
            </w:r>
            <w:r w:rsidRPr="00C73E3C">
              <w:rPr>
                <w:b/>
                <w:bCs/>
              </w:rPr>
              <w:t>на</w:t>
            </w:r>
          </w:p>
          <w:p w14:paraId="49EAECE6" w14:textId="5B1CD730" w:rsidR="00C73E3C" w:rsidRPr="00C73E3C" w:rsidRDefault="00C73E3C" w:rsidP="00C73E3C">
            <w:pPr>
              <w:rPr>
                <w:rFonts w:cs="Arial"/>
              </w:rPr>
            </w:pPr>
            <w:r w:rsidRPr="00C73E3C">
              <w:rPr>
                <w:b/>
                <w:bCs/>
              </w:rPr>
              <w:t>нервната система</w:t>
            </w:r>
          </w:p>
        </w:tc>
        <w:tc>
          <w:tcPr>
            <w:tcW w:w="2335" w:type="dxa"/>
          </w:tcPr>
          <w:p w14:paraId="548F02D4" w14:textId="7C784631" w:rsidR="00C73E3C" w:rsidRPr="00C73E3C" w:rsidRDefault="00C73E3C" w:rsidP="00C73E3C">
            <w:pPr>
              <w:rPr>
                <w:rFonts w:cs="Arial"/>
              </w:rPr>
            </w:pPr>
            <w:r w:rsidRPr="00C73E3C">
              <w:t>Замайване, зависещо от позата замайване</w:t>
            </w:r>
          </w:p>
        </w:tc>
        <w:tc>
          <w:tcPr>
            <w:tcW w:w="2360" w:type="dxa"/>
          </w:tcPr>
          <w:p w14:paraId="0D6C5F9A" w14:textId="2D29CC60" w:rsidR="00C73E3C" w:rsidRPr="00C73E3C" w:rsidRDefault="00C73E3C" w:rsidP="00C73E3C">
            <w:pPr>
              <w:rPr>
                <w:rFonts w:cs="Arial"/>
              </w:rPr>
            </w:pPr>
            <w:r w:rsidRPr="00C73E3C">
              <w:t>Синкоп, главоболие</w:t>
            </w:r>
          </w:p>
        </w:tc>
        <w:tc>
          <w:tcPr>
            <w:tcW w:w="2521" w:type="dxa"/>
          </w:tcPr>
          <w:p w14:paraId="119C4F98" w14:textId="77777777" w:rsidR="00C73E3C" w:rsidRPr="00C73E3C" w:rsidRDefault="00C73E3C" w:rsidP="00C73E3C">
            <w:pPr>
              <w:rPr>
                <w:rFonts w:cs="Arial"/>
              </w:rPr>
            </w:pPr>
          </w:p>
        </w:tc>
      </w:tr>
      <w:tr w:rsidR="00C73E3C" w14:paraId="4741D773" w14:textId="77777777" w:rsidTr="00C73E3C">
        <w:tc>
          <w:tcPr>
            <w:tcW w:w="2360" w:type="dxa"/>
          </w:tcPr>
          <w:p w14:paraId="37923B0B" w14:textId="757C3712" w:rsidR="00C73E3C" w:rsidRPr="00C73E3C" w:rsidRDefault="00C73E3C" w:rsidP="00C73E3C">
            <w:r>
              <w:rPr>
                <w:b/>
                <w:bCs/>
              </w:rPr>
              <w:t xml:space="preserve">Нарушения </w:t>
            </w:r>
            <w:r w:rsidRPr="00C73E3C">
              <w:rPr>
                <w:b/>
                <w:bCs/>
              </w:rPr>
              <w:t>на</w:t>
            </w:r>
          </w:p>
          <w:p w14:paraId="680B4220" w14:textId="7FEFE95D" w:rsidR="00C73E3C" w:rsidRPr="00C73E3C" w:rsidRDefault="00C73E3C" w:rsidP="00C73E3C">
            <w:pPr>
              <w:rPr>
                <w:rFonts w:cs="Arial"/>
              </w:rPr>
            </w:pPr>
            <w:r w:rsidRPr="00C73E3C">
              <w:rPr>
                <w:b/>
                <w:bCs/>
              </w:rPr>
              <w:t>ухото и лабиринта</w:t>
            </w:r>
          </w:p>
        </w:tc>
        <w:tc>
          <w:tcPr>
            <w:tcW w:w="2335" w:type="dxa"/>
          </w:tcPr>
          <w:p w14:paraId="12F4ADB4" w14:textId="77777777" w:rsidR="00C73E3C" w:rsidRPr="00C73E3C" w:rsidRDefault="00C73E3C" w:rsidP="00C73E3C">
            <w:pPr>
              <w:rPr>
                <w:rFonts w:cs="Arial"/>
              </w:rPr>
            </w:pPr>
          </w:p>
        </w:tc>
        <w:tc>
          <w:tcPr>
            <w:tcW w:w="2360" w:type="dxa"/>
          </w:tcPr>
          <w:p w14:paraId="4FB89154" w14:textId="31D882DB" w:rsidR="00C73E3C" w:rsidRPr="00C73E3C" w:rsidRDefault="00C73E3C" w:rsidP="00C73E3C">
            <w:pPr>
              <w:rPr>
                <w:rFonts w:cs="Arial"/>
              </w:rPr>
            </w:pPr>
            <w:r w:rsidRPr="00C73E3C">
              <w:t>Световъртеж</w:t>
            </w:r>
          </w:p>
        </w:tc>
        <w:tc>
          <w:tcPr>
            <w:tcW w:w="2521" w:type="dxa"/>
          </w:tcPr>
          <w:p w14:paraId="76AC3388" w14:textId="77777777" w:rsidR="00C73E3C" w:rsidRPr="00C73E3C" w:rsidRDefault="00C73E3C" w:rsidP="00C73E3C">
            <w:pPr>
              <w:rPr>
                <w:rFonts w:cs="Arial"/>
              </w:rPr>
            </w:pPr>
          </w:p>
        </w:tc>
      </w:tr>
      <w:tr w:rsidR="00C73E3C" w14:paraId="3C02B297" w14:textId="77777777" w:rsidTr="00C73E3C">
        <w:tc>
          <w:tcPr>
            <w:tcW w:w="2360" w:type="dxa"/>
          </w:tcPr>
          <w:p w14:paraId="43F3381C" w14:textId="60AB365D" w:rsidR="00C73E3C" w:rsidRPr="00C73E3C" w:rsidRDefault="00C73E3C" w:rsidP="00C73E3C">
            <w:pPr>
              <w:rPr>
                <w:rFonts w:cs="Arial"/>
              </w:rPr>
            </w:pPr>
            <w:r w:rsidRPr="00C73E3C">
              <w:rPr>
                <w:b/>
                <w:bCs/>
              </w:rPr>
              <w:t>Сърдечни нарушения</w:t>
            </w:r>
          </w:p>
        </w:tc>
        <w:tc>
          <w:tcPr>
            <w:tcW w:w="2335" w:type="dxa"/>
          </w:tcPr>
          <w:p w14:paraId="64BC6223" w14:textId="77777777" w:rsidR="00C73E3C" w:rsidRPr="00C73E3C" w:rsidRDefault="00C73E3C" w:rsidP="00C73E3C">
            <w:pPr>
              <w:rPr>
                <w:rFonts w:cs="Arial"/>
              </w:rPr>
            </w:pPr>
          </w:p>
        </w:tc>
        <w:tc>
          <w:tcPr>
            <w:tcW w:w="2360" w:type="dxa"/>
          </w:tcPr>
          <w:p w14:paraId="2A0DBBFF" w14:textId="235169F3" w:rsidR="00C73E3C" w:rsidRPr="00C73E3C" w:rsidRDefault="00C73E3C" w:rsidP="00C73E3C">
            <w:pPr>
              <w:rPr>
                <w:rFonts w:cs="Arial"/>
              </w:rPr>
            </w:pPr>
            <w:r w:rsidRPr="00C73E3C">
              <w:t>Сърдечна недостатъчност</w:t>
            </w:r>
          </w:p>
        </w:tc>
        <w:tc>
          <w:tcPr>
            <w:tcW w:w="2521" w:type="dxa"/>
          </w:tcPr>
          <w:p w14:paraId="6BF1F2F6" w14:textId="77777777" w:rsidR="00C73E3C" w:rsidRPr="00C73E3C" w:rsidRDefault="00C73E3C" w:rsidP="00C73E3C">
            <w:pPr>
              <w:rPr>
                <w:rFonts w:cs="Arial"/>
              </w:rPr>
            </w:pPr>
          </w:p>
        </w:tc>
      </w:tr>
      <w:tr w:rsidR="00C73E3C" w14:paraId="048198BD" w14:textId="77777777" w:rsidTr="00C73E3C">
        <w:tc>
          <w:tcPr>
            <w:tcW w:w="2360" w:type="dxa"/>
          </w:tcPr>
          <w:p w14:paraId="4E8A21FF" w14:textId="055A52CB" w:rsidR="00C73E3C" w:rsidRPr="00C73E3C" w:rsidRDefault="00C73E3C" w:rsidP="00C73E3C">
            <w:pPr>
              <w:rPr>
                <w:rFonts w:cs="Arial"/>
              </w:rPr>
            </w:pPr>
            <w:r w:rsidRPr="00C73E3C">
              <w:rPr>
                <w:b/>
                <w:bCs/>
              </w:rPr>
              <w:t>Съдови нарушения</w:t>
            </w:r>
          </w:p>
        </w:tc>
        <w:tc>
          <w:tcPr>
            <w:tcW w:w="2335" w:type="dxa"/>
          </w:tcPr>
          <w:p w14:paraId="244716FE" w14:textId="7526DC1B" w:rsidR="00C73E3C" w:rsidRPr="00C73E3C" w:rsidRDefault="00C73E3C" w:rsidP="00C73E3C">
            <w:pPr>
              <w:rPr>
                <w:rFonts w:cs="Arial"/>
              </w:rPr>
            </w:pPr>
            <w:r w:rsidRPr="00C73E3C">
              <w:t>Хипотония, ортостатична хипотония</w:t>
            </w:r>
          </w:p>
        </w:tc>
        <w:tc>
          <w:tcPr>
            <w:tcW w:w="2360" w:type="dxa"/>
          </w:tcPr>
          <w:p w14:paraId="5649E291" w14:textId="77777777" w:rsidR="00C73E3C" w:rsidRPr="00C73E3C" w:rsidRDefault="00C73E3C" w:rsidP="00C73E3C">
            <w:pPr>
              <w:rPr>
                <w:rFonts w:cs="Arial"/>
              </w:rPr>
            </w:pPr>
          </w:p>
        </w:tc>
        <w:tc>
          <w:tcPr>
            <w:tcW w:w="2521" w:type="dxa"/>
          </w:tcPr>
          <w:p w14:paraId="6B85BBC6" w14:textId="6ED6F802" w:rsidR="00C73E3C" w:rsidRPr="00C73E3C" w:rsidRDefault="00C73E3C" w:rsidP="00C73E3C">
            <w:pPr>
              <w:rPr>
                <w:rFonts w:cs="Arial"/>
              </w:rPr>
            </w:pPr>
            <w:r w:rsidRPr="00C73E3C">
              <w:t>Васкулит</w:t>
            </w:r>
          </w:p>
        </w:tc>
      </w:tr>
      <w:tr w:rsidR="00C73E3C" w14:paraId="20C6D9A1" w14:textId="77777777" w:rsidTr="00C73E3C">
        <w:tc>
          <w:tcPr>
            <w:tcW w:w="2360" w:type="dxa"/>
          </w:tcPr>
          <w:p w14:paraId="47F55CD6" w14:textId="5EDCD60D" w:rsidR="00C73E3C" w:rsidRPr="00C73E3C" w:rsidRDefault="00C73E3C" w:rsidP="00C73E3C">
            <w:r>
              <w:rPr>
                <w:b/>
                <w:bCs/>
              </w:rPr>
              <w:t xml:space="preserve">Респираторни, гръдни </w:t>
            </w:r>
            <w:r w:rsidRPr="00C73E3C">
              <w:rPr>
                <w:b/>
                <w:bCs/>
              </w:rPr>
              <w:t>и</w:t>
            </w:r>
          </w:p>
          <w:p w14:paraId="7ACD3D3C" w14:textId="2AF75E2D" w:rsidR="00C73E3C" w:rsidRPr="00C73E3C" w:rsidRDefault="00C73E3C" w:rsidP="00C73E3C">
            <w:pPr>
              <w:rPr>
                <w:rFonts w:cs="Arial"/>
              </w:rPr>
            </w:pPr>
            <w:r w:rsidRPr="00C73E3C">
              <w:rPr>
                <w:b/>
                <w:bCs/>
              </w:rPr>
              <w:t>медиастинални нарушения</w:t>
            </w:r>
          </w:p>
        </w:tc>
        <w:tc>
          <w:tcPr>
            <w:tcW w:w="2335" w:type="dxa"/>
          </w:tcPr>
          <w:p w14:paraId="2EB317F1" w14:textId="77777777" w:rsidR="00C73E3C" w:rsidRPr="00C73E3C" w:rsidRDefault="00C73E3C" w:rsidP="00C73E3C">
            <w:pPr>
              <w:rPr>
                <w:rFonts w:cs="Arial"/>
              </w:rPr>
            </w:pPr>
          </w:p>
        </w:tc>
        <w:tc>
          <w:tcPr>
            <w:tcW w:w="2360" w:type="dxa"/>
          </w:tcPr>
          <w:p w14:paraId="27AA36D1" w14:textId="6EE4B56B" w:rsidR="00C73E3C" w:rsidRPr="00C73E3C" w:rsidRDefault="00C73E3C" w:rsidP="00C73E3C">
            <w:pPr>
              <w:rPr>
                <w:rFonts w:cs="Arial"/>
              </w:rPr>
            </w:pPr>
            <w:r w:rsidRPr="00C73E3C">
              <w:t>Кашлица</w:t>
            </w:r>
          </w:p>
        </w:tc>
        <w:tc>
          <w:tcPr>
            <w:tcW w:w="2521" w:type="dxa"/>
          </w:tcPr>
          <w:p w14:paraId="4805C797" w14:textId="77777777" w:rsidR="00C73E3C" w:rsidRPr="00C73E3C" w:rsidRDefault="00C73E3C" w:rsidP="00C73E3C">
            <w:pPr>
              <w:rPr>
                <w:rFonts w:cs="Arial"/>
              </w:rPr>
            </w:pPr>
          </w:p>
        </w:tc>
      </w:tr>
      <w:tr w:rsidR="00C73E3C" w14:paraId="79CD37FB" w14:textId="77777777" w:rsidTr="00C73E3C">
        <w:tc>
          <w:tcPr>
            <w:tcW w:w="2360" w:type="dxa"/>
          </w:tcPr>
          <w:p w14:paraId="0797ACF0" w14:textId="5710B83D" w:rsidR="00C73E3C" w:rsidRPr="00C73E3C" w:rsidRDefault="00C73E3C" w:rsidP="00C73E3C">
            <w:pPr>
              <w:rPr>
                <w:rFonts w:cs="Arial"/>
              </w:rPr>
            </w:pPr>
            <w:r w:rsidRPr="00C73E3C">
              <w:rPr>
                <w:b/>
                <w:bCs/>
              </w:rPr>
              <w:t>Стомашно-чревни нарушения</w:t>
            </w:r>
          </w:p>
        </w:tc>
        <w:tc>
          <w:tcPr>
            <w:tcW w:w="2335" w:type="dxa"/>
          </w:tcPr>
          <w:p w14:paraId="60D2368C" w14:textId="77777777" w:rsidR="00C73E3C" w:rsidRPr="00C73E3C" w:rsidRDefault="00C73E3C" w:rsidP="00C73E3C">
            <w:pPr>
              <w:rPr>
                <w:rFonts w:cs="Arial"/>
              </w:rPr>
            </w:pPr>
          </w:p>
        </w:tc>
        <w:tc>
          <w:tcPr>
            <w:tcW w:w="2360" w:type="dxa"/>
          </w:tcPr>
          <w:p w14:paraId="7B837E02" w14:textId="3778EB6E" w:rsidR="00C73E3C" w:rsidRPr="00C73E3C" w:rsidRDefault="00C73E3C" w:rsidP="00C73E3C">
            <w:pPr>
              <w:rPr>
                <w:rFonts w:cs="Arial"/>
              </w:rPr>
            </w:pPr>
            <w:r w:rsidRPr="00C73E3C">
              <w:t>Гадене, диария</w:t>
            </w:r>
          </w:p>
        </w:tc>
        <w:tc>
          <w:tcPr>
            <w:tcW w:w="2521" w:type="dxa"/>
          </w:tcPr>
          <w:p w14:paraId="7E861B2B" w14:textId="77777777" w:rsidR="00C73E3C" w:rsidRPr="00C73E3C" w:rsidRDefault="00C73E3C" w:rsidP="00C73E3C">
            <w:pPr>
              <w:rPr>
                <w:rFonts w:cs="Arial"/>
              </w:rPr>
            </w:pPr>
          </w:p>
        </w:tc>
      </w:tr>
      <w:tr w:rsidR="00C73E3C" w14:paraId="29303CF5" w14:textId="77777777" w:rsidTr="00C73E3C">
        <w:tc>
          <w:tcPr>
            <w:tcW w:w="2360" w:type="dxa"/>
          </w:tcPr>
          <w:p w14:paraId="50E97FA9" w14:textId="34ECAAB0" w:rsidR="00C73E3C" w:rsidRPr="00C73E3C" w:rsidRDefault="00C73E3C" w:rsidP="00C73E3C">
            <w:pPr>
              <w:rPr>
                <w:rFonts w:cs="Arial"/>
              </w:rPr>
            </w:pPr>
            <w:r w:rsidRPr="00C73E3C">
              <w:rPr>
                <w:b/>
                <w:bCs/>
              </w:rPr>
              <w:t>Хепато-билиарни нарушения</w:t>
            </w:r>
          </w:p>
        </w:tc>
        <w:tc>
          <w:tcPr>
            <w:tcW w:w="2335" w:type="dxa"/>
          </w:tcPr>
          <w:p w14:paraId="28D34A64" w14:textId="77777777" w:rsidR="00C73E3C" w:rsidRPr="00C73E3C" w:rsidRDefault="00C73E3C" w:rsidP="00C73E3C">
            <w:pPr>
              <w:rPr>
                <w:rFonts w:cs="Arial"/>
              </w:rPr>
            </w:pPr>
          </w:p>
        </w:tc>
        <w:tc>
          <w:tcPr>
            <w:tcW w:w="2360" w:type="dxa"/>
          </w:tcPr>
          <w:p w14:paraId="4CD9A98E" w14:textId="77777777" w:rsidR="00C73E3C" w:rsidRPr="00C73E3C" w:rsidRDefault="00C73E3C" w:rsidP="00C73E3C">
            <w:pPr>
              <w:rPr>
                <w:rFonts w:cs="Arial"/>
              </w:rPr>
            </w:pPr>
          </w:p>
        </w:tc>
        <w:tc>
          <w:tcPr>
            <w:tcW w:w="2521" w:type="dxa"/>
          </w:tcPr>
          <w:p w14:paraId="765CDF9A" w14:textId="77777777" w:rsidR="00C73E3C" w:rsidRPr="00C73E3C" w:rsidRDefault="00C73E3C" w:rsidP="00C73E3C">
            <w:r w:rsidRPr="00C73E3C">
              <w:t>Повишение</w:t>
            </w:r>
            <w:r w:rsidRPr="00C73E3C">
              <w:tab/>
              <w:t>на</w:t>
            </w:r>
          </w:p>
          <w:p w14:paraId="63FB0397" w14:textId="77777777" w:rsidR="00C73E3C" w:rsidRPr="00C73E3C" w:rsidRDefault="00C73E3C" w:rsidP="00C73E3C">
            <w:r w:rsidRPr="00C73E3C">
              <w:t>показателите</w:t>
            </w:r>
            <w:r w:rsidRPr="00C73E3C">
              <w:tab/>
              <w:t>за</w:t>
            </w:r>
          </w:p>
          <w:p w14:paraId="554A9483" w14:textId="2FC5A062" w:rsidR="00C73E3C" w:rsidRPr="00C73E3C" w:rsidRDefault="00C73E3C" w:rsidP="00C73E3C">
            <w:pPr>
              <w:rPr>
                <w:rFonts w:cs="Arial"/>
              </w:rPr>
            </w:pPr>
            <w:r w:rsidRPr="00C73E3C">
              <w:t>чернодробна функция</w:t>
            </w:r>
          </w:p>
        </w:tc>
      </w:tr>
      <w:tr w:rsidR="00C73E3C" w14:paraId="2330D5EE" w14:textId="77777777" w:rsidTr="00C73E3C">
        <w:tc>
          <w:tcPr>
            <w:tcW w:w="2360" w:type="dxa"/>
          </w:tcPr>
          <w:p w14:paraId="4BA691FD" w14:textId="77777777" w:rsidR="00C73E3C" w:rsidRPr="00C73E3C" w:rsidRDefault="00C73E3C" w:rsidP="00C73E3C">
            <w:r w:rsidRPr="00C73E3C">
              <w:rPr>
                <w:b/>
                <w:bCs/>
              </w:rPr>
              <w:t>Нарушения</w:t>
            </w:r>
            <w:r w:rsidRPr="00C73E3C">
              <w:rPr>
                <w:b/>
                <w:bCs/>
              </w:rPr>
              <w:tab/>
              <w:t>на</w:t>
            </w:r>
          </w:p>
          <w:p w14:paraId="503B6E33" w14:textId="4E39D6C9" w:rsidR="00C73E3C" w:rsidRPr="00C73E3C" w:rsidRDefault="00C73E3C" w:rsidP="00C73E3C">
            <w:r>
              <w:rPr>
                <w:b/>
                <w:bCs/>
              </w:rPr>
              <w:t xml:space="preserve">Кожата </w:t>
            </w:r>
            <w:r w:rsidRPr="00C73E3C">
              <w:rPr>
                <w:b/>
                <w:bCs/>
              </w:rPr>
              <w:t>и</w:t>
            </w:r>
          </w:p>
          <w:p w14:paraId="3A9F54E7" w14:textId="12FF8BD2" w:rsidR="00C73E3C" w:rsidRPr="00C73E3C" w:rsidRDefault="00C73E3C" w:rsidP="00C73E3C">
            <w:pPr>
              <w:rPr>
                <w:rFonts w:cs="Arial"/>
              </w:rPr>
            </w:pPr>
            <w:r w:rsidRPr="00C73E3C">
              <w:rPr>
                <w:b/>
                <w:bCs/>
              </w:rPr>
              <w:t>подкожната тъкан</w:t>
            </w:r>
          </w:p>
        </w:tc>
        <w:tc>
          <w:tcPr>
            <w:tcW w:w="2335" w:type="dxa"/>
          </w:tcPr>
          <w:p w14:paraId="0D88E9DA" w14:textId="77777777" w:rsidR="00C73E3C" w:rsidRPr="00C73E3C" w:rsidRDefault="00C73E3C" w:rsidP="00C73E3C">
            <w:pPr>
              <w:rPr>
                <w:rFonts w:cs="Arial"/>
              </w:rPr>
            </w:pPr>
          </w:p>
        </w:tc>
        <w:tc>
          <w:tcPr>
            <w:tcW w:w="2360" w:type="dxa"/>
          </w:tcPr>
          <w:p w14:paraId="5880120E" w14:textId="70A3C357" w:rsidR="00C73E3C" w:rsidRPr="00C73E3C" w:rsidRDefault="00C73E3C" w:rsidP="00C73E3C">
            <w:pPr>
              <w:rPr>
                <w:rFonts w:cs="Arial"/>
              </w:rPr>
            </w:pPr>
            <w:r w:rsidRPr="00C73E3C">
              <w:t>Ангиоедем</w:t>
            </w:r>
          </w:p>
        </w:tc>
        <w:tc>
          <w:tcPr>
            <w:tcW w:w="2521" w:type="dxa"/>
          </w:tcPr>
          <w:p w14:paraId="44419653" w14:textId="5589C875" w:rsidR="00C73E3C" w:rsidRPr="00C73E3C" w:rsidRDefault="00C73E3C" w:rsidP="00C73E3C">
            <w:pPr>
              <w:rPr>
                <w:rFonts w:cs="Arial"/>
              </w:rPr>
            </w:pPr>
            <w:r w:rsidRPr="00C73E3C">
              <w:t>Булозен дерматит, обрив,сърбеж</w:t>
            </w:r>
          </w:p>
        </w:tc>
      </w:tr>
      <w:tr w:rsidR="00C73E3C" w14:paraId="4B543FC0" w14:textId="77777777" w:rsidTr="00C73E3C">
        <w:tc>
          <w:tcPr>
            <w:tcW w:w="2360" w:type="dxa"/>
          </w:tcPr>
          <w:p w14:paraId="5D792BC0" w14:textId="77777777" w:rsidR="00C73E3C" w:rsidRPr="00C73E3C" w:rsidRDefault="00C73E3C" w:rsidP="00C73E3C">
            <w:r w:rsidRPr="00C73E3C">
              <w:rPr>
                <w:b/>
                <w:bCs/>
              </w:rPr>
              <w:t>Нарушения</w:t>
            </w:r>
            <w:r w:rsidRPr="00C73E3C">
              <w:rPr>
                <w:b/>
                <w:bCs/>
              </w:rPr>
              <w:tab/>
              <w:t>на</w:t>
            </w:r>
          </w:p>
          <w:p w14:paraId="238BD4E5" w14:textId="0C905020" w:rsidR="00C73E3C" w:rsidRPr="00C73E3C" w:rsidRDefault="00C73E3C" w:rsidP="00C73E3C">
            <w:pPr>
              <w:rPr>
                <w:rFonts w:cs="Arial"/>
              </w:rPr>
            </w:pPr>
            <w:r w:rsidRPr="00C73E3C">
              <w:rPr>
                <w:b/>
                <w:bCs/>
              </w:rPr>
              <w:t>мускулно- скелетната система и съединителната тъкан</w:t>
            </w:r>
          </w:p>
        </w:tc>
        <w:tc>
          <w:tcPr>
            <w:tcW w:w="2335" w:type="dxa"/>
          </w:tcPr>
          <w:p w14:paraId="467308F7" w14:textId="77777777" w:rsidR="00C73E3C" w:rsidRPr="00C73E3C" w:rsidRDefault="00C73E3C" w:rsidP="00C73E3C">
            <w:pPr>
              <w:rPr>
                <w:rFonts w:cs="Arial"/>
              </w:rPr>
            </w:pPr>
          </w:p>
        </w:tc>
        <w:tc>
          <w:tcPr>
            <w:tcW w:w="2360" w:type="dxa"/>
          </w:tcPr>
          <w:p w14:paraId="462BD947" w14:textId="77777777" w:rsidR="00C73E3C" w:rsidRPr="00C73E3C" w:rsidRDefault="00C73E3C" w:rsidP="00C73E3C">
            <w:pPr>
              <w:rPr>
                <w:rFonts w:cs="Arial"/>
              </w:rPr>
            </w:pPr>
          </w:p>
        </w:tc>
        <w:tc>
          <w:tcPr>
            <w:tcW w:w="2521" w:type="dxa"/>
          </w:tcPr>
          <w:p w14:paraId="1B3B41B3" w14:textId="175E9A45" w:rsidR="00C73E3C" w:rsidRPr="00C73E3C" w:rsidRDefault="00C73E3C" w:rsidP="00C73E3C">
            <w:pPr>
              <w:rPr>
                <w:rFonts w:cs="Arial"/>
              </w:rPr>
            </w:pPr>
            <w:r w:rsidRPr="00C73E3C">
              <w:t>Миалгия</w:t>
            </w:r>
          </w:p>
        </w:tc>
      </w:tr>
      <w:tr w:rsidR="00C73E3C" w14:paraId="4226F671" w14:textId="77777777" w:rsidTr="00C73E3C">
        <w:tc>
          <w:tcPr>
            <w:tcW w:w="2360" w:type="dxa"/>
          </w:tcPr>
          <w:p w14:paraId="2350F6DA" w14:textId="45922E0E" w:rsidR="00C73E3C" w:rsidRPr="00C73E3C" w:rsidRDefault="00C73E3C" w:rsidP="00C73E3C">
            <w:r>
              <w:rPr>
                <w:b/>
                <w:bCs/>
              </w:rPr>
              <w:t xml:space="preserve">Нарушения </w:t>
            </w:r>
            <w:r w:rsidRPr="00C73E3C">
              <w:rPr>
                <w:b/>
                <w:bCs/>
              </w:rPr>
              <w:t>на</w:t>
            </w:r>
          </w:p>
          <w:p w14:paraId="741ABBFE" w14:textId="4AB1A486" w:rsidR="00C73E3C" w:rsidRPr="00C73E3C" w:rsidRDefault="00C73E3C" w:rsidP="00C73E3C">
            <w:r>
              <w:rPr>
                <w:b/>
                <w:bCs/>
              </w:rPr>
              <w:t>б</w:t>
            </w:r>
            <w:r w:rsidRPr="00C73E3C">
              <w:rPr>
                <w:b/>
                <w:bCs/>
              </w:rPr>
              <w:t>ъбреците</w:t>
            </w:r>
            <w:r>
              <w:rPr>
                <w:b/>
                <w:bCs/>
              </w:rPr>
              <w:t xml:space="preserve"> </w:t>
            </w:r>
            <w:r w:rsidRPr="00C73E3C">
              <w:rPr>
                <w:b/>
                <w:bCs/>
              </w:rPr>
              <w:t>и</w:t>
            </w:r>
          </w:p>
          <w:p w14:paraId="7A1E8CC7" w14:textId="40AB0552" w:rsidR="00C73E3C" w:rsidRPr="00C73E3C" w:rsidRDefault="00C73E3C" w:rsidP="00C73E3C">
            <w:pPr>
              <w:rPr>
                <w:rFonts w:cs="Arial"/>
              </w:rPr>
            </w:pPr>
            <w:r w:rsidRPr="00C73E3C">
              <w:rPr>
                <w:b/>
                <w:bCs/>
              </w:rPr>
              <w:t>пикочните пътища</w:t>
            </w:r>
          </w:p>
        </w:tc>
        <w:tc>
          <w:tcPr>
            <w:tcW w:w="2335" w:type="dxa"/>
          </w:tcPr>
          <w:p w14:paraId="010B9AF1" w14:textId="7BF7F2FA" w:rsidR="00C73E3C" w:rsidRPr="00C73E3C" w:rsidRDefault="00C73E3C" w:rsidP="00C73E3C">
            <w:pPr>
              <w:rPr>
                <w:rFonts w:cs="Arial"/>
              </w:rPr>
            </w:pPr>
            <w:r w:rsidRPr="00C73E3C">
              <w:t>Бъбречна недостатъчност и увреждане</w:t>
            </w:r>
          </w:p>
        </w:tc>
        <w:tc>
          <w:tcPr>
            <w:tcW w:w="2360" w:type="dxa"/>
          </w:tcPr>
          <w:p w14:paraId="72315901" w14:textId="77777777" w:rsidR="00C73E3C" w:rsidRPr="00C73E3C" w:rsidRDefault="00C73E3C" w:rsidP="00C73E3C">
            <w:r w:rsidRPr="00C73E3C">
              <w:t>Остро</w:t>
            </w:r>
            <w:r w:rsidRPr="00C73E3C">
              <w:tab/>
              <w:t>бъбречна</w:t>
            </w:r>
          </w:p>
          <w:p w14:paraId="6A3062B0" w14:textId="77777777" w:rsidR="00C73E3C" w:rsidRPr="00C73E3C" w:rsidRDefault="00C73E3C" w:rsidP="00C73E3C">
            <w:r w:rsidRPr="00C73E3C">
              <w:t>недостатъчност, повишаване</w:t>
            </w:r>
            <w:r w:rsidRPr="00C73E3C">
              <w:tab/>
              <w:t>на</w:t>
            </w:r>
          </w:p>
          <w:p w14:paraId="3543D1B7" w14:textId="5D46E65B" w:rsidR="00C73E3C" w:rsidRPr="00C73E3C" w:rsidRDefault="00C73E3C" w:rsidP="00C73E3C">
            <w:pPr>
              <w:rPr>
                <w:rFonts w:cs="Arial"/>
              </w:rPr>
            </w:pPr>
            <w:r w:rsidRPr="00C73E3C">
              <w:t>серумния креатинин</w:t>
            </w:r>
          </w:p>
        </w:tc>
        <w:tc>
          <w:tcPr>
            <w:tcW w:w="2521" w:type="dxa"/>
          </w:tcPr>
          <w:p w14:paraId="05D11BDF" w14:textId="04002AE5" w:rsidR="00C73E3C" w:rsidRPr="00C73E3C" w:rsidRDefault="00C73E3C" w:rsidP="00C73E3C">
            <w:pPr>
              <w:rPr>
                <w:rFonts w:cs="Arial"/>
              </w:rPr>
            </w:pPr>
            <w:r w:rsidRPr="00C73E3C">
              <w:t>Повишение на уреята в кръвта</w:t>
            </w:r>
          </w:p>
        </w:tc>
      </w:tr>
      <w:tr w:rsidR="00C73E3C" w14:paraId="63D9B118" w14:textId="77777777" w:rsidTr="00C73E3C">
        <w:tc>
          <w:tcPr>
            <w:tcW w:w="2360" w:type="dxa"/>
          </w:tcPr>
          <w:p w14:paraId="6BC926A0" w14:textId="157A5402" w:rsidR="00C73E3C" w:rsidRPr="00C73E3C" w:rsidRDefault="00C73E3C" w:rsidP="00C73E3C">
            <w:pPr>
              <w:rPr>
                <w:rFonts w:cs="Arial"/>
              </w:rPr>
            </w:pPr>
            <w:r w:rsidRPr="00C73E3C">
              <w:rPr>
                <w:b/>
                <w:bCs/>
              </w:rPr>
              <w:lastRenderedPageBreak/>
              <w:t>Общи нарушения и ефекти на мястото на приложение</w:t>
            </w:r>
          </w:p>
        </w:tc>
        <w:tc>
          <w:tcPr>
            <w:tcW w:w="2335" w:type="dxa"/>
          </w:tcPr>
          <w:p w14:paraId="1EDBBAEB" w14:textId="77777777" w:rsidR="00C73E3C" w:rsidRPr="00C73E3C" w:rsidRDefault="00C73E3C" w:rsidP="00C73E3C">
            <w:pPr>
              <w:rPr>
                <w:rFonts w:cs="Arial"/>
              </w:rPr>
            </w:pPr>
          </w:p>
        </w:tc>
        <w:tc>
          <w:tcPr>
            <w:tcW w:w="2360" w:type="dxa"/>
          </w:tcPr>
          <w:p w14:paraId="6E9E8756" w14:textId="10F588C7" w:rsidR="00C73E3C" w:rsidRPr="00C73E3C" w:rsidRDefault="00C73E3C" w:rsidP="00C73E3C">
            <w:pPr>
              <w:rPr>
                <w:rFonts w:cs="Arial"/>
              </w:rPr>
            </w:pPr>
            <w:r w:rsidRPr="00C73E3C">
              <w:t>Астения, умора</w:t>
            </w:r>
          </w:p>
        </w:tc>
        <w:tc>
          <w:tcPr>
            <w:tcW w:w="2521" w:type="dxa"/>
          </w:tcPr>
          <w:p w14:paraId="52BAD066" w14:textId="77777777" w:rsidR="00C73E3C" w:rsidRPr="00C73E3C" w:rsidRDefault="00C73E3C" w:rsidP="00C73E3C">
            <w:pPr>
              <w:rPr>
                <w:rFonts w:cs="Arial"/>
              </w:rPr>
            </w:pPr>
          </w:p>
        </w:tc>
      </w:tr>
    </w:tbl>
    <w:p w14:paraId="6F37F24A" w14:textId="1C018EF6" w:rsidR="00C73E3C" w:rsidRDefault="00C73E3C" w:rsidP="00C73E3C">
      <w:pPr>
        <w:rPr>
          <w:rFonts w:cs="Arial"/>
        </w:rPr>
      </w:pPr>
    </w:p>
    <w:p w14:paraId="3C615FB4" w14:textId="77777777"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Съобщаване на подозирани нежелани реакции</w:t>
      </w:r>
    </w:p>
    <w:p w14:paraId="7EA154F4"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E45094F"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Изпълнителна агенция по лекарствата</w:t>
      </w:r>
    </w:p>
    <w:p w14:paraId="0982C823"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ул.,Дамян Груев“ № 8</w:t>
      </w:r>
    </w:p>
    <w:p w14:paraId="79448F2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1303 София</w:t>
      </w:r>
    </w:p>
    <w:p w14:paraId="56358E7C"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Тел.:+359 2 8903417 уебсайт: </w:t>
      </w:r>
      <w:r w:rsidRPr="00C73E3C">
        <w:rPr>
          <w:rFonts w:eastAsia="Times New Roman" w:cs="Arial"/>
        </w:rPr>
        <w:fldChar w:fldCharType="begin"/>
      </w:r>
      <w:r w:rsidRPr="00C73E3C">
        <w:rPr>
          <w:rFonts w:eastAsia="Times New Roman" w:cs="Arial"/>
        </w:rPr>
        <w:instrText xml:space="preserve"> HYPERLINK "http://www.bda.bg" </w:instrText>
      </w:r>
      <w:r w:rsidRPr="00C73E3C">
        <w:rPr>
          <w:rFonts w:eastAsia="Times New Roman" w:cs="Arial"/>
        </w:rPr>
      </w:r>
      <w:r w:rsidRPr="00C73E3C">
        <w:rPr>
          <w:rFonts w:eastAsia="Times New Roman" w:cs="Arial"/>
        </w:rPr>
        <w:fldChar w:fldCharType="separate"/>
      </w:r>
      <w:r w:rsidRPr="00C73E3C">
        <w:rPr>
          <w:rFonts w:eastAsia="Times New Roman" w:cs="Arial"/>
          <w:color w:val="000000"/>
          <w:u w:val="single"/>
          <w:lang w:val="en-US"/>
        </w:rPr>
        <w:t>www</w:t>
      </w:r>
      <w:r w:rsidRPr="00C73E3C">
        <w:rPr>
          <w:rFonts w:eastAsia="Times New Roman" w:cs="Arial"/>
          <w:color w:val="000000"/>
          <w:u w:val="single"/>
          <w:lang w:val="ru-RU"/>
        </w:rPr>
        <w:t>.</w:t>
      </w:r>
      <w:proofErr w:type="spellStart"/>
      <w:r w:rsidRPr="00C73E3C">
        <w:rPr>
          <w:rFonts w:eastAsia="Times New Roman" w:cs="Arial"/>
          <w:color w:val="000000"/>
          <w:u w:val="single"/>
          <w:lang w:val="en-US"/>
        </w:rPr>
        <w:t>bda</w:t>
      </w:r>
      <w:proofErr w:type="spellEnd"/>
      <w:r w:rsidRPr="00C73E3C">
        <w:rPr>
          <w:rFonts w:eastAsia="Times New Roman" w:cs="Arial"/>
          <w:color w:val="000000"/>
          <w:u w:val="single"/>
          <w:lang w:val="ru-RU"/>
        </w:rPr>
        <w:t>.</w:t>
      </w:r>
      <w:proofErr w:type="spellStart"/>
      <w:r w:rsidRPr="00C73E3C">
        <w:rPr>
          <w:rFonts w:eastAsia="Times New Roman" w:cs="Arial"/>
          <w:color w:val="000000"/>
          <w:u w:val="single"/>
          <w:lang w:val="en-US"/>
        </w:rPr>
        <w:t>bg</w:t>
      </w:r>
      <w:proofErr w:type="spellEnd"/>
      <w:r w:rsidRPr="00C73E3C">
        <w:rPr>
          <w:rFonts w:eastAsia="Times New Roman" w:cs="Arial"/>
        </w:rPr>
        <w:fldChar w:fldCharType="end"/>
      </w:r>
    </w:p>
    <w:p w14:paraId="02D63B87" w14:textId="77777777" w:rsidR="00C73E3C" w:rsidRPr="00C73E3C" w:rsidRDefault="00C73E3C" w:rsidP="00C73E3C">
      <w:pPr>
        <w:rPr>
          <w:rFonts w:cs="Arial"/>
        </w:rPr>
      </w:pPr>
    </w:p>
    <w:p w14:paraId="638C01A5" w14:textId="026F2A4F" w:rsidR="00C73E3C" w:rsidRDefault="002C50EE" w:rsidP="00C73E3C">
      <w:pPr>
        <w:pStyle w:val="Heading2"/>
      </w:pPr>
      <w:r>
        <w:t>4.9. Предозиране</w:t>
      </w:r>
    </w:p>
    <w:p w14:paraId="7DB6CECB" w14:textId="6928477E" w:rsidR="00C73E3C" w:rsidRDefault="00C73E3C" w:rsidP="00C73E3C"/>
    <w:p w14:paraId="7D3360EA" w14:textId="77777777" w:rsidR="00C73E3C" w:rsidRPr="00C73E3C" w:rsidRDefault="00C73E3C" w:rsidP="00C73E3C">
      <w:pPr>
        <w:pStyle w:val="Heading3"/>
        <w:rPr>
          <w:rFonts w:eastAsia="Times New Roman"/>
          <w:u w:val="single"/>
        </w:rPr>
      </w:pPr>
      <w:r w:rsidRPr="00C73E3C">
        <w:rPr>
          <w:rFonts w:eastAsia="Times New Roman"/>
          <w:u w:val="single"/>
          <w:lang w:eastAsia="bg-BG"/>
        </w:rPr>
        <w:t>Симптоми</w:t>
      </w:r>
    </w:p>
    <w:p w14:paraId="3719E021"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w:t>
      </w:r>
    </w:p>
    <w:p w14:paraId="7A613598" w14:textId="77777777" w:rsidR="00C73E3C" w:rsidRPr="00C73E3C" w:rsidRDefault="00C73E3C" w:rsidP="00C73E3C">
      <w:pPr>
        <w:spacing w:line="240" w:lineRule="auto"/>
        <w:rPr>
          <w:rFonts w:eastAsia="Times New Roman" w:cs="Arial"/>
          <w:color w:val="000000"/>
          <w:u w:val="single"/>
          <w:lang w:eastAsia="bg-BG"/>
        </w:rPr>
      </w:pPr>
    </w:p>
    <w:p w14:paraId="76B813D9" w14:textId="03F21D78" w:rsidR="00C73E3C" w:rsidRPr="00C73E3C" w:rsidRDefault="00C73E3C" w:rsidP="00C73E3C">
      <w:pPr>
        <w:pStyle w:val="Heading3"/>
        <w:rPr>
          <w:rFonts w:eastAsia="Times New Roman"/>
          <w:u w:val="single"/>
        </w:rPr>
      </w:pPr>
      <w:r w:rsidRPr="00C73E3C">
        <w:rPr>
          <w:rFonts w:eastAsia="Times New Roman"/>
          <w:u w:val="single"/>
          <w:lang w:eastAsia="bg-BG"/>
        </w:rPr>
        <w:t>Лечение</w:t>
      </w:r>
    </w:p>
    <w:p w14:paraId="0EDE5F13"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 В случай на хипотония пациентът трябва да бъде поставен в легнало положение и бързо да се предприеме заместване с обемозаместващи и солеви разтвори. Малко вероятно е валсартан да бъде отстранен чрез хемодиализа.</w:t>
      </w:r>
    </w:p>
    <w:p w14:paraId="494BA662" w14:textId="77777777" w:rsidR="00C73E3C" w:rsidRPr="00C73E3C" w:rsidRDefault="00C73E3C" w:rsidP="00C73E3C"/>
    <w:p w14:paraId="02081B24" w14:textId="1F46E296" w:rsidR="00395555" w:rsidRPr="00395555" w:rsidRDefault="002C50EE" w:rsidP="008A6AF2">
      <w:pPr>
        <w:pStyle w:val="Heading1"/>
      </w:pPr>
      <w:r>
        <w:t>5. ФАРМАКОЛОГИЧНИ СВОЙСТВА</w:t>
      </w:r>
    </w:p>
    <w:p w14:paraId="32B6DE66" w14:textId="4FE3ED35" w:rsidR="00CF77F7" w:rsidRDefault="002C50EE" w:rsidP="004A448E">
      <w:pPr>
        <w:pStyle w:val="Heading2"/>
      </w:pPr>
      <w:r>
        <w:t>5.1. Фармакодинамични свойства</w:t>
      </w:r>
    </w:p>
    <w:p w14:paraId="760FD9FA" w14:textId="592A2FD9" w:rsidR="00C73E3C" w:rsidRDefault="00C73E3C" w:rsidP="00C73E3C"/>
    <w:p w14:paraId="482ADE78" w14:textId="77777777" w:rsidR="00C73E3C" w:rsidRPr="00C73E3C" w:rsidRDefault="00C73E3C" w:rsidP="00C73E3C">
      <w:pPr>
        <w:spacing w:line="240" w:lineRule="auto"/>
        <w:rPr>
          <w:rFonts w:eastAsia="Times New Roman" w:cs="Arial"/>
        </w:rPr>
      </w:pPr>
      <w:r w:rsidRPr="00C73E3C">
        <w:rPr>
          <w:rFonts w:eastAsia="Times New Roman" w:cs="Arial"/>
          <w:color w:val="000000"/>
          <w:lang w:eastAsia="bg-BG"/>
        </w:rPr>
        <w:t>Фармакотерапевтична група: ангиотензин П рецепторни блокери, самостоятелни, АТС код: С09СА03</w:t>
      </w:r>
    </w:p>
    <w:p w14:paraId="08312CAD" w14:textId="77777777" w:rsidR="00C73E3C" w:rsidRDefault="00C73E3C" w:rsidP="00C73E3C">
      <w:pPr>
        <w:spacing w:line="240" w:lineRule="auto"/>
        <w:rPr>
          <w:rFonts w:eastAsia="Times New Roman" w:cs="Arial"/>
          <w:color w:val="000000"/>
          <w:lang w:eastAsia="bg-BG"/>
        </w:rPr>
      </w:pPr>
    </w:p>
    <w:p w14:paraId="2FA5706B" w14:textId="2CD52675"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Валсартан е перорално активен, мощен и специфичен ангиотензин II </w:t>
      </w:r>
      <w:r w:rsidRPr="00C73E3C">
        <w:rPr>
          <w:rFonts w:eastAsia="Times New Roman" w:cs="Arial"/>
          <w:color w:val="000000"/>
          <w:lang w:val="ru-RU"/>
        </w:rPr>
        <w:t>(</w:t>
      </w:r>
      <w:r w:rsidRPr="00C73E3C">
        <w:rPr>
          <w:rFonts w:eastAsia="Times New Roman" w:cs="Arial"/>
          <w:color w:val="000000"/>
          <w:lang w:val="en-US"/>
        </w:rPr>
        <w:t>AT</w:t>
      </w:r>
      <w:r w:rsidRPr="00C73E3C">
        <w:rPr>
          <w:rFonts w:eastAsia="Times New Roman" w:cs="Arial"/>
          <w:color w:val="000000"/>
          <w:lang w:val="ru-RU"/>
        </w:rPr>
        <w:t xml:space="preserve"> </w:t>
      </w:r>
      <w:r w:rsidRPr="00C73E3C">
        <w:rPr>
          <w:rFonts w:eastAsia="Times New Roman" w:cs="Arial"/>
          <w:color w:val="000000"/>
          <w:lang w:eastAsia="bg-BG"/>
        </w:rPr>
        <w:t xml:space="preserve">II) антагонист. Той действа селективно върху </w:t>
      </w:r>
      <w:r w:rsidRPr="00C73E3C">
        <w:rPr>
          <w:rFonts w:eastAsia="Times New Roman" w:cs="Arial"/>
          <w:color w:val="000000"/>
          <w:lang w:val="en-US"/>
        </w:rPr>
        <w:t>AT</w:t>
      </w:r>
      <w:r w:rsidRPr="00C73E3C">
        <w:rPr>
          <w:rFonts w:eastAsia="Times New Roman" w:cs="Arial"/>
          <w:color w:val="000000"/>
          <w:vertAlign w:val="subscript"/>
          <w:lang w:val="ru-RU"/>
        </w:rPr>
        <w:t>1</w:t>
      </w:r>
      <w:r w:rsidRPr="00C73E3C">
        <w:rPr>
          <w:rFonts w:eastAsia="Times New Roman" w:cs="Arial"/>
          <w:color w:val="000000"/>
          <w:lang w:val="ru-RU"/>
        </w:rPr>
        <w:t xml:space="preserve"> </w:t>
      </w:r>
      <w:r w:rsidRPr="00C73E3C">
        <w:rPr>
          <w:rFonts w:eastAsia="Times New Roman" w:cs="Arial"/>
          <w:color w:val="000000"/>
          <w:lang w:eastAsia="bg-BG"/>
        </w:rPr>
        <w:t xml:space="preserve">рецепторния подтип, който е отговорен за познатите действия на ангиотензин П. Повишените плазмени нива на ангиотензин И в резултат на </w:t>
      </w:r>
      <w:r w:rsidRPr="00C73E3C">
        <w:rPr>
          <w:rFonts w:eastAsia="Times New Roman" w:cs="Arial"/>
          <w:color w:val="000000"/>
          <w:lang w:val="en-US"/>
        </w:rPr>
        <w:t>AT</w:t>
      </w:r>
      <w:r w:rsidRPr="00C73E3C">
        <w:rPr>
          <w:rFonts w:eastAsia="Times New Roman" w:cs="Arial"/>
          <w:color w:val="000000"/>
          <w:vertAlign w:val="subscript"/>
          <w:lang w:val="ru-RU"/>
        </w:rPr>
        <w:t>1</w:t>
      </w:r>
      <w:r w:rsidRPr="00C73E3C">
        <w:rPr>
          <w:rFonts w:eastAsia="Times New Roman" w:cs="Arial"/>
          <w:color w:val="000000"/>
          <w:lang w:val="ru-RU"/>
        </w:rPr>
        <w:t xml:space="preserve"> </w:t>
      </w:r>
      <w:r w:rsidRPr="00C73E3C">
        <w:rPr>
          <w:rFonts w:eastAsia="Times New Roman" w:cs="Arial"/>
          <w:color w:val="000000"/>
          <w:lang w:eastAsia="bg-BG"/>
        </w:rPr>
        <w:t>рецепторната блокада с валсартан могат да стимулират неблокираните АТ</w:t>
      </w:r>
      <w:r w:rsidRPr="00C73E3C">
        <w:rPr>
          <w:rFonts w:eastAsia="Times New Roman" w:cs="Arial"/>
          <w:color w:val="000000"/>
          <w:vertAlign w:val="subscript"/>
          <w:lang w:eastAsia="bg-BG"/>
        </w:rPr>
        <w:t>2</w:t>
      </w:r>
      <w:r w:rsidRPr="00C73E3C">
        <w:rPr>
          <w:rFonts w:eastAsia="Times New Roman" w:cs="Arial"/>
          <w:color w:val="000000"/>
          <w:lang w:eastAsia="bg-BG"/>
        </w:rPr>
        <w:t xml:space="preserve"> рецептори, което изглежда да противодейства на ефекта на </w:t>
      </w:r>
      <w:r w:rsidRPr="00C73E3C">
        <w:rPr>
          <w:rFonts w:eastAsia="Times New Roman" w:cs="Arial"/>
          <w:color w:val="000000"/>
          <w:lang w:val="en-US"/>
        </w:rPr>
        <w:t>AT</w:t>
      </w:r>
      <w:r w:rsidRPr="00C73E3C">
        <w:rPr>
          <w:rFonts w:eastAsia="Times New Roman" w:cs="Arial"/>
          <w:color w:val="000000"/>
          <w:vertAlign w:val="subscript"/>
          <w:lang w:val="ru-RU"/>
        </w:rPr>
        <w:t>1</w:t>
      </w:r>
      <w:r w:rsidRPr="00C73E3C">
        <w:rPr>
          <w:rFonts w:eastAsia="Times New Roman" w:cs="Arial"/>
          <w:color w:val="000000"/>
          <w:lang w:val="ru-RU"/>
        </w:rPr>
        <w:t xml:space="preserve"> </w:t>
      </w:r>
      <w:r w:rsidRPr="00C73E3C">
        <w:rPr>
          <w:rFonts w:eastAsia="Times New Roman" w:cs="Arial"/>
          <w:color w:val="000000"/>
          <w:lang w:eastAsia="bg-BG"/>
        </w:rPr>
        <w:t xml:space="preserve">рецептора. Валсартан не проявява никаква частична агонистична активност към </w:t>
      </w:r>
      <w:r w:rsidRPr="00C73E3C">
        <w:rPr>
          <w:rFonts w:eastAsia="Times New Roman" w:cs="Arial"/>
          <w:color w:val="000000"/>
          <w:lang w:val="en-US"/>
        </w:rPr>
        <w:t>AT</w:t>
      </w:r>
      <w:r w:rsidRPr="00C73E3C">
        <w:rPr>
          <w:rFonts w:eastAsia="Times New Roman" w:cs="Arial"/>
          <w:color w:val="000000"/>
          <w:vertAlign w:val="subscript"/>
          <w:lang w:val="ru-RU"/>
        </w:rPr>
        <w:t>1</w:t>
      </w:r>
      <w:r w:rsidRPr="00C73E3C">
        <w:rPr>
          <w:rFonts w:eastAsia="Times New Roman" w:cs="Arial"/>
          <w:color w:val="000000"/>
          <w:lang w:val="ru-RU"/>
        </w:rPr>
        <w:t xml:space="preserve"> </w:t>
      </w:r>
      <w:r w:rsidRPr="00C73E3C">
        <w:rPr>
          <w:rFonts w:eastAsia="Times New Roman" w:cs="Arial"/>
          <w:color w:val="000000"/>
          <w:lang w:eastAsia="bg-BG"/>
        </w:rPr>
        <w:t xml:space="preserve">рецептора и има значително (около 20 000 пъти) по-голям афинитет към </w:t>
      </w:r>
      <w:r w:rsidRPr="00C73E3C">
        <w:rPr>
          <w:rFonts w:eastAsia="Times New Roman" w:cs="Arial"/>
          <w:color w:val="000000"/>
          <w:lang w:val="en-US"/>
        </w:rPr>
        <w:t>AT</w:t>
      </w:r>
      <w:r w:rsidRPr="00C73E3C">
        <w:rPr>
          <w:rFonts w:eastAsia="Times New Roman" w:cs="Arial"/>
          <w:color w:val="000000"/>
          <w:vertAlign w:val="subscript"/>
          <w:lang w:val="ru-RU"/>
        </w:rPr>
        <w:t>1</w:t>
      </w:r>
      <w:r w:rsidRPr="00C73E3C">
        <w:rPr>
          <w:rFonts w:eastAsia="Times New Roman" w:cs="Arial"/>
          <w:color w:val="000000"/>
          <w:lang w:val="ru-RU"/>
        </w:rPr>
        <w:t xml:space="preserve"> </w:t>
      </w:r>
      <w:r w:rsidRPr="00C73E3C">
        <w:rPr>
          <w:rFonts w:eastAsia="Times New Roman" w:cs="Arial"/>
          <w:color w:val="000000"/>
          <w:lang w:eastAsia="bg-BG"/>
        </w:rPr>
        <w:t>рецептора, отколкото към АТ</w:t>
      </w:r>
      <w:r w:rsidRPr="00C73E3C">
        <w:rPr>
          <w:rFonts w:eastAsia="Times New Roman" w:cs="Arial"/>
          <w:color w:val="000000"/>
          <w:vertAlign w:val="subscript"/>
          <w:lang w:eastAsia="bg-BG"/>
        </w:rPr>
        <w:t>2</w:t>
      </w:r>
      <w:r w:rsidRPr="00C73E3C">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43523553" w14:textId="77777777" w:rsidR="00C73E3C" w:rsidRDefault="00C73E3C" w:rsidP="00C73E3C">
      <w:pPr>
        <w:spacing w:line="240" w:lineRule="auto"/>
        <w:rPr>
          <w:rFonts w:eastAsia="Times New Roman" w:cs="Arial"/>
          <w:color w:val="000000"/>
          <w:lang w:eastAsia="bg-BG"/>
        </w:rPr>
      </w:pPr>
    </w:p>
    <w:p w14:paraId="78D69601" w14:textId="618B97FA" w:rsidR="00C73E3C" w:rsidRPr="00C73E3C" w:rsidRDefault="00C73E3C" w:rsidP="00C73E3C">
      <w:pPr>
        <w:spacing w:line="240" w:lineRule="auto"/>
        <w:rPr>
          <w:rFonts w:eastAsia="Times New Roman" w:cs="Arial"/>
        </w:rPr>
      </w:pPr>
      <w:r w:rsidRPr="00C73E3C">
        <w:rPr>
          <w:rFonts w:eastAsia="Times New Roman" w:cs="Arial"/>
          <w:color w:val="000000"/>
          <w:lang w:eastAsia="bg-BG"/>
        </w:rPr>
        <w:t xml:space="preserve">Валсартан не инхибира АСЕ (известен и като кининаза </w:t>
      </w:r>
      <w:r w:rsidRPr="00C73E3C">
        <w:rPr>
          <w:rFonts w:eastAsia="Times New Roman" w:cs="Arial"/>
          <w:color w:val="000000"/>
          <w:lang w:val="en-US"/>
        </w:rPr>
        <w:t>II</w:t>
      </w:r>
      <w:r w:rsidRPr="00C73E3C">
        <w:rPr>
          <w:rFonts w:eastAsia="Times New Roman" w:cs="Arial"/>
          <w:color w:val="000000"/>
          <w:lang w:eastAsia="bg-BG"/>
        </w:rPr>
        <w:t xml:space="preserve">),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w:t>
      </w:r>
      <w:r w:rsidRPr="00C73E3C">
        <w:rPr>
          <w:rFonts w:eastAsia="Times New Roman" w:cs="Arial"/>
          <w:color w:val="000000"/>
          <w:lang w:eastAsia="bg-BG"/>
        </w:rPr>
        <w:lastRenderedPageBreak/>
        <w:t>ангиотензин II да са свързани с кашляне. В клинични проучвания, където валсартан е сравнен с АСЕ инхибитор, честотата на суха кашлица е значително (Р &lt;0,05)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имат кашлица, в сравнение с 68,5% от лицата, лекувани с АСЕ инхибитор (Р &lt; 0,05).</w:t>
      </w:r>
    </w:p>
    <w:p w14:paraId="4D26F576" w14:textId="77777777" w:rsidR="00C73E3C" w:rsidRDefault="00C73E3C" w:rsidP="00C73E3C">
      <w:pPr>
        <w:spacing w:line="240" w:lineRule="auto"/>
        <w:rPr>
          <w:rFonts w:eastAsia="Times New Roman" w:cs="Arial"/>
          <w:color w:val="000000"/>
          <w:u w:val="single"/>
          <w:lang w:eastAsia="bg-BG"/>
        </w:rPr>
      </w:pPr>
    </w:p>
    <w:p w14:paraId="5B459C19" w14:textId="43D49362"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 xml:space="preserve">Валсартан 40 </w:t>
      </w:r>
      <w:r w:rsidRPr="00C73E3C">
        <w:rPr>
          <w:rFonts w:eastAsia="Times New Roman" w:cs="Arial"/>
          <w:color w:val="000000"/>
          <w:u w:val="single"/>
          <w:lang w:val="en-US"/>
        </w:rPr>
        <w:t>mg</w:t>
      </w:r>
      <w:r w:rsidRPr="00C73E3C">
        <w:rPr>
          <w:rFonts w:eastAsia="Times New Roman" w:cs="Arial"/>
          <w:color w:val="000000"/>
          <w:u w:val="single"/>
          <w:lang w:val="ru-RU"/>
        </w:rPr>
        <w:t xml:space="preserve"> </w:t>
      </w:r>
      <w:r w:rsidRPr="00C73E3C">
        <w:rPr>
          <w:rFonts w:eastAsia="Times New Roman" w:cs="Arial"/>
          <w:color w:val="000000"/>
          <w:u w:val="single"/>
          <w:lang w:eastAsia="bg-BG"/>
        </w:rPr>
        <w:t>филмирани таблетки</w:t>
      </w:r>
    </w:p>
    <w:p w14:paraId="1EA77946" w14:textId="77777777" w:rsidR="00C73E3C" w:rsidRDefault="00C73E3C" w:rsidP="00C73E3C">
      <w:pPr>
        <w:spacing w:line="240" w:lineRule="auto"/>
        <w:rPr>
          <w:rFonts w:eastAsia="Times New Roman" w:cs="Arial"/>
          <w:color w:val="000000"/>
          <w:u w:val="single"/>
          <w:lang w:eastAsia="bg-BG"/>
        </w:rPr>
      </w:pPr>
    </w:p>
    <w:p w14:paraId="18824F1D" w14:textId="6AA3880E"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Пресен миокарден инфаркт</w:t>
      </w:r>
    </w:p>
    <w:p w14:paraId="74020BAC" w14:textId="77777777" w:rsidR="00C73E3C" w:rsidRPr="00C73E3C" w:rsidRDefault="00C73E3C" w:rsidP="00C73E3C">
      <w:pPr>
        <w:spacing w:line="240" w:lineRule="auto"/>
        <w:rPr>
          <w:rFonts w:eastAsia="Times New Roman" w:cs="Arial"/>
        </w:rPr>
      </w:pPr>
      <w:proofErr w:type="spellStart"/>
      <w:r w:rsidRPr="00C73E3C">
        <w:rPr>
          <w:rFonts w:eastAsia="Times New Roman" w:cs="Arial"/>
          <w:color w:val="000000"/>
          <w:lang w:val="en-US"/>
        </w:rPr>
        <w:t>VALsartan</w:t>
      </w:r>
      <w:proofErr w:type="spellEnd"/>
      <w:r w:rsidRPr="00C73E3C">
        <w:rPr>
          <w:rFonts w:eastAsia="Times New Roman" w:cs="Arial"/>
          <w:color w:val="000000"/>
          <w:lang w:val="ru-RU"/>
        </w:rPr>
        <w:t xml:space="preserve"> </w:t>
      </w:r>
      <w:r w:rsidRPr="00C73E3C">
        <w:rPr>
          <w:rFonts w:eastAsia="Times New Roman" w:cs="Arial"/>
          <w:color w:val="000000"/>
          <w:lang w:val="en-US"/>
        </w:rPr>
        <w:t>In</w:t>
      </w:r>
      <w:r w:rsidRPr="00C73E3C">
        <w:rPr>
          <w:rFonts w:eastAsia="Times New Roman" w:cs="Arial"/>
          <w:color w:val="000000"/>
          <w:lang w:val="ru-RU"/>
        </w:rPr>
        <w:t xml:space="preserve"> </w:t>
      </w:r>
      <w:r w:rsidRPr="00C73E3C">
        <w:rPr>
          <w:rFonts w:eastAsia="Times New Roman" w:cs="Arial"/>
          <w:color w:val="000000"/>
          <w:lang w:val="en-US"/>
        </w:rPr>
        <w:t>Acute</w:t>
      </w:r>
      <w:r w:rsidRPr="00C73E3C">
        <w:rPr>
          <w:rFonts w:eastAsia="Times New Roman" w:cs="Arial"/>
          <w:color w:val="000000"/>
          <w:lang w:val="ru-RU"/>
        </w:rPr>
        <w:t xml:space="preserve"> </w:t>
      </w:r>
      <w:r w:rsidRPr="00C73E3C">
        <w:rPr>
          <w:rFonts w:eastAsia="Times New Roman" w:cs="Arial"/>
          <w:color w:val="000000"/>
          <w:lang w:val="en-US"/>
        </w:rPr>
        <w:t>myocardial</w:t>
      </w:r>
      <w:r w:rsidRPr="00C73E3C">
        <w:rPr>
          <w:rFonts w:eastAsia="Times New Roman" w:cs="Arial"/>
          <w:color w:val="000000"/>
          <w:lang w:val="ru-RU"/>
        </w:rPr>
        <w:t xml:space="preserve"> </w:t>
      </w:r>
      <w:proofErr w:type="spellStart"/>
      <w:r w:rsidRPr="00C73E3C">
        <w:rPr>
          <w:rFonts w:eastAsia="Times New Roman" w:cs="Arial"/>
          <w:color w:val="000000"/>
          <w:lang w:val="en-US"/>
        </w:rPr>
        <w:t>iNfarcTion</w:t>
      </w:r>
      <w:proofErr w:type="spellEnd"/>
      <w:r w:rsidRPr="00C73E3C">
        <w:rPr>
          <w:rFonts w:eastAsia="Times New Roman" w:cs="Arial"/>
          <w:color w:val="000000"/>
          <w:lang w:val="ru-RU"/>
        </w:rPr>
        <w:t xml:space="preserve"> (</w:t>
      </w:r>
      <w:r w:rsidRPr="00C73E3C">
        <w:rPr>
          <w:rFonts w:eastAsia="Times New Roman" w:cs="Arial"/>
          <w:color w:val="000000"/>
          <w:lang w:val="en-US"/>
        </w:rPr>
        <w:t>VALIANT</w:t>
      </w:r>
      <w:r w:rsidRPr="00C73E3C">
        <w:rPr>
          <w:rFonts w:eastAsia="Times New Roman" w:cs="Arial"/>
          <w:color w:val="000000"/>
          <w:lang w:val="ru-RU"/>
        </w:rPr>
        <w:t xml:space="preserve">) </w:t>
      </w:r>
      <w:r w:rsidRPr="00C73E3C">
        <w:rPr>
          <w:rFonts w:eastAsia="Times New Roman" w:cs="Arial"/>
          <w:color w:val="000000"/>
          <w:lang w:eastAsia="bg-BG"/>
        </w:rPr>
        <w:t>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 40% чрез радионуклидна вентрикулография или &lt; 35% чрез ехокардиография или вентрикулна контрастна ангиография). Пациентите са рандомизирани спрямо валсартан, каптоприл или комбинация от двата в рамките на12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 (обща смъртност).</w:t>
      </w:r>
    </w:p>
    <w:p w14:paraId="784D0A9D" w14:textId="77777777" w:rsidR="00C73E3C" w:rsidRDefault="00C73E3C" w:rsidP="00C73E3C">
      <w:pPr>
        <w:spacing w:line="240" w:lineRule="auto"/>
        <w:rPr>
          <w:rFonts w:eastAsia="Times New Roman" w:cs="Arial"/>
          <w:color w:val="000000"/>
          <w:lang w:eastAsia="bg-BG"/>
        </w:rPr>
      </w:pPr>
    </w:p>
    <w:p w14:paraId="0D86B3B5" w14:textId="37EC1E24" w:rsidR="00C73E3C" w:rsidRPr="00C73E3C" w:rsidRDefault="00C73E3C" w:rsidP="00C73E3C">
      <w:pPr>
        <w:spacing w:line="240" w:lineRule="auto"/>
        <w:rPr>
          <w:rFonts w:eastAsia="Times New Roman" w:cs="Arial"/>
        </w:rPr>
      </w:pPr>
      <w:r w:rsidRPr="00C73E3C">
        <w:rPr>
          <w:rFonts w:eastAsia="Times New Roman" w:cs="Arial"/>
          <w:color w:val="000000"/>
          <w:lang w:eastAsia="bg-BG"/>
        </w:rPr>
        <w:t>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2E71D8D7" w14:textId="77777777" w:rsidR="00C73E3C" w:rsidRDefault="00C73E3C" w:rsidP="00C73E3C">
      <w:pPr>
        <w:spacing w:line="240" w:lineRule="auto"/>
        <w:rPr>
          <w:rFonts w:eastAsia="Times New Roman" w:cs="Arial"/>
          <w:color w:val="000000"/>
          <w:lang w:eastAsia="bg-BG"/>
        </w:rPr>
      </w:pPr>
    </w:p>
    <w:p w14:paraId="03A8E1BA" w14:textId="3E9D2A70" w:rsidR="00C73E3C" w:rsidRPr="00C73E3C" w:rsidRDefault="00C73E3C" w:rsidP="00C73E3C">
      <w:pPr>
        <w:spacing w:line="240" w:lineRule="auto"/>
        <w:rPr>
          <w:rFonts w:eastAsia="Times New Roman" w:cs="Arial"/>
        </w:rPr>
      </w:pPr>
      <w:r w:rsidRPr="00C73E3C">
        <w:rPr>
          <w:rFonts w:eastAsia="Times New Roman" w:cs="Arial"/>
          <w:color w:val="000000"/>
          <w:lang w:eastAsia="bg-BG"/>
        </w:rPr>
        <w:t>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лекувани с каптоприл. Прекъсване поради различни видове бъбречна дисфункция настъпват при 1,1% от пациентите, лекувани с валсартан, 1,3% от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53C91EED" w14:textId="77777777" w:rsidR="00C73E3C" w:rsidRDefault="00C73E3C" w:rsidP="00C73E3C">
      <w:pPr>
        <w:spacing w:line="240" w:lineRule="auto"/>
        <w:rPr>
          <w:rFonts w:eastAsia="Times New Roman" w:cs="Arial"/>
          <w:color w:val="000000"/>
          <w:lang w:eastAsia="bg-BG"/>
        </w:rPr>
      </w:pPr>
    </w:p>
    <w:p w14:paraId="00E84E2D" w14:textId="609874E3" w:rsidR="00C73E3C" w:rsidRPr="00C73E3C" w:rsidRDefault="00C73E3C" w:rsidP="00C73E3C">
      <w:pPr>
        <w:spacing w:line="240" w:lineRule="auto"/>
        <w:rPr>
          <w:rFonts w:eastAsia="Times New Roman" w:cs="Arial"/>
        </w:rPr>
      </w:pPr>
      <w:r w:rsidRPr="00C73E3C">
        <w:rPr>
          <w:rFonts w:eastAsia="Times New Roman" w:cs="Arial"/>
          <w:color w:val="000000"/>
          <w:lang w:eastAsia="bg-BG"/>
        </w:rPr>
        <w:t>Няма разлика в общата смъртност, сърдечно-съдовата смъртност и заболеваемостта, когато се прилагат бета-блокери едновременно с комбинацията валсартан + каптоприл, само валсартан или само каптоприл. Независимо от проучваното лечение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509EF459" w14:textId="77777777" w:rsidR="00C73E3C" w:rsidRDefault="00C73E3C" w:rsidP="00C73E3C">
      <w:pPr>
        <w:spacing w:line="240" w:lineRule="auto"/>
        <w:rPr>
          <w:rFonts w:eastAsia="Times New Roman" w:cs="Arial"/>
          <w:color w:val="000000"/>
          <w:u w:val="single"/>
          <w:lang w:eastAsia="bg-BG"/>
        </w:rPr>
      </w:pPr>
    </w:p>
    <w:p w14:paraId="6B0BD143" w14:textId="65B44A9A" w:rsidR="00C73E3C" w:rsidRPr="00C73E3C" w:rsidRDefault="00C73E3C" w:rsidP="00C73E3C">
      <w:pPr>
        <w:spacing w:line="240" w:lineRule="auto"/>
        <w:rPr>
          <w:rFonts w:eastAsia="Times New Roman" w:cs="Arial"/>
        </w:rPr>
      </w:pPr>
      <w:r w:rsidRPr="00C73E3C">
        <w:rPr>
          <w:rFonts w:eastAsia="Times New Roman" w:cs="Arial"/>
          <w:color w:val="000000"/>
          <w:u w:val="single"/>
          <w:lang w:eastAsia="bg-BG"/>
        </w:rPr>
        <w:t>Сърдечна недостатъчност</w:t>
      </w:r>
    </w:p>
    <w:p w14:paraId="0C1DF156" w14:textId="77777777" w:rsidR="00C73E3C" w:rsidRDefault="00C73E3C" w:rsidP="00C73E3C">
      <w:pPr>
        <w:spacing w:line="240" w:lineRule="auto"/>
        <w:rPr>
          <w:rFonts w:eastAsia="Times New Roman" w:cs="Arial"/>
          <w:color w:val="000000"/>
          <w:lang w:val="en-US"/>
        </w:rPr>
      </w:pPr>
    </w:p>
    <w:p w14:paraId="3F67EB08" w14:textId="7D10E494" w:rsidR="00C73E3C" w:rsidRPr="00C73E3C" w:rsidRDefault="00C73E3C" w:rsidP="00C73E3C">
      <w:pPr>
        <w:spacing w:line="240" w:lineRule="auto"/>
        <w:rPr>
          <w:rFonts w:eastAsia="Times New Roman" w:cs="Arial"/>
        </w:rPr>
      </w:pPr>
      <w:r w:rsidRPr="00C73E3C">
        <w:rPr>
          <w:rFonts w:eastAsia="Times New Roman" w:cs="Arial"/>
          <w:color w:val="000000"/>
          <w:lang w:val="en-US"/>
        </w:rPr>
        <w:lastRenderedPageBreak/>
        <w:t>Val</w:t>
      </w:r>
      <w:r w:rsidRPr="00C73E3C">
        <w:rPr>
          <w:rFonts w:eastAsia="Times New Roman" w:cs="Arial"/>
          <w:color w:val="000000"/>
          <w:lang w:val="ru-RU"/>
        </w:rPr>
        <w:t>-</w:t>
      </w:r>
      <w:proofErr w:type="spellStart"/>
      <w:r w:rsidRPr="00C73E3C">
        <w:rPr>
          <w:rFonts w:eastAsia="Times New Roman" w:cs="Arial"/>
          <w:color w:val="000000"/>
          <w:lang w:val="en-US"/>
        </w:rPr>
        <w:t>HeFT</w:t>
      </w:r>
      <w:proofErr w:type="spellEnd"/>
      <w:r w:rsidRPr="00C73E3C">
        <w:rPr>
          <w:rFonts w:eastAsia="Times New Roman" w:cs="Arial"/>
          <w:color w:val="000000"/>
          <w:lang w:val="ru-RU"/>
        </w:rPr>
        <w:t xml:space="preserve"> </w:t>
      </w:r>
      <w:r w:rsidRPr="00C73E3C">
        <w:rPr>
          <w:rFonts w:eastAsia="Times New Roman" w:cs="Arial"/>
          <w:color w:val="000000"/>
          <w:lang w:eastAsia="bg-BG"/>
        </w:rPr>
        <w:t xml:space="preserve">е рандомизирано, контролирано, многонационално клинично проучване на валсартан, сравнен с плацебо върху болестността и смъртността при 5 010 пациенти със сърдечна недостатъчност с </w:t>
      </w:r>
      <w:r w:rsidRPr="00C73E3C">
        <w:rPr>
          <w:rFonts w:eastAsia="Times New Roman" w:cs="Arial"/>
          <w:color w:val="000000"/>
          <w:lang w:val="en-US"/>
        </w:rPr>
        <w:t>NYHA</w:t>
      </w:r>
      <w:r w:rsidRPr="00C73E3C">
        <w:rPr>
          <w:rFonts w:eastAsia="Times New Roman" w:cs="Arial"/>
          <w:color w:val="000000"/>
          <w:lang w:val="ru-RU"/>
        </w:rPr>
        <w:t xml:space="preserve"> </w:t>
      </w:r>
      <w:r w:rsidRPr="00C73E3C">
        <w:rPr>
          <w:rFonts w:eastAsia="Times New Roman" w:cs="Arial"/>
          <w:color w:val="000000"/>
          <w:lang w:eastAsia="bg-BG"/>
        </w:rPr>
        <w:t xml:space="preserve">клас II (62%), </w:t>
      </w:r>
      <w:r w:rsidRPr="00C73E3C">
        <w:rPr>
          <w:rFonts w:eastAsia="Times New Roman" w:cs="Arial"/>
          <w:color w:val="000000"/>
          <w:lang w:val="en-US"/>
        </w:rPr>
        <w:t>III</w:t>
      </w:r>
      <w:r w:rsidRPr="00C73E3C">
        <w:rPr>
          <w:rFonts w:eastAsia="Times New Roman" w:cs="Arial"/>
          <w:color w:val="000000"/>
          <w:lang w:eastAsia="bg-BG"/>
        </w:rPr>
        <w:t xml:space="preserve"> (36%) и IV (2%), получаващи обичайна терапия с левокамерна ФИ &lt;40% и левокамерен вътрешен диастолен диаметър </w:t>
      </w:r>
      <w:r w:rsidRPr="00C73E3C">
        <w:rPr>
          <w:rFonts w:eastAsia="Times New Roman" w:cs="Arial"/>
          <w:color w:val="000000"/>
          <w:lang w:val="ru-RU"/>
        </w:rPr>
        <w:t>(</w:t>
      </w:r>
      <w:r w:rsidRPr="00C73E3C">
        <w:rPr>
          <w:rFonts w:eastAsia="Times New Roman" w:cs="Arial"/>
          <w:color w:val="000000"/>
          <w:lang w:val="en-US"/>
        </w:rPr>
        <w:t>LVIDD</w:t>
      </w:r>
      <w:r w:rsidRPr="00C73E3C">
        <w:rPr>
          <w:rFonts w:eastAsia="Times New Roman" w:cs="Arial"/>
          <w:color w:val="000000"/>
          <w:lang w:val="ru-RU"/>
        </w:rPr>
        <w:t xml:space="preserve">) </w:t>
      </w:r>
      <w:r w:rsidRPr="00C73E3C">
        <w:rPr>
          <w:rFonts w:eastAsia="Times New Roman" w:cs="Arial"/>
          <w:color w:val="000000"/>
          <w:lang w:eastAsia="bg-BG"/>
        </w:rPr>
        <w:t xml:space="preserve">&gt;2,9 </w:t>
      </w:r>
      <w:r w:rsidRPr="00C73E3C">
        <w:rPr>
          <w:rFonts w:eastAsia="Times New Roman" w:cs="Arial"/>
          <w:color w:val="000000"/>
          <w:lang w:val="en-US"/>
        </w:rPr>
        <w:t>cm</w:t>
      </w:r>
      <w:r w:rsidRPr="00C73E3C">
        <w:rPr>
          <w:rFonts w:eastAsia="Times New Roman" w:cs="Arial"/>
          <w:color w:val="000000"/>
          <w:lang w:val="ru-RU"/>
        </w:rPr>
        <w:t>/</w:t>
      </w:r>
      <w:r w:rsidRPr="00C73E3C">
        <w:rPr>
          <w:rFonts w:eastAsia="Times New Roman" w:cs="Arial"/>
          <w:color w:val="000000"/>
          <w:lang w:val="en-US"/>
        </w:rPr>
        <w:t>m</w:t>
      </w:r>
      <w:r w:rsidRPr="00C73E3C">
        <w:rPr>
          <w:rFonts w:eastAsia="Times New Roman" w:cs="Arial"/>
          <w:color w:val="000000"/>
          <w:vertAlign w:val="superscript"/>
          <w:lang w:val="ru-RU"/>
        </w:rPr>
        <w:t>2</w:t>
      </w:r>
      <w:r w:rsidRPr="00C73E3C">
        <w:rPr>
          <w:rFonts w:eastAsia="Times New Roman" w:cs="Arial"/>
          <w:color w:val="000000"/>
          <w:lang w:val="ru-RU"/>
        </w:rPr>
        <w:t xml:space="preserve"> </w:t>
      </w:r>
      <w:r w:rsidRPr="00C73E3C">
        <w:rPr>
          <w:rFonts w:eastAsia="Times New Roman" w:cs="Arial"/>
          <w:color w:val="000000"/>
          <w:lang w:eastAsia="bg-BG"/>
        </w:rPr>
        <w:t>Основната терапия включва АСЕ инхибитори (93%), диуретици (86%), дигоксин (67%) и бета-блокери. Средната продължителност на проследяването е приблизително две години.</w:t>
      </w:r>
    </w:p>
    <w:p w14:paraId="2FD33CBD" w14:textId="77777777" w:rsidR="00C73E3C" w:rsidRDefault="00C73E3C" w:rsidP="00C73E3C">
      <w:pPr>
        <w:spacing w:line="240" w:lineRule="auto"/>
        <w:rPr>
          <w:rFonts w:eastAsia="Times New Roman" w:cs="Arial"/>
          <w:color w:val="000000"/>
          <w:lang w:eastAsia="bg-BG"/>
        </w:rPr>
      </w:pPr>
    </w:p>
    <w:p w14:paraId="70E5BA15" w14:textId="77777777" w:rsidR="00CD566F" w:rsidRPr="00CD566F" w:rsidRDefault="00C73E3C" w:rsidP="00CD566F">
      <w:pPr>
        <w:rPr>
          <w:rFonts w:eastAsia="Times New Roman" w:cs="Arial"/>
        </w:rPr>
      </w:pPr>
      <w:r w:rsidRPr="00C73E3C">
        <w:rPr>
          <w:rFonts w:eastAsia="Times New Roman" w:cs="Arial"/>
          <w:color w:val="000000"/>
          <w:lang w:eastAsia="bg-BG"/>
        </w:rPr>
        <w:t xml:space="preserve">Средната дневна доза на валсартан във </w:t>
      </w:r>
      <w:r w:rsidRPr="00C73E3C">
        <w:rPr>
          <w:rFonts w:eastAsia="Times New Roman" w:cs="Arial"/>
          <w:color w:val="000000"/>
          <w:lang w:val="en-US"/>
        </w:rPr>
        <w:t>Val</w:t>
      </w:r>
      <w:r w:rsidRPr="00C73E3C">
        <w:rPr>
          <w:rFonts w:eastAsia="Times New Roman" w:cs="Arial"/>
          <w:color w:val="000000"/>
          <w:lang w:val="ru-RU"/>
        </w:rPr>
        <w:t>-</w:t>
      </w:r>
      <w:proofErr w:type="spellStart"/>
      <w:r w:rsidRPr="00C73E3C">
        <w:rPr>
          <w:rFonts w:eastAsia="Times New Roman" w:cs="Arial"/>
          <w:color w:val="000000"/>
          <w:lang w:val="en-US"/>
        </w:rPr>
        <w:t>HeFT</w:t>
      </w:r>
      <w:proofErr w:type="spellEnd"/>
      <w:r w:rsidRPr="00C73E3C">
        <w:rPr>
          <w:rFonts w:eastAsia="Times New Roman" w:cs="Arial"/>
          <w:color w:val="000000"/>
          <w:lang w:val="ru-RU"/>
        </w:rPr>
        <w:t xml:space="preserve"> </w:t>
      </w:r>
      <w:r w:rsidRPr="00C73E3C">
        <w:rPr>
          <w:rFonts w:eastAsia="Times New Roman" w:cs="Arial"/>
          <w:color w:val="000000"/>
          <w:lang w:eastAsia="bg-BG"/>
        </w:rPr>
        <w:t xml:space="preserve">е 254 </w:t>
      </w:r>
      <w:r w:rsidRPr="00C73E3C">
        <w:rPr>
          <w:rFonts w:eastAsia="Times New Roman" w:cs="Arial"/>
          <w:color w:val="000000"/>
          <w:lang w:val="en-US"/>
        </w:rPr>
        <w:t>mg</w:t>
      </w:r>
      <w:r w:rsidRPr="00C73E3C">
        <w:rPr>
          <w:rFonts w:eastAsia="Times New Roman" w:cs="Arial"/>
          <w:color w:val="000000"/>
          <w:lang w:val="ru-RU"/>
        </w:rPr>
        <w:t xml:space="preserve">. </w:t>
      </w:r>
      <w:r w:rsidRPr="00C73E3C">
        <w:rPr>
          <w:rFonts w:eastAsia="Times New Roman" w:cs="Arial"/>
          <w:color w:val="000000"/>
          <w:lang w:eastAsia="bg-BG"/>
        </w:rPr>
        <w:t xml:space="preserve">Проучването има две първични крайни точки: обща смъртност (време до настъпване на смъртта), съставна смъртност и болестност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 Общата смъртност е подобна в групите </w:t>
      </w:r>
      <w:r w:rsidRPr="00C73E3C">
        <w:rPr>
          <w:rFonts w:eastAsia="Times New Roman" w:cs="Arial"/>
          <w:color w:val="000000"/>
          <w:lang w:val="ru-RU"/>
        </w:rPr>
        <w:t>(</w:t>
      </w:r>
      <w:r w:rsidRPr="00C73E3C">
        <w:rPr>
          <w:rFonts w:eastAsia="Times New Roman" w:cs="Arial"/>
          <w:color w:val="000000"/>
          <w:lang w:val="en-US"/>
        </w:rPr>
        <w:t>p</w:t>
      </w:r>
      <w:r w:rsidRPr="00C73E3C">
        <w:rPr>
          <w:rFonts w:eastAsia="Times New Roman" w:cs="Arial"/>
          <w:color w:val="000000"/>
          <w:lang w:val="ru-RU"/>
        </w:rPr>
        <w:t>=</w:t>
      </w:r>
      <w:r w:rsidRPr="00C73E3C">
        <w:rPr>
          <w:rFonts w:eastAsia="Times New Roman" w:cs="Arial"/>
          <w:color w:val="000000"/>
          <w:lang w:val="en-US"/>
        </w:rPr>
        <w:t>NS</w:t>
      </w:r>
      <w:r w:rsidRPr="00C73E3C">
        <w:rPr>
          <w:rFonts w:eastAsia="Times New Roman" w:cs="Arial"/>
          <w:color w:val="000000"/>
          <w:lang w:val="ru-RU"/>
        </w:rPr>
        <w:t xml:space="preserve">) </w:t>
      </w:r>
      <w:r w:rsidRPr="00C73E3C">
        <w:rPr>
          <w:rFonts w:eastAsia="Times New Roman" w:cs="Arial"/>
          <w:color w:val="000000"/>
          <w:lang w:eastAsia="bg-BG"/>
        </w:rPr>
        <w:t xml:space="preserve">с валсартан (19,7%) и плацебо (19,4 %). Първичната полза е 27,5% (95% </w:t>
      </w:r>
      <w:r w:rsidRPr="00C73E3C">
        <w:rPr>
          <w:rFonts w:eastAsia="Times New Roman" w:cs="Arial"/>
          <w:color w:val="000000"/>
          <w:lang w:val="en-US"/>
        </w:rPr>
        <w:t>CI</w:t>
      </w:r>
      <w:r w:rsidRPr="00C73E3C">
        <w:rPr>
          <w:rFonts w:eastAsia="Times New Roman" w:cs="Arial"/>
          <w:color w:val="000000"/>
          <w:lang w:val="ru-RU"/>
        </w:rPr>
        <w:t xml:space="preserve">: </w:t>
      </w:r>
      <w:r w:rsidRPr="00C73E3C">
        <w:rPr>
          <w:rFonts w:eastAsia="Times New Roman" w:cs="Arial"/>
          <w:color w:val="000000"/>
          <w:lang w:eastAsia="bg-BG"/>
        </w:rPr>
        <w:t>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заболеваемостта е 21,9 % с плацебо спрямо 25,4 % в групата с валсартан), са наблюдавани при пациентите, приемащи тройна комбинация от АСЕ инхибитор, бета-блокер и валсартан. В подгрупата на пациенти, които не приемат АСЕ инхибитор (</w:t>
      </w:r>
      <w:r w:rsidRPr="00C73E3C">
        <w:rPr>
          <w:rFonts w:eastAsia="Times New Roman" w:cs="Arial"/>
          <w:color w:val="000000"/>
          <w:lang w:val="en-US"/>
        </w:rPr>
        <w:t>n</w:t>
      </w:r>
      <w:r w:rsidRPr="00C73E3C">
        <w:rPr>
          <w:rFonts w:eastAsia="Times New Roman" w:cs="Arial"/>
          <w:color w:val="000000"/>
          <w:lang w:eastAsia="bg-BG"/>
        </w:rPr>
        <w:t>=366), ползите при заболяемостта са по-големи. В тази</w:t>
      </w:r>
      <w:r w:rsidR="00CD566F">
        <w:rPr>
          <w:rFonts w:eastAsia="Times New Roman" w:cs="Arial"/>
        </w:rPr>
        <w:t xml:space="preserve"> </w:t>
      </w:r>
      <w:r w:rsidRPr="00C73E3C">
        <w:rPr>
          <w:rFonts w:eastAsia="Times New Roman" w:cs="Arial"/>
          <w:color w:val="000000"/>
          <w:lang w:eastAsia="bg-BG"/>
        </w:rPr>
        <w:t>подгрупа общата смъртност е значително намалена с валсартан в сравнение с плацебо с 33%</w:t>
      </w:r>
      <w:r w:rsidR="00CD566F">
        <w:rPr>
          <w:rFonts w:eastAsia="Times New Roman" w:cs="Arial"/>
          <w:color w:val="000000"/>
          <w:lang w:eastAsia="bg-BG"/>
        </w:rPr>
        <w:t xml:space="preserve"> </w:t>
      </w:r>
      <w:r w:rsidR="00CD566F" w:rsidRPr="00CD566F">
        <w:rPr>
          <w:rFonts w:eastAsia="Times New Roman" w:cs="Arial"/>
          <w:color w:val="000000"/>
          <w:lang w:eastAsia="bg-BG"/>
        </w:rPr>
        <w:t xml:space="preserve">(95% </w:t>
      </w:r>
      <w:r w:rsidR="00CD566F" w:rsidRPr="00CD566F">
        <w:rPr>
          <w:rFonts w:eastAsia="Times New Roman" w:cs="Arial"/>
          <w:color w:val="000000"/>
          <w:lang w:val="en-US"/>
        </w:rPr>
        <w:t>CI</w:t>
      </w:r>
      <w:r w:rsidR="00CD566F" w:rsidRPr="00CD566F">
        <w:rPr>
          <w:rFonts w:eastAsia="Times New Roman" w:cs="Arial"/>
          <w:color w:val="000000"/>
          <w:lang w:val="ru-RU"/>
        </w:rPr>
        <w:t xml:space="preserve">: -6% </w:t>
      </w:r>
      <w:r w:rsidR="00CD566F" w:rsidRPr="00CD566F">
        <w:rPr>
          <w:rFonts w:eastAsia="Times New Roman" w:cs="Arial"/>
          <w:color w:val="000000"/>
          <w:lang w:eastAsia="bg-BG"/>
        </w:rPr>
        <w:t xml:space="preserve">до </w:t>
      </w:r>
      <w:r w:rsidR="00CD566F" w:rsidRPr="00CD566F">
        <w:rPr>
          <w:rFonts w:eastAsia="Times New Roman" w:cs="Arial"/>
          <w:color w:val="000000"/>
          <w:lang w:val="ru-RU"/>
        </w:rPr>
        <w:t xml:space="preserve">58%) (17,3% </w:t>
      </w:r>
      <w:r w:rsidR="00CD566F" w:rsidRPr="00CD566F">
        <w:rPr>
          <w:rFonts w:eastAsia="Times New Roman" w:cs="Arial"/>
          <w:color w:val="000000"/>
          <w:lang w:eastAsia="bg-BG"/>
        </w:rPr>
        <w:t>валсартан спрямо 27,1% плацебо), а съставната смъртност и риска за заболяемост са значително намалени с 44% (24,9% валсартан спрямо 42,5% плацебо).</w:t>
      </w:r>
    </w:p>
    <w:p w14:paraId="3599FE31" w14:textId="77777777" w:rsidR="00CD566F" w:rsidRDefault="00CD566F" w:rsidP="00CD566F">
      <w:pPr>
        <w:spacing w:line="240" w:lineRule="auto"/>
        <w:rPr>
          <w:rFonts w:eastAsia="Times New Roman" w:cs="Arial"/>
          <w:color w:val="000000"/>
          <w:lang w:eastAsia="bg-BG"/>
        </w:rPr>
      </w:pPr>
    </w:p>
    <w:p w14:paraId="3820AC38" w14:textId="5FF0D7F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 пациенти, които приемат АСЕ инхибитор без бета-блокер, общата смъртност е подобна </w:t>
      </w:r>
      <w:r w:rsidRPr="00CD566F">
        <w:rPr>
          <w:rFonts w:eastAsia="Times New Roman" w:cs="Arial"/>
          <w:color w:val="000000"/>
          <w:lang w:val="ru-RU"/>
        </w:rPr>
        <w:t>(</w:t>
      </w:r>
      <w:r w:rsidRPr="00CD566F">
        <w:rPr>
          <w:rFonts w:eastAsia="Times New Roman" w:cs="Arial"/>
          <w:color w:val="000000"/>
          <w:lang w:val="en-US"/>
        </w:rPr>
        <w:t>p</w:t>
      </w:r>
      <w:r w:rsidRPr="00CD566F">
        <w:rPr>
          <w:rFonts w:eastAsia="Times New Roman" w:cs="Arial"/>
          <w:color w:val="000000"/>
          <w:lang w:val="ru-RU"/>
        </w:rPr>
        <w:t>=</w:t>
      </w:r>
      <w:r w:rsidRPr="00CD566F">
        <w:rPr>
          <w:rFonts w:eastAsia="Times New Roman" w:cs="Arial"/>
          <w:color w:val="000000"/>
          <w:lang w:val="en-US"/>
        </w:rPr>
        <w:t>NS</w:t>
      </w:r>
      <w:r w:rsidRPr="00CD566F">
        <w:rPr>
          <w:rFonts w:eastAsia="Times New Roman" w:cs="Arial"/>
          <w:color w:val="000000"/>
          <w:lang w:val="ru-RU"/>
        </w:rPr>
        <w:t xml:space="preserve">) </w:t>
      </w:r>
      <w:r w:rsidRPr="00CD566F">
        <w:rPr>
          <w:rFonts w:eastAsia="Times New Roman" w:cs="Arial"/>
          <w:color w:val="000000"/>
          <w:lang w:eastAsia="bg-BG"/>
        </w:rPr>
        <w:t xml:space="preserve">в групите с валсартан (21,8%) и плацебо (22,5%). Съставната смъртност и рискът за заболяемост са значително намалени с 18,3% (95% </w:t>
      </w:r>
      <w:r w:rsidRPr="00CD566F">
        <w:rPr>
          <w:rFonts w:eastAsia="Times New Roman" w:cs="Arial"/>
          <w:color w:val="000000"/>
          <w:lang w:val="en-US"/>
        </w:rPr>
        <w:t>CI</w:t>
      </w:r>
      <w:r w:rsidRPr="00CD566F">
        <w:rPr>
          <w:rFonts w:eastAsia="Times New Roman" w:cs="Arial"/>
          <w:color w:val="000000"/>
          <w:lang w:val="ru-RU"/>
        </w:rPr>
        <w:t xml:space="preserve">: </w:t>
      </w:r>
      <w:r w:rsidRPr="00CD566F">
        <w:rPr>
          <w:rFonts w:eastAsia="Times New Roman" w:cs="Arial"/>
          <w:color w:val="000000"/>
          <w:lang w:eastAsia="bg-BG"/>
        </w:rPr>
        <w:t xml:space="preserve">8% </w:t>
      </w:r>
      <w:r w:rsidRPr="00CD566F">
        <w:rPr>
          <w:rFonts w:eastAsia="Times New Roman" w:cs="Arial"/>
          <w:color w:val="000000"/>
          <w:lang w:val="en-US"/>
        </w:rPr>
        <w:t>to</w:t>
      </w:r>
      <w:r w:rsidRPr="00CD566F">
        <w:rPr>
          <w:rFonts w:eastAsia="Times New Roman" w:cs="Arial"/>
          <w:color w:val="000000"/>
          <w:lang w:val="ru-RU"/>
        </w:rPr>
        <w:t xml:space="preserve"> </w:t>
      </w:r>
      <w:r w:rsidRPr="00CD566F">
        <w:rPr>
          <w:rFonts w:eastAsia="Times New Roman" w:cs="Arial"/>
          <w:color w:val="000000"/>
          <w:lang w:eastAsia="bg-BG"/>
        </w:rPr>
        <w:t>28%) при валсартан в сравнение с плацебо (31,0% спрямо 36,3%).</w:t>
      </w:r>
    </w:p>
    <w:p w14:paraId="35CB874F" w14:textId="77777777" w:rsidR="00CD566F" w:rsidRDefault="00CD566F" w:rsidP="00CD566F">
      <w:pPr>
        <w:spacing w:line="240" w:lineRule="auto"/>
        <w:rPr>
          <w:rFonts w:eastAsia="Times New Roman" w:cs="Arial"/>
          <w:color w:val="000000"/>
          <w:lang w:eastAsia="bg-BG"/>
        </w:rPr>
      </w:pPr>
    </w:p>
    <w:p w14:paraId="587BAC18" w14:textId="6FB96102"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В общата популация на </w:t>
      </w:r>
      <w:r w:rsidRPr="00CD566F">
        <w:rPr>
          <w:rFonts w:eastAsia="Times New Roman" w:cs="Arial"/>
          <w:color w:val="000000"/>
          <w:lang w:val="en-US"/>
        </w:rPr>
        <w:t>Val</w:t>
      </w:r>
      <w:r w:rsidRPr="00CD566F">
        <w:rPr>
          <w:rFonts w:eastAsia="Times New Roman" w:cs="Arial"/>
          <w:color w:val="000000"/>
          <w:lang w:val="ru-RU"/>
        </w:rPr>
        <w:t>-</w:t>
      </w:r>
      <w:proofErr w:type="spellStart"/>
      <w:r w:rsidRPr="00CD566F">
        <w:rPr>
          <w:rFonts w:eastAsia="Times New Roman" w:cs="Arial"/>
          <w:color w:val="000000"/>
          <w:lang w:val="en-US"/>
        </w:rPr>
        <w:t>HeFT</w:t>
      </w:r>
      <w:proofErr w:type="spellEnd"/>
      <w:r w:rsidRPr="00CD566F">
        <w:rPr>
          <w:rFonts w:eastAsia="Times New Roman" w:cs="Arial"/>
          <w:color w:val="000000"/>
          <w:lang w:val="ru-RU"/>
        </w:rPr>
        <w:t xml:space="preserve"> </w:t>
      </w:r>
      <w:r w:rsidRPr="00CD566F">
        <w:rPr>
          <w:rFonts w:eastAsia="Times New Roman" w:cs="Arial"/>
          <w:color w:val="000000"/>
          <w:lang w:eastAsia="bg-BG"/>
        </w:rPr>
        <w:t xml:space="preserve">пациентите, лекувани с валсартан, показват в сравнение с плацебо значимо подобрение на класа по </w:t>
      </w:r>
      <w:r w:rsidRPr="00CD566F">
        <w:rPr>
          <w:rFonts w:eastAsia="Times New Roman" w:cs="Arial"/>
          <w:color w:val="000000"/>
          <w:lang w:val="en-US"/>
        </w:rPr>
        <w:t>NYHA</w:t>
      </w:r>
      <w:r w:rsidRPr="00CD566F">
        <w:rPr>
          <w:rFonts w:eastAsia="Times New Roman" w:cs="Arial"/>
          <w:color w:val="000000"/>
          <w:lang w:val="ru-RU"/>
        </w:rPr>
        <w:t xml:space="preserve">, </w:t>
      </w:r>
      <w:r w:rsidRPr="00CD566F">
        <w:rPr>
          <w:rFonts w:eastAsia="Times New Roman" w:cs="Arial"/>
          <w:color w:val="000000"/>
          <w:lang w:eastAsia="bg-BG"/>
        </w:rPr>
        <w:t xml:space="preserve">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 скалата на </w:t>
      </w:r>
      <w:r w:rsidRPr="00CD566F">
        <w:rPr>
          <w:rFonts w:eastAsia="Times New Roman" w:cs="Arial"/>
          <w:color w:val="000000"/>
          <w:lang w:val="en-US"/>
        </w:rPr>
        <w:t>Minnesota</w:t>
      </w:r>
      <w:r w:rsidRPr="00CD566F">
        <w:rPr>
          <w:rFonts w:eastAsia="Times New Roman" w:cs="Arial"/>
          <w:color w:val="000000"/>
          <w:lang w:val="ru-RU"/>
        </w:rPr>
        <w:t xml:space="preserve"> </w:t>
      </w:r>
      <w:r w:rsidRPr="00CD566F">
        <w:rPr>
          <w:rFonts w:eastAsia="Times New Roman" w:cs="Arial"/>
          <w:color w:val="000000"/>
          <w:lang w:val="en-US"/>
        </w:rPr>
        <w:t>Living</w:t>
      </w:r>
      <w:r w:rsidRPr="00CD566F">
        <w:rPr>
          <w:rFonts w:eastAsia="Times New Roman" w:cs="Arial"/>
          <w:color w:val="000000"/>
          <w:lang w:val="ru-RU"/>
        </w:rPr>
        <w:t xml:space="preserve"> </w:t>
      </w:r>
      <w:r w:rsidRPr="00CD566F">
        <w:rPr>
          <w:rFonts w:eastAsia="Times New Roman" w:cs="Arial"/>
          <w:color w:val="000000"/>
          <w:lang w:val="en-US"/>
        </w:rPr>
        <w:t>with</w:t>
      </w:r>
      <w:r w:rsidRPr="00CD566F">
        <w:rPr>
          <w:rFonts w:eastAsia="Times New Roman" w:cs="Arial"/>
          <w:color w:val="000000"/>
          <w:lang w:val="ru-RU"/>
        </w:rPr>
        <w:t xml:space="preserve"> </w:t>
      </w:r>
      <w:r w:rsidRPr="00CD566F">
        <w:rPr>
          <w:rFonts w:eastAsia="Times New Roman" w:cs="Arial"/>
          <w:color w:val="000000"/>
          <w:lang w:val="en-US"/>
        </w:rPr>
        <w:t>Heart</w:t>
      </w:r>
      <w:r w:rsidRPr="00CD566F">
        <w:rPr>
          <w:rFonts w:eastAsia="Times New Roman" w:cs="Arial"/>
          <w:color w:val="000000"/>
          <w:lang w:val="ru-RU"/>
        </w:rPr>
        <w:t xml:space="preserve"> </w:t>
      </w:r>
      <w:r w:rsidRPr="00CD566F">
        <w:rPr>
          <w:rFonts w:eastAsia="Times New Roman" w:cs="Arial"/>
          <w:color w:val="000000"/>
          <w:lang w:val="en-US"/>
        </w:rPr>
        <w:t>Failure</w:t>
      </w:r>
      <w:r w:rsidRPr="00CD566F">
        <w:rPr>
          <w:rFonts w:eastAsia="Times New Roman" w:cs="Arial"/>
          <w:color w:val="000000"/>
          <w:lang w:val="ru-RU"/>
        </w:rPr>
        <w:t xml:space="preserve"> </w:t>
      </w:r>
      <w:r w:rsidRPr="00CD566F">
        <w:rPr>
          <w:rFonts w:eastAsia="Times New Roman" w:cs="Arial"/>
          <w:color w:val="000000"/>
          <w:lang w:val="en-US"/>
        </w:rPr>
        <w:t>Quality</w:t>
      </w:r>
      <w:r w:rsidRPr="00CD566F">
        <w:rPr>
          <w:rFonts w:eastAsia="Times New Roman" w:cs="Arial"/>
          <w:color w:val="000000"/>
          <w:lang w:val="ru-RU"/>
        </w:rPr>
        <w:t xml:space="preserve"> </w:t>
      </w:r>
      <w:r w:rsidRPr="00CD566F">
        <w:rPr>
          <w:rFonts w:eastAsia="Times New Roman" w:cs="Arial"/>
          <w:color w:val="000000"/>
          <w:lang w:val="en-US"/>
        </w:rPr>
        <w:t>of</w:t>
      </w:r>
      <w:r w:rsidRPr="00CD566F">
        <w:rPr>
          <w:rFonts w:eastAsia="Times New Roman" w:cs="Arial"/>
          <w:color w:val="000000"/>
          <w:lang w:val="ru-RU"/>
        </w:rPr>
        <w:t xml:space="preserve"> </w:t>
      </w:r>
      <w:r w:rsidRPr="00CD566F">
        <w:rPr>
          <w:rFonts w:eastAsia="Times New Roman" w:cs="Arial"/>
          <w:color w:val="000000"/>
          <w:lang w:val="en-US"/>
        </w:rPr>
        <w:t>Life</w:t>
      </w:r>
      <w:r w:rsidRPr="00CD566F">
        <w:rPr>
          <w:rFonts w:eastAsia="Times New Roman" w:cs="Arial"/>
          <w:color w:val="000000"/>
          <w:lang w:val="ru-RU"/>
        </w:rPr>
        <w:t xml:space="preserve"> </w:t>
      </w:r>
      <w:r w:rsidRPr="00CD566F">
        <w:rPr>
          <w:rFonts w:eastAsia="Times New Roman" w:cs="Arial"/>
          <w:color w:val="000000"/>
          <w:lang w:eastAsia="bg-BG"/>
        </w:rPr>
        <w:t xml:space="preserve">от изходната до крайната точка на проучването. При пациентите, лекувани с валсартан, значимо се повишава фракцията на изтласкване и се понижава </w:t>
      </w:r>
      <w:r w:rsidRPr="00CD566F">
        <w:rPr>
          <w:rFonts w:eastAsia="Times New Roman" w:cs="Arial"/>
          <w:color w:val="000000"/>
          <w:lang w:val="en-US"/>
        </w:rPr>
        <w:t>LVIDD</w:t>
      </w:r>
      <w:r w:rsidRPr="00CD566F">
        <w:rPr>
          <w:rFonts w:eastAsia="Times New Roman" w:cs="Arial"/>
          <w:color w:val="000000"/>
          <w:lang w:val="ru-RU"/>
        </w:rPr>
        <w:t xml:space="preserve"> </w:t>
      </w:r>
      <w:r w:rsidRPr="00CD566F">
        <w:rPr>
          <w:rFonts w:eastAsia="Times New Roman" w:cs="Arial"/>
          <w:color w:val="000000"/>
          <w:lang w:eastAsia="bg-BG"/>
        </w:rPr>
        <w:t>от изходната до крайната точка по време на проучването в сравнение с плацебо.</w:t>
      </w:r>
    </w:p>
    <w:p w14:paraId="1B860710" w14:textId="77777777" w:rsidR="00CD566F" w:rsidRPr="00CD566F" w:rsidRDefault="00CD566F" w:rsidP="00CD566F">
      <w:pPr>
        <w:spacing w:line="240" w:lineRule="auto"/>
        <w:rPr>
          <w:rFonts w:eastAsia="Times New Roman" w:cs="Arial"/>
        </w:rPr>
      </w:pPr>
    </w:p>
    <w:p w14:paraId="7FC9AB54" w14:textId="77777777"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 xml:space="preserve">Валсартан 80 </w:t>
      </w:r>
      <w:r w:rsidRPr="00CD566F">
        <w:rPr>
          <w:rFonts w:eastAsia="Times New Roman" w:cs="Arial"/>
          <w:color w:val="000000"/>
          <w:u w:val="single"/>
          <w:lang w:val="en-US"/>
        </w:rPr>
        <w:t>mg</w:t>
      </w:r>
      <w:r w:rsidRPr="00CD566F">
        <w:rPr>
          <w:rFonts w:eastAsia="Times New Roman" w:cs="Arial"/>
          <w:color w:val="000000"/>
          <w:u w:val="single"/>
          <w:lang w:val="ru-RU"/>
        </w:rPr>
        <w:t xml:space="preserve">/160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филмирани таблетки</w:t>
      </w:r>
    </w:p>
    <w:p w14:paraId="526A1491" w14:textId="77777777" w:rsidR="00CD566F" w:rsidRDefault="00CD566F" w:rsidP="00CD566F">
      <w:pPr>
        <w:spacing w:line="240" w:lineRule="auto"/>
        <w:rPr>
          <w:rFonts w:eastAsia="Times New Roman" w:cs="Arial"/>
          <w:color w:val="000000"/>
          <w:u w:val="single"/>
          <w:lang w:eastAsia="bg-BG"/>
        </w:rPr>
      </w:pPr>
    </w:p>
    <w:p w14:paraId="76BEB065" w14:textId="5C12A5A8"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Хипертония</w:t>
      </w:r>
    </w:p>
    <w:p w14:paraId="0CC13A17" w14:textId="77777777" w:rsidR="00CD566F" w:rsidRDefault="00CD566F" w:rsidP="00CD566F">
      <w:pPr>
        <w:spacing w:line="240" w:lineRule="auto"/>
        <w:rPr>
          <w:rFonts w:eastAsia="Times New Roman" w:cs="Arial"/>
          <w:color w:val="000000"/>
          <w:lang w:eastAsia="bg-BG"/>
        </w:rPr>
      </w:pPr>
    </w:p>
    <w:p w14:paraId="0C820EB4" w14:textId="4AA3E627"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Прилагането на валсартан при пациенти с хипертония води до намаляване на кръвното налягане, без да влияе върху сърдечната честота.</w:t>
      </w:r>
    </w:p>
    <w:p w14:paraId="747AB42D"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 повечето пациенти след прилагане на единична перорална доза, антихипертензивния ефект настъпва до два часа, а пикът на понижаване на кръвното налягане настъпва до 4-6 часа. Антихипертензивен ефект продължава над 24 часа след приема. При многократно приложение, антихипертензивния ефект се наблюдава в </w:t>
      </w:r>
      <w:r w:rsidRPr="00CD566F">
        <w:rPr>
          <w:rFonts w:eastAsia="Times New Roman" w:cs="Arial"/>
          <w:color w:val="000000"/>
          <w:lang w:eastAsia="bg-BG"/>
        </w:rPr>
        <w:lastRenderedPageBreak/>
        <w:t>рамките на 2 седмици, а максималната ефекти се постигат в рамките на 4 седмици и се поддържа в хода на продължителна терапия. При комбинация с хидрохлоротиазид се постига значително понижаване на кръвното налягане.</w:t>
      </w:r>
    </w:p>
    <w:p w14:paraId="225F29AC"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Внезапното спиране на лечението с валсартан не се свързва с ребаунд хипертония или други нежелани реакции.</w:t>
      </w:r>
    </w:p>
    <w:p w14:paraId="707DA7EB" w14:textId="77777777" w:rsidR="00CD566F" w:rsidRDefault="00CD566F" w:rsidP="00CD566F">
      <w:pPr>
        <w:spacing w:line="240" w:lineRule="auto"/>
        <w:rPr>
          <w:rFonts w:eastAsia="Times New Roman" w:cs="Arial"/>
          <w:color w:val="000000"/>
          <w:lang w:eastAsia="bg-BG"/>
        </w:rPr>
      </w:pPr>
    </w:p>
    <w:p w14:paraId="37CE60C2" w14:textId="650E4BC5"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 пациенти с хипертония и диабет тип 2 и микроалбуминурия е доказано, че валсартан намалява екскрецията на албумин. При проучването </w:t>
      </w:r>
      <w:r w:rsidRPr="00CD566F">
        <w:rPr>
          <w:rFonts w:eastAsia="Times New Roman" w:cs="Arial"/>
          <w:color w:val="000000"/>
          <w:lang w:val="en-US"/>
        </w:rPr>
        <w:t>MARVAL</w:t>
      </w:r>
      <w:r w:rsidRPr="00CD566F">
        <w:rPr>
          <w:rFonts w:eastAsia="Times New Roman" w:cs="Arial"/>
          <w:color w:val="000000"/>
        </w:rPr>
        <w:t xml:space="preserve"> (</w:t>
      </w:r>
      <w:r w:rsidRPr="00CD566F">
        <w:rPr>
          <w:rFonts w:eastAsia="Times New Roman" w:cs="Arial"/>
          <w:color w:val="000000"/>
          <w:lang w:val="en-US"/>
        </w:rPr>
        <w:t>Micro</w:t>
      </w:r>
      <w:r w:rsidRPr="00CD566F">
        <w:rPr>
          <w:rFonts w:eastAsia="Times New Roman" w:cs="Arial"/>
          <w:color w:val="000000"/>
        </w:rPr>
        <w:t xml:space="preserve"> </w:t>
      </w:r>
      <w:r w:rsidRPr="00CD566F">
        <w:rPr>
          <w:rFonts w:eastAsia="Times New Roman" w:cs="Arial"/>
          <w:color w:val="000000"/>
          <w:lang w:val="en-US"/>
        </w:rPr>
        <w:t>Albuminuria</w:t>
      </w:r>
      <w:r w:rsidRPr="00CD566F">
        <w:rPr>
          <w:rFonts w:eastAsia="Times New Roman" w:cs="Arial"/>
          <w:color w:val="000000"/>
        </w:rPr>
        <w:t xml:space="preserve"> </w:t>
      </w:r>
      <w:r w:rsidRPr="00CD566F">
        <w:rPr>
          <w:rFonts w:eastAsia="Times New Roman" w:cs="Arial"/>
          <w:color w:val="000000"/>
          <w:lang w:val="en-US"/>
        </w:rPr>
        <w:t>Reduction</w:t>
      </w:r>
      <w:r w:rsidRPr="00CD566F">
        <w:rPr>
          <w:rFonts w:eastAsia="Times New Roman" w:cs="Arial"/>
          <w:color w:val="000000"/>
        </w:rPr>
        <w:t xml:space="preserve"> </w:t>
      </w:r>
      <w:r w:rsidRPr="00CD566F">
        <w:rPr>
          <w:rFonts w:eastAsia="Times New Roman" w:cs="Arial"/>
          <w:color w:val="000000"/>
          <w:lang w:val="en-US"/>
        </w:rPr>
        <w:t>with</w:t>
      </w:r>
      <w:r w:rsidRPr="00CD566F">
        <w:rPr>
          <w:rFonts w:eastAsia="Times New Roman" w:cs="Arial"/>
          <w:color w:val="000000"/>
        </w:rPr>
        <w:t xml:space="preserve"> </w:t>
      </w:r>
      <w:r w:rsidRPr="00CD566F">
        <w:rPr>
          <w:rFonts w:eastAsia="Times New Roman" w:cs="Arial"/>
          <w:color w:val="000000"/>
          <w:lang w:val="en-US"/>
        </w:rPr>
        <w:t>Valsartan</w:t>
      </w:r>
      <w:r w:rsidRPr="00CD566F">
        <w:rPr>
          <w:rFonts w:eastAsia="Times New Roman" w:cs="Arial"/>
          <w:color w:val="000000"/>
        </w:rPr>
        <w:t xml:space="preserve">) </w:t>
      </w:r>
      <w:r w:rsidRPr="00CD566F">
        <w:rPr>
          <w:rFonts w:eastAsia="Times New Roman" w:cs="Arial"/>
          <w:color w:val="000000"/>
          <w:lang w:eastAsia="bg-BG"/>
        </w:rPr>
        <w:t>показва, че има понижено отделяне на албумин в урината при прием на валсартан (80-160 мг / ден) спрямо амлодипин (5-10 мг / ден), при 332 пациенти с диабет тип 2 (средна възраст: 58 години; 265 мъже), с микроалбуминурия (валсартан: 58 μ</w:t>
      </w:r>
      <w:r w:rsidRPr="00CD566F">
        <w:rPr>
          <w:rFonts w:eastAsia="Times New Roman" w:cs="Arial"/>
          <w:color w:val="000000"/>
          <w:lang w:val="en-US"/>
        </w:rPr>
        <w:t>g</w:t>
      </w:r>
      <w:r w:rsidRPr="00CD566F">
        <w:rPr>
          <w:rFonts w:eastAsia="Times New Roman" w:cs="Arial"/>
          <w:color w:val="000000"/>
        </w:rPr>
        <w:t xml:space="preserve"> </w:t>
      </w:r>
      <w:r w:rsidRPr="00CD566F">
        <w:rPr>
          <w:rFonts w:eastAsia="Times New Roman" w:cs="Arial"/>
          <w:color w:val="000000"/>
          <w:lang w:eastAsia="bg-BG"/>
        </w:rPr>
        <w:t>/ мин; амлодипин: 55,4 μ</w:t>
      </w:r>
      <w:r w:rsidRPr="00CD566F">
        <w:rPr>
          <w:rFonts w:eastAsia="Times New Roman" w:cs="Arial"/>
          <w:color w:val="000000"/>
          <w:lang w:val="en-US"/>
        </w:rPr>
        <w:t>g</w:t>
      </w:r>
      <w:r w:rsidRPr="00CD566F">
        <w:rPr>
          <w:rFonts w:eastAsia="Times New Roman" w:cs="Arial"/>
          <w:color w:val="000000"/>
        </w:rPr>
        <w:t xml:space="preserve"> </w:t>
      </w:r>
      <w:r w:rsidRPr="00CD566F">
        <w:rPr>
          <w:rFonts w:eastAsia="Times New Roman" w:cs="Arial"/>
          <w:color w:val="000000"/>
          <w:lang w:eastAsia="bg-BG"/>
        </w:rPr>
        <w:t>/ мин), с нормално или високо кръвно налягане и със запазена бъбречна функция (на креатинина в кръвта &lt;120 μ</w:t>
      </w:r>
      <w:proofErr w:type="spellStart"/>
      <w:r w:rsidRPr="00CD566F">
        <w:rPr>
          <w:rFonts w:eastAsia="Times New Roman" w:cs="Arial"/>
          <w:color w:val="000000"/>
          <w:lang w:val="en-US"/>
        </w:rPr>
        <w:t>umol</w:t>
      </w:r>
      <w:proofErr w:type="spellEnd"/>
      <w:r w:rsidRPr="00CD566F">
        <w:rPr>
          <w:rFonts w:eastAsia="Times New Roman" w:cs="Arial"/>
          <w:color w:val="000000"/>
        </w:rPr>
        <w:t xml:space="preserve"> </w:t>
      </w:r>
      <w:r w:rsidRPr="00CD566F">
        <w:rPr>
          <w:rFonts w:eastAsia="Times New Roman" w:cs="Arial"/>
          <w:color w:val="000000"/>
          <w:lang w:eastAsia="bg-BG"/>
        </w:rPr>
        <w:t xml:space="preserve">/ </w:t>
      </w:r>
      <w:r w:rsidRPr="00CD566F">
        <w:rPr>
          <w:rFonts w:eastAsia="Times New Roman" w:cs="Arial"/>
          <w:color w:val="000000"/>
          <w:lang w:val="en-US"/>
        </w:rPr>
        <w:t>L</w:t>
      </w:r>
      <w:r w:rsidRPr="00CD566F">
        <w:rPr>
          <w:rFonts w:eastAsia="Times New Roman" w:cs="Arial"/>
          <w:color w:val="000000"/>
        </w:rPr>
        <w:t xml:space="preserve">). </w:t>
      </w:r>
      <w:r w:rsidRPr="00CD566F">
        <w:rPr>
          <w:rFonts w:eastAsia="Times New Roman" w:cs="Arial"/>
          <w:color w:val="000000"/>
          <w:lang w:eastAsia="bg-BG"/>
        </w:rPr>
        <w:t>На 24-тата седмица, отделянето на албумин в урината е намалено (р &lt;0,001) с 42% (-24,2 μ</w:t>
      </w:r>
      <w:r w:rsidRPr="00CD566F">
        <w:rPr>
          <w:rFonts w:eastAsia="Times New Roman" w:cs="Arial"/>
          <w:color w:val="000000"/>
          <w:lang w:val="en-US"/>
        </w:rPr>
        <w:t>g</w:t>
      </w:r>
      <w:r w:rsidRPr="00CD566F">
        <w:rPr>
          <w:rFonts w:eastAsia="Times New Roman" w:cs="Arial"/>
          <w:color w:val="000000"/>
          <w:lang w:val="ru-RU"/>
        </w:rPr>
        <w:t xml:space="preserve"> </w:t>
      </w:r>
      <w:r w:rsidRPr="00CD566F">
        <w:rPr>
          <w:rFonts w:eastAsia="Times New Roman" w:cs="Arial"/>
          <w:color w:val="000000"/>
          <w:lang w:eastAsia="bg-BG"/>
        </w:rPr>
        <w:t xml:space="preserve">/ мин; 95% </w:t>
      </w:r>
      <w:r w:rsidRPr="00CD566F">
        <w:rPr>
          <w:rFonts w:eastAsia="Times New Roman" w:cs="Arial"/>
          <w:color w:val="000000"/>
          <w:lang w:val="en-US"/>
        </w:rPr>
        <w:t>CI</w:t>
      </w:r>
      <w:r w:rsidRPr="00CD566F">
        <w:rPr>
          <w:rFonts w:eastAsia="Times New Roman" w:cs="Arial"/>
          <w:color w:val="000000"/>
          <w:lang w:val="ru-RU"/>
        </w:rPr>
        <w:t xml:space="preserve">: </w:t>
      </w:r>
      <w:r w:rsidRPr="00CD566F">
        <w:rPr>
          <w:rFonts w:eastAsia="Times New Roman" w:cs="Arial"/>
          <w:color w:val="000000"/>
          <w:lang w:eastAsia="bg-BG"/>
        </w:rPr>
        <w:t>-40,4 до -19,1) при прием на валсартан и с около 3% (-1,7 μ</w:t>
      </w:r>
      <w:r w:rsidRPr="00CD566F">
        <w:rPr>
          <w:rFonts w:eastAsia="Times New Roman" w:cs="Arial"/>
          <w:color w:val="000000"/>
          <w:lang w:val="en-US"/>
        </w:rPr>
        <w:t>g</w:t>
      </w:r>
      <w:r w:rsidRPr="00CD566F">
        <w:rPr>
          <w:rFonts w:eastAsia="Times New Roman" w:cs="Arial"/>
          <w:color w:val="000000"/>
          <w:lang w:val="ru-RU"/>
        </w:rPr>
        <w:t xml:space="preserve"> </w:t>
      </w:r>
      <w:r w:rsidRPr="00CD566F">
        <w:rPr>
          <w:rFonts w:eastAsia="Times New Roman" w:cs="Arial"/>
          <w:color w:val="000000"/>
          <w:lang w:eastAsia="bg-BG"/>
        </w:rPr>
        <w:t xml:space="preserve">/ мин; 95% </w:t>
      </w:r>
      <w:r w:rsidRPr="00CD566F">
        <w:rPr>
          <w:rFonts w:eastAsia="Times New Roman" w:cs="Arial"/>
          <w:color w:val="000000"/>
          <w:lang w:val="en-US"/>
        </w:rPr>
        <w:t>CI</w:t>
      </w:r>
      <w:r w:rsidRPr="00CD566F">
        <w:rPr>
          <w:rFonts w:eastAsia="Times New Roman" w:cs="Arial"/>
          <w:color w:val="000000"/>
          <w:lang w:val="ru-RU"/>
        </w:rPr>
        <w:t xml:space="preserve">: </w:t>
      </w:r>
      <w:r w:rsidRPr="00CD566F">
        <w:rPr>
          <w:rFonts w:eastAsia="Times New Roman" w:cs="Arial"/>
          <w:color w:val="000000"/>
          <w:lang w:eastAsia="bg-BG"/>
        </w:rPr>
        <w:t>- 5,6 до 14,9) при прием на амлодипин, независимо от същите темпове на намаляване на кръвното налягане в двете групи.</w:t>
      </w:r>
    </w:p>
    <w:p w14:paraId="49949B15" w14:textId="77777777" w:rsidR="00CD566F" w:rsidRDefault="00CD566F" w:rsidP="00CD566F">
      <w:pPr>
        <w:spacing w:line="240" w:lineRule="auto"/>
        <w:rPr>
          <w:rFonts w:eastAsia="Times New Roman" w:cs="Arial"/>
          <w:color w:val="000000"/>
          <w:lang w:eastAsia="bg-BG"/>
        </w:rPr>
      </w:pPr>
    </w:p>
    <w:p w14:paraId="0362D1F0" w14:textId="6BDE489D"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Проучването </w:t>
      </w:r>
      <w:r w:rsidRPr="00CD566F">
        <w:rPr>
          <w:rFonts w:eastAsia="Times New Roman" w:cs="Arial"/>
          <w:color w:val="000000"/>
          <w:lang w:val="en-US"/>
        </w:rPr>
        <w:t>Diovan</w:t>
      </w:r>
      <w:r w:rsidRPr="00CD566F">
        <w:rPr>
          <w:rFonts w:eastAsia="Times New Roman" w:cs="Arial"/>
          <w:color w:val="000000"/>
        </w:rPr>
        <w:t xml:space="preserve"> </w:t>
      </w:r>
      <w:r w:rsidRPr="00CD566F">
        <w:rPr>
          <w:rFonts w:eastAsia="Times New Roman" w:cs="Arial"/>
          <w:color w:val="000000"/>
          <w:lang w:val="en-US"/>
        </w:rPr>
        <w:t>Reduction</w:t>
      </w:r>
      <w:r w:rsidRPr="00CD566F">
        <w:rPr>
          <w:rFonts w:eastAsia="Times New Roman" w:cs="Arial"/>
          <w:color w:val="000000"/>
        </w:rPr>
        <w:t xml:space="preserve"> </w:t>
      </w:r>
      <w:r w:rsidRPr="00CD566F">
        <w:rPr>
          <w:rFonts w:eastAsia="Times New Roman" w:cs="Arial"/>
          <w:color w:val="000000"/>
          <w:lang w:val="en-US"/>
        </w:rPr>
        <w:t>of</w:t>
      </w:r>
      <w:r w:rsidRPr="00CD566F">
        <w:rPr>
          <w:rFonts w:eastAsia="Times New Roman" w:cs="Arial"/>
          <w:color w:val="000000"/>
        </w:rPr>
        <w:t xml:space="preserve"> </w:t>
      </w:r>
      <w:r w:rsidRPr="00CD566F">
        <w:rPr>
          <w:rFonts w:eastAsia="Times New Roman" w:cs="Arial"/>
          <w:color w:val="000000"/>
          <w:lang w:val="en-US"/>
        </w:rPr>
        <w:t>Proteinuria</w:t>
      </w:r>
      <w:r w:rsidRPr="00CD566F">
        <w:rPr>
          <w:rFonts w:eastAsia="Times New Roman" w:cs="Arial"/>
          <w:color w:val="000000"/>
        </w:rPr>
        <w:t xml:space="preserve"> (</w:t>
      </w:r>
      <w:r w:rsidRPr="00CD566F">
        <w:rPr>
          <w:rFonts w:eastAsia="Times New Roman" w:cs="Arial"/>
          <w:color w:val="000000"/>
          <w:lang w:val="en-US"/>
        </w:rPr>
        <w:t>DROP</w:t>
      </w:r>
      <w:r w:rsidRPr="00CD566F">
        <w:rPr>
          <w:rFonts w:eastAsia="Times New Roman" w:cs="Arial"/>
          <w:color w:val="000000"/>
        </w:rPr>
        <w:t xml:space="preserve">) </w:t>
      </w:r>
      <w:r w:rsidRPr="00CD566F">
        <w:rPr>
          <w:rFonts w:eastAsia="Times New Roman" w:cs="Arial"/>
          <w:color w:val="000000"/>
          <w:lang w:eastAsia="bg-BG"/>
        </w:rPr>
        <w:t xml:space="preserve">доказва ефективността на валсартан при намаляване на понижено отделяне на албумин при 391 пациенти с хипертония (150/88 </w:t>
      </w:r>
      <w:r w:rsidRPr="00CD566F">
        <w:rPr>
          <w:rFonts w:eastAsia="Times New Roman" w:cs="Arial"/>
          <w:color w:val="000000"/>
          <w:lang w:val="en-US"/>
        </w:rPr>
        <w:t>mmHg</w:t>
      </w:r>
      <w:r w:rsidRPr="00CD566F">
        <w:rPr>
          <w:rFonts w:eastAsia="Times New Roman" w:cs="Arial"/>
          <w:color w:val="000000"/>
        </w:rPr>
        <w:t xml:space="preserve">) </w:t>
      </w:r>
      <w:r w:rsidRPr="00CD566F">
        <w:rPr>
          <w:rFonts w:eastAsia="Times New Roman" w:cs="Arial"/>
          <w:color w:val="000000"/>
          <w:lang w:eastAsia="bg-BG"/>
        </w:rPr>
        <w:t xml:space="preserve">с диабет тип 2, албуминурия (средно = 102 </w:t>
      </w:r>
      <w:proofErr w:type="spellStart"/>
      <w:r w:rsidRPr="00CD566F">
        <w:rPr>
          <w:rFonts w:eastAsia="Times New Roman" w:cs="Arial"/>
          <w:color w:val="000000"/>
          <w:lang w:val="en-US"/>
        </w:rPr>
        <w:t>pg</w:t>
      </w:r>
      <w:proofErr w:type="spellEnd"/>
      <w:r w:rsidRPr="00CD566F">
        <w:rPr>
          <w:rFonts w:eastAsia="Times New Roman" w:cs="Arial"/>
          <w:color w:val="000000"/>
        </w:rPr>
        <w:t xml:space="preserve"> </w:t>
      </w:r>
      <w:r w:rsidRPr="00CD566F">
        <w:rPr>
          <w:rFonts w:eastAsia="Times New Roman" w:cs="Arial"/>
          <w:color w:val="000000"/>
          <w:lang w:eastAsia="bg-BG"/>
        </w:rPr>
        <w:t>/ мин; 20-700 μ</w:t>
      </w:r>
      <w:r w:rsidRPr="00CD566F">
        <w:rPr>
          <w:rFonts w:eastAsia="Times New Roman" w:cs="Arial"/>
          <w:color w:val="000000"/>
          <w:lang w:val="en-US"/>
        </w:rPr>
        <w:t>g</w:t>
      </w:r>
      <w:r w:rsidRPr="00CD566F">
        <w:rPr>
          <w:rFonts w:eastAsia="Times New Roman" w:cs="Arial"/>
          <w:color w:val="000000"/>
        </w:rPr>
        <w:t xml:space="preserve"> </w:t>
      </w:r>
      <w:r w:rsidRPr="00CD566F">
        <w:rPr>
          <w:rFonts w:eastAsia="Times New Roman" w:cs="Arial"/>
          <w:color w:val="000000"/>
          <w:lang w:eastAsia="bg-BG"/>
        </w:rPr>
        <w:t>/ мин ) и запазена бъбречна функция (средните стойности на креатинина = 80 μ</w:t>
      </w:r>
      <w:proofErr w:type="spellStart"/>
      <w:r w:rsidRPr="00CD566F">
        <w:rPr>
          <w:rFonts w:eastAsia="Times New Roman" w:cs="Arial"/>
          <w:color w:val="000000"/>
          <w:lang w:val="en-US"/>
        </w:rPr>
        <w:t>mol</w:t>
      </w:r>
      <w:proofErr w:type="spellEnd"/>
      <w:r w:rsidRPr="00CD566F">
        <w:rPr>
          <w:rFonts w:eastAsia="Times New Roman" w:cs="Arial"/>
          <w:color w:val="000000"/>
        </w:rPr>
        <w:t xml:space="preserve"> </w:t>
      </w:r>
      <w:r w:rsidRPr="00CD566F">
        <w:rPr>
          <w:rFonts w:eastAsia="Times New Roman" w:cs="Arial"/>
          <w:color w:val="000000"/>
          <w:lang w:eastAsia="bg-BG"/>
        </w:rPr>
        <w:t xml:space="preserve">/ </w:t>
      </w:r>
      <w:r w:rsidRPr="00CD566F">
        <w:rPr>
          <w:rFonts w:eastAsia="Times New Roman" w:cs="Arial"/>
          <w:color w:val="000000"/>
          <w:lang w:val="en-US"/>
        </w:rPr>
        <w:t>L</w:t>
      </w:r>
      <w:r w:rsidRPr="00CD566F">
        <w:rPr>
          <w:rFonts w:eastAsia="Times New Roman" w:cs="Arial"/>
          <w:color w:val="000000"/>
        </w:rPr>
        <w:t xml:space="preserve">). </w:t>
      </w:r>
      <w:r w:rsidRPr="00CD566F">
        <w:rPr>
          <w:rFonts w:eastAsia="Times New Roman" w:cs="Arial"/>
          <w:color w:val="000000"/>
          <w:lang w:eastAsia="bg-BG"/>
        </w:rPr>
        <w:t xml:space="preserve">Пациентите са били рандомизирани на една от 3 дози на валсартан (160, 320 и 640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 ден) в продължение на 30 седмици. Целта на проучването е да се определи оптималната доза на валсартан за понижаване на отделянето на албумун в урината при пациенти с хипертония и диабет тип 2. Към 30-та седмица, процентната промяна в пониженото отделяне на албумин в урината е била значително намалена с 36 % спрямо изходните стойности с валсартан 160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(95% доверителен интервал: от 22 до 47%), и с 44% с валсартан 320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(95% доверителе интервал: от 31 до 54%) . Изводът е, че приемат на 160-320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валсартан, води до клинично значимо понижение на отделяне на албумин </w:t>
      </w:r>
      <w:r w:rsidRPr="00CD566F">
        <w:rPr>
          <w:rFonts w:eastAsia="Times New Roman" w:cs="Arial"/>
          <w:color w:val="000000"/>
          <w:u w:val="single"/>
          <w:lang w:eastAsia="bg-BG"/>
        </w:rPr>
        <w:t>в урин</w:t>
      </w:r>
      <w:r w:rsidRPr="00CD566F">
        <w:rPr>
          <w:rFonts w:eastAsia="Times New Roman" w:cs="Arial"/>
          <w:color w:val="000000"/>
          <w:lang w:eastAsia="bg-BG"/>
        </w:rPr>
        <w:t>ата при пациенти с хипертония и диабет тип 2.</w:t>
      </w:r>
    </w:p>
    <w:p w14:paraId="52EF3CB8" w14:textId="77777777" w:rsidR="00CD566F" w:rsidRDefault="00CD566F" w:rsidP="00CD566F">
      <w:pPr>
        <w:spacing w:line="240" w:lineRule="auto"/>
        <w:rPr>
          <w:rFonts w:eastAsia="Times New Roman" w:cs="Arial"/>
          <w:color w:val="000000"/>
          <w:u w:val="single"/>
          <w:lang w:eastAsia="bg-BG"/>
        </w:rPr>
      </w:pPr>
    </w:p>
    <w:p w14:paraId="011CA767" w14:textId="1F9FDD08"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Пресен миокарден инфаркт</w:t>
      </w:r>
    </w:p>
    <w:p w14:paraId="427A848E" w14:textId="3EF93D41" w:rsidR="00C73E3C" w:rsidRDefault="00C73E3C" w:rsidP="00CD566F">
      <w:pPr>
        <w:spacing w:line="240" w:lineRule="auto"/>
        <w:rPr>
          <w:rFonts w:eastAsia="Times New Roman" w:cs="Arial"/>
        </w:rPr>
      </w:pPr>
    </w:p>
    <w:p w14:paraId="21B8DFAB" w14:textId="77777777" w:rsidR="00CD566F" w:rsidRPr="00CD566F" w:rsidRDefault="00CD566F" w:rsidP="00CD566F">
      <w:pPr>
        <w:spacing w:line="240" w:lineRule="auto"/>
        <w:rPr>
          <w:rFonts w:eastAsia="Times New Roman" w:cs="Arial"/>
        </w:rPr>
      </w:pPr>
      <w:proofErr w:type="spellStart"/>
      <w:r w:rsidRPr="00CD566F">
        <w:rPr>
          <w:rFonts w:eastAsia="Times New Roman" w:cs="Arial"/>
          <w:color w:val="000000"/>
          <w:lang w:val="en-US"/>
        </w:rPr>
        <w:t>VALsartan</w:t>
      </w:r>
      <w:proofErr w:type="spellEnd"/>
      <w:r w:rsidRPr="00CD566F">
        <w:rPr>
          <w:rFonts w:eastAsia="Times New Roman" w:cs="Arial"/>
          <w:color w:val="000000"/>
          <w:lang w:val="ru-RU"/>
        </w:rPr>
        <w:t xml:space="preserve"> </w:t>
      </w:r>
      <w:r w:rsidRPr="00CD566F">
        <w:rPr>
          <w:rFonts w:eastAsia="Times New Roman" w:cs="Arial"/>
          <w:color w:val="000000"/>
          <w:lang w:val="en-US"/>
        </w:rPr>
        <w:t>In</w:t>
      </w:r>
      <w:r w:rsidRPr="00CD566F">
        <w:rPr>
          <w:rFonts w:eastAsia="Times New Roman" w:cs="Arial"/>
          <w:color w:val="000000"/>
          <w:lang w:val="ru-RU"/>
        </w:rPr>
        <w:t xml:space="preserve"> </w:t>
      </w:r>
      <w:r w:rsidRPr="00CD566F">
        <w:rPr>
          <w:rFonts w:eastAsia="Times New Roman" w:cs="Arial"/>
          <w:color w:val="000000"/>
          <w:lang w:val="en-US"/>
        </w:rPr>
        <w:t>Acute</w:t>
      </w:r>
      <w:r w:rsidRPr="00CD566F">
        <w:rPr>
          <w:rFonts w:eastAsia="Times New Roman" w:cs="Arial"/>
          <w:color w:val="000000"/>
          <w:lang w:val="ru-RU"/>
        </w:rPr>
        <w:t xml:space="preserve"> </w:t>
      </w:r>
      <w:r w:rsidRPr="00CD566F">
        <w:rPr>
          <w:rFonts w:eastAsia="Times New Roman" w:cs="Arial"/>
          <w:color w:val="000000"/>
          <w:lang w:val="en-US"/>
        </w:rPr>
        <w:t>myocardial</w:t>
      </w:r>
      <w:r w:rsidRPr="00CD566F">
        <w:rPr>
          <w:rFonts w:eastAsia="Times New Roman" w:cs="Arial"/>
          <w:color w:val="000000"/>
          <w:lang w:val="ru-RU"/>
        </w:rPr>
        <w:t xml:space="preserve"> </w:t>
      </w:r>
      <w:proofErr w:type="spellStart"/>
      <w:r w:rsidRPr="00CD566F">
        <w:rPr>
          <w:rFonts w:eastAsia="Times New Roman" w:cs="Arial"/>
          <w:color w:val="000000"/>
          <w:lang w:val="en-US"/>
        </w:rPr>
        <w:t>iNfarcTion</w:t>
      </w:r>
      <w:proofErr w:type="spellEnd"/>
      <w:r w:rsidRPr="00CD566F">
        <w:rPr>
          <w:rFonts w:eastAsia="Times New Roman" w:cs="Arial"/>
          <w:color w:val="000000"/>
          <w:lang w:val="ru-RU"/>
        </w:rPr>
        <w:t xml:space="preserve"> (</w:t>
      </w:r>
      <w:r w:rsidRPr="00CD566F">
        <w:rPr>
          <w:rFonts w:eastAsia="Times New Roman" w:cs="Arial"/>
          <w:color w:val="000000"/>
          <w:lang w:val="en-US"/>
        </w:rPr>
        <w:t>VALIANT</w:t>
      </w:r>
      <w:r w:rsidRPr="00CD566F">
        <w:rPr>
          <w:rFonts w:eastAsia="Times New Roman" w:cs="Arial"/>
          <w:color w:val="000000"/>
          <w:lang w:val="ru-RU"/>
        </w:rPr>
        <w:t xml:space="preserve">) </w:t>
      </w:r>
      <w:r w:rsidRPr="00CD566F">
        <w:rPr>
          <w:rFonts w:eastAsia="Times New Roman" w:cs="Arial"/>
          <w:color w:val="000000"/>
          <w:lang w:eastAsia="bg-BG"/>
        </w:rPr>
        <w:t>е рандомизирано контролирано, многонационално, двойно-сляпо проучване при 14 703 пациенти с остър миокарден инфаркти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 40% чрез радионуклидна вентрикулография или &lt;3 5% чрез ехокардиография или вентрикулна контрастна ангиография). Пациентите са рандомизирани спрямо валсартан, каптоприл или комбинация от двата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w:t>
      </w:r>
    </w:p>
    <w:p w14:paraId="1F522A93" w14:textId="77777777" w:rsidR="00CD566F" w:rsidRDefault="00CD566F" w:rsidP="00CD566F">
      <w:pPr>
        <w:spacing w:line="240" w:lineRule="auto"/>
        <w:rPr>
          <w:rFonts w:eastAsia="Times New Roman" w:cs="Arial"/>
          <w:color w:val="000000"/>
          <w:lang w:eastAsia="bg-BG"/>
        </w:rPr>
      </w:pPr>
    </w:p>
    <w:p w14:paraId="4C6969DA" w14:textId="2C3C45E5"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w:t>
      </w:r>
      <w:r w:rsidRPr="00CD566F">
        <w:rPr>
          <w:rFonts w:eastAsia="Times New Roman" w:cs="Arial"/>
          <w:color w:val="000000"/>
          <w:lang w:eastAsia="bg-BG"/>
        </w:rPr>
        <w:lastRenderedPageBreak/>
        <w:t>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379936A2" w14:textId="77777777" w:rsidR="00CD566F" w:rsidRDefault="00CD566F" w:rsidP="00CD566F">
      <w:pPr>
        <w:spacing w:line="240" w:lineRule="auto"/>
        <w:rPr>
          <w:rFonts w:eastAsia="Times New Roman" w:cs="Arial"/>
          <w:color w:val="000000"/>
          <w:lang w:eastAsia="bg-BG"/>
        </w:rPr>
      </w:pPr>
    </w:p>
    <w:p w14:paraId="030EBC05" w14:textId="2E380EB6"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лекувани с каптоприл. Прекъсване поради различни видове бъбречна дисфункция настъпват при 1,1% от пациентите, лекувани с валсартан, 1,3% от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674FCDE7"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Няма разлика в общата смъртност, сърдечно-съдовата смъртност и заболяемостта, когато се прилагат бета-блокери едновременно с комбинацията валсартан + каптоприл, само валсартан или само каптоприл. Независимо от проучваното лечение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053A8442" w14:textId="77777777" w:rsidR="00CD566F" w:rsidRDefault="00CD566F" w:rsidP="00CD566F">
      <w:pPr>
        <w:spacing w:line="240" w:lineRule="auto"/>
        <w:rPr>
          <w:rFonts w:eastAsia="Times New Roman" w:cs="Arial"/>
          <w:color w:val="000000"/>
          <w:u w:val="single"/>
          <w:lang w:eastAsia="bg-BG"/>
        </w:rPr>
      </w:pPr>
    </w:p>
    <w:p w14:paraId="7B9AF8B3" w14:textId="0BD1A884"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Сърдечна недостатъчност</w:t>
      </w:r>
    </w:p>
    <w:p w14:paraId="0343DD72" w14:textId="77777777" w:rsidR="00CD566F" w:rsidRPr="00CD566F" w:rsidRDefault="00CD566F" w:rsidP="00CD566F">
      <w:pPr>
        <w:spacing w:line="240" w:lineRule="auto"/>
        <w:rPr>
          <w:rFonts w:eastAsia="Times New Roman" w:cs="Arial"/>
        </w:rPr>
      </w:pPr>
    </w:p>
    <w:p w14:paraId="6AB4CC64" w14:textId="77777777" w:rsidR="00CD566F" w:rsidRPr="00CD566F" w:rsidRDefault="00CD566F" w:rsidP="00CD566F">
      <w:pPr>
        <w:rPr>
          <w:rFonts w:eastAsia="Times New Roman" w:cs="Arial"/>
        </w:rPr>
      </w:pPr>
      <w:r w:rsidRPr="00CD566F">
        <w:rPr>
          <w:rFonts w:eastAsia="Times New Roman" w:cs="Arial"/>
          <w:color w:val="000000"/>
          <w:lang w:val="en-US"/>
        </w:rPr>
        <w:t>Val</w:t>
      </w:r>
      <w:r w:rsidRPr="00CD566F">
        <w:rPr>
          <w:rFonts w:eastAsia="Times New Roman" w:cs="Arial"/>
          <w:color w:val="000000"/>
          <w:lang w:val="ru-RU"/>
        </w:rPr>
        <w:t>-</w:t>
      </w:r>
      <w:proofErr w:type="spellStart"/>
      <w:r w:rsidRPr="00CD566F">
        <w:rPr>
          <w:rFonts w:eastAsia="Times New Roman" w:cs="Arial"/>
          <w:color w:val="000000"/>
          <w:lang w:val="en-US"/>
        </w:rPr>
        <w:t>HeFT</w:t>
      </w:r>
      <w:proofErr w:type="spellEnd"/>
      <w:r w:rsidRPr="00CD566F">
        <w:rPr>
          <w:rFonts w:eastAsia="Times New Roman" w:cs="Arial"/>
          <w:color w:val="000000"/>
          <w:lang w:val="ru-RU"/>
        </w:rPr>
        <w:t xml:space="preserve"> </w:t>
      </w:r>
      <w:r w:rsidRPr="00CD566F">
        <w:rPr>
          <w:rFonts w:eastAsia="Times New Roman" w:cs="Arial"/>
          <w:color w:val="000000"/>
          <w:lang w:eastAsia="bg-BG"/>
        </w:rPr>
        <w:t xml:space="preserve">е рандомизирано, контролирано, многонационално клинично проучване на валсартан, сравнен с плацебо върху болестността и смъртността при 5 010 пациенти със сърдечна недостатъчност с </w:t>
      </w:r>
      <w:r w:rsidRPr="00CD566F">
        <w:rPr>
          <w:rFonts w:eastAsia="Times New Roman" w:cs="Arial"/>
          <w:color w:val="000000"/>
          <w:lang w:val="en-US"/>
        </w:rPr>
        <w:t>NYHA</w:t>
      </w:r>
      <w:r w:rsidRPr="00CD566F">
        <w:rPr>
          <w:rFonts w:eastAsia="Times New Roman" w:cs="Arial"/>
          <w:color w:val="000000"/>
          <w:lang w:val="ru-RU"/>
        </w:rPr>
        <w:t xml:space="preserve"> </w:t>
      </w:r>
      <w:r w:rsidRPr="00CD566F">
        <w:rPr>
          <w:rFonts w:eastAsia="Times New Roman" w:cs="Arial"/>
          <w:color w:val="000000"/>
          <w:lang w:eastAsia="bg-BG"/>
        </w:rPr>
        <w:t xml:space="preserve">клас II (62%), </w:t>
      </w:r>
      <w:r w:rsidRPr="00CD566F">
        <w:rPr>
          <w:rFonts w:eastAsia="Times New Roman" w:cs="Arial"/>
          <w:color w:val="000000"/>
          <w:lang w:val="en-US"/>
        </w:rPr>
        <w:t>III</w:t>
      </w:r>
      <w:r w:rsidRPr="00CD566F">
        <w:rPr>
          <w:rFonts w:eastAsia="Times New Roman" w:cs="Arial"/>
          <w:color w:val="000000"/>
          <w:lang w:eastAsia="bg-BG"/>
        </w:rPr>
        <w:t xml:space="preserve"> (36%) и IV (2%), получаващи обичайна терапия с левокамерна ФИ &lt;40% и левокамерен вътрешен диастолен диаметър </w:t>
      </w:r>
      <w:r w:rsidRPr="00CD566F">
        <w:rPr>
          <w:rFonts w:eastAsia="Times New Roman" w:cs="Arial"/>
          <w:color w:val="000000"/>
          <w:lang w:val="ru-RU"/>
        </w:rPr>
        <w:t>(</w:t>
      </w:r>
      <w:r w:rsidRPr="00CD566F">
        <w:rPr>
          <w:rFonts w:eastAsia="Times New Roman" w:cs="Arial"/>
          <w:color w:val="000000"/>
          <w:lang w:val="en-US"/>
        </w:rPr>
        <w:t>LVIDD</w:t>
      </w:r>
      <w:r w:rsidRPr="00CD566F">
        <w:rPr>
          <w:rFonts w:eastAsia="Times New Roman" w:cs="Arial"/>
          <w:color w:val="000000"/>
          <w:lang w:val="ru-RU"/>
        </w:rPr>
        <w:t xml:space="preserve">) </w:t>
      </w:r>
      <w:r w:rsidRPr="00CD566F">
        <w:rPr>
          <w:rFonts w:eastAsia="Times New Roman" w:cs="Arial"/>
          <w:color w:val="000000"/>
          <w:lang w:eastAsia="bg-BG"/>
        </w:rPr>
        <w:t xml:space="preserve">&gt;2,9 </w:t>
      </w:r>
      <w:r w:rsidRPr="00CD566F">
        <w:rPr>
          <w:rFonts w:eastAsia="Times New Roman" w:cs="Arial"/>
          <w:color w:val="000000"/>
          <w:lang w:val="en-US"/>
        </w:rPr>
        <w:t>cm</w:t>
      </w:r>
      <w:r w:rsidRPr="00CD566F">
        <w:rPr>
          <w:rFonts w:eastAsia="Times New Roman" w:cs="Arial"/>
          <w:color w:val="000000"/>
          <w:lang w:val="ru-RU"/>
        </w:rPr>
        <w:t>/</w:t>
      </w:r>
      <w:r w:rsidRPr="00CD566F">
        <w:rPr>
          <w:rFonts w:eastAsia="Times New Roman" w:cs="Arial"/>
          <w:color w:val="000000"/>
          <w:lang w:val="en-US"/>
        </w:rPr>
        <w:t>m</w:t>
      </w:r>
      <w:r w:rsidRPr="00CD566F">
        <w:rPr>
          <w:rFonts w:eastAsia="Times New Roman" w:cs="Arial"/>
          <w:color w:val="000000"/>
          <w:vertAlign w:val="superscript"/>
          <w:lang w:val="ru-RU"/>
        </w:rPr>
        <w:t>2</w:t>
      </w:r>
      <w:r w:rsidRPr="00CD566F">
        <w:rPr>
          <w:rFonts w:eastAsia="Times New Roman" w:cs="Arial"/>
          <w:color w:val="000000"/>
          <w:lang w:val="ru-RU"/>
        </w:rPr>
        <w:t xml:space="preserve"> </w:t>
      </w:r>
      <w:r w:rsidRPr="00CD566F">
        <w:rPr>
          <w:rFonts w:eastAsia="Times New Roman" w:cs="Arial"/>
          <w:color w:val="000000"/>
          <w:lang w:eastAsia="bg-BG"/>
        </w:rPr>
        <w:t xml:space="preserve">Основната терапия включва АСЕ инхибитори (93%), диуретици (86%), дигоксин (67%) и бета-блокери. Средната продължителност на проследяването е приблизително две години. Средната дневна доза на валсартан във </w:t>
      </w:r>
      <w:r w:rsidRPr="00CD566F">
        <w:rPr>
          <w:rFonts w:eastAsia="Times New Roman" w:cs="Arial"/>
          <w:color w:val="000000"/>
          <w:lang w:val="en-US"/>
        </w:rPr>
        <w:t>Val</w:t>
      </w:r>
      <w:r w:rsidRPr="00CD566F">
        <w:rPr>
          <w:rFonts w:eastAsia="Times New Roman" w:cs="Arial"/>
          <w:color w:val="000000"/>
          <w:lang w:val="ru-RU"/>
        </w:rPr>
        <w:t>-</w:t>
      </w:r>
      <w:proofErr w:type="spellStart"/>
      <w:r w:rsidRPr="00CD566F">
        <w:rPr>
          <w:rFonts w:eastAsia="Times New Roman" w:cs="Arial"/>
          <w:color w:val="000000"/>
          <w:lang w:val="en-US"/>
        </w:rPr>
        <w:t>HeFT</w:t>
      </w:r>
      <w:proofErr w:type="spellEnd"/>
      <w:r w:rsidRPr="00CD566F">
        <w:rPr>
          <w:rFonts w:eastAsia="Times New Roman" w:cs="Arial"/>
          <w:color w:val="000000"/>
          <w:lang w:val="ru-RU"/>
        </w:rPr>
        <w:t xml:space="preserve"> </w:t>
      </w:r>
      <w:r w:rsidRPr="00CD566F">
        <w:rPr>
          <w:rFonts w:eastAsia="Times New Roman" w:cs="Arial"/>
          <w:color w:val="000000"/>
          <w:lang w:eastAsia="bg-BG"/>
        </w:rPr>
        <w:t>е</w:t>
      </w:r>
      <w:r w:rsidRPr="00CD566F">
        <w:rPr>
          <w:rFonts w:eastAsia="Times New Roman" w:cs="Arial"/>
          <w:color w:val="000000"/>
          <w:vertAlign w:val="subscript"/>
          <w:lang w:eastAsia="bg-BG"/>
        </w:rPr>
        <w:t>;</w:t>
      </w:r>
      <w:r w:rsidRPr="00CD566F">
        <w:rPr>
          <w:rFonts w:eastAsia="Times New Roman" w:cs="Arial"/>
          <w:color w:val="000000"/>
          <w:lang w:eastAsia="bg-BG"/>
        </w:rPr>
        <w:t xml:space="preserve"> 254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Проучването има две първични крайни точки: обща смъртност (време до настъпване на смъртта), съставна смъртност и болестност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 Общата смъртност е подобна в групите </w:t>
      </w:r>
      <w:r w:rsidRPr="00CD566F">
        <w:rPr>
          <w:rFonts w:eastAsia="Times New Roman" w:cs="Arial"/>
          <w:color w:val="000000"/>
          <w:lang w:val="ru-RU"/>
        </w:rPr>
        <w:t>(</w:t>
      </w:r>
      <w:r w:rsidRPr="00CD566F">
        <w:rPr>
          <w:rFonts w:eastAsia="Times New Roman" w:cs="Arial"/>
          <w:color w:val="000000"/>
          <w:lang w:val="en-US"/>
        </w:rPr>
        <w:t>p</w:t>
      </w:r>
      <w:r w:rsidRPr="00CD566F">
        <w:rPr>
          <w:rFonts w:eastAsia="Times New Roman" w:cs="Arial"/>
          <w:color w:val="000000"/>
          <w:lang w:val="ru-RU"/>
        </w:rPr>
        <w:t>=</w:t>
      </w:r>
      <w:r w:rsidRPr="00CD566F">
        <w:rPr>
          <w:rFonts w:eastAsia="Times New Roman" w:cs="Arial"/>
          <w:color w:val="000000"/>
          <w:lang w:val="en-US"/>
        </w:rPr>
        <w:t>NS</w:t>
      </w:r>
      <w:r w:rsidRPr="00CD566F">
        <w:rPr>
          <w:rFonts w:eastAsia="Times New Roman" w:cs="Arial"/>
          <w:color w:val="000000"/>
          <w:lang w:val="ru-RU"/>
        </w:rPr>
        <w:t xml:space="preserve">) </w:t>
      </w:r>
      <w:r w:rsidRPr="00CD566F">
        <w:rPr>
          <w:rFonts w:eastAsia="Times New Roman" w:cs="Arial"/>
          <w:color w:val="000000"/>
          <w:lang w:eastAsia="bg-BG"/>
        </w:rPr>
        <w:t xml:space="preserve">с валсартан (19,7%) и плацебо (19,4 %). Първичната полза е 27,5% (95% </w:t>
      </w:r>
      <w:r w:rsidRPr="00CD566F">
        <w:rPr>
          <w:rFonts w:eastAsia="Times New Roman" w:cs="Arial"/>
          <w:color w:val="000000"/>
          <w:lang w:val="en-US"/>
        </w:rPr>
        <w:t>CI</w:t>
      </w:r>
      <w:r w:rsidRPr="00CD566F">
        <w:rPr>
          <w:rFonts w:eastAsia="Times New Roman" w:cs="Arial"/>
          <w:color w:val="000000"/>
          <w:lang w:val="ru-RU"/>
        </w:rPr>
        <w:t xml:space="preserve">: </w:t>
      </w:r>
      <w:r w:rsidRPr="00CD566F">
        <w:rPr>
          <w:rFonts w:eastAsia="Times New Roman" w:cs="Arial"/>
          <w:color w:val="000000"/>
          <w:lang w:eastAsia="bg-BG"/>
        </w:rPr>
        <w:t>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заболеваемостта е 21,9 % с плацебо спрямо 25,4 % в групата с валсартан), са наблюдавани при пациентите, приемащи тройна комбинация от АСЕ инхибитор, бета-блокер и валсартан. В подгрупата на пациенти</w:t>
      </w:r>
      <w:r w:rsidRPr="00CD566F">
        <w:rPr>
          <w:rFonts w:eastAsia="Times New Roman" w:cs="Arial"/>
          <w:b/>
          <w:bCs/>
          <w:color w:val="000000"/>
          <w:lang w:eastAsia="bg-BG"/>
        </w:rPr>
        <w:t xml:space="preserve"> </w:t>
      </w:r>
      <w:r w:rsidRPr="00CD566F">
        <w:rPr>
          <w:rFonts w:eastAsia="Times New Roman" w:cs="Arial"/>
          <w:color w:val="000000"/>
          <w:lang w:eastAsia="bg-BG"/>
        </w:rPr>
        <w:t>които не приемат АСЕ инхибитор (</w:t>
      </w:r>
      <w:r w:rsidRPr="00CD566F">
        <w:rPr>
          <w:rFonts w:eastAsia="Times New Roman" w:cs="Arial"/>
          <w:color w:val="000000"/>
          <w:lang w:val="en-US"/>
        </w:rPr>
        <w:t>n</w:t>
      </w:r>
      <w:r w:rsidRPr="00CD566F">
        <w:rPr>
          <w:rFonts w:eastAsia="Times New Roman" w:cs="Arial"/>
          <w:color w:val="000000"/>
          <w:lang w:eastAsia="bg-BG"/>
        </w:rPr>
        <w:t>=366), ползите при заболяемостта са по-големи. В тази подгрупа общата смъртност е значително намалена с валсартан в сравнение с плацебо с 33%</w:t>
      </w:r>
      <w:r>
        <w:rPr>
          <w:rFonts w:eastAsia="Times New Roman" w:cs="Arial"/>
          <w:color w:val="000000"/>
          <w:lang w:eastAsia="bg-BG"/>
        </w:rPr>
        <w:t xml:space="preserve"> </w:t>
      </w:r>
      <w:r w:rsidRPr="00CD566F">
        <w:rPr>
          <w:rFonts w:eastAsia="Times New Roman" w:cs="Arial"/>
          <w:color w:val="000000"/>
          <w:lang w:eastAsia="bg-BG"/>
        </w:rPr>
        <w:t xml:space="preserve">(95% </w:t>
      </w:r>
      <w:r w:rsidRPr="00CD566F">
        <w:rPr>
          <w:rFonts w:eastAsia="Times New Roman" w:cs="Arial"/>
          <w:color w:val="000000"/>
          <w:lang w:val="en-US"/>
        </w:rPr>
        <w:t>CI</w:t>
      </w:r>
      <w:r w:rsidRPr="00CD566F">
        <w:rPr>
          <w:rFonts w:eastAsia="Times New Roman" w:cs="Arial"/>
          <w:color w:val="000000"/>
          <w:lang w:val="ru-RU"/>
        </w:rPr>
        <w:t xml:space="preserve">: -6% </w:t>
      </w:r>
      <w:r w:rsidRPr="00CD566F">
        <w:rPr>
          <w:rFonts w:eastAsia="Times New Roman" w:cs="Arial"/>
          <w:color w:val="000000"/>
          <w:lang w:eastAsia="bg-BG"/>
        </w:rPr>
        <w:t xml:space="preserve">до </w:t>
      </w:r>
      <w:r w:rsidRPr="00CD566F">
        <w:rPr>
          <w:rFonts w:eastAsia="Times New Roman" w:cs="Arial"/>
          <w:color w:val="000000"/>
          <w:lang w:val="ru-RU"/>
        </w:rPr>
        <w:t xml:space="preserve">58%) (17,3% </w:t>
      </w:r>
      <w:r w:rsidRPr="00CD566F">
        <w:rPr>
          <w:rFonts w:eastAsia="Times New Roman" w:cs="Arial"/>
          <w:color w:val="000000"/>
          <w:lang w:eastAsia="bg-BG"/>
        </w:rPr>
        <w:t>валсартан спрямо 27,1 % плацебо), а съставната смъртност и риска за заболяемост са значително намалени с 44% (24,9% валсартан спрямо 42,5% плацебо).</w:t>
      </w:r>
    </w:p>
    <w:p w14:paraId="24F7E197" w14:textId="77777777" w:rsidR="00CD566F" w:rsidRDefault="00CD566F" w:rsidP="00CD566F">
      <w:pPr>
        <w:spacing w:line="240" w:lineRule="auto"/>
        <w:rPr>
          <w:rFonts w:eastAsia="Times New Roman" w:cs="Arial"/>
          <w:color w:val="000000"/>
          <w:lang w:eastAsia="bg-BG"/>
        </w:rPr>
      </w:pPr>
    </w:p>
    <w:p w14:paraId="3511F70A" w14:textId="79113A56"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 пациенти, които приемат АСЕ инхибитор без бета-блокер, общата смъртност е подобна </w:t>
      </w:r>
      <w:r w:rsidRPr="00CD566F">
        <w:rPr>
          <w:rFonts w:eastAsia="Times New Roman" w:cs="Arial"/>
          <w:color w:val="000000"/>
          <w:lang w:val="ru-RU"/>
        </w:rPr>
        <w:t>(</w:t>
      </w:r>
      <w:r w:rsidRPr="00CD566F">
        <w:rPr>
          <w:rFonts w:eastAsia="Times New Roman" w:cs="Arial"/>
          <w:color w:val="000000"/>
          <w:lang w:val="en-US"/>
        </w:rPr>
        <w:t>p</w:t>
      </w:r>
      <w:r w:rsidRPr="00CD566F">
        <w:rPr>
          <w:rFonts w:eastAsia="Times New Roman" w:cs="Arial"/>
          <w:color w:val="000000"/>
          <w:lang w:val="ru-RU"/>
        </w:rPr>
        <w:t>=</w:t>
      </w:r>
      <w:r w:rsidRPr="00CD566F">
        <w:rPr>
          <w:rFonts w:eastAsia="Times New Roman" w:cs="Arial"/>
          <w:color w:val="000000"/>
          <w:lang w:val="en-US"/>
        </w:rPr>
        <w:t>NS</w:t>
      </w:r>
      <w:r w:rsidRPr="00CD566F">
        <w:rPr>
          <w:rFonts w:eastAsia="Times New Roman" w:cs="Arial"/>
          <w:color w:val="000000"/>
          <w:lang w:val="ru-RU"/>
        </w:rPr>
        <w:t xml:space="preserve">) </w:t>
      </w:r>
      <w:r w:rsidRPr="00CD566F">
        <w:rPr>
          <w:rFonts w:eastAsia="Times New Roman" w:cs="Arial"/>
          <w:color w:val="000000"/>
          <w:lang w:eastAsia="bg-BG"/>
        </w:rPr>
        <w:t xml:space="preserve">в групите с валсартан (21,8%) и плацебо (22,5%). Съставната смъртност </w:t>
      </w:r>
      <w:r w:rsidRPr="00CD566F">
        <w:rPr>
          <w:rFonts w:eastAsia="Times New Roman" w:cs="Arial"/>
          <w:color w:val="000000"/>
          <w:lang w:eastAsia="bg-BG"/>
        </w:rPr>
        <w:lastRenderedPageBreak/>
        <w:t xml:space="preserve">и рискът за заболяемост са значително намалени с 18,3% (95% </w:t>
      </w:r>
      <w:r w:rsidRPr="00CD566F">
        <w:rPr>
          <w:rFonts w:eastAsia="Times New Roman" w:cs="Arial"/>
          <w:color w:val="000000"/>
          <w:lang w:val="en-US"/>
        </w:rPr>
        <w:t>CI</w:t>
      </w:r>
      <w:r w:rsidRPr="00CD566F">
        <w:rPr>
          <w:rFonts w:eastAsia="Times New Roman" w:cs="Arial"/>
          <w:color w:val="000000"/>
          <w:lang w:val="ru-RU"/>
        </w:rPr>
        <w:t xml:space="preserve">: </w:t>
      </w:r>
      <w:r w:rsidRPr="00CD566F">
        <w:rPr>
          <w:rFonts w:eastAsia="Times New Roman" w:cs="Arial"/>
          <w:color w:val="000000"/>
          <w:lang w:eastAsia="bg-BG"/>
        </w:rPr>
        <w:t xml:space="preserve">8% </w:t>
      </w:r>
      <w:r w:rsidRPr="00CD566F">
        <w:rPr>
          <w:rFonts w:eastAsia="Times New Roman" w:cs="Arial"/>
          <w:color w:val="000000"/>
          <w:lang w:val="en-US"/>
        </w:rPr>
        <w:t>to</w:t>
      </w:r>
      <w:r w:rsidRPr="00CD566F">
        <w:rPr>
          <w:rFonts w:eastAsia="Times New Roman" w:cs="Arial"/>
          <w:color w:val="000000"/>
          <w:lang w:val="ru-RU"/>
        </w:rPr>
        <w:t xml:space="preserve"> </w:t>
      </w:r>
      <w:r w:rsidRPr="00CD566F">
        <w:rPr>
          <w:rFonts w:eastAsia="Times New Roman" w:cs="Arial"/>
          <w:color w:val="000000"/>
          <w:lang w:eastAsia="bg-BG"/>
        </w:rPr>
        <w:t>28%) при валсартан в сравнение с плацебо (31,0% спрямо 3 6,3 %).</w:t>
      </w:r>
    </w:p>
    <w:p w14:paraId="1FE99019" w14:textId="77777777" w:rsidR="00CD566F" w:rsidRDefault="00CD566F" w:rsidP="00CD566F">
      <w:pPr>
        <w:spacing w:line="240" w:lineRule="auto"/>
        <w:rPr>
          <w:rFonts w:eastAsia="Times New Roman" w:cs="Arial"/>
          <w:color w:val="000000"/>
          <w:lang w:eastAsia="bg-BG"/>
        </w:rPr>
      </w:pPr>
    </w:p>
    <w:p w14:paraId="0D3F04E4" w14:textId="54962A82"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В общата популация на </w:t>
      </w:r>
      <w:r w:rsidRPr="00CD566F">
        <w:rPr>
          <w:rFonts w:eastAsia="Times New Roman" w:cs="Arial"/>
          <w:color w:val="000000"/>
          <w:lang w:val="en-US"/>
        </w:rPr>
        <w:t>Val</w:t>
      </w:r>
      <w:r w:rsidRPr="00CD566F">
        <w:rPr>
          <w:rFonts w:eastAsia="Times New Roman" w:cs="Arial"/>
          <w:color w:val="000000"/>
          <w:lang w:val="ru-RU"/>
        </w:rPr>
        <w:t>-</w:t>
      </w:r>
      <w:proofErr w:type="spellStart"/>
      <w:r w:rsidRPr="00CD566F">
        <w:rPr>
          <w:rFonts w:eastAsia="Times New Roman" w:cs="Arial"/>
          <w:color w:val="000000"/>
          <w:lang w:val="en-US"/>
        </w:rPr>
        <w:t>HeFT</w:t>
      </w:r>
      <w:proofErr w:type="spellEnd"/>
      <w:r w:rsidRPr="00CD566F">
        <w:rPr>
          <w:rFonts w:eastAsia="Times New Roman" w:cs="Arial"/>
          <w:color w:val="000000"/>
          <w:lang w:val="ru-RU"/>
        </w:rPr>
        <w:t xml:space="preserve"> </w:t>
      </w:r>
      <w:r w:rsidRPr="00CD566F">
        <w:rPr>
          <w:rFonts w:eastAsia="Times New Roman" w:cs="Arial"/>
          <w:color w:val="000000"/>
          <w:lang w:eastAsia="bg-BG"/>
        </w:rPr>
        <w:t xml:space="preserve">пациентите, лекувани с валсартан, показват в сравнение с плацебо значимо подобрение на класа по </w:t>
      </w:r>
      <w:r w:rsidRPr="00CD566F">
        <w:rPr>
          <w:rFonts w:eastAsia="Times New Roman" w:cs="Arial"/>
          <w:color w:val="000000"/>
          <w:lang w:val="en-US"/>
        </w:rPr>
        <w:t>NYHA</w:t>
      </w:r>
      <w:r w:rsidRPr="00CD566F">
        <w:rPr>
          <w:rFonts w:eastAsia="Times New Roman" w:cs="Arial"/>
          <w:color w:val="000000"/>
          <w:lang w:val="ru-RU"/>
        </w:rPr>
        <w:t xml:space="preserve">, </w:t>
      </w:r>
      <w:r w:rsidRPr="00CD566F">
        <w:rPr>
          <w:rFonts w:eastAsia="Times New Roman" w:cs="Arial"/>
          <w:color w:val="000000"/>
          <w:lang w:eastAsia="bg-BG"/>
        </w:rPr>
        <w:t xml:space="preserve">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 скалата на </w:t>
      </w:r>
      <w:r w:rsidRPr="00CD566F">
        <w:rPr>
          <w:rFonts w:eastAsia="Times New Roman" w:cs="Arial"/>
          <w:color w:val="000000"/>
          <w:lang w:val="en-US"/>
        </w:rPr>
        <w:t>Minnesota</w:t>
      </w:r>
      <w:r w:rsidRPr="00CD566F">
        <w:rPr>
          <w:rFonts w:eastAsia="Times New Roman" w:cs="Arial"/>
          <w:color w:val="000000"/>
          <w:lang w:val="ru-RU"/>
        </w:rPr>
        <w:t xml:space="preserve"> </w:t>
      </w:r>
      <w:r w:rsidRPr="00CD566F">
        <w:rPr>
          <w:rFonts w:eastAsia="Times New Roman" w:cs="Arial"/>
          <w:color w:val="000000"/>
          <w:lang w:val="en-US"/>
        </w:rPr>
        <w:t>Living</w:t>
      </w:r>
      <w:r w:rsidRPr="00CD566F">
        <w:rPr>
          <w:rFonts w:eastAsia="Times New Roman" w:cs="Arial"/>
          <w:color w:val="000000"/>
          <w:lang w:val="ru-RU"/>
        </w:rPr>
        <w:t xml:space="preserve"> </w:t>
      </w:r>
      <w:r w:rsidRPr="00CD566F">
        <w:rPr>
          <w:rFonts w:eastAsia="Times New Roman" w:cs="Arial"/>
          <w:color w:val="000000"/>
          <w:lang w:val="en-US"/>
        </w:rPr>
        <w:t>with</w:t>
      </w:r>
      <w:r w:rsidRPr="00CD566F">
        <w:rPr>
          <w:rFonts w:eastAsia="Times New Roman" w:cs="Arial"/>
          <w:color w:val="000000"/>
          <w:lang w:val="ru-RU"/>
        </w:rPr>
        <w:t xml:space="preserve"> </w:t>
      </w:r>
      <w:r w:rsidRPr="00CD566F">
        <w:rPr>
          <w:rFonts w:eastAsia="Times New Roman" w:cs="Arial"/>
          <w:color w:val="000000"/>
          <w:lang w:val="en-US"/>
        </w:rPr>
        <w:t>Heart</w:t>
      </w:r>
      <w:r w:rsidRPr="00CD566F">
        <w:rPr>
          <w:rFonts w:eastAsia="Times New Roman" w:cs="Arial"/>
          <w:color w:val="000000"/>
          <w:lang w:val="ru-RU"/>
        </w:rPr>
        <w:t xml:space="preserve"> </w:t>
      </w:r>
      <w:r w:rsidRPr="00CD566F">
        <w:rPr>
          <w:rFonts w:eastAsia="Times New Roman" w:cs="Arial"/>
          <w:color w:val="000000"/>
          <w:lang w:val="en-US"/>
        </w:rPr>
        <w:t>Failure</w:t>
      </w:r>
      <w:r w:rsidRPr="00CD566F">
        <w:rPr>
          <w:rFonts w:eastAsia="Times New Roman" w:cs="Arial"/>
          <w:color w:val="000000"/>
          <w:lang w:val="ru-RU"/>
        </w:rPr>
        <w:t xml:space="preserve"> </w:t>
      </w:r>
      <w:r w:rsidRPr="00CD566F">
        <w:rPr>
          <w:rFonts w:eastAsia="Times New Roman" w:cs="Arial"/>
          <w:color w:val="000000"/>
          <w:lang w:val="en-US"/>
        </w:rPr>
        <w:t>Quality</w:t>
      </w:r>
      <w:r w:rsidRPr="00CD566F">
        <w:rPr>
          <w:rFonts w:eastAsia="Times New Roman" w:cs="Arial"/>
          <w:color w:val="000000"/>
          <w:lang w:val="ru-RU"/>
        </w:rPr>
        <w:t xml:space="preserve"> </w:t>
      </w:r>
      <w:r w:rsidRPr="00CD566F">
        <w:rPr>
          <w:rFonts w:eastAsia="Times New Roman" w:cs="Arial"/>
          <w:color w:val="000000"/>
          <w:lang w:val="en-US"/>
        </w:rPr>
        <w:t>of</w:t>
      </w:r>
      <w:r w:rsidRPr="00CD566F">
        <w:rPr>
          <w:rFonts w:eastAsia="Times New Roman" w:cs="Arial"/>
          <w:color w:val="000000"/>
          <w:lang w:val="ru-RU"/>
        </w:rPr>
        <w:t xml:space="preserve"> </w:t>
      </w:r>
      <w:r w:rsidRPr="00CD566F">
        <w:rPr>
          <w:rFonts w:eastAsia="Times New Roman" w:cs="Arial"/>
          <w:color w:val="000000"/>
          <w:lang w:val="en-US"/>
        </w:rPr>
        <w:t>Life</w:t>
      </w:r>
      <w:r w:rsidRPr="00CD566F">
        <w:rPr>
          <w:rFonts w:eastAsia="Times New Roman" w:cs="Arial"/>
          <w:color w:val="000000"/>
          <w:lang w:val="ru-RU"/>
        </w:rPr>
        <w:t xml:space="preserve"> </w:t>
      </w:r>
      <w:r w:rsidRPr="00CD566F">
        <w:rPr>
          <w:rFonts w:eastAsia="Times New Roman" w:cs="Arial"/>
          <w:color w:val="000000"/>
          <w:lang w:eastAsia="bg-BG"/>
        </w:rPr>
        <w:t xml:space="preserve">от изходната до крайната точка на проучването. При пациентите, лекувани с валсартан, значимо се повишава фракцията на изтласкване и се понижава </w:t>
      </w:r>
      <w:r w:rsidRPr="00CD566F">
        <w:rPr>
          <w:rFonts w:eastAsia="Times New Roman" w:cs="Arial"/>
          <w:color w:val="000000"/>
          <w:lang w:val="en-US"/>
        </w:rPr>
        <w:t>LVIDD</w:t>
      </w:r>
      <w:r w:rsidRPr="00CD566F">
        <w:rPr>
          <w:rFonts w:eastAsia="Times New Roman" w:cs="Arial"/>
          <w:color w:val="000000"/>
          <w:lang w:val="ru-RU"/>
        </w:rPr>
        <w:t xml:space="preserve"> </w:t>
      </w:r>
      <w:r w:rsidRPr="00CD566F">
        <w:rPr>
          <w:rFonts w:eastAsia="Times New Roman" w:cs="Arial"/>
          <w:color w:val="000000"/>
          <w:lang w:eastAsia="bg-BG"/>
        </w:rPr>
        <w:t>от изходната до крайната точка по време на проучването в сравнение с плацебо.</w:t>
      </w:r>
    </w:p>
    <w:p w14:paraId="53DE3E64" w14:textId="77777777" w:rsidR="00CD566F" w:rsidRDefault="00CD566F" w:rsidP="00CD566F">
      <w:pPr>
        <w:spacing w:line="240" w:lineRule="auto"/>
        <w:rPr>
          <w:rFonts w:eastAsia="Times New Roman" w:cs="Arial"/>
          <w:color w:val="000000"/>
          <w:u w:val="single"/>
          <w:lang w:eastAsia="bg-BG"/>
        </w:rPr>
      </w:pPr>
    </w:p>
    <w:p w14:paraId="45AB5287" w14:textId="5E49E4E0"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 xml:space="preserve">Валсартан 40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 xml:space="preserve">80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 xml:space="preserve">и 160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Филмирани таблетки</w:t>
      </w:r>
    </w:p>
    <w:p w14:paraId="44023D43" w14:textId="77777777" w:rsidR="00CD566F" w:rsidRDefault="00CD566F" w:rsidP="00CD566F">
      <w:pPr>
        <w:spacing w:line="240" w:lineRule="auto"/>
        <w:rPr>
          <w:rFonts w:eastAsia="Times New Roman" w:cs="Arial"/>
          <w:color w:val="000000"/>
          <w:lang w:eastAsia="bg-BG"/>
        </w:rPr>
      </w:pPr>
    </w:p>
    <w:p w14:paraId="5889EB9E" w14:textId="100C5414"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Две големи рандомизирани контролирани проучвания - </w:t>
      </w:r>
      <w:r w:rsidRPr="00CD566F">
        <w:rPr>
          <w:rFonts w:eastAsia="Times New Roman" w:cs="Arial"/>
          <w:color w:val="000000"/>
          <w:lang w:val="en-US"/>
        </w:rPr>
        <w:t>ONTARGET</w:t>
      </w:r>
      <w:r w:rsidRPr="00CD566F">
        <w:rPr>
          <w:rFonts w:eastAsia="Times New Roman" w:cs="Arial"/>
          <w:color w:val="000000"/>
        </w:rPr>
        <w:t xml:space="preserve"> (</w:t>
      </w:r>
      <w:proofErr w:type="spellStart"/>
      <w:r w:rsidRPr="00CD566F">
        <w:rPr>
          <w:rFonts w:eastAsia="Times New Roman" w:cs="Arial"/>
          <w:color w:val="000000"/>
          <w:lang w:val="en-US"/>
        </w:rPr>
        <w:t>ONgoing</w:t>
      </w:r>
      <w:proofErr w:type="spellEnd"/>
      <w:r w:rsidRPr="00CD566F">
        <w:rPr>
          <w:rFonts w:eastAsia="Times New Roman" w:cs="Arial"/>
          <w:color w:val="000000"/>
        </w:rPr>
        <w:t xml:space="preserve"> </w:t>
      </w:r>
      <w:proofErr w:type="spellStart"/>
      <w:r w:rsidRPr="00CD566F">
        <w:rPr>
          <w:rFonts w:eastAsia="Times New Roman" w:cs="Arial"/>
          <w:color w:val="000000"/>
          <w:lang w:val="en-US"/>
        </w:rPr>
        <w:t>Telmisartan</w:t>
      </w:r>
      <w:proofErr w:type="spellEnd"/>
      <w:r w:rsidRPr="00CD566F">
        <w:rPr>
          <w:rFonts w:eastAsia="Times New Roman" w:cs="Arial"/>
          <w:color w:val="000000"/>
        </w:rPr>
        <w:t xml:space="preserve"> </w:t>
      </w:r>
      <w:r w:rsidRPr="00CD566F">
        <w:rPr>
          <w:rFonts w:eastAsia="Times New Roman" w:cs="Arial"/>
          <w:color w:val="000000"/>
          <w:lang w:val="en-US"/>
        </w:rPr>
        <w:t>Alone</w:t>
      </w:r>
      <w:r w:rsidRPr="00CD566F">
        <w:rPr>
          <w:rFonts w:eastAsia="Times New Roman" w:cs="Arial"/>
          <w:color w:val="000000"/>
        </w:rPr>
        <w:t xml:space="preserve"> </w:t>
      </w:r>
      <w:r w:rsidRPr="00CD566F">
        <w:rPr>
          <w:rFonts w:eastAsia="Times New Roman" w:cs="Arial"/>
          <w:color w:val="000000"/>
          <w:lang w:val="en-US"/>
        </w:rPr>
        <w:t>and</w:t>
      </w:r>
      <w:r w:rsidRPr="00CD566F">
        <w:rPr>
          <w:rFonts w:eastAsia="Times New Roman" w:cs="Arial"/>
          <w:color w:val="000000"/>
        </w:rPr>
        <w:t xml:space="preserve"> </w:t>
      </w:r>
      <w:r w:rsidRPr="00CD566F">
        <w:rPr>
          <w:rFonts w:eastAsia="Times New Roman" w:cs="Arial"/>
          <w:color w:val="000000"/>
          <w:lang w:val="en-US"/>
        </w:rPr>
        <w:t>in</w:t>
      </w:r>
      <w:r w:rsidRPr="00CD566F">
        <w:rPr>
          <w:rFonts w:eastAsia="Times New Roman" w:cs="Arial"/>
          <w:color w:val="000000"/>
        </w:rPr>
        <w:t xml:space="preserve"> </w:t>
      </w:r>
      <w:r w:rsidRPr="00CD566F">
        <w:rPr>
          <w:rFonts w:eastAsia="Times New Roman" w:cs="Arial"/>
          <w:color w:val="000000"/>
          <w:lang w:val="en-US"/>
        </w:rPr>
        <w:t>combination</w:t>
      </w:r>
      <w:r w:rsidRPr="00CD566F">
        <w:rPr>
          <w:rFonts w:eastAsia="Times New Roman" w:cs="Arial"/>
          <w:color w:val="000000"/>
        </w:rPr>
        <w:t xml:space="preserve"> </w:t>
      </w:r>
      <w:r w:rsidRPr="00CD566F">
        <w:rPr>
          <w:rFonts w:eastAsia="Times New Roman" w:cs="Arial"/>
          <w:color w:val="000000"/>
          <w:lang w:val="en-US"/>
        </w:rPr>
        <w:t>with</w:t>
      </w:r>
      <w:r w:rsidRPr="00CD566F">
        <w:rPr>
          <w:rFonts w:eastAsia="Times New Roman" w:cs="Arial"/>
          <w:color w:val="000000"/>
        </w:rPr>
        <w:t xml:space="preserve"> </w:t>
      </w:r>
      <w:r w:rsidRPr="00CD566F">
        <w:rPr>
          <w:rFonts w:eastAsia="Times New Roman" w:cs="Arial"/>
          <w:color w:val="000000"/>
          <w:lang w:val="en-US"/>
        </w:rPr>
        <w:t>Ramipril</w:t>
      </w:r>
      <w:r w:rsidRPr="00CD566F">
        <w:rPr>
          <w:rFonts w:eastAsia="Times New Roman" w:cs="Arial"/>
          <w:color w:val="000000"/>
        </w:rPr>
        <w:t xml:space="preserve"> </w:t>
      </w:r>
      <w:r w:rsidRPr="00CD566F">
        <w:rPr>
          <w:rFonts w:eastAsia="Times New Roman" w:cs="Arial"/>
          <w:color w:val="000000"/>
          <w:lang w:val="en-US"/>
        </w:rPr>
        <w:t>Global</w:t>
      </w:r>
      <w:r w:rsidRPr="00CD566F">
        <w:rPr>
          <w:rFonts w:eastAsia="Times New Roman" w:cs="Arial"/>
          <w:color w:val="000000"/>
        </w:rPr>
        <w:t xml:space="preserve"> </w:t>
      </w:r>
      <w:r w:rsidRPr="00CD566F">
        <w:rPr>
          <w:rFonts w:eastAsia="Times New Roman" w:cs="Arial"/>
          <w:color w:val="000000"/>
          <w:lang w:val="en-US"/>
        </w:rPr>
        <w:t>Endpoint</w:t>
      </w:r>
      <w:r w:rsidRPr="00CD566F">
        <w:rPr>
          <w:rFonts w:eastAsia="Times New Roman" w:cs="Arial"/>
          <w:color w:val="000000"/>
        </w:rPr>
        <w:t xml:space="preserve"> </w:t>
      </w:r>
      <w:r w:rsidRPr="00CD566F">
        <w:rPr>
          <w:rFonts w:eastAsia="Times New Roman" w:cs="Arial"/>
          <w:color w:val="000000"/>
          <w:lang w:val="en-US"/>
        </w:rPr>
        <w:t>Trial</w:t>
      </w:r>
      <w:r w:rsidRPr="00CD566F">
        <w:rPr>
          <w:rFonts w:eastAsia="Times New Roman" w:cs="Arial"/>
          <w:color w:val="000000"/>
        </w:rPr>
        <w:t xml:space="preserve"> - </w:t>
      </w:r>
      <w:r w:rsidRPr="00CD566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D566F">
        <w:rPr>
          <w:rFonts w:eastAsia="Times New Roman" w:cs="Arial"/>
          <w:color w:val="000000"/>
          <w:lang w:val="en-US"/>
        </w:rPr>
        <w:t>VA</w:t>
      </w:r>
      <w:r w:rsidRPr="00CD566F">
        <w:rPr>
          <w:rFonts w:eastAsia="Times New Roman" w:cs="Arial"/>
          <w:color w:val="000000"/>
        </w:rPr>
        <w:t xml:space="preserve"> </w:t>
      </w:r>
      <w:r w:rsidRPr="00CD566F">
        <w:rPr>
          <w:rFonts w:eastAsia="Times New Roman" w:cs="Arial"/>
          <w:color w:val="000000"/>
          <w:lang w:val="en-US"/>
        </w:rPr>
        <w:t>NEPHRON</w:t>
      </w:r>
      <w:r w:rsidRPr="00CD566F">
        <w:rPr>
          <w:rFonts w:eastAsia="Times New Roman" w:cs="Arial"/>
          <w:color w:val="000000"/>
        </w:rPr>
        <w:t>-</w:t>
      </w:r>
      <w:r w:rsidRPr="00CD566F">
        <w:rPr>
          <w:rFonts w:eastAsia="Times New Roman" w:cs="Arial"/>
          <w:color w:val="000000"/>
          <w:lang w:val="en-US"/>
        </w:rPr>
        <w:t>D</w:t>
      </w:r>
      <w:r w:rsidRPr="00CD566F">
        <w:rPr>
          <w:rFonts w:eastAsia="Times New Roman" w:cs="Arial"/>
          <w:color w:val="000000"/>
        </w:rPr>
        <w:t xml:space="preserve"> </w:t>
      </w:r>
      <w:r w:rsidRPr="00CD566F">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CD566F">
        <w:rPr>
          <w:rFonts w:eastAsia="Times New Roman" w:cs="Arial"/>
          <w:color w:val="000000"/>
          <w:lang w:val="en-US"/>
        </w:rPr>
        <w:t>II</w:t>
      </w:r>
      <w:r w:rsidRPr="00CD566F">
        <w:rPr>
          <w:rFonts w:eastAsia="Times New Roman" w:cs="Arial"/>
          <w:color w:val="000000"/>
          <w:lang w:eastAsia="bg-BG"/>
        </w:rPr>
        <w:t xml:space="preserve">-рецепторен блокер. </w:t>
      </w:r>
      <w:r w:rsidRPr="00CD566F">
        <w:rPr>
          <w:rFonts w:eastAsia="Times New Roman" w:cs="Arial"/>
          <w:color w:val="000000"/>
          <w:lang w:val="en-US"/>
        </w:rPr>
        <w:t>ONTARGET</w:t>
      </w:r>
      <w:r w:rsidRPr="00CD566F">
        <w:rPr>
          <w:rFonts w:eastAsia="Times New Roman" w:cs="Arial"/>
          <w:color w:val="000000"/>
          <w:lang w:val="ru-RU"/>
        </w:rPr>
        <w:t xml:space="preserve"> </w:t>
      </w:r>
      <w:r w:rsidRPr="00CD566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D566F">
        <w:rPr>
          <w:rFonts w:eastAsia="Times New Roman" w:cs="Arial"/>
          <w:color w:val="000000"/>
          <w:lang w:val="en-US"/>
        </w:rPr>
        <w:t>VA</w:t>
      </w:r>
      <w:r w:rsidRPr="00CD566F">
        <w:rPr>
          <w:rFonts w:eastAsia="Times New Roman" w:cs="Arial"/>
          <w:color w:val="000000"/>
          <w:lang w:val="ru-RU"/>
        </w:rPr>
        <w:t xml:space="preserve"> </w:t>
      </w:r>
      <w:r w:rsidRPr="00CD566F">
        <w:rPr>
          <w:rFonts w:eastAsia="Times New Roman" w:cs="Arial"/>
          <w:color w:val="000000"/>
          <w:lang w:val="en-US"/>
        </w:rPr>
        <w:t>NEPHRON</w:t>
      </w:r>
      <w:r w:rsidRPr="00CD566F">
        <w:rPr>
          <w:rFonts w:eastAsia="Times New Roman" w:cs="Arial"/>
          <w:color w:val="000000"/>
          <w:lang w:val="ru-RU"/>
        </w:rPr>
        <w:t>-</w:t>
      </w:r>
      <w:r w:rsidRPr="00CD566F">
        <w:rPr>
          <w:rFonts w:eastAsia="Times New Roman" w:cs="Arial"/>
          <w:color w:val="000000"/>
          <w:lang w:val="en-US"/>
        </w:rPr>
        <w:t>D</w:t>
      </w:r>
      <w:r w:rsidRPr="00CD566F">
        <w:rPr>
          <w:rFonts w:eastAsia="Times New Roman" w:cs="Arial"/>
          <w:color w:val="000000"/>
          <w:lang w:val="ru-RU"/>
        </w:rPr>
        <w:t xml:space="preserve"> </w:t>
      </w:r>
      <w:r w:rsidRPr="00CD566F">
        <w:rPr>
          <w:rFonts w:eastAsia="Times New Roman" w:cs="Arial"/>
          <w:color w:val="000000"/>
          <w:lang w:eastAsia="bg-BG"/>
        </w:rPr>
        <w:t>е проучване при пациенти със захарен диабет тип 2 и диабетна нефропатия.</w:t>
      </w:r>
    </w:p>
    <w:p w14:paraId="5192A2EB" w14:textId="77777777" w:rsidR="00CD566F" w:rsidRDefault="00CD566F" w:rsidP="00CD566F">
      <w:pPr>
        <w:spacing w:line="240" w:lineRule="auto"/>
        <w:rPr>
          <w:rFonts w:eastAsia="Times New Roman" w:cs="Arial"/>
          <w:color w:val="000000"/>
          <w:lang w:eastAsia="bg-BG"/>
        </w:rPr>
      </w:pPr>
    </w:p>
    <w:p w14:paraId="65ABCA8A" w14:textId="0A85FEF5" w:rsidR="00CD566F" w:rsidRDefault="00CD566F" w:rsidP="00CD566F">
      <w:pPr>
        <w:spacing w:line="240" w:lineRule="auto"/>
        <w:rPr>
          <w:rFonts w:eastAsia="Times New Roman" w:cs="Arial"/>
          <w:color w:val="000000"/>
          <w:lang w:eastAsia="bg-BG"/>
        </w:rPr>
      </w:pPr>
      <w:r w:rsidRPr="00CD566F">
        <w:rPr>
          <w:rFonts w:eastAsia="Times New Roman" w:cs="Arial"/>
          <w:color w:val="000000"/>
          <w:lang w:eastAsia="bg-BG"/>
        </w:rPr>
        <w:t xml:space="preserve">Тези проучвания не показват значим благоприятен ефект върху бъбречните и/или </w:t>
      </w:r>
    </w:p>
    <w:p w14:paraId="3E20FFCA" w14:textId="24F4FD72" w:rsidR="00CD566F" w:rsidRPr="00CD566F" w:rsidRDefault="00CD566F" w:rsidP="00CD566F">
      <w:pPr>
        <w:spacing w:line="240" w:lineRule="auto"/>
        <w:rPr>
          <w:rFonts w:eastAsia="Times New Roman" w:cs="Arial"/>
        </w:rPr>
      </w:pPr>
      <w:r w:rsidRPr="00CD566F">
        <w:rPr>
          <w:rFonts w:eastAsia="Times New Roman" w:cs="Arial"/>
          <w:color w:val="000000"/>
          <w:lang w:eastAsia="bg-BG"/>
        </w:rPr>
        <w:t>сърдечно</w:t>
      </w:r>
      <w:r w:rsidRPr="00CD566F">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И-рецепторни блокери. АСЕ инхибитори и ангиотензин И-рецепторни блокери следователно не трябва да се използват едновременно при пациенти с диабетна нефропатия.</w:t>
      </w:r>
    </w:p>
    <w:p w14:paraId="49480E3D" w14:textId="77777777" w:rsidR="00CD566F" w:rsidRDefault="00CD566F" w:rsidP="00CD566F">
      <w:pPr>
        <w:spacing w:line="240" w:lineRule="auto"/>
        <w:rPr>
          <w:rFonts w:eastAsia="Times New Roman" w:cs="Arial"/>
          <w:color w:val="000000"/>
          <w:lang w:val="en-US"/>
        </w:rPr>
      </w:pPr>
    </w:p>
    <w:p w14:paraId="1301B7BC" w14:textId="0180E7C4" w:rsidR="00CD566F" w:rsidRPr="00CD566F" w:rsidRDefault="00CD566F" w:rsidP="00CD566F">
      <w:pPr>
        <w:spacing w:line="240" w:lineRule="auto"/>
        <w:rPr>
          <w:rFonts w:eastAsia="Times New Roman" w:cs="Arial"/>
        </w:rPr>
      </w:pPr>
      <w:r w:rsidRPr="00CD566F">
        <w:rPr>
          <w:rFonts w:eastAsia="Times New Roman" w:cs="Arial"/>
          <w:color w:val="000000"/>
          <w:lang w:val="en-US"/>
        </w:rPr>
        <w:t>ALTITUDE</w:t>
      </w:r>
      <w:r w:rsidRPr="00CD566F">
        <w:rPr>
          <w:rFonts w:eastAsia="Times New Roman" w:cs="Arial"/>
          <w:color w:val="000000"/>
          <w:lang w:val="ru-RU"/>
        </w:rPr>
        <w:t xml:space="preserve"> </w:t>
      </w:r>
      <w:r w:rsidRPr="00CD566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 е проучване, предназначено да изследва ползата от добавянето на алискирен към стандартна терапия с АСЕ инхибитор или ангиотензин </w:t>
      </w:r>
      <w:r w:rsidRPr="00CD566F">
        <w:rPr>
          <w:rFonts w:eastAsia="Times New Roman" w:cs="Arial"/>
          <w:color w:val="000000"/>
          <w:lang w:val="en-US"/>
        </w:rPr>
        <w:t>II</w:t>
      </w:r>
      <w:r w:rsidRPr="00CD566F">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33FA5CA" w14:textId="77777777" w:rsidR="00CD566F" w:rsidRDefault="00CD566F" w:rsidP="00CD566F">
      <w:pPr>
        <w:spacing w:line="240" w:lineRule="auto"/>
        <w:rPr>
          <w:rFonts w:eastAsia="Times New Roman" w:cs="Arial"/>
          <w:color w:val="000000"/>
          <w:u w:val="single"/>
          <w:lang w:eastAsia="bg-BG"/>
        </w:rPr>
      </w:pPr>
    </w:p>
    <w:p w14:paraId="43F2687C" w14:textId="6C57114D"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Педиатрична популация</w:t>
      </w:r>
    </w:p>
    <w:p w14:paraId="68DD8171" w14:textId="77777777" w:rsidR="00CD566F" w:rsidRDefault="00CD566F" w:rsidP="00CD566F">
      <w:pPr>
        <w:spacing w:line="240" w:lineRule="auto"/>
        <w:rPr>
          <w:rFonts w:eastAsia="Times New Roman" w:cs="Arial"/>
          <w:color w:val="000000"/>
          <w:u w:val="single"/>
          <w:lang w:eastAsia="bg-BG"/>
        </w:rPr>
      </w:pPr>
    </w:p>
    <w:p w14:paraId="459F37EF" w14:textId="1BC8291A"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Хипертония</w:t>
      </w:r>
    </w:p>
    <w:p w14:paraId="7FB51807" w14:textId="77777777" w:rsidR="00CD566F" w:rsidRDefault="00CD566F" w:rsidP="00CD566F">
      <w:pPr>
        <w:spacing w:line="240" w:lineRule="auto"/>
        <w:rPr>
          <w:rFonts w:eastAsia="Times New Roman" w:cs="Arial"/>
          <w:color w:val="000000"/>
          <w:lang w:eastAsia="bg-BG"/>
        </w:rPr>
      </w:pPr>
    </w:p>
    <w:p w14:paraId="7AAFBB5B" w14:textId="14BBB255"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Антихипертензивният ефект на валсартан е оценен в хода на четири рандомизирани, двойно- слепи клинични проучвания при 561 педиатрични пациенти на възраст от 6 до 18 </w:t>
      </w:r>
      <w:r w:rsidRPr="00CD566F">
        <w:rPr>
          <w:rFonts w:eastAsia="Times New Roman" w:cs="Arial"/>
          <w:color w:val="000000"/>
          <w:lang w:eastAsia="bg-BG"/>
        </w:rPr>
        <w:lastRenderedPageBreak/>
        <w:t>години и 165 педиатрични пациенти на възраст от 1 до 6 години. Нарушения на бъбреците и</w:t>
      </w:r>
      <w:r w:rsidRPr="00CD566F">
        <w:rPr>
          <w:rFonts w:eastAsia="Times New Roman" w:cs="Arial"/>
          <w:color w:val="000000"/>
          <w:lang w:val="ru-RU"/>
        </w:rPr>
        <w:t xml:space="preserve"> </w:t>
      </w:r>
      <w:r w:rsidRPr="00CD566F">
        <w:rPr>
          <w:rFonts w:eastAsia="Times New Roman" w:cs="Arial"/>
          <w:color w:val="000000"/>
          <w:lang w:eastAsia="bg-BG"/>
        </w:rPr>
        <w:t>пикочните пътища и затлъстяване са най-честите подлежащи медицински състояния, които допринасят за развитието на хипертония при децата, включени в проучванията.</w:t>
      </w:r>
    </w:p>
    <w:p w14:paraId="5E7B274D" w14:textId="6167CABD" w:rsidR="00C73E3C" w:rsidRDefault="00C73E3C" w:rsidP="00C73E3C"/>
    <w:p w14:paraId="58DDF7F2" w14:textId="77777777"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Клиничен опит при депа на или над 6 годишна възраст</w:t>
      </w:r>
    </w:p>
    <w:p w14:paraId="153376A6" w14:textId="77777777" w:rsidR="00CD566F" w:rsidRDefault="00CD566F" w:rsidP="00CD566F">
      <w:pPr>
        <w:spacing w:line="240" w:lineRule="auto"/>
        <w:rPr>
          <w:rFonts w:eastAsia="Times New Roman" w:cs="Arial"/>
          <w:color w:val="000000"/>
          <w:lang w:eastAsia="bg-BG"/>
        </w:rPr>
      </w:pPr>
    </w:p>
    <w:p w14:paraId="3B989B44" w14:textId="77777777" w:rsidR="00CD566F" w:rsidRDefault="00CD566F" w:rsidP="00CD566F">
      <w:pPr>
        <w:spacing w:line="240" w:lineRule="auto"/>
        <w:rPr>
          <w:rFonts w:eastAsia="Times New Roman" w:cs="Arial"/>
          <w:color w:val="000000"/>
          <w:lang w:eastAsia="bg-BG"/>
        </w:rPr>
      </w:pPr>
      <w:r w:rsidRPr="00CD566F">
        <w:rPr>
          <w:rFonts w:eastAsia="Times New Roman" w:cs="Arial"/>
          <w:color w:val="000000"/>
          <w:lang w:eastAsia="bg-BG"/>
        </w:rPr>
        <w:t xml:space="preserve">В едно клинично проучване, включващо 261 хипертензивни пациенти на възраст от 6 до 16 години, пациентите с тегло &lt; 35 </w:t>
      </w:r>
      <w:r w:rsidRPr="00CD566F">
        <w:rPr>
          <w:rFonts w:eastAsia="Times New Roman" w:cs="Arial"/>
          <w:color w:val="000000"/>
          <w:lang w:val="en-US"/>
        </w:rPr>
        <w:t>kg</w:t>
      </w:r>
      <w:r w:rsidRPr="00CD566F">
        <w:rPr>
          <w:rFonts w:eastAsia="Times New Roman" w:cs="Arial"/>
          <w:color w:val="000000"/>
          <w:lang w:val="ru-RU"/>
        </w:rPr>
        <w:t xml:space="preserve"> </w:t>
      </w:r>
      <w:r w:rsidRPr="00CD566F">
        <w:rPr>
          <w:rFonts w:eastAsia="Times New Roman" w:cs="Arial"/>
          <w:color w:val="000000"/>
          <w:lang w:eastAsia="bg-BG"/>
        </w:rPr>
        <w:t xml:space="preserve">получават 10, 40 или 80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валсартан дневно под формата на таблетки (ниска, средна и висока доза), а пациентите с тегло &gt;35 </w:t>
      </w:r>
      <w:r w:rsidRPr="00CD566F">
        <w:rPr>
          <w:rFonts w:eastAsia="Times New Roman" w:cs="Arial"/>
          <w:color w:val="000000"/>
          <w:lang w:val="en-US"/>
        </w:rPr>
        <w:t>kg</w:t>
      </w:r>
      <w:r w:rsidRPr="00CD566F">
        <w:rPr>
          <w:rFonts w:eastAsia="Times New Roman" w:cs="Arial"/>
          <w:color w:val="000000"/>
          <w:lang w:val="ru-RU"/>
        </w:rPr>
        <w:t xml:space="preserve"> </w:t>
      </w:r>
      <w:r w:rsidRPr="00CD566F">
        <w:rPr>
          <w:rFonts w:eastAsia="Times New Roman" w:cs="Arial"/>
          <w:color w:val="000000"/>
          <w:lang w:eastAsia="bg-BG"/>
        </w:rPr>
        <w:t xml:space="preserve">получават 20, 80 или 160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 xml:space="preserve">валсартан дневно под формата на таблетки (ниска, средна и висока доза). В края на втората седмица валсартан води до дозозависимо понижение както на систолното, така и на диастолното налягане. Трите дози валсартан (ниска, средна и висока) значимо понижават систолното налягане сътветно с 8, 10 и 12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 xml:space="preserve">спрямо изходните стойности. Пациентите са рандомизирани да продължат да приемат същите дози валсартан или да преминат на плацебо. При пациентите, които продължават да приемат средна и висока доза валсартан систолното налягане е средно с 4 и 7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 xml:space="preserve">по-ниско отколкото при пациентите на лечение с плацебо. При пациентите, приемащи ниска доза валсартан систолното налягане е подобно на това при пациентите на лечение с плацебо. Дозозависимият антихипергензивен ефект на валсартан е налице при всички </w:t>
      </w:r>
    </w:p>
    <w:p w14:paraId="567DD455" w14:textId="725B820A" w:rsidR="00CD566F" w:rsidRPr="00CD566F" w:rsidRDefault="00CD566F" w:rsidP="00CD566F">
      <w:pPr>
        <w:spacing w:line="240" w:lineRule="auto"/>
        <w:rPr>
          <w:rFonts w:eastAsia="Times New Roman" w:cs="Arial"/>
        </w:rPr>
      </w:pPr>
      <w:r w:rsidRPr="00CD566F">
        <w:rPr>
          <w:rFonts w:eastAsia="Times New Roman" w:cs="Arial"/>
          <w:color w:val="000000"/>
          <w:lang w:eastAsia="bg-BG"/>
        </w:rPr>
        <w:t>демографски субгрупи.</w:t>
      </w:r>
    </w:p>
    <w:p w14:paraId="76659060" w14:textId="77777777" w:rsidR="00CD566F" w:rsidRDefault="00CD566F" w:rsidP="00CD566F">
      <w:pPr>
        <w:spacing w:line="240" w:lineRule="auto"/>
        <w:rPr>
          <w:rFonts w:eastAsia="Times New Roman" w:cs="Arial"/>
          <w:color w:val="000000"/>
          <w:lang w:eastAsia="bg-BG"/>
        </w:rPr>
      </w:pPr>
    </w:p>
    <w:p w14:paraId="34479D6B" w14:textId="68894D40"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В едно друго клинично проучване, включващо 300 педиатрични пациенти с хипертония на възраст от 6 до 18 години определени пациенти са рандомизирани да приемат валсартан или еналаприл в продължение на 12 седмици. Децата с тегло &gt;18 </w:t>
      </w:r>
      <w:r w:rsidRPr="00CD566F">
        <w:rPr>
          <w:rFonts w:eastAsia="Times New Roman" w:cs="Arial"/>
          <w:color w:val="000000"/>
          <w:lang w:val="en-US"/>
        </w:rPr>
        <w:t>kg</w:t>
      </w:r>
      <w:r w:rsidRPr="00CD566F">
        <w:rPr>
          <w:rFonts w:eastAsia="Times New Roman" w:cs="Arial"/>
          <w:color w:val="000000"/>
        </w:rPr>
        <w:t xml:space="preserve"> </w:t>
      </w:r>
      <w:r w:rsidRPr="00CD566F">
        <w:rPr>
          <w:rFonts w:eastAsia="Times New Roman" w:cs="Arial"/>
          <w:color w:val="000000"/>
          <w:lang w:eastAsia="bg-BG"/>
        </w:rPr>
        <w:t xml:space="preserve">и &lt;35 </w:t>
      </w:r>
      <w:r w:rsidRPr="00CD566F">
        <w:rPr>
          <w:rFonts w:eastAsia="Times New Roman" w:cs="Arial"/>
          <w:color w:val="000000"/>
          <w:lang w:val="en-US"/>
        </w:rPr>
        <w:t>kg</w:t>
      </w:r>
      <w:r w:rsidRPr="00CD566F">
        <w:rPr>
          <w:rFonts w:eastAsia="Times New Roman" w:cs="Arial"/>
          <w:color w:val="000000"/>
        </w:rPr>
        <w:t xml:space="preserve"> </w:t>
      </w:r>
      <w:r w:rsidRPr="00CD566F">
        <w:rPr>
          <w:rFonts w:eastAsia="Times New Roman" w:cs="Arial"/>
          <w:color w:val="000000"/>
          <w:lang w:eastAsia="bg-BG"/>
        </w:rPr>
        <w:t xml:space="preserve">приемат 80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валсартан или 10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еналаприл; тези с тегло &gt;35 </w:t>
      </w:r>
      <w:r w:rsidRPr="00CD566F">
        <w:rPr>
          <w:rFonts w:eastAsia="Times New Roman" w:cs="Arial"/>
          <w:color w:val="000000"/>
          <w:lang w:val="en-US"/>
        </w:rPr>
        <w:t>kg</w:t>
      </w:r>
      <w:r w:rsidRPr="00CD566F">
        <w:rPr>
          <w:rFonts w:eastAsia="Times New Roman" w:cs="Arial"/>
          <w:color w:val="000000"/>
        </w:rPr>
        <w:t xml:space="preserve"> </w:t>
      </w:r>
      <w:r w:rsidRPr="00CD566F">
        <w:rPr>
          <w:rFonts w:eastAsia="Times New Roman" w:cs="Arial"/>
          <w:color w:val="000000"/>
          <w:lang w:eastAsia="bg-BG"/>
        </w:rPr>
        <w:t xml:space="preserve">и &lt;80 </w:t>
      </w:r>
      <w:r w:rsidRPr="00CD566F">
        <w:rPr>
          <w:rFonts w:eastAsia="Times New Roman" w:cs="Arial"/>
          <w:color w:val="000000"/>
          <w:lang w:val="en-US"/>
        </w:rPr>
        <w:t>kg</w:t>
      </w:r>
      <w:r w:rsidRPr="00CD566F">
        <w:rPr>
          <w:rFonts w:eastAsia="Times New Roman" w:cs="Arial"/>
          <w:color w:val="000000"/>
        </w:rPr>
        <w:t xml:space="preserve"> </w:t>
      </w:r>
      <w:r w:rsidRPr="00CD566F">
        <w:rPr>
          <w:rFonts w:eastAsia="Times New Roman" w:cs="Arial"/>
          <w:color w:val="000000"/>
          <w:lang w:eastAsia="bg-BG"/>
        </w:rPr>
        <w:t xml:space="preserve">приемат 160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валсартан или 20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еналаприл; а тези с тегло &gt;80 </w:t>
      </w:r>
      <w:r w:rsidRPr="00CD566F">
        <w:rPr>
          <w:rFonts w:eastAsia="Times New Roman" w:cs="Arial"/>
          <w:color w:val="000000"/>
          <w:lang w:val="en-US"/>
        </w:rPr>
        <w:t>kg</w:t>
      </w:r>
      <w:r w:rsidRPr="00CD566F">
        <w:rPr>
          <w:rFonts w:eastAsia="Times New Roman" w:cs="Arial"/>
          <w:color w:val="000000"/>
        </w:rPr>
        <w:t xml:space="preserve"> </w:t>
      </w:r>
      <w:r w:rsidRPr="00CD566F">
        <w:rPr>
          <w:rFonts w:eastAsia="Times New Roman" w:cs="Arial"/>
          <w:color w:val="000000"/>
          <w:lang w:eastAsia="bg-BG"/>
        </w:rPr>
        <w:t xml:space="preserve">приемат 320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валсартан или 40 </w:t>
      </w:r>
      <w:r w:rsidRPr="00CD566F">
        <w:rPr>
          <w:rFonts w:eastAsia="Times New Roman" w:cs="Arial"/>
          <w:color w:val="000000"/>
          <w:lang w:val="en-US"/>
        </w:rPr>
        <w:t>mg</w:t>
      </w:r>
      <w:r w:rsidRPr="00CD566F">
        <w:rPr>
          <w:rFonts w:eastAsia="Times New Roman" w:cs="Arial"/>
          <w:color w:val="000000"/>
        </w:rPr>
        <w:t xml:space="preserve"> </w:t>
      </w:r>
      <w:r w:rsidRPr="00CD566F">
        <w:rPr>
          <w:rFonts w:eastAsia="Times New Roman" w:cs="Arial"/>
          <w:color w:val="000000"/>
          <w:lang w:eastAsia="bg-BG"/>
        </w:rPr>
        <w:t xml:space="preserve">еналаприл. Понижението на систолното налягане е сравнимо между пациентите приемащи валсартан (15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 xml:space="preserve">и еналаприл (14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 xml:space="preserve">(р-стойност за не по-малка ефикасност &lt;0,0001). Подобни резултати се наблюдават и за диастолното артериално налягане, понижение с 9,1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 xml:space="preserve">и с 8,5 </w:t>
      </w:r>
      <w:r w:rsidRPr="00CD566F">
        <w:rPr>
          <w:rFonts w:eastAsia="Times New Roman" w:cs="Arial"/>
          <w:color w:val="000000"/>
          <w:lang w:val="en-US"/>
        </w:rPr>
        <w:t>mm</w:t>
      </w:r>
      <w:r w:rsidRPr="00CD566F">
        <w:rPr>
          <w:rFonts w:eastAsia="Times New Roman" w:cs="Arial"/>
          <w:color w:val="000000"/>
          <w:lang w:val="ru-RU"/>
        </w:rPr>
        <w:t xml:space="preserve"> </w:t>
      </w:r>
      <w:r w:rsidRPr="00CD566F">
        <w:rPr>
          <w:rFonts w:eastAsia="Times New Roman" w:cs="Arial"/>
          <w:color w:val="000000"/>
          <w:lang w:val="en-US"/>
        </w:rPr>
        <w:t>Hg</w:t>
      </w:r>
      <w:r w:rsidRPr="00CD566F">
        <w:rPr>
          <w:rFonts w:eastAsia="Times New Roman" w:cs="Arial"/>
          <w:color w:val="000000"/>
          <w:lang w:val="ru-RU"/>
        </w:rPr>
        <w:t xml:space="preserve"> </w:t>
      </w:r>
      <w:r w:rsidRPr="00CD566F">
        <w:rPr>
          <w:rFonts w:eastAsia="Times New Roman" w:cs="Arial"/>
          <w:color w:val="000000"/>
          <w:lang w:eastAsia="bg-BG"/>
        </w:rPr>
        <w:t>съответно с валсартан и с еналаприл.</w:t>
      </w:r>
    </w:p>
    <w:p w14:paraId="637E3222" w14:textId="77777777" w:rsidR="00CD566F" w:rsidRDefault="00CD566F" w:rsidP="00CD566F">
      <w:pPr>
        <w:spacing w:line="240" w:lineRule="auto"/>
        <w:rPr>
          <w:rFonts w:eastAsia="Times New Roman" w:cs="Arial"/>
          <w:color w:val="000000"/>
          <w:u w:val="single"/>
          <w:lang w:eastAsia="bg-BG"/>
        </w:rPr>
      </w:pPr>
    </w:p>
    <w:p w14:paraId="3A6ED1DC" w14:textId="3160A3F1"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Клиничен опит при деца под 6-годишна възраст</w:t>
      </w:r>
    </w:p>
    <w:p w14:paraId="36837BEC" w14:textId="77777777" w:rsidR="00CD566F" w:rsidRDefault="00CD566F" w:rsidP="00CD566F">
      <w:pPr>
        <w:spacing w:line="240" w:lineRule="auto"/>
        <w:rPr>
          <w:rFonts w:eastAsia="Times New Roman" w:cs="Arial"/>
          <w:color w:val="000000"/>
          <w:lang w:eastAsia="bg-BG"/>
        </w:rPr>
      </w:pPr>
    </w:p>
    <w:p w14:paraId="4875C368" w14:textId="7B563D88"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Проведени са две клинични проучвания при пациенти на възраст от 1 до 6 години съответно с 90 и 75 пациенти. В проучванията не са включени деца под 1 година. В първото проучване ефикасността на валсартан е доказана спрямо плацебо, но не е демонстриран дозозависим клиничен отговор. Във второто проучване по-високите дози на валсартан са свързани с по- голямо понижение на артериалното налягане, но тенденцията за дозозависим клиничен отговор не постига статистическа значимост и разликата спрямо лечението с плацебо е несигнификантна. Поради тези несъответствия валсартан не се препоръчва за употреба в тази възрастова група (вж. точка 4.8). Европейската агенция по лекарствата освобождава от задължението за предоставяне на резултатите от</w:t>
      </w:r>
      <w:r w:rsidRPr="00CD566F">
        <w:rPr>
          <w:rFonts w:eastAsia="Times New Roman" w:cs="Arial"/>
          <w:color w:val="000000"/>
          <w:lang w:val="ru-RU"/>
        </w:rPr>
        <w:t xml:space="preserve"> </w:t>
      </w:r>
      <w:r w:rsidRPr="00CD566F">
        <w:rPr>
          <w:rFonts w:eastAsia="Times New Roman" w:cs="Arial"/>
          <w:color w:val="000000"/>
          <w:lang w:eastAsia="bg-BG"/>
        </w:rPr>
        <w:t>проучванията с Валсаркон във всички подгрупи на педиатричната популация със сърдечна Недостатъчност и сърдечна недостатъчност след пресен миокарден инфаркт. Вижте точка 4.2 за информация относно педиатричната употреба.</w:t>
      </w:r>
    </w:p>
    <w:p w14:paraId="65D99AC9" w14:textId="77777777" w:rsidR="00CD566F" w:rsidRPr="00C73E3C" w:rsidRDefault="00CD566F" w:rsidP="00C73E3C"/>
    <w:p w14:paraId="35F84B81" w14:textId="6D35EDC4" w:rsidR="00CF77F7" w:rsidRDefault="002C50EE" w:rsidP="004A448E">
      <w:pPr>
        <w:pStyle w:val="Heading2"/>
      </w:pPr>
      <w:r>
        <w:t>5.2. Фармакокинетични свойства</w:t>
      </w:r>
    </w:p>
    <w:p w14:paraId="48EF5AA9" w14:textId="2175D2F3" w:rsidR="00CD566F" w:rsidRDefault="00CD566F" w:rsidP="00CD566F"/>
    <w:p w14:paraId="3B0561AE" w14:textId="77777777" w:rsidR="00CD566F" w:rsidRPr="00CD566F" w:rsidRDefault="00CD566F" w:rsidP="00CD566F">
      <w:pPr>
        <w:pStyle w:val="Heading3"/>
        <w:rPr>
          <w:rFonts w:eastAsia="Times New Roman"/>
          <w:u w:val="single"/>
        </w:rPr>
      </w:pPr>
      <w:r w:rsidRPr="00CD566F">
        <w:rPr>
          <w:rFonts w:eastAsia="Times New Roman"/>
          <w:u w:val="single"/>
          <w:lang w:eastAsia="bg-BG"/>
        </w:rPr>
        <w:lastRenderedPageBreak/>
        <w:t>Абсорбция:</w:t>
      </w:r>
    </w:p>
    <w:p w14:paraId="58812C39"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След перорално приложение само на валсартан пиковите плазмени концентрации на валсартан се достигат за 2-4 часа при таблетки. Средната абсолютна бионаличност е 23% при таблетки. Храната намалява експозицията (измерена с </w:t>
      </w:r>
      <w:r w:rsidRPr="00CD566F">
        <w:rPr>
          <w:rFonts w:eastAsia="Times New Roman" w:cs="Arial"/>
          <w:color w:val="000000"/>
          <w:lang w:val="en-US"/>
        </w:rPr>
        <w:t>AUC</w:t>
      </w:r>
      <w:r w:rsidRPr="00CD566F">
        <w:rPr>
          <w:rFonts w:eastAsia="Times New Roman" w:cs="Arial"/>
          <w:color w:val="000000"/>
          <w:lang w:val="ru-RU"/>
        </w:rPr>
        <w:t xml:space="preserve">) </w:t>
      </w:r>
      <w:r w:rsidRPr="00CD566F">
        <w:rPr>
          <w:rFonts w:eastAsia="Times New Roman" w:cs="Arial"/>
          <w:color w:val="000000"/>
          <w:lang w:eastAsia="bg-BG"/>
        </w:rPr>
        <w:t>на валсартан с около 40%, а пиковата плазмена концентрация (С</w:t>
      </w:r>
      <w:r w:rsidRPr="00CD566F">
        <w:rPr>
          <w:rFonts w:eastAsia="Times New Roman" w:cs="Arial"/>
          <w:color w:val="000000"/>
          <w:lang w:val="en-US"/>
        </w:rPr>
        <w:t>max</w:t>
      </w:r>
      <w:r w:rsidRPr="00CD566F">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CD566F">
        <w:rPr>
          <w:rFonts w:eastAsia="Times New Roman" w:cs="Arial"/>
          <w:color w:val="000000"/>
          <w:lang w:val="en-US"/>
        </w:rPr>
        <w:t>AUC</w:t>
      </w:r>
      <w:r w:rsidRPr="00CD566F">
        <w:rPr>
          <w:rFonts w:eastAsia="Times New Roman" w:cs="Arial"/>
          <w:color w:val="000000"/>
          <w:lang w:val="ru-RU"/>
        </w:rPr>
        <w:t xml:space="preserve"> </w:t>
      </w:r>
      <w:r w:rsidRPr="00CD566F">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със или без храна.</w:t>
      </w:r>
    </w:p>
    <w:p w14:paraId="1798BCA1" w14:textId="77777777" w:rsidR="00CD566F" w:rsidRPr="00CD566F" w:rsidRDefault="00CD566F" w:rsidP="00CD566F">
      <w:pPr>
        <w:spacing w:line="240" w:lineRule="auto"/>
        <w:rPr>
          <w:rFonts w:eastAsia="Times New Roman" w:cs="Arial"/>
          <w:color w:val="000000"/>
          <w:u w:val="single"/>
          <w:lang w:eastAsia="bg-BG"/>
        </w:rPr>
      </w:pPr>
    </w:p>
    <w:p w14:paraId="6E8A62A4" w14:textId="220AE8FB" w:rsidR="00CD566F" w:rsidRPr="00CD566F" w:rsidRDefault="00CD566F" w:rsidP="00CD566F">
      <w:pPr>
        <w:pStyle w:val="Heading3"/>
        <w:rPr>
          <w:rFonts w:eastAsia="Times New Roman"/>
          <w:u w:val="single"/>
        </w:rPr>
      </w:pPr>
      <w:r w:rsidRPr="00CD566F">
        <w:rPr>
          <w:rFonts w:eastAsia="Times New Roman"/>
          <w:u w:val="single"/>
          <w:lang w:eastAsia="bg-BG"/>
        </w:rPr>
        <w:t>Разпределение:</w:t>
      </w:r>
    </w:p>
    <w:p w14:paraId="5561E55E" w14:textId="77777777" w:rsidR="00CD566F" w:rsidRPr="00CD566F" w:rsidRDefault="00CD566F" w:rsidP="00CD566F">
      <w:pPr>
        <w:rPr>
          <w:rFonts w:eastAsia="Times New Roman" w:cs="Arial"/>
        </w:rPr>
      </w:pPr>
      <w:r w:rsidRPr="00CD566F">
        <w:rPr>
          <w:rFonts w:eastAsia="Times New Roman" w:cs="Arial"/>
          <w:color w:val="000000"/>
          <w:lang w:eastAsia="bg-BG"/>
        </w:rPr>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2D3E7494" w14:textId="77777777" w:rsidR="00CD566F" w:rsidRDefault="00CD566F" w:rsidP="00CD566F">
      <w:pPr>
        <w:spacing w:line="240" w:lineRule="auto"/>
        <w:rPr>
          <w:rFonts w:eastAsia="Times New Roman" w:cs="Arial"/>
          <w:color w:val="000000"/>
          <w:u w:val="single"/>
          <w:lang w:eastAsia="bg-BG"/>
        </w:rPr>
      </w:pPr>
    </w:p>
    <w:p w14:paraId="27A935D2" w14:textId="112E033A" w:rsidR="00CD566F" w:rsidRPr="00CD566F" w:rsidRDefault="00CD566F" w:rsidP="00CD566F">
      <w:pPr>
        <w:pStyle w:val="Heading3"/>
        <w:rPr>
          <w:rFonts w:eastAsia="Times New Roman"/>
          <w:u w:val="single"/>
        </w:rPr>
      </w:pPr>
      <w:r w:rsidRPr="00CD566F">
        <w:rPr>
          <w:rFonts w:eastAsia="Times New Roman"/>
          <w:u w:val="single"/>
          <w:lang w:eastAsia="bg-BG"/>
        </w:rPr>
        <w:t>Биотрансформаиия:</w:t>
      </w:r>
    </w:p>
    <w:p w14:paraId="218277A2"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CD566F">
        <w:rPr>
          <w:rFonts w:eastAsia="Times New Roman" w:cs="Arial"/>
          <w:color w:val="000000"/>
          <w:lang w:val="en-US"/>
        </w:rPr>
        <w:t>AUC</w:t>
      </w:r>
      <w:r w:rsidRPr="00CD566F">
        <w:rPr>
          <w:rFonts w:eastAsia="Times New Roman" w:cs="Arial"/>
          <w:color w:val="000000"/>
          <w:lang w:val="ru-RU"/>
        </w:rPr>
        <w:t xml:space="preserve"> </w:t>
      </w:r>
      <w:r w:rsidRPr="00CD566F">
        <w:rPr>
          <w:rFonts w:eastAsia="Times New Roman" w:cs="Arial"/>
          <w:color w:val="000000"/>
          <w:lang w:eastAsia="bg-BG"/>
        </w:rPr>
        <w:t>на валсартан). Този метаболит е фармакологично неактивен.</w:t>
      </w:r>
    </w:p>
    <w:p w14:paraId="56F971F7" w14:textId="77777777" w:rsidR="00CD566F" w:rsidRDefault="00CD566F" w:rsidP="00CD566F">
      <w:pPr>
        <w:spacing w:line="240" w:lineRule="auto"/>
        <w:rPr>
          <w:rFonts w:eastAsia="Times New Roman" w:cs="Arial"/>
          <w:color w:val="000000"/>
          <w:u w:val="single"/>
          <w:lang w:eastAsia="bg-BG"/>
        </w:rPr>
      </w:pPr>
    </w:p>
    <w:p w14:paraId="25343A20" w14:textId="500B278F" w:rsidR="00CD566F" w:rsidRPr="00CD566F" w:rsidRDefault="00CD566F" w:rsidP="00CD566F">
      <w:pPr>
        <w:pStyle w:val="Heading3"/>
        <w:rPr>
          <w:rFonts w:eastAsia="Times New Roman"/>
          <w:u w:val="single"/>
        </w:rPr>
      </w:pPr>
      <w:r w:rsidRPr="00CD566F">
        <w:rPr>
          <w:rFonts w:eastAsia="Times New Roman"/>
          <w:u w:val="single"/>
          <w:lang w:eastAsia="bg-BG"/>
        </w:rPr>
        <w:t>Екскреция:</w:t>
      </w:r>
    </w:p>
    <w:p w14:paraId="5FA6A0E9"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Валсартан показва мултиекспоненциална кинетика (</w:t>
      </w:r>
      <w:r w:rsidRPr="00CD566F">
        <w:rPr>
          <w:rFonts w:eastAsia="Times New Roman" w:cs="Arial"/>
          <w:color w:val="000000"/>
          <w:lang w:val="en-US"/>
        </w:rPr>
        <w:t>t</w:t>
      </w:r>
      <w:r w:rsidRPr="00CD566F">
        <w:rPr>
          <w:rFonts w:eastAsia="Times New Roman" w:cs="Arial"/>
          <w:color w:val="000000"/>
          <w:vertAlign w:val="subscript"/>
          <w:lang w:val="ru-RU"/>
        </w:rPr>
        <w:t>1/2</w:t>
      </w:r>
      <w:r w:rsidRPr="00CD566F">
        <w:rPr>
          <w:rFonts w:eastAsia="Times New Roman" w:cs="Arial"/>
          <w:color w:val="000000"/>
          <w:lang w:eastAsia="bg-BG"/>
        </w:rPr>
        <w:t xml:space="preserve">α&lt; 1 час и </w:t>
      </w:r>
      <w:r w:rsidRPr="00CD566F">
        <w:rPr>
          <w:rFonts w:eastAsia="Times New Roman" w:cs="Arial"/>
          <w:color w:val="000000"/>
          <w:lang w:val="en-US"/>
        </w:rPr>
        <w:t>t</w:t>
      </w:r>
      <w:r w:rsidRPr="00CD566F">
        <w:rPr>
          <w:rFonts w:eastAsia="Times New Roman" w:cs="Arial"/>
          <w:color w:val="000000"/>
          <w:vertAlign w:val="subscript"/>
          <w:lang w:val="ru-RU"/>
        </w:rPr>
        <w:t>1/2</w:t>
      </w:r>
      <w:r w:rsidRPr="00CD566F">
        <w:rPr>
          <w:rFonts w:eastAsia="Times New Roman" w:cs="Arial"/>
          <w:color w:val="000000"/>
          <w:lang w:eastAsia="bg-BG"/>
        </w:rPr>
        <w:t>β около 9 часа). Валсартан се елиминира предимно чрез билиарна екскреция с фекалиите (около 83% от дозата) и от бъбреците чрез урината (около 13% от дозата), главно като непроменено лекарство. След интравенозно приложение плазменият клирънс на валсартан е около 2 1/час и неговият бъбречен клирънс е 0,62 1/час (около 30% от общия клирънс). Полуживотьт на валсартан е 6 часа.</w:t>
      </w:r>
    </w:p>
    <w:p w14:paraId="231E42AE" w14:textId="77777777" w:rsidR="00CD566F" w:rsidRDefault="00CD566F" w:rsidP="00CD566F">
      <w:pPr>
        <w:spacing w:line="240" w:lineRule="auto"/>
        <w:rPr>
          <w:rFonts w:eastAsia="Times New Roman" w:cs="Arial"/>
          <w:color w:val="000000"/>
          <w:u w:val="single"/>
          <w:lang w:eastAsia="bg-BG"/>
        </w:rPr>
      </w:pPr>
    </w:p>
    <w:p w14:paraId="1677E8D5" w14:textId="3A95E27A"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 xml:space="preserve">Валсартан 40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 xml:space="preserve">/ 80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 xml:space="preserve">/160 </w:t>
      </w:r>
      <w:r w:rsidRPr="00CD566F">
        <w:rPr>
          <w:rFonts w:eastAsia="Times New Roman" w:cs="Arial"/>
          <w:color w:val="000000"/>
          <w:u w:val="single"/>
          <w:lang w:val="en-US"/>
        </w:rPr>
        <w:t>mg</w:t>
      </w:r>
      <w:r w:rsidRPr="00CD566F">
        <w:rPr>
          <w:rFonts w:eastAsia="Times New Roman" w:cs="Arial"/>
          <w:color w:val="000000"/>
          <w:u w:val="single"/>
          <w:lang w:val="ru-RU"/>
        </w:rPr>
        <w:t xml:space="preserve"> </w:t>
      </w:r>
      <w:r w:rsidRPr="00CD566F">
        <w:rPr>
          <w:rFonts w:eastAsia="Times New Roman" w:cs="Arial"/>
          <w:color w:val="000000"/>
          <w:u w:val="single"/>
          <w:lang w:eastAsia="bg-BG"/>
        </w:rPr>
        <w:t>Филмирани таблетки</w:t>
      </w:r>
    </w:p>
    <w:p w14:paraId="64810A8D" w14:textId="77777777" w:rsidR="00CD566F" w:rsidRDefault="00CD566F" w:rsidP="00CD566F">
      <w:pPr>
        <w:spacing w:line="240" w:lineRule="auto"/>
        <w:rPr>
          <w:rFonts w:eastAsia="Times New Roman" w:cs="Arial"/>
          <w:color w:val="000000"/>
          <w:u w:val="single"/>
          <w:lang w:eastAsia="bg-BG"/>
        </w:rPr>
      </w:pPr>
    </w:p>
    <w:p w14:paraId="112BF339" w14:textId="5AF0D750"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При пациенти със сърдечна недостатъчност</w:t>
      </w:r>
    </w:p>
    <w:p w14:paraId="5E1E7BE4"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Средното време за достигане на пикови концентрации и времето на полуживот на валсартан при пациенти със сърдечна недостатъчност са подобни на тези, наблюдавани при здрави доброволци </w:t>
      </w:r>
      <w:r w:rsidRPr="00CD566F">
        <w:rPr>
          <w:rFonts w:eastAsia="Times New Roman" w:cs="Arial"/>
          <w:color w:val="000000"/>
          <w:lang w:val="en-US"/>
        </w:rPr>
        <w:t>AUC</w:t>
      </w:r>
      <w:r w:rsidRPr="00CD566F">
        <w:rPr>
          <w:rFonts w:eastAsia="Times New Roman" w:cs="Arial"/>
          <w:color w:val="000000"/>
          <w:lang w:val="ru-RU"/>
        </w:rPr>
        <w:t xml:space="preserve"> </w:t>
      </w:r>
      <w:r w:rsidRPr="00CD566F">
        <w:rPr>
          <w:rFonts w:eastAsia="Times New Roman" w:cs="Arial"/>
          <w:color w:val="000000"/>
          <w:lang w:eastAsia="bg-BG"/>
        </w:rPr>
        <w:t xml:space="preserve">и </w:t>
      </w:r>
      <w:r w:rsidRPr="00CD566F">
        <w:rPr>
          <w:rFonts w:eastAsia="Times New Roman" w:cs="Arial"/>
          <w:color w:val="000000"/>
          <w:lang w:val="en-US"/>
        </w:rPr>
        <w:t>Cm</w:t>
      </w:r>
      <w:r w:rsidRPr="00CD566F">
        <w:rPr>
          <w:rFonts w:eastAsia="Times New Roman" w:cs="Arial"/>
          <w:color w:val="000000"/>
          <w:lang w:eastAsia="bg-BG"/>
        </w:rPr>
        <w:t xml:space="preserve">ах стойностите на валсартан са почти пропорционални с повишаване на дозата на клиничния дозов интервал (40 до 60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два пъти дневно). Средният фактор на натрупване е около 1,7. Привидният клирънс на валсартан след перорално приложение е приблизително 4,5 1 / час. Възрастта не засяга привидният клирънс при пациенти със сърдечна недостатъчност.</w:t>
      </w:r>
    </w:p>
    <w:p w14:paraId="28811C46" w14:textId="77777777" w:rsidR="00CD566F" w:rsidRDefault="00CD566F" w:rsidP="00CD566F">
      <w:pPr>
        <w:spacing w:line="240" w:lineRule="auto"/>
        <w:rPr>
          <w:rFonts w:eastAsia="Times New Roman" w:cs="Arial"/>
          <w:i/>
          <w:iCs/>
          <w:color w:val="000000"/>
          <w:lang w:eastAsia="bg-BG"/>
        </w:rPr>
      </w:pPr>
    </w:p>
    <w:p w14:paraId="5283BDC8" w14:textId="457EB20B" w:rsidR="00CD566F" w:rsidRPr="00CD566F" w:rsidRDefault="00CD566F" w:rsidP="00CD566F">
      <w:pPr>
        <w:spacing w:line="240" w:lineRule="auto"/>
        <w:rPr>
          <w:rFonts w:eastAsia="Times New Roman" w:cs="Arial"/>
        </w:rPr>
      </w:pPr>
      <w:r w:rsidRPr="00CD566F">
        <w:rPr>
          <w:rFonts w:eastAsia="Times New Roman" w:cs="Arial"/>
          <w:i/>
          <w:iCs/>
          <w:color w:val="000000"/>
          <w:lang w:eastAsia="bg-BG"/>
        </w:rPr>
        <w:t>Специални групи пациенти</w:t>
      </w:r>
    </w:p>
    <w:p w14:paraId="6C0285AF" w14:textId="77777777" w:rsidR="00CD566F" w:rsidRDefault="00CD566F" w:rsidP="00CD566F">
      <w:pPr>
        <w:spacing w:line="240" w:lineRule="auto"/>
        <w:rPr>
          <w:rFonts w:eastAsia="Times New Roman" w:cs="Arial"/>
          <w:color w:val="000000"/>
          <w:u w:val="single"/>
          <w:lang w:eastAsia="bg-BG"/>
        </w:rPr>
      </w:pPr>
    </w:p>
    <w:p w14:paraId="23148756" w14:textId="7C267FD2"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Пациенти в старческа възраст</w:t>
      </w:r>
    </w:p>
    <w:p w14:paraId="6598B460"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w:t>
      </w:r>
    </w:p>
    <w:p w14:paraId="2FA44AB2" w14:textId="77777777" w:rsidR="00CD566F" w:rsidRDefault="00CD566F" w:rsidP="00CD566F">
      <w:pPr>
        <w:spacing w:line="240" w:lineRule="auto"/>
        <w:rPr>
          <w:rFonts w:eastAsia="Times New Roman" w:cs="Arial"/>
          <w:color w:val="000000"/>
          <w:u w:val="single"/>
          <w:lang w:eastAsia="bg-BG"/>
        </w:rPr>
      </w:pPr>
    </w:p>
    <w:p w14:paraId="2E4CA151" w14:textId="37CF8814"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Нарушена бъбречна функция</w:t>
      </w:r>
    </w:p>
    <w:p w14:paraId="4CD55D1E"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lastRenderedPageBreak/>
        <w:t xml:space="preserve">Както се очаква за вещество, чийто бъбречен клирънс е отговорен само за 30% от общия плазмен клирънс, не е отчетена корелация между бъбречната функция и общото разпределение на валсартан. Поради тази причина не се налага коригиране на дозата при пациенти с бъбречно увреждане (креатининов клирънс &gt; 10 </w:t>
      </w:r>
      <w:r w:rsidRPr="00CD566F">
        <w:rPr>
          <w:rFonts w:eastAsia="Times New Roman" w:cs="Arial"/>
          <w:color w:val="000000"/>
          <w:lang w:val="en-US"/>
        </w:rPr>
        <w:t>mL</w:t>
      </w:r>
      <w:r w:rsidRPr="00CD566F">
        <w:rPr>
          <w:rFonts w:eastAsia="Times New Roman" w:cs="Arial"/>
          <w:color w:val="000000"/>
          <w:lang w:val="ru-RU"/>
        </w:rPr>
        <w:t>/</w:t>
      </w:r>
      <w:r w:rsidRPr="00CD566F">
        <w:rPr>
          <w:rFonts w:eastAsia="Times New Roman" w:cs="Arial"/>
          <w:color w:val="000000"/>
          <w:lang w:val="en-US"/>
        </w:rPr>
        <w:t>min</w:t>
      </w:r>
      <w:r w:rsidRPr="00CD566F">
        <w:rPr>
          <w:rFonts w:eastAsia="Times New Roman" w:cs="Arial"/>
          <w:color w:val="000000"/>
          <w:lang w:val="ru-RU"/>
        </w:rPr>
        <w:t xml:space="preserve">). </w:t>
      </w:r>
      <w:r w:rsidRPr="00CD566F">
        <w:rPr>
          <w:rFonts w:eastAsia="Times New Roman" w:cs="Arial"/>
          <w:color w:val="000000"/>
          <w:lang w:eastAsia="bg-BG"/>
        </w:rPr>
        <w:t xml:space="preserve">Липсват данни за безопасна употреба при пациентите с креатининов клирънс &lt; 10 </w:t>
      </w:r>
      <w:r w:rsidRPr="00CD566F">
        <w:rPr>
          <w:rFonts w:eastAsia="Times New Roman" w:cs="Arial"/>
          <w:color w:val="000000"/>
          <w:lang w:val="en-US"/>
        </w:rPr>
        <w:t>mL</w:t>
      </w:r>
      <w:r w:rsidRPr="00CD566F">
        <w:rPr>
          <w:rFonts w:eastAsia="Times New Roman" w:cs="Arial"/>
          <w:color w:val="000000"/>
          <w:lang w:val="ru-RU"/>
        </w:rPr>
        <w:t>/</w:t>
      </w:r>
      <w:r w:rsidRPr="00CD566F">
        <w:rPr>
          <w:rFonts w:eastAsia="Times New Roman" w:cs="Arial"/>
          <w:color w:val="000000"/>
          <w:lang w:val="en-US"/>
        </w:rPr>
        <w:t>min</w:t>
      </w:r>
      <w:r w:rsidRPr="00CD566F">
        <w:rPr>
          <w:rFonts w:eastAsia="Times New Roman" w:cs="Arial"/>
          <w:color w:val="000000"/>
          <w:lang w:val="ru-RU"/>
        </w:rPr>
        <w:t xml:space="preserve">) </w:t>
      </w:r>
      <w:r w:rsidRPr="00CD566F">
        <w:rPr>
          <w:rFonts w:eastAsia="Times New Roman" w:cs="Arial"/>
          <w:color w:val="000000"/>
          <w:lang w:eastAsia="bg-BG"/>
        </w:rPr>
        <w:t>и при провеждащите диализа, поради което валсартан трябва да се употребява с повишено внимание при тези пациенти (вж. точки 4.2 и 4.4). Валсартан се свързва с плазмените протеини във висока степен и няма вероятност да бъде отстранен чрез диализа.</w:t>
      </w:r>
    </w:p>
    <w:p w14:paraId="3F368C14" w14:textId="77777777" w:rsidR="00CD566F" w:rsidRDefault="00CD566F" w:rsidP="00CD566F">
      <w:pPr>
        <w:spacing w:line="240" w:lineRule="auto"/>
        <w:rPr>
          <w:rFonts w:eastAsia="Times New Roman" w:cs="Arial"/>
          <w:color w:val="000000"/>
          <w:u w:val="single"/>
          <w:lang w:eastAsia="bg-BG"/>
        </w:rPr>
      </w:pPr>
    </w:p>
    <w:p w14:paraId="306226AF" w14:textId="4CD269ED"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Чернодробно увреждане</w:t>
      </w:r>
    </w:p>
    <w:p w14:paraId="4072D8CC"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Приблизително 70% от абсорбираната доза се елиминира в жлъчката, главно в непроменена форма. Удвояване на експозицията </w:t>
      </w:r>
      <w:r w:rsidRPr="00CD566F">
        <w:rPr>
          <w:rFonts w:eastAsia="Times New Roman" w:cs="Arial"/>
          <w:color w:val="000000"/>
          <w:lang w:val="ru-RU"/>
        </w:rPr>
        <w:t>(</w:t>
      </w:r>
      <w:r w:rsidRPr="00CD566F">
        <w:rPr>
          <w:rFonts w:eastAsia="Times New Roman" w:cs="Arial"/>
          <w:color w:val="000000"/>
          <w:lang w:val="en-US"/>
        </w:rPr>
        <w:t>AUC</w:t>
      </w:r>
      <w:r w:rsidRPr="00CD566F">
        <w:rPr>
          <w:rFonts w:eastAsia="Times New Roman" w:cs="Arial"/>
          <w:color w:val="000000"/>
          <w:lang w:val="ru-RU"/>
        </w:rPr>
        <w:t xml:space="preserve">) </w:t>
      </w:r>
      <w:r w:rsidRPr="00CD566F">
        <w:rPr>
          <w:rFonts w:eastAsia="Times New Roman" w:cs="Arial"/>
          <w:color w:val="000000"/>
          <w:lang w:eastAsia="bg-BG"/>
        </w:rPr>
        <w:t>е наблюдавана при пациенти с леко до умерено чернодробно увреждане, в сравнение със здрави хора. Не е наблюдавана обаче корелация между плазмената концентрация на валсартан и степента на чернодробна дисфункция. Валсартан не е проучен при пациенти с тежка чернодробна дисфункция (вж. точки 4.2,4.3 и 4.4).</w:t>
      </w:r>
    </w:p>
    <w:p w14:paraId="24EB01F9" w14:textId="77777777" w:rsidR="00CD566F" w:rsidRDefault="00CD566F" w:rsidP="00CD566F">
      <w:pPr>
        <w:spacing w:line="240" w:lineRule="auto"/>
        <w:rPr>
          <w:rFonts w:eastAsia="Times New Roman" w:cs="Arial"/>
          <w:color w:val="000000"/>
          <w:u w:val="single"/>
          <w:lang w:eastAsia="bg-BG"/>
        </w:rPr>
      </w:pPr>
    </w:p>
    <w:p w14:paraId="10F3E00E" w14:textId="2AA8B315"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Педиатрична популация</w:t>
      </w:r>
    </w:p>
    <w:p w14:paraId="402A67AE" w14:textId="111C6488" w:rsidR="00CD566F" w:rsidRDefault="00CD566F" w:rsidP="00CD566F">
      <w:pPr>
        <w:rPr>
          <w:rFonts w:eastAsia="Times New Roman" w:cs="Arial"/>
          <w:color w:val="000000"/>
          <w:lang w:eastAsia="bg-BG"/>
        </w:rPr>
      </w:pPr>
      <w:r w:rsidRPr="00CD566F">
        <w:rPr>
          <w:rFonts w:eastAsia="Times New Roman" w:cs="Arial"/>
          <w:color w:val="000000"/>
          <w:lang w:eastAsia="bg-BG"/>
        </w:rPr>
        <w:t xml:space="preserve">В едно проучване с 26 педиатрични пациенти с хипертония (на възраст от 1 до 16 години) при еднократно прилагане на валсартан под формата на суспензия (средно: 0,9 до 2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val="ru-RU"/>
        </w:rPr>
        <w:t>,</w:t>
      </w:r>
      <w:r w:rsidRPr="00CD566F">
        <w:rPr>
          <w:rFonts w:eastAsia="Times New Roman" w:cs="Arial"/>
          <w:color w:val="000000"/>
          <w:lang w:eastAsia="bg-BG"/>
        </w:rPr>
        <w:t xml:space="preserve"> максимална доза 80 </w:t>
      </w:r>
      <w:r w:rsidRPr="00CD566F">
        <w:rPr>
          <w:rFonts w:eastAsia="Times New Roman" w:cs="Arial"/>
          <w:color w:val="000000"/>
          <w:lang w:val="en-US"/>
        </w:rPr>
        <w:t>mg</w:t>
      </w:r>
      <w:r w:rsidRPr="00CD566F">
        <w:rPr>
          <w:rFonts w:eastAsia="Times New Roman" w:cs="Arial"/>
          <w:color w:val="000000"/>
          <w:lang w:val="ru-RU"/>
        </w:rPr>
        <w:t xml:space="preserve">) </w:t>
      </w:r>
      <w:r w:rsidRPr="00CD566F">
        <w:rPr>
          <w:rFonts w:eastAsia="Times New Roman" w:cs="Arial"/>
          <w:color w:val="000000"/>
          <w:lang w:eastAsia="bg-BG"/>
        </w:rPr>
        <w:t>клирънсът (литри/час</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val="ru-RU"/>
        </w:rPr>
        <w:t xml:space="preserve">) </w:t>
      </w:r>
      <w:r w:rsidRPr="00CD566F">
        <w:rPr>
          <w:rFonts w:eastAsia="Times New Roman" w:cs="Arial"/>
          <w:color w:val="000000"/>
          <w:lang w:eastAsia="bg-BG"/>
        </w:rPr>
        <w:t>на валсартан е сравним между отделните възрасти от 1 до 16 години и подобен на този при възрастни пациенти, приемащи същоте дози</w:t>
      </w:r>
      <w:r>
        <w:rPr>
          <w:rFonts w:eastAsia="Times New Roman" w:cs="Arial"/>
          <w:color w:val="000000"/>
          <w:lang w:eastAsia="bg-BG"/>
        </w:rPr>
        <w:t>.</w:t>
      </w:r>
    </w:p>
    <w:p w14:paraId="094963B7" w14:textId="5F8320B2" w:rsidR="00CD566F" w:rsidRDefault="00CD566F" w:rsidP="00CD566F">
      <w:pPr>
        <w:rPr>
          <w:rFonts w:eastAsia="Times New Roman" w:cs="Arial"/>
          <w:color w:val="000000"/>
          <w:lang w:eastAsia="bg-BG"/>
        </w:rPr>
      </w:pPr>
    </w:p>
    <w:p w14:paraId="42EDB41F" w14:textId="77777777"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Нарушена бъбречна функция</w:t>
      </w:r>
    </w:p>
    <w:p w14:paraId="3423D5D7"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Употребата при педиатрични пациенти с креатининов клирънс &lt;30 </w:t>
      </w:r>
      <w:r w:rsidRPr="00CD566F">
        <w:rPr>
          <w:rFonts w:eastAsia="Times New Roman" w:cs="Arial"/>
          <w:color w:val="000000"/>
          <w:lang w:val="en-US"/>
        </w:rPr>
        <w:t>ml</w:t>
      </w:r>
      <w:r w:rsidRPr="00CD566F">
        <w:rPr>
          <w:rFonts w:eastAsia="Times New Roman" w:cs="Arial"/>
          <w:color w:val="000000"/>
          <w:lang w:val="ru-RU"/>
        </w:rPr>
        <w:t>/</w:t>
      </w:r>
      <w:r w:rsidRPr="00CD566F">
        <w:rPr>
          <w:rFonts w:eastAsia="Times New Roman" w:cs="Arial"/>
          <w:color w:val="000000"/>
          <w:lang w:val="en-US"/>
        </w:rPr>
        <w:t>min</w:t>
      </w:r>
      <w:r w:rsidRPr="00CD566F">
        <w:rPr>
          <w:rFonts w:eastAsia="Times New Roman" w:cs="Arial"/>
          <w:color w:val="000000"/>
          <w:lang w:val="ru-RU"/>
        </w:rPr>
        <w:t xml:space="preserve"> </w:t>
      </w:r>
      <w:r w:rsidRPr="00CD566F">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CD566F">
        <w:rPr>
          <w:rFonts w:eastAsia="Times New Roman" w:cs="Arial"/>
          <w:color w:val="000000"/>
          <w:lang w:val="en-US"/>
        </w:rPr>
        <w:t>ml</w:t>
      </w:r>
      <w:r w:rsidRPr="00CD566F">
        <w:rPr>
          <w:rFonts w:eastAsia="Times New Roman" w:cs="Arial"/>
          <w:color w:val="000000"/>
          <w:lang w:val="ru-RU"/>
        </w:rPr>
        <w:t>/</w:t>
      </w:r>
      <w:r w:rsidRPr="00CD566F">
        <w:rPr>
          <w:rFonts w:eastAsia="Times New Roman" w:cs="Arial"/>
          <w:color w:val="000000"/>
          <w:lang w:val="en-US"/>
        </w:rPr>
        <w:t>min</w:t>
      </w:r>
      <w:r w:rsidRPr="00CD566F">
        <w:rPr>
          <w:rFonts w:eastAsia="Times New Roman" w:cs="Arial"/>
          <w:color w:val="000000"/>
          <w:lang w:val="ru-RU"/>
        </w:rPr>
        <w:t xml:space="preserve">. </w:t>
      </w:r>
      <w:r w:rsidRPr="00CD566F">
        <w:rPr>
          <w:rFonts w:eastAsia="Times New Roman" w:cs="Arial"/>
          <w:color w:val="000000"/>
          <w:lang w:eastAsia="bg-BG"/>
        </w:rPr>
        <w:t>Бъбречната функция и нивата на серумния калий трябва да бъдат внимателно проследявани (вж. точки 4.2 и 4.4).</w:t>
      </w:r>
    </w:p>
    <w:p w14:paraId="292A67A8" w14:textId="02F78739" w:rsidR="00CD566F" w:rsidRPr="00CD566F" w:rsidRDefault="00CD566F" w:rsidP="00CD566F">
      <w:pPr>
        <w:rPr>
          <w:rFonts w:cs="Arial"/>
        </w:rPr>
      </w:pPr>
    </w:p>
    <w:p w14:paraId="648E39DA" w14:textId="6D0B44AF" w:rsidR="00CF77F7" w:rsidRDefault="002C50EE" w:rsidP="004A448E">
      <w:pPr>
        <w:pStyle w:val="Heading2"/>
      </w:pPr>
      <w:r>
        <w:t>5.3. Предклинични данни за безопасност</w:t>
      </w:r>
    </w:p>
    <w:p w14:paraId="6456E982" w14:textId="7548FB69" w:rsidR="00CD566F" w:rsidRDefault="00CD566F" w:rsidP="00CD566F"/>
    <w:p w14:paraId="466F8C8F"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Предклиничните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40701EFE"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При плъхове токсични дози за майката (600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m</w:t>
      </w:r>
      <w:r w:rsidRPr="00CD566F">
        <w:rPr>
          <w:rFonts w:eastAsia="Times New Roman" w:cs="Arial"/>
          <w:color w:val="000000"/>
          <w:vertAlign w:val="superscript"/>
          <w:lang w:val="ru-RU"/>
        </w:rPr>
        <w:t xml:space="preserve">2 </w:t>
      </w:r>
      <w:r w:rsidRPr="00CD566F">
        <w:rPr>
          <w:rFonts w:eastAsia="Times New Roman" w:cs="Arial"/>
          <w:color w:val="000000"/>
          <w:lang w:eastAsia="bg-BG"/>
        </w:rPr>
        <w:t xml:space="preserve">(изчисленията се отнасят за перорална доза 320 </w:t>
      </w:r>
      <w:r w:rsidRPr="00CD566F">
        <w:rPr>
          <w:rFonts w:eastAsia="Times New Roman" w:cs="Arial"/>
          <w:color w:val="000000"/>
          <w:lang w:val="en-US"/>
        </w:rPr>
        <w:t>mg</w:t>
      </w:r>
      <w:r w:rsidRPr="00CD566F">
        <w:rPr>
          <w:rFonts w:eastAsia="Times New Roman" w:cs="Arial"/>
          <w:color w:val="000000"/>
          <w:lang w:eastAsia="bg-BG"/>
        </w:rPr>
        <w:t xml:space="preserve">/ден и и пациент с тегло 60 </w:t>
      </w:r>
      <w:r w:rsidRPr="00CD566F">
        <w:rPr>
          <w:rFonts w:eastAsia="Times New Roman" w:cs="Arial"/>
          <w:color w:val="000000"/>
          <w:lang w:val="en-US"/>
        </w:rPr>
        <w:t>kg</w:t>
      </w:r>
      <w:r w:rsidRPr="00CD566F">
        <w:rPr>
          <w:rFonts w:eastAsia="Times New Roman" w:cs="Arial"/>
          <w:color w:val="000000"/>
          <w:lang w:val="ru-RU"/>
        </w:rPr>
        <w:t xml:space="preserve">). </w:t>
      </w:r>
      <w:r w:rsidRPr="00CD566F">
        <w:rPr>
          <w:rFonts w:eastAsia="Times New Roman" w:cs="Arial"/>
          <w:color w:val="000000"/>
          <w:lang w:eastAsia="bg-BG"/>
        </w:rPr>
        <w:t xml:space="preserve">При предклннични проучвания за безопасност високи дози валсартан (200 до 600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val="ru-RU"/>
        </w:rPr>
        <w:t xml:space="preserve"> </w:t>
      </w:r>
      <w:r w:rsidRPr="00CD566F">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 xml:space="preserve">/ден) представляват приблизително 6 и 18 пъти максималната препоръчвана доза при хора на </w:t>
      </w:r>
      <w:r w:rsidRPr="00CD566F">
        <w:rPr>
          <w:rFonts w:eastAsia="Times New Roman" w:cs="Arial"/>
          <w:color w:val="000000"/>
          <w:lang w:eastAsia="bg-BG"/>
        </w:rPr>
        <w:lastRenderedPageBreak/>
        <w:t xml:space="preserve">базата на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 xml:space="preserve">/ден (изчисленията се отнасят за перорална доза 320 </w:t>
      </w:r>
      <w:r w:rsidRPr="00CD566F">
        <w:rPr>
          <w:rFonts w:eastAsia="Times New Roman" w:cs="Arial"/>
          <w:color w:val="000000"/>
          <w:lang w:val="en-US"/>
        </w:rPr>
        <w:t>mg</w:t>
      </w:r>
      <w:r w:rsidRPr="00CD566F">
        <w:rPr>
          <w:rFonts w:eastAsia="Times New Roman" w:cs="Arial"/>
          <w:color w:val="000000"/>
          <w:lang w:eastAsia="bg-BG"/>
        </w:rPr>
        <w:t xml:space="preserve">/ден и пациент с тегло 60 </w:t>
      </w:r>
      <w:r w:rsidRPr="00CD566F">
        <w:rPr>
          <w:rFonts w:eastAsia="Times New Roman" w:cs="Arial"/>
          <w:color w:val="000000"/>
          <w:lang w:val="en-US"/>
        </w:rPr>
        <w:t>kg</w:t>
      </w:r>
      <w:r w:rsidRPr="00CD566F">
        <w:rPr>
          <w:rFonts w:eastAsia="Times New Roman" w:cs="Arial"/>
          <w:color w:val="000000"/>
          <w:lang w:val="ru-RU"/>
        </w:rPr>
        <w:t>.</w:t>
      </w:r>
    </w:p>
    <w:p w14:paraId="39434649" w14:textId="77777777" w:rsidR="00CD566F" w:rsidRDefault="00CD566F" w:rsidP="00CD566F">
      <w:pPr>
        <w:spacing w:line="240" w:lineRule="auto"/>
        <w:rPr>
          <w:rFonts w:eastAsia="Times New Roman" w:cs="Arial"/>
          <w:color w:val="000000"/>
          <w:lang w:eastAsia="bg-BG"/>
        </w:rPr>
      </w:pPr>
    </w:p>
    <w:p w14:paraId="2861D655" w14:textId="5E9C9D16" w:rsidR="00CD566F" w:rsidRPr="00CD566F" w:rsidRDefault="00CD566F" w:rsidP="00CD566F">
      <w:pPr>
        <w:spacing w:line="240" w:lineRule="auto"/>
        <w:rPr>
          <w:rFonts w:eastAsia="Times New Roman" w:cs="Arial"/>
        </w:rPr>
      </w:pPr>
      <w:r w:rsidRPr="00CD566F">
        <w:rPr>
          <w:rFonts w:eastAsia="Times New Roman" w:cs="Arial"/>
          <w:color w:val="000000"/>
          <w:lang w:eastAsia="bg-BG"/>
        </w:rPr>
        <w:t>При мармозети в подобни дози има подобни, но по-тежки промени, особено в бъбреците, където промените се развиват до нефропатия, включваща повишени урея и креатинии. 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532A0AE4" w14:textId="77777777" w:rsidR="00CD566F" w:rsidRDefault="00CD566F" w:rsidP="00CD566F">
      <w:pPr>
        <w:spacing w:line="240" w:lineRule="auto"/>
        <w:rPr>
          <w:rFonts w:eastAsia="Times New Roman" w:cs="Arial"/>
          <w:color w:val="000000"/>
          <w:u w:val="single"/>
          <w:lang w:eastAsia="bg-BG"/>
        </w:rPr>
      </w:pPr>
    </w:p>
    <w:p w14:paraId="4C684F79" w14:textId="64EC2A92" w:rsidR="00CD566F" w:rsidRPr="00CD566F" w:rsidRDefault="00CD566F" w:rsidP="00CD566F">
      <w:pPr>
        <w:spacing w:line="240" w:lineRule="auto"/>
        <w:rPr>
          <w:rFonts w:eastAsia="Times New Roman" w:cs="Arial"/>
        </w:rPr>
      </w:pPr>
      <w:r w:rsidRPr="00CD566F">
        <w:rPr>
          <w:rFonts w:eastAsia="Times New Roman" w:cs="Arial"/>
          <w:color w:val="000000"/>
          <w:u w:val="single"/>
          <w:lang w:eastAsia="bg-BG"/>
        </w:rPr>
        <w:t>Педиатрична популация</w:t>
      </w:r>
    </w:p>
    <w:p w14:paraId="58BDB191" w14:textId="77777777" w:rsidR="00CD566F" w:rsidRPr="00CD566F" w:rsidRDefault="00CD566F" w:rsidP="00CD566F">
      <w:pPr>
        <w:spacing w:line="240" w:lineRule="auto"/>
        <w:rPr>
          <w:rFonts w:eastAsia="Times New Roman" w:cs="Arial"/>
        </w:rPr>
      </w:pPr>
      <w:r w:rsidRPr="00CD566F">
        <w:rPr>
          <w:rFonts w:eastAsia="Times New Roman" w:cs="Arial"/>
          <w:color w:val="000000"/>
          <w:lang w:eastAsia="bg-BG"/>
        </w:rPr>
        <w:t xml:space="preserve">Ежедневното перорално приложение на валсартан при новородени/млади плъхове (от 7-ми до 70-ти постнатален ден) в дози 1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 xml:space="preserve">/ден (около 10-3 5% от максималната препоръчвана педиатрична доза 4 </w:t>
      </w:r>
      <w:r w:rsidRPr="00CD566F">
        <w:rPr>
          <w:rFonts w:eastAsia="Times New Roman" w:cs="Arial"/>
          <w:color w:val="000000"/>
          <w:lang w:val="en-US"/>
        </w:rPr>
        <w:t>mg</w:t>
      </w:r>
      <w:r w:rsidRPr="00CD566F">
        <w:rPr>
          <w:rFonts w:eastAsia="Times New Roman" w:cs="Arial"/>
          <w:color w:val="000000"/>
          <w:lang w:val="ru-RU"/>
        </w:rPr>
        <w:t>/</w:t>
      </w:r>
      <w:r w:rsidRPr="00CD566F">
        <w:rPr>
          <w:rFonts w:eastAsia="Times New Roman" w:cs="Arial"/>
          <w:color w:val="000000"/>
          <w:lang w:val="en-US"/>
        </w:rPr>
        <w:t>kg</w:t>
      </w:r>
      <w:r w:rsidRPr="00CD566F">
        <w:rPr>
          <w:rFonts w:eastAsia="Times New Roman" w:cs="Arial"/>
          <w:color w:val="000000"/>
          <w:lang w:eastAsia="bg-BG"/>
        </w:rPr>
        <w:t>/ден на база системна експозиция) предизвиква трайно, необратимо бъбречно увреждане. Споменатите последици представляват очакван агравиран фармакологичен ефект на инхибиторите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 Този период съвпада с 36-та гестационна седмица при хора, като понякога може да бъде удължен до 44 седмици след концепцията. Плъховете в ювенилното проучване на валсартан приемат валсартан до 70-ти ден и ефекти върху развитието на бъбреците (4-6 постнатални седмици) не могат да се изключат. 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по-големи от 1 година предклиничните данни не показват някакви притеснения относно безопасността.</w:t>
      </w:r>
    </w:p>
    <w:p w14:paraId="0BE1ED86" w14:textId="77777777" w:rsidR="00CD566F" w:rsidRPr="00CD566F" w:rsidRDefault="00CD566F" w:rsidP="00CD566F"/>
    <w:p w14:paraId="6A7820AB" w14:textId="0EF09D3B" w:rsidR="008A6AF2" w:rsidRDefault="002C50EE" w:rsidP="00395555">
      <w:pPr>
        <w:pStyle w:val="Heading1"/>
      </w:pPr>
      <w:r>
        <w:t>7. ПРИТЕЖАТЕЛ НА РАЗРЕШЕНИЕТО ЗА УПОТРЕБА</w:t>
      </w:r>
    </w:p>
    <w:p w14:paraId="3FCC9017" w14:textId="25C089EA" w:rsidR="00CD566F" w:rsidRDefault="00CD566F" w:rsidP="00CD566F"/>
    <w:p w14:paraId="5E68B4BE" w14:textId="77777777" w:rsidR="00CD566F" w:rsidRPr="00CD566F" w:rsidRDefault="00CD566F" w:rsidP="00CD566F">
      <w:pPr>
        <w:rPr>
          <w:sz w:val="24"/>
          <w:szCs w:val="24"/>
        </w:rPr>
      </w:pPr>
      <w:r w:rsidRPr="00CD566F">
        <w:rPr>
          <w:lang w:eastAsia="bg-BG"/>
        </w:rPr>
        <w:t>ФАРМАКОНС АД</w:t>
      </w:r>
    </w:p>
    <w:p w14:paraId="71EACBD7" w14:textId="77777777" w:rsidR="00CD566F" w:rsidRPr="00CD566F" w:rsidRDefault="00CD566F" w:rsidP="00CD566F">
      <w:pPr>
        <w:rPr>
          <w:sz w:val="24"/>
          <w:szCs w:val="24"/>
        </w:rPr>
      </w:pPr>
      <w:r w:rsidRPr="00CD566F">
        <w:rPr>
          <w:lang w:eastAsia="bg-BG"/>
        </w:rPr>
        <w:t>бул. „Пейо К. Яворов” № 44 ет.1</w:t>
      </w:r>
    </w:p>
    <w:p w14:paraId="579AE9BF" w14:textId="77777777" w:rsidR="00CD566F" w:rsidRPr="00CD566F" w:rsidRDefault="00CD566F" w:rsidP="00CD566F">
      <w:pPr>
        <w:rPr>
          <w:sz w:val="24"/>
          <w:szCs w:val="24"/>
        </w:rPr>
      </w:pPr>
      <w:r w:rsidRPr="00CD566F">
        <w:rPr>
          <w:lang w:eastAsia="bg-BG"/>
        </w:rPr>
        <w:t>София 1164</w:t>
      </w:r>
    </w:p>
    <w:p w14:paraId="66779B64" w14:textId="3AB43A96" w:rsidR="00CD566F" w:rsidRPr="00CD566F" w:rsidRDefault="00CD566F" w:rsidP="00CD566F">
      <w:r>
        <w:t>България</w:t>
      </w:r>
    </w:p>
    <w:p w14:paraId="7BA1BA64" w14:textId="2F38583F" w:rsidR="00CF77F7" w:rsidRDefault="002C50EE" w:rsidP="004A448E">
      <w:pPr>
        <w:pStyle w:val="Heading1"/>
      </w:pPr>
      <w:r>
        <w:t>8. НОМЕР НА РАЗРЕШЕНИЕТО ЗА УПОТРЕБА</w:t>
      </w:r>
    </w:p>
    <w:p w14:paraId="1F9E34DE" w14:textId="135EE32C" w:rsidR="00CD566F" w:rsidRDefault="00CD566F" w:rsidP="00CD566F"/>
    <w:p w14:paraId="3DE01A7C" w14:textId="77777777" w:rsidR="00CD566F" w:rsidRPr="00CD566F" w:rsidRDefault="00CD566F" w:rsidP="00CD566F">
      <w:pPr>
        <w:rPr>
          <w:sz w:val="24"/>
          <w:szCs w:val="24"/>
        </w:rPr>
      </w:pPr>
      <w:r w:rsidRPr="00CD566F">
        <w:rPr>
          <w:lang w:eastAsia="bg-BG"/>
        </w:rPr>
        <w:t xml:space="preserve">Валсаркон 160 </w:t>
      </w:r>
      <w:r w:rsidRPr="00CD566F">
        <w:rPr>
          <w:lang w:val="en-US"/>
        </w:rPr>
        <w:t>mg</w:t>
      </w:r>
      <w:r w:rsidRPr="00CD566F">
        <w:rPr>
          <w:lang w:val="ru-RU"/>
        </w:rPr>
        <w:t xml:space="preserve"> </w:t>
      </w:r>
      <w:r w:rsidRPr="00CD566F">
        <w:rPr>
          <w:lang w:eastAsia="bg-BG"/>
        </w:rPr>
        <w:t xml:space="preserve">филмирани таблетки - </w:t>
      </w:r>
      <w:r w:rsidRPr="00CD566F">
        <w:rPr>
          <w:lang w:val="en-US"/>
        </w:rPr>
        <w:t>Per</w:t>
      </w:r>
      <w:r w:rsidRPr="00CD566F">
        <w:rPr>
          <w:lang w:val="ru-RU"/>
        </w:rPr>
        <w:t xml:space="preserve">. </w:t>
      </w:r>
      <w:r w:rsidRPr="00CD566F">
        <w:rPr>
          <w:lang w:eastAsia="bg-BG"/>
        </w:rPr>
        <w:t>№</w:t>
      </w:r>
    </w:p>
    <w:p w14:paraId="5964CF80" w14:textId="77777777" w:rsidR="00CD566F" w:rsidRPr="00CD566F" w:rsidRDefault="00CD566F" w:rsidP="00CD566F">
      <w:pPr>
        <w:rPr>
          <w:sz w:val="24"/>
          <w:szCs w:val="24"/>
        </w:rPr>
      </w:pPr>
      <w:r w:rsidRPr="00CD566F">
        <w:rPr>
          <w:lang w:eastAsia="bg-BG"/>
        </w:rPr>
        <w:t xml:space="preserve">Валсаркон 320 </w:t>
      </w:r>
      <w:r w:rsidRPr="00CD566F">
        <w:rPr>
          <w:lang w:val="en-US"/>
        </w:rPr>
        <w:t>mg</w:t>
      </w:r>
      <w:r w:rsidRPr="00CD566F">
        <w:rPr>
          <w:lang w:val="ru-RU"/>
        </w:rPr>
        <w:t xml:space="preserve"> </w:t>
      </w:r>
      <w:r w:rsidRPr="00CD566F">
        <w:rPr>
          <w:lang w:eastAsia="bg-BG"/>
        </w:rPr>
        <w:t xml:space="preserve">филмирани таблетки - </w:t>
      </w:r>
      <w:r w:rsidRPr="00CD566F">
        <w:rPr>
          <w:lang w:val="en-US"/>
        </w:rPr>
        <w:t>Per</w:t>
      </w:r>
      <w:r w:rsidRPr="00CD566F">
        <w:rPr>
          <w:lang w:val="ru-RU"/>
        </w:rPr>
        <w:t xml:space="preserve">. </w:t>
      </w:r>
      <w:r w:rsidRPr="00CD566F">
        <w:rPr>
          <w:lang w:eastAsia="bg-BG"/>
        </w:rPr>
        <w:t>№</w:t>
      </w:r>
    </w:p>
    <w:p w14:paraId="3A3DBD24" w14:textId="77777777" w:rsidR="00CD566F" w:rsidRPr="00CD566F" w:rsidRDefault="00CD566F" w:rsidP="00CD566F"/>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6FABCCF1" w:rsidR="007C605B" w:rsidRPr="003E3126" w:rsidRDefault="00CD566F" w:rsidP="00CD566F">
      <w:r>
        <w:t>Юли 2016</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8076EAB"/>
    <w:multiLevelType w:val="hybridMultilevel"/>
    <w:tmpl w:val="AD1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3021"/>
    <w:multiLevelType w:val="hybridMultilevel"/>
    <w:tmpl w:val="2E3A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A8F"/>
    <w:multiLevelType w:val="hybridMultilevel"/>
    <w:tmpl w:val="1EA85740"/>
    <w:lvl w:ilvl="0" w:tplc="CDE203D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11"/>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73E3C"/>
    <w:rsid w:val="00C809A7"/>
    <w:rsid w:val="00C83063"/>
    <w:rsid w:val="00C87E90"/>
    <w:rsid w:val="00CA1B57"/>
    <w:rsid w:val="00CD566F"/>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8665</Words>
  <Characters>49393</Characters>
  <Application>Microsoft Office Word</Application>
  <DocSecurity>0</DocSecurity>
  <Lines>411</Lines>
  <Paragraphs>115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2022-04-19T15:48:00Z</dcterms:created>
  <dcterms:modified xsi:type="dcterms:W3CDTF">2022-04-19T15:48:00Z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