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DD2657E" w:rsidR="00F53FB7" w:rsidRDefault="00DD466D" w:rsidP="00A93499">
      <w:pPr>
        <w:pStyle w:val="Heading1"/>
      </w:pPr>
      <w:r>
        <w:t>1.ИМЕ НА ЛЕКАРСТВЕНИЯ ПРОДУКТ</w:t>
      </w:r>
    </w:p>
    <w:p w14:paraId="6B8C8CD4" w14:textId="0A039D1A" w:rsidR="00710351" w:rsidRDefault="00710351" w:rsidP="00710351"/>
    <w:p w14:paraId="6934E47F" w14:textId="77777777" w:rsidR="00710351" w:rsidRPr="00710351" w:rsidRDefault="00710351" w:rsidP="00710351">
      <w:pPr>
        <w:rPr>
          <w:sz w:val="24"/>
          <w:szCs w:val="24"/>
          <w:lang w:val="en-US" w:eastAsia="bg-BG"/>
        </w:rPr>
      </w:pPr>
      <w:r w:rsidRPr="00710351">
        <w:rPr>
          <w:lang w:eastAsia="bg-BG"/>
        </w:rPr>
        <w:t xml:space="preserve">Валтензам Комп 5 </w:t>
      </w:r>
      <w:r w:rsidRPr="00710351">
        <w:rPr>
          <w:lang w:val="en-US"/>
        </w:rPr>
        <w:t xml:space="preserve">mg/160 mg/12,5 mg </w:t>
      </w:r>
      <w:r w:rsidRPr="00710351">
        <w:rPr>
          <w:lang w:eastAsia="bg-BG"/>
        </w:rPr>
        <w:t>филмирани таблетки</w:t>
      </w:r>
    </w:p>
    <w:p w14:paraId="2D2ED5F9" w14:textId="77777777" w:rsidR="00710351" w:rsidRPr="00710351" w:rsidRDefault="00710351" w:rsidP="00710351">
      <w:pPr>
        <w:rPr>
          <w:sz w:val="24"/>
          <w:szCs w:val="24"/>
          <w:lang w:val="en-US" w:eastAsia="bg-BG"/>
        </w:rPr>
      </w:pPr>
      <w:proofErr w:type="spellStart"/>
      <w:r w:rsidRPr="00710351">
        <w:rPr>
          <w:lang w:val="en-US"/>
        </w:rPr>
        <w:t>Valtensam</w:t>
      </w:r>
      <w:proofErr w:type="spellEnd"/>
      <w:r w:rsidRPr="00710351">
        <w:rPr>
          <w:lang w:val="en-US"/>
        </w:rPr>
        <w:t xml:space="preserve"> Comp </w:t>
      </w:r>
      <w:r w:rsidRPr="00710351">
        <w:rPr>
          <w:lang w:eastAsia="bg-BG"/>
        </w:rPr>
        <w:t xml:space="preserve">5 </w:t>
      </w:r>
      <w:r w:rsidRPr="00710351">
        <w:rPr>
          <w:lang w:val="en-US"/>
        </w:rPr>
        <w:t>mg/160 mg/12,5 mg film-coated tablets</w:t>
      </w:r>
    </w:p>
    <w:p w14:paraId="6ED8AB2E" w14:textId="77777777" w:rsidR="00710351" w:rsidRDefault="00710351" w:rsidP="00710351">
      <w:pPr>
        <w:rPr>
          <w:lang w:eastAsia="bg-BG"/>
        </w:rPr>
      </w:pPr>
    </w:p>
    <w:p w14:paraId="78D37244" w14:textId="3D4DDB09" w:rsidR="00710351" w:rsidRPr="00710351" w:rsidRDefault="00710351" w:rsidP="00710351">
      <w:pPr>
        <w:rPr>
          <w:sz w:val="24"/>
          <w:szCs w:val="24"/>
          <w:lang w:val="en-US" w:eastAsia="bg-BG"/>
        </w:rPr>
      </w:pPr>
      <w:r w:rsidRPr="00710351">
        <w:rPr>
          <w:lang w:eastAsia="bg-BG"/>
        </w:rPr>
        <w:t xml:space="preserve">Валтензам Комп </w:t>
      </w:r>
      <w:r w:rsidRPr="00710351">
        <w:rPr>
          <w:lang w:val="en-US"/>
        </w:rPr>
        <w:t xml:space="preserve">10 mg/320 mg/25 mg </w:t>
      </w:r>
      <w:r w:rsidRPr="00710351">
        <w:rPr>
          <w:lang w:eastAsia="bg-BG"/>
        </w:rPr>
        <w:t>филмирани таблетки</w:t>
      </w:r>
    </w:p>
    <w:p w14:paraId="62D39F79" w14:textId="77777777" w:rsidR="00710351" w:rsidRPr="00710351" w:rsidRDefault="00710351" w:rsidP="00710351">
      <w:pPr>
        <w:rPr>
          <w:sz w:val="24"/>
          <w:szCs w:val="24"/>
          <w:lang w:val="en-US" w:eastAsia="bg-BG"/>
        </w:rPr>
      </w:pPr>
      <w:proofErr w:type="spellStart"/>
      <w:r w:rsidRPr="00710351">
        <w:rPr>
          <w:lang w:val="en-US"/>
        </w:rPr>
        <w:t>Valtensam</w:t>
      </w:r>
      <w:proofErr w:type="spellEnd"/>
      <w:r w:rsidRPr="00710351">
        <w:rPr>
          <w:lang w:val="en-US"/>
        </w:rPr>
        <w:t xml:space="preserve"> Comp 10 mg/320 mg/25 mg film-coated tablets</w:t>
      </w:r>
    </w:p>
    <w:p w14:paraId="47AE9A21" w14:textId="77777777" w:rsidR="00710351" w:rsidRPr="00710351" w:rsidRDefault="00710351" w:rsidP="00710351"/>
    <w:p w14:paraId="0DF202EC" w14:textId="69F88092" w:rsidR="00F53FB7" w:rsidRDefault="00DD466D" w:rsidP="00A93499">
      <w:pPr>
        <w:pStyle w:val="Heading1"/>
      </w:pPr>
      <w:r>
        <w:t>2. КАЧЕСТВЕН И КОЛИЧЕСТВЕН СЪСТАВ</w:t>
      </w:r>
    </w:p>
    <w:p w14:paraId="7D695EB1" w14:textId="4E629D98" w:rsidR="00710351" w:rsidRDefault="00710351" w:rsidP="00710351"/>
    <w:p w14:paraId="59A3A7B8"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5 </w:t>
      </w:r>
      <w:r w:rsidRPr="00710351">
        <w:rPr>
          <w:rFonts w:eastAsia="Times New Roman" w:cs="Arial"/>
          <w:color w:val="000000"/>
          <w:u w:val="single"/>
          <w:lang w:val="en-US"/>
        </w:rPr>
        <w:t xml:space="preserve">mg/160 mg/12,5 mg </w:t>
      </w:r>
      <w:r w:rsidRPr="00710351">
        <w:rPr>
          <w:rFonts w:eastAsia="Times New Roman" w:cs="Arial"/>
          <w:color w:val="000000"/>
          <w:u w:val="single"/>
          <w:lang w:eastAsia="bg-BG"/>
        </w:rPr>
        <w:t>филмирани таблетки</w:t>
      </w:r>
    </w:p>
    <w:p w14:paraId="76662FA8"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 xml:space="preserve">Всяка филмирана таблетка съдържа 5 </w:t>
      </w:r>
      <w:r w:rsidRPr="00710351">
        <w:rPr>
          <w:rFonts w:eastAsia="Times New Roman" w:cs="Arial"/>
          <w:color w:val="000000"/>
          <w:lang w:val="en-US"/>
        </w:rPr>
        <w:t xml:space="preserve">mg </w:t>
      </w:r>
      <w:r w:rsidRPr="00710351">
        <w:rPr>
          <w:rFonts w:eastAsia="Times New Roman" w:cs="Arial"/>
          <w:color w:val="000000"/>
          <w:lang w:eastAsia="bg-BG"/>
        </w:rPr>
        <w:t xml:space="preserve">амлодипин </w:t>
      </w:r>
      <w:r w:rsidRPr="00710351">
        <w:rPr>
          <w:rFonts w:eastAsia="Times New Roman" w:cs="Arial"/>
          <w:i/>
          <w:iCs/>
          <w:color w:val="000000"/>
          <w:lang w:val="en-US"/>
        </w:rPr>
        <w:t>(amlodipine)</w:t>
      </w:r>
      <w:r w:rsidRPr="00710351">
        <w:rPr>
          <w:rFonts w:eastAsia="Times New Roman" w:cs="Arial"/>
          <w:color w:val="000000"/>
          <w:lang w:val="en-US"/>
        </w:rPr>
        <w:t xml:space="preserve"> </w:t>
      </w:r>
      <w:r w:rsidRPr="00710351">
        <w:rPr>
          <w:rFonts w:eastAsia="Times New Roman" w:cs="Arial"/>
          <w:color w:val="000000"/>
          <w:lang w:eastAsia="bg-BG"/>
        </w:rPr>
        <w:t xml:space="preserve">(като амлодипинов безилат), 160 </w:t>
      </w:r>
      <w:r w:rsidRPr="00710351">
        <w:rPr>
          <w:rFonts w:eastAsia="Times New Roman" w:cs="Arial"/>
          <w:color w:val="000000"/>
          <w:lang w:val="en-US"/>
        </w:rPr>
        <w:t xml:space="preserve">mg </w:t>
      </w:r>
      <w:r w:rsidRPr="00710351">
        <w:rPr>
          <w:rFonts w:eastAsia="Times New Roman" w:cs="Arial"/>
          <w:color w:val="000000"/>
          <w:lang w:eastAsia="bg-BG"/>
        </w:rPr>
        <w:t xml:space="preserve">валсартан </w:t>
      </w:r>
      <w:r w:rsidRPr="00710351">
        <w:rPr>
          <w:rFonts w:eastAsia="Times New Roman" w:cs="Arial"/>
          <w:i/>
          <w:iCs/>
          <w:color w:val="000000"/>
          <w:lang w:val="en-US"/>
        </w:rPr>
        <w:t>(valsartan)</w:t>
      </w:r>
      <w:r w:rsidRPr="00710351">
        <w:rPr>
          <w:rFonts w:eastAsia="Times New Roman" w:cs="Arial"/>
          <w:color w:val="000000"/>
          <w:lang w:val="en-US"/>
        </w:rPr>
        <w:t xml:space="preserve"> </w:t>
      </w:r>
      <w:r w:rsidRPr="00710351">
        <w:rPr>
          <w:rFonts w:eastAsia="Times New Roman" w:cs="Arial"/>
          <w:color w:val="000000"/>
          <w:lang w:eastAsia="bg-BG"/>
        </w:rPr>
        <w:t xml:space="preserve">и 12,5 </w:t>
      </w:r>
      <w:r w:rsidRPr="00710351">
        <w:rPr>
          <w:rFonts w:eastAsia="Times New Roman" w:cs="Arial"/>
          <w:color w:val="000000"/>
          <w:lang w:val="en-US"/>
        </w:rPr>
        <w:t xml:space="preserve">mg </w:t>
      </w:r>
      <w:r w:rsidRPr="00710351">
        <w:rPr>
          <w:rFonts w:eastAsia="Times New Roman" w:cs="Arial"/>
          <w:color w:val="000000"/>
          <w:lang w:eastAsia="bg-BG"/>
        </w:rPr>
        <w:t xml:space="preserve">хидрохлоротиазид. </w:t>
      </w:r>
      <w:r w:rsidRPr="00710351">
        <w:rPr>
          <w:rFonts w:eastAsia="Times New Roman" w:cs="Arial"/>
          <w:i/>
          <w:iCs/>
          <w:color w:val="000000"/>
          <w:lang w:val="en-US"/>
        </w:rPr>
        <w:t>(hydrochlorothiazide).</w:t>
      </w:r>
    </w:p>
    <w:p w14:paraId="102947D3" w14:textId="77777777" w:rsidR="00710351" w:rsidRPr="00710351" w:rsidRDefault="00710351" w:rsidP="00710351">
      <w:pPr>
        <w:spacing w:line="240" w:lineRule="auto"/>
        <w:rPr>
          <w:rFonts w:eastAsia="Times New Roman" w:cs="Arial"/>
          <w:color w:val="000000"/>
          <w:u w:val="single"/>
          <w:lang w:eastAsia="bg-BG"/>
        </w:rPr>
      </w:pPr>
    </w:p>
    <w:p w14:paraId="493F3CDD" w14:textId="2B1CEFD3"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10 </w:t>
      </w:r>
      <w:r w:rsidRPr="00710351">
        <w:rPr>
          <w:rFonts w:eastAsia="Times New Roman" w:cs="Arial"/>
          <w:color w:val="000000"/>
          <w:u w:val="single"/>
          <w:lang w:val="en-US"/>
        </w:rPr>
        <w:t xml:space="preserve">mg/320 mg/25 mg </w:t>
      </w:r>
      <w:r w:rsidRPr="00710351">
        <w:rPr>
          <w:rFonts w:eastAsia="Times New Roman" w:cs="Arial"/>
          <w:color w:val="000000"/>
          <w:u w:val="single"/>
          <w:lang w:eastAsia="bg-BG"/>
        </w:rPr>
        <w:t>Филмирани таблетки</w:t>
      </w:r>
    </w:p>
    <w:p w14:paraId="1A0EB571"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 xml:space="preserve">Всяка филмирана таблетка съдържа 10 </w:t>
      </w:r>
      <w:r w:rsidRPr="00710351">
        <w:rPr>
          <w:rFonts w:eastAsia="Times New Roman" w:cs="Arial"/>
          <w:color w:val="000000"/>
          <w:lang w:val="en-US"/>
        </w:rPr>
        <w:t xml:space="preserve">mg </w:t>
      </w:r>
      <w:r w:rsidRPr="00710351">
        <w:rPr>
          <w:rFonts w:eastAsia="Times New Roman" w:cs="Arial"/>
          <w:color w:val="000000"/>
          <w:lang w:eastAsia="bg-BG"/>
        </w:rPr>
        <w:t xml:space="preserve">амлодипин </w:t>
      </w:r>
      <w:r w:rsidRPr="00710351">
        <w:rPr>
          <w:rFonts w:eastAsia="Times New Roman" w:cs="Arial"/>
          <w:i/>
          <w:iCs/>
          <w:color w:val="000000"/>
          <w:lang w:val="en-US"/>
        </w:rPr>
        <w:t>(amlodipine)</w:t>
      </w:r>
      <w:r w:rsidRPr="00710351">
        <w:rPr>
          <w:rFonts w:eastAsia="Times New Roman" w:cs="Arial"/>
          <w:color w:val="000000"/>
          <w:lang w:val="en-US"/>
        </w:rPr>
        <w:t xml:space="preserve"> </w:t>
      </w:r>
      <w:r w:rsidRPr="00710351">
        <w:rPr>
          <w:rFonts w:eastAsia="Times New Roman" w:cs="Arial"/>
          <w:color w:val="000000"/>
          <w:lang w:eastAsia="bg-BG"/>
        </w:rPr>
        <w:t xml:space="preserve">(като амлодипинов безилат), 320 </w:t>
      </w:r>
      <w:r w:rsidRPr="00710351">
        <w:rPr>
          <w:rFonts w:eastAsia="Times New Roman" w:cs="Arial"/>
          <w:color w:val="000000"/>
          <w:lang w:val="en-US"/>
        </w:rPr>
        <w:t xml:space="preserve">mg </w:t>
      </w:r>
      <w:r w:rsidRPr="00710351">
        <w:rPr>
          <w:rFonts w:eastAsia="Times New Roman" w:cs="Arial"/>
          <w:color w:val="000000"/>
          <w:lang w:eastAsia="bg-BG"/>
        </w:rPr>
        <w:t xml:space="preserve">валсартан </w:t>
      </w:r>
      <w:r w:rsidRPr="00710351">
        <w:rPr>
          <w:rFonts w:eastAsia="Times New Roman" w:cs="Arial"/>
          <w:i/>
          <w:iCs/>
          <w:color w:val="000000"/>
          <w:lang w:val="en-US"/>
        </w:rPr>
        <w:t>(valsartan)</w:t>
      </w:r>
      <w:r w:rsidRPr="00710351">
        <w:rPr>
          <w:rFonts w:eastAsia="Times New Roman" w:cs="Arial"/>
          <w:color w:val="000000"/>
          <w:lang w:val="en-US"/>
        </w:rPr>
        <w:t xml:space="preserve"> </w:t>
      </w:r>
      <w:r w:rsidRPr="00710351">
        <w:rPr>
          <w:rFonts w:eastAsia="Times New Roman" w:cs="Arial"/>
          <w:color w:val="000000"/>
          <w:lang w:eastAsia="bg-BG"/>
        </w:rPr>
        <w:t xml:space="preserve">и 25 </w:t>
      </w:r>
      <w:r w:rsidRPr="00710351">
        <w:rPr>
          <w:rFonts w:eastAsia="Times New Roman" w:cs="Arial"/>
          <w:color w:val="000000"/>
          <w:lang w:val="en-US"/>
        </w:rPr>
        <w:t xml:space="preserve">mg </w:t>
      </w:r>
      <w:r w:rsidRPr="00710351">
        <w:rPr>
          <w:rFonts w:eastAsia="Times New Roman" w:cs="Arial"/>
          <w:color w:val="000000"/>
          <w:lang w:eastAsia="bg-BG"/>
        </w:rPr>
        <w:t xml:space="preserve">хидрохлоротиазид. </w:t>
      </w:r>
      <w:r w:rsidRPr="00710351">
        <w:rPr>
          <w:rFonts w:eastAsia="Times New Roman" w:cs="Arial"/>
          <w:i/>
          <w:iCs/>
          <w:color w:val="000000"/>
          <w:lang w:val="en-US"/>
        </w:rPr>
        <w:t>(hydrochlorothiazide).</w:t>
      </w:r>
    </w:p>
    <w:p w14:paraId="38449C46" w14:textId="77777777" w:rsidR="00710351" w:rsidRPr="00710351" w:rsidRDefault="00710351" w:rsidP="00710351"/>
    <w:p w14:paraId="4CABB9ED" w14:textId="2A23530B" w:rsidR="00F53FB7" w:rsidRDefault="00DD466D" w:rsidP="00A93499">
      <w:pPr>
        <w:pStyle w:val="Heading1"/>
      </w:pPr>
      <w:r>
        <w:t>3. ЛЕКАРСТВЕНА ФОРМА</w:t>
      </w:r>
    </w:p>
    <w:p w14:paraId="2835A231" w14:textId="2C9BF96F" w:rsidR="00710351" w:rsidRDefault="00710351" w:rsidP="00710351"/>
    <w:p w14:paraId="5FDEE685"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Филмирана таблетка (таблетка)</w:t>
      </w:r>
    </w:p>
    <w:p w14:paraId="50FE6F2B" w14:textId="77777777" w:rsidR="00710351" w:rsidRPr="00710351" w:rsidRDefault="00710351" w:rsidP="00710351">
      <w:pPr>
        <w:spacing w:line="240" w:lineRule="auto"/>
        <w:rPr>
          <w:rFonts w:eastAsia="Times New Roman" w:cs="Arial"/>
          <w:color w:val="000000"/>
          <w:u w:val="single"/>
          <w:lang w:eastAsia="bg-BG"/>
        </w:rPr>
      </w:pPr>
    </w:p>
    <w:p w14:paraId="053E6419" w14:textId="197C4F64"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5 </w:t>
      </w:r>
      <w:r w:rsidRPr="00710351">
        <w:rPr>
          <w:rFonts w:eastAsia="Times New Roman" w:cs="Arial"/>
          <w:color w:val="000000"/>
          <w:u w:val="single"/>
          <w:lang w:val="en-US"/>
        </w:rPr>
        <w:t xml:space="preserve">mg/160 mg/12,5 mg </w:t>
      </w:r>
      <w:r w:rsidRPr="00710351">
        <w:rPr>
          <w:rFonts w:eastAsia="Times New Roman" w:cs="Arial"/>
          <w:color w:val="000000"/>
          <w:u w:val="single"/>
          <w:lang w:eastAsia="bg-BG"/>
        </w:rPr>
        <w:t>филмирани таблетки</w:t>
      </w:r>
    </w:p>
    <w:p w14:paraId="4592B626"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 xml:space="preserve">Бели, овални таблетки с размери 7,70 </w:t>
      </w:r>
      <w:r w:rsidRPr="00710351">
        <w:rPr>
          <w:rFonts w:eastAsia="Times New Roman" w:cs="Arial"/>
          <w:color w:val="000000"/>
          <w:lang w:val="en-US"/>
        </w:rPr>
        <w:t xml:space="preserve">mm </w:t>
      </w:r>
      <w:r w:rsidRPr="00710351">
        <w:rPr>
          <w:rFonts w:eastAsia="Times New Roman" w:cs="Arial"/>
          <w:color w:val="000000"/>
          <w:lang w:eastAsia="bg-BG"/>
        </w:rPr>
        <w:t xml:space="preserve">х 16 </w:t>
      </w:r>
      <w:r w:rsidRPr="00710351">
        <w:rPr>
          <w:rFonts w:eastAsia="Times New Roman" w:cs="Arial"/>
          <w:color w:val="000000"/>
          <w:lang w:val="en-US"/>
        </w:rPr>
        <w:t xml:space="preserve">mm </w:t>
      </w:r>
      <w:r w:rsidRPr="00710351">
        <w:rPr>
          <w:rFonts w:eastAsia="Times New Roman" w:cs="Arial"/>
          <w:color w:val="000000"/>
          <w:lang w:eastAsia="bg-BG"/>
        </w:rPr>
        <w:t>маркирани с “С12” от едната страна.</w:t>
      </w:r>
    </w:p>
    <w:p w14:paraId="10153AC5" w14:textId="77777777" w:rsidR="00710351" w:rsidRPr="00710351" w:rsidRDefault="00710351" w:rsidP="00710351">
      <w:pPr>
        <w:spacing w:line="240" w:lineRule="auto"/>
        <w:rPr>
          <w:rFonts w:eastAsia="Times New Roman" w:cs="Arial"/>
          <w:color w:val="000000"/>
          <w:u w:val="single"/>
          <w:lang w:eastAsia="bg-BG"/>
        </w:rPr>
      </w:pPr>
    </w:p>
    <w:p w14:paraId="2862A9F2" w14:textId="345A87B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10 </w:t>
      </w:r>
      <w:r w:rsidRPr="00710351">
        <w:rPr>
          <w:rFonts w:eastAsia="Times New Roman" w:cs="Arial"/>
          <w:color w:val="000000"/>
          <w:u w:val="single"/>
          <w:lang w:val="en-US"/>
        </w:rPr>
        <w:t xml:space="preserve">mg/320 mg/25 mg </w:t>
      </w:r>
      <w:r w:rsidRPr="00710351">
        <w:rPr>
          <w:rFonts w:eastAsia="Times New Roman" w:cs="Arial"/>
          <w:color w:val="000000"/>
          <w:u w:val="single"/>
          <w:lang w:eastAsia="bg-BG"/>
        </w:rPr>
        <w:t>филмирани таблетки</w:t>
      </w:r>
    </w:p>
    <w:p w14:paraId="76BCE3AC" w14:textId="6C1E7018" w:rsidR="00710351" w:rsidRPr="00710351" w:rsidRDefault="00710351" w:rsidP="00710351">
      <w:pPr>
        <w:rPr>
          <w:rFonts w:cs="Arial"/>
        </w:rPr>
      </w:pPr>
      <w:r w:rsidRPr="00710351">
        <w:rPr>
          <w:rFonts w:eastAsia="Times New Roman" w:cs="Arial"/>
          <w:color w:val="000000"/>
          <w:lang w:eastAsia="bg-BG"/>
        </w:rPr>
        <w:t xml:space="preserve">Тъмножълти, овални таблетки с размери 9,70 </w:t>
      </w:r>
      <w:r w:rsidRPr="00710351">
        <w:rPr>
          <w:rFonts w:eastAsia="Times New Roman" w:cs="Arial"/>
          <w:color w:val="000000"/>
          <w:lang w:val="en-US"/>
        </w:rPr>
        <w:t xml:space="preserve">mm </w:t>
      </w:r>
      <w:r w:rsidRPr="00710351">
        <w:rPr>
          <w:rFonts w:eastAsia="Times New Roman" w:cs="Arial"/>
          <w:color w:val="000000"/>
          <w:lang w:eastAsia="bg-BG"/>
        </w:rPr>
        <w:t xml:space="preserve">х 20 </w:t>
      </w:r>
      <w:r w:rsidRPr="00710351">
        <w:rPr>
          <w:rFonts w:eastAsia="Times New Roman" w:cs="Arial"/>
          <w:color w:val="000000"/>
          <w:u w:val="single"/>
          <w:lang w:val="en-US"/>
        </w:rPr>
        <w:t>mm</w:t>
      </w:r>
      <w:r w:rsidRPr="00710351">
        <w:rPr>
          <w:rFonts w:eastAsia="Times New Roman" w:cs="Arial"/>
          <w:color w:val="000000"/>
          <w:lang w:val="en-US"/>
        </w:rPr>
        <w:t xml:space="preserve"> </w:t>
      </w:r>
      <w:r w:rsidRPr="00710351">
        <w:rPr>
          <w:rFonts w:eastAsia="Times New Roman" w:cs="Arial"/>
          <w:color w:val="000000"/>
          <w:lang w:eastAsia="bg-BG"/>
        </w:rPr>
        <w:t>маркирани с “С72” от едната страна</w:t>
      </w:r>
    </w:p>
    <w:p w14:paraId="490FC2C4" w14:textId="6899DE43" w:rsidR="002C50EE" w:rsidRDefault="002C50EE" w:rsidP="002C50EE">
      <w:pPr>
        <w:pStyle w:val="Heading1"/>
      </w:pPr>
      <w:r>
        <w:t>4. КЛИНИЧНИ ДАННИ</w:t>
      </w:r>
    </w:p>
    <w:p w14:paraId="1A37D275" w14:textId="0EA6A723" w:rsidR="00F53FB7" w:rsidRDefault="002C50EE" w:rsidP="00A93499">
      <w:pPr>
        <w:pStyle w:val="Heading2"/>
      </w:pPr>
      <w:r>
        <w:t>4.1. Терапевтични показания</w:t>
      </w:r>
    </w:p>
    <w:p w14:paraId="2A6694F3" w14:textId="3C6D00B3" w:rsidR="00710351" w:rsidRDefault="00710351" w:rsidP="00710351"/>
    <w:p w14:paraId="3CC0A560" w14:textId="1DEB803D" w:rsidR="00710351" w:rsidRDefault="00710351" w:rsidP="00710351">
      <w:pPr>
        <w:spacing w:line="240" w:lineRule="auto"/>
        <w:rPr>
          <w:rFonts w:eastAsia="Times New Roman" w:cs="Arial"/>
          <w:color w:val="000000"/>
          <w:lang w:eastAsia="bg-BG"/>
        </w:rPr>
      </w:pPr>
      <w:r w:rsidRPr="00710351">
        <w:rPr>
          <w:rFonts w:eastAsia="Times New Roman" w:cs="Arial"/>
          <w:color w:val="000000"/>
          <w:lang w:eastAsia="bg-BG"/>
        </w:rPr>
        <w:t>Лечение на есенциална хипертония като заместителна терапия при възрастни пациенти, чието артериално налягане е добре контролирано с комбинацията амлодипин, валсартан и хидрохлоротиазид (НСТ), прилагани или като три отделни лекарствени форми или като двукомпонентна плюс еднокомпонентна лекарствена форма.</w:t>
      </w:r>
    </w:p>
    <w:p w14:paraId="6EA3608D" w14:textId="77777777" w:rsidR="00710351" w:rsidRPr="00710351" w:rsidRDefault="00710351" w:rsidP="00710351">
      <w:pPr>
        <w:spacing w:line="240" w:lineRule="auto"/>
        <w:rPr>
          <w:rFonts w:eastAsia="Times New Roman" w:cs="Arial"/>
          <w:sz w:val="24"/>
          <w:szCs w:val="24"/>
          <w:lang w:eastAsia="bg-BG"/>
        </w:rPr>
      </w:pPr>
    </w:p>
    <w:p w14:paraId="05D17336" w14:textId="6DED4E19" w:rsidR="00F53FB7" w:rsidRDefault="002C50EE" w:rsidP="00A93499">
      <w:pPr>
        <w:pStyle w:val="Heading2"/>
      </w:pPr>
      <w:r>
        <w:t>4.2. Дозировка и начин на приложение</w:t>
      </w:r>
    </w:p>
    <w:p w14:paraId="43DA0480" w14:textId="0CBBEA80" w:rsidR="00710351" w:rsidRDefault="00710351" w:rsidP="00710351"/>
    <w:p w14:paraId="4B06D2D6" w14:textId="77777777" w:rsidR="00710351" w:rsidRPr="00710351" w:rsidRDefault="00710351" w:rsidP="00710351">
      <w:pPr>
        <w:pStyle w:val="Heading3"/>
        <w:rPr>
          <w:u w:val="single"/>
        </w:rPr>
      </w:pPr>
      <w:r w:rsidRPr="00710351">
        <w:rPr>
          <w:u w:val="single"/>
        </w:rPr>
        <w:lastRenderedPageBreak/>
        <w:t>Дозировка</w:t>
      </w:r>
    </w:p>
    <w:p w14:paraId="5FD337C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Препоръчителната доза Валтензам Комп е една таблетка дневно, за предпочитане сутрин.</w:t>
      </w:r>
    </w:p>
    <w:p w14:paraId="76D1860E" w14:textId="77777777" w:rsidR="00710351" w:rsidRPr="00710351" w:rsidRDefault="00710351" w:rsidP="00710351">
      <w:pPr>
        <w:spacing w:line="240" w:lineRule="auto"/>
        <w:rPr>
          <w:rFonts w:eastAsia="Times New Roman" w:cs="Arial"/>
          <w:color w:val="000000"/>
          <w:lang w:eastAsia="bg-BG"/>
        </w:rPr>
      </w:pPr>
    </w:p>
    <w:p w14:paraId="450EC30D" w14:textId="39290C81"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Преди да преминат на лечение с Валтензам Комп пациентите трябва да бъдат</w:t>
      </w:r>
      <w:r w:rsidRPr="00710351">
        <w:rPr>
          <w:rFonts w:eastAsia="Times New Roman" w:cs="Arial"/>
          <w:color w:val="000000"/>
          <w:lang w:val="en-US"/>
        </w:rPr>
        <w:t xml:space="preserve"> </w:t>
      </w:r>
      <w:r w:rsidRPr="00710351">
        <w:rPr>
          <w:rFonts w:eastAsia="Times New Roman" w:cs="Arial"/>
          <w:color w:val="000000"/>
          <w:lang w:eastAsia="bg-BG"/>
        </w:rPr>
        <w:t>контролирани с</w:t>
      </w:r>
    </w:p>
    <w:p w14:paraId="1EFFB2FC" w14:textId="77777777" w:rsidR="00710351" w:rsidRPr="00710351" w:rsidRDefault="00710351" w:rsidP="00710351">
      <w:pPr>
        <w:spacing w:line="240" w:lineRule="auto"/>
        <w:rPr>
          <w:rFonts w:eastAsia="Times New Roman" w:cs="Arial"/>
          <w:color w:val="000000"/>
          <w:lang w:eastAsia="bg-BG"/>
        </w:rPr>
      </w:pPr>
      <w:r w:rsidRPr="00710351">
        <w:rPr>
          <w:rFonts w:eastAsia="Times New Roman" w:cs="Arial"/>
          <w:color w:val="000000"/>
          <w:lang w:eastAsia="bg-BG"/>
        </w:rPr>
        <w:t xml:space="preserve">постоянни дози на съответните монокомпоненти, които приемат едновременно. Дозата на </w:t>
      </w:r>
    </w:p>
    <w:p w14:paraId="625D9EB1" w14:textId="5282248B"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Валтензам Комп трябва да се определя въз основа на дозите на отделните компоненти от комбинацията в момента на преминаването.</w:t>
      </w:r>
    </w:p>
    <w:p w14:paraId="37794A40" w14:textId="77777777" w:rsidR="00710351" w:rsidRPr="00710351" w:rsidRDefault="00710351" w:rsidP="00710351">
      <w:pPr>
        <w:rPr>
          <w:rFonts w:eastAsia="Times New Roman" w:cs="Arial"/>
          <w:color w:val="000000"/>
          <w:lang w:eastAsia="bg-BG"/>
        </w:rPr>
      </w:pPr>
    </w:p>
    <w:p w14:paraId="201FEBEC" w14:textId="432238F0" w:rsidR="00710351" w:rsidRPr="00710351" w:rsidRDefault="00710351" w:rsidP="00710351">
      <w:pPr>
        <w:rPr>
          <w:rFonts w:eastAsia="Times New Roman" w:cs="Arial"/>
          <w:color w:val="000000"/>
          <w:lang w:val="en-US"/>
        </w:rPr>
      </w:pPr>
      <w:r w:rsidRPr="00710351">
        <w:rPr>
          <w:rFonts w:eastAsia="Times New Roman" w:cs="Arial"/>
          <w:color w:val="000000"/>
          <w:lang w:eastAsia="bg-BG"/>
        </w:rPr>
        <w:t xml:space="preserve">Максималната препоръчителна доза Валтензам Комп е 10 </w:t>
      </w:r>
      <w:r w:rsidRPr="00710351">
        <w:rPr>
          <w:rFonts w:eastAsia="Times New Roman" w:cs="Arial"/>
          <w:color w:val="000000"/>
          <w:lang w:val="en-US"/>
        </w:rPr>
        <w:t>mg/320 mg/25 mg.</w:t>
      </w:r>
    </w:p>
    <w:p w14:paraId="12EF382A" w14:textId="7E4A6916" w:rsidR="00710351" w:rsidRPr="00710351" w:rsidRDefault="00710351" w:rsidP="00710351">
      <w:pPr>
        <w:rPr>
          <w:rFonts w:eastAsia="Times New Roman" w:cs="Arial"/>
          <w:color w:val="000000"/>
          <w:lang w:val="en-US"/>
        </w:rPr>
      </w:pPr>
    </w:p>
    <w:p w14:paraId="7B692FD1" w14:textId="77777777"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Специални популации</w:t>
      </w:r>
    </w:p>
    <w:p w14:paraId="0D5C6249" w14:textId="77777777"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Бъбречно увреждане</w:t>
      </w:r>
    </w:p>
    <w:p w14:paraId="2C3339A7"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Поради хидрохлоротиазидната компонента Валтензам Комп е противопоказан за употреба при пациенти с анурия (вж. точка 4.3) и при пациенти с тежко бъбречно увреждане (скорост на гломерулна филтрация </w:t>
      </w:r>
      <w:r w:rsidRPr="00710351">
        <w:rPr>
          <w:rFonts w:eastAsia="Times New Roman" w:cs="Arial"/>
          <w:color w:val="000000"/>
          <w:lang w:val="en-US"/>
        </w:rPr>
        <w:t xml:space="preserve">(GFR) </w:t>
      </w:r>
      <w:r w:rsidRPr="00710351">
        <w:rPr>
          <w:rFonts w:eastAsia="Times New Roman" w:cs="Arial"/>
          <w:color w:val="000000"/>
          <w:lang w:eastAsia="bg-BG"/>
        </w:rPr>
        <w:t xml:space="preserve">&lt;30 </w:t>
      </w:r>
      <w:r w:rsidRPr="00710351">
        <w:rPr>
          <w:rFonts w:eastAsia="Times New Roman" w:cs="Arial"/>
          <w:color w:val="000000"/>
          <w:lang w:val="en-US"/>
        </w:rPr>
        <w:t>ml/min/1,73 m</w:t>
      </w:r>
      <w:r w:rsidRPr="00710351">
        <w:rPr>
          <w:rFonts w:eastAsia="Times New Roman" w:cs="Arial"/>
          <w:color w:val="000000"/>
          <w:vertAlign w:val="superscript"/>
          <w:lang w:val="en-US"/>
        </w:rPr>
        <w:t>2</w:t>
      </w:r>
      <w:r w:rsidRPr="00710351">
        <w:rPr>
          <w:rFonts w:eastAsia="Times New Roman" w:cs="Arial"/>
          <w:color w:val="000000"/>
          <w:lang w:val="en-US"/>
        </w:rPr>
        <w:t xml:space="preserve">) </w:t>
      </w:r>
      <w:r w:rsidRPr="00710351">
        <w:rPr>
          <w:rFonts w:eastAsia="Times New Roman" w:cs="Arial"/>
          <w:color w:val="000000"/>
          <w:lang w:eastAsia="bg-BG"/>
        </w:rPr>
        <w:t>(вж. точки 4.3,4.4 и 5.2).</w:t>
      </w:r>
    </w:p>
    <w:p w14:paraId="58F589FF" w14:textId="77777777" w:rsidR="00710351" w:rsidRPr="00710351" w:rsidRDefault="00710351" w:rsidP="00710351">
      <w:pPr>
        <w:spacing w:line="240" w:lineRule="auto"/>
        <w:rPr>
          <w:rFonts w:eastAsia="Times New Roman" w:cs="Arial"/>
          <w:color w:val="000000"/>
          <w:lang w:eastAsia="bg-BG"/>
        </w:rPr>
      </w:pPr>
    </w:p>
    <w:p w14:paraId="443778CF" w14:textId="0E2C6A45"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00F9E755" w14:textId="77777777" w:rsidR="00710351" w:rsidRPr="00710351" w:rsidRDefault="00710351" w:rsidP="00710351">
      <w:pPr>
        <w:spacing w:line="240" w:lineRule="auto"/>
        <w:rPr>
          <w:rFonts w:eastAsia="Times New Roman" w:cs="Arial"/>
          <w:i/>
          <w:iCs/>
          <w:color w:val="000000"/>
          <w:lang w:eastAsia="bg-BG"/>
        </w:rPr>
      </w:pPr>
    </w:p>
    <w:p w14:paraId="1F227F6F" w14:textId="60D5B126"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Чернодробно увреждане</w:t>
      </w:r>
    </w:p>
    <w:p w14:paraId="097F7DD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Поради валсартановата компонента Валтензам Комп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710351">
        <w:rPr>
          <w:rFonts w:eastAsia="Times New Roman" w:cs="Arial"/>
          <w:color w:val="000000"/>
          <w:lang w:val="en-US"/>
        </w:rPr>
        <w:t xml:space="preserve">mg </w:t>
      </w:r>
      <w:r w:rsidRPr="00710351">
        <w:rPr>
          <w:rFonts w:eastAsia="Times New Roman" w:cs="Arial"/>
          <w:color w:val="000000"/>
          <w:lang w:eastAsia="bg-BG"/>
        </w:rPr>
        <w:t>и поради тази причина Валтензам Комп не е подходящ при тази група пациенти (вж. точки 4.3,4.4 и 5.2). Няма установени препоръки за дозата на амлодипин при пациенти с леко до умерено чернодробно увреждане. Когато пациенти с хипертония (вж. точка 4.1) и чернодробно увреждане, конто отговарят на изискванията преминават към лечение с Валтензам Комп трябва да се използва най-ниската налична доза с амлодипин.</w:t>
      </w:r>
    </w:p>
    <w:p w14:paraId="6676B0D6" w14:textId="77777777" w:rsidR="00710351" w:rsidRPr="00710351" w:rsidRDefault="00710351" w:rsidP="00710351">
      <w:pPr>
        <w:spacing w:line="240" w:lineRule="auto"/>
        <w:rPr>
          <w:rFonts w:eastAsia="Times New Roman" w:cs="Arial"/>
          <w:i/>
          <w:iCs/>
          <w:color w:val="000000"/>
          <w:lang w:eastAsia="bg-BG"/>
        </w:rPr>
      </w:pPr>
    </w:p>
    <w:p w14:paraId="7B0AB97A" w14:textId="5EBBD211"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Сърдечна недостатъчност и исхемична болест на сърцето</w:t>
      </w:r>
    </w:p>
    <w:p w14:paraId="657A758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със сърдечна недостатъчност и исхемична болест на сърцето съществува ограничен опит с употребата на Валтензам Комп, особено в максимални дози. При пациенти със сърдечна недостатъчност и исхемична болест на сърцето се препоръчва повишено внимание, особено при прилагане на максималната доза Валтензам Комп - 10 </w:t>
      </w:r>
      <w:r w:rsidRPr="00710351">
        <w:rPr>
          <w:rFonts w:eastAsia="Times New Roman" w:cs="Arial"/>
          <w:color w:val="000000"/>
          <w:lang w:val="en-US"/>
        </w:rPr>
        <w:t>mg/320 mg/25 mg.</w:t>
      </w:r>
    </w:p>
    <w:p w14:paraId="432D571F" w14:textId="77777777" w:rsidR="00710351" w:rsidRPr="00710351" w:rsidRDefault="00710351" w:rsidP="00710351">
      <w:pPr>
        <w:spacing w:line="240" w:lineRule="auto"/>
        <w:rPr>
          <w:rFonts w:eastAsia="Times New Roman" w:cs="Arial"/>
          <w:i/>
          <w:iCs/>
          <w:color w:val="000000"/>
          <w:lang w:eastAsia="bg-BG"/>
        </w:rPr>
      </w:pPr>
    </w:p>
    <w:p w14:paraId="25FABD31" w14:textId="1E371BAC"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Старческа възраст (на 65 или повече години)</w:t>
      </w:r>
    </w:p>
    <w:p w14:paraId="1F38C6C9"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в старческа възраст се препоръчва повишено внимание, включително по-често мониториране на артериалното налягане, особено при прилагане на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тъй като данните за употреба при тази популация пациенти са ограничени. Когато пациенти в старческа възраст с хипертония, отговарящи на изискванията (вж. точка 4.1) преминават към лечение с Валтензам Комп, трябва да се използва най-ниската налична доза с амлодипин.</w:t>
      </w:r>
    </w:p>
    <w:p w14:paraId="2AC6A15C" w14:textId="77777777" w:rsidR="00710351" w:rsidRPr="00710351" w:rsidRDefault="00710351" w:rsidP="00710351">
      <w:pPr>
        <w:spacing w:line="240" w:lineRule="auto"/>
        <w:rPr>
          <w:rFonts w:eastAsia="Times New Roman" w:cs="Arial"/>
          <w:i/>
          <w:iCs/>
          <w:color w:val="000000"/>
          <w:lang w:eastAsia="bg-BG"/>
        </w:rPr>
      </w:pPr>
    </w:p>
    <w:p w14:paraId="602ED985" w14:textId="3D741E99"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Педиатрична популация</w:t>
      </w:r>
    </w:p>
    <w:p w14:paraId="005BAE9E"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Няма съответно приложение на Валтензам Комп в педиатричната популация (пациенти на възраст под 18 години) за показанието лечение на есенциална хипертония.</w:t>
      </w:r>
    </w:p>
    <w:p w14:paraId="3F26DA46" w14:textId="77777777" w:rsidR="00710351" w:rsidRPr="00710351" w:rsidRDefault="00710351" w:rsidP="00710351">
      <w:pPr>
        <w:spacing w:line="240" w:lineRule="auto"/>
        <w:rPr>
          <w:rFonts w:eastAsia="Times New Roman" w:cs="Arial"/>
          <w:color w:val="000000"/>
          <w:u w:val="single"/>
          <w:lang w:eastAsia="bg-BG"/>
        </w:rPr>
      </w:pPr>
    </w:p>
    <w:p w14:paraId="58469B12" w14:textId="21290EBB" w:rsidR="00710351" w:rsidRPr="00710351" w:rsidRDefault="00710351" w:rsidP="00710351">
      <w:pPr>
        <w:pStyle w:val="Heading3"/>
        <w:rPr>
          <w:u w:val="single"/>
        </w:rPr>
      </w:pPr>
      <w:r w:rsidRPr="00710351">
        <w:rPr>
          <w:u w:val="single"/>
        </w:rPr>
        <w:t>Начин на приложение</w:t>
      </w:r>
    </w:p>
    <w:p w14:paraId="27B7D9CF"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Перорално приложение.</w:t>
      </w:r>
    </w:p>
    <w:p w14:paraId="532B9B0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Валтензам Комп може да се приема със или без храна.</w:t>
      </w:r>
    </w:p>
    <w:p w14:paraId="4AE6A080"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07AE7C4A" w14:textId="77777777" w:rsidR="00710351" w:rsidRPr="00710351" w:rsidRDefault="00710351" w:rsidP="00710351"/>
    <w:p w14:paraId="1BF2EFF4" w14:textId="62E9B991" w:rsidR="001A6EBD" w:rsidRDefault="002C50EE" w:rsidP="00471F10">
      <w:pPr>
        <w:pStyle w:val="Heading2"/>
      </w:pPr>
      <w:r>
        <w:t>4.3. Противопоказания</w:t>
      </w:r>
    </w:p>
    <w:p w14:paraId="3B80D308" w14:textId="582CAE33" w:rsidR="00710351" w:rsidRDefault="00710351" w:rsidP="00710351"/>
    <w:p w14:paraId="7721E422"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Свръхчувствителност към активните вещества, към други сулфонамидни производни, към дихидропиридинови производни или към някое от помощните вещества, изброени в точка 6.1.</w:t>
      </w:r>
    </w:p>
    <w:p w14:paraId="151C0795"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 xml:space="preserve">Втори и трети триместър на бременността (вж. точки 4.4 и 4.6). </w:t>
      </w:r>
    </w:p>
    <w:p w14:paraId="0FC82515" w14:textId="53DB0A03"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Чернодробно увреждане, билиариа цироза или холестаза.</w:t>
      </w:r>
    </w:p>
    <w:p w14:paraId="21584EFD"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 xml:space="preserve">Тежко бъбречно увреждане </w:t>
      </w:r>
      <w:r w:rsidRPr="00710351">
        <w:rPr>
          <w:rFonts w:eastAsia="Times New Roman" w:cs="Arial"/>
          <w:color w:val="000000"/>
          <w:lang w:val="en-US"/>
        </w:rPr>
        <w:t xml:space="preserve">(GFR </w:t>
      </w:r>
      <w:r w:rsidRPr="00710351">
        <w:rPr>
          <w:rFonts w:eastAsia="Times New Roman" w:cs="Arial"/>
          <w:color w:val="000000"/>
          <w:lang w:eastAsia="bg-BG"/>
        </w:rPr>
        <w:t xml:space="preserve">&lt;30 </w:t>
      </w:r>
      <w:r w:rsidRPr="00710351">
        <w:rPr>
          <w:rFonts w:eastAsia="Times New Roman" w:cs="Arial"/>
          <w:color w:val="000000"/>
          <w:lang w:val="en-US"/>
        </w:rPr>
        <w:t>ml/min/1,73 m</w:t>
      </w:r>
      <w:r w:rsidRPr="00710351">
        <w:rPr>
          <w:rFonts w:eastAsia="Times New Roman" w:cs="Arial"/>
          <w:color w:val="000000"/>
          <w:vertAlign w:val="superscript"/>
          <w:lang w:val="en-US"/>
        </w:rPr>
        <w:t>2</w:t>
      </w:r>
      <w:r w:rsidRPr="00710351">
        <w:rPr>
          <w:rFonts w:eastAsia="Times New Roman" w:cs="Arial"/>
          <w:color w:val="000000"/>
          <w:lang w:val="en-US"/>
        </w:rPr>
        <w:t xml:space="preserve">), </w:t>
      </w:r>
      <w:r w:rsidRPr="00710351">
        <w:rPr>
          <w:rFonts w:eastAsia="Times New Roman" w:cs="Arial"/>
          <w:color w:val="000000"/>
          <w:lang w:eastAsia="bg-BG"/>
        </w:rPr>
        <w:t>анурия и пациенти провеждащи</w:t>
      </w:r>
      <w:r w:rsidRPr="00710351">
        <w:rPr>
          <w:rFonts w:eastAsia="Times New Roman" w:cs="Arial"/>
          <w:color w:val="000000"/>
          <w:lang w:val="en-US" w:eastAsia="bg-BG"/>
        </w:rPr>
        <w:t xml:space="preserve"> </w:t>
      </w:r>
      <w:r w:rsidRPr="00710351">
        <w:rPr>
          <w:rFonts w:eastAsia="Times New Roman" w:cs="Arial"/>
          <w:color w:val="000000"/>
          <w:lang w:eastAsia="bg-BG"/>
        </w:rPr>
        <w:t>диализа.</w:t>
      </w:r>
    </w:p>
    <w:p w14:paraId="08FB1A9B"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 xml:space="preserve">Едновременната употреба на Валтензам Комп с алискирен-съдържащи продукти е противопоказана при пациенти със захарен диабет или бъбречно увреждане </w:t>
      </w:r>
      <w:r w:rsidRPr="00710351">
        <w:rPr>
          <w:rFonts w:eastAsia="Times New Roman" w:cs="Arial"/>
          <w:color w:val="000000"/>
          <w:lang w:val="en-US"/>
        </w:rPr>
        <w:t xml:space="preserve">(GFR </w:t>
      </w:r>
      <w:r w:rsidRPr="00710351">
        <w:rPr>
          <w:rFonts w:eastAsia="Times New Roman" w:cs="Arial"/>
          <w:color w:val="000000"/>
          <w:lang w:eastAsia="bg-BG"/>
        </w:rPr>
        <w:t xml:space="preserve">&lt;60 </w:t>
      </w:r>
      <w:r w:rsidRPr="00710351">
        <w:rPr>
          <w:rFonts w:eastAsia="Times New Roman" w:cs="Arial"/>
          <w:color w:val="000000"/>
          <w:lang w:val="en-US"/>
        </w:rPr>
        <w:t>ml/min/1,73 m</w:t>
      </w:r>
      <w:r w:rsidRPr="00710351">
        <w:rPr>
          <w:rFonts w:eastAsia="Times New Roman" w:cs="Arial"/>
          <w:color w:val="000000"/>
          <w:vertAlign w:val="superscript"/>
          <w:lang w:val="en-US"/>
        </w:rPr>
        <w:t>2</w:t>
      </w:r>
      <w:r w:rsidRPr="00710351">
        <w:rPr>
          <w:rFonts w:eastAsia="Times New Roman" w:cs="Arial"/>
          <w:color w:val="000000"/>
          <w:lang w:val="en-US"/>
        </w:rPr>
        <w:t xml:space="preserve">) </w:t>
      </w:r>
      <w:r w:rsidRPr="00710351">
        <w:rPr>
          <w:rFonts w:eastAsia="Times New Roman" w:cs="Arial"/>
          <w:color w:val="000000"/>
          <w:lang w:eastAsia="bg-BG"/>
        </w:rPr>
        <w:t>(вж. точки 4.5 и 5.1).</w:t>
      </w:r>
    </w:p>
    <w:p w14:paraId="1AAC29CA"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Рефрактерна хипокалиемия, хипонатриемия, хиперкалциемия и симптоматична хиперурикемия.</w:t>
      </w:r>
    </w:p>
    <w:p w14:paraId="5686071B"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Тежка хипотония.</w:t>
      </w:r>
    </w:p>
    <w:p w14:paraId="5380B789"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Шок (включително кардиогенен шок).</w:t>
      </w:r>
    </w:p>
    <w:p w14:paraId="6C1CEE82"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Обструкция на изхода на лява камера (напр. хипертрофична обструктивна кардиомиопатия и високостепенна аортна стеноза).</w:t>
      </w:r>
    </w:p>
    <w:p w14:paraId="12FF777B" w14:textId="47377803"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Хемодинамично нестабилна сърдечна недостатъчност след остър миокарден инфаркт.</w:t>
      </w:r>
    </w:p>
    <w:p w14:paraId="3603D858" w14:textId="77777777" w:rsidR="00710351" w:rsidRPr="00710351" w:rsidRDefault="00710351" w:rsidP="00710351">
      <w:pPr>
        <w:spacing w:line="240" w:lineRule="auto"/>
        <w:rPr>
          <w:rFonts w:eastAsia="Times New Roman" w:cs="Arial"/>
          <w:sz w:val="24"/>
          <w:szCs w:val="24"/>
          <w:lang w:eastAsia="bg-BG"/>
        </w:rPr>
      </w:pPr>
    </w:p>
    <w:p w14:paraId="0C106098" w14:textId="2205388A" w:rsidR="001A6EBD" w:rsidRDefault="002C50EE" w:rsidP="00471F10">
      <w:pPr>
        <w:pStyle w:val="Heading2"/>
      </w:pPr>
      <w:r>
        <w:t>4.4. Специални предупреждения и предпазни мерки при употреба</w:t>
      </w:r>
    </w:p>
    <w:p w14:paraId="3D56D508" w14:textId="6E3DA989" w:rsidR="00710351" w:rsidRDefault="00710351" w:rsidP="00710351"/>
    <w:p w14:paraId="5457D5B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Безопасността и ефикасността на амлодипин при хипертонична криза не са установени.</w:t>
      </w:r>
    </w:p>
    <w:p w14:paraId="48012E90" w14:textId="77777777" w:rsidR="00710351" w:rsidRPr="00B133D5" w:rsidRDefault="00710351" w:rsidP="00710351">
      <w:pPr>
        <w:spacing w:line="240" w:lineRule="auto"/>
        <w:rPr>
          <w:rFonts w:eastAsia="Times New Roman" w:cs="Arial"/>
          <w:color w:val="000000"/>
          <w:u w:val="single"/>
          <w:lang w:eastAsia="bg-BG"/>
        </w:rPr>
      </w:pPr>
    </w:p>
    <w:p w14:paraId="48ADCA6E" w14:textId="72ABE871"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Пациенти с натриев и/или обемен дефицит</w:t>
      </w:r>
    </w:p>
    <w:p w14:paraId="4E3BC3B7"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Ексцесивна хипотония, включително ортостатична хипотония е наблюдавана при 1,7% от пациентите, лекувани с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 xml:space="preserve">в сравнение с 1,8% от пациентите на валсартан/хидрохлрротиазид (320 </w:t>
      </w:r>
      <w:r w:rsidRPr="00710351">
        <w:rPr>
          <w:rFonts w:eastAsia="Times New Roman" w:cs="Arial"/>
          <w:color w:val="000000"/>
          <w:lang w:val="en-US"/>
        </w:rPr>
        <w:t xml:space="preserve">mg/25 mg), </w:t>
      </w:r>
      <w:r w:rsidRPr="00710351">
        <w:rPr>
          <w:rFonts w:eastAsia="Times New Roman" w:cs="Arial"/>
          <w:color w:val="000000"/>
          <w:lang w:eastAsia="bg-BG"/>
        </w:rPr>
        <w:t xml:space="preserve">0,4% от пациентите на амлодипин/валсартан (10 </w:t>
      </w:r>
      <w:r w:rsidRPr="00710351">
        <w:rPr>
          <w:rFonts w:eastAsia="Times New Roman" w:cs="Arial"/>
          <w:color w:val="000000"/>
          <w:lang w:val="en-US"/>
        </w:rPr>
        <w:t xml:space="preserve">mg/320 mg) </w:t>
      </w:r>
      <w:r w:rsidRPr="00710351">
        <w:rPr>
          <w:rFonts w:eastAsia="Times New Roman" w:cs="Arial"/>
          <w:color w:val="000000"/>
          <w:lang w:eastAsia="bg-BG"/>
        </w:rPr>
        <w:t>и 0,2%</w:t>
      </w:r>
      <w:r w:rsidRPr="00710351">
        <w:rPr>
          <w:rFonts w:eastAsia="Times New Roman" w:cs="Arial"/>
          <w:color w:val="000000"/>
          <w:lang w:val="en-US"/>
        </w:rPr>
        <w:t xml:space="preserve"> </w:t>
      </w:r>
      <w:r w:rsidRPr="00710351">
        <w:rPr>
          <w:rFonts w:eastAsia="Times New Roman" w:cs="Arial"/>
          <w:color w:val="000000"/>
          <w:lang w:eastAsia="bg-BG"/>
        </w:rPr>
        <w:t xml:space="preserve">от пациентите на хидрохлоротиазид/амлодипин (25 </w:t>
      </w:r>
      <w:r w:rsidRPr="00710351">
        <w:rPr>
          <w:rFonts w:eastAsia="Times New Roman" w:cs="Arial"/>
          <w:color w:val="000000"/>
          <w:lang w:val="en-US"/>
        </w:rPr>
        <w:t>mg/</w:t>
      </w:r>
      <w:r w:rsidRPr="00710351">
        <w:rPr>
          <w:rFonts w:eastAsia="Times New Roman" w:cs="Arial"/>
          <w:color w:val="000000"/>
          <w:lang w:eastAsia="bg-BG"/>
        </w:rPr>
        <w:t xml:space="preserve">10 </w:t>
      </w:r>
      <w:r w:rsidRPr="00710351">
        <w:rPr>
          <w:rFonts w:eastAsia="Times New Roman" w:cs="Arial"/>
          <w:color w:val="000000"/>
          <w:lang w:val="en-US"/>
        </w:rPr>
        <w:t xml:space="preserve">mg) </w:t>
      </w:r>
      <w:r w:rsidRPr="00710351">
        <w:rPr>
          <w:rFonts w:eastAsia="Times New Roman" w:cs="Arial"/>
          <w:color w:val="000000"/>
          <w:lang w:eastAsia="bg-BG"/>
        </w:rPr>
        <w:t>в хода на контролирано изпитване при пациенти с умерена до тежка, неусложнена хипертония.</w:t>
      </w:r>
    </w:p>
    <w:p w14:paraId="4B2DD076" w14:textId="77777777" w:rsidR="00710351" w:rsidRPr="00B133D5" w:rsidRDefault="00710351" w:rsidP="00710351">
      <w:pPr>
        <w:spacing w:line="240" w:lineRule="auto"/>
        <w:rPr>
          <w:rFonts w:eastAsia="Times New Roman" w:cs="Arial"/>
          <w:color w:val="000000"/>
          <w:lang w:eastAsia="bg-BG"/>
        </w:rPr>
      </w:pPr>
    </w:p>
    <w:p w14:paraId="65D01094" w14:textId="7064195C"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Валтензам Комп. Валтензам Комп трябва да се прилага само след коригиране на предшестващ натриев и/или обемен дефицит.</w:t>
      </w:r>
    </w:p>
    <w:p w14:paraId="099E0AE9" w14:textId="77777777" w:rsidR="00710351" w:rsidRPr="00B133D5" w:rsidRDefault="00710351" w:rsidP="00710351">
      <w:pPr>
        <w:spacing w:line="240" w:lineRule="auto"/>
        <w:rPr>
          <w:rFonts w:eastAsia="Times New Roman" w:cs="Arial"/>
          <w:color w:val="000000"/>
          <w:lang w:eastAsia="bg-BG"/>
        </w:rPr>
      </w:pPr>
    </w:p>
    <w:p w14:paraId="7A18FA71" w14:textId="37A32A64"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Ако при лечение с Валтензам Комп настъпи ексцесивна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3B330EFD" w14:textId="77777777" w:rsidR="00710351" w:rsidRPr="00B133D5" w:rsidRDefault="00710351" w:rsidP="00710351">
      <w:pPr>
        <w:spacing w:line="240" w:lineRule="auto"/>
        <w:rPr>
          <w:rFonts w:eastAsia="Times New Roman" w:cs="Arial"/>
          <w:color w:val="000000"/>
          <w:u w:val="single"/>
          <w:lang w:eastAsia="bg-BG"/>
        </w:rPr>
      </w:pPr>
    </w:p>
    <w:p w14:paraId="5B738906" w14:textId="77777777" w:rsidR="00710351" w:rsidRPr="00B133D5" w:rsidRDefault="00710351" w:rsidP="00710351">
      <w:pPr>
        <w:spacing w:line="240" w:lineRule="auto"/>
        <w:rPr>
          <w:rFonts w:eastAsia="Times New Roman" w:cs="Arial"/>
          <w:color w:val="000000"/>
          <w:u w:val="single"/>
          <w:lang w:eastAsia="bg-BG"/>
        </w:rPr>
      </w:pPr>
    </w:p>
    <w:p w14:paraId="2B4CCAD8" w14:textId="30CA498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Промени в серумните електролити</w:t>
      </w:r>
    </w:p>
    <w:p w14:paraId="3C0E9BCF" w14:textId="77777777"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Амлодипин/валсартан/хидрохлоротиазид</w:t>
      </w:r>
    </w:p>
    <w:p w14:paraId="177C17CA"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В хода на контролираното клинично изпитване на Валтензам Комп при много от пациентите противоположните ефекти на валсартан 320 </w:t>
      </w:r>
      <w:r w:rsidRPr="00710351">
        <w:rPr>
          <w:rFonts w:eastAsia="Times New Roman" w:cs="Arial"/>
          <w:color w:val="000000"/>
          <w:lang w:val="en-US"/>
        </w:rPr>
        <w:t xml:space="preserve">mg </w:t>
      </w:r>
      <w:r w:rsidRPr="00710351">
        <w:rPr>
          <w:rFonts w:eastAsia="Times New Roman" w:cs="Arial"/>
          <w:color w:val="000000"/>
          <w:lang w:eastAsia="bg-BG"/>
        </w:rPr>
        <w:t xml:space="preserve">и хидрохлоротиазид 25 </w:t>
      </w:r>
      <w:r w:rsidRPr="00710351">
        <w:rPr>
          <w:rFonts w:eastAsia="Times New Roman" w:cs="Arial"/>
          <w:color w:val="000000"/>
          <w:lang w:val="en-US"/>
        </w:rPr>
        <w:t xml:space="preserve">mg </w:t>
      </w:r>
      <w:r w:rsidRPr="00710351">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22945D41" w14:textId="77777777" w:rsidR="00710351" w:rsidRPr="00B133D5" w:rsidRDefault="00710351" w:rsidP="00710351">
      <w:pPr>
        <w:spacing w:line="240" w:lineRule="auto"/>
        <w:rPr>
          <w:rFonts w:eastAsia="Times New Roman" w:cs="Arial"/>
          <w:color w:val="000000"/>
          <w:lang w:eastAsia="bg-BG"/>
        </w:rPr>
      </w:pPr>
    </w:p>
    <w:p w14:paraId="0EA94DB8" w14:textId="0006DE8C"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анамнеза за предхождащи електролитни нарушения.</w:t>
      </w:r>
    </w:p>
    <w:p w14:paraId="23CA6E7E" w14:textId="77777777" w:rsidR="00710351" w:rsidRPr="00B133D5" w:rsidRDefault="00710351" w:rsidP="00710351">
      <w:pPr>
        <w:spacing w:line="240" w:lineRule="auto"/>
        <w:rPr>
          <w:rFonts w:eastAsia="Times New Roman" w:cs="Arial"/>
          <w:i/>
          <w:iCs/>
          <w:color w:val="000000"/>
          <w:u w:val="single"/>
          <w:lang w:eastAsia="bg-BG"/>
        </w:rPr>
      </w:pPr>
    </w:p>
    <w:p w14:paraId="10173B34" w14:textId="30D2D88D"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Валсартан</w:t>
      </w:r>
    </w:p>
    <w:p w14:paraId="6646E592"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48E4791B" w14:textId="77777777" w:rsidR="00710351" w:rsidRPr="00B133D5" w:rsidRDefault="00710351" w:rsidP="00710351">
      <w:pPr>
        <w:spacing w:line="240" w:lineRule="auto"/>
        <w:rPr>
          <w:rFonts w:eastAsia="Times New Roman" w:cs="Arial"/>
          <w:i/>
          <w:iCs/>
          <w:color w:val="000000"/>
          <w:u w:val="single"/>
          <w:lang w:eastAsia="bg-BG"/>
        </w:rPr>
      </w:pPr>
    </w:p>
    <w:p w14:paraId="48E20E45" w14:textId="27FDA660"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Хидрохлоротиазид</w:t>
      </w:r>
    </w:p>
    <w:p w14:paraId="234A4D0D"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Лечение с Валтензам Комп трябва да започне само след коригиране на хипокалиемията и съпътстващата хипомагнезиемия. Тиазидните диуретици могат да ускорят нова поява на хипокалиемия или да обострят вече съществуваща хипокалиемия. Тиазидните диуретици</w:t>
      </w:r>
      <w:r w:rsidRPr="00710351">
        <w:rPr>
          <w:rFonts w:eastAsia="Times New Roman" w:cs="Arial"/>
          <w:color w:val="000000"/>
          <w:vertAlign w:val="superscript"/>
          <w:lang w:eastAsia="bg-BG"/>
        </w:rPr>
        <w:t xml:space="preserve"> </w:t>
      </w:r>
      <w:r w:rsidRPr="00710351">
        <w:rPr>
          <w:rFonts w:eastAsia="Times New Roman" w:cs="Arial"/>
          <w:color w:val="000000"/>
          <w:lang w:eastAsia="bg-BG"/>
        </w:rPr>
        <w:t>трябва да се прилагат с повишено внимание при пациенти, чието състояние е свързано с</w:t>
      </w:r>
    </w:p>
    <w:p w14:paraId="57B464CC" w14:textId="77777777" w:rsidR="00710351" w:rsidRPr="00B133D5" w:rsidRDefault="00710351" w:rsidP="00710351">
      <w:pPr>
        <w:rPr>
          <w:rFonts w:eastAsia="Times New Roman" w:cs="Arial"/>
          <w:lang w:eastAsia="bg-BG"/>
        </w:rPr>
      </w:pPr>
      <w:r w:rsidRPr="00B133D5">
        <w:rPr>
          <w:rFonts w:eastAsia="Times New Roman" w:cs="Arial"/>
          <w:color w:val="000000"/>
          <w:lang w:eastAsia="bg-BG"/>
        </w:rPr>
        <w:t>повишена загуба на калий, като например сол губещи нефропатии или преренално (кардиогенно) увреждане на бъбречната функция. Ако по време на терапия с хидрохлороиазид</w:t>
      </w:r>
      <w:r w:rsidRPr="00B133D5">
        <w:rPr>
          <w:rFonts w:eastAsia="Times New Roman" w:cs="Arial"/>
          <w:color w:val="000000"/>
          <w:lang w:val="en-US" w:eastAsia="bg-BG"/>
        </w:rPr>
        <w:t xml:space="preserve"> </w:t>
      </w:r>
      <w:r w:rsidRPr="00B133D5">
        <w:rPr>
          <w:rFonts w:eastAsia="Times New Roman" w:cs="Arial"/>
          <w:color w:val="000000"/>
          <w:lang w:eastAsia="bg-BG"/>
        </w:rPr>
        <w:t>възникне хипокалиемия, приемът на Валтензам Комп трябва да се преустанови до стабилно коригиране на калиевия баланс.</w:t>
      </w:r>
    </w:p>
    <w:p w14:paraId="18EEAF47" w14:textId="77777777" w:rsidR="00710351" w:rsidRPr="00B133D5" w:rsidRDefault="00710351" w:rsidP="00710351">
      <w:pPr>
        <w:spacing w:line="240" w:lineRule="auto"/>
        <w:rPr>
          <w:rFonts w:eastAsia="Times New Roman" w:cs="Arial"/>
          <w:color w:val="000000"/>
          <w:lang w:eastAsia="bg-BG"/>
        </w:rPr>
      </w:pPr>
    </w:p>
    <w:p w14:paraId="3E8BCC2A" w14:textId="375D7F70"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вече съществуваща хипонатриемия. Наблюдавана е хипонатриемия, съпроводена с неврологична симптоматика (гадене, прогресивна дезориентация, апатия). Лечението с хидрохлоротиазид трябва да започва само след коригиране на предшестваща хипонатриемия. В случай на тежка или бързо развиваща се хипонатриемия по време на лечението с Валтензам Комп лечението трябва да се преустанови до нормализиране на нивата на натрия.</w:t>
      </w:r>
    </w:p>
    <w:p w14:paraId="442A7558" w14:textId="77777777" w:rsidR="00710351" w:rsidRPr="00B133D5" w:rsidRDefault="00710351" w:rsidP="00710351">
      <w:pPr>
        <w:spacing w:line="240" w:lineRule="auto"/>
        <w:rPr>
          <w:rFonts w:eastAsia="Times New Roman" w:cs="Arial"/>
          <w:color w:val="000000"/>
          <w:lang w:eastAsia="bg-BG"/>
        </w:rPr>
      </w:pPr>
    </w:p>
    <w:p w14:paraId="142429DF" w14:textId="17C6E421"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78830651" w14:textId="77777777" w:rsidR="00710351" w:rsidRPr="00B133D5" w:rsidRDefault="00710351" w:rsidP="00710351">
      <w:pPr>
        <w:spacing w:line="240" w:lineRule="auto"/>
        <w:rPr>
          <w:rFonts w:eastAsia="Times New Roman" w:cs="Arial"/>
          <w:color w:val="000000"/>
          <w:u w:val="single"/>
          <w:lang w:eastAsia="bg-BG"/>
        </w:rPr>
      </w:pPr>
    </w:p>
    <w:p w14:paraId="4A6715D8" w14:textId="2BE48304"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Бъбречно увреждане</w:t>
      </w:r>
    </w:p>
    <w:p w14:paraId="6FBDE465"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Тиазидните диуретици могат да ускорят появата на азотемия при пациенти с хронично бъбречно заболяване. Когато Валтензам Комп се прилага при пациенти с бъбречно увреждане се препоръчва периодично проследяване на нивата на серумните електролити (включително на калия), на креатинина и пикочната киселина. Валтензам Комп е </w:t>
      </w:r>
      <w:r w:rsidRPr="00710351">
        <w:rPr>
          <w:rFonts w:eastAsia="Times New Roman" w:cs="Arial"/>
          <w:color w:val="000000"/>
          <w:lang w:eastAsia="bg-BG"/>
        </w:rPr>
        <w:lastRenderedPageBreak/>
        <w:t>противопоказан при пациенти с тежко бъбречно увреждане, анурия или провеждащи диализа (вж. точка 4.3).</w:t>
      </w:r>
    </w:p>
    <w:p w14:paraId="03B214A2" w14:textId="77777777" w:rsidR="00710351" w:rsidRPr="00B133D5" w:rsidRDefault="00710351" w:rsidP="00710351">
      <w:pPr>
        <w:spacing w:line="240" w:lineRule="auto"/>
        <w:rPr>
          <w:rFonts w:eastAsia="Times New Roman" w:cs="Arial"/>
          <w:color w:val="000000"/>
          <w:lang w:eastAsia="bg-BG"/>
        </w:rPr>
      </w:pPr>
    </w:p>
    <w:p w14:paraId="62EFEA3B" w14:textId="559657C5"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Не се изисква коригиране на дозата на Валтензам Комп при пациенти с леко до умерено бъбречно увреждане </w:t>
      </w:r>
      <w:r w:rsidRPr="00710351">
        <w:rPr>
          <w:rFonts w:eastAsia="Times New Roman" w:cs="Arial"/>
          <w:color w:val="000000"/>
          <w:lang w:val="en-US"/>
        </w:rPr>
        <w:t xml:space="preserve">(GFR </w:t>
      </w:r>
      <w:r w:rsidRPr="00710351">
        <w:rPr>
          <w:rFonts w:eastAsia="Times New Roman" w:cs="Arial"/>
          <w:color w:val="000000"/>
          <w:lang w:eastAsia="bg-BG"/>
        </w:rPr>
        <w:t xml:space="preserve">&gt;30 </w:t>
      </w:r>
      <w:r w:rsidRPr="00710351">
        <w:rPr>
          <w:rFonts w:eastAsia="Times New Roman" w:cs="Arial"/>
          <w:color w:val="000000"/>
          <w:lang w:val="en-US"/>
        </w:rPr>
        <w:t>ml/min/1</w:t>
      </w:r>
      <w:r w:rsidRPr="00710351">
        <w:rPr>
          <w:rFonts w:eastAsia="Times New Roman" w:cs="Arial"/>
          <w:color w:val="000000"/>
          <w:lang w:eastAsia="bg-BG"/>
        </w:rPr>
        <w:t xml:space="preserve">,73 </w:t>
      </w:r>
      <w:r w:rsidRPr="00710351">
        <w:rPr>
          <w:rFonts w:eastAsia="Times New Roman" w:cs="Arial"/>
          <w:color w:val="000000"/>
          <w:lang w:val="en-US"/>
        </w:rPr>
        <w:t>m</w:t>
      </w:r>
      <w:r w:rsidRPr="00710351">
        <w:rPr>
          <w:rFonts w:eastAsia="Times New Roman" w:cs="Arial"/>
          <w:color w:val="000000"/>
          <w:vertAlign w:val="superscript"/>
          <w:lang w:val="en-US"/>
        </w:rPr>
        <w:t>2</w:t>
      </w:r>
      <w:r w:rsidRPr="00710351">
        <w:rPr>
          <w:rFonts w:eastAsia="Times New Roman" w:cs="Arial"/>
          <w:color w:val="000000"/>
          <w:lang w:val="en-US"/>
        </w:rPr>
        <w:t>).</w:t>
      </w:r>
    </w:p>
    <w:p w14:paraId="424DB643" w14:textId="77777777" w:rsidR="00710351" w:rsidRPr="00B133D5" w:rsidRDefault="00710351" w:rsidP="00710351">
      <w:pPr>
        <w:spacing w:line="240" w:lineRule="auto"/>
        <w:rPr>
          <w:rFonts w:eastAsia="Times New Roman" w:cs="Arial"/>
          <w:color w:val="000000"/>
          <w:u w:val="single"/>
          <w:lang w:eastAsia="bg-BG"/>
        </w:rPr>
      </w:pPr>
    </w:p>
    <w:p w14:paraId="28F9B6DF" w14:textId="61CE4C30"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Стеноза на бъбречна артерия</w:t>
      </w:r>
    </w:p>
    <w:p w14:paraId="0EE94FE6"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Валтензам Комп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114808C1" w14:textId="77777777" w:rsidR="00710351" w:rsidRPr="00B133D5" w:rsidRDefault="00710351" w:rsidP="00710351">
      <w:pPr>
        <w:spacing w:line="240" w:lineRule="auto"/>
        <w:rPr>
          <w:rFonts w:eastAsia="Times New Roman" w:cs="Arial"/>
          <w:color w:val="000000"/>
          <w:u w:val="single"/>
          <w:lang w:eastAsia="bg-BG"/>
        </w:rPr>
      </w:pPr>
    </w:p>
    <w:p w14:paraId="27AAD797" w14:textId="3A56069A"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Бъбречна трансплантация</w:t>
      </w:r>
    </w:p>
    <w:p w14:paraId="601D75B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До този момент няма натрупан опит по отношение на безопасната употреба на Валтензам Комп при пациенти с наскоро проведена бъбречна трансллантация.</w:t>
      </w:r>
    </w:p>
    <w:p w14:paraId="620FB276" w14:textId="77777777" w:rsidR="00710351" w:rsidRPr="00B133D5" w:rsidRDefault="00710351" w:rsidP="00710351">
      <w:pPr>
        <w:spacing w:line="240" w:lineRule="auto"/>
        <w:rPr>
          <w:rFonts w:eastAsia="Times New Roman" w:cs="Arial"/>
          <w:color w:val="000000"/>
          <w:u w:val="single"/>
          <w:lang w:eastAsia="bg-BG"/>
        </w:rPr>
      </w:pPr>
    </w:p>
    <w:p w14:paraId="6539368E" w14:textId="1384A08B"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Чернодробно увреждане</w:t>
      </w:r>
    </w:p>
    <w:p w14:paraId="5EEEE05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Валсартан основно се елиминира непроменен чрез жлъчката. Полуживотьт на амлодипин е удължен, а стойностите на </w:t>
      </w:r>
      <w:r w:rsidRPr="00710351">
        <w:rPr>
          <w:rFonts w:eastAsia="Times New Roman" w:cs="Arial"/>
          <w:color w:val="000000"/>
          <w:lang w:val="en-US"/>
        </w:rPr>
        <w:t xml:space="preserve">AUC </w:t>
      </w:r>
      <w:r w:rsidRPr="00710351">
        <w:rPr>
          <w:rFonts w:eastAsia="Times New Roman" w:cs="Arial"/>
          <w:color w:val="000000"/>
          <w:lang w:eastAsia="bg-BG"/>
        </w:rPr>
        <w:t xml:space="preserve">са по-високи при пациенти с нарушена чернодробна функция; няма установени препоръки за дозата. При пациенти с леко до умерено чернодробно увреждане без холестаза максималната препоръчителна доза валсартан е 80 </w:t>
      </w:r>
      <w:r w:rsidRPr="00710351">
        <w:rPr>
          <w:rFonts w:eastAsia="Times New Roman" w:cs="Arial"/>
          <w:color w:val="000000"/>
          <w:lang w:val="en-US"/>
        </w:rPr>
        <w:t xml:space="preserve">mg, </w:t>
      </w:r>
      <w:r w:rsidRPr="00710351">
        <w:rPr>
          <w:rFonts w:eastAsia="Times New Roman" w:cs="Arial"/>
          <w:color w:val="000000"/>
          <w:lang w:eastAsia="bg-BG"/>
        </w:rPr>
        <w:t>следователно Валтензам Комп не е подходящ при тази група пациенти (вж. точки 4.2,4.3 и 5.2).</w:t>
      </w:r>
    </w:p>
    <w:p w14:paraId="616B2D12" w14:textId="77777777" w:rsidR="00710351" w:rsidRPr="00B133D5" w:rsidRDefault="00710351" w:rsidP="00710351">
      <w:pPr>
        <w:spacing w:line="240" w:lineRule="auto"/>
        <w:rPr>
          <w:rFonts w:eastAsia="Times New Roman" w:cs="Arial"/>
          <w:color w:val="000000"/>
          <w:u w:val="single"/>
          <w:lang w:eastAsia="bg-BG"/>
        </w:rPr>
      </w:pPr>
    </w:p>
    <w:p w14:paraId="0D207180" w14:textId="0F3E3B0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Ангиоедем</w:t>
      </w:r>
    </w:p>
    <w:p w14:paraId="30AEE875"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При пациенти, лекувани с валсартан се съобщава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Някои от тези пациенти са имали и преди това ангиоедем, при лечение с други лекарствени продукти, включително АСЕ инхибитори. Валтензам Комп трябва да се спре незабавно при пациентите, които получат ангиоедем и не трябва да се прилага отново.</w:t>
      </w:r>
    </w:p>
    <w:p w14:paraId="6F4767A4" w14:textId="77777777" w:rsidR="00710351" w:rsidRPr="00B133D5" w:rsidRDefault="00710351" w:rsidP="00710351">
      <w:pPr>
        <w:spacing w:line="240" w:lineRule="auto"/>
        <w:rPr>
          <w:rFonts w:eastAsia="Times New Roman" w:cs="Arial"/>
          <w:color w:val="000000"/>
          <w:u w:val="single"/>
          <w:lang w:eastAsia="bg-BG"/>
        </w:rPr>
      </w:pPr>
    </w:p>
    <w:p w14:paraId="4118A9BE" w14:textId="67ACE7D9"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Сърдечна недостатъчност и исхемична болест на сърцето/постмиокарден инфаркт</w:t>
      </w:r>
    </w:p>
    <w:p w14:paraId="6A34C4AC"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Като последствие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чйято бъбречна функция би могла да завист от активността на ренин-ангиотензин-алдостероновата система, лечението с АСЕ инхибитори и ангиотензин рецепторни блокери се свързва с олигурия и/или прогресивна азотемия и (рядко) с остра</w:t>
      </w:r>
    </w:p>
    <w:p w14:paraId="4E9DEBD9" w14:textId="778AD555" w:rsidR="00710351" w:rsidRPr="00B133D5" w:rsidRDefault="00710351" w:rsidP="00710351">
      <w:pPr>
        <w:rPr>
          <w:rFonts w:eastAsia="Times New Roman" w:cs="Arial"/>
          <w:color w:val="000000"/>
          <w:lang w:val="en-US" w:eastAsia="bg-BG"/>
        </w:rPr>
      </w:pPr>
      <w:r w:rsidRPr="00B133D5">
        <w:rPr>
          <w:rFonts w:eastAsia="Times New Roman" w:cs="Arial"/>
          <w:color w:val="000000"/>
          <w:lang w:eastAsia="bg-BG"/>
        </w:rPr>
        <w:t>бъбречна недостатъчност и/или смърт. Подобни резултати са съобщавани за валсартан</w:t>
      </w:r>
      <w:r w:rsidRPr="00B133D5">
        <w:rPr>
          <w:rFonts w:eastAsia="Times New Roman" w:cs="Arial"/>
          <w:color w:val="000000"/>
          <w:lang w:val="en-US" w:eastAsia="bg-BG"/>
        </w:rPr>
        <w:t>.</w:t>
      </w:r>
    </w:p>
    <w:p w14:paraId="24271CCF" w14:textId="0B88FFA7" w:rsidR="00710351" w:rsidRPr="00B133D5" w:rsidRDefault="00710351" w:rsidP="00710351">
      <w:pPr>
        <w:rPr>
          <w:rFonts w:eastAsia="Times New Roman" w:cs="Arial"/>
          <w:color w:val="000000"/>
          <w:lang w:val="en-US" w:eastAsia="bg-BG"/>
        </w:rPr>
      </w:pPr>
    </w:p>
    <w:p w14:paraId="4244BE4D"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Оценката на пациентите със сърдечна недостатъчност и или постмиокарден инфаркт трябва да включва винаги оценка на бъбречната функция.</w:t>
      </w:r>
    </w:p>
    <w:p w14:paraId="3EBE68ED" w14:textId="77777777" w:rsidR="00710351" w:rsidRPr="00B133D5" w:rsidRDefault="00710351" w:rsidP="00710351">
      <w:pPr>
        <w:spacing w:line="240" w:lineRule="auto"/>
        <w:rPr>
          <w:rFonts w:eastAsia="Times New Roman" w:cs="Arial"/>
          <w:color w:val="000000"/>
          <w:lang w:eastAsia="bg-BG"/>
        </w:rPr>
      </w:pPr>
    </w:p>
    <w:p w14:paraId="62455AD3" w14:textId="6B0876B2"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В дългосрочно, плацебо-контролирано проучване </w:t>
      </w:r>
      <w:r w:rsidRPr="00710351">
        <w:rPr>
          <w:rFonts w:eastAsia="Times New Roman" w:cs="Arial"/>
          <w:color w:val="000000"/>
          <w:lang w:val="en-US"/>
        </w:rPr>
        <w:t xml:space="preserve">(PRAISE-2) </w:t>
      </w:r>
      <w:r w:rsidRPr="00710351">
        <w:rPr>
          <w:rFonts w:eastAsia="Times New Roman" w:cs="Arial"/>
          <w:color w:val="000000"/>
          <w:lang w:eastAsia="bg-BG"/>
        </w:rPr>
        <w:t xml:space="preserve">с амлодипин при пациенти със сърдечна недостатъчност клас III и IV по </w:t>
      </w:r>
      <w:r w:rsidRPr="00710351">
        <w:rPr>
          <w:rFonts w:eastAsia="Times New Roman" w:cs="Arial"/>
          <w:color w:val="000000"/>
          <w:lang w:val="en-US"/>
        </w:rPr>
        <w:t xml:space="preserve">NYHA (New York Heart Association Classification), c </w:t>
      </w:r>
      <w:r w:rsidRPr="00710351">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1503DA74" w14:textId="77777777" w:rsidR="00710351" w:rsidRPr="00B133D5" w:rsidRDefault="00710351" w:rsidP="00710351">
      <w:pPr>
        <w:spacing w:line="240" w:lineRule="auto"/>
        <w:rPr>
          <w:rFonts w:eastAsia="Times New Roman" w:cs="Arial"/>
          <w:color w:val="000000"/>
          <w:lang w:eastAsia="bg-BG"/>
        </w:rPr>
      </w:pPr>
    </w:p>
    <w:p w14:paraId="19BA3C1A" w14:textId="29CC130E"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lastRenderedPageBreak/>
        <w:t>Блокерите на калциевите-канали,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6A7E8630" w14:textId="77777777" w:rsidR="00710351" w:rsidRPr="00B133D5" w:rsidRDefault="00710351" w:rsidP="00710351">
      <w:pPr>
        <w:spacing w:line="240" w:lineRule="auto"/>
        <w:rPr>
          <w:rFonts w:eastAsia="Times New Roman" w:cs="Arial"/>
          <w:color w:val="000000"/>
          <w:lang w:eastAsia="bg-BG"/>
        </w:rPr>
      </w:pPr>
    </w:p>
    <w:p w14:paraId="18A0770E" w14:textId="4FE049DD"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със сърдечна недостатъчност и исхемична болест на сърцето се препоръчва повишено внимание, особено при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тъй като съществуващите данните при тази популация пациенти са ограничени.</w:t>
      </w:r>
    </w:p>
    <w:p w14:paraId="6FAD77C4" w14:textId="77777777" w:rsidR="00710351" w:rsidRPr="00B133D5" w:rsidRDefault="00710351" w:rsidP="00710351">
      <w:pPr>
        <w:spacing w:line="240" w:lineRule="auto"/>
        <w:rPr>
          <w:rFonts w:eastAsia="Times New Roman" w:cs="Arial"/>
          <w:color w:val="000000"/>
          <w:u w:val="single"/>
          <w:lang w:eastAsia="bg-BG"/>
        </w:rPr>
      </w:pPr>
    </w:p>
    <w:p w14:paraId="5F04241C" w14:textId="12EED6A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Аортна и митрална клапна стеноза</w:t>
      </w:r>
    </w:p>
    <w:p w14:paraId="3CEA1FB6"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4BF6218C" w14:textId="77777777" w:rsidR="00710351" w:rsidRPr="00B133D5" w:rsidRDefault="00710351" w:rsidP="00710351">
      <w:pPr>
        <w:spacing w:line="240" w:lineRule="auto"/>
        <w:rPr>
          <w:rFonts w:eastAsia="Times New Roman" w:cs="Arial"/>
          <w:color w:val="000000"/>
          <w:u w:val="single"/>
          <w:lang w:eastAsia="bg-BG"/>
        </w:rPr>
      </w:pPr>
    </w:p>
    <w:p w14:paraId="7CCF6547" w14:textId="6CD895C2"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Бременност</w:t>
      </w:r>
    </w:p>
    <w:p w14:paraId="3B6D3EAB"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Лечение с ангиотензин </w:t>
      </w:r>
      <w:r w:rsidRPr="00710351">
        <w:rPr>
          <w:rFonts w:eastAsia="Times New Roman" w:cs="Arial"/>
          <w:color w:val="000000"/>
          <w:lang w:val="en-US"/>
        </w:rPr>
        <w:t>II</w:t>
      </w:r>
      <w:r w:rsidRPr="00710351">
        <w:rPr>
          <w:rFonts w:eastAsia="Times New Roman" w:cs="Arial"/>
          <w:color w:val="000000"/>
          <w:lang w:eastAsia="bg-BG"/>
        </w:rPr>
        <w:t xml:space="preserve"> рецепторни блокери (А</w:t>
      </w:r>
      <w:r w:rsidRPr="00710351">
        <w:rPr>
          <w:rFonts w:eastAsia="Times New Roman" w:cs="Arial"/>
          <w:color w:val="000000"/>
          <w:lang w:val="en-US"/>
        </w:rPr>
        <w:t>II</w:t>
      </w:r>
      <w:r w:rsidRPr="00710351">
        <w:rPr>
          <w:rFonts w:eastAsia="Times New Roman" w:cs="Arial"/>
          <w:color w:val="000000"/>
          <w:lang w:eastAsia="bg-BG"/>
        </w:rPr>
        <w:t>РБ) не трябва да започва по време на бременност.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освен ако продължаването на терапията с А</w:t>
      </w:r>
      <w:r w:rsidRPr="00710351">
        <w:rPr>
          <w:rFonts w:eastAsia="Times New Roman" w:cs="Arial"/>
          <w:color w:val="000000"/>
          <w:lang w:val="en-US"/>
        </w:rPr>
        <w:t>II</w:t>
      </w:r>
      <w:r w:rsidRPr="00710351">
        <w:rPr>
          <w:rFonts w:eastAsia="Times New Roman" w:cs="Arial"/>
          <w:color w:val="000000"/>
          <w:lang w:eastAsia="bg-BG"/>
        </w:rPr>
        <w:t>РБ не се счита за жизнено необходимо. При установяване на бременност лечението с А</w:t>
      </w:r>
      <w:r w:rsidRPr="00710351">
        <w:rPr>
          <w:rFonts w:eastAsia="Times New Roman" w:cs="Arial"/>
          <w:color w:val="000000"/>
          <w:lang w:val="en-US"/>
        </w:rPr>
        <w:t>II</w:t>
      </w:r>
      <w:r w:rsidRPr="00710351">
        <w:rPr>
          <w:rFonts w:eastAsia="Times New Roman" w:cs="Arial"/>
          <w:color w:val="000000"/>
          <w:lang w:eastAsia="bg-BG"/>
        </w:rPr>
        <w:t>РБ трябва да се преустанови незабавно и ако е уместно, да се започне алтернативна терапия (вж. точки 4.3 и 4.6).</w:t>
      </w:r>
    </w:p>
    <w:p w14:paraId="748F5CD1" w14:textId="77777777" w:rsidR="00710351" w:rsidRPr="00B133D5" w:rsidRDefault="00710351" w:rsidP="00710351">
      <w:pPr>
        <w:spacing w:line="240" w:lineRule="auto"/>
        <w:rPr>
          <w:rFonts w:eastAsia="Times New Roman" w:cs="Arial"/>
          <w:color w:val="000000"/>
          <w:u w:val="single"/>
          <w:lang w:eastAsia="bg-BG"/>
        </w:rPr>
      </w:pPr>
    </w:p>
    <w:p w14:paraId="6909F2EC" w14:textId="3C71CB41"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Първичен хипералдостеронизъм</w:t>
      </w:r>
    </w:p>
    <w:p w14:paraId="3DB9288B"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Валтензам Комп не се препоръчва при тази популация.</w:t>
      </w:r>
    </w:p>
    <w:p w14:paraId="7F507BA7" w14:textId="77777777" w:rsidR="00710351" w:rsidRPr="00B133D5" w:rsidRDefault="00710351" w:rsidP="00710351">
      <w:pPr>
        <w:spacing w:line="240" w:lineRule="auto"/>
        <w:rPr>
          <w:rFonts w:eastAsia="Times New Roman" w:cs="Arial"/>
          <w:color w:val="000000"/>
          <w:u w:val="single"/>
          <w:lang w:eastAsia="bg-BG"/>
        </w:rPr>
      </w:pPr>
    </w:p>
    <w:p w14:paraId="03552A0D" w14:textId="627A0CF8"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Системен лупус еритематодес</w:t>
      </w:r>
    </w:p>
    <w:p w14:paraId="753AE81F" w14:textId="3AE8C6D2"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42D95E12" w14:textId="77777777" w:rsidR="00710351" w:rsidRPr="00B133D5" w:rsidRDefault="00710351" w:rsidP="00710351">
      <w:pPr>
        <w:spacing w:line="240" w:lineRule="auto"/>
        <w:rPr>
          <w:rFonts w:eastAsia="Times New Roman" w:cs="Arial"/>
          <w:color w:val="000000"/>
          <w:u w:val="single"/>
          <w:lang w:eastAsia="bg-BG"/>
        </w:rPr>
      </w:pPr>
    </w:p>
    <w:p w14:paraId="6FE7DE54" w14:textId="4DA4B5A5"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Други метаболитни нарушения</w:t>
      </w:r>
    </w:p>
    <w:p w14:paraId="2D493108"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холестерола, триглицеридите и пикочната киселина. При пациенти с диабет може да е необходимо коригиране на дозата на инсулина или на пероралното хипогликемично средство.</w:t>
      </w:r>
    </w:p>
    <w:p w14:paraId="17C74FBD" w14:textId="77777777" w:rsidR="00710351" w:rsidRPr="00B133D5" w:rsidRDefault="00710351" w:rsidP="00710351">
      <w:pPr>
        <w:spacing w:line="240" w:lineRule="auto"/>
        <w:rPr>
          <w:rFonts w:eastAsia="Times New Roman" w:cs="Arial"/>
          <w:color w:val="000000"/>
          <w:lang w:eastAsia="bg-BG"/>
        </w:rPr>
      </w:pPr>
    </w:p>
    <w:p w14:paraId="6BEAC4C3" w14:textId="4876FCA6"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Поради хидрохлоротиазидната компонента Валтензам Комп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предизвика или да обостри хиперурикемията, както и да ускори появата на подагра при предразположени пациенти.</w:t>
      </w:r>
    </w:p>
    <w:p w14:paraId="59631059" w14:textId="77777777" w:rsidR="00710351" w:rsidRPr="00B133D5" w:rsidRDefault="00710351" w:rsidP="00710351">
      <w:pPr>
        <w:rPr>
          <w:rFonts w:eastAsia="Times New Roman" w:cs="Arial"/>
          <w:color w:val="000000"/>
          <w:lang w:eastAsia="bg-BG"/>
        </w:rPr>
      </w:pPr>
    </w:p>
    <w:p w14:paraId="25A095A8" w14:textId="77777777" w:rsidR="00710351" w:rsidRPr="00B133D5" w:rsidRDefault="00710351" w:rsidP="00710351">
      <w:pPr>
        <w:rPr>
          <w:rFonts w:eastAsia="Times New Roman" w:cs="Arial"/>
          <w:lang w:eastAsia="bg-BG"/>
        </w:rPr>
      </w:pPr>
      <w:r w:rsidRPr="00B133D5">
        <w:rPr>
          <w:rFonts w:eastAsia="Times New Roman" w:cs="Arial"/>
          <w:color w:val="000000"/>
          <w:lang w:eastAsia="bg-BG"/>
        </w:rPr>
        <w:t xml:space="preserve">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 Валтензам Комп е противопоказан при пациенти с хиперкалциемия и трябва да се прилагат само след коригиране на предшестваща хиперкалциемия. Приемът на Валтензам Комп трябва да бъде прекратен При развитие на хиперкалциемия по време </w:t>
      </w:r>
      <w:r w:rsidRPr="00B133D5">
        <w:rPr>
          <w:rFonts w:eastAsia="Times New Roman" w:cs="Arial"/>
          <w:color w:val="000000"/>
          <w:lang w:eastAsia="bg-BG"/>
        </w:rPr>
        <w:lastRenderedPageBreak/>
        <w:t>на лечението. По време на лечението с тиазиди серумните нива на калция трябва периодично да се проверяват. Подчертаната</w:t>
      </w:r>
      <w:r w:rsidRPr="00B133D5">
        <w:rPr>
          <w:rFonts w:eastAsia="Times New Roman" w:cs="Arial"/>
          <w:color w:val="000000"/>
          <w:lang w:val="en-US" w:eastAsia="bg-BG"/>
        </w:rPr>
        <w:t xml:space="preserve"> </w:t>
      </w:r>
      <w:r w:rsidRPr="00B133D5">
        <w:rPr>
          <w:rFonts w:eastAsia="Times New Roman" w:cs="Arial"/>
          <w:color w:val="000000"/>
          <w:lang w:eastAsia="bg-BG"/>
        </w:rPr>
        <w:t>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63EF1273" w14:textId="77777777" w:rsidR="00710351" w:rsidRPr="00B133D5" w:rsidRDefault="00710351" w:rsidP="00710351">
      <w:pPr>
        <w:spacing w:line="240" w:lineRule="auto"/>
        <w:rPr>
          <w:rFonts w:eastAsia="Times New Roman" w:cs="Arial"/>
          <w:color w:val="000000"/>
          <w:u w:val="single"/>
          <w:lang w:eastAsia="bg-BG"/>
        </w:rPr>
      </w:pPr>
    </w:p>
    <w:p w14:paraId="1C9A0BED" w14:textId="00A8B9DD"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Фоточувствителност</w:t>
      </w:r>
    </w:p>
    <w:p w14:paraId="5CC837EC"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по време на лечението с Валтензам Комп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710351">
        <w:rPr>
          <w:rFonts w:eastAsia="Times New Roman" w:cs="Arial"/>
          <w:color w:val="000000"/>
          <w:lang w:val="en-US"/>
        </w:rPr>
        <w:t xml:space="preserve">UVA </w:t>
      </w:r>
      <w:r w:rsidRPr="00710351">
        <w:rPr>
          <w:rFonts w:eastAsia="Times New Roman" w:cs="Arial"/>
          <w:color w:val="000000"/>
          <w:lang w:eastAsia="bg-BG"/>
        </w:rPr>
        <w:t>светлина.</w:t>
      </w:r>
    </w:p>
    <w:p w14:paraId="51E46563" w14:textId="77777777" w:rsidR="00710351" w:rsidRPr="00B133D5" w:rsidRDefault="00710351" w:rsidP="00710351">
      <w:pPr>
        <w:spacing w:line="240" w:lineRule="auto"/>
        <w:rPr>
          <w:rFonts w:eastAsia="Times New Roman" w:cs="Arial"/>
          <w:color w:val="000000"/>
          <w:u w:val="single"/>
          <w:lang w:eastAsia="bg-BG"/>
        </w:rPr>
      </w:pPr>
    </w:p>
    <w:p w14:paraId="081634C0" w14:textId="65A3A456"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Остра закригоъгълна глаукома</w:t>
      </w:r>
    </w:p>
    <w:p w14:paraId="56F25F5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транзиторна миопия и остра закритоъгълна глаукома. Симптомите включват внезапно начало на намаление на зрителната острота или болка в окото, които обикновено се появяват в рамките иа часове до седмици от започване на лекарството. Нелекуваната остра закригоъгълна глаукома може да доведе до трайна загуба на зрение.</w:t>
      </w:r>
    </w:p>
    <w:p w14:paraId="5629CFBB" w14:textId="77777777" w:rsidR="00710351" w:rsidRPr="00B133D5" w:rsidRDefault="00710351" w:rsidP="00710351">
      <w:pPr>
        <w:spacing w:line="240" w:lineRule="auto"/>
        <w:rPr>
          <w:rFonts w:eastAsia="Times New Roman" w:cs="Arial"/>
          <w:color w:val="000000"/>
          <w:lang w:eastAsia="bg-BG"/>
        </w:rPr>
      </w:pPr>
    </w:p>
    <w:p w14:paraId="2B3FC81F" w14:textId="42126141"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Първоначалното лечение е да се прекрати приемът на лекарството възможно най-бързо.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закригоъгълна глаукома могат да включват анамнеза за алергия към сулфонамиди или пеницилини.</w:t>
      </w:r>
    </w:p>
    <w:p w14:paraId="01BDF0D8" w14:textId="77777777" w:rsidR="00710351" w:rsidRPr="00B133D5" w:rsidRDefault="00710351" w:rsidP="00710351">
      <w:pPr>
        <w:spacing w:line="240" w:lineRule="auto"/>
        <w:rPr>
          <w:rFonts w:eastAsia="Times New Roman" w:cs="Arial"/>
          <w:color w:val="000000"/>
          <w:u w:val="single"/>
          <w:lang w:eastAsia="bg-BG"/>
        </w:rPr>
      </w:pPr>
    </w:p>
    <w:p w14:paraId="48ED265A" w14:textId="1D131FF6"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Общи</w:t>
      </w:r>
    </w:p>
    <w:p w14:paraId="4CE52369"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Необходимо е повишено внимание при пациенти с предшестваща свръхчувствителност към други ангиотензин </w:t>
      </w:r>
      <w:r w:rsidRPr="00710351">
        <w:rPr>
          <w:rFonts w:eastAsia="Times New Roman" w:cs="Arial"/>
          <w:color w:val="000000"/>
          <w:lang w:val="en-US"/>
        </w:rPr>
        <w:t>II</w:t>
      </w:r>
      <w:r w:rsidRPr="00710351">
        <w:rPr>
          <w:rFonts w:eastAsia="Times New Roman" w:cs="Arial"/>
          <w:color w:val="000000"/>
          <w:lang w:eastAsia="bg-BG"/>
        </w:rPr>
        <w:t xml:space="preserve"> рецепторни блокери. Реакциите на свръхчувствителност към хидрохлоротиазид са по-вероятни при пациенти, страдащи от алергия или астма.</w:t>
      </w:r>
    </w:p>
    <w:p w14:paraId="53E06D28" w14:textId="77777777" w:rsidR="00710351" w:rsidRPr="00B133D5" w:rsidRDefault="00710351" w:rsidP="00710351">
      <w:pPr>
        <w:spacing w:line="240" w:lineRule="auto"/>
        <w:rPr>
          <w:rFonts w:eastAsia="Times New Roman" w:cs="Arial"/>
          <w:color w:val="000000"/>
          <w:u w:val="single"/>
          <w:lang w:eastAsia="bg-BG"/>
        </w:rPr>
      </w:pPr>
    </w:p>
    <w:p w14:paraId="0D8C4F62" w14:textId="6ECD451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Старческа възраст (на 65 или повече години)</w:t>
      </w:r>
    </w:p>
    <w:p w14:paraId="5ACE2D14"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в старческа възраст се препоръчва повишено внимание, включително по-често мониториране на артериалното налягане, особено при прилагане на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тъй като данните за употреба при тази пациентска популация са ограничени.</w:t>
      </w:r>
    </w:p>
    <w:p w14:paraId="1C251603" w14:textId="77777777" w:rsidR="00710351" w:rsidRPr="00B133D5" w:rsidRDefault="00710351" w:rsidP="00710351">
      <w:pPr>
        <w:spacing w:line="240" w:lineRule="auto"/>
        <w:rPr>
          <w:rFonts w:eastAsia="Times New Roman" w:cs="Arial"/>
          <w:color w:val="000000"/>
          <w:u w:val="single"/>
          <w:lang w:eastAsia="bg-BG"/>
        </w:rPr>
      </w:pPr>
    </w:p>
    <w:p w14:paraId="32A4473C" w14:textId="63C8745E"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Двойно блокиране на ренин ангиотензин-алдостероновата система (РААС)</w:t>
      </w:r>
    </w:p>
    <w:p w14:paraId="634DA302"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6EBB2235" w14:textId="77777777" w:rsidR="00710351" w:rsidRPr="00B133D5" w:rsidRDefault="00710351" w:rsidP="00710351">
      <w:pPr>
        <w:spacing w:line="240" w:lineRule="auto"/>
        <w:rPr>
          <w:rFonts w:eastAsia="Times New Roman" w:cs="Arial"/>
          <w:color w:val="000000"/>
          <w:lang w:eastAsia="bg-BG"/>
        </w:rPr>
      </w:pPr>
    </w:p>
    <w:p w14:paraId="3473783E" w14:textId="0917BD05"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4AE33291" w14:textId="77777777" w:rsidR="00710351" w:rsidRPr="00B133D5" w:rsidRDefault="00710351" w:rsidP="00710351">
      <w:pPr>
        <w:spacing w:line="240" w:lineRule="auto"/>
        <w:rPr>
          <w:rFonts w:eastAsia="Times New Roman" w:cs="Arial"/>
          <w:color w:val="000000"/>
          <w:u w:val="single"/>
          <w:lang w:eastAsia="bg-BG"/>
        </w:rPr>
      </w:pPr>
    </w:p>
    <w:p w14:paraId="4CD8A74F" w14:textId="55CA3F1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lastRenderedPageBreak/>
        <w:t>Немеланомен рак на кожата</w:t>
      </w:r>
    </w:p>
    <w:p w14:paraId="2E9751CD"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сквамозноклетьчен карцином (СКК)] при нарастваща експозиция на кумлативна доза хидрохлоротиазид. Фотосенсибилизиращите ефекти на хидрохлоротиазид могат да действат като вероятен механизъм за развитие на НМРК.</w:t>
      </w:r>
      <w:bookmarkStart w:id="1" w:name="bookmark0"/>
      <w:bookmarkEnd w:id="1"/>
    </w:p>
    <w:p w14:paraId="7E29DF9D" w14:textId="77777777" w:rsidR="00710351" w:rsidRPr="00710351" w:rsidRDefault="00710351" w:rsidP="00710351">
      <w:pPr>
        <w:spacing w:line="240" w:lineRule="auto"/>
        <w:rPr>
          <w:rFonts w:eastAsia="Times New Roman" w:cs="Arial"/>
          <w:lang w:eastAsia="bg-BG"/>
        </w:rPr>
      </w:pPr>
    </w:p>
    <w:p w14:paraId="423444DF" w14:textId="785CCF43" w:rsidR="00B133D5" w:rsidRPr="00B133D5" w:rsidRDefault="00710351" w:rsidP="00B133D5">
      <w:pPr>
        <w:spacing w:line="240" w:lineRule="auto"/>
        <w:rPr>
          <w:rFonts w:eastAsia="Times New Roman" w:cs="Arial"/>
          <w:lang w:eastAsia="bg-BG"/>
        </w:rPr>
      </w:pPr>
      <w:r w:rsidRPr="00710351">
        <w:rPr>
          <w:rFonts w:eastAsia="Times New Roman" w:cs="Arial"/>
          <w:color w:val="000000"/>
          <w:lang w:eastAsia="bg-BG"/>
        </w:rPr>
        <w:t>Пациентите, приемащи хидрохлоротиазид, трябва да бъдат информирани за риска от НМРК и</w:t>
      </w:r>
      <w:r w:rsidR="00B133D5">
        <w:rPr>
          <w:rFonts w:eastAsia="Times New Roman" w:cs="Arial"/>
          <w:lang w:val="en-US" w:eastAsia="bg-BG"/>
        </w:rPr>
        <w:t xml:space="preserve"> </w:t>
      </w:r>
      <w:r w:rsidRPr="00710351">
        <w:rPr>
          <w:rFonts w:eastAsia="Times New Roman" w:cs="Arial"/>
          <w:color w:val="000000"/>
          <w:lang w:eastAsia="bg-BG"/>
        </w:rPr>
        <w:t>съветвани редовно да проверяват кожата си за нови лезии и незабавно да съобщават при появя</w:t>
      </w:r>
      <w:r w:rsidR="00B133D5">
        <w:rPr>
          <w:rFonts w:eastAsia="Times New Roman" w:cs="Arial"/>
          <w:lang w:val="en-US" w:eastAsia="bg-BG"/>
        </w:rPr>
        <w:t xml:space="preserve"> </w:t>
      </w:r>
      <w:r w:rsidRPr="00710351">
        <w:rPr>
          <w:rFonts w:eastAsia="Times New Roman" w:cs="Arial"/>
          <w:color w:val="000000"/>
          <w:lang w:eastAsia="bg-BG"/>
        </w:rPr>
        <w:t>на подозрителни кожни лезии. На пациентите трябва да се препоръчат възможмо превантивни</w:t>
      </w:r>
      <w:r w:rsidR="00B133D5" w:rsidRPr="00B133D5">
        <w:rPr>
          <w:rFonts w:eastAsia="Times New Roman" w:cs="Arial"/>
          <w:lang w:val="en-US" w:eastAsia="bg-BG"/>
        </w:rPr>
        <w:t xml:space="preserve"> </w:t>
      </w:r>
      <w:r w:rsidR="00B133D5" w:rsidRPr="00B133D5">
        <w:rPr>
          <w:rFonts w:eastAsia="Times New Roman" w:cs="Arial"/>
          <w:color w:val="000000"/>
          <w:lang w:eastAsia="bg-BG"/>
        </w:rPr>
        <w:t>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w:t>
      </w:r>
    </w:p>
    <w:p w14:paraId="6A42F2EE" w14:textId="77777777" w:rsidR="00B133D5" w:rsidRPr="00B133D5" w:rsidRDefault="00B133D5" w:rsidP="00B133D5">
      <w:pPr>
        <w:spacing w:line="240" w:lineRule="auto"/>
        <w:rPr>
          <w:rFonts w:eastAsia="Times New Roman" w:cs="Arial"/>
          <w:lang w:eastAsia="bg-BG"/>
        </w:rPr>
      </w:pPr>
      <w:r w:rsidRPr="00B133D5">
        <w:rPr>
          <w:rFonts w:eastAsia="Times New Roman" w:cs="Arial"/>
          <w:color w:val="000000"/>
          <w:lang w:eastAsia="bg-BG"/>
        </w:rPr>
        <w:t>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хидрохлоротиазид може да се наложи и при пациенти, които са имали предходен НМРК (вж. също точка 4.8).</w:t>
      </w:r>
    </w:p>
    <w:p w14:paraId="795F0395" w14:textId="77777777" w:rsidR="00B133D5" w:rsidRPr="00B133D5" w:rsidRDefault="00B133D5" w:rsidP="00B133D5">
      <w:pPr>
        <w:spacing w:line="240" w:lineRule="auto"/>
        <w:rPr>
          <w:rFonts w:eastAsia="Times New Roman" w:cs="Arial"/>
          <w:color w:val="000000"/>
          <w:u w:val="single"/>
          <w:lang w:eastAsia="bg-BG"/>
        </w:rPr>
      </w:pPr>
    </w:p>
    <w:p w14:paraId="256E7F16" w14:textId="70E76D75" w:rsidR="00B133D5" w:rsidRPr="00B133D5" w:rsidRDefault="00B133D5" w:rsidP="00B133D5">
      <w:pPr>
        <w:spacing w:line="240" w:lineRule="auto"/>
        <w:rPr>
          <w:rFonts w:eastAsia="Times New Roman" w:cs="Arial"/>
          <w:lang w:eastAsia="bg-BG"/>
        </w:rPr>
      </w:pPr>
      <w:r w:rsidRPr="00B133D5">
        <w:rPr>
          <w:rFonts w:eastAsia="Times New Roman" w:cs="Arial"/>
          <w:color w:val="000000"/>
          <w:u w:val="single"/>
          <w:lang w:eastAsia="bg-BG"/>
        </w:rPr>
        <w:t>Остра респираторна токсичност</w:t>
      </w:r>
    </w:p>
    <w:p w14:paraId="1B0E34AE" w14:textId="77777777" w:rsidR="00B133D5" w:rsidRPr="00B133D5" w:rsidRDefault="00B133D5" w:rsidP="00B133D5">
      <w:pPr>
        <w:spacing w:line="240" w:lineRule="auto"/>
        <w:rPr>
          <w:rFonts w:eastAsia="Times New Roman" w:cs="Arial"/>
          <w:lang w:eastAsia="bg-BG"/>
        </w:rPr>
      </w:pPr>
      <w:r w:rsidRPr="00B133D5">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Валтензам Комп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1E43CE2" w14:textId="77777777" w:rsidR="00B133D5" w:rsidRPr="00B133D5" w:rsidRDefault="00B133D5" w:rsidP="00B133D5">
      <w:pPr>
        <w:spacing w:line="240" w:lineRule="auto"/>
        <w:rPr>
          <w:rFonts w:eastAsia="Times New Roman" w:cs="Arial"/>
          <w:color w:val="000000"/>
          <w:u w:val="single"/>
          <w:lang w:eastAsia="bg-BG"/>
        </w:rPr>
      </w:pPr>
    </w:p>
    <w:p w14:paraId="0B07A7D8" w14:textId="4D19627D" w:rsidR="00B133D5" w:rsidRPr="00B133D5" w:rsidRDefault="00B133D5" w:rsidP="00B133D5">
      <w:pPr>
        <w:spacing w:line="240" w:lineRule="auto"/>
        <w:rPr>
          <w:rFonts w:eastAsia="Times New Roman" w:cs="Arial"/>
          <w:lang w:eastAsia="bg-BG"/>
        </w:rPr>
      </w:pPr>
      <w:r w:rsidRPr="00B133D5">
        <w:rPr>
          <w:rFonts w:eastAsia="Times New Roman" w:cs="Arial"/>
          <w:color w:val="000000"/>
          <w:u w:val="single"/>
          <w:lang w:eastAsia="bg-BG"/>
        </w:rPr>
        <w:t>Помощни вещества</w:t>
      </w:r>
    </w:p>
    <w:p w14:paraId="3FBEB886" w14:textId="77777777" w:rsidR="00B133D5" w:rsidRPr="00B133D5" w:rsidRDefault="00B133D5" w:rsidP="00B133D5">
      <w:pPr>
        <w:spacing w:line="240" w:lineRule="auto"/>
        <w:rPr>
          <w:rFonts w:eastAsia="Times New Roman" w:cs="Arial"/>
          <w:lang w:eastAsia="bg-BG"/>
        </w:rPr>
      </w:pPr>
      <w:r w:rsidRPr="00B133D5">
        <w:rPr>
          <w:rFonts w:eastAsia="Times New Roman" w:cs="Arial"/>
          <w:i/>
          <w:iCs/>
          <w:color w:val="000000"/>
          <w:lang w:eastAsia="bg-BG"/>
        </w:rPr>
        <w:t>Натрий</w:t>
      </w:r>
    </w:p>
    <w:p w14:paraId="12B9C938" w14:textId="77777777" w:rsidR="00B133D5" w:rsidRPr="00B133D5" w:rsidRDefault="00B133D5" w:rsidP="00B133D5">
      <w:pPr>
        <w:spacing w:line="240" w:lineRule="auto"/>
        <w:rPr>
          <w:rFonts w:eastAsia="Times New Roman" w:cs="Arial"/>
          <w:lang w:eastAsia="bg-BG"/>
        </w:rPr>
      </w:pPr>
      <w:r w:rsidRPr="00B133D5">
        <w:rPr>
          <w:rFonts w:eastAsia="Times New Roman" w:cs="Arial"/>
          <w:color w:val="000000"/>
          <w:lang w:eastAsia="bg-BG"/>
        </w:rPr>
        <w:t xml:space="preserve">Този лекарствен продукт съдържа по-малко от 1 </w:t>
      </w:r>
      <w:r w:rsidRPr="00B133D5">
        <w:rPr>
          <w:rFonts w:eastAsia="Times New Roman" w:cs="Arial"/>
          <w:color w:val="000000"/>
          <w:lang w:val="en-US"/>
        </w:rPr>
        <w:t xml:space="preserve">mmol </w:t>
      </w:r>
      <w:r w:rsidRPr="00B133D5">
        <w:rPr>
          <w:rFonts w:eastAsia="Times New Roman" w:cs="Arial"/>
          <w:color w:val="000000"/>
          <w:lang w:eastAsia="bg-BG"/>
        </w:rPr>
        <w:t xml:space="preserve">натрий (23 </w:t>
      </w:r>
      <w:r w:rsidRPr="00B133D5">
        <w:rPr>
          <w:rFonts w:eastAsia="Times New Roman" w:cs="Arial"/>
          <w:color w:val="000000"/>
          <w:lang w:val="en-US"/>
        </w:rPr>
        <w:t xml:space="preserve">mg) </w:t>
      </w:r>
      <w:r w:rsidRPr="00B133D5">
        <w:rPr>
          <w:rFonts w:eastAsia="Times New Roman" w:cs="Arial"/>
          <w:color w:val="000000"/>
          <w:lang w:eastAsia="bg-BG"/>
        </w:rPr>
        <w:t>на филмирана таблетка, т.е. може да се каже, че практически не съдържа натрий.</w:t>
      </w:r>
    </w:p>
    <w:p w14:paraId="21C463F7" w14:textId="7C692954" w:rsidR="00710351" w:rsidRPr="00B133D5" w:rsidRDefault="00710351" w:rsidP="00B133D5">
      <w:pPr>
        <w:spacing w:line="240" w:lineRule="auto"/>
        <w:rPr>
          <w:rFonts w:ascii="Times New Roman" w:eastAsia="Times New Roman" w:hAnsi="Times New Roman" w:cs="Times New Roman"/>
          <w:sz w:val="24"/>
          <w:szCs w:val="24"/>
          <w:lang w:val="en-US" w:eastAsia="bg-BG"/>
        </w:rPr>
      </w:pPr>
    </w:p>
    <w:p w14:paraId="7ABEA351" w14:textId="1B884064"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51B0A54" w14:textId="096815BB" w:rsidR="00B133D5" w:rsidRDefault="00B133D5" w:rsidP="00B133D5"/>
    <w:p w14:paraId="4DBBBADA" w14:textId="77777777" w:rsidR="00B133D5" w:rsidRPr="00B133D5" w:rsidRDefault="00B133D5" w:rsidP="00B133D5">
      <w:pPr>
        <w:spacing w:line="240" w:lineRule="auto"/>
        <w:rPr>
          <w:rFonts w:eastAsia="Times New Roman" w:cs="Arial"/>
          <w:sz w:val="24"/>
          <w:szCs w:val="24"/>
          <w:lang w:eastAsia="bg-BG"/>
        </w:rPr>
      </w:pPr>
      <w:r w:rsidRPr="00B133D5">
        <w:rPr>
          <w:rFonts w:eastAsia="Times New Roman" w:cs="Arial"/>
          <w:color w:val="000000"/>
          <w:lang w:eastAsia="bg-BG"/>
        </w:rPr>
        <w:t>Не са провеждани официални проучвания за взаимодействията на Валтензам Комп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2CB357A4" w14:textId="77777777" w:rsidR="00B133D5" w:rsidRPr="00B133D5" w:rsidRDefault="00B133D5" w:rsidP="00B133D5">
      <w:pPr>
        <w:spacing w:line="240" w:lineRule="auto"/>
        <w:rPr>
          <w:rFonts w:eastAsia="Times New Roman" w:cs="Arial"/>
          <w:color w:val="000000"/>
          <w:lang w:eastAsia="bg-BG"/>
        </w:rPr>
      </w:pPr>
    </w:p>
    <w:p w14:paraId="35FC15C3" w14:textId="2438A8E0" w:rsidR="00B133D5" w:rsidRPr="00B133D5" w:rsidRDefault="00B133D5" w:rsidP="00B133D5">
      <w:pPr>
        <w:spacing w:line="240" w:lineRule="auto"/>
        <w:rPr>
          <w:rFonts w:eastAsia="Times New Roman" w:cs="Arial"/>
          <w:sz w:val="24"/>
          <w:szCs w:val="24"/>
          <w:lang w:eastAsia="bg-BG"/>
        </w:rPr>
      </w:pPr>
      <w:r w:rsidRPr="00B133D5">
        <w:rPr>
          <w:rFonts w:eastAsia="Times New Roman" w:cs="Arial"/>
          <w:color w:val="000000"/>
          <w:lang w:eastAsia="bg-BG"/>
        </w:rPr>
        <w:t>Важно е да се има предвид, че Валтензам Комп може да засили хипотензивния ефект на други антихипертензивни средства.</w:t>
      </w:r>
    </w:p>
    <w:p w14:paraId="672226D5" w14:textId="77777777" w:rsidR="00B133D5" w:rsidRPr="00B133D5" w:rsidRDefault="00B133D5" w:rsidP="00B133D5">
      <w:pPr>
        <w:spacing w:line="240" w:lineRule="auto"/>
        <w:rPr>
          <w:rFonts w:eastAsia="Times New Roman" w:cs="Arial"/>
          <w:color w:val="000000"/>
          <w:u w:val="single"/>
          <w:lang w:eastAsia="bg-BG"/>
        </w:rPr>
      </w:pPr>
    </w:p>
    <w:p w14:paraId="22DBA824" w14:textId="644C889F" w:rsidR="00B133D5" w:rsidRPr="00B133D5" w:rsidRDefault="00B133D5" w:rsidP="00B133D5">
      <w:pPr>
        <w:spacing w:line="240" w:lineRule="auto"/>
        <w:rPr>
          <w:rFonts w:eastAsia="Times New Roman" w:cs="Arial"/>
          <w:sz w:val="24"/>
          <w:szCs w:val="24"/>
          <w:lang w:eastAsia="bg-BG"/>
        </w:rPr>
      </w:pPr>
      <w:r w:rsidRPr="00B133D5">
        <w:rPr>
          <w:rFonts w:eastAsia="Times New Roman" w:cs="Arial"/>
          <w:color w:val="000000"/>
          <w:u w:val="single"/>
          <w:lang w:eastAsia="bg-BG"/>
        </w:rPr>
        <w:t>Не се препоръчва едновременно приложение</w:t>
      </w:r>
    </w:p>
    <w:tbl>
      <w:tblPr>
        <w:tblStyle w:val="TableGrid"/>
        <w:tblW w:w="0" w:type="auto"/>
        <w:tblLook w:val="04A0" w:firstRow="1" w:lastRow="0" w:firstColumn="1" w:lastColumn="0" w:noHBand="0" w:noVBand="1"/>
      </w:tblPr>
      <w:tblGrid>
        <w:gridCol w:w="3099"/>
        <w:gridCol w:w="3117"/>
        <w:gridCol w:w="3134"/>
      </w:tblGrid>
      <w:tr w:rsidR="00B133D5" w14:paraId="01630B36" w14:textId="77777777" w:rsidTr="00CF170B">
        <w:tc>
          <w:tcPr>
            <w:tcW w:w="3166" w:type="dxa"/>
            <w:vAlign w:val="bottom"/>
          </w:tcPr>
          <w:p w14:paraId="031D5C5A" w14:textId="2E863ECC" w:rsidR="00B133D5" w:rsidRDefault="00B133D5" w:rsidP="00B133D5">
            <w:r>
              <w:rPr>
                <w:b/>
                <w:bCs/>
              </w:rPr>
              <w:t>Отделни компонентни на Валтензам Комп</w:t>
            </w:r>
          </w:p>
        </w:tc>
        <w:tc>
          <w:tcPr>
            <w:tcW w:w="3167" w:type="dxa"/>
          </w:tcPr>
          <w:p w14:paraId="186CA11E" w14:textId="6F23DB51" w:rsidR="00B133D5" w:rsidRDefault="00B133D5" w:rsidP="00B133D5">
            <w:r>
              <w:rPr>
                <w:b/>
                <w:bCs/>
              </w:rPr>
              <w:t>Известни взаимодействия със следните средства</w:t>
            </w:r>
          </w:p>
        </w:tc>
        <w:tc>
          <w:tcPr>
            <w:tcW w:w="3167" w:type="dxa"/>
          </w:tcPr>
          <w:p w14:paraId="1A6DCD20" w14:textId="4DA1B001" w:rsidR="00B133D5" w:rsidRDefault="00B133D5" w:rsidP="00B133D5">
            <w:r>
              <w:rPr>
                <w:b/>
                <w:bCs/>
              </w:rPr>
              <w:t>Ефект на взаимодействието с други лекарствени продукти</w:t>
            </w:r>
          </w:p>
        </w:tc>
      </w:tr>
      <w:tr w:rsidR="00B133D5" w14:paraId="3021A53C" w14:textId="77777777" w:rsidTr="00CF170B">
        <w:tc>
          <w:tcPr>
            <w:tcW w:w="3166" w:type="dxa"/>
          </w:tcPr>
          <w:p w14:paraId="4FB1CE23" w14:textId="4EEA00B0" w:rsidR="00B133D5" w:rsidRDefault="00B133D5" w:rsidP="00B133D5">
            <w:r>
              <w:lastRenderedPageBreak/>
              <w:t>Валсартан и НСТ</w:t>
            </w:r>
          </w:p>
        </w:tc>
        <w:tc>
          <w:tcPr>
            <w:tcW w:w="3167" w:type="dxa"/>
          </w:tcPr>
          <w:p w14:paraId="733E0568" w14:textId="0229301D" w:rsidR="00B133D5" w:rsidRDefault="00B133D5" w:rsidP="00B133D5">
            <w:r>
              <w:t>Литий</w:t>
            </w:r>
          </w:p>
        </w:tc>
        <w:tc>
          <w:tcPr>
            <w:tcW w:w="3167" w:type="dxa"/>
            <w:vAlign w:val="bottom"/>
          </w:tcPr>
          <w:p w14:paraId="2D625347" w14:textId="012789A7" w:rsidR="00B133D5" w:rsidRDefault="00B133D5" w:rsidP="00B133D5">
            <w:r>
              <w:t xml:space="preserve">Съобщава се за обратимо повишаване на концентрацията на литий в серума и токсичност при едновременно прилагане на литий с АСЕ инхибитори, ангиотензин </w:t>
            </w:r>
            <w:r>
              <w:rPr>
                <w:lang w:val="en-US"/>
              </w:rPr>
              <w:t>II</w:t>
            </w:r>
            <w:r>
              <w:t xml:space="preserve"> рецепторни антагонисти, включително валсартан </w:t>
            </w:r>
            <w:r>
              <w:rPr>
                <w:i/>
                <w:iCs/>
              </w:rPr>
              <w:t>или</w:t>
            </w:r>
            <w:r>
              <w:t xml:space="preserve"> тиазидни диуретици. Тъй като бъбречният клирънс на лития се понижава от тиазидите, е възможно рискът от литиева токсичност допълнително да се повиши при прием на Валтензам Комп. Поради тази причина се препоръчва внимателно проследяване на серумните нивата на литий при едновременна употреба..</w:t>
            </w:r>
          </w:p>
        </w:tc>
      </w:tr>
      <w:tr w:rsidR="00B133D5" w14:paraId="3F4F9FE8" w14:textId="77777777" w:rsidTr="00CF170B">
        <w:tc>
          <w:tcPr>
            <w:tcW w:w="3166" w:type="dxa"/>
          </w:tcPr>
          <w:p w14:paraId="15CCAB7E" w14:textId="64D8793A" w:rsidR="00B133D5" w:rsidRDefault="00B133D5" w:rsidP="00B133D5">
            <w:r>
              <w:t>Валсартан</w:t>
            </w:r>
          </w:p>
        </w:tc>
        <w:tc>
          <w:tcPr>
            <w:tcW w:w="3167" w:type="dxa"/>
            <w:vAlign w:val="bottom"/>
          </w:tcPr>
          <w:p w14:paraId="67DBB931" w14:textId="5FAF8153" w:rsidR="00B133D5" w:rsidRDefault="00B133D5" w:rsidP="00B133D5">
            <w:r>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3167" w:type="dxa"/>
            <w:vAlign w:val="bottom"/>
          </w:tcPr>
          <w:p w14:paraId="6B014363" w14:textId="77777777" w:rsidR="00B133D5" w:rsidRDefault="00B133D5" w:rsidP="00B133D5">
            <w:r>
              <w:t>Ако се сметне за необходимо едновременно с валсартан да</w:t>
            </w:r>
            <w:r>
              <w:rPr>
                <w:lang w:val="en-US"/>
              </w:rPr>
              <w:t xml:space="preserve"> </w:t>
            </w:r>
            <w:r>
              <w:t>се предпише лекарствен продукт, който повлиява</w:t>
            </w:r>
          </w:p>
          <w:p w14:paraId="735C8462" w14:textId="2A831EEF" w:rsidR="00B133D5" w:rsidRDefault="00B133D5" w:rsidP="00B133D5">
            <w:r>
              <w:t>нивата на калий, се препоръчва често мониториране на плазмените нива калий.</w:t>
            </w:r>
          </w:p>
        </w:tc>
      </w:tr>
      <w:tr w:rsidR="00B133D5" w14:paraId="36A73CA2" w14:textId="77777777" w:rsidTr="00CF170B">
        <w:tc>
          <w:tcPr>
            <w:tcW w:w="3166" w:type="dxa"/>
          </w:tcPr>
          <w:p w14:paraId="6CB66E4E" w14:textId="034674F2" w:rsidR="00B133D5" w:rsidRDefault="00B133D5" w:rsidP="00B133D5">
            <w:r>
              <w:t>Амлодипин</w:t>
            </w:r>
          </w:p>
        </w:tc>
        <w:tc>
          <w:tcPr>
            <w:tcW w:w="3167" w:type="dxa"/>
            <w:vAlign w:val="bottom"/>
          </w:tcPr>
          <w:p w14:paraId="2DB29D2C" w14:textId="41010B48" w:rsidR="00B133D5" w:rsidRDefault="00B133D5" w:rsidP="00B133D5">
            <w:r>
              <w:t>Грейпфрут или сок от грейпфрут</w:t>
            </w:r>
          </w:p>
        </w:tc>
        <w:tc>
          <w:tcPr>
            <w:tcW w:w="3167" w:type="dxa"/>
            <w:vAlign w:val="bottom"/>
          </w:tcPr>
          <w:p w14:paraId="38447E1F" w14:textId="7D8F859B" w:rsidR="00B133D5" w:rsidRPr="00B133D5" w:rsidRDefault="00B133D5" w:rsidP="00B133D5">
            <w:pPr>
              <w:rPr>
                <w:rFonts w:ascii="Times New Roman" w:eastAsia="Times New Roman" w:hAnsi="Times New Roman" w:cs="Times New Roman"/>
                <w:sz w:val="24"/>
                <w:szCs w:val="24"/>
                <w:lang w:eastAsia="bg-BG"/>
              </w:rPr>
            </w:pPr>
            <w:r>
              <w:t>Не се препоръчва едновременната употреба на амлодипин с грейпфрут или</w:t>
            </w:r>
            <w:r>
              <w:rPr>
                <w:lang w:val="en-US"/>
              </w:rPr>
              <w:t xml:space="preserve"> </w:t>
            </w:r>
            <w:r w:rsidRPr="00B133D5">
              <w:rPr>
                <w:rFonts w:eastAsia="Times New Roman" w:cs="Arial"/>
                <w:color w:val="000000"/>
                <w:lang w:eastAsia="bg-BG"/>
              </w:rPr>
              <w:t>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bl>
    <w:p w14:paraId="791658E8" w14:textId="43820515" w:rsidR="00B133D5" w:rsidRDefault="00B133D5" w:rsidP="00B133D5"/>
    <w:p w14:paraId="6E09DB54" w14:textId="733AC521" w:rsidR="00B133D5" w:rsidRDefault="00B133D5" w:rsidP="00B133D5">
      <w:pPr>
        <w:rPr>
          <w:u w:val="single"/>
        </w:rPr>
      </w:pPr>
      <w:r>
        <w:rPr>
          <w:u w:val="single"/>
        </w:rPr>
        <w:t>Изисква се повишено внимание при едновременно приложение</w:t>
      </w:r>
    </w:p>
    <w:p w14:paraId="30A966A5" w14:textId="6DD391E5" w:rsidR="00B133D5" w:rsidRDefault="00B133D5" w:rsidP="00B133D5">
      <w:pPr>
        <w:rPr>
          <w:u w:val="single"/>
        </w:rPr>
      </w:pPr>
    </w:p>
    <w:tbl>
      <w:tblPr>
        <w:tblStyle w:val="TableGrid"/>
        <w:tblW w:w="0" w:type="auto"/>
        <w:tblLook w:val="04A0" w:firstRow="1" w:lastRow="0" w:firstColumn="1" w:lastColumn="0" w:noHBand="0" w:noVBand="1"/>
      </w:tblPr>
      <w:tblGrid>
        <w:gridCol w:w="2054"/>
        <w:gridCol w:w="2781"/>
        <w:gridCol w:w="4515"/>
      </w:tblGrid>
      <w:tr w:rsidR="0055380F" w14:paraId="19C0E41B" w14:textId="77777777" w:rsidTr="0055380F">
        <w:tc>
          <w:tcPr>
            <w:tcW w:w="2222" w:type="dxa"/>
            <w:vAlign w:val="bottom"/>
          </w:tcPr>
          <w:p w14:paraId="7C230E9A" w14:textId="7D66C747" w:rsidR="0055380F" w:rsidRDefault="0055380F" w:rsidP="0055380F">
            <w:pPr>
              <w:rPr>
                <w:u w:val="single"/>
              </w:rPr>
            </w:pPr>
            <w:r>
              <w:rPr>
                <w:b/>
                <w:bCs/>
              </w:rPr>
              <w:lastRenderedPageBreak/>
              <w:t>Отделни компонентни на Валтензам Комп</w:t>
            </w:r>
          </w:p>
        </w:tc>
        <w:tc>
          <w:tcPr>
            <w:tcW w:w="2839" w:type="dxa"/>
          </w:tcPr>
          <w:p w14:paraId="67F415EA" w14:textId="6AF7ED45" w:rsidR="0055380F" w:rsidRDefault="0055380F" w:rsidP="0055380F">
            <w:pPr>
              <w:rPr>
                <w:u w:val="single"/>
              </w:rPr>
            </w:pPr>
            <w:r>
              <w:rPr>
                <w:b/>
                <w:bCs/>
              </w:rPr>
              <w:t>Известни взаимодействия със следните средства</w:t>
            </w:r>
          </w:p>
        </w:tc>
        <w:tc>
          <w:tcPr>
            <w:tcW w:w="4515" w:type="dxa"/>
          </w:tcPr>
          <w:p w14:paraId="19F9A879" w14:textId="44566148" w:rsidR="0055380F" w:rsidRDefault="0055380F" w:rsidP="0055380F">
            <w:pPr>
              <w:rPr>
                <w:u w:val="single"/>
              </w:rPr>
            </w:pPr>
            <w:r>
              <w:rPr>
                <w:b/>
                <w:bCs/>
              </w:rPr>
              <w:t>Ефект на взаимодействието с други лекарствени продукти</w:t>
            </w:r>
          </w:p>
        </w:tc>
      </w:tr>
      <w:tr w:rsidR="0055380F" w14:paraId="5B2B9F28" w14:textId="77777777" w:rsidTr="0055380F">
        <w:tc>
          <w:tcPr>
            <w:tcW w:w="2222" w:type="dxa"/>
            <w:vMerge w:val="restart"/>
          </w:tcPr>
          <w:p w14:paraId="17FB917D" w14:textId="40DEF2AE" w:rsidR="0055380F" w:rsidRDefault="0055380F" w:rsidP="0055380F">
            <w:pPr>
              <w:rPr>
                <w:u w:val="single"/>
              </w:rPr>
            </w:pPr>
            <w:r>
              <w:t>Амлодипин</w:t>
            </w:r>
          </w:p>
        </w:tc>
        <w:tc>
          <w:tcPr>
            <w:tcW w:w="2839" w:type="dxa"/>
          </w:tcPr>
          <w:p w14:paraId="29092C4C" w14:textId="4410C9CA" w:rsidR="0055380F" w:rsidRDefault="0055380F" w:rsidP="0055380F">
            <w:pPr>
              <w:rPr>
                <w:u w:val="single"/>
              </w:rPr>
            </w:pPr>
            <w:r>
              <w:rPr>
                <w:lang w:val="en-US"/>
              </w:rPr>
              <w:t xml:space="preserve">CYP3A4 </w:t>
            </w:r>
            <w:r>
              <w:rPr>
                <w:i/>
                <w:iCs/>
              </w:rPr>
              <w:t>инхибитори</w:t>
            </w:r>
            <w:r>
              <w:t xml:space="preserve"> (напр. кетоконазол, итраконазол, ритонавир)</w:t>
            </w:r>
          </w:p>
        </w:tc>
        <w:tc>
          <w:tcPr>
            <w:tcW w:w="4515" w:type="dxa"/>
            <w:vAlign w:val="bottom"/>
          </w:tcPr>
          <w:p w14:paraId="5FF528D0" w14:textId="531A1649" w:rsidR="0055380F" w:rsidRDefault="0055380F" w:rsidP="0055380F">
            <w:pPr>
              <w:rPr>
                <w:u w:val="single"/>
              </w:rPr>
            </w:pPr>
            <w:r>
              <w:t xml:space="preserve">Едновременното приложение на амлодипин със силни или умерени </w:t>
            </w:r>
            <w:r>
              <w:rPr>
                <w:lang w:val="en-US"/>
              </w:rPr>
              <w:t xml:space="preserve">CYP3A4 </w:t>
            </w:r>
            <w:r>
              <w:t>инхибитори (протеазни инхибитори, азолни противогьбични средства,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tc>
      </w:tr>
      <w:tr w:rsidR="0055380F" w14:paraId="400E933D" w14:textId="77777777" w:rsidTr="0055380F">
        <w:tc>
          <w:tcPr>
            <w:tcW w:w="2222" w:type="dxa"/>
            <w:vMerge/>
          </w:tcPr>
          <w:p w14:paraId="3385BB71" w14:textId="77777777" w:rsidR="0055380F" w:rsidRDefault="0055380F" w:rsidP="0055380F">
            <w:pPr>
              <w:rPr>
                <w:u w:val="single"/>
              </w:rPr>
            </w:pPr>
          </w:p>
        </w:tc>
        <w:tc>
          <w:tcPr>
            <w:tcW w:w="2839" w:type="dxa"/>
          </w:tcPr>
          <w:p w14:paraId="2C74A5D5" w14:textId="2AD5C86F" w:rsidR="0055380F" w:rsidRDefault="0055380F" w:rsidP="0055380F">
            <w:pPr>
              <w:rPr>
                <w:u w:val="single"/>
              </w:rPr>
            </w:pPr>
            <w:r>
              <w:rPr>
                <w:i/>
                <w:iCs/>
                <w:lang w:val="en-US"/>
              </w:rPr>
              <w:t xml:space="preserve">CYP3A4 </w:t>
            </w:r>
            <w:r>
              <w:rPr>
                <w:i/>
                <w:iCs/>
              </w:rPr>
              <w:t xml:space="preserve">индуктори </w:t>
            </w:r>
            <w:r>
              <w:t xml:space="preserve">(антиконвулсанти [напр. карбамазепин, фенобарбитал, фенитоин, фосфенитоин, примидон], рифампицин, </w:t>
            </w:r>
            <w:r>
              <w:rPr>
                <w:i/>
                <w:iCs/>
                <w:lang w:val="en-US"/>
              </w:rPr>
              <w:t xml:space="preserve">Hypericum </w:t>
            </w:r>
            <w:proofErr w:type="spellStart"/>
            <w:r>
              <w:rPr>
                <w:i/>
                <w:iCs/>
                <w:lang w:val="en-US"/>
              </w:rPr>
              <w:t>perforatum</w:t>
            </w:r>
            <w:proofErr w:type="spellEnd"/>
            <w:r>
              <w:rPr>
                <w:lang w:val="en-US"/>
              </w:rPr>
              <w:t xml:space="preserve"> </w:t>
            </w:r>
            <w:r>
              <w:t>[жълт кантарион])</w:t>
            </w:r>
          </w:p>
        </w:tc>
        <w:tc>
          <w:tcPr>
            <w:tcW w:w="4515" w:type="dxa"/>
            <w:vAlign w:val="bottom"/>
          </w:tcPr>
          <w:p w14:paraId="120AB6AC" w14:textId="667722F6" w:rsidR="0055380F" w:rsidRDefault="0055380F" w:rsidP="0055380F">
            <w:pPr>
              <w:rPr>
                <w:u w:val="single"/>
              </w:rPr>
            </w:pPr>
            <w:r>
              <w:t xml:space="preserve">При едновременно приложение на известни индуктори на </w:t>
            </w:r>
            <w:r>
              <w:rPr>
                <w:lang w:val="en-US"/>
              </w:rPr>
              <w:t xml:space="preserve">CYP3A4 </w:t>
            </w:r>
            <w: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Pr>
                <w:lang w:val="en-US"/>
              </w:rPr>
              <w:t xml:space="preserve">CYP3A4 </w:t>
            </w:r>
            <w:r>
              <w:t>индуктори (напр. рифампицин, жълт кантарион).</w:t>
            </w:r>
          </w:p>
        </w:tc>
      </w:tr>
      <w:tr w:rsidR="0055380F" w14:paraId="338D585D" w14:textId="77777777" w:rsidTr="0055380F">
        <w:tc>
          <w:tcPr>
            <w:tcW w:w="2222" w:type="dxa"/>
            <w:vMerge/>
          </w:tcPr>
          <w:p w14:paraId="0A337231" w14:textId="77777777" w:rsidR="0055380F" w:rsidRDefault="0055380F" w:rsidP="0055380F">
            <w:pPr>
              <w:rPr>
                <w:u w:val="single"/>
              </w:rPr>
            </w:pPr>
          </w:p>
        </w:tc>
        <w:tc>
          <w:tcPr>
            <w:tcW w:w="2839" w:type="dxa"/>
          </w:tcPr>
          <w:p w14:paraId="72B06BE8" w14:textId="03853301" w:rsidR="0055380F" w:rsidRDefault="0055380F" w:rsidP="0055380F">
            <w:pPr>
              <w:rPr>
                <w:u w:val="single"/>
              </w:rPr>
            </w:pPr>
            <w:r>
              <w:rPr>
                <w:i/>
                <w:iCs/>
              </w:rPr>
              <w:t>Симвастатин</w:t>
            </w:r>
          </w:p>
        </w:tc>
        <w:tc>
          <w:tcPr>
            <w:tcW w:w="4515" w:type="dxa"/>
            <w:vAlign w:val="bottom"/>
          </w:tcPr>
          <w:p w14:paraId="7528A6A1" w14:textId="2802559A" w:rsidR="0055380F" w:rsidRDefault="0055380F" w:rsidP="0055380F">
            <w:pPr>
              <w:rPr>
                <w:u w:val="single"/>
              </w:rPr>
            </w:pPr>
            <w:r>
              <w:t xml:space="preserve">Многократното приложение на 10 </w:t>
            </w:r>
            <w:r>
              <w:rPr>
                <w:lang w:val="en-US"/>
              </w:rPr>
              <w:t xml:space="preserve">mg </w:t>
            </w:r>
            <w:r>
              <w:t xml:space="preserve">амлодипин едновременно с 80 </w:t>
            </w:r>
            <w:r>
              <w:rPr>
                <w:lang w:val="en-US"/>
              </w:rPr>
              <w:t xml:space="preserve">mg </w:t>
            </w:r>
            <w:r>
              <w:t xml:space="preserve">симвастатин повишава със 77% експозицията на симвастатин спрямо самостоятелното приложение на симвастатин. При пациентите на лечение с амлодипин се препоръчва понижаване на дозата на симвастатин до 20 </w:t>
            </w:r>
            <w:r>
              <w:rPr>
                <w:lang w:val="en-US"/>
              </w:rPr>
              <w:t xml:space="preserve">mg </w:t>
            </w:r>
            <w:r>
              <w:t>дневно.</w:t>
            </w:r>
          </w:p>
        </w:tc>
      </w:tr>
      <w:tr w:rsidR="0055380F" w14:paraId="31068072" w14:textId="77777777" w:rsidTr="0055380F">
        <w:tc>
          <w:tcPr>
            <w:tcW w:w="2222" w:type="dxa"/>
            <w:vMerge/>
          </w:tcPr>
          <w:p w14:paraId="5083B496" w14:textId="77777777" w:rsidR="0055380F" w:rsidRDefault="0055380F" w:rsidP="0055380F">
            <w:pPr>
              <w:rPr>
                <w:u w:val="single"/>
              </w:rPr>
            </w:pPr>
          </w:p>
        </w:tc>
        <w:tc>
          <w:tcPr>
            <w:tcW w:w="2839" w:type="dxa"/>
          </w:tcPr>
          <w:p w14:paraId="67B3BF4C" w14:textId="7C9ABD2C" w:rsidR="0055380F" w:rsidRDefault="0055380F" w:rsidP="0055380F">
            <w:pPr>
              <w:rPr>
                <w:u w:val="single"/>
              </w:rPr>
            </w:pPr>
            <w:r>
              <w:rPr>
                <w:i/>
                <w:iCs/>
              </w:rPr>
              <w:t>Дантролен (инфузия)</w:t>
            </w:r>
          </w:p>
        </w:tc>
        <w:tc>
          <w:tcPr>
            <w:tcW w:w="4515" w:type="dxa"/>
            <w:vAlign w:val="bottom"/>
          </w:tcPr>
          <w:p w14:paraId="75BEBA85" w14:textId="57584515" w:rsidR="0055380F" w:rsidRDefault="0055380F" w:rsidP="0055380F">
            <w:pPr>
              <w:rPr>
                <w:u w:val="single"/>
              </w:rPr>
            </w:pPr>
            <w:r>
              <w:t xml:space="preserve">При животни са наблюдавани летална камерна фибрилация и сърдечно-съдов колапс, свързани с хиперкалиемия след приложение на верапамил и дантролен интравенозно.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w:t>
            </w:r>
            <w:r>
              <w:lastRenderedPageBreak/>
              <w:t>хипертермия и при овладяване на малигнена хипертермия.</w:t>
            </w:r>
          </w:p>
        </w:tc>
      </w:tr>
      <w:tr w:rsidR="0055380F" w14:paraId="0F708752" w14:textId="77777777" w:rsidTr="0055380F">
        <w:tc>
          <w:tcPr>
            <w:tcW w:w="2222" w:type="dxa"/>
          </w:tcPr>
          <w:p w14:paraId="617A6044" w14:textId="705F1975" w:rsidR="0055380F" w:rsidRDefault="0055380F" w:rsidP="0055380F">
            <w:pPr>
              <w:rPr>
                <w:u w:val="single"/>
              </w:rPr>
            </w:pPr>
            <w:r>
              <w:lastRenderedPageBreak/>
              <w:t>Валсартан и НСТ</w:t>
            </w:r>
          </w:p>
        </w:tc>
        <w:tc>
          <w:tcPr>
            <w:tcW w:w="2839" w:type="dxa"/>
            <w:vAlign w:val="bottom"/>
          </w:tcPr>
          <w:p w14:paraId="2ECBFC27" w14:textId="40EB5E1B" w:rsidR="0055380F" w:rsidRPr="0055380F" w:rsidRDefault="0055380F" w:rsidP="0055380F">
            <w:pPr>
              <w:rPr>
                <w:rFonts w:eastAsia="Times New Roman" w:cs="Arial"/>
                <w:sz w:val="24"/>
                <w:szCs w:val="24"/>
                <w:lang w:eastAsia="bg-BG"/>
              </w:rPr>
            </w:pPr>
            <w:r w:rsidRPr="0055380F">
              <w:rPr>
                <w:rFonts w:cs="Arial"/>
                <w:i/>
                <w:iCs/>
              </w:rPr>
              <w:t>Нестероидни противовъзпалителни</w:t>
            </w:r>
            <w:r w:rsidRPr="0055380F">
              <w:rPr>
                <w:rFonts w:cs="Arial"/>
                <w:i/>
                <w:iCs/>
                <w:lang w:val="en-US"/>
              </w:rPr>
              <w:t xml:space="preserve"> </w:t>
            </w:r>
            <w:r w:rsidRPr="0055380F">
              <w:rPr>
                <w:rFonts w:eastAsia="Times New Roman" w:cs="Arial"/>
                <w:i/>
                <w:iCs/>
                <w:color w:val="000000"/>
                <w:lang w:eastAsia="bg-BG"/>
              </w:rPr>
              <w:t xml:space="preserve">средства (НСПВС), включително селективни циклооксигеназа-2 инхибитори (СОХ-2 инхибитори), ацетилсалицилова киселина (&gt;3 </w:t>
            </w:r>
            <w:r w:rsidRPr="0055380F">
              <w:rPr>
                <w:rFonts w:eastAsia="Times New Roman" w:cs="Arial"/>
                <w:i/>
                <w:iCs/>
                <w:color w:val="000000"/>
                <w:lang w:val="en-US"/>
              </w:rPr>
              <w:t>g</w:t>
            </w:r>
            <w:r w:rsidRPr="0055380F">
              <w:rPr>
                <w:rFonts w:eastAsia="Times New Roman" w:cs="Arial"/>
                <w:i/>
                <w:iCs/>
                <w:color w:val="000000"/>
                <w:lang w:eastAsia="bg-BG"/>
              </w:rPr>
              <w:t>/ден) и неселективни нсвпс</w:t>
            </w:r>
          </w:p>
        </w:tc>
        <w:tc>
          <w:tcPr>
            <w:tcW w:w="4515" w:type="dxa"/>
            <w:vAlign w:val="bottom"/>
          </w:tcPr>
          <w:p w14:paraId="122AB620" w14:textId="77777777" w:rsidR="0055380F" w:rsidRPr="0055380F" w:rsidRDefault="0055380F" w:rsidP="0055380F">
            <w:pPr>
              <w:rPr>
                <w:rFonts w:cs="Arial"/>
              </w:rPr>
            </w:pPr>
            <w:r w:rsidRPr="0055380F">
              <w:rPr>
                <w:rFonts w:cs="Arial"/>
              </w:rPr>
              <w:t>НСПВС могат да отслабят</w:t>
            </w:r>
          </w:p>
          <w:p w14:paraId="629529C6" w14:textId="1C15DDD8" w:rsidR="0055380F" w:rsidRPr="0055380F" w:rsidRDefault="0055380F" w:rsidP="0055380F">
            <w:pPr>
              <w:rPr>
                <w:rFonts w:eastAsia="Times New Roman" w:cs="Arial"/>
                <w:sz w:val="24"/>
                <w:szCs w:val="24"/>
                <w:lang w:eastAsia="bg-BG"/>
              </w:rPr>
            </w:pPr>
            <w:r w:rsidRPr="0055380F">
              <w:rPr>
                <w:rFonts w:cs="Arial"/>
              </w:rPr>
              <w:t>антихипертензивния ефект, като на</w:t>
            </w:r>
            <w:r w:rsidRPr="0055380F">
              <w:rPr>
                <w:rFonts w:cs="Arial"/>
                <w:lang w:val="en-US"/>
              </w:rPr>
              <w:t xml:space="preserve"> </w:t>
            </w:r>
            <w:r w:rsidRPr="0055380F">
              <w:rPr>
                <w:rFonts w:eastAsia="Times New Roman" w:cs="Arial"/>
                <w:color w:val="000000"/>
                <w:lang w:eastAsia="bg-BG"/>
              </w:rPr>
              <w:t>ангиотензин II рецепторните блокери, така и на хидрохлоротиазид, когато се прилагат едновременно. Освен това едновременната употреба на Валтензам Комп и НСПВС може да доведе до влошаване на бъбречната функция и повишаване на нивата на серумния калий. Поради тази причина в началото на лечението се препоръчва мониториране на бъбречната функция, както и адекватна хидратация на пациента.</w:t>
            </w:r>
          </w:p>
        </w:tc>
      </w:tr>
      <w:tr w:rsidR="0055380F" w14:paraId="069703DD" w14:textId="77777777" w:rsidTr="0055380F">
        <w:tc>
          <w:tcPr>
            <w:tcW w:w="2222" w:type="dxa"/>
          </w:tcPr>
          <w:p w14:paraId="6B0407F6" w14:textId="5B5527F0" w:rsidR="0055380F" w:rsidRDefault="0055380F" w:rsidP="0055380F">
            <w:pPr>
              <w:rPr>
                <w:u w:val="single"/>
              </w:rPr>
            </w:pPr>
            <w:r>
              <w:t>Валсартан</w:t>
            </w:r>
          </w:p>
        </w:tc>
        <w:tc>
          <w:tcPr>
            <w:tcW w:w="2839" w:type="dxa"/>
          </w:tcPr>
          <w:p w14:paraId="14B26AE5" w14:textId="6CEA0F21" w:rsidR="0055380F" w:rsidRDefault="0055380F" w:rsidP="0055380F">
            <w:pPr>
              <w:rPr>
                <w:u w:val="single"/>
              </w:rPr>
            </w:pPr>
            <w:r>
              <w:rPr>
                <w:i/>
                <w:iCs/>
              </w:rPr>
              <w:t>Инхибитори на ъптейк транспортера (рифампицин, циклоспорин) или ефлуксния транспортер (ритонавир)</w:t>
            </w:r>
          </w:p>
        </w:tc>
        <w:tc>
          <w:tcPr>
            <w:tcW w:w="4515" w:type="dxa"/>
            <w:vAlign w:val="bottom"/>
          </w:tcPr>
          <w:p w14:paraId="1BBB96DB" w14:textId="6A53693C" w:rsidR="0055380F" w:rsidRDefault="0055380F" w:rsidP="0055380F">
            <w:pPr>
              <w:rPr>
                <w:u w:val="single"/>
              </w:rPr>
            </w:pPr>
            <w:r>
              <w:t xml:space="preserve">Резултатите от </w:t>
            </w:r>
            <w:r>
              <w:rPr>
                <w:i/>
                <w:iCs/>
                <w:lang w:val="en-US"/>
              </w:rPr>
              <w:t>in vitro</w:t>
            </w:r>
            <w:r>
              <w:rPr>
                <w:lang w:val="en-US"/>
              </w:rPr>
              <w:t xml:space="preserve"> </w:t>
            </w:r>
            <w:r>
              <w:t xml:space="preserve">проучване с тъкан от човешки черен дроб показва, че валсартан е субстрат на чернодробния ъптейк транспортер ОАТР1В1 и на чернодробния ефлуксен транспортер </w:t>
            </w:r>
            <w:r>
              <w:rPr>
                <w:lang w:val="en-US"/>
              </w:rPr>
              <w:t xml:space="preserve">MRP2. </w:t>
            </w:r>
            <w:r>
              <w:t>Едновременното приложение с инхибитори на ъптейк транспортера (рифампицин, циклоспорин) или на ефлуксния транспортер (ритонавир) може да повиши системната експозиция на валсартан.</w:t>
            </w:r>
          </w:p>
        </w:tc>
      </w:tr>
      <w:tr w:rsidR="0055380F" w14:paraId="4A5FA91B" w14:textId="77777777" w:rsidTr="0055380F">
        <w:tc>
          <w:tcPr>
            <w:tcW w:w="2222" w:type="dxa"/>
            <w:vMerge w:val="restart"/>
          </w:tcPr>
          <w:p w14:paraId="6A7BE084" w14:textId="1CF91391" w:rsidR="0055380F" w:rsidRDefault="0055380F" w:rsidP="0055380F">
            <w:pPr>
              <w:rPr>
                <w:u w:val="single"/>
              </w:rPr>
            </w:pPr>
            <w:r>
              <w:rPr>
                <w:lang w:val="en-US"/>
              </w:rPr>
              <w:t>HCT</w:t>
            </w:r>
          </w:p>
        </w:tc>
        <w:tc>
          <w:tcPr>
            <w:tcW w:w="2839" w:type="dxa"/>
          </w:tcPr>
          <w:p w14:paraId="2D6120BD" w14:textId="1A706351" w:rsidR="0055380F" w:rsidRDefault="0055380F" w:rsidP="0055380F">
            <w:pPr>
              <w:rPr>
                <w:u w:val="single"/>
              </w:rPr>
            </w:pPr>
            <w:r>
              <w:rPr>
                <w:i/>
                <w:iCs/>
              </w:rPr>
              <w:t>Алкохол, барбитурати или наркотици</w:t>
            </w:r>
          </w:p>
        </w:tc>
        <w:tc>
          <w:tcPr>
            <w:tcW w:w="4515" w:type="dxa"/>
            <w:vAlign w:val="bottom"/>
          </w:tcPr>
          <w:p w14:paraId="0231C503" w14:textId="649ED265" w:rsidR="0055380F" w:rsidRDefault="0055380F" w:rsidP="0055380F">
            <w:pPr>
              <w:rPr>
                <w:u w:val="single"/>
              </w:rPr>
            </w:pPr>
            <w:r>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55380F" w14:paraId="6D23214B" w14:textId="77777777" w:rsidTr="0055380F">
        <w:tc>
          <w:tcPr>
            <w:tcW w:w="2222" w:type="dxa"/>
            <w:vMerge/>
          </w:tcPr>
          <w:p w14:paraId="52E7404F" w14:textId="77777777" w:rsidR="0055380F" w:rsidRDefault="0055380F" w:rsidP="0055380F">
            <w:pPr>
              <w:rPr>
                <w:u w:val="single"/>
              </w:rPr>
            </w:pPr>
          </w:p>
        </w:tc>
        <w:tc>
          <w:tcPr>
            <w:tcW w:w="2839" w:type="dxa"/>
          </w:tcPr>
          <w:p w14:paraId="0C9AFCD4" w14:textId="3BFA60D5" w:rsidR="0055380F" w:rsidRDefault="0055380F" w:rsidP="0055380F">
            <w:pPr>
              <w:rPr>
                <w:u w:val="single"/>
              </w:rPr>
            </w:pPr>
            <w:r>
              <w:rPr>
                <w:i/>
                <w:iCs/>
              </w:rPr>
              <w:t>Амантадин</w:t>
            </w:r>
          </w:p>
        </w:tc>
        <w:tc>
          <w:tcPr>
            <w:tcW w:w="4515" w:type="dxa"/>
            <w:vAlign w:val="bottom"/>
          </w:tcPr>
          <w:p w14:paraId="30E21A99" w14:textId="0F6193B0" w:rsidR="0055380F" w:rsidRDefault="0055380F" w:rsidP="0055380F">
            <w:pPr>
              <w:rPr>
                <w:u w:val="single"/>
              </w:rPr>
            </w:pPr>
            <w:r>
              <w:t>Тиазидите, включително хидрохлоротиазид, могат да повишат риска от нежелани реакции, причинени от амантадин.</w:t>
            </w:r>
          </w:p>
        </w:tc>
      </w:tr>
      <w:tr w:rsidR="0055380F" w14:paraId="13649EED" w14:textId="77777777" w:rsidTr="0055380F">
        <w:tc>
          <w:tcPr>
            <w:tcW w:w="2222" w:type="dxa"/>
            <w:vMerge/>
          </w:tcPr>
          <w:p w14:paraId="77C11F8C" w14:textId="77777777" w:rsidR="0055380F" w:rsidRDefault="0055380F" w:rsidP="0055380F">
            <w:pPr>
              <w:rPr>
                <w:u w:val="single"/>
              </w:rPr>
            </w:pPr>
          </w:p>
        </w:tc>
        <w:tc>
          <w:tcPr>
            <w:tcW w:w="2839" w:type="dxa"/>
          </w:tcPr>
          <w:p w14:paraId="46E42DE1" w14:textId="2D6B8548" w:rsidR="0055380F" w:rsidRDefault="0055380F" w:rsidP="0055380F">
            <w:pPr>
              <w:rPr>
                <w:u w:val="single"/>
              </w:rPr>
            </w:pPr>
            <w:r>
              <w:rPr>
                <w:i/>
                <w:iCs/>
              </w:rPr>
              <w:t>Антихолинергични средства и други лекарствени продукти, повлияващи стомашния мотилитет</w:t>
            </w:r>
          </w:p>
        </w:tc>
        <w:tc>
          <w:tcPr>
            <w:tcW w:w="4515" w:type="dxa"/>
            <w:vAlign w:val="bottom"/>
          </w:tcPr>
          <w:p w14:paraId="3AC0D97F" w14:textId="10E4D36E" w:rsidR="0055380F" w:rsidRDefault="0055380F" w:rsidP="0055380F">
            <w:pPr>
              <w:rPr>
                <w:u w:val="single"/>
              </w:rPr>
            </w:pPr>
            <w:r>
              <w:t xml:space="preserve">Бионаличностга на тиазидните диуретици може да се повиши от антихолинергичните средства (напр. атропин, бипериден), вследствие на намаляване на мотилитета на стомашно- чревния тракт и забавяне на времето за изпразване на стомаха. Обратно, очаква се прокинетичните вещества като </w:t>
            </w:r>
            <w:r>
              <w:lastRenderedPageBreak/>
              <w:t>цизарпид да могат да намалят бионаличностга на тиазидните диуретици.</w:t>
            </w:r>
          </w:p>
        </w:tc>
      </w:tr>
      <w:tr w:rsidR="0055380F" w14:paraId="77BE3959" w14:textId="77777777" w:rsidTr="0055380F">
        <w:tc>
          <w:tcPr>
            <w:tcW w:w="2222" w:type="dxa"/>
            <w:vMerge/>
          </w:tcPr>
          <w:p w14:paraId="1631B002" w14:textId="77777777" w:rsidR="0055380F" w:rsidRDefault="0055380F" w:rsidP="0055380F">
            <w:pPr>
              <w:rPr>
                <w:u w:val="single"/>
              </w:rPr>
            </w:pPr>
          </w:p>
        </w:tc>
        <w:tc>
          <w:tcPr>
            <w:tcW w:w="2839" w:type="dxa"/>
          </w:tcPr>
          <w:p w14:paraId="0B3A0243" w14:textId="358FE63F" w:rsidR="0055380F" w:rsidRDefault="0055380F" w:rsidP="0055380F">
            <w:pPr>
              <w:rPr>
                <w:u w:val="single"/>
              </w:rPr>
            </w:pPr>
            <w:r>
              <w:rPr>
                <w:i/>
                <w:iCs/>
              </w:rPr>
              <w:t xml:space="preserve">Антидиабетни средства </w:t>
            </w:r>
            <w:r>
              <w:t>(напр. инсулин и перорални антидиабетни средства)</w:t>
            </w:r>
          </w:p>
        </w:tc>
        <w:tc>
          <w:tcPr>
            <w:tcW w:w="4515" w:type="dxa"/>
            <w:vAlign w:val="bottom"/>
          </w:tcPr>
          <w:p w14:paraId="4B758D65" w14:textId="0822446B" w:rsidR="0055380F" w:rsidRDefault="0055380F" w:rsidP="0055380F">
            <w:pPr>
              <w:rPr>
                <w:u w:val="single"/>
              </w:rPr>
            </w:pPr>
            <w:r>
              <w:t>Тиазидите могат да нарушат глюкозния толеранс. Може да се наложи коригиране на дозите на антидиабетните лекарствени продукти.</w:t>
            </w:r>
          </w:p>
        </w:tc>
      </w:tr>
      <w:tr w:rsidR="0055380F" w14:paraId="5F790C70" w14:textId="77777777" w:rsidTr="0055380F">
        <w:tc>
          <w:tcPr>
            <w:tcW w:w="2222" w:type="dxa"/>
            <w:vMerge/>
          </w:tcPr>
          <w:p w14:paraId="57AB0D7B" w14:textId="77777777" w:rsidR="0055380F" w:rsidRDefault="0055380F" w:rsidP="0055380F">
            <w:pPr>
              <w:rPr>
                <w:u w:val="single"/>
              </w:rPr>
            </w:pPr>
          </w:p>
        </w:tc>
        <w:tc>
          <w:tcPr>
            <w:tcW w:w="2839" w:type="dxa"/>
          </w:tcPr>
          <w:p w14:paraId="58311527" w14:textId="26ADE1BE" w:rsidR="0055380F" w:rsidRDefault="0055380F" w:rsidP="0055380F">
            <w:pPr>
              <w:rPr>
                <w:u w:val="single"/>
              </w:rPr>
            </w:pPr>
            <w:r>
              <w:rPr>
                <w:i/>
                <w:iCs/>
              </w:rPr>
              <w:t>Метформин</w:t>
            </w:r>
          </w:p>
        </w:tc>
        <w:tc>
          <w:tcPr>
            <w:tcW w:w="4515" w:type="dxa"/>
            <w:vAlign w:val="bottom"/>
          </w:tcPr>
          <w:p w14:paraId="6E056177" w14:textId="77BA0691" w:rsidR="0055380F" w:rsidRDefault="0055380F" w:rsidP="0055380F">
            <w:pPr>
              <w:rPr>
                <w:u w:val="single"/>
              </w:rPr>
            </w:pPr>
            <w: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55380F" w14:paraId="27000701" w14:textId="77777777" w:rsidTr="0055380F">
        <w:tc>
          <w:tcPr>
            <w:tcW w:w="2222" w:type="dxa"/>
            <w:vMerge/>
          </w:tcPr>
          <w:p w14:paraId="41DF086B" w14:textId="77777777" w:rsidR="0055380F" w:rsidRDefault="0055380F" w:rsidP="0055380F">
            <w:pPr>
              <w:rPr>
                <w:u w:val="single"/>
              </w:rPr>
            </w:pPr>
          </w:p>
        </w:tc>
        <w:tc>
          <w:tcPr>
            <w:tcW w:w="2839" w:type="dxa"/>
          </w:tcPr>
          <w:p w14:paraId="2452C1A5" w14:textId="369AF2FF" w:rsidR="0055380F" w:rsidRDefault="0055380F" w:rsidP="0055380F">
            <w:pPr>
              <w:rPr>
                <w:u w:val="single"/>
              </w:rPr>
            </w:pPr>
            <w:r>
              <w:rPr>
                <w:i/>
                <w:iCs/>
              </w:rPr>
              <w:t>Бета-блокери и диазоксид</w:t>
            </w:r>
          </w:p>
        </w:tc>
        <w:tc>
          <w:tcPr>
            <w:tcW w:w="4515" w:type="dxa"/>
          </w:tcPr>
          <w:p w14:paraId="7168E019" w14:textId="77777777" w:rsidR="0055380F" w:rsidRPr="0055380F" w:rsidRDefault="0055380F" w:rsidP="0055380F">
            <w:pPr>
              <w:rPr>
                <w:rFonts w:cs="Arial"/>
              </w:rPr>
            </w:pPr>
            <w:r w:rsidRPr="0055380F">
              <w:rPr>
                <w:rFonts w:cs="Arial"/>
              </w:rPr>
              <w:t>Едновременното приложение на тиазидни диуретици, включително</w:t>
            </w:r>
          </w:p>
          <w:p w14:paraId="241D918A" w14:textId="77777777" w:rsidR="0055380F" w:rsidRPr="0055380F" w:rsidRDefault="0055380F" w:rsidP="0055380F">
            <w:pPr>
              <w:rPr>
                <w:rFonts w:cs="Arial"/>
              </w:rPr>
            </w:pPr>
            <w:r w:rsidRPr="0055380F">
              <w:rPr>
                <w:rFonts w:cs="Arial"/>
              </w:rPr>
              <w:t>хидрохлоротиазид с бета-блокери може да повиши риска от хипергликемия.</w:t>
            </w:r>
          </w:p>
          <w:p w14:paraId="4C7A9F7A" w14:textId="77777777" w:rsidR="0055380F" w:rsidRPr="0055380F" w:rsidRDefault="0055380F" w:rsidP="0055380F">
            <w:pPr>
              <w:rPr>
                <w:rFonts w:cs="Arial"/>
                <w:u w:val="single"/>
              </w:rPr>
            </w:pPr>
          </w:p>
          <w:p w14:paraId="15DBA971" w14:textId="17C0A116"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Тиазидните диуретици, включително хидрохлоротиазид, могат да засилят хипергликемичния ефект на диазоксид.</w:t>
            </w:r>
          </w:p>
        </w:tc>
      </w:tr>
      <w:tr w:rsidR="0055380F" w14:paraId="285BE155" w14:textId="77777777" w:rsidTr="0055380F">
        <w:tc>
          <w:tcPr>
            <w:tcW w:w="2222" w:type="dxa"/>
            <w:vMerge/>
          </w:tcPr>
          <w:p w14:paraId="4719789F" w14:textId="77777777" w:rsidR="0055380F" w:rsidRDefault="0055380F" w:rsidP="0055380F">
            <w:pPr>
              <w:rPr>
                <w:u w:val="single"/>
              </w:rPr>
            </w:pPr>
          </w:p>
        </w:tc>
        <w:tc>
          <w:tcPr>
            <w:tcW w:w="2839" w:type="dxa"/>
          </w:tcPr>
          <w:p w14:paraId="37353BA3" w14:textId="5A230B16" w:rsidR="0055380F" w:rsidRDefault="0055380F" w:rsidP="0055380F">
            <w:pPr>
              <w:rPr>
                <w:u w:val="single"/>
              </w:rPr>
            </w:pPr>
            <w:r>
              <w:rPr>
                <w:i/>
                <w:iCs/>
              </w:rPr>
              <w:t>Циклоспорин</w:t>
            </w:r>
          </w:p>
        </w:tc>
        <w:tc>
          <w:tcPr>
            <w:tcW w:w="4515" w:type="dxa"/>
            <w:vAlign w:val="bottom"/>
          </w:tcPr>
          <w:p w14:paraId="103DA7D2" w14:textId="0D6D39BD" w:rsidR="0055380F" w:rsidRDefault="0055380F" w:rsidP="0055380F">
            <w:pPr>
              <w:rPr>
                <w:u w:val="single"/>
              </w:rPr>
            </w:pPr>
            <w:r>
              <w:t>Едновременното прилагане с циклоспорин може да повиши риска от хиперурикемия и усложнения на подаграта.</w:t>
            </w:r>
          </w:p>
        </w:tc>
      </w:tr>
      <w:tr w:rsidR="0055380F" w14:paraId="47CE1FBE" w14:textId="77777777" w:rsidTr="0055380F">
        <w:tc>
          <w:tcPr>
            <w:tcW w:w="2222" w:type="dxa"/>
            <w:vMerge/>
          </w:tcPr>
          <w:p w14:paraId="67E03CA3" w14:textId="77777777" w:rsidR="0055380F" w:rsidRDefault="0055380F" w:rsidP="0055380F">
            <w:pPr>
              <w:rPr>
                <w:u w:val="single"/>
              </w:rPr>
            </w:pPr>
          </w:p>
        </w:tc>
        <w:tc>
          <w:tcPr>
            <w:tcW w:w="2839" w:type="dxa"/>
          </w:tcPr>
          <w:p w14:paraId="2083335A" w14:textId="324CCCF8" w:rsidR="0055380F" w:rsidRDefault="0055380F" w:rsidP="0055380F">
            <w:pPr>
              <w:rPr>
                <w:u w:val="single"/>
              </w:rPr>
            </w:pPr>
            <w:r>
              <w:rPr>
                <w:i/>
                <w:iCs/>
              </w:rPr>
              <w:t>Цитотоксични средства</w:t>
            </w:r>
          </w:p>
        </w:tc>
        <w:tc>
          <w:tcPr>
            <w:tcW w:w="4515" w:type="dxa"/>
            <w:vAlign w:val="bottom"/>
          </w:tcPr>
          <w:p w14:paraId="6455BA04" w14:textId="4760209B" w:rsidR="0055380F" w:rsidRDefault="0055380F" w:rsidP="0055380F">
            <w:pPr>
              <w:rPr>
                <w:u w:val="single"/>
              </w:rPr>
            </w:pPr>
            <w:r>
              <w:t>Тиазидните диуретици,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55380F" w14:paraId="1E50C730" w14:textId="77777777" w:rsidTr="0055380F">
        <w:tc>
          <w:tcPr>
            <w:tcW w:w="2222" w:type="dxa"/>
            <w:vMerge/>
          </w:tcPr>
          <w:p w14:paraId="49A49244" w14:textId="77777777" w:rsidR="0055380F" w:rsidRDefault="0055380F" w:rsidP="0055380F">
            <w:pPr>
              <w:rPr>
                <w:u w:val="single"/>
              </w:rPr>
            </w:pPr>
          </w:p>
        </w:tc>
        <w:tc>
          <w:tcPr>
            <w:tcW w:w="2839" w:type="dxa"/>
          </w:tcPr>
          <w:p w14:paraId="498C172A" w14:textId="4DCFC455" w:rsidR="0055380F" w:rsidRDefault="0055380F" w:rsidP="0055380F">
            <w:pPr>
              <w:rPr>
                <w:u w:val="single"/>
              </w:rPr>
            </w:pPr>
            <w:r>
              <w:rPr>
                <w:i/>
                <w:iCs/>
              </w:rPr>
              <w:t>Дигиталисови гликозиди</w:t>
            </w:r>
          </w:p>
        </w:tc>
        <w:tc>
          <w:tcPr>
            <w:tcW w:w="4515" w:type="dxa"/>
            <w:vAlign w:val="bottom"/>
          </w:tcPr>
          <w:p w14:paraId="1E6185A5" w14:textId="36ABCB8B" w:rsidR="0055380F" w:rsidRDefault="0055380F" w:rsidP="0055380F">
            <w:pPr>
              <w:rPr>
                <w:u w:val="single"/>
              </w:rPr>
            </w:pPr>
            <w:r>
              <w:t>Тиазид-индуцирана хипокалиемия или хипомагнезиемия могат да се изявят като нежелани реакции, благоприятстващи появата на дигиталис- индуцирани сърдечни аритмии.</w:t>
            </w:r>
          </w:p>
        </w:tc>
      </w:tr>
      <w:tr w:rsidR="0055380F" w14:paraId="6F3F3F39" w14:textId="77777777" w:rsidTr="0055380F">
        <w:tc>
          <w:tcPr>
            <w:tcW w:w="2222" w:type="dxa"/>
            <w:vMerge/>
          </w:tcPr>
          <w:p w14:paraId="1BF6316A" w14:textId="77777777" w:rsidR="0055380F" w:rsidRDefault="0055380F" w:rsidP="0055380F">
            <w:pPr>
              <w:rPr>
                <w:u w:val="single"/>
              </w:rPr>
            </w:pPr>
          </w:p>
        </w:tc>
        <w:tc>
          <w:tcPr>
            <w:tcW w:w="2839" w:type="dxa"/>
          </w:tcPr>
          <w:p w14:paraId="4ED27318" w14:textId="77AC6517" w:rsidR="0055380F" w:rsidRDefault="0055380F" w:rsidP="0055380F">
            <w:pPr>
              <w:rPr>
                <w:u w:val="single"/>
              </w:rPr>
            </w:pPr>
            <w:r>
              <w:rPr>
                <w:i/>
                <w:iCs/>
              </w:rPr>
              <w:t>Йод-контрастни вещества</w:t>
            </w:r>
          </w:p>
        </w:tc>
        <w:tc>
          <w:tcPr>
            <w:tcW w:w="4515" w:type="dxa"/>
          </w:tcPr>
          <w:p w14:paraId="7A963369" w14:textId="2BAF1C24" w:rsidR="0055380F" w:rsidRDefault="0055380F" w:rsidP="0055380F">
            <w:pPr>
              <w:rPr>
                <w:u w:val="single"/>
              </w:rPr>
            </w:pPr>
            <w:r>
              <w:t>В случай на диуретик-индуцирана дехидратация има повишен риск от остра бъбречна недостатъчност, особено при високи дози на йодните продукти. Пациентите трябва да се рехидратират преди прилагането на йод- контрастни вещества.</w:t>
            </w:r>
          </w:p>
        </w:tc>
      </w:tr>
      <w:tr w:rsidR="0055380F" w14:paraId="586B3DF4" w14:textId="77777777" w:rsidTr="0055380F">
        <w:tc>
          <w:tcPr>
            <w:tcW w:w="2222" w:type="dxa"/>
            <w:vMerge/>
          </w:tcPr>
          <w:p w14:paraId="6869661D" w14:textId="77777777" w:rsidR="0055380F" w:rsidRDefault="0055380F" w:rsidP="0055380F">
            <w:pPr>
              <w:rPr>
                <w:u w:val="single"/>
              </w:rPr>
            </w:pPr>
          </w:p>
        </w:tc>
        <w:tc>
          <w:tcPr>
            <w:tcW w:w="2839" w:type="dxa"/>
          </w:tcPr>
          <w:p w14:paraId="2E7F62D8" w14:textId="77D7636C" w:rsidR="0055380F" w:rsidRDefault="0055380F" w:rsidP="0055380F">
            <w:pPr>
              <w:rPr>
                <w:u w:val="single"/>
              </w:rPr>
            </w:pPr>
            <w:r>
              <w:rPr>
                <w:i/>
                <w:iCs/>
              </w:rPr>
              <w:t>Йонообменни смоли</w:t>
            </w:r>
          </w:p>
        </w:tc>
        <w:tc>
          <w:tcPr>
            <w:tcW w:w="4515" w:type="dxa"/>
          </w:tcPr>
          <w:p w14:paraId="67FFB90E" w14:textId="1D0E17FA" w:rsidR="0055380F" w:rsidRDefault="0055380F" w:rsidP="0055380F">
            <w:pPr>
              <w:rPr>
                <w:u w:val="single"/>
              </w:rPr>
            </w:pPr>
            <w:r>
              <w:t xml:space="preserve">Абсорбцията на тиазидните диуретици, включително хидрохлоротиазид, се намалява от холестрирамин или колестипол. Това може да доведе до </w:t>
            </w:r>
            <w:r>
              <w:lastRenderedPageBreak/>
              <w:t>субтерапевтични ефекти на тиазидните диуретици. Прилагането на хидрохлоротиазид и на йонообменните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55380F" w14:paraId="35B798D2" w14:textId="77777777" w:rsidTr="0055380F">
        <w:tc>
          <w:tcPr>
            <w:tcW w:w="2222" w:type="dxa"/>
            <w:vMerge/>
          </w:tcPr>
          <w:p w14:paraId="25349AC0" w14:textId="77777777" w:rsidR="0055380F" w:rsidRDefault="0055380F" w:rsidP="0055380F">
            <w:pPr>
              <w:rPr>
                <w:u w:val="single"/>
              </w:rPr>
            </w:pPr>
          </w:p>
        </w:tc>
        <w:tc>
          <w:tcPr>
            <w:tcW w:w="2839" w:type="dxa"/>
          </w:tcPr>
          <w:p w14:paraId="6E217ACF" w14:textId="40BAA178" w:rsidR="0055380F" w:rsidRDefault="0055380F" w:rsidP="0055380F">
            <w:pPr>
              <w:rPr>
                <w:u w:val="single"/>
              </w:rPr>
            </w:pPr>
            <w:r>
              <w:rPr>
                <w:i/>
                <w:iCs/>
              </w:rPr>
              <w:t>Лекарствени продукти, повлияващи серумното ниво на калия</w:t>
            </w:r>
          </w:p>
        </w:tc>
        <w:tc>
          <w:tcPr>
            <w:tcW w:w="4515" w:type="dxa"/>
            <w:vAlign w:val="bottom"/>
          </w:tcPr>
          <w:p w14:paraId="52D155A7" w14:textId="77777777" w:rsidR="0055380F" w:rsidRDefault="0055380F" w:rsidP="0055380F">
            <w:r>
              <w:t xml:space="preserve">Хипокалиемичният ефект на хидрохлоротиазид може да се повиши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Pr>
                <w:lang w:val="en-US"/>
              </w:rPr>
              <w:t xml:space="preserve">G </w:t>
            </w:r>
            <w:r>
              <w:t>и производни на салициловата киселина или антиаритмици. Ако е необходимо предписването на тези лекарствени продукти едновременно с комбинацията амлодипин/валсартан/хидрохлоротиазид, се препоръчва мониториране на</w:t>
            </w:r>
          </w:p>
          <w:p w14:paraId="157146D8" w14:textId="43CFD86F" w:rsidR="0055380F" w:rsidRDefault="0055380F" w:rsidP="0055380F">
            <w:pPr>
              <w:rPr>
                <w:u w:val="single"/>
              </w:rPr>
            </w:pPr>
            <w:r>
              <w:t>плазмените нива на калия.</w:t>
            </w:r>
          </w:p>
        </w:tc>
      </w:tr>
      <w:tr w:rsidR="0055380F" w14:paraId="0F756FC7" w14:textId="77777777" w:rsidTr="0055380F">
        <w:tc>
          <w:tcPr>
            <w:tcW w:w="2222" w:type="dxa"/>
            <w:vMerge/>
          </w:tcPr>
          <w:p w14:paraId="5F6E8DA6" w14:textId="77777777" w:rsidR="0055380F" w:rsidRDefault="0055380F" w:rsidP="0055380F">
            <w:pPr>
              <w:rPr>
                <w:u w:val="single"/>
              </w:rPr>
            </w:pPr>
          </w:p>
        </w:tc>
        <w:tc>
          <w:tcPr>
            <w:tcW w:w="2839" w:type="dxa"/>
          </w:tcPr>
          <w:p w14:paraId="2F3CFF95" w14:textId="17AF0254" w:rsidR="0055380F" w:rsidRDefault="0055380F" w:rsidP="0055380F">
            <w:pPr>
              <w:rPr>
                <w:u w:val="single"/>
              </w:rPr>
            </w:pPr>
            <w:r>
              <w:rPr>
                <w:i/>
                <w:iCs/>
              </w:rPr>
              <w:t>Лекарствени продукти, повлияващи серумното ниво на натрия</w:t>
            </w:r>
          </w:p>
        </w:tc>
        <w:tc>
          <w:tcPr>
            <w:tcW w:w="4515" w:type="dxa"/>
            <w:vAlign w:val="bottom"/>
          </w:tcPr>
          <w:p w14:paraId="2FF9087D" w14:textId="77777777" w:rsidR="0055380F" w:rsidRDefault="0055380F" w:rsidP="0055380F">
            <w:r>
              <w:t>Хипонатриемичният ефект на диуретиците може да се усили при съвместно приложение с определени</w:t>
            </w:r>
          </w:p>
          <w:p w14:paraId="7FC7712F" w14:textId="77777777" w:rsidR="0055380F" w:rsidRDefault="0055380F" w:rsidP="0055380F">
            <w:r>
              <w:t>лекарствени продукти като</w:t>
            </w:r>
          </w:p>
          <w:p w14:paraId="5225CEA5" w14:textId="27BE2CE3" w:rsidR="0055380F" w:rsidRPr="0055380F" w:rsidRDefault="0055380F" w:rsidP="0055380F">
            <w:pPr>
              <w:rPr>
                <w:rFonts w:ascii="Times New Roman" w:eastAsia="Times New Roman" w:hAnsi="Times New Roman" w:cs="Times New Roman"/>
                <w:sz w:val="24"/>
                <w:szCs w:val="24"/>
                <w:lang w:eastAsia="bg-BG"/>
              </w:rPr>
            </w:pPr>
            <w:r>
              <w:t xml:space="preserve">антидепресанти, антипсихотици ангиепилептици и др. </w:t>
            </w:r>
            <w:r w:rsidRPr="0055380F">
              <w:rPr>
                <w:rFonts w:cs="Arial"/>
              </w:rPr>
              <w:t>Необходимо е</w:t>
            </w:r>
            <w:r w:rsidRPr="0055380F">
              <w:rPr>
                <w:rFonts w:cs="Arial"/>
                <w:lang w:val="en-US"/>
              </w:rPr>
              <w:t xml:space="preserve"> </w:t>
            </w:r>
            <w:r w:rsidRPr="0055380F">
              <w:rPr>
                <w:rFonts w:eastAsia="Times New Roman" w:cs="Arial"/>
                <w:color w:val="000000"/>
                <w:lang w:eastAsia="bg-BG"/>
              </w:rPr>
              <w:t>повишено внимание при продължително приложение на тези лекарствени продукти.</w:t>
            </w:r>
          </w:p>
        </w:tc>
      </w:tr>
      <w:tr w:rsidR="0055380F" w14:paraId="6C02707F" w14:textId="77777777" w:rsidTr="009A53B8">
        <w:tc>
          <w:tcPr>
            <w:tcW w:w="2222" w:type="dxa"/>
            <w:vMerge/>
          </w:tcPr>
          <w:p w14:paraId="274DE4FC" w14:textId="77777777" w:rsidR="0055380F" w:rsidRDefault="0055380F" w:rsidP="0055380F">
            <w:pPr>
              <w:rPr>
                <w:u w:val="single"/>
              </w:rPr>
            </w:pPr>
          </w:p>
        </w:tc>
        <w:tc>
          <w:tcPr>
            <w:tcW w:w="2839" w:type="dxa"/>
          </w:tcPr>
          <w:p w14:paraId="72565A28" w14:textId="10D4E3D4" w:rsidR="0055380F" w:rsidRDefault="0055380F" w:rsidP="0055380F">
            <w:pPr>
              <w:rPr>
                <w:u w:val="single"/>
              </w:rPr>
            </w:pPr>
            <w:r>
              <w:rPr>
                <w:i/>
                <w:iCs/>
              </w:rPr>
              <w:t xml:space="preserve">Лекарствени продукти, които биха могли да индуцират </w:t>
            </w:r>
            <w:proofErr w:type="spellStart"/>
            <w:r>
              <w:rPr>
                <w:i/>
                <w:iCs/>
                <w:lang w:val="en-US"/>
              </w:rPr>
              <w:t>torsades</w:t>
            </w:r>
            <w:proofErr w:type="spellEnd"/>
            <w:r>
              <w:rPr>
                <w:i/>
                <w:iCs/>
                <w:lang w:val="en-US"/>
              </w:rPr>
              <w:t xml:space="preserve"> de pointes</w:t>
            </w:r>
          </w:p>
        </w:tc>
        <w:tc>
          <w:tcPr>
            <w:tcW w:w="4515" w:type="dxa"/>
            <w:vAlign w:val="bottom"/>
          </w:tcPr>
          <w:p w14:paraId="75CD9CBA" w14:textId="52350179" w:rsidR="0055380F" w:rsidRDefault="0055380F" w:rsidP="0055380F">
            <w:pPr>
              <w:rPr>
                <w:u w:val="single"/>
              </w:rPr>
            </w:pPr>
            <w:r>
              <w:t xml:space="preserve">Поради риска от хипокалиемия, хидрохлоротиазид трябва да се прилага с повишено внимание, когато е свързан с лекарствени продукти, които биха могли да индуцират </w:t>
            </w:r>
            <w:proofErr w:type="spellStart"/>
            <w:r>
              <w:rPr>
                <w:i/>
                <w:iCs/>
                <w:lang w:val="en-US"/>
              </w:rPr>
              <w:t>torsades</w:t>
            </w:r>
            <w:proofErr w:type="spellEnd"/>
            <w:r>
              <w:rPr>
                <w:i/>
                <w:iCs/>
                <w:lang w:val="en-US"/>
              </w:rPr>
              <w:t xml:space="preserve"> de pointes,</w:t>
            </w:r>
            <w:r>
              <w:rPr>
                <w:lang w:val="en-US"/>
              </w:rPr>
              <w:t xml:space="preserve"> </w:t>
            </w:r>
            <w:r>
              <w:t xml:space="preserve">особено антиаритмици клас </w:t>
            </w:r>
            <w:r>
              <w:rPr>
                <w:lang w:val="en-US"/>
              </w:rPr>
              <w:t>I</w:t>
            </w:r>
            <w:r>
              <w:t>а и клас III и някои антипсихотици.</w:t>
            </w:r>
          </w:p>
        </w:tc>
      </w:tr>
      <w:tr w:rsidR="0055380F" w14:paraId="45459520" w14:textId="77777777" w:rsidTr="009A53B8">
        <w:tc>
          <w:tcPr>
            <w:tcW w:w="2222" w:type="dxa"/>
            <w:vMerge/>
          </w:tcPr>
          <w:p w14:paraId="34A2ABC1" w14:textId="77777777" w:rsidR="0055380F" w:rsidRDefault="0055380F" w:rsidP="0055380F">
            <w:pPr>
              <w:rPr>
                <w:u w:val="single"/>
              </w:rPr>
            </w:pPr>
          </w:p>
        </w:tc>
        <w:tc>
          <w:tcPr>
            <w:tcW w:w="2839" w:type="dxa"/>
          </w:tcPr>
          <w:p w14:paraId="5FA3C914" w14:textId="56866768" w:rsidR="0055380F" w:rsidRDefault="0055380F" w:rsidP="0055380F">
            <w:pPr>
              <w:rPr>
                <w:u w:val="single"/>
              </w:rPr>
            </w:pPr>
            <w:r>
              <w:rPr>
                <w:i/>
                <w:iCs/>
              </w:rPr>
              <w:t>Лекарствени продукти, прилагани за лечение на подагра</w:t>
            </w:r>
            <w:r>
              <w:t xml:space="preserve"> (пробенецид, сулфинпиразон и алопуринол)</w:t>
            </w:r>
          </w:p>
        </w:tc>
        <w:tc>
          <w:tcPr>
            <w:tcW w:w="4515" w:type="dxa"/>
            <w:vAlign w:val="bottom"/>
          </w:tcPr>
          <w:p w14:paraId="7D39E28F" w14:textId="77777777" w:rsidR="0055380F" w:rsidRDefault="0055380F" w:rsidP="0055380F">
            <w:r>
              <w:t>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да е необходимо да се повиши дозата на пробенецид и сулфинпиразон.</w:t>
            </w:r>
          </w:p>
          <w:p w14:paraId="2965E66C" w14:textId="30B589BA" w:rsidR="0055380F" w:rsidRDefault="0055380F" w:rsidP="0055380F">
            <w:pPr>
              <w:rPr>
                <w:u w:val="single"/>
              </w:rPr>
            </w:pPr>
            <w:r>
              <w:t xml:space="preserve">Едновременното прилагане на тиазидни диуретици, включително </w:t>
            </w:r>
            <w:r>
              <w:lastRenderedPageBreak/>
              <w:t>хидрохлоротиазид, може да повиши честотата на реакциите на свръхчувствителност спрямо алопуринол.</w:t>
            </w:r>
          </w:p>
        </w:tc>
      </w:tr>
      <w:tr w:rsidR="0055380F" w14:paraId="35776AC4" w14:textId="77777777" w:rsidTr="009A53B8">
        <w:tc>
          <w:tcPr>
            <w:tcW w:w="2222" w:type="dxa"/>
            <w:vMerge/>
          </w:tcPr>
          <w:p w14:paraId="1976C8F0" w14:textId="77777777" w:rsidR="0055380F" w:rsidRDefault="0055380F" w:rsidP="0055380F">
            <w:pPr>
              <w:rPr>
                <w:u w:val="single"/>
              </w:rPr>
            </w:pPr>
          </w:p>
        </w:tc>
        <w:tc>
          <w:tcPr>
            <w:tcW w:w="2839" w:type="dxa"/>
          </w:tcPr>
          <w:p w14:paraId="7D0770A2" w14:textId="3F716F20" w:rsidR="0055380F" w:rsidRDefault="0055380F" w:rsidP="0055380F">
            <w:pPr>
              <w:rPr>
                <w:u w:val="single"/>
              </w:rPr>
            </w:pPr>
            <w:r>
              <w:rPr>
                <w:i/>
                <w:iCs/>
              </w:rPr>
              <w:t>Метилдопа</w:t>
            </w:r>
          </w:p>
        </w:tc>
        <w:tc>
          <w:tcPr>
            <w:tcW w:w="4515" w:type="dxa"/>
            <w:vAlign w:val="bottom"/>
          </w:tcPr>
          <w:p w14:paraId="2178E1B4" w14:textId="7DC0EE32" w:rsidR="0055380F" w:rsidRDefault="0055380F" w:rsidP="0055380F">
            <w:pPr>
              <w:rPr>
                <w:u w:val="single"/>
              </w:rPr>
            </w:pPr>
            <w:r>
              <w:t>Има отделни съобщения за случаи на хемолитична анемия, възникнала при едновременно прилагане на хидрохлоротиазид и метилдопа.</w:t>
            </w:r>
          </w:p>
        </w:tc>
      </w:tr>
      <w:tr w:rsidR="0055380F" w14:paraId="1CB4275F" w14:textId="77777777" w:rsidTr="009A53B8">
        <w:tc>
          <w:tcPr>
            <w:tcW w:w="2222" w:type="dxa"/>
            <w:vMerge/>
          </w:tcPr>
          <w:p w14:paraId="4147B9C5" w14:textId="77777777" w:rsidR="0055380F" w:rsidRDefault="0055380F" w:rsidP="0055380F">
            <w:pPr>
              <w:rPr>
                <w:u w:val="single"/>
              </w:rPr>
            </w:pPr>
          </w:p>
        </w:tc>
        <w:tc>
          <w:tcPr>
            <w:tcW w:w="2839" w:type="dxa"/>
            <w:vAlign w:val="bottom"/>
          </w:tcPr>
          <w:p w14:paraId="77AE88DD" w14:textId="6D7EF09E" w:rsidR="0055380F" w:rsidRDefault="0055380F" w:rsidP="0055380F">
            <w:pPr>
              <w:rPr>
                <w:u w:val="single"/>
              </w:rPr>
            </w:pPr>
            <w:r>
              <w:rPr>
                <w:i/>
                <w:iCs/>
              </w:rPr>
              <w:t xml:space="preserve">Недеполяризиращи скелетно-мускулни релаксанти </w:t>
            </w:r>
            <w:r>
              <w:t>(напр .тубокурарин)</w:t>
            </w:r>
          </w:p>
        </w:tc>
        <w:tc>
          <w:tcPr>
            <w:tcW w:w="4515" w:type="dxa"/>
          </w:tcPr>
          <w:p w14:paraId="7DC57F5E" w14:textId="39E1D25D" w:rsidR="0055380F" w:rsidRDefault="0055380F" w:rsidP="0055380F">
            <w:pPr>
              <w:rPr>
                <w:u w:val="single"/>
              </w:rPr>
            </w:pPr>
            <w:r>
              <w:t>Тиазидите, включително хидрохлоротиазид, потенцират действието на производните на кураре.</w:t>
            </w:r>
          </w:p>
        </w:tc>
      </w:tr>
      <w:tr w:rsidR="0055380F" w14:paraId="274CBED2" w14:textId="77777777" w:rsidTr="009A53B8">
        <w:tc>
          <w:tcPr>
            <w:tcW w:w="2222" w:type="dxa"/>
            <w:vMerge/>
          </w:tcPr>
          <w:p w14:paraId="4657227B" w14:textId="77777777" w:rsidR="0055380F" w:rsidRDefault="0055380F" w:rsidP="0055380F">
            <w:pPr>
              <w:rPr>
                <w:u w:val="single"/>
              </w:rPr>
            </w:pPr>
          </w:p>
        </w:tc>
        <w:tc>
          <w:tcPr>
            <w:tcW w:w="2839" w:type="dxa"/>
          </w:tcPr>
          <w:p w14:paraId="17D2A0A7" w14:textId="27500218" w:rsidR="0055380F" w:rsidRDefault="0055380F" w:rsidP="0055380F">
            <w:pPr>
              <w:rPr>
                <w:u w:val="single"/>
              </w:rPr>
            </w:pPr>
            <w:r>
              <w:rPr>
                <w:i/>
                <w:iCs/>
              </w:rPr>
              <w:t>Други антихипертензивни лекарствени продукти</w:t>
            </w:r>
          </w:p>
        </w:tc>
        <w:tc>
          <w:tcPr>
            <w:tcW w:w="4515" w:type="dxa"/>
            <w:vAlign w:val="bottom"/>
          </w:tcPr>
          <w:p w14:paraId="0669E397" w14:textId="436D110F" w:rsidR="0055380F" w:rsidRDefault="0055380F" w:rsidP="0055380F">
            <w:pPr>
              <w:rPr>
                <w:u w:val="single"/>
              </w:rPr>
            </w:pPr>
            <w:r>
              <w:t>Тиазидите потенцират антихипертензивното действие на другите антихипертензивни лекарства (напр. гванетидин, метилдопа, бета блокери, вазодилататори, блокери на калциевите канали, АСЕ инхибитори, АРБ и Директни Ренинови Инхибитори [ДРИ]).</w:t>
            </w:r>
          </w:p>
        </w:tc>
      </w:tr>
      <w:tr w:rsidR="0055380F" w14:paraId="56090378" w14:textId="77777777" w:rsidTr="009A53B8">
        <w:tc>
          <w:tcPr>
            <w:tcW w:w="2222" w:type="dxa"/>
            <w:vMerge/>
          </w:tcPr>
          <w:p w14:paraId="46414326" w14:textId="77777777" w:rsidR="0055380F" w:rsidRDefault="0055380F" w:rsidP="0055380F">
            <w:pPr>
              <w:rPr>
                <w:u w:val="single"/>
              </w:rPr>
            </w:pPr>
          </w:p>
        </w:tc>
        <w:tc>
          <w:tcPr>
            <w:tcW w:w="2839" w:type="dxa"/>
          </w:tcPr>
          <w:p w14:paraId="50B9DFDF" w14:textId="4A344B15" w:rsidR="0055380F" w:rsidRDefault="0055380F" w:rsidP="0055380F">
            <w:pPr>
              <w:rPr>
                <w:u w:val="single"/>
              </w:rPr>
            </w:pPr>
            <w:r>
              <w:rPr>
                <w:i/>
                <w:iCs/>
              </w:rPr>
              <w:t>Пресорни амини</w:t>
            </w:r>
            <w:r>
              <w:t xml:space="preserve"> (напр. норадреналин, адреналин)</w:t>
            </w:r>
          </w:p>
        </w:tc>
        <w:tc>
          <w:tcPr>
            <w:tcW w:w="4515" w:type="dxa"/>
            <w:vAlign w:val="bottom"/>
          </w:tcPr>
          <w:p w14:paraId="05CE4A67" w14:textId="53314E47" w:rsidR="0055380F" w:rsidRDefault="0055380F" w:rsidP="0055380F">
            <w:pPr>
              <w:rPr>
                <w:u w:val="single"/>
              </w:rPr>
            </w:pPr>
            <w:r>
              <w:t>Хидрохлоротиазид може да намали отговора към пресорни амини като норадреналин. Клиничната значимост на този ефект е неопределена и не е достатъчна за прекратяване на тяхната употреба.</w:t>
            </w:r>
          </w:p>
        </w:tc>
      </w:tr>
      <w:tr w:rsidR="0055380F" w14:paraId="07D974B9" w14:textId="77777777" w:rsidTr="009A53B8">
        <w:tc>
          <w:tcPr>
            <w:tcW w:w="2222" w:type="dxa"/>
            <w:vMerge/>
          </w:tcPr>
          <w:p w14:paraId="32D6F952" w14:textId="77777777" w:rsidR="0055380F" w:rsidRDefault="0055380F" w:rsidP="0055380F">
            <w:pPr>
              <w:rPr>
                <w:u w:val="single"/>
              </w:rPr>
            </w:pPr>
          </w:p>
        </w:tc>
        <w:tc>
          <w:tcPr>
            <w:tcW w:w="2839" w:type="dxa"/>
          </w:tcPr>
          <w:p w14:paraId="7C2799C0" w14:textId="2594D7FB" w:rsidR="0055380F" w:rsidRDefault="0055380F" w:rsidP="0055380F">
            <w:pPr>
              <w:rPr>
                <w:u w:val="single"/>
              </w:rPr>
            </w:pPr>
            <w:r>
              <w:rPr>
                <w:i/>
                <w:iCs/>
              </w:rPr>
              <w:t xml:space="preserve">Витамин </w:t>
            </w:r>
            <w:r>
              <w:rPr>
                <w:i/>
                <w:iCs/>
                <w:lang w:val="en-US"/>
              </w:rPr>
              <w:t xml:space="preserve">D </w:t>
            </w:r>
            <w:r>
              <w:rPr>
                <w:i/>
                <w:iCs/>
              </w:rPr>
              <w:t>и калциеви соли</w:t>
            </w:r>
          </w:p>
        </w:tc>
        <w:tc>
          <w:tcPr>
            <w:tcW w:w="4515" w:type="dxa"/>
            <w:vAlign w:val="bottom"/>
          </w:tcPr>
          <w:p w14:paraId="16424839" w14:textId="5A2E7805" w:rsidR="0055380F" w:rsidRDefault="0055380F" w:rsidP="0055380F">
            <w:pPr>
              <w:rPr>
                <w:u w:val="single"/>
              </w:rPr>
            </w:pPr>
            <w:r>
              <w:t xml:space="preserve">Прилагането на тиазидни диуретици, включително хидрохлоротиазид, с витамин </w:t>
            </w:r>
            <w:r>
              <w:rPr>
                <w:lang w:val="en-US"/>
              </w:rPr>
              <w:t xml:space="preserve">D </w:t>
            </w:r>
            <w:r>
              <w:t xml:space="preserve">или с калциеви соли може да потенцира покачването на серумния калций. При пациенти предразположени към хиперкалциемия (напр. с хиперпаратиреоидизъм, злокачествени заболявания или витамин </w:t>
            </w:r>
            <w:r>
              <w:rPr>
                <w:lang w:val="en-US"/>
              </w:rPr>
              <w:t>D-</w:t>
            </w:r>
            <w:r>
              <w:t>медиирани състояния) едновременното приложение с тиазидни диуретици може да доведе до хиперкалциемия посредством повишаване на тубулната калциева реабсорбция.</w:t>
            </w:r>
          </w:p>
        </w:tc>
      </w:tr>
    </w:tbl>
    <w:p w14:paraId="6890E2BE" w14:textId="312CDC07" w:rsidR="00B133D5" w:rsidRDefault="00B133D5" w:rsidP="00B133D5">
      <w:pPr>
        <w:rPr>
          <w:u w:val="single"/>
        </w:rPr>
      </w:pPr>
    </w:p>
    <w:p w14:paraId="7B905CF4"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Двойно блокиране на РААС с АРБ, АСЕ инхибитори или алискирен</w:t>
      </w:r>
    </w:p>
    <w:p w14:paraId="2101B53D" w14:textId="2A614F1A" w:rsidR="0055380F" w:rsidRDefault="0055380F" w:rsidP="0055380F">
      <w:pPr>
        <w:spacing w:line="240" w:lineRule="auto"/>
        <w:rPr>
          <w:rFonts w:eastAsia="Times New Roman" w:cs="Arial"/>
          <w:color w:val="000000"/>
          <w:lang w:eastAsia="bg-BG"/>
        </w:rPr>
      </w:pPr>
      <w:r w:rsidRPr="0055380F">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56095173" w14:textId="77777777" w:rsidR="0055380F" w:rsidRPr="0055380F" w:rsidRDefault="0055380F" w:rsidP="0055380F">
      <w:pPr>
        <w:spacing w:line="240" w:lineRule="auto"/>
        <w:rPr>
          <w:rFonts w:eastAsia="Times New Roman" w:cs="Arial"/>
          <w:sz w:val="24"/>
          <w:szCs w:val="24"/>
          <w:lang w:eastAsia="bg-BG"/>
        </w:rPr>
      </w:pPr>
    </w:p>
    <w:p w14:paraId="15A75A66" w14:textId="3E8691E7" w:rsidR="00A71DCF" w:rsidRDefault="002C50EE" w:rsidP="00A93499">
      <w:pPr>
        <w:pStyle w:val="Heading2"/>
      </w:pPr>
      <w:r>
        <w:lastRenderedPageBreak/>
        <w:t>4.6. Фертилитет, бременност и кърмене</w:t>
      </w:r>
    </w:p>
    <w:p w14:paraId="4B981EB0" w14:textId="25DE22A0" w:rsidR="0055380F" w:rsidRDefault="0055380F" w:rsidP="0055380F"/>
    <w:p w14:paraId="1944AF00" w14:textId="77777777" w:rsidR="0055380F" w:rsidRPr="0055380F" w:rsidRDefault="0055380F" w:rsidP="0055380F">
      <w:pPr>
        <w:pStyle w:val="Heading3"/>
        <w:rPr>
          <w:rFonts w:eastAsia="Times New Roman"/>
          <w:u w:val="single"/>
          <w:lang w:eastAsia="bg-BG"/>
        </w:rPr>
      </w:pPr>
      <w:r w:rsidRPr="0055380F">
        <w:rPr>
          <w:rFonts w:eastAsia="Times New Roman"/>
          <w:u w:val="single"/>
          <w:lang w:eastAsia="bg-BG"/>
        </w:rPr>
        <w:t>Бременност</w:t>
      </w:r>
    </w:p>
    <w:p w14:paraId="7AFA5C80"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Амлодипин</w:t>
      </w:r>
    </w:p>
    <w:p w14:paraId="71BBA1F8"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Безопасността на амлодипин по време на бременност при хора не е установена. В проучвания върху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заболяването само по себе си носи по-голям риск за майката и плода.</w:t>
      </w:r>
    </w:p>
    <w:p w14:paraId="0BA510FE" w14:textId="77777777" w:rsidR="0055380F" w:rsidRPr="0055380F" w:rsidRDefault="0055380F" w:rsidP="0055380F">
      <w:pPr>
        <w:rPr>
          <w:rFonts w:eastAsia="Times New Roman" w:cs="Arial"/>
          <w:i/>
          <w:iCs/>
          <w:color w:val="000000"/>
          <w:u w:val="single"/>
          <w:lang w:eastAsia="bg-BG"/>
        </w:rPr>
      </w:pPr>
    </w:p>
    <w:p w14:paraId="55E3220D" w14:textId="568986C9" w:rsidR="0055380F" w:rsidRPr="0055380F" w:rsidRDefault="0055380F" w:rsidP="0055380F">
      <w:pPr>
        <w:rPr>
          <w:rFonts w:eastAsia="Times New Roman" w:cs="Arial"/>
          <w:i/>
          <w:iCs/>
          <w:color w:val="000000"/>
          <w:u w:val="single"/>
          <w:lang w:eastAsia="bg-BG"/>
        </w:rPr>
      </w:pPr>
      <w:r w:rsidRPr="0055380F">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55380F" w:rsidRPr="0055380F" w14:paraId="021E646A" w14:textId="77777777" w:rsidTr="0055380F">
        <w:tc>
          <w:tcPr>
            <w:tcW w:w="9500" w:type="dxa"/>
          </w:tcPr>
          <w:p w14:paraId="6E85125D" w14:textId="57FF0599"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Употребата на ангиотензин II рецепторни блокери (А</w:t>
            </w:r>
            <w:r w:rsidRPr="0055380F">
              <w:rPr>
                <w:rFonts w:eastAsia="Times New Roman" w:cs="Arial"/>
                <w:color w:val="000000"/>
                <w:lang w:val="en-US"/>
              </w:rPr>
              <w:t>II</w:t>
            </w:r>
            <w:r w:rsidRPr="0055380F">
              <w:rPr>
                <w:rFonts w:eastAsia="Times New Roman" w:cs="Arial"/>
                <w:color w:val="000000"/>
                <w:lang w:eastAsia="bg-BG"/>
              </w:rPr>
              <w:t>РБ) не се препоръчва по време на първия триместър на бременността (вж. точка 4.4). Употребата на А</w:t>
            </w:r>
            <w:r w:rsidRPr="0055380F">
              <w:rPr>
                <w:rFonts w:eastAsia="Times New Roman" w:cs="Arial"/>
                <w:color w:val="000000"/>
                <w:lang w:val="en-US"/>
              </w:rPr>
              <w:t>II</w:t>
            </w:r>
            <w:r w:rsidRPr="0055380F">
              <w:rPr>
                <w:rFonts w:eastAsia="Times New Roman" w:cs="Arial"/>
                <w:color w:val="000000"/>
                <w:lang w:eastAsia="bg-BG"/>
              </w:rPr>
              <w:t>РБ е противопоказана по време на втория и третия триместьр от бременността (вж. точки 4.3 и 4</w:t>
            </w:r>
            <w:r w:rsidRPr="0055380F">
              <w:rPr>
                <w:rFonts w:eastAsia="Times New Roman" w:cs="Arial"/>
                <w:color w:val="000000"/>
                <w:lang w:val="en-US" w:eastAsia="bg-BG"/>
              </w:rPr>
              <w:t>.</w:t>
            </w:r>
            <w:r w:rsidRPr="0055380F">
              <w:rPr>
                <w:rFonts w:eastAsia="Times New Roman" w:cs="Arial"/>
                <w:color w:val="000000"/>
                <w:lang w:eastAsia="bg-BG"/>
              </w:rPr>
              <w:t>4).</w:t>
            </w:r>
          </w:p>
        </w:tc>
      </w:tr>
    </w:tbl>
    <w:p w14:paraId="7504B4CB" w14:textId="7C2969EA" w:rsidR="0055380F" w:rsidRPr="0055380F" w:rsidRDefault="0055380F" w:rsidP="0055380F">
      <w:pPr>
        <w:rPr>
          <w:rFonts w:cs="Arial"/>
        </w:rPr>
      </w:pPr>
    </w:p>
    <w:p w14:paraId="0954E039"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от бременността не водят до окончателни заключения. Все пак, леко повишение на риска не може да се изключи. Въпреки че няма данни от контролирани епидемиологични проучвания за риска при ангиотензин II рецепторните блокери (А</w:t>
      </w:r>
      <w:r w:rsidRPr="0055380F">
        <w:rPr>
          <w:rFonts w:eastAsia="Times New Roman" w:cs="Arial"/>
          <w:color w:val="000000"/>
          <w:lang w:val="en-US"/>
        </w:rPr>
        <w:t>II</w:t>
      </w:r>
      <w:r w:rsidRPr="0055380F">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55380F">
        <w:rPr>
          <w:rFonts w:eastAsia="Times New Roman" w:cs="Arial"/>
          <w:color w:val="000000"/>
          <w:lang w:val="en-US"/>
        </w:rPr>
        <w:t>II</w:t>
      </w:r>
      <w:r w:rsidRPr="0055380F">
        <w:rPr>
          <w:rFonts w:eastAsia="Times New Roman" w:cs="Arial"/>
          <w:color w:val="000000"/>
          <w:lang w:eastAsia="bg-BG"/>
        </w:rPr>
        <w:t>РБ терапията се сметне за жизнено важно, пациентки с планирана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w:t>
      </w:r>
      <w:r w:rsidRPr="0055380F">
        <w:rPr>
          <w:rFonts w:eastAsia="Times New Roman" w:cs="Arial"/>
          <w:color w:val="000000"/>
          <w:lang w:val="en-US"/>
        </w:rPr>
        <w:t>II</w:t>
      </w:r>
      <w:r w:rsidRPr="0055380F">
        <w:rPr>
          <w:rFonts w:eastAsia="Times New Roman" w:cs="Arial"/>
          <w:color w:val="000000"/>
          <w:lang w:eastAsia="bg-BG"/>
        </w:rPr>
        <w:t>РБ трябва да се преустанови незабавно и ако е уместно, да се започне алтернативна терапия.</w:t>
      </w:r>
    </w:p>
    <w:p w14:paraId="1DE2B923" w14:textId="77777777" w:rsidR="0055380F" w:rsidRPr="0055380F" w:rsidRDefault="0055380F" w:rsidP="0055380F">
      <w:pPr>
        <w:spacing w:line="240" w:lineRule="auto"/>
        <w:rPr>
          <w:rFonts w:eastAsia="Times New Roman" w:cs="Arial"/>
          <w:color w:val="000000"/>
          <w:lang w:eastAsia="bg-BG"/>
        </w:rPr>
      </w:pPr>
    </w:p>
    <w:p w14:paraId="182AA621" w14:textId="73ABB8F0"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Експозицията на А</w:t>
      </w:r>
      <w:r w:rsidRPr="0055380F">
        <w:rPr>
          <w:rFonts w:eastAsia="Times New Roman" w:cs="Arial"/>
          <w:color w:val="000000"/>
          <w:lang w:val="en-US"/>
        </w:rPr>
        <w:t>II</w:t>
      </w:r>
      <w:r w:rsidRPr="0055380F">
        <w:rPr>
          <w:rFonts w:eastAsia="Times New Roman" w:cs="Arial"/>
          <w:color w:val="000000"/>
          <w:lang w:eastAsia="bg-BG"/>
        </w:rPr>
        <w:t>РБ по време на втория и третия триместьр на бременността при хора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FF71C9A" w14:textId="77777777" w:rsidR="0055380F" w:rsidRPr="0055380F" w:rsidRDefault="0055380F" w:rsidP="0055380F">
      <w:pPr>
        <w:spacing w:line="240" w:lineRule="auto"/>
        <w:rPr>
          <w:rFonts w:eastAsia="Times New Roman" w:cs="Arial"/>
          <w:color w:val="000000"/>
          <w:lang w:eastAsia="bg-BG"/>
        </w:rPr>
      </w:pPr>
    </w:p>
    <w:p w14:paraId="3733F50A" w14:textId="1DE54790"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В случай че се установи експозиция на А</w:t>
      </w:r>
      <w:r w:rsidRPr="0055380F">
        <w:rPr>
          <w:rFonts w:eastAsia="Times New Roman" w:cs="Arial"/>
          <w:color w:val="000000"/>
          <w:lang w:val="en-US"/>
        </w:rPr>
        <w:t>II</w:t>
      </w:r>
      <w:r w:rsidRPr="0055380F">
        <w:rPr>
          <w:rFonts w:eastAsia="Times New Roman" w:cs="Arial"/>
          <w:color w:val="000000"/>
          <w:lang w:eastAsia="bg-BG"/>
        </w:rPr>
        <w:t>РБ от втория триместьр на бременността, се препоръчва проверка на бъбречната функция и черепа на плода чрез ултразвук.</w:t>
      </w:r>
    </w:p>
    <w:p w14:paraId="1C6F9F3B" w14:textId="77777777" w:rsidR="0055380F" w:rsidRPr="0055380F" w:rsidRDefault="0055380F" w:rsidP="0055380F">
      <w:pPr>
        <w:spacing w:line="240" w:lineRule="auto"/>
        <w:rPr>
          <w:rFonts w:eastAsia="Times New Roman" w:cs="Arial"/>
          <w:color w:val="000000"/>
          <w:lang w:eastAsia="bg-BG"/>
        </w:rPr>
      </w:pPr>
    </w:p>
    <w:p w14:paraId="5F4C4B2F" w14:textId="4611301D"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Новородени, чиито майки са приемали А</w:t>
      </w:r>
      <w:r w:rsidRPr="0055380F">
        <w:rPr>
          <w:rFonts w:eastAsia="Times New Roman" w:cs="Arial"/>
          <w:color w:val="000000"/>
          <w:lang w:val="en-US"/>
        </w:rPr>
        <w:t>II</w:t>
      </w:r>
      <w:r w:rsidRPr="0055380F">
        <w:rPr>
          <w:rFonts w:eastAsia="Times New Roman" w:cs="Arial"/>
          <w:color w:val="000000"/>
          <w:lang w:eastAsia="bg-BG"/>
        </w:rPr>
        <w:t>РБ, трябва внимателно да бъдат наблюдавани за хипотония (вж. точки 4.3 и 4.4).</w:t>
      </w:r>
    </w:p>
    <w:p w14:paraId="026E8AD8" w14:textId="77777777" w:rsidR="0055380F" w:rsidRPr="0055380F" w:rsidRDefault="0055380F" w:rsidP="0055380F">
      <w:pPr>
        <w:spacing w:line="240" w:lineRule="auto"/>
        <w:rPr>
          <w:rFonts w:eastAsia="Times New Roman" w:cs="Arial"/>
          <w:i/>
          <w:iCs/>
          <w:color w:val="000000"/>
          <w:u w:val="single"/>
          <w:lang w:eastAsia="bg-BG"/>
        </w:rPr>
      </w:pPr>
    </w:p>
    <w:p w14:paraId="0CED4004" w14:textId="013C53FC"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Хидрохлоротиазид</w:t>
      </w:r>
    </w:p>
    <w:p w14:paraId="04BD8930"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триместьр. Проучванията при животни са недостатъчни.</w:t>
      </w:r>
    </w:p>
    <w:p w14:paraId="27693513" w14:textId="77777777" w:rsidR="0055380F" w:rsidRPr="0055380F" w:rsidRDefault="0055380F" w:rsidP="0055380F">
      <w:pPr>
        <w:spacing w:line="240" w:lineRule="auto"/>
        <w:rPr>
          <w:rFonts w:eastAsia="Times New Roman" w:cs="Arial"/>
          <w:color w:val="000000"/>
          <w:lang w:eastAsia="bg-BG"/>
        </w:rPr>
      </w:pPr>
    </w:p>
    <w:p w14:paraId="76449E99" w14:textId="65D13EF5"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триместьр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5BF64C5B" w14:textId="77777777" w:rsidR="0055380F" w:rsidRPr="0055380F" w:rsidRDefault="0055380F" w:rsidP="0055380F">
      <w:pPr>
        <w:spacing w:line="240" w:lineRule="auto"/>
        <w:rPr>
          <w:rFonts w:eastAsia="Times New Roman" w:cs="Arial"/>
          <w:i/>
          <w:iCs/>
          <w:color w:val="000000"/>
          <w:u w:val="single"/>
          <w:lang w:eastAsia="bg-BG"/>
        </w:rPr>
      </w:pPr>
    </w:p>
    <w:p w14:paraId="41853B35" w14:textId="14961026"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Амлодипин/валсартан/хидрохлоротиазид</w:t>
      </w:r>
    </w:p>
    <w:p w14:paraId="2F3D4230" w14:textId="0A25F2FF"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lastRenderedPageBreak/>
        <w:t>Липсва опит от употребата на Валтензам Комп при бременни жени. Въз</w:t>
      </w:r>
      <w:r w:rsidRPr="0055380F">
        <w:rPr>
          <w:rFonts w:eastAsia="Times New Roman" w:cs="Arial"/>
          <w:color w:val="000000"/>
          <w:lang w:val="en-US"/>
        </w:rPr>
        <w:t xml:space="preserve"> </w:t>
      </w:r>
      <w:r w:rsidRPr="0055380F">
        <w:rPr>
          <w:rFonts w:eastAsia="Times New Roman" w:cs="Arial"/>
          <w:color w:val="000000"/>
          <w:lang w:eastAsia="bg-BG"/>
        </w:rPr>
        <w:t>основа на съществуващите данни от проучвания с отделните компоненти, употребата на Валтензам Комп не се препоръчва през първия триместьр от бременността и е противопоказна през втория и</w:t>
      </w:r>
    </w:p>
    <w:p w14:paraId="5BD11E75" w14:textId="12DC3500" w:rsidR="0055380F" w:rsidRPr="0055380F" w:rsidRDefault="0055380F" w:rsidP="0055380F">
      <w:pPr>
        <w:rPr>
          <w:rFonts w:eastAsia="Times New Roman" w:cs="Arial"/>
          <w:color w:val="000000"/>
          <w:lang w:eastAsia="bg-BG"/>
        </w:rPr>
      </w:pPr>
      <w:r w:rsidRPr="0055380F">
        <w:rPr>
          <w:rFonts w:eastAsia="Times New Roman" w:cs="Arial"/>
          <w:color w:val="000000"/>
          <w:lang w:eastAsia="bg-BG"/>
        </w:rPr>
        <w:t>третия триместьр от бременността (вж. точки 4.3 и 4.4).</w:t>
      </w:r>
    </w:p>
    <w:p w14:paraId="24E9F0BB" w14:textId="3DC50475" w:rsidR="0055380F" w:rsidRPr="0055380F" w:rsidRDefault="0055380F" w:rsidP="0055380F">
      <w:pPr>
        <w:rPr>
          <w:rFonts w:eastAsia="Times New Roman" w:cs="Arial"/>
          <w:color w:val="000000"/>
          <w:lang w:eastAsia="bg-BG"/>
        </w:rPr>
      </w:pPr>
    </w:p>
    <w:p w14:paraId="67508DC9" w14:textId="77777777" w:rsidR="0055380F" w:rsidRPr="0055380F" w:rsidRDefault="0055380F" w:rsidP="0055380F">
      <w:pPr>
        <w:pStyle w:val="Heading3"/>
        <w:rPr>
          <w:rFonts w:eastAsia="Times New Roman"/>
          <w:u w:val="single"/>
          <w:lang w:eastAsia="bg-BG"/>
        </w:rPr>
      </w:pPr>
      <w:r w:rsidRPr="0055380F">
        <w:rPr>
          <w:rFonts w:eastAsia="Times New Roman"/>
          <w:u w:val="single"/>
          <w:lang w:eastAsia="bg-BG"/>
        </w:rPr>
        <w:t>Кърмене</w:t>
      </w:r>
    </w:p>
    <w:p w14:paraId="185C4FD5"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3-7%, с максимум 15%. Ефектът на амлодипин върху кърмачетата е неизвестен.</w:t>
      </w:r>
    </w:p>
    <w:p w14:paraId="1372DA59" w14:textId="77777777" w:rsidR="0055380F" w:rsidRPr="0055380F" w:rsidRDefault="0055380F" w:rsidP="0055380F">
      <w:pPr>
        <w:spacing w:line="240" w:lineRule="auto"/>
        <w:rPr>
          <w:rFonts w:eastAsia="Times New Roman" w:cs="Arial"/>
          <w:color w:val="000000"/>
          <w:lang w:eastAsia="bg-BG"/>
        </w:rPr>
      </w:pPr>
    </w:p>
    <w:p w14:paraId="286F62DD" w14:textId="7C84F333"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Липсват данни относно употребата на валсартан по време на кърмене.</w:t>
      </w:r>
    </w:p>
    <w:p w14:paraId="0AD09AF0" w14:textId="77777777" w:rsidR="0055380F" w:rsidRPr="0055380F" w:rsidRDefault="0055380F" w:rsidP="0055380F">
      <w:pPr>
        <w:spacing w:line="240" w:lineRule="auto"/>
        <w:rPr>
          <w:rFonts w:eastAsia="Times New Roman" w:cs="Arial"/>
          <w:color w:val="000000"/>
          <w:lang w:eastAsia="bg-BG"/>
        </w:rPr>
      </w:pPr>
    </w:p>
    <w:p w14:paraId="543092DF" w14:textId="382F54AF"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Употребата на Валтензам Комп не се препоръчва по време на кърмене. Ако Валтензам Комп се прилага по време на кърмене, дозите трябва да бъдат възможно най-ниски. Предпочита се алтернативна терапия с по-добре установен профил на безопасност по време на кърмене, особено при кърмене на новородени и преждевременно родени деца.</w:t>
      </w:r>
    </w:p>
    <w:p w14:paraId="1C6821F7" w14:textId="77777777" w:rsidR="0055380F" w:rsidRPr="0055380F" w:rsidRDefault="0055380F" w:rsidP="0055380F">
      <w:pPr>
        <w:spacing w:line="240" w:lineRule="auto"/>
        <w:rPr>
          <w:rFonts w:eastAsia="Times New Roman" w:cs="Arial"/>
          <w:color w:val="000000"/>
          <w:u w:val="single"/>
          <w:lang w:eastAsia="bg-BG"/>
        </w:rPr>
      </w:pPr>
    </w:p>
    <w:p w14:paraId="667F6600" w14:textId="7FD4A919" w:rsidR="0055380F" w:rsidRPr="0055380F" w:rsidRDefault="0055380F" w:rsidP="0055380F">
      <w:pPr>
        <w:pStyle w:val="Heading3"/>
        <w:rPr>
          <w:rFonts w:eastAsia="Times New Roman"/>
          <w:u w:val="single"/>
          <w:lang w:eastAsia="bg-BG"/>
        </w:rPr>
      </w:pPr>
      <w:r w:rsidRPr="0055380F">
        <w:rPr>
          <w:rFonts w:eastAsia="Times New Roman"/>
          <w:u w:val="single"/>
          <w:lang w:eastAsia="bg-BG"/>
        </w:rPr>
        <w:t>Фертилитет</w:t>
      </w:r>
    </w:p>
    <w:p w14:paraId="40790AE8"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Няма клинични проучвания относно влиянието на Валтензам Комп върху фертилитета.</w:t>
      </w:r>
    </w:p>
    <w:p w14:paraId="2B531C95" w14:textId="77777777" w:rsidR="0055380F" w:rsidRPr="0055380F" w:rsidRDefault="0055380F" w:rsidP="0055380F">
      <w:pPr>
        <w:spacing w:line="240" w:lineRule="auto"/>
        <w:rPr>
          <w:rFonts w:eastAsia="Times New Roman" w:cs="Arial"/>
          <w:i/>
          <w:iCs/>
          <w:color w:val="000000"/>
          <w:u w:val="single"/>
          <w:lang w:eastAsia="bg-BG"/>
        </w:rPr>
      </w:pPr>
    </w:p>
    <w:p w14:paraId="7EA43840" w14:textId="61EBBA33"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Валсартан</w:t>
      </w:r>
    </w:p>
    <w:p w14:paraId="7D0EE482"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 xml:space="preserve">Валсартан няма нежелани ефекти върху репродуктивната способност на мъжки или женски плъхове при прием на перорални дози до 200 </w:t>
      </w:r>
      <w:r w:rsidRPr="0055380F">
        <w:rPr>
          <w:rFonts w:eastAsia="Times New Roman" w:cs="Arial"/>
          <w:color w:val="000000"/>
          <w:lang w:val="en-US"/>
        </w:rPr>
        <w:t>mg/kg</w:t>
      </w:r>
      <w:r w:rsidRPr="0055380F">
        <w:rPr>
          <w:rFonts w:eastAsia="Times New Roman" w:cs="Arial"/>
          <w:color w:val="000000"/>
          <w:lang w:eastAsia="bg-BG"/>
        </w:rPr>
        <w:t xml:space="preserve">/ден. Тази доза е </w:t>
      </w:r>
      <w:r w:rsidRPr="0055380F">
        <w:rPr>
          <w:rFonts w:eastAsia="Times New Roman" w:cs="Arial"/>
          <w:i/>
          <w:iCs/>
          <w:color w:val="000000"/>
          <w:lang w:eastAsia="bg-BG"/>
        </w:rPr>
        <w:t>6</w:t>
      </w:r>
      <w:r w:rsidRPr="0055380F">
        <w:rPr>
          <w:rFonts w:eastAsia="Times New Roman" w:cs="Arial"/>
          <w:color w:val="000000"/>
          <w:lang w:eastAsia="bg-BG"/>
        </w:rPr>
        <w:t xml:space="preserve"> пъти максималната препоръчителна доза при хора, определена на база </w:t>
      </w:r>
      <w:r w:rsidRPr="0055380F">
        <w:rPr>
          <w:rFonts w:eastAsia="Times New Roman" w:cs="Arial"/>
          <w:color w:val="000000"/>
          <w:lang w:val="en-US"/>
        </w:rPr>
        <w:t>mg/m</w:t>
      </w:r>
      <w:r w:rsidRPr="0055380F">
        <w:rPr>
          <w:rFonts w:eastAsia="Times New Roman" w:cs="Arial"/>
          <w:color w:val="000000"/>
          <w:vertAlign w:val="superscript"/>
          <w:lang w:val="en-US"/>
        </w:rPr>
        <w:t>2</w:t>
      </w:r>
      <w:r w:rsidRPr="0055380F">
        <w:rPr>
          <w:rFonts w:eastAsia="Times New Roman" w:cs="Arial"/>
          <w:color w:val="000000"/>
          <w:lang w:val="en-US"/>
        </w:rPr>
        <w:t xml:space="preserve"> </w:t>
      </w:r>
      <w:r w:rsidRPr="0055380F">
        <w:rPr>
          <w:rFonts w:eastAsia="Times New Roman" w:cs="Arial"/>
          <w:color w:val="000000"/>
          <w:lang w:eastAsia="bg-BG"/>
        </w:rPr>
        <w:t xml:space="preserve">(изчислението е за перорална доза от 320 </w:t>
      </w:r>
      <w:r w:rsidRPr="0055380F">
        <w:rPr>
          <w:rFonts w:eastAsia="Times New Roman" w:cs="Arial"/>
          <w:color w:val="000000"/>
          <w:lang w:val="en-US"/>
        </w:rPr>
        <w:t>mg</w:t>
      </w:r>
      <w:r w:rsidRPr="0055380F">
        <w:rPr>
          <w:rFonts w:eastAsia="Times New Roman" w:cs="Arial"/>
          <w:color w:val="000000"/>
          <w:lang w:eastAsia="bg-BG"/>
        </w:rPr>
        <w:t>/ден и 60-килограмов пациент).</w:t>
      </w:r>
    </w:p>
    <w:p w14:paraId="701938DB" w14:textId="77777777" w:rsidR="0055380F" w:rsidRPr="0055380F" w:rsidRDefault="0055380F" w:rsidP="0055380F">
      <w:pPr>
        <w:spacing w:line="240" w:lineRule="auto"/>
        <w:rPr>
          <w:rFonts w:eastAsia="Times New Roman" w:cs="Arial"/>
          <w:i/>
          <w:iCs/>
          <w:color w:val="000000"/>
          <w:u w:val="single"/>
          <w:lang w:eastAsia="bg-BG"/>
        </w:rPr>
      </w:pPr>
    </w:p>
    <w:p w14:paraId="3F6159C5" w14:textId="2E7C42BE"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Амлодипин</w:t>
      </w:r>
    </w:p>
    <w:p w14:paraId="14BDAEDD"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върху плъхове са установени нежелани ефекти върху фертилитета при мъжките индивиди (вж. точка 5.3).</w:t>
      </w:r>
    </w:p>
    <w:p w14:paraId="4A48E421" w14:textId="77777777" w:rsidR="0055380F" w:rsidRPr="0055380F" w:rsidRDefault="0055380F" w:rsidP="0055380F"/>
    <w:p w14:paraId="6201597D" w14:textId="4619D4E2" w:rsidR="00EE6C97" w:rsidRDefault="002C50EE" w:rsidP="00A93499">
      <w:pPr>
        <w:pStyle w:val="Heading2"/>
      </w:pPr>
      <w:r>
        <w:t>4.7. Ефекти върху способността за шофиране и работа с машини</w:t>
      </w:r>
    </w:p>
    <w:p w14:paraId="6808CD52" w14:textId="34B9C038" w:rsidR="0055380F" w:rsidRDefault="0055380F" w:rsidP="0055380F"/>
    <w:p w14:paraId="309E0383" w14:textId="77777777" w:rsidR="0055380F" w:rsidRPr="0055380F" w:rsidRDefault="0055380F" w:rsidP="0055380F">
      <w:pPr>
        <w:rPr>
          <w:sz w:val="24"/>
          <w:szCs w:val="24"/>
          <w:lang w:eastAsia="bg-BG"/>
        </w:rPr>
      </w:pPr>
      <w:r w:rsidRPr="0055380F">
        <w:rPr>
          <w:lang w:eastAsia="bg-BG"/>
        </w:rPr>
        <w:t>Пациентите, които приемат Валтензам Комп и шофират или работят с машини трябва да имат предвид, че понякога е възможно да се появят умора и замайване.</w:t>
      </w:r>
    </w:p>
    <w:p w14:paraId="63FB245F" w14:textId="77777777" w:rsidR="0055380F" w:rsidRDefault="0055380F" w:rsidP="0055380F">
      <w:pPr>
        <w:rPr>
          <w:lang w:eastAsia="bg-BG"/>
        </w:rPr>
      </w:pPr>
    </w:p>
    <w:p w14:paraId="38F9889D" w14:textId="6B8EE52F" w:rsidR="0055380F" w:rsidRPr="0055380F" w:rsidRDefault="0055380F" w:rsidP="0055380F">
      <w:pPr>
        <w:rPr>
          <w:sz w:val="24"/>
          <w:szCs w:val="24"/>
          <w:lang w:eastAsia="bg-BG"/>
        </w:rPr>
      </w:pPr>
      <w:r w:rsidRPr="0055380F">
        <w:rPr>
          <w:lang w:eastAsia="bg-BG"/>
        </w:rPr>
        <w:t>Амлодипин може да повлияе в слаба до умерена степен способността за шофиране и работа с машини. Ако пациентите, приемащи Валтензам Комп получат замайване, главоболие, умора или гадене, способността им да реагират може да бъде нарушена.</w:t>
      </w:r>
    </w:p>
    <w:p w14:paraId="551000BB" w14:textId="77777777" w:rsidR="0055380F" w:rsidRPr="0055380F" w:rsidRDefault="0055380F" w:rsidP="0055380F"/>
    <w:p w14:paraId="389A90F4" w14:textId="355082C9" w:rsidR="00BA5B74" w:rsidRDefault="002C50EE" w:rsidP="00A93499">
      <w:pPr>
        <w:pStyle w:val="Heading2"/>
      </w:pPr>
      <w:r>
        <w:t>4.8. Нежелани лекарствени реакции</w:t>
      </w:r>
    </w:p>
    <w:p w14:paraId="6CB617A8" w14:textId="20B6828B" w:rsidR="0055380F" w:rsidRDefault="0055380F" w:rsidP="0055380F"/>
    <w:p w14:paraId="18289233"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lastRenderedPageBreak/>
        <w:t>Профилът на безопасност на Валтензам Комп, представен по-долу се основава на клинични проучвания, проведени с Валтензам Комп и познатите профили на безопасност на отделните компоненти амлодипин, валсартан и хидрохлоротиазид.</w:t>
      </w:r>
    </w:p>
    <w:p w14:paraId="6165F275" w14:textId="77777777" w:rsidR="0055380F" w:rsidRPr="0055380F" w:rsidRDefault="0055380F" w:rsidP="0055380F">
      <w:pPr>
        <w:spacing w:line="240" w:lineRule="auto"/>
        <w:rPr>
          <w:rFonts w:eastAsia="Times New Roman" w:cs="Arial"/>
          <w:color w:val="000000"/>
          <w:u w:val="single"/>
          <w:lang w:eastAsia="bg-BG"/>
        </w:rPr>
      </w:pPr>
    </w:p>
    <w:p w14:paraId="677D6C91" w14:textId="68C179AE"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u w:val="single"/>
          <w:lang w:eastAsia="bg-BG"/>
        </w:rPr>
        <w:t>Обобщение на профила на безопасност</w:t>
      </w:r>
    </w:p>
    <w:p w14:paraId="51BADFCD"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 xml:space="preserve">Безопасността на Валтензам Комп е оценена при неговата максимална доза 10 </w:t>
      </w:r>
      <w:r w:rsidRPr="0055380F">
        <w:rPr>
          <w:rFonts w:eastAsia="Times New Roman" w:cs="Arial"/>
          <w:color w:val="000000"/>
          <w:lang w:val="en-US"/>
        </w:rPr>
        <w:t xml:space="preserve">mg/320 mg/25 mg </w:t>
      </w:r>
      <w:r w:rsidRPr="0055380F">
        <w:rPr>
          <w:rFonts w:eastAsia="Times New Roman" w:cs="Arial"/>
          <w:color w:val="000000"/>
          <w:lang w:eastAsia="bg-BG"/>
        </w:rPr>
        <w:t>в хода на едно контролирано краткосрочно (8 седмици) клинично проучване с 2 271 пациенти, 582 от които приемат валсартан в комбинация с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Валтензам Комп са били замаяност и хипотония (0,7%).</w:t>
      </w:r>
    </w:p>
    <w:p w14:paraId="45A63823" w14:textId="77777777" w:rsidR="0055380F" w:rsidRPr="0055380F" w:rsidRDefault="0055380F" w:rsidP="0055380F">
      <w:pPr>
        <w:spacing w:line="240" w:lineRule="auto"/>
        <w:rPr>
          <w:rFonts w:eastAsia="Times New Roman" w:cs="Arial"/>
          <w:color w:val="000000"/>
          <w:lang w:eastAsia="bg-BG"/>
        </w:rPr>
      </w:pPr>
    </w:p>
    <w:p w14:paraId="14BAC160" w14:textId="076469B9"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По време на 8-седмичното контролирано клинично проучване с тройната комбинация не са</w:t>
      </w:r>
      <w:r>
        <w:rPr>
          <w:rFonts w:eastAsia="Times New Roman" w:cs="Arial"/>
          <w:sz w:val="24"/>
          <w:szCs w:val="24"/>
          <w:lang w:val="en-US" w:eastAsia="bg-BG"/>
        </w:rPr>
        <w:t xml:space="preserve"> </w:t>
      </w:r>
      <w:r w:rsidRPr="0055380F">
        <w:rPr>
          <w:rFonts w:eastAsia="Times New Roman" w:cs="Arial"/>
          <w:color w:val="000000"/>
          <w:lang w:eastAsia="bg-BG"/>
        </w:rPr>
        <w:t>наблюдавани значими нови или неочаквани нежелани реакции в сравнение с известните при</w:t>
      </w:r>
      <w:r>
        <w:rPr>
          <w:rFonts w:eastAsia="Times New Roman" w:cs="Arial"/>
          <w:sz w:val="24"/>
          <w:szCs w:val="24"/>
          <w:lang w:val="en-US" w:eastAsia="bg-BG"/>
        </w:rPr>
        <w:t xml:space="preserve"> </w:t>
      </w:r>
      <w:r w:rsidRPr="0055380F">
        <w:rPr>
          <w:rFonts w:eastAsia="Times New Roman" w:cs="Arial"/>
          <w:color w:val="000000"/>
          <w:lang w:eastAsia="bg-BG"/>
        </w:rPr>
        <w:t>терапия с отделните компоненти или с двойна комбинация.</w:t>
      </w:r>
    </w:p>
    <w:p w14:paraId="4E2D541F" w14:textId="3C01038D" w:rsidR="0055380F" w:rsidRPr="0055380F" w:rsidRDefault="0055380F" w:rsidP="0055380F">
      <w:pPr>
        <w:rPr>
          <w:rFonts w:eastAsia="Times New Roman" w:cs="Arial"/>
          <w:color w:val="000000"/>
          <w:lang w:eastAsia="bg-BG"/>
        </w:rPr>
      </w:pPr>
    </w:p>
    <w:p w14:paraId="2884EE6C"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По време на 8-седмичното контролирано клинично проучване наблюдаваните при комбинацията Валтензам Комп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48B12C69" w14:textId="77777777" w:rsidR="0055380F" w:rsidRPr="0055380F" w:rsidRDefault="0055380F" w:rsidP="0055380F">
      <w:pPr>
        <w:spacing w:line="240" w:lineRule="auto"/>
        <w:rPr>
          <w:rFonts w:eastAsia="Times New Roman" w:cs="Arial"/>
          <w:color w:val="000000"/>
          <w:u w:val="single"/>
          <w:lang w:eastAsia="bg-BG"/>
        </w:rPr>
      </w:pPr>
    </w:p>
    <w:p w14:paraId="0EBB6394" w14:textId="37D38564"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u w:val="single"/>
          <w:lang w:eastAsia="bg-BG"/>
        </w:rPr>
        <w:t>Табличен списък на нежеланите реакции</w:t>
      </w:r>
    </w:p>
    <w:p w14:paraId="45E7DD09" w14:textId="3238A1B8" w:rsidR="0055380F" w:rsidRDefault="0055380F" w:rsidP="0055380F">
      <w:pPr>
        <w:spacing w:line="240" w:lineRule="auto"/>
        <w:rPr>
          <w:rFonts w:eastAsia="Times New Roman" w:cs="Arial"/>
          <w:color w:val="000000"/>
          <w:lang w:eastAsia="bg-BG"/>
        </w:rPr>
      </w:pPr>
      <w:r w:rsidRPr="0055380F">
        <w:rPr>
          <w:rFonts w:eastAsia="Times New Roman" w:cs="Arial"/>
          <w:color w:val="000000"/>
          <w:lang w:eastAsia="bg-BG"/>
        </w:rPr>
        <w:t xml:space="preserve">Следващите нежелани реакции, изброени според системо-органни класове по </w:t>
      </w:r>
      <w:r w:rsidRPr="0055380F">
        <w:rPr>
          <w:rFonts w:eastAsia="Times New Roman" w:cs="Arial"/>
          <w:color w:val="000000"/>
          <w:lang w:val="en-US"/>
        </w:rPr>
        <w:t xml:space="preserve">MedDRA </w:t>
      </w:r>
      <w:r w:rsidRPr="0055380F">
        <w:rPr>
          <w:rFonts w:eastAsia="Times New Roman" w:cs="Arial"/>
          <w:color w:val="000000"/>
          <w:lang w:eastAsia="bg-BG"/>
        </w:rPr>
        <w:t xml:space="preserve">и честота, се отнасят за Валтензам Комп (амлодипин/валсартан/НСТ) и поотделно за амлодипин, валсартан и НСТ. Много чести: ≥1/10; чести: ≥1/100 до &lt;1/10; нечести: ≥1/1 000 до &lt;1/100; редки: ≥1/10 000 до </w:t>
      </w:r>
      <w:r w:rsidRPr="0055380F">
        <w:rPr>
          <w:rFonts w:eastAsia="Times New Roman" w:cs="Arial"/>
          <w:i/>
          <w:iCs/>
          <w:color w:val="000000"/>
          <w:lang w:eastAsia="bg-BG"/>
        </w:rPr>
        <w:t>&lt;1/1 000;</w:t>
      </w:r>
      <w:r w:rsidRPr="0055380F">
        <w:rPr>
          <w:rFonts w:eastAsia="Times New Roman" w:cs="Arial"/>
          <w:color w:val="000000"/>
          <w:lang w:eastAsia="bg-BG"/>
        </w:rPr>
        <w:t xml:space="preserve"> много редки: &lt;1/10 000, с неизвестна честота (от наличните данни не може да бъде направена оценка).</w:t>
      </w:r>
    </w:p>
    <w:p w14:paraId="41A0DC92" w14:textId="533AA6E1" w:rsidR="0055380F" w:rsidRDefault="0055380F" w:rsidP="0055380F">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663"/>
        <w:gridCol w:w="2297"/>
        <w:gridCol w:w="1333"/>
        <w:gridCol w:w="1421"/>
        <w:gridCol w:w="1319"/>
        <w:gridCol w:w="1317"/>
      </w:tblGrid>
      <w:tr w:rsidR="0055380F" w14:paraId="7CB0D06E" w14:textId="77777777" w:rsidTr="00285FB8">
        <w:tc>
          <w:tcPr>
            <w:tcW w:w="1703" w:type="dxa"/>
            <w:vMerge w:val="restart"/>
          </w:tcPr>
          <w:p w14:paraId="56217127" w14:textId="71D62849" w:rsidR="0055380F" w:rsidRDefault="0055380F" w:rsidP="0055380F">
            <w:pPr>
              <w:spacing w:line="240" w:lineRule="auto"/>
              <w:rPr>
                <w:rFonts w:eastAsia="Times New Roman" w:cs="Arial"/>
                <w:sz w:val="24"/>
                <w:szCs w:val="24"/>
                <w:lang w:eastAsia="bg-BG"/>
              </w:rPr>
            </w:pPr>
            <w:r>
              <w:rPr>
                <w:b/>
                <w:bCs/>
                <w:lang w:val="en-US"/>
              </w:rPr>
              <w:t xml:space="preserve">MedDRA </w:t>
            </w:r>
            <w:r>
              <w:rPr>
                <w:b/>
                <w:bCs/>
              </w:rPr>
              <w:t>системо- органни класове</w:t>
            </w:r>
          </w:p>
        </w:tc>
        <w:tc>
          <w:tcPr>
            <w:tcW w:w="2356" w:type="dxa"/>
            <w:vMerge w:val="restart"/>
          </w:tcPr>
          <w:p w14:paraId="5BFEB68A" w14:textId="3FD462FE" w:rsidR="0055380F" w:rsidRDefault="0055380F" w:rsidP="0055380F">
            <w:pPr>
              <w:spacing w:line="240" w:lineRule="auto"/>
              <w:rPr>
                <w:rFonts w:eastAsia="Times New Roman" w:cs="Arial"/>
                <w:sz w:val="24"/>
                <w:szCs w:val="24"/>
                <w:lang w:eastAsia="bg-BG"/>
              </w:rPr>
            </w:pPr>
            <w:r>
              <w:rPr>
                <w:b/>
                <w:bCs/>
              </w:rPr>
              <w:t>Нежелани реакции</w:t>
            </w:r>
          </w:p>
        </w:tc>
        <w:tc>
          <w:tcPr>
            <w:tcW w:w="5517" w:type="dxa"/>
            <w:gridSpan w:val="4"/>
          </w:tcPr>
          <w:p w14:paraId="5E68FCA3" w14:textId="3A309AF1" w:rsidR="0055380F" w:rsidRDefault="0055380F" w:rsidP="0055380F">
            <w:pPr>
              <w:spacing w:line="240" w:lineRule="auto"/>
              <w:rPr>
                <w:rFonts w:eastAsia="Times New Roman" w:cs="Arial"/>
                <w:sz w:val="24"/>
                <w:szCs w:val="24"/>
                <w:lang w:eastAsia="bg-BG"/>
              </w:rPr>
            </w:pPr>
            <w:r>
              <w:rPr>
                <w:b/>
                <w:bCs/>
              </w:rPr>
              <w:t>Честота</w:t>
            </w:r>
          </w:p>
        </w:tc>
      </w:tr>
      <w:tr w:rsidR="0055380F" w14:paraId="766D0E8E" w14:textId="77777777" w:rsidTr="00285FB8">
        <w:tc>
          <w:tcPr>
            <w:tcW w:w="1703" w:type="dxa"/>
            <w:vMerge/>
          </w:tcPr>
          <w:p w14:paraId="2638F649" w14:textId="77777777" w:rsidR="0055380F" w:rsidRDefault="0055380F" w:rsidP="0055380F">
            <w:pPr>
              <w:spacing w:line="240" w:lineRule="auto"/>
              <w:rPr>
                <w:rFonts w:eastAsia="Times New Roman" w:cs="Arial"/>
                <w:sz w:val="24"/>
                <w:szCs w:val="24"/>
                <w:lang w:eastAsia="bg-BG"/>
              </w:rPr>
            </w:pPr>
          </w:p>
        </w:tc>
        <w:tc>
          <w:tcPr>
            <w:tcW w:w="2356" w:type="dxa"/>
            <w:vMerge/>
          </w:tcPr>
          <w:p w14:paraId="724D1EC4" w14:textId="77777777" w:rsidR="0055380F" w:rsidRDefault="0055380F" w:rsidP="0055380F">
            <w:pPr>
              <w:spacing w:line="240" w:lineRule="auto"/>
              <w:rPr>
                <w:rFonts w:eastAsia="Times New Roman" w:cs="Arial"/>
                <w:sz w:val="24"/>
                <w:szCs w:val="24"/>
                <w:lang w:eastAsia="bg-BG"/>
              </w:rPr>
            </w:pPr>
          </w:p>
        </w:tc>
        <w:tc>
          <w:tcPr>
            <w:tcW w:w="1364" w:type="dxa"/>
          </w:tcPr>
          <w:p w14:paraId="13A233A7" w14:textId="3E7BB014" w:rsidR="0055380F" w:rsidRDefault="0055380F" w:rsidP="0055380F">
            <w:pPr>
              <w:spacing w:line="240" w:lineRule="auto"/>
              <w:rPr>
                <w:rFonts w:eastAsia="Times New Roman" w:cs="Arial"/>
                <w:sz w:val="24"/>
                <w:szCs w:val="24"/>
                <w:lang w:eastAsia="bg-BG"/>
              </w:rPr>
            </w:pPr>
            <w:r>
              <w:rPr>
                <w:b/>
                <w:bCs/>
              </w:rPr>
              <w:t>Валтензам Комп</w:t>
            </w:r>
          </w:p>
        </w:tc>
        <w:tc>
          <w:tcPr>
            <w:tcW w:w="1455" w:type="dxa"/>
          </w:tcPr>
          <w:p w14:paraId="50A43741" w14:textId="2A1ED385" w:rsidR="0055380F" w:rsidRDefault="0055380F" w:rsidP="0055380F">
            <w:pPr>
              <w:spacing w:line="240" w:lineRule="auto"/>
              <w:rPr>
                <w:rFonts w:eastAsia="Times New Roman" w:cs="Arial"/>
                <w:sz w:val="24"/>
                <w:szCs w:val="24"/>
                <w:lang w:eastAsia="bg-BG"/>
              </w:rPr>
            </w:pPr>
            <w:r>
              <w:rPr>
                <w:b/>
                <w:bCs/>
              </w:rPr>
              <w:t>Амлодипин</w:t>
            </w:r>
          </w:p>
        </w:tc>
        <w:tc>
          <w:tcPr>
            <w:tcW w:w="1350" w:type="dxa"/>
          </w:tcPr>
          <w:p w14:paraId="46E88B2F" w14:textId="7BA57080" w:rsidR="0055380F" w:rsidRDefault="0055380F" w:rsidP="0055380F">
            <w:pPr>
              <w:spacing w:line="240" w:lineRule="auto"/>
              <w:rPr>
                <w:rFonts w:eastAsia="Times New Roman" w:cs="Arial"/>
                <w:sz w:val="24"/>
                <w:szCs w:val="24"/>
                <w:lang w:eastAsia="bg-BG"/>
              </w:rPr>
            </w:pPr>
            <w:r>
              <w:rPr>
                <w:b/>
                <w:bCs/>
              </w:rPr>
              <w:t>Валсартан</w:t>
            </w:r>
          </w:p>
        </w:tc>
        <w:tc>
          <w:tcPr>
            <w:tcW w:w="1348" w:type="dxa"/>
          </w:tcPr>
          <w:p w14:paraId="62306A5B" w14:textId="14D9E0E1" w:rsidR="0055380F" w:rsidRDefault="0055380F" w:rsidP="0055380F">
            <w:pPr>
              <w:spacing w:line="240" w:lineRule="auto"/>
              <w:rPr>
                <w:rFonts w:eastAsia="Times New Roman" w:cs="Arial"/>
                <w:sz w:val="24"/>
                <w:szCs w:val="24"/>
                <w:lang w:eastAsia="bg-BG"/>
              </w:rPr>
            </w:pPr>
            <w:r>
              <w:rPr>
                <w:b/>
                <w:bCs/>
              </w:rPr>
              <w:t>НСТ</w:t>
            </w:r>
          </w:p>
        </w:tc>
      </w:tr>
      <w:tr w:rsidR="0055380F" w14:paraId="13552084" w14:textId="77777777" w:rsidTr="00285FB8">
        <w:tc>
          <w:tcPr>
            <w:tcW w:w="1703" w:type="dxa"/>
          </w:tcPr>
          <w:p w14:paraId="50D45432" w14:textId="3175886A" w:rsidR="0055380F" w:rsidRPr="0055380F" w:rsidRDefault="0055380F" w:rsidP="0055380F">
            <w:pPr>
              <w:spacing w:line="240" w:lineRule="auto"/>
              <w:rPr>
                <w:rFonts w:eastAsia="Times New Roman" w:cs="Arial"/>
                <w:lang w:eastAsia="bg-BG"/>
              </w:rPr>
            </w:pPr>
            <w:r w:rsidRPr="0055380F">
              <w:rPr>
                <w:rFonts w:cs="Arial"/>
              </w:rPr>
              <w:t>Неоплазми доброкачестве ни, злокачествени и неопределени (вкл. кисти и полипи)</w:t>
            </w:r>
          </w:p>
        </w:tc>
        <w:tc>
          <w:tcPr>
            <w:tcW w:w="2356" w:type="dxa"/>
          </w:tcPr>
          <w:p w14:paraId="04FF1DFB" w14:textId="77777777" w:rsidR="0055380F" w:rsidRPr="0055380F" w:rsidRDefault="0055380F" w:rsidP="0055380F">
            <w:pPr>
              <w:rPr>
                <w:rFonts w:cs="Arial"/>
              </w:rPr>
            </w:pPr>
            <w:r w:rsidRPr="0055380F">
              <w:rPr>
                <w:rFonts w:cs="Arial"/>
              </w:rPr>
              <w:t>Немеланомен рак на</w:t>
            </w:r>
            <w:r w:rsidRPr="0055380F">
              <w:rPr>
                <w:rFonts w:cs="Arial"/>
              </w:rPr>
              <w:tab/>
              <w:t>кожата</w:t>
            </w:r>
          </w:p>
          <w:p w14:paraId="4A2DE6FF" w14:textId="77777777" w:rsidR="0055380F" w:rsidRPr="0055380F" w:rsidRDefault="0055380F" w:rsidP="0055380F">
            <w:pPr>
              <w:rPr>
                <w:rFonts w:cs="Arial"/>
              </w:rPr>
            </w:pPr>
            <w:r w:rsidRPr="0055380F">
              <w:rPr>
                <w:rFonts w:cs="Arial"/>
              </w:rPr>
              <w:t>(базалноклетъчен карцином</w:t>
            </w:r>
            <w:r w:rsidRPr="0055380F">
              <w:rPr>
                <w:rFonts w:cs="Arial"/>
              </w:rPr>
              <w:tab/>
              <w:t>и</w:t>
            </w:r>
          </w:p>
          <w:p w14:paraId="7CAEF0AE" w14:textId="5E03A30B" w:rsidR="0055380F" w:rsidRPr="0055380F" w:rsidRDefault="0055380F" w:rsidP="0055380F">
            <w:pPr>
              <w:spacing w:line="240" w:lineRule="auto"/>
              <w:rPr>
                <w:rFonts w:eastAsia="Times New Roman" w:cs="Arial"/>
                <w:lang w:eastAsia="bg-BG"/>
              </w:rPr>
            </w:pPr>
            <w:r w:rsidRPr="0055380F">
              <w:rPr>
                <w:rFonts w:cs="Arial"/>
              </w:rPr>
              <w:t>сквамозноклетьчен карцином)</w:t>
            </w:r>
          </w:p>
        </w:tc>
        <w:tc>
          <w:tcPr>
            <w:tcW w:w="1364" w:type="dxa"/>
          </w:tcPr>
          <w:p w14:paraId="5E544057" w14:textId="77777777" w:rsidR="0055380F" w:rsidRPr="0055380F" w:rsidRDefault="0055380F" w:rsidP="0055380F">
            <w:pPr>
              <w:spacing w:line="240" w:lineRule="auto"/>
              <w:rPr>
                <w:rFonts w:eastAsia="Times New Roman" w:cs="Arial"/>
                <w:lang w:eastAsia="bg-BG"/>
              </w:rPr>
            </w:pPr>
          </w:p>
        </w:tc>
        <w:tc>
          <w:tcPr>
            <w:tcW w:w="1455" w:type="dxa"/>
          </w:tcPr>
          <w:p w14:paraId="613530A1" w14:textId="77777777" w:rsidR="0055380F" w:rsidRPr="0055380F" w:rsidRDefault="0055380F" w:rsidP="0055380F">
            <w:pPr>
              <w:spacing w:line="240" w:lineRule="auto"/>
              <w:rPr>
                <w:rFonts w:eastAsia="Times New Roman" w:cs="Arial"/>
                <w:lang w:eastAsia="bg-BG"/>
              </w:rPr>
            </w:pPr>
          </w:p>
        </w:tc>
        <w:tc>
          <w:tcPr>
            <w:tcW w:w="1350" w:type="dxa"/>
          </w:tcPr>
          <w:p w14:paraId="50978753" w14:textId="77777777" w:rsidR="0055380F" w:rsidRPr="0055380F" w:rsidRDefault="0055380F" w:rsidP="0055380F">
            <w:pPr>
              <w:spacing w:line="240" w:lineRule="auto"/>
              <w:rPr>
                <w:rFonts w:eastAsia="Times New Roman" w:cs="Arial"/>
                <w:lang w:eastAsia="bg-BG"/>
              </w:rPr>
            </w:pPr>
          </w:p>
        </w:tc>
        <w:tc>
          <w:tcPr>
            <w:tcW w:w="1348" w:type="dxa"/>
          </w:tcPr>
          <w:p w14:paraId="602F5823" w14:textId="4C92D81A"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r>
      <w:tr w:rsidR="0055380F" w14:paraId="29113BAD" w14:textId="77777777" w:rsidTr="00285FB8">
        <w:tc>
          <w:tcPr>
            <w:tcW w:w="1703" w:type="dxa"/>
            <w:vMerge w:val="restart"/>
          </w:tcPr>
          <w:p w14:paraId="387947FE" w14:textId="77777777" w:rsidR="0055380F" w:rsidRPr="0055380F" w:rsidRDefault="0055380F" w:rsidP="0055380F">
            <w:pPr>
              <w:rPr>
                <w:rFonts w:cs="Arial"/>
              </w:rPr>
            </w:pPr>
            <w:r w:rsidRPr="0055380F">
              <w:rPr>
                <w:rFonts w:cs="Arial"/>
              </w:rPr>
              <w:t>Нарушения на кръвта</w:t>
            </w:r>
            <w:r w:rsidRPr="0055380F">
              <w:rPr>
                <w:rFonts w:cs="Arial"/>
              </w:rPr>
              <w:tab/>
              <w:t>и</w:t>
            </w:r>
          </w:p>
          <w:p w14:paraId="43CD2DB6" w14:textId="1FCBC05B" w:rsidR="0055380F" w:rsidRPr="0055380F" w:rsidRDefault="0055380F" w:rsidP="0055380F">
            <w:pPr>
              <w:spacing w:line="240" w:lineRule="auto"/>
              <w:rPr>
                <w:rFonts w:eastAsia="Times New Roman" w:cs="Arial"/>
                <w:lang w:eastAsia="bg-BG"/>
              </w:rPr>
            </w:pPr>
            <w:r w:rsidRPr="0055380F">
              <w:rPr>
                <w:rFonts w:cs="Arial"/>
              </w:rPr>
              <w:t>лимфната система</w:t>
            </w:r>
          </w:p>
        </w:tc>
        <w:tc>
          <w:tcPr>
            <w:tcW w:w="2356" w:type="dxa"/>
          </w:tcPr>
          <w:p w14:paraId="315F7D14" w14:textId="669F17CE" w:rsidR="0055380F" w:rsidRPr="0055380F" w:rsidRDefault="0055380F" w:rsidP="0055380F">
            <w:pPr>
              <w:spacing w:line="240" w:lineRule="auto"/>
              <w:rPr>
                <w:rFonts w:eastAsia="Times New Roman" w:cs="Arial"/>
                <w:lang w:eastAsia="bg-BG"/>
              </w:rPr>
            </w:pPr>
            <w:r w:rsidRPr="0055380F">
              <w:rPr>
                <w:rFonts w:cs="Arial"/>
              </w:rPr>
              <w:t>Агранулоцитоза, костно-мозъчна недостатъчност</w:t>
            </w:r>
          </w:p>
        </w:tc>
        <w:tc>
          <w:tcPr>
            <w:tcW w:w="1364" w:type="dxa"/>
          </w:tcPr>
          <w:p w14:paraId="374E3990" w14:textId="0061353F"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4F032639" w14:textId="2C446B95" w:rsidR="0055380F" w:rsidRPr="0055380F" w:rsidRDefault="0055380F" w:rsidP="0055380F">
            <w:pPr>
              <w:spacing w:line="240" w:lineRule="auto"/>
              <w:rPr>
                <w:rFonts w:eastAsia="Times New Roman" w:cs="Arial"/>
                <w:lang w:eastAsia="bg-BG"/>
              </w:rPr>
            </w:pPr>
            <w:r w:rsidRPr="0055380F">
              <w:rPr>
                <w:rFonts w:cs="Arial"/>
                <w:i/>
                <w:iCs/>
              </w:rPr>
              <w:t>-</w:t>
            </w:r>
          </w:p>
        </w:tc>
        <w:tc>
          <w:tcPr>
            <w:tcW w:w="1350" w:type="dxa"/>
          </w:tcPr>
          <w:p w14:paraId="46DE3B8A" w14:textId="57E007B9"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569EE703" w14:textId="48952F34"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34F265FA" w14:textId="77777777" w:rsidTr="00285FB8">
        <w:tc>
          <w:tcPr>
            <w:tcW w:w="1703" w:type="dxa"/>
            <w:vMerge/>
          </w:tcPr>
          <w:p w14:paraId="152B30AB" w14:textId="77777777" w:rsidR="0055380F" w:rsidRPr="0055380F" w:rsidRDefault="0055380F" w:rsidP="0055380F">
            <w:pPr>
              <w:spacing w:line="240" w:lineRule="auto"/>
              <w:rPr>
                <w:rFonts w:eastAsia="Times New Roman" w:cs="Arial"/>
                <w:lang w:eastAsia="bg-BG"/>
              </w:rPr>
            </w:pPr>
          </w:p>
        </w:tc>
        <w:tc>
          <w:tcPr>
            <w:tcW w:w="2356" w:type="dxa"/>
          </w:tcPr>
          <w:p w14:paraId="1E40C66B" w14:textId="77777777" w:rsidR="0055380F" w:rsidRPr="0055380F" w:rsidRDefault="0055380F" w:rsidP="0055380F">
            <w:pPr>
              <w:rPr>
                <w:rFonts w:cs="Arial"/>
              </w:rPr>
            </w:pPr>
            <w:r w:rsidRPr="0055380F">
              <w:rPr>
                <w:rFonts w:cs="Arial"/>
              </w:rPr>
              <w:t>Понижен хемоглобин</w:t>
            </w:r>
            <w:r w:rsidRPr="0055380F">
              <w:rPr>
                <w:rFonts w:cs="Arial"/>
              </w:rPr>
              <w:tab/>
              <w:t>и</w:t>
            </w:r>
          </w:p>
          <w:p w14:paraId="34F6DB46" w14:textId="3608B942" w:rsidR="0055380F" w:rsidRPr="0055380F" w:rsidRDefault="0055380F" w:rsidP="0055380F">
            <w:pPr>
              <w:spacing w:line="240" w:lineRule="auto"/>
              <w:rPr>
                <w:rFonts w:eastAsia="Times New Roman" w:cs="Arial"/>
                <w:lang w:eastAsia="bg-BG"/>
              </w:rPr>
            </w:pPr>
            <w:r w:rsidRPr="0055380F">
              <w:rPr>
                <w:rFonts w:cs="Arial"/>
              </w:rPr>
              <w:t>хематокрит</w:t>
            </w:r>
          </w:p>
        </w:tc>
        <w:tc>
          <w:tcPr>
            <w:tcW w:w="1364" w:type="dxa"/>
          </w:tcPr>
          <w:p w14:paraId="7D46ED62" w14:textId="07B7F046"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250DCA74" w14:textId="368951FF" w:rsidR="0055380F" w:rsidRPr="0055380F" w:rsidRDefault="0055380F" w:rsidP="0055380F">
            <w:pPr>
              <w:spacing w:line="240" w:lineRule="auto"/>
              <w:rPr>
                <w:rFonts w:eastAsia="Times New Roman" w:cs="Arial"/>
                <w:lang w:eastAsia="bg-BG"/>
              </w:rPr>
            </w:pPr>
            <w:r w:rsidRPr="0055380F">
              <w:rPr>
                <w:rFonts w:cs="Arial"/>
                <w:i/>
                <w:iCs/>
              </w:rPr>
              <w:t>-</w:t>
            </w:r>
          </w:p>
        </w:tc>
        <w:tc>
          <w:tcPr>
            <w:tcW w:w="1350" w:type="dxa"/>
          </w:tcPr>
          <w:p w14:paraId="1D1C95BD" w14:textId="4D1B6FB0"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c>
          <w:tcPr>
            <w:tcW w:w="1348" w:type="dxa"/>
          </w:tcPr>
          <w:p w14:paraId="6CA94614" w14:textId="77777777" w:rsidR="0055380F" w:rsidRPr="0055380F" w:rsidRDefault="0055380F" w:rsidP="0055380F">
            <w:pPr>
              <w:spacing w:line="240" w:lineRule="auto"/>
              <w:rPr>
                <w:rFonts w:eastAsia="Times New Roman" w:cs="Arial"/>
                <w:lang w:eastAsia="bg-BG"/>
              </w:rPr>
            </w:pPr>
          </w:p>
        </w:tc>
      </w:tr>
      <w:tr w:rsidR="0055380F" w14:paraId="1E9343F7" w14:textId="77777777" w:rsidTr="00285FB8">
        <w:tc>
          <w:tcPr>
            <w:tcW w:w="1703" w:type="dxa"/>
            <w:vMerge/>
          </w:tcPr>
          <w:p w14:paraId="523EF346" w14:textId="77777777" w:rsidR="0055380F" w:rsidRPr="0055380F" w:rsidRDefault="0055380F" w:rsidP="0055380F">
            <w:pPr>
              <w:spacing w:line="240" w:lineRule="auto"/>
              <w:rPr>
                <w:rFonts w:eastAsia="Times New Roman" w:cs="Arial"/>
                <w:lang w:eastAsia="bg-BG"/>
              </w:rPr>
            </w:pPr>
          </w:p>
        </w:tc>
        <w:tc>
          <w:tcPr>
            <w:tcW w:w="2356" w:type="dxa"/>
          </w:tcPr>
          <w:p w14:paraId="54079AE5" w14:textId="30989ACA" w:rsidR="0055380F" w:rsidRPr="0055380F" w:rsidRDefault="0055380F" w:rsidP="0055380F">
            <w:pPr>
              <w:spacing w:line="240" w:lineRule="auto"/>
              <w:rPr>
                <w:rFonts w:eastAsia="Times New Roman" w:cs="Arial"/>
                <w:lang w:eastAsia="bg-BG"/>
              </w:rPr>
            </w:pPr>
            <w:r w:rsidRPr="0055380F">
              <w:rPr>
                <w:rFonts w:cs="Arial"/>
              </w:rPr>
              <w:t>Хемолитична анемия</w:t>
            </w:r>
          </w:p>
        </w:tc>
        <w:tc>
          <w:tcPr>
            <w:tcW w:w="1364" w:type="dxa"/>
          </w:tcPr>
          <w:p w14:paraId="42CE348F" w14:textId="77777777" w:rsidR="0055380F" w:rsidRPr="0055380F" w:rsidRDefault="0055380F" w:rsidP="0055380F">
            <w:pPr>
              <w:spacing w:line="240" w:lineRule="auto"/>
              <w:rPr>
                <w:rFonts w:eastAsia="Times New Roman" w:cs="Arial"/>
                <w:lang w:eastAsia="bg-BG"/>
              </w:rPr>
            </w:pPr>
          </w:p>
        </w:tc>
        <w:tc>
          <w:tcPr>
            <w:tcW w:w="1455" w:type="dxa"/>
          </w:tcPr>
          <w:p w14:paraId="7BC324F7" w14:textId="697707C7" w:rsidR="0055380F" w:rsidRPr="0055380F" w:rsidRDefault="0055380F" w:rsidP="0055380F">
            <w:pPr>
              <w:spacing w:line="240" w:lineRule="auto"/>
              <w:rPr>
                <w:rFonts w:eastAsia="Times New Roman" w:cs="Arial"/>
                <w:lang w:eastAsia="bg-BG"/>
              </w:rPr>
            </w:pPr>
            <w:r w:rsidRPr="0055380F">
              <w:rPr>
                <w:rFonts w:cs="Arial"/>
                <w:i/>
                <w:iCs/>
              </w:rPr>
              <w:t>-</w:t>
            </w:r>
          </w:p>
        </w:tc>
        <w:tc>
          <w:tcPr>
            <w:tcW w:w="1350" w:type="dxa"/>
          </w:tcPr>
          <w:p w14:paraId="086E21D4" w14:textId="167259AD"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04146C81" w14:textId="3BE70968"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714D40ED" w14:textId="77777777" w:rsidTr="00285FB8">
        <w:tc>
          <w:tcPr>
            <w:tcW w:w="1703" w:type="dxa"/>
            <w:vMerge/>
          </w:tcPr>
          <w:p w14:paraId="12A32FED" w14:textId="77777777" w:rsidR="0055380F" w:rsidRPr="0055380F" w:rsidRDefault="0055380F" w:rsidP="0055380F">
            <w:pPr>
              <w:spacing w:line="240" w:lineRule="auto"/>
              <w:rPr>
                <w:rFonts w:eastAsia="Times New Roman" w:cs="Arial"/>
                <w:lang w:eastAsia="bg-BG"/>
              </w:rPr>
            </w:pPr>
          </w:p>
        </w:tc>
        <w:tc>
          <w:tcPr>
            <w:tcW w:w="2356" w:type="dxa"/>
          </w:tcPr>
          <w:p w14:paraId="19725EBB" w14:textId="2960A02B" w:rsidR="0055380F" w:rsidRPr="0055380F" w:rsidRDefault="0055380F" w:rsidP="0055380F">
            <w:pPr>
              <w:spacing w:line="240" w:lineRule="auto"/>
              <w:rPr>
                <w:rFonts w:eastAsia="Times New Roman" w:cs="Arial"/>
                <w:lang w:eastAsia="bg-BG"/>
              </w:rPr>
            </w:pPr>
            <w:r w:rsidRPr="0055380F">
              <w:rPr>
                <w:rFonts w:cs="Arial"/>
              </w:rPr>
              <w:t>Левкопения</w:t>
            </w:r>
          </w:p>
        </w:tc>
        <w:tc>
          <w:tcPr>
            <w:tcW w:w="1364" w:type="dxa"/>
          </w:tcPr>
          <w:p w14:paraId="53A8F849" w14:textId="77777777" w:rsidR="0055380F" w:rsidRPr="0055380F" w:rsidRDefault="0055380F" w:rsidP="0055380F">
            <w:pPr>
              <w:spacing w:line="240" w:lineRule="auto"/>
              <w:rPr>
                <w:rFonts w:eastAsia="Times New Roman" w:cs="Arial"/>
                <w:lang w:eastAsia="bg-BG"/>
              </w:rPr>
            </w:pPr>
          </w:p>
        </w:tc>
        <w:tc>
          <w:tcPr>
            <w:tcW w:w="1455" w:type="dxa"/>
          </w:tcPr>
          <w:p w14:paraId="1449E5E2" w14:textId="7AED4CBC"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7204CF03" w14:textId="7CA5D48F"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D86A3F8" w14:textId="00D8735B"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3EA853AC" w14:textId="77777777" w:rsidTr="00285FB8">
        <w:tc>
          <w:tcPr>
            <w:tcW w:w="1703" w:type="dxa"/>
            <w:vMerge/>
          </w:tcPr>
          <w:p w14:paraId="3BC0AA27" w14:textId="77777777" w:rsidR="0055380F" w:rsidRPr="0055380F" w:rsidRDefault="0055380F" w:rsidP="0055380F">
            <w:pPr>
              <w:spacing w:line="240" w:lineRule="auto"/>
              <w:rPr>
                <w:rFonts w:eastAsia="Times New Roman" w:cs="Arial"/>
                <w:lang w:eastAsia="bg-BG"/>
              </w:rPr>
            </w:pPr>
          </w:p>
        </w:tc>
        <w:tc>
          <w:tcPr>
            <w:tcW w:w="2356" w:type="dxa"/>
          </w:tcPr>
          <w:p w14:paraId="694C5CED" w14:textId="0ACE11D9" w:rsidR="0055380F" w:rsidRPr="0055380F" w:rsidRDefault="0055380F" w:rsidP="0055380F">
            <w:pPr>
              <w:spacing w:line="240" w:lineRule="auto"/>
              <w:rPr>
                <w:rFonts w:eastAsia="Times New Roman" w:cs="Arial"/>
                <w:lang w:eastAsia="bg-BG"/>
              </w:rPr>
            </w:pPr>
            <w:r w:rsidRPr="0055380F">
              <w:rPr>
                <w:rFonts w:cs="Arial"/>
              </w:rPr>
              <w:t>Неутропения</w:t>
            </w:r>
          </w:p>
        </w:tc>
        <w:tc>
          <w:tcPr>
            <w:tcW w:w="1364" w:type="dxa"/>
          </w:tcPr>
          <w:p w14:paraId="3195EA3B" w14:textId="77777777" w:rsidR="0055380F" w:rsidRPr="0055380F" w:rsidRDefault="0055380F" w:rsidP="0055380F">
            <w:pPr>
              <w:spacing w:line="240" w:lineRule="auto"/>
              <w:rPr>
                <w:rFonts w:eastAsia="Times New Roman" w:cs="Arial"/>
                <w:lang w:eastAsia="bg-BG"/>
              </w:rPr>
            </w:pPr>
          </w:p>
        </w:tc>
        <w:tc>
          <w:tcPr>
            <w:tcW w:w="1455" w:type="dxa"/>
          </w:tcPr>
          <w:p w14:paraId="5F47B61E" w14:textId="77777777" w:rsidR="0055380F" w:rsidRPr="0055380F" w:rsidRDefault="0055380F" w:rsidP="0055380F">
            <w:pPr>
              <w:spacing w:line="240" w:lineRule="auto"/>
              <w:rPr>
                <w:rFonts w:eastAsia="Times New Roman" w:cs="Arial"/>
                <w:lang w:eastAsia="bg-BG"/>
              </w:rPr>
            </w:pPr>
          </w:p>
        </w:tc>
        <w:tc>
          <w:tcPr>
            <w:tcW w:w="1350" w:type="dxa"/>
          </w:tcPr>
          <w:p w14:paraId="5D229130" w14:textId="1E8F769F" w:rsidR="0055380F" w:rsidRPr="0055380F" w:rsidRDefault="0055380F" w:rsidP="0055380F">
            <w:pPr>
              <w:spacing w:line="240" w:lineRule="auto"/>
              <w:rPr>
                <w:rFonts w:eastAsia="Times New Roman" w:cs="Arial"/>
                <w:lang w:eastAsia="bg-BG"/>
              </w:rPr>
            </w:pPr>
            <w:r w:rsidRPr="0055380F">
              <w:rPr>
                <w:rFonts w:cs="Arial"/>
                <w:i/>
                <w:iCs/>
              </w:rPr>
              <w:t>С</w:t>
            </w:r>
            <w:r w:rsidRPr="0055380F">
              <w:rPr>
                <w:rFonts w:cs="Arial"/>
              </w:rPr>
              <w:t xml:space="preserve"> неизвестна честота</w:t>
            </w:r>
          </w:p>
        </w:tc>
        <w:tc>
          <w:tcPr>
            <w:tcW w:w="1348" w:type="dxa"/>
          </w:tcPr>
          <w:p w14:paraId="1228B4AF" w14:textId="77777777" w:rsidR="0055380F" w:rsidRPr="0055380F" w:rsidRDefault="0055380F" w:rsidP="0055380F">
            <w:pPr>
              <w:spacing w:line="240" w:lineRule="auto"/>
              <w:rPr>
                <w:rFonts w:eastAsia="Times New Roman" w:cs="Arial"/>
                <w:lang w:eastAsia="bg-BG"/>
              </w:rPr>
            </w:pPr>
          </w:p>
        </w:tc>
      </w:tr>
      <w:tr w:rsidR="0055380F" w14:paraId="29F34E90" w14:textId="77777777" w:rsidTr="00285FB8">
        <w:tc>
          <w:tcPr>
            <w:tcW w:w="1703" w:type="dxa"/>
            <w:vMerge/>
          </w:tcPr>
          <w:p w14:paraId="5A9ECCDE" w14:textId="77777777" w:rsidR="0055380F" w:rsidRPr="0055380F" w:rsidRDefault="0055380F" w:rsidP="0055380F">
            <w:pPr>
              <w:spacing w:line="240" w:lineRule="auto"/>
              <w:rPr>
                <w:rFonts w:eastAsia="Times New Roman" w:cs="Arial"/>
                <w:lang w:eastAsia="bg-BG"/>
              </w:rPr>
            </w:pPr>
          </w:p>
        </w:tc>
        <w:tc>
          <w:tcPr>
            <w:tcW w:w="2356" w:type="dxa"/>
          </w:tcPr>
          <w:p w14:paraId="19264342" w14:textId="00C66701" w:rsidR="0055380F" w:rsidRPr="0055380F" w:rsidRDefault="0055380F" w:rsidP="0055380F">
            <w:pPr>
              <w:spacing w:line="240" w:lineRule="auto"/>
              <w:rPr>
                <w:rFonts w:eastAsia="Times New Roman" w:cs="Arial"/>
                <w:lang w:eastAsia="bg-BG"/>
              </w:rPr>
            </w:pPr>
            <w:r w:rsidRPr="0055380F">
              <w:rPr>
                <w:rFonts w:cs="Arial"/>
              </w:rPr>
              <w:t>Тромбоцитопения, понякога с пурпура</w:t>
            </w:r>
          </w:p>
        </w:tc>
        <w:tc>
          <w:tcPr>
            <w:tcW w:w="1364" w:type="dxa"/>
          </w:tcPr>
          <w:p w14:paraId="6BEEEFF3" w14:textId="77777777" w:rsidR="0055380F" w:rsidRPr="0055380F" w:rsidRDefault="0055380F" w:rsidP="0055380F">
            <w:pPr>
              <w:spacing w:line="240" w:lineRule="auto"/>
              <w:rPr>
                <w:rFonts w:eastAsia="Times New Roman" w:cs="Arial"/>
                <w:lang w:eastAsia="bg-BG"/>
              </w:rPr>
            </w:pPr>
          </w:p>
        </w:tc>
        <w:tc>
          <w:tcPr>
            <w:tcW w:w="1455" w:type="dxa"/>
          </w:tcPr>
          <w:p w14:paraId="4878273A" w14:textId="566A33CB"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4485AFEA" w14:textId="4351CB33"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c>
          <w:tcPr>
            <w:tcW w:w="1348" w:type="dxa"/>
          </w:tcPr>
          <w:p w14:paraId="57BA87A9" w14:textId="33ED460F" w:rsidR="0055380F" w:rsidRPr="0055380F" w:rsidRDefault="0055380F" w:rsidP="0055380F">
            <w:pPr>
              <w:spacing w:line="240" w:lineRule="auto"/>
              <w:rPr>
                <w:rFonts w:eastAsia="Times New Roman" w:cs="Arial"/>
                <w:lang w:eastAsia="bg-BG"/>
              </w:rPr>
            </w:pPr>
            <w:r w:rsidRPr="0055380F">
              <w:rPr>
                <w:rFonts w:cs="Arial"/>
              </w:rPr>
              <w:t>Редки</w:t>
            </w:r>
          </w:p>
        </w:tc>
      </w:tr>
      <w:tr w:rsidR="0055380F" w14:paraId="7A1E70C7" w14:textId="77777777" w:rsidTr="00285FB8">
        <w:tc>
          <w:tcPr>
            <w:tcW w:w="1703" w:type="dxa"/>
            <w:vMerge/>
          </w:tcPr>
          <w:p w14:paraId="7619C0ED" w14:textId="77777777" w:rsidR="0055380F" w:rsidRPr="0055380F" w:rsidRDefault="0055380F" w:rsidP="0055380F">
            <w:pPr>
              <w:spacing w:line="240" w:lineRule="auto"/>
              <w:rPr>
                <w:rFonts w:eastAsia="Times New Roman" w:cs="Arial"/>
                <w:lang w:eastAsia="bg-BG"/>
              </w:rPr>
            </w:pPr>
          </w:p>
        </w:tc>
        <w:tc>
          <w:tcPr>
            <w:tcW w:w="2356" w:type="dxa"/>
          </w:tcPr>
          <w:p w14:paraId="550B4366" w14:textId="30A581D2" w:rsidR="0055380F" w:rsidRPr="0055380F" w:rsidRDefault="0055380F" w:rsidP="0055380F">
            <w:pPr>
              <w:spacing w:line="240" w:lineRule="auto"/>
              <w:rPr>
                <w:rFonts w:eastAsia="Times New Roman" w:cs="Arial"/>
                <w:lang w:eastAsia="bg-BG"/>
              </w:rPr>
            </w:pPr>
            <w:r w:rsidRPr="0055380F">
              <w:rPr>
                <w:rFonts w:cs="Arial"/>
              </w:rPr>
              <w:t>Апластична анемия</w:t>
            </w:r>
          </w:p>
        </w:tc>
        <w:tc>
          <w:tcPr>
            <w:tcW w:w="1364" w:type="dxa"/>
          </w:tcPr>
          <w:p w14:paraId="2C259146" w14:textId="58721CFF"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3842EF84" w14:textId="2CCF35F5"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7AEB608F" w14:textId="2455D13F"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2E44456" w14:textId="0B491E2E"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r>
      <w:tr w:rsidR="0055380F" w14:paraId="1606787E" w14:textId="77777777" w:rsidTr="00285FB8">
        <w:tc>
          <w:tcPr>
            <w:tcW w:w="1703" w:type="dxa"/>
          </w:tcPr>
          <w:p w14:paraId="7CD984D1" w14:textId="0F177858" w:rsidR="0055380F" w:rsidRPr="0055380F" w:rsidRDefault="0055380F" w:rsidP="0055380F">
            <w:pPr>
              <w:spacing w:line="240" w:lineRule="auto"/>
              <w:rPr>
                <w:rFonts w:eastAsia="Times New Roman" w:cs="Arial"/>
                <w:lang w:eastAsia="bg-BG"/>
              </w:rPr>
            </w:pPr>
            <w:r w:rsidRPr="0055380F">
              <w:rPr>
                <w:rFonts w:cs="Arial"/>
              </w:rPr>
              <w:t>Нарушения на имунната система</w:t>
            </w:r>
          </w:p>
        </w:tc>
        <w:tc>
          <w:tcPr>
            <w:tcW w:w="2356" w:type="dxa"/>
          </w:tcPr>
          <w:p w14:paraId="3FC92FF3" w14:textId="12709333" w:rsidR="0055380F" w:rsidRPr="0055380F" w:rsidRDefault="0055380F" w:rsidP="0055380F">
            <w:pPr>
              <w:spacing w:line="240" w:lineRule="auto"/>
              <w:rPr>
                <w:rFonts w:eastAsia="Times New Roman" w:cs="Arial"/>
                <w:lang w:eastAsia="bg-BG"/>
              </w:rPr>
            </w:pPr>
            <w:r w:rsidRPr="0055380F">
              <w:rPr>
                <w:rFonts w:cs="Arial"/>
              </w:rPr>
              <w:t>Свръхчувствител</w:t>
            </w:r>
            <w:r w:rsidRPr="0055380F">
              <w:rPr>
                <w:rFonts w:cs="Arial"/>
              </w:rPr>
              <w:softHyphen/>
              <w:t>ност</w:t>
            </w:r>
          </w:p>
        </w:tc>
        <w:tc>
          <w:tcPr>
            <w:tcW w:w="1364" w:type="dxa"/>
          </w:tcPr>
          <w:p w14:paraId="24415804" w14:textId="03CBCD18"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79DA6A04" w14:textId="3C87C2B9"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4B22101E" w14:textId="3F46051B"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c>
          <w:tcPr>
            <w:tcW w:w="1348" w:type="dxa"/>
          </w:tcPr>
          <w:p w14:paraId="74D121B1" w14:textId="7C3EA4BD"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7A8D7A4A" w14:textId="77777777" w:rsidTr="00285FB8">
        <w:tc>
          <w:tcPr>
            <w:tcW w:w="1703" w:type="dxa"/>
            <w:vMerge w:val="restart"/>
          </w:tcPr>
          <w:p w14:paraId="1149308D" w14:textId="0A42CEE4" w:rsidR="0055380F" w:rsidRPr="0055380F" w:rsidRDefault="0055380F" w:rsidP="0055380F">
            <w:pPr>
              <w:spacing w:line="240" w:lineRule="auto"/>
              <w:rPr>
                <w:rFonts w:eastAsia="Times New Roman" w:cs="Arial"/>
                <w:lang w:eastAsia="bg-BG"/>
              </w:rPr>
            </w:pPr>
            <w:r w:rsidRPr="0055380F">
              <w:rPr>
                <w:rFonts w:cs="Arial"/>
              </w:rPr>
              <w:t>Нарушения на метаболизма и храненето</w:t>
            </w:r>
          </w:p>
        </w:tc>
        <w:tc>
          <w:tcPr>
            <w:tcW w:w="2356" w:type="dxa"/>
          </w:tcPr>
          <w:p w14:paraId="3FD83C3B" w14:textId="4007A76B" w:rsidR="0055380F" w:rsidRPr="0055380F" w:rsidRDefault="0055380F" w:rsidP="0055380F">
            <w:pPr>
              <w:spacing w:line="240" w:lineRule="auto"/>
              <w:rPr>
                <w:rFonts w:eastAsia="Times New Roman" w:cs="Arial"/>
                <w:lang w:eastAsia="bg-BG"/>
              </w:rPr>
            </w:pPr>
            <w:r w:rsidRPr="0055380F">
              <w:rPr>
                <w:rFonts w:cs="Arial"/>
              </w:rPr>
              <w:t>Анорексия</w:t>
            </w:r>
          </w:p>
        </w:tc>
        <w:tc>
          <w:tcPr>
            <w:tcW w:w="1364" w:type="dxa"/>
          </w:tcPr>
          <w:p w14:paraId="658B8750" w14:textId="00AE7C42"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34D2E6C6" w14:textId="40E18EEC"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19EC0430" w14:textId="77777777" w:rsidR="0055380F" w:rsidRPr="0055380F" w:rsidRDefault="0055380F" w:rsidP="0055380F">
            <w:pPr>
              <w:spacing w:line="240" w:lineRule="auto"/>
              <w:rPr>
                <w:rFonts w:eastAsia="Times New Roman" w:cs="Arial"/>
                <w:lang w:eastAsia="bg-BG"/>
              </w:rPr>
            </w:pPr>
          </w:p>
        </w:tc>
        <w:tc>
          <w:tcPr>
            <w:tcW w:w="1348" w:type="dxa"/>
          </w:tcPr>
          <w:p w14:paraId="0E695924" w14:textId="77777777" w:rsidR="0055380F" w:rsidRPr="0055380F" w:rsidRDefault="0055380F" w:rsidP="0055380F">
            <w:pPr>
              <w:spacing w:line="240" w:lineRule="auto"/>
              <w:rPr>
                <w:rFonts w:eastAsia="Times New Roman" w:cs="Arial"/>
                <w:lang w:eastAsia="bg-BG"/>
              </w:rPr>
            </w:pPr>
          </w:p>
        </w:tc>
      </w:tr>
      <w:tr w:rsidR="0055380F" w14:paraId="69C1D0FB" w14:textId="77777777" w:rsidTr="00285FB8">
        <w:tc>
          <w:tcPr>
            <w:tcW w:w="1703" w:type="dxa"/>
            <w:vMerge/>
          </w:tcPr>
          <w:p w14:paraId="20995C46" w14:textId="77777777" w:rsidR="0055380F" w:rsidRPr="0055380F" w:rsidRDefault="0055380F" w:rsidP="0055380F">
            <w:pPr>
              <w:spacing w:line="240" w:lineRule="auto"/>
              <w:rPr>
                <w:rFonts w:eastAsia="Times New Roman" w:cs="Arial"/>
                <w:lang w:eastAsia="bg-BG"/>
              </w:rPr>
            </w:pPr>
          </w:p>
        </w:tc>
        <w:tc>
          <w:tcPr>
            <w:tcW w:w="2356" w:type="dxa"/>
          </w:tcPr>
          <w:p w14:paraId="3675B8C8" w14:textId="2834CE40" w:rsidR="0055380F" w:rsidRPr="0055380F" w:rsidRDefault="0055380F" w:rsidP="0055380F">
            <w:pPr>
              <w:spacing w:line="240" w:lineRule="auto"/>
              <w:rPr>
                <w:rFonts w:eastAsia="Times New Roman" w:cs="Arial"/>
                <w:lang w:eastAsia="bg-BG"/>
              </w:rPr>
            </w:pPr>
            <w:r w:rsidRPr="0055380F">
              <w:rPr>
                <w:rFonts w:cs="Arial"/>
              </w:rPr>
              <w:t>Хиперкалиемия</w:t>
            </w:r>
          </w:p>
        </w:tc>
        <w:tc>
          <w:tcPr>
            <w:tcW w:w="1364" w:type="dxa"/>
          </w:tcPr>
          <w:p w14:paraId="5D3E91D8" w14:textId="0CD93C61"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446DE65B" w14:textId="04EE0186"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472B178F" w14:textId="39BD3291"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5B33B55E" w14:textId="2A49CA0E" w:rsidR="0055380F" w:rsidRPr="0055380F" w:rsidRDefault="0055380F" w:rsidP="0055380F">
            <w:pPr>
              <w:spacing w:line="240" w:lineRule="auto"/>
              <w:rPr>
                <w:rFonts w:eastAsia="Times New Roman" w:cs="Arial"/>
                <w:lang w:eastAsia="bg-BG"/>
              </w:rPr>
            </w:pPr>
            <w:r w:rsidRPr="0055380F">
              <w:rPr>
                <w:rFonts w:cs="Arial"/>
              </w:rPr>
              <w:t>Редки</w:t>
            </w:r>
          </w:p>
        </w:tc>
      </w:tr>
      <w:tr w:rsidR="0055380F" w14:paraId="5FA4071B" w14:textId="77777777" w:rsidTr="00285FB8">
        <w:tc>
          <w:tcPr>
            <w:tcW w:w="1703" w:type="dxa"/>
            <w:vMerge/>
          </w:tcPr>
          <w:p w14:paraId="4B7B145C" w14:textId="77777777" w:rsidR="0055380F" w:rsidRPr="0055380F" w:rsidRDefault="0055380F" w:rsidP="0055380F">
            <w:pPr>
              <w:spacing w:line="240" w:lineRule="auto"/>
              <w:rPr>
                <w:rFonts w:eastAsia="Times New Roman" w:cs="Arial"/>
                <w:lang w:eastAsia="bg-BG"/>
              </w:rPr>
            </w:pPr>
          </w:p>
        </w:tc>
        <w:tc>
          <w:tcPr>
            <w:tcW w:w="2356" w:type="dxa"/>
          </w:tcPr>
          <w:p w14:paraId="4BC8EBD5" w14:textId="6BD94BB5" w:rsidR="0055380F" w:rsidRPr="0055380F" w:rsidRDefault="0055380F" w:rsidP="0055380F">
            <w:pPr>
              <w:spacing w:line="240" w:lineRule="auto"/>
              <w:rPr>
                <w:rFonts w:eastAsia="Times New Roman" w:cs="Arial"/>
                <w:lang w:eastAsia="bg-BG"/>
              </w:rPr>
            </w:pPr>
            <w:r w:rsidRPr="0055380F">
              <w:rPr>
                <w:rFonts w:cs="Arial"/>
              </w:rPr>
              <w:t>Хипергликемия</w:t>
            </w:r>
          </w:p>
        </w:tc>
        <w:tc>
          <w:tcPr>
            <w:tcW w:w="1364" w:type="dxa"/>
          </w:tcPr>
          <w:p w14:paraId="760C1F1F" w14:textId="0A3A49AE"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4A12D2CF" w14:textId="7929537A"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4F2E346D" w14:textId="41746329"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A9E22A6" w14:textId="290CEED8" w:rsidR="0055380F" w:rsidRPr="0055380F" w:rsidRDefault="0055380F" w:rsidP="0055380F">
            <w:pPr>
              <w:spacing w:line="240" w:lineRule="auto"/>
              <w:rPr>
                <w:rFonts w:eastAsia="Times New Roman" w:cs="Arial"/>
                <w:lang w:eastAsia="bg-BG"/>
              </w:rPr>
            </w:pPr>
            <w:r w:rsidRPr="0055380F">
              <w:rPr>
                <w:rFonts w:cs="Arial"/>
              </w:rPr>
              <w:t>Редки</w:t>
            </w:r>
          </w:p>
        </w:tc>
      </w:tr>
      <w:tr w:rsidR="0055380F" w14:paraId="3DBC20B6" w14:textId="77777777" w:rsidTr="00285FB8">
        <w:tc>
          <w:tcPr>
            <w:tcW w:w="1703" w:type="dxa"/>
            <w:vMerge/>
          </w:tcPr>
          <w:p w14:paraId="32B1779E" w14:textId="77777777" w:rsidR="0055380F" w:rsidRPr="0055380F" w:rsidRDefault="0055380F" w:rsidP="0055380F">
            <w:pPr>
              <w:spacing w:line="240" w:lineRule="auto"/>
              <w:rPr>
                <w:rFonts w:eastAsia="Times New Roman" w:cs="Arial"/>
                <w:lang w:eastAsia="bg-BG"/>
              </w:rPr>
            </w:pPr>
          </w:p>
        </w:tc>
        <w:tc>
          <w:tcPr>
            <w:tcW w:w="2356" w:type="dxa"/>
          </w:tcPr>
          <w:p w14:paraId="5D46B5F3" w14:textId="70338ADD" w:rsidR="0055380F" w:rsidRPr="0055380F" w:rsidRDefault="0055380F" w:rsidP="0055380F">
            <w:pPr>
              <w:spacing w:line="240" w:lineRule="auto"/>
              <w:rPr>
                <w:rFonts w:eastAsia="Times New Roman" w:cs="Arial"/>
                <w:lang w:eastAsia="bg-BG"/>
              </w:rPr>
            </w:pPr>
            <w:r w:rsidRPr="0055380F">
              <w:rPr>
                <w:rFonts w:cs="Arial"/>
              </w:rPr>
              <w:t>Хиперлипидемия</w:t>
            </w:r>
          </w:p>
        </w:tc>
        <w:tc>
          <w:tcPr>
            <w:tcW w:w="1364" w:type="dxa"/>
          </w:tcPr>
          <w:p w14:paraId="7CBF050A" w14:textId="04633B8C"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473141B3" w14:textId="6DF015B1"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47B24D9D" w14:textId="2E7D0B1B"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1E5854DB" w14:textId="0E1FE28E" w:rsidR="0055380F" w:rsidRPr="0055380F" w:rsidRDefault="0055380F" w:rsidP="0055380F">
            <w:pPr>
              <w:spacing w:line="240" w:lineRule="auto"/>
              <w:rPr>
                <w:rFonts w:eastAsia="Times New Roman" w:cs="Arial"/>
                <w:lang w:eastAsia="bg-BG"/>
              </w:rPr>
            </w:pPr>
            <w:r w:rsidRPr="0055380F">
              <w:rPr>
                <w:rFonts w:cs="Arial"/>
              </w:rPr>
              <w:t>-</w:t>
            </w:r>
          </w:p>
        </w:tc>
      </w:tr>
      <w:tr w:rsidR="0055380F" w14:paraId="14A0FD37" w14:textId="77777777" w:rsidTr="00285FB8">
        <w:tc>
          <w:tcPr>
            <w:tcW w:w="1703" w:type="dxa"/>
            <w:vMerge/>
          </w:tcPr>
          <w:p w14:paraId="753FC712" w14:textId="77777777" w:rsidR="0055380F" w:rsidRPr="0055380F" w:rsidRDefault="0055380F" w:rsidP="0055380F">
            <w:pPr>
              <w:spacing w:line="240" w:lineRule="auto"/>
              <w:rPr>
                <w:rFonts w:eastAsia="Times New Roman" w:cs="Arial"/>
                <w:lang w:eastAsia="bg-BG"/>
              </w:rPr>
            </w:pPr>
          </w:p>
        </w:tc>
        <w:tc>
          <w:tcPr>
            <w:tcW w:w="2356" w:type="dxa"/>
          </w:tcPr>
          <w:p w14:paraId="2AC4FF64" w14:textId="78430998" w:rsidR="0055380F" w:rsidRPr="0055380F" w:rsidRDefault="0055380F" w:rsidP="0055380F">
            <w:pPr>
              <w:spacing w:line="240" w:lineRule="auto"/>
              <w:rPr>
                <w:rFonts w:eastAsia="Times New Roman" w:cs="Arial"/>
                <w:lang w:eastAsia="bg-BG"/>
              </w:rPr>
            </w:pPr>
            <w:r w:rsidRPr="0055380F">
              <w:rPr>
                <w:rFonts w:cs="Arial"/>
              </w:rPr>
              <w:t>Хиперурикемия</w:t>
            </w:r>
          </w:p>
        </w:tc>
        <w:tc>
          <w:tcPr>
            <w:tcW w:w="1364" w:type="dxa"/>
          </w:tcPr>
          <w:p w14:paraId="628670EC" w14:textId="3ED40C46"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5AA70684" w14:textId="67E79D3D"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54B1EEA9" w14:textId="3B8815C3"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491DBB23" w14:textId="6EB7A331" w:rsidR="0055380F" w:rsidRPr="0055380F" w:rsidRDefault="0055380F" w:rsidP="0055380F">
            <w:pPr>
              <w:spacing w:line="240" w:lineRule="auto"/>
              <w:rPr>
                <w:rFonts w:eastAsia="Times New Roman" w:cs="Arial"/>
                <w:lang w:eastAsia="bg-BG"/>
              </w:rPr>
            </w:pPr>
            <w:r w:rsidRPr="0055380F">
              <w:rPr>
                <w:rFonts w:cs="Arial"/>
              </w:rPr>
              <w:t>Чести</w:t>
            </w:r>
          </w:p>
        </w:tc>
      </w:tr>
      <w:tr w:rsidR="0055380F" w14:paraId="51A83E09" w14:textId="77777777" w:rsidTr="00285FB8">
        <w:tc>
          <w:tcPr>
            <w:tcW w:w="1703" w:type="dxa"/>
            <w:vMerge/>
          </w:tcPr>
          <w:p w14:paraId="7F1EF61A" w14:textId="77777777" w:rsidR="0055380F" w:rsidRPr="0055380F" w:rsidRDefault="0055380F" w:rsidP="0055380F">
            <w:pPr>
              <w:spacing w:line="240" w:lineRule="auto"/>
              <w:rPr>
                <w:rFonts w:eastAsia="Times New Roman" w:cs="Arial"/>
                <w:lang w:eastAsia="bg-BG"/>
              </w:rPr>
            </w:pPr>
          </w:p>
        </w:tc>
        <w:tc>
          <w:tcPr>
            <w:tcW w:w="2356" w:type="dxa"/>
          </w:tcPr>
          <w:p w14:paraId="61D43C74" w14:textId="15FC8856" w:rsidR="0055380F" w:rsidRPr="0055380F" w:rsidRDefault="0055380F" w:rsidP="0055380F">
            <w:pPr>
              <w:spacing w:line="240" w:lineRule="auto"/>
              <w:rPr>
                <w:rFonts w:eastAsia="Times New Roman" w:cs="Arial"/>
                <w:lang w:eastAsia="bg-BG"/>
              </w:rPr>
            </w:pPr>
            <w:r w:rsidRPr="0055380F">
              <w:rPr>
                <w:rFonts w:cs="Arial"/>
              </w:rPr>
              <w:t>Хипохлоремична алкалоза</w:t>
            </w:r>
          </w:p>
        </w:tc>
        <w:tc>
          <w:tcPr>
            <w:tcW w:w="1364" w:type="dxa"/>
          </w:tcPr>
          <w:p w14:paraId="26201578" w14:textId="140716B3"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37E46294" w14:textId="6EFE8121"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4FA69444" w14:textId="34ACC05B"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4492E000" w14:textId="625C3627"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3C8418BD" w14:textId="77777777" w:rsidTr="00285FB8">
        <w:tc>
          <w:tcPr>
            <w:tcW w:w="1703" w:type="dxa"/>
            <w:vMerge/>
          </w:tcPr>
          <w:p w14:paraId="3E60B789" w14:textId="77777777" w:rsidR="0055380F" w:rsidRPr="0055380F" w:rsidRDefault="0055380F" w:rsidP="0055380F">
            <w:pPr>
              <w:spacing w:line="240" w:lineRule="auto"/>
              <w:rPr>
                <w:rFonts w:eastAsia="Times New Roman" w:cs="Arial"/>
                <w:lang w:eastAsia="bg-BG"/>
              </w:rPr>
            </w:pPr>
          </w:p>
        </w:tc>
        <w:tc>
          <w:tcPr>
            <w:tcW w:w="2356" w:type="dxa"/>
          </w:tcPr>
          <w:p w14:paraId="1F6DDB90" w14:textId="069660DF" w:rsidR="0055380F" w:rsidRPr="0055380F" w:rsidRDefault="0055380F" w:rsidP="0055380F">
            <w:pPr>
              <w:spacing w:line="240" w:lineRule="auto"/>
              <w:rPr>
                <w:rFonts w:eastAsia="Times New Roman" w:cs="Arial"/>
                <w:lang w:eastAsia="bg-BG"/>
              </w:rPr>
            </w:pPr>
            <w:r w:rsidRPr="0055380F">
              <w:rPr>
                <w:rFonts w:cs="Arial"/>
              </w:rPr>
              <w:t>Хипокалиемия</w:t>
            </w:r>
          </w:p>
        </w:tc>
        <w:tc>
          <w:tcPr>
            <w:tcW w:w="1364" w:type="dxa"/>
          </w:tcPr>
          <w:p w14:paraId="548CE027" w14:textId="520EF14D" w:rsidR="0055380F" w:rsidRPr="0055380F" w:rsidRDefault="0055380F" w:rsidP="0055380F">
            <w:pPr>
              <w:spacing w:line="240" w:lineRule="auto"/>
              <w:rPr>
                <w:rFonts w:eastAsia="Times New Roman" w:cs="Arial"/>
                <w:lang w:eastAsia="bg-BG"/>
              </w:rPr>
            </w:pPr>
            <w:r w:rsidRPr="0055380F">
              <w:rPr>
                <w:rFonts w:cs="Arial"/>
              </w:rPr>
              <w:t>Чести</w:t>
            </w:r>
          </w:p>
        </w:tc>
        <w:tc>
          <w:tcPr>
            <w:tcW w:w="1455" w:type="dxa"/>
          </w:tcPr>
          <w:p w14:paraId="3B8024E4" w14:textId="77777777" w:rsidR="0055380F" w:rsidRPr="0055380F" w:rsidRDefault="0055380F" w:rsidP="0055380F">
            <w:pPr>
              <w:spacing w:line="240" w:lineRule="auto"/>
              <w:rPr>
                <w:rFonts w:eastAsia="Times New Roman" w:cs="Arial"/>
                <w:lang w:eastAsia="bg-BG"/>
              </w:rPr>
            </w:pPr>
          </w:p>
        </w:tc>
        <w:tc>
          <w:tcPr>
            <w:tcW w:w="1350" w:type="dxa"/>
          </w:tcPr>
          <w:p w14:paraId="3E1407CF" w14:textId="224BE9D8"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217C66E5" w14:textId="5556D943" w:rsidR="0055380F" w:rsidRPr="0055380F" w:rsidRDefault="0055380F" w:rsidP="0055380F">
            <w:pPr>
              <w:spacing w:line="240" w:lineRule="auto"/>
              <w:rPr>
                <w:rFonts w:eastAsia="Times New Roman" w:cs="Arial"/>
                <w:lang w:eastAsia="bg-BG"/>
              </w:rPr>
            </w:pPr>
            <w:r w:rsidRPr="0055380F">
              <w:rPr>
                <w:rFonts w:cs="Arial"/>
              </w:rPr>
              <w:t>Много чести</w:t>
            </w:r>
          </w:p>
        </w:tc>
      </w:tr>
      <w:tr w:rsidR="0055380F" w14:paraId="0B011114" w14:textId="77777777" w:rsidTr="00285FB8">
        <w:tc>
          <w:tcPr>
            <w:tcW w:w="1703" w:type="dxa"/>
            <w:vMerge/>
          </w:tcPr>
          <w:p w14:paraId="32B5D152" w14:textId="77777777" w:rsidR="0055380F" w:rsidRPr="0055380F" w:rsidRDefault="0055380F" w:rsidP="0055380F">
            <w:pPr>
              <w:spacing w:line="240" w:lineRule="auto"/>
              <w:rPr>
                <w:rFonts w:eastAsia="Times New Roman" w:cs="Arial"/>
                <w:lang w:eastAsia="bg-BG"/>
              </w:rPr>
            </w:pPr>
          </w:p>
        </w:tc>
        <w:tc>
          <w:tcPr>
            <w:tcW w:w="2356" w:type="dxa"/>
          </w:tcPr>
          <w:p w14:paraId="042BF549" w14:textId="7FD9B85A" w:rsidR="0055380F" w:rsidRPr="0055380F" w:rsidRDefault="0055380F" w:rsidP="0055380F">
            <w:pPr>
              <w:spacing w:line="240" w:lineRule="auto"/>
              <w:rPr>
                <w:rFonts w:eastAsia="Times New Roman" w:cs="Arial"/>
                <w:lang w:eastAsia="bg-BG"/>
              </w:rPr>
            </w:pPr>
            <w:r w:rsidRPr="0055380F">
              <w:rPr>
                <w:rFonts w:cs="Arial"/>
              </w:rPr>
              <w:t>Хипомагнезиемия</w:t>
            </w:r>
          </w:p>
        </w:tc>
        <w:tc>
          <w:tcPr>
            <w:tcW w:w="1364" w:type="dxa"/>
          </w:tcPr>
          <w:p w14:paraId="256D915E" w14:textId="77777777" w:rsidR="0055380F" w:rsidRPr="0055380F" w:rsidRDefault="0055380F" w:rsidP="0055380F">
            <w:pPr>
              <w:spacing w:line="240" w:lineRule="auto"/>
              <w:rPr>
                <w:rFonts w:eastAsia="Times New Roman" w:cs="Arial"/>
                <w:lang w:eastAsia="bg-BG"/>
              </w:rPr>
            </w:pPr>
          </w:p>
        </w:tc>
        <w:tc>
          <w:tcPr>
            <w:tcW w:w="1455" w:type="dxa"/>
          </w:tcPr>
          <w:p w14:paraId="776E7E30" w14:textId="77777777" w:rsidR="0055380F" w:rsidRPr="0055380F" w:rsidRDefault="0055380F" w:rsidP="0055380F">
            <w:pPr>
              <w:spacing w:line="240" w:lineRule="auto"/>
              <w:rPr>
                <w:rFonts w:eastAsia="Times New Roman" w:cs="Arial"/>
                <w:lang w:eastAsia="bg-BG"/>
              </w:rPr>
            </w:pPr>
          </w:p>
        </w:tc>
        <w:tc>
          <w:tcPr>
            <w:tcW w:w="1350" w:type="dxa"/>
          </w:tcPr>
          <w:p w14:paraId="64EBFCBC" w14:textId="5E824CCE"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4C4B9788" w14:textId="47C95B45" w:rsidR="0055380F" w:rsidRPr="0055380F" w:rsidRDefault="0055380F" w:rsidP="0055380F">
            <w:pPr>
              <w:spacing w:line="240" w:lineRule="auto"/>
              <w:rPr>
                <w:rFonts w:eastAsia="Times New Roman" w:cs="Arial"/>
                <w:lang w:eastAsia="bg-BG"/>
              </w:rPr>
            </w:pPr>
            <w:r w:rsidRPr="0055380F">
              <w:rPr>
                <w:rFonts w:cs="Arial"/>
              </w:rPr>
              <w:t>Чести</w:t>
            </w:r>
          </w:p>
        </w:tc>
      </w:tr>
      <w:tr w:rsidR="0055380F" w14:paraId="122AD5E2" w14:textId="77777777" w:rsidTr="00285FB8">
        <w:tc>
          <w:tcPr>
            <w:tcW w:w="1703" w:type="dxa"/>
            <w:vMerge/>
          </w:tcPr>
          <w:p w14:paraId="42F8E97B" w14:textId="77777777" w:rsidR="0055380F" w:rsidRPr="0055380F" w:rsidRDefault="0055380F" w:rsidP="0055380F">
            <w:pPr>
              <w:spacing w:line="240" w:lineRule="auto"/>
              <w:rPr>
                <w:rFonts w:eastAsia="Times New Roman" w:cs="Arial"/>
                <w:lang w:eastAsia="bg-BG"/>
              </w:rPr>
            </w:pPr>
          </w:p>
        </w:tc>
        <w:tc>
          <w:tcPr>
            <w:tcW w:w="2356" w:type="dxa"/>
          </w:tcPr>
          <w:p w14:paraId="6221FCE2" w14:textId="12BF3724" w:rsidR="0055380F" w:rsidRPr="0055380F" w:rsidRDefault="0055380F" w:rsidP="0055380F">
            <w:pPr>
              <w:spacing w:line="240" w:lineRule="auto"/>
              <w:rPr>
                <w:rFonts w:eastAsia="Times New Roman" w:cs="Arial"/>
                <w:lang w:eastAsia="bg-BG"/>
              </w:rPr>
            </w:pPr>
            <w:r w:rsidRPr="0055380F">
              <w:rPr>
                <w:rFonts w:cs="Arial"/>
              </w:rPr>
              <w:t>Хипонатриемия</w:t>
            </w:r>
          </w:p>
        </w:tc>
        <w:tc>
          <w:tcPr>
            <w:tcW w:w="1364" w:type="dxa"/>
          </w:tcPr>
          <w:p w14:paraId="4CEF44D7" w14:textId="4CB32815"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1230C4AD" w14:textId="10159CD3"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73F5C8C8" w14:textId="282E1369"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72499BE" w14:textId="0AAB64EF" w:rsidR="0055380F" w:rsidRPr="0055380F" w:rsidRDefault="0055380F" w:rsidP="0055380F">
            <w:pPr>
              <w:spacing w:line="240" w:lineRule="auto"/>
              <w:rPr>
                <w:rFonts w:eastAsia="Times New Roman" w:cs="Arial"/>
                <w:lang w:eastAsia="bg-BG"/>
              </w:rPr>
            </w:pPr>
            <w:r w:rsidRPr="0055380F">
              <w:rPr>
                <w:rFonts w:cs="Arial"/>
              </w:rPr>
              <w:t>Чести</w:t>
            </w:r>
          </w:p>
        </w:tc>
      </w:tr>
      <w:tr w:rsidR="0055380F" w14:paraId="09D047FE" w14:textId="77777777" w:rsidTr="00285FB8">
        <w:tc>
          <w:tcPr>
            <w:tcW w:w="1703" w:type="dxa"/>
            <w:vMerge/>
          </w:tcPr>
          <w:p w14:paraId="105BFA00" w14:textId="77777777" w:rsidR="0055380F" w:rsidRPr="0055380F" w:rsidRDefault="0055380F" w:rsidP="0055380F">
            <w:pPr>
              <w:spacing w:line="240" w:lineRule="auto"/>
              <w:rPr>
                <w:rFonts w:eastAsia="Times New Roman" w:cs="Arial"/>
                <w:lang w:eastAsia="bg-BG"/>
              </w:rPr>
            </w:pPr>
          </w:p>
        </w:tc>
        <w:tc>
          <w:tcPr>
            <w:tcW w:w="2356" w:type="dxa"/>
          </w:tcPr>
          <w:p w14:paraId="6C4BEABB" w14:textId="77777777" w:rsidR="0055380F" w:rsidRPr="0055380F" w:rsidRDefault="0055380F" w:rsidP="0055380F">
            <w:pPr>
              <w:rPr>
                <w:rFonts w:cs="Arial"/>
              </w:rPr>
            </w:pPr>
            <w:r w:rsidRPr="0055380F">
              <w:rPr>
                <w:rFonts w:cs="Arial"/>
              </w:rPr>
              <w:t>Влошаване</w:t>
            </w:r>
            <w:r w:rsidRPr="0055380F">
              <w:rPr>
                <w:rFonts w:cs="Arial"/>
              </w:rPr>
              <w:tab/>
              <w:t>на</w:t>
            </w:r>
          </w:p>
          <w:p w14:paraId="33927CA3" w14:textId="3778F3D5" w:rsidR="0055380F" w:rsidRPr="0055380F" w:rsidRDefault="0055380F" w:rsidP="0055380F">
            <w:pPr>
              <w:spacing w:line="240" w:lineRule="auto"/>
              <w:rPr>
                <w:rFonts w:eastAsia="Times New Roman" w:cs="Arial"/>
                <w:lang w:eastAsia="bg-BG"/>
              </w:rPr>
            </w:pPr>
            <w:r w:rsidRPr="0055380F">
              <w:rPr>
                <w:rFonts w:cs="Arial"/>
              </w:rPr>
              <w:t>диабета</w:t>
            </w:r>
          </w:p>
        </w:tc>
        <w:tc>
          <w:tcPr>
            <w:tcW w:w="1364" w:type="dxa"/>
          </w:tcPr>
          <w:p w14:paraId="15C43A41" w14:textId="362EFB6F"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23FB9C91" w14:textId="4370AEFC"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06B22F0F" w14:textId="54F5D555"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7CC417C1" w14:textId="76060B45" w:rsidR="0055380F" w:rsidRPr="0055380F" w:rsidRDefault="0055380F" w:rsidP="0055380F">
            <w:pPr>
              <w:spacing w:line="240" w:lineRule="auto"/>
              <w:rPr>
                <w:rFonts w:eastAsia="Times New Roman" w:cs="Arial"/>
                <w:lang w:eastAsia="bg-BG"/>
              </w:rPr>
            </w:pPr>
            <w:r w:rsidRPr="0055380F">
              <w:rPr>
                <w:rFonts w:cs="Arial"/>
              </w:rPr>
              <w:t>Редки</w:t>
            </w:r>
          </w:p>
        </w:tc>
      </w:tr>
      <w:tr w:rsidR="00285FB8" w14:paraId="24A7D474" w14:textId="77777777" w:rsidTr="00285FB8">
        <w:tc>
          <w:tcPr>
            <w:tcW w:w="1703" w:type="dxa"/>
            <w:vMerge w:val="restart"/>
          </w:tcPr>
          <w:p w14:paraId="16669EF0" w14:textId="427C8E62" w:rsidR="00285FB8" w:rsidRPr="00285FB8" w:rsidRDefault="00285FB8" w:rsidP="00285FB8">
            <w:pPr>
              <w:spacing w:line="240" w:lineRule="auto"/>
              <w:rPr>
                <w:rFonts w:eastAsia="Times New Roman" w:cs="Arial"/>
                <w:lang w:eastAsia="bg-BG"/>
              </w:rPr>
            </w:pPr>
            <w:r w:rsidRPr="00285FB8">
              <w:rPr>
                <w:rFonts w:cs="Arial"/>
              </w:rPr>
              <w:t>Психични нарушения</w:t>
            </w:r>
          </w:p>
        </w:tc>
        <w:tc>
          <w:tcPr>
            <w:tcW w:w="2356" w:type="dxa"/>
            <w:vAlign w:val="bottom"/>
          </w:tcPr>
          <w:p w14:paraId="79EC117C" w14:textId="3F6F0E0F" w:rsidR="00285FB8" w:rsidRPr="00285FB8" w:rsidRDefault="00285FB8" w:rsidP="00285FB8">
            <w:pPr>
              <w:spacing w:line="240" w:lineRule="auto"/>
              <w:rPr>
                <w:rFonts w:eastAsia="Times New Roman" w:cs="Arial"/>
                <w:lang w:eastAsia="bg-BG"/>
              </w:rPr>
            </w:pPr>
            <w:r w:rsidRPr="00285FB8">
              <w:rPr>
                <w:rFonts w:cs="Arial"/>
              </w:rPr>
              <w:t>Депресия</w:t>
            </w:r>
          </w:p>
        </w:tc>
        <w:tc>
          <w:tcPr>
            <w:tcW w:w="1364" w:type="dxa"/>
            <w:vAlign w:val="bottom"/>
          </w:tcPr>
          <w:p w14:paraId="7067BA01" w14:textId="227B21BA"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5657B139" w14:textId="68C9B2F6"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7D36B118" w14:textId="1CE371C5"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3634DA4F" w14:textId="5C904358"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5861C539" w14:textId="77777777" w:rsidTr="00285FB8">
        <w:tc>
          <w:tcPr>
            <w:tcW w:w="1703" w:type="dxa"/>
            <w:vMerge/>
          </w:tcPr>
          <w:p w14:paraId="558E321E" w14:textId="77777777" w:rsidR="00285FB8" w:rsidRPr="00285FB8" w:rsidRDefault="00285FB8" w:rsidP="00285FB8">
            <w:pPr>
              <w:spacing w:line="240" w:lineRule="auto"/>
              <w:rPr>
                <w:rFonts w:eastAsia="Times New Roman" w:cs="Arial"/>
                <w:lang w:eastAsia="bg-BG"/>
              </w:rPr>
            </w:pPr>
          </w:p>
        </w:tc>
        <w:tc>
          <w:tcPr>
            <w:tcW w:w="2356" w:type="dxa"/>
          </w:tcPr>
          <w:p w14:paraId="4B2589C8" w14:textId="25746A53" w:rsidR="00285FB8" w:rsidRPr="00285FB8" w:rsidRDefault="00285FB8" w:rsidP="00285FB8">
            <w:pPr>
              <w:spacing w:line="240" w:lineRule="auto"/>
              <w:rPr>
                <w:rFonts w:eastAsia="Times New Roman" w:cs="Arial"/>
                <w:lang w:eastAsia="bg-BG"/>
              </w:rPr>
            </w:pPr>
            <w:r w:rsidRPr="00285FB8">
              <w:rPr>
                <w:rFonts w:cs="Arial"/>
              </w:rPr>
              <w:t>Инсомния/наруше- ния на съня</w:t>
            </w:r>
          </w:p>
        </w:tc>
        <w:tc>
          <w:tcPr>
            <w:tcW w:w="1364" w:type="dxa"/>
          </w:tcPr>
          <w:p w14:paraId="7A23922C" w14:textId="7E1FC671"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41AB9DFE" w14:textId="240CEA8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FD8E46D" w14:textId="1E8DA166"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6EC00A8D" w14:textId="3A75788F"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7550CEA7" w14:textId="77777777" w:rsidTr="00285FB8">
        <w:tc>
          <w:tcPr>
            <w:tcW w:w="1703" w:type="dxa"/>
            <w:vMerge/>
          </w:tcPr>
          <w:p w14:paraId="39D7FB3E" w14:textId="77777777" w:rsidR="00285FB8" w:rsidRPr="00285FB8" w:rsidRDefault="00285FB8" w:rsidP="00285FB8">
            <w:pPr>
              <w:spacing w:line="240" w:lineRule="auto"/>
              <w:rPr>
                <w:rFonts w:eastAsia="Times New Roman" w:cs="Arial"/>
                <w:lang w:eastAsia="bg-BG"/>
              </w:rPr>
            </w:pPr>
          </w:p>
        </w:tc>
        <w:tc>
          <w:tcPr>
            <w:tcW w:w="2356" w:type="dxa"/>
            <w:vAlign w:val="bottom"/>
          </w:tcPr>
          <w:p w14:paraId="479EC9C2" w14:textId="77777777" w:rsidR="00285FB8" w:rsidRPr="00285FB8" w:rsidRDefault="00285FB8" w:rsidP="00285FB8">
            <w:pPr>
              <w:rPr>
                <w:rFonts w:cs="Arial"/>
              </w:rPr>
            </w:pPr>
            <w:r w:rsidRPr="00285FB8">
              <w:rPr>
                <w:rFonts w:cs="Arial"/>
              </w:rPr>
              <w:t>Промени</w:t>
            </w:r>
            <w:r w:rsidRPr="00285FB8">
              <w:rPr>
                <w:rFonts w:cs="Arial"/>
              </w:rPr>
              <w:tab/>
              <w:t>в</w:t>
            </w:r>
          </w:p>
          <w:p w14:paraId="2DCE43B4" w14:textId="31AF0014" w:rsidR="00285FB8" w:rsidRPr="00285FB8" w:rsidRDefault="00285FB8" w:rsidP="00285FB8">
            <w:pPr>
              <w:spacing w:line="240" w:lineRule="auto"/>
              <w:rPr>
                <w:rFonts w:eastAsia="Times New Roman" w:cs="Arial"/>
                <w:lang w:eastAsia="bg-BG"/>
              </w:rPr>
            </w:pPr>
            <w:r w:rsidRPr="00285FB8">
              <w:rPr>
                <w:rFonts w:cs="Arial"/>
              </w:rPr>
              <w:t>настроението</w:t>
            </w:r>
          </w:p>
        </w:tc>
        <w:tc>
          <w:tcPr>
            <w:tcW w:w="1364" w:type="dxa"/>
          </w:tcPr>
          <w:p w14:paraId="5D08237C" w14:textId="21A2C89F"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C4636BF" w14:textId="7CF74EEE"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4CAF0A0A" w14:textId="369BF221"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220F480" w14:textId="77777777" w:rsidR="00285FB8" w:rsidRPr="00285FB8" w:rsidRDefault="00285FB8" w:rsidP="00285FB8">
            <w:pPr>
              <w:spacing w:line="240" w:lineRule="auto"/>
              <w:rPr>
                <w:rFonts w:eastAsia="Times New Roman" w:cs="Arial"/>
                <w:lang w:eastAsia="bg-BG"/>
              </w:rPr>
            </w:pPr>
          </w:p>
        </w:tc>
      </w:tr>
      <w:tr w:rsidR="00285FB8" w14:paraId="06C38B64" w14:textId="77777777" w:rsidTr="00285FB8">
        <w:tc>
          <w:tcPr>
            <w:tcW w:w="1703" w:type="dxa"/>
            <w:vMerge/>
          </w:tcPr>
          <w:p w14:paraId="3814DC1F" w14:textId="77777777" w:rsidR="00285FB8" w:rsidRPr="00285FB8" w:rsidRDefault="00285FB8" w:rsidP="00285FB8">
            <w:pPr>
              <w:spacing w:line="240" w:lineRule="auto"/>
              <w:rPr>
                <w:rFonts w:eastAsia="Times New Roman" w:cs="Arial"/>
                <w:lang w:eastAsia="bg-BG"/>
              </w:rPr>
            </w:pPr>
          </w:p>
        </w:tc>
        <w:tc>
          <w:tcPr>
            <w:tcW w:w="2356" w:type="dxa"/>
            <w:vAlign w:val="bottom"/>
          </w:tcPr>
          <w:p w14:paraId="134D6A0E" w14:textId="17A4A499" w:rsidR="00285FB8" w:rsidRPr="00285FB8" w:rsidRDefault="00285FB8" w:rsidP="00285FB8">
            <w:pPr>
              <w:spacing w:line="240" w:lineRule="auto"/>
              <w:rPr>
                <w:rFonts w:eastAsia="Times New Roman" w:cs="Arial"/>
                <w:lang w:eastAsia="bg-BG"/>
              </w:rPr>
            </w:pPr>
            <w:r w:rsidRPr="00285FB8">
              <w:rPr>
                <w:rFonts w:cs="Arial"/>
              </w:rPr>
              <w:t>Обърканост</w:t>
            </w:r>
          </w:p>
        </w:tc>
        <w:tc>
          <w:tcPr>
            <w:tcW w:w="1364" w:type="dxa"/>
            <w:vAlign w:val="center"/>
          </w:tcPr>
          <w:p w14:paraId="1BEA57EE" w14:textId="224B356F"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083C0BD3" w14:textId="3A4DB17A" w:rsidR="00285FB8" w:rsidRPr="00285FB8" w:rsidRDefault="00285FB8" w:rsidP="00285FB8">
            <w:pPr>
              <w:spacing w:line="240" w:lineRule="auto"/>
              <w:rPr>
                <w:rFonts w:eastAsia="Times New Roman" w:cs="Arial"/>
                <w:lang w:eastAsia="bg-BG"/>
              </w:rPr>
            </w:pPr>
            <w:r w:rsidRPr="00285FB8">
              <w:rPr>
                <w:rFonts w:cs="Arial"/>
              </w:rPr>
              <w:t>Редки</w:t>
            </w:r>
          </w:p>
        </w:tc>
        <w:tc>
          <w:tcPr>
            <w:tcW w:w="1350" w:type="dxa"/>
            <w:vAlign w:val="center"/>
          </w:tcPr>
          <w:p w14:paraId="029E4046" w14:textId="519E5A1B"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C146DC3" w14:textId="77777777" w:rsidR="00285FB8" w:rsidRPr="00285FB8" w:rsidRDefault="00285FB8" w:rsidP="00285FB8">
            <w:pPr>
              <w:spacing w:line="240" w:lineRule="auto"/>
              <w:rPr>
                <w:rFonts w:eastAsia="Times New Roman" w:cs="Arial"/>
                <w:lang w:eastAsia="bg-BG"/>
              </w:rPr>
            </w:pPr>
          </w:p>
        </w:tc>
      </w:tr>
      <w:tr w:rsidR="00285FB8" w14:paraId="4E39D529" w14:textId="77777777" w:rsidTr="00285FB8">
        <w:tc>
          <w:tcPr>
            <w:tcW w:w="1703" w:type="dxa"/>
            <w:vMerge w:val="restart"/>
          </w:tcPr>
          <w:p w14:paraId="16C7329E" w14:textId="42F38DE8" w:rsidR="00285FB8" w:rsidRPr="00285FB8" w:rsidRDefault="00285FB8" w:rsidP="00285FB8">
            <w:pPr>
              <w:spacing w:line="240" w:lineRule="auto"/>
              <w:rPr>
                <w:rFonts w:eastAsia="Times New Roman" w:cs="Arial"/>
                <w:lang w:eastAsia="bg-BG"/>
              </w:rPr>
            </w:pPr>
            <w:r w:rsidRPr="00285FB8">
              <w:rPr>
                <w:rFonts w:cs="Arial"/>
              </w:rPr>
              <w:t>Нарушения на нервната система</w:t>
            </w:r>
          </w:p>
        </w:tc>
        <w:tc>
          <w:tcPr>
            <w:tcW w:w="2356" w:type="dxa"/>
            <w:vAlign w:val="bottom"/>
          </w:tcPr>
          <w:p w14:paraId="72EDA3ED" w14:textId="1497DDCB" w:rsidR="00285FB8" w:rsidRPr="00285FB8" w:rsidRDefault="00285FB8" w:rsidP="00285FB8">
            <w:pPr>
              <w:spacing w:line="240" w:lineRule="auto"/>
              <w:rPr>
                <w:rFonts w:eastAsia="Times New Roman" w:cs="Arial"/>
                <w:lang w:eastAsia="bg-BG"/>
              </w:rPr>
            </w:pPr>
            <w:r w:rsidRPr="00285FB8">
              <w:rPr>
                <w:rFonts w:cs="Arial"/>
              </w:rPr>
              <w:t>Координационни нарушения</w:t>
            </w:r>
          </w:p>
        </w:tc>
        <w:tc>
          <w:tcPr>
            <w:tcW w:w="1364" w:type="dxa"/>
          </w:tcPr>
          <w:p w14:paraId="21B6ADD1" w14:textId="2124666D"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7836E1FF" w14:textId="0C7A277C"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6C88E0E1" w14:textId="45498940"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A2811A5" w14:textId="312347D9" w:rsidR="00285FB8" w:rsidRPr="00285FB8" w:rsidRDefault="00285FB8" w:rsidP="00285FB8">
            <w:pPr>
              <w:spacing w:line="240" w:lineRule="auto"/>
              <w:rPr>
                <w:rFonts w:eastAsia="Times New Roman" w:cs="Arial"/>
                <w:lang w:eastAsia="bg-BG"/>
              </w:rPr>
            </w:pPr>
            <w:r w:rsidRPr="00285FB8">
              <w:rPr>
                <w:rFonts w:cs="Arial"/>
              </w:rPr>
              <w:t>-</w:t>
            </w:r>
          </w:p>
        </w:tc>
      </w:tr>
      <w:tr w:rsidR="00285FB8" w14:paraId="43D287E6" w14:textId="77777777" w:rsidTr="00285FB8">
        <w:tc>
          <w:tcPr>
            <w:tcW w:w="1703" w:type="dxa"/>
            <w:vMerge/>
          </w:tcPr>
          <w:p w14:paraId="1BB36727" w14:textId="77777777" w:rsidR="00285FB8" w:rsidRPr="00285FB8" w:rsidRDefault="00285FB8" w:rsidP="00285FB8">
            <w:pPr>
              <w:spacing w:line="240" w:lineRule="auto"/>
              <w:rPr>
                <w:rFonts w:eastAsia="Times New Roman" w:cs="Arial"/>
                <w:lang w:eastAsia="bg-BG"/>
              </w:rPr>
            </w:pPr>
          </w:p>
        </w:tc>
        <w:tc>
          <w:tcPr>
            <w:tcW w:w="2356" w:type="dxa"/>
            <w:vAlign w:val="bottom"/>
          </w:tcPr>
          <w:p w14:paraId="4C89142A" w14:textId="31882361" w:rsidR="00285FB8" w:rsidRPr="00285FB8" w:rsidRDefault="00285FB8" w:rsidP="00285FB8">
            <w:pPr>
              <w:spacing w:line="240" w:lineRule="auto"/>
              <w:rPr>
                <w:rFonts w:eastAsia="Times New Roman" w:cs="Arial"/>
                <w:lang w:eastAsia="bg-BG"/>
              </w:rPr>
            </w:pPr>
            <w:r w:rsidRPr="00285FB8">
              <w:rPr>
                <w:rFonts w:cs="Arial"/>
              </w:rPr>
              <w:t>Замаяност</w:t>
            </w:r>
          </w:p>
        </w:tc>
        <w:tc>
          <w:tcPr>
            <w:tcW w:w="1364" w:type="dxa"/>
            <w:vAlign w:val="bottom"/>
          </w:tcPr>
          <w:p w14:paraId="41D776A9" w14:textId="4EC20805"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vAlign w:val="bottom"/>
          </w:tcPr>
          <w:p w14:paraId="01EFFE5A" w14:textId="04BA821C"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bottom"/>
          </w:tcPr>
          <w:p w14:paraId="6EFD64B6" w14:textId="021E1AEE"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0A0D85CC" w14:textId="57FBDD1F"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464F4427" w14:textId="77777777" w:rsidTr="00285FB8">
        <w:tc>
          <w:tcPr>
            <w:tcW w:w="1703" w:type="dxa"/>
            <w:vMerge/>
          </w:tcPr>
          <w:p w14:paraId="7EB46382" w14:textId="77777777" w:rsidR="00285FB8" w:rsidRPr="00285FB8" w:rsidRDefault="00285FB8" w:rsidP="00285FB8">
            <w:pPr>
              <w:spacing w:line="240" w:lineRule="auto"/>
              <w:rPr>
                <w:rFonts w:eastAsia="Times New Roman" w:cs="Arial"/>
                <w:lang w:eastAsia="bg-BG"/>
              </w:rPr>
            </w:pPr>
          </w:p>
        </w:tc>
        <w:tc>
          <w:tcPr>
            <w:tcW w:w="2356" w:type="dxa"/>
            <w:vAlign w:val="bottom"/>
          </w:tcPr>
          <w:p w14:paraId="745EE519" w14:textId="77777777" w:rsidR="00285FB8" w:rsidRPr="00285FB8" w:rsidRDefault="00285FB8" w:rsidP="00285FB8">
            <w:pPr>
              <w:rPr>
                <w:rFonts w:cs="Arial"/>
              </w:rPr>
            </w:pPr>
            <w:r w:rsidRPr="00285FB8">
              <w:rPr>
                <w:rFonts w:cs="Arial"/>
              </w:rPr>
              <w:t>Постурална замаяност, замаяност</w:t>
            </w:r>
            <w:r w:rsidRPr="00285FB8">
              <w:rPr>
                <w:rFonts w:cs="Arial"/>
              </w:rPr>
              <w:tab/>
              <w:t>при</w:t>
            </w:r>
          </w:p>
          <w:p w14:paraId="695A7413" w14:textId="7787E411" w:rsidR="00285FB8" w:rsidRPr="00285FB8" w:rsidRDefault="00285FB8" w:rsidP="00285FB8">
            <w:pPr>
              <w:spacing w:line="240" w:lineRule="auto"/>
              <w:rPr>
                <w:rFonts w:eastAsia="Times New Roman" w:cs="Arial"/>
                <w:lang w:eastAsia="bg-BG"/>
              </w:rPr>
            </w:pPr>
            <w:r w:rsidRPr="00285FB8">
              <w:rPr>
                <w:rFonts w:cs="Arial"/>
              </w:rPr>
              <w:t>усилие</w:t>
            </w:r>
          </w:p>
        </w:tc>
        <w:tc>
          <w:tcPr>
            <w:tcW w:w="1364" w:type="dxa"/>
          </w:tcPr>
          <w:p w14:paraId="4E23F4DD" w14:textId="33456746"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547594B5" w14:textId="0897AF17"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3DD6B61A" w14:textId="77777777" w:rsidR="00285FB8" w:rsidRPr="00285FB8" w:rsidRDefault="00285FB8" w:rsidP="00285FB8">
            <w:pPr>
              <w:spacing w:line="240" w:lineRule="auto"/>
              <w:rPr>
                <w:rFonts w:eastAsia="Times New Roman" w:cs="Arial"/>
                <w:lang w:eastAsia="bg-BG"/>
              </w:rPr>
            </w:pPr>
          </w:p>
        </w:tc>
        <w:tc>
          <w:tcPr>
            <w:tcW w:w="1348" w:type="dxa"/>
          </w:tcPr>
          <w:p w14:paraId="7114CED2" w14:textId="77777777" w:rsidR="00285FB8" w:rsidRPr="00285FB8" w:rsidRDefault="00285FB8" w:rsidP="00285FB8">
            <w:pPr>
              <w:spacing w:line="240" w:lineRule="auto"/>
              <w:rPr>
                <w:rFonts w:eastAsia="Times New Roman" w:cs="Arial"/>
                <w:lang w:eastAsia="bg-BG"/>
              </w:rPr>
            </w:pPr>
          </w:p>
        </w:tc>
      </w:tr>
      <w:tr w:rsidR="00285FB8" w14:paraId="65D8DC4A" w14:textId="77777777" w:rsidTr="00285FB8">
        <w:tc>
          <w:tcPr>
            <w:tcW w:w="1703" w:type="dxa"/>
            <w:vMerge/>
          </w:tcPr>
          <w:p w14:paraId="69F65B5D" w14:textId="77777777" w:rsidR="00285FB8" w:rsidRPr="00285FB8" w:rsidRDefault="00285FB8" w:rsidP="00285FB8">
            <w:pPr>
              <w:spacing w:line="240" w:lineRule="auto"/>
              <w:rPr>
                <w:rFonts w:eastAsia="Times New Roman" w:cs="Arial"/>
                <w:lang w:eastAsia="bg-BG"/>
              </w:rPr>
            </w:pPr>
          </w:p>
        </w:tc>
        <w:tc>
          <w:tcPr>
            <w:tcW w:w="2356" w:type="dxa"/>
            <w:vAlign w:val="bottom"/>
          </w:tcPr>
          <w:p w14:paraId="2B1BFEC4" w14:textId="3E24C3D9" w:rsidR="00285FB8" w:rsidRPr="00285FB8" w:rsidRDefault="00285FB8" w:rsidP="00285FB8">
            <w:pPr>
              <w:spacing w:line="240" w:lineRule="auto"/>
              <w:rPr>
                <w:rFonts w:eastAsia="Times New Roman" w:cs="Arial"/>
                <w:lang w:eastAsia="bg-BG"/>
              </w:rPr>
            </w:pPr>
            <w:r w:rsidRPr="00285FB8">
              <w:rPr>
                <w:rFonts w:cs="Arial"/>
              </w:rPr>
              <w:t>Дисгеузия</w:t>
            </w:r>
          </w:p>
        </w:tc>
        <w:tc>
          <w:tcPr>
            <w:tcW w:w="1364" w:type="dxa"/>
            <w:vAlign w:val="bottom"/>
          </w:tcPr>
          <w:p w14:paraId="6C0961F8" w14:textId="237A220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3F004CD9" w14:textId="1F78BB0B"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990EE16" w14:textId="77777777" w:rsidR="00285FB8" w:rsidRPr="00285FB8" w:rsidRDefault="00285FB8" w:rsidP="00285FB8">
            <w:pPr>
              <w:spacing w:line="240" w:lineRule="auto"/>
              <w:rPr>
                <w:rFonts w:eastAsia="Times New Roman" w:cs="Arial"/>
                <w:lang w:eastAsia="bg-BG"/>
              </w:rPr>
            </w:pPr>
          </w:p>
        </w:tc>
        <w:tc>
          <w:tcPr>
            <w:tcW w:w="1348" w:type="dxa"/>
            <w:vAlign w:val="bottom"/>
          </w:tcPr>
          <w:p w14:paraId="180A7FE3" w14:textId="75AC4D90" w:rsidR="00285FB8" w:rsidRPr="00285FB8" w:rsidRDefault="00285FB8" w:rsidP="00285FB8">
            <w:pPr>
              <w:spacing w:line="240" w:lineRule="auto"/>
              <w:rPr>
                <w:rFonts w:eastAsia="Times New Roman" w:cs="Arial"/>
                <w:lang w:eastAsia="bg-BG"/>
              </w:rPr>
            </w:pPr>
            <w:r w:rsidRPr="00285FB8">
              <w:rPr>
                <w:rFonts w:cs="Arial"/>
              </w:rPr>
              <w:t>-</w:t>
            </w:r>
          </w:p>
        </w:tc>
      </w:tr>
      <w:tr w:rsidR="00285FB8" w14:paraId="78E4AADD" w14:textId="77777777" w:rsidTr="00285FB8">
        <w:tc>
          <w:tcPr>
            <w:tcW w:w="1703" w:type="dxa"/>
            <w:vMerge/>
          </w:tcPr>
          <w:p w14:paraId="4B87DEE5" w14:textId="77777777" w:rsidR="00285FB8" w:rsidRPr="00285FB8" w:rsidRDefault="00285FB8" w:rsidP="00285FB8">
            <w:pPr>
              <w:spacing w:line="240" w:lineRule="auto"/>
              <w:rPr>
                <w:rFonts w:eastAsia="Times New Roman" w:cs="Arial"/>
                <w:lang w:eastAsia="bg-BG"/>
              </w:rPr>
            </w:pPr>
          </w:p>
        </w:tc>
        <w:tc>
          <w:tcPr>
            <w:tcW w:w="2356" w:type="dxa"/>
            <w:vAlign w:val="bottom"/>
          </w:tcPr>
          <w:p w14:paraId="367ED321" w14:textId="6E2892D5" w:rsidR="00285FB8" w:rsidRPr="00285FB8" w:rsidRDefault="00285FB8" w:rsidP="00285FB8">
            <w:pPr>
              <w:spacing w:line="240" w:lineRule="auto"/>
              <w:rPr>
                <w:rFonts w:eastAsia="Times New Roman" w:cs="Arial"/>
                <w:lang w:eastAsia="bg-BG"/>
              </w:rPr>
            </w:pPr>
            <w:r w:rsidRPr="00285FB8">
              <w:rPr>
                <w:rFonts w:cs="Arial"/>
              </w:rPr>
              <w:t>Екстрапирамиден синдром</w:t>
            </w:r>
          </w:p>
        </w:tc>
        <w:tc>
          <w:tcPr>
            <w:tcW w:w="1364" w:type="dxa"/>
          </w:tcPr>
          <w:p w14:paraId="3A766DF5" w14:textId="2595E998"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6C652917" w14:textId="032F3B92"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50" w:type="dxa"/>
          </w:tcPr>
          <w:p w14:paraId="7FE6566E" w14:textId="460D113A"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428EBC90" w14:textId="7E5AB8F5" w:rsidR="00285FB8" w:rsidRPr="00285FB8" w:rsidRDefault="00285FB8" w:rsidP="00285FB8">
            <w:pPr>
              <w:spacing w:line="240" w:lineRule="auto"/>
              <w:rPr>
                <w:rFonts w:eastAsia="Times New Roman" w:cs="Arial"/>
                <w:lang w:eastAsia="bg-BG"/>
              </w:rPr>
            </w:pPr>
            <w:r w:rsidRPr="00285FB8">
              <w:rPr>
                <w:rFonts w:cs="Arial"/>
              </w:rPr>
              <w:t>-</w:t>
            </w:r>
          </w:p>
        </w:tc>
      </w:tr>
      <w:tr w:rsidR="00285FB8" w14:paraId="7397EC6B" w14:textId="77777777" w:rsidTr="00285FB8">
        <w:tc>
          <w:tcPr>
            <w:tcW w:w="1703" w:type="dxa"/>
            <w:vMerge/>
          </w:tcPr>
          <w:p w14:paraId="777BD638" w14:textId="77777777" w:rsidR="00285FB8" w:rsidRPr="00285FB8" w:rsidRDefault="00285FB8" w:rsidP="00285FB8">
            <w:pPr>
              <w:spacing w:line="240" w:lineRule="auto"/>
              <w:rPr>
                <w:rFonts w:eastAsia="Times New Roman" w:cs="Arial"/>
                <w:lang w:eastAsia="bg-BG"/>
              </w:rPr>
            </w:pPr>
          </w:p>
        </w:tc>
        <w:tc>
          <w:tcPr>
            <w:tcW w:w="2356" w:type="dxa"/>
            <w:vAlign w:val="bottom"/>
          </w:tcPr>
          <w:p w14:paraId="64D61EF3" w14:textId="79768C81" w:rsidR="00285FB8" w:rsidRPr="00285FB8" w:rsidRDefault="00285FB8" w:rsidP="00285FB8">
            <w:pPr>
              <w:spacing w:line="240" w:lineRule="auto"/>
              <w:rPr>
                <w:rFonts w:eastAsia="Times New Roman" w:cs="Arial"/>
                <w:lang w:eastAsia="bg-BG"/>
              </w:rPr>
            </w:pPr>
            <w:r w:rsidRPr="00285FB8">
              <w:rPr>
                <w:rFonts w:cs="Arial"/>
              </w:rPr>
              <w:t>Главоболие</w:t>
            </w:r>
          </w:p>
        </w:tc>
        <w:tc>
          <w:tcPr>
            <w:tcW w:w="1364" w:type="dxa"/>
            <w:vAlign w:val="bottom"/>
          </w:tcPr>
          <w:p w14:paraId="056E2CD1" w14:textId="53F93AA8"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vAlign w:val="bottom"/>
          </w:tcPr>
          <w:p w14:paraId="6EBA0DE9" w14:textId="1B4C1A5F"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bottom"/>
          </w:tcPr>
          <w:p w14:paraId="72B4A87D" w14:textId="519C7219"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17B0C590" w14:textId="79D1FCC6"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425645D4" w14:textId="77777777" w:rsidTr="00285FB8">
        <w:tc>
          <w:tcPr>
            <w:tcW w:w="1703" w:type="dxa"/>
            <w:vMerge/>
          </w:tcPr>
          <w:p w14:paraId="2655AD2C" w14:textId="77777777" w:rsidR="00285FB8" w:rsidRPr="00285FB8" w:rsidRDefault="00285FB8" w:rsidP="00285FB8">
            <w:pPr>
              <w:spacing w:line="240" w:lineRule="auto"/>
              <w:rPr>
                <w:rFonts w:eastAsia="Times New Roman" w:cs="Arial"/>
                <w:lang w:eastAsia="bg-BG"/>
              </w:rPr>
            </w:pPr>
          </w:p>
        </w:tc>
        <w:tc>
          <w:tcPr>
            <w:tcW w:w="2356" w:type="dxa"/>
            <w:vAlign w:val="bottom"/>
          </w:tcPr>
          <w:p w14:paraId="3FE144D4" w14:textId="07DB3404" w:rsidR="00285FB8" w:rsidRPr="00285FB8" w:rsidRDefault="00285FB8" w:rsidP="00285FB8">
            <w:pPr>
              <w:spacing w:line="240" w:lineRule="auto"/>
              <w:rPr>
                <w:rFonts w:eastAsia="Times New Roman" w:cs="Arial"/>
                <w:lang w:eastAsia="bg-BG"/>
              </w:rPr>
            </w:pPr>
            <w:r w:rsidRPr="00285FB8">
              <w:rPr>
                <w:rFonts w:cs="Arial"/>
              </w:rPr>
              <w:t>Хипертония</w:t>
            </w:r>
          </w:p>
        </w:tc>
        <w:tc>
          <w:tcPr>
            <w:tcW w:w="1364" w:type="dxa"/>
            <w:vAlign w:val="center"/>
          </w:tcPr>
          <w:p w14:paraId="401A5CAC" w14:textId="7F672922"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4E61FC4A" w14:textId="33A1F995"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20187981" w14:textId="67F0A943"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65F9FC70" w14:textId="169A4AE8" w:rsidR="00285FB8" w:rsidRPr="00285FB8" w:rsidRDefault="00285FB8" w:rsidP="00285FB8">
            <w:pPr>
              <w:spacing w:line="240" w:lineRule="auto"/>
              <w:rPr>
                <w:rFonts w:eastAsia="Times New Roman" w:cs="Arial"/>
                <w:lang w:eastAsia="bg-BG"/>
              </w:rPr>
            </w:pPr>
            <w:r w:rsidRPr="00285FB8">
              <w:rPr>
                <w:rFonts w:cs="Arial"/>
              </w:rPr>
              <w:t>-</w:t>
            </w:r>
          </w:p>
        </w:tc>
      </w:tr>
      <w:tr w:rsidR="00285FB8" w14:paraId="6A6CE8E3" w14:textId="77777777" w:rsidTr="00285FB8">
        <w:tc>
          <w:tcPr>
            <w:tcW w:w="1703" w:type="dxa"/>
            <w:vMerge/>
          </w:tcPr>
          <w:p w14:paraId="02C1BA80" w14:textId="77777777" w:rsidR="00285FB8" w:rsidRPr="00285FB8" w:rsidRDefault="00285FB8" w:rsidP="00285FB8">
            <w:pPr>
              <w:spacing w:line="240" w:lineRule="auto"/>
              <w:rPr>
                <w:rFonts w:eastAsia="Times New Roman" w:cs="Arial"/>
                <w:lang w:eastAsia="bg-BG"/>
              </w:rPr>
            </w:pPr>
          </w:p>
        </w:tc>
        <w:tc>
          <w:tcPr>
            <w:tcW w:w="2356" w:type="dxa"/>
            <w:vAlign w:val="bottom"/>
          </w:tcPr>
          <w:p w14:paraId="5D1C63DD" w14:textId="38385869" w:rsidR="00285FB8" w:rsidRPr="00285FB8" w:rsidRDefault="00285FB8" w:rsidP="00285FB8">
            <w:pPr>
              <w:spacing w:line="240" w:lineRule="auto"/>
              <w:rPr>
                <w:rFonts w:eastAsia="Times New Roman" w:cs="Arial"/>
                <w:lang w:eastAsia="bg-BG"/>
              </w:rPr>
            </w:pPr>
            <w:r w:rsidRPr="00285FB8">
              <w:rPr>
                <w:rFonts w:cs="Arial"/>
              </w:rPr>
              <w:t>Летаргия</w:t>
            </w:r>
          </w:p>
        </w:tc>
        <w:tc>
          <w:tcPr>
            <w:tcW w:w="1364" w:type="dxa"/>
            <w:vAlign w:val="center"/>
          </w:tcPr>
          <w:p w14:paraId="25300B4D" w14:textId="64A47B7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3F2E56AC" w14:textId="1521CE2A"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6FBFEC2F" w14:textId="4CEEE8BD"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30D4AFE6" w14:textId="04637F71" w:rsidR="00285FB8" w:rsidRPr="00285FB8" w:rsidRDefault="00285FB8" w:rsidP="00285FB8">
            <w:pPr>
              <w:spacing w:line="240" w:lineRule="auto"/>
              <w:rPr>
                <w:rFonts w:eastAsia="Times New Roman" w:cs="Arial"/>
                <w:lang w:eastAsia="bg-BG"/>
              </w:rPr>
            </w:pPr>
            <w:r w:rsidRPr="00285FB8">
              <w:rPr>
                <w:rFonts w:cs="Arial"/>
              </w:rPr>
              <w:t>-</w:t>
            </w:r>
          </w:p>
        </w:tc>
      </w:tr>
      <w:tr w:rsidR="00285FB8" w14:paraId="6B986FE1" w14:textId="77777777" w:rsidTr="00285FB8">
        <w:tc>
          <w:tcPr>
            <w:tcW w:w="1703" w:type="dxa"/>
            <w:vMerge/>
          </w:tcPr>
          <w:p w14:paraId="6F2F409A" w14:textId="77777777" w:rsidR="00285FB8" w:rsidRPr="00285FB8" w:rsidRDefault="00285FB8" w:rsidP="00285FB8">
            <w:pPr>
              <w:spacing w:line="240" w:lineRule="auto"/>
              <w:rPr>
                <w:rFonts w:eastAsia="Times New Roman" w:cs="Arial"/>
                <w:lang w:eastAsia="bg-BG"/>
              </w:rPr>
            </w:pPr>
          </w:p>
        </w:tc>
        <w:tc>
          <w:tcPr>
            <w:tcW w:w="2356" w:type="dxa"/>
            <w:vAlign w:val="bottom"/>
          </w:tcPr>
          <w:p w14:paraId="02CE429E" w14:textId="781CD14A" w:rsidR="00285FB8" w:rsidRPr="00285FB8" w:rsidRDefault="00285FB8" w:rsidP="00285FB8">
            <w:pPr>
              <w:spacing w:line="240" w:lineRule="auto"/>
              <w:rPr>
                <w:rFonts w:eastAsia="Times New Roman" w:cs="Arial"/>
                <w:lang w:eastAsia="bg-BG"/>
              </w:rPr>
            </w:pPr>
            <w:r w:rsidRPr="00285FB8">
              <w:rPr>
                <w:rFonts w:cs="Arial"/>
              </w:rPr>
              <w:t>Парестезия</w:t>
            </w:r>
          </w:p>
        </w:tc>
        <w:tc>
          <w:tcPr>
            <w:tcW w:w="1364" w:type="dxa"/>
            <w:vAlign w:val="bottom"/>
          </w:tcPr>
          <w:p w14:paraId="3DDE65D0" w14:textId="0495E96A"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17F4C22C" w14:textId="06283FC8"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23C9C1CA" w14:textId="51239EF1"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0E1C37E1" w14:textId="5E9561BC"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290E58CC" w14:textId="77777777" w:rsidTr="00285FB8">
        <w:tc>
          <w:tcPr>
            <w:tcW w:w="1703" w:type="dxa"/>
            <w:vMerge/>
          </w:tcPr>
          <w:p w14:paraId="5208ECF8" w14:textId="77777777" w:rsidR="00285FB8" w:rsidRPr="00285FB8" w:rsidRDefault="00285FB8" w:rsidP="00285FB8">
            <w:pPr>
              <w:spacing w:line="240" w:lineRule="auto"/>
              <w:rPr>
                <w:rFonts w:eastAsia="Times New Roman" w:cs="Arial"/>
                <w:lang w:eastAsia="bg-BG"/>
              </w:rPr>
            </w:pPr>
          </w:p>
        </w:tc>
        <w:tc>
          <w:tcPr>
            <w:tcW w:w="2356" w:type="dxa"/>
            <w:vAlign w:val="bottom"/>
          </w:tcPr>
          <w:p w14:paraId="3B77C507" w14:textId="23D34F80" w:rsidR="00285FB8" w:rsidRPr="00285FB8" w:rsidRDefault="00285FB8" w:rsidP="00285FB8">
            <w:pPr>
              <w:spacing w:line="240" w:lineRule="auto"/>
              <w:rPr>
                <w:rFonts w:eastAsia="Times New Roman" w:cs="Arial"/>
                <w:lang w:eastAsia="bg-BG"/>
              </w:rPr>
            </w:pPr>
            <w:r w:rsidRPr="00285FB8">
              <w:rPr>
                <w:rFonts w:cs="Arial"/>
              </w:rPr>
              <w:t>Периферна невропатия; невропатия</w:t>
            </w:r>
          </w:p>
        </w:tc>
        <w:tc>
          <w:tcPr>
            <w:tcW w:w="1364" w:type="dxa"/>
          </w:tcPr>
          <w:p w14:paraId="7CCE7CB3" w14:textId="7C9DB20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1892D318" w14:textId="48C45A50"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53B90121" w14:textId="2FC994E4"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B6D3EC7" w14:textId="6361C2E5" w:rsidR="00285FB8" w:rsidRPr="00285FB8" w:rsidRDefault="00285FB8" w:rsidP="00285FB8">
            <w:pPr>
              <w:spacing w:line="240" w:lineRule="auto"/>
              <w:rPr>
                <w:rFonts w:eastAsia="Times New Roman" w:cs="Arial"/>
                <w:lang w:eastAsia="bg-BG"/>
              </w:rPr>
            </w:pPr>
            <w:r w:rsidRPr="00285FB8">
              <w:rPr>
                <w:rFonts w:cs="Arial"/>
              </w:rPr>
              <w:t>-</w:t>
            </w:r>
          </w:p>
        </w:tc>
      </w:tr>
      <w:tr w:rsidR="00285FB8" w14:paraId="634014D2" w14:textId="77777777" w:rsidTr="00285FB8">
        <w:tc>
          <w:tcPr>
            <w:tcW w:w="1703" w:type="dxa"/>
            <w:vMerge/>
          </w:tcPr>
          <w:p w14:paraId="2671515E" w14:textId="77777777" w:rsidR="00285FB8" w:rsidRPr="00285FB8" w:rsidRDefault="00285FB8" w:rsidP="00285FB8">
            <w:pPr>
              <w:spacing w:line="240" w:lineRule="auto"/>
              <w:rPr>
                <w:rFonts w:eastAsia="Times New Roman" w:cs="Arial"/>
                <w:lang w:eastAsia="bg-BG"/>
              </w:rPr>
            </w:pPr>
          </w:p>
        </w:tc>
        <w:tc>
          <w:tcPr>
            <w:tcW w:w="2356" w:type="dxa"/>
          </w:tcPr>
          <w:p w14:paraId="644B5305" w14:textId="387EC3C0" w:rsidR="00285FB8" w:rsidRPr="00285FB8" w:rsidRDefault="00285FB8" w:rsidP="00285FB8">
            <w:pPr>
              <w:spacing w:line="240" w:lineRule="auto"/>
              <w:rPr>
                <w:rFonts w:eastAsia="Times New Roman" w:cs="Arial"/>
                <w:lang w:eastAsia="bg-BG"/>
              </w:rPr>
            </w:pPr>
            <w:r w:rsidRPr="00285FB8">
              <w:rPr>
                <w:rFonts w:cs="Arial"/>
              </w:rPr>
              <w:t>Сомнолентност</w:t>
            </w:r>
          </w:p>
        </w:tc>
        <w:tc>
          <w:tcPr>
            <w:tcW w:w="1364" w:type="dxa"/>
          </w:tcPr>
          <w:p w14:paraId="38BCD8C8" w14:textId="7228808D"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3FD5550F" w14:textId="16D89F54"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tcPr>
          <w:p w14:paraId="762D0992" w14:textId="77777777" w:rsidR="00285FB8" w:rsidRPr="00285FB8" w:rsidRDefault="00285FB8" w:rsidP="00285FB8">
            <w:pPr>
              <w:spacing w:line="240" w:lineRule="auto"/>
              <w:rPr>
                <w:rFonts w:eastAsia="Times New Roman" w:cs="Arial"/>
                <w:lang w:eastAsia="bg-BG"/>
              </w:rPr>
            </w:pPr>
          </w:p>
        </w:tc>
        <w:tc>
          <w:tcPr>
            <w:tcW w:w="1348" w:type="dxa"/>
          </w:tcPr>
          <w:p w14:paraId="38D5202C" w14:textId="77777777" w:rsidR="00285FB8" w:rsidRPr="00285FB8" w:rsidRDefault="00285FB8" w:rsidP="00285FB8">
            <w:pPr>
              <w:spacing w:line="240" w:lineRule="auto"/>
              <w:rPr>
                <w:rFonts w:eastAsia="Times New Roman" w:cs="Arial"/>
                <w:lang w:eastAsia="bg-BG"/>
              </w:rPr>
            </w:pPr>
          </w:p>
        </w:tc>
      </w:tr>
      <w:tr w:rsidR="00285FB8" w14:paraId="20EB2F88" w14:textId="77777777" w:rsidTr="00285FB8">
        <w:tc>
          <w:tcPr>
            <w:tcW w:w="1703" w:type="dxa"/>
            <w:vMerge/>
          </w:tcPr>
          <w:p w14:paraId="2C6B9827" w14:textId="77777777" w:rsidR="00285FB8" w:rsidRPr="00285FB8" w:rsidRDefault="00285FB8" w:rsidP="00285FB8">
            <w:pPr>
              <w:spacing w:line="240" w:lineRule="auto"/>
              <w:rPr>
                <w:rFonts w:eastAsia="Times New Roman" w:cs="Arial"/>
                <w:lang w:eastAsia="bg-BG"/>
              </w:rPr>
            </w:pPr>
          </w:p>
        </w:tc>
        <w:tc>
          <w:tcPr>
            <w:tcW w:w="2356" w:type="dxa"/>
          </w:tcPr>
          <w:p w14:paraId="36B8DE2B" w14:textId="0F6527F8" w:rsidR="00285FB8" w:rsidRPr="00285FB8" w:rsidRDefault="00285FB8" w:rsidP="00285FB8">
            <w:pPr>
              <w:spacing w:line="240" w:lineRule="auto"/>
              <w:rPr>
                <w:rFonts w:eastAsia="Times New Roman" w:cs="Arial"/>
                <w:lang w:eastAsia="bg-BG"/>
              </w:rPr>
            </w:pPr>
            <w:r w:rsidRPr="00285FB8">
              <w:rPr>
                <w:rFonts w:cs="Arial"/>
              </w:rPr>
              <w:t>Синкоп</w:t>
            </w:r>
          </w:p>
        </w:tc>
        <w:tc>
          <w:tcPr>
            <w:tcW w:w="1364" w:type="dxa"/>
          </w:tcPr>
          <w:p w14:paraId="6D2FF4D4" w14:textId="36BB0F64"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63D067B8" w14:textId="414A2EF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4D27DDAD" w14:textId="55F7B58E"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0D701BE7" w14:textId="1AFCF8E8" w:rsidR="00285FB8" w:rsidRPr="00285FB8" w:rsidRDefault="00285FB8" w:rsidP="00285FB8">
            <w:pPr>
              <w:spacing w:line="240" w:lineRule="auto"/>
              <w:rPr>
                <w:rFonts w:eastAsia="Times New Roman" w:cs="Arial"/>
                <w:lang w:eastAsia="bg-BG"/>
              </w:rPr>
            </w:pPr>
            <w:r w:rsidRPr="00285FB8">
              <w:rPr>
                <w:rFonts w:cs="Arial"/>
              </w:rPr>
              <w:t>-</w:t>
            </w:r>
          </w:p>
        </w:tc>
      </w:tr>
      <w:tr w:rsidR="00285FB8" w14:paraId="40049ABB" w14:textId="77777777" w:rsidTr="00285FB8">
        <w:tc>
          <w:tcPr>
            <w:tcW w:w="1703" w:type="dxa"/>
            <w:vMerge/>
          </w:tcPr>
          <w:p w14:paraId="798B3A3C" w14:textId="77777777" w:rsidR="00285FB8" w:rsidRPr="00285FB8" w:rsidRDefault="00285FB8" w:rsidP="00285FB8">
            <w:pPr>
              <w:spacing w:line="240" w:lineRule="auto"/>
              <w:rPr>
                <w:rFonts w:eastAsia="Times New Roman" w:cs="Arial"/>
                <w:lang w:eastAsia="bg-BG"/>
              </w:rPr>
            </w:pPr>
          </w:p>
        </w:tc>
        <w:tc>
          <w:tcPr>
            <w:tcW w:w="2356" w:type="dxa"/>
            <w:vAlign w:val="bottom"/>
          </w:tcPr>
          <w:p w14:paraId="6D461B16" w14:textId="75E59A78" w:rsidR="00285FB8" w:rsidRPr="00285FB8" w:rsidRDefault="00285FB8" w:rsidP="00285FB8">
            <w:pPr>
              <w:spacing w:line="240" w:lineRule="auto"/>
              <w:rPr>
                <w:rFonts w:eastAsia="Times New Roman" w:cs="Arial"/>
                <w:lang w:eastAsia="bg-BG"/>
              </w:rPr>
            </w:pPr>
            <w:r w:rsidRPr="00285FB8">
              <w:rPr>
                <w:rFonts w:cs="Arial"/>
              </w:rPr>
              <w:t>Тремор</w:t>
            </w:r>
          </w:p>
        </w:tc>
        <w:tc>
          <w:tcPr>
            <w:tcW w:w="1364" w:type="dxa"/>
            <w:vAlign w:val="center"/>
          </w:tcPr>
          <w:p w14:paraId="358A0E9C" w14:textId="0463E4A9"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0C5F34A4" w14:textId="0747CCA3"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3B73335F" w14:textId="68824741"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4D869B67" w14:textId="68F471BC" w:rsidR="00285FB8" w:rsidRPr="00285FB8" w:rsidRDefault="00285FB8" w:rsidP="00285FB8">
            <w:pPr>
              <w:spacing w:line="240" w:lineRule="auto"/>
              <w:rPr>
                <w:rFonts w:eastAsia="Times New Roman" w:cs="Arial"/>
                <w:lang w:eastAsia="bg-BG"/>
              </w:rPr>
            </w:pPr>
            <w:r w:rsidRPr="00285FB8">
              <w:rPr>
                <w:rFonts w:cs="Arial"/>
              </w:rPr>
              <w:t>-</w:t>
            </w:r>
          </w:p>
        </w:tc>
      </w:tr>
      <w:tr w:rsidR="00285FB8" w14:paraId="65553327" w14:textId="77777777" w:rsidTr="00285FB8">
        <w:tc>
          <w:tcPr>
            <w:tcW w:w="1703" w:type="dxa"/>
            <w:vMerge/>
          </w:tcPr>
          <w:p w14:paraId="0BB0C962" w14:textId="77777777" w:rsidR="00285FB8" w:rsidRPr="00285FB8" w:rsidRDefault="00285FB8" w:rsidP="00285FB8">
            <w:pPr>
              <w:spacing w:line="240" w:lineRule="auto"/>
              <w:rPr>
                <w:rFonts w:eastAsia="Times New Roman" w:cs="Arial"/>
                <w:lang w:eastAsia="bg-BG"/>
              </w:rPr>
            </w:pPr>
          </w:p>
        </w:tc>
        <w:tc>
          <w:tcPr>
            <w:tcW w:w="2356" w:type="dxa"/>
            <w:vAlign w:val="center"/>
          </w:tcPr>
          <w:p w14:paraId="182A7917" w14:textId="04BC336F" w:rsidR="00285FB8" w:rsidRPr="00285FB8" w:rsidRDefault="00285FB8" w:rsidP="00285FB8">
            <w:pPr>
              <w:spacing w:line="240" w:lineRule="auto"/>
              <w:rPr>
                <w:rFonts w:eastAsia="Times New Roman" w:cs="Arial"/>
                <w:lang w:eastAsia="bg-BG"/>
              </w:rPr>
            </w:pPr>
            <w:r w:rsidRPr="00285FB8">
              <w:rPr>
                <w:rFonts w:cs="Arial"/>
              </w:rPr>
              <w:t>Хипоестезия</w:t>
            </w:r>
          </w:p>
        </w:tc>
        <w:tc>
          <w:tcPr>
            <w:tcW w:w="1364" w:type="dxa"/>
            <w:vAlign w:val="center"/>
          </w:tcPr>
          <w:p w14:paraId="30741B95" w14:textId="430DDFA6"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center"/>
          </w:tcPr>
          <w:p w14:paraId="7152EDC1" w14:textId="0649B13C"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15780206" w14:textId="5420FAAD"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37F24BDD" w14:textId="103D9B50" w:rsidR="00285FB8" w:rsidRPr="00285FB8" w:rsidRDefault="00285FB8" w:rsidP="00285FB8">
            <w:pPr>
              <w:spacing w:line="240" w:lineRule="auto"/>
              <w:rPr>
                <w:rFonts w:eastAsia="Times New Roman" w:cs="Arial"/>
                <w:lang w:eastAsia="bg-BG"/>
              </w:rPr>
            </w:pPr>
            <w:r w:rsidRPr="00285FB8">
              <w:rPr>
                <w:rFonts w:cs="Arial"/>
              </w:rPr>
              <w:t>-</w:t>
            </w:r>
          </w:p>
        </w:tc>
      </w:tr>
      <w:tr w:rsidR="00285FB8" w14:paraId="1BB1C61C" w14:textId="77777777" w:rsidTr="00285FB8">
        <w:tc>
          <w:tcPr>
            <w:tcW w:w="1703" w:type="dxa"/>
            <w:vMerge w:val="restart"/>
          </w:tcPr>
          <w:p w14:paraId="10983F28" w14:textId="267C0516" w:rsidR="00285FB8" w:rsidRPr="00285FB8" w:rsidRDefault="00285FB8" w:rsidP="00285FB8">
            <w:pPr>
              <w:spacing w:line="240" w:lineRule="auto"/>
              <w:rPr>
                <w:rFonts w:eastAsia="Times New Roman" w:cs="Arial"/>
                <w:lang w:eastAsia="bg-BG"/>
              </w:rPr>
            </w:pPr>
            <w:r w:rsidRPr="00285FB8">
              <w:rPr>
                <w:rFonts w:cs="Arial"/>
              </w:rPr>
              <w:t>Нарушения на очите</w:t>
            </w:r>
          </w:p>
        </w:tc>
        <w:tc>
          <w:tcPr>
            <w:tcW w:w="2356" w:type="dxa"/>
            <w:vAlign w:val="bottom"/>
          </w:tcPr>
          <w:p w14:paraId="3BBB88CB" w14:textId="7EDBD93B" w:rsidR="00285FB8" w:rsidRPr="00285FB8" w:rsidRDefault="00285FB8" w:rsidP="00285FB8">
            <w:pPr>
              <w:spacing w:line="240" w:lineRule="auto"/>
              <w:rPr>
                <w:rFonts w:eastAsia="Times New Roman" w:cs="Arial"/>
                <w:lang w:eastAsia="bg-BG"/>
              </w:rPr>
            </w:pPr>
            <w:r w:rsidRPr="00285FB8">
              <w:rPr>
                <w:rFonts w:cs="Arial"/>
              </w:rPr>
              <w:t>Остра закритоъгълна глаукома</w:t>
            </w:r>
          </w:p>
        </w:tc>
        <w:tc>
          <w:tcPr>
            <w:tcW w:w="1364" w:type="dxa"/>
          </w:tcPr>
          <w:p w14:paraId="247BB47B" w14:textId="77777777" w:rsidR="00285FB8" w:rsidRPr="00285FB8" w:rsidRDefault="00285FB8" w:rsidP="00285FB8">
            <w:pPr>
              <w:spacing w:line="240" w:lineRule="auto"/>
              <w:rPr>
                <w:rFonts w:eastAsia="Times New Roman" w:cs="Arial"/>
                <w:lang w:eastAsia="bg-BG"/>
              </w:rPr>
            </w:pPr>
          </w:p>
        </w:tc>
        <w:tc>
          <w:tcPr>
            <w:tcW w:w="1455" w:type="dxa"/>
          </w:tcPr>
          <w:p w14:paraId="38C79944" w14:textId="5329AE22"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5C4FA396" w14:textId="010A3861"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643A22E" w14:textId="0021958B"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0964BC61" w14:textId="77777777" w:rsidTr="00285FB8">
        <w:tc>
          <w:tcPr>
            <w:tcW w:w="1703" w:type="dxa"/>
            <w:vMerge/>
          </w:tcPr>
          <w:p w14:paraId="0E09DC58" w14:textId="77777777" w:rsidR="00285FB8" w:rsidRPr="00285FB8" w:rsidRDefault="00285FB8" w:rsidP="00285FB8">
            <w:pPr>
              <w:spacing w:line="240" w:lineRule="auto"/>
              <w:rPr>
                <w:rFonts w:eastAsia="Times New Roman" w:cs="Arial"/>
                <w:lang w:eastAsia="bg-BG"/>
              </w:rPr>
            </w:pPr>
          </w:p>
        </w:tc>
        <w:tc>
          <w:tcPr>
            <w:tcW w:w="2356" w:type="dxa"/>
            <w:vAlign w:val="bottom"/>
          </w:tcPr>
          <w:p w14:paraId="2B56C9FA" w14:textId="2372A0BC" w:rsidR="00285FB8" w:rsidRPr="00285FB8" w:rsidRDefault="00285FB8" w:rsidP="00285FB8">
            <w:pPr>
              <w:spacing w:line="240" w:lineRule="auto"/>
              <w:rPr>
                <w:rFonts w:eastAsia="Times New Roman" w:cs="Arial"/>
                <w:lang w:eastAsia="bg-BG"/>
              </w:rPr>
            </w:pPr>
            <w:r w:rsidRPr="00285FB8">
              <w:rPr>
                <w:rFonts w:cs="Arial"/>
              </w:rPr>
              <w:t>Зрителни нарушения</w:t>
            </w:r>
          </w:p>
        </w:tc>
        <w:tc>
          <w:tcPr>
            <w:tcW w:w="1364" w:type="dxa"/>
          </w:tcPr>
          <w:p w14:paraId="3B8F4387" w14:textId="7F8D03DA"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021E655E" w14:textId="5FD9B56F"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3237A06" w14:textId="3E124B40"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630D1ED5" w14:textId="5EDDAD9D" w:rsidR="00285FB8" w:rsidRPr="00285FB8" w:rsidRDefault="00285FB8" w:rsidP="00285FB8">
            <w:pPr>
              <w:spacing w:line="240" w:lineRule="auto"/>
              <w:rPr>
                <w:rFonts w:eastAsia="Times New Roman" w:cs="Arial"/>
                <w:lang w:eastAsia="bg-BG"/>
              </w:rPr>
            </w:pPr>
            <w:r w:rsidRPr="00285FB8">
              <w:rPr>
                <w:rFonts w:cs="Arial"/>
              </w:rPr>
              <w:t>-</w:t>
            </w:r>
          </w:p>
        </w:tc>
      </w:tr>
      <w:tr w:rsidR="00285FB8" w14:paraId="7652BEFF" w14:textId="77777777" w:rsidTr="00285FB8">
        <w:tc>
          <w:tcPr>
            <w:tcW w:w="1703" w:type="dxa"/>
            <w:vMerge/>
          </w:tcPr>
          <w:p w14:paraId="789B9766" w14:textId="77777777" w:rsidR="00285FB8" w:rsidRPr="00285FB8" w:rsidRDefault="00285FB8" w:rsidP="00285FB8">
            <w:pPr>
              <w:spacing w:line="240" w:lineRule="auto"/>
              <w:rPr>
                <w:rFonts w:eastAsia="Times New Roman" w:cs="Arial"/>
                <w:lang w:eastAsia="bg-BG"/>
              </w:rPr>
            </w:pPr>
          </w:p>
        </w:tc>
        <w:tc>
          <w:tcPr>
            <w:tcW w:w="2356" w:type="dxa"/>
            <w:vAlign w:val="bottom"/>
          </w:tcPr>
          <w:p w14:paraId="040C0CCF" w14:textId="795A584B" w:rsidR="00285FB8" w:rsidRPr="00285FB8" w:rsidRDefault="00285FB8" w:rsidP="00285FB8">
            <w:pPr>
              <w:spacing w:line="240" w:lineRule="auto"/>
              <w:rPr>
                <w:rFonts w:eastAsia="Times New Roman" w:cs="Arial"/>
                <w:lang w:eastAsia="bg-BG"/>
              </w:rPr>
            </w:pPr>
            <w:r w:rsidRPr="00285FB8">
              <w:rPr>
                <w:rFonts w:cs="Arial"/>
              </w:rPr>
              <w:t>Зрително увреждане</w:t>
            </w:r>
          </w:p>
        </w:tc>
        <w:tc>
          <w:tcPr>
            <w:tcW w:w="1364" w:type="dxa"/>
          </w:tcPr>
          <w:p w14:paraId="5D541247" w14:textId="19FA238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7D4E06A8" w14:textId="2C324D5C"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35624535" w14:textId="20CE8F4D"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1605C491" w14:textId="2F5C3E63"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C3AD5E9" w14:textId="77777777" w:rsidTr="00285FB8">
        <w:tc>
          <w:tcPr>
            <w:tcW w:w="1703" w:type="dxa"/>
            <w:vMerge/>
          </w:tcPr>
          <w:p w14:paraId="5F76320C" w14:textId="77777777" w:rsidR="00285FB8" w:rsidRPr="00285FB8" w:rsidRDefault="00285FB8" w:rsidP="00285FB8">
            <w:pPr>
              <w:spacing w:line="240" w:lineRule="auto"/>
              <w:rPr>
                <w:rFonts w:eastAsia="Times New Roman" w:cs="Arial"/>
                <w:lang w:eastAsia="bg-BG"/>
              </w:rPr>
            </w:pPr>
          </w:p>
        </w:tc>
        <w:tc>
          <w:tcPr>
            <w:tcW w:w="2356" w:type="dxa"/>
          </w:tcPr>
          <w:p w14:paraId="546AE879" w14:textId="00D22566" w:rsidR="00285FB8" w:rsidRPr="00285FB8" w:rsidRDefault="00285FB8" w:rsidP="00285FB8">
            <w:pPr>
              <w:spacing w:line="240" w:lineRule="auto"/>
              <w:rPr>
                <w:rFonts w:eastAsia="Times New Roman" w:cs="Arial"/>
                <w:lang w:eastAsia="bg-BG"/>
              </w:rPr>
            </w:pPr>
            <w:r w:rsidRPr="00285FB8">
              <w:rPr>
                <w:rFonts w:cs="Arial"/>
              </w:rPr>
              <w:t>Хороидален излив</w:t>
            </w:r>
          </w:p>
        </w:tc>
        <w:tc>
          <w:tcPr>
            <w:tcW w:w="1364" w:type="dxa"/>
          </w:tcPr>
          <w:p w14:paraId="24655C4D" w14:textId="18F16DD5"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5F92B07D" w14:textId="010F4B91"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1989A64C" w14:textId="42D2A7B8"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0BD60E3" w14:textId="26791C38"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1BFE20CD" w14:textId="77777777" w:rsidTr="00285FB8">
        <w:tc>
          <w:tcPr>
            <w:tcW w:w="1703" w:type="dxa"/>
            <w:vMerge w:val="restart"/>
            <w:vAlign w:val="bottom"/>
          </w:tcPr>
          <w:p w14:paraId="399CC248" w14:textId="77777777" w:rsidR="00285FB8" w:rsidRPr="00285FB8" w:rsidRDefault="00285FB8" w:rsidP="00285FB8">
            <w:pPr>
              <w:rPr>
                <w:rFonts w:cs="Arial"/>
              </w:rPr>
            </w:pPr>
            <w:r w:rsidRPr="00285FB8">
              <w:rPr>
                <w:rFonts w:cs="Arial"/>
              </w:rPr>
              <w:t>Нарушения на ухото</w:t>
            </w:r>
            <w:r w:rsidRPr="00285FB8">
              <w:rPr>
                <w:rFonts w:cs="Arial"/>
              </w:rPr>
              <w:tab/>
              <w:t>и</w:t>
            </w:r>
          </w:p>
          <w:p w14:paraId="482CFF45" w14:textId="4DD62257" w:rsidR="00285FB8" w:rsidRPr="00285FB8" w:rsidRDefault="00285FB8" w:rsidP="00285FB8">
            <w:pPr>
              <w:spacing w:line="240" w:lineRule="auto"/>
              <w:rPr>
                <w:rFonts w:eastAsia="Times New Roman" w:cs="Arial"/>
                <w:lang w:eastAsia="bg-BG"/>
              </w:rPr>
            </w:pPr>
            <w:r w:rsidRPr="00285FB8">
              <w:rPr>
                <w:rFonts w:cs="Arial"/>
              </w:rPr>
              <w:t>лабиринта</w:t>
            </w:r>
          </w:p>
        </w:tc>
        <w:tc>
          <w:tcPr>
            <w:tcW w:w="2356" w:type="dxa"/>
          </w:tcPr>
          <w:p w14:paraId="0149D9AE" w14:textId="2AF049CF" w:rsidR="00285FB8" w:rsidRPr="00285FB8" w:rsidRDefault="00285FB8" w:rsidP="00285FB8">
            <w:pPr>
              <w:spacing w:line="240" w:lineRule="auto"/>
              <w:rPr>
                <w:rFonts w:eastAsia="Times New Roman" w:cs="Arial"/>
                <w:lang w:eastAsia="bg-BG"/>
              </w:rPr>
            </w:pPr>
            <w:r w:rsidRPr="00285FB8">
              <w:rPr>
                <w:rFonts w:cs="Arial"/>
              </w:rPr>
              <w:t>Тинитус</w:t>
            </w:r>
          </w:p>
        </w:tc>
        <w:tc>
          <w:tcPr>
            <w:tcW w:w="1364" w:type="dxa"/>
            <w:vAlign w:val="center"/>
          </w:tcPr>
          <w:p w14:paraId="09309300" w14:textId="5F4C5ABF"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27840F9D" w14:textId="0F423558"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1057CA40" w14:textId="7A053048"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12F6AAAB" w14:textId="341A26A7" w:rsidR="00285FB8" w:rsidRPr="00285FB8" w:rsidRDefault="00285FB8" w:rsidP="00285FB8">
            <w:pPr>
              <w:spacing w:line="240" w:lineRule="auto"/>
              <w:rPr>
                <w:rFonts w:eastAsia="Times New Roman" w:cs="Arial"/>
                <w:lang w:eastAsia="bg-BG"/>
              </w:rPr>
            </w:pPr>
            <w:r w:rsidRPr="00285FB8">
              <w:rPr>
                <w:rFonts w:cs="Arial"/>
              </w:rPr>
              <w:t>-</w:t>
            </w:r>
          </w:p>
        </w:tc>
      </w:tr>
      <w:tr w:rsidR="00285FB8" w14:paraId="7B8DC8E2" w14:textId="77777777" w:rsidTr="00285FB8">
        <w:tc>
          <w:tcPr>
            <w:tcW w:w="1703" w:type="dxa"/>
            <w:vMerge/>
            <w:vAlign w:val="bottom"/>
          </w:tcPr>
          <w:p w14:paraId="7F3D1CEB" w14:textId="77777777" w:rsidR="00285FB8" w:rsidRPr="00285FB8" w:rsidRDefault="00285FB8" w:rsidP="00285FB8">
            <w:pPr>
              <w:spacing w:line="240" w:lineRule="auto"/>
              <w:rPr>
                <w:rFonts w:eastAsia="Times New Roman" w:cs="Arial"/>
                <w:lang w:eastAsia="bg-BG"/>
              </w:rPr>
            </w:pPr>
          </w:p>
        </w:tc>
        <w:tc>
          <w:tcPr>
            <w:tcW w:w="2356" w:type="dxa"/>
          </w:tcPr>
          <w:p w14:paraId="668B4DA8" w14:textId="6A49AF1B" w:rsidR="00285FB8" w:rsidRPr="00285FB8" w:rsidRDefault="00285FB8" w:rsidP="00285FB8">
            <w:pPr>
              <w:spacing w:line="240" w:lineRule="auto"/>
              <w:rPr>
                <w:rFonts w:eastAsia="Times New Roman" w:cs="Arial"/>
                <w:lang w:eastAsia="bg-BG"/>
              </w:rPr>
            </w:pPr>
            <w:r w:rsidRPr="00285FB8">
              <w:rPr>
                <w:rFonts w:cs="Arial"/>
              </w:rPr>
              <w:t>Вертиго</w:t>
            </w:r>
          </w:p>
        </w:tc>
        <w:tc>
          <w:tcPr>
            <w:tcW w:w="1364" w:type="dxa"/>
          </w:tcPr>
          <w:p w14:paraId="092F0605" w14:textId="27CF81D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6C069514" w14:textId="5EB5DA11"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539200FF" w14:textId="017BB5C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48" w:type="dxa"/>
            <w:vAlign w:val="center"/>
          </w:tcPr>
          <w:p w14:paraId="233D23A9" w14:textId="01F8CFC9" w:rsidR="00285FB8" w:rsidRPr="00285FB8" w:rsidRDefault="00285FB8" w:rsidP="00285FB8">
            <w:pPr>
              <w:spacing w:line="240" w:lineRule="auto"/>
              <w:rPr>
                <w:rFonts w:eastAsia="Times New Roman" w:cs="Arial"/>
                <w:lang w:eastAsia="bg-BG"/>
              </w:rPr>
            </w:pPr>
            <w:r w:rsidRPr="00285FB8">
              <w:rPr>
                <w:rFonts w:cs="Arial"/>
              </w:rPr>
              <w:t>-</w:t>
            </w:r>
          </w:p>
        </w:tc>
      </w:tr>
      <w:tr w:rsidR="00285FB8" w14:paraId="430F204D" w14:textId="77777777" w:rsidTr="00285FB8">
        <w:tc>
          <w:tcPr>
            <w:tcW w:w="1703" w:type="dxa"/>
            <w:vMerge w:val="restart"/>
          </w:tcPr>
          <w:p w14:paraId="096072AD" w14:textId="4148129C" w:rsidR="00285FB8" w:rsidRPr="00285FB8" w:rsidRDefault="00285FB8" w:rsidP="00285FB8">
            <w:pPr>
              <w:spacing w:line="240" w:lineRule="auto"/>
              <w:rPr>
                <w:rFonts w:eastAsia="Times New Roman" w:cs="Arial"/>
                <w:lang w:eastAsia="bg-BG"/>
              </w:rPr>
            </w:pPr>
            <w:r w:rsidRPr="00285FB8">
              <w:rPr>
                <w:rFonts w:cs="Arial"/>
              </w:rPr>
              <w:t>Сърдечни нарушения</w:t>
            </w:r>
          </w:p>
        </w:tc>
        <w:tc>
          <w:tcPr>
            <w:tcW w:w="2356" w:type="dxa"/>
          </w:tcPr>
          <w:p w14:paraId="541C11F7" w14:textId="04FEBFAE" w:rsidR="00285FB8" w:rsidRPr="00285FB8" w:rsidRDefault="00285FB8" w:rsidP="00285FB8">
            <w:pPr>
              <w:spacing w:line="240" w:lineRule="auto"/>
              <w:rPr>
                <w:rFonts w:eastAsia="Times New Roman" w:cs="Arial"/>
                <w:lang w:eastAsia="bg-BG"/>
              </w:rPr>
            </w:pPr>
            <w:r w:rsidRPr="00285FB8">
              <w:rPr>
                <w:rFonts w:cs="Arial"/>
              </w:rPr>
              <w:t>Палпитации</w:t>
            </w:r>
          </w:p>
        </w:tc>
        <w:tc>
          <w:tcPr>
            <w:tcW w:w="1364" w:type="dxa"/>
            <w:vAlign w:val="center"/>
          </w:tcPr>
          <w:p w14:paraId="53EA16A2" w14:textId="3C0C28A3"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56731FE3" w14:textId="397FD86C"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center"/>
          </w:tcPr>
          <w:p w14:paraId="199B3BE8" w14:textId="789E6D97"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355F118" w14:textId="77777777" w:rsidR="00285FB8" w:rsidRPr="00285FB8" w:rsidRDefault="00285FB8" w:rsidP="00285FB8">
            <w:pPr>
              <w:spacing w:line="240" w:lineRule="auto"/>
              <w:rPr>
                <w:rFonts w:eastAsia="Times New Roman" w:cs="Arial"/>
                <w:lang w:eastAsia="bg-BG"/>
              </w:rPr>
            </w:pPr>
          </w:p>
        </w:tc>
      </w:tr>
      <w:tr w:rsidR="00285FB8" w14:paraId="4B4A7488" w14:textId="77777777" w:rsidTr="00285FB8">
        <w:tc>
          <w:tcPr>
            <w:tcW w:w="1703" w:type="dxa"/>
            <w:vMerge/>
          </w:tcPr>
          <w:p w14:paraId="36570A1B" w14:textId="77777777" w:rsidR="00285FB8" w:rsidRPr="00285FB8" w:rsidRDefault="00285FB8" w:rsidP="00285FB8">
            <w:pPr>
              <w:spacing w:line="240" w:lineRule="auto"/>
              <w:rPr>
                <w:rFonts w:eastAsia="Times New Roman" w:cs="Arial"/>
                <w:lang w:eastAsia="bg-BG"/>
              </w:rPr>
            </w:pPr>
          </w:p>
        </w:tc>
        <w:tc>
          <w:tcPr>
            <w:tcW w:w="2356" w:type="dxa"/>
            <w:vAlign w:val="bottom"/>
          </w:tcPr>
          <w:p w14:paraId="442B895F" w14:textId="70DF2932" w:rsidR="00285FB8" w:rsidRPr="00285FB8" w:rsidRDefault="00285FB8" w:rsidP="00285FB8">
            <w:pPr>
              <w:spacing w:line="240" w:lineRule="auto"/>
              <w:rPr>
                <w:rFonts w:eastAsia="Times New Roman" w:cs="Arial"/>
                <w:lang w:eastAsia="bg-BG"/>
              </w:rPr>
            </w:pPr>
            <w:r w:rsidRPr="00285FB8">
              <w:rPr>
                <w:rFonts w:cs="Arial"/>
              </w:rPr>
              <w:t>Тахикардия</w:t>
            </w:r>
          </w:p>
        </w:tc>
        <w:tc>
          <w:tcPr>
            <w:tcW w:w="1364" w:type="dxa"/>
            <w:vAlign w:val="center"/>
          </w:tcPr>
          <w:p w14:paraId="5541DA00" w14:textId="3C3C605F"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5A551FB2" w14:textId="7349E411"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0EADC682" w14:textId="74BF4BEB"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3BA530B5" w14:textId="69D07E5D" w:rsidR="00285FB8" w:rsidRPr="00285FB8" w:rsidRDefault="00285FB8" w:rsidP="00285FB8">
            <w:pPr>
              <w:spacing w:line="240" w:lineRule="auto"/>
              <w:rPr>
                <w:rFonts w:eastAsia="Times New Roman" w:cs="Arial"/>
                <w:lang w:eastAsia="bg-BG"/>
              </w:rPr>
            </w:pPr>
            <w:r w:rsidRPr="00285FB8">
              <w:rPr>
                <w:rFonts w:cs="Arial"/>
              </w:rPr>
              <w:t>-</w:t>
            </w:r>
          </w:p>
        </w:tc>
      </w:tr>
      <w:tr w:rsidR="00285FB8" w14:paraId="47DE6DF2" w14:textId="77777777" w:rsidTr="00285FB8">
        <w:tc>
          <w:tcPr>
            <w:tcW w:w="1703" w:type="dxa"/>
            <w:vMerge/>
          </w:tcPr>
          <w:p w14:paraId="02656B03" w14:textId="77777777" w:rsidR="00285FB8" w:rsidRPr="00285FB8" w:rsidRDefault="00285FB8" w:rsidP="00285FB8">
            <w:pPr>
              <w:spacing w:line="240" w:lineRule="auto"/>
              <w:rPr>
                <w:rFonts w:eastAsia="Times New Roman" w:cs="Arial"/>
                <w:lang w:eastAsia="bg-BG"/>
              </w:rPr>
            </w:pPr>
          </w:p>
        </w:tc>
        <w:tc>
          <w:tcPr>
            <w:tcW w:w="2356" w:type="dxa"/>
            <w:vAlign w:val="bottom"/>
          </w:tcPr>
          <w:p w14:paraId="7E8CA9B2" w14:textId="77777777" w:rsidR="00285FB8" w:rsidRPr="00285FB8" w:rsidRDefault="00285FB8" w:rsidP="00285FB8">
            <w:pPr>
              <w:rPr>
                <w:rFonts w:cs="Arial"/>
              </w:rPr>
            </w:pPr>
            <w:r w:rsidRPr="00285FB8">
              <w:rPr>
                <w:rFonts w:cs="Arial"/>
              </w:rPr>
              <w:t>Аритмии (включително брадикардия, камерна тахикардия и</w:t>
            </w:r>
            <w:r w:rsidRPr="00285FB8">
              <w:rPr>
                <w:rFonts w:cs="Arial"/>
              </w:rPr>
              <w:tab/>
              <w:t>предсърдно</w:t>
            </w:r>
          </w:p>
          <w:p w14:paraId="07C71142" w14:textId="755711CA" w:rsidR="00285FB8" w:rsidRPr="00285FB8" w:rsidRDefault="00285FB8" w:rsidP="00285FB8">
            <w:pPr>
              <w:spacing w:line="240" w:lineRule="auto"/>
              <w:rPr>
                <w:rFonts w:eastAsia="Times New Roman" w:cs="Arial"/>
                <w:lang w:eastAsia="bg-BG"/>
              </w:rPr>
            </w:pPr>
            <w:r w:rsidRPr="00285FB8">
              <w:rPr>
                <w:rFonts w:cs="Arial"/>
              </w:rPr>
              <w:t>мъждене)</w:t>
            </w:r>
          </w:p>
        </w:tc>
        <w:tc>
          <w:tcPr>
            <w:tcW w:w="1364" w:type="dxa"/>
          </w:tcPr>
          <w:p w14:paraId="7AEDC92C" w14:textId="77777777" w:rsidR="00285FB8" w:rsidRPr="00285FB8" w:rsidRDefault="00285FB8" w:rsidP="00285FB8">
            <w:pPr>
              <w:spacing w:line="240" w:lineRule="auto"/>
              <w:rPr>
                <w:rFonts w:eastAsia="Times New Roman" w:cs="Arial"/>
                <w:lang w:eastAsia="bg-BG"/>
              </w:rPr>
            </w:pPr>
          </w:p>
        </w:tc>
        <w:tc>
          <w:tcPr>
            <w:tcW w:w="1455" w:type="dxa"/>
          </w:tcPr>
          <w:p w14:paraId="0F4B96A9" w14:textId="2852639A"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61DF9B7F" w14:textId="77777777" w:rsidR="00285FB8" w:rsidRPr="00285FB8" w:rsidRDefault="00285FB8" w:rsidP="00285FB8">
            <w:pPr>
              <w:spacing w:line="240" w:lineRule="auto"/>
              <w:rPr>
                <w:rFonts w:eastAsia="Times New Roman" w:cs="Arial"/>
                <w:lang w:eastAsia="bg-BG"/>
              </w:rPr>
            </w:pPr>
          </w:p>
        </w:tc>
        <w:tc>
          <w:tcPr>
            <w:tcW w:w="1348" w:type="dxa"/>
          </w:tcPr>
          <w:p w14:paraId="5A5D49A0" w14:textId="7BC3D01A"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6E8D3F06" w14:textId="77777777" w:rsidTr="00285FB8">
        <w:tc>
          <w:tcPr>
            <w:tcW w:w="1703" w:type="dxa"/>
            <w:vMerge/>
          </w:tcPr>
          <w:p w14:paraId="3B2CA931" w14:textId="77777777" w:rsidR="00285FB8" w:rsidRPr="00285FB8" w:rsidRDefault="00285FB8" w:rsidP="00285FB8">
            <w:pPr>
              <w:spacing w:line="240" w:lineRule="auto"/>
              <w:rPr>
                <w:rFonts w:eastAsia="Times New Roman" w:cs="Arial"/>
                <w:lang w:eastAsia="bg-BG"/>
              </w:rPr>
            </w:pPr>
          </w:p>
        </w:tc>
        <w:tc>
          <w:tcPr>
            <w:tcW w:w="2356" w:type="dxa"/>
            <w:vAlign w:val="bottom"/>
          </w:tcPr>
          <w:p w14:paraId="3B639332" w14:textId="22136863" w:rsidR="00285FB8" w:rsidRPr="00285FB8" w:rsidRDefault="00285FB8" w:rsidP="00285FB8">
            <w:pPr>
              <w:spacing w:line="240" w:lineRule="auto"/>
              <w:rPr>
                <w:rFonts w:eastAsia="Times New Roman" w:cs="Arial"/>
                <w:lang w:eastAsia="bg-BG"/>
              </w:rPr>
            </w:pPr>
            <w:r w:rsidRPr="00285FB8">
              <w:rPr>
                <w:rFonts w:cs="Arial"/>
              </w:rPr>
              <w:t>Миокарден инфаркт</w:t>
            </w:r>
          </w:p>
        </w:tc>
        <w:tc>
          <w:tcPr>
            <w:tcW w:w="1364" w:type="dxa"/>
            <w:vAlign w:val="center"/>
          </w:tcPr>
          <w:p w14:paraId="7612A932" w14:textId="5D986A04"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44F1E0AB" w14:textId="3B28034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0E44E38E" w14:textId="091397BD"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03DA737D" w14:textId="4FB0DD50" w:rsidR="00285FB8" w:rsidRPr="00285FB8" w:rsidRDefault="00285FB8" w:rsidP="00285FB8">
            <w:pPr>
              <w:spacing w:line="240" w:lineRule="auto"/>
              <w:rPr>
                <w:rFonts w:eastAsia="Times New Roman" w:cs="Arial"/>
                <w:lang w:eastAsia="bg-BG"/>
              </w:rPr>
            </w:pPr>
            <w:r w:rsidRPr="00285FB8">
              <w:rPr>
                <w:rFonts w:cs="Arial"/>
              </w:rPr>
              <w:t>-</w:t>
            </w:r>
          </w:p>
        </w:tc>
      </w:tr>
      <w:tr w:rsidR="00285FB8" w14:paraId="7F657888" w14:textId="77777777" w:rsidTr="00285FB8">
        <w:tc>
          <w:tcPr>
            <w:tcW w:w="1703" w:type="dxa"/>
            <w:vMerge w:val="restart"/>
          </w:tcPr>
          <w:p w14:paraId="3BB7C75C" w14:textId="4F2733FB" w:rsidR="00285FB8" w:rsidRPr="00285FB8" w:rsidRDefault="00285FB8" w:rsidP="00285FB8">
            <w:pPr>
              <w:spacing w:line="240" w:lineRule="auto"/>
              <w:rPr>
                <w:rFonts w:eastAsia="Times New Roman" w:cs="Arial"/>
                <w:lang w:eastAsia="bg-BG"/>
              </w:rPr>
            </w:pPr>
            <w:r w:rsidRPr="00285FB8">
              <w:rPr>
                <w:rFonts w:cs="Arial"/>
              </w:rPr>
              <w:t>Съдови нарушения</w:t>
            </w:r>
          </w:p>
        </w:tc>
        <w:tc>
          <w:tcPr>
            <w:tcW w:w="2356" w:type="dxa"/>
            <w:vAlign w:val="bottom"/>
          </w:tcPr>
          <w:p w14:paraId="1467E9C5" w14:textId="2E020FEF" w:rsidR="00285FB8" w:rsidRPr="00285FB8" w:rsidRDefault="00285FB8" w:rsidP="00285FB8">
            <w:pPr>
              <w:spacing w:line="240" w:lineRule="auto"/>
              <w:rPr>
                <w:rFonts w:eastAsia="Times New Roman" w:cs="Arial"/>
                <w:lang w:eastAsia="bg-BG"/>
              </w:rPr>
            </w:pPr>
            <w:r w:rsidRPr="00285FB8">
              <w:rPr>
                <w:rFonts w:cs="Arial"/>
              </w:rPr>
              <w:t>Зачервяване</w:t>
            </w:r>
          </w:p>
        </w:tc>
        <w:tc>
          <w:tcPr>
            <w:tcW w:w="1364" w:type="dxa"/>
            <w:vAlign w:val="center"/>
          </w:tcPr>
          <w:p w14:paraId="717FD9C5" w14:textId="2029FEF2"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50D2450A" w14:textId="06264975"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center"/>
          </w:tcPr>
          <w:p w14:paraId="2DAF6ED2" w14:textId="05DCC22F"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3E3B2E21" w14:textId="01122CCA" w:rsidR="00285FB8" w:rsidRPr="00285FB8" w:rsidRDefault="00285FB8" w:rsidP="00285FB8">
            <w:pPr>
              <w:spacing w:line="240" w:lineRule="auto"/>
              <w:rPr>
                <w:rFonts w:eastAsia="Times New Roman" w:cs="Arial"/>
                <w:lang w:eastAsia="bg-BG"/>
              </w:rPr>
            </w:pPr>
            <w:r w:rsidRPr="00285FB8">
              <w:rPr>
                <w:rFonts w:cs="Arial"/>
              </w:rPr>
              <w:t>-</w:t>
            </w:r>
          </w:p>
        </w:tc>
      </w:tr>
      <w:tr w:rsidR="00285FB8" w14:paraId="16B6AE4C" w14:textId="77777777" w:rsidTr="00285FB8">
        <w:tc>
          <w:tcPr>
            <w:tcW w:w="1703" w:type="dxa"/>
            <w:vMerge/>
          </w:tcPr>
          <w:p w14:paraId="72CE03B9" w14:textId="77777777" w:rsidR="00285FB8" w:rsidRPr="00285FB8" w:rsidRDefault="00285FB8" w:rsidP="00285FB8">
            <w:pPr>
              <w:spacing w:line="240" w:lineRule="auto"/>
              <w:rPr>
                <w:rFonts w:eastAsia="Times New Roman" w:cs="Arial"/>
                <w:lang w:eastAsia="bg-BG"/>
              </w:rPr>
            </w:pPr>
          </w:p>
        </w:tc>
        <w:tc>
          <w:tcPr>
            <w:tcW w:w="2356" w:type="dxa"/>
          </w:tcPr>
          <w:p w14:paraId="6471B608" w14:textId="314CFF33" w:rsidR="00285FB8" w:rsidRPr="00285FB8" w:rsidRDefault="00285FB8" w:rsidP="00285FB8">
            <w:pPr>
              <w:spacing w:line="240" w:lineRule="auto"/>
              <w:rPr>
                <w:rFonts w:eastAsia="Times New Roman" w:cs="Arial"/>
                <w:lang w:eastAsia="bg-BG"/>
              </w:rPr>
            </w:pPr>
            <w:r w:rsidRPr="00285FB8">
              <w:rPr>
                <w:rFonts w:cs="Arial"/>
              </w:rPr>
              <w:t>Хипотония</w:t>
            </w:r>
          </w:p>
        </w:tc>
        <w:tc>
          <w:tcPr>
            <w:tcW w:w="1364" w:type="dxa"/>
          </w:tcPr>
          <w:p w14:paraId="79614B69" w14:textId="71E71BBF"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tcPr>
          <w:p w14:paraId="2496FAAD" w14:textId="4A205A05"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4F1B7851" w14:textId="562A5C23"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6BE3A17A" w14:textId="321DA141" w:rsidR="00285FB8" w:rsidRPr="00285FB8" w:rsidRDefault="00285FB8" w:rsidP="00285FB8">
            <w:pPr>
              <w:spacing w:line="240" w:lineRule="auto"/>
              <w:rPr>
                <w:rFonts w:eastAsia="Times New Roman" w:cs="Arial"/>
                <w:lang w:eastAsia="bg-BG"/>
              </w:rPr>
            </w:pPr>
            <w:r w:rsidRPr="00285FB8">
              <w:rPr>
                <w:rFonts w:cs="Arial"/>
              </w:rPr>
              <w:t>-</w:t>
            </w:r>
          </w:p>
        </w:tc>
      </w:tr>
      <w:tr w:rsidR="00285FB8" w14:paraId="6CFC1563" w14:textId="77777777" w:rsidTr="00285FB8">
        <w:tc>
          <w:tcPr>
            <w:tcW w:w="1703" w:type="dxa"/>
            <w:vMerge/>
          </w:tcPr>
          <w:p w14:paraId="79495F84" w14:textId="77777777" w:rsidR="00285FB8" w:rsidRPr="00285FB8" w:rsidRDefault="00285FB8" w:rsidP="00285FB8">
            <w:pPr>
              <w:spacing w:line="240" w:lineRule="auto"/>
              <w:rPr>
                <w:rFonts w:eastAsia="Times New Roman" w:cs="Arial"/>
                <w:lang w:eastAsia="bg-BG"/>
              </w:rPr>
            </w:pPr>
          </w:p>
        </w:tc>
        <w:tc>
          <w:tcPr>
            <w:tcW w:w="2356" w:type="dxa"/>
          </w:tcPr>
          <w:p w14:paraId="0EE236DA" w14:textId="35BFFBBA" w:rsidR="00285FB8" w:rsidRPr="00285FB8" w:rsidRDefault="00285FB8" w:rsidP="00285FB8">
            <w:pPr>
              <w:spacing w:line="240" w:lineRule="auto"/>
              <w:rPr>
                <w:rFonts w:eastAsia="Times New Roman" w:cs="Arial"/>
                <w:lang w:eastAsia="bg-BG"/>
              </w:rPr>
            </w:pPr>
            <w:r w:rsidRPr="00285FB8">
              <w:rPr>
                <w:rFonts w:cs="Arial"/>
              </w:rPr>
              <w:t>Оргостатична хипотония</w:t>
            </w:r>
          </w:p>
        </w:tc>
        <w:tc>
          <w:tcPr>
            <w:tcW w:w="1364" w:type="dxa"/>
          </w:tcPr>
          <w:p w14:paraId="175F1241" w14:textId="2128E27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354BFEE9" w14:textId="77777777" w:rsidR="00285FB8" w:rsidRPr="00285FB8" w:rsidRDefault="00285FB8" w:rsidP="00285FB8">
            <w:pPr>
              <w:spacing w:line="240" w:lineRule="auto"/>
              <w:rPr>
                <w:rFonts w:eastAsia="Times New Roman" w:cs="Arial"/>
                <w:lang w:eastAsia="bg-BG"/>
              </w:rPr>
            </w:pPr>
          </w:p>
        </w:tc>
        <w:tc>
          <w:tcPr>
            <w:tcW w:w="1350" w:type="dxa"/>
          </w:tcPr>
          <w:p w14:paraId="3F7F0C6F" w14:textId="3885C00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80CC55C" w14:textId="7E24DEF3"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456BFDCD" w14:textId="77777777" w:rsidTr="00285FB8">
        <w:tc>
          <w:tcPr>
            <w:tcW w:w="1703" w:type="dxa"/>
            <w:vMerge/>
          </w:tcPr>
          <w:p w14:paraId="1DCD754C" w14:textId="77777777" w:rsidR="00285FB8" w:rsidRPr="00285FB8" w:rsidRDefault="00285FB8" w:rsidP="00285FB8">
            <w:pPr>
              <w:spacing w:line="240" w:lineRule="auto"/>
              <w:rPr>
                <w:rFonts w:eastAsia="Times New Roman" w:cs="Arial"/>
                <w:lang w:eastAsia="bg-BG"/>
              </w:rPr>
            </w:pPr>
          </w:p>
        </w:tc>
        <w:tc>
          <w:tcPr>
            <w:tcW w:w="2356" w:type="dxa"/>
          </w:tcPr>
          <w:p w14:paraId="6E19A1AC" w14:textId="678A0DA1" w:rsidR="00285FB8" w:rsidRPr="00285FB8" w:rsidRDefault="00285FB8" w:rsidP="00285FB8">
            <w:pPr>
              <w:spacing w:line="240" w:lineRule="auto"/>
              <w:rPr>
                <w:rFonts w:eastAsia="Times New Roman" w:cs="Arial"/>
                <w:lang w:eastAsia="bg-BG"/>
              </w:rPr>
            </w:pPr>
            <w:r w:rsidRPr="00285FB8">
              <w:rPr>
                <w:rFonts w:cs="Arial"/>
              </w:rPr>
              <w:t>Флебит, тромбофлебит</w:t>
            </w:r>
          </w:p>
        </w:tc>
        <w:tc>
          <w:tcPr>
            <w:tcW w:w="1364" w:type="dxa"/>
          </w:tcPr>
          <w:p w14:paraId="685C451C" w14:textId="3639D558"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36D4264E" w14:textId="77777777" w:rsidR="00285FB8" w:rsidRPr="00285FB8" w:rsidRDefault="00285FB8" w:rsidP="00285FB8">
            <w:pPr>
              <w:spacing w:line="240" w:lineRule="auto"/>
              <w:rPr>
                <w:rFonts w:eastAsia="Times New Roman" w:cs="Arial"/>
                <w:lang w:eastAsia="bg-BG"/>
              </w:rPr>
            </w:pPr>
          </w:p>
        </w:tc>
        <w:tc>
          <w:tcPr>
            <w:tcW w:w="1350" w:type="dxa"/>
          </w:tcPr>
          <w:p w14:paraId="03CE3DBB" w14:textId="63BA747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1A22D5AD" w14:textId="03132831" w:rsidR="00285FB8" w:rsidRPr="00285FB8" w:rsidRDefault="00285FB8" w:rsidP="00285FB8">
            <w:pPr>
              <w:spacing w:line="240" w:lineRule="auto"/>
              <w:rPr>
                <w:rFonts w:eastAsia="Times New Roman" w:cs="Arial"/>
                <w:lang w:eastAsia="bg-BG"/>
              </w:rPr>
            </w:pPr>
            <w:r w:rsidRPr="00285FB8">
              <w:rPr>
                <w:rFonts w:cs="Arial"/>
              </w:rPr>
              <w:t>-</w:t>
            </w:r>
          </w:p>
        </w:tc>
      </w:tr>
      <w:tr w:rsidR="00285FB8" w14:paraId="7E66E0EB" w14:textId="77777777" w:rsidTr="00285FB8">
        <w:tc>
          <w:tcPr>
            <w:tcW w:w="1703" w:type="dxa"/>
            <w:vMerge/>
          </w:tcPr>
          <w:p w14:paraId="5AF484E7" w14:textId="77777777" w:rsidR="00285FB8" w:rsidRPr="00285FB8" w:rsidRDefault="00285FB8" w:rsidP="00285FB8">
            <w:pPr>
              <w:spacing w:line="240" w:lineRule="auto"/>
              <w:rPr>
                <w:rFonts w:eastAsia="Times New Roman" w:cs="Arial"/>
                <w:lang w:eastAsia="bg-BG"/>
              </w:rPr>
            </w:pPr>
          </w:p>
        </w:tc>
        <w:tc>
          <w:tcPr>
            <w:tcW w:w="2356" w:type="dxa"/>
          </w:tcPr>
          <w:p w14:paraId="719B6D2E" w14:textId="10F9984D" w:rsidR="00285FB8" w:rsidRPr="00285FB8" w:rsidRDefault="00285FB8" w:rsidP="00285FB8">
            <w:pPr>
              <w:spacing w:line="240" w:lineRule="auto"/>
              <w:rPr>
                <w:rFonts w:eastAsia="Times New Roman" w:cs="Arial"/>
                <w:lang w:eastAsia="bg-BG"/>
              </w:rPr>
            </w:pPr>
            <w:r w:rsidRPr="00285FB8">
              <w:rPr>
                <w:rFonts w:cs="Arial"/>
              </w:rPr>
              <w:t>Васкулит</w:t>
            </w:r>
          </w:p>
        </w:tc>
        <w:tc>
          <w:tcPr>
            <w:tcW w:w="1364" w:type="dxa"/>
          </w:tcPr>
          <w:p w14:paraId="72B860B0" w14:textId="77777777" w:rsidR="00285FB8" w:rsidRPr="00285FB8" w:rsidRDefault="00285FB8" w:rsidP="00285FB8">
            <w:pPr>
              <w:spacing w:line="240" w:lineRule="auto"/>
              <w:rPr>
                <w:rFonts w:eastAsia="Times New Roman" w:cs="Arial"/>
                <w:lang w:eastAsia="bg-BG"/>
              </w:rPr>
            </w:pPr>
          </w:p>
        </w:tc>
        <w:tc>
          <w:tcPr>
            <w:tcW w:w="1455" w:type="dxa"/>
          </w:tcPr>
          <w:p w14:paraId="26623E32" w14:textId="525473CD"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bottom"/>
          </w:tcPr>
          <w:p w14:paraId="0CEB684D" w14:textId="77777777" w:rsidR="00285FB8" w:rsidRPr="00285FB8" w:rsidRDefault="00285FB8" w:rsidP="00285FB8">
            <w:pPr>
              <w:rPr>
                <w:rFonts w:cs="Arial"/>
              </w:rPr>
            </w:pPr>
            <w:r w:rsidRPr="00285FB8">
              <w:rPr>
                <w:rFonts w:cs="Arial"/>
              </w:rPr>
              <w:t>С неизвестна</w:t>
            </w:r>
          </w:p>
          <w:p w14:paraId="21F8BA31" w14:textId="3E0D09DF" w:rsidR="00285FB8" w:rsidRPr="00285FB8" w:rsidRDefault="00285FB8" w:rsidP="00285FB8">
            <w:pPr>
              <w:spacing w:line="240" w:lineRule="auto"/>
              <w:rPr>
                <w:rFonts w:eastAsia="Times New Roman" w:cs="Arial"/>
                <w:lang w:eastAsia="bg-BG"/>
              </w:rPr>
            </w:pPr>
            <w:r w:rsidRPr="00285FB8">
              <w:rPr>
                <w:rFonts w:cs="Arial"/>
              </w:rPr>
              <w:t>честота</w:t>
            </w:r>
          </w:p>
        </w:tc>
        <w:tc>
          <w:tcPr>
            <w:tcW w:w="1348" w:type="dxa"/>
            <w:vAlign w:val="bottom"/>
          </w:tcPr>
          <w:p w14:paraId="5E0B9BDA" w14:textId="154076D2" w:rsidR="00285FB8" w:rsidRPr="00285FB8" w:rsidRDefault="00285FB8" w:rsidP="00285FB8">
            <w:pPr>
              <w:spacing w:line="240" w:lineRule="auto"/>
              <w:rPr>
                <w:rFonts w:eastAsia="Times New Roman" w:cs="Arial"/>
                <w:lang w:eastAsia="bg-BG"/>
              </w:rPr>
            </w:pPr>
            <w:r w:rsidRPr="00285FB8">
              <w:rPr>
                <w:rFonts w:cs="Arial"/>
              </w:rPr>
              <w:t>-</w:t>
            </w:r>
          </w:p>
        </w:tc>
      </w:tr>
      <w:tr w:rsidR="00285FB8" w14:paraId="6F3BAE35" w14:textId="77777777" w:rsidTr="00285FB8">
        <w:tc>
          <w:tcPr>
            <w:tcW w:w="1703" w:type="dxa"/>
            <w:vMerge w:val="restart"/>
          </w:tcPr>
          <w:p w14:paraId="788D200E" w14:textId="77777777" w:rsidR="00285FB8" w:rsidRPr="00285FB8" w:rsidRDefault="00285FB8" w:rsidP="00285FB8">
            <w:pPr>
              <w:rPr>
                <w:rFonts w:cs="Arial"/>
              </w:rPr>
            </w:pPr>
            <w:r w:rsidRPr="00285FB8">
              <w:rPr>
                <w:rFonts w:cs="Arial"/>
              </w:rPr>
              <w:t>Респираторни, гръдни</w:t>
            </w:r>
            <w:r w:rsidRPr="00285FB8">
              <w:rPr>
                <w:rFonts w:cs="Arial"/>
              </w:rPr>
              <w:tab/>
              <w:t>и</w:t>
            </w:r>
          </w:p>
          <w:p w14:paraId="4BCF98B2" w14:textId="5913B996" w:rsidR="00285FB8" w:rsidRPr="00285FB8" w:rsidRDefault="00285FB8" w:rsidP="00285FB8">
            <w:pPr>
              <w:spacing w:line="240" w:lineRule="auto"/>
              <w:rPr>
                <w:rFonts w:eastAsia="Times New Roman" w:cs="Arial"/>
                <w:lang w:eastAsia="bg-BG"/>
              </w:rPr>
            </w:pPr>
            <w:r w:rsidRPr="00285FB8">
              <w:rPr>
                <w:rFonts w:cs="Arial"/>
              </w:rPr>
              <w:t>медиастиални нарушения</w:t>
            </w:r>
          </w:p>
        </w:tc>
        <w:tc>
          <w:tcPr>
            <w:tcW w:w="2356" w:type="dxa"/>
            <w:vAlign w:val="bottom"/>
          </w:tcPr>
          <w:p w14:paraId="7621D248" w14:textId="64C39D1C" w:rsidR="00285FB8" w:rsidRPr="00285FB8" w:rsidRDefault="00285FB8" w:rsidP="00285FB8">
            <w:pPr>
              <w:spacing w:line="240" w:lineRule="auto"/>
              <w:rPr>
                <w:rFonts w:eastAsia="Times New Roman" w:cs="Arial"/>
                <w:lang w:eastAsia="bg-BG"/>
              </w:rPr>
            </w:pPr>
            <w:r w:rsidRPr="00285FB8">
              <w:rPr>
                <w:rFonts w:cs="Arial"/>
              </w:rPr>
              <w:t>Кашлица</w:t>
            </w:r>
          </w:p>
        </w:tc>
        <w:tc>
          <w:tcPr>
            <w:tcW w:w="1364" w:type="dxa"/>
            <w:vAlign w:val="bottom"/>
          </w:tcPr>
          <w:p w14:paraId="0A8D0A66" w14:textId="3F6F316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5FD49071" w14:textId="27C754C0"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bottom"/>
          </w:tcPr>
          <w:p w14:paraId="78B63163" w14:textId="250B07CB" w:rsidR="00285FB8" w:rsidRPr="00285FB8" w:rsidRDefault="00285FB8" w:rsidP="00285FB8">
            <w:pPr>
              <w:spacing w:line="240" w:lineRule="auto"/>
              <w:rPr>
                <w:rFonts w:eastAsia="Times New Roman" w:cs="Arial"/>
                <w:lang w:eastAsia="bg-BG"/>
              </w:rPr>
            </w:pPr>
            <w:r w:rsidRPr="00285FB8">
              <w:rPr>
                <w:rFonts w:cs="Arial"/>
              </w:rPr>
              <w:t>Нечести</w:t>
            </w:r>
          </w:p>
        </w:tc>
        <w:tc>
          <w:tcPr>
            <w:tcW w:w="1348" w:type="dxa"/>
          </w:tcPr>
          <w:p w14:paraId="0091AA37" w14:textId="77777777" w:rsidR="00285FB8" w:rsidRPr="00285FB8" w:rsidRDefault="00285FB8" w:rsidP="00285FB8">
            <w:pPr>
              <w:spacing w:line="240" w:lineRule="auto"/>
              <w:rPr>
                <w:rFonts w:eastAsia="Times New Roman" w:cs="Arial"/>
                <w:lang w:eastAsia="bg-BG"/>
              </w:rPr>
            </w:pPr>
          </w:p>
        </w:tc>
      </w:tr>
      <w:tr w:rsidR="00285FB8" w14:paraId="64F1F7FA" w14:textId="77777777" w:rsidTr="00285FB8">
        <w:tc>
          <w:tcPr>
            <w:tcW w:w="1703" w:type="dxa"/>
            <w:vMerge/>
          </w:tcPr>
          <w:p w14:paraId="5F972A3A" w14:textId="77777777" w:rsidR="00285FB8" w:rsidRPr="00285FB8" w:rsidRDefault="00285FB8" w:rsidP="00285FB8">
            <w:pPr>
              <w:spacing w:line="240" w:lineRule="auto"/>
              <w:rPr>
                <w:rFonts w:eastAsia="Times New Roman" w:cs="Arial"/>
                <w:lang w:eastAsia="bg-BG"/>
              </w:rPr>
            </w:pPr>
          </w:p>
        </w:tc>
        <w:tc>
          <w:tcPr>
            <w:tcW w:w="2356" w:type="dxa"/>
          </w:tcPr>
          <w:p w14:paraId="453BEBEE" w14:textId="3336B982" w:rsidR="00285FB8" w:rsidRPr="00285FB8" w:rsidRDefault="00285FB8" w:rsidP="00285FB8">
            <w:pPr>
              <w:spacing w:line="240" w:lineRule="auto"/>
              <w:rPr>
                <w:rFonts w:eastAsia="Times New Roman" w:cs="Arial"/>
                <w:lang w:eastAsia="bg-BG"/>
              </w:rPr>
            </w:pPr>
            <w:r w:rsidRPr="00285FB8">
              <w:rPr>
                <w:rFonts w:cs="Arial"/>
              </w:rPr>
              <w:t>Диспнея</w:t>
            </w:r>
          </w:p>
        </w:tc>
        <w:tc>
          <w:tcPr>
            <w:tcW w:w="1364" w:type="dxa"/>
          </w:tcPr>
          <w:p w14:paraId="26D6E2C7" w14:textId="557783FF"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1CC6B38D" w14:textId="650FAA5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0DE2F819" w14:textId="25060014"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754A2AF" w14:textId="77777777" w:rsidR="00285FB8" w:rsidRPr="00285FB8" w:rsidRDefault="00285FB8" w:rsidP="00285FB8">
            <w:pPr>
              <w:spacing w:line="240" w:lineRule="auto"/>
              <w:rPr>
                <w:rFonts w:eastAsia="Times New Roman" w:cs="Arial"/>
                <w:lang w:eastAsia="bg-BG"/>
              </w:rPr>
            </w:pPr>
          </w:p>
        </w:tc>
      </w:tr>
      <w:tr w:rsidR="00285FB8" w14:paraId="50AE9B42" w14:textId="77777777" w:rsidTr="00285FB8">
        <w:tc>
          <w:tcPr>
            <w:tcW w:w="1703" w:type="dxa"/>
            <w:vMerge/>
          </w:tcPr>
          <w:p w14:paraId="31C31AF2" w14:textId="77777777" w:rsidR="00285FB8" w:rsidRPr="00285FB8" w:rsidRDefault="00285FB8" w:rsidP="00285FB8">
            <w:pPr>
              <w:spacing w:line="240" w:lineRule="auto"/>
              <w:rPr>
                <w:rFonts w:eastAsia="Times New Roman" w:cs="Arial"/>
                <w:lang w:eastAsia="bg-BG"/>
              </w:rPr>
            </w:pPr>
          </w:p>
        </w:tc>
        <w:tc>
          <w:tcPr>
            <w:tcW w:w="2356" w:type="dxa"/>
            <w:vAlign w:val="bottom"/>
          </w:tcPr>
          <w:p w14:paraId="723DD581" w14:textId="77777777" w:rsidR="00285FB8" w:rsidRPr="00285FB8" w:rsidRDefault="00285FB8" w:rsidP="00285FB8">
            <w:pPr>
              <w:rPr>
                <w:rFonts w:cs="Arial"/>
              </w:rPr>
            </w:pPr>
            <w:r w:rsidRPr="00285FB8">
              <w:rPr>
                <w:rFonts w:cs="Arial"/>
              </w:rPr>
              <w:t xml:space="preserve">Остър респираторен </w:t>
            </w:r>
            <w:r w:rsidRPr="00285FB8">
              <w:rPr>
                <w:rFonts w:cs="Arial"/>
              </w:rPr>
              <w:lastRenderedPageBreak/>
              <w:t>дистрес синдром (ОРДС)</w:t>
            </w:r>
            <w:r w:rsidRPr="00285FB8">
              <w:rPr>
                <w:rFonts w:cs="Arial"/>
              </w:rPr>
              <w:tab/>
              <w:t>(вж.</w:t>
            </w:r>
          </w:p>
          <w:p w14:paraId="24ED89B0" w14:textId="4934B8B0" w:rsidR="00285FB8" w:rsidRPr="00285FB8" w:rsidRDefault="00285FB8" w:rsidP="00285FB8">
            <w:pPr>
              <w:spacing w:line="240" w:lineRule="auto"/>
              <w:rPr>
                <w:rFonts w:eastAsia="Times New Roman" w:cs="Arial"/>
                <w:lang w:eastAsia="bg-BG"/>
              </w:rPr>
            </w:pPr>
            <w:r w:rsidRPr="00285FB8">
              <w:rPr>
                <w:rFonts w:cs="Arial"/>
              </w:rPr>
              <w:t>точка 4.4)</w:t>
            </w:r>
          </w:p>
        </w:tc>
        <w:tc>
          <w:tcPr>
            <w:tcW w:w="1364" w:type="dxa"/>
          </w:tcPr>
          <w:p w14:paraId="47C7DB43" w14:textId="77777777" w:rsidR="00285FB8" w:rsidRPr="00285FB8" w:rsidRDefault="00285FB8" w:rsidP="00285FB8">
            <w:pPr>
              <w:spacing w:line="240" w:lineRule="auto"/>
              <w:rPr>
                <w:rFonts w:eastAsia="Times New Roman" w:cs="Arial"/>
                <w:lang w:eastAsia="bg-BG"/>
              </w:rPr>
            </w:pPr>
          </w:p>
        </w:tc>
        <w:tc>
          <w:tcPr>
            <w:tcW w:w="1455" w:type="dxa"/>
          </w:tcPr>
          <w:p w14:paraId="59336744" w14:textId="77777777" w:rsidR="00285FB8" w:rsidRPr="00285FB8" w:rsidRDefault="00285FB8" w:rsidP="00285FB8">
            <w:pPr>
              <w:spacing w:line="240" w:lineRule="auto"/>
              <w:rPr>
                <w:rFonts w:eastAsia="Times New Roman" w:cs="Arial"/>
                <w:lang w:eastAsia="bg-BG"/>
              </w:rPr>
            </w:pPr>
          </w:p>
        </w:tc>
        <w:tc>
          <w:tcPr>
            <w:tcW w:w="1350" w:type="dxa"/>
          </w:tcPr>
          <w:p w14:paraId="240D71F3" w14:textId="6B2EA398" w:rsidR="00285FB8" w:rsidRPr="00285FB8" w:rsidRDefault="00285FB8" w:rsidP="00285FB8">
            <w:pPr>
              <w:spacing w:line="240" w:lineRule="auto"/>
              <w:rPr>
                <w:rFonts w:eastAsia="Times New Roman" w:cs="Arial"/>
                <w:lang w:val="en-US" w:eastAsia="bg-BG"/>
              </w:rPr>
            </w:pPr>
            <w:r>
              <w:rPr>
                <w:rFonts w:eastAsia="Times New Roman" w:cs="Arial"/>
                <w:lang w:val="en-US" w:eastAsia="bg-BG"/>
              </w:rPr>
              <w:t>-</w:t>
            </w:r>
          </w:p>
        </w:tc>
        <w:tc>
          <w:tcPr>
            <w:tcW w:w="1348" w:type="dxa"/>
          </w:tcPr>
          <w:p w14:paraId="32D92D60" w14:textId="79F74722" w:rsidR="00285FB8" w:rsidRPr="00285FB8" w:rsidRDefault="00285FB8" w:rsidP="00285FB8">
            <w:pPr>
              <w:spacing w:line="240" w:lineRule="auto"/>
              <w:rPr>
                <w:rFonts w:eastAsia="Times New Roman" w:cs="Arial"/>
                <w:lang w:eastAsia="bg-BG"/>
              </w:rPr>
            </w:pPr>
            <w:r w:rsidRPr="00285FB8">
              <w:rPr>
                <w:rFonts w:cs="Arial"/>
              </w:rPr>
              <w:t>Много редки</w:t>
            </w:r>
          </w:p>
        </w:tc>
      </w:tr>
      <w:tr w:rsidR="00285FB8" w14:paraId="357DEACE" w14:textId="77777777" w:rsidTr="00285FB8">
        <w:tc>
          <w:tcPr>
            <w:tcW w:w="1703" w:type="dxa"/>
            <w:vMerge/>
          </w:tcPr>
          <w:p w14:paraId="55871595" w14:textId="77777777" w:rsidR="00285FB8" w:rsidRPr="00285FB8" w:rsidRDefault="00285FB8" w:rsidP="00285FB8">
            <w:pPr>
              <w:spacing w:line="240" w:lineRule="auto"/>
              <w:rPr>
                <w:rFonts w:eastAsia="Times New Roman" w:cs="Arial"/>
                <w:lang w:eastAsia="bg-BG"/>
              </w:rPr>
            </w:pPr>
          </w:p>
        </w:tc>
        <w:tc>
          <w:tcPr>
            <w:tcW w:w="2356" w:type="dxa"/>
          </w:tcPr>
          <w:p w14:paraId="3A53D078" w14:textId="1E70DCD0" w:rsidR="00285FB8" w:rsidRPr="00285FB8" w:rsidRDefault="00285FB8" w:rsidP="00285FB8">
            <w:pPr>
              <w:spacing w:line="240" w:lineRule="auto"/>
              <w:rPr>
                <w:rFonts w:eastAsia="Times New Roman" w:cs="Arial"/>
                <w:lang w:eastAsia="bg-BG"/>
              </w:rPr>
            </w:pPr>
            <w:r w:rsidRPr="00285FB8">
              <w:rPr>
                <w:rFonts w:cs="Arial"/>
              </w:rPr>
              <w:t>Ринит</w:t>
            </w:r>
          </w:p>
        </w:tc>
        <w:tc>
          <w:tcPr>
            <w:tcW w:w="1364" w:type="dxa"/>
            <w:vAlign w:val="center"/>
          </w:tcPr>
          <w:p w14:paraId="3C714F2E" w14:textId="6AD3DBF8"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61F76B67" w14:textId="5CAAB313"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BE04A7F" w14:textId="77777777" w:rsidR="00285FB8" w:rsidRPr="00285FB8" w:rsidRDefault="00285FB8" w:rsidP="00285FB8">
            <w:pPr>
              <w:spacing w:line="240" w:lineRule="auto"/>
              <w:rPr>
                <w:rFonts w:eastAsia="Times New Roman" w:cs="Arial"/>
                <w:lang w:eastAsia="bg-BG"/>
              </w:rPr>
            </w:pPr>
          </w:p>
        </w:tc>
        <w:tc>
          <w:tcPr>
            <w:tcW w:w="1348" w:type="dxa"/>
            <w:vAlign w:val="center"/>
          </w:tcPr>
          <w:p w14:paraId="1696E28D" w14:textId="1BA4D505" w:rsidR="00285FB8" w:rsidRPr="00285FB8" w:rsidRDefault="00285FB8" w:rsidP="00285FB8">
            <w:pPr>
              <w:spacing w:line="240" w:lineRule="auto"/>
              <w:rPr>
                <w:rFonts w:eastAsia="Times New Roman" w:cs="Arial"/>
                <w:lang w:eastAsia="bg-BG"/>
              </w:rPr>
            </w:pPr>
            <w:r w:rsidRPr="00285FB8">
              <w:rPr>
                <w:rFonts w:cs="Arial"/>
              </w:rPr>
              <w:t>-</w:t>
            </w:r>
          </w:p>
        </w:tc>
      </w:tr>
      <w:tr w:rsidR="00285FB8" w14:paraId="5F3EDF16" w14:textId="77777777" w:rsidTr="00285FB8">
        <w:tc>
          <w:tcPr>
            <w:tcW w:w="1703" w:type="dxa"/>
            <w:vMerge/>
          </w:tcPr>
          <w:p w14:paraId="3AA5A16D" w14:textId="77777777" w:rsidR="00285FB8" w:rsidRPr="00285FB8" w:rsidRDefault="00285FB8" w:rsidP="00285FB8">
            <w:pPr>
              <w:spacing w:line="240" w:lineRule="auto"/>
              <w:rPr>
                <w:rFonts w:eastAsia="Times New Roman" w:cs="Arial"/>
                <w:lang w:eastAsia="bg-BG"/>
              </w:rPr>
            </w:pPr>
          </w:p>
        </w:tc>
        <w:tc>
          <w:tcPr>
            <w:tcW w:w="2356" w:type="dxa"/>
            <w:vAlign w:val="bottom"/>
          </w:tcPr>
          <w:p w14:paraId="7F2E9C19" w14:textId="1D8CD0A0" w:rsidR="00285FB8" w:rsidRPr="00285FB8" w:rsidRDefault="00285FB8" w:rsidP="00285FB8">
            <w:pPr>
              <w:spacing w:line="240" w:lineRule="auto"/>
              <w:rPr>
                <w:rFonts w:eastAsia="Times New Roman" w:cs="Arial"/>
                <w:lang w:eastAsia="bg-BG"/>
              </w:rPr>
            </w:pPr>
            <w:r w:rsidRPr="00285FB8">
              <w:rPr>
                <w:rFonts w:cs="Arial"/>
              </w:rPr>
              <w:t>Възпалено гърло</w:t>
            </w:r>
          </w:p>
        </w:tc>
        <w:tc>
          <w:tcPr>
            <w:tcW w:w="1364" w:type="dxa"/>
          </w:tcPr>
          <w:p w14:paraId="3A27728E" w14:textId="3E2C3941"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166274A6" w14:textId="419D561E"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5A21CD95" w14:textId="4BFD9F21"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DD8BFB1" w14:textId="77777777" w:rsidR="00285FB8" w:rsidRPr="00285FB8" w:rsidRDefault="00285FB8" w:rsidP="00285FB8">
            <w:pPr>
              <w:spacing w:line="240" w:lineRule="auto"/>
              <w:rPr>
                <w:rFonts w:eastAsia="Times New Roman" w:cs="Arial"/>
                <w:lang w:eastAsia="bg-BG"/>
              </w:rPr>
            </w:pPr>
          </w:p>
        </w:tc>
      </w:tr>
      <w:tr w:rsidR="00285FB8" w14:paraId="3F718FE1" w14:textId="77777777" w:rsidTr="00285FB8">
        <w:tc>
          <w:tcPr>
            <w:tcW w:w="1703" w:type="dxa"/>
            <w:vMerge w:val="restart"/>
          </w:tcPr>
          <w:p w14:paraId="0A013D84" w14:textId="5BCE93D9" w:rsidR="00285FB8" w:rsidRPr="00285FB8" w:rsidRDefault="00285FB8" w:rsidP="00285FB8">
            <w:pPr>
              <w:spacing w:line="240" w:lineRule="auto"/>
              <w:rPr>
                <w:rFonts w:eastAsia="Times New Roman" w:cs="Arial"/>
                <w:lang w:eastAsia="bg-BG"/>
              </w:rPr>
            </w:pPr>
            <w:r w:rsidRPr="00285FB8">
              <w:rPr>
                <w:rFonts w:cs="Arial"/>
              </w:rPr>
              <w:t>Стомашно- чревни нарушения</w:t>
            </w:r>
          </w:p>
        </w:tc>
        <w:tc>
          <w:tcPr>
            <w:tcW w:w="2356" w:type="dxa"/>
            <w:vAlign w:val="bottom"/>
          </w:tcPr>
          <w:p w14:paraId="6CA1A15B" w14:textId="1F0AC406" w:rsidR="00285FB8" w:rsidRPr="00285FB8" w:rsidRDefault="00285FB8" w:rsidP="00285FB8">
            <w:pPr>
              <w:spacing w:line="240" w:lineRule="auto"/>
              <w:rPr>
                <w:rFonts w:eastAsia="Times New Roman" w:cs="Arial"/>
                <w:lang w:eastAsia="bg-BG"/>
              </w:rPr>
            </w:pPr>
            <w:r w:rsidRPr="00285FB8">
              <w:rPr>
                <w:rFonts w:cs="Arial"/>
              </w:rPr>
              <w:t>Стомашен дискомфорт, болка в горната част на корема</w:t>
            </w:r>
          </w:p>
        </w:tc>
        <w:tc>
          <w:tcPr>
            <w:tcW w:w="1364" w:type="dxa"/>
          </w:tcPr>
          <w:p w14:paraId="0FB806F0" w14:textId="7B0EEC00"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21EEE7CD" w14:textId="0680A354"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tcPr>
          <w:p w14:paraId="653F694E" w14:textId="1006939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48" w:type="dxa"/>
          </w:tcPr>
          <w:p w14:paraId="4CB7BA44" w14:textId="675841DF"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D3BF022" w14:textId="77777777" w:rsidTr="00285FB8">
        <w:tc>
          <w:tcPr>
            <w:tcW w:w="1703" w:type="dxa"/>
            <w:vMerge/>
          </w:tcPr>
          <w:p w14:paraId="02A98807" w14:textId="77777777" w:rsidR="00285FB8" w:rsidRPr="00285FB8" w:rsidRDefault="00285FB8" w:rsidP="00285FB8">
            <w:pPr>
              <w:spacing w:line="240" w:lineRule="auto"/>
              <w:rPr>
                <w:rFonts w:eastAsia="Times New Roman" w:cs="Arial"/>
                <w:lang w:eastAsia="bg-BG"/>
              </w:rPr>
            </w:pPr>
          </w:p>
        </w:tc>
        <w:tc>
          <w:tcPr>
            <w:tcW w:w="2356" w:type="dxa"/>
          </w:tcPr>
          <w:p w14:paraId="3CD42D7D" w14:textId="3FE3EF30" w:rsidR="00285FB8" w:rsidRPr="00285FB8" w:rsidRDefault="00285FB8" w:rsidP="00285FB8">
            <w:pPr>
              <w:spacing w:line="240" w:lineRule="auto"/>
              <w:rPr>
                <w:rFonts w:eastAsia="Times New Roman" w:cs="Arial"/>
                <w:lang w:eastAsia="bg-BG"/>
              </w:rPr>
            </w:pPr>
            <w:r w:rsidRPr="00285FB8">
              <w:rPr>
                <w:rFonts w:cs="Arial"/>
              </w:rPr>
              <w:t>Лош дъх</w:t>
            </w:r>
          </w:p>
        </w:tc>
        <w:tc>
          <w:tcPr>
            <w:tcW w:w="1364" w:type="dxa"/>
          </w:tcPr>
          <w:p w14:paraId="32E1F00D" w14:textId="265BE2D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20C2F2D3" w14:textId="77777777" w:rsidR="00285FB8" w:rsidRPr="00285FB8" w:rsidRDefault="00285FB8" w:rsidP="00285FB8">
            <w:pPr>
              <w:spacing w:line="240" w:lineRule="auto"/>
              <w:rPr>
                <w:rFonts w:eastAsia="Times New Roman" w:cs="Arial"/>
                <w:lang w:eastAsia="bg-BG"/>
              </w:rPr>
            </w:pPr>
          </w:p>
        </w:tc>
        <w:tc>
          <w:tcPr>
            <w:tcW w:w="1350" w:type="dxa"/>
          </w:tcPr>
          <w:p w14:paraId="71EA42CB" w14:textId="2E1A7394"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43116426" w14:textId="47D0B8F3" w:rsidR="00285FB8" w:rsidRPr="00285FB8" w:rsidRDefault="00285FB8" w:rsidP="00285FB8">
            <w:pPr>
              <w:spacing w:line="240" w:lineRule="auto"/>
              <w:rPr>
                <w:rFonts w:eastAsia="Times New Roman" w:cs="Arial"/>
                <w:lang w:eastAsia="bg-BG"/>
              </w:rPr>
            </w:pPr>
            <w:r w:rsidRPr="00285FB8">
              <w:rPr>
                <w:rFonts w:cs="Arial"/>
              </w:rPr>
              <w:t>-</w:t>
            </w:r>
          </w:p>
        </w:tc>
      </w:tr>
      <w:tr w:rsidR="00285FB8" w14:paraId="2ADBCBC4" w14:textId="77777777" w:rsidTr="00285FB8">
        <w:tc>
          <w:tcPr>
            <w:tcW w:w="1703" w:type="dxa"/>
            <w:vMerge/>
          </w:tcPr>
          <w:p w14:paraId="4F77F229" w14:textId="77777777" w:rsidR="00285FB8" w:rsidRPr="00285FB8" w:rsidRDefault="00285FB8" w:rsidP="00285FB8">
            <w:pPr>
              <w:spacing w:line="240" w:lineRule="auto"/>
              <w:rPr>
                <w:rFonts w:eastAsia="Times New Roman" w:cs="Arial"/>
                <w:lang w:eastAsia="bg-BG"/>
              </w:rPr>
            </w:pPr>
          </w:p>
        </w:tc>
        <w:tc>
          <w:tcPr>
            <w:tcW w:w="2356" w:type="dxa"/>
            <w:vAlign w:val="bottom"/>
          </w:tcPr>
          <w:p w14:paraId="4791F65F" w14:textId="2D54275B" w:rsidR="00285FB8" w:rsidRPr="00285FB8" w:rsidRDefault="00285FB8" w:rsidP="00285FB8">
            <w:pPr>
              <w:spacing w:line="240" w:lineRule="auto"/>
              <w:rPr>
                <w:rFonts w:eastAsia="Times New Roman" w:cs="Arial"/>
                <w:lang w:eastAsia="bg-BG"/>
              </w:rPr>
            </w:pPr>
            <w:r w:rsidRPr="00285FB8">
              <w:rPr>
                <w:rFonts w:cs="Arial"/>
              </w:rPr>
              <w:t>Промени в чревната перисталтика</w:t>
            </w:r>
          </w:p>
        </w:tc>
        <w:tc>
          <w:tcPr>
            <w:tcW w:w="1364" w:type="dxa"/>
          </w:tcPr>
          <w:p w14:paraId="45A56E6E" w14:textId="1076A92D"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768A5C95" w14:textId="3344D207"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350EAC2D" w14:textId="723A369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EF0117E" w14:textId="3E4D868A" w:rsidR="00285FB8" w:rsidRPr="00285FB8" w:rsidRDefault="00285FB8" w:rsidP="00285FB8">
            <w:pPr>
              <w:spacing w:line="240" w:lineRule="auto"/>
              <w:rPr>
                <w:rFonts w:eastAsia="Times New Roman" w:cs="Arial"/>
                <w:lang w:eastAsia="bg-BG"/>
              </w:rPr>
            </w:pPr>
            <w:r w:rsidRPr="00285FB8">
              <w:rPr>
                <w:rFonts w:cs="Arial"/>
              </w:rPr>
              <w:t>-</w:t>
            </w:r>
          </w:p>
        </w:tc>
      </w:tr>
      <w:tr w:rsidR="00285FB8" w14:paraId="4BAFA5E4" w14:textId="77777777" w:rsidTr="00285FB8">
        <w:tc>
          <w:tcPr>
            <w:tcW w:w="1703" w:type="dxa"/>
            <w:vMerge/>
          </w:tcPr>
          <w:p w14:paraId="4D24F27F" w14:textId="77777777" w:rsidR="00285FB8" w:rsidRPr="00285FB8" w:rsidRDefault="00285FB8" w:rsidP="00285FB8">
            <w:pPr>
              <w:spacing w:line="240" w:lineRule="auto"/>
              <w:rPr>
                <w:rFonts w:eastAsia="Times New Roman" w:cs="Arial"/>
                <w:lang w:eastAsia="bg-BG"/>
              </w:rPr>
            </w:pPr>
          </w:p>
        </w:tc>
        <w:tc>
          <w:tcPr>
            <w:tcW w:w="2356" w:type="dxa"/>
            <w:vAlign w:val="bottom"/>
          </w:tcPr>
          <w:p w14:paraId="1D77D93E" w14:textId="3F2F38D2" w:rsidR="00285FB8" w:rsidRPr="00285FB8" w:rsidRDefault="00285FB8" w:rsidP="00285FB8">
            <w:pPr>
              <w:spacing w:line="240" w:lineRule="auto"/>
              <w:rPr>
                <w:rFonts w:eastAsia="Times New Roman" w:cs="Arial"/>
                <w:lang w:eastAsia="bg-BG"/>
              </w:rPr>
            </w:pPr>
            <w:r w:rsidRPr="00285FB8">
              <w:rPr>
                <w:rFonts w:cs="Arial"/>
              </w:rPr>
              <w:t>Констипация</w:t>
            </w:r>
          </w:p>
        </w:tc>
        <w:tc>
          <w:tcPr>
            <w:tcW w:w="1364" w:type="dxa"/>
            <w:vAlign w:val="center"/>
          </w:tcPr>
          <w:p w14:paraId="19D5D09B" w14:textId="11A39E38"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center"/>
          </w:tcPr>
          <w:p w14:paraId="3AB07CD0" w14:textId="4CF97A39"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1FB0FB60" w14:textId="19D2B92C"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63A8541C" w14:textId="44168601"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57292832" w14:textId="77777777" w:rsidTr="00285FB8">
        <w:tc>
          <w:tcPr>
            <w:tcW w:w="1703" w:type="dxa"/>
            <w:vMerge/>
          </w:tcPr>
          <w:p w14:paraId="2C7BEF00" w14:textId="77777777" w:rsidR="00285FB8" w:rsidRPr="00285FB8" w:rsidRDefault="00285FB8" w:rsidP="00285FB8">
            <w:pPr>
              <w:spacing w:line="240" w:lineRule="auto"/>
              <w:rPr>
                <w:rFonts w:eastAsia="Times New Roman" w:cs="Arial"/>
                <w:lang w:eastAsia="bg-BG"/>
              </w:rPr>
            </w:pPr>
          </w:p>
        </w:tc>
        <w:tc>
          <w:tcPr>
            <w:tcW w:w="2356" w:type="dxa"/>
            <w:vAlign w:val="bottom"/>
          </w:tcPr>
          <w:p w14:paraId="298C9E4E" w14:textId="2F1FB6F8" w:rsidR="00285FB8" w:rsidRPr="00285FB8" w:rsidRDefault="00285FB8" w:rsidP="00285FB8">
            <w:pPr>
              <w:spacing w:line="240" w:lineRule="auto"/>
              <w:rPr>
                <w:rFonts w:eastAsia="Times New Roman" w:cs="Arial"/>
                <w:lang w:eastAsia="bg-BG"/>
              </w:rPr>
            </w:pPr>
            <w:r w:rsidRPr="00285FB8">
              <w:rPr>
                <w:rFonts w:cs="Arial"/>
              </w:rPr>
              <w:t>Намален апетит</w:t>
            </w:r>
          </w:p>
        </w:tc>
        <w:tc>
          <w:tcPr>
            <w:tcW w:w="1364" w:type="dxa"/>
          </w:tcPr>
          <w:p w14:paraId="12A1DEDF" w14:textId="77777777" w:rsidR="00285FB8" w:rsidRPr="00285FB8" w:rsidRDefault="00285FB8" w:rsidP="00285FB8">
            <w:pPr>
              <w:spacing w:line="240" w:lineRule="auto"/>
              <w:rPr>
                <w:rFonts w:eastAsia="Times New Roman" w:cs="Arial"/>
                <w:lang w:eastAsia="bg-BG"/>
              </w:rPr>
            </w:pPr>
          </w:p>
        </w:tc>
        <w:tc>
          <w:tcPr>
            <w:tcW w:w="1455" w:type="dxa"/>
          </w:tcPr>
          <w:p w14:paraId="66EFBDE4" w14:textId="77777777" w:rsidR="00285FB8" w:rsidRPr="00285FB8" w:rsidRDefault="00285FB8" w:rsidP="00285FB8">
            <w:pPr>
              <w:spacing w:line="240" w:lineRule="auto"/>
              <w:rPr>
                <w:rFonts w:eastAsia="Times New Roman" w:cs="Arial"/>
                <w:lang w:eastAsia="bg-BG"/>
              </w:rPr>
            </w:pPr>
          </w:p>
        </w:tc>
        <w:tc>
          <w:tcPr>
            <w:tcW w:w="1350" w:type="dxa"/>
          </w:tcPr>
          <w:p w14:paraId="1654CC77" w14:textId="77777777" w:rsidR="00285FB8" w:rsidRPr="00285FB8" w:rsidRDefault="00285FB8" w:rsidP="00285FB8">
            <w:pPr>
              <w:spacing w:line="240" w:lineRule="auto"/>
              <w:rPr>
                <w:rFonts w:eastAsia="Times New Roman" w:cs="Arial"/>
                <w:lang w:eastAsia="bg-BG"/>
              </w:rPr>
            </w:pPr>
          </w:p>
        </w:tc>
        <w:tc>
          <w:tcPr>
            <w:tcW w:w="1348" w:type="dxa"/>
            <w:vAlign w:val="bottom"/>
          </w:tcPr>
          <w:p w14:paraId="4E34B5A4" w14:textId="6EBB236E"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380EF091" w14:textId="77777777" w:rsidTr="00285FB8">
        <w:tc>
          <w:tcPr>
            <w:tcW w:w="1703" w:type="dxa"/>
            <w:vMerge/>
          </w:tcPr>
          <w:p w14:paraId="60F7FB46" w14:textId="77777777" w:rsidR="00285FB8" w:rsidRPr="00285FB8" w:rsidRDefault="00285FB8" w:rsidP="00285FB8">
            <w:pPr>
              <w:spacing w:line="240" w:lineRule="auto"/>
              <w:rPr>
                <w:rFonts w:eastAsia="Times New Roman" w:cs="Arial"/>
                <w:lang w:eastAsia="bg-BG"/>
              </w:rPr>
            </w:pPr>
          </w:p>
        </w:tc>
        <w:tc>
          <w:tcPr>
            <w:tcW w:w="2356" w:type="dxa"/>
            <w:vAlign w:val="bottom"/>
          </w:tcPr>
          <w:p w14:paraId="246FA8F6" w14:textId="1C4B1CE9" w:rsidR="00285FB8" w:rsidRPr="00285FB8" w:rsidRDefault="00285FB8" w:rsidP="00285FB8">
            <w:pPr>
              <w:spacing w:line="240" w:lineRule="auto"/>
              <w:rPr>
                <w:rFonts w:eastAsia="Times New Roman" w:cs="Arial"/>
                <w:lang w:eastAsia="bg-BG"/>
              </w:rPr>
            </w:pPr>
            <w:r w:rsidRPr="00285FB8">
              <w:rPr>
                <w:rFonts w:cs="Arial"/>
              </w:rPr>
              <w:t>Диария</w:t>
            </w:r>
          </w:p>
        </w:tc>
        <w:tc>
          <w:tcPr>
            <w:tcW w:w="1364" w:type="dxa"/>
            <w:vAlign w:val="bottom"/>
          </w:tcPr>
          <w:p w14:paraId="6AB1BADC" w14:textId="08A0EA7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3F5A6D6D" w14:textId="2050A11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0B24D0D5" w14:textId="503FD2FB"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1E6C33E1" w14:textId="3B8DBDCD"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710289D" w14:textId="77777777" w:rsidTr="00285FB8">
        <w:tc>
          <w:tcPr>
            <w:tcW w:w="1703" w:type="dxa"/>
            <w:vMerge/>
          </w:tcPr>
          <w:p w14:paraId="302FBC80" w14:textId="77777777" w:rsidR="00285FB8" w:rsidRPr="00285FB8" w:rsidRDefault="00285FB8" w:rsidP="00285FB8">
            <w:pPr>
              <w:spacing w:line="240" w:lineRule="auto"/>
              <w:rPr>
                <w:rFonts w:eastAsia="Times New Roman" w:cs="Arial"/>
                <w:lang w:eastAsia="bg-BG"/>
              </w:rPr>
            </w:pPr>
          </w:p>
        </w:tc>
        <w:tc>
          <w:tcPr>
            <w:tcW w:w="2356" w:type="dxa"/>
            <w:vAlign w:val="bottom"/>
          </w:tcPr>
          <w:p w14:paraId="325F3B77" w14:textId="47B73A6A" w:rsidR="00285FB8" w:rsidRPr="00285FB8" w:rsidRDefault="00285FB8" w:rsidP="00285FB8">
            <w:pPr>
              <w:spacing w:line="240" w:lineRule="auto"/>
              <w:rPr>
                <w:rFonts w:eastAsia="Times New Roman" w:cs="Arial"/>
                <w:lang w:eastAsia="bg-BG"/>
              </w:rPr>
            </w:pPr>
            <w:r w:rsidRPr="00285FB8">
              <w:rPr>
                <w:rFonts w:cs="Arial"/>
              </w:rPr>
              <w:t>Сухота в устата</w:t>
            </w:r>
          </w:p>
        </w:tc>
        <w:tc>
          <w:tcPr>
            <w:tcW w:w="1364" w:type="dxa"/>
            <w:vAlign w:val="bottom"/>
          </w:tcPr>
          <w:p w14:paraId="0A790A38" w14:textId="5B48BF4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6089AC7B" w14:textId="10DF3800"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1CAAD5FC" w14:textId="77777777" w:rsidR="00285FB8" w:rsidRPr="00285FB8" w:rsidRDefault="00285FB8" w:rsidP="00285FB8">
            <w:pPr>
              <w:spacing w:line="240" w:lineRule="auto"/>
              <w:rPr>
                <w:rFonts w:eastAsia="Times New Roman" w:cs="Arial"/>
                <w:lang w:eastAsia="bg-BG"/>
              </w:rPr>
            </w:pPr>
          </w:p>
        </w:tc>
        <w:tc>
          <w:tcPr>
            <w:tcW w:w="1348" w:type="dxa"/>
            <w:vAlign w:val="bottom"/>
          </w:tcPr>
          <w:p w14:paraId="60DFDC38" w14:textId="5E7421BA" w:rsidR="00285FB8" w:rsidRPr="00285FB8" w:rsidRDefault="00285FB8" w:rsidP="00285FB8">
            <w:pPr>
              <w:spacing w:line="240" w:lineRule="auto"/>
              <w:rPr>
                <w:rFonts w:eastAsia="Times New Roman" w:cs="Arial"/>
                <w:lang w:eastAsia="bg-BG"/>
              </w:rPr>
            </w:pPr>
            <w:r w:rsidRPr="00285FB8">
              <w:rPr>
                <w:rFonts w:cs="Arial"/>
              </w:rPr>
              <w:t>-</w:t>
            </w:r>
          </w:p>
        </w:tc>
      </w:tr>
      <w:tr w:rsidR="00285FB8" w14:paraId="617EF4E0" w14:textId="77777777" w:rsidTr="00285FB8">
        <w:tc>
          <w:tcPr>
            <w:tcW w:w="1703" w:type="dxa"/>
            <w:vMerge/>
          </w:tcPr>
          <w:p w14:paraId="11F2C177" w14:textId="77777777" w:rsidR="00285FB8" w:rsidRPr="00285FB8" w:rsidRDefault="00285FB8" w:rsidP="00285FB8">
            <w:pPr>
              <w:spacing w:line="240" w:lineRule="auto"/>
              <w:rPr>
                <w:rFonts w:eastAsia="Times New Roman" w:cs="Arial"/>
                <w:lang w:eastAsia="bg-BG"/>
              </w:rPr>
            </w:pPr>
          </w:p>
        </w:tc>
        <w:tc>
          <w:tcPr>
            <w:tcW w:w="2356" w:type="dxa"/>
          </w:tcPr>
          <w:p w14:paraId="28F4AF13" w14:textId="283ED296" w:rsidR="00285FB8" w:rsidRPr="00285FB8" w:rsidRDefault="00285FB8" w:rsidP="00285FB8">
            <w:pPr>
              <w:spacing w:line="240" w:lineRule="auto"/>
              <w:rPr>
                <w:rFonts w:eastAsia="Times New Roman" w:cs="Arial"/>
                <w:lang w:eastAsia="bg-BG"/>
              </w:rPr>
            </w:pPr>
            <w:r w:rsidRPr="00285FB8">
              <w:rPr>
                <w:rFonts w:cs="Arial"/>
              </w:rPr>
              <w:t>Диспепсия</w:t>
            </w:r>
          </w:p>
        </w:tc>
        <w:tc>
          <w:tcPr>
            <w:tcW w:w="1364" w:type="dxa"/>
          </w:tcPr>
          <w:p w14:paraId="4DED3242" w14:textId="0D217B31"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tcPr>
          <w:p w14:paraId="1FADFD53" w14:textId="587FD13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70DC097A" w14:textId="77777777" w:rsidR="00285FB8" w:rsidRPr="00285FB8" w:rsidRDefault="00285FB8" w:rsidP="00285FB8">
            <w:pPr>
              <w:spacing w:line="240" w:lineRule="auto"/>
              <w:rPr>
                <w:rFonts w:eastAsia="Times New Roman" w:cs="Arial"/>
                <w:lang w:eastAsia="bg-BG"/>
              </w:rPr>
            </w:pPr>
          </w:p>
        </w:tc>
        <w:tc>
          <w:tcPr>
            <w:tcW w:w="1348" w:type="dxa"/>
            <w:vAlign w:val="bottom"/>
          </w:tcPr>
          <w:p w14:paraId="44649398" w14:textId="3A899FE4" w:rsidR="00285FB8" w:rsidRPr="00285FB8" w:rsidRDefault="00285FB8" w:rsidP="00285FB8">
            <w:pPr>
              <w:spacing w:line="240" w:lineRule="auto"/>
              <w:rPr>
                <w:rFonts w:eastAsia="Times New Roman" w:cs="Arial"/>
                <w:lang w:eastAsia="bg-BG"/>
              </w:rPr>
            </w:pPr>
            <w:r w:rsidRPr="00285FB8">
              <w:rPr>
                <w:rFonts w:cs="Arial"/>
              </w:rPr>
              <w:t>-</w:t>
            </w:r>
          </w:p>
        </w:tc>
      </w:tr>
      <w:tr w:rsidR="00285FB8" w14:paraId="6BAB8B52" w14:textId="77777777" w:rsidTr="00285FB8">
        <w:tc>
          <w:tcPr>
            <w:tcW w:w="1703" w:type="dxa"/>
            <w:vMerge/>
          </w:tcPr>
          <w:p w14:paraId="5E851A3A" w14:textId="77777777" w:rsidR="00285FB8" w:rsidRPr="00285FB8" w:rsidRDefault="00285FB8" w:rsidP="00285FB8">
            <w:pPr>
              <w:spacing w:line="240" w:lineRule="auto"/>
              <w:rPr>
                <w:rFonts w:eastAsia="Times New Roman" w:cs="Arial"/>
                <w:lang w:eastAsia="bg-BG"/>
              </w:rPr>
            </w:pPr>
          </w:p>
        </w:tc>
        <w:tc>
          <w:tcPr>
            <w:tcW w:w="2356" w:type="dxa"/>
            <w:vAlign w:val="bottom"/>
          </w:tcPr>
          <w:p w14:paraId="334C0FA4" w14:textId="4CC7CC2A" w:rsidR="00285FB8" w:rsidRPr="00285FB8" w:rsidRDefault="00285FB8" w:rsidP="00285FB8">
            <w:pPr>
              <w:spacing w:line="240" w:lineRule="auto"/>
              <w:rPr>
                <w:rFonts w:eastAsia="Times New Roman" w:cs="Arial"/>
                <w:lang w:eastAsia="bg-BG"/>
              </w:rPr>
            </w:pPr>
            <w:r w:rsidRPr="00285FB8">
              <w:rPr>
                <w:rFonts w:cs="Arial"/>
              </w:rPr>
              <w:t>Гастрит</w:t>
            </w:r>
          </w:p>
        </w:tc>
        <w:tc>
          <w:tcPr>
            <w:tcW w:w="1364" w:type="dxa"/>
            <w:vAlign w:val="center"/>
          </w:tcPr>
          <w:p w14:paraId="0800E7FD" w14:textId="27F03509"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25D08D7C" w14:textId="452F6293"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4CD086D8" w14:textId="45E5861B"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6D1DA2B" w14:textId="77777777" w:rsidR="00285FB8" w:rsidRPr="00285FB8" w:rsidRDefault="00285FB8" w:rsidP="00285FB8">
            <w:pPr>
              <w:spacing w:line="240" w:lineRule="auto"/>
              <w:rPr>
                <w:rFonts w:eastAsia="Times New Roman" w:cs="Arial"/>
                <w:lang w:eastAsia="bg-BG"/>
              </w:rPr>
            </w:pPr>
          </w:p>
        </w:tc>
      </w:tr>
      <w:tr w:rsidR="00285FB8" w14:paraId="42731BC4" w14:textId="77777777" w:rsidTr="00285FB8">
        <w:tc>
          <w:tcPr>
            <w:tcW w:w="1703" w:type="dxa"/>
            <w:vMerge/>
          </w:tcPr>
          <w:p w14:paraId="2F0CB19D" w14:textId="77777777" w:rsidR="00285FB8" w:rsidRPr="00285FB8" w:rsidRDefault="00285FB8" w:rsidP="00285FB8">
            <w:pPr>
              <w:spacing w:line="240" w:lineRule="auto"/>
              <w:rPr>
                <w:rFonts w:eastAsia="Times New Roman" w:cs="Arial"/>
                <w:lang w:eastAsia="bg-BG"/>
              </w:rPr>
            </w:pPr>
          </w:p>
        </w:tc>
        <w:tc>
          <w:tcPr>
            <w:tcW w:w="2356" w:type="dxa"/>
            <w:vAlign w:val="bottom"/>
          </w:tcPr>
          <w:p w14:paraId="1506B25F" w14:textId="11569872" w:rsidR="00285FB8" w:rsidRPr="00285FB8" w:rsidRDefault="00285FB8" w:rsidP="00285FB8">
            <w:pPr>
              <w:spacing w:line="240" w:lineRule="auto"/>
              <w:rPr>
                <w:rFonts w:eastAsia="Times New Roman" w:cs="Arial"/>
                <w:lang w:eastAsia="bg-BG"/>
              </w:rPr>
            </w:pPr>
            <w:r w:rsidRPr="00285FB8">
              <w:rPr>
                <w:rFonts w:cs="Arial"/>
              </w:rPr>
              <w:t>Хиперплазия на венците</w:t>
            </w:r>
          </w:p>
        </w:tc>
        <w:tc>
          <w:tcPr>
            <w:tcW w:w="1364" w:type="dxa"/>
          </w:tcPr>
          <w:p w14:paraId="3CF5B44A" w14:textId="422310B3"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39124330" w14:textId="56448136"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0CA86D25" w14:textId="1D1DDAD2"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346FDCB7" w14:textId="1D607AD7" w:rsidR="00285FB8" w:rsidRPr="00285FB8" w:rsidRDefault="00285FB8" w:rsidP="00285FB8">
            <w:pPr>
              <w:spacing w:line="240" w:lineRule="auto"/>
              <w:rPr>
                <w:rFonts w:eastAsia="Times New Roman" w:cs="Arial"/>
                <w:lang w:eastAsia="bg-BG"/>
              </w:rPr>
            </w:pPr>
            <w:r w:rsidRPr="00285FB8">
              <w:rPr>
                <w:rFonts w:cs="Arial"/>
              </w:rPr>
              <w:t>-</w:t>
            </w:r>
          </w:p>
        </w:tc>
      </w:tr>
      <w:tr w:rsidR="00285FB8" w14:paraId="637C4A47" w14:textId="77777777" w:rsidTr="00285FB8">
        <w:tc>
          <w:tcPr>
            <w:tcW w:w="1703" w:type="dxa"/>
            <w:vMerge/>
          </w:tcPr>
          <w:p w14:paraId="54FD0C63" w14:textId="77777777" w:rsidR="00285FB8" w:rsidRPr="00285FB8" w:rsidRDefault="00285FB8" w:rsidP="00285FB8">
            <w:pPr>
              <w:spacing w:line="240" w:lineRule="auto"/>
              <w:rPr>
                <w:rFonts w:eastAsia="Times New Roman" w:cs="Arial"/>
                <w:lang w:eastAsia="bg-BG"/>
              </w:rPr>
            </w:pPr>
          </w:p>
        </w:tc>
        <w:tc>
          <w:tcPr>
            <w:tcW w:w="2356" w:type="dxa"/>
            <w:vAlign w:val="bottom"/>
          </w:tcPr>
          <w:p w14:paraId="0AD1182C" w14:textId="195547B3" w:rsidR="00285FB8" w:rsidRPr="00285FB8" w:rsidRDefault="00285FB8" w:rsidP="00285FB8">
            <w:pPr>
              <w:spacing w:line="240" w:lineRule="auto"/>
              <w:rPr>
                <w:rFonts w:eastAsia="Times New Roman" w:cs="Arial"/>
                <w:lang w:eastAsia="bg-BG"/>
              </w:rPr>
            </w:pPr>
            <w:r w:rsidRPr="00285FB8">
              <w:rPr>
                <w:rFonts w:cs="Arial"/>
              </w:rPr>
              <w:t>Гадене</w:t>
            </w:r>
          </w:p>
        </w:tc>
        <w:tc>
          <w:tcPr>
            <w:tcW w:w="1364" w:type="dxa"/>
            <w:vAlign w:val="bottom"/>
          </w:tcPr>
          <w:p w14:paraId="1298FA2C" w14:textId="77AC5D57"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11C22794" w14:textId="2A85BF1A"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bottom"/>
          </w:tcPr>
          <w:p w14:paraId="60751814" w14:textId="680122E2"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0729A3C4" w14:textId="0EA41B29"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6B6211CE" w14:textId="77777777" w:rsidTr="00285FB8">
        <w:tc>
          <w:tcPr>
            <w:tcW w:w="1703" w:type="dxa"/>
            <w:vMerge/>
          </w:tcPr>
          <w:p w14:paraId="323A68D9" w14:textId="77777777" w:rsidR="00285FB8" w:rsidRPr="00285FB8" w:rsidRDefault="00285FB8" w:rsidP="00285FB8">
            <w:pPr>
              <w:spacing w:line="240" w:lineRule="auto"/>
              <w:rPr>
                <w:rFonts w:eastAsia="Times New Roman" w:cs="Arial"/>
                <w:lang w:eastAsia="bg-BG"/>
              </w:rPr>
            </w:pPr>
          </w:p>
        </w:tc>
        <w:tc>
          <w:tcPr>
            <w:tcW w:w="2356" w:type="dxa"/>
            <w:vAlign w:val="bottom"/>
          </w:tcPr>
          <w:p w14:paraId="05D52B9F" w14:textId="48B2AC51" w:rsidR="00285FB8" w:rsidRPr="00285FB8" w:rsidRDefault="00285FB8" w:rsidP="00285FB8">
            <w:pPr>
              <w:spacing w:line="240" w:lineRule="auto"/>
              <w:rPr>
                <w:rFonts w:eastAsia="Times New Roman" w:cs="Arial"/>
                <w:lang w:eastAsia="bg-BG"/>
              </w:rPr>
            </w:pPr>
            <w:r w:rsidRPr="00285FB8">
              <w:rPr>
                <w:rFonts w:cs="Arial"/>
              </w:rPr>
              <w:t>Панкреатит</w:t>
            </w:r>
          </w:p>
        </w:tc>
        <w:tc>
          <w:tcPr>
            <w:tcW w:w="1364" w:type="dxa"/>
          </w:tcPr>
          <w:p w14:paraId="5DF71D9F" w14:textId="77777777" w:rsidR="00285FB8" w:rsidRPr="00285FB8" w:rsidRDefault="00285FB8" w:rsidP="00285FB8">
            <w:pPr>
              <w:spacing w:line="240" w:lineRule="auto"/>
              <w:rPr>
                <w:rFonts w:eastAsia="Times New Roman" w:cs="Arial"/>
                <w:lang w:eastAsia="bg-BG"/>
              </w:rPr>
            </w:pPr>
          </w:p>
        </w:tc>
        <w:tc>
          <w:tcPr>
            <w:tcW w:w="1455" w:type="dxa"/>
            <w:vAlign w:val="bottom"/>
          </w:tcPr>
          <w:p w14:paraId="6C3832B4" w14:textId="098970A7"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42FE0A58" w14:textId="77777777" w:rsidR="00285FB8" w:rsidRPr="00285FB8" w:rsidRDefault="00285FB8" w:rsidP="00285FB8">
            <w:pPr>
              <w:spacing w:line="240" w:lineRule="auto"/>
              <w:rPr>
                <w:rFonts w:eastAsia="Times New Roman" w:cs="Arial"/>
                <w:lang w:eastAsia="bg-BG"/>
              </w:rPr>
            </w:pPr>
          </w:p>
        </w:tc>
        <w:tc>
          <w:tcPr>
            <w:tcW w:w="1348" w:type="dxa"/>
            <w:vAlign w:val="bottom"/>
          </w:tcPr>
          <w:p w14:paraId="26DF9BA0" w14:textId="78B3663F" w:rsidR="00285FB8" w:rsidRPr="00285FB8" w:rsidRDefault="00285FB8" w:rsidP="00285FB8">
            <w:pPr>
              <w:spacing w:line="240" w:lineRule="auto"/>
              <w:rPr>
                <w:rFonts w:eastAsia="Times New Roman" w:cs="Arial"/>
                <w:lang w:eastAsia="bg-BG"/>
              </w:rPr>
            </w:pPr>
            <w:r w:rsidRPr="00285FB8">
              <w:rPr>
                <w:rFonts w:cs="Arial"/>
              </w:rPr>
              <w:t>Много редки</w:t>
            </w:r>
          </w:p>
        </w:tc>
      </w:tr>
      <w:tr w:rsidR="00285FB8" w14:paraId="1FA7D830" w14:textId="77777777" w:rsidTr="00285FB8">
        <w:tc>
          <w:tcPr>
            <w:tcW w:w="1703" w:type="dxa"/>
            <w:vMerge/>
          </w:tcPr>
          <w:p w14:paraId="2C51ED05" w14:textId="77777777" w:rsidR="00285FB8" w:rsidRPr="00285FB8" w:rsidRDefault="00285FB8" w:rsidP="00285FB8">
            <w:pPr>
              <w:spacing w:line="240" w:lineRule="auto"/>
              <w:rPr>
                <w:rFonts w:eastAsia="Times New Roman" w:cs="Arial"/>
                <w:lang w:eastAsia="bg-BG"/>
              </w:rPr>
            </w:pPr>
          </w:p>
        </w:tc>
        <w:tc>
          <w:tcPr>
            <w:tcW w:w="2356" w:type="dxa"/>
            <w:vAlign w:val="bottom"/>
          </w:tcPr>
          <w:p w14:paraId="5DFEA2EB" w14:textId="156665D7" w:rsidR="00285FB8" w:rsidRPr="00285FB8" w:rsidRDefault="00285FB8" w:rsidP="00285FB8">
            <w:pPr>
              <w:spacing w:line="240" w:lineRule="auto"/>
              <w:rPr>
                <w:rFonts w:eastAsia="Times New Roman" w:cs="Arial"/>
                <w:lang w:eastAsia="bg-BG"/>
              </w:rPr>
            </w:pPr>
            <w:r w:rsidRPr="00285FB8">
              <w:rPr>
                <w:rFonts w:cs="Arial"/>
              </w:rPr>
              <w:t>Повръщане</w:t>
            </w:r>
          </w:p>
        </w:tc>
        <w:tc>
          <w:tcPr>
            <w:tcW w:w="1364" w:type="dxa"/>
            <w:vAlign w:val="bottom"/>
          </w:tcPr>
          <w:p w14:paraId="0CBD03DD" w14:textId="145DB2C3"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4A49FDBE" w14:textId="699FAB85"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13982E4E" w14:textId="2D83EE80"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5035165D" w14:textId="39616E88"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75D91568" w14:textId="77777777" w:rsidTr="00285FB8">
        <w:tc>
          <w:tcPr>
            <w:tcW w:w="1703" w:type="dxa"/>
            <w:vMerge w:val="restart"/>
          </w:tcPr>
          <w:p w14:paraId="051D5A38" w14:textId="69DA1C90" w:rsidR="00285FB8" w:rsidRPr="00285FB8" w:rsidRDefault="00285FB8" w:rsidP="00285FB8">
            <w:pPr>
              <w:spacing w:line="240" w:lineRule="auto"/>
              <w:rPr>
                <w:rFonts w:eastAsia="Times New Roman" w:cs="Arial"/>
                <w:lang w:eastAsia="bg-BG"/>
              </w:rPr>
            </w:pPr>
            <w:r w:rsidRPr="00285FB8">
              <w:rPr>
                <w:rFonts w:cs="Arial"/>
              </w:rPr>
              <w:t>Хепатоби- лиарни нарушения</w:t>
            </w:r>
          </w:p>
        </w:tc>
        <w:tc>
          <w:tcPr>
            <w:tcW w:w="2356" w:type="dxa"/>
            <w:vAlign w:val="bottom"/>
          </w:tcPr>
          <w:p w14:paraId="6F86B340" w14:textId="77777777" w:rsidR="00285FB8" w:rsidRPr="00285FB8" w:rsidRDefault="00285FB8" w:rsidP="00285FB8">
            <w:pPr>
              <w:rPr>
                <w:rFonts w:cs="Arial"/>
              </w:rPr>
            </w:pPr>
            <w:r w:rsidRPr="00285FB8">
              <w:rPr>
                <w:rFonts w:cs="Arial"/>
              </w:rPr>
              <w:t>Отклонения</w:t>
            </w:r>
            <w:r w:rsidRPr="00285FB8">
              <w:rPr>
                <w:rFonts w:cs="Arial"/>
              </w:rPr>
              <w:tab/>
              <w:t>в</w:t>
            </w:r>
          </w:p>
          <w:p w14:paraId="1D979085" w14:textId="77777777" w:rsidR="00285FB8" w:rsidRPr="00285FB8" w:rsidRDefault="00285FB8" w:rsidP="00285FB8">
            <w:pPr>
              <w:rPr>
                <w:rFonts w:cs="Arial"/>
              </w:rPr>
            </w:pPr>
            <w:r w:rsidRPr="00285FB8">
              <w:rPr>
                <w:rFonts w:cs="Arial"/>
              </w:rPr>
              <w:t>чернодробните функционални изследвания, включително повишаване</w:t>
            </w:r>
            <w:r w:rsidRPr="00285FB8">
              <w:rPr>
                <w:rFonts w:cs="Arial"/>
              </w:rPr>
              <w:tab/>
              <w:t>на</w:t>
            </w:r>
          </w:p>
          <w:p w14:paraId="521AD356" w14:textId="5A8FF1F1" w:rsidR="00285FB8" w:rsidRPr="00285FB8" w:rsidRDefault="00285FB8" w:rsidP="00285FB8">
            <w:pPr>
              <w:spacing w:line="240" w:lineRule="auto"/>
              <w:rPr>
                <w:rFonts w:eastAsia="Times New Roman" w:cs="Arial"/>
                <w:lang w:eastAsia="bg-BG"/>
              </w:rPr>
            </w:pPr>
            <w:r w:rsidRPr="00285FB8">
              <w:rPr>
                <w:rFonts w:cs="Arial"/>
              </w:rPr>
              <w:t>серумния билирубин</w:t>
            </w:r>
          </w:p>
        </w:tc>
        <w:tc>
          <w:tcPr>
            <w:tcW w:w="1364" w:type="dxa"/>
          </w:tcPr>
          <w:p w14:paraId="6A2A5E89" w14:textId="77777777" w:rsidR="00285FB8" w:rsidRPr="00285FB8" w:rsidRDefault="00285FB8" w:rsidP="00285FB8">
            <w:pPr>
              <w:spacing w:line="240" w:lineRule="auto"/>
              <w:rPr>
                <w:rFonts w:eastAsia="Times New Roman" w:cs="Arial"/>
                <w:lang w:eastAsia="bg-BG"/>
              </w:rPr>
            </w:pPr>
          </w:p>
        </w:tc>
        <w:tc>
          <w:tcPr>
            <w:tcW w:w="1455" w:type="dxa"/>
          </w:tcPr>
          <w:p w14:paraId="767994DE" w14:textId="5F418A28"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31510674" w14:textId="705E180A"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0C716915" w14:textId="77777777" w:rsidR="00285FB8" w:rsidRPr="00285FB8" w:rsidRDefault="00285FB8" w:rsidP="00285FB8">
            <w:pPr>
              <w:spacing w:line="240" w:lineRule="auto"/>
              <w:rPr>
                <w:rFonts w:eastAsia="Times New Roman" w:cs="Arial"/>
                <w:lang w:eastAsia="bg-BG"/>
              </w:rPr>
            </w:pPr>
          </w:p>
        </w:tc>
      </w:tr>
      <w:tr w:rsidR="00285FB8" w14:paraId="541E705A" w14:textId="77777777" w:rsidTr="00285FB8">
        <w:tc>
          <w:tcPr>
            <w:tcW w:w="1703" w:type="dxa"/>
            <w:vMerge/>
          </w:tcPr>
          <w:p w14:paraId="24171B43" w14:textId="77777777" w:rsidR="00285FB8" w:rsidRPr="00285FB8" w:rsidRDefault="00285FB8" w:rsidP="00285FB8">
            <w:pPr>
              <w:spacing w:line="240" w:lineRule="auto"/>
              <w:rPr>
                <w:rFonts w:eastAsia="Times New Roman" w:cs="Arial"/>
                <w:lang w:eastAsia="bg-BG"/>
              </w:rPr>
            </w:pPr>
          </w:p>
        </w:tc>
        <w:tc>
          <w:tcPr>
            <w:tcW w:w="2356" w:type="dxa"/>
          </w:tcPr>
          <w:p w14:paraId="257DA325" w14:textId="64CD2CF8" w:rsidR="00285FB8" w:rsidRPr="00285FB8" w:rsidRDefault="00285FB8" w:rsidP="00285FB8">
            <w:pPr>
              <w:spacing w:line="240" w:lineRule="auto"/>
              <w:rPr>
                <w:rFonts w:eastAsia="Times New Roman" w:cs="Arial"/>
                <w:lang w:eastAsia="bg-BG"/>
              </w:rPr>
            </w:pPr>
            <w:r w:rsidRPr="00285FB8">
              <w:rPr>
                <w:rFonts w:cs="Arial"/>
              </w:rPr>
              <w:t>Хепатит</w:t>
            </w:r>
          </w:p>
        </w:tc>
        <w:tc>
          <w:tcPr>
            <w:tcW w:w="1364" w:type="dxa"/>
            <w:vAlign w:val="center"/>
          </w:tcPr>
          <w:p w14:paraId="5FE8990F" w14:textId="2E431151"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7944AD63" w14:textId="5DFC277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5ABCA01B" w14:textId="2D83E92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11571071" w14:textId="77777777" w:rsidR="00285FB8" w:rsidRPr="00285FB8" w:rsidRDefault="00285FB8" w:rsidP="00285FB8">
            <w:pPr>
              <w:spacing w:line="240" w:lineRule="auto"/>
              <w:rPr>
                <w:rFonts w:eastAsia="Times New Roman" w:cs="Arial"/>
                <w:lang w:eastAsia="bg-BG"/>
              </w:rPr>
            </w:pPr>
          </w:p>
        </w:tc>
      </w:tr>
      <w:tr w:rsidR="00285FB8" w14:paraId="0ACCF4EB" w14:textId="77777777" w:rsidTr="00285FB8">
        <w:tc>
          <w:tcPr>
            <w:tcW w:w="1703" w:type="dxa"/>
            <w:vMerge/>
          </w:tcPr>
          <w:p w14:paraId="2EC91A77" w14:textId="77777777" w:rsidR="00285FB8" w:rsidRPr="00285FB8" w:rsidRDefault="00285FB8" w:rsidP="00285FB8">
            <w:pPr>
              <w:spacing w:line="240" w:lineRule="auto"/>
              <w:rPr>
                <w:rFonts w:eastAsia="Times New Roman" w:cs="Arial"/>
                <w:lang w:eastAsia="bg-BG"/>
              </w:rPr>
            </w:pPr>
          </w:p>
        </w:tc>
        <w:tc>
          <w:tcPr>
            <w:tcW w:w="2356" w:type="dxa"/>
            <w:vAlign w:val="bottom"/>
          </w:tcPr>
          <w:p w14:paraId="7409250A" w14:textId="3894A250" w:rsidR="00285FB8" w:rsidRPr="00285FB8" w:rsidRDefault="00285FB8" w:rsidP="00285FB8">
            <w:pPr>
              <w:spacing w:line="240" w:lineRule="auto"/>
              <w:rPr>
                <w:rFonts w:eastAsia="Times New Roman" w:cs="Arial"/>
                <w:lang w:eastAsia="bg-BG"/>
              </w:rPr>
            </w:pPr>
            <w:r w:rsidRPr="00285FB8">
              <w:rPr>
                <w:rFonts w:cs="Arial"/>
              </w:rPr>
              <w:t>Интрахепатална холестаза, жълтеница</w:t>
            </w:r>
          </w:p>
        </w:tc>
        <w:tc>
          <w:tcPr>
            <w:tcW w:w="1364" w:type="dxa"/>
          </w:tcPr>
          <w:p w14:paraId="1DDEDA5C" w14:textId="3923976D"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096BBA4A" w14:textId="25750B90"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04D66B93" w14:textId="16495A6C" w:rsidR="00285FB8" w:rsidRPr="00285FB8" w:rsidRDefault="00285FB8" w:rsidP="00285FB8">
            <w:pPr>
              <w:spacing w:line="240" w:lineRule="auto"/>
              <w:rPr>
                <w:rFonts w:eastAsia="Times New Roman" w:cs="Arial"/>
                <w:lang w:eastAsia="bg-BG"/>
              </w:rPr>
            </w:pPr>
            <w:r w:rsidRPr="00285FB8">
              <w:rPr>
                <w:rFonts w:cs="Arial"/>
                <w:i/>
                <w:iCs/>
              </w:rPr>
              <w:t>-</w:t>
            </w:r>
          </w:p>
        </w:tc>
        <w:tc>
          <w:tcPr>
            <w:tcW w:w="1348" w:type="dxa"/>
          </w:tcPr>
          <w:p w14:paraId="30E98CD8" w14:textId="171EA32D"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A6D310D" w14:textId="77777777" w:rsidTr="00285FB8">
        <w:tc>
          <w:tcPr>
            <w:tcW w:w="1703" w:type="dxa"/>
            <w:vMerge w:val="restart"/>
          </w:tcPr>
          <w:p w14:paraId="7D21865B" w14:textId="77777777" w:rsidR="00285FB8" w:rsidRPr="00285FB8" w:rsidRDefault="00285FB8" w:rsidP="00285FB8">
            <w:pPr>
              <w:rPr>
                <w:rFonts w:cs="Arial"/>
              </w:rPr>
            </w:pPr>
            <w:r w:rsidRPr="00285FB8">
              <w:rPr>
                <w:rFonts w:cs="Arial"/>
              </w:rPr>
              <w:t>Нарушения на кожата</w:t>
            </w:r>
            <w:r w:rsidRPr="00285FB8">
              <w:rPr>
                <w:rFonts w:cs="Arial"/>
              </w:rPr>
              <w:tab/>
              <w:t>и</w:t>
            </w:r>
          </w:p>
          <w:p w14:paraId="73DC828E" w14:textId="0A2C41AE" w:rsidR="00285FB8" w:rsidRPr="00285FB8" w:rsidRDefault="00285FB8" w:rsidP="00285FB8">
            <w:pPr>
              <w:spacing w:line="240" w:lineRule="auto"/>
              <w:rPr>
                <w:rFonts w:eastAsia="Times New Roman" w:cs="Arial"/>
                <w:lang w:eastAsia="bg-BG"/>
              </w:rPr>
            </w:pPr>
            <w:r w:rsidRPr="00285FB8">
              <w:rPr>
                <w:rFonts w:cs="Arial"/>
              </w:rPr>
              <w:t>подкожната тъкан</w:t>
            </w:r>
          </w:p>
        </w:tc>
        <w:tc>
          <w:tcPr>
            <w:tcW w:w="2356" w:type="dxa"/>
            <w:vAlign w:val="bottom"/>
          </w:tcPr>
          <w:p w14:paraId="6D8981B6" w14:textId="5EE063FC" w:rsidR="00285FB8" w:rsidRPr="00285FB8" w:rsidRDefault="00285FB8" w:rsidP="00285FB8">
            <w:pPr>
              <w:spacing w:line="240" w:lineRule="auto"/>
              <w:rPr>
                <w:rFonts w:eastAsia="Times New Roman" w:cs="Arial"/>
                <w:lang w:eastAsia="bg-BG"/>
              </w:rPr>
            </w:pPr>
            <w:r w:rsidRPr="00285FB8">
              <w:rPr>
                <w:rFonts w:cs="Arial"/>
              </w:rPr>
              <w:t>Алопеция</w:t>
            </w:r>
          </w:p>
        </w:tc>
        <w:tc>
          <w:tcPr>
            <w:tcW w:w="1364" w:type="dxa"/>
            <w:vAlign w:val="center"/>
          </w:tcPr>
          <w:p w14:paraId="4F421455" w14:textId="6168A817"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3512EC67" w14:textId="070569A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3203F7FF" w14:textId="75B1EED9"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5D4DBD8A" w14:textId="4624DEDC" w:rsidR="00285FB8" w:rsidRPr="00285FB8" w:rsidRDefault="00285FB8" w:rsidP="00285FB8">
            <w:pPr>
              <w:spacing w:line="240" w:lineRule="auto"/>
              <w:rPr>
                <w:rFonts w:eastAsia="Times New Roman" w:cs="Arial"/>
                <w:lang w:eastAsia="bg-BG"/>
              </w:rPr>
            </w:pPr>
            <w:r w:rsidRPr="00285FB8">
              <w:rPr>
                <w:rFonts w:cs="Arial"/>
              </w:rPr>
              <w:t>-</w:t>
            </w:r>
          </w:p>
        </w:tc>
      </w:tr>
      <w:tr w:rsidR="00285FB8" w14:paraId="12DE0609" w14:textId="77777777" w:rsidTr="00285FB8">
        <w:tc>
          <w:tcPr>
            <w:tcW w:w="1703" w:type="dxa"/>
            <w:vMerge/>
          </w:tcPr>
          <w:p w14:paraId="19FF7201" w14:textId="77777777" w:rsidR="00285FB8" w:rsidRPr="00285FB8" w:rsidRDefault="00285FB8" w:rsidP="00285FB8">
            <w:pPr>
              <w:spacing w:line="240" w:lineRule="auto"/>
              <w:rPr>
                <w:rFonts w:eastAsia="Times New Roman" w:cs="Arial"/>
                <w:lang w:eastAsia="bg-BG"/>
              </w:rPr>
            </w:pPr>
          </w:p>
        </w:tc>
        <w:tc>
          <w:tcPr>
            <w:tcW w:w="2356" w:type="dxa"/>
          </w:tcPr>
          <w:p w14:paraId="77C53F44" w14:textId="0F868AA5" w:rsidR="00285FB8" w:rsidRPr="00285FB8" w:rsidRDefault="00285FB8" w:rsidP="00285FB8">
            <w:pPr>
              <w:spacing w:line="240" w:lineRule="auto"/>
              <w:rPr>
                <w:rFonts w:eastAsia="Times New Roman" w:cs="Arial"/>
                <w:lang w:eastAsia="bg-BG"/>
              </w:rPr>
            </w:pPr>
            <w:r w:rsidRPr="00285FB8">
              <w:rPr>
                <w:rFonts w:cs="Arial"/>
              </w:rPr>
              <w:t>Ангиоедем</w:t>
            </w:r>
          </w:p>
        </w:tc>
        <w:tc>
          <w:tcPr>
            <w:tcW w:w="1364" w:type="dxa"/>
          </w:tcPr>
          <w:p w14:paraId="651908AA" w14:textId="3781A4EC"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0C6E506E" w14:textId="03A0C86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bottom"/>
          </w:tcPr>
          <w:p w14:paraId="7F104A4C" w14:textId="4A35DD81"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2EFF4A9C" w14:textId="0F7F8AE3" w:rsidR="00285FB8" w:rsidRPr="00285FB8" w:rsidRDefault="00285FB8" w:rsidP="00285FB8">
            <w:pPr>
              <w:spacing w:line="240" w:lineRule="auto"/>
              <w:rPr>
                <w:rFonts w:eastAsia="Times New Roman" w:cs="Arial"/>
                <w:lang w:eastAsia="bg-BG"/>
              </w:rPr>
            </w:pPr>
            <w:r w:rsidRPr="00285FB8">
              <w:rPr>
                <w:rFonts w:cs="Arial"/>
              </w:rPr>
              <w:t>-</w:t>
            </w:r>
          </w:p>
        </w:tc>
      </w:tr>
      <w:tr w:rsidR="00285FB8" w14:paraId="38CE186F" w14:textId="77777777" w:rsidTr="00285FB8">
        <w:tc>
          <w:tcPr>
            <w:tcW w:w="1703" w:type="dxa"/>
            <w:vMerge/>
          </w:tcPr>
          <w:p w14:paraId="6A9A460F" w14:textId="77777777" w:rsidR="00285FB8" w:rsidRPr="00285FB8" w:rsidRDefault="00285FB8" w:rsidP="00285FB8">
            <w:pPr>
              <w:spacing w:line="240" w:lineRule="auto"/>
              <w:rPr>
                <w:rFonts w:eastAsia="Times New Roman" w:cs="Arial"/>
                <w:lang w:eastAsia="bg-BG"/>
              </w:rPr>
            </w:pPr>
          </w:p>
        </w:tc>
        <w:tc>
          <w:tcPr>
            <w:tcW w:w="2356" w:type="dxa"/>
          </w:tcPr>
          <w:p w14:paraId="3B7E8F88" w14:textId="2AFFE4F5" w:rsidR="00285FB8" w:rsidRPr="00285FB8" w:rsidRDefault="00285FB8" w:rsidP="00285FB8">
            <w:pPr>
              <w:spacing w:line="240" w:lineRule="auto"/>
              <w:rPr>
                <w:rFonts w:eastAsia="Times New Roman" w:cs="Arial"/>
                <w:lang w:eastAsia="bg-BG"/>
              </w:rPr>
            </w:pPr>
            <w:r w:rsidRPr="00285FB8">
              <w:rPr>
                <w:rFonts w:cs="Arial"/>
              </w:rPr>
              <w:t>Булозен дерматит</w:t>
            </w:r>
          </w:p>
        </w:tc>
        <w:tc>
          <w:tcPr>
            <w:tcW w:w="1364" w:type="dxa"/>
          </w:tcPr>
          <w:p w14:paraId="01552555" w14:textId="35FF5136"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3A85E7F3" w14:textId="1EDB6607"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bottom"/>
          </w:tcPr>
          <w:p w14:paraId="3E20265A" w14:textId="61E5D31D"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726C1E2A" w14:textId="77777777" w:rsidR="00285FB8" w:rsidRPr="00285FB8" w:rsidRDefault="00285FB8" w:rsidP="00285FB8">
            <w:pPr>
              <w:spacing w:line="240" w:lineRule="auto"/>
              <w:rPr>
                <w:rFonts w:eastAsia="Times New Roman" w:cs="Arial"/>
                <w:lang w:eastAsia="bg-BG"/>
              </w:rPr>
            </w:pPr>
          </w:p>
        </w:tc>
      </w:tr>
      <w:tr w:rsidR="00285FB8" w14:paraId="43518404" w14:textId="77777777" w:rsidTr="00285FB8">
        <w:tc>
          <w:tcPr>
            <w:tcW w:w="1703" w:type="dxa"/>
            <w:vMerge/>
          </w:tcPr>
          <w:p w14:paraId="558C38CF" w14:textId="77777777" w:rsidR="00285FB8" w:rsidRPr="00285FB8" w:rsidRDefault="00285FB8" w:rsidP="00285FB8">
            <w:pPr>
              <w:spacing w:line="240" w:lineRule="auto"/>
              <w:rPr>
                <w:rFonts w:eastAsia="Times New Roman" w:cs="Arial"/>
                <w:lang w:eastAsia="bg-BG"/>
              </w:rPr>
            </w:pPr>
          </w:p>
        </w:tc>
        <w:tc>
          <w:tcPr>
            <w:tcW w:w="2356" w:type="dxa"/>
            <w:vAlign w:val="bottom"/>
          </w:tcPr>
          <w:p w14:paraId="48E0DEB2" w14:textId="77777777" w:rsidR="00285FB8" w:rsidRPr="00285FB8" w:rsidRDefault="00285FB8" w:rsidP="00285FB8">
            <w:pPr>
              <w:rPr>
                <w:rFonts w:cs="Arial"/>
              </w:rPr>
            </w:pPr>
            <w:r w:rsidRPr="00285FB8">
              <w:rPr>
                <w:rFonts w:cs="Arial"/>
              </w:rPr>
              <w:t>Реакции, наподобяващи кожен</w:t>
            </w:r>
            <w:r w:rsidRPr="00285FB8">
              <w:rPr>
                <w:rFonts w:cs="Arial"/>
              </w:rPr>
              <w:tab/>
              <w:t>лупус</w:t>
            </w:r>
          </w:p>
          <w:p w14:paraId="75CC205D" w14:textId="77777777" w:rsidR="00285FB8" w:rsidRPr="00285FB8" w:rsidRDefault="00285FB8" w:rsidP="00285FB8">
            <w:pPr>
              <w:rPr>
                <w:rFonts w:cs="Arial"/>
              </w:rPr>
            </w:pPr>
            <w:r w:rsidRPr="00285FB8">
              <w:rPr>
                <w:rFonts w:cs="Arial"/>
              </w:rPr>
              <w:lastRenderedPageBreak/>
              <w:t>еритематодес, реактивиране на кожен</w:t>
            </w:r>
            <w:r w:rsidRPr="00285FB8">
              <w:rPr>
                <w:rFonts w:cs="Arial"/>
              </w:rPr>
              <w:tab/>
              <w:t>лупус</w:t>
            </w:r>
          </w:p>
          <w:p w14:paraId="7F6C38E8" w14:textId="3302777D" w:rsidR="00285FB8" w:rsidRPr="00285FB8" w:rsidRDefault="00285FB8" w:rsidP="00285FB8">
            <w:pPr>
              <w:spacing w:line="240" w:lineRule="auto"/>
              <w:rPr>
                <w:rFonts w:eastAsia="Times New Roman" w:cs="Arial"/>
                <w:lang w:eastAsia="bg-BG"/>
              </w:rPr>
            </w:pPr>
            <w:r w:rsidRPr="00285FB8">
              <w:rPr>
                <w:rFonts w:cs="Arial"/>
              </w:rPr>
              <w:t>еритематодес</w:t>
            </w:r>
          </w:p>
        </w:tc>
        <w:tc>
          <w:tcPr>
            <w:tcW w:w="1364" w:type="dxa"/>
          </w:tcPr>
          <w:p w14:paraId="75D02912" w14:textId="77777777" w:rsidR="00285FB8" w:rsidRPr="00285FB8" w:rsidRDefault="00285FB8" w:rsidP="00285FB8">
            <w:pPr>
              <w:spacing w:line="240" w:lineRule="auto"/>
              <w:rPr>
                <w:rFonts w:eastAsia="Times New Roman" w:cs="Arial"/>
                <w:lang w:eastAsia="bg-BG"/>
              </w:rPr>
            </w:pPr>
          </w:p>
        </w:tc>
        <w:tc>
          <w:tcPr>
            <w:tcW w:w="1455" w:type="dxa"/>
          </w:tcPr>
          <w:p w14:paraId="4DC47D11" w14:textId="77777777" w:rsidR="00285FB8" w:rsidRPr="00285FB8" w:rsidRDefault="00285FB8" w:rsidP="00285FB8">
            <w:pPr>
              <w:spacing w:line="240" w:lineRule="auto"/>
              <w:rPr>
                <w:rFonts w:eastAsia="Times New Roman" w:cs="Arial"/>
                <w:lang w:eastAsia="bg-BG"/>
              </w:rPr>
            </w:pPr>
          </w:p>
        </w:tc>
        <w:tc>
          <w:tcPr>
            <w:tcW w:w="1350" w:type="dxa"/>
          </w:tcPr>
          <w:p w14:paraId="05FED3D0" w14:textId="77777777" w:rsidR="00285FB8" w:rsidRPr="00285FB8" w:rsidRDefault="00285FB8" w:rsidP="00285FB8">
            <w:pPr>
              <w:spacing w:line="240" w:lineRule="auto"/>
              <w:rPr>
                <w:rFonts w:eastAsia="Times New Roman" w:cs="Arial"/>
                <w:lang w:eastAsia="bg-BG"/>
              </w:rPr>
            </w:pPr>
          </w:p>
        </w:tc>
        <w:tc>
          <w:tcPr>
            <w:tcW w:w="1348" w:type="dxa"/>
          </w:tcPr>
          <w:p w14:paraId="1C1095DA" w14:textId="00AEB8E0" w:rsidR="00285FB8" w:rsidRPr="00285FB8" w:rsidRDefault="00285FB8" w:rsidP="00285FB8">
            <w:pPr>
              <w:spacing w:line="240" w:lineRule="auto"/>
              <w:rPr>
                <w:rFonts w:eastAsia="Times New Roman" w:cs="Arial"/>
                <w:lang w:eastAsia="bg-BG"/>
              </w:rPr>
            </w:pPr>
            <w:r w:rsidRPr="00285FB8">
              <w:rPr>
                <w:rFonts w:cs="Arial"/>
              </w:rPr>
              <w:t>Много редки</w:t>
            </w:r>
          </w:p>
        </w:tc>
      </w:tr>
      <w:tr w:rsidR="00285FB8" w14:paraId="702B8875" w14:textId="77777777" w:rsidTr="00285FB8">
        <w:tc>
          <w:tcPr>
            <w:tcW w:w="1703" w:type="dxa"/>
            <w:vMerge/>
          </w:tcPr>
          <w:p w14:paraId="294273A8" w14:textId="77777777" w:rsidR="00285FB8" w:rsidRPr="00285FB8" w:rsidRDefault="00285FB8" w:rsidP="00285FB8">
            <w:pPr>
              <w:spacing w:line="240" w:lineRule="auto"/>
              <w:rPr>
                <w:rFonts w:eastAsia="Times New Roman" w:cs="Arial"/>
                <w:lang w:eastAsia="bg-BG"/>
              </w:rPr>
            </w:pPr>
          </w:p>
        </w:tc>
        <w:tc>
          <w:tcPr>
            <w:tcW w:w="2356" w:type="dxa"/>
            <w:vAlign w:val="bottom"/>
          </w:tcPr>
          <w:p w14:paraId="755BC494" w14:textId="49F72145" w:rsidR="00285FB8" w:rsidRPr="00285FB8" w:rsidRDefault="00285FB8" w:rsidP="00285FB8">
            <w:pPr>
              <w:spacing w:line="240" w:lineRule="auto"/>
              <w:rPr>
                <w:rFonts w:eastAsia="Times New Roman" w:cs="Arial"/>
                <w:lang w:eastAsia="bg-BG"/>
              </w:rPr>
            </w:pPr>
            <w:r w:rsidRPr="00285FB8">
              <w:rPr>
                <w:rFonts w:cs="Arial"/>
              </w:rPr>
              <w:t>Еритема мултиформе</w:t>
            </w:r>
          </w:p>
        </w:tc>
        <w:tc>
          <w:tcPr>
            <w:tcW w:w="1364" w:type="dxa"/>
          </w:tcPr>
          <w:p w14:paraId="5C9145B8" w14:textId="28C4413D"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4C2C89AC" w14:textId="0C07990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63AA5F8D" w14:textId="77777777" w:rsidR="00285FB8" w:rsidRPr="00285FB8" w:rsidRDefault="00285FB8" w:rsidP="00285FB8">
            <w:pPr>
              <w:spacing w:line="240" w:lineRule="auto"/>
              <w:rPr>
                <w:rFonts w:eastAsia="Times New Roman" w:cs="Arial"/>
                <w:lang w:eastAsia="bg-BG"/>
              </w:rPr>
            </w:pPr>
          </w:p>
        </w:tc>
        <w:tc>
          <w:tcPr>
            <w:tcW w:w="1348" w:type="dxa"/>
            <w:vAlign w:val="bottom"/>
          </w:tcPr>
          <w:p w14:paraId="1A876409" w14:textId="77777777" w:rsidR="00285FB8" w:rsidRPr="00285FB8" w:rsidRDefault="00285FB8" w:rsidP="00285FB8">
            <w:pPr>
              <w:rPr>
                <w:rFonts w:cs="Arial"/>
              </w:rPr>
            </w:pPr>
            <w:r w:rsidRPr="00285FB8">
              <w:rPr>
                <w:rFonts w:cs="Arial"/>
              </w:rPr>
              <w:t>С неизвестна</w:t>
            </w:r>
          </w:p>
          <w:p w14:paraId="1A209CC9" w14:textId="57157EB7" w:rsidR="00285FB8" w:rsidRPr="00285FB8" w:rsidRDefault="00285FB8" w:rsidP="00285FB8">
            <w:pPr>
              <w:spacing w:line="240" w:lineRule="auto"/>
              <w:rPr>
                <w:rFonts w:eastAsia="Times New Roman" w:cs="Arial"/>
                <w:lang w:eastAsia="bg-BG"/>
              </w:rPr>
            </w:pPr>
            <w:r w:rsidRPr="00285FB8">
              <w:rPr>
                <w:rFonts w:cs="Arial"/>
              </w:rPr>
              <w:t>честота</w:t>
            </w:r>
          </w:p>
        </w:tc>
      </w:tr>
      <w:tr w:rsidR="00285FB8" w14:paraId="45DC4265" w14:textId="77777777" w:rsidTr="00285FB8">
        <w:tc>
          <w:tcPr>
            <w:tcW w:w="1703" w:type="dxa"/>
            <w:vMerge/>
          </w:tcPr>
          <w:p w14:paraId="511EEE9C" w14:textId="77777777" w:rsidR="00285FB8" w:rsidRPr="00285FB8" w:rsidRDefault="00285FB8" w:rsidP="00285FB8">
            <w:pPr>
              <w:spacing w:line="240" w:lineRule="auto"/>
              <w:rPr>
                <w:rFonts w:eastAsia="Times New Roman" w:cs="Arial"/>
                <w:lang w:eastAsia="bg-BG"/>
              </w:rPr>
            </w:pPr>
          </w:p>
        </w:tc>
        <w:tc>
          <w:tcPr>
            <w:tcW w:w="2356" w:type="dxa"/>
            <w:vAlign w:val="bottom"/>
          </w:tcPr>
          <w:p w14:paraId="2AB4A520" w14:textId="6EAB1D53" w:rsidR="00285FB8" w:rsidRPr="00285FB8" w:rsidRDefault="00285FB8" w:rsidP="00285FB8">
            <w:pPr>
              <w:spacing w:line="240" w:lineRule="auto"/>
              <w:rPr>
                <w:rFonts w:eastAsia="Times New Roman" w:cs="Arial"/>
                <w:lang w:eastAsia="bg-BG"/>
              </w:rPr>
            </w:pPr>
            <w:r w:rsidRPr="00285FB8">
              <w:rPr>
                <w:rFonts w:cs="Arial"/>
              </w:rPr>
              <w:t>Екзантема</w:t>
            </w:r>
          </w:p>
        </w:tc>
        <w:tc>
          <w:tcPr>
            <w:tcW w:w="1364" w:type="dxa"/>
            <w:vAlign w:val="bottom"/>
          </w:tcPr>
          <w:p w14:paraId="6F2F76EB" w14:textId="3590FA1B"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0AF1FB5A" w14:textId="15D7A88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044676B" w14:textId="77777777" w:rsidR="00285FB8" w:rsidRPr="00285FB8" w:rsidRDefault="00285FB8" w:rsidP="00285FB8">
            <w:pPr>
              <w:spacing w:line="240" w:lineRule="auto"/>
              <w:rPr>
                <w:rFonts w:eastAsia="Times New Roman" w:cs="Arial"/>
                <w:lang w:eastAsia="bg-BG"/>
              </w:rPr>
            </w:pPr>
          </w:p>
        </w:tc>
        <w:tc>
          <w:tcPr>
            <w:tcW w:w="1348" w:type="dxa"/>
            <w:vAlign w:val="bottom"/>
          </w:tcPr>
          <w:p w14:paraId="5B401E6E" w14:textId="77777777" w:rsidR="00285FB8" w:rsidRPr="00285FB8" w:rsidRDefault="00285FB8" w:rsidP="00285FB8">
            <w:pPr>
              <w:spacing w:line="240" w:lineRule="auto"/>
              <w:rPr>
                <w:rFonts w:eastAsia="Times New Roman" w:cs="Arial"/>
                <w:lang w:eastAsia="bg-BG"/>
              </w:rPr>
            </w:pPr>
          </w:p>
        </w:tc>
      </w:tr>
      <w:tr w:rsidR="00285FB8" w14:paraId="522F5100" w14:textId="77777777" w:rsidTr="00285FB8">
        <w:tc>
          <w:tcPr>
            <w:tcW w:w="1703" w:type="dxa"/>
            <w:vMerge/>
          </w:tcPr>
          <w:p w14:paraId="2DEBFC27" w14:textId="77777777" w:rsidR="00285FB8" w:rsidRPr="00285FB8" w:rsidRDefault="00285FB8" w:rsidP="00285FB8">
            <w:pPr>
              <w:spacing w:line="240" w:lineRule="auto"/>
              <w:rPr>
                <w:rFonts w:eastAsia="Times New Roman" w:cs="Arial"/>
                <w:lang w:eastAsia="bg-BG"/>
              </w:rPr>
            </w:pPr>
          </w:p>
        </w:tc>
        <w:tc>
          <w:tcPr>
            <w:tcW w:w="2356" w:type="dxa"/>
            <w:vAlign w:val="bottom"/>
          </w:tcPr>
          <w:p w14:paraId="51352761" w14:textId="0D68871B" w:rsidR="00285FB8" w:rsidRPr="00285FB8" w:rsidRDefault="00285FB8" w:rsidP="00285FB8">
            <w:pPr>
              <w:spacing w:line="240" w:lineRule="auto"/>
              <w:rPr>
                <w:rFonts w:eastAsia="Times New Roman" w:cs="Arial"/>
                <w:lang w:eastAsia="bg-BG"/>
              </w:rPr>
            </w:pPr>
            <w:r w:rsidRPr="00285FB8">
              <w:rPr>
                <w:rFonts w:cs="Arial"/>
              </w:rPr>
              <w:t>Хиперхидроза</w:t>
            </w:r>
          </w:p>
        </w:tc>
        <w:tc>
          <w:tcPr>
            <w:tcW w:w="1364" w:type="dxa"/>
            <w:vAlign w:val="bottom"/>
          </w:tcPr>
          <w:p w14:paraId="7F348B74" w14:textId="7E13BE4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1DD6CB77" w14:textId="567838E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5448647A" w14:textId="77777777" w:rsidR="00285FB8" w:rsidRPr="00285FB8" w:rsidRDefault="00285FB8" w:rsidP="00285FB8">
            <w:pPr>
              <w:spacing w:line="240" w:lineRule="auto"/>
              <w:rPr>
                <w:rFonts w:eastAsia="Times New Roman" w:cs="Arial"/>
                <w:lang w:eastAsia="bg-BG"/>
              </w:rPr>
            </w:pPr>
          </w:p>
        </w:tc>
        <w:tc>
          <w:tcPr>
            <w:tcW w:w="1348" w:type="dxa"/>
          </w:tcPr>
          <w:p w14:paraId="78438AC3" w14:textId="77777777" w:rsidR="00285FB8" w:rsidRPr="00285FB8" w:rsidRDefault="00285FB8" w:rsidP="00285FB8">
            <w:pPr>
              <w:spacing w:line="240" w:lineRule="auto"/>
              <w:rPr>
                <w:rFonts w:eastAsia="Times New Roman" w:cs="Arial"/>
                <w:lang w:eastAsia="bg-BG"/>
              </w:rPr>
            </w:pPr>
          </w:p>
        </w:tc>
      </w:tr>
      <w:tr w:rsidR="00285FB8" w14:paraId="2E4B46C5" w14:textId="77777777" w:rsidTr="00285FB8">
        <w:tc>
          <w:tcPr>
            <w:tcW w:w="1703" w:type="dxa"/>
            <w:vMerge/>
          </w:tcPr>
          <w:p w14:paraId="7C435812" w14:textId="77777777" w:rsidR="00285FB8" w:rsidRPr="00285FB8" w:rsidRDefault="00285FB8" w:rsidP="00285FB8">
            <w:pPr>
              <w:spacing w:line="240" w:lineRule="auto"/>
              <w:rPr>
                <w:rFonts w:eastAsia="Times New Roman" w:cs="Arial"/>
                <w:lang w:eastAsia="bg-BG"/>
              </w:rPr>
            </w:pPr>
          </w:p>
        </w:tc>
        <w:tc>
          <w:tcPr>
            <w:tcW w:w="2356" w:type="dxa"/>
          </w:tcPr>
          <w:p w14:paraId="5D2B16D5" w14:textId="0CFA737B" w:rsidR="00285FB8" w:rsidRPr="00285FB8" w:rsidRDefault="00285FB8" w:rsidP="00285FB8">
            <w:pPr>
              <w:rPr>
                <w:rFonts w:cs="Arial"/>
              </w:rPr>
            </w:pPr>
            <w:r w:rsidRPr="00285FB8">
              <w:rPr>
                <w:rFonts w:cs="Arial"/>
              </w:rPr>
              <w:t>Реакции</w:t>
            </w:r>
            <w:r>
              <w:rPr>
                <w:rFonts w:cs="Arial"/>
                <w:lang w:val="en-US"/>
              </w:rPr>
              <w:t xml:space="preserve"> </w:t>
            </w:r>
            <w:r w:rsidRPr="00285FB8">
              <w:rPr>
                <w:rFonts w:cs="Arial"/>
              </w:rPr>
              <w:t>на</w:t>
            </w:r>
          </w:p>
          <w:p w14:paraId="3E969A08" w14:textId="21D67A95" w:rsidR="00285FB8" w:rsidRPr="00285FB8" w:rsidRDefault="00285FB8" w:rsidP="00285FB8">
            <w:pPr>
              <w:spacing w:line="240" w:lineRule="auto"/>
              <w:rPr>
                <w:rFonts w:eastAsia="Times New Roman" w:cs="Arial"/>
                <w:lang w:val="en-US" w:eastAsia="bg-BG"/>
              </w:rPr>
            </w:pPr>
            <w:r w:rsidRPr="00285FB8">
              <w:rPr>
                <w:rFonts w:cs="Arial"/>
              </w:rPr>
              <w:t>Фоточувствител</w:t>
            </w:r>
            <w:r>
              <w:t>ност</w:t>
            </w:r>
            <w:r>
              <w:rPr>
                <w:lang w:val="en-US"/>
              </w:rPr>
              <w:t>*</w:t>
            </w:r>
          </w:p>
        </w:tc>
        <w:tc>
          <w:tcPr>
            <w:tcW w:w="1364" w:type="dxa"/>
          </w:tcPr>
          <w:p w14:paraId="32A00989" w14:textId="77777777" w:rsidR="00285FB8" w:rsidRPr="00285FB8" w:rsidRDefault="00285FB8" w:rsidP="00285FB8">
            <w:pPr>
              <w:spacing w:line="240" w:lineRule="auto"/>
              <w:rPr>
                <w:rFonts w:eastAsia="Times New Roman" w:cs="Arial"/>
                <w:lang w:eastAsia="bg-BG"/>
              </w:rPr>
            </w:pPr>
          </w:p>
        </w:tc>
        <w:tc>
          <w:tcPr>
            <w:tcW w:w="1455" w:type="dxa"/>
          </w:tcPr>
          <w:p w14:paraId="409AA470" w14:textId="02860C0B"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07A32419" w14:textId="77777777" w:rsidR="00285FB8" w:rsidRPr="00285FB8" w:rsidRDefault="00285FB8" w:rsidP="00285FB8">
            <w:pPr>
              <w:spacing w:line="240" w:lineRule="auto"/>
              <w:rPr>
                <w:rFonts w:eastAsia="Times New Roman" w:cs="Arial"/>
                <w:lang w:eastAsia="bg-BG"/>
              </w:rPr>
            </w:pPr>
          </w:p>
        </w:tc>
        <w:tc>
          <w:tcPr>
            <w:tcW w:w="1348" w:type="dxa"/>
          </w:tcPr>
          <w:p w14:paraId="18AC8A88" w14:textId="6B88A5F6"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28069FA5" w14:textId="77777777" w:rsidTr="00285FB8">
        <w:tc>
          <w:tcPr>
            <w:tcW w:w="1703" w:type="dxa"/>
            <w:vMerge/>
          </w:tcPr>
          <w:p w14:paraId="18E6B25C" w14:textId="77777777" w:rsidR="00285FB8" w:rsidRDefault="00285FB8" w:rsidP="00285FB8">
            <w:pPr>
              <w:spacing w:line="240" w:lineRule="auto"/>
              <w:rPr>
                <w:rFonts w:eastAsia="Times New Roman" w:cs="Arial"/>
                <w:sz w:val="24"/>
                <w:szCs w:val="24"/>
                <w:lang w:eastAsia="bg-BG"/>
              </w:rPr>
            </w:pPr>
          </w:p>
        </w:tc>
        <w:tc>
          <w:tcPr>
            <w:tcW w:w="2356" w:type="dxa"/>
          </w:tcPr>
          <w:p w14:paraId="65552F23" w14:textId="7258410B" w:rsidR="00285FB8" w:rsidRDefault="00285FB8" w:rsidP="00285FB8">
            <w:pPr>
              <w:spacing w:line="240" w:lineRule="auto"/>
              <w:rPr>
                <w:rFonts w:eastAsia="Times New Roman" w:cs="Arial"/>
                <w:sz w:val="24"/>
                <w:szCs w:val="24"/>
                <w:lang w:eastAsia="bg-BG"/>
              </w:rPr>
            </w:pPr>
            <w:r>
              <w:t>Пруритус</w:t>
            </w:r>
          </w:p>
        </w:tc>
        <w:tc>
          <w:tcPr>
            <w:tcW w:w="1364" w:type="dxa"/>
          </w:tcPr>
          <w:p w14:paraId="0FFE4901" w14:textId="3EC448BE" w:rsidR="00285FB8" w:rsidRDefault="00285FB8" w:rsidP="00285FB8">
            <w:pPr>
              <w:spacing w:line="240" w:lineRule="auto"/>
              <w:rPr>
                <w:rFonts w:eastAsia="Times New Roman" w:cs="Arial"/>
                <w:sz w:val="24"/>
                <w:szCs w:val="24"/>
                <w:lang w:eastAsia="bg-BG"/>
              </w:rPr>
            </w:pPr>
            <w:r>
              <w:t>Нечести</w:t>
            </w:r>
          </w:p>
        </w:tc>
        <w:tc>
          <w:tcPr>
            <w:tcW w:w="1455" w:type="dxa"/>
          </w:tcPr>
          <w:p w14:paraId="2943656F" w14:textId="0B2783B5" w:rsidR="00285FB8" w:rsidRDefault="00285FB8" w:rsidP="00285FB8">
            <w:pPr>
              <w:spacing w:line="240" w:lineRule="auto"/>
              <w:rPr>
                <w:rFonts w:eastAsia="Times New Roman" w:cs="Arial"/>
                <w:sz w:val="24"/>
                <w:szCs w:val="24"/>
                <w:lang w:eastAsia="bg-BG"/>
              </w:rPr>
            </w:pPr>
            <w:r>
              <w:t>Нечести</w:t>
            </w:r>
          </w:p>
        </w:tc>
        <w:tc>
          <w:tcPr>
            <w:tcW w:w="1350" w:type="dxa"/>
            <w:vAlign w:val="bottom"/>
          </w:tcPr>
          <w:p w14:paraId="19972466" w14:textId="05F472B3" w:rsidR="00285FB8" w:rsidRDefault="00285FB8" w:rsidP="00285FB8">
            <w:pPr>
              <w:spacing w:line="240" w:lineRule="auto"/>
              <w:rPr>
                <w:rFonts w:eastAsia="Times New Roman" w:cs="Arial"/>
                <w:sz w:val="24"/>
                <w:szCs w:val="24"/>
                <w:lang w:eastAsia="bg-BG"/>
              </w:rPr>
            </w:pPr>
            <w:r>
              <w:t>С неизвестна честота</w:t>
            </w:r>
          </w:p>
        </w:tc>
        <w:tc>
          <w:tcPr>
            <w:tcW w:w="1348" w:type="dxa"/>
          </w:tcPr>
          <w:p w14:paraId="565C250F" w14:textId="0DE0FC7F" w:rsidR="00285FB8" w:rsidRDefault="00285FB8" w:rsidP="00285FB8">
            <w:pPr>
              <w:spacing w:line="240" w:lineRule="auto"/>
              <w:rPr>
                <w:rFonts w:eastAsia="Times New Roman" w:cs="Arial"/>
                <w:sz w:val="24"/>
                <w:szCs w:val="24"/>
                <w:lang w:eastAsia="bg-BG"/>
              </w:rPr>
            </w:pPr>
            <w:r>
              <w:rPr>
                <w:lang w:val="en-US"/>
              </w:rPr>
              <w:t>-</w:t>
            </w:r>
          </w:p>
        </w:tc>
      </w:tr>
      <w:tr w:rsidR="00285FB8" w14:paraId="39E62EC4" w14:textId="77777777" w:rsidTr="00285FB8">
        <w:tc>
          <w:tcPr>
            <w:tcW w:w="1703" w:type="dxa"/>
            <w:vMerge/>
          </w:tcPr>
          <w:p w14:paraId="212745B3"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7AA9A5D0" w14:textId="0B4341D9" w:rsidR="00285FB8" w:rsidRDefault="00285FB8" w:rsidP="00285FB8">
            <w:pPr>
              <w:spacing w:line="240" w:lineRule="auto"/>
              <w:rPr>
                <w:rFonts w:eastAsia="Times New Roman" w:cs="Arial"/>
                <w:sz w:val="24"/>
                <w:szCs w:val="24"/>
                <w:lang w:eastAsia="bg-BG"/>
              </w:rPr>
            </w:pPr>
            <w:r>
              <w:t>Пурпура</w:t>
            </w:r>
          </w:p>
        </w:tc>
        <w:tc>
          <w:tcPr>
            <w:tcW w:w="1364" w:type="dxa"/>
            <w:vAlign w:val="bottom"/>
          </w:tcPr>
          <w:p w14:paraId="594B08D5" w14:textId="2E41CDAB" w:rsidR="00285FB8" w:rsidRDefault="00285FB8" w:rsidP="00285FB8">
            <w:pPr>
              <w:spacing w:line="240" w:lineRule="auto"/>
              <w:rPr>
                <w:rFonts w:eastAsia="Times New Roman" w:cs="Arial"/>
                <w:sz w:val="24"/>
                <w:szCs w:val="24"/>
                <w:lang w:eastAsia="bg-BG"/>
              </w:rPr>
            </w:pPr>
            <w:r>
              <w:t>-</w:t>
            </w:r>
          </w:p>
        </w:tc>
        <w:tc>
          <w:tcPr>
            <w:tcW w:w="1455" w:type="dxa"/>
          </w:tcPr>
          <w:p w14:paraId="2E9EBF5A" w14:textId="2D7BD690" w:rsidR="00285FB8" w:rsidRDefault="00285FB8" w:rsidP="00285FB8">
            <w:pPr>
              <w:spacing w:line="240" w:lineRule="auto"/>
              <w:rPr>
                <w:rFonts w:eastAsia="Times New Roman" w:cs="Arial"/>
                <w:sz w:val="24"/>
                <w:szCs w:val="24"/>
                <w:lang w:eastAsia="bg-BG"/>
              </w:rPr>
            </w:pPr>
            <w:r>
              <w:t>Нечести</w:t>
            </w:r>
          </w:p>
        </w:tc>
        <w:tc>
          <w:tcPr>
            <w:tcW w:w="1350" w:type="dxa"/>
            <w:vAlign w:val="bottom"/>
          </w:tcPr>
          <w:p w14:paraId="1B1FAFB9" w14:textId="02E32A0F" w:rsidR="00285FB8" w:rsidRDefault="00285FB8" w:rsidP="00285FB8">
            <w:pPr>
              <w:spacing w:line="240" w:lineRule="auto"/>
              <w:rPr>
                <w:rFonts w:eastAsia="Times New Roman" w:cs="Arial"/>
                <w:sz w:val="24"/>
                <w:szCs w:val="24"/>
                <w:lang w:eastAsia="bg-BG"/>
              </w:rPr>
            </w:pPr>
            <w:r>
              <w:t>-</w:t>
            </w:r>
          </w:p>
        </w:tc>
        <w:tc>
          <w:tcPr>
            <w:tcW w:w="1348" w:type="dxa"/>
            <w:vAlign w:val="bottom"/>
          </w:tcPr>
          <w:p w14:paraId="29A4FF62" w14:textId="5FD12976" w:rsidR="00285FB8" w:rsidRDefault="00285FB8" w:rsidP="00285FB8">
            <w:pPr>
              <w:spacing w:line="240" w:lineRule="auto"/>
              <w:rPr>
                <w:rFonts w:eastAsia="Times New Roman" w:cs="Arial"/>
                <w:sz w:val="24"/>
                <w:szCs w:val="24"/>
                <w:lang w:eastAsia="bg-BG"/>
              </w:rPr>
            </w:pPr>
            <w:r>
              <w:t>Редки</w:t>
            </w:r>
          </w:p>
        </w:tc>
      </w:tr>
      <w:tr w:rsidR="00285FB8" w14:paraId="0D3AF27F" w14:textId="77777777" w:rsidTr="00285FB8">
        <w:tc>
          <w:tcPr>
            <w:tcW w:w="1703" w:type="dxa"/>
            <w:vMerge/>
          </w:tcPr>
          <w:p w14:paraId="4E9CD8B7" w14:textId="77777777" w:rsidR="00285FB8" w:rsidRDefault="00285FB8" w:rsidP="00285FB8">
            <w:pPr>
              <w:spacing w:line="240" w:lineRule="auto"/>
              <w:rPr>
                <w:rFonts w:eastAsia="Times New Roman" w:cs="Arial"/>
                <w:sz w:val="24"/>
                <w:szCs w:val="24"/>
                <w:lang w:eastAsia="bg-BG"/>
              </w:rPr>
            </w:pPr>
          </w:p>
        </w:tc>
        <w:tc>
          <w:tcPr>
            <w:tcW w:w="2356" w:type="dxa"/>
          </w:tcPr>
          <w:p w14:paraId="7232B134" w14:textId="76306D8E" w:rsidR="00285FB8" w:rsidRDefault="00285FB8" w:rsidP="00285FB8">
            <w:pPr>
              <w:spacing w:line="240" w:lineRule="auto"/>
              <w:rPr>
                <w:rFonts w:eastAsia="Times New Roman" w:cs="Arial"/>
                <w:sz w:val="24"/>
                <w:szCs w:val="24"/>
                <w:lang w:eastAsia="bg-BG"/>
              </w:rPr>
            </w:pPr>
            <w:r>
              <w:t>Обрив</w:t>
            </w:r>
          </w:p>
        </w:tc>
        <w:tc>
          <w:tcPr>
            <w:tcW w:w="1364" w:type="dxa"/>
          </w:tcPr>
          <w:p w14:paraId="1DC51818" w14:textId="3AE7E1B0" w:rsidR="00285FB8" w:rsidRDefault="00285FB8" w:rsidP="00285FB8">
            <w:pPr>
              <w:spacing w:line="240" w:lineRule="auto"/>
              <w:rPr>
                <w:rFonts w:eastAsia="Times New Roman" w:cs="Arial"/>
                <w:sz w:val="24"/>
                <w:szCs w:val="24"/>
                <w:lang w:eastAsia="bg-BG"/>
              </w:rPr>
            </w:pPr>
            <w:r>
              <w:t>-</w:t>
            </w:r>
          </w:p>
        </w:tc>
        <w:tc>
          <w:tcPr>
            <w:tcW w:w="1455" w:type="dxa"/>
          </w:tcPr>
          <w:p w14:paraId="2D3A2278" w14:textId="6CC9F593" w:rsidR="00285FB8" w:rsidRDefault="00285FB8" w:rsidP="00285FB8">
            <w:pPr>
              <w:spacing w:line="240" w:lineRule="auto"/>
              <w:rPr>
                <w:rFonts w:eastAsia="Times New Roman" w:cs="Arial"/>
                <w:sz w:val="24"/>
                <w:szCs w:val="24"/>
                <w:lang w:eastAsia="bg-BG"/>
              </w:rPr>
            </w:pPr>
            <w:r>
              <w:t>Нечести</w:t>
            </w:r>
          </w:p>
        </w:tc>
        <w:tc>
          <w:tcPr>
            <w:tcW w:w="1350" w:type="dxa"/>
            <w:vAlign w:val="bottom"/>
          </w:tcPr>
          <w:p w14:paraId="2A490F97" w14:textId="1ADF0409" w:rsidR="00285FB8" w:rsidRDefault="00285FB8" w:rsidP="00285FB8">
            <w:pPr>
              <w:spacing w:line="240" w:lineRule="auto"/>
              <w:rPr>
                <w:rFonts w:eastAsia="Times New Roman" w:cs="Arial"/>
                <w:sz w:val="24"/>
                <w:szCs w:val="24"/>
                <w:lang w:eastAsia="bg-BG"/>
              </w:rPr>
            </w:pPr>
            <w:r>
              <w:t>С неизвестна честота</w:t>
            </w:r>
          </w:p>
        </w:tc>
        <w:tc>
          <w:tcPr>
            <w:tcW w:w="1348" w:type="dxa"/>
          </w:tcPr>
          <w:p w14:paraId="4FE7DDF5" w14:textId="78AA9C04" w:rsidR="00285FB8" w:rsidRDefault="00285FB8" w:rsidP="00285FB8">
            <w:pPr>
              <w:spacing w:line="240" w:lineRule="auto"/>
              <w:rPr>
                <w:rFonts w:eastAsia="Times New Roman" w:cs="Arial"/>
                <w:sz w:val="24"/>
                <w:szCs w:val="24"/>
                <w:lang w:eastAsia="bg-BG"/>
              </w:rPr>
            </w:pPr>
            <w:r>
              <w:t>Чести</w:t>
            </w:r>
          </w:p>
        </w:tc>
      </w:tr>
      <w:tr w:rsidR="00285FB8" w14:paraId="1422EFD4" w14:textId="77777777" w:rsidTr="00285FB8">
        <w:tc>
          <w:tcPr>
            <w:tcW w:w="1703" w:type="dxa"/>
            <w:vMerge/>
          </w:tcPr>
          <w:p w14:paraId="2975BA98" w14:textId="77777777" w:rsidR="00285FB8" w:rsidRDefault="00285FB8" w:rsidP="00285FB8">
            <w:pPr>
              <w:spacing w:line="240" w:lineRule="auto"/>
              <w:rPr>
                <w:rFonts w:eastAsia="Times New Roman" w:cs="Arial"/>
                <w:sz w:val="24"/>
                <w:szCs w:val="24"/>
                <w:lang w:eastAsia="bg-BG"/>
              </w:rPr>
            </w:pPr>
          </w:p>
        </w:tc>
        <w:tc>
          <w:tcPr>
            <w:tcW w:w="2356" w:type="dxa"/>
          </w:tcPr>
          <w:p w14:paraId="2484257F" w14:textId="443041FC" w:rsidR="00285FB8" w:rsidRDefault="00285FB8" w:rsidP="00285FB8">
            <w:pPr>
              <w:spacing w:line="240" w:lineRule="auto"/>
              <w:rPr>
                <w:rFonts w:eastAsia="Times New Roman" w:cs="Arial"/>
                <w:sz w:val="24"/>
                <w:szCs w:val="24"/>
                <w:lang w:eastAsia="bg-BG"/>
              </w:rPr>
            </w:pPr>
            <w:r>
              <w:t>Промяна в цвета на кожата</w:t>
            </w:r>
          </w:p>
        </w:tc>
        <w:tc>
          <w:tcPr>
            <w:tcW w:w="1364" w:type="dxa"/>
          </w:tcPr>
          <w:p w14:paraId="7C9F4F87" w14:textId="77777777" w:rsidR="00285FB8" w:rsidRDefault="00285FB8" w:rsidP="00285FB8">
            <w:pPr>
              <w:spacing w:line="240" w:lineRule="auto"/>
              <w:rPr>
                <w:rFonts w:eastAsia="Times New Roman" w:cs="Arial"/>
                <w:sz w:val="24"/>
                <w:szCs w:val="24"/>
                <w:lang w:eastAsia="bg-BG"/>
              </w:rPr>
            </w:pPr>
          </w:p>
        </w:tc>
        <w:tc>
          <w:tcPr>
            <w:tcW w:w="1455" w:type="dxa"/>
          </w:tcPr>
          <w:p w14:paraId="06BAD872" w14:textId="0A603632" w:rsidR="00285FB8" w:rsidRDefault="00285FB8" w:rsidP="00285FB8">
            <w:pPr>
              <w:spacing w:line="240" w:lineRule="auto"/>
              <w:rPr>
                <w:rFonts w:eastAsia="Times New Roman" w:cs="Arial"/>
                <w:sz w:val="24"/>
                <w:szCs w:val="24"/>
                <w:lang w:eastAsia="bg-BG"/>
              </w:rPr>
            </w:pPr>
            <w:r>
              <w:t>Нечести</w:t>
            </w:r>
          </w:p>
        </w:tc>
        <w:tc>
          <w:tcPr>
            <w:tcW w:w="1350" w:type="dxa"/>
          </w:tcPr>
          <w:p w14:paraId="490E3E31" w14:textId="280BC0E1" w:rsidR="00285FB8" w:rsidRDefault="00285FB8" w:rsidP="00285FB8">
            <w:pPr>
              <w:spacing w:line="240" w:lineRule="auto"/>
              <w:rPr>
                <w:rFonts w:eastAsia="Times New Roman" w:cs="Arial"/>
                <w:sz w:val="24"/>
                <w:szCs w:val="24"/>
                <w:lang w:eastAsia="bg-BG"/>
              </w:rPr>
            </w:pPr>
            <w:r>
              <w:t>-</w:t>
            </w:r>
          </w:p>
        </w:tc>
        <w:tc>
          <w:tcPr>
            <w:tcW w:w="1348" w:type="dxa"/>
          </w:tcPr>
          <w:p w14:paraId="4274C128" w14:textId="77777777" w:rsidR="00285FB8" w:rsidRDefault="00285FB8" w:rsidP="00285FB8">
            <w:pPr>
              <w:spacing w:line="240" w:lineRule="auto"/>
              <w:rPr>
                <w:rFonts w:eastAsia="Times New Roman" w:cs="Arial"/>
                <w:sz w:val="24"/>
                <w:szCs w:val="24"/>
                <w:lang w:eastAsia="bg-BG"/>
              </w:rPr>
            </w:pPr>
          </w:p>
        </w:tc>
      </w:tr>
      <w:tr w:rsidR="00285FB8" w14:paraId="6696CC07" w14:textId="77777777" w:rsidTr="00285FB8">
        <w:tc>
          <w:tcPr>
            <w:tcW w:w="1703" w:type="dxa"/>
            <w:vMerge/>
          </w:tcPr>
          <w:p w14:paraId="1B5758C2"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00F4BB8F" w14:textId="65F351BA" w:rsidR="00285FB8" w:rsidRDefault="00285FB8" w:rsidP="00285FB8">
            <w:pPr>
              <w:spacing w:line="240" w:lineRule="auto"/>
              <w:rPr>
                <w:rFonts w:eastAsia="Times New Roman" w:cs="Arial"/>
                <w:sz w:val="24"/>
                <w:szCs w:val="24"/>
                <w:lang w:eastAsia="bg-BG"/>
              </w:rPr>
            </w:pPr>
            <w:r>
              <w:t>Уртикария и други видове на обрив</w:t>
            </w:r>
          </w:p>
        </w:tc>
        <w:tc>
          <w:tcPr>
            <w:tcW w:w="1364" w:type="dxa"/>
          </w:tcPr>
          <w:p w14:paraId="47CC0F73" w14:textId="42932C2E" w:rsidR="00285FB8" w:rsidRDefault="00285FB8" w:rsidP="00285FB8">
            <w:pPr>
              <w:spacing w:line="240" w:lineRule="auto"/>
              <w:rPr>
                <w:rFonts w:eastAsia="Times New Roman" w:cs="Arial"/>
                <w:sz w:val="24"/>
                <w:szCs w:val="24"/>
                <w:lang w:eastAsia="bg-BG"/>
              </w:rPr>
            </w:pPr>
            <w:r>
              <w:t>-</w:t>
            </w:r>
          </w:p>
        </w:tc>
        <w:tc>
          <w:tcPr>
            <w:tcW w:w="1455" w:type="dxa"/>
          </w:tcPr>
          <w:p w14:paraId="7A7998F3" w14:textId="2312B1DC" w:rsidR="00285FB8" w:rsidRDefault="00285FB8" w:rsidP="00285FB8">
            <w:pPr>
              <w:spacing w:line="240" w:lineRule="auto"/>
              <w:rPr>
                <w:rFonts w:eastAsia="Times New Roman" w:cs="Arial"/>
                <w:sz w:val="24"/>
                <w:szCs w:val="24"/>
                <w:lang w:eastAsia="bg-BG"/>
              </w:rPr>
            </w:pPr>
            <w:r>
              <w:t>Много редки</w:t>
            </w:r>
          </w:p>
        </w:tc>
        <w:tc>
          <w:tcPr>
            <w:tcW w:w="1350" w:type="dxa"/>
          </w:tcPr>
          <w:p w14:paraId="25ED9658" w14:textId="77777777" w:rsidR="00285FB8" w:rsidRDefault="00285FB8" w:rsidP="00285FB8">
            <w:pPr>
              <w:spacing w:line="240" w:lineRule="auto"/>
              <w:rPr>
                <w:rFonts w:eastAsia="Times New Roman" w:cs="Arial"/>
                <w:sz w:val="24"/>
                <w:szCs w:val="24"/>
                <w:lang w:eastAsia="bg-BG"/>
              </w:rPr>
            </w:pPr>
          </w:p>
        </w:tc>
        <w:tc>
          <w:tcPr>
            <w:tcW w:w="1348" w:type="dxa"/>
          </w:tcPr>
          <w:p w14:paraId="26AD6F62" w14:textId="1F3E13E6" w:rsidR="00285FB8" w:rsidRDefault="00285FB8" w:rsidP="00285FB8">
            <w:pPr>
              <w:spacing w:line="240" w:lineRule="auto"/>
              <w:rPr>
                <w:rFonts w:eastAsia="Times New Roman" w:cs="Arial"/>
                <w:sz w:val="24"/>
                <w:szCs w:val="24"/>
                <w:lang w:eastAsia="bg-BG"/>
              </w:rPr>
            </w:pPr>
            <w:r>
              <w:t>Чести</w:t>
            </w:r>
          </w:p>
        </w:tc>
      </w:tr>
      <w:tr w:rsidR="00285FB8" w14:paraId="6D6E3383" w14:textId="77777777" w:rsidTr="00285FB8">
        <w:tc>
          <w:tcPr>
            <w:tcW w:w="1703" w:type="dxa"/>
            <w:vMerge/>
          </w:tcPr>
          <w:p w14:paraId="421E290C"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2B8E2344" w14:textId="77777777" w:rsidR="00285FB8" w:rsidRDefault="00285FB8" w:rsidP="00285FB8">
            <w:r>
              <w:t>Некротизиращ васкулит</w:t>
            </w:r>
            <w:r>
              <w:tab/>
              <w:t>и</w:t>
            </w:r>
          </w:p>
          <w:p w14:paraId="1A19788B" w14:textId="06EBB0D6" w:rsidR="00285FB8" w:rsidRDefault="00285FB8" w:rsidP="00285FB8">
            <w:pPr>
              <w:spacing w:line="240" w:lineRule="auto"/>
              <w:rPr>
                <w:rFonts w:eastAsia="Times New Roman" w:cs="Arial"/>
                <w:sz w:val="24"/>
                <w:szCs w:val="24"/>
                <w:lang w:eastAsia="bg-BG"/>
              </w:rPr>
            </w:pPr>
            <w:r>
              <w:t>токсична епидермална некролиза</w:t>
            </w:r>
          </w:p>
        </w:tc>
        <w:tc>
          <w:tcPr>
            <w:tcW w:w="1364" w:type="dxa"/>
          </w:tcPr>
          <w:p w14:paraId="5E323566" w14:textId="77777777" w:rsidR="00285FB8" w:rsidRDefault="00285FB8" w:rsidP="00285FB8">
            <w:pPr>
              <w:spacing w:line="240" w:lineRule="auto"/>
              <w:rPr>
                <w:rFonts w:eastAsia="Times New Roman" w:cs="Arial"/>
                <w:sz w:val="24"/>
                <w:szCs w:val="24"/>
                <w:lang w:eastAsia="bg-BG"/>
              </w:rPr>
            </w:pPr>
          </w:p>
        </w:tc>
        <w:tc>
          <w:tcPr>
            <w:tcW w:w="1455" w:type="dxa"/>
          </w:tcPr>
          <w:p w14:paraId="47378024" w14:textId="1AEBC003" w:rsidR="00285FB8" w:rsidRDefault="00285FB8" w:rsidP="00285FB8">
            <w:pPr>
              <w:spacing w:line="240" w:lineRule="auto"/>
              <w:rPr>
                <w:rFonts w:eastAsia="Times New Roman" w:cs="Arial"/>
                <w:sz w:val="24"/>
                <w:szCs w:val="24"/>
                <w:lang w:eastAsia="bg-BG"/>
              </w:rPr>
            </w:pPr>
            <w:r>
              <w:t>С неизвестна честота</w:t>
            </w:r>
          </w:p>
        </w:tc>
        <w:tc>
          <w:tcPr>
            <w:tcW w:w="1350" w:type="dxa"/>
          </w:tcPr>
          <w:p w14:paraId="373BC91C" w14:textId="77777777" w:rsidR="00285FB8" w:rsidRDefault="00285FB8" w:rsidP="00285FB8">
            <w:pPr>
              <w:spacing w:line="240" w:lineRule="auto"/>
              <w:rPr>
                <w:rFonts w:eastAsia="Times New Roman" w:cs="Arial"/>
                <w:sz w:val="24"/>
                <w:szCs w:val="24"/>
                <w:lang w:eastAsia="bg-BG"/>
              </w:rPr>
            </w:pPr>
          </w:p>
        </w:tc>
        <w:tc>
          <w:tcPr>
            <w:tcW w:w="1348" w:type="dxa"/>
          </w:tcPr>
          <w:p w14:paraId="0B9EFD75" w14:textId="6131E464" w:rsidR="00285FB8" w:rsidRDefault="00285FB8" w:rsidP="00285FB8">
            <w:pPr>
              <w:spacing w:line="240" w:lineRule="auto"/>
              <w:rPr>
                <w:rFonts w:eastAsia="Times New Roman" w:cs="Arial"/>
                <w:sz w:val="24"/>
                <w:szCs w:val="24"/>
                <w:lang w:eastAsia="bg-BG"/>
              </w:rPr>
            </w:pPr>
            <w:r>
              <w:t>Много редки</w:t>
            </w:r>
          </w:p>
        </w:tc>
      </w:tr>
      <w:tr w:rsidR="00285FB8" w14:paraId="63C3B613" w14:textId="77777777" w:rsidTr="00285FB8">
        <w:tc>
          <w:tcPr>
            <w:tcW w:w="1703" w:type="dxa"/>
            <w:vMerge/>
          </w:tcPr>
          <w:p w14:paraId="37BB29C4"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223E23BD" w14:textId="5213BE19" w:rsidR="00285FB8" w:rsidRDefault="00285FB8" w:rsidP="00285FB8">
            <w:pPr>
              <w:spacing w:line="240" w:lineRule="auto"/>
              <w:rPr>
                <w:rFonts w:eastAsia="Times New Roman" w:cs="Arial"/>
                <w:sz w:val="24"/>
                <w:szCs w:val="24"/>
                <w:lang w:eastAsia="bg-BG"/>
              </w:rPr>
            </w:pPr>
            <w:r>
              <w:t>Ексфолиативен дерматит</w:t>
            </w:r>
          </w:p>
        </w:tc>
        <w:tc>
          <w:tcPr>
            <w:tcW w:w="1364" w:type="dxa"/>
          </w:tcPr>
          <w:p w14:paraId="44EDD3D7" w14:textId="5A70A2E4" w:rsidR="00285FB8" w:rsidRDefault="00285FB8" w:rsidP="00285FB8">
            <w:pPr>
              <w:spacing w:line="240" w:lineRule="auto"/>
              <w:rPr>
                <w:rFonts w:eastAsia="Times New Roman" w:cs="Arial"/>
                <w:sz w:val="24"/>
                <w:szCs w:val="24"/>
                <w:lang w:eastAsia="bg-BG"/>
              </w:rPr>
            </w:pPr>
            <w:r>
              <w:t>-</w:t>
            </w:r>
          </w:p>
        </w:tc>
        <w:tc>
          <w:tcPr>
            <w:tcW w:w="1455" w:type="dxa"/>
          </w:tcPr>
          <w:p w14:paraId="72E4B233" w14:textId="2E25EE8E" w:rsidR="00285FB8" w:rsidRDefault="00285FB8" w:rsidP="00285FB8">
            <w:pPr>
              <w:spacing w:line="240" w:lineRule="auto"/>
              <w:rPr>
                <w:rFonts w:eastAsia="Times New Roman" w:cs="Arial"/>
                <w:sz w:val="24"/>
                <w:szCs w:val="24"/>
                <w:lang w:eastAsia="bg-BG"/>
              </w:rPr>
            </w:pPr>
            <w:r>
              <w:t>Много редки</w:t>
            </w:r>
          </w:p>
        </w:tc>
        <w:tc>
          <w:tcPr>
            <w:tcW w:w="1350" w:type="dxa"/>
          </w:tcPr>
          <w:p w14:paraId="4A95393A" w14:textId="003D7C61" w:rsidR="00285FB8" w:rsidRDefault="00285FB8" w:rsidP="00285FB8">
            <w:pPr>
              <w:spacing w:line="240" w:lineRule="auto"/>
              <w:rPr>
                <w:rFonts w:eastAsia="Times New Roman" w:cs="Arial"/>
                <w:sz w:val="24"/>
                <w:szCs w:val="24"/>
                <w:lang w:eastAsia="bg-BG"/>
              </w:rPr>
            </w:pPr>
            <w:r>
              <w:t>-</w:t>
            </w:r>
          </w:p>
        </w:tc>
        <w:tc>
          <w:tcPr>
            <w:tcW w:w="1348" w:type="dxa"/>
          </w:tcPr>
          <w:p w14:paraId="59C132B9" w14:textId="51D950F5" w:rsidR="00285FB8" w:rsidRDefault="00285FB8" w:rsidP="00285FB8">
            <w:pPr>
              <w:spacing w:line="240" w:lineRule="auto"/>
              <w:rPr>
                <w:rFonts w:eastAsia="Times New Roman" w:cs="Arial"/>
                <w:sz w:val="24"/>
                <w:szCs w:val="24"/>
                <w:lang w:eastAsia="bg-BG"/>
              </w:rPr>
            </w:pPr>
            <w:r>
              <w:t>-</w:t>
            </w:r>
          </w:p>
        </w:tc>
      </w:tr>
      <w:tr w:rsidR="00285FB8" w14:paraId="1DA3918B" w14:textId="77777777" w:rsidTr="00285FB8">
        <w:tc>
          <w:tcPr>
            <w:tcW w:w="1703" w:type="dxa"/>
            <w:vMerge/>
          </w:tcPr>
          <w:p w14:paraId="662CF30E" w14:textId="77777777" w:rsidR="00285FB8" w:rsidRDefault="00285FB8" w:rsidP="00285FB8">
            <w:pPr>
              <w:spacing w:line="240" w:lineRule="auto"/>
              <w:rPr>
                <w:rFonts w:eastAsia="Times New Roman" w:cs="Arial"/>
                <w:sz w:val="24"/>
                <w:szCs w:val="24"/>
                <w:lang w:eastAsia="bg-BG"/>
              </w:rPr>
            </w:pPr>
          </w:p>
        </w:tc>
        <w:tc>
          <w:tcPr>
            <w:tcW w:w="2356" w:type="dxa"/>
          </w:tcPr>
          <w:p w14:paraId="190397EE" w14:textId="77777777" w:rsidR="00285FB8" w:rsidRDefault="00285FB8" w:rsidP="00285FB8">
            <w:r>
              <w:t>Синдром</w:t>
            </w:r>
            <w:r>
              <w:tab/>
              <w:t>на</w:t>
            </w:r>
          </w:p>
          <w:p w14:paraId="65755F76" w14:textId="39E84DEB" w:rsidR="00285FB8" w:rsidRDefault="00285FB8" w:rsidP="00285FB8">
            <w:pPr>
              <w:spacing w:line="240" w:lineRule="auto"/>
              <w:rPr>
                <w:rFonts w:eastAsia="Times New Roman" w:cs="Arial"/>
                <w:sz w:val="24"/>
                <w:szCs w:val="24"/>
                <w:lang w:eastAsia="bg-BG"/>
              </w:rPr>
            </w:pPr>
            <w:r>
              <w:rPr>
                <w:lang w:val="en-US"/>
              </w:rPr>
              <w:t>Stevens-Johnson</w:t>
            </w:r>
          </w:p>
        </w:tc>
        <w:tc>
          <w:tcPr>
            <w:tcW w:w="1364" w:type="dxa"/>
          </w:tcPr>
          <w:p w14:paraId="62DC29FA" w14:textId="2001FCA6" w:rsidR="00285FB8" w:rsidRDefault="00285FB8" w:rsidP="00285FB8">
            <w:pPr>
              <w:spacing w:line="240" w:lineRule="auto"/>
              <w:rPr>
                <w:rFonts w:eastAsia="Times New Roman" w:cs="Arial"/>
                <w:sz w:val="24"/>
                <w:szCs w:val="24"/>
                <w:lang w:eastAsia="bg-BG"/>
              </w:rPr>
            </w:pPr>
            <w:r>
              <w:t>-</w:t>
            </w:r>
          </w:p>
        </w:tc>
        <w:tc>
          <w:tcPr>
            <w:tcW w:w="1455" w:type="dxa"/>
          </w:tcPr>
          <w:p w14:paraId="33433C2E" w14:textId="074642B3" w:rsidR="00285FB8" w:rsidRDefault="00285FB8" w:rsidP="00285FB8">
            <w:pPr>
              <w:spacing w:line="240" w:lineRule="auto"/>
              <w:rPr>
                <w:rFonts w:eastAsia="Times New Roman" w:cs="Arial"/>
                <w:sz w:val="24"/>
                <w:szCs w:val="24"/>
                <w:lang w:eastAsia="bg-BG"/>
              </w:rPr>
            </w:pPr>
            <w:r>
              <w:t>Много редки</w:t>
            </w:r>
          </w:p>
        </w:tc>
        <w:tc>
          <w:tcPr>
            <w:tcW w:w="1350" w:type="dxa"/>
          </w:tcPr>
          <w:p w14:paraId="35687AD1" w14:textId="2D799110" w:rsidR="00285FB8" w:rsidRDefault="00285FB8" w:rsidP="00285FB8">
            <w:pPr>
              <w:spacing w:line="240" w:lineRule="auto"/>
              <w:rPr>
                <w:rFonts w:eastAsia="Times New Roman" w:cs="Arial"/>
                <w:sz w:val="24"/>
                <w:szCs w:val="24"/>
                <w:lang w:eastAsia="bg-BG"/>
              </w:rPr>
            </w:pPr>
            <w:r>
              <w:t>-</w:t>
            </w:r>
          </w:p>
        </w:tc>
        <w:tc>
          <w:tcPr>
            <w:tcW w:w="1348" w:type="dxa"/>
          </w:tcPr>
          <w:p w14:paraId="043C700F" w14:textId="2BBEE9F5" w:rsidR="00285FB8" w:rsidRDefault="00285FB8" w:rsidP="00285FB8">
            <w:pPr>
              <w:spacing w:line="240" w:lineRule="auto"/>
              <w:rPr>
                <w:rFonts w:eastAsia="Times New Roman" w:cs="Arial"/>
                <w:sz w:val="24"/>
                <w:szCs w:val="24"/>
                <w:lang w:eastAsia="bg-BG"/>
              </w:rPr>
            </w:pPr>
            <w:r>
              <w:t>-</w:t>
            </w:r>
          </w:p>
        </w:tc>
      </w:tr>
      <w:tr w:rsidR="00285FB8" w14:paraId="2CEEF7B0" w14:textId="77777777" w:rsidTr="00285FB8">
        <w:tc>
          <w:tcPr>
            <w:tcW w:w="1703" w:type="dxa"/>
            <w:vMerge/>
          </w:tcPr>
          <w:p w14:paraId="27134DC6"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2A9B7B53" w14:textId="562218FF" w:rsidR="00285FB8" w:rsidRDefault="00285FB8" w:rsidP="00285FB8">
            <w:pPr>
              <w:spacing w:line="240" w:lineRule="auto"/>
              <w:rPr>
                <w:rFonts w:eastAsia="Times New Roman" w:cs="Arial"/>
                <w:sz w:val="24"/>
                <w:szCs w:val="24"/>
                <w:lang w:eastAsia="bg-BG"/>
              </w:rPr>
            </w:pPr>
            <w:r>
              <w:t xml:space="preserve">Оток на </w:t>
            </w:r>
            <w:r>
              <w:rPr>
                <w:lang w:val="en-US"/>
              </w:rPr>
              <w:t>Quincke</w:t>
            </w:r>
          </w:p>
        </w:tc>
        <w:tc>
          <w:tcPr>
            <w:tcW w:w="1364" w:type="dxa"/>
            <w:vAlign w:val="center"/>
          </w:tcPr>
          <w:p w14:paraId="29D6E330" w14:textId="7525C2EE" w:rsidR="00285FB8" w:rsidRDefault="00285FB8" w:rsidP="00285FB8">
            <w:pPr>
              <w:spacing w:line="240" w:lineRule="auto"/>
              <w:rPr>
                <w:rFonts w:eastAsia="Times New Roman" w:cs="Arial"/>
                <w:sz w:val="24"/>
                <w:szCs w:val="24"/>
                <w:lang w:eastAsia="bg-BG"/>
              </w:rPr>
            </w:pPr>
            <w:r>
              <w:t>-</w:t>
            </w:r>
          </w:p>
        </w:tc>
        <w:tc>
          <w:tcPr>
            <w:tcW w:w="1455" w:type="dxa"/>
            <w:vAlign w:val="bottom"/>
          </w:tcPr>
          <w:p w14:paraId="33D67F95" w14:textId="44B40B90" w:rsidR="00285FB8" w:rsidRDefault="00285FB8" w:rsidP="00285FB8">
            <w:pPr>
              <w:spacing w:line="240" w:lineRule="auto"/>
              <w:rPr>
                <w:rFonts w:eastAsia="Times New Roman" w:cs="Arial"/>
                <w:sz w:val="24"/>
                <w:szCs w:val="24"/>
                <w:lang w:eastAsia="bg-BG"/>
              </w:rPr>
            </w:pPr>
            <w:r>
              <w:t>Много редки</w:t>
            </w:r>
          </w:p>
        </w:tc>
        <w:tc>
          <w:tcPr>
            <w:tcW w:w="1350" w:type="dxa"/>
          </w:tcPr>
          <w:p w14:paraId="46E9341F" w14:textId="77777777" w:rsidR="00285FB8" w:rsidRDefault="00285FB8" w:rsidP="00285FB8">
            <w:pPr>
              <w:spacing w:line="240" w:lineRule="auto"/>
              <w:rPr>
                <w:rFonts w:eastAsia="Times New Roman" w:cs="Arial"/>
                <w:sz w:val="24"/>
                <w:szCs w:val="24"/>
                <w:lang w:eastAsia="bg-BG"/>
              </w:rPr>
            </w:pPr>
          </w:p>
        </w:tc>
        <w:tc>
          <w:tcPr>
            <w:tcW w:w="1348" w:type="dxa"/>
            <w:vAlign w:val="center"/>
          </w:tcPr>
          <w:p w14:paraId="7B815D8E" w14:textId="4A2C6AC1" w:rsidR="00285FB8" w:rsidRDefault="00285FB8" w:rsidP="00285FB8">
            <w:pPr>
              <w:spacing w:line="240" w:lineRule="auto"/>
              <w:rPr>
                <w:rFonts w:eastAsia="Times New Roman" w:cs="Arial"/>
                <w:sz w:val="24"/>
                <w:szCs w:val="24"/>
                <w:lang w:eastAsia="bg-BG"/>
              </w:rPr>
            </w:pPr>
            <w:r>
              <w:t>-</w:t>
            </w:r>
          </w:p>
        </w:tc>
      </w:tr>
      <w:tr w:rsidR="00285FB8" w14:paraId="55379AE3" w14:textId="77777777" w:rsidTr="004233E4">
        <w:tc>
          <w:tcPr>
            <w:tcW w:w="1703" w:type="dxa"/>
            <w:vMerge w:val="restart"/>
          </w:tcPr>
          <w:p w14:paraId="6CEE08C1" w14:textId="77777777" w:rsidR="00285FB8" w:rsidRPr="00285FB8" w:rsidRDefault="00285FB8" w:rsidP="00285FB8">
            <w:pPr>
              <w:rPr>
                <w:rFonts w:cs="Arial"/>
              </w:rPr>
            </w:pPr>
            <w:r w:rsidRPr="00285FB8">
              <w:rPr>
                <w:rFonts w:cs="Arial"/>
              </w:rPr>
              <w:t>Нарушения на мускулно- скелетната система</w:t>
            </w:r>
            <w:r w:rsidRPr="00285FB8">
              <w:rPr>
                <w:rFonts w:cs="Arial"/>
              </w:rPr>
              <w:tab/>
              <w:t>и</w:t>
            </w:r>
          </w:p>
          <w:p w14:paraId="66A0F260" w14:textId="02D2C329" w:rsidR="00285FB8" w:rsidRPr="00285FB8" w:rsidRDefault="00285FB8" w:rsidP="00285FB8">
            <w:pPr>
              <w:spacing w:line="240" w:lineRule="auto"/>
              <w:rPr>
                <w:rFonts w:eastAsia="Times New Roman" w:cs="Arial"/>
                <w:lang w:eastAsia="bg-BG"/>
              </w:rPr>
            </w:pPr>
            <w:r w:rsidRPr="00285FB8">
              <w:rPr>
                <w:rFonts w:cs="Arial"/>
              </w:rPr>
              <w:t>съединител- ната тъкан</w:t>
            </w:r>
          </w:p>
        </w:tc>
        <w:tc>
          <w:tcPr>
            <w:tcW w:w="2356" w:type="dxa"/>
          </w:tcPr>
          <w:p w14:paraId="477F4C1A" w14:textId="6A95B6DC" w:rsidR="00285FB8" w:rsidRPr="00285FB8" w:rsidRDefault="00285FB8" w:rsidP="00285FB8">
            <w:pPr>
              <w:spacing w:line="240" w:lineRule="auto"/>
              <w:rPr>
                <w:rFonts w:eastAsia="Times New Roman" w:cs="Arial"/>
                <w:lang w:eastAsia="bg-BG"/>
              </w:rPr>
            </w:pPr>
            <w:r w:rsidRPr="00285FB8">
              <w:rPr>
                <w:rFonts w:cs="Arial"/>
              </w:rPr>
              <w:t>Артралгия</w:t>
            </w:r>
          </w:p>
        </w:tc>
        <w:tc>
          <w:tcPr>
            <w:tcW w:w="1364" w:type="dxa"/>
          </w:tcPr>
          <w:p w14:paraId="79976B9E" w14:textId="77777777" w:rsidR="00285FB8" w:rsidRPr="00285FB8" w:rsidRDefault="00285FB8" w:rsidP="00285FB8">
            <w:pPr>
              <w:spacing w:line="240" w:lineRule="auto"/>
              <w:rPr>
                <w:rFonts w:eastAsia="Times New Roman" w:cs="Arial"/>
                <w:lang w:eastAsia="bg-BG"/>
              </w:rPr>
            </w:pPr>
          </w:p>
        </w:tc>
        <w:tc>
          <w:tcPr>
            <w:tcW w:w="1455" w:type="dxa"/>
          </w:tcPr>
          <w:p w14:paraId="41087500" w14:textId="0C95144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7C7D4A5A" w14:textId="4E36D588"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6D9A583A" w14:textId="28AAAD08" w:rsidR="00285FB8" w:rsidRPr="00285FB8" w:rsidRDefault="00285FB8" w:rsidP="00285FB8">
            <w:pPr>
              <w:spacing w:line="240" w:lineRule="auto"/>
              <w:rPr>
                <w:rFonts w:eastAsia="Times New Roman" w:cs="Arial"/>
                <w:lang w:eastAsia="bg-BG"/>
              </w:rPr>
            </w:pPr>
            <w:r w:rsidRPr="00285FB8">
              <w:rPr>
                <w:rFonts w:cs="Arial"/>
              </w:rPr>
              <w:t>-</w:t>
            </w:r>
          </w:p>
        </w:tc>
      </w:tr>
      <w:tr w:rsidR="00285FB8" w14:paraId="0D1398F1" w14:textId="77777777" w:rsidTr="004233E4">
        <w:tc>
          <w:tcPr>
            <w:tcW w:w="1703" w:type="dxa"/>
            <w:vMerge/>
          </w:tcPr>
          <w:p w14:paraId="513DCD02" w14:textId="77777777" w:rsidR="00285FB8" w:rsidRPr="00285FB8" w:rsidRDefault="00285FB8" w:rsidP="00285FB8">
            <w:pPr>
              <w:spacing w:line="240" w:lineRule="auto"/>
              <w:rPr>
                <w:rFonts w:eastAsia="Times New Roman" w:cs="Arial"/>
                <w:lang w:eastAsia="bg-BG"/>
              </w:rPr>
            </w:pPr>
          </w:p>
        </w:tc>
        <w:tc>
          <w:tcPr>
            <w:tcW w:w="2356" w:type="dxa"/>
          </w:tcPr>
          <w:p w14:paraId="4AEE97B3" w14:textId="36BCD197" w:rsidR="00285FB8" w:rsidRPr="00285FB8" w:rsidRDefault="00285FB8" w:rsidP="00285FB8">
            <w:pPr>
              <w:spacing w:line="240" w:lineRule="auto"/>
              <w:rPr>
                <w:rFonts w:eastAsia="Times New Roman" w:cs="Arial"/>
                <w:lang w:eastAsia="bg-BG"/>
              </w:rPr>
            </w:pPr>
            <w:r w:rsidRPr="00285FB8">
              <w:rPr>
                <w:rFonts w:cs="Arial"/>
              </w:rPr>
              <w:t>Болки в гърба</w:t>
            </w:r>
          </w:p>
        </w:tc>
        <w:tc>
          <w:tcPr>
            <w:tcW w:w="1364" w:type="dxa"/>
          </w:tcPr>
          <w:p w14:paraId="3E3E7CED" w14:textId="04C164DA"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7E4B7433" w14:textId="0A46AE4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2FB5BC25" w14:textId="5497A9C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69FF9568" w14:textId="77777777" w:rsidR="00285FB8" w:rsidRPr="00285FB8" w:rsidRDefault="00285FB8" w:rsidP="00285FB8">
            <w:pPr>
              <w:spacing w:line="240" w:lineRule="auto"/>
              <w:rPr>
                <w:rFonts w:eastAsia="Times New Roman" w:cs="Arial"/>
                <w:lang w:eastAsia="bg-BG"/>
              </w:rPr>
            </w:pPr>
          </w:p>
        </w:tc>
      </w:tr>
      <w:tr w:rsidR="00285FB8" w14:paraId="2504E9B2" w14:textId="77777777" w:rsidTr="004233E4">
        <w:tc>
          <w:tcPr>
            <w:tcW w:w="1703" w:type="dxa"/>
            <w:vMerge/>
          </w:tcPr>
          <w:p w14:paraId="43DF0714" w14:textId="77777777" w:rsidR="00285FB8" w:rsidRPr="00285FB8" w:rsidRDefault="00285FB8" w:rsidP="00285FB8">
            <w:pPr>
              <w:spacing w:line="240" w:lineRule="auto"/>
              <w:rPr>
                <w:rFonts w:eastAsia="Times New Roman" w:cs="Arial"/>
                <w:lang w:eastAsia="bg-BG"/>
              </w:rPr>
            </w:pPr>
          </w:p>
        </w:tc>
        <w:tc>
          <w:tcPr>
            <w:tcW w:w="2356" w:type="dxa"/>
          </w:tcPr>
          <w:p w14:paraId="5E1F6693" w14:textId="59596A5F" w:rsidR="00285FB8" w:rsidRPr="00285FB8" w:rsidRDefault="00285FB8" w:rsidP="00285FB8">
            <w:pPr>
              <w:spacing w:line="240" w:lineRule="auto"/>
              <w:rPr>
                <w:rFonts w:eastAsia="Times New Roman" w:cs="Arial"/>
                <w:lang w:eastAsia="bg-BG"/>
              </w:rPr>
            </w:pPr>
            <w:r w:rsidRPr="00285FB8">
              <w:rPr>
                <w:rFonts w:cs="Arial"/>
              </w:rPr>
              <w:t>Оток на ставите</w:t>
            </w:r>
          </w:p>
        </w:tc>
        <w:tc>
          <w:tcPr>
            <w:tcW w:w="1364" w:type="dxa"/>
          </w:tcPr>
          <w:p w14:paraId="75AF0D36" w14:textId="56529CFF"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579ABB77" w14:textId="77777777" w:rsidR="00285FB8" w:rsidRPr="00285FB8" w:rsidRDefault="00285FB8" w:rsidP="00285FB8">
            <w:pPr>
              <w:spacing w:line="240" w:lineRule="auto"/>
              <w:rPr>
                <w:rFonts w:eastAsia="Times New Roman" w:cs="Arial"/>
                <w:lang w:eastAsia="bg-BG"/>
              </w:rPr>
            </w:pPr>
          </w:p>
        </w:tc>
        <w:tc>
          <w:tcPr>
            <w:tcW w:w="1350" w:type="dxa"/>
            <w:vAlign w:val="center"/>
          </w:tcPr>
          <w:p w14:paraId="66169EF7" w14:textId="3A5DBE5A"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0CDD68AA" w14:textId="395C42C2" w:rsidR="00285FB8" w:rsidRPr="00285FB8" w:rsidRDefault="00285FB8" w:rsidP="00285FB8">
            <w:pPr>
              <w:spacing w:line="240" w:lineRule="auto"/>
              <w:rPr>
                <w:rFonts w:eastAsia="Times New Roman" w:cs="Arial"/>
                <w:lang w:eastAsia="bg-BG"/>
              </w:rPr>
            </w:pPr>
            <w:r w:rsidRPr="00285FB8">
              <w:rPr>
                <w:rFonts w:cs="Arial"/>
                <w:smallCaps/>
                <w:lang w:val="en-US"/>
              </w:rPr>
              <w:t>j-</w:t>
            </w:r>
          </w:p>
        </w:tc>
      </w:tr>
      <w:tr w:rsidR="00285FB8" w14:paraId="7D97C92B" w14:textId="77777777" w:rsidTr="004233E4">
        <w:tc>
          <w:tcPr>
            <w:tcW w:w="1703" w:type="dxa"/>
            <w:vMerge/>
          </w:tcPr>
          <w:p w14:paraId="48862462" w14:textId="77777777" w:rsidR="00285FB8" w:rsidRPr="00285FB8" w:rsidRDefault="00285FB8" w:rsidP="00285FB8">
            <w:pPr>
              <w:spacing w:line="240" w:lineRule="auto"/>
              <w:rPr>
                <w:rFonts w:eastAsia="Times New Roman" w:cs="Arial"/>
                <w:lang w:eastAsia="bg-BG"/>
              </w:rPr>
            </w:pPr>
          </w:p>
        </w:tc>
        <w:tc>
          <w:tcPr>
            <w:tcW w:w="2356" w:type="dxa"/>
          </w:tcPr>
          <w:p w14:paraId="5D2EB1D2" w14:textId="2379F1EE" w:rsidR="00285FB8" w:rsidRPr="00285FB8" w:rsidRDefault="00285FB8" w:rsidP="00285FB8">
            <w:pPr>
              <w:spacing w:line="240" w:lineRule="auto"/>
              <w:rPr>
                <w:rFonts w:eastAsia="Times New Roman" w:cs="Arial"/>
                <w:lang w:eastAsia="bg-BG"/>
              </w:rPr>
            </w:pPr>
            <w:r w:rsidRPr="00285FB8">
              <w:rPr>
                <w:rFonts w:cs="Arial"/>
              </w:rPr>
              <w:t>Мускулни спазми</w:t>
            </w:r>
          </w:p>
        </w:tc>
        <w:tc>
          <w:tcPr>
            <w:tcW w:w="1364" w:type="dxa"/>
          </w:tcPr>
          <w:p w14:paraId="6368A68B" w14:textId="18430F0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40CA19DB" w14:textId="5FA54C86"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244ECDF6" w14:textId="6375929C"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7E402351" w14:textId="30865406"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11468BE5" w14:textId="77777777" w:rsidTr="004233E4">
        <w:tc>
          <w:tcPr>
            <w:tcW w:w="1703" w:type="dxa"/>
            <w:vMerge/>
          </w:tcPr>
          <w:p w14:paraId="430D6271" w14:textId="77777777" w:rsidR="00285FB8" w:rsidRPr="00285FB8" w:rsidRDefault="00285FB8" w:rsidP="00285FB8">
            <w:pPr>
              <w:spacing w:line="240" w:lineRule="auto"/>
              <w:rPr>
                <w:rFonts w:eastAsia="Times New Roman" w:cs="Arial"/>
                <w:lang w:eastAsia="bg-BG"/>
              </w:rPr>
            </w:pPr>
          </w:p>
        </w:tc>
        <w:tc>
          <w:tcPr>
            <w:tcW w:w="2356" w:type="dxa"/>
          </w:tcPr>
          <w:p w14:paraId="73867193" w14:textId="2C522C7E" w:rsidR="00285FB8" w:rsidRPr="00285FB8" w:rsidRDefault="00285FB8" w:rsidP="00285FB8">
            <w:pPr>
              <w:spacing w:line="240" w:lineRule="auto"/>
              <w:rPr>
                <w:rFonts w:eastAsia="Times New Roman" w:cs="Arial"/>
                <w:lang w:eastAsia="bg-BG"/>
              </w:rPr>
            </w:pPr>
            <w:r w:rsidRPr="00285FB8">
              <w:rPr>
                <w:rFonts w:cs="Arial"/>
              </w:rPr>
              <w:t>Мускулна слабост</w:t>
            </w:r>
          </w:p>
        </w:tc>
        <w:tc>
          <w:tcPr>
            <w:tcW w:w="1364" w:type="dxa"/>
          </w:tcPr>
          <w:p w14:paraId="07BFFD28" w14:textId="6781AE18"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6B5F989B" w14:textId="77777777" w:rsidR="00285FB8" w:rsidRPr="00285FB8" w:rsidRDefault="00285FB8" w:rsidP="00285FB8">
            <w:pPr>
              <w:spacing w:line="240" w:lineRule="auto"/>
              <w:rPr>
                <w:rFonts w:eastAsia="Times New Roman" w:cs="Arial"/>
                <w:lang w:eastAsia="bg-BG"/>
              </w:rPr>
            </w:pPr>
          </w:p>
        </w:tc>
        <w:tc>
          <w:tcPr>
            <w:tcW w:w="1350" w:type="dxa"/>
          </w:tcPr>
          <w:p w14:paraId="4D6E7189" w14:textId="77777777" w:rsidR="00285FB8" w:rsidRPr="00285FB8" w:rsidRDefault="00285FB8" w:rsidP="00285FB8">
            <w:pPr>
              <w:spacing w:line="240" w:lineRule="auto"/>
              <w:rPr>
                <w:rFonts w:eastAsia="Times New Roman" w:cs="Arial"/>
                <w:lang w:eastAsia="bg-BG"/>
              </w:rPr>
            </w:pPr>
          </w:p>
        </w:tc>
        <w:tc>
          <w:tcPr>
            <w:tcW w:w="1348" w:type="dxa"/>
            <w:vAlign w:val="bottom"/>
          </w:tcPr>
          <w:p w14:paraId="21067F18" w14:textId="7500C421" w:rsidR="00285FB8" w:rsidRPr="00285FB8" w:rsidRDefault="00285FB8" w:rsidP="00285FB8">
            <w:pPr>
              <w:spacing w:line="240" w:lineRule="auto"/>
              <w:rPr>
                <w:rFonts w:eastAsia="Times New Roman" w:cs="Arial"/>
                <w:lang w:eastAsia="bg-BG"/>
              </w:rPr>
            </w:pPr>
            <w:r w:rsidRPr="00285FB8">
              <w:rPr>
                <w:rFonts w:cs="Arial"/>
              </w:rPr>
              <w:t>-</w:t>
            </w:r>
          </w:p>
        </w:tc>
      </w:tr>
      <w:tr w:rsidR="00285FB8" w14:paraId="687B700E" w14:textId="77777777" w:rsidTr="00285FB8">
        <w:tc>
          <w:tcPr>
            <w:tcW w:w="1703" w:type="dxa"/>
            <w:vMerge/>
          </w:tcPr>
          <w:p w14:paraId="5A71914E" w14:textId="77777777" w:rsidR="00285FB8" w:rsidRPr="00285FB8" w:rsidRDefault="00285FB8" w:rsidP="00285FB8">
            <w:pPr>
              <w:spacing w:line="240" w:lineRule="auto"/>
              <w:rPr>
                <w:rFonts w:eastAsia="Times New Roman" w:cs="Arial"/>
                <w:lang w:eastAsia="bg-BG"/>
              </w:rPr>
            </w:pPr>
          </w:p>
        </w:tc>
        <w:tc>
          <w:tcPr>
            <w:tcW w:w="2356" w:type="dxa"/>
          </w:tcPr>
          <w:p w14:paraId="51E03141" w14:textId="39711808" w:rsidR="00285FB8" w:rsidRPr="00285FB8" w:rsidRDefault="00285FB8" w:rsidP="00285FB8">
            <w:pPr>
              <w:spacing w:line="240" w:lineRule="auto"/>
              <w:rPr>
                <w:rFonts w:eastAsia="Times New Roman" w:cs="Arial"/>
                <w:lang w:eastAsia="bg-BG"/>
              </w:rPr>
            </w:pPr>
            <w:r w:rsidRPr="00285FB8">
              <w:rPr>
                <w:rFonts w:cs="Arial"/>
              </w:rPr>
              <w:t>Миалгия</w:t>
            </w:r>
          </w:p>
        </w:tc>
        <w:tc>
          <w:tcPr>
            <w:tcW w:w="1364" w:type="dxa"/>
          </w:tcPr>
          <w:p w14:paraId="20CE753D" w14:textId="42B3B011"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2B746AD8" w14:textId="027648C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2C33B776" w14:textId="0ED1E005"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5711FF49" w14:textId="248BD35F" w:rsidR="00285FB8" w:rsidRPr="00285FB8" w:rsidRDefault="00285FB8" w:rsidP="00285FB8">
            <w:pPr>
              <w:spacing w:line="240" w:lineRule="auto"/>
              <w:rPr>
                <w:rFonts w:eastAsia="Times New Roman" w:cs="Arial"/>
                <w:lang w:eastAsia="bg-BG"/>
              </w:rPr>
            </w:pPr>
            <w:r w:rsidRPr="00285FB8">
              <w:rPr>
                <w:rFonts w:cs="Arial"/>
              </w:rPr>
              <w:t>-</w:t>
            </w:r>
          </w:p>
        </w:tc>
      </w:tr>
      <w:tr w:rsidR="00285FB8" w14:paraId="7B099AEC" w14:textId="77777777" w:rsidTr="004233E4">
        <w:tc>
          <w:tcPr>
            <w:tcW w:w="1703" w:type="dxa"/>
            <w:vMerge/>
          </w:tcPr>
          <w:p w14:paraId="6286AF70" w14:textId="77777777" w:rsidR="00285FB8" w:rsidRPr="00285FB8" w:rsidRDefault="00285FB8" w:rsidP="00285FB8">
            <w:pPr>
              <w:spacing w:line="240" w:lineRule="auto"/>
              <w:rPr>
                <w:rFonts w:eastAsia="Times New Roman" w:cs="Arial"/>
                <w:lang w:eastAsia="bg-BG"/>
              </w:rPr>
            </w:pPr>
          </w:p>
        </w:tc>
        <w:tc>
          <w:tcPr>
            <w:tcW w:w="2356" w:type="dxa"/>
            <w:vAlign w:val="bottom"/>
          </w:tcPr>
          <w:p w14:paraId="64053A2C" w14:textId="2338ACCB" w:rsidR="00285FB8" w:rsidRPr="00285FB8" w:rsidRDefault="00285FB8" w:rsidP="00285FB8">
            <w:pPr>
              <w:spacing w:line="240" w:lineRule="auto"/>
              <w:rPr>
                <w:rFonts w:eastAsia="Times New Roman" w:cs="Arial"/>
                <w:lang w:eastAsia="bg-BG"/>
              </w:rPr>
            </w:pPr>
            <w:r w:rsidRPr="00285FB8">
              <w:rPr>
                <w:rFonts w:cs="Arial"/>
              </w:rPr>
              <w:t>Болки в крайниците</w:t>
            </w:r>
          </w:p>
        </w:tc>
        <w:tc>
          <w:tcPr>
            <w:tcW w:w="1364" w:type="dxa"/>
            <w:vAlign w:val="center"/>
          </w:tcPr>
          <w:p w14:paraId="379585B3" w14:textId="5049B3F3"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7E36E416" w14:textId="368940B4"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1AD92BD0" w14:textId="4A84018C"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18727BF1" w14:textId="453C2EA0" w:rsidR="00285FB8" w:rsidRPr="00285FB8" w:rsidRDefault="00285FB8" w:rsidP="00285FB8">
            <w:pPr>
              <w:spacing w:line="240" w:lineRule="auto"/>
              <w:rPr>
                <w:rFonts w:eastAsia="Times New Roman" w:cs="Arial"/>
                <w:lang w:eastAsia="bg-BG"/>
              </w:rPr>
            </w:pPr>
            <w:r w:rsidRPr="00285FB8">
              <w:rPr>
                <w:rFonts w:cs="Arial"/>
              </w:rPr>
              <w:t>-</w:t>
            </w:r>
          </w:p>
        </w:tc>
      </w:tr>
      <w:tr w:rsidR="00285FB8" w14:paraId="0E1B9949" w14:textId="77777777" w:rsidTr="004233E4">
        <w:tc>
          <w:tcPr>
            <w:tcW w:w="1703" w:type="dxa"/>
            <w:vMerge/>
          </w:tcPr>
          <w:p w14:paraId="3A894FCA" w14:textId="77777777" w:rsidR="00285FB8" w:rsidRPr="00285FB8" w:rsidRDefault="00285FB8" w:rsidP="00285FB8">
            <w:pPr>
              <w:spacing w:line="240" w:lineRule="auto"/>
              <w:rPr>
                <w:rFonts w:eastAsia="Times New Roman" w:cs="Arial"/>
                <w:lang w:eastAsia="bg-BG"/>
              </w:rPr>
            </w:pPr>
          </w:p>
        </w:tc>
        <w:tc>
          <w:tcPr>
            <w:tcW w:w="2356" w:type="dxa"/>
          </w:tcPr>
          <w:p w14:paraId="40C6BC31" w14:textId="30D59701" w:rsidR="00285FB8" w:rsidRPr="00285FB8" w:rsidRDefault="00285FB8" w:rsidP="00285FB8">
            <w:pPr>
              <w:spacing w:line="240" w:lineRule="auto"/>
              <w:rPr>
                <w:rFonts w:eastAsia="Times New Roman" w:cs="Arial"/>
                <w:lang w:eastAsia="bg-BG"/>
              </w:rPr>
            </w:pPr>
            <w:r w:rsidRPr="00285FB8">
              <w:rPr>
                <w:rFonts w:cs="Arial"/>
              </w:rPr>
              <w:t>Оток на глезените</w:t>
            </w:r>
          </w:p>
        </w:tc>
        <w:tc>
          <w:tcPr>
            <w:tcW w:w="1364" w:type="dxa"/>
            <w:vAlign w:val="bottom"/>
          </w:tcPr>
          <w:p w14:paraId="232E8C67" w14:textId="0D0EC3E7"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4BCD14C6" w14:textId="0A7E33C9"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tcPr>
          <w:p w14:paraId="15A2C31A" w14:textId="77777777" w:rsidR="00285FB8" w:rsidRPr="00285FB8" w:rsidRDefault="00285FB8" w:rsidP="00285FB8">
            <w:pPr>
              <w:spacing w:line="240" w:lineRule="auto"/>
              <w:rPr>
                <w:rFonts w:eastAsia="Times New Roman" w:cs="Arial"/>
                <w:lang w:eastAsia="bg-BG"/>
              </w:rPr>
            </w:pPr>
          </w:p>
        </w:tc>
        <w:tc>
          <w:tcPr>
            <w:tcW w:w="1348" w:type="dxa"/>
          </w:tcPr>
          <w:p w14:paraId="202387C0" w14:textId="77777777" w:rsidR="00285FB8" w:rsidRPr="00285FB8" w:rsidRDefault="00285FB8" w:rsidP="00285FB8">
            <w:pPr>
              <w:spacing w:line="240" w:lineRule="auto"/>
              <w:rPr>
                <w:rFonts w:eastAsia="Times New Roman" w:cs="Arial"/>
                <w:lang w:eastAsia="bg-BG"/>
              </w:rPr>
            </w:pPr>
          </w:p>
        </w:tc>
      </w:tr>
      <w:tr w:rsidR="00285FB8" w14:paraId="4B34BB8E" w14:textId="77777777" w:rsidTr="004233E4">
        <w:tc>
          <w:tcPr>
            <w:tcW w:w="1703" w:type="dxa"/>
            <w:vMerge w:val="restart"/>
          </w:tcPr>
          <w:p w14:paraId="53D43267" w14:textId="269568B5" w:rsidR="00285FB8" w:rsidRPr="00285FB8" w:rsidRDefault="00285FB8" w:rsidP="00285FB8">
            <w:pPr>
              <w:spacing w:line="240" w:lineRule="auto"/>
              <w:rPr>
                <w:rFonts w:eastAsia="Times New Roman" w:cs="Arial"/>
                <w:lang w:eastAsia="bg-BG"/>
              </w:rPr>
            </w:pPr>
            <w:r w:rsidRPr="00285FB8">
              <w:rPr>
                <w:rFonts w:cs="Arial"/>
              </w:rPr>
              <w:lastRenderedPageBreak/>
              <w:t>Нарушения на бъбреците и пикочните пътища</w:t>
            </w:r>
          </w:p>
        </w:tc>
        <w:tc>
          <w:tcPr>
            <w:tcW w:w="2356" w:type="dxa"/>
            <w:vAlign w:val="bottom"/>
          </w:tcPr>
          <w:p w14:paraId="0E9E6BB1" w14:textId="4CDEB48E" w:rsidR="00285FB8" w:rsidRPr="00285FB8" w:rsidRDefault="00285FB8" w:rsidP="00285FB8">
            <w:pPr>
              <w:spacing w:line="240" w:lineRule="auto"/>
              <w:rPr>
                <w:rFonts w:eastAsia="Times New Roman" w:cs="Arial"/>
                <w:lang w:eastAsia="bg-BG"/>
              </w:rPr>
            </w:pPr>
            <w:r w:rsidRPr="00285FB8">
              <w:rPr>
                <w:rFonts w:cs="Arial"/>
              </w:rPr>
              <w:t>Повишен креатинин в кръвта</w:t>
            </w:r>
          </w:p>
        </w:tc>
        <w:tc>
          <w:tcPr>
            <w:tcW w:w="1364" w:type="dxa"/>
          </w:tcPr>
          <w:p w14:paraId="6E9629B5" w14:textId="16C18C65"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11CAFEBE" w14:textId="1A33CC3F"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bottom"/>
          </w:tcPr>
          <w:p w14:paraId="339B6769" w14:textId="502F4049"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6BDAFD4F" w14:textId="3FC22196" w:rsidR="00285FB8" w:rsidRPr="00285FB8" w:rsidRDefault="00285FB8" w:rsidP="00285FB8">
            <w:pPr>
              <w:spacing w:line="240" w:lineRule="auto"/>
              <w:rPr>
                <w:rFonts w:eastAsia="Times New Roman" w:cs="Arial"/>
                <w:lang w:eastAsia="bg-BG"/>
              </w:rPr>
            </w:pPr>
            <w:r w:rsidRPr="00285FB8">
              <w:rPr>
                <w:rFonts w:cs="Arial"/>
              </w:rPr>
              <w:t>-</w:t>
            </w:r>
          </w:p>
        </w:tc>
      </w:tr>
      <w:tr w:rsidR="00285FB8" w14:paraId="3883C6F8" w14:textId="77777777" w:rsidTr="004233E4">
        <w:tc>
          <w:tcPr>
            <w:tcW w:w="1703" w:type="dxa"/>
            <w:vMerge/>
          </w:tcPr>
          <w:p w14:paraId="410C1A2A" w14:textId="77777777" w:rsidR="00285FB8" w:rsidRPr="00285FB8" w:rsidRDefault="00285FB8" w:rsidP="00285FB8">
            <w:pPr>
              <w:spacing w:line="240" w:lineRule="auto"/>
              <w:rPr>
                <w:rFonts w:eastAsia="Times New Roman" w:cs="Arial"/>
                <w:lang w:eastAsia="bg-BG"/>
              </w:rPr>
            </w:pPr>
          </w:p>
        </w:tc>
        <w:tc>
          <w:tcPr>
            <w:tcW w:w="2356" w:type="dxa"/>
            <w:vAlign w:val="bottom"/>
          </w:tcPr>
          <w:p w14:paraId="0854A676" w14:textId="158F5501" w:rsidR="00285FB8" w:rsidRPr="00285FB8" w:rsidRDefault="00285FB8" w:rsidP="00285FB8">
            <w:pPr>
              <w:spacing w:line="240" w:lineRule="auto"/>
              <w:rPr>
                <w:rFonts w:eastAsia="Times New Roman" w:cs="Arial"/>
                <w:lang w:eastAsia="bg-BG"/>
              </w:rPr>
            </w:pPr>
            <w:r w:rsidRPr="00285FB8">
              <w:rPr>
                <w:rFonts w:cs="Arial"/>
              </w:rPr>
              <w:t>Микционни нарушения</w:t>
            </w:r>
          </w:p>
        </w:tc>
        <w:tc>
          <w:tcPr>
            <w:tcW w:w="1364" w:type="dxa"/>
          </w:tcPr>
          <w:p w14:paraId="3282B13E" w14:textId="36BCD537"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5AD67016" w14:textId="054C6E4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F96F0A7" w14:textId="602E9432"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C9B2FC1" w14:textId="75F8212C" w:rsidR="00285FB8" w:rsidRPr="00285FB8" w:rsidRDefault="00285FB8" w:rsidP="00285FB8">
            <w:pPr>
              <w:spacing w:line="240" w:lineRule="auto"/>
              <w:rPr>
                <w:rFonts w:eastAsia="Times New Roman" w:cs="Arial"/>
                <w:lang w:eastAsia="bg-BG"/>
              </w:rPr>
            </w:pPr>
            <w:r w:rsidRPr="00285FB8">
              <w:rPr>
                <w:rFonts w:cs="Arial"/>
              </w:rPr>
              <w:t>-</w:t>
            </w:r>
          </w:p>
        </w:tc>
      </w:tr>
      <w:tr w:rsidR="00285FB8" w14:paraId="5C0227E0" w14:textId="77777777" w:rsidTr="004233E4">
        <w:tc>
          <w:tcPr>
            <w:tcW w:w="1703" w:type="dxa"/>
            <w:vMerge/>
          </w:tcPr>
          <w:p w14:paraId="3274F95A" w14:textId="77777777" w:rsidR="00285FB8" w:rsidRPr="00285FB8" w:rsidRDefault="00285FB8" w:rsidP="00285FB8">
            <w:pPr>
              <w:spacing w:line="240" w:lineRule="auto"/>
              <w:rPr>
                <w:rFonts w:eastAsia="Times New Roman" w:cs="Arial"/>
                <w:lang w:eastAsia="bg-BG"/>
              </w:rPr>
            </w:pPr>
          </w:p>
        </w:tc>
        <w:tc>
          <w:tcPr>
            <w:tcW w:w="2356" w:type="dxa"/>
          </w:tcPr>
          <w:p w14:paraId="4C8EC2B1" w14:textId="4B1D7B1C" w:rsidR="00285FB8" w:rsidRPr="00285FB8" w:rsidRDefault="00285FB8" w:rsidP="00285FB8">
            <w:pPr>
              <w:spacing w:line="240" w:lineRule="auto"/>
              <w:rPr>
                <w:rFonts w:eastAsia="Times New Roman" w:cs="Arial"/>
                <w:lang w:eastAsia="bg-BG"/>
              </w:rPr>
            </w:pPr>
            <w:r w:rsidRPr="00285FB8">
              <w:rPr>
                <w:rFonts w:cs="Arial"/>
              </w:rPr>
              <w:t>Никтурия</w:t>
            </w:r>
          </w:p>
        </w:tc>
        <w:tc>
          <w:tcPr>
            <w:tcW w:w="1364" w:type="dxa"/>
            <w:vAlign w:val="bottom"/>
          </w:tcPr>
          <w:p w14:paraId="1BCFE7B4" w14:textId="4508D131"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1F8B158" w14:textId="7E4E0D7A"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CB8455A" w14:textId="77777777" w:rsidR="00285FB8" w:rsidRPr="00285FB8" w:rsidRDefault="00285FB8" w:rsidP="00285FB8">
            <w:pPr>
              <w:spacing w:line="240" w:lineRule="auto"/>
              <w:rPr>
                <w:rFonts w:eastAsia="Times New Roman" w:cs="Arial"/>
                <w:lang w:eastAsia="bg-BG"/>
              </w:rPr>
            </w:pPr>
          </w:p>
        </w:tc>
        <w:tc>
          <w:tcPr>
            <w:tcW w:w="1348" w:type="dxa"/>
          </w:tcPr>
          <w:p w14:paraId="14495302" w14:textId="77777777" w:rsidR="00285FB8" w:rsidRPr="00285FB8" w:rsidRDefault="00285FB8" w:rsidP="00285FB8">
            <w:pPr>
              <w:spacing w:line="240" w:lineRule="auto"/>
              <w:rPr>
                <w:rFonts w:eastAsia="Times New Roman" w:cs="Arial"/>
                <w:lang w:eastAsia="bg-BG"/>
              </w:rPr>
            </w:pPr>
          </w:p>
        </w:tc>
      </w:tr>
      <w:tr w:rsidR="00285FB8" w14:paraId="21C384FB" w14:textId="77777777" w:rsidTr="004233E4">
        <w:tc>
          <w:tcPr>
            <w:tcW w:w="1703" w:type="dxa"/>
            <w:vMerge/>
          </w:tcPr>
          <w:p w14:paraId="59C0A666" w14:textId="77777777" w:rsidR="00285FB8" w:rsidRPr="00285FB8" w:rsidRDefault="00285FB8" w:rsidP="00285FB8">
            <w:pPr>
              <w:spacing w:line="240" w:lineRule="auto"/>
              <w:rPr>
                <w:rFonts w:eastAsia="Times New Roman" w:cs="Arial"/>
                <w:lang w:eastAsia="bg-BG"/>
              </w:rPr>
            </w:pPr>
          </w:p>
        </w:tc>
        <w:tc>
          <w:tcPr>
            <w:tcW w:w="2356" w:type="dxa"/>
            <w:vAlign w:val="bottom"/>
          </w:tcPr>
          <w:p w14:paraId="4EBC71B8" w14:textId="136808DE" w:rsidR="00285FB8" w:rsidRPr="00285FB8" w:rsidRDefault="00285FB8" w:rsidP="00285FB8">
            <w:pPr>
              <w:spacing w:line="240" w:lineRule="auto"/>
              <w:rPr>
                <w:rFonts w:eastAsia="Times New Roman" w:cs="Arial"/>
                <w:lang w:eastAsia="bg-BG"/>
              </w:rPr>
            </w:pPr>
            <w:r w:rsidRPr="00285FB8">
              <w:rPr>
                <w:rFonts w:cs="Arial"/>
              </w:rPr>
              <w:t>Полакиурия</w:t>
            </w:r>
          </w:p>
        </w:tc>
        <w:tc>
          <w:tcPr>
            <w:tcW w:w="1364" w:type="dxa"/>
            <w:vAlign w:val="bottom"/>
          </w:tcPr>
          <w:p w14:paraId="2E637171" w14:textId="1928F6C1"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vAlign w:val="bottom"/>
          </w:tcPr>
          <w:p w14:paraId="3803CE79" w14:textId="538F163D"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514CA4F" w14:textId="77777777" w:rsidR="00285FB8" w:rsidRPr="00285FB8" w:rsidRDefault="00285FB8" w:rsidP="00285FB8">
            <w:pPr>
              <w:spacing w:line="240" w:lineRule="auto"/>
              <w:rPr>
                <w:rFonts w:eastAsia="Times New Roman" w:cs="Arial"/>
                <w:lang w:eastAsia="bg-BG"/>
              </w:rPr>
            </w:pPr>
          </w:p>
        </w:tc>
        <w:tc>
          <w:tcPr>
            <w:tcW w:w="1348" w:type="dxa"/>
          </w:tcPr>
          <w:p w14:paraId="09A1DDB8" w14:textId="77777777" w:rsidR="00285FB8" w:rsidRPr="00285FB8" w:rsidRDefault="00285FB8" w:rsidP="00285FB8">
            <w:pPr>
              <w:spacing w:line="240" w:lineRule="auto"/>
              <w:rPr>
                <w:rFonts w:eastAsia="Times New Roman" w:cs="Arial"/>
                <w:lang w:eastAsia="bg-BG"/>
              </w:rPr>
            </w:pPr>
          </w:p>
        </w:tc>
      </w:tr>
      <w:tr w:rsidR="00285FB8" w14:paraId="3B086FA3" w14:textId="77777777" w:rsidTr="004233E4">
        <w:tc>
          <w:tcPr>
            <w:tcW w:w="1703" w:type="dxa"/>
            <w:vMerge/>
          </w:tcPr>
          <w:p w14:paraId="64D1604E" w14:textId="77777777" w:rsidR="00285FB8" w:rsidRPr="00285FB8" w:rsidRDefault="00285FB8" w:rsidP="00285FB8">
            <w:pPr>
              <w:spacing w:line="240" w:lineRule="auto"/>
              <w:rPr>
                <w:rFonts w:eastAsia="Times New Roman" w:cs="Arial"/>
                <w:lang w:eastAsia="bg-BG"/>
              </w:rPr>
            </w:pPr>
          </w:p>
        </w:tc>
        <w:tc>
          <w:tcPr>
            <w:tcW w:w="2356" w:type="dxa"/>
            <w:vAlign w:val="bottom"/>
          </w:tcPr>
          <w:p w14:paraId="4F688958" w14:textId="335510FB" w:rsidR="00285FB8" w:rsidRPr="00285FB8" w:rsidRDefault="00285FB8" w:rsidP="00285FB8">
            <w:pPr>
              <w:spacing w:line="240" w:lineRule="auto"/>
              <w:rPr>
                <w:rFonts w:eastAsia="Times New Roman" w:cs="Arial"/>
                <w:lang w:eastAsia="bg-BG"/>
              </w:rPr>
            </w:pPr>
            <w:r w:rsidRPr="00285FB8">
              <w:rPr>
                <w:rFonts w:cs="Arial"/>
              </w:rPr>
              <w:t>Бъбречна дисфункция</w:t>
            </w:r>
          </w:p>
        </w:tc>
        <w:tc>
          <w:tcPr>
            <w:tcW w:w="1364" w:type="dxa"/>
          </w:tcPr>
          <w:p w14:paraId="7869DC38" w14:textId="61793975"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03235BA" w14:textId="029E3A43"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7143CAE7" w14:textId="0B2DE061"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50CBF1CF" w14:textId="7A059A04"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7CE88C88" w14:textId="77777777" w:rsidTr="004233E4">
        <w:tc>
          <w:tcPr>
            <w:tcW w:w="1703" w:type="dxa"/>
            <w:vMerge/>
          </w:tcPr>
          <w:p w14:paraId="4DAF8719" w14:textId="77777777" w:rsidR="00285FB8" w:rsidRPr="00285FB8" w:rsidRDefault="00285FB8" w:rsidP="00285FB8">
            <w:pPr>
              <w:spacing w:line="240" w:lineRule="auto"/>
              <w:rPr>
                <w:rFonts w:eastAsia="Times New Roman" w:cs="Arial"/>
                <w:lang w:eastAsia="bg-BG"/>
              </w:rPr>
            </w:pPr>
          </w:p>
        </w:tc>
        <w:tc>
          <w:tcPr>
            <w:tcW w:w="2356" w:type="dxa"/>
            <w:vAlign w:val="bottom"/>
          </w:tcPr>
          <w:p w14:paraId="61DE9D7A" w14:textId="43F285CD" w:rsidR="00285FB8" w:rsidRPr="00285FB8" w:rsidRDefault="00285FB8" w:rsidP="00285FB8">
            <w:pPr>
              <w:spacing w:line="240" w:lineRule="auto"/>
              <w:rPr>
                <w:rFonts w:eastAsia="Times New Roman" w:cs="Arial"/>
                <w:lang w:eastAsia="bg-BG"/>
              </w:rPr>
            </w:pPr>
            <w:r w:rsidRPr="00285FB8">
              <w:rPr>
                <w:rFonts w:cs="Arial"/>
              </w:rPr>
              <w:t>Остра бъбречна недостатъчност</w:t>
            </w:r>
          </w:p>
        </w:tc>
        <w:tc>
          <w:tcPr>
            <w:tcW w:w="1364" w:type="dxa"/>
          </w:tcPr>
          <w:p w14:paraId="344C3187" w14:textId="4A03EBDA"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6A14EA92" w14:textId="137BF6FF"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3F77DDC6" w14:textId="15BF3E3A"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7483BCA2" w14:textId="64C2E347"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62B43515" w14:textId="77777777" w:rsidTr="004233E4">
        <w:tc>
          <w:tcPr>
            <w:tcW w:w="1703" w:type="dxa"/>
            <w:vMerge/>
          </w:tcPr>
          <w:p w14:paraId="00643D03" w14:textId="77777777" w:rsidR="00285FB8" w:rsidRPr="00285FB8" w:rsidRDefault="00285FB8" w:rsidP="00285FB8">
            <w:pPr>
              <w:spacing w:line="240" w:lineRule="auto"/>
              <w:rPr>
                <w:rFonts w:eastAsia="Times New Roman" w:cs="Arial"/>
                <w:lang w:eastAsia="bg-BG"/>
              </w:rPr>
            </w:pPr>
          </w:p>
        </w:tc>
        <w:tc>
          <w:tcPr>
            <w:tcW w:w="2356" w:type="dxa"/>
            <w:vAlign w:val="bottom"/>
          </w:tcPr>
          <w:p w14:paraId="20855C75" w14:textId="2395FB14" w:rsidR="00285FB8" w:rsidRPr="00285FB8" w:rsidRDefault="00285FB8" w:rsidP="00285FB8">
            <w:pPr>
              <w:spacing w:line="240" w:lineRule="auto"/>
              <w:rPr>
                <w:rFonts w:eastAsia="Times New Roman" w:cs="Arial"/>
                <w:lang w:eastAsia="bg-BG"/>
              </w:rPr>
            </w:pPr>
            <w:r w:rsidRPr="00285FB8">
              <w:rPr>
                <w:rFonts w:cs="Arial"/>
              </w:rPr>
              <w:t>Бъбречна недостатъчност и увреждане</w:t>
            </w:r>
          </w:p>
        </w:tc>
        <w:tc>
          <w:tcPr>
            <w:tcW w:w="1364" w:type="dxa"/>
          </w:tcPr>
          <w:p w14:paraId="3738A91B" w14:textId="4BCDF167"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3BC464E" w14:textId="36B2CCAB"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38E1DB7A" w14:textId="04628435"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4BADB98D" w14:textId="52768EB0"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4AAA3070" w14:textId="77777777" w:rsidTr="00B4700E">
        <w:tc>
          <w:tcPr>
            <w:tcW w:w="1703" w:type="dxa"/>
            <w:vMerge w:val="restart"/>
            <w:vAlign w:val="bottom"/>
          </w:tcPr>
          <w:p w14:paraId="23470500" w14:textId="0D0D8397" w:rsidR="00285FB8" w:rsidRDefault="00285FB8" w:rsidP="00285FB8">
            <w:r>
              <w:t>Нарушения на възпроизво</w:t>
            </w:r>
            <w:r>
              <w:softHyphen/>
              <w:t>дителната система</w:t>
            </w:r>
            <w:r>
              <w:rPr>
                <w:lang w:val="en-US"/>
              </w:rPr>
              <w:t xml:space="preserve"> </w:t>
            </w:r>
            <w:r>
              <w:t>и</w:t>
            </w:r>
          </w:p>
          <w:p w14:paraId="36653ED2" w14:textId="7697975B" w:rsidR="00285FB8" w:rsidRDefault="00285FB8" w:rsidP="00285FB8">
            <w:pPr>
              <w:spacing w:line="240" w:lineRule="auto"/>
              <w:rPr>
                <w:rFonts w:eastAsia="Times New Roman" w:cs="Arial"/>
                <w:sz w:val="24"/>
                <w:szCs w:val="24"/>
                <w:lang w:eastAsia="bg-BG"/>
              </w:rPr>
            </w:pPr>
            <w:r>
              <w:t>гърдата</w:t>
            </w:r>
          </w:p>
        </w:tc>
        <w:tc>
          <w:tcPr>
            <w:tcW w:w="2356" w:type="dxa"/>
          </w:tcPr>
          <w:p w14:paraId="6527D01C" w14:textId="30966D67" w:rsidR="00285FB8" w:rsidRDefault="00285FB8" w:rsidP="00285FB8">
            <w:pPr>
              <w:spacing w:line="240" w:lineRule="auto"/>
              <w:rPr>
                <w:rFonts w:eastAsia="Times New Roman" w:cs="Arial"/>
                <w:sz w:val="24"/>
                <w:szCs w:val="24"/>
                <w:lang w:eastAsia="bg-BG"/>
              </w:rPr>
            </w:pPr>
            <w:r>
              <w:t>Импотентност</w:t>
            </w:r>
          </w:p>
        </w:tc>
        <w:tc>
          <w:tcPr>
            <w:tcW w:w="1364" w:type="dxa"/>
          </w:tcPr>
          <w:p w14:paraId="4367A980" w14:textId="15EFDF43" w:rsidR="00285FB8" w:rsidRDefault="00285FB8" w:rsidP="00285FB8">
            <w:pPr>
              <w:spacing w:line="240" w:lineRule="auto"/>
              <w:rPr>
                <w:rFonts w:eastAsia="Times New Roman" w:cs="Arial"/>
                <w:sz w:val="24"/>
                <w:szCs w:val="24"/>
                <w:lang w:eastAsia="bg-BG"/>
              </w:rPr>
            </w:pPr>
            <w:r>
              <w:t>Нечести</w:t>
            </w:r>
          </w:p>
        </w:tc>
        <w:tc>
          <w:tcPr>
            <w:tcW w:w="1455" w:type="dxa"/>
          </w:tcPr>
          <w:p w14:paraId="7ADE597B" w14:textId="2E54D4D3" w:rsidR="00285FB8" w:rsidRDefault="00285FB8" w:rsidP="00285FB8">
            <w:pPr>
              <w:spacing w:line="240" w:lineRule="auto"/>
              <w:rPr>
                <w:rFonts w:eastAsia="Times New Roman" w:cs="Arial"/>
                <w:sz w:val="24"/>
                <w:szCs w:val="24"/>
                <w:lang w:eastAsia="bg-BG"/>
              </w:rPr>
            </w:pPr>
            <w:r>
              <w:t>Нечести</w:t>
            </w:r>
          </w:p>
        </w:tc>
        <w:tc>
          <w:tcPr>
            <w:tcW w:w="1350" w:type="dxa"/>
          </w:tcPr>
          <w:p w14:paraId="3F1BB68D" w14:textId="77777777" w:rsidR="00285FB8" w:rsidRDefault="00285FB8" w:rsidP="00285FB8">
            <w:pPr>
              <w:spacing w:line="240" w:lineRule="auto"/>
              <w:rPr>
                <w:rFonts w:eastAsia="Times New Roman" w:cs="Arial"/>
                <w:sz w:val="24"/>
                <w:szCs w:val="24"/>
                <w:lang w:eastAsia="bg-BG"/>
              </w:rPr>
            </w:pPr>
          </w:p>
        </w:tc>
        <w:tc>
          <w:tcPr>
            <w:tcW w:w="1348" w:type="dxa"/>
          </w:tcPr>
          <w:p w14:paraId="2537043C" w14:textId="07756112" w:rsidR="00285FB8" w:rsidRDefault="00285FB8" w:rsidP="00285FB8">
            <w:pPr>
              <w:spacing w:line="240" w:lineRule="auto"/>
              <w:rPr>
                <w:rFonts w:eastAsia="Times New Roman" w:cs="Arial"/>
                <w:sz w:val="24"/>
                <w:szCs w:val="24"/>
                <w:lang w:eastAsia="bg-BG"/>
              </w:rPr>
            </w:pPr>
            <w:r>
              <w:t>Чести</w:t>
            </w:r>
          </w:p>
        </w:tc>
      </w:tr>
      <w:tr w:rsidR="00285FB8" w14:paraId="15137AA2" w14:textId="77777777" w:rsidTr="00B4700E">
        <w:tc>
          <w:tcPr>
            <w:tcW w:w="1703" w:type="dxa"/>
            <w:vMerge/>
            <w:vAlign w:val="bottom"/>
          </w:tcPr>
          <w:p w14:paraId="7E110CD4" w14:textId="77777777" w:rsidR="00285FB8" w:rsidRDefault="00285FB8" w:rsidP="00285FB8">
            <w:pPr>
              <w:spacing w:line="240" w:lineRule="auto"/>
              <w:rPr>
                <w:rFonts w:eastAsia="Times New Roman" w:cs="Arial"/>
                <w:sz w:val="24"/>
                <w:szCs w:val="24"/>
                <w:lang w:eastAsia="bg-BG"/>
              </w:rPr>
            </w:pPr>
          </w:p>
        </w:tc>
        <w:tc>
          <w:tcPr>
            <w:tcW w:w="2356" w:type="dxa"/>
          </w:tcPr>
          <w:p w14:paraId="6F26208B" w14:textId="3D19AEC7" w:rsidR="00285FB8" w:rsidRDefault="00285FB8" w:rsidP="00285FB8">
            <w:pPr>
              <w:spacing w:line="240" w:lineRule="auto"/>
              <w:rPr>
                <w:rFonts w:eastAsia="Times New Roman" w:cs="Arial"/>
                <w:sz w:val="24"/>
                <w:szCs w:val="24"/>
                <w:lang w:eastAsia="bg-BG"/>
              </w:rPr>
            </w:pPr>
            <w:r>
              <w:t>Гинекомастия</w:t>
            </w:r>
          </w:p>
        </w:tc>
        <w:tc>
          <w:tcPr>
            <w:tcW w:w="1364" w:type="dxa"/>
          </w:tcPr>
          <w:p w14:paraId="24BB5455" w14:textId="1D52EDD3" w:rsidR="00285FB8" w:rsidRDefault="00285FB8" w:rsidP="00285FB8">
            <w:pPr>
              <w:spacing w:line="240" w:lineRule="auto"/>
              <w:rPr>
                <w:rFonts w:eastAsia="Times New Roman" w:cs="Arial"/>
                <w:sz w:val="24"/>
                <w:szCs w:val="24"/>
                <w:lang w:eastAsia="bg-BG"/>
              </w:rPr>
            </w:pPr>
            <w:r>
              <w:t>-</w:t>
            </w:r>
          </w:p>
        </w:tc>
        <w:tc>
          <w:tcPr>
            <w:tcW w:w="1455" w:type="dxa"/>
          </w:tcPr>
          <w:p w14:paraId="419F00A5" w14:textId="117A6FDA" w:rsidR="00285FB8" w:rsidRDefault="00285FB8" w:rsidP="00285FB8">
            <w:pPr>
              <w:spacing w:line="240" w:lineRule="auto"/>
              <w:rPr>
                <w:rFonts w:eastAsia="Times New Roman" w:cs="Arial"/>
                <w:sz w:val="24"/>
                <w:szCs w:val="24"/>
                <w:lang w:eastAsia="bg-BG"/>
              </w:rPr>
            </w:pPr>
            <w:r>
              <w:t>Нечести</w:t>
            </w:r>
          </w:p>
        </w:tc>
        <w:tc>
          <w:tcPr>
            <w:tcW w:w="1350" w:type="dxa"/>
          </w:tcPr>
          <w:p w14:paraId="0BE88386" w14:textId="2121BA84" w:rsidR="00285FB8" w:rsidRDefault="00285FB8" w:rsidP="00285FB8">
            <w:pPr>
              <w:spacing w:line="240" w:lineRule="auto"/>
              <w:rPr>
                <w:rFonts w:eastAsia="Times New Roman" w:cs="Arial"/>
                <w:sz w:val="24"/>
                <w:szCs w:val="24"/>
                <w:lang w:eastAsia="bg-BG"/>
              </w:rPr>
            </w:pPr>
            <w:r>
              <w:t>-</w:t>
            </w:r>
          </w:p>
        </w:tc>
        <w:tc>
          <w:tcPr>
            <w:tcW w:w="1348" w:type="dxa"/>
          </w:tcPr>
          <w:p w14:paraId="720A6D64" w14:textId="25FD15E6" w:rsidR="00285FB8" w:rsidRDefault="00285FB8" w:rsidP="00285FB8">
            <w:pPr>
              <w:spacing w:line="240" w:lineRule="auto"/>
              <w:rPr>
                <w:rFonts w:eastAsia="Times New Roman" w:cs="Arial"/>
                <w:sz w:val="24"/>
                <w:szCs w:val="24"/>
                <w:lang w:eastAsia="bg-BG"/>
              </w:rPr>
            </w:pPr>
            <w:r>
              <w:t>-</w:t>
            </w:r>
          </w:p>
        </w:tc>
      </w:tr>
      <w:tr w:rsidR="00285FB8" w14:paraId="6C013A5E" w14:textId="77777777" w:rsidTr="00B4700E">
        <w:tc>
          <w:tcPr>
            <w:tcW w:w="1703" w:type="dxa"/>
            <w:vMerge w:val="restart"/>
          </w:tcPr>
          <w:p w14:paraId="793DD804" w14:textId="29459CD9" w:rsidR="00285FB8" w:rsidRDefault="00285FB8" w:rsidP="00285FB8">
            <w:r>
              <w:t>Общи нарушения и ефекти</w:t>
            </w:r>
            <w:r>
              <w:rPr>
                <w:lang w:val="en-US"/>
              </w:rPr>
              <w:t xml:space="preserve"> </w:t>
            </w:r>
            <w:r>
              <w:t>на</w:t>
            </w:r>
          </w:p>
          <w:p w14:paraId="54950BE3" w14:textId="77E6CF4C" w:rsidR="00285FB8" w:rsidRDefault="00285FB8" w:rsidP="00285FB8">
            <w:r>
              <w:t>Мястото</w:t>
            </w:r>
            <w:r>
              <w:rPr>
                <w:lang w:val="en-US"/>
              </w:rPr>
              <w:t xml:space="preserve"> </w:t>
            </w:r>
            <w:r>
              <w:t>на</w:t>
            </w:r>
          </w:p>
          <w:p w14:paraId="27546282" w14:textId="74F5D5CF" w:rsidR="00285FB8" w:rsidRDefault="00285FB8" w:rsidP="00285FB8">
            <w:pPr>
              <w:spacing w:line="240" w:lineRule="auto"/>
              <w:rPr>
                <w:rFonts w:eastAsia="Times New Roman" w:cs="Arial"/>
                <w:sz w:val="24"/>
                <w:szCs w:val="24"/>
                <w:lang w:eastAsia="bg-BG"/>
              </w:rPr>
            </w:pPr>
            <w:r>
              <w:t>приложение</w:t>
            </w:r>
          </w:p>
        </w:tc>
        <w:tc>
          <w:tcPr>
            <w:tcW w:w="2356" w:type="dxa"/>
            <w:vAlign w:val="bottom"/>
          </w:tcPr>
          <w:p w14:paraId="6B53DDE8" w14:textId="161857F1" w:rsidR="00285FB8" w:rsidRDefault="00285FB8" w:rsidP="00285FB8">
            <w:pPr>
              <w:spacing w:line="240" w:lineRule="auto"/>
              <w:rPr>
                <w:rFonts w:eastAsia="Times New Roman" w:cs="Arial"/>
                <w:sz w:val="24"/>
                <w:szCs w:val="24"/>
                <w:lang w:eastAsia="bg-BG"/>
              </w:rPr>
            </w:pPr>
            <w:r>
              <w:t>Абазия, нарушения в походката</w:t>
            </w:r>
          </w:p>
        </w:tc>
        <w:tc>
          <w:tcPr>
            <w:tcW w:w="1364" w:type="dxa"/>
          </w:tcPr>
          <w:p w14:paraId="0B74EE77" w14:textId="3EF28833" w:rsidR="00285FB8" w:rsidRDefault="00285FB8" w:rsidP="00285FB8">
            <w:pPr>
              <w:spacing w:line="240" w:lineRule="auto"/>
              <w:rPr>
                <w:rFonts w:eastAsia="Times New Roman" w:cs="Arial"/>
                <w:sz w:val="24"/>
                <w:szCs w:val="24"/>
                <w:lang w:eastAsia="bg-BG"/>
              </w:rPr>
            </w:pPr>
            <w:r>
              <w:t>Нечести</w:t>
            </w:r>
          </w:p>
        </w:tc>
        <w:tc>
          <w:tcPr>
            <w:tcW w:w="1455" w:type="dxa"/>
          </w:tcPr>
          <w:p w14:paraId="1FED1556" w14:textId="77777777" w:rsidR="00285FB8" w:rsidRDefault="00285FB8" w:rsidP="00285FB8">
            <w:pPr>
              <w:spacing w:line="240" w:lineRule="auto"/>
              <w:rPr>
                <w:rFonts w:eastAsia="Times New Roman" w:cs="Arial"/>
                <w:sz w:val="24"/>
                <w:szCs w:val="24"/>
                <w:lang w:eastAsia="bg-BG"/>
              </w:rPr>
            </w:pPr>
          </w:p>
        </w:tc>
        <w:tc>
          <w:tcPr>
            <w:tcW w:w="1350" w:type="dxa"/>
          </w:tcPr>
          <w:p w14:paraId="6558505E" w14:textId="795FE996" w:rsidR="00285FB8" w:rsidRDefault="00285FB8" w:rsidP="00285FB8">
            <w:pPr>
              <w:spacing w:line="240" w:lineRule="auto"/>
              <w:rPr>
                <w:rFonts w:eastAsia="Times New Roman" w:cs="Arial"/>
                <w:sz w:val="24"/>
                <w:szCs w:val="24"/>
                <w:lang w:eastAsia="bg-BG"/>
              </w:rPr>
            </w:pPr>
            <w:r>
              <w:t>-</w:t>
            </w:r>
          </w:p>
        </w:tc>
        <w:tc>
          <w:tcPr>
            <w:tcW w:w="1348" w:type="dxa"/>
          </w:tcPr>
          <w:p w14:paraId="081014F9" w14:textId="6F911042" w:rsidR="00285FB8" w:rsidRDefault="00285FB8" w:rsidP="00285FB8">
            <w:pPr>
              <w:spacing w:line="240" w:lineRule="auto"/>
              <w:rPr>
                <w:rFonts w:eastAsia="Times New Roman" w:cs="Arial"/>
                <w:sz w:val="24"/>
                <w:szCs w:val="24"/>
                <w:lang w:eastAsia="bg-BG"/>
              </w:rPr>
            </w:pPr>
            <w:r>
              <w:t>-</w:t>
            </w:r>
          </w:p>
        </w:tc>
      </w:tr>
      <w:tr w:rsidR="00285FB8" w14:paraId="10149495" w14:textId="77777777" w:rsidTr="00285FB8">
        <w:tc>
          <w:tcPr>
            <w:tcW w:w="1703" w:type="dxa"/>
            <w:vMerge/>
          </w:tcPr>
          <w:p w14:paraId="062924E8" w14:textId="77777777" w:rsidR="00285FB8" w:rsidRDefault="00285FB8" w:rsidP="00285FB8">
            <w:pPr>
              <w:spacing w:line="240" w:lineRule="auto"/>
              <w:rPr>
                <w:rFonts w:eastAsia="Times New Roman" w:cs="Arial"/>
                <w:sz w:val="24"/>
                <w:szCs w:val="24"/>
                <w:lang w:eastAsia="bg-BG"/>
              </w:rPr>
            </w:pPr>
          </w:p>
        </w:tc>
        <w:tc>
          <w:tcPr>
            <w:tcW w:w="2356" w:type="dxa"/>
          </w:tcPr>
          <w:p w14:paraId="73799C63" w14:textId="2B299C0E" w:rsidR="00285FB8" w:rsidRDefault="00285FB8" w:rsidP="00285FB8">
            <w:pPr>
              <w:spacing w:line="240" w:lineRule="auto"/>
              <w:rPr>
                <w:rFonts w:eastAsia="Times New Roman" w:cs="Arial"/>
                <w:sz w:val="24"/>
                <w:szCs w:val="24"/>
                <w:lang w:eastAsia="bg-BG"/>
              </w:rPr>
            </w:pPr>
            <w:r>
              <w:t>Астения</w:t>
            </w:r>
          </w:p>
        </w:tc>
        <w:tc>
          <w:tcPr>
            <w:tcW w:w="1364" w:type="dxa"/>
          </w:tcPr>
          <w:p w14:paraId="1B718671" w14:textId="76548419" w:rsidR="00285FB8" w:rsidRDefault="00285FB8" w:rsidP="00285FB8">
            <w:pPr>
              <w:spacing w:line="240" w:lineRule="auto"/>
              <w:rPr>
                <w:rFonts w:eastAsia="Times New Roman" w:cs="Arial"/>
                <w:sz w:val="24"/>
                <w:szCs w:val="24"/>
                <w:lang w:eastAsia="bg-BG"/>
              </w:rPr>
            </w:pPr>
            <w:r>
              <w:t>Нечести</w:t>
            </w:r>
          </w:p>
        </w:tc>
        <w:tc>
          <w:tcPr>
            <w:tcW w:w="1455" w:type="dxa"/>
          </w:tcPr>
          <w:p w14:paraId="6D3F55EB" w14:textId="235CAA12" w:rsidR="00285FB8" w:rsidRDefault="00285FB8" w:rsidP="00285FB8">
            <w:pPr>
              <w:spacing w:line="240" w:lineRule="auto"/>
              <w:rPr>
                <w:rFonts w:eastAsia="Times New Roman" w:cs="Arial"/>
                <w:sz w:val="24"/>
                <w:szCs w:val="24"/>
                <w:lang w:eastAsia="bg-BG"/>
              </w:rPr>
            </w:pPr>
            <w:r>
              <w:t>Нечести</w:t>
            </w:r>
          </w:p>
        </w:tc>
        <w:tc>
          <w:tcPr>
            <w:tcW w:w="1350" w:type="dxa"/>
          </w:tcPr>
          <w:p w14:paraId="31D01368" w14:textId="34F53919" w:rsidR="00285FB8" w:rsidRDefault="00285FB8" w:rsidP="00285FB8">
            <w:pPr>
              <w:spacing w:line="240" w:lineRule="auto"/>
              <w:rPr>
                <w:rFonts w:eastAsia="Times New Roman" w:cs="Arial"/>
                <w:sz w:val="24"/>
                <w:szCs w:val="24"/>
                <w:lang w:eastAsia="bg-BG"/>
              </w:rPr>
            </w:pPr>
            <w:r>
              <w:t>-</w:t>
            </w:r>
          </w:p>
        </w:tc>
        <w:tc>
          <w:tcPr>
            <w:tcW w:w="1348" w:type="dxa"/>
          </w:tcPr>
          <w:p w14:paraId="3E9C55A4" w14:textId="77777777" w:rsidR="00285FB8" w:rsidRDefault="00285FB8" w:rsidP="00285FB8">
            <w:r>
              <w:t>С неизвестна</w:t>
            </w:r>
          </w:p>
          <w:p w14:paraId="16853A26" w14:textId="0E8E3B17" w:rsidR="00285FB8" w:rsidRDefault="00285FB8" w:rsidP="00285FB8">
            <w:pPr>
              <w:spacing w:line="240" w:lineRule="auto"/>
              <w:rPr>
                <w:rFonts w:eastAsia="Times New Roman" w:cs="Arial"/>
                <w:sz w:val="24"/>
                <w:szCs w:val="24"/>
                <w:lang w:eastAsia="bg-BG"/>
              </w:rPr>
            </w:pPr>
            <w:r>
              <w:t>честота</w:t>
            </w:r>
          </w:p>
        </w:tc>
      </w:tr>
      <w:tr w:rsidR="00285FB8" w14:paraId="45FA3A45" w14:textId="77777777" w:rsidTr="00B4700E">
        <w:tc>
          <w:tcPr>
            <w:tcW w:w="1703" w:type="dxa"/>
            <w:vMerge/>
          </w:tcPr>
          <w:p w14:paraId="0094C444"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663A17A7" w14:textId="017D91EA" w:rsidR="00285FB8" w:rsidRDefault="00285FB8" w:rsidP="00285FB8">
            <w:pPr>
              <w:spacing w:line="240" w:lineRule="auto"/>
              <w:rPr>
                <w:rFonts w:eastAsia="Times New Roman" w:cs="Arial"/>
                <w:sz w:val="24"/>
                <w:szCs w:val="24"/>
                <w:lang w:eastAsia="bg-BG"/>
              </w:rPr>
            </w:pPr>
            <w:r>
              <w:t>Дискомфорт, неразположение</w:t>
            </w:r>
          </w:p>
        </w:tc>
        <w:tc>
          <w:tcPr>
            <w:tcW w:w="1364" w:type="dxa"/>
          </w:tcPr>
          <w:p w14:paraId="5DAA4F4A" w14:textId="49536618" w:rsidR="00285FB8" w:rsidRDefault="00285FB8" w:rsidP="00285FB8">
            <w:pPr>
              <w:spacing w:line="240" w:lineRule="auto"/>
              <w:rPr>
                <w:rFonts w:eastAsia="Times New Roman" w:cs="Arial"/>
                <w:sz w:val="24"/>
                <w:szCs w:val="24"/>
                <w:lang w:eastAsia="bg-BG"/>
              </w:rPr>
            </w:pPr>
            <w:r>
              <w:t>Нечести</w:t>
            </w:r>
          </w:p>
        </w:tc>
        <w:tc>
          <w:tcPr>
            <w:tcW w:w="1455" w:type="dxa"/>
          </w:tcPr>
          <w:p w14:paraId="69B0A538" w14:textId="1F808761" w:rsidR="00285FB8" w:rsidRDefault="00285FB8" w:rsidP="00285FB8">
            <w:pPr>
              <w:spacing w:line="240" w:lineRule="auto"/>
              <w:rPr>
                <w:rFonts w:eastAsia="Times New Roman" w:cs="Arial"/>
                <w:sz w:val="24"/>
                <w:szCs w:val="24"/>
                <w:lang w:eastAsia="bg-BG"/>
              </w:rPr>
            </w:pPr>
            <w:r>
              <w:t>Нечести</w:t>
            </w:r>
          </w:p>
        </w:tc>
        <w:tc>
          <w:tcPr>
            <w:tcW w:w="1350" w:type="dxa"/>
          </w:tcPr>
          <w:p w14:paraId="38BF3F4B" w14:textId="20D65F52" w:rsidR="00285FB8" w:rsidRDefault="00285FB8" w:rsidP="00285FB8">
            <w:pPr>
              <w:spacing w:line="240" w:lineRule="auto"/>
              <w:rPr>
                <w:rFonts w:eastAsia="Times New Roman" w:cs="Arial"/>
                <w:sz w:val="24"/>
                <w:szCs w:val="24"/>
                <w:lang w:eastAsia="bg-BG"/>
              </w:rPr>
            </w:pPr>
            <w:r>
              <w:t>-</w:t>
            </w:r>
          </w:p>
        </w:tc>
        <w:tc>
          <w:tcPr>
            <w:tcW w:w="1348" w:type="dxa"/>
            <w:vAlign w:val="bottom"/>
          </w:tcPr>
          <w:p w14:paraId="1BEBF3F2" w14:textId="5B13806A" w:rsidR="00285FB8" w:rsidRDefault="00285FB8" w:rsidP="00285FB8">
            <w:pPr>
              <w:spacing w:line="240" w:lineRule="auto"/>
              <w:rPr>
                <w:rFonts w:eastAsia="Times New Roman" w:cs="Arial"/>
                <w:sz w:val="24"/>
                <w:szCs w:val="24"/>
                <w:lang w:eastAsia="bg-BG"/>
              </w:rPr>
            </w:pPr>
            <w:r>
              <w:t>-</w:t>
            </w:r>
          </w:p>
        </w:tc>
      </w:tr>
      <w:tr w:rsidR="00285FB8" w14:paraId="665A00D6" w14:textId="77777777" w:rsidTr="00B4700E">
        <w:tc>
          <w:tcPr>
            <w:tcW w:w="1703" w:type="dxa"/>
            <w:vMerge/>
          </w:tcPr>
          <w:p w14:paraId="2B9A3B1D"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56DA9D67" w14:textId="1632421F" w:rsidR="00285FB8" w:rsidRDefault="00285FB8" w:rsidP="00285FB8">
            <w:pPr>
              <w:spacing w:line="240" w:lineRule="auto"/>
              <w:rPr>
                <w:rFonts w:eastAsia="Times New Roman" w:cs="Arial"/>
                <w:sz w:val="24"/>
                <w:szCs w:val="24"/>
                <w:lang w:eastAsia="bg-BG"/>
              </w:rPr>
            </w:pPr>
            <w:r>
              <w:t>Умора</w:t>
            </w:r>
          </w:p>
        </w:tc>
        <w:tc>
          <w:tcPr>
            <w:tcW w:w="1364" w:type="dxa"/>
            <w:vAlign w:val="bottom"/>
          </w:tcPr>
          <w:p w14:paraId="1BD55867" w14:textId="211F4A0C" w:rsidR="00285FB8" w:rsidRDefault="00285FB8" w:rsidP="00285FB8">
            <w:pPr>
              <w:spacing w:line="240" w:lineRule="auto"/>
              <w:rPr>
                <w:rFonts w:eastAsia="Times New Roman" w:cs="Arial"/>
                <w:sz w:val="24"/>
                <w:szCs w:val="24"/>
                <w:lang w:eastAsia="bg-BG"/>
              </w:rPr>
            </w:pPr>
            <w:r>
              <w:t>Чести</w:t>
            </w:r>
          </w:p>
        </w:tc>
        <w:tc>
          <w:tcPr>
            <w:tcW w:w="1455" w:type="dxa"/>
            <w:vAlign w:val="bottom"/>
          </w:tcPr>
          <w:p w14:paraId="62AD350B" w14:textId="48687D55" w:rsidR="00285FB8" w:rsidRDefault="00285FB8" w:rsidP="00285FB8">
            <w:pPr>
              <w:spacing w:line="240" w:lineRule="auto"/>
              <w:rPr>
                <w:rFonts w:eastAsia="Times New Roman" w:cs="Arial"/>
                <w:sz w:val="24"/>
                <w:szCs w:val="24"/>
                <w:lang w:eastAsia="bg-BG"/>
              </w:rPr>
            </w:pPr>
            <w:r>
              <w:t>Чести</w:t>
            </w:r>
          </w:p>
        </w:tc>
        <w:tc>
          <w:tcPr>
            <w:tcW w:w="1350" w:type="dxa"/>
          </w:tcPr>
          <w:p w14:paraId="29D8C7BB" w14:textId="6B9D10F3" w:rsidR="00285FB8" w:rsidRDefault="00285FB8" w:rsidP="00285FB8">
            <w:pPr>
              <w:spacing w:line="240" w:lineRule="auto"/>
              <w:rPr>
                <w:rFonts w:eastAsia="Times New Roman" w:cs="Arial"/>
                <w:sz w:val="24"/>
                <w:szCs w:val="24"/>
                <w:lang w:eastAsia="bg-BG"/>
              </w:rPr>
            </w:pPr>
            <w:r>
              <w:t>Нечести</w:t>
            </w:r>
          </w:p>
        </w:tc>
        <w:tc>
          <w:tcPr>
            <w:tcW w:w="1348" w:type="dxa"/>
          </w:tcPr>
          <w:p w14:paraId="7C731783" w14:textId="03A029C6" w:rsidR="00285FB8" w:rsidRDefault="00285FB8" w:rsidP="00285FB8">
            <w:pPr>
              <w:spacing w:line="240" w:lineRule="auto"/>
              <w:rPr>
                <w:rFonts w:eastAsia="Times New Roman" w:cs="Arial"/>
                <w:sz w:val="24"/>
                <w:szCs w:val="24"/>
                <w:lang w:eastAsia="bg-BG"/>
              </w:rPr>
            </w:pPr>
            <w:r>
              <w:t>-</w:t>
            </w:r>
          </w:p>
        </w:tc>
      </w:tr>
      <w:tr w:rsidR="00285FB8" w14:paraId="40841943" w14:textId="77777777" w:rsidTr="00B4700E">
        <w:tc>
          <w:tcPr>
            <w:tcW w:w="1703" w:type="dxa"/>
            <w:vMerge/>
          </w:tcPr>
          <w:p w14:paraId="25DF0283" w14:textId="77777777" w:rsidR="00285FB8" w:rsidRDefault="00285FB8" w:rsidP="00285FB8">
            <w:pPr>
              <w:spacing w:line="240" w:lineRule="auto"/>
              <w:rPr>
                <w:rFonts w:eastAsia="Times New Roman" w:cs="Arial"/>
                <w:sz w:val="24"/>
                <w:szCs w:val="24"/>
                <w:lang w:eastAsia="bg-BG"/>
              </w:rPr>
            </w:pPr>
          </w:p>
        </w:tc>
        <w:tc>
          <w:tcPr>
            <w:tcW w:w="2356" w:type="dxa"/>
          </w:tcPr>
          <w:p w14:paraId="77701D39" w14:textId="0343A0B2" w:rsidR="00285FB8" w:rsidRPr="00285FB8" w:rsidRDefault="00285FB8" w:rsidP="00285FB8">
            <w:pPr>
              <w:rPr>
                <w:rFonts w:ascii="Times New Roman" w:eastAsia="Times New Roman" w:hAnsi="Times New Roman" w:cs="Times New Roman"/>
                <w:sz w:val="24"/>
                <w:szCs w:val="24"/>
                <w:lang w:eastAsia="bg-BG"/>
              </w:rPr>
            </w:pPr>
            <w:r>
              <w:t>Болка в гърдите,</w:t>
            </w:r>
            <w:r>
              <w:rPr>
                <w:lang w:val="en-US"/>
              </w:rPr>
              <w:t xml:space="preserve"> </w:t>
            </w:r>
            <w:r w:rsidRPr="00285FB8">
              <w:rPr>
                <w:rFonts w:eastAsia="Times New Roman" w:cs="Arial"/>
                <w:color w:val="000000"/>
                <w:lang w:eastAsia="bg-BG"/>
              </w:rPr>
              <w:t>която не е свързана със сърцето</w:t>
            </w:r>
          </w:p>
        </w:tc>
        <w:tc>
          <w:tcPr>
            <w:tcW w:w="1364" w:type="dxa"/>
          </w:tcPr>
          <w:p w14:paraId="231E1868" w14:textId="733E08D4" w:rsidR="00285FB8" w:rsidRDefault="00285FB8" w:rsidP="00285FB8">
            <w:pPr>
              <w:spacing w:line="240" w:lineRule="auto"/>
              <w:rPr>
                <w:rFonts w:eastAsia="Times New Roman" w:cs="Arial"/>
                <w:sz w:val="24"/>
                <w:szCs w:val="24"/>
                <w:lang w:eastAsia="bg-BG"/>
              </w:rPr>
            </w:pPr>
            <w:r>
              <w:t>Нечести</w:t>
            </w:r>
          </w:p>
        </w:tc>
        <w:tc>
          <w:tcPr>
            <w:tcW w:w="1455" w:type="dxa"/>
          </w:tcPr>
          <w:p w14:paraId="549B1BA1" w14:textId="2DE59AC9" w:rsidR="00285FB8" w:rsidRDefault="00285FB8" w:rsidP="00285FB8">
            <w:pPr>
              <w:spacing w:line="240" w:lineRule="auto"/>
              <w:rPr>
                <w:rFonts w:eastAsia="Times New Roman" w:cs="Arial"/>
                <w:sz w:val="24"/>
                <w:szCs w:val="24"/>
                <w:lang w:eastAsia="bg-BG"/>
              </w:rPr>
            </w:pPr>
            <w:r>
              <w:t>Нечести</w:t>
            </w:r>
          </w:p>
        </w:tc>
        <w:tc>
          <w:tcPr>
            <w:tcW w:w="1350" w:type="dxa"/>
          </w:tcPr>
          <w:p w14:paraId="5D7FE520" w14:textId="5C6FEEE7" w:rsidR="00285FB8" w:rsidRDefault="00285FB8" w:rsidP="00285FB8">
            <w:pPr>
              <w:spacing w:line="240" w:lineRule="auto"/>
              <w:rPr>
                <w:rFonts w:eastAsia="Times New Roman" w:cs="Arial"/>
                <w:sz w:val="24"/>
                <w:szCs w:val="24"/>
                <w:lang w:eastAsia="bg-BG"/>
              </w:rPr>
            </w:pPr>
            <w:r>
              <w:t>-</w:t>
            </w:r>
          </w:p>
        </w:tc>
        <w:tc>
          <w:tcPr>
            <w:tcW w:w="1348" w:type="dxa"/>
            <w:vAlign w:val="bottom"/>
          </w:tcPr>
          <w:p w14:paraId="0E85DD36" w14:textId="4D2D049C" w:rsidR="00285FB8" w:rsidRDefault="00285FB8" w:rsidP="00285FB8">
            <w:pPr>
              <w:spacing w:line="240" w:lineRule="auto"/>
              <w:rPr>
                <w:rFonts w:eastAsia="Times New Roman" w:cs="Arial"/>
                <w:sz w:val="24"/>
                <w:szCs w:val="24"/>
                <w:lang w:eastAsia="bg-BG"/>
              </w:rPr>
            </w:pPr>
            <w:r>
              <w:t>-</w:t>
            </w:r>
          </w:p>
        </w:tc>
      </w:tr>
      <w:tr w:rsidR="00285FB8" w14:paraId="0632D713" w14:textId="77777777" w:rsidTr="00285FB8">
        <w:tc>
          <w:tcPr>
            <w:tcW w:w="1703" w:type="dxa"/>
            <w:vMerge/>
          </w:tcPr>
          <w:p w14:paraId="26CA0578" w14:textId="77777777" w:rsidR="00285FB8" w:rsidRDefault="00285FB8" w:rsidP="00285FB8">
            <w:pPr>
              <w:spacing w:line="240" w:lineRule="auto"/>
              <w:rPr>
                <w:rFonts w:eastAsia="Times New Roman" w:cs="Arial"/>
                <w:sz w:val="24"/>
                <w:szCs w:val="24"/>
                <w:lang w:eastAsia="bg-BG"/>
              </w:rPr>
            </w:pPr>
          </w:p>
        </w:tc>
        <w:tc>
          <w:tcPr>
            <w:tcW w:w="2356" w:type="dxa"/>
          </w:tcPr>
          <w:p w14:paraId="2F40962D" w14:textId="0F94C1F1" w:rsidR="00285FB8" w:rsidRDefault="00285FB8" w:rsidP="00285FB8">
            <w:pPr>
              <w:spacing w:line="240" w:lineRule="auto"/>
              <w:rPr>
                <w:rFonts w:eastAsia="Times New Roman" w:cs="Arial"/>
                <w:sz w:val="24"/>
                <w:szCs w:val="24"/>
                <w:lang w:eastAsia="bg-BG"/>
              </w:rPr>
            </w:pPr>
            <w:r>
              <w:t>Оток</w:t>
            </w:r>
          </w:p>
        </w:tc>
        <w:tc>
          <w:tcPr>
            <w:tcW w:w="1364" w:type="dxa"/>
          </w:tcPr>
          <w:p w14:paraId="5BCDFE0F" w14:textId="58E0EE2D" w:rsidR="00285FB8" w:rsidRDefault="00285FB8" w:rsidP="00285FB8">
            <w:pPr>
              <w:spacing w:line="240" w:lineRule="auto"/>
              <w:rPr>
                <w:rFonts w:eastAsia="Times New Roman" w:cs="Arial"/>
                <w:sz w:val="24"/>
                <w:szCs w:val="24"/>
                <w:lang w:eastAsia="bg-BG"/>
              </w:rPr>
            </w:pPr>
            <w:r>
              <w:t>Чести</w:t>
            </w:r>
          </w:p>
        </w:tc>
        <w:tc>
          <w:tcPr>
            <w:tcW w:w="1455" w:type="dxa"/>
          </w:tcPr>
          <w:p w14:paraId="08986AC2" w14:textId="481E13F5" w:rsidR="00285FB8" w:rsidRDefault="00285FB8" w:rsidP="00285FB8">
            <w:pPr>
              <w:spacing w:line="240" w:lineRule="auto"/>
              <w:rPr>
                <w:rFonts w:eastAsia="Times New Roman" w:cs="Arial"/>
                <w:sz w:val="24"/>
                <w:szCs w:val="24"/>
                <w:lang w:eastAsia="bg-BG"/>
              </w:rPr>
            </w:pPr>
            <w:r>
              <w:t>Чести</w:t>
            </w:r>
          </w:p>
        </w:tc>
        <w:tc>
          <w:tcPr>
            <w:tcW w:w="1350" w:type="dxa"/>
          </w:tcPr>
          <w:p w14:paraId="5A4437C4" w14:textId="77777777" w:rsidR="00285FB8" w:rsidRDefault="00285FB8" w:rsidP="00285FB8">
            <w:pPr>
              <w:spacing w:line="240" w:lineRule="auto"/>
              <w:rPr>
                <w:rFonts w:eastAsia="Times New Roman" w:cs="Arial"/>
                <w:sz w:val="24"/>
                <w:szCs w:val="24"/>
                <w:lang w:eastAsia="bg-BG"/>
              </w:rPr>
            </w:pPr>
          </w:p>
        </w:tc>
        <w:tc>
          <w:tcPr>
            <w:tcW w:w="1348" w:type="dxa"/>
          </w:tcPr>
          <w:p w14:paraId="061C4940" w14:textId="44F06F27" w:rsidR="00285FB8" w:rsidRDefault="00285FB8" w:rsidP="00285FB8">
            <w:pPr>
              <w:spacing w:line="240" w:lineRule="auto"/>
              <w:rPr>
                <w:rFonts w:eastAsia="Times New Roman" w:cs="Arial"/>
                <w:sz w:val="24"/>
                <w:szCs w:val="24"/>
                <w:lang w:eastAsia="bg-BG"/>
              </w:rPr>
            </w:pPr>
            <w:r>
              <w:rPr>
                <w:rFonts w:cs="Arial"/>
                <w:sz w:val="8"/>
                <w:szCs w:val="8"/>
              </w:rPr>
              <w:t>—\</w:t>
            </w:r>
          </w:p>
        </w:tc>
      </w:tr>
      <w:tr w:rsidR="00285FB8" w14:paraId="6D35D020" w14:textId="77777777" w:rsidTr="00285FB8">
        <w:tc>
          <w:tcPr>
            <w:tcW w:w="1703" w:type="dxa"/>
            <w:vMerge/>
          </w:tcPr>
          <w:p w14:paraId="67719791" w14:textId="77777777" w:rsidR="00285FB8" w:rsidRDefault="00285FB8" w:rsidP="00285FB8">
            <w:pPr>
              <w:spacing w:line="240" w:lineRule="auto"/>
              <w:rPr>
                <w:rFonts w:eastAsia="Times New Roman" w:cs="Arial"/>
                <w:sz w:val="24"/>
                <w:szCs w:val="24"/>
                <w:lang w:eastAsia="bg-BG"/>
              </w:rPr>
            </w:pPr>
          </w:p>
        </w:tc>
        <w:tc>
          <w:tcPr>
            <w:tcW w:w="2356" w:type="dxa"/>
          </w:tcPr>
          <w:p w14:paraId="0BD08134" w14:textId="56E4FA24" w:rsidR="00285FB8" w:rsidRDefault="00285FB8" w:rsidP="00285FB8">
            <w:pPr>
              <w:spacing w:line="240" w:lineRule="auto"/>
              <w:rPr>
                <w:rFonts w:eastAsia="Times New Roman" w:cs="Arial"/>
                <w:sz w:val="24"/>
                <w:szCs w:val="24"/>
                <w:lang w:eastAsia="bg-BG"/>
              </w:rPr>
            </w:pPr>
            <w:r>
              <w:t>Болка</w:t>
            </w:r>
          </w:p>
        </w:tc>
        <w:tc>
          <w:tcPr>
            <w:tcW w:w="1364" w:type="dxa"/>
          </w:tcPr>
          <w:p w14:paraId="58F94E1A" w14:textId="295D2227" w:rsidR="00285FB8" w:rsidRDefault="00285FB8" w:rsidP="00285FB8">
            <w:pPr>
              <w:spacing w:line="240" w:lineRule="auto"/>
              <w:rPr>
                <w:rFonts w:eastAsia="Times New Roman" w:cs="Arial"/>
                <w:sz w:val="24"/>
                <w:szCs w:val="24"/>
                <w:lang w:eastAsia="bg-BG"/>
              </w:rPr>
            </w:pPr>
            <w:r>
              <w:t>-</w:t>
            </w:r>
          </w:p>
        </w:tc>
        <w:tc>
          <w:tcPr>
            <w:tcW w:w="1455" w:type="dxa"/>
          </w:tcPr>
          <w:p w14:paraId="6F362DB5" w14:textId="74F3FB4C" w:rsidR="00285FB8" w:rsidRDefault="00285FB8" w:rsidP="00285FB8">
            <w:pPr>
              <w:spacing w:line="240" w:lineRule="auto"/>
              <w:rPr>
                <w:rFonts w:eastAsia="Times New Roman" w:cs="Arial"/>
                <w:sz w:val="24"/>
                <w:szCs w:val="24"/>
                <w:lang w:eastAsia="bg-BG"/>
              </w:rPr>
            </w:pPr>
            <w:r>
              <w:t>Нечести</w:t>
            </w:r>
          </w:p>
        </w:tc>
        <w:tc>
          <w:tcPr>
            <w:tcW w:w="1350" w:type="dxa"/>
          </w:tcPr>
          <w:p w14:paraId="0C847909" w14:textId="77777777" w:rsidR="00285FB8" w:rsidRDefault="00285FB8" w:rsidP="00285FB8">
            <w:pPr>
              <w:spacing w:line="240" w:lineRule="auto"/>
              <w:rPr>
                <w:rFonts w:eastAsia="Times New Roman" w:cs="Arial"/>
                <w:sz w:val="24"/>
                <w:szCs w:val="24"/>
                <w:lang w:eastAsia="bg-BG"/>
              </w:rPr>
            </w:pPr>
          </w:p>
        </w:tc>
        <w:tc>
          <w:tcPr>
            <w:tcW w:w="1348" w:type="dxa"/>
          </w:tcPr>
          <w:p w14:paraId="5124008C" w14:textId="77777777" w:rsidR="00285FB8" w:rsidRDefault="00285FB8" w:rsidP="00285FB8">
            <w:pPr>
              <w:spacing w:line="240" w:lineRule="auto"/>
              <w:rPr>
                <w:rFonts w:eastAsia="Times New Roman" w:cs="Arial"/>
                <w:sz w:val="24"/>
                <w:szCs w:val="24"/>
                <w:lang w:eastAsia="bg-BG"/>
              </w:rPr>
            </w:pPr>
          </w:p>
        </w:tc>
      </w:tr>
      <w:tr w:rsidR="00285FB8" w14:paraId="446E5594" w14:textId="77777777" w:rsidTr="00285FB8">
        <w:tc>
          <w:tcPr>
            <w:tcW w:w="1703" w:type="dxa"/>
            <w:vMerge/>
          </w:tcPr>
          <w:p w14:paraId="447E5097" w14:textId="77777777" w:rsidR="00285FB8" w:rsidRDefault="00285FB8" w:rsidP="00285FB8">
            <w:pPr>
              <w:spacing w:line="240" w:lineRule="auto"/>
              <w:rPr>
                <w:rFonts w:eastAsia="Times New Roman" w:cs="Arial"/>
                <w:sz w:val="24"/>
                <w:szCs w:val="24"/>
                <w:lang w:eastAsia="bg-BG"/>
              </w:rPr>
            </w:pPr>
          </w:p>
        </w:tc>
        <w:tc>
          <w:tcPr>
            <w:tcW w:w="2356" w:type="dxa"/>
          </w:tcPr>
          <w:p w14:paraId="3CE67929" w14:textId="4EFC773D" w:rsidR="00285FB8" w:rsidRDefault="00285FB8" w:rsidP="00285FB8">
            <w:pPr>
              <w:spacing w:line="240" w:lineRule="auto"/>
              <w:rPr>
                <w:rFonts w:eastAsia="Times New Roman" w:cs="Arial"/>
                <w:sz w:val="24"/>
                <w:szCs w:val="24"/>
                <w:lang w:eastAsia="bg-BG"/>
              </w:rPr>
            </w:pPr>
            <w:r>
              <w:t>Пирексия</w:t>
            </w:r>
          </w:p>
        </w:tc>
        <w:tc>
          <w:tcPr>
            <w:tcW w:w="1364" w:type="dxa"/>
          </w:tcPr>
          <w:p w14:paraId="70C2FE98" w14:textId="467736E7" w:rsidR="00285FB8" w:rsidRDefault="00285FB8" w:rsidP="00285FB8">
            <w:pPr>
              <w:spacing w:line="240" w:lineRule="auto"/>
              <w:rPr>
                <w:rFonts w:eastAsia="Times New Roman" w:cs="Arial"/>
                <w:sz w:val="24"/>
                <w:szCs w:val="24"/>
                <w:lang w:eastAsia="bg-BG"/>
              </w:rPr>
            </w:pPr>
            <w:r>
              <w:t>-</w:t>
            </w:r>
          </w:p>
        </w:tc>
        <w:tc>
          <w:tcPr>
            <w:tcW w:w="1455" w:type="dxa"/>
          </w:tcPr>
          <w:p w14:paraId="03AE1238" w14:textId="66820A4A" w:rsidR="00285FB8" w:rsidRDefault="00285FB8" w:rsidP="00285FB8">
            <w:pPr>
              <w:spacing w:line="240" w:lineRule="auto"/>
              <w:rPr>
                <w:rFonts w:eastAsia="Times New Roman" w:cs="Arial"/>
                <w:sz w:val="24"/>
                <w:szCs w:val="24"/>
                <w:lang w:eastAsia="bg-BG"/>
              </w:rPr>
            </w:pPr>
            <w:r>
              <w:t>-</w:t>
            </w:r>
          </w:p>
        </w:tc>
        <w:tc>
          <w:tcPr>
            <w:tcW w:w="1350" w:type="dxa"/>
          </w:tcPr>
          <w:p w14:paraId="47FDB1B4" w14:textId="25D1B8F0" w:rsidR="00285FB8" w:rsidRDefault="00285FB8" w:rsidP="00285FB8">
            <w:pPr>
              <w:spacing w:line="240" w:lineRule="auto"/>
              <w:rPr>
                <w:rFonts w:eastAsia="Times New Roman" w:cs="Arial"/>
                <w:sz w:val="24"/>
                <w:szCs w:val="24"/>
                <w:lang w:eastAsia="bg-BG"/>
              </w:rPr>
            </w:pPr>
            <w:r>
              <w:t>-</w:t>
            </w:r>
          </w:p>
        </w:tc>
        <w:tc>
          <w:tcPr>
            <w:tcW w:w="1348" w:type="dxa"/>
          </w:tcPr>
          <w:p w14:paraId="6A972B8B" w14:textId="79B092EB" w:rsidR="00285FB8" w:rsidRDefault="00285FB8" w:rsidP="00285FB8">
            <w:pPr>
              <w:spacing w:line="240" w:lineRule="auto"/>
              <w:rPr>
                <w:rFonts w:eastAsia="Times New Roman" w:cs="Arial"/>
                <w:sz w:val="24"/>
                <w:szCs w:val="24"/>
                <w:lang w:eastAsia="bg-BG"/>
              </w:rPr>
            </w:pPr>
            <w:r>
              <w:t>С неизвестна честота</w:t>
            </w:r>
          </w:p>
        </w:tc>
      </w:tr>
      <w:tr w:rsidR="00285FB8" w14:paraId="32965D01" w14:textId="77777777" w:rsidTr="00285FB8">
        <w:tc>
          <w:tcPr>
            <w:tcW w:w="1703" w:type="dxa"/>
            <w:vMerge w:val="restart"/>
          </w:tcPr>
          <w:p w14:paraId="57D5DFB0" w14:textId="238C650C" w:rsidR="00285FB8" w:rsidRDefault="00285FB8" w:rsidP="00285FB8">
            <w:pPr>
              <w:spacing w:line="240" w:lineRule="auto"/>
              <w:rPr>
                <w:rFonts w:eastAsia="Times New Roman" w:cs="Arial"/>
                <w:sz w:val="24"/>
                <w:szCs w:val="24"/>
                <w:lang w:eastAsia="bg-BG"/>
              </w:rPr>
            </w:pPr>
            <w:r>
              <w:t>Изследвания</w:t>
            </w:r>
          </w:p>
        </w:tc>
        <w:tc>
          <w:tcPr>
            <w:tcW w:w="2356" w:type="dxa"/>
          </w:tcPr>
          <w:p w14:paraId="42F3435F" w14:textId="5C0D3182" w:rsidR="00285FB8" w:rsidRDefault="00285FB8" w:rsidP="00285FB8">
            <w:pPr>
              <w:spacing w:line="240" w:lineRule="auto"/>
              <w:rPr>
                <w:rFonts w:eastAsia="Times New Roman" w:cs="Arial"/>
                <w:sz w:val="24"/>
                <w:szCs w:val="24"/>
                <w:lang w:eastAsia="bg-BG"/>
              </w:rPr>
            </w:pPr>
            <w:r>
              <w:t>Повишени липиди</w:t>
            </w:r>
          </w:p>
        </w:tc>
        <w:tc>
          <w:tcPr>
            <w:tcW w:w="1364" w:type="dxa"/>
          </w:tcPr>
          <w:p w14:paraId="096C6496" w14:textId="77777777" w:rsidR="00285FB8" w:rsidRDefault="00285FB8" w:rsidP="00285FB8">
            <w:pPr>
              <w:spacing w:line="240" w:lineRule="auto"/>
              <w:rPr>
                <w:rFonts w:eastAsia="Times New Roman" w:cs="Arial"/>
                <w:sz w:val="24"/>
                <w:szCs w:val="24"/>
                <w:lang w:eastAsia="bg-BG"/>
              </w:rPr>
            </w:pPr>
          </w:p>
        </w:tc>
        <w:tc>
          <w:tcPr>
            <w:tcW w:w="1455" w:type="dxa"/>
          </w:tcPr>
          <w:p w14:paraId="1E5B9680" w14:textId="01313241" w:rsidR="00285FB8" w:rsidRDefault="00285FB8" w:rsidP="00285FB8">
            <w:pPr>
              <w:spacing w:line="240" w:lineRule="auto"/>
              <w:rPr>
                <w:rFonts w:eastAsia="Times New Roman" w:cs="Arial"/>
                <w:sz w:val="24"/>
                <w:szCs w:val="24"/>
                <w:lang w:eastAsia="bg-BG"/>
              </w:rPr>
            </w:pPr>
            <w:r>
              <w:t>-</w:t>
            </w:r>
          </w:p>
        </w:tc>
        <w:tc>
          <w:tcPr>
            <w:tcW w:w="1350" w:type="dxa"/>
          </w:tcPr>
          <w:p w14:paraId="3AA97555" w14:textId="77777777" w:rsidR="00285FB8" w:rsidRDefault="00285FB8" w:rsidP="00285FB8">
            <w:pPr>
              <w:spacing w:line="240" w:lineRule="auto"/>
              <w:rPr>
                <w:rFonts w:eastAsia="Times New Roman" w:cs="Arial"/>
                <w:sz w:val="24"/>
                <w:szCs w:val="24"/>
                <w:lang w:eastAsia="bg-BG"/>
              </w:rPr>
            </w:pPr>
          </w:p>
        </w:tc>
        <w:tc>
          <w:tcPr>
            <w:tcW w:w="1348" w:type="dxa"/>
          </w:tcPr>
          <w:p w14:paraId="120706A3" w14:textId="57619BEA" w:rsidR="00285FB8" w:rsidRDefault="00285FB8" w:rsidP="00285FB8">
            <w:pPr>
              <w:spacing w:line="240" w:lineRule="auto"/>
              <w:rPr>
                <w:rFonts w:eastAsia="Times New Roman" w:cs="Arial"/>
                <w:sz w:val="24"/>
                <w:szCs w:val="24"/>
                <w:lang w:eastAsia="bg-BG"/>
              </w:rPr>
            </w:pPr>
            <w:r>
              <w:t>Много честа</w:t>
            </w:r>
          </w:p>
        </w:tc>
      </w:tr>
      <w:tr w:rsidR="00285FB8" w14:paraId="180B9572" w14:textId="77777777" w:rsidTr="00285FB8">
        <w:tc>
          <w:tcPr>
            <w:tcW w:w="1703" w:type="dxa"/>
            <w:vMerge/>
          </w:tcPr>
          <w:p w14:paraId="4D7AB545" w14:textId="77777777" w:rsidR="00285FB8" w:rsidRDefault="00285FB8" w:rsidP="00285FB8">
            <w:pPr>
              <w:spacing w:line="240" w:lineRule="auto"/>
              <w:rPr>
                <w:rFonts w:eastAsia="Times New Roman" w:cs="Arial"/>
                <w:sz w:val="24"/>
                <w:szCs w:val="24"/>
                <w:lang w:eastAsia="bg-BG"/>
              </w:rPr>
            </w:pPr>
          </w:p>
        </w:tc>
        <w:tc>
          <w:tcPr>
            <w:tcW w:w="2356" w:type="dxa"/>
          </w:tcPr>
          <w:p w14:paraId="56A7319B" w14:textId="77777777" w:rsidR="00285FB8" w:rsidRDefault="00285FB8" w:rsidP="00285FB8">
            <w:r>
              <w:t>Повишаване</w:t>
            </w:r>
            <w:r>
              <w:tab/>
              <w:t>на</w:t>
            </w:r>
          </w:p>
          <w:p w14:paraId="778903F6" w14:textId="6726E531" w:rsidR="00285FB8" w:rsidRDefault="00285FB8" w:rsidP="00285FB8">
            <w:pPr>
              <w:spacing w:line="240" w:lineRule="auto"/>
              <w:rPr>
                <w:rFonts w:eastAsia="Times New Roman" w:cs="Arial"/>
                <w:sz w:val="24"/>
                <w:szCs w:val="24"/>
                <w:lang w:eastAsia="bg-BG"/>
              </w:rPr>
            </w:pPr>
            <w:r>
              <w:t>уреята в кръвта</w:t>
            </w:r>
          </w:p>
        </w:tc>
        <w:tc>
          <w:tcPr>
            <w:tcW w:w="1364" w:type="dxa"/>
          </w:tcPr>
          <w:p w14:paraId="5E69E3C9" w14:textId="5A33797E" w:rsidR="00285FB8" w:rsidRDefault="00285FB8" w:rsidP="00285FB8">
            <w:pPr>
              <w:spacing w:line="240" w:lineRule="auto"/>
              <w:rPr>
                <w:rFonts w:eastAsia="Times New Roman" w:cs="Arial"/>
                <w:sz w:val="24"/>
                <w:szCs w:val="24"/>
                <w:lang w:eastAsia="bg-BG"/>
              </w:rPr>
            </w:pPr>
            <w:r>
              <w:t>Нечести</w:t>
            </w:r>
          </w:p>
        </w:tc>
        <w:tc>
          <w:tcPr>
            <w:tcW w:w="1455" w:type="dxa"/>
          </w:tcPr>
          <w:p w14:paraId="1F5473C2" w14:textId="03C8B7CF" w:rsidR="00285FB8" w:rsidRDefault="00285FB8" w:rsidP="00285FB8">
            <w:pPr>
              <w:spacing w:line="240" w:lineRule="auto"/>
              <w:rPr>
                <w:rFonts w:eastAsia="Times New Roman" w:cs="Arial"/>
                <w:sz w:val="24"/>
                <w:szCs w:val="24"/>
                <w:lang w:eastAsia="bg-BG"/>
              </w:rPr>
            </w:pPr>
            <w:r>
              <w:t>-</w:t>
            </w:r>
          </w:p>
        </w:tc>
        <w:tc>
          <w:tcPr>
            <w:tcW w:w="1350" w:type="dxa"/>
          </w:tcPr>
          <w:p w14:paraId="05E995DF" w14:textId="46403C4B" w:rsidR="00285FB8" w:rsidRDefault="00285FB8" w:rsidP="00285FB8">
            <w:pPr>
              <w:spacing w:line="240" w:lineRule="auto"/>
              <w:rPr>
                <w:rFonts w:eastAsia="Times New Roman" w:cs="Arial"/>
                <w:sz w:val="24"/>
                <w:szCs w:val="24"/>
                <w:lang w:eastAsia="bg-BG"/>
              </w:rPr>
            </w:pPr>
            <w:r>
              <w:t>-</w:t>
            </w:r>
          </w:p>
        </w:tc>
        <w:tc>
          <w:tcPr>
            <w:tcW w:w="1348" w:type="dxa"/>
          </w:tcPr>
          <w:p w14:paraId="6D274EEC" w14:textId="2955D6A6" w:rsidR="00285FB8" w:rsidRDefault="00285FB8" w:rsidP="00285FB8">
            <w:pPr>
              <w:spacing w:line="240" w:lineRule="auto"/>
              <w:rPr>
                <w:rFonts w:eastAsia="Times New Roman" w:cs="Arial"/>
                <w:sz w:val="24"/>
                <w:szCs w:val="24"/>
                <w:lang w:eastAsia="bg-BG"/>
              </w:rPr>
            </w:pPr>
            <w:r>
              <w:t>-</w:t>
            </w:r>
          </w:p>
        </w:tc>
      </w:tr>
      <w:tr w:rsidR="00285FB8" w14:paraId="04CD6499" w14:textId="77777777" w:rsidTr="00285FB8">
        <w:tc>
          <w:tcPr>
            <w:tcW w:w="1703" w:type="dxa"/>
            <w:vMerge/>
          </w:tcPr>
          <w:p w14:paraId="0F70E480" w14:textId="77777777" w:rsidR="00285FB8" w:rsidRDefault="00285FB8" w:rsidP="00285FB8">
            <w:pPr>
              <w:spacing w:line="240" w:lineRule="auto"/>
              <w:rPr>
                <w:rFonts w:eastAsia="Times New Roman" w:cs="Arial"/>
                <w:sz w:val="24"/>
                <w:szCs w:val="24"/>
                <w:lang w:eastAsia="bg-BG"/>
              </w:rPr>
            </w:pPr>
          </w:p>
        </w:tc>
        <w:tc>
          <w:tcPr>
            <w:tcW w:w="2356" w:type="dxa"/>
          </w:tcPr>
          <w:p w14:paraId="78FAAACF" w14:textId="5D186A21" w:rsidR="00285FB8" w:rsidRDefault="00285FB8" w:rsidP="00285FB8">
            <w:pPr>
              <w:spacing w:line="240" w:lineRule="auto"/>
              <w:rPr>
                <w:rFonts w:eastAsia="Times New Roman" w:cs="Arial"/>
                <w:sz w:val="24"/>
                <w:szCs w:val="24"/>
                <w:lang w:eastAsia="bg-BG"/>
              </w:rPr>
            </w:pPr>
            <w:r>
              <w:t>Повишаване на пикочната киселина в кръвта</w:t>
            </w:r>
          </w:p>
        </w:tc>
        <w:tc>
          <w:tcPr>
            <w:tcW w:w="1364" w:type="dxa"/>
          </w:tcPr>
          <w:p w14:paraId="4377BCC3" w14:textId="0CAC6D4D" w:rsidR="00285FB8" w:rsidRDefault="00285FB8" w:rsidP="00285FB8">
            <w:pPr>
              <w:spacing w:line="240" w:lineRule="auto"/>
              <w:rPr>
                <w:rFonts w:eastAsia="Times New Roman" w:cs="Arial"/>
                <w:sz w:val="24"/>
                <w:szCs w:val="24"/>
                <w:lang w:eastAsia="bg-BG"/>
              </w:rPr>
            </w:pPr>
            <w:r>
              <w:t>Нечести</w:t>
            </w:r>
          </w:p>
        </w:tc>
        <w:tc>
          <w:tcPr>
            <w:tcW w:w="1455" w:type="dxa"/>
          </w:tcPr>
          <w:p w14:paraId="63915E87" w14:textId="4DE9D95F" w:rsidR="00285FB8" w:rsidRDefault="00285FB8" w:rsidP="00285FB8">
            <w:pPr>
              <w:spacing w:line="240" w:lineRule="auto"/>
              <w:rPr>
                <w:rFonts w:eastAsia="Times New Roman" w:cs="Arial"/>
                <w:sz w:val="24"/>
                <w:szCs w:val="24"/>
                <w:lang w:eastAsia="bg-BG"/>
              </w:rPr>
            </w:pPr>
            <w:r>
              <w:t>-</w:t>
            </w:r>
          </w:p>
        </w:tc>
        <w:tc>
          <w:tcPr>
            <w:tcW w:w="1350" w:type="dxa"/>
          </w:tcPr>
          <w:p w14:paraId="5AE44B24" w14:textId="1F44E668" w:rsidR="00285FB8" w:rsidRDefault="00285FB8" w:rsidP="00285FB8">
            <w:pPr>
              <w:spacing w:line="240" w:lineRule="auto"/>
              <w:rPr>
                <w:rFonts w:eastAsia="Times New Roman" w:cs="Arial"/>
                <w:sz w:val="24"/>
                <w:szCs w:val="24"/>
                <w:lang w:eastAsia="bg-BG"/>
              </w:rPr>
            </w:pPr>
            <w:r>
              <w:t>*</w:t>
            </w:r>
          </w:p>
        </w:tc>
        <w:tc>
          <w:tcPr>
            <w:tcW w:w="1348" w:type="dxa"/>
          </w:tcPr>
          <w:p w14:paraId="032385B7" w14:textId="77777777" w:rsidR="00285FB8" w:rsidRDefault="00285FB8" w:rsidP="00285FB8">
            <w:pPr>
              <w:spacing w:line="240" w:lineRule="auto"/>
              <w:rPr>
                <w:rFonts w:eastAsia="Times New Roman" w:cs="Arial"/>
                <w:sz w:val="24"/>
                <w:szCs w:val="24"/>
                <w:lang w:eastAsia="bg-BG"/>
              </w:rPr>
            </w:pPr>
          </w:p>
        </w:tc>
      </w:tr>
      <w:tr w:rsidR="00285FB8" w14:paraId="0224BB6C" w14:textId="77777777" w:rsidTr="00285FB8">
        <w:tc>
          <w:tcPr>
            <w:tcW w:w="1703" w:type="dxa"/>
            <w:vMerge/>
          </w:tcPr>
          <w:p w14:paraId="5698EE04" w14:textId="77777777" w:rsidR="00285FB8" w:rsidRDefault="00285FB8" w:rsidP="00285FB8">
            <w:pPr>
              <w:spacing w:line="240" w:lineRule="auto"/>
              <w:rPr>
                <w:rFonts w:eastAsia="Times New Roman" w:cs="Arial"/>
                <w:sz w:val="24"/>
                <w:szCs w:val="24"/>
                <w:lang w:eastAsia="bg-BG"/>
              </w:rPr>
            </w:pPr>
          </w:p>
        </w:tc>
        <w:tc>
          <w:tcPr>
            <w:tcW w:w="2356" w:type="dxa"/>
          </w:tcPr>
          <w:p w14:paraId="43EFF545" w14:textId="3147F5E7" w:rsidR="00285FB8" w:rsidRDefault="00285FB8" w:rsidP="00285FB8">
            <w:pPr>
              <w:spacing w:line="240" w:lineRule="auto"/>
              <w:rPr>
                <w:rFonts w:eastAsia="Times New Roman" w:cs="Arial"/>
                <w:sz w:val="24"/>
                <w:szCs w:val="24"/>
                <w:lang w:eastAsia="bg-BG"/>
              </w:rPr>
            </w:pPr>
            <w:r>
              <w:t>Глюкозурия</w:t>
            </w:r>
          </w:p>
        </w:tc>
        <w:tc>
          <w:tcPr>
            <w:tcW w:w="1364" w:type="dxa"/>
          </w:tcPr>
          <w:p w14:paraId="67A14336" w14:textId="77777777" w:rsidR="00285FB8" w:rsidRDefault="00285FB8" w:rsidP="00285FB8">
            <w:pPr>
              <w:spacing w:line="240" w:lineRule="auto"/>
              <w:rPr>
                <w:rFonts w:eastAsia="Times New Roman" w:cs="Arial"/>
                <w:sz w:val="24"/>
                <w:szCs w:val="24"/>
                <w:lang w:eastAsia="bg-BG"/>
              </w:rPr>
            </w:pPr>
          </w:p>
        </w:tc>
        <w:tc>
          <w:tcPr>
            <w:tcW w:w="1455" w:type="dxa"/>
          </w:tcPr>
          <w:p w14:paraId="309C6515" w14:textId="77777777" w:rsidR="00285FB8" w:rsidRDefault="00285FB8" w:rsidP="00285FB8">
            <w:pPr>
              <w:spacing w:line="240" w:lineRule="auto"/>
              <w:rPr>
                <w:rFonts w:eastAsia="Times New Roman" w:cs="Arial"/>
                <w:sz w:val="24"/>
                <w:szCs w:val="24"/>
                <w:lang w:eastAsia="bg-BG"/>
              </w:rPr>
            </w:pPr>
          </w:p>
        </w:tc>
        <w:tc>
          <w:tcPr>
            <w:tcW w:w="1350" w:type="dxa"/>
          </w:tcPr>
          <w:p w14:paraId="7ADE90C5" w14:textId="77777777" w:rsidR="00285FB8" w:rsidRDefault="00285FB8" w:rsidP="00285FB8">
            <w:pPr>
              <w:spacing w:line="240" w:lineRule="auto"/>
              <w:rPr>
                <w:rFonts w:eastAsia="Times New Roman" w:cs="Arial"/>
                <w:sz w:val="24"/>
                <w:szCs w:val="24"/>
                <w:lang w:eastAsia="bg-BG"/>
              </w:rPr>
            </w:pPr>
          </w:p>
        </w:tc>
        <w:tc>
          <w:tcPr>
            <w:tcW w:w="1348" w:type="dxa"/>
          </w:tcPr>
          <w:p w14:paraId="4764D3F8" w14:textId="30B17BC1" w:rsidR="00285FB8" w:rsidRDefault="00285FB8" w:rsidP="00285FB8">
            <w:pPr>
              <w:spacing w:line="240" w:lineRule="auto"/>
              <w:rPr>
                <w:rFonts w:eastAsia="Times New Roman" w:cs="Arial"/>
                <w:sz w:val="24"/>
                <w:szCs w:val="24"/>
                <w:lang w:eastAsia="bg-BG"/>
              </w:rPr>
            </w:pPr>
            <w:r>
              <w:t>Редки</w:t>
            </w:r>
          </w:p>
        </w:tc>
      </w:tr>
      <w:tr w:rsidR="00285FB8" w14:paraId="6719A928" w14:textId="77777777" w:rsidTr="00285FB8">
        <w:tc>
          <w:tcPr>
            <w:tcW w:w="1703" w:type="dxa"/>
            <w:vMerge/>
          </w:tcPr>
          <w:p w14:paraId="5636C80B" w14:textId="77777777" w:rsidR="00285FB8" w:rsidRDefault="00285FB8" w:rsidP="00285FB8">
            <w:pPr>
              <w:spacing w:line="240" w:lineRule="auto"/>
              <w:rPr>
                <w:rFonts w:eastAsia="Times New Roman" w:cs="Arial"/>
                <w:sz w:val="24"/>
                <w:szCs w:val="24"/>
                <w:lang w:eastAsia="bg-BG"/>
              </w:rPr>
            </w:pPr>
          </w:p>
        </w:tc>
        <w:tc>
          <w:tcPr>
            <w:tcW w:w="2356" w:type="dxa"/>
          </w:tcPr>
          <w:p w14:paraId="0EA5357A" w14:textId="23E576FA" w:rsidR="00285FB8" w:rsidRDefault="00285FB8" w:rsidP="00285FB8">
            <w:pPr>
              <w:spacing w:line="240" w:lineRule="auto"/>
              <w:rPr>
                <w:rFonts w:eastAsia="Times New Roman" w:cs="Arial"/>
                <w:sz w:val="24"/>
                <w:szCs w:val="24"/>
                <w:lang w:eastAsia="bg-BG"/>
              </w:rPr>
            </w:pPr>
            <w:r>
              <w:t>Понижен калий в кръвта</w:t>
            </w:r>
          </w:p>
        </w:tc>
        <w:tc>
          <w:tcPr>
            <w:tcW w:w="1364" w:type="dxa"/>
          </w:tcPr>
          <w:p w14:paraId="73014DE0" w14:textId="351222D2" w:rsidR="00285FB8" w:rsidRDefault="00285FB8" w:rsidP="00285FB8">
            <w:pPr>
              <w:spacing w:line="240" w:lineRule="auto"/>
              <w:rPr>
                <w:rFonts w:eastAsia="Times New Roman" w:cs="Arial"/>
                <w:sz w:val="24"/>
                <w:szCs w:val="24"/>
                <w:lang w:eastAsia="bg-BG"/>
              </w:rPr>
            </w:pPr>
            <w:r>
              <w:t>Нечести</w:t>
            </w:r>
          </w:p>
        </w:tc>
        <w:tc>
          <w:tcPr>
            <w:tcW w:w="1455" w:type="dxa"/>
          </w:tcPr>
          <w:p w14:paraId="1415924C" w14:textId="13CEAF81" w:rsidR="00285FB8" w:rsidRDefault="00285FB8" w:rsidP="00285FB8">
            <w:pPr>
              <w:spacing w:line="240" w:lineRule="auto"/>
              <w:rPr>
                <w:rFonts w:eastAsia="Times New Roman" w:cs="Arial"/>
                <w:sz w:val="24"/>
                <w:szCs w:val="24"/>
                <w:lang w:eastAsia="bg-BG"/>
              </w:rPr>
            </w:pPr>
            <w:r>
              <w:t>-</w:t>
            </w:r>
          </w:p>
        </w:tc>
        <w:tc>
          <w:tcPr>
            <w:tcW w:w="1350" w:type="dxa"/>
          </w:tcPr>
          <w:p w14:paraId="1A9A3445" w14:textId="7B2F99D6" w:rsidR="00285FB8" w:rsidRDefault="00285FB8" w:rsidP="00285FB8">
            <w:pPr>
              <w:spacing w:line="240" w:lineRule="auto"/>
              <w:rPr>
                <w:rFonts w:eastAsia="Times New Roman" w:cs="Arial"/>
                <w:sz w:val="24"/>
                <w:szCs w:val="24"/>
                <w:lang w:eastAsia="bg-BG"/>
              </w:rPr>
            </w:pPr>
            <w:r>
              <w:t>-</w:t>
            </w:r>
          </w:p>
        </w:tc>
        <w:tc>
          <w:tcPr>
            <w:tcW w:w="1348" w:type="dxa"/>
          </w:tcPr>
          <w:p w14:paraId="28D3F98F" w14:textId="6C2DACDD" w:rsidR="00285FB8" w:rsidRDefault="00285FB8" w:rsidP="00285FB8">
            <w:pPr>
              <w:spacing w:line="240" w:lineRule="auto"/>
              <w:rPr>
                <w:rFonts w:eastAsia="Times New Roman" w:cs="Arial"/>
                <w:sz w:val="24"/>
                <w:szCs w:val="24"/>
                <w:lang w:eastAsia="bg-BG"/>
              </w:rPr>
            </w:pPr>
            <w:r>
              <w:t>-</w:t>
            </w:r>
          </w:p>
        </w:tc>
      </w:tr>
      <w:tr w:rsidR="00285FB8" w14:paraId="2D440620" w14:textId="77777777" w:rsidTr="00285FB8">
        <w:tc>
          <w:tcPr>
            <w:tcW w:w="1703" w:type="dxa"/>
            <w:vMerge/>
          </w:tcPr>
          <w:p w14:paraId="5E7B44F0" w14:textId="77777777" w:rsidR="00285FB8" w:rsidRDefault="00285FB8" w:rsidP="00285FB8">
            <w:pPr>
              <w:spacing w:line="240" w:lineRule="auto"/>
              <w:rPr>
                <w:rFonts w:eastAsia="Times New Roman" w:cs="Arial"/>
                <w:sz w:val="24"/>
                <w:szCs w:val="24"/>
                <w:lang w:eastAsia="bg-BG"/>
              </w:rPr>
            </w:pPr>
          </w:p>
        </w:tc>
        <w:tc>
          <w:tcPr>
            <w:tcW w:w="2356" w:type="dxa"/>
          </w:tcPr>
          <w:p w14:paraId="3A108A1F" w14:textId="2F4D7985" w:rsidR="00285FB8" w:rsidRDefault="00285FB8" w:rsidP="00285FB8">
            <w:pPr>
              <w:spacing w:line="240" w:lineRule="auto"/>
              <w:rPr>
                <w:rFonts w:eastAsia="Times New Roman" w:cs="Arial"/>
                <w:sz w:val="24"/>
                <w:szCs w:val="24"/>
                <w:lang w:eastAsia="bg-BG"/>
              </w:rPr>
            </w:pPr>
            <w:r>
              <w:t>Повишен калий в кръвта</w:t>
            </w:r>
          </w:p>
        </w:tc>
        <w:tc>
          <w:tcPr>
            <w:tcW w:w="1364" w:type="dxa"/>
          </w:tcPr>
          <w:p w14:paraId="278FA66C" w14:textId="77777777" w:rsidR="00285FB8" w:rsidRDefault="00285FB8" w:rsidP="00285FB8">
            <w:pPr>
              <w:spacing w:line="240" w:lineRule="auto"/>
              <w:rPr>
                <w:rFonts w:eastAsia="Times New Roman" w:cs="Arial"/>
                <w:sz w:val="24"/>
                <w:szCs w:val="24"/>
                <w:lang w:eastAsia="bg-BG"/>
              </w:rPr>
            </w:pPr>
          </w:p>
        </w:tc>
        <w:tc>
          <w:tcPr>
            <w:tcW w:w="1455" w:type="dxa"/>
          </w:tcPr>
          <w:p w14:paraId="4CF04AEF" w14:textId="4A3BB80F" w:rsidR="00285FB8" w:rsidRDefault="00285FB8" w:rsidP="00285FB8">
            <w:pPr>
              <w:spacing w:line="240" w:lineRule="auto"/>
              <w:rPr>
                <w:rFonts w:eastAsia="Times New Roman" w:cs="Arial"/>
                <w:sz w:val="24"/>
                <w:szCs w:val="24"/>
                <w:lang w:eastAsia="bg-BG"/>
              </w:rPr>
            </w:pPr>
            <w:r>
              <w:t>-</w:t>
            </w:r>
          </w:p>
        </w:tc>
        <w:tc>
          <w:tcPr>
            <w:tcW w:w="1350" w:type="dxa"/>
          </w:tcPr>
          <w:p w14:paraId="39779A87" w14:textId="701101FF" w:rsidR="00285FB8" w:rsidRDefault="00285FB8" w:rsidP="00285FB8">
            <w:pPr>
              <w:spacing w:line="240" w:lineRule="auto"/>
              <w:rPr>
                <w:rFonts w:eastAsia="Times New Roman" w:cs="Arial"/>
                <w:sz w:val="24"/>
                <w:szCs w:val="24"/>
                <w:lang w:eastAsia="bg-BG"/>
              </w:rPr>
            </w:pPr>
            <w:r>
              <w:t>С неизвестна честота</w:t>
            </w:r>
          </w:p>
        </w:tc>
        <w:tc>
          <w:tcPr>
            <w:tcW w:w="1348" w:type="dxa"/>
          </w:tcPr>
          <w:p w14:paraId="3C6FEF81" w14:textId="578678B7" w:rsidR="00285FB8" w:rsidRDefault="00285FB8" w:rsidP="00285FB8">
            <w:pPr>
              <w:spacing w:line="240" w:lineRule="auto"/>
              <w:rPr>
                <w:rFonts w:eastAsia="Times New Roman" w:cs="Arial"/>
                <w:sz w:val="24"/>
                <w:szCs w:val="24"/>
                <w:lang w:eastAsia="bg-BG"/>
              </w:rPr>
            </w:pPr>
            <w:r>
              <w:t>-</w:t>
            </w:r>
          </w:p>
        </w:tc>
      </w:tr>
      <w:tr w:rsidR="00285FB8" w14:paraId="64348B6A" w14:textId="77777777" w:rsidTr="00285FB8">
        <w:tc>
          <w:tcPr>
            <w:tcW w:w="1703" w:type="dxa"/>
            <w:vMerge/>
          </w:tcPr>
          <w:p w14:paraId="25ABC06F" w14:textId="77777777" w:rsidR="00285FB8" w:rsidRDefault="00285FB8" w:rsidP="00285FB8">
            <w:pPr>
              <w:spacing w:line="240" w:lineRule="auto"/>
              <w:rPr>
                <w:rFonts w:eastAsia="Times New Roman" w:cs="Arial"/>
                <w:sz w:val="24"/>
                <w:szCs w:val="24"/>
                <w:lang w:eastAsia="bg-BG"/>
              </w:rPr>
            </w:pPr>
          </w:p>
        </w:tc>
        <w:tc>
          <w:tcPr>
            <w:tcW w:w="2356" w:type="dxa"/>
          </w:tcPr>
          <w:p w14:paraId="49022EC0" w14:textId="5CD1DFAB" w:rsidR="00285FB8" w:rsidRDefault="00285FB8" w:rsidP="00285FB8">
            <w:pPr>
              <w:spacing w:line="240" w:lineRule="auto"/>
              <w:rPr>
                <w:rFonts w:eastAsia="Times New Roman" w:cs="Arial"/>
                <w:sz w:val="24"/>
                <w:szCs w:val="24"/>
                <w:lang w:eastAsia="bg-BG"/>
              </w:rPr>
            </w:pPr>
            <w:r>
              <w:t>Наддаване на тегло</w:t>
            </w:r>
          </w:p>
        </w:tc>
        <w:tc>
          <w:tcPr>
            <w:tcW w:w="1364" w:type="dxa"/>
          </w:tcPr>
          <w:p w14:paraId="73C86013" w14:textId="7A7E7F21" w:rsidR="00285FB8" w:rsidRDefault="00285FB8" w:rsidP="00285FB8">
            <w:pPr>
              <w:spacing w:line="240" w:lineRule="auto"/>
              <w:rPr>
                <w:rFonts w:eastAsia="Times New Roman" w:cs="Arial"/>
                <w:sz w:val="24"/>
                <w:szCs w:val="24"/>
                <w:lang w:eastAsia="bg-BG"/>
              </w:rPr>
            </w:pPr>
            <w:r>
              <w:t>Нечести</w:t>
            </w:r>
          </w:p>
        </w:tc>
        <w:tc>
          <w:tcPr>
            <w:tcW w:w="1455" w:type="dxa"/>
          </w:tcPr>
          <w:p w14:paraId="691AC16B" w14:textId="61E01749" w:rsidR="00285FB8" w:rsidRDefault="00285FB8" w:rsidP="00285FB8">
            <w:pPr>
              <w:spacing w:line="240" w:lineRule="auto"/>
              <w:rPr>
                <w:rFonts w:eastAsia="Times New Roman" w:cs="Arial"/>
                <w:sz w:val="24"/>
                <w:szCs w:val="24"/>
                <w:lang w:eastAsia="bg-BG"/>
              </w:rPr>
            </w:pPr>
            <w:r>
              <w:t>Нечести</w:t>
            </w:r>
          </w:p>
        </w:tc>
        <w:tc>
          <w:tcPr>
            <w:tcW w:w="1350" w:type="dxa"/>
          </w:tcPr>
          <w:p w14:paraId="427B2446" w14:textId="6CEA46ED" w:rsidR="00285FB8" w:rsidRDefault="00285FB8" w:rsidP="00285FB8">
            <w:pPr>
              <w:spacing w:line="240" w:lineRule="auto"/>
              <w:rPr>
                <w:rFonts w:eastAsia="Times New Roman" w:cs="Arial"/>
                <w:sz w:val="24"/>
                <w:szCs w:val="24"/>
                <w:lang w:eastAsia="bg-BG"/>
              </w:rPr>
            </w:pPr>
            <w:r>
              <w:t>-</w:t>
            </w:r>
          </w:p>
        </w:tc>
        <w:tc>
          <w:tcPr>
            <w:tcW w:w="1348" w:type="dxa"/>
          </w:tcPr>
          <w:p w14:paraId="092B7BAF" w14:textId="72AFD227" w:rsidR="00285FB8" w:rsidRDefault="00285FB8" w:rsidP="00285FB8">
            <w:pPr>
              <w:spacing w:line="240" w:lineRule="auto"/>
              <w:rPr>
                <w:rFonts w:eastAsia="Times New Roman" w:cs="Arial"/>
                <w:sz w:val="24"/>
                <w:szCs w:val="24"/>
                <w:lang w:eastAsia="bg-BG"/>
              </w:rPr>
            </w:pPr>
            <w:r>
              <w:t>-</w:t>
            </w:r>
          </w:p>
        </w:tc>
      </w:tr>
      <w:tr w:rsidR="00285FB8" w14:paraId="5251088B" w14:textId="77777777" w:rsidTr="00285FB8">
        <w:tc>
          <w:tcPr>
            <w:tcW w:w="1703" w:type="dxa"/>
            <w:vMerge/>
          </w:tcPr>
          <w:p w14:paraId="4ED54D1B" w14:textId="77777777" w:rsidR="00285FB8" w:rsidRDefault="00285FB8" w:rsidP="00285FB8">
            <w:pPr>
              <w:spacing w:line="240" w:lineRule="auto"/>
              <w:rPr>
                <w:rFonts w:eastAsia="Times New Roman" w:cs="Arial"/>
                <w:sz w:val="24"/>
                <w:szCs w:val="24"/>
                <w:lang w:eastAsia="bg-BG"/>
              </w:rPr>
            </w:pPr>
          </w:p>
        </w:tc>
        <w:tc>
          <w:tcPr>
            <w:tcW w:w="2356" w:type="dxa"/>
          </w:tcPr>
          <w:p w14:paraId="67FBD85A" w14:textId="5E1E1D46" w:rsidR="00285FB8" w:rsidRDefault="00285FB8" w:rsidP="00285FB8">
            <w:pPr>
              <w:spacing w:line="240" w:lineRule="auto"/>
              <w:rPr>
                <w:rFonts w:eastAsia="Times New Roman" w:cs="Arial"/>
                <w:sz w:val="24"/>
                <w:szCs w:val="24"/>
                <w:lang w:eastAsia="bg-BG"/>
              </w:rPr>
            </w:pPr>
            <w:r>
              <w:t>Спадане на тегло</w:t>
            </w:r>
          </w:p>
        </w:tc>
        <w:tc>
          <w:tcPr>
            <w:tcW w:w="1364" w:type="dxa"/>
          </w:tcPr>
          <w:p w14:paraId="43A7E2D7" w14:textId="4455F10D" w:rsidR="00285FB8" w:rsidRDefault="00285FB8" w:rsidP="00285FB8">
            <w:pPr>
              <w:spacing w:line="240" w:lineRule="auto"/>
              <w:rPr>
                <w:rFonts w:eastAsia="Times New Roman" w:cs="Arial"/>
                <w:sz w:val="24"/>
                <w:szCs w:val="24"/>
                <w:lang w:eastAsia="bg-BG"/>
              </w:rPr>
            </w:pPr>
            <w:r>
              <w:t>-</w:t>
            </w:r>
          </w:p>
        </w:tc>
        <w:tc>
          <w:tcPr>
            <w:tcW w:w="1455" w:type="dxa"/>
          </w:tcPr>
          <w:p w14:paraId="1AB62C66" w14:textId="300D6BC5" w:rsidR="00285FB8" w:rsidRDefault="00285FB8" w:rsidP="00285FB8">
            <w:pPr>
              <w:spacing w:line="240" w:lineRule="auto"/>
              <w:rPr>
                <w:rFonts w:eastAsia="Times New Roman" w:cs="Arial"/>
                <w:sz w:val="24"/>
                <w:szCs w:val="24"/>
                <w:lang w:eastAsia="bg-BG"/>
              </w:rPr>
            </w:pPr>
            <w:r>
              <w:t>Нечести</w:t>
            </w:r>
          </w:p>
        </w:tc>
        <w:tc>
          <w:tcPr>
            <w:tcW w:w="1350" w:type="dxa"/>
          </w:tcPr>
          <w:p w14:paraId="59D1F3CF" w14:textId="0DEC3B90" w:rsidR="00285FB8" w:rsidRDefault="00285FB8" w:rsidP="00285FB8">
            <w:pPr>
              <w:spacing w:line="240" w:lineRule="auto"/>
              <w:rPr>
                <w:rFonts w:eastAsia="Times New Roman" w:cs="Arial"/>
                <w:sz w:val="24"/>
                <w:szCs w:val="24"/>
                <w:lang w:eastAsia="bg-BG"/>
              </w:rPr>
            </w:pPr>
            <w:r>
              <w:t>-</w:t>
            </w:r>
          </w:p>
        </w:tc>
        <w:tc>
          <w:tcPr>
            <w:tcW w:w="1348" w:type="dxa"/>
          </w:tcPr>
          <w:p w14:paraId="66833339" w14:textId="3AB5B25E" w:rsidR="00285FB8" w:rsidRDefault="00285FB8" w:rsidP="00285FB8">
            <w:pPr>
              <w:spacing w:line="240" w:lineRule="auto"/>
              <w:rPr>
                <w:rFonts w:eastAsia="Times New Roman" w:cs="Arial"/>
                <w:sz w:val="24"/>
                <w:szCs w:val="24"/>
                <w:lang w:eastAsia="bg-BG"/>
              </w:rPr>
            </w:pPr>
            <w:r>
              <w:t>-</w:t>
            </w:r>
          </w:p>
        </w:tc>
      </w:tr>
    </w:tbl>
    <w:p w14:paraId="79F376A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Вижте точка 4.4 “Фоточувствителност”</w:t>
      </w:r>
    </w:p>
    <w:p w14:paraId="0C1C106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Най-често свързано с холестаза</w:t>
      </w:r>
    </w:p>
    <w:p w14:paraId="46FB4334" w14:textId="77777777" w:rsidR="00285FB8" w:rsidRPr="00285FB8" w:rsidRDefault="00285FB8" w:rsidP="00285FB8">
      <w:pPr>
        <w:spacing w:line="240" w:lineRule="auto"/>
        <w:rPr>
          <w:rFonts w:eastAsia="Times New Roman" w:cs="Arial"/>
          <w:color w:val="000000"/>
          <w:u w:val="single"/>
          <w:lang w:eastAsia="bg-BG"/>
        </w:rPr>
      </w:pPr>
    </w:p>
    <w:p w14:paraId="2BAE258C" w14:textId="70F01FA7"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Описание на избрани-нежелани реакции</w:t>
      </w:r>
    </w:p>
    <w:p w14:paraId="52E33570"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хидрохлоротиазид и НМРК (вж. също точки 4.4 и 5.1).</w:t>
      </w:r>
    </w:p>
    <w:p w14:paraId="38971F70" w14:textId="77777777" w:rsidR="00285FB8" w:rsidRPr="00285FB8" w:rsidRDefault="00285FB8" w:rsidP="00285FB8">
      <w:pPr>
        <w:spacing w:line="240" w:lineRule="auto"/>
        <w:rPr>
          <w:rFonts w:eastAsia="Times New Roman" w:cs="Arial"/>
          <w:color w:val="000000"/>
          <w:u w:val="single"/>
          <w:lang w:eastAsia="bg-BG"/>
        </w:rPr>
      </w:pPr>
    </w:p>
    <w:p w14:paraId="7185F1C3" w14:textId="304DED58"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Съобщаване на подозирани нежелани реакции</w:t>
      </w:r>
    </w:p>
    <w:p w14:paraId="3A98AB25"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+359 2 8903417, уебсайт: </w:t>
      </w:r>
      <w:r w:rsidRPr="00285FB8">
        <w:rPr>
          <w:rFonts w:eastAsia="Times New Roman" w:cs="Arial"/>
          <w:lang w:eastAsia="bg-BG"/>
        </w:rPr>
        <w:fldChar w:fldCharType="begin"/>
      </w:r>
      <w:r w:rsidRPr="00285FB8">
        <w:rPr>
          <w:rFonts w:eastAsia="Times New Roman" w:cs="Arial"/>
          <w:lang w:eastAsia="bg-BG"/>
        </w:rPr>
        <w:instrText xml:space="preserve"> HYPERLINK "http://www.bda.bg" </w:instrText>
      </w:r>
      <w:r w:rsidRPr="00285FB8">
        <w:rPr>
          <w:rFonts w:eastAsia="Times New Roman" w:cs="Arial"/>
          <w:lang w:eastAsia="bg-BG"/>
        </w:rPr>
      </w:r>
      <w:r w:rsidRPr="00285FB8">
        <w:rPr>
          <w:rFonts w:eastAsia="Times New Roman" w:cs="Arial"/>
          <w:lang w:eastAsia="bg-BG"/>
        </w:rPr>
        <w:fldChar w:fldCharType="separate"/>
      </w:r>
      <w:r w:rsidRPr="00285FB8">
        <w:rPr>
          <w:rFonts w:eastAsia="Times New Roman" w:cs="Arial"/>
          <w:color w:val="000000"/>
          <w:lang w:val="en-US"/>
        </w:rPr>
        <w:t>www.bda.bg</w:t>
      </w:r>
      <w:r w:rsidRPr="00285FB8">
        <w:rPr>
          <w:rFonts w:eastAsia="Times New Roman" w:cs="Arial"/>
          <w:lang w:eastAsia="bg-BG"/>
        </w:rPr>
        <w:fldChar w:fldCharType="end"/>
      </w:r>
      <w:r w:rsidRPr="00285FB8">
        <w:rPr>
          <w:rFonts w:eastAsia="Times New Roman" w:cs="Arial"/>
          <w:color w:val="000000"/>
          <w:lang w:val="en-US"/>
        </w:rPr>
        <w:t>.</w:t>
      </w:r>
    </w:p>
    <w:p w14:paraId="0DF20D58" w14:textId="77777777" w:rsidR="0055380F" w:rsidRPr="0055380F" w:rsidRDefault="0055380F" w:rsidP="0055380F"/>
    <w:p w14:paraId="4A5904B1" w14:textId="30EC89F0" w:rsidR="00EE6C97" w:rsidRDefault="002C50EE" w:rsidP="00A93499">
      <w:pPr>
        <w:pStyle w:val="Heading2"/>
      </w:pPr>
      <w:r>
        <w:t>4.9. Предозиране</w:t>
      </w:r>
    </w:p>
    <w:p w14:paraId="7D748E3B" w14:textId="7B8169A9" w:rsidR="00285FB8" w:rsidRDefault="00285FB8" w:rsidP="00285FB8"/>
    <w:p w14:paraId="45428002" w14:textId="77777777" w:rsidR="00285FB8" w:rsidRPr="00285FB8" w:rsidRDefault="00285FB8" w:rsidP="00285FB8">
      <w:pPr>
        <w:pStyle w:val="Heading3"/>
        <w:rPr>
          <w:rFonts w:eastAsia="Times New Roman"/>
          <w:u w:val="single"/>
          <w:lang w:eastAsia="bg-BG"/>
        </w:rPr>
      </w:pPr>
      <w:r w:rsidRPr="00285FB8">
        <w:rPr>
          <w:rFonts w:eastAsia="Times New Roman"/>
          <w:u w:val="single"/>
          <w:lang w:eastAsia="bg-BG"/>
        </w:rPr>
        <w:t>Симптоми</w:t>
      </w:r>
    </w:p>
    <w:p w14:paraId="233593D6"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Няма опит със случай на предозиране с Валтензам Комп. Главният симптом на предозиране с валсартан е евентуално изразена хипотония със замаяност. Предозирането с амлодипин може да доведе до ексцесивна периферна вазодилатация и възможно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64BEA5CF" w14:textId="77777777" w:rsidR="00285FB8" w:rsidRPr="00285FB8" w:rsidRDefault="00285FB8" w:rsidP="00285FB8">
      <w:pPr>
        <w:spacing w:line="240" w:lineRule="auto"/>
        <w:rPr>
          <w:rFonts w:eastAsia="Times New Roman" w:cs="Arial"/>
          <w:color w:val="000000"/>
          <w:lang w:eastAsia="bg-BG"/>
        </w:rPr>
      </w:pPr>
    </w:p>
    <w:p w14:paraId="59753AAE" w14:textId="14E9B482"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Некардиогенен белодробен оток се съобщава рядко като последица от предозиране с амлодипин,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w:t>
      </w:r>
    </w:p>
    <w:p w14:paraId="162E9A7F" w14:textId="77777777" w:rsidR="00285FB8" w:rsidRPr="00285FB8" w:rsidRDefault="00285FB8" w:rsidP="00285FB8">
      <w:pPr>
        <w:spacing w:line="240" w:lineRule="auto"/>
        <w:rPr>
          <w:rFonts w:eastAsia="Times New Roman" w:cs="Arial"/>
          <w:color w:val="000000"/>
          <w:u w:val="single"/>
          <w:lang w:eastAsia="bg-BG"/>
        </w:rPr>
      </w:pPr>
    </w:p>
    <w:p w14:paraId="0158F90F" w14:textId="0E52B677" w:rsidR="00285FB8" w:rsidRPr="00285FB8" w:rsidRDefault="00285FB8" w:rsidP="00285FB8">
      <w:pPr>
        <w:pStyle w:val="Heading3"/>
        <w:rPr>
          <w:rFonts w:eastAsia="Times New Roman"/>
          <w:u w:val="single"/>
          <w:lang w:eastAsia="bg-BG"/>
        </w:rPr>
      </w:pPr>
      <w:r w:rsidRPr="00285FB8">
        <w:rPr>
          <w:rFonts w:eastAsia="Times New Roman"/>
          <w:u w:val="single"/>
          <w:lang w:eastAsia="bg-BG"/>
        </w:rPr>
        <w:t>Лечение</w:t>
      </w:r>
    </w:p>
    <w:p w14:paraId="4D5771BD"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Амлодипин/валсартан/хидрохлоротиазид</w:t>
      </w:r>
    </w:p>
    <w:p w14:paraId="2EBF7EE4" w14:textId="72341A51" w:rsidR="00285FB8" w:rsidRPr="00285FB8" w:rsidRDefault="00285FB8" w:rsidP="00285FB8">
      <w:pPr>
        <w:rPr>
          <w:rFonts w:eastAsia="Times New Roman" w:cs="Arial"/>
          <w:color w:val="000000"/>
          <w:lang w:val="en-US" w:eastAsia="bg-BG"/>
        </w:rPr>
      </w:pPr>
      <w:r w:rsidRPr="00285FB8">
        <w:rPr>
          <w:rFonts w:eastAsia="Times New Roman" w:cs="Arial"/>
          <w:color w:val="000000"/>
          <w:lang w:eastAsia="bg-BG"/>
        </w:rPr>
        <w:t>Клинично значимата хипотония поради предозиране с Валтензам Комп изисква активна сърдечно-съдова реанимация, включваща често мониториране на сърдечната и дихателна функция, повдигане на крайниците, и внимание по отношение на циркулатпрния обем и диурезата. 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w:t>
      </w:r>
      <w:r w:rsidRPr="00285FB8">
        <w:rPr>
          <w:rFonts w:eastAsia="Times New Roman" w:cs="Arial"/>
          <w:color w:val="000000"/>
          <w:lang w:val="en-US" w:eastAsia="bg-BG"/>
        </w:rPr>
        <w:t>.</w:t>
      </w:r>
    </w:p>
    <w:p w14:paraId="53E29CD2" w14:textId="37A7125C" w:rsidR="00285FB8" w:rsidRPr="00285FB8" w:rsidRDefault="00285FB8" w:rsidP="00285FB8">
      <w:pPr>
        <w:rPr>
          <w:rFonts w:eastAsia="Times New Roman" w:cs="Arial"/>
          <w:color w:val="000000"/>
          <w:lang w:val="en-US" w:eastAsia="bg-BG"/>
        </w:rPr>
      </w:pPr>
    </w:p>
    <w:p w14:paraId="4B376F0D"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Интравенозното приложение на калциев глюконат може да е от полза за преодоляване на ефекта от блокадата на калциевите канали.</w:t>
      </w:r>
    </w:p>
    <w:p w14:paraId="1265DEDA" w14:textId="77777777" w:rsidR="00285FB8" w:rsidRPr="00285FB8" w:rsidRDefault="00285FB8" w:rsidP="00285FB8">
      <w:pPr>
        <w:spacing w:line="240" w:lineRule="auto"/>
        <w:rPr>
          <w:rFonts w:eastAsia="Times New Roman" w:cs="Arial"/>
          <w:i/>
          <w:iCs/>
          <w:color w:val="000000"/>
          <w:u w:val="single"/>
          <w:lang w:eastAsia="bg-BG"/>
        </w:rPr>
      </w:pPr>
    </w:p>
    <w:p w14:paraId="28AC306C" w14:textId="61CD0C83"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lastRenderedPageBreak/>
        <w:t>Амлодипин</w:t>
      </w:r>
    </w:p>
    <w:p w14:paraId="70CA6BE2"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Ако продуктът е погълнат наскоро може да се обмисли предизвикване на повръщане или стомашна промивка. Приложението на активен въглен при здрави доброволци непосредствено или до два часа след поглъщането на амлодипин значимо намалява абсорбцията на амлодипин. Амлодипин не може да бъде отстранен чрез хемодиализа.</w:t>
      </w:r>
    </w:p>
    <w:p w14:paraId="00EEBCC9" w14:textId="77777777" w:rsidR="00285FB8" w:rsidRPr="00285FB8" w:rsidRDefault="00285FB8" w:rsidP="00285FB8">
      <w:pPr>
        <w:spacing w:line="240" w:lineRule="auto"/>
        <w:rPr>
          <w:rFonts w:eastAsia="Times New Roman" w:cs="Arial"/>
          <w:i/>
          <w:iCs/>
          <w:color w:val="000000"/>
          <w:u w:val="single"/>
          <w:lang w:eastAsia="bg-BG"/>
        </w:rPr>
      </w:pPr>
    </w:p>
    <w:p w14:paraId="2099B656" w14:textId="1C72F35B"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Валсартан</w:t>
      </w:r>
    </w:p>
    <w:p w14:paraId="43F4D72F"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Валсартан не може да бъде отстранен чрез хемодиализа.</w:t>
      </w:r>
    </w:p>
    <w:p w14:paraId="200C8C66" w14:textId="77777777" w:rsidR="00285FB8" w:rsidRPr="00285FB8" w:rsidRDefault="00285FB8" w:rsidP="00285FB8">
      <w:pPr>
        <w:spacing w:line="240" w:lineRule="auto"/>
        <w:rPr>
          <w:rFonts w:eastAsia="Times New Roman" w:cs="Arial"/>
          <w:i/>
          <w:iCs/>
          <w:color w:val="000000"/>
          <w:u w:val="single"/>
          <w:lang w:eastAsia="bg-BG"/>
        </w:rPr>
      </w:pPr>
    </w:p>
    <w:p w14:paraId="22F00D07" w14:textId="242AFBD9"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Хидрохлоротиазид</w:t>
      </w:r>
    </w:p>
    <w:p w14:paraId="6E308F0C"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 Не е установена степента на очистване на хидрохлоротиазид при хемодиализа.</w:t>
      </w:r>
    </w:p>
    <w:p w14:paraId="1F7826BF" w14:textId="77777777" w:rsidR="00285FB8" w:rsidRPr="00285FB8" w:rsidRDefault="00285FB8" w:rsidP="00285FB8">
      <w:pPr>
        <w:rPr>
          <w:lang w:val="en-US"/>
        </w:rPr>
      </w:pPr>
    </w:p>
    <w:p w14:paraId="02081B24" w14:textId="36FE76F4" w:rsidR="00395555" w:rsidRPr="00395555" w:rsidRDefault="002C50EE" w:rsidP="008A6AF2">
      <w:pPr>
        <w:pStyle w:val="Heading1"/>
      </w:pPr>
      <w:r>
        <w:t>5. ФАРМАКОЛОГИЧНИ СВОЙСТВА</w:t>
      </w:r>
    </w:p>
    <w:p w14:paraId="3B9FA2B5" w14:textId="51905B40" w:rsidR="00EE6C97" w:rsidRDefault="002C50EE" w:rsidP="00A93499">
      <w:pPr>
        <w:pStyle w:val="Heading2"/>
      </w:pPr>
      <w:r>
        <w:t>5.1. Фармакодинамични свойства</w:t>
      </w:r>
    </w:p>
    <w:p w14:paraId="2A098FFA" w14:textId="4BE5289C" w:rsidR="00285FB8" w:rsidRDefault="00285FB8" w:rsidP="00285FB8"/>
    <w:p w14:paraId="160E52E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285FB8">
        <w:rPr>
          <w:rFonts w:eastAsia="Times New Roman" w:cs="Arial"/>
          <w:color w:val="000000"/>
          <w:lang w:val="en-US"/>
        </w:rPr>
        <w:t>C09DX01</w:t>
      </w:r>
    </w:p>
    <w:p w14:paraId="696BF44F" w14:textId="77777777" w:rsidR="00285FB8" w:rsidRPr="00285FB8" w:rsidRDefault="00285FB8" w:rsidP="00285FB8">
      <w:pPr>
        <w:spacing w:line="240" w:lineRule="auto"/>
        <w:rPr>
          <w:rFonts w:eastAsia="Times New Roman" w:cs="Arial"/>
          <w:color w:val="000000"/>
          <w:u w:val="single"/>
          <w:lang w:eastAsia="bg-BG"/>
        </w:rPr>
      </w:pPr>
    </w:p>
    <w:p w14:paraId="3E8E8191" w14:textId="5F76BE36"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Механизъм на действие</w:t>
      </w:r>
    </w:p>
    <w:p w14:paraId="7C0D6CDE"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Валтензам Комп е комбинация от три антихипертензивни съставки с допълващ се механизъм за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ангиотензин</w:t>
      </w:r>
    </w:p>
    <w:p w14:paraId="2A166EA5"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II рецепторните блокери, а хидрохлоротиазид към класа на тиазидните диуретици. Комбинацията на тези съставки има адитивен антихиПертензивен ефект.</w:t>
      </w:r>
    </w:p>
    <w:p w14:paraId="2308D955" w14:textId="77777777" w:rsidR="00285FB8" w:rsidRPr="00285FB8" w:rsidRDefault="00285FB8" w:rsidP="00285FB8">
      <w:pPr>
        <w:spacing w:line="240" w:lineRule="auto"/>
        <w:rPr>
          <w:rFonts w:eastAsia="Times New Roman" w:cs="Arial"/>
          <w:color w:val="000000"/>
          <w:u w:val="single"/>
          <w:lang w:eastAsia="bg-BG"/>
        </w:rPr>
      </w:pPr>
    </w:p>
    <w:p w14:paraId="399F7C4B" w14:textId="6D885A9B"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Амлодипин/валсартан/хидрохлоротиазид</w:t>
      </w:r>
    </w:p>
    <w:p w14:paraId="3670269C"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Клинична ефикасност и безопасност</w:t>
      </w:r>
    </w:p>
    <w:p w14:paraId="0785EE97"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Валтензам Комп е изпитван в двойно-сляпо, активно контролирано проучване при пациенти с хипертония. Общо 2 271 пациенти с умерена до тежка хипертония (средното изходно систолно/диастолно артериално налягане е 170/107 </w:t>
      </w:r>
      <w:r w:rsidRPr="00285FB8">
        <w:rPr>
          <w:rFonts w:eastAsia="Times New Roman" w:cs="Arial"/>
          <w:color w:val="000000"/>
          <w:lang w:val="en-US"/>
        </w:rPr>
        <w:t xml:space="preserve">mmHg) </w:t>
      </w:r>
      <w:r w:rsidRPr="00285FB8">
        <w:rPr>
          <w:rFonts w:eastAsia="Times New Roman" w:cs="Arial"/>
          <w:color w:val="000000"/>
          <w:lang w:eastAsia="bg-BG"/>
        </w:rPr>
        <w:t xml:space="preserve">са лекувани с амлодипин/валсартан/хидрохлоротиазид 10 </w:t>
      </w:r>
      <w:r w:rsidRPr="00285FB8">
        <w:rPr>
          <w:rFonts w:eastAsia="Times New Roman" w:cs="Arial"/>
          <w:color w:val="000000"/>
          <w:lang w:val="en-US"/>
        </w:rPr>
        <w:t xml:space="preserve">mg/320 mg/25 mg, </w:t>
      </w:r>
      <w:r w:rsidRPr="00285FB8">
        <w:rPr>
          <w:rFonts w:eastAsia="Times New Roman" w:cs="Arial"/>
          <w:color w:val="000000"/>
          <w:lang w:eastAsia="bg-BG"/>
        </w:rPr>
        <w:t xml:space="preserve">валсартан/хидрохлоротиазид 320 </w:t>
      </w:r>
      <w:r w:rsidRPr="00285FB8">
        <w:rPr>
          <w:rFonts w:eastAsia="Times New Roman" w:cs="Arial"/>
          <w:color w:val="000000"/>
          <w:lang w:val="en-US"/>
        </w:rPr>
        <w:t xml:space="preserve">mg/25 mg, </w:t>
      </w:r>
      <w:r w:rsidRPr="00285FB8">
        <w:rPr>
          <w:rFonts w:eastAsia="Times New Roman" w:cs="Arial"/>
          <w:color w:val="000000"/>
          <w:lang w:eastAsia="bg-BG"/>
        </w:rPr>
        <w:t xml:space="preserve">амлодипин/валсартан </w:t>
      </w:r>
      <w:r w:rsidRPr="00285FB8">
        <w:rPr>
          <w:rFonts w:eastAsia="Times New Roman" w:cs="Arial"/>
          <w:color w:val="000000"/>
          <w:lang w:val="en-US"/>
        </w:rPr>
        <w:t xml:space="preserve">10 mg/320 mg </w:t>
      </w:r>
      <w:r w:rsidRPr="00285FB8">
        <w:rPr>
          <w:rFonts w:eastAsia="Times New Roman" w:cs="Arial"/>
          <w:color w:val="000000"/>
          <w:lang w:eastAsia="bg-BG"/>
        </w:rPr>
        <w:t xml:space="preserve">или хидрохлоротиазид/амлодипин </w:t>
      </w:r>
      <w:r w:rsidRPr="00285FB8">
        <w:rPr>
          <w:rFonts w:eastAsia="Times New Roman" w:cs="Arial"/>
          <w:color w:val="000000"/>
          <w:lang w:val="en-US"/>
        </w:rPr>
        <w:t xml:space="preserve">25 mg/10 mg. </w:t>
      </w:r>
      <w:r w:rsidRPr="00285FB8">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2CC8F297" w14:textId="77777777" w:rsidR="00285FB8" w:rsidRPr="00285FB8" w:rsidRDefault="00285FB8" w:rsidP="00285FB8">
      <w:pPr>
        <w:spacing w:line="240" w:lineRule="auto"/>
        <w:rPr>
          <w:rFonts w:eastAsia="Times New Roman" w:cs="Arial"/>
          <w:color w:val="000000"/>
          <w:lang w:eastAsia="bg-BG"/>
        </w:rPr>
      </w:pPr>
    </w:p>
    <w:p w14:paraId="0FEBD490" w14:textId="0FE2B630"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На 8 седмица средното понижаване на систолното/диастолното артериално налягане е 39,7/24,7 </w:t>
      </w:r>
      <w:r w:rsidRPr="00285FB8">
        <w:rPr>
          <w:rFonts w:eastAsia="Times New Roman" w:cs="Arial"/>
          <w:color w:val="000000"/>
          <w:lang w:val="en-US"/>
        </w:rPr>
        <w:t xml:space="preserve">mmHg </w:t>
      </w:r>
      <w:r w:rsidRPr="00285FB8">
        <w:rPr>
          <w:rFonts w:eastAsia="Times New Roman" w:cs="Arial"/>
          <w:color w:val="000000"/>
          <w:lang w:eastAsia="bg-BG"/>
        </w:rPr>
        <w:t xml:space="preserve">с Валтензам Комп, 32,0/19,7 </w:t>
      </w:r>
      <w:r w:rsidRPr="00285FB8">
        <w:rPr>
          <w:rFonts w:eastAsia="Times New Roman" w:cs="Arial"/>
          <w:color w:val="000000"/>
          <w:lang w:val="en-US"/>
        </w:rPr>
        <w:t xml:space="preserve">mmHg </w:t>
      </w:r>
      <w:r w:rsidRPr="00285FB8">
        <w:rPr>
          <w:rFonts w:eastAsia="Times New Roman" w:cs="Arial"/>
          <w:color w:val="000000"/>
          <w:lang w:eastAsia="bg-BG"/>
        </w:rPr>
        <w:t xml:space="preserve">с валсартан/хидрохлоротиазид 33,5/21,5 </w:t>
      </w:r>
      <w:r w:rsidRPr="00285FB8">
        <w:rPr>
          <w:rFonts w:eastAsia="Times New Roman" w:cs="Arial"/>
          <w:color w:val="000000"/>
          <w:lang w:val="en-US"/>
        </w:rPr>
        <w:t xml:space="preserve">mmHg </w:t>
      </w:r>
      <w:r w:rsidRPr="00285FB8">
        <w:rPr>
          <w:rFonts w:eastAsia="Times New Roman" w:cs="Arial"/>
          <w:color w:val="000000"/>
          <w:lang w:eastAsia="bg-BG"/>
        </w:rPr>
        <w:t xml:space="preserve">с амлодипин/валсартан и 31,5/19,5 </w:t>
      </w:r>
      <w:r w:rsidRPr="00285FB8">
        <w:rPr>
          <w:rFonts w:eastAsia="Times New Roman" w:cs="Arial"/>
          <w:color w:val="000000"/>
          <w:lang w:val="en-US"/>
        </w:rPr>
        <w:t xml:space="preserve">mmHg </w:t>
      </w:r>
      <w:r w:rsidRPr="00285FB8">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w:t>
      </w:r>
      <w:r w:rsidRPr="00285FB8">
        <w:rPr>
          <w:rFonts w:eastAsia="Times New Roman" w:cs="Arial"/>
          <w:color w:val="000000"/>
          <w:lang w:eastAsia="bg-BG"/>
        </w:rPr>
        <w:lastRenderedPageBreak/>
        <w:t xml:space="preserve">Валтензам Комп е с 7,6/5,0 </w:t>
      </w:r>
      <w:r w:rsidRPr="00285FB8">
        <w:rPr>
          <w:rFonts w:eastAsia="Times New Roman" w:cs="Arial"/>
          <w:color w:val="000000"/>
          <w:lang w:val="en-US"/>
        </w:rPr>
        <w:t xml:space="preserve">mmHg </w:t>
      </w:r>
      <w:r w:rsidRPr="00285FB8">
        <w:rPr>
          <w:rFonts w:eastAsia="Times New Roman" w:cs="Arial"/>
          <w:color w:val="000000"/>
          <w:lang w:eastAsia="bg-BG"/>
        </w:rPr>
        <w:t>по-голямо,</w:t>
      </w:r>
      <w:r w:rsidRPr="00285FB8">
        <w:rPr>
          <w:rFonts w:eastAsia="Times New Roman" w:cs="Arial"/>
          <w:lang w:val="en-US" w:eastAsia="bg-BG"/>
        </w:rPr>
        <w:t xml:space="preserve"> </w:t>
      </w:r>
      <w:r w:rsidRPr="00285FB8">
        <w:rPr>
          <w:rFonts w:eastAsia="Times New Roman" w:cs="Arial"/>
          <w:color w:val="000000"/>
          <w:lang w:eastAsia="bg-BG"/>
        </w:rPr>
        <w:t xml:space="preserve">отколкото с валсартан/хидрохлоротиазид, с 6,2/3,3 </w:t>
      </w:r>
      <w:r w:rsidRPr="00285FB8">
        <w:rPr>
          <w:rFonts w:eastAsia="Times New Roman" w:cs="Arial"/>
          <w:color w:val="000000"/>
          <w:lang w:val="en-US"/>
        </w:rPr>
        <w:t xml:space="preserve">mmHg </w:t>
      </w:r>
      <w:r w:rsidRPr="00285FB8">
        <w:rPr>
          <w:rFonts w:eastAsia="Times New Roman" w:cs="Arial"/>
          <w:color w:val="000000"/>
          <w:lang w:eastAsia="bg-BG"/>
        </w:rPr>
        <w:t xml:space="preserve">по-голямо, отколкото с амлодипин/валсартан и с 8,2/5,3 </w:t>
      </w:r>
      <w:r w:rsidRPr="00285FB8">
        <w:rPr>
          <w:rFonts w:eastAsia="Times New Roman" w:cs="Arial"/>
          <w:color w:val="000000"/>
          <w:lang w:val="en-US"/>
        </w:rPr>
        <w:t xml:space="preserve">mmHg </w:t>
      </w:r>
      <w:r w:rsidRPr="00285FB8">
        <w:rPr>
          <w:rFonts w:eastAsia="Times New Roman" w:cs="Arial"/>
          <w:color w:val="000000"/>
          <w:lang w:eastAsia="bg-BG"/>
        </w:rPr>
        <w:t>по-голямо, отколкото с амлодипин/хидрохлоротиазид. Оптималният антихипертензивен ефект се постига след 2 седмичен прием на максималната</w:t>
      </w:r>
    </w:p>
    <w:p w14:paraId="1B772E64" w14:textId="77777777" w:rsidR="00285FB8" w:rsidRPr="00285FB8" w:rsidRDefault="00285FB8" w:rsidP="00285FB8">
      <w:pPr>
        <w:rPr>
          <w:rFonts w:eastAsia="Times New Roman" w:cs="Arial"/>
          <w:lang w:eastAsia="bg-BG"/>
        </w:rPr>
      </w:pPr>
      <w:r w:rsidRPr="00285FB8">
        <w:rPr>
          <w:rFonts w:eastAsia="Times New Roman" w:cs="Arial"/>
          <w:color w:val="000000"/>
          <w:lang w:eastAsia="bg-BG"/>
        </w:rPr>
        <w:t>доза Валтензам Комп. Статистически по-голям процент пациенти постигат контрол върху</w:t>
      </w:r>
      <w:r w:rsidRPr="00285FB8">
        <w:rPr>
          <w:rFonts w:eastAsia="Times New Roman" w:cs="Arial"/>
          <w:color w:val="000000"/>
          <w:lang w:val="en-US" w:eastAsia="bg-BG"/>
        </w:rPr>
        <w:t xml:space="preserve"> </w:t>
      </w:r>
      <w:r w:rsidRPr="00285FB8">
        <w:rPr>
          <w:rFonts w:eastAsia="Times New Roman" w:cs="Arial"/>
          <w:color w:val="000000"/>
          <w:lang w:eastAsia="bg-BG"/>
        </w:rPr>
        <w:t xml:space="preserve">артериалното си налягане (&lt;140/90 </w:t>
      </w:r>
      <w:r w:rsidRPr="00285FB8">
        <w:rPr>
          <w:rFonts w:eastAsia="Times New Roman" w:cs="Arial"/>
          <w:color w:val="000000"/>
          <w:lang w:val="en-US"/>
        </w:rPr>
        <w:t xml:space="preserve">mmHg) </w:t>
      </w:r>
      <w:r w:rsidRPr="00285FB8">
        <w:rPr>
          <w:rFonts w:eastAsia="Times New Roman" w:cs="Arial"/>
          <w:color w:val="000000"/>
          <w:lang w:eastAsia="bg-BG"/>
        </w:rPr>
        <w:t>с Валтензам Комп (71%) в сравнение с всяка една от трите двойни комбинации (45-54%) (р&lt;0,0001).</w:t>
      </w:r>
    </w:p>
    <w:p w14:paraId="4B926660" w14:textId="77777777" w:rsidR="00285FB8" w:rsidRPr="00285FB8" w:rsidRDefault="00285FB8" w:rsidP="00285FB8">
      <w:pPr>
        <w:spacing w:line="240" w:lineRule="auto"/>
        <w:rPr>
          <w:rFonts w:eastAsia="Times New Roman" w:cs="Arial"/>
          <w:color w:val="000000"/>
          <w:lang w:eastAsia="bg-BG"/>
        </w:rPr>
      </w:pPr>
    </w:p>
    <w:p w14:paraId="463B8520" w14:textId="7C9DC4C3"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24-часовото систолно и диастолно артериално налягане, при лечение с тройната комбинация спрямо валсартан/хидрохлоротиазид, валсартан/амлодипин и хидрохлоротиазид/амлодипин.</w:t>
      </w:r>
    </w:p>
    <w:p w14:paraId="0B13407D" w14:textId="77777777" w:rsidR="00285FB8" w:rsidRPr="00285FB8" w:rsidRDefault="00285FB8" w:rsidP="00285FB8">
      <w:pPr>
        <w:spacing w:line="240" w:lineRule="auto"/>
        <w:rPr>
          <w:rFonts w:eastAsia="Times New Roman" w:cs="Arial"/>
          <w:color w:val="000000"/>
          <w:u w:val="single"/>
          <w:lang w:eastAsia="bg-BG"/>
        </w:rPr>
      </w:pPr>
    </w:p>
    <w:p w14:paraId="746EEB72" w14:textId="07741340"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Амлодипин</w:t>
      </w:r>
    </w:p>
    <w:p w14:paraId="5E4B77E9"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Механизъм на действие</w:t>
      </w:r>
    </w:p>
    <w:p w14:paraId="10441D75"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Амлодипин, който влиза в състава на Валтензам Комп инхибира трансмембранното навлизане на калциеви йони в сърдечната и съдовата гладка мускулатура. Антихипертензивното действие на амлодипин се дължи на директния релаксиращ ефект върху гладката съдова мускулатура, което води до намаляване на периферното съдово съпротивление и оттам на артериалното налягане.</w:t>
      </w:r>
    </w:p>
    <w:p w14:paraId="020D38FD" w14:textId="77777777" w:rsidR="00285FB8" w:rsidRPr="00285FB8" w:rsidRDefault="00285FB8" w:rsidP="00285FB8">
      <w:pPr>
        <w:spacing w:line="240" w:lineRule="auto"/>
        <w:rPr>
          <w:rFonts w:eastAsia="Times New Roman" w:cs="Arial"/>
          <w:i/>
          <w:iCs/>
          <w:color w:val="000000"/>
          <w:u w:val="single"/>
          <w:lang w:eastAsia="bg-BG"/>
        </w:rPr>
      </w:pPr>
    </w:p>
    <w:p w14:paraId="202AD5FE" w14:textId="4A6E3C54"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Фармакодинамични ефекти</w:t>
      </w:r>
    </w:p>
    <w:p w14:paraId="26602580"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съдовата гладка мускулатура са зависими от придвижването на извънклетъчните калциеви йони в тези клетки през специфични йонни каналчета.</w:t>
      </w:r>
    </w:p>
    <w:p w14:paraId="244C823F" w14:textId="77777777" w:rsidR="00285FB8" w:rsidRPr="00285FB8" w:rsidRDefault="00285FB8" w:rsidP="00285FB8">
      <w:pPr>
        <w:spacing w:line="240" w:lineRule="auto"/>
        <w:rPr>
          <w:rFonts w:eastAsia="Times New Roman" w:cs="Arial"/>
          <w:color w:val="000000"/>
          <w:lang w:eastAsia="bg-BG"/>
        </w:rPr>
      </w:pPr>
    </w:p>
    <w:p w14:paraId="518B6A21" w14:textId="504FE68D"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514D446E" w14:textId="77777777" w:rsidR="00285FB8" w:rsidRPr="00285FB8" w:rsidRDefault="00285FB8" w:rsidP="00285FB8">
      <w:pPr>
        <w:spacing w:line="240" w:lineRule="auto"/>
        <w:rPr>
          <w:rFonts w:eastAsia="Times New Roman" w:cs="Arial"/>
          <w:color w:val="000000"/>
          <w:lang w:eastAsia="bg-BG"/>
        </w:rPr>
      </w:pPr>
    </w:p>
    <w:p w14:paraId="6C734A87" w14:textId="2140E2E6"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3A77CEAF" w14:textId="77777777" w:rsidR="00285FB8" w:rsidRPr="00285FB8" w:rsidRDefault="00285FB8" w:rsidP="00285FB8">
      <w:pPr>
        <w:spacing w:line="240" w:lineRule="auto"/>
        <w:rPr>
          <w:rFonts w:eastAsia="Times New Roman" w:cs="Arial"/>
          <w:color w:val="000000"/>
          <w:lang w:eastAsia="bg-BG"/>
        </w:rPr>
      </w:pPr>
    </w:p>
    <w:p w14:paraId="1DFF1561" w14:textId="262D7F42"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При пациенти с хипертония и с нормална бъбречна функция, терапевтичните дози амлодипин водят до намаляване на бъбречното съдово съпротивление и увеличаване на скоростта на гломерулната филтрация и ефективния бъбречен кръвоток, без да променят филтрационната фракция или протеинурията.</w:t>
      </w:r>
    </w:p>
    <w:p w14:paraId="6E3B5907" w14:textId="77777777" w:rsidR="00285FB8" w:rsidRPr="00285FB8" w:rsidRDefault="00285FB8" w:rsidP="00285FB8">
      <w:pPr>
        <w:spacing w:line="240" w:lineRule="auto"/>
        <w:rPr>
          <w:rFonts w:eastAsia="Times New Roman" w:cs="Arial"/>
          <w:color w:val="000000"/>
          <w:lang w:eastAsia="bg-BG"/>
        </w:rPr>
      </w:pPr>
    </w:p>
    <w:p w14:paraId="5DE3F949" w14:textId="1C47169D"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При пациенти с нормална функция на камерите, лекувани с амлодипин, хемодинамичните измервания на сърдечната функция в покой и при натоварване (или ходене) като цяло показват леко покачване на сърдечния индекс без значимо повлияване на </w:t>
      </w:r>
      <w:proofErr w:type="spellStart"/>
      <w:r w:rsidRPr="00285FB8">
        <w:rPr>
          <w:rFonts w:eastAsia="Times New Roman" w:cs="Arial"/>
          <w:color w:val="000000"/>
          <w:lang w:val="en-US"/>
        </w:rPr>
        <w:t>dP</w:t>
      </w:r>
      <w:proofErr w:type="spellEnd"/>
      <w:r w:rsidRPr="00285FB8">
        <w:rPr>
          <w:rFonts w:eastAsia="Times New Roman" w:cs="Arial"/>
          <w:color w:val="000000"/>
          <w:lang w:val="en-US"/>
        </w:rPr>
        <w:t xml:space="preserve">/dt, </w:t>
      </w:r>
      <w:r w:rsidRPr="00285FB8">
        <w:rPr>
          <w:rFonts w:eastAsia="Times New Roman" w:cs="Arial"/>
          <w:color w:val="000000"/>
          <w:lang w:eastAsia="bg-BG"/>
        </w:rPr>
        <w:t>или на левокамерното и диастолното налягане или обем, както и при другите блокери на калциевите канали.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47292747" w14:textId="77777777" w:rsidR="00285FB8" w:rsidRPr="00285FB8" w:rsidRDefault="00285FB8" w:rsidP="00285FB8">
      <w:pPr>
        <w:spacing w:line="240" w:lineRule="auto"/>
        <w:rPr>
          <w:rFonts w:eastAsia="Times New Roman" w:cs="Arial"/>
          <w:color w:val="000000"/>
          <w:lang w:eastAsia="bg-BG"/>
        </w:rPr>
      </w:pPr>
    </w:p>
    <w:p w14:paraId="0DDF5790" w14:textId="75D35322"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lastRenderedPageBreak/>
        <w:t>При здрави хора и животни амлодипин не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48FA24A9" w14:textId="77777777" w:rsidR="00285FB8" w:rsidRPr="00285FB8" w:rsidRDefault="00285FB8" w:rsidP="00285FB8">
      <w:pPr>
        <w:spacing w:line="240" w:lineRule="auto"/>
        <w:rPr>
          <w:rFonts w:eastAsia="Times New Roman" w:cs="Arial"/>
          <w:color w:val="000000"/>
          <w:lang w:eastAsia="bg-BG"/>
        </w:rPr>
      </w:pPr>
    </w:p>
    <w:p w14:paraId="4C2EF452" w14:textId="10D4A63D"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документирана исхемична болест на сърцето.</w:t>
      </w:r>
    </w:p>
    <w:p w14:paraId="7A0F1046" w14:textId="77777777" w:rsidR="00285FB8" w:rsidRPr="00285FB8" w:rsidRDefault="00285FB8" w:rsidP="00285FB8">
      <w:pPr>
        <w:spacing w:line="240" w:lineRule="auto"/>
        <w:rPr>
          <w:rFonts w:eastAsia="Times New Roman" w:cs="Arial"/>
          <w:i/>
          <w:iCs/>
          <w:color w:val="000000"/>
          <w:u w:val="single"/>
          <w:lang w:eastAsia="bg-BG"/>
        </w:rPr>
      </w:pPr>
    </w:p>
    <w:p w14:paraId="405FD2CB" w14:textId="3F5D5191"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Клинична ефикасност и безопасност</w:t>
      </w:r>
    </w:p>
    <w:p w14:paraId="372689E4"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lang w:eastAsia="bg-BG"/>
        </w:rPr>
        <w:t>Употреба при пациенти с хипертония</w:t>
      </w:r>
    </w:p>
    <w:p w14:paraId="5C84C8FE"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Рандомизирано двойно-сляпо проучване за заболеваемост и смъртност </w:t>
      </w:r>
      <w:r w:rsidRPr="00285FB8">
        <w:rPr>
          <w:rFonts w:eastAsia="Times New Roman" w:cs="Arial"/>
          <w:color w:val="000000"/>
          <w:lang w:val="en-US"/>
        </w:rPr>
        <w:t>ALLHAT</w:t>
      </w:r>
    </w:p>
    <w:p w14:paraId="6D1F97F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(Антихипертензивно и липидопонижаващо лечение за профилактика на</w:t>
      </w:r>
      <w:r w:rsidRPr="00285FB8">
        <w:rPr>
          <w:rFonts w:eastAsia="Times New Roman" w:cs="Arial"/>
          <w:color w:val="000000"/>
          <w:lang w:val="en-US"/>
        </w:rPr>
        <w:t xml:space="preserve"> </w:t>
      </w:r>
      <w:r w:rsidRPr="00285FB8">
        <w:rPr>
          <w:rFonts w:eastAsia="Times New Roman" w:cs="Arial"/>
          <w:color w:val="000000"/>
          <w:lang w:eastAsia="bg-BG"/>
        </w:rPr>
        <w:t>сърдечен пристъп)</w:t>
      </w:r>
    </w:p>
    <w:p w14:paraId="7E6E31AB" w14:textId="77777777" w:rsidR="00285FB8" w:rsidRPr="00285FB8" w:rsidRDefault="00285FB8" w:rsidP="00285FB8">
      <w:pPr>
        <w:rPr>
          <w:rFonts w:eastAsia="Times New Roman" w:cs="Arial"/>
          <w:lang w:eastAsia="bg-BG"/>
        </w:rPr>
      </w:pPr>
      <w:r w:rsidRPr="00285FB8">
        <w:rPr>
          <w:rFonts w:eastAsia="Times New Roman" w:cs="Arial"/>
          <w:color w:val="000000"/>
          <w:lang w:val="en-US"/>
        </w:rPr>
        <w:t xml:space="preserve">(Antihypertensive and Lipid-Lowering treatment to prevent Heart Attack Trial) </w:t>
      </w:r>
      <w:r w:rsidRPr="00285FB8">
        <w:rPr>
          <w:rFonts w:eastAsia="Times New Roman" w:cs="Arial"/>
          <w:color w:val="000000"/>
          <w:lang w:eastAsia="bg-BG"/>
        </w:rPr>
        <w:t>е проведено с цел</w:t>
      </w:r>
      <w:r w:rsidRPr="00285FB8">
        <w:rPr>
          <w:rFonts w:eastAsia="Times New Roman" w:cs="Arial"/>
          <w:color w:val="000000"/>
          <w:lang w:val="en-US" w:eastAsia="bg-BG"/>
        </w:rPr>
        <w:t xml:space="preserve"> </w:t>
      </w:r>
      <w:r w:rsidRPr="00285FB8">
        <w:rPr>
          <w:rFonts w:eastAsia="Times New Roman" w:cs="Arial"/>
          <w:color w:val="000000"/>
          <w:lang w:eastAsia="bg-BG"/>
        </w:rPr>
        <w:t xml:space="preserve">сравняване на новите терапии: амлодипин 2,5-10 </w:t>
      </w:r>
      <w:r w:rsidRPr="00285FB8">
        <w:rPr>
          <w:rFonts w:eastAsia="Times New Roman" w:cs="Arial"/>
          <w:color w:val="000000"/>
          <w:lang w:val="en-US"/>
        </w:rPr>
        <w:t>mg</w:t>
      </w:r>
      <w:r w:rsidRPr="00285FB8">
        <w:rPr>
          <w:rFonts w:eastAsia="Times New Roman" w:cs="Arial"/>
          <w:color w:val="000000"/>
          <w:lang w:eastAsia="bg-BG"/>
        </w:rPr>
        <w:t xml:space="preserve">/ден (калциев антагонист) или лизиноприл 10-40 </w:t>
      </w:r>
      <w:r w:rsidRPr="00285FB8">
        <w:rPr>
          <w:rFonts w:eastAsia="Times New Roman" w:cs="Arial"/>
          <w:color w:val="000000"/>
          <w:lang w:val="en-US"/>
        </w:rPr>
        <w:t>mg</w:t>
      </w:r>
      <w:r w:rsidRPr="00285FB8">
        <w:rPr>
          <w:rFonts w:eastAsia="Times New Roman" w:cs="Arial"/>
          <w:color w:val="000000"/>
          <w:lang w:eastAsia="bg-BG"/>
        </w:rPr>
        <w:t xml:space="preserve">/ден (АСЕ инхибитор) с тиазидния диуретик хлорталидон 12,5-25 </w:t>
      </w:r>
      <w:r w:rsidRPr="00285FB8">
        <w:rPr>
          <w:rFonts w:eastAsia="Times New Roman" w:cs="Arial"/>
          <w:color w:val="000000"/>
          <w:lang w:val="en-US"/>
        </w:rPr>
        <w:t>mg</w:t>
      </w:r>
      <w:r w:rsidRPr="00285FB8">
        <w:rPr>
          <w:rFonts w:eastAsia="Times New Roman" w:cs="Arial"/>
          <w:color w:val="000000"/>
          <w:lang w:eastAsia="bg-BG"/>
        </w:rPr>
        <w:t>/ден като лечение от първа линия при пациенти с лека до умерена хипертония.</w:t>
      </w:r>
    </w:p>
    <w:p w14:paraId="0D90DCEF" w14:textId="77777777" w:rsidR="00285FB8" w:rsidRPr="00285FB8" w:rsidRDefault="00285FB8" w:rsidP="00285FB8">
      <w:pPr>
        <w:spacing w:line="240" w:lineRule="auto"/>
        <w:rPr>
          <w:rFonts w:eastAsia="Times New Roman" w:cs="Arial"/>
          <w:color w:val="000000"/>
          <w:lang w:eastAsia="bg-BG"/>
        </w:rPr>
      </w:pPr>
    </w:p>
    <w:p w14:paraId="64745857" w14:textId="10A463AF"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исхемична болест на сърцето, включително предшестващ миокарден инфаркт или инсулт (&gt;6 месеца преди включване в проучването) или доказано друго атеросклеротично сърдечно</w:t>
      </w:r>
      <w:r w:rsidRPr="00285FB8">
        <w:rPr>
          <w:rFonts w:eastAsia="Times New Roman" w:cs="Arial"/>
          <w:color w:val="000000"/>
          <w:lang w:eastAsia="bg-BG"/>
        </w:rPr>
        <w:softHyphen/>
        <w:t xml:space="preserve">съдово заболяване (над 51,5%), захарен диабет тип 2 (36,1%), липопротеини с висока плътност - холестерол &lt;35 </w:t>
      </w:r>
      <w:r w:rsidRPr="00285FB8">
        <w:rPr>
          <w:rFonts w:eastAsia="Times New Roman" w:cs="Arial"/>
          <w:color w:val="000000"/>
          <w:lang w:val="en-US"/>
        </w:rPr>
        <w:t xml:space="preserve">mg/dl </w:t>
      </w:r>
      <w:r w:rsidRPr="00285FB8">
        <w:rPr>
          <w:rFonts w:eastAsia="Times New Roman" w:cs="Arial"/>
          <w:color w:val="000000"/>
          <w:lang w:eastAsia="bg-BG"/>
        </w:rPr>
        <w:t xml:space="preserve">или &lt;0,906 </w:t>
      </w:r>
      <w:r w:rsidRPr="00285FB8">
        <w:rPr>
          <w:rFonts w:eastAsia="Times New Roman" w:cs="Arial"/>
          <w:color w:val="000000"/>
          <w:lang w:val="en-US"/>
        </w:rPr>
        <w:t xml:space="preserve">mmol/l </w:t>
      </w:r>
      <w:r w:rsidRPr="00285FB8">
        <w:rPr>
          <w:rFonts w:eastAsia="Times New Roman" w:cs="Arial"/>
          <w:color w:val="000000"/>
          <w:lang w:eastAsia="bg-BG"/>
        </w:rPr>
        <w:t>(11,6%), левокамерна хипертрофия, диагностицирана чрез електрокардиограма или ехокардиографски (20,9%), настоящи пушачи (21,9%).</w:t>
      </w:r>
    </w:p>
    <w:p w14:paraId="6F86E877" w14:textId="77777777" w:rsidR="00285FB8" w:rsidRPr="00285FB8" w:rsidRDefault="00285FB8" w:rsidP="00285FB8">
      <w:pPr>
        <w:spacing w:line="240" w:lineRule="auto"/>
        <w:rPr>
          <w:rFonts w:eastAsia="Times New Roman" w:cs="Arial"/>
          <w:color w:val="000000"/>
          <w:lang w:eastAsia="bg-BG"/>
        </w:rPr>
      </w:pPr>
    </w:p>
    <w:p w14:paraId="5E6DFF1C" w14:textId="097884AF"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285FB8">
        <w:rPr>
          <w:rFonts w:eastAsia="Times New Roman" w:cs="Arial"/>
          <w:color w:val="000000"/>
          <w:lang w:val="en-US"/>
        </w:rPr>
        <w:t xml:space="preserve">CI </w:t>
      </w:r>
      <w:r w:rsidRPr="00285FB8">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285FB8">
        <w:rPr>
          <w:rFonts w:eastAsia="Times New Roman" w:cs="Arial"/>
          <w:color w:val="000000"/>
          <w:lang w:val="en-US"/>
        </w:rPr>
        <w:t xml:space="preserve">RR </w:t>
      </w:r>
      <w:r w:rsidRPr="00285FB8">
        <w:rPr>
          <w:rFonts w:eastAsia="Times New Roman" w:cs="Arial"/>
          <w:color w:val="000000"/>
          <w:lang w:eastAsia="bg-BG"/>
        </w:rPr>
        <w:t xml:space="preserve">1,38,95% </w:t>
      </w:r>
      <w:r w:rsidRPr="00285FB8">
        <w:rPr>
          <w:rFonts w:eastAsia="Times New Roman" w:cs="Arial"/>
          <w:color w:val="000000"/>
          <w:lang w:val="en-US"/>
        </w:rPr>
        <w:t xml:space="preserve">CI </w:t>
      </w:r>
      <w:r w:rsidRPr="00285FB8">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285FB8">
        <w:rPr>
          <w:rFonts w:eastAsia="Times New Roman" w:cs="Arial"/>
          <w:color w:val="000000"/>
          <w:lang w:val="en-US"/>
        </w:rPr>
        <w:t xml:space="preserve">RR </w:t>
      </w:r>
      <w:r w:rsidRPr="00285FB8">
        <w:rPr>
          <w:rFonts w:eastAsia="Times New Roman" w:cs="Arial"/>
          <w:color w:val="000000"/>
          <w:lang w:eastAsia="bg-BG"/>
        </w:rPr>
        <w:t xml:space="preserve">0,96 95% </w:t>
      </w:r>
      <w:r w:rsidRPr="00285FB8">
        <w:rPr>
          <w:rFonts w:eastAsia="Times New Roman" w:cs="Arial"/>
          <w:color w:val="000000"/>
          <w:lang w:val="en-US"/>
        </w:rPr>
        <w:t xml:space="preserve">CI </w:t>
      </w:r>
      <w:r w:rsidRPr="00285FB8">
        <w:rPr>
          <w:rFonts w:eastAsia="Times New Roman" w:cs="Arial"/>
          <w:color w:val="000000"/>
          <w:lang w:eastAsia="bg-BG"/>
        </w:rPr>
        <w:t>[0,89-1,02] р=0,20.</w:t>
      </w:r>
    </w:p>
    <w:p w14:paraId="49CFCC55" w14:textId="77777777" w:rsidR="00285FB8" w:rsidRPr="00285FB8" w:rsidRDefault="00285FB8" w:rsidP="00285FB8">
      <w:pPr>
        <w:spacing w:line="240" w:lineRule="auto"/>
        <w:rPr>
          <w:rFonts w:eastAsia="Times New Roman" w:cs="Arial"/>
          <w:color w:val="000000"/>
          <w:u w:val="single"/>
          <w:lang w:eastAsia="bg-BG"/>
        </w:rPr>
      </w:pPr>
    </w:p>
    <w:p w14:paraId="3CE0B887" w14:textId="25911498"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Валсартан</w:t>
      </w:r>
    </w:p>
    <w:p w14:paraId="1413E757"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Механизъм на действие</w:t>
      </w:r>
    </w:p>
    <w:p w14:paraId="5A9EB55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285FB8">
        <w:rPr>
          <w:rFonts w:eastAsia="Times New Roman" w:cs="Arial"/>
          <w:color w:val="000000"/>
          <w:lang w:val="en-US"/>
        </w:rPr>
        <w:t xml:space="preserve">AT1 </w:t>
      </w:r>
      <w:r w:rsidRPr="00285FB8">
        <w:rPr>
          <w:rFonts w:eastAsia="Times New Roman" w:cs="Arial"/>
          <w:color w:val="000000"/>
          <w:lang w:eastAsia="bg-BG"/>
        </w:rPr>
        <w:t>рецепторния подтип, който е отговорен за познатите въздействия на ангиотензин II.</w:t>
      </w:r>
    </w:p>
    <w:p w14:paraId="5097F8BB" w14:textId="77777777" w:rsidR="00285FB8" w:rsidRPr="00285FB8" w:rsidRDefault="00285FB8" w:rsidP="00285FB8">
      <w:pPr>
        <w:spacing w:line="240" w:lineRule="auto"/>
        <w:rPr>
          <w:rFonts w:eastAsia="Times New Roman" w:cs="Arial"/>
          <w:i/>
          <w:iCs/>
          <w:color w:val="000000"/>
          <w:u w:val="single"/>
          <w:lang w:eastAsia="bg-BG"/>
        </w:rPr>
      </w:pPr>
    </w:p>
    <w:p w14:paraId="159FC86A" w14:textId="43DEACCC"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Клинична ефикасност и безопасност</w:t>
      </w:r>
    </w:p>
    <w:p w14:paraId="2DD83D0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174AC39D" w14:textId="77777777" w:rsidR="00285FB8" w:rsidRPr="00285FB8" w:rsidRDefault="00285FB8" w:rsidP="00285FB8">
      <w:pPr>
        <w:spacing w:line="240" w:lineRule="auto"/>
        <w:rPr>
          <w:rFonts w:eastAsia="Times New Roman" w:cs="Arial"/>
          <w:color w:val="000000"/>
          <w:lang w:eastAsia="bg-BG"/>
        </w:rPr>
      </w:pPr>
    </w:p>
    <w:p w14:paraId="5BA95FE6" w14:textId="0A69C8D8"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При повечето пациенти, след еднократен перорален прием, началото на антихипертензивното действие е в рамките на 2 часа, а пика в понижаването на </w:t>
      </w:r>
      <w:r w:rsidRPr="00285FB8">
        <w:rPr>
          <w:rFonts w:eastAsia="Times New Roman" w:cs="Arial"/>
          <w:color w:val="000000"/>
          <w:lang w:eastAsia="bg-BG"/>
        </w:rPr>
        <w:lastRenderedPageBreak/>
        <w:t>артериалното налягане се достига в рамките на 4-6 часа. Антихипертензивният ефект продължава повече от 24 часа след приема. При многократно приложение максимална редукция на артериалното налягане с всяка доза, обикновено се постига в рамките на 2-4 седмици.</w:t>
      </w:r>
    </w:p>
    <w:p w14:paraId="0E41B92E" w14:textId="77777777" w:rsidR="00285FB8" w:rsidRPr="00285FB8" w:rsidRDefault="00285FB8" w:rsidP="00285FB8">
      <w:pPr>
        <w:spacing w:line="240" w:lineRule="auto"/>
        <w:rPr>
          <w:rFonts w:eastAsia="Times New Roman" w:cs="Arial"/>
          <w:color w:val="000000"/>
          <w:u w:val="single"/>
          <w:lang w:eastAsia="bg-BG"/>
        </w:rPr>
      </w:pPr>
    </w:p>
    <w:p w14:paraId="0BD0E328" w14:textId="712E09FA"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Хидрохлоротиазид</w:t>
      </w:r>
    </w:p>
    <w:p w14:paraId="67A73EE2"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Механизъм на действие</w:t>
      </w:r>
    </w:p>
    <w:p w14:paraId="16245DA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транспорта на </w:t>
      </w:r>
      <w:r w:rsidRPr="00285FB8">
        <w:rPr>
          <w:rFonts w:eastAsia="Times New Roman" w:cs="Arial"/>
          <w:color w:val="000000"/>
          <w:lang w:val="en-US"/>
        </w:rPr>
        <w:t xml:space="preserve">NaCl </w:t>
      </w:r>
      <w:r w:rsidRPr="00285FB8">
        <w:rPr>
          <w:rFonts w:eastAsia="Times New Roman" w:cs="Arial"/>
          <w:color w:val="000000"/>
          <w:lang w:eastAsia="bg-BG"/>
        </w:rPr>
        <w:t xml:space="preserve">в дисталните извити каналчета. Тиазидните диуретици действат чрез инхибиране на </w:t>
      </w:r>
      <w:proofErr w:type="spellStart"/>
      <w:r w:rsidRPr="00285FB8">
        <w:rPr>
          <w:rFonts w:eastAsia="Times New Roman" w:cs="Arial"/>
          <w:color w:val="000000"/>
          <w:lang w:val="en-US"/>
        </w:rPr>
        <w:t>Na+Cl</w:t>
      </w:r>
      <w:proofErr w:type="spellEnd"/>
      <w:r w:rsidRPr="00285FB8">
        <w:rPr>
          <w:rFonts w:eastAsia="Times New Roman" w:cs="Arial"/>
          <w:color w:val="000000"/>
          <w:lang w:val="en-US"/>
        </w:rPr>
        <w:t xml:space="preserve">- </w:t>
      </w:r>
      <w:r w:rsidRPr="00285FB8">
        <w:rPr>
          <w:rFonts w:eastAsia="Times New Roman" w:cs="Arial"/>
          <w:color w:val="000000"/>
          <w:lang w:eastAsia="bg-BG"/>
        </w:rPr>
        <w:t>симпортер, вероятно чрез конкуриране за мястото за свързване на С</w:t>
      </w:r>
      <w:r w:rsidRPr="00285FB8">
        <w:rPr>
          <w:rFonts w:eastAsia="Times New Roman" w:cs="Arial"/>
          <w:color w:val="000000"/>
          <w:lang w:val="en-US"/>
        </w:rPr>
        <w:t>l</w:t>
      </w:r>
      <w:r w:rsidRPr="00285FB8">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51D191C7" w14:textId="77777777" w:rsidR="00285FB8" w:rsidRPr="00285FB8" w:rsidRDefault="00285FB8" w:rsidP="00285FB8">
      <w:pPr>
        <w:spacing w:line="240" w:lineRule="auto"/>
        <w:rPr>
          <w:rFonts w:eastAsia="Times New Roman" w:cs="Arial"/>
          <w:color w:val="000000"/>
          <w:u w:val="single"/>
          <w:lang w:eastAsia="bg-BG"/>
        </w:rPr>
      </w:pPr>
    </w:p>
    <w:p w14:paraId="0C290185" w14:textId="2A3F19E8"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Немеланомен рак на кожата</w:t>
      </w:r>
    </w:p>
    <w:p w14:paraId="1C2C13D9"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хидрохлоротиазид и НМРК. Едно проучване включва</w:t>
      </w:r>
    </w:p>
    <w:p w14:paraId="62023F1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популация, състояща се от 71 533 случаи на БКК и 8 629 случаи на СКК и популация от</w:t>
      </w:r>
    </w:p>
    <w:p w14:paraId="0C2365C3" w14:textId="77777777" w:rsidR="00285FB8" w:rsidRPr="00285FB8" w:rsidRDefault="00285FB8" w:rsidP="00285FB8">
      <w:pPr>
        <w:rPr>
          <w:rFonts w:eastAsia="Times New Roman" w:cs="Arial"/>
          <w:lang w:eastAsia="bg-BG"/>
        </w:rPr>
      </w:pPr>
      <w:r w:rsidRPr="00285FB8">
        <w:rPr>
          <w:rFonts w:eastAsia="Times New Roman" w:cs="Arial"/>
          <w:color w:val="000000"/>
          <w:lang w:eastAsia="bg-BG"/>
        </w:rPr>
        <w:t xml:space="preserve">съответно 1 430 833 и 172 462 подходящи контроли. Високата употреба на хидрохлоротиазид (кумулативно ≥50 000 </w:t>
      </w:r>
      <w:r w:rsidRPr="00285FB8">
        <w:rPr>
          <w:rFonts w:eastAsia="Times New Roman" w:cs="Arial"/>
          <w:color w:val="000000"/>
          <w:lang w:val="en-US"/>
        </w:rPr>
        <w:t xml:space="preserve">mg) </w:t>
      </w:r>
      <w:r w:rsidRPr="00285FB8">
        <w:rPr>
          <w:rFonts w:eastAsia="Times New Roman" w:cs="Arial"/>
          <w:color w:val="000000"/>
          <w:lang w:eastAsia="bg-BG"/>
        </w:rPr>
        <w:t>е свързана с коригирано отношение на шансовете (</w:t>
      </w:r>
      <w:r w:rsidRPr="00285FB8">
        <w:rPr>
          <w:rFonts w:eastAsia="Times New Roman" w:cs="Arial"/>
          <w:color w:val="000000"/>
          <w:lang w:val="en-US"/>
        </w:rPr>
        <w:t>OR</w:t>
      </w:r>
      <w:r w:rsidRPr="00285FB8">
        <w:rPr>
          <w:rFonts w:eastAsia="Times New Roman" w:cs="Arial"/>
          <w:color w:val="000000"/>
          <w:lang w:eastAsia="bg-BG"/>
        </w:rPr>
        <w:t>) 1,29</w:t>
      </w:r>
      <w:r w:rsidRPr="00285FB8">
        <w:rPr>
          <w:rFonts w:eastAsia="Times New Roman" w:cs="Arial"/>
          <w:color w:val="000000"/>
          <w:lang w:val="en-US"/>
        </w:rPr>
        <w:t xml:space="preserve"> (95% Cl</w:t>
      </w:r>
      <w:r w:rsidRPr="00285FB8">
        <w:rPr>
          <w:rFonts w:eastAsia="Times New Roman" w:cs="Arial"/>
          <w:color w:val="000000"/>
          <w:lang w:val="en-US"/>
        </w:rPr>
        <w:t xml:space="preserve"> </w:t>
      </w:r>
      <w:r w:rsidRPr="00285FB8">
        <w:rPr>
          <w:rFonts w:eastAsia="Times New Roman" w:cs="Arial"/>
          <w:color w:val="000000"/>
          <w:lang w:eastAsia="bg-BG"/>
        </w:rPr>
        <w:t xml:space="preserve">1,23-1,35) за БКК и 3,98 (95% </w:t>
      </w:r>
      <w:r w:rsidRPr="00285FB8">
        <w:rPr>
          <w:rFonts w:eastAsia="Times New Roman" w:cs="Arial"/>
          <w:color w:val="000000"/>
          <w:lang w:val="en-US"/>
        </w:rPr>
        <w:t xml:space="preserve">CI: </w:t>
      </w:r>
      <w:r w:rsidRPr="00285FB8">
        <w:rPr>
          <w:rFonts w:eastAsia="Times New Roman" w:cs="Arial"/>
          <w:color w:val="000000"/>
          <w:lang w:eastAsia="bg-BG"/>
        </w:rPr>
        <w:t xml:space="preserve">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хидрохлоротиазид: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285FB8">
        <w:rPr>
          <w:rFonts w:eastAsia="Times New Roman" w:cs="Arial"/>
          <w:color w:val="000000"/>
          <w:lang w:val="en-US"/>
        </w:rPr>
        <w:t xml:space="preserve">OR </w:t>
      </w:r>
      <w:r w:rsidRPr="00285FB8">
        <w:rPr>
          <w:rFonts w:eastAsia="Times New Roman" w:cs="Arial"/>
          <w:color w:val="000000"/>
          <w:lang w:eastAsia="bg-BG"/>
        </w:rPr>
        <w:t xml:space="preserve">2,1 </w:t>
      </w:r>
      <w:r w:rsidRPr="00285FB8">
        <w:rPr>
          <w:rFonts w:eastAsia="Times New Roman" w:cs="Arial"/>
          <w:i/>
          <w:iCs/>
          <w:color w:val="000000"/>
          <w:lang w:eastAsia="bg-BG"/>
        </w:rPr>
        <w:t xml:space="preserve">(95% </w:t>
      </w:r>
      <w:r w:rsidRPr="00285FB8">
        <w:rPr>
          <w:rFonts w:eastAsia="Times New Roman" w:cs="Arial"/>
          <w:i/>
          <w:iCs/>
          <w:color w:val="000000"/>
          <w:lang w:val="en-US"/>
        </w:rPr>
        <w:t>CI:</w:t>
      </w:r>
      <w:r w:rsidRPr="00285FB8">
        <w:rPr>
          <w:rFonts w:eastAsia="Times New Roman" w:cs="Arial"/>
          <w:color w:val="000000"/>
          <w:lang w:val="en-US"/>
        </w:rPr>
        <w:t xml:space="preserve"> </w:t>
      </w:r>
      <w:r w:rsidRPr="00285FB8">
        <w:rPr>
          <w:rFonts w:eastAsia="Times New Roman" w:cs="Arial"/>
          <w:color w:val="000000"/>
          <w:lang w:eastAsia="bg-BG"/>
        </w:rPr>
        <w:t xml:space="preserve">1,7-2,6), нарастващ до </w:t>
      </w:r>
      <w:r w:rsidRPr="00285FB8">
        <w:rPr>
          <w:rFonts w:eastAsia="Times New Roman" w:cs="Arial"/>
          <w:color w:val="000000"/>
          <w:lang w:val="en-US"/>
        </w:rPr>
        <w:t xml:space="preserve">OR </w:t>
      </w:r>
      <w:r w:rsidRPr="00285FB8">
        <w:rPr>
          <w:rFonts w:eastAsia="Times New Roman" w:cs="Arial"/>
          <w:color w:val="000000"/>
          <w:lang w:eastAsia="bg-BG"/>
        </w:rPr>
        <w:t xml:space="preserve">3,9 (3,0- 4,9) за висока употреба (-25 000 </w:t>
      </w:r>
      <w:r w:rsidRPr="00285FB8">
        <w:rPr>
          <w:rFonts w:eastAsia="Times New Roman" w:cs="Arial"/>
          <w:color w:val="000000"/>
          <w:lang w:val="en-US"/>
        </w:rPr>
        <w:t xml:space="preserve">mg) </w:t>
      </w:r>
      <w:r w:rsidRPr="00285FB8">
        <w:rPr>
          <w:rFonts w:eastAsia="Times New Roman" w:cs="Arial"/>
          <w:color w:val="000000"/>
          <w:lang w:eastAsia="bg-BG"/>
        </w:rPr>
        <w:t xml:space="preserve">и </w:t>
      </w:r>
      <w:r w:rsidRPr="00285FB8">
        <w:rPr>
          <w:rFonts w:eastAsia="Times New Roman" w:cs="Arial"/>
          <w:color w:val="000000"/>
          <w:lang w:val="en-US"/>
        </w:rPr>
        <w:t xml:space="preserve">OR </w:t>
      </w:r>
      <w:r w:rsidRPr="00285FB8">
        <w:rPr>
          <w:rFonts w:eastAsia="Times New Roman" w:cs="Arial"/>
          <w:color w:val="000000"/>
          <w:lang w:eastAsia="bg-BG"/>
        </w:rPr>
        <w:t xml:space="preserve">7,7 (5,7-10,5) за най-високата кумулативна доза (-100 000 </w:t>
      </w:r>
      <w:r w:rsidRPr="00285FB8">
        <w:rPr>
          <w:rFonts w:eastAsia="Times New Roman" w:cs="Arial"/>
          <w:color w:val="000000"/>
          <w:lang w:val="en-US"/>
        </w:rPr>
        <w:t xml:space="preserve">mg) </w:t>
      </w:r>
      <w:r w:rsidRPr="00285FB8">
        <w:rPr>
          <w:rFonts w:eastAsia="Times New Roman" w:cs="Arial"/>
          <w:color w:val="000000"/>
          <w:lang w:eastAsia="bg-BG"/>
        </w:rPr>
        <w:t>(вж. също точка 4.4).</w:t>
      </w:r>
    </w:p>
    <w:p w14:paraId="26BD7F07" w14:textId="77777777" w:rsidR="00285FB8" w:rsidRPr="00285FB8" w:rsidRDefault="00285FB8" w:rsidP="00285FB8">
      <w:pPr>
        <w:spacing w:line="240" w:lineRule="auto"/>
        <w:rPr>
          <w:rFonts w:eastAsia="Times New Roman" w:cs="Arial"/>
          <w:color w:val="000000"/>
          <w:u w:val="single"/>
          <w:lang w:eastAsia="bg-BG"/>
        </w:rPr>
      </w:pPr>
    </w:p>
    <w:p w14:paraId="4503B1C5" w14:textId="6DEFE1FC"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Педиатрична популация</w:t>
      </w:r>
    </w:p>
    <w:p w14:paraId="39C7BAC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референтния лекарствен продукт, съдържащ амлодипин/валсартан/хидрохлоротиазид във всички подгрупи на педиатричната популация при есенциална хипертония (вж. точка 4.2 за информация относно употреба в педиатрията).</w:t>
      </w:r>
    </w:p>
    <w:p w14:paraId="0F98E024" w14:textId="77777777" w:rsidR="00285FB8" w:rsidRPr="00285FB8" w:rsidRDefault="00285FB8" w:rsidP="00285FB8">
      <w:pPr>
        <w:spacing w:line="240" w:lineRule="auto"/>
        <w:rPr>
          <w:rFonts w:eastAsia="Times New Roman" w:cs="Arial"/>
          <w:color w:val="000000"/>
          <w:u w:val="single"/>
          <w:lang w:eastAsia="bg-BG"/>
        </w:rPr>
      </w:pPr>
    </w:p>
    <w:p w14:paraId="3E55CA9F" w14:textId="4EBEFA65"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 xml:space="preserve">Други: двойно блокиране на ренин ангиотензин -алдостероновата система (РААС) </w:t>
      </w:r>
      <w:r w:rsidRPr="00285FB8">
        <w:rPr>
          <w:rFonts w:eastAsia="Times New Roman" w:cs="Arial"/>
          <w:color w:val="000000"/>
          <w:lang w:eastAsia="bg-BG"/>
        </w:rPr>
        <w:t xml:space="preserve">Две големи рандомизирани контролирани проучвания - </w:t>
      </w:r>
      <w:r w:rsidRPr="00285FB8">
        <w:rPr>
          <w:rFonts w:eastAsia="Times New Roman" w:cs="Arial"/>
          <w:color w:val="000000"/>
          <w:lang w:val="en-US"/>
        </w:rPr>
        <w:t>ONTARGET (</w:t>
      </w:r>
      <w:proofErr w:type="spellStart"/>
      <w:r w:rsidRPr="00285FB8">
        <w:rPr>
          <w:rFonts w:eastAsia="Times New Roman" w:cs="Arial"/>
          <w:color w:val="000000"/>
          <w:lang w:val="en-US"/>
        </w:rPr>
        <w:t>ONgoing</w:t>
      </w:r>
      <w:proofErr w:type="spellEnd"/>
      <w:r w:rsidRPr="00285FB8">
        <w:rPr>
          <w:rFonts w:eastAsia="Times New Roman" w:cs="Arial"/>
          <w:color w:val="000000"/>
          <w:lang w:val="en-US"/>
        </w:rPr>
        <w:t xml:space="preserve"> </w:t>
      </w:r>
      <w:proofErr w:type="spellStart"/>
      <w:r w:rsidRPr="00285FB8">
        <w:rPr>
          <w:rFonts w:eastAsia="Times New Roman" w:cs="Arial"/>
          <w:color w:val="000000"/>
          <w:lang w:val="en-US"/>
        </w:rPr>
        <w:t>Tehnisartan</w:t>
      </w:r>
      <w:proofErr w:type="spellEnd"/>
      <w:r w:rsidRPr="00285FB8">
        <w:rPr>
          <w:rFonts w:eastAsia="Times New Roman" w:cs="Arial"/>
          <w:color w:val="000000"/>
          <w:lang w:val="en-US"/>
        </w:rPr>
        <w:t xml:space="preserve"> Alone and in combination with Ramipril Global Endpoint Trial - </w:t>
      </w:r>
      <w:r w:rsidRPr="00285FB8">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85FB8">
        <w:rPr>
          <w:rFonts w:eastAsia="Times New Roman" w:cs="Arial"/>
          <w:color w:val="000000"/>
          <w:lang w:val="en-US"/>
        </w:rPr>
        <w:t xml:space="preserve">VA NEPHRON-D </w:t>
      </w:r>
      <w:r w:rsidRPr="00285FB8">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5F6451F6" w14:textId="77777777" w:rsidR="00285FB8" w:rsidRPr="00285FB8" w:rsidRDefault="00285FB8" w:rsidP="00285FB8">
      <w:pPr>
        <w:spacing w:line="240" w:lineRule="auto"/>
        <w:rPr>
          <w:rFonts w:eastAsia="Times New Roman" w:cs="Arial"/>
          <w:color w:val="000000"/>
          <w:lang w:val="en-US"/>
        </w:rPr>
      </w:pPr>
    </w:p>
    <w:p w14:paraId="7C4B1D89" w14:textId="76DB8AAF" w:rsidR="00285FB8" w:rsidRPr="00285FB8" w:rsidRDefault="00285FB8" w:rsidP="00285FB8">
      <w:pPr>
        <w:spacing w:line="240" w:lineRule="auto"/>
        <w:rPr>
          <w:rFonts w:eastAsia="Times New Roman" w:cs="Arial"/>
          <w:lang w:eastAsia="bg-BG"/>
        </w:rPr>
      </w:pPr>
      <w:r w:rsidRPr="00285FB8">
        <w:rPr>
          <w:rFonts w:eastAsia="Times New Roman" w:cs="Arial"/>
          <w:color w:val="000000"/>
          <w:lang w:val="en-US"/>
        </w:rPr>
        <w:lastRenderedPageBreak/>
        <w:t xml:space="preserve">ONTARGET </w:t>
      </w:r>
      <w:r w:rsidRPr="00285FB8">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285FB8">
        <w:rPr>
          <w:rFonts w:eastAsia="Times New Roman" w:cs="Arial"/>
          <w:color w:val="000000"/>
          <w:lang w:val="en-US"/>
        </w:rPr>
        <w:t xml:space="preserve">VA NEPHRON-D </w:t>
      </w:r>
      <w:r w:rsidRPr="00285FB8">
        <w:rPr>
          <w:rFonts w:eastAsia="Times New Roman" w:cs="Arial"/>
          <w:color w:val="000000"/>
          <w:lang w:eastAsia="bg-BG"/>
        </w:rPr>
        <w:t>е проучване при пациенти със захарен диабет тип 2 и диабетна нефропатия.</w:t>
      </w:r>
    </w:p>
    <w:p w14:paraId="41D35771" w14:textId="77777777" w:rsidR="00285FB8" w:rsidRPr="00285FB8" w:rsidRDefault="00285FB8" w:rsidP="00285FB8">
      <w:pPr>
        <w:spacing w:line="240" w:lineRule="auto"/>
        <w:rPr>
          <w:rFonts w:eastAsia="Times New Roman" w:cs="Arial"/>
          <w:color w:val="000000"/>
          <w:lang w:eastAsia="bg-BG"/>
        </w:rPr>
      </w:pPr>
    </w:p>
    <w:p w14:paraId="68B9008F" w14:textId="26A923E9"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Тези проучвания не показват значим благоприятен ефект върху бъбречните и/или сърдечно</w:t>
      </w:r>
      <w:r w:rsidRPr="00285FB8">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024217D4" w14:textId="77777777" w:rsidR="00285FB8" w:rsidRPr="00285FB8" w:rsidRDefault="00285FB8" w:rsidP="00285FB8">
      <w:pPr>
        <w:spacing w:line="240" w:lineRule="auto"/>
        <w:rPr>
          <w:rFonts w:eastAsia="Times New Roman" w:cs="Arial"/>
          <w:color w:val="000000"/>
          <w:lang w:eastAsia="bg-BG"/>
        </w:rPr>
      </w:pPr>
    </w:p>
    <w:p w14:paraId="1C576E74" w14:textId="63CE73EC"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4DF65A72" w14:textId="77777777" w:rsidR="00285FB8" w:rsidRPr="00285FB8" w:rsidRDefault="00285FB8" w:rsidP="00285FB8">
      <w:pPr>
        <w:spacing w:line="240" w:lineRule="auto"/>
        <w:rPr>
          <w:rFonts w:eastAsia="Times New Roman" w:cs="Arial"/>
          <w:color w:val="000000"/>
          <w:lang w:val="en-US"/>
        </w:rPr>
      </w:pPr>
    </w:p>
    <w:p w14:paraId="61351F52" w14:textId="3C98D37E" w:rsidR="00285FB8" w:rsidRPr="00285FB8" w:rsidRDefault="00285FB8" w:rsidP="00285FB8">
      <w:pPr>
        <w:spacing w:line="240" w:lineRule="auto"/>
        <w:rPr>
          <w:rFonts w:eastAsia="Times New Roman" w:cs="Arial"/>
          <w:lang w:eastAsia="bg-BG"/>
        </w:rPr>
      </w:pPr>
      <w:r w:rsidRPr="00285FB8">
        <w:rPr>
          <w:rFonts w:eastAsia="Times New Roman" w:cs="Arial"/>
          <w:color w:val="000000"/>
          <w:lang w:val="en-US"/>
        </w:rPr>
        <w:t xml:space="preserve">ALTITUDE </w:t>
      </w:r>
      <w:r w:rsidRPr="00285FB8">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153CAC1" w14:textId="0094F21F" w:rsidR="00285FB8" w:rsidRPr="00285FB8" w:rsidRDefault="00285FB8" w:rsidP="00285FB8">
      <w:pPr>
        <w:rPr>
          <w:lang w:val="en-US"/>
        </w:rPr>
      </w:pPr>
    </w:p>
    <w:p w14:paraId="173D7F1D" w14:textId="081AA2DE" w:rsidR="00EE6C97" w:rsidRDefault="002C50EE" w:rsidP="00A93499">
      <w:pPr>
        <w:pStyle w:val="Heading2"/>
      </w:pPr>
      <w:r>
        <w:t>5.2. Фармакокинетични свойства</w:t>
      </w:r>
    </w:p>
    <w:p w14:paraId="00E6DAD2" w14:textId="3365584C" w:rsidR="00285FB8" w:rsidRDefault="00285FB8" w:rsidP="00285FB8"/>
    <w:p w14:paraId="12608AB9" w14:textId="77777777"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Линейност</w:t>
      </w:r>
    </w:p>
    <w:p w14:paraId="1CB699B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Амлодипин, валсартан и хидрохлоротиазид имат линейна фармакокинетика.</w:t>
      </w:r>
    </w:p>
    <w:p w14:paraId="01A4D963" w14:textId="77777777" w:rsidR="00285FB8" w:rsidRPr="00285FB8" w:rsidRDefault="00285FB8" w:rsidP="00285FB8">
      <w:pPr>
        <w:spacing w:line="240" w:lineRule="auto"/>
        <w:rPr>
          <w:rFonts w:eastAsia="Times New Roman" w:cs="Arial"/>
          <w:i/>
          <w:iCs/>
          <w:color w:val="000000"/>
          <w:u w:val="single"/>
          <w:lang w:eastAsia="bg-BG"/>
        </w:rPr>
      </w:pPr>
    </w:p>
    <w:p w14:paraId="24332E3D" w14:textId="345024E9"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Амлодпин/валсартан/хидрохлоротиазид</w:t>
      </w:r>
    </w:p>
    <w:p w14:paraId="51F92351" w14:textId="2C345D2B" w:rsidR="00285FB8" w:rsidRPr="00285FB8" w:rsidRDefault="00285FB8" w:rsidP="00285FB8">
      <w:pPr>
        <w:rPr>
          <w:rFonts w:eastAsia="Times New Roman" w:cs="Arial"/>
          <w:color w:val="000000"/>
          <w:lang w:eastAsia="bg-BG"/>
        </w:rPr>
      </w:pPr>
      <w:r w:rsidRPr="00285FB8">
        <w:rPr>
          <w:rFonts w:eastAsia="Times New Roman" w:cs="Arial"/>
          <w:color w:val="000000"/>
          <w:lang w:eastAsia="bg-BG"/>
        </w:rPr>
        <w:t>След перорално приложение на Валтензам Комп при здрави възрастни доброволци</w:t>
      </w:r>
      <w:r w:rsidRPr="00285FB8">
        <w:rPr>
          <w:rFonts w:eastAsia="Times New Roman" w:cs="Arial"/>
          <w:color w:val="000000"/>
          <w:lang w:val="en-US"/>
        </w:rPr>
        <w:t xml:space="preserve"> </w:t>
      </w:r>
      <w:r w:rsidRPr="00285FB8">
        <w:rPr>
          <w:rFonts w:eastAsia="Times New Roman" w:cs="Arial"/>
          <w:color w:val="000000"/>
          <w:lang w:eastAsia="bg-BG"/>
        </w:rPr>
        <w:t>максимални плазмени концентрации на амлодипин, валсартан и хидрохлоротиазид се достигат съсответно за 6-8 часа, 3 часа и 2 часа. Скоростта и степента на абсорбцията на амлодипин, валсартан и хидрохлоротиазид при Валтензам Комп са същите, както при самостоятелно им прилагане.</w:t>
      </w:r>
    </w:p>
    <w:p w14:paraId="6FE708EB" w14:textId="0D4E23F6" w:rsidR="00285FB8" w:rsidRPr="00285FB8" w:rsidRDefault="00285FB8" w:rsidP="00285FB8">
      <w:pPr>
        <w:rPr>
          <w:rFonts w:eastAsia="Times New Roman" w:cs="Arial"/>
          <w:color w:val="000000"/>
          <w:lang w:eastAsia="bg-BG"/>
        </w:rPr>
      </w:pPr>
    </w:p>
    <w:p w14:paraId="144A98AA" w14:textId="77777777"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Амлодипин</w:t>
      </w:r>
    </w:p>
    <w:p w14:paraId="0CCF6610"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Абсорбиия</w:t>
      </w:r>
    </w:p>
    <w:p w14:paraId="0B8B1F0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След перорално самостоятелно приложение на терапевтична доза амлодипин, максимална плазмена концентрация се достига за 6-12 часа. Абсолютната бионаличност е между 64% и 80%. Бионаличността на амлодипин не се повлиява от приема на храна.</w:t>
      </w:r>
    </w:p>
    <w:p w14:paraId="50353F14" w14:textId="77777777" w:rsidR="00285FB8" w:rsidRPr="00285FB8" w:rsidRDefault="00285FB8" w:rsidP="00285FB8">
      <w:pPr>
        <w:spacing w:line="240" w:lineRule="auto"/>
        <w:rPr>
          <w:rFonts w:eastAsia="Times New Roman" w:cs="Arial"/>
          <w:i/>
          <w:iCs/>
          <w:color w:val="000000"/>
          <w:u w:val="single"/>
          <w:lang w:eastAsia="bg-BG"/>
        </w:rPr>
      </w:pPr>
    </w:p>
    <w:p w14:paraId="7332E1C7" w14:textId="0EAE4FBA"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Разпределение</w:t>
      </w:r>
    </w:p>
    <w:p w14:paraId="020C8802"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Обемът на разпределение е приблизително 21 </w:t>
      </w:r>
      <w:r w:rsidRPr="00285FB8">
        <w:rPr>
          <w:rFonts w:eastAsia="Times New Roman" w:cs="Arial"/>
          <w:color w:val="000000"/>
          <w:lang w:val="en-US"/>
        </w:rPr>
        <w:t xml:space="preserve">1/kg. </w:t>
      </w:r>
      <w:r w:rsidRPr="00285FB8">
        <w:rPr>
          <w:rFonts w:eastAsia="Times New Roman" w:cs="Arial"/>
          <w:i/>
          <w:iCs/>
          <w:color w:val="000000"/>
          <w:lang w:val="en-US"/>
        </w:rPr>
        <w:t>In vitro</w:t>
      </w:r>
      <w:r w:rsidRPr="00285FB8">
        <w:rPr>
          <w:rFonts w:eastAsia="Times New Roman" w:cs="Arial"/>
          <w:color w:val="000000"/>
          <w:lang w:val="en-US"/>
        </w:rPr>
        <w:t xml:space="preserve"> </w:t>
      </w:r>
      <w:r w:rsidRPr="00285FB8">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13BEF078" w14:textId="77777777" w:rsidR="00285FB8" w:rsidRPr="00285FB8" w:rsidRDefault="00285FB8" w:rsidP="00285FB8">
      <w:pPr>
        <w:spacing w:line="240" w:lineRule="auto"/>
        <w:rPr>
          <w:rFonts w:eastAsia="Times New Roman" w:cs="Arial"/>
          <w:i/>
          <w:iCs/>
          <w:color w:val="000000"/>
          <w:u w:val="single"/>
          <w:lang w:eastAsia="bg-BG"/>
        </w:rPr>
      </w:pPr>
    </w:p>
    <w:p w14:paraId="35CA59D1" w14:textId="25C1B80F"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Биотрансформаиия</w:t>
      </w:r>
    </w:p>
    <w:p w14:paraId="2EE47D66"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lastRenderedPageBreak/>
        <w:t>Амлодипин се метаболизира екстензивно (приблизително 90%) в черния дроб до неактивни метаболити.</w:t>
      </w:r>
    </w:p>
    <w:p w14:paraId="0A13152F" w14:textId="77777777" w:rsidR="00285FB8" w:rsidRPr="00285FB8" w:rsidRDefault="00285FB8" w:rsidP="00285FB8">
      <w:pPr>
        <w:spacing w:line="240" w:lineRule="auto"/>
        <w:rPr>
          <w:rFonts w:eastAsia="Times New Roman" w:cs="Arial"/>
          <w:i/>
          <w:iCs/>
          <w:color w:val="000000"/>
          <w:u w:val="single"/>
          <w:lang w:eastAsia="bg-BG"/>
        </w:rPr>
      </w:pPr>
    </w:p>
    <w:p w14:paraId="0EAB6DB3" w14:textId="1F1BD6FB"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Елиминиране</w:t>
      </w:r>
    </w:p>
    <w:p w14:paraId="619C35F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концентрации се достигат след продължителен прием за 7-8 дни. 10% от оригиналния амлодипин и 60% от неговите метаболити се екскретират чрез урината.</w:t>
      </w:r>
    </w:p>
    <w:p w14:paraId="07A2D10F" w14:textId="77777777" w:rsidR="00285FB8" w:rsidRPr="00285FB8" w:rsidRDefault="00285FB8" w:rsidP="00285FB8">
      <w:pPr>
        <w:spacing w:line="240" w:lineRule="auto"/>
        <w:rPr>
          <w:rFonts w:eastAsia="Times New Roman" w:cs="Arial"/>
          <w:color w:val="000000"/>
          <w:u w:val="single"/>
          <w:lang w:eastAsia="bg-BG"/>
        </w:rPr>
      </w:pPr>
    </w:p>
    <w:p w14:paraId="40CFC2BD" w14:textId="19204FD1"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Валсартан</w:t>
      </w:r>
    </w:p>
    <w:p w14:paraId="7D6E9D5B"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Абсорбиия</w:t>
      </w:r>
    </w:p>
    <w:p w14:paraId="17979DF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След перорално самостоятелно приложение на валсартан максимални плазмени концетрации се достигат на 2-4 часа. Средната абсолютна бионаличност е 23%. Храната намалява експозицията (определена чрез </w:t>
      </w:r>
      <w:r w:rsidRPr="00285FB8">
        <w:rPr>
          <w:rFonts w:eastAsia="Times New Roman" w:cs="Arial"/>
          <w:color w:val="000000"/>
          <w:lang w:val="en-US"/>
        </w:rPr>
        <w:t xml:space="preserve">AUC) </w:t>
      </w:r>
      <w:r w:rsidRPr="00285FB8">
        <w:rPr>
          <w:rFonts w:eastAsia="Times New Roman" w:cs="Arial"/>
          <w:color w:val="000000"/>
          <w:lang w:eastAsia="bg-BG"/>
        </w:rPr>
        <w:t>на валсартан с около 40% и максималната плазмена концентрация (С</w:t>
      </w:r>
      <w:r w:rsidRPr="00285FB8">
        <w:rPr>
          <w:rFonts w:eastAsia="Times New Roman" w:cs="Arial"/>
          <w:color w:val="000000"/>
          <w:vertAlign w:val="subscript"/>
          <w:lang w:val="en-US"/>
        </w:rPr>
        <w:t>max</w:t>
      </w:r>
      <w:r w:rsidRPr="00285FB8">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285FB8">
        <w:rPr>
          <w:rFonts w:eastAsia="Times New Roman" w:cs="Arial"/>
          <w:color w:val="000000"/>
          <w:lang w:val="en-US"/>
        </w:rPr>
        <w:t xml:space="preserve">AUC, </w:t>
      </w:r>
      <w:r w:rsidRPr="00285FB8">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471276C6" w14:textId="77777777" w:rsidR="00285FB8" w:rsidRPr="00285FB8" w:rsidRDefault="00285FB8" w:rsidP="00285FB8">
      <w:pPr>
        <w:spacing w:line="240" w:lineRule="auto"/>
        <w:rPr>
          <w:rFonts w:eastAsia="Times New Roman" w:cs="Arial"/>
          <w:i/>
          <w:iCs/>
          <w:color w:val="000000"/>
          <w:u w:val="single"/>
          <w:lang w:eastAsia="bg-BG"/>
        </w:rPr>
      </w:pPr>
    </w:p>
    <w:p w14:paraId="2E9350B7" w14:textId="0C3ACE8C"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Разпределение</w:t>
      </w:r>
    </w:p>
    <w:p w14:paraId="648C435C"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със серумния албумин.</w:t>
      </w:r>
    </w:p>
    <w:p w14:paraId="41731430" w14:textId="77777777" w:rsidR="00285FB8" w:rsidRPr="00285FB8" w:rsidRDefault="00285FB8" w:rsidP="00285FB8">
      <w:pPr>
        <w:spacing w:line="240" w:lineRule="auto"/>
        <w:rPr>
          <w:rFonts w:eastAsia="Times New Roman" w:cs="Arial"/>
          <w:i/>
          <w:iCs/>
          <w:color w:val="000000"/>
          <w:u w:val="single"/>
          <w:lang w:eastAsia="bg-BG"/>
        </w:rPr>
      </w:pPr>
    </w:p>
    <w:p w14:paraId="74011A2D" w14:textId="2A636053"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Биотрансформаиия</w:t>
      </w:r>
    </w:p>
    <w:p w14:paraId="695636E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 малко от 10% от </w:t>
      </w:r>
      <w:r w:rsidRPr="00285FB8">
        <w:rPr>
          <w:rFonts w:eastAsia="Times New Roman" w:cs="Arial"/>
          <w:color w:val="000000"/>
          <w:lang w:val="en-US"/>
        </w:rPr>
        <w:t xml:space="preserve">AUC </w:t>
      </w:r>
      <w:r w:rsidRPr="00285FB8">
        <w:rPr>
          <w:rFonts w:eastAsia="Times New Roman" w:cs="Arial"/>
          <w:color w:val="000000"/>
          <w:lang w:eastAsia="bg-BG"/>
        </w:rPr>
        <w:t>на валсартан). Този метаболит е фармакологично неактивен.</w:t>
      </w:r>
    </w:p>
    <w:p w14:paraId="2FB8AD1F" w14:textId="77777777" w:rsidR="00285FB8" w:rsidRPr="00285FB8" w:rsidRDefault="00285FB8" w:rsidP="00285FB8">
      <w:pPr>
        <w:spacing w:line="240" w:lineRule="auto"/>
        <w:rPr>
          <w:rFonts w:eastAsia="Times New Roman" w:cs="Arial"/>
          <w:i/>
          <w:iCs/>
          <w:color w:val="000000"/>
          <w:u w:val="single"/>
          <w:lang w:eastAsia="bg-BG"/>
        </w:rPr>
      </w:pPr>
    </w:p>
    <w:p w14:paraId="2B85B7E7" w14:textId="76DA4C93"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Елиминиране</w:t>
      </w:r>
    </w:p>
    <w:p w14:paraId="43ECED4A"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Валсартан показва мултиекспоненциална кинетика на разпад </w:t>
      </w:r>
      <w:r w:rsidRPr="00285FB8">
        <w:rPr>
          <w:rFonts w:eastAsia="Times New Roman" w:cs="Arial"/>
          <w:color w:val="000000"/>
          <w:lang w:val="en-US"/>
        </w:rPr>
        <w:t>(t1/2</w:t>
      </w:r>
      <w:r w:rsidRPr="00285FB8">
        <w:rPr>
          <w:rFonts w:eastAsia="Times New Roman" w:cs="Arial"/>
          <w:color w:val="000000"/>
          <w:lang w:eastAsia="bg-BG"/>
        </w:rPr>
        <w:t>α</w:t>
      </w:r>
      <w:r w:rsidRPr="00285FB8">
        <w:rPr>
          <w:rFonts w:eastAsia="Times New Roman" w:cs="Arial"/>
          <w:color w:val="000000"/>
          <w:lang w:val="en-US"/>
        </w:rPr>
        <w:t xml:space="preserve"> </w:t>
      </w:r>
      <w:r w:rsidRPr="00285FB8">
        <w:rPr>
          <w:rFonts w:eastAsia="Times New Roman" w:cs="Arial"/>
          <w:color w:val="000000"/>
          <w:lang w:eastAsia="bg-BG"/>
        </w:rPr>
        <w:t>&lt;1 час и</w:t>
      </w:r>
      <w:r w:rsidRPr="00285FB8">
        <w:rPr>
          <w:rFonts w:eastAsia="Times New Roman" w:cs="Arial"/>
          <w:color w:val="000000"/>
          <w:lang w:val="en-US"/>
        </w:rPr>
        <w:t xml:space="preserve"> t1/2</w:t>
      </w:r>
      <w:r w:rsidRPr="00285FB8">
        <w:rPr>
          <w:rFonts w:eastAsia="Times New Roman" w:cs="Arial"/>
          <w:color w:val="000000"/>
          <w:lang w:eastAsia="bg-BG"/>
        </w:rPr>
        <w:t>β около 9 часа). Валсартан се елиминира основно чрез фецеса (около 83% от дозата) и урината (около 13% от дозата) основно като непроменено съединение. След интравенозно приложение плазменият клирънс на валсартан е приблизително 2</w:t>
      </w:r>
      <w:r w:rsidRPr="00285FB8">
        <w:rPr>
          <w:rFonts w:eastAsia="Times New Roman" w:cs="Arial"/>
          <w:color w:val="000000"/>
          <w:lang w:val="en-US"/>
        </w:rPr>
        <w:t xml:space="preserve"> l/h, </w:t>
      </w:r>
      <w:r w:rsidRPr="00285FB8">
        <w:rPr>
          <w:rFonts w:eastAsia="Times New Roman" w:cs="Arial"/>
          <w:color w:val="000000"/>
          <w:lang w:eastAsia="bg-BG"/>
        </w:rPr>
        <w:t xml:space="preserve">а бъбречният клирънс е 0,62 </w:t>
      </w:r>
      <w:r w:rsidRPr="00285FB8">
        <w:rPr>
          <w:rFonts w:eastAsia="Times New Roman" w:cs="Arial"/>
          <w:color w:val="000000"/>
          <w:lang w:val="en-US"/>
        </w:rPr>
        <w:t xml:space="preserve">1/h </w:t>
      </w:r>
      <w:r w:rsidRPr="00285FB8">
        <w:rPr>
          <w:rFonts w:eastAsia="Times New Roman" w:cs="Arial"/>
          <w:color w:val="000000"/>
          <w:lang w:eastAsia="bg-BG"/>
        </w:rPr>
        <w:t>(около 30% от общия клирънс). Полуживотът на валсартан е 6 часа.</w:t>
      </w:r>
    </w:p>
    <w:p w14:paraId="6B2FB86D" w14:textId="77777777" w:rsidR="00285FB8" w:rsidRPr="00285FB8" w:rsidRDefault="00285FB8" w:rsidP="00285FB8">
      <w:pPr>
        <w:spacing w:line="240" w:lineRule="auto"/>
        <w:rPr>
          <w:rFonts w:eastAsia="Times New Roman" w:cs="Arial"/>
          <w:color w:val="000000"/>
          <w:u w:val="single"/>
          <w:lang w:eastAsia="bg-BG"/>
        </w:rPr>
      </w:pPr>
    </w:p>
    <w:p w14:paraId="7357F796" w14:textId="5AD652B4"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Хидрохлоротиазид</w:t>
      </w:r>
    </w:p>
    <w:p w14:paraId="10C22F2E"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Абсорбиия</w:t>
      </w:r>
    </w:p>
    <w:p w14:paraId="0498AA97"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Абсорбцията на хидрохлоротиазид след перорален прием е бърза (Т</w:t>
      </w:r>
      <w:r w:rsidRPr="00285FB8">
        <w:rPr>
          <w:rFonts w:eastAsia="Times New Roman" w:cs="Arial"/>
          <w:color w:val="000000"/>
          <w:lang w:val="en-US"/>
        </w:rPr>
        <w:t>max</w:t>
      </w:r>
      <w:r w:rsidRPr="00285FB8">
        <w:rPr>
          <w:rFonts w:eastAsia="Times New Roman" w:cs="Arial"/>
          <w:color w:val="000000"/>
          <w:lang w:eastAsia="bg-BG"/>
        </w:rPr>
        <w:t xml:space="preserve"> около</w:t>
      </w:r>
      <w:r w:rsidRPr="00285FB8">
        <w:rPr>
          <w:rFonts w:eastAsia="Times New Roman" w:cs="Arial"/>
          <w:color w:val="000000"/>
          <w:lang w:val="en-US"/>
        </w:rPr>
        <w:t xml:space="preserve"> 2 </w:t>
      </w:r>
      <w:r w:rsidRPr="00285FB8">
        <w:rPr>
          <w:rFonts w:eastAsia="Times New Roman" w:cs="Arial"/>
          <w:color w:val="000000"/>
          <w:lang w:eastAsia="bg-BG"/>
        </w:rPr>
        <w:t>часа).</w:t>
      </w:r>
    </w:p>
    <w:p w14:paraId="6FD5232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Увеличаването на средната </w:t>
      </w:r>
      <w:r w:rsidRPr="00285FB8">
        <w:rPr>
          <w:rFonts w:eastAsia="Times New Roman" w:cs="Arial"/>
          <w:color w:val="000000"/>
          <w:lang w:val="en-US"/>
        </w:rPr>
        <w:t xml:space="preserve">AUC </w:t>
      </w:r>
      <w:r w:rsidRPr="00285FB8">
        <w:rPr>
          <w:rFonts w:eastAsia="Times New Roman" w:cs="Arial"/>
          <w:color w:val="000000"/>
          <w:lang w:eastAsia="bg-BG"/>
        </w:rPr>
        <w:t>е линейно и е пропорционално на дозата в терапевтичния</w:t>
      </w:r>
    </w:p>
    <w:p w14:paraId="09C6448D" w14:textId="20C3232A" w:rsidR="00285FB8" w:rsidRPr="00285FB8" w:rsidRDefault="00285FB8" w:rsidP="00285FB8">
      <w:pPr>
        <w:rPr>
          <w:rFonts w:eastAsia="Times New Roman" w:cs="Arial"/>
          <w:color w:val="000000"/>
          <w:lang w:eastAsia="bg-BG"/>
        </w:rPr>
      </w:pPr>
      <w:r w:rsidRPr="00285FB8">
        <w:rPr>
          <w:rFonts w:eastAsia="Times New Roman" w:cs="Arial"/>
          <w:color w:val="000000"/>
          <w:lang w:eastAsia="bg-BG"/>
        </w:rPr>
        <w:t>диапазон.</w:t>
      </w:r>
    </w:p>
    <w:p w14:paraId="7928B595" w14:textId="29CAFF3B" w:rsidR="00285FB8" w:rsidRPr="00285FB8" w:rsidRDefault="00285FB8" w:rsidP="00285FB8">
      <w:pPr>
        <w:rPr>
          <w:rFonts w:eastAsia="Times New Roman" w:cs="Arial"/>
          <w:color w:val="000000"/>
          <w:lang w:eastAsia="bg-BG"/>
        </w:rPr>
      </w:pPr>
    </w:p>
    <w:p w14:paraId="5FF0C34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приложение е 70%.</w:t>
      </w:r>
    </w:p>
    <w:p w14:paraId="031DBC9A" w14:textId="77777777" w:rsidR="00285FB8" w:rsidRPr="00285FB8" w:rsidRDefault="00285FB8" w:rsidP="00285FB8">
      <w:pPr>
        <w:spacing w:line="240" w:lineRule="auto"/>
        <w:rPr>
          <w:rFonts w:eastAsia="Times New Roman" w:cs="Arial"/>
          <w:i/>
          <w:iCs/>
          <w:color w:val="000000"/>
          <w:u w:val="single"/>
          <w:lang w:eastAsia="bg-BG"/>
        </w:rPr>
      </w:pPr>
    </w:p>
    <w:p w14:paraId="32810DC8" w14:textId="423840E1"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lastRenderedPageBreak/>
        <w:t>Разпределение</w:t>
      </w:r>
    </w:p>
    <w:p w14:paraId="1BFA7CF6"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Привидният обем на разпределение е 4-8 </w:t>
      </w:r>
      <w:r w:rsidRPr="00285FB8">
        <w:rPr>
          <w:rFonts w:eastAsia="Times New Roman" w:cs="Arial"/>
          <w:color w:val="000000"/>
          <w:lang w:val="en-US"/>
        </w:rPr>
        <w:t xml:space="preserve">l/kg. </w:t>
      </w:r>
      <w:r w:rsidRPr="00285FB8">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70608CB1" w14:textId="77777777" w:rsidR="00285FB8" w:rsidRPr="00285FB8" w:rsidRDefault="00285FB8" w:rsidP="00285FB8">
      <w:pPr>
        <w:spacing w:line="240" w:lineRule="auto"/>
        <w:rPr>
          <w:rFonts w:eastAsia="Times New Roman" w:cs="Arial"/>
          <w:i/>
          <w:iCs/>
          <w:color w:val="000000"/>
          <w:u w:val="single"/>
          <w:lang w:eastAsia="bg-BG"/>
        </w:rPr>
      </w:pPr>
    </w:p>
    <w:p w14:paraId="7398B1E5" w14:textId="26D910A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Биотрансформаиия</w:t>
      </w:r>
    </w:p>
    <w:p w14:paraId="43ED97C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Хидрохлоротиазид се елиминира предимно като непроменено вещество.</w:t>
      </w:r>
    </w:p>
    <w:p w14:paraId="4B05DD94" w14:textId="77777777" w:rsidR="00285FB8" w:rsidRPr="00285FB8" w:rsidRDefault="00285FB8" w:rsidP="00285FB8">
      <w:pPr>
        <w:spacing w:line="240" w:lineRule="auto"/>
        <w:rPr>
          <w:rFonts w:eastAsia="Times New Roman" w:cs="Arial"/>
          <w:i/>
          <w:iCs/>
          <w:color w:val="000000"/>
          <w:u w:val="single"/>
          <w:lang w:eastAsia="bg-BG"/>
        </w:rPr>
      </w:pPr>
    </w:p>
    <w:p w14:paraId="0CE565D3" w14:textId="430251B8"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Елиминиране</w:t>
      </w:r>
    </w:p>
    <w:p w14:paraId="577FF4AA"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4A012C97" w14:textId="77777777" w:rsidR="00285FB8" w:rsidRPr="00285FB8" w:rsidRDefault="00285FB8" w:rsidP="00285FB8">
      <w:pPr>
        <w:spacing w:line="240" w:lineRule="auto"/>
        <w:rPr>
          <w:rFonts w:eastAsia="Times New Roman" w:cs="Arial"/>
          <w:color w:val="000000"/>
          <w:u w:val="single"/>
          <w:lang w:eastAsia="bg-BG"/>
        </w:rPr>
      </w:pPr>
    </w:p>
    <w:p w14:paraId="62DA139E" w14:textId="3B125986"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Специални популации</w:t>
      </w:r>
    </w:p>
    <w:p w14:paraId="632F89E2"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Педиатрични пациенти (на възраст под 18 години)</w:t>
      </w:r>
    </w:p>
    <w:p w14:paraId="31C99C1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Няма фармакокинетични данни при педиатричната популация.</w:t>
      </w:r>
    </w:p>
    <w:p w14:paraId="08BC2EC3" w14:textId="77777777" w:rsidR="00285FB8" w:rsidRPr="00285FB8" w:rsidRDefault="00285FB8" w:rsidP="00285FB8">
      <w:pPr>
        <w:spacing w:line="240" w:lineRule="auto"/>
        <w:rPr>
          <w:rFonts w:eastAsia="Times New Roman" w:cs="Arial"/>
          <w:i/>
          <w:iCs/>
          <w:color w:val="000000"/>
          <w:u w:val="single"/>
          <w:lang w:eastAsia="bg-BG"/>
        </w:rPr>
      </w:pPr>
    </w:p>
    <w:p w14:paraId="1E76C56D" w14:textId="2A187E90"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Пациенти в старческа възраст (на 65 и повече години)</w:t>
      </w:r>
    </w:p>
    <w:p w14:paraId="4D80A59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Времето за достигане на максимална плазмена концентрация на амлодипин е сходно при млади пациенти и при пациенти в старческа възраст. При пациентите в старческа възраст има тенденция клирънсът на амлодипин да намалява, което води до покачване на площта под кривата </w:t>
      </w:r>
      <w:r w:rsidRPr="00285FB8">
        <w:rPr>
          <w:rFonts w:eastAsia="Times New Roman" w:cs="Arial"/>
          <w:color w:val="000000"/>
          <w:lang w:val="en-US"/>
        </w:rPr>
        <w:t xml:space="preserve">(AUC) </w:t>
      </w:r>
      <w:r w:rsidRPr="00285FB8">
        <w:rPr>
          <w:rFonts w:eastAsia="Times New Roman" w:cs="Arial"/>
          <w:color w:val="000000"/>
          <w:lang w:eastAsia="bg-BG"/>
        </w:rPr>
        <w:t xml:space="preserve">и елиминационния полуживот. Средната системна </w:t>
      </w:r>
      <w:r w:rsidRPr="00285FB8">
        <w:rPr>
          <w:rFonts w:eastAsia="Times New Roman" w:cs="Arial"/>
          <w:color w:val="000000"/>
          <w:lang w:val="en-US"/>
        </w:rPr>
        <w:t xml:space="preserve">AUC </w:t>
      </w:r>
      <w:r w:rsidRPr="00285FB8">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4C65825E" w14:textId="77777777" w:rsidR="00285FB8" w:rsidRPr="00285FB8" w:rsidRDefault="00285FB8" w:rsidP="00285FB8">
      <w:pPr>
        <w:spacing w:line="240" w:lineRule="auto"/>
        <w:rPr>
          <w:rFonts w:eastAsia="Times New Roman" w:cs="Arial"/>
          <w:color w:val="000000"/>
          <w:lang w:eastAsia="bg-BG"/>
        </w:rPr>
      </w:pPr>
    </w:p>
    <w:p w14:paraId="5B5E48A8" w14:textId="365A972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клинично значение.</w:t>
      </w:r>
    </w:p>
    <w:p w14:paraId="5E1A00F8" w14:textId="77777777" w:rsidR="00285FB8" w:rsidRPr="00285FB8" w:rsidRDefault="00285FB8" w:rsidP="00285FB8">
      <w:pPr>
        <w:spacing w:line="240" w:lineRule="auto"/>
        <w:rPr>
          <w:rFonts w:eastAsia="Times New Roman" w:cs="Arial"/>
          <w:color w:val="000000"/>
          <w:lang w:eastAsia="bg-BG"/>
        </w:rPr>
      </w:pPr>
    </w:p>
    <w:p w14:paraId="4B163FF4" w14:textId="6D4729C3"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Ограничени данни предполагат, че системният клирънс на хидрохлоротиазид е намален както при здрави пациенти в старческа възраст, така и при тези с хипертония, в сравнение с млади здрави доброволци.</w:t>
      </w:r>
    </w:p>
    <w:p w14:paraId="7F03A4CD" w14:textId="77777777" w:rsidR="00285FB8" w:rsidRPr="00285FB8" w:rsidRDefault="00285FB8" w:rsidP="00285FB8">
      <w:pPr>
        <w:spacing w:line="240" w:lineRule="auto"/>
        <w:rPr>
          <w:rFonts w:eastAsia="Times New Roman" w:cs="Arial"/>
          <w:color w:val="000000"/>
          <w:lang w:eastAsia="bg-BG"/>
        </w:rPr>
      </w:pPr>
    </w:p>
    <w:p w14:paraId="2FA05533" w14:textId="26A40FEC"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3C2327C9" w14:textId="77777777" w:rsidR="00285FB8" w:rsidRPr="00285FB8" w:rsidRDefault="00285FB8" w:rsidP="00285FB8">
      <w:pPr>
        <w:spacing w:line="240" w:lineRule="auto"/>
        <w:rPr>
          <w:rFonts w:eastAsia="Times New Roman" w:cs="Arial"/>
          <w:i/>
          <w:iCs/>
          <w:color w:val="000000"/>
          <w:u w:val="single"/>
          <w:lang w:eastAsia="bg-BG"/>
        </w:rPr>
      </w:pPr>
    </w:p>
    <w:p w14:paraId="34F14C09" w14:textId="49D64508"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Бъбречно увреждане</w:t>
      </w:r>
    </w:p>
    <w:p w14:paraId="27FECC30"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1FB95831" w14:textId="77777777" w:rsidR="00285FB8" w:rsidRPr="00285FB8" w:rsidRDefault="00285FB8" w:rsidP="00285FB8">
      <w:pPr>
        <w:spacing w:line="240" w:lineRule="auto"/>
        <w:rPr>
          <w:rFonts w:eastAsia="Times New Roman" w:cs="Arial"/>
          <w:color w:val="000000"/>
          <w:lang w:eastAsia="bg-BG"/>
        </w:rPr>
      </w:pPr>
    </w:p>
    <w:p w14:paraId="74EC1BE2" w14:textId="2BBA28BB"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Поради тази причина пациентите с леко до умерено бъбречно увреждане могат да приемат обичайната начална доза (вж. точка 4.2 и 4.4).</w:t>
      </w:r>
    </w:p>
    <w:p w14:paraId="51882C13" w14:textId="77777777" w:rsidR="00285FB8" w:rsidRPr="00285FB8" w:rsidRDefault="00285FB8" w:rsidP="00285FB8">
      <w:pPr>
        <w:spacing w:line="240" w:lineRule="auto"/>
        <w:rPr>
          <w:rFonts w:eastAsia="Times New Roman" w:cs="Arial"/>
          <w:color w:val="000000"/>
          <w:lang w:eastAsia="bg-BG"/>
        </w:rPr>
      </w:pPr>
    </w:p>
    <w:p w14:paraId="20F6B420" w14:textId="24790381"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lastRenderedPageBreak/>
        <w:t xml:space="preserve">При наличие на бъбречно увреждане средните максимални плазмени концентрации и </w:t>
      </w:r>
      <w:r w:rsidRPr="00285FB8">
        <w:rPr>
          <w:rFonts w:eastAsia="Times New Roman" w:cs="Arial"/>
          <w:color w:val="000000"/>
          <w:lang w:val="en-US"/>
        </w:rPr>
        <w:t xml:space="preserve">AUC </w:t>
      </w:r>
      <w:r w:rsidRPr="00285FB8">
        <w:rPr>
          <w:rFonts w:eastAsia="Times New Roman" w:cs="Arial"/>
          <w:color w:val="000000"/>
          <w:lang w:eastAsia="bg-BG"/>
        </w:rPr>
        <w:t>на хидрохлоротиазид са повишени, а скоростта на екскреция в урината е намалена. При пациенти</w:t>
      </w:r>
    </w:p>
    <w:p w14:paraId="3368EF6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с леко до умерено бъбречно увреждане се наблюдава трикратно повишение на </w:t>
      </w:r>
      <w:r w:rsidRPr="00285FB8">
        <w:rPr>
          <w:rFonts w:eastAsia="Times New Roman" w:cs="Arial"/>
          <w:color w:val="000000"/>
          <w:lang w:val="en-US"/>
        </w:rPr>
        <w:t xml:space="preserve">AUC </w:t>
      </w:r>
      <w:r w:rsidRPr="00285FB8">
        <w:rPr>
          <w:rFonts w:eastAsia="Times New Roman" w:cs="Arial"/>
          <w:color w:val="000000"/>
          <w:lang w:eastAsia="bg-BG"/>
        </w:rPr>
        <w:t>на</w:t>
      </w:r>
    </w:p>
    <w:p w14:paraId="5BB498E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хидрохлоротиазид. При пациентите с тежко бъбречно увреждане се наблюдава 8-кратно</w:t>
      </w:r>
    </w:p>
    <w:p w14:paraId="3A5AE45B" w14:textId="700FC84A" w:rsidR="00285FB8" w:rsidRPr="00285FB8" w:rsidRDefault="00285FB8" w:rsidP="00285FB8">
      <w:pPr>
        <w:spacing w:line="240" w:lineRule="auto"/>
        <w:rPr>
          <w:rFonts w:eastAsia="Times New Roman" w:cs="Arial"/>
          <w:color w:val="000000"/>
          <w:lang w:eastAsia="bg-BG"/>
        </w:rPr>
      </w:pPr>
      <w:r w:rsidRPr="00285FB8">
        <w:rPr>
          <w:rFonts w:eastAsia="Times New Roman" w:cs="Arial"/>
          <w:color w:val="000000"/>
          <w:lang w:eastAsia="bg-BG"/>
        </w:rPr>
        <w:t xml:space="preserve">повишение на </w:t>
      </w:r>
      <w:r w:rsidRPr="00285FB8">
        <w:rPr>
          <w:rFonts w:eastAsia="Times New Roman" w:cs="Arial"/>
          <w:color w:val="000000"/>
          <w:lang w:val="en-US"/>
        </w:rPr>
        <w:t xml:space="preserve">AUC. </w:t>
      </w:r>
      <w:r w:rsidRPr="00285FB8">
        <w:rPr>
          <w:rFonts w:eastAsia="Times New Roman" w:cs="Arial"/>
          <w:color w:val="000000"/>
          <w:lang w:eastAsia="bg-BG"/>
        </w:rPr>
        <w:t>Валтензам Комп е противопоказан при пациенти с тежко бъбречното увреждане, анурия или на диализа (вж. точка 4.3).</w:t>
      </w:r>
    </w:p>
    <w:p w14:paraId="2883B499" w14:textId="5FB412D8" w:rsidR="00285FB8" w:rsidRPr="00285FB8" w:rsidRDefault="00285FB8" w:rsidP="00285FB8">
      <w:pPr>
        <w:spacing w:line="240" w:lineRule="auto"/>
        <w:rPr>
          <w:rFonts w:eastAsia="Times New Roman" w:cs="Arial"/>
          <w:color w:val="000000"/>
          <w:lang w:eastAsia="bg-BG"/>
        </w:rPr>
      </w:pPr>
    </w:p>
    <w:p w14:paraId="7F0C4FB3"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Чернодробно увреждане</w:t>
      </w:r>
    </w:p>
    <w:p w14:paraId="1A43CA54" w14:textId="4FB2DBA4"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който води до покачване на </w:t>
      </w:r>
      <w:r w:rsidRPr="00285FB8">
        <w:rPr>
          <w:rFonts w:eastAsia="Times New Roman" w:cs="Arial"/>
          <w:color w:val="000000"/>
          <w:lang w:val="en-US"/>
        </w:rPr>
        <w:t xml:space="preserve">AUC </w:t>
      </w:r>
      <w:r w:rsidRPr="00285FB8">
        <w:rPr>
          <w:rFonts w:eastAsia="Times New Roman" w:cs="Arial"/>
          <w:color w:val="000000"/>
          <w:lang w:eastAsia="bg-BG"/>
        </w:rPr>
        <w:t xml:space="preserve">с приблизително 40-60%. При пациенти с леко до умерено хронично чернодробно заболяване експозицията към валсартан (определена чрез стойностите на </w:t>
      </w:r>
      <w:r w:rsidRPr="00285FB8">
        <w:rPr>
          <w:rFonts w:eastAsia="Times New Roman" w:cs="Arial"/>
          <w:color w:val="000000"/>
          <w:lang w:val="en-US"/>
        </w:rPr>
        <w:t xml:space="preserve">AUC) </w:t>
      </w:r>
      <w:r w:rsidRPr="00285FB8">
        <w:rPr>
          <w:rFonts w:eastAsia="Times New Roman" w:cs="Arial"/>
          <w:color w:val="000000"/>
          <w:lang w:eastAsia="bg-BG"/>
        </w:rPr>
        <w:t xml:space="preserve">средно е два пъти по-висока от установената при здрави доброволци (групирани по възраст, пол </w:t>
      </w:r>
      <w:r w:rsidRPr="00285FB8">
        <w:rPr>
          <w:rFonts w:eastAsia="Times New Roman" w:cs="Arial"/>
          <w:i/>
          <w:iCs/>
          <w:color w:val="000000"/>
          <w:lang w:eastAsia="bg-BG"/>
        </w:rPr>
        <w:t>и</w:t>
      </w:r>
      <w:r w:rsidRPr="00285FB8">
        <w:rPr>
          <w:rFonts w:eastAsia="Times New Roman" w:cs="Arial"/>
          <w:color w:val="000000"/>
          <w:lang w:eastAsia="bg-BG"/>
        </w:rPr>
        <w:t xml:space="preserve"> тегло). Поради валсартановата компонента Валтензам Комп е противопоказан при пациентите с чернодробно увреждане (вж. точки 4.2 и 4.3).</w:t>
      </w:r>
    </w:p>
    <w:p w14:paraId="6BAE35B3" w14:textId="77777777" w:rsidR="00285FB8" w:rsidRPr="00285FB8" w:rsidRDefault="00285FB8" w:rsidP="00285FB8"/>
    <w:p w14:paraId="0CC65FE3" w14:textId="49E7C07C" w:rsidR="00EE6C97" w:rsidRDefault="002C50EE" w:rsidP="00A93499">
      <w:pPr>
        <w:pStyle w:val="Heading2"/>
      </w:pPr>
      <w:r>
        <w:t>5.3. Предклинични данни за безопасност</w:t>
      </w:r>
    </w:p>
    <w:p w14:paraId="5AD030AF" w14:textId="7FE88907" w:rsidR="00285FB8" w:rsidRDefault="00285FB8" w:rsidP="00285FB8"/>
    <w:p w14:paraId="2FD206F0"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Амлодипин/ валсартан/хидрохлоротиазид</w:t>
      </w:r>
    </w:p>
    <w:p w14:paraId="2760E8ED"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(Валтензам Комп), проведени при различни животински видове, липсват доказателства за системна или таргетна органна токсичност, които да окажат негативно влияние върху клиничната употреба на Валтензам Комп при хора.</w:t>
      </w:r>
    </w:p>
    <w:p w14:paraId="3E371234" w14:textId="77777777" w:rsidR="00285FB8" w:rsidRPr="00285FB8" w:rsidRDefault="00285FB8" w:rsidP="00285FB8">
      <w:pPr>
        <w:spacing w:line="240" w:lineRule="auto"/>
        <w:rPr>
          <w:rFonts w:eastAsia="Times New Roman" w:cs="Arial"/>
          <w:color w:val="000000"/>
          <w:lang w:eastAsia="bg-BG"/>
        </w:rPr>
      </w:pPr>
    </w:p>
    <w:p w14:paraId="4BD4875E" w14:textId="5363FEE9"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червената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в жлезистия стомах при плъхове. Всички тези промени са обратими след 4-седмичен възстановителен период и се смята, че са вследствие засилване на фармакологичните ефекти.</w:t>
      </w:r>
    </w:p>
    <w:p w14:paraId="6EA1EEF8" w14:textId="77777777" w:rsidR="00285FB8" w:rsidRPr="00285FB8" w:rsidRDefault="00285FB8" w:rsidP="00285FB8">
      <w:pPr>
        <w:spacing w:line="240" w:lineRule="auto"/>
        <w:rPr>
          <w:rFonts w:eastAsia="Times New Roman" w:cs="Arial"/>
          <w:color w:val="000000"/>
          <w:lang w:eastAsia="bg-BG"/>
        </w:rPr>
      </w:pPr>
    </w:p>
    <w:p w14:paraId="3359EEA0" w14:textId="61C21B65"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68B26903" w14:textId="77777777" w:rsidR="00285FB8" w:rsidRPr="00285FB8" w:rsidRDefault="00285FB8" w:rsidP="00285FB8">
      <w:pPr>
        <w:spacing w:line="240" w:lineRule="auto"/>
        <w:rPr>
          <w:rFonts w:eastAsia="Times New Roman" w:cs="Arial"/>
          <w:color w:val="000000"/>
          <w:u w:val="single"/>
          <w:lang w:eastAsia="bg-BG"/>
        </w:rPr>
      </w:pPr>
    </w:p>
    <w:p w14:paraId="1C2442EC" w14:textId="555994E8"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Амлодипин</w:t>
      </w:r>
    </w:p>
    <w:p w14:paraId="3628268F"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Репродуктивна токсичност</w:t>
      </w:r>
    </w:p>
    <w:p w14:paraId="3D5C1916"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285FB8">
        <w:rPr>
          <w:rFonts w:eastAsia="Times New Roman" w:cs="Arial"/>
          <w:color w:val="000000"/>
          <w:lang w:val="en-US"/>
        </w:rPr>
        <w:t>mg/kg.</w:t>
      </w:r>
    </w:p>
    <w:p w14:paraId="2DC38828" w14:textId="77777777" w:rsidR="00285FB8" w:rsidRPr="00285FB8" w:rsidRDefault="00285FB8" w:rsidP="00285FB8">
      <w:pPr>
        <w:spacing w:line="240" w:lineRule="auto"/>
        <w:rPr>
          <w:rFonts w:eastAsia="Times New Roman" w:cs="Arial"/>
          <w:i/>
          <w:iCs/>
          <w:color w:val="000000"/>
          <w:u w:val="single"/>
          <w:lang w:eastAsia="bg-BG"/>
        </w:rPr>
      </w:pPr>
    </w:p>
    <w:p w14:paraId="113B325E" w14:textId="1F73850A"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lastRenderedPageBreak/>
        <w:t>Нарушения във фертилитета</w:t>
      </w:r>
    </w:p>
    <w:p w14:paraId="2707FDAB"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285FB8">
        <w:rPr>
          <w:rFonts w:eastAsia="Times New Roman" w:cs="Arial"/>
          <w:color w:val="000000"/>
          <w:lang w:val="en-US"/>
        </w:rPr>
        <w:t>mg/kg</w:t>
      </w:r>
      <w:r w:rsidRPr="00285FB8">
        <w:rPr>
          <w:rFonts w:eastAsia="Times New Roman" w:cs="Arial"/>
          <w:color w:val="000000"/>
          <w:lang w:eastAsia="bg-BG"/>
        </w:rPr>
        <w:t xml:space="preserve">/ден (8 пъти* максималната препоръчителна доза за хора от 10 </w:t>
      </w:r>
      <w:r w:rsidRPr="00285FB8">
        <w:rPr>
          <w:rFonts w:eastAsia="Times New Roman" w:cs="Arial"/>
          <w:color w:val="000000"/>
          <w:lang w:val="en-US"/>
        </w:rPr>
        <w:t xml:space="preserve">mg, </w:t>
      </w:r>
      <w:r w:rsidRPr="00285FB8">
        <w:rPr>
          <w:rFonts w:eastAsia="Times New Roman" w:cs="Arial"/>
          <w:color w:val="000000"/>
          <w:lang w:eastAsia="bg-BG"/>
        </w:rPr>
        <w:t xml:space="preserve">изчислена на база </w:t>
      </w:r>
      <w:r w:rsidRPr="00285FB8">
        <w:rPr>
          <w:rFonts w:eastAsia="Times New Roman" w:cs="Arial"/>
          <w:color w:val="000000"/>
          <w:lang w:val="en-US"/>
        </w:rPr>
        <w:t>mg/m</w:t>
      </w:r>
      <w:r w:rsidRPr="00285FB8">
        <w:rPr>
          <w:rFonts w:eastAsia="Times New Roman" w:cs="Arial"/>
          <w:color w:val="000000"/>
          <w:vertAlign w:val="superscript"/>
          <w:lang w:val="en-US"/>
        </w:rPr>
        <w:t>2</w:t>
      </w:r>
      <w:r w:rsidRPr="00285FB8">
        <w:rPr>
          <w:rFonts w:eastAsia="Times New Roman" w:cs="Arial"/>
          <w:color w:val="000000"/>
          <w:lang w:val="en-US"/>
        </w:rPr>
        <w:t xml:space="preserve">). </w:t>
      </w:r>
      <w:r w:rsidRPr="00285FB8">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 изчислена на база </w:t>
      </w:r>
      <w:r w:rsidRPr="00285FB8">
        <w:rPr>
          <w:rFonts w:eastAsia="Times New Roman" w:cs="Arial"/>
          <w:color w:val="000000"/>
          <w:lang w:val="en-US"/>
        </w:rPr>
        <w:t xml:space="preserve">mg/kg, </w:t>
      </w:r>
      <w:r w:rsidRPr="00285FB8">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на броя на зрелите сперматиди и сертолиеви клетки.</w:t>
      </w:r>
    </w:p>
    <w:p w14:paraId="7C9E48F3" w14:textId="77777777" w:rsidR="00285FB8" w:rsidRPr="00285FB8" w:rsidRDefault="00285FB8" w:rsidP="00285FB8">
      <w:pPr>
        <w:spacing w:line="240" w:lineRule="auto"/>
        <w:rPr>
          <w:rFonts w:eastAsia="Times New Roman" w:cs="Arial"/>
          <w:i/>
          <w:iCs/>
          <w:color w:val="000000"/>
          <w:u w:val="single"/>
          <w:lang w:eastAsia="bg-BG"/>
        </w:rPr>
      </w:pPr>
    </w:p>
    <w:p w14:paraId="789B4177" w14:textId="414B30DC"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Канцерогенеза, мутагенеза</w:t>
      </w:r>
    </w:p>
    <w:p w14:paraId="772B62D8"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Няма данни за канцерогенност при плъхове и мишки, третирани две години с амлодпин в</w:t>
      </w:r>
    </w:p>
    <w:p w14:paraId="567BF8F8"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храната в концентрации, изчислени да осигурят дневни дозови нива от 0,5, 1,25 и 2,5 </w:t>
      </w:r>
      <w:r w:rsidRPr="00285FB8">
        <w:rPr>
          <w:rFonts w:eastAsia="Times New Roman" w:cs="Arial"/>
          <w:color w:val="000000"/>
          <w:lang w:val="en-US"/>
        </w:rPr>
        <w:t>mg/kg/</w:t>
      </w:r>
      <w:r w:rsidRPr="00285FB8">
        <w:rPr>
          <w:rFonts w:eastAsia="Times New Roman" w:cs="Arial"/>
          <w:color w:val="000000"/>
          <w:lang w:eastAsia="bg-BG"/>
        </w:rPr>
        <w:t xml:space="preserve">ден. Най- високата доза (при мишки - близка до, а при плъхове - два пъти* по-висока от максималната препоръчителна клинична доза от 10 </w:t>
      </w:r>
      <w:r w:rsidRPr="00285FB8">
        <w:rPr>
          <w:rFonts w:eastAsia="Times New Roman" w:cs="Arial"/>
          <w:color w:val="000000"/>
          <w:lang w:val="en-US"/>
        </w:rPr>
        <w:t xml:space="preserve">mg, </w:t>
      </w:r>
      <w:r w:rsidRPr="00285FB8">
        <w:rPr>
          <w:rFonts w:eastAsia="Times New Roman" w:cs="Arial"/>
          <w:color w:val="000000"/>
          <w:lang w:eastAsia="bg-BG"/>
        </w:rPr>
        <w:t xml:space="preserve">изчислена за </w:t>
      </w:r>
      <w:r w:rsidRPr="00285FB8">
        <w:rPr>
          <w:rFonts w:eastAsia="Times New Roman" w:cs="Arial"/>
          <w:color w:val="000000"/>
          <w:lang w:val="en-US"/>
        </w:rPr>
        <w:t>mg</w:t>
      </w:r>
      <w:r w:rsidRPr="00285FB8">
        <w:rPr>
          <w:rFonts w:eastAsia="Times New Roman" w:cs="Arial"/>
          <w:color w:val="000000"/>
          <w:lang w:eastAsia="bg-BG"/>
        </w:rPr>
        <w:t>/</w:t>
      </w:r>
      <w:r w:rsidRPr="00285FB8">
        <w:rPr>
          <w:rFonts w:eastAsia="Times New Roman" w:cs="Arial"/>
          <w:color w:val="000000"/>
          <w:lang w:val="en-US"/>
        </w:rPr>
        <w:t xml:space="preserve">m2) </w:t>
      </w:r>
      <w:r w:rsidRPr="00285FB8">
        <w:rPr>
          <w:rFonts w:eastAsia="Times New Roman" w:cs="Arial"/>
          <w:color w:val="000000"/>
          <w:lang w:eastAsia="bg-BG"/>
        </w:rPr>
        <w:t>е била близка до максимално допустимата доза за мишки, но не и за плъхове.</w:t>
      </w:r>
    </w:p>
    <w:p w14:paraId="3E87DBA2" w14:textId="77777777" w:rsidR="00285FB8" w:rsidRPr="00285FB8" w:rsidRDefault="00285FB8" w:rsidP="00285FB8">
      <w:pPr>
        <w:rPr>
          <w:rFonts w:eastAsia="Times New Roman" w:cs="Arial"/>
          <w:color w:val="000000"/>
          <w:lang w:eastAsia="bg-BG"/>
        </w:rPr>
      </w:pPr>
    </w:p>
    <w:p w14:paraId="16DDE17C" w14:textId="7D01AF9D" w:rsidR="00285FB8" w:rsidRPr="00285FB8" w:rsidRDefault="00285FB8" w:rsidP="00285FB8">
      <w:pPr>
        <w:rPr>
          <w:rFonts w:eastAsia="Times New Roman" w:cs="Arial"/>
          <w:color w:val="000000"/>
          <w:lang w:eastAsia="bg-BG"/>
        </w:rPr>
      </w:pPr>
      <w:r w:rsidRPr="00285FB8">
        <w:rPr>
          <w:rFonts w:eastAsia="Times New Roman" w:cs="Arial"/>
          <w:color w:val="000000"/>
          <w:lang w:eastAsia="bg-BG"/>
        </w:rPr>
        <w:t>Проучвания за мутагенност не показват лекарствено-обусловени ефекти нито на генно нито на хромозомно НИВО.</w:t>
      </w:r>
    </w:p>
    <w:p w14:paraId="44BB0B1A" w14:textId="56A5C208" w:rsidR="00285FB8" w:rsidRPr="00285FB8" w:rsidRDefault="00285FB8" w:rsidP="00285FB8">
      <w:pPr>
        <w:rPr>
          <w:rFonts w:eastAsia="Times New Roman" w:cs="Arial"/>
          <w:color w:val="000000"/>
          <w:lang w:eastAsia="bg-BG"/>
        </w:rPr>
      </w:pPr>
    </w:p>
    <w:p w14:paraId="63616AE4"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 изчислена за пациенти с тегло 50 </w:t>
      </w:r>
      <w:r w:rsidRPr="00285FB8">
        <w:rPr>
          <w:rFonts w:eastAsia="Times New Roman" w:cs="Arial"/>
          <w:color w:val="000000"/>
          <w:lang w:val="en-US"/>
        </w:rPr>
        <w:t>kg</w:t>
      </w:r>
    </w:p>
    <w:p w14:paraId="518608F8" w14:textId="77777777" w:rsidR="00285FB8" w:rsidRPr="00285FB8" w:rsidRDefault="00285FB8" w:rsidP="00285FB8">
      <w:pPr>
        <w:spacing w:line="240" w:lineRule="auto"/>
        <w:rPr>
          <w:rFonts w:eastAsia="Times New Roman" w:cs="Arial"/>
          <w:color w:val="000000"/>
          <w:u w:val="single"/>
          <w:lang w:eastAsia="bg-BG"/>
        </w:rPr>
      </w:pPr>
    </w:p>
    <w:p w14:paraId="2B4EA218" w14:textId="076F3D0E"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Валсартан</w:t>
      </w:r>
    </w:p>
    <w:p w14:paraId="02AD3077"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55FACC9E" w14:textId="77777777" w:rsidR="00285FB8" w:rsidRPr="00285FB8" w:rsidRDefault="00285FB8" w:rsidP="00285FB8">
      <w:pPr>
        <w:spacing w:line="240" w:lineRule="auto"/>
        <w:rPr>
          <w:rFonts w:eastAsia="Times New Roman" w:cs="Arial"/>
          <w:color w:val="000000"/>
          <w:lang w:eastAsia="bg-BG"/>
        </w:rPr>
      </w:pPr>
    </w:p>
    <w:p w14:paraId="4928EC1E" w14:textId="1E12E57E"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При плъхове токсични дози за майката (600 </w:t>
      </w:r>
      <w:r w:rsidRPr="00285FB8">
        <w:rPr>
          <w:rFonts w:eastAsia="Times New Roman" w:cs="Arial"/>
          <w:color w:val="000000"/>
          <w:lang w:val="en-US"/>
        </w:rPr>
        <w:t>mg/kg</w:t>
      </w:r>
      <w:r w:rsidRPr="00285FB8">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285FB8">
        <w:rPr>
          <w:rFonts w:eastAsia="Times New Roman" w:cs="Arial"/>
          <w:color w:val="000000"/>
          <w:lang w:val="en-US"/>
        </w:rPr>
        <w:t>mg/kg</w:t>
      </w:r>
      <w:r w:rsidRPr="00285FB8">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285FB8">
        <w:rPr>
          <w:rFonts w:eastAsia="Times New Roman" w:cs="Arial"/>
          <w:color w:val="000000"/>
          <w:lang w:val="en-US"/>
        </w:rPr>
        <w:t>mg/m</w:t>
      </w:r>
      <w:r w:rsidRPr="00285FB8">
        <w:rPr>
          <w:rFonts w:eastAsia="Times New Roman" w:cs="Arial"/>
          <w:color w:val="000000"/>
          <w:vertAlign w:val="superscript"/>
          <w:lang w:val="en-US"/>
        </w:rPr>
        <w:t xml:space="preserve">2 </w:t>
      </w:r>
      <w:r w:rsidRPr="00285FB8">
        <w:rPr>
          <w:rFonts w:eastAsia="Times New Roman" w:cs="Arial"/>
          <w:color w:val="000000"/>
          <w:lang w:eastAsia="bg-BG"/>
        </w:rPr>
        <w:t xml:space="preserve">(изчисленията се отнасят за перорална доза 320 </w:t>
      </w:r>
      <w:r w:rsidRPr="00285FB8">
        <w:rPr>
          <w:rFonts w:eastAsia="Times New Roman" w:cs="Arial"/>
          <w:color w:val="000000"/>
          <w:lang w:val="en-US"/>
        </w:rPr>
        <w:t>mg/</w:t>
      </w:r>
      <w:r w:rsidRPr="00285FB8">
        <w:rPr>
          <w:rFonts w:eastAsia="Times New Roman" w:cs="Arial"/>
          <w:color w:val="000000"/>
          <w:lang w:eastAsia="bg-BG"/>
        </w:rPr>
        <w:t xml:space="preserve">ден и пациент с тегло 60 </w:t>
      </w:r>
      <w:r w:rsidRPr="00285FB8">
        <w:rPr>
          <w:rFonts w:eastAsia="Times New Roman" w:cs="Arial"/>
          <w:color w:val="000000"/>
          <w:lang w:val="en-US"/>
        </w:rPr>
        <w:t>kg).</w:t>
      </w:r>
    </w:p>
    <w:p w14:paraId="43389DD5" w14:textId="77777777" w:rsidR="00285FB8" w:rsidRPr="00285FB8" w:rsidRDefault="00285FB8" w:rsidP="00285FB8">
      <w:pPr>
        <w:spacing w:line="240" w:lineRule="auto"/>
        <w:rPr>
          <w:rFonts w:eastAsia="Times New Roman" w:cs="Arial"/>
          <w:color w:val="000000"/>
          <w:lang w:eastAsia="bg-BG"/>
        </w:rPr>
      </w:pPr>
    </w:p>
    <w:p w14:paraId="41F71F28" w14:textId="1188ABEF"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При неклинични проучвания за безопасност високи дози валсартан (200 до 600 </w:t>
      </w:r>
      <w:r w:rsidRPr="00285FB8">
        <w:rPr>
          <w:rFonts w:eastAsia="Times New Roman" w:cs="Arial"/>
          <w:color w:val="000000"/>
          <w:lang w:val="en-US"/>
        </w:rPr>
        <w:t xml:space="preserve">mg/kg </w:t>
      </w:r>
      <w:r w:rsidRPr="00285FB8">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285FB8">
        <w:rPr>
          <w:rFonts w:eastAsia="Times New Roman" w:cs="Arial"/>
          <w:color w:val="000000"/>
          <w:lang w:val="en-US"/>
        </w:rPr>
        <w:t>mg/kg</w:t>
      </w:r>
      <w:r w:rsidRPr="00285FB8">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285FB8">
        <w:rPr>
          <w:rFonts w:eastAsia="Times New Roman" w:cs="Arial"/>
          <w:color w:val="000000"/>
          <w:lang w:val="en-US"/>
        </w:rPr>
        <w:t>mg/m</w:t>
      </w:r>
      <w:r w:rsidRPr="00285FB8">
        <w:rPr>
          <w:rFonts w:eastAsia="Times New Roman" w:cs="Arial"/>
          <w:color w:val="000000"/>
          <w:vertAlign w:val="superscript"/>
          <w:lang w:val="en-US"/>
        </w:rPr>
        <w:t>2</w:t>
      </w:r>
      <w:r w:rsidRPr="00285FB8">
        <w:rPr>
          <w:rFonts w:eastAsia="Times New Roman" w:cs="Arial"/>
          <w:color w:val="000000"/>
          <w:lang w:val="en-US"/>
        </w:rPr>
        <w:t xml:space="preserve"> </w:t>
      </w:r>
      <w:r w:rsidRPr="00285FB8">
        <w:rPr>
          <w:rFonts w:eastAsia="Times New Roman" w:cs="Arial"/>
          <w:color w:val="000000"/>
          <w:lang w:eastAsia="bg-BG"/>
        </w:rPr>
        <w:t xml:space="preserve">(изчисленията се отнасят за перорална доза 320 </w:t>
      </w:r>
      <w:r w:rsidRPr="00285FB8">
        <w:rPr>
          <w:rFonts w:eastAsia="Times New Roman" w:cs="Arial"/>
          <w:color w:val="000000"/>
          <w:lang w:val="en-US"/>
        </w:rPr>
        <w:t>mg</w:t>
      </w:r>
      <w:r w:rsidRPr="00285FB8">
        <w:rPr>
          <w:rFonts w:eastAsia="Times New Roman" w:cs="Arial"/>
          <w:color w:val="000000"/>
          <w:lang w:eastAsia="bg-BG"/>
        </w:rPr>
        <w:t xml:space="preserve">/ден и пациент с тегло 60 </w:t>
      </w:r>
      <w:r w:rsidRPr="00285FB8">
        <w:rPr>
          <w:rFonts w:eastAsia="Times New Roman" w:cs="Arial"/>
          <w:color w:val="000000"/>
          <w:lang w:val="en-US"/>
        </w:rPr>
        <w:t>kg).</w:t>
      </w:r>
    </w:p>
    <w:p w14:paraId="533B6B50" w14:textId="77777777" w:rsidR="00285FB8" w:rsidRPr="00285FB8" w:rsidRDefault="00285FB8" w:rsidP="00285FB8">
      <w:pPr>
        <w:spacing w:line="240" w:lineRule="auto"/>
        <w:rPr>
          <w:rFonts w:eastAsia="Times New Roman" w:cs="Arial"/>
          <w:color w:val="000000"/>
          <w:lang w:eastAsia="bg-BG"/>
        </w:rPr>
      </w:pPr>
    </w:p>
    <w:p w14:paraId="40730D5C" w14:textId="6E0BBC15"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2F8831A0" w14:textId="77777777" w:rsidR="00285FB8" w:rsidRPr="00285FB8" w:rsidRDefault="00285FB8" w:rsidP="00285FB8">
      <w:pPr>
        <w:spacing w:line="240" w:lineRule="auto"/>
        <w:rPr>
          <w:rFonts w:eastAsia="Times New Roman" w:cs="Arial"/>
          <w:color w:val="000000"/>
          <w:lang w:eastAsia="bg-BG"/>
        </w:rPr>
      </w:pPr>
    </w:p>
    <w:p w14:paraId="18D4555F" w14:textId="2990B54E"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мармозетнте. Изглежда, </w:t>
      </w:r>
      <w:r w:rsidRPr="00285FB8">
        <w:rPr>
          <w:rFonts w:eastAsia="Times New Roman" w:cs="Arial"/>
          <w:color w:val="000000"/>
          <w:lang w:eastAsia="bg-BG"/>
        </w:rPr>
        <w:lastRenderedPageBreak/>
        <w:t>че терапевтичната доза на валсартан при хора не е свързана с хипертрофия на бъбречните юкстагломерулни клетки.</w:t>
      </w:r>
    </w:p>
    <w:p w14:paraId="301181BA" w14:textId="77777777" w:rsidR="00285FB8" w:rsidRPr="00285FB8" w:rsidRDefault="00285FB8" w:rsidP="00285FB8"/>
    <w:p w14:paraId="357049A8" w14:textId="5160C471" w:rsidR="00BB22B4" w:rsidRDefault="002C50EE" w:rsidP="00471F10">
      <w:pPr>
        <w:pStyle w:val="Heading1"/>
      </w:pPr>
      <w:r>
        <w:t>7. ПРИТЕЖАТЕЛ НА РАЗРЕШЕНИЕТО ЗА УПОТРЕБА</w:t>
      </w:r>
    </w:p>
    <w:p w14:paraId="085CFBB2" w14:textId="72308A91" w:rsidR="00285FB8" w:rsidRDefault="00285FB8" w:rsidP="00285FB8"/>
    <w:p w14:paraId="04096E0B" w14:textId="77777777" w:rsidR="00285FB8" w:rsidRDefault="00285FB8" w:rsidP="00285FB8">
      <w:pPr>
        <w:rPr>
          <w:lang w:val="en-US"/>
        </w:rPr>
      </w:pPr>
      <w:r w:rsidRPr="00285FB8">
        <w:rPr>
          <w:lang w:val="en-US"/>
        </w:rPr>
        <w:t xml:space="preserve">Teva B.V. </w:t>
      </w:r>
    </w:p>
    <w:p w14:paraId="42261DC7" w14:textId="77777777" w:rsidR="00285FB8" w:rsidRDefault="00285FB8" w:rsidP="00285FB8">
      <w:pPr>
        <w:rPr>
          <w:lang w:eastAsia="bg-BG"/>
        </w:rPr>
      </w:pPr>
      <w:proofErr w:type="spellStart"/>
      <w:r w:rsidRPr="00285FB8">
        <w:rPr>
          <w:lang w:val="en-US"/>
        </w:rPr>
        <w:t>Swensweg</w:t>
      </w:r>
      <w:proofErr w:type="spellEnd"/>
      <w:r w:rsidRPr="00285FB8">
        <w:rPr>
          <w:lang w:val="en-US"/>
        </w:rPr>
        <w:t xml:space="preserve"> </w:t>
      </w:r>
      <w:r w:rsidRPr="00285FB8">
        <w:rPr>
          <w:lang w:eastAsia="bg-BG"/>
        </w:rPr>
        <w:t xml:space="preserve">5 </w:t>
      </w:r>
    </w:p>
    <w:p w14:paraId="06B21C8B" w14:textId="77777777" w:rsidR="00285FB8" w:rsidRDefault="00285FB8" w:rsidP="00285FB8">
      <w:pPr>
        <w:rPr>
          <w:lang w:val="en-US"/>
        </w:rPr>
      </w:pPr>
      <w:r w:rsidRPr="00285FB8">
        <w:rPr>
          <w:lang w:eastAsia="bg-BG"/>
        </w:rPr>
        <w:t xml:space="preserve">2031 </w:t>
      </w:r>
      <w:r w:rsidRPr="00285FB8">
        <w:rPr>
          <w:lang w:val="en-US"/>
        </w:rPr>
        <w:t xml:space="preserve">GA Haarlem </w:t>
      </w:r>
    </w:p>
    <w:p w14:paraId="344EB281" w14:textId="4B513D86" w:rsidR="00285FB8" w:rsidRPr="00285FB8" w:rsidRDefault="00285FB8" w:rsidP="00285FB8">
      <w:pPr>
        <w:rPr>
          <w:sz w:val="24"/>
          <w:szCs w:val="24"/>
          <w:lang w:val="en-US" w:eastAsia="bg-BG"/>
        </w:rPr>
      </w:pPr>
      <w:r w:rsidRPr="00285FB8">
        <w:rPr>
          <w:lang w:eastAsia="bg-BG"/>
        </w:rPr>
        <w:t>Нидерландия</w:t>
      </w:r>
    </w:p>
    <w:p w14:paraId="4B40D1A3" w14:textId="77777777" w:rsidR="00285FB8" w:rsidRPr="00285FB8" w:rsidRDefault="00285FB8" w:rsidP="00285FB8"/>
    <w:p w14:paraId="0A53321D" w14:textId="5FCCF851" w:rsidR="00EE6C97" w:rsidRDefault="00936AD0" w:rsidP="00A93499">
      <w:pPr>
        <w:pStyle w:val="Heading1"/>
      </w:pPr>
      <w:r>
        <w:t>8.</w:t>
      </w:r>
      <w:r w:rsidR="002C50EE">
        <w:t>НОМЕР НА РАЗРЕШЕНИЕТО ЗА УПОТРЕБА</w:t>
      </w:r>
    </w:p>
    <w:p w14:paraId="555F2872" w14:textId="3E9F8245" w:rsidR="00285FB8" w:rsidRDefault="00285FB8" w:rsidP="00285FB8"/>
    <w:p w14:paraId="2D350FFD" w14:textId="77777777" w:rsidR="00285FB8" w:rsidRPr="00285FB8" w:rsidRDefault="00285FB8" w:rsidP="00285FB8">
      <w:pPr>
        <w:spacing w:line="240" w:lineRule="auto"/>
        <w:rPr>
          <w:rFonts w:eastAsia="Times New Roman" w:cs="Arial"/>
          <w:color w:val="000000"/>
          <w:u w:val="single"/>
          <w:lang w:eastAsia="bg-BG"/>
        </w:rPr>
      </w:pPr>
      <w:r w:rsidRPr="00285FB8">
        <w:rPr>
          <w:rFonts w:eastAsia="Times New Roman" w:cs="Arial"/>
          <w:color w:val="000000"/>
          <w:u w:val="single"/>
          <w:lang w:eastAsia="bg-BG"/>
        </w:rPr>
        <w:t xml:space="preserve">Валтензам Комп 5 </w:t>
      </w:r>
      <w:r w:rsidRPr="00285FB8">
        <w:rPr>
          <w:rFonts w:eastAsia="Times New Roman" w:cs="Arial"/>
          <w:color w:val="000000"/>
          <w:u w:val="single"/>
          <w:lang w:val="en-US"/>
        </w:rPr>
        <w:t>mg/</w:t>
      </w:r>
      <w:r w:rsidRPr="00285FB8">
        <w:rPr>
          <w:rFonts w:eastAsia="Times New Roman" w:cs="Arial"/>
          <w:color w:val="000000"/>
          <w:u w:val="single"/>
          <w:lang w:eastAsia="bg-BG"/>
        </w:rPr>
        <w:t xml:space="preserve">160 </w:t>
      </w:r>
      <w:r w:rsidRPr="00285FB8">
        <w:rPr>
          <w:rFonts w:eastAsia="Times New Roman" w:cs="Arial"/>
          <w:color w:val="000000"/>
          <w:u w:val="single"/>
          <w:lang w:val="en-US"/>
        </w:rPr>
        <w:t>mg/</w:t>
      </w:r>
      <w:r w:rsidRPr="00285FB8">
        <w:rPr>
          <w:rFonts w:eastAsia="Times New Roman" w:cs="Arial"/>
          <w:color w:val="000000"/>
          <w:u w:val="single"/>
          <w:lang w:eastAsia="bg-BG"/>
        </w:rPr>
        <w:t xml:space="preserve">12.5 </w:t>
      </w:r>
      <w:r w:rsidRPr="00285FB8">
        <w:rPr>
          <w:rFonts w:eastAsia="Times New Roman" w:cs="Arial"/>
          <w:color w:val="000000"/>
          <w:u w:val="single"/>
          <w:lang w:val="en-US"/>
        </w:rPr>
        <w:t xml:space="preserve">mg </w:t>
      </w:r>
      <w:r w:rsidRPr="00285FB8">
        <w:rPr>
          <w:rFonts w:eastAsia="Times New Roman" w:cs="Arial"/>
          <w:color w:val="000000"/>
          <w:u w:val="single"/>
          <w:lang w:eastAsia="bg-BG"/>
        </w:rPr>
        <w:t xml:space="preserve">филмирани таблетки </w:t>
      </w:r>
    </w:p>
    <w:p w14:paraId="462CF9D1" w14:textId="605B64C0"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val="en-US"/>
        </w:rPr>
        <w:t xml:space="preserve">Per. </w:t>
      </w:r>
      <w:r w:rsidRPr="00285FB8">
        <w:rPr>
          <w:rFonts w:eastAsia="Times New Roman" w:cs="Arial"/>
          <w:color w:val="000000"/>
          <w:lang w:eastAsia="bg-BG"/>
        </w:rPr>
        <w:t>№20200136</w:t>
      </w:r>
    </w:p>
    <w:p w14:paraId="08555747" w14:textId="3E006789" w:rsidR="00285FB8" w:rsidRPr="00285FB8" w:rsidRDefault="00285FB8" w:rsidP="00285FB8">
      <w:pPr>
        <w:rPr>
          <w:rFonts w:cs="Arial"/>
        </w:rPr>
      </w:pPr>
    </w:p>
    <w:p w14:paraId="378EA521"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 xml:space="preserve">Валтензам Комп 10 </w:t>
      </w:r>
      <w:r w:rsidRPr="00285FB8">
        <w:rPr>
          <w:rFonts w:eastAsia="Times New Roman" w:cs="Arial"/>
          <w:color w:val="000000"/>
          <w:u w:val="single"/>
          <w:lang w:val="en-US"/>
        </w:rPr>
        <w:t xml:space="preserve">mg/320 mg/25 mg </w:t>
      </w:r>
      <w:r w:rsidRPr="00285FB8">
        <w:rPr>
          <w:rFonts w:eastAsia="Times New Roman" w:cs="Arial"/>
          <w:color w:val="000000"/>
          <w:u w:val="single"/>
          <w:lang w:eastAsia="bg-BG"/>
        </w:rPr>
        <w:t>филмирани таблетки</w:t>
      </w:r>
    </w:p>
    <w:p w14:paraId="7661B94E"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val="en-US"/>
        </w:rPr>
        <w:t xml:space="preserve">Per. </w:t>
      </w:r>
      <w:r w:rsidRPr="00285FB8">
        <w:rPr>
          <w:rFonts w:eastAsia="Times New Roman" w:cs="Arial"/>
          <w:color w:val="000000"/>
          <w:lang w:eastAsia="bg-BG"/>
        </w:rPr>
        <w:t>№20200137</w:t>
      </w:r>
    </w:p>
    <w:p w14:paraId="3090D095" w14:textId="77777777" w:rsidR="00285FB8" w:rsidRPr="00285FB8" w:rsidRDefault="00285FB8" w:rsidP="00285FB8"/>
    <w:p w14:paraId="3715C10B" w14:textId="519A97E8" w:rsidR="00BB22B4" w:rsidRDefault="002C50EE" w:rsidP="00471F10">
      <w:pPr>
        <w:pStyle w:val="Heading1"/>
      </w:pPr>
      <w:r>
        <w:t>9. ДАТА НА ПЪРВО РАЗРЕШАВАНЕ/ПОДНОВЯВАНЕ НА РАЗРЕШЕНИЕТО ЗА УПОТРЕБА</w:t>
      </w:r>
    </w:p>
    <w:p w14:paraId="32C26DBB" w14:textId="67F87F97" w:rsidR="00285FB8" w:rsidRDefault="00285FB8" w:rsidP="00285FB8"/>
    <w:p w14:paraId="4343A9D5" w14:textId="1D6D3A94" w:rsidR="00285FB8" w:rsidRPr="00285FB8" w:rsidRDefault="00285FB8" w:rsidP="00285FB8">
      <w:pPr>
        <w:rPr>
          <w:sz w:val="24"/>
          <w:szCs w:val="24"/>
          <w:lang w:eastAsia="bg-BG"/>
        </w:rPr>
      </w:pPr>
      <w:r w:rsidRPr="00285FB8">
        <w:rPr>
          <w:lang w:eastAsia="bg-BG"/>
        </w:rPr>
        <w:t>Дата на първо разрешаване: 18 август 2020 г.</w:t>
      </w:r>
    </w:p>
    <w:p w14:paraId="43FB38A2" w14:textId="0C18A683" w:rsidR="007C605B" w:rsidRDefault="002C50EE" w:rsidP="005726E3">
      <w:pPr>
        <w:pStyle w:val="Heading1"/>
      </w:pPr>
      <w:r>
        <w:t>10. ДАТА НА АКТУАЛИЗИРАНЕ НА ТЕКСТА</w:t>
      </w:r>
      <w:bookmarkEnd w:id="0"/>
    </w:p>
    <w:p w14:paraId="472617BD" w14:textId="051A8F9B" w:rsidR="00BB22B4" w:rsidRPr="00BB22B4" w:rsidRDefault="00285FB8" w:rsidP="00285FB8">
      <w:r>
        <w:t>07/06/2022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2D0101E"/>
    <w:multiLevelType w:val="hybridMultilevel"/>
    <w:tmpl w:val="4C92FD58"/>
    <w:lvl w:ilvl="0" w:tplc="756421B4">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5"/>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7"/>
  </w:num>
  <w:num w:numId="29" w16cid:durableId="973678124">
    <w:abstractNumId w:val="24"/>
  </w:num>
  <w:num w:numId="30" w16cid:durableId="154884452">
    <w:abstractNumId w:val="39"/>
  </w:num>
  <w:num w:numId="31" w16cid:durableId="1053964910">
    <w:abstractNumId w:val="6"/>
  </w:num>
  <w:num w:numId="32" w16cid:durableId="2073575793">
    <w:abstractNumId w:val="37"/>
  </w:num>
  <w:num w:numId="33" w16cid:durableId="1566643170">
    <w:abstractNumId w:val="32"/>
  </w:num>
  <w:num w:numId="34" w16cid:durableId="2060787732">
    <w:abstractNumId w:val="36"/>
  </w:num>
  <w:num w:numId="35" w16cid:durableId="34161354">
    <w:abstractNumId w:val="8"/>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267276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85FB8"/>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5380F"/>
    <w:rsid w:val="005726E3"/>
    <w:rsid w:val="00593A00"/>
    <w:rsid w:val="005A66D9"/>
    <w:rsid w:val="005C456A"/>
    <w:rsid w:val="00605BCA"/>
    <w:rsid w:val="006158A1"/>
    <w:rsid w:val="00617B1F"/>
    <w:rsid w:val="00672487"/>
    <w:rsid w:val="00672600"/>
    <w:rsid w:val="00681D4A"/>
    <w:rsid w:val="00685882"/>
    <w:rsid w:val="00710351"/>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D03D9"/>
    <w:rsid w:val="00AE2107"/>
    <w:rsid w:val="00B133D5"/>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10507</Words>
  <Characters>59893</Characters>
  <Application>Microsoft Office Word</Application>
  <DocSecurity>0</DocSecurity>
  <Lines>499</Lines>
  <Paragraphs>140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2023-01-04T13:29:00Z</dcterms:created>
  <dcterms:modified xsi:type="dcterms:W3CDTF">2023-01-04T13:29:00Z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