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A328C" w14:textId="16329281" w:rsidR="002C50EE" w:rsidRDefault="002C50EE" w:rsidP="002C50EE">
      <w:pPr>
        <w:pStyle w:val="Heading1"/>
        <w:jc w:val="center"/>
      </w:pPr>
      <w:bookmarkStart w:id="0" w:name="_Hlk63124480"/>
      <w:r>
        <w:t>КРАТКА ХАРАКТЕРИСТИКА НА ПРОДУКТА</w:t>
      </w:r>
    </w:p>
    <w:p w14:paraId="482ED0D3" w14:textId="09D2D8E1" w:rsidR="00F53FB7" w:rsidRDefault="00DD466D" w:rsidP="00A93499">
      <w:pPr>
        <w:pStyle w:val="Heading1"/>
      </w:pPr>
      <w:r>
        <w:t>1.ИМЕ НА ЛЕКАРСТВЕНИЯ ПРОДУКТ</w:t>
      </w:r>
    </w:p>
    <w:p w14:paraId="78D6E469" w14:textId="67058495" w:rsidR="00926409" w:rsidRDefault="00926409" w:rsidP="00926409"/>
    <w:p w14:paraId="393BF75C" w14:textId="77777777" w:rsidR="00926409" w:rsidRPr="00926409" w:rsidRDefault="00926409" w:rsidP="00926409">
      <w:pPr>
        <w:rPr>
          <w:sz w:val="24"/>
          <w:szCs w:val="24"/>
          <w:lang w:val="en-US" w:eastAsia="bg-BG"/>
        </w:rPr>
      </w:pPr>
      <w:r w:rsidRPr="00926409">
        <w:rPr>
          <w:lang w:eastAsia="bg-BG"/>
        </w:rPr>
        <w:t xml:space="preserve">Валтензин Плюс 320 </w:t>
      </w:r>
      <w:r w:rsidRPr="00926409">
        <w:rPr>
          <w:lang w:val="en-US"/>
        </w:rPr>
        <w:t xml:space="preserve">mg/12,5 mg </w:t>
      </w:r>
      <w:r w:rsidRPr="00926409">
        <w:rPr>
          <w:lang w:eastAsia="bg-BG"/>
        </w:rPr>
        <w:t>филмирани таблетки</w:t>
      </w:r>
    </w:p>
    <w:p w14:paraId="4C8D6813" w14:textId="77777777" w:rsidR="00926409" w:rsidRPr="00926409" w:rsidRDefault="00926409" w:rsidP="00926409">
      <w:pPr>
        <w:rPr>
          <w:sz w:val="24"/>
          <w:szCs w:val="24"/>
          <w:lang w:val="en-US" w:eastAsia="bg-BG"/>
        </w:rPr>
      </w:pPr>
      <w:proofErr w:type="spellStart"/>
      <w:r w:rsidRPr="00926409">
        <w:rPr>
          <w:lang w:val="en-US"/>
        </w:rPr>
        <w:t>Valtensin</w:t>
      </w:r>
      <w:proofErr w:type="spellEnd"/>
      <w:r w:rsidRPr="00926409">
        <w:rPr>
          <w:lang w:val="en-US"/>
        </w:rPr>
        <w:t xml:space="preserve"> Plus </w:t>
      </w:r>
      <w:r w:rsidRPr="00926409">
        <w:rPr>
          <w:lang w:eastAsia="bg-BG"/>
        </w:rPr>
        <w:t xml:space="preserve">320 </w:t>
      </w:r>
      <w:r w:rsidRPr="00926409">
        <w:rPr>
          <w:lang w:val="en-US"/>
        </w:rPr>
        <w:t>mg/12,5 mg film-coated tablets</w:t>
      </w:r>
    </w:p>
    <w:p w14:paraId="36EBE802" w14:textId="77777777" w:rsidR="00926409" w:rsidRDefault="00926409" w:rsidP="00926409">
      <w:pPr>
        <w:rPr>
          <w:lang w:eastAsia="bg-BG"/>
        </w:rPr>
      </w:pPr>
    </w:p>
    <w:p w14:paraId="67DE9111" w14:textId="04331652" w:rsidR="00926409" w:rsidRPr="00926409" w:rsidRDefault="00926409" w:rsidP="00926409">
      <w:pPr>
        <w:rPr>
          <w:sz w:val="24"/>
          <w:szCs w:val="24"/>
          <w:lang w:val="en-US" w:eastAsia="bg-BG"/>
        </w:rPr>
      </w:pPr>
      <w:r w:rsidRPr="00926409">
        <w:rPr>
          <w:lang w:eastAsia="bg-BG"/>
        </w:rPr>
        <w:t xml:space="preserve">Валтензин Плюс </w:t>
      </w:r>
      <w:r w:rsidRPr="00926409">
        <w:rPr>
          <w:lang w:val="en-US"/>
        </w:rPr>
        <w:t xml:space="preserve">320 mg/25 mg </w:t>
      </w:r>
      <w:r w:rsidRPr="00926409">
        <w:rPr>
          <w:lang w:eastAsia="bg-BG"/>
        </w:rPr>
        <w:t>филмирани таблетки</w:t>
      </w:r>
    </w:p>
    <w:p w14:paraId="59BC2C75" w14:textId="60703628" w:rsidR="00926409" w:rsidRPr="00926409" w:rsidRDefault="00926409" w:rsidP="00926409">
      <w:proofErr w:type="spellStart"/>
      <w:r w:rsidRPr="00926409">
        <w:rPr>
          <w:lang w:val="en-US"/>
        </w:rPr>
        <w:t>Valtensin</w:t>
      </w:r>
      <w:proofErr w:type="spellEnd"/>
      <w:r w:rsidRPr="00926409">
        <w:rPr>
          <w:lang w:val="en-US"/>
        </w:rPr>
        <w:t xml:space="preserve"> Plus 320 mg/25 mg film-coated tablets</w:t>
      </w:r>
    </w:p>
    <w:p w14:paraId="0DF202EC" w14:textId="5D71920A" w:rsidR="00F53FB7" w:rsidRDefault="00DD466D" w:rsidP="00A93499">
      <w:pPr>
        <w:pStyle w:val="Heading1"/>
      </w:pPr>
      <w:r>
        <w:t>2. КАЧЕСТВЕН И КОЛИЧЕСТВЕН СЪСТАВ</w:t>
      </w:r>
    </w:p>
    <w:p w14:paraId="68FC6F62" w14:textId="3749F611" w:rsidR="00926409" w:rsidRDefault="00926409" w:rsidP="00926409"/>
    <w:p w14:paraId="50F0F86B" w14:textId="77777777" w:rsidR="00926409" w:rsidRPr="00926409" w:rsidRDefault="00926409" w:rsidP="00926409">
      <w:pPr>
        <w:spacing w:line="240" w:lineRule="auto"/>
        <w:rPr>
          <w:rFonts w:eastAsia="Times New Roman" w:cs="Arial"/>
          <w:sz w:val="28"/>
          <w:szCs w:val="28"/>
          <w:lang w:eastAsia="bg-BG"/>
        </w:rPr>
      </w:pPr>
      <w:r w:rsidRPr="00926409">
        <w:rPr>
          <w:rFonts w:eastAsia="Times New Roman" w:cs="Arial"/>
          <w:color w:val="000000"/>
          <w:lang w:eastAsia="bg-BG"/>
        </w:rPr>
        <w:t xml:space="preserve">Всяка таблетка съдържа 320 </w:t>
      </w:r>
      <w:r w:rsidRPr="00926409">
        <w:rPr>
          <w:rFonts w:eastAsia="Times New Roman" w:cs="Arial"/>
          <w:color w:val="000000"/>
          <w:lang w:val="en-US"/>
        </w:rPr>
        <w:t xml:space="preserve">mg </w:t>
      </w:r>
      <w:r w:rsidRPr="00926409">
        <w:rPr>
          <w:rFonts w:eastAsia="Times New Roman" w:cs="Arial"/>
          <w:color w:val="000000"/>
          <w:lang w:eastAsia="bg-BG"/>
        </w:rPr>
        <w:t>валсартан (</w:t>
      </w:r>
      <w:r w:rsidRPr="00926409">
        <w:rPr>
          <w:rFonts w:eastAsia="Times New Roman" w:cs="Arial"/>
          <w:i/>
          <w:iCs/>
          <w:color w:val="000000"/>
          <w:lang w:val="en-US"/>
        </w:rPr>
        <w:t>valsartan)</w:t>
      </w:r>
      <w:r w:rsidRPr="00926409">
        <w:rPr>
          <w:rFonts w:eastAsia="Times New Roman" w:cs="Arial"/>
          <w:color w:val="000000"/>
          <w:lang w:val="en-US"/>
        </w:rPr>
        <w:t xml:space="preserve"> </w:t>
      </w:r>
      <w:r w:rsidRPr="00926409">
        <w:rPr>
          <w:rFonts w:eastAsia="Times New Roman" w:cs="Arial"/>
          <w:color w:val="000000"/>
          <w:lang w:eastAsia="bg-BG"/>
        </w:rPr>
        <w:t xml:space="preserve">и 12,5 </w:t>
      </w:r>
      <w:r w:rsidRPr="00926409">
        <w:rPr>
          <w:rFonts w:eastAsia="Times New Roman" w:cs="Arial"/>
          <w:color w:val="000000"/>
          <w:lang w:val="en-US"/>
        </w:rPr>
        <w:t xml:space="preserve">mg </w:t>
      </w:r>
      <w:r w:rsidRPr="00926409">
        <w:rPr>
          <w:rFonts w:eastAsia="Times New Roman" w:cs="Arial"/>
          <w:color w:val="000000"/>
          <w:lang w:eastAsia="bg-BG"/>
        </w:rPr>
        <w:t xml:space="preserve">хидрохлоротиазид </w:t>
      </w:r>
      <w:r w:rsidRPr="00926409">
        <w:rPr>
          <w:rFonts w:eastAsia="Times New Roman" w:cs="Arial"/>
          <w:i/>
          <w:iCs/>
          <w:color w:val="000000"/>
          <w:lang w:val="en-US"/>
        </w:rPr>
        <w:t>(hydrochlorothiazide).</w:t>
      </w:r>
    </w:p>
    <w:p w14:paraId="4777111D" w14:textId="77777777" w:rsidR="00926409" w:rsidRPr="00926409" w:rsidRDefault="00926409" w:rsidP="00926409">
      <w:pPr>
        <w:spacing w:line="240" w:lineRule="auto"/>
        <w:rPr>
          <w:rFonts w:eastAsia="Times New Roman" w:cs="Arial"/>
          <w:sz w:val="28"/>
          <w:szCs w:val="28"/>
          <w:lang w:eastAsia="bg-BG"/>
        </w:rPr>
      </w:pPr>
      <w:r w:rsidRPr="00926409">
        <w:rPr>
          <w:rFonts w:eastAsia="Times New Roman" w:cs="Arial"/>
          <w:color w:val="000000"/>
          <w:lang w:eastAsia="bg-BG"/>
        </w:rPr>
        <w:t xml:space="preserve">Всяка таблетка съдържа 320 </w:t>
      </w:r>
      <w:r w:rsidRPr="00926409">
        <w:rPr>
          <w:rFonts w:eastAsia="Times New Roman" w:cs="Arial"/>
          <w:color w:val="000000"/>
          <w:lang w:val="en-US"/>
        </w:rPr>
        <w:t xml:space="preserve">mg </w:t>
      </w:r>
      <w:r w:rsidRPr="00926409">
        <w:rPr>
          <w:rFonts w:eastAsia="Times New Roman" w:cs="Arial"/>
          <w:color w:val="000000"/>
          <w:lang w:eastAsia="bg-BG"/>
        </w:rPr>
        <w:t>валсартан (</w:t>
      </w:r>
      <w:r w:rsidRPr="00926409">
        <w:rPr>
          <w:rFonts w:eastAsia="Times New Roman" w:cs="Arial"/>
          <w:i/>
          <w:iCs/>
          <w:color w:val="000000"/>
          <w:lang w:val="en-US"/>
        </w:rPr>
        <w:t>valsartan)</w:t>
      </w:r>
      <w:r w:rsidRPr="00926409">
        <w:rPr>
          <w:rFonts w:eastAsia="Times New Roman" w:cs="Arial"/>
          <w:color w:val="000000"/>
          <w:lang w:val="en-US"/>
        </w:rPr>
        <w:t xml:space="preserve"> </w:t>
      </w:r>
      <w:r w:rsidRPr="00926409">
        <w:rPr>
          <w:rFonts w:eastAsia="Times New Roman" w:cs="Arial"/>
          <w:color w:val="000000"/>
          <w:lang w:eastAsia="bg-BG"/>
        </w:rPr>
        <w:t xml:space="preserve">и 25 </w:t>
      </w:r>
      <w:r w:rsidRPr="00926409">
        <w:rPr>
          <w:rFonts w:eastAsia="Times New Roman" w:cs="Arial"/>
          <w:color w:val="000000"/>
          <w:lang w:val="en-US"/>
        </w:rPr>
        <w:t xml:space="preserve">mg </w:t>
      </w:r>
      <w:r w:rsidRPr="00926409">
        <w:rPr>
          <w:rFonts w:eastAsia="Times New Roman" w:cs="Arial"/>
          <w:color w:val="000000"/>
          <w:lang w:eastAsia="bg-BG"/>
        </w:rPr>
        <w:t>хидрохлоротиазид (</w:t>
      </w:r>
      <w:r w:rsidRPr="00926409">
        <w:rPr>
          <w:rFonts w:eastAsia="Times New Roman" w:cs="Arial"/>
          <w:i/>
          <w:iCs/>
          <w:color w:val="000000"/>
          <w:lang w:val="en-US"/>
        </w:rPr>
        <w:t>hydrochlorothiazide).</w:t>
      </w:r>
    </w:p>
    <w:p w14:paraId="327F3A08" w14:textId="77777777" w:rsidR="00926409" w:rsidRPr="00926409" w:rsidRDefault="00926409" w:rsidP="00926409">
      <w:pPr>
        <w:spacing w:line="240" w:lineRule="auto"/>
        <w:rPr>
          <w:rFonts w:eastAsia="Times New Roman" w:cs="Arial"/>
          <w:color w:val="000000"/>
          <w:lang w:eastAsia="bg-BG"/>
        </w:rPr>
      </w:pPr>
    </w:p>
    <w:p w14:paraId="3DD8631F" w14:textId="6768973F" w:rsidR="00926409" w:rsidRPr="00926409" w:rsidRDefault="00926409" w:rsidP="00926409">
      <w:pPr>
        <w:spacing w:line="240" w:lineRule="auto"/>
        <w:rPr>
          <w:rFonts w:eastAsia="Times New Roman" w:cs="Arial"/>
          <w:sz w:val="28"/>
          <w:szCs w:val="28"/>
          <w:lang w:eastAsia="bg-BG"/>
        </w:rPr>
      </w:pPr>
      <w:r w:rsidRPr="00926409">
        <w:rPr>
          <w:rFonts w:eastAsia="Times New Roman" w:cs="Arial"/>
          <w:color w:val="000000"/>
          <w:lang w:eastAsia="bg-BG"/>
        </w:rPr>
        <w:t>Помощни вещества с известно действие:</w:t>
      </w:r>
    </w:p>
    <w:p w14:paraId="315F7115" w14:textId="77777777" w:rsidR="00926409" w:rsidRPr="00926409" w:rsidRDefault="00926409" w:rsidP="00926409">
      <w:pPr>
        <w:spacing w:line="240" w:lineRule="auto"/>
        <w:rPr>
          <w:rFonts w:eastAsia="Times New Roman" w:cs="Arial"/>
          <w:sz w:val="28"/>
          <w:szCs w:val="28"/>
          <w:lang w:eastAsia="bg-BG"/>
        </w:rPr>
      </w:pPr>
      <w:r w:rsidRPr="00926409">
        <w:rPr>
          <w:rFonts w:eastAsia="Times New Roman" w:cs="Arial"/>
          <w:color w:val="000000"/>
          <w:lang w:eastAsia="bg-BG"/>
        </w:rPr>
        <w:t xml:space="preserve">Всяка филмирана таблетка Валтензин Плюс 320 </w:t>
      </w:r>
      <w:r w:rsidRPr="00926409">
        <w:rPr>
          <w:rFonts w:eastAsia="Times New Roman" w:cs="Arial"/>
          <w:color w:val="000000"/>
          <w:lang w:val="en-US"/>
        </w:rPr>
        <w:t xml:space="preserve">mg/12,5 mg </w:t>
      </w:r>
      <w:r w:rsidRPr="00926409">
        <w:rPr>
          <w:rFonts w:eastAsia="Times New Roman" w:cs="Arial"/>
          <w:color w:val="000000"/>
          <w:lang w:eastAsia="bg-BG"/>
        </w:rPr>
        <w:t xml:space="preserve">съдържа 156,38 </w:t>
      </w:r>
      <w:r w:rsidRPr="00926409">
        <w:rPr>
          <w:rFonts w:eastAsia="Times New Roman" w:cs="Arial"/>
          <w:color w:val="000000"/>
          <w:lang w:val="en-US"/>
        </w:rPr>
        <w:t xml:space="preserve">mg </w:t>
      </w:r>
      <w:r w:rsidRPr="00926409">
        <w:rPr>
          <w:rFonts w:eastAsia="Times New Roman" w:cs="Arial"/>
          <w:color w:val="000000"/>
          <w:lang w:eastAsia="bg-BG"/>
        </w:rPr>
        <w:t xml:space="preserve">лактоза монохидрат и 1,01 </w:t>
      </w:r>
      <w:r w:rsidRPr="00926409">
        <w:rPr>
          <w:rFonts w:eastAsia="Times New Roman" w:cs="Arial"/>
          <w:color w:val="000000"/>
          <w:lang w:val="en-US"/>
        </w:rPr>
        <w:t xml:space="preserve">mg </w:t>
      </w:r>
      <w:r w:rsidRPr="00926409">
        <w:rPr>
          <w:rFonts w:eastAsia="Times New Roman" w:cs="Arial"/>
          <w:color w:val="000000"/>
          <w:lang w:eastAsia="bg-BG"/>
        </w:rPr>
        <w:t>лецитин (съдържа соево масло).</w:t>
      </w:r>
    </w:p>
    <w:p w14:paraId="2B71C07F" w14:textId="3581FDC8" w:rsidR="00926409" w:rsidRPr="00926409" w:rsidRDefault="00926409" w:rsidP="00926409">
      <w:pPr>
        <w:rPr>
          <w:rFonts w:cs="Arial"/>
          <w:sz w:val="24"/>
          <w:szCs w:val="24"/>
        </w:rPr>
      </w:pPr>
      <w:r w:rsidRPr="00926409">
        <w:rPr>
          <w:rFonts w:eastAsia="Times New Roman" w:cs="Arial"/>
          <w:color w:val="000000"/>
          <w:lang w:eastAsia="bg-BG"/>
        </w:rPr>
        <w:t xml:space="preserve">Всяка филмирана таблетка Валтензин Плюс 320 </w:t>
      </w:r>
      <w:r w:rsidRPr="00926409">
        <w:rPr>
          <w:rFonts w:eastAsia="Times New Roman" w:cs="Arial"/>
          <w:color w:val="000000"/>
          <w:lang w:val="en-US"/>
        </w:rPr>
        <w:t xml:space="preserve">mg/25 mg </w:t>
      </w:r>
      <w:r w:rsidRPr="00926409">
        <w:rPr>
          <w:rFonts w:eastAsia="Times New Roman" w:cs="Arial"/>
          <w:color w:val="000000"/>
          <w:lang w:eastAsia="bg-BG"/>
        </w:rPr>
        <w:t xml:space="preserve">съдържа 143,88 </w:t>
      </w:r>
      <w:r w:rsidRPr="00926409">
        <w:rPr>
          <w:rFonts w:eastAsia="Times New Roman" w:cs="Arial"/>
          <w:color w:val="000000"/>
          <w:lang w:val="en-US"/>
        </w:rPr>
        <w:t xml:space="preserve">mg </w:t>
      </w:r>
      <w:r w:rsidRPr="00926409">
        <w:rPr>
          <w:rFonts w:eastAsia="Times New Roman" w:cs="Arial"/>
          <w:color w:val="000000"/>
          <w:lang w:eastAsia="bg-BG"/>
        </w:rPr>
        <w:t xml:space="preserve">лактоза монохидрат и 1,01 </w:t>
      </w:r>
      <w:r w:rsidRPr="00926409">
        <w:rPr>
          <w:rFonts w:eastAsia="Times New Roman" w:cs="Arial"/>
          <w:color w:val="000000"/>
          <w:lang w:val="en-US"/>
        </w:rPr>
        <w:t xml:space="preserve">mg </w:t>
      </w:r>
      <w:r w:rsidRPr="00926409">
        <w:rPr>
          <w:rFonts w:eastAsia="Times New Roman" w:cs="Arial"/>
          <w:color w:val="000000"/>
          <w:lang w:eastAsia="bg-BG"/>
        </w:rPr>
        <w:t>лецитин (съдържа соево масло).</w:t>
      </w:r>
    </w:p>
    <w:p w14:paraId="4CABB9ED" w14:textId="1EDA64B4" w:rsidR="00F53FB7" w:rsidRDefault="00DD466D" w:rsidP="00A93499">
      <w:pPr>
        <w:pStyle w:val="Heading1"/>
      </w:pPr>
      <w:r>
        <w:t>3. ЛЕКАРСТВЕНА ФОРМА</w:t>
      </w:r>
    </w:p>
    <w:p w14:paraId="3B56001E" w14:textId="6D4F579C" w:rsidR="00926409" w:rsidRDefault="00926409" w:rsidP="00926409"/>
    <w:p w14:paraId="69D321ED" w14:textId="77777777" w:rsidR="00926409" w:rsidRPr="00926409" w:rsidRDefault="00926409" w:rsidP="00926409">
      <w:pPr>
        <w:spacing w:line="240" w:lineRule="auto"/>
        <w:rPr>
          <w:rFonts w:eastAsia="Times New Roman" w:cs="Arial"/>
          <w:sz w:val="28"/>
          <w:szCs w:val="28"/>
          <w:lang w:eastAsia="bg-BG"/>
        </w:rPr>
      </w:pPr>
      <w:r w:rsidRPr="00926409">
        <w:rPr>
          <w:rFonts w:eastAsia="Times New Roman" w:cs="Arial"/>
          <w:color w:val="000000"/>
          <w:lang w:eastAsia="bg-BG"/>
        </w:rPr>
        <w:t xml:space="preserve">Валтензин Плюс 320 </w:t>
      </w:r>
      <w:r w:rsidRPr="00926409">
        <w:rPr>
          <w:rFonts w:eastAsia="Times New Roman" w:cs="Arial"/>
          <w:color w:val="000000"/>
          <w:lang w:val="en-US"/>
        </w:rPr>
        <w:t xml:space="preserve">mg/12,5 mg </w:t>
      </w:r>
      <w:r w:rsidRPr="00926409">
        <w:rPr>
          <w:rFonts w:eastAsia="Times New Roman" w:cs="Arial"/>
          <w:color w:val="000000"/>
          <w:lang w:eastAsia="bg-BG"/>
        </w:rPr>
        <w:t xml:space="preserve">филмирани таблетки: розови, овални, двойноизпъкнали филмирани таблетки, с размери 18,9 х 7,5 </w:t>
      </w:r>
      <w:r w:rsidRPr="00926409">
        <w:rPr>
          <w:rFonts w:eastAsia="Times New Roman" w:cs="Arial"/>
          <w:color w:val="000000"/>
          <w:lang w:val="en-US"/>
        </w:rPr>
        <w:t xml:space="preserve">mm, </w:t>
      </w:r>
      <w:r w:rsidRPr="00926409">
        <w:rPr>
          <w:rFonts w:eastAsia="Times New Roman" w:cs="Arial"/>
          <w:color w:val="000000"/>
          <w:lang w:eastAsia="bg-BG"/>
        </w:rPr>
        <w:t>маркирани с ‘V’ от едната страна и '</w:t>
      </w:r>
      <w:r w:rsidRPr="00926409">
        <w:rPr>
          <w:rFonts w:eastAsia="Times New Roman" w:cs="Arial"/>
          <w:color w:val="000000"/>
          <w:lang w:val="en-US"/>
        </w:rPr>
        <w:t>H'</w:t>
      </w:r>
      <w:r w:rsidRPr="00926409">
        <w:rPr>
          <w:rFonts w:eastAsia="Times New Roman" w:cs="Arial"/>
          <w:color w:val="000000"/>
          <w:lang w:eastAsia="bg-BG"/>
        </w:rPr>
        <w:t xml:space="preserve"> от другата.</w:t>
      </w:r>
    </w:p>
    <w:p w14:paraId="2F27046B" w14:textId="77777777" w:rsidR="00926409" w:rsidRPr="00926409" w:rsidRDefault="00926409" w:rsidP="00926409">
      <w:pPr>
        <w:spacing w:line="240" w:lineRule="auto"/>
        <w:rPr>
          <w:rFonts w:eastAsia="Times New Roman" w:cs="Arial"/>
          <w:color w:val="000000"/>
          <w:lang w:eastAsia="bg-BG"/>
        </w:rPr>
      </w:pPr>
    </w:p>
    <w:p w14:paraId="63C9674C" w14:textId="4E3A56F6" w:rsidR="00926409" w:rsidRPr="00926409" w:rsidRDefault="00926409" w:rsidP="00926409">
      <w:pPr>
        <w:spacing w:line="240" w:lineRule="auto"/>
        <w:rPr>
          <w:rFonts w:eastAsia="Times New Roman" w:cs="Arial"/>
          <w:sz w:val="28"/>
          <w:szCs w:val="28"/>
          <w:lang w:eastAsia="bg-BG"/>
        </w:rPr>
      </w:pPr>
      <w:r w:rsidRPr="00926409">
        <w:rPr>
          <w:rFonts w:eastAsia="Times New Roman" w:cs="Arial"/>
          <w:color w:val="000000"/>
          <w:lang w:eastAsia="bg-BG"/>
        </w:rPr>
        <w:t xml:space="preserve">Валтензин Плюс 320 </w:t>
      </w:r>
      <w:r w:rsidRPr="00926409">
        <w:rPr>
          <w:rFonts w:eastAsia="Times New Roman" w:cs="Arial"/>
          <w:color w:val="000000"/>
          <w:lang w:val="en-US"/>
        </w:rPr>
        <w:t xml:space="preserve">mg/25 mg </w:t>
      </w:r>
      <w:r w:rsidRPr="00926409">
        <w:rPr>
          <w:rFonts w:eastAsia="Times New Roman" w:cs="Arial"/>
          <w:color w:val="000000"/>
          <w:lang w:eastAsia="bg-BG"/>
        </w:rPr>
        <w:t xml:space="preserve">филмирани таблетки: жълти, овални, двойноизпъкнали филмирани таблетки, с размери 18,9 х 7,5 </w:t>
      </w:r>
      <w:r w:rsidRPr="00926409">
        <w:rPr>
          <w:rFonts w:eastAsia="Times New Roman" w:cs="Arial"/>
          <w:color w:val="000000"/>
          <w:lang w:val="en-US"/>
        </w:rPr>
        <w:t xml:space="preserve">mm, </w:t>
      </w:r>
      <w:r w:rsidRPr="00926409">
        <w:rPr>
          <w:rFonts w:eastAsia="Times New Roman" w:cs="Arial"/>
          <w:color w:val="000000"/>
          <w:lang w:eastAsia="bg-BG"/>
        </w:rPr>
        <w:t>делителна черга от едната страна и странични черти, маркирани с ‘V’ от едната страна и ‘Н’ от другата.</w:t>
      </w:r>
    </w:p>
    <w:p w14:paraId="1FE924ED" w14:textId="77777777" w:rsidR="00926409" w:rsidRPr="00926409" w:rsidRDefault="00926409" w:rsidP="00926409">
      <w:pPr>
        <w:spacing w:line="240" w:lineRule="auto"/>
        <w:rPr>
          <w:rFonts w:eastAsia="Times New Roman" w:cs="Arial"/>
          <w:color w:val="000000"/>
          <w:lang w:eastAsia="bg-BG"/>
        </w:rPr>
      </w:pPr>
    </w:p>
    <w:p w14:paraId="408CC585" w14:textId="79DC9FBE" w:rsidR="00926409" w:rsidRPr="00926409" w:rsidRDefault="00926409" w:rsidP="00926409">
      <w:pPr>
        <w:spacing w:line="240" w:lineRule="auto"/>
        <w:rPr>
          <w:rFonts w:eastAsia="Times New Roman" w:cs="Arial"/>
          <w:sz w:val="28"/>
          <w:szCs w:val="28"/>
          <w:lang w:eastAsia="bg-BG"/>
        </w:rPr>
      </w:pPr>
      <w:r w:rsidRPr="00926409">
        <w:rPr>
          <w:rFonts w:eastAsia="Times New Roman" w:cs="Arial"/>
          <w:color w:val="000000"/>
          <w:lang w:eastAsia="bg-BG"/>
        </w:rPr>
        <w:t>Таблетката може да бъде разделена на две равни дози.</w:t>
      </w:r>
    </w:p>
    <w:p w14:paraId="17E0FE46" w14:textId="77777777" w:rsidR="00926409" w:rsidRPr="00926409" w:rsidRDefault="00926409" w:rsidP="00926409"/>
    <w:p w14:paraId="490FC2C4" w14:textId="6899DE43" w:rsidR="002C50EE" w:rsidRDefault="002C50EE" w:rsidP="002C50EE">
      <w:pPr>
        <w:pStyle w:val="Heading1"/>
      </w:pPr>
      <w:r>
        <w:t>4. КЛИНИЧНИ ДАННИ</w:t>
      </w:r>
    </w:p>
    <w:p w14:paraId="1A37D275" w14:textId="37A08AA1" w:rsidR="00F53FB7" w:rsidRDefault="002C50EE" w:rsidP="00A93499">
      <w:pPr>
        <w:pStyle w:val="Heading2"/>
      </w:pPr>
      <w:r>
        <w:t>4.1. Терапевтични показания</w:t>
      </w:r>
    </w:p>
    <w:p w14:paraId="24F31C1B" w14:textId="1D89F494" w:rsidR="00926409" w:rsidRDefault="00926409" w:rsidP="00926409"/>
    <w:p w14:paraId="01750894" w14:textId="77777777" w:rsidR="00926409" w:rsidRPr="00926409" w:rsidRDefault="00926409" w:rsidP="00926409">
      <w:pPr>
        <w:rPr>
          <w:sz w:val="24"/>
          <w:szCs w:val="24"/>
          <w:lang w:eastAsia="bg-BG"/>
        </w:rPr>
      </w:pPr>
      <w:r w:rsidRPr="00926409">
        <w:rPr>
          <w:lang w:eastAsia="bg-BG"/>
        </w:rPr>
        <w:t>Лечение на есенциална хипертония при възрастни.</w:t>
      </w:r>
    </w:p>
    <w:p w14:paraId="3E324C1C" w14:textId="77777777" w:rsidR="00926409" w:rsidRDefault="00926409" w:rsidP="00926409">
      <w:pPr>
        <w:rPr>
          <w:lang w:eastAsia="bg-BG"/>
        </w:rPr>
      </w:pPr>
    </w:p>
    <w:p w14:paraId="01D6C2F4" w14:textId="6E86A344" w:rsidR="00926409" w:rsidRPr="00926409" w:rsidRDefault="00926409" w:rsidP="00926409">
      <w:pPr>
        <w:rPr>
          <w:sz w:val="24"/>
          <w:szCs w:val="24"/>
          <w:lang w:eastAsia="bg-BG"/>
        </w:rPr>
      </w:pPr>
      <w:r w:rsidRPr="00926409">
        <w:rPr>
          <w:lang w:eastAsia="bg-BG"/>
        </w:rPr>
        <w:t>Валтензин Плюс фиксирана дозова комбинация е показан при пациенти, чието кръвно налягане не се контролира адекватно от монотерапия с валсартан или хидрохлоротиазид.</w:t>
      </w:r>
    </w:p>
    <w:p w14:paraId="50789127" w14:textId="77777777" w:rsidR="00926409" w:rsidRPr="00926409" w:rsidRDefault="00926409" w:rsidP="00926409"/>
    <w:p w14:paraId="05D17336" w14:textId="67204480" w:rsidR="00F53FB7" w:rsidRDefault="002C50EE" w:rsidP="00A93499">
      <w:pPr>
        <w:pStyle w:val="Heading2"/>
      </w:pPr>
      <w:r>
        <w:lastRenderedPageBreak/>
        <w:t>4.2. Дозировка и начин на приложение</w:t>
      </w:r>
    </w:p>
    <w:p w14:paraId="5BF0DEA8" w14:textId="429AAC0C" w:rsidR="00926409" w:rsidRDefault="00926409" w:rsidP="00926409"/>
    <w:p w14:paraId="6589F97A" w14:textId="77777777" w:rsidR="00926409" w:rsidRPr="00926409" w:rsidRDefault="00926409" w:rsidP="00926409">
      <w:pPr>
        <w:pStyle w:val="Heading3"/>
        <w:rPr>
          <w:rFonts w:eastAsia="Times New Roman"/>
          <w:sz w:val="28"/>
          <w:szCs w:val="28"/>
          <w:u w:val="single"/>
          <w:lang w:eastAsia="bg-BG"/>
        </w:rPr>
      </w:pPr>
      <w:r w:rsidRPr="00926409">
        <w:rPr>
          <w:rFonts w:eastAsia="Times New Roman"/>
          <w:u w:val="single"/>
          <w:lang w:eastAsia="bg-BG"/>
        </w:rPr>
        <w:t>Дозировка</w:t>
      </w:r>
    </w:p>
    <w:p w14:paraId="1E275EBF" w14:textId="77777777" w:rsidR="00926409" w:rsidRPr="00926409" w:rsidRDefault="00926409" w:rsidP="00926409">
      <w:pPr>
        <w:rPr>
          <w:rFonts w:eastAsia="Times New Roman" w:cs="Arial"/>
          <w:sz w:val="28"/>
          <w:szCs w:val="28"/>
          <w:lang w:eastAsia="bg-BG"/>
        </w:rPr>
      </w:pPr>
      <w:r w:rsidRPr="00926409">
        <w:rPr>
          <w:rFonts w:eastAsia="Times New Roman" w:cs="Arial"/>
          <w:color w:val="000000"/>
          <w:lang w:eastAsia="bg-BG"/>
        </w:rPr>
        <w:t xml:space="preserve">Препоръчителната доза Валтензин Плюс е една филмирана таблетка Валтензин Плюс 320 </w:t>
      </w:r>
      <w:r w:rsidRPr="00926409">
        <w:rPr>
          <w:rFonts w:eastAsia="Times New Roman" w:cs="Arial"/>
          <w:color w:val="000000"/>
          <w:lang w:val="en-US"/>
        </w:rPr>
        <w:t xml:space="preserve">mg/12,5 mg </w:t>
      </w:r>
      <w:r w:rsidRPr="00926409">
        <w:rPr>
          <w:rFonts w:eastAsia="Times New Roman" w:cs="Arial"/>
          <w:color w:val="000000"/>
          <w:lang w:eastAsia="bg-BG"/>
        </w:rPr>
        <w:t xml:space="preserve">или Валтензин Плюс 320 </w:t>
      </w:r>
      <w:r w:rsidRPr="00926409">
        <w:rPr>
          <w:rFonts w:eastAsia="Times New Roman" w:cs="Arial"/>
          <w:color w:val="000000"/>
          <w:lang w:val="en-US"/>
        </w:rPr>
        <w:t xml:space="preserve">mg/25 mg </w:t>
      </w:r>
      <w:r w:rsidRPr="00926409">
        <w:rPr>
          <w:rFonts w:eastAsia="Times New Roman" w:cs="Arial"/>
          <w:color w:val="000000"/>
          <w:lang w:eastAsia="bg-BG"/>
        </w:rPr>
        <w:t>веднъж дневно. Препоръчва се титриране на дозите на отделните компоненти. При всеки случай, повишаването на дозата на отделните</w:t>
      </w:r>
      <w:r w:rsidRPr="00926409">
        <w:rPr>
          <w:rFonts w:eastAsia="Times New Roman" w:cs="Arial"/>
          <w:color w:val="000000"/>
          <w:lang w:val="en-US" w:eastAsia="bg-BG"/>
        </w:rPr>
        <w:t xml:space="preserve"> </w:t>
      </w:r>
      <w:r w:rsidRPr="00926409">
        <w:rPr>
          <w:rFonts w:eastAsia="Times New Roman" w:cs="Arial"/>
          <w:color w:val="000000"/>
          <w:lang w:eastAsia="bg-BG"/>
        </w:rPr>
        <w:t>компоненти трябва да се проследи до следващата доза, за да се намали риска от хипотония и други нежелани лекарствени реакции.</w:t>
      </w:r>
    </w:p>
    <w:p w14:paraId="676A7736" w14:textId="77777777" w:rsidR="00926409" w:rsidRPr="00926409" w:rsidRDefault="00926409" w:rsidP="00926409">
      <w:pPr>
        <w:spacing w:line="240" w:lineRule="auto"/>
        <w:rPr>
          <w:rFonts w:eastAsia="Times New Roman" w:cs="Arial"/>
          <w:sz w:val="28"/>
          <w:szCs w:val="28"/>
          <w:lang w:eastAsia="bg-BG"/>
        </w:rPr>
      </w:pPr>
      <w:r w:rsidRPr="00926409">
        <w:rPr>
          <w:rFonts w:eastAsia="Times New Roman" w:cs="Arial"/>
          <w:color w:val="000000"/>
          <w:lang w:eastAsia="bg-BG"/>
        </w:rPr>
        <w:t>Когато е уместно от клинична гледна точка, би могло да се обмисли директно преминаване от монотерапия към лечение с комбинация от фиксирани дози при пациенти, чието кръвно налягане не се контролира адекватно от монотерапия с валсартан или хидрохлоротиазид, при условие, че се следва препоръчваното титриране на дозите на отделните компоненти.</w:t>
      </w:r>
    </w:p>
    <w:p w14:paraId="0781EBA4" w14:textId="77777777" w:rsidR="00926409" w:rsidRPr="00926409" w:rsidRDefault="00926409" w:rsidP="00926409">
      <w:pPr>
        <w:spacing w:line="240" w:lineRule="auto"/>
        <w:rPr>
          <w:rFonts w:eastAsia="Times New Roman" w:cs="Arial"/>
          <w:color w:val="000000"/>
          <w:lang w:eastAsia="bg-BG"/>
        </w:rPr>
      </w:pPr>
    </w:p>
    <w:p w14:paraId="7A6C4ACD" w14:textId="10FE514F" w:rsidR="00926409" w:rsidRPr="00926409" w:rsidRDefault="00926409" w:rsidP="00926409">
      <w:pPr>
        <w:spacing w:line="240" w:lineRule="auto"/>
        <w:rPr>
          <w:rFonts w:eastAsia="Times New Roman" w:cs="Arial"/>
          <w:sz w:val="28"/>
          <w:szCs w:val="28"/>
          <w:lang w:eastAsia="bg-BG"/>
        </w:rPr>
      </w:pPr>
      <w:r w:rsidRPr="00926409">
        <w:rPr>
          <w:rFonts w:eastAsia="Times New Roman" w:cs="Arial"/>
          <w:color w:val="000000"/>
          <w:lang w:eastAsia="bg-BG"/>
        </w:rPr>
        <w:t xml:space="preserve">Клиничният отговор спрямо Валтензин Плюс трябва да се оцени след започване на лечението и ако не се постигне контрол на кръвното налягане, дозата може да се повиши чрез повишаване на отделните компоненти до максимална доза 320 </w:t>
      </w:r>
      <w:r w:rsidRPr="00926409">
        <w:rPr>
          <w:rFonts w:eastAsia="Times New Roman" w:cs="Arial"/>
          <w:color w:val="000000"/>
          <w:lang w:val="en-US"/>
        </w:rPr>
        <w:t xml:space="preserve">mg/25 mg </w:t>
      </w:r>
      <w:r w:rsidRPr="00926409">
        <w:rPr>
          <w:rFonts w:eastAsia="Times New Roman" w:cs="Arial"/>
          <w:color w:val="000000"/>
          <w:lang w:eastAsia="bg-BG"/>
        </w:rPr>
        <w:t>Валтензин Плюс,</w:t>
      </w:r>
    </w:p>
    <w:p w14:paraId="2393250C" w14:textId="77777777" w:rsidR="00926409" w:rsidRPr="00926409" w:rsidRDefault="00926409" w:rsidP="00926409">
      <w:pPr>
        <w:spacing w:line="240" w:lineRule="auto"/>
        <w:rPr>
          <w:rFonts w:eastAsia="Times New Roman" w:cs="Arial"/>
          <w:color w:val="000000"/>
          <w:lang w:eastAsia="bg-BG"/>
        </w:rPr>
      </w:pPr>
    </w:p>
    <w:p w14:paraId="277E81CD" w14:textId="1E399EF0" w:rsidR="00926409" w:rsidRPr="00926409" w:rsidRDefault="00926409" w:rsidP="00926409">
      <w:pPr>
        <w:spacing w:line="240" w:lineRule="auto"/>
        <w:rPr>
          <w:rFonts w:eastAsia="Times New Roman" w:cs="Arial"/>
          <w:sz w:val="28"/>
          <w:szCs w:val="28"/>
          <w:lang w:eastAsia="bg-BG"/>
        </w:rPr>
      </w:pPr>
      <w:r w:rsidRPr="00926409">
        <w:rPr>
          <w:rFonts w:eastAsia="Times New Roman" w:cs="Arial"/>
          <w:color w:val="000000"/>
          <w:lang w:eastAsia="bg-BG"/>
        </w:rPr>
        <w:t>Антихипертензивният ефект е подчертано наличен в рамките на 2 седмици.</w:t>
      </w:r>
    </w:p>
    <w:p w14:paraId="3B465B88" w14:textId="77777777" w:rsidR="00926409" w:rsidRPr="00926409" w:rsidRDefault="00926409" w:rsidP="00926409">
      <w:pPr>
        <w:spacing w:line="240" w:lineRule="auto"/>
        <w:rPr>
          <w:rFonts w:eastAsia="Times New Roman" w:cs="Arial"/>
          <w:sz w:val="28"/>
          <w:szCs w:val="28"/>
          <w:lang w:eastAsia="bg-BG"/>
        </w:rPr>
      </w:pPr>
      <w:r w:rsidRPr="00926409">
        <w:rPr>
          <w:rFonts w:eastAsia="Times New Roman" w:cs="Arial"/>
          <w:color w:val="000000"/>
          <w:lang w:eastAsia="bg-BG"/>
        </w:rPr>
        <w:t>При повечето пациенти, максимални ефекти се наблюдават в рамките на 4 седмици. Въпреки това, при някои пациенти, може да е необходимо лечение от 4-8 седмици. Това трябва да се има предвид при титрирането на дозата.</w:t>
      </w:r>
    </w:p>
    <w:p w14:paraId="4340A69C" w14:textId="77777777" w:rsidR="00926409" w:rsidRPr="00926409" w:rsidRDefault="00926409" w:rsidP="00926409">
      <w:pPr>
        <w:spacing w:line="240" w:lineRule="auto"/>
        <w:rPr>
          <w:rFonts w:eastAsia="Times New Roman" w:cs="Arial"/>
          <w:color w:val="000000"/>
          <w:lang w:eastAsia="bg-BG"/>
        </w:rPr>
      </w:pPr>
    </w:p>
    <w:p w14:paraId="153243E1" w14:textId="5F00F840" w:rsidR="00926409" w:rsidRPr="00926409" w:rsidRDefault="00926409" w:rsidP="00926409">
      <w:pPr>
        <w:spacing w:line="240" w:lineRule="auto"/>
        <w:rPr>
          <w:rFonts w:eastAsia="Times New Roman" w:cs="Arial"/>
          <w:sz w:val="28"/>
          <w:szCs w:val="28"/>
          <w:lang w:eastAsia="bg-BG"/>
        </w:rPr>
      </w:pPr>
      <w:r w:rsidRPr="00926409">
        <w:rPr>
          <w:rFonts w:eastAsia="Times New Roman" w:cs="Arial"/>
          <w:color w:val="000000"/>
          <w:lang w:eastAsia="bg-BG"/>
        </w:rPr>
        <w:t xml:space="preserve">Ако не се наблюдава съответният ефект с Валтензин Плюс 320 </w:t>
      </w:r>
      <w:r w:rsidRPr="00926409">
        <w:rPr>
          <w:rFonts w:eastAsia="Times New Roman" w:cs="Arial"/>
          <w:color w:val="000000"/>
          <w:lang w:val="en-US"/>
        </w:rPr>
        <w:t xml:space="preserve">mg/25 mg </w:t>
      </w:r>
      <w:r w:rsidRPr="00926409">
        <w:rPr>
          <w:rFonts w:eastAsia="Times New Roman" w:cs="Arial"/>
          <w:color w:val="000000"/>
          <w:lang w:eastAsia="bg-BG"/>
        </w:rPr>
        <w:t>след 8 седмици, трябва да се обмисли лечение с допълнителен или алтернативен антихипертензивен лекарствен продукт (вж. точки 4.3, 4.4, 4,5 и 5,1).</w:t>
      </w:r>
    </w:p>
    <w:p w14:paraId="3C3E23DB" w14:textId="77777777" w:rsidR="00926409" w:rsidRPr="00926409" w:rsidRDefault="00926409" w:rsidP="00926409">
      <w:pPr>
        <w:spacing w:line="240" w:lineRule="auto"/>
        <w:rPr>
          <w:rFonts w:eastAsia="Times New Roman" w:cs="Arial"/>
          <w:i/>
          <w:iCs/>
          <w:color w:val="000000"/>
          <w:u w:val="single"/>
          <w:lang w:eastAsia="bg-BG"/>
        </w:rPr>
      </w:pPr>
    </w:p>
    <w:p w14:paraId="4462CF8D" w14:textId="22449613" w:rsidR="00926409" w:rsidRPr="00926409" w:rsidRDefault="00926409" w:rsidP="00926409">
      <w:pPr>
        <w:spacing w:line="240" w:lineRule="auto"/>
        <w:rPr>
          <w:rFonts w:eastAsia="Times New Roman" w:cs="Arial"/>
          <w:sz w:val="28"/>
          <w:szCs w:val="28"/>
          <w:lang w:eastAsia="bg-BG"/>
        </w:rPr>
      </w:pPr>
      <w:r w:rsidRPr="00926409">
        <w:rPr>
          <w:rFonts w:eastAsia="Times New Roman" w:cs="Arial"/>
          <w:i/>
          <w:iCs/>
          <w:color w:val="000000"/>
          <w:u w:val="single"/>
          <w:lang w:eastAsia="bg-BG"/>
        </w:rPr>
        <w:t>Специални популации</w:t>
      </w:r>
    </w:p>
    <w:p w14:paraId="0917F2DD" w14:textId="77777777" w:rsidR="00926409" w:rsidRPr="00926409" w:rsidRDefault="00926409" w:rsidP="00926409">
      <w:pPr>
        <w:spacing w:line="240" w:lineRule="auto"/>
        <w:rPr>
          <w:rFonts w:eastAsia="Times New Roman" w:cs="Arial"/>
          <w:i/>
          <w:iCs/>
          <w:color w:val="000000"/>
          <w:lang w:eastAsia="bg-BG"/>
        </w:rPr>
      </w:pPr>
    </w:p>
    <w:p w14:paraId="1DC132A2" w14:textId="36F250F1" w:rsidR="00926409" w:rsidRPr="00926409" w:rsidRDefault="00926409" w:rsidP="00926409">
      <w:pPr>
        <w:spacing w:line="240" w:lineRule="auto"/>
        <w:rPr>
          <w:rFonts w:eastAsia="Times New Roman" w:cs="Arial"/>
          <w:sz w:val="28"/>
          <w:szCs w:val="28"/>
          <w:lang w:eastAsia="bg-BG"/>
        </w:rPr>
      </w:pPr>
      <w:r w:rsidRPr="00926409">
        <w:rPr>
          <w:rFonts w:eastAsia="Times New Roman" w:cs="Arial"/>
          <w:i/>
          <w:iCs/>
          <w:color w:val="000000"/>
          <w:lang w:eastAsia="bg-BG"/>
        </w:rPr>
        <w:t>Бъбречно увреждане</w:t>
      </w:r>
    </w:p>
    <w:p w14:paraId="17C04599" w14:textId="77777777" w:rsidR="00926409" w:rsidRPr="00926409" w:rsidRDefault="00926409" w:rsidP="00926409">
      <w:pPr>
        <w:spacing w:line="240" w:lineRule="auto"/>
        <w:rPr>
          <w:rFonts w:eastAsia="Times New Roman" w:cs="Arial"/>
          <w:sz w:val="28"/>
          <w:szCs w:val="28"/>
          <w:lang w:eastAsia="bg-BG"/>
        </w:rPr>
      </w:pPr>
      <w:r w:rsidRPr="00926409">
        <w:rPr>
          <w:rFonts w:eastAsia="Times New Roman" w:cs="Arial"/>
          <w:color w:val="000000"/>
          <w:lang w:eastAsia="bg-BG"/>
        </w:rPr>
        <w:t xml:space="preserve">Не се налага коригиране на дозата при пациенти с леко до умерено бъбречно увреждане (скорост на гломерулна филтрация </w:t>
      </w:r>
      <w:r w:rsidRPr="00926409">
        <w:rPr>
          <w:rFonts w:eastAsia="Times New Roman" w:cs="Arial"/>
          <w:color w:val="000000"/>
          <w:lang w:val="en-US"/>
        </w:rPr>
        <w:t xml:space="preserve">(GFR) </w:t>
      </w:r>
      <w:r w:rsidRPr="00926409">
        <w:rPr>
          <w:rFonts w:eastAsia="Times New Roman" w:cs="Arial"/>
          <w:color w:val="000000"/>
          <w:lang w:eastAsia="bg-BG"/>
        </w:rPr>
        <w:t xml:space="preserve">&gt; 30 </w:t>
      </w:r>
      <w:r w:rsidRPr="00926409">
        <w:rPr>
          <w:rFonts w:eastAsia="Times New Roman" w:cs="Arial"/>
          <w:color w:val="000000"/>
          <w:lang w:val="en-US"/>
        </w:rPr>
        <w:t xml:space="preserve">ml/min). </w:t>
      </w:r>
      <w:r w:rsidRPr="00926409">
        <w:rPr>
          <w:rFonts w:eastAsia="Times New Roman" w:cs="Arial"/>
          <w:color w:val="000000"/>
          <w:lang w:eastAsia="bg-BG"/>
        </w:rPr>
        <w:t xml:space="preserve">Поради хидрохлоротиазидната компонента, Валтензин Плюс е противопоказан при пациенти с тежко бъбречно увреждане </w:t>
      </w:r>
      <w:r w:rsidRPr="00926409">
        <w:rPr>
          <w:rFonts w:eastAsia="Times New Roman" w:cs="Arial"/>
          <w:color w:val="000000"/>
          <w:lang w:val="en-US"/>
        </w:rPr>
        <w:t xml:space="preserve">(GFR </w:t>
      </w:r>
      <w:r w:rsidRPr="00926409">
        <w:rPr>
          <w:rFonts w:eastAsia="Times New Roman" w:cs="Arial"/>
          <w:color w:val="000000"/>
          <w:lang w:eastAsia="bg-BG"/>
        </w:rPr>
        <w:t xml:space="preserve">&lt; 30 </w:t>
      </w:r>
      <w:r w:rsidRPr="00926409">
        <w:rPr>
          <w:rFonts w:eastAsia="Times New Roman" w:cs="Arial"/>
          <w:color w:val="000000"/>
          <w:lang w:val="en-US"/>
        </w:rPr>
        <w:t xml:space="preserve">ml/min) </w:t>
      </w:r>
      <w:r w:rsidRPr="00926409">
        <w:rPr>
          <w:rFonts w:eastAsia="Times New Roman" w:cs="Arial"/>
          <w:color w:val="000000"/>
          <w:lang w:eastAsia="bg-BG"/>
        </w:rPr>
        <w:t>и анурия (вж. точки 4.3,4.4 и 5,2).</w:t>
      </w:r>
    </w:p>
    <w:p w14:paraId="2765D859" w14:textId="77777777" w:rsidR="00926409" w:rsidRPr="00926409" w:rsidRDefault="00926409" w:rsidP="00926409">
      <w:pPr>
        <w:spacing w:line="240" w:lineRule="auto"/>
        <w:rPr>
          <w:rFonts w:eastAsia="Times New Roman" w:cs="Arial"/>
          <w:i/>
          <w:iCs/>
          <w:color w:val="000000"/>
          <w:lang w:eastAsia="bg-BG"/>
        </w:rPr>
      </w:pPr>
    </w:p>
    <w:p w14:paraId="463AC2C4" w14:textId="76CCBC6F" w:rsidR="00926409" w:rsidRPr="00926409" w:rsidRDefault="00926409" w:rsidP="00926409">
      <w:pPr>
        <w:spacing w:line="240" w:lineRule="auto"/>
        <w:rPr>
          <w:rFonts w:eastAsia="Times New Roman" w:cs="Arial"/>
          <w:sz w:val="28"/>
          <w:szCs w:val="28"/>
          <w:lang w:eastAsia="bg-BG"/>
        </w:rPr>
      </w:pPr>
      <w:r w:rsidRPr="00926409">
        <w:rPr>
          <w:rFonts w:eastAsia="Times New Roman" w:cs="Arial"/>
          <w:i/>
          <w:iCs/>
          <w:color w:val="000000"/>
          <w:lang w:eastAsia="bg-BG"/>
        </w:rPr>
        <w:t>Чернодробно увреждане</w:t>
      </w:r>
    </w:p>
    <w:p w14:paraId="574EBE48" w14:textId="77777777" w:rsidR="00926409" w:rsidRPr="00926409" w:rsidRDefault="00926409" w:rsidP="00926409">
      <w:pPr>
        <w:spacing w:line="240" w:lineRule="auto"/>
        <w:rPr>
          <w:rFonts w:eastAsia="Times New Roman" w:cs="Arial"/>
          <w:sz w:val="28"/>
          <w:szCs w:val="28"/>
          <w:lang w:eastAsia="bg-BG"/>
        </w:rPr>
      </w:pPr>
      <w:r w:rsidRPr="00926409">
        <w:rPr>
          <w:rFonts w:eastAsia="Times New Roman" w:cs="Arial"/>
          <w:color w:val="000000"/>
          <w:lang w:eastAsia="bg-BG"/>
        </w:rPr>
        <w:t xml:space="preserve">При пациенти с леко до умерено чернодробно увреждане без холестаза, дозата валсартан не трябва да превишава 80 </w:t>
      </w:r>
      <w:r w:rsidRPr="00926409">
        <w:rPr>
          <w:rFonts w:eastAsia="Times New Roman" w:cs="Arial"/>
          <w:color w:val="000000"/>
          <w:lang w:val="en-US"/>
        </w:rPr>
        <w:t xml:space="preserve">mg </w:t>
      </w:r>
      <w:r w:rsidRPr="00926409">
        <w:rPr>
          <w:rFonts w:eastAsia="Times New Roman" w:cs="Arial"/>
          <w:color w:val="000000"/>
          <w:lang w:eastAsia="bg-BG"/>
        </w:rPr>
        <w:t>(вж. точка 4.4). При пациенти с леки до умерени чернодробни нарушения не се изисква коригиране на дозата хидрохлоротиазид. Поради съдържанието на валсартан Валтензин Плюс е противопоказан при пациенти с тежко чернодробно увреждане или с билиарна цироза и холестаза (вж. точки 4.3,4.4 и 5.2).</w:t>
      </w:r>
    </w:p>
    <w:p w14:paraId="1E47F01B" w14:textId="77777777" w:rsidR="00926409" w:rsidRPr="00926409" w:rsidRDefault="00926409" w:rsidP="00926409">
      <w:pPr>
        <w:spacing w:line="240" w:lineRule="auto"/>
        <w:rPr>
          <w:rFonts w:eastAsia="Times New Roman" w:cs="Arial"/>
          <w:i/>
          <w:iCs/>
          <w:color w:val="000000"/>
          <w:lang w:eastAsia="bg-BG"/>
        </w:rPr>
      </w:pPr>
    </w:p>
    <w:p w14:paraId="02E6AB46" w14:textId="0929A913" w:rsidR="00926409" w:rsidRPr="00926409" w:rsidRDefault="00926409" w:rsidP="00926409">
      <w:pPr>
        <w:spacing w:line="240" w:lineRule="auto"/>
        <w:rPr>
          <w:rFonts w:eastAsia="Times New Roman" w:cs="Arial"/>
          <w:sz w:val="28"/>
          <w:szCs w:val="28"/>
          <w:lang w:eastAsia="bg-BG"/>
        </w:rPr>
      </w:pPr>
      <w:r w:rsidRPr="00926409">
        <w:rPr>
          <w:rFonts w:eastAsia="Times New Roman" w:cs="Arial"/>
          <w:i/>
          <w:iCs/>
          <w:color w:val="000000"/>
          <w:lang w:eastAsia="bg-BG"/>
        </w:rPr>
        <w:t>Старческа възраст</w:t>
      </w:r>
    </w:p>
    <w:p w14:paraId="66454B1C" w14:textId="77777777" w:rsidR="00926409" w:rsidRPr="00926409" w:rsidRDefault="00926409" w:rsidP="00926409">
      <w:pPr>
        <w:spacing w:line="240" w:lineRule="auto"/>
        <w:rPr>
          <w:rFonts w:eastAsia="Times New Roman" w:cs="Arial"/>
          <w:sz w:val="28"/>
          <w:szCs w:val="28"/>
          <w:lang w:eastAsia="bg-BG"/>
        </w:rPr>
      </w:pPr>
      <w:r w:rsidRPr="00926409">
        <w:rPr>
          <w:rFonts w:eastAsia="Times New Roman" w:cs="Arial"/>
          <w:color w:val="000000"/>
          <w:lang w:eastAsia="bg-BG"/>
        </w:rPr>
        <w:t>Не се налага промяна в дозировката при пациенти в старческа възраст.</w:t>
      </w:r>
    </w:p>
    <w:p w14:paraId="6337A6E4" w14:textId="77777777" w:rsidR="00926409" w:rsidRPr="00926409" w:rsidRDefault="00926409" w:rsidP="00926409">
      <w:pPr>
        <w:spacing w:line="240" w:lineRule="auto"/>
        <w:rPr>
          <w:rFonts w:eastAsia="Times New Roman" w:cs="Arial"/>
          <w:i/>
          <w:iCs/>
          <w:color w:val="000000"/>
          <w:lang w:eastAsia="bg-BG"/>
        </w:rPr>
      </w:pPr>
    </w:p>
    <w:p w14:paraId="0B5F513C" w14:textId="48D30A1C" w:rsidR="00926409" w:rsidRPr="00926409" w:rsidRDefault="00926409" w:rsidP="00926409">
      <w:pPr>
        <w:spacing w:line="240" w:lineRule="auto"/>
        <w:rPr>
          <w:rFonts w:eastAsia="Times New Roman" w:cs="Arial"/>
          <w:sz w:val="28"/>
          <w:szCs w:val="28"/>
          <w:lang w:eastAsia="bg-BG"/>
        </w:rPr>
      </w:pPr>
      <w:r w:rsidRPr="00926409">
        <w:rPr>
          <w:rFonts w:eastAsia="Times New Roman" w:cs="Arial"/>
          <w:i/>
          <w:iCs/>
          <w:color w:val="000000"/>
          <w:lang w:eastAsia="bg-BG"/>
        </w:rPr>
        <w:t>Педиатрична популация</w:t>
      </w:r>
    </w:p>
    <w:p w14:paraId="62BC3007" w14:textId="77777777" w:rsidR="00926409" w:rsidRPr="00926409" w:rsidRDefault="00926409" w:rsidP="00926409">
      <w:pPr>
        <w:spacing w:line="240" w:lineRule="auto"/>
        <w:rPr>
          <w:rFonts w:eastAsia="Times New Roman" w:cs="Arial"/>
          <w:sz w:val="28"/>
          <w:szCs w:val="28"/>
          <w:lang w:eastAsia="bg-BG"/>
        </w:rPr>
      </w:pPr>
      <w:r w:rsidRPr="00926409">
        <w:rPr>
          <w:rFonts w:eastAsia="Times New Roman" w:cs="Arial"/>
          <w:color w:val="000000"/>
          <w:lang w:eastAsia="bg-BG"/>
        </w:rPr>
        <w:t>Валтензин Плюс не се препоръчва за употреба при деца под 18 години, поради липсата на данни за безопасност и ефикасност.</w:t>
      </w:r>
    </w:p>
    <w:p w14:paraId="4F20189E" w14:textId="77777777" w:rsidR="00926409" w:rsidRPr="00926409" w:rsidRDefault="00926409" w:rsidP="00926409">
      <w:pPr>
        <w:spacing w:line="240" w:lineRule="auto"/>
        <w:rPr>
          <w:rFonts w:eastAsia="Times New Roman" w:cs="Arial"/>
          <w:color w:val="000000"/>
          <w:u w:val="single"/>
          <w:lang w:eastAsia="bg-BG"/>
        </w:rPr>
      </w:pPr>
    </w:p>
    <w:p w14:paraId="688B7673" w14:textId="690A670C" w:rsidR="00926409" w:rsidRPr="00926409" w:rsidRDefault="00926409" w:rsidP="00926409">
      <w:pPr>
        <w:pStyle w:val="Heading3"/>
        <w:rPr>
          <w:rFonts w:eastAsia="Times New Roman"/>
          <w:sz w:val="28"/>
          <w:szCs w:val="28"/>
          <w:u w:val="single"/>
          <w:lang w:eastAsia="bg-BG"/>
        </w:rPr>
      </w:pPr>
      <w:r w:rsidRPr="00926409">
        <w:rPr>
          <w:rFonts w:eastAsia="Times New Roman"/>
          <w:u w:val="single"/>
          <w:lang w:eastAsia="bg-BG"/>
        </w:rPr>
        <w:lastRenderedPageBreak/>
        <w:t>Начин на приложение</w:t>
      </w:r>
    </w:p>
    <w:p w14:paraId="42C71A1B" w14:textId="60ADDE06" w:rsidR="00926409" w:rsidRDefault="00926409" w:rsidP="00926409">
      <w:pPr>
        <w:rPr>
          <w:rFonts w:eastAsia="Times New Roman" w:cs="Arial"/>
          <w:color w:val="000000"/>
          <w:lang w:eastAsia="bg-BG"/>
        </w:rPr>
      </w:pPr>
      <w:r w:rsidRPr="00926409">
        <w:rPr>
          <w:rFonts w:eastAsia="Times New Roman" w:cs="Arial"/>
          <w:color w:val="000000"/>
          <w:lang w:eastAsia="bg-BG"/>
        </w:rPr>
        <w:t>Валтензин Плюс може да се приема със или без храна и трябва да се приема с вода.</w:t>
      </w:r>
    </w:p>
    <w:p w14:paraId="092B669F" w14:textId="77777777" w:rsidR="00926409" w:rsidRPr="00926409" w:rsidRDefault="00926409" w:rsidP="00926409">
      <w:pPr>
        <w:rPr>
          <w:rFonts w:cs="Arial"/>
          <w:sz w:val="24"/>
          <w:szCs w:val="24"/>
          <w:lang w:val="en-US"/>
        </w:rPr>
      </w:pPr>
    </w:p>
    <w:p w14:paraId="1BF2EFF4" w14:textId="610C9E74" w:rsidR="001A6EBD" w:rsidRDefault="002C50EE" w:rsidP="00471F10">
      <w:pPr>
        <w:pStyle w:val="Heading2"/>
      </w:pPr>
      <w:r>
        <w:t>4.3. Противопоказания</w:t>
      </w:r>
    </w:p>
    <w:p w14:paraId="3C27A6ED" w14:textId="583BA352" w:rsidR="00926409" w:rsidRDefault="00926409" w:rsidP="00926409"/>
    <w:p w14:paraId="2F449D0D" w14:textId="77777777" w:rsidR="00926409" w:rsidRPr="00926409" w:rsidRDefault="00926409" w:rsidP="00926409">
      <w:pPr>
        <w:pStyle w:val="ListParagraph"/>
        <w:numPr>
          <w:ilvl w:val="0"/>
          <w:numId w:val="40"/>
        </w:numPr>
        <w:spacing w:line="240" w:lineRule="auto"/>
        <w:rPr>
          <w:rFonts w:eastAsia="Times New Roman" w:cs="Arial"/>
          <w:sz w:val="28"/>
          <w:szCs w:val="28"/>
          <w:lang w:eastAsia="bg-BG"/>
        </w:rPr>
      </w:pPr>
      <w:r w:rsidRPr="00926409">
        <w:rPr>
          <w:rFonts w:eastAsia="Times New Roman" w:cs="Arial"/>
          <w:color w:val="000000"/>
          <w:lang w:eastAsia="bg-BG"/>
        </w:rPr>
        <w:t>Свръхчувствителност към активните вещества, към други сулфонамид-производни лекарствени продукти или към някое от помощните вещества, изброени в точка 6.1.</w:t>
      </w:r>
    </w:p>
    <w:p w14:paraId="1373F458" w14:textId="77777777" w:rsidR="00926409" w:rsidRPr="00926409" w:rsidRDefault="00926409" w:rsidP="00926409">
      <w:pPr>
        <w:pStyle w:val="ListParagraph"/>
        <w:numPr>
          <w:ilvl w:val="0"/>
          <w:numId w:val="40"/>
        </w:numPr>
        <w:spacing w:line="240" w:lineRule="auto"/>
        <w:rPr>
          <w:rFonts w:eastAsia="Times New Roman" w:cs="Arial"/>
          <w:sz w:val="28"/>
          <w:szCs w:val="28"/>
          <w:lang w:eastAsia="bg-BG"/>
        </w:rPr>
      </w:pPr>
      <w:r w:rsidRPr="00926409">
        <w:rPr>
          <w:rFonts w:eastAsia="Times New Roman" w:cs="Arial"/>
          <w:color w:val="000000"/>
          <w:lang w:eastAsia="bg-BG"/>
        </w:rPr>
        <w:t>Втори и трети триместри на бременността (вж. точки 4,4 и 4.6),</w:t>
      </w:r>
    </w:p>
    <w:p w14:paraId="7A99405E" w14:textId="77777777" w:rsidR="00926409" w:rsidRPr="00926409" w:rsidRDefault="00926409" w:rsidP="00926409">
      <w:pPr>
        <w:pStyle w:val="ListParagraph"/>
        <w:numPr>
          <w:ilvl w:val="0"/>
          <w:numId w:val="40"/>
        </w:numPr>
        <w:spacing w:line="240" w:lineRule="auto"/>
        <w:rPr>
          <w:rFonts w:eastAsia="Times New Roman" w:cs="Arial"/>
          <w:sz w:val="28"/>
          <w:szCs w:val="28"/>
          <w:lang w:eastAsia="bg-BG"/>
        </w:rPr>
      </w:pPr>
      <w:r w:rsidRPr="00926409">
        <w:rPr>
          <w:rFonts w:eastAsia="Times New Roman" w:cs="Arial"/>
          <w:color w:val="000000"/>
          <w:lang w:eastAsia="bg-BG"/>
        </w:rPr>
        <w:t>Тежко чернодробно увреждане, билиарна цироза и холестаза.</w:t>
      </w:r>
    </w:p>
    <w:p w14:paraId="03BB62A8" w14:textId="77777777" w:rsidR="00926409" w:rsidRPr="00926409" w:rsidRDefault="00926409" w:rsidP="00926409">
      <w:pPr>
        <w:pStyle w:val="ListParagraph"/>
        <w:numPr>
          <w:ilvl w:val="0"/>
          <w:numId w:val="40"/>
        </w:numPr>
        <w:spacing w:line="240" w:lineRule="auto"/>
        <w:rPr>
          <w:rFonts w:eastAsia="Times New Roman" w:cs="Arial"/>
          <w:sz w:val="28"/>
          <w:szCs w:val="28"/>
          <w:lang w:eastAsia="bg-BG"/>
        </w:rPr>
      </w:pPr>
      <w:r w:rsidRPr="00926409">
        <w:rPr>
          <w:rFonts w:eastAsia="Times New Roman" w:cs="Arial"/>
          <w:color w:val="000000"/>
          <w:lang w:eastAsia="bg-BG"/>
        </w:rPr>
        <w:t xml:space="preserve">Тежко бъбречно увреждане (креатининов клирънс &lt;30 </w:t>
      </w:r>
      <w:r w:rsidRPr="00926409">
        <w:rPr>
          <w:rFonts w:eastAsia="Times New Roman" w:cs="Arial"/>
          <w:color w:val="000000"/>
          <w:lang w:val="en-US"/>
        </w:rPr>
        <w:t xml:space="preserve">ml/min), </w:t>
      </w:r>
      <w:r w:rsidRPr="00926409">
        <w:rPr>
          <w:rFonts w:eastAsia="Times New Roman" w:cs="Arial"/>
          <w:color w:val="000000"/>
          <w:lang w:eastAsia="bg-BG"/>
        </w:rPr>
        <w:t>анурия.</w:t>
      </w:r>
    </w:p>
    <w:p w14:paraId="38E90BF4" w14:textId="77777777" w:rsidR="00926409" w:rsidRPr="00926409" w:rsidRDefault="00926409" w:rsidP="00926409">
      <w:pPr>
        <w:pStyle w:val="ListParagraph"/>
        <w:numPr>
          <w:ilvl w:val="0"/>
          <w:numId w:val="40"/>
        </w:numPr>
        <w:spacing w:line="240" w:lineRule="auto"/>
        <w:rPr>
          <w:rFonts w:eastAsia="Times New Roman" w:cs="Arial"/>
          <w:sz w:val="28"/>
          <w:szCs w:val="28"/>
          <w:lang w:eastAsia="bg-BG"/>
        </w:rPr>
      </w:pPr>
      <w:r w:rsidRPr="00926409">
        <w:rPr>
          <w:rFonts w:eastAsia="Times New Roman" w:cs="Arial"/>
          <w:color w:val="000000"/>
          <w:lang w:eastAsia="bg-BG"/>
        </w:rPr>
        <w:t>Рефрактерна хипокал иемия, хипонатриемия, хиперкалциемия и симптоматична хиперурикемия.</w:t>
      </w:r>
    </w:p>
    <w:p w14:paraId="02F556BC" w14:textId="5F7C5E63" w:rsidR="00926409" w:rsidRPr="00926409" w:rsidRDefault="00926409" w:rsidP="00926409">
      <w:pPr>
        <w:pStyle w:val="ListParagraph"/>
        <w:numPr>
          <w:ilvl w:val="0"/>
          <w:numId w:val="40"/>
        </w:numPr>
        <w:spacing w:line="240" w:lineRule="auto"/>
        <w:rPr>
          <w:rFonts w:eastAsia="Times New Roman" w:cs="Arial"/>
          <w:sz w:val="28"/>
          <w:szCs w:val="28"/>
          <w:lang w:eastAsia="bg-BG"/>
        </w:rPr>
      </w:pPr>
      <w:r w:rsidRPr="00926409">
        <w:rPr>
          <w:rFonts w:eastAsia="Times New Roman" w:cs="Arial"/>
          <w:color w:val="000000"/>
          <w:lang w:eastAsia="bg-BG"/>
        </w:rPr>
        <w:t xml:space="preserve">Едновременна употреба на Валтензин Плюс с алискирен-съдържащи продукти при пациенти със захарен диабет или бъбречно увреждане </w:t>
      </w:r>
      <w:r w:rsidRPr="00926409">
        <w:rPr>
          <w:rFonts w:eastAsia="Times New Roman" w:cs="Arial"/>
          <w:color w:val="000000"/>
          <w:lang w:val="en-US"/>
        </w:rPr>
        <w:t xml:space="preserve">(GFR </w:t>
      </w:r>
      <w:r w:rsidRPr="00926409">
        <w:rPr>
          <w:rFonts w:eastAsia="Times New Roman" w:cs="Arial"/>
          <w:color w:val="000000"/>
          <w:lang w:eastAsia="bg-BG"/>
        </w:rPr>
        <w:t xml:space="preserve">&lt; 60 </w:t>
      </w:r>
      <w:r w:rsidRPr="00926409">
        <w:rPr>
          <w:rFonts w:eastAsia="Times New Roman" w:cs="Arial"/>
          <w:color w:val="000000"/>
          <w:lang w:val="en-US"/>
        </w:rPr>
        <w:t>ml/min/1,73 m</w:t>
      </w:r>
      <w:r w:rsidRPr="00926409">
        <w:rPr>
          <w:rFonts w:eastAsia="Times New Roman" w:cs="Arial"/>
          <w:color w:val="000000"/>
          <w:vertAlign w:val="superscript"/>
          <w:lang w:val="en-US"/>
        </w:rPr>
        <w:t>2</w:t>
      </w:r>
      <w:r w:rsidRPr="00926409">
        <w:rPr>
          <w:rFonts w:eastAsia="Times New Roman" w:cs="Arial"/>
          <w:color w:val="000000"/>
          <w:lang w:val="en-US"/>
        </w:rPr>
        <w:t>)(</w:t>
      </w:r>
      <w:r w:rsidRPr="00926409">
        <w:rPr>
          <w:rFonts w:eastAsia="Times New Roman" w:cs="Arial"/>
          <w:color w:val="000000"/>
          <w:lang w:eastAsia="bg-BG"/>
        </w:rPr>
        <w:t>вж. точки 4.5 и 5.1).</w:t>
      </w:r>
    </w:p>
    <w:p w14:paraId="413DF87F" w14:textId="77777777" w:rsidR="00926409" w:rsidRPr="00926409" w:rsidRDefault="00926409" w:rsidP="00926409">
      <w:pPr>
        <w:spacing w:line="240" w:lineRule="auto"/>
        <w:rPr>
          <w:rFonts w:ascii="Times New Roman" w:eastAsia="Times New Roman" w:hAnsi="Times New Roman" w:cs="Times New Roman"/>
          <w:sz w:val="24"/>
          <w:szCs w:val="24"/>
          <w:lang w:eastAsia="bg-BG"/>
        </w:rPr>
      </w:pPr>
    </w:p>
    <w:p w14:paraId="0C106098" w14:textId="19B06AEB" w:rsidR="001A6EBD" w:rsidRDefault="002C50EE" w:rsidP="00471F10">
      <w:pPr>
        <w:pStyle w:val="Heading2"/>
      </w:pPr>
      <w:r>
        <w:t>4.4. Специални предупреждения и предпазни мерки при употреба</w:t>
      </w:r>
    </w:p>
    <w:p w14:paraId="20028A5F" w14:textId="1C831F8D" w:rsidR="00926409" w:rsidRDefault="00926409" w:rsidP="00926409"/>
    <w:p w14:paraId="22B96D66"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u w:val="single"/>
          <w:lang w:eastAsia="bg-BG"/>
        </w:rPr>
        <w:t>Промени в нивата на серумните електролити</w:t>
      </w:r>
    </w:p>
    <w:p w14:paraId="395EDC6B" w14:textId="77777777" w:rsidR="00926409" w:rsidRPr="00926409" w:rsidRDefault="00926409" w:rsidP="00926409">
      <w:pPr>
        <w:spacing w:line="240" w:lineRule="auto"/>
        <w:rPr>
          <w:rFonts w:eastAsia="Times New Roman" w:cs="Arial"/>
          <w:i/>
          <w:iCs/>
          <w:color w:val="000000"/>
          <w:lang w:eastAsia="bg-BG"/>
        </w:rPr>
      </w:pPr>
    </w:p>
    <w:p w14:paraId="3EA699CD" w14:textId="2F85C18C" w:rsidR="00926409" w:rsidRPr="00926409" w:rsidRDefault="00926409" w:rsidP="00926409">
      <w:pPr>
        <w:spacing w:line="240" w:lineRule="auto"/>
        <w:rPr>
          <w:rFonts w:eastAsia="Times New Roman" w:cs="Arial"/>
          <w:lang w:eastAsia="bg-BG"/>
        </w:rPr>
      </w:pPr>
      <w:r w:rsidRPr="00926409">
        <w:rPr>
          <w:rFonts w:eastAsia="Times New Roman" w:cs="Arial"/>
          <w:i/>
          <w:iCs/>
          <w:color w:val="000000"/>
          <w:lang w:eastAsia="bg-BG"/>
        </w:rPr>
        <w:t>Валсартан</w:t>
      </w:r>
    </w:p>
    <w:p w14:paraId="18672CB6"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Не се препоръчва едновременната употреба с калиеви добавки, калий-съхраняващи диуретици, калий-съдържащи заместители на солта или други средства, които могат да повишат стойностите на калий (хепарин и др.). Уместно е да се мониторират стойностите на калия.</w:t>
      </w:r>
    </w:p>
    <w:p w14:paraId="2787BA0B" w14:textId="77777777" w:rsidR="00926409" w:rsidRPr="00926409" w:rsidRDefault="00926409" w:rsidP="00926409">
      <w:pPr>
        <w:spacing w:line="240" w:lineRule="auto"/>
        <w:rPr>
          <w:rFonts w:eastAsia="Times New Roman" w:cs="Arial"/>
          <w:i/>
          <w:iCs/>
          <w:color w:val="000000"/>
          <w:lang w:eastAsia="bg-BG"/>
        </w:rPr>
      </w:pPr>
    </w:p>
    <w:p w14:paraId="492AF06C" w14:textId="13BBD283" w:rsidR="00926409" w:rsidRPr="00926409" w:rsidRDefault="00926409" w:rsidP="00926409">
      <w:pPr>
        <w:spacing w:line="240" w:lineRule="auto"/>
        <w:rPr>
          <w:rFonts w:eastAsia="Times New Roman" w:cs="Arial"/>
          <w:lang w:eastAsia="bg-BG"/>
        </w:rPr>
      </w:pPr>
      <w:r w:rsidRPr="00926409">
        <w:rPr>
          <w:rFonts w:eastAsia="Times New Roman" w:cs="Arial"/>
          <w:i/>
          <w:iCs/>
          <w:color w:val="000000"/>
          <w:lang w:eastAsia="bg-BG"/>
        </w:rPr>
        <w:t>Хидрохлоротиазид</w:t>
      </w:r>
    </w:p>
    <w:p w14:paraId="0F5642D1" w14:textId="073AD66E"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При лечение с тиазидни диуретици, включително хидрохлоротиазид, се съобщава за случаи на хипокалиемия. Препоръчва се често монигориране на стойностите на серумния калий.</w:t>
      </w:r>
    </w:p>
    <w:p w14:paraId="7B4E0EC2"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Лечението с тиазидни диуретици, включително хидрохлоротиазид, се свързва с хипонатриемия и хипохлоремична алкалоза. Тиазидите, включително хидрохлоротиазид, повишават екскрецията на магнезий в урината, което може да доведе до хипомагнезиемия. Екскрецията на калций намалява под влиянието на тиазидните диуретици. Това може да доведе до хиперкалциемия.</w:t>
      </w:r>
    </w:p>
    <w:p w14:paraId="7C992993"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Какго при всички пациенти на лечение с диуретици, трябва да се извършва периодично определяне на серумните електролити на подходящи интервали от време.</w:t>
      </w:r>
    </w:p>
    <w:p w14:paraId="1573E6DD" w14:textId="77777777" w:rsidR="00926409" w:rsidRPr="00926409" w:rsidRDefault="00926409" w:rsidP="00926409">
      <w:pPr>
        <w:spacing w:line="240" w:lineRule="auto"/>
        <w:rPr>
          <w:rFonts w:eastAsia="Times New Roman" w:cs="Arial"/>
          <w:color w:val="000000"/>
          <w:u w:val="single"/>
          <w:lang w:eastAsia="bg-BG"/>
        </w:rPr>
      </w:pPr>
    </w:p>
    <w:p w14:paraId="1ADCEB69" w14:textId="1CF8F24B" w:rsidR="00926409" w:rsidRPr="00926409" w:rsidRDefault="00926409" w:rsidP="00926409">
      <w:pPr>
        <w:spacing w:line="240" w:lineRule="auto"/>
        <w:rPr>
          <w:rFonts w:eastAsia="Times New Roman" w:cs="Arial"/>
          <w:lang w:eastAsia="bg-BG"/>
        </w:rPr>
      </w:pPr>
      <w:r w:rsidRPr="00926409">
        <w:rPr>
          <w:rFonts w:eastAsia="Times New Roman" w:cs="Arial"/>
          <w:color w:val="000000"/>
          <w:u w:val="single"/>
          <w:lang w:eastAsia="bg-BG"/>
        </w:rPr>
        <w:t>Пациенти с натриев и/или обемен дефицит</w:t>
      </w:r>
    </w:p>
    <w:p w14:paraId="283FCA20"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Пациентите, получаващи тиазидни диуретици, включително хидрохлоротиазид, трябва да бъдат наблюдавани за поява на клинични признаци на воден или електролитен дисбаланс.</w:t>
      </w:r>
    </w:p>
    <w:p w14:paraId="4BDBDF6A" w14:textId="77777777" w:rsidR="00926409" w:rsidRPr="00926409" w:rsidRDefault="00926409" w:rsidP="00926409">
      <w:pPr>
        <w:spacing w:line="240" w:lineRule="auto"/>
        <w:rPr>
          <w:rFonts w:eastAsia="Times New Roman" w:cs="Arial"/>
          <w:color w:val="000000"/>
          <w:lang w:eastAsia="bg-BG"/>
        </w:rPr>
      </w:pPr>
    </w:p>
    <w:p w14:paraId="323A0332" w14:textId="1A6C67EE"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При пациенти с тежък натриев и/или обемен дефицит, като тези, приемащи високи дози диуретици, в редки случаи след започване на терапия с валсартан/хидрохлоротиазид може да настъпи симптоматична хипотония. Натриевият и/или обемният дефицит трябва да се коригира преди започване на лечението с Валтензин Плюс.</w:t>
      </w:r>
    </w:p>
    <w:p w14:paraId="7E529882" w14:textId="77777777" w:rsidR="00926409" w:rsidRPr="00926409" w:rsidRDefault="00926409" w:rsidP="00926409">
      <w:pPr>
        <w:spacing w:line="240" w:lineRule="auto"/>
        <w:rPr>
          <w:rFonts w:eastAsia="Times New Roman" w:cs="Arial"/>
          <w:color w:val="000000"/>
          <w:u w:val="single"/>
          <w:lang w:eastAsia="bg-BG"/>
        </w:rPr>
      </w:pPr>
    </w:p>
    <w:p w14:paraId="76995945" w14:textId="4D16CA10" w:rsidR="00926409" w:rsidRPr="00926409" w:rsidRDefault="00926409" w:rsidP="00926409">
      <w:pPr>
        <w:spacing w:line="240" w:lineRule="auto"/>
        <w:rPr>
          <w:rFonts w:eastAsia="Times New Roman" w:cs="Arial"/>
          <w:lang w:eastAsia="bg-BG"/>
        </w:rPr>
      </w:pPr>
      <w:r w:rsidRPr="00926409">
        <w:rPr>
          <w:rFonts w:eastAsia="Times New Roman" w:cs="Arial"/>
          <w:color w:val="000000"/>
          <w:u w:val="single"/>
          <w:lang w:eastAsia="bg-BG"/>
        </w:rPr>
        <w:lastRenderedPageBreak/>
        <w:t>Пациенти с тежка хронична сърдечна недостатъчност или други състояния, при които е налице стимулация на системата ренин-ангиотензин-алдостерон</w:t>
      </w:r>
    </w:p>
    <w:p w14:paraId="7402B089"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При пациенти, чиято бъбречна функция би могла да зависи от активността на ренин- ангиотензин-алдостероновата система (напр. пациенти с тежка застойна сърдечна недостатъчност), лечението с инхибитори на ангиотензин конвертиращия ензим (АСЕ- инхибитори) се свързва с олигурия и/или прогресираща азотемия и в редки случаи с остра бъбречна недостатъчност и/или смърт.</w:t>
      </w:r>
    </w:p>
    <w:p w14:paraId="57184D55" w14:textId="77777777" w:rsidR="00926409" w:rsidRPr="00926409" w:rsidRDefault="00926409" w:rsidP="00926409">
      <w:pPr>
        <w:spacing w:line="240" w:lineRule="auto"/>
        <w:rPr>
          <w:rFonts w:eastAsia="Times New Roman" w:cs="Arial"/>
          <w:color w:val="000000"/>
          <w:lang w:eastAsia="bg-BG"/>
        </w:rPr>
      </w:pPr>
    </w:p>
    <w:p w14:paraId="263B7D5E" w14:textId="41B1A51E"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При оценка на пациентите със сърдечна недостатъчност или след прекаран миокарден инфаркт винаги трябва да се оценява бъбречната функция. При пациенти с тежка хронична сърдечна недостатъчност употребата на валсартан/хидрохлоротиазид не е проучвана.</w:t>
      </w:r>
    </w:p>
    <w:p w14:paraId="534553E4"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Следователно, ие може да се изключи, че поради потискане на ренин-ангиотензин- алдостероновата система, приложението на валсартан/хидрохлоротиазид може да бъде свързано с увреждане на бъбречната фукнция. Валтензин Плюс не трябва да се прилага при тези пациенти.</w:t>
      </w:r>
    </w:p>
    <w:p w14:paraId="088DD606" w14:textId="77777777" w:rsidR="00926409" w:rsidRPr="00926409" w:rsidRDefault="00926409" w:rsidP="00926409">
      <w:pPr>
        <w:spacing w:line="240" w:lineRule="auto"/>
        <w:rPr>
          <w:rFonts w:eastAsia="Times New Roman" w:cs="Arial"/>
          <w:color w:val="000000"/>
          <w:u w:val="single"/>
          <w:lang w:eastAsia="bg-BG"/>
        </w:rPr>
      </w:pPr>
    </w:p>
    <w:p w14:paraId="25B03C61" w14:textId="5A5BA320" w:rsidR="00926409" w:rsidRPr="00926409" w:rsidRDefault="00926409" w:rsidP="00926409">
      <w:pPr>
        <w:spacing w:line="240" w:lineRule="auto"/>
        <w:rPr>
          <w:rFonts w:eastAsia="Times New Roman" w:cs="Arial"/>
          <w:lang w:eastAsia="bg-BG"/>
        </w:rPr>
      </w:pPr>
      <w:r w:rsidRPr="00926409">
        <w:rPr>
          <w:rFonts w:eastAsia="Times New Roman" w:cs="Arial"/>
          <w:color w:val="000000"/>
          <w:u w:val="single"/>
          <w:lang w:eastAsia="bg-BG"/>
        </w:rPr>
        <w:t>Стеноза на бъбречна артерия</w:t>
      </w:r>
    </w:p>
    <w:p w14:paraId="750913F3"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Валтензин Плюс не трябва да се прилага за лечение на хипертония при пациенти с едностранна или двустранна стеноза на бъбречните артерии или стеноза на артерията на единствен бъбрек, тъй като при такива пациенти е възможно стойностите на уреята в кръвта и на серумния креатинин да се повишат.</w:t>
      </w:r>
    </w:p>
    <w:p w14:paraId="0D1BEEB7" w14:textId="77777777" w:rsidR="00926409" w:rsidRPr="00926409" w:rsidRDefault="00926409" w:rsidP="00926409">
      <w:pPr>
        <w:spacing w:line="240" w:lineRule="auto"/>
        <w:rPr>
          <w:rFonts w:eastAsia="Times New Roman" w:cs="Arial"/>
          <w:color w:val="000000"/>
          <w:u w:val="single"/>
          <w:lang w:eastAsia="bg-BG"/>
        </w:rPr>
      </w:pPr>
    </w:p>
    <w:p w14:paraId="784F52C0" w14:textId="44585E06" w:rsidR="00926409" w:rsidRPr="00926409" w:rsidRDefault="00926409" w:rsidP="00926409">
      <w:pPr>
        <w:spacing w:line="240" w:lineRule="auto"/>
        <w:rPr>
          <w:rFonts w:eastAsia="Times New Roman" w:cs="Arial"/>
          <w:lang w:eastAsia="bg-BG"/>
        </w:rPr>
      </w:pPr>
      <w:r w:rsidRPr="00926409">
        <w:rPr>
          <w:rFonts w:eastAsia="Times New Roman" w:cs="Arial"/>
          <w:color w:val="000000"/>
          <w:u w:val="single"/>
          <w:lang w:eastAsia="bg-BG"/>
        </w:rPr>
        <w:t>Първичен хипералдостеронизъм</w:t>
      </w:r>
    </w:p>
    <w:p w14:paraId="6D5E312C" w14:textId="03A1907E" w:rsidR="00926409" w:rsidRPr="00926409" w:rsidRDefault="00926409" w:rsidP="00926409">
      <w:pPr>
        <w:rPr>
          <w:rFonts w:eastAsia="Times New Roman" w:cs="Arial"/>
          <w:color w:val="000000"/>
          <w:lang w:eastAsia="bg-BG"/>
        </w:rPr>
      </w:pPr>
      <w:r w:rsidRPr="00926409">
        <w:rPr>
          <w:rFonts w:eastAsia="Times New Roman" w:cs="Arial"/>
          <w:color w:val="000000"/>
          <w:lang w:eastAsia="bg-BG"/>
        </w:rPr>
        <w:t>Пациентите с първичен хипералдостеронизъм не трябва да се лекуват с Валтензин Плюс, тъй като тяхната система ренин-ангиотензин не е активирана.</w:t>
      </w:r>
    </w:p>
    <w:p w14:paraId="6830D31D" w14:textId="341FF938" w:rsidR="00926409" w:rsidRPr="00926409" w:rsidRDefault="00926409" w:rsidP="00926409">
      <w:pPr>
        <w:rPr>
          <w:rFonts w:eastAsia="Times New Roman" w:cs="Arial"/>
          <w:color w:val="000000"/>
          <w:lang w:eastAsia="bg-BG"/>
        </w:rPr>
      </w:pPr>
    </w:p>
    <w:p w14:paraId="02170CBC" w14:textId="77777777" w:rsidR="00926409" w:rsidRPr="00926409" w:rsidRDefault="00926409" w:rsidP="00926409">
      <w:pPr>
        <w:spacing w:line="240" w:lineRule="auto"/>
        <w:rPr>
          <w:rFonts w:eastAsia="Times New Roman" w:cs="Arial"/>
          <w:color w:val="000000"/>
          <w:lang w:eastAsia="bg-BG"/>
        </w:rPr>
      </w:pPr>
      <w:r w:rsidRPr="00926409">
        <w:rPr>
          <w:rFonts w:eastAsia="Times New Roman" w:cs="Arial"/>
          <w:color w:val="000000"/>
          <w:u w:val="single"/>
          <w:lang w:eastAsia="bg-BG"/>
        </w:rPr>
        <w:t xml:space="preserve">Стеноза на аортната и мнгралната клапа, хипертрофична обструктивна кардиомиопатия </w:t>
      </w:r>
      <w:r w:rsidRPr="00926409">
        <w:rPr>
          <w:rFonts w:eastAsia="Times New Roman" w:cs="Arial"/>
          <w:color w:val="000000"/>
          <w:lang w:eastAsia="bg-BG"/>
        </w:rPr>
        <w:t xml:space="preserve">Както при всички вазодилататори, при пациенти, страдащи от стеноза на аортната или митралната клапа или от </w:t>
      </w:r>
    </w:p>
    <w:p w14:paraId="637712B0" w14:textId="5BC07A0C"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хипертрофична обструктивна кардиомиопатия (ХОКМ) е необходимо особено повишено внимание.</w:t>
      </w:r>
    </w:p>
    <w:p w14:paraId="238569F7" w14:textId="77777777" w:rsidR="00926409" w:rsidRPr="00926409" w:rsidRDefault="00926409" w:rsidP="00926409">
      <w:pPr>
        <w:spacing w:line="240" w:lineRule="auto"/>
        <w:rPr>
          <w:rFonts w:eastAsia="Times New Roman" w:cs="Arial"/>
          <w:color w:val="000000"/>
          <w:u w:val="single"/>
          <w:lang w:eastAsia="bg-BG"/>
        </w:rPr>
      </w:pPr>
    </w:p>
    <w:p w14:paraId="6A14DC5A" w14:textId="49502AC3" w:rsidR="00926409" w:rsidRPr="00926409" w:rsidRDefault="00926409" w:rsidP="00926409">
      <w:pPr>
        <w:spacing w:line="240" w:lineRule="auto"/>
        <w:rPr>
          <w:rFonts w:eastAsia="Times New Roman" w:cs="Arial"/>
          <w:lang w:eastAsia="bg-BG"/>
        </w:rPr>
      </w:pPr>
      <w:r w:rsidRPr="00926409">
        <w:rPr>
          <w:rFonts w:eastAsia="Times New Roman" w:cs="Arial"/>
          <w:color w:val="000000"/>
          <w:u w:val="single"/>
          <w:lang w:eastAsia="bg-BG"/>
        </w:rPr>
        <w:t>Бъбречно увреждане</w:t>
      </w:r>
    </w:p>
    <w:p w14:paraId="3D56508C"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Не се налага корекция на дозата при пациенти с бъбречно увреждане и креатининов клирънс</w:t>
      </w:r>
    </w:p>
    <w:p w14:paraId="335CDB42"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 xml:space="preserve">≥ 30 </w:t>
      </w:r>
      <w:r w:rsidRPr="00926409">
        <w:rPr>
          <w:rFonts w:eastAsia="Times New Roman" w:cs="Arial"/>
          <w:color w:val="000000"/>
          <w:lang w:val="en-US"/>
        </w:rPr>
        <w:t xml:space="preserve">ml/min </w:t>
      </w:r>
      <w:r w:rsidRPr="00926409">
        <w:rPr>
          <w:rFonts w:eastAsia="Times New Roman" w:cs="Arial"/>
          <w:color w:val="000000"/>
          <w:lang w:eastAsia="bg-BG"/>
        </w:rPr>
        <w:t>(вж. точка 4.2). При прилагане на Валтензин Плюс при пациенти с бъбречно увреждане се препоръчва периодично мониториране на стойностите на серумния калий, креатинин и на пикочната киселина.</w:t>
      </w:r>
    </w:p>
    <w:p w14:paraId="166A70BD" w14:textId="77777777" w:rsidR="00926409" w:rsidRPr="00926409" w:rsidRDefault="00926409" w:rsidP="00926409">
      <w:pPr>
        <w:spacing w:line="240" w:lineRule="auto"/>
        <w:rPr>
          <w:rFonts w:eastAsia="Times New Roman" w:cs="Arial"/>
          <w:color w:val="000000"/>
          <w:u w:val="single"/>
          <w:lang w:eastAsia="bg-BG"/>
        </w:rPr>
      </w:pPr>
    </w:p>
    <w:p w14:paraId="0C5448FF" w14:textId="503EDB28" w:rsidR="00926409" w:rsidRPr="00926409" w:rsidRDefault="00926409" w:rsidP="00926409">
      <w:pPr>
        <w:spacing w:line="240" w:lineRule="auto"/>
        <w:rPr>
          <w:rFonts w:eastAsia="Times New Roman" w:cs="Arial"/>
          <w:lang w:eastAsia="bg-BG"/>
        </w:rPr>
      </w:pPr>
      <w:r w:rsidRPr="00926409">
        <w:rPr>
          <w:rFonts w:eastAsia="Times New Roman" w:cs="Arial"/>
          <w:color w:val="000000"/>
          <w:u w:val="single"/>
          <w:lang w:eastAsia="bg-BG"/>
        </w:rPr>
        <w:t>Бъбречна трансплантация</w:t>
      </w:r>
    </w:p>
    <w:p w14:paraId="18812632"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До този момент няма натрупан опит по отношение на безопасната употреба на валсартан/хидрохлоротиазид при пациенти, претърпели наскоро бъбречна трансплантация.</w:t>
      </w:r>
    </w:p>
    <w:p w14:paraId="50F38DCC" w14:textId="77777777" w:rsidR="00926409" w:rsidRPr="00926409" w:rsidRDefault="00926409" w:rsidP="00926409">
      <w:pPr>
        <w:spacing w:line="240" w:lineRule="auto"/>
        <w:rPr>
          <w:rFonts w:eastAsia="Times New Roman" w:cs="Arial"/>
          <w:color w:val="000000"/>
          <w:u w:val="single"/>
          <w:lang w:eastAsia="bg-BG"/>
        </w:rPr>
      </w:pPr>
    </w:p>
    <w:p w14:paraId="2DA3118D" w14:textId="0C73C905" w:rsidR="00926409" w:rsidRPr="00926409" w:rsidRDefault="00926409" w:rsidP="00926409">
      <w:pPr>
        <w:spacing w:line="240" w:lineRule="auto"/>
        <w:rPr>
          <w:rFonts w:eastAsia="Times New Roman" w:cs="Arial"/>
          <w:lang w:eastAsia="bg-BG"/>
        </w:rPr>
      </w:pPr>
      <w:r w:rsidRPr="00926409">
        <w:rPr>
          <w:rFonts w:eastAsia="Times New Roman" w:cs="Arial"/>
          <w:color w:val="000000"/>
          <w:u w:val="single"/>
          <w:lang w:eastAsia="bg-BG"/>
        </w:rPr>
        <w:t>Чернодробно увреждане</w:t>
      </w:r>
    </w:p>
    <w:p w14:paraId="63E50957"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При пациенти с леко до умерено чернодробно увреждане без холестаза, Валтензин Плюс трябва да се използва с повишено внимание (вж. точки 4.2 и 5.2). Тиазидите трябва да се използват с повишено внимание при пациенти с нарушена бъбречна функция или прогресиращо чернодробно заболяване, тъй като минимални промени във водния или електролитен баланс могат да предизвикат чернодробна кома.</w:t>
      </w:r>
    </w:p>
    <w:p w14:paraId="7CB31561" w14:textId="77777777" w:rsidR="00926409" w:rsidRPr="00926409" w:rsidRDefault="00926409" w:rsidP="00926409">
      <w:pPr>
        <w:spacing w:line="240" w:lineRule="auto"/>
        <w:rPr>
          <w:rFonts w:eastAsia="Times New Roman" w:cs="Arial"/>
          <w:color w:val="000000"/>
          <w:u w:val="single"/>
          <w:lang w:eastAsia="bg-BG"/>
        </w:rPr>
      </w:pPr>
    </w:p>
    <w:p w14:paraId="64A43482" w14:textId="2A93A1CE" w:rsidR="00926409" w:rsidRPr="00926409" w:rsidRDefault="00926409" w:rsidP="00926409">
      <w:pPr>
        <w:spacing w:line="240" w:lineRule="auto"/>
        <w:rPr>
          <w:rFonts w:eastAsia="Times New Roman" w:cs="Arial"/>
          <w:lang w:eastAsia="bg-BG"/>
        </w:rPr>
      </w:pPr>
      <w:r w:rsidRPr="00926409">
        <w:rPr>
          <w:rFonts w:eastAsia="Times New Roman" w:cs="Arial"/>
          <w:color w:val="000000"/>
          <w:u w:val="single"/>
          <w:lang w:eastAsia="bg-BG"/>
        </w:rPr>
        <w:t>Анамнеза за ангиоедем</w:t>
      </w:r>
    </w:p>
    <w:p w14:paraId="0A7F3A45"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При пациенти, лекувани с валсартан са наблюдавани ангиоедем, включително оток на ларинкса и глотиса, причиняващ обструкция на дихателните пътища и/или оток на лицето, устните, фаринкса и/или езика; при някои от тези пациенти ангиоедем е наблюдаван преди това след прием на други лекарства, включително АСЕ-инхибитори. При пациенти, които развият ангиоедем употребата на Валтензин Плюс трябва да се преустанови незабавно и Валтензин Плюс не трябва да се прилага отново (вж. точка 4.8).</w:t>
      </w:r>
    </w:p>
    <w:p w14:paraId="51B123E7" w14:textId="77777777" w:rsidR="00926409" w:rsidRPr="00926409" w:rsidRDefault="00926409" w:rsidP="00926409">
      <w:pPr>
        <w:spacing w:line="240" w:lineRule="auto"/>
        <w:rPr>
          <w:rFonts w:eastAsia="Times New Roman" w:cs="Arial"/>
          <w:color w:val="000000"/>
          <w:u w:val="single"/>
          <w:lang w:eastAsia="bg-BG"/>
        </w:rPr>
      </w:pPr>
    </w:p>
    <w:p w14:paraId="4DEB10C7" w14:textId="7D481741" w:rsidR="00926409" w:rsidRPr="00926409" w:rsidRDefault="00926409" w:rsidP="00926409">
      <w:pPr>
        <w:spacing w:line="240" w:lineRule="auto"/>
        <w:rPr>
          <w:rFonts w:eastAsia="Times New Roman" w:cs="Arial"/>
          <w:lang w:eastAsia="bg-BG"/>
        </w:rPr>
      </w:pPr>
      <w:r w:rsidRPr="00926409">
        <w:rPr>
          <w:rFonts w:eastAsia="Times New Roman" w:cs="Arial"/>
          <w:color w:val="000000"/>
          <w:u w:val="single"/>
          <w:lang w:eastAsia="bg-BG"/>
        </w:rPr>
        <w:t>Системен лупус еритематозус</w:t>
      </w:r>
    </w:p>
    <w:p w14:paraId="4DEF8679"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Има съобщения, че тиазидните диуретици, включително хидрохлоротиазид, обострят или активират системен лупус еритематодес.</w:t>
      </w:r>
    </w:p>
    <w:p w14:paraId="12DA6DAA" w14:textId="77777777" w:rsidR="00926409" w:rsidRPr="00926409" w:rsidRDefault="00926409" w:rsidP="00926409">
      <w:pPr>
        <w:spacing w:line="240" w:lineRule="auto"/>
        <w:rPr>
          <w:rFonts w:eastAsia="Times New Roman" w:cs="Arial"/>
          <w:color w:val="000000"/>
          <w:u w:val="single"/>
          <w:lang w:eastAsia="bg-BG"/>
        </w:rPr>
      </w:pPr>
    </w:p>
    <w:p w14:paraId="7906A42C" w14:textId="13BB4889" w:rsidR="00926409" w:rsidRPr="00926409" w:rsidRDefault="00926409" w:rsidP="00926409">
      <w:pPr>
        <w:spacing w:line="240" w:lineRule="auto"/>
        <w:rPr>
          <w:rFonts w:eastAsia="Times New Roman" w:cs="Arial"/>
          <w:lang w:eastAsia="bg-BG"/>
        </w:rPr>
      </w:pPr>
      <w:r w:rsidRPr="00926409">
        <w:rPr>
          <w:rFonts w:eastAsia="Times New Roman" w:cs="Arial"/>
          <w:color w:val="000000"/>
          <w:u w:val="single"/>
          <w:lang w:eastAsia="bg-BG"/>
        </w:rPr>
        <w:t>Други метаболитни нарушения</w:t>
      </w:r>
    </w:p>
    <w:p w14:paraId="0ED5327C"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Тиазидните диуретици, включително хидрохлоротиазид, могат да променят глюкозния толеранс и да повишат серумните нива на холестерола, триглицеридите и пикочната киселина. При пациенти с диабет може да се наложи коригиране на дозата на инсулина или на пероралните хипогликемични средства.</w:t>
      </w:r>
    </w:p>
    <w:p w14:paraId="23FE7453"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Тиазидите могат да понижат екскреция на калций в урината и да доведат до преходно леко повишаване на нивата на серумния калций при липса на установено нарушение на калциевия метаболизъм. Изразената хиперкалциемия може да бъде доказателство за скрит хиперпаратиреоидизъм. Приемът на тиазидни диуретици трябва да бъде прекратен преди провеждането на изследвания за паратиреоидната функция.</w:t>
      </w:r>
    </w:p>
    <w:p w14:paraId="05CE7B25" w14:textId="77777777" w:rsidR="00926409" w:rsidRPr="00926409" w:rsidRDefault="00926409" w:rsidP="00926409">
      <w:pPr>
        <w:spacing w:line="240" w:lineRule="auto"/>
        <w:rPr>
          <w:rFonts w:eastAsia="Times New Roman" w:cs="Arial"/>
          <w:color w:val="000000"/>
          <w:u w:val="single"/>
          <w:lang w:eastAsia="bg-BG"/>
        </w:rPr>
      </w:pPr>
    </w:p>
    <w:p w14:paraId="73C14D3F" w14:textId="60ADC795" w:rsidR="00926409" w:rsidRPr="00926409" w:rsidRDefault="00926409" w:rsidP="00926409">
      <w:pPr>
        <w:spacing w:line="240" w:lineRule="auto"/>
        <w:rPr>
          <w:rFonts w:eastAsia="Times New Roman" w:cs="Arial"/>
          <w:lang w:eastAsia="bg-BG"/>
        </w:rPr>
      </w:pPr>
      <w:r w:rsidRPr="00926409">
        <w:rPr>
          <w:rFonts w:eastAsia="Times New Roman" w:cs="Arial"/>
          <w:color w:val="000000"/>
          <w:u w:val="single"/>
          <w:lang w:eastAsia="bg-BG"/>
        </w:rPr>
        <w:t>Фоточувствителност</w:t>
      </w:r>
    </w:p>
    <w:p w14:paraId="59BD5376"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 xml:space="preserve">Има съобщения за случаи на реакции на фоточувствителност при прием на тиазидни диуретици (вж. точка 4.8). Ако в хода на лечението възникне реакция на фоточувствителност се препоръчва спиране на лечението. Ако е необходимо повторно прилагане на диуретика, се препоръчва защита на областите, изложени на слънце или изкуствена </w:t>
      </w:r>
      <w:r w:rsidRPr="00926409">
        <w:rPr>
          <w:rFonts w:eastAsia="Times New Roman" w:cs="Arial"/>
          <w:color w:val="000000"/>
          <w:lang w:val="en-US"/>
        </w:rPr>
        <w:t xml:space="preserve">UVA </w:t>
      </w:r>
      <w:r w:rsidRPr="00926409">
        <w:rPr>
          <w:rFonts w:eastAsia="Times New Roman" w:cs="Arial"/>
          <w:color w:val="000000"/>
          <w:lang w:eastAsia="bg-BG"/>
        </w:rPr>
        <w:t>светлина.</w:t>
      </w:r>
    </w:p>
    <w:p w14:paraId="6B429E6B" w14:textId="77777777" w:rsidR="00926409" w:rsidRPr="00926409" w:rsidRDefault="00926409" w:rsidP="00926409">
      <w:pPr>
        <w:spacing w:line="240" w:lineRule="auto"/>
        <w:rPr>
          <w:rFonts w:eastAsia="Times New Roman" w:cs="Arial"/>
          <w:color w:val="000000"/>
          <w:u w:val="single"/>
          <w:lang w:eastAsia="bg-BG"/>
        </w:rPr>
      </w:pPr>
    </w:p>
    <w:p w14:paraId="4F37AD28" w14:textId="5D56F004" w:rsidR="00926409" w:rsidRPr="00926409" w:rsidRDefault="00926409" w:rsidP="00926409">
      <w:pPr>
        <w:spacing w:line="240" w:lineRule="auto"/>
        <w:rPr>
          <w:rFonts w:eastAsia="Times New Roman" w:cs="Arial"/>
          <w:lang w:eastAsia="bg-BG"/>
        </w:rPr>
      </w:pPr>
      <w:r w:rsidRPr="00926409">
        <w:rPr>
          <w:rFonts w:eastAsia="Times New Roman" w:cs="Arial"/>
          <w:color w:val="000000"/>
          <w:u w:val="single"/>
          <w:lang w:eastAsia="bg-BG"/>
        </w:rPr>
        <w:t>Бременност</w:t>
      </w:r>
    </w:p>
    <w:p w14:paraId="3B8966FD" w14:textId="77777777" w:rsidR="00926409" w:rsidRPr="00926409" w:rsidRDefault="00926409" w:rsidP="00926409">
      <w:pPr>
        <w:rPr>
          <w:rFonts w:eastAsia="Times New Roman" w:cs="Arial"/>
          <w:lang w:eastAsia="bg-BG"/>
        </w:rPr>
      </w:pPr>
      <w:r w:rsidRPr="00926409">
        <w:rPr>
          <w:rFonts w:eastAsia="Times New Roman" w:cs="Arial"/>
          <w:color w:val="000000"/>
          <w:lang w:eastAsia="bg-BG"/>
        </w:rPr>
        <w:t xml:space="preserve">По време на бременност не трябва да започва лечение с ангиотензин </w:t>
      </w:r>
      <w:r w:rsidRPr="00926409">
        <w:rPr>
          <w:rFonts w:eastAsia="Times New Roman" w:cs="Arial"/>
          <w:color w:val="000000"/>
          <w:lang w:val="en-US"/>
        </w:rPr>
        <w:t xml:space="preserve">II </w:t>
      </w:r>
      <w:r w:rsidRPr="00926409">
        <w:rPr>
          <w:rFonts w:eastAsia="Times New Roman" w:cs="Arial"/>
          <w:color w:val="000000"/>
          <w:lang w:eastAsia="bg-BG"/>
        </w:rPr>
        <w:t xml:space="preserve">рецепторни антагонисти </w:t>
      </w:r>
      <w:r w:rsidRPr="00926409">
        <w:rPr>
          <w:rFonts w:eastAsia="Times New Roman" w:cs="Arial"/>
          <w:color w:val="000000"/>
          <w:lang w:val="en-US"/>
        </w:rPr>
        <w:t xml:space="preserve">(AIIRAs). </w:t>
      </w:r>
      <w:r w:rsidRPr="00926409">
        <w:rPr>
          <w:rFonts w:eastAsia="Times New Roman" w:cs="Arial"/>
          <w:color w:val="000000"/>
          <w:lang w:eastAsia="bg-BG"/>
        </w:rPr>
        <w:t>Пациентките, планиращи бременност, трябва да преминат на алтернативно лечение с антихипертензивни средства с установен профил на безопасност за употреба по време на бременност, освен ако лечението с ангиотензин II рецепторни антагонисти не е крайно</w:t>
      </w:r>
      <w:r w:rsidRPr="00926409">
        <w:rPr>
          <w:rFonts w:eastAsia="Times New Roman" w:cs="Arial"/>
          <w:lang w:val="en-US" w:eastAsia="bg-BG"/>
        </w:rPr>
        <w:t xml:space="preserve"> </w:t>
      </w:r>
      <w:r w:rsidRPr="00926409">
        <w:rPr>
          <w:rFonts w:eastAsia="Times New Roman" w:cs="Arial"/>
          <w:color w:val="000000"/>
          <w:lang w:eastAsia="bg-BG"/>
        </w:rPr>
        <w:t xml:space="preserve">необходимо. При установяване на бременност, лечението с ангиотензин </w:t>
      </w:r>
      <w:r w:rsidRPr="00926409">
        <w:rPr>
          <w:rFonts w:eastAsia="Times New Roman" w:cs="Arial"/>
          <w:color w:val="000000"/>
          <w:lang w:val="en-US"/>
        </w:rPr>
        <w:t xml:space="preserve">II </w:t>
      </w:r>
      <w:r w:rsidRPr="00926409">
        <w:rPr>
          <w:rFonts w:eastAsia="Times New Roman" w:cs="Arial"/>
          <w:color w:val="000000"/>
          <w:lang w:eastAsia="bg-BG"/>
        </w:rPr>
        <w:t>рецепторните</w:t>
      </w:r>
      <w:r w:rsidRPr="00926409">
        <w:rPr>
          <w:rFonts w:eastAsia="Times New Roman" w:cs="Arial"/>
          <w:color w:val="000000"/>
          <w:lang w:val="en-US" w:eastAsia="bg-BG"/>
        </w:rPr>
        <w:t xml:space="preserve"> </w:t>
      </w:r>
      <w:r w:rsidRPr="00926409">
        <w:rPr>
          <w:rFonts w:eastAsia="Times New Roman" w:cs="Arial"/>
          <w:color w:val="000000"/>
          <w:lang w:eastAsia="bg-BG"/>
        </w:rPr>
        <w:t xml:space="preserve">антагонисти трябва да се спре незабавно, и ако е подходящо, да се започне алтернативно лечение (вж. точки </w:t>
      </w:r>
      <w:r w:rsidRPr="00926409">
        <w:rPr>
          <w:rFonts w:eastAsia="Times New Roman" w:cs="Arial"/>
          <w:i/>
          <w:iCs/>
          <w:color w:val="000000"/>
          <w:lang w:eastAsia="bg-BG"/>
        </w:rPr>
        <w:t>4.3</w:t>
      </w:r>
      <w:r w:rsidRPr="00926409">
        <w:rPr>
          <w:rFonts w:eastAsia="Times New Roman" w:cs="Arial"/>
          <w:color w:val="000000"/>
          <w:lang w:eastAsia="bg-BG"/>
        </w:rPr>
        <w:t xml:space="preserve"> и 4.6).</w:t>
      </w:r>
    </w:p>
    <w:p w14:paraId="7D087DC1" w14:textId="77777777" w:rsidR="00926409" w:rsidRPr="00926409" w:rsidRDefault="00926409" w:rsidP="00926409">
      <w:pPr>
        <w:spacing w:line="240" w:lineRule="auto"/>
        <w:rPr>
          <w:rFonts w:eastAsia="Times New Roman" w:cs="Arial"/>
          <w:color w:val="000000"/>
          <w:u w:val="single"/>
          <w:lang w:eastAsia="bg-BG"/>
        </w:rPr>
      </w:pPr>
    </w:p>
    <w:p w14:paraId="2140DC9E" w14:textId="777FCDD6" w:rsidR="00926409" w:rsidRPr="00926409" w:rsidRDefault="00926409" w:rsidP="00926409">
      <w:pPr>
        <w:spacing w:line="240" w:lineRule="auto"/>
        <w:rPr>
          <w:rFonts w:eastAsia="Times New Roman" w:cs="Arial"/>
          <w:lang w:eastAsia="bg-BG"/>
        </w:rPr>
      </w:pPr>
      <w:r w:rsidRPr="00926409">
        <w:rPr>
          <w:rFonts w:eastAsia="Times New Roman" w:cs="Arial"/>
          <w:color w:val="000000"/>
          <w:u w:val="single"/>
          <w:lang w:eastAsia="bg-BG"/>
        </w:rPr>
        <w:t>Общи</w:t>
      </w:r>
    </w:p>
    <w:p w14:paraId="505C51AB"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Необходимо е повишено внимание при пациенти с предшестващи прояви на свръхчувствителност към други ангиотензин II рецепторни антагонисти. Реакциите на свръхчувствителност към хидрохлоротиазид са по-вероятни при пациенти, страдащи от алергия и астма.</w:t>
      </w:r>
    </w:p>
    <w:p w14:paraId="64466212" w14:textId="77777777" w:rsidR="00926409" w:rsidRPr="00926409" w:rsidRDefault="00926409" w:rsidP="00926409">
      <w:pPr>
        <w:spacing w:line="240" w:lineRule="auto"/>
        <w:rPr>
          <w:rFonts w:eastAsia="Times New Roman" w:cs="Arial"/>
          <w:color w:val="000000"/>
          <w:u w:val="single"/>
          <w:lang w:eastAsia="bg-BG"/>
        </w:rPr>
      </w:pPr>
    </w:p>
    <w:p w14:paraId="00B5F6C6" w14:textId="49CD4E6C" w:rsidR="00926409" w:rsidRPr="00926409" w:rsidRDefault="00926409" w:rsidP="00926409">
      <w:pPr>
        <w:spacing w:line="240" w:lineRule="auto"/>
        <w:rPr>
          <w:rFonts w:eastAsia="Times New Roman" w:cs="Arial"/>
          <w:lang w:eastAsia="bg-BG"/>
        </w:rPr>
      </w:pPr>
      <w:r w:rsidRPr="00926409">
        <w:rPr>
          <w:rFonts w:eastAsia="Times New Roman" w:cs="Arial"/>
          <w:color w:val="000000"/>
          <w:u w:val="single"/>
          <w:lang w:eastAsia="bg-BG"/>
        </w:rPr>
        <w:t xml:space="preserve">Хороидален излив, остра миопия и вторична остра закритоъгълна глаукома </w:t>
      </w:r>
      <w:r w:rsidRPr="00926409">
        <w:rPr>
          <w:rFonts w:eastAsia="Times New Roman" w:cs="Arial"/>
          <w:color w:val="000000"/>
          <w:lang w:eastAsia="bg-BG"/>
        </w:rPr>
        <w:t xml:space="preserve">Хидрохлоротиазид е сулфонамид и може да предизвика идиосинкратична реакция, водеща до хороидален излив с дефект на зрителното поле, остра преходна миопия и остра закритоъгълна глаукома. Симптомите включват внезапно начало на намалена </w:t>
      </w:r>
      <w:r w:rsidRPr="00926409">
        <w:rPr>
          <w:rFonts w:eastAsia="Times New Roman" w:cs="Arial"/>
          <w:color w:val="000000"/>
          <w:lang w:eastAsia="bg-BG"/>
        </w:rPr>
        <w:lastRenderedPageBreak/>
        <w:t>зрителна острота или очна болка и обикновено се появяват в рамките на часове до седмици от началото на лекарствената терапия. Нелекуваната остра закритоъгълна глаукома може да доведе до трайна загуба на зрението.</w:t>
      </w:r>
    </w:p>
    <w:p w14:paraId="5FC8C1C0"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Основното лечение е да се прекрати употребата на хидрохлоротиазид възможно най-бързо. Може да се наложи медицинско или хирургично лечение, ако вътреочното налягане остава неконтролирано. Рискови фактори за развитие на остра закритоъгълна глаукома могат да бъдат анамнеза за алергия към сулфонамиди или пеницилин.</w:t>
      </w:r>
    </w:p>
    <w:p w14:paraId="0E73C56C" w14:textId="77777777" w:rsidR="00926409" w:rsidRPr="00926409" w:rsidRDefault="00926409" w:rsidP="00926409">
      <w:pPr>
        <w:spacing w:line="240" w:lineRule="auto"/>
        <w:rPr>
          <w:rFonts w:eastAsia="Times New Roman" w:cs="Arial"/>
          <w:color w:val="000000"/>
          <w:u w:val="single"/>
          <w:lang w:eastAsia="bg-BG"/>
        </w:rPr>
      </w:pPr>
    </w:p>
    <w:p w14:paraId="33BDC8F4" w14:textId="7B2D2866" w:rsidR="00926409" w:rsidRPr="00926409" w:rsidRDefault="00926409" w:rsidP="00926409">
      <w:pPr>
        <w:spacing w:line="240" w:lineRule="auto"/>
        <w:rPr>
          <w:rFonts w:eastAsia="Times New Roman" w:cs="Arial"/>
          <w:lang w:eastAsia="bg-BG"/>
        </w:rPr>
      </w:pPr>
      <w:r w:rsidRPr="00926409">
        <w:rPr>
          <w:rFonts w:eastAsia="Times New Roman" w:cs="Arial"/>
          <w:color w:val="000000"/>
          <w:u w:val="single"/>
          <w:lang w:eastAsia="bg-BG"/>
        </w:rPr>
        <w:t>Двойно блокиране на ренин-ангиотензин-алдостероновата система (РААС)</w:t>
      </w:r>
    </w:p>
    <w:p w14:paraId="12D314A8"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 xml:space="preserve">Има данни, че едновременната употреба на АСЕ инхибитори, ангиотензин </w:t>
      </w:r>
      <w:r w:rsidRPr="00926409">
        <w:rPr>
          <w:rFonts w:eastAsia="Times New Roman" w:cs="Arial"/>
          <w:color w:val="000000"/>
          <w:lang w:val="en-US"/>
        </w:rPr>
        <w:t>II</w:t>
      </w:r>
      <w:r w:rsidRPr="00926409">
        <w:rPr>
          <w:rFonts w:eastAsia="Times New Roman" w:cs="Arial"/>
          <w:color w:val="000000"/>
          <w:lang w:eastAsia="bg-BG"/>
        </w:rPr>
        <w:t xml:space="preserve">-рецепторни блокери или алискирен повишава риска от хипотония, хиперкалиемия и намаляване на бъбречната функция (включително остра бъбречна недостатъчност). Поради това не се препоръчва двойно блокиране на РААС чрез комбинираната употреба на АСЕ инхибитори, ангиотензин </w:t>
      </w:r>
      <w:r w:rsidRPr="00926409">
        <w:rPr>
          <w:rFonts w:eastAsia="Times New Roman" w:cs="Arial"/>
          <w:color w:val="000000"/>
          <w:lang w:val="en-US"/>
        </w:rPr>
        <w:t>II</w:t>
      </w:r>
      <w:r w:rsidRPr="00926409">
        <w:rPr>
          <w:rFonts w:eastAsia="Times New Roman" w:cs="Arial"/>
          <w:color w:val="000000"/>
          <w:lang w:eastAsia="bg-BG"/>
        </w:rPr>
        <w:t>-рецепторни блокери или алискирен (вж. точки 4.5 и 5.1).</w:t>
      </w:r>
    </w:p>
    <w:p w14:paraId="46CC269B"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Ако се прецени, че терапията с двойно блокиране е абсолютно необходима, това трябва да става само под наблюдението на специалист и при често внимателно мониториране на бъбречната функция, електролитите и кръвното налягане.</w:t>
      </w:r>
    </w:p>
    <w:p w14:paraId="20F1DD48"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АСЕ инхибитори и ангиотензин П-рецепторни блокери не трябва да се използват едновременно при пациенти с диабетна нефропатия.</w:t>
      </w:r>
    </w:p>
    <w:p w14:paraId="0B0D18D8" w14:textId="77777777" w:rsidR="00926409" w:rsidRPr="00926409" w:rsidRDefault="00926409" w:rsidP="00926409">
      <w:pPr>
        <w:spacing w:line="240" w:lineRule="auto"/>
        <w:rPr>
          <w:rFonts w:eastAsia="Times New Roman" w:cs="Arial"/>
          <w:color w:val="000000"/>
          <w:u w:val="single"/>
          <w:lang w:eastAsia="bg-BG"/>
        </w:rPr>
      </w:pPr>
    </w:p>
    <w:p w14:paraId="79C2C5E1" w14:textId="0A697729" w:rsidR="00926409" w:rsidRPr="00926409" w:rsidRDefault="00926409" w:rsidP="00926409">
      <w:pPr>
        <w:spacing w:line="240" w:lineRule="auto"/>
        <w:rPr>
          <w:rFonts w:eastAsia="Times New Roman" w:cs="Arial"/>
          <w:lang w:eastAsia="bg-BG"/>
        </w:rPr>
      </w:pPr>
      <w:r w:rsidRPr="00926409">
        <w:rPr>
          <w:rFonts w:eastAsia="Times New Roman" w:cs="Arial"/>
          <w:color w:val="000000"/>
          <w:u w:val="single"/>
          <w:lang w:eastAsia="bg-BG"/>
        </w:rPr>
        <w:t>Немеланомен рак на кожата</w:t>
      </w:r>
    </w:p>
    <w:p w14:paraId="402E47D1"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В две епидемиологични проучвания, основаващи се на датския национален раков регистър, е наблюдаван повишен риск от немеланомен рак на кожата (НМРК) [базалноклетьчен карцином (БКК) и сквамозноклетьчен карцином (СКК)] при нарастваща експозиция на кумулативна доза хидрохлоротиазид (ХХТЗ). Фотосенсибилизиращите ефекти на ХХТЗ могат да действат като вероятен механизъм за развитие на НМРК.</w:t>
      </w:r>
    </w:p>
    <w:p w14:paraId="4A85F92A" w14:textId="107ECBBF"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Пациентите, приемащи ХХТЗ, трябва да бъдат информирани за риска от НМРК и съветвани редовно да проверяват кожата си за нови лезии и незабавно да съобщават при поява на подозрителни кожни лезии. На пациентите трябва да се препоръчат възможни превантивни мерки, като ограничено излагане на слънчева светлина и ултравиолетови лъчи, а в случай на експозиция, подходяща защита, за да се сведе до минимум рискът от рак на кожата. Подозрителните кожни лезии трябва да бъдат подложени на незабавно изследване, потенциално включващо хистологични изследвания на биопсични материали. Преразглеждане на употребата на ХХТЗ може да се наложи и при пациенти, които са имали предходен НМРК (вж. също точка 4.8).</w:t>
      </w:r>
    </w:p>
    <w:p w14:paraId="5009C244" w14:textId="77777777" w:rsidR="00926409" w:rsidRPr="00926409" w:rsidRDefault="00926409" w:rsidP="00926409">
      <w:pPr>
        <w:spacing w:line="240" w:lineRule="auto"/>
        <w:rPr>
          <w:rFonts w:eastAsia="Times New Roman" w:cs="Arial"/>
          <w:color w:val="000000"/>
          <w:u w:val="single"/>
          <w:lang w:eastAsia="bg-BG"/>
        </w:rPr>
      </w:pPr>
    </w:p>
    <w:p w14:paraId="10B48ABD" w14:textId="20A0B343" w:rsidR="00926409" w:rsidRPr="00926409" w:rsidRDefault="00926409" w:rsidP="00926409">
      <w:pPr>
        <w:spacing w:line="240" w:lineRule="auto"/>
        <w:rPr>
          <w:rFonts w:eastAsia="Times New Roman" w:cs="Arial"/>
          <w:lang w:eastAsia="bg-BG"/>
        </w:rPr>
      </w:pPr>
      <w:r w:rsidRPr="00926409">
        <w:rPr>
          <w:rFonts w:eastAsia="Times New Roman" w:cs="Arial"/>
          <w:color w:val="000000"/>
          <w:u w:val="single"/>
          <w:lang w:eastAsia="bg-BG"/>
        </w:rPr>
        <w:t>Остра респираторна токсичност</w:t>
      </w:r>
    </w:p>
    <w:p w14:paraId="49A8B295" w14:textId="4FE79F16" w:rsidR="00926409" w:rsidRPr="00926409" w:rsidRDefault="00926409" w:rsidP="00926409">
      <w:pPr>
        <w:spacing w:line="240" w:lineRule="auto"/>
        <w:rPr>
          <w:rFonts w:eastAsia="Times New Roman" w:cs="Arial"/>
          <w:color w:val="000000"/>
          <w:lang w:val="en-US" w:eastAsia="bg-BG"/>
        </w:rPr>
      </w:pPr>
      <w:r w:rsidRPr="00926409">
        <w:rPr>
          <w:rFonts w:eastAsia="Times New Roman" w:cs="Arial"/>
          <w:color w:val="000000"/>
          <w:lang w:eastAsia="bg-BG"/>
        </w:rPr>
        <w:t>След прием на хидрохлоротиазид се съобщават много редки тежки случаи на остра респираторна токсичност, включително остър респираторен дистрес синдром (ОРДС). След прием на хидрохлоротиазид обикновено се развива белодробен оток в рамките на минути до часове. В началото симптомите включват диспнея, повишена температура, влошаване на белодробната функция и хипотония. При съмнение за ОРДС трябва да бъде спрян приемът на Валтензин Плюс и да се приложи подходящо лечение. Хидрохлоротиазид не трябва да се прилага при пациенти, които преди това са получавали ОРДС след прием на</w:t>
      </w:r>
      <w:r w:rsidRPr="00926409">
        <w:rPr>
          <w:rFonts w:eastAsia="Times New Roman" w:cs="Arial"/>
          <w:color w:val="000000"/>
          <w:lang w:val="en-US" w:eastAsia="bg-BG"/>
        </w:rPr>
        <w:t xml:space="preserve"> </w:t>
      </w:r>
      <w:r w:rsidRPr="00926409">
        <w:rPr>
          <w:rFonts w:eastAsia="Times New Roman" w:cs="Arial"/>
          <w:color w:val="000000"/>
          <w:lang w:eastAsia="bg-BG"/>
        </w:rPr>
        <w:t>хидрохлоротиазид</w:t>
      </w:r>
      <w:r w:rsidRPr="00926409">
        <w:rPr>
          <w:rFonts w:eastAsia="Times New Roman" w:cs="Arial"/>
          <w:color w:val="000000"/>
          <w:lang w:val="en-US" w:eastAsia="bg-BG"/>
        </w:rPr>
        <w:t>.</w:t>
      </w:r>
    </w:p>
    <w:p w14:paraId="1C41B4CA" w14:textId="1FC179C8" w:rsidR="00926409" w:rsidRPr="00926409" w:rsidRDefault="00926409" w:rsidP="00926409">
      <w:pPr>
        <w:spacing w:line="240" w:lineRule="auto"/>
        <w:rPr>
          <w:rFonts w:eastAsia="Times New Roman" w:cs="Arial"/>
          <w:color w:val="000000"/>
          <w:lang w:val="en-US" w:eastAsia="bg-BG"/>
        </w:rPr>
      </w:pPr>
    </w:p>
    <w:p w14:paraId="4E115408"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u w:val="single"/>
          <w:lang w:eastAsia="bg-BG"/>
        </w:rPr>
        <w:t>Помощни вещества</w:t>
      </w:r>
    </w:p>
    <w:p w14:paraId="33991296" w14:textId="77777777" w:rsidR="00926409" w:rsidRPr="00926409" w:rsidRDefault="00926409" w:rsidP="00926409">
      <w:pPr>
        <w:spacing w:line="240" w:lineRule="auto"/>
        <w:rPr>
          <w:rFonts w:eastAsia="Times New Roman" w:cs="Arial"/>
          <w:i/>
          <w:iCs/>
          <w:color w:val="000000"/>
          <w:lang w:eastAsia="bg-BG"/>
        </w:rPr>
      </w:pPr>
    </w:p>
    <w:p w14:paraId="09D1A8CD" w14:textId="03CEE7A3" w:rsidR="00926409" w:rsidRPr="00926409" w:rsidRDefault="00926409" w:rsidP="00926409">
      <w:pPr>
        <w:spacing w:line="240" w:lineRule="auto"/>
        <w:rPr>
          <w:rFonts w:eastAsia="Times New Roman" w:cs="Arial"/>
          <w:lang w:eastAsia="bg-BG"/>
        </w:rPr>
      </w:pPr>
      <w:r w:rsidRPr="00926409">
        <w:rPr>
          <w:rFonts w:eastAsia="Times New Roman" w:cs="Arial"/>
          <w:i/>
          <w:iCs/>
          <w:color w:val="000000"/>
          <w:lang w:eastAsia="bg-BG"/>
        </w:rPr>
        <w:t>Лактоза</w:t>
      </w:r>
    </w:p>
    <w:p w14:paraId="4B45778B"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lastRenderedPageBreak/>
        <w:t>Пациенти с редки наследствени проблеми на непоносимост към галактоза, пълен лактазен дефицит или глюкозо-галактозна малабсорбция не трябва да приемат това лекарство.</w:t>
      </w:r>
    </w:p>
    <w:p w14:paraId="25FD75CA" w14:textId="77777777" w:rsidR="00926409" w:rsidRPr="00926409" w:rsidRDefault="00926409" w:rsidP="00926409">
      <w:pPr>
        <w:spacing w:line="240" w:lineRule="auto"/>
        <w:rPr>
          <w:rFonts w:eastAsia="Times New Roman" w:cs="Arial"/>
          <w:i/>
          <w:iCs/>
          <w:color w:val="000000"/>
          <w:lang w:eastAsia="bg-BG"/>
        </w:rPr>
      </w:pPr>
    </w:p>
    <w:p w14:paraId="4307FCBE" w14:textId="126ACB14" w:rsidR="00926409" w:rsidRPr="00926409" w:rsidRDefault="00926409" w:rsidP="00926409">
      <w:pPr>
        <w:spacing w:line="240" w:lineRule="auto"/>
        <w:rPr>
          <w:rFonts w:eastAsia="Times New Roman" w:cs="Arial"/>
          <w:lang w:eastAsia="bg-BG"/>
        </w:rPr>
      </w:pPr>
      <w:r w:rsidRPr="00926409">
        <w:rPr>
          <w:rFonts w:eastAsia="Times New Roman" w:cs="Arial"/>
          <w:i/>
          <w:iCs/>
          <w:color w:val="000000"/>
          <w:lang w:eastAsia="bg-BG"/>
        </w:rPr>
        <w:t>Лецитин</w:t>
      </w:r>
    </w:p>
    <w:p w14:paraId="2477D86C"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Този лекарствен продукт не трябва да се използва, ако пациентът е алергичен към фъстъци или соя (вж. точка 4.3).</w:t>
      </w:r>
    </w:p>
    <w:p w14:paraId="1C687727" w14:textId="77777777" w:rsidR="00926409" w:rsidRPr="00926409" w:rsidRDefault="00926409" w:rsidP="00926409">
      <w:pPr>
        <w:spacing w:line="240" w:lineRule="auto"/>
        <w:rPr>
          <w:rFonts w:eastAsia="Times New Roman" w:cs="Arial"/>
          <w:i/>
          <w:iCs/>
          <w:color w:val="000000"/>
          <w:lang w:eastAsia="bg-BG"/>
        </w:rPr>
      </w:pPr>
    </w:p>
    <w:p w14:paraId="24B66115" w14:textId="079C90B7" w:rsidR="00926409" w:rsidRPr="00926409" w:rsidRDefault="00926409" w:rsidP="00926409">
      <w:pPr>
        <w:spacing w:line="240" w:lineRule="auto"/>
        <w:rPr>
          <w:rFonts w:eastAsia="Times New Roman" w:cs="Arial"/>
          <w:lang w:eastAsia="bg-BG"/>
        </w:rPr>
      </w:pPr>
      <w:r w:rsidRPr="00926409">
        <w:rPr>
          <w:rFonts w:eastAsia="Times New Roman" w:cs="Arial"/>
          <w:i/>
          <w:iCs/>
          <w:color w:val="000000"/>
          <w:lang w:eastAsia="bg-BG"/>
        </w:rPr>
        <w:t>Натрий</w:t>
      </w:r>
    </w:p>
    <w:p w14:paraId="03B71ECD" w14:textId="77777777" w:rsidR="00926409" w:rsidRPr="00926409" w:rsidRDefault="00926409" w:rsidP="00926409">
      <w:pPr>
        <w:spacing w:line="240" w:lineRule="auto"/>
        <w:rPr>
          <w:rFonts w:eastAsia="Times New Roman" w:cs="Arial"/>
          <w:lang w:eastAsia="bg-BG"/>
        </w:rPr>
      </w:pPr>
      <w:r w:rsidRPr="00926409">
        <w:rPr>
          <w:rFonts w:eastAsia="Times New Roman" w:cs="Arial"/>
          <w:color w:val="000000"/>
          <w:lang w:eastAsia="bg-BG"/>
        </w:rPr>
        <w:t xml:space="preserve">Това лекарство съдържа по-малко от 1 </w:t>
      </w:r>
      <w:r w:rsidRPr="00926409">
        <w:rPr>
          <w:rFonts w:eastAsia="Times New Roman" w:cs="Arial"/>
          <w:color w:val="000000"/>
          <w:lang w:val="en-US"/>
        </w:rPr>
        <w:t xml:space="preserve">mmol </w:t>
      </w:r>
      <w:r w:rsidRPr="00926409">
        <w:rPr>
          <w:rFonts w:eastAsia="Times New Roman" w:cs="Arial"/>
          <w:color w:val="000000"/>
          <w:lang w:eastAsia="bg-BG"/>
        </w:rPr>
        <w:t xml:space="preserve">натрий (23 </w:t>
      </w:r>
      <w:r w:rsidRPr="00926409">
        <w:rPr>
          <w:rFonts w:eastAsia="Times New Roman" w:cs="Arial"/>
          <w:color w:val="000000"/>
          <w:lang w:val="en-US"/>
        </w:rPr>
        <w:t xml:space="preserve">mg) </w:t>
      </w:r>
      <w:r w:rsidRPr="00926409">
        <w:rPr>
          <w:rFonts w:eastAsia="Times New Roman" w:cs="Arial"/>
          <w:color w:val="000000"/>
          <w:lang w:eastAsia="bg-BG"/>
        </w:rPr>
        <w:t>на филмирана таблетка, т.е, може да се каже, че практически не съдържа натрий.</w:t>
      </w:r>
    </w:p>
    <w:p w14:paraId="5C69C3AC" w14:textId="77777777" w:rsidR="00926409" w:rsidRPr="00926409" w:rsidRDefault="00926409" w:rsidP="00926409">
      <w:pPr>
        <w:spacing w:line="240" w:lineRule="auto"/>
        <w:rPr>
          <w:rFonts w:ascii="Times New Roman" w:eastAsia="Times New Roman" w:hAnsi="Times New Roman" w:cs="Times New Roman"/>
          <w:sz w:val="24"/>
          <w:szCs w:val="24"/>
          <w:lang w:val="en-US" w:eastAsia="bg-BG"/>
        </w:rPr>
      </w:pPr>
    </w:p>
    <w:p w14:paraId="7ABEA351" w14:textId="44DD98D6" w:rsidR="00A71DCF" w:rsidRDefault="002C50EE" w:rsidP="00A93499">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p>
    <w:p w14:paraId="043D1832" w14:textId="36D5F076" w:rsidR="00735CBB" w:rsidRDefault="00735CBB" w:rsidP="00735CBB"/>
    <w:p w14:paraId="3D0C7AA1" w14:textId="77777777" w:rsidR="00735CBB" w:rsidRPr="00735CBB" w:rsidRDefault="00735CBB" w:rsidP="00735CBB">
      <w:pPr>
        <w:spacing w:line="240" w:lineRule="auto"/>
        <w:rPr>
          <w:rFonts w:eastAsia="Times New Roman" w:cs="Arial"/>
          <w:lang w:eastAsia="bg-BG"/>
        </w:rPr>
      </w:pPr>
      <w:r w:rsidRPr="00735CBB">
        <w:rPr>
          <w:rFonts w:eastAsia="Times New Roman" w:cs="Arial"/>
          <w:color w:val="000000"/>
          <w:u w:val="single"/>
          <w:lang w:eastAsia="bg-BG"/>
        </w:rPr>
        <w:t>Взаимодействия, свързани с валсартан и хидрохлоротиазид</w:t>
      </w:r>
    </w:p>
    <w:p w14:paraId="6097798D" w14:textId="77777777" w:rsidR="00735CBB" w:rsidRPr="00735CBB" w:rsidRDefault="00735CBB" w:rsidP="00735CBB">
      <w:pPr>
        <w:spacing w:line="240" w:lineRule="auto"/>
        <w:rPr>
          <w:rFonts w:eastAsia="Times New Roman" w:cs="Arial"/>
          <w:i/>
          <w:iCs/>
          <w:color w:val="000000"/>
          <w:u w:val="single"/>
          <w:lang w:eastAsia="bg-BG"/>
        </w:rPr>
      </w:pPr>
    </w:p>
    <w:p w14:paraId="22C942BD" w14:textId="5AF4135B" w:rsidR="00735CBB" w:rsidRPr="00735CBB" w:rsidRDefault="00735CBB" w:rsidP="00735CBB">
      <w:pPr>
        <w:spacing w:line="240" w:lineRule="auto"/>
        <w:rPr>
          <w:rFonts w:eastAsia="Times New Roman" w:cs="Arial"/>
          <w:lang w:eastAsia="bg-BG"/>
        </w:rPr>
      </w:pPr>
      <w:r w:rsidRPr="00735CBB">
        <w:rPr>
          <w:rFonts w:eastAsia="Times New Roman" w:cs="Arial"/>
          <w:i/>
          <w:iCs/>
          <w:color w:val="000000"/>
          <w:u w:val="single"/>
          <w:lang w:eastAsia="bg-BG"/>
        </w:rPr>
        <w:t>Не се препоръчва едновременна употреба</w:t>
      </w:r>
    </w:p>
    <w:p w14:paraId="758A54DC" w14:textId="77777777" w:rsidR="00735CBB" w:rsidRPr="00735CBB" w:rsidRDefault="00735CBB" w:rsidP="00735CBB">
      <w:pPr>
        <w:spacing w:line="240" w:lineRule="auto"/>
        <w:rPr>
          <w:rFonts w:eastAsia="Times New Roman" w:cs="Arial"/>
          <w:i/>
          <w:iCs/>
          <w:color w:val="000000"/>
          <w:lang w:eastAsia="bg-BG"/>
        </w:rPr>
      </w:pPr>
    </w:p>
    <w:p w14:paraId="1E1214BE" w14:textId="2E1EFADA" w:rsidR="00735CBB" w:rsidRPr="00735CBB" w:rsidRDefault="00735CBB" w:rsidP="00735CBB">
      <w:pPr>
        <w:spacing w:line="240" w:lineRule="auto"/>
        <w:rPr>
          <w:rFonts w:eastAsia="Times New Roman" w:cs="Arial"/>
          <w:lang w:eastAsia="bg-BG"/>
        </w:rPr>
      </w:pPr>
      <w:r w:rsidRPr="00735CBB">
        <w:rPr>
          <w:rFonts w:eastAsia="Times New Roman" w:cs="Arial"/>
          <w:i/>
          <w:iCs/>
          <w:color w:val="000000"/>
          <w:lang w:eastAsia="bg-BG"/>
        </w:rPr>
        <w:t>Литий</w:t>
      </w:r>
    </w:p>
    <w:p w14:paraId="36B28CD3" w14:textId="7777777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Съобщавани са случаи на обратимо повишаване на серумните концентрации и токсичността на литий при едновременна употреба на литий с АСЕ инхибитори, ангиотензин II рецепторни антагонисти или тиазидни диуретици, включително хидрохлоротиазид. Тъй като бъбречният клирънс на лития се редуцира от тиазидите, рискът от литиева токсичност може да се увеличи допълнително с Валтензин Плюс. Ако се прецени, че комбинацията е необходима, се препоръчва внимателно мониториране на серумните нива на литий.</w:t>
      </w:r>
    </w:p>
    <w:p w14:paraId="6071892F" w14:textId="77777777" w:rsidR="00735CBB" w:rsidRPr="00735CBB" w:rsidRDefault="00735CBB" w:rsidP="00735CBB">
      <w:pPr>
        <w:spacing w:line="240" w:lineRule="auto"/>
        <w:rPr>
          <w:rFonts w:eastAsia="Times New Roman" w:cs="Arial"/>
          <w:i/>
          <w:iCs/>
          <w:color w:val="000000"/>
          <w:u w:val="single"/>
          <w:lang w:eastAsia="bg-BG"/>
        </w:rPr>
      </w:pPr>
    </w:p>
    <w:p w14:paraId="7AD13F49" w14:textId="56E669B1" w:rsidR="00735CBB" w:rsidRPr="00735CBB" w:rsidRDefault="00735CBB" w:rsidP="00735CBB">
      <w:pPr>
        <w:spacing w:line="240" w:lineRule="auto"/>
        <w:rPr>
          <w:rFonts w:eastAsia="Times New Roman" w:cs="Arial"/>
          <w:lang w:eastAsia="bg-BG"/>
        </w:rPr>
      </w:pPr>
      <w:r w:rsidRPr="00735CBB">
        <w:rPr>
          <w:rFonts w:eastAsia="Times New Roman" w:cs="Arial"/>
          <w:i/>
          <w:iCs/>
          <w:color w:val="000000"/>
          <w:u w:val="single"/>
          <w:lang w:eastAsia="bg-BG"/>
        </w:rPr>
        <w:t>Необходимо е повишено внимание при едновременна употреба</w:t>
      </w:r>
    </w:p>
    <w:p w14:paraId="2AF8003D" w14:textId="77777777" w:rsidR="00735CBB" w:rsidRPr="00735CBB" w:rsidRDefault="00735CBB" w:rsidP="00735CBB">
      <w:pPr>
        <w:spacing w:line="240" w:lineRule="auto"/>
        <w:rPr>
          <w:rFonts w:eastAsia="Times New Roman" w:cs="Arial"/>
          <w:i/>
          <w:iCs/>
          <w:color w:val="000000"/>
          <w:lang w:eastAsia="bg-BG"/>
        </w:rPr>
      </w:pPr>
    </w:p>
    <w:p w14:paraId="4875BC0B" w14:textId="7EA8C0C3" w:rsidR="00735CBB" w:rsidRPr="00735CBB" w:rsidRDefault="00735CBB" w:rsidP="00735CBB">
      <w:pPr>
        <w:spacing w:line="240" w:lineRule="auto"/>
        <w:rPr>
          <w:rFonts w:eastAsia="Times New Roman" w:cs="Arial"/>
          <w:lang w:eastAsia="bg-BG"/>
        </w:rPr>
      </w:pPr>
      <w:r w:rsidRPr="00735CBB">
        <w:rPr>
          <w:rFonts w:eastAsia="Times New Roman" w:cs="Arial"/>
          <w:i/>
          <w:iCs/>
          <w:color w:val="000000"/>
          <w:lang w:eastAsia="bg-BG"/>
        </w:rPr>
        <w:t>Други антихипертензивни средства</w:t>
      </w:r>
    </w:p>
    <w:p w14:paraId="67BBDAD2" w14:textId="7777777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 xml:space="preserve">Валтензин Плюс може да повиши ефикасността на други лекарства с антихипертензивни свойства (напр. гванидин, метилдопа, вазодилататори, </w:t>
      </w:r>
      <w:r w:rsidRPr="00735CBB">
        <w:rPr>
          <w:rFonts w:eastAsia="Times New Roman" w:cs="Arial"/>
          <w:color w:val="000000"/>
          <w:lang w:val="en-US"/>
        </w:rPr>
        <w:t xml:space="preserve">ACEIs, ARBs, </w:t>
      </w:r>
      <w:r w:rsidRPr="00735CBB">
        <w:rPr>
          <w:rFonts w:eastAsia="Times New Roman" w:cs="Arial"/>
          <w:color w:val="000000"/>
          <w:lang w:eastAsia="bg-BG"/>
        </w:rPr>
        <w:t xml:space="preserve">бета-блокери, калциеви антагонисти и директни инхибитори на ренина </w:t>
      </w:r>
      <w:r w:rsidRPr="00735CBB">
        <w:rPr>
          <w:rFonts w:eastAsia="Times New Roman" w:cs="Arial"/>
          <w:color w:val="000000"/>
          <w:lang w:val="en-US"/>
        </w:rPr>
        <w:t>(DRIs)).</w:t>
      </w:r>
    </w:p>
    <w:p w14:paraId="0603CAE4" w14:textId="77777777" w:rsidR="00735CBB" w:rsidRPr="00735CBB" w:rsidRDefault="00735CBB" w:rsidP="00735CBB">
      <w:pPr>
        <w:spacing w:line="240" w:lineRule="auto"/>
        <w:rPr>
          <w:rFonts w:eastAsia="Times New Roman" w:cs="Arial"/>
          <w:i/>
          <w:iCs/>
          <w:color w:val="000000"/>
          <w:lang w:eastAsia="bg-BG"/>
        </w:rPr>
      </w:pPr>
    </w:p>
    <w:p w14:paraId="2CC6888D" w14:textId="072DE055" w:rsidR="00735CBB" w:rsidRPr="00735CBB" w:rsidRDefault="00735CBB" w:rsidP="00735CBB">
      <w:pPr>
        <w:spacing w:line="240" w:lineRule="auto"/>
        <w:rPr>
          <w:rFonts w:eastAsia="Times New Roman" w:cs="Arial"/>
          <w:lang w:eastAsia="bg-BG"/>
        </w:rPr>
      </w:pPr>
      <w:r w:rsidRPr="00735CBB">
        <w:rPr>
          <w:rFonts w:eastAsia="Times New Roman" w:cs="Arial"/>
          <w:i/>
          <w:iCs/>
          <w:color w:val="000000"/>
          <w:lang w:eastAsia="bg-BG"/>
        </w:rPr>
        <w:t>Пресорни амини</w:t>
      </w:r>
      <w:r w:rsidRPr="00735CBB">
        <w:rPr>
          <w:rFonts w:eastAsia="Times New Roman" w:cs="Arial"/>
          <w:color w:val="000000"/>
          <w:lang w:eastAsia="bg-BG"/>
        </w:rPr>
        <w:t xml:space="preserve"> (напр. норадреналин, адреналин)</w:t>
      </w:r>
    </w:p>
    <w:p w14:paraId="57715007" w14:textId="7777777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Възможно е намаляване на отговора към пресорни амини. Клиничното значение на този ефект е неясно и е недостатъчно за да се изключи употребата им.</w:t>
      </w:r>
    </w:p>
    <w:p w14:paraId="2877214E" w14:textId="77777777" w:rsidR="00735CBB" w:rsidRPr="00735CBB" w:rsidRDefault="00735CBB" w:rsidP="00735CBB">
      <w:pPr>
        <w:spacing w:line="240" w:lineRule="auto"/>
        <w:rPr>
          <w:rFonts w:eastAsia="Times New Roman" w:cs="Arial"/>
          <w:i/>
          <w:iCs/>
          <w:color w:val="000000"/>
          <w:lang w:eastAsia="bg-BG"/>
        </w:rPr>
      </w:pPr>
    </w:p>
    <w:p w14:paraId="31180F56" w14:textId="5A8B2E2C" w:rsidR="00735CBB" w:rsidRPr="00735CBB" w:rsidRDefault="00735CBB" w:rsidP="00735CBB">
      <w:pPr>
        <w:spacing w:line="240" w:lineRule="auto"/>
        <w:rPr>
          <w:rFonts w:eastAsia="Times New Roman" w:cs="Arial"/>
          <w:lang w:eastAsia="bg-BG"/>
        </w:rPr>
      </w:pPr>
      <w:r w:rsidRPr="00735CBB">
        <w:rPr>
          <w:rFonts w:eastAsia="Times New Roman" w:cs="Arial"/>
          <w:i/>
          <w:iCs/>
          <w:color w:val="000000"/>
          <w:lang w:eastAsia="bg-BG"/>
        </w:rPr>
        <w:t xml:space="preserve">Нестероидни противовъзпалителни средства (НСПВС), включително селективни СОХ-2 инхибитори, ацетилсалицилова киселина (&gt;3 </w:t>
      </w:r>
      <w:r w:rsidRPr="00735CBB">
        <w:rPr>
          <w:rFonts w:eastAsia="Times New Roman" w:cs="Arial"/>
          <w:i/>
          <w:iCs/>
          <w:color w:val="000000"/>
          <w:lang w:val="en-US"/>
        </w:rPr>
        <w:t>g</w:t>
      </w:r>
      <w:r w:rsidRPr="00735CBB">
        <w:rPr>
          <w:rFonts w:eastAsia="Times New Roman" w:cs="Arial"/>
          <w:i/>
          <w:iCs/>
          <w:color w:val="000000"/>
          <w:lang w:eastAsia="bg-BG"/>
        </w:rPr>
        <w:t xml:space="preserve">/дневно), и неселективни НСПВС </w:t>
      </w:r>
      <w:r w:rsidRPr="00735CBB">
        <w:rPr>
          <w:rFonts w:eastAsia="Times New Roman" w:cs="Arial"/>
          <w:color w:val="000000"/>
          <w:lang w:eastAsia="bg-BG"/>
        </w:rPr>
        <w:t>НСПВС могат да отслабят антихипертензивния ефект на ангиотензин II рецепторните антагонисти и на хидрохлоротиазид при едновременно приложение. Освен това, комбинираната употреба на валсартан/хидрохлоротиазид и НСПВС може да доведе до влошаване на бъбречната функция и повишаване на серумния калий. Ето защо, се препоръчва проследяване на бъбречната функция в началото на лечението, както и адекватна хидратация на пациента.</w:t>
      </w:r>
    </w:p>
    <w:p w14:paraId="6F489C0D" w14:textId="77777777" w:rsidR="00735CBB" w:rsidRPr="00735CBB" w:rsidRDefault="00735CBB" w:rsidP="00735CBB">
      <w:pPr>
        <w:spacing w:line="240" w:lineRule="auto"/>
        <w:rPr>
          <w:rFonts w:eastAsia="Times New Roman" w:cs="Arial"/>
          <w:color w:val="000000"/>
          <w:u w:val="single"/>
          <w:lang w:eastAsia="bg-BG"/>
        </w:rPr>
      </w:pPr>
    </w:p>
    <w:p w14:paraId="03111436" w14:textId="7D458692" w:rsidR="00735CBB" w:rsidRPr="00735CBB" w:rsidRDefault="00735CBB" w:rsidP="00735CBB">
      <w:pPr>
        <w:spacing w:line="240" w:lineRule="auto"/>
        <w:rPr>
          <w:rFonts w:eastAsia="Times New Roman" w:cs="Arial"/>
          <w:lang w:eastAsia="bg-BG"/>
        </w:rPr>
      </w:pPr>
      <w:r w:rsidRPr="00735CBB">
        <w:rPr>
          <w:rFonts w:eastAsia="Times New Roman" w:cs="Arial"/>
          <w:color w:val="000000"/>
          <w:u w:val="single"/>
          <w:lang w:eastAsia="bg-BG"/>
        </w:rPr>
        <w:t>Взаимодействия, свързани с валсартан</w:t>
      </w:r>
    </w:p>
    <w:p w14:paraId="05DE45AD" w14:textId="77777777" w:rsidR="00735CBB" w:rsidRPr="00735CBB" w:rsidRDefault="00735CBB" w:rsidP="00735CBB">
      <w:pPr>
        <w:spacing w:line="240" w:lineRule="auto"/>
        <w:rPr>
          <w:rFonts w:eastAsia="Times New Roman" w:cs="Arial"/>
          <w:i/>
          <w:iCs/>
          <w:color w:val="000000"/>
          <w:u w:val="single"/>
          <w:lang w:eastAsia="bg-BG"/>
        </w:rPr>
      </w:pPr>
    </w:p>
    <w:p w14:paraId="41411769" w14:textId="4F97993B" w:rsidR="00735CBB" w:rsidRPr="00735CBB" w:rsidRDefault="00735CBB" w:rsidP="00735CBB">
      <w:pPr>
        <w:spacing w:line="240" w:lineRule="auto"/>
        <w:rPr>
          <w:rFonts w:eastAsia="Times New Roman" w:cs="Arial"/>
          <w:lang w:eastAsia="bg-BG"/>
        </w:rPr>
      </w:pPr>
      <w:r w:rsidRPr="00735CBB">
        <w:rPr>
          <w:rFonts w:eastAsia="Times New Roman" w:cs="Arial"/>
          <w:i/>
          <w:iCs/>
          <w:color w:val="000000"/>
          <w:u w:val="single"/>
          <w:lang w:eastAsia="bg-BG"/>
        </w:rPr>
        <w:lastRenderedPageBreak/>
        <w:t xml:space="preserve">Двойно блокиране наренин-ангиотензин-алдостероновата система /РААС), с </w:t>
      </w:r>
      <w:r w:rsidRPr="00735CBB">
        <w:rPr>
          <w:rFonts w:eastAsia="Times New Roman" w:cs="Arial"/>
          <w:i/>
          <w:iCs/>
          <w:color w:val="000000"/>
          <w:u w:val="single"/>
          <w:lang w:val="en-US"/>
        </w:rPr>
        <w:t xml:space="preserve">ARBs, </w:t>
      </w:r>
      <w:r w:rsidRPr="00735CBB">
        <w:rPr>
          <w:rFonts w:eastAsia="Times New Roman" w:cs="Arial"/>
          <w:i/>
          <w:iCs/>
          <w:color w:val="000000"/>
          <w:u w:val="single"/>
          <w:lang w:eastAsia="bg-BG"/>
        </w:rPr>
        <w:t>АСЕИ или алискирен</w:t>
      </w:r>
    </w:p>
    <w:p w14:paraId="2A5A1CD6" w14:textId="77777777" w:rsidR="00735CBB" w:rsidRPr="00735CBB" w:rsidRDefault="00735CBB" w:rsidP="00735CBB">
      <w:pPr>
        <w:rPr>
          <w:rFonts w:eastAsia="Times New Roman" w:cs="Arial"/>
          <w:lang w:eastAsia="bg-BG"/>
        </w:rPr>
      </w:pPr>
      <w:r w:rsidRPr="00735CBB">
        <w:rPr>
          <w:rFonts w:eastAsia="Times New Roman" w:cs="Arial"/>
          <w:color w:val="000000"/>
          <w:lang w:eastAsia="bg-BG"/>
        </w:rPr>
        <w:t xml:space="preserve">Данни от клинични проучвания показват, че двойното блокиране на ренин ангиотензин- алдостероновата система (РААС) чрез комбинираната употреба на АСЕ инхибитори, ангиотензин </w:t>
      </w:r>
      <w:r w:rsidRPr="00735CBB">
        <w:rPr>
          <w:rFonts w:eastAsia="Times New Roman" w:cs="Arial"/>
          <w:color w:val="000000"/>
          <w:lang w:val="en-US"/>
        </w:rPr>
        <w:t>II</w:t>
      </w:r>
      <w:r w:rsidRPr="00735CBB">
        <w:rPr>
          <w:rFonts w:eastAsia="Times New Roman" w:cs="Arial"/>
          <w:color w:val="000000"/>
          <w:lang w:eastAsia="bg-BG"/>
        </w:rPr>
        <w:t>-рецепторни блокери или алискирен се свързва с по-висока честота на нежелани събития, като например хипотония, хиперкалиемия и намаляване на бъбречна функция</w:t>
      </w:r>
      <w:r w:rsidRPr="00735CBB">
        <w:rPr>
          <w:rFonts w:eastAsia="Times New Roman" w:cs="Arial"/>
          <w:color w:val="000000"/>
          <w:lang w:val="en-US" w:eastAsia="bg-BG"/>
        </w:rPr>
        <w:t xml:space="preserve"> </w:t>
      </w:r>
      <w:r w:rsidRPr="00735CBB">
        <w:rPr>
          <w:rFonts w:eastAsia="Times New Roman" w:cs="Arial"/>
          <w:color w:val="000000"/>
          <w:lang w:eastAsia="bg-BG"/>
        </w:rPr>
        <w:t>(включително остра бъбречна недостатъчност), в сравнение с употребата само на едно средство, действащо върху РААС (вж. точки 4.3, 4.4 и 5.1).</w:t>
      </w:r>
    </w:p>
    <w:p w14:paraId="57206CD8" w14:textId="77777777" w:rsidR="00735CBB" w:rsidRPr="00735CBB" w:rsidRDefault="00735CBB" w:rsidP="00735CBB">
      <w:pPr>
        <w:spacing w:line="240" w:lineRule="auto"/>
        <w:rPr>
          <w:rFonts w:eastAsia="Times New Roman" w:cs="Arial"/>
          <w:i/>
          <w:iCs/>
          <w:color w:val="000000"/>
          <w:u w:val="single"/>
          <w:lang w:eastAsia="bg-BG"/>
        </w:rPr>
      </w:pPr>
    </w:p>
    <w:p w14:paraId="5E110DB0" w14:textId="1AF8D56D" w:rsidR="00735CBB" w:rsidRPr="00735CBB" w:rsidRDefault="00735CBB" w:rsidP="00735CBB">
      <w:pPr>
        <w:spacing w:line="240" w:lineRule="auto"/>
        <w:rPr>
          <w:rFonts w:eastAsia="Times New Roman" w:cs="Arial"/>
          <w:lang w:eastAsia="bg-BG"/>
        </w:rPr>
      </w:pPr>
      <w:r w:rsidRPr="00735CBB">
        <w:rPr>
          <w:rFonts w:eastAsia="Times New Roman" w:cs="Arial"/>
          <w:i/>
          <w:iCs/>
          <w:color w:val="000000"/>
          <w:u w:val="single"/>
          <w:lang w:eastAsia="bg-BG"/>
        </w:rPr>
        <w:t>Не се препоръчва едновременна употреба</w:t>
      </w:r>
    </w:p>
    <w:p w14:paraId="1FF22AC0" w14:textId="77777777" w:rsidR="00735CBB" w:rsidRPr="00735CBB" w:rsidRDefault="00735CBB" w:rsidP="00735CBB">
      <w:pPr>
        <w:spacing w:line="240" w:lineRule="auto"/>
        <w:rPr>
          <w:rFonts w:eastAsia="Times New Roman" w:cs="Arial"/>
          <w:i/>
          <w:iCs/>
          <w:color w:val="000000"/>
          <w:lang w:eastAsia="bg-BG"/>
        </w:rPr>
      </w:pPr>
    </w:p>
    <w:p w14:paraId="4F4711DF" w14:textId="11FC87CB" w:rsidR="00735CBB" w:rsidRPr="00735CBB" w:rsidRDefault="00735CBB" w:rsidP="00735CBB">
      <w:pPr>
        <w:spacing w:line="240" w:lineRule="auto"/>
        <w:rPr>
          <w:rFonts w:eastAsia="Times New Roman" w:cs="Arial"/>
          <w:lang w:eastAsia="bg-BG"/>
        </w:rPr>
      </w:pPr>
      <w:r w:rsidRPr="00735CBB">
        <w:rPr>
          <w:rFonts w:eastAsia="Times New Roman" w:cs="Arial"/>
          <w:i/>
          <w:iCs/>
          <w:color w:val="000000"/>
          <w:lang w:eastAsia="bg-BG"/>
        </w:rPr>
        <w:t>Калий-съхраняващи диуретици, калиеви добавки, калий-съдържащи заместители на солта и други вещества, които могат да повишат нивата на калий</w:t>
      </w:r>
    </w:p>
    <w:p w14:paraId="7485784B" w14:textId="7777777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Препоръчва се проследяване плазмените нива на калий, ако се счита за необходимо приложението на лекарствен продукт, повлияващ нивата на калий, в комбинация с валсартан.</w:t>
      </w:r>
    </w:p>
    <w:p w14:paraId="5597ADDD" w14:textId="77777777" w:rsidR="00735CBB" w:rsidRPr="00735CBB" w:rsidRDefault="00735CBB" w:rsidP="00735CBB">
      <w:pPr>
        <w:spacing w:line="240" w:lineRule="auto"/>
        <w:rPr>
          <w:rFonts w:eastAsia="Times New Roman" w:cs="Arial"/>
          <w:i/>
          <w:iCs/>
          <w:color w:val="000000"/>
          <w:lang w:eastAsia="bg-BG"/>
        </w:rPr>
      </w:pPr>
    </w:p>
    <w:p w14:paraId="3F64BEBF" w14:textId="285EBD7A" w:rsidR="00735CBB" w:rsidRPr="00735CBB" w:rsidRDefault="00735CBB" w:rsidP="00735CBB">
      <w:pPr>
        <w:spacing w:line="240" w:lineRule="auto"/>
        <w:rPr>
          <w:rFonts w:eastAsia="Times New Roman" w:cs="Arial"/>
          <w:lang w:eastAsia="bg-BG"/>
        </w:rPr>
      </w:pPr>
      <w:r w:rsidRPr="00735CBB">
        <w:rPr>
          <w:rFonts w:eastAsia="Times New Roman" w:cs="Arial"/>
          <w:i/>
          <w:iCs/>
          <w:color w:val="000000"/>
          <w:lang w:eastAsia="bg-BG"/>
        </w:rPr>
        <w:t>Транспортери</w:t>
      </w:r>
    </w:p>
    <w:p w14:paraId="16F675A3" w14:textId="77777777" w:rsidR="00735CBB" w:rsidRPr="00735CBB" w:rsidRDefault="00735CBB" w:rsidP="00735CBB">
      <w:pPr>
        <w:spacing w:line="240" w:lineRule="auto"/>
        <w:rPr>
          <w:rFonts w:eastAsia="Times New Roman" w:cs="Arial"/>
          <w:lang w:eastAsia="bg-BG"/>
        </w:rPr>
      </w:pPr>
      <w:r w:rsidRPr="00735CBB">
        <w:rPr>
          <w:rFonts w:eastAsia="Times New Roman" w:cs="Arial"/>
          <w:i/>
          <w:iCs/>
          <w:color w:val="000000"/>
          <w:lang w:val="en-US"/>
        </w:rPr>
        <w:t>In vitro</w:t>
      </w:r>
      <w:r w:rsidRPr="00735CBB">
        <w:rPr>
          <w:rFonts w:eastAsia="Times New Roman" w:cs="Arial"/>
          <w:color w:val="000000"/>
          <w:lang w:val="en-US"/>
        </w:rPr>
        <w:t xml:space="preserve"> </w:t>
      </w:r>
      <w:r w:rsidRPr="00735CBB">
        <w:rPr>
          <w:rFonts w:eastAsia="Times New Roman" w:cs="Arial"/>
          <w:color w:val="000000"/>
          <w:lang w:eastAsia="bg-BG"/>
        </w:rPr>
        <w:t xml:space="preserve">данни показват, че валсартан е субстрат на транспортера за чернодробно захващане ОАТР1В1/ОАТР1ВЗ и на транспортера за чернодробен ефлукс - </w:t>
      </w:r>
      <w:r w:rsidRPr="00735CBB">
        <w:rPr>
          <w:rFonts w:eastAsia="Times New Roman" w:cs="Arial"/>
          <w:color w:val="000000"/>
          <w:lang w:val="en-US"/>
        </w:rPr>
        <w:t xml:space="preserve">MRP2. </w:t>
      </w:r>
      <w:r w:rsidRPr="00735CBB">
        <w:rPr>
          <w:rFonts w:eastAsia="Times New Roman" w:cs="Arial"/>
          <w:color w:val="000000"/>
          <w:lang w:eastAsia="bg-BG"/>
        </w:rPr>
        <w:t>Клиничното значение на тези данни не е известно. Едновременното приложение на инхибитори на транспортерите за захващане (напр. рифампин, циклоспорин) или на транспортерите за ефлукс (напр. ритонавир) може да повиши системната експозиция на валсартан. При започване или прекратяване на съпътстващо лечение с такива лекарства се изискват подходящи интензивни грижи.</w:t>
      </w:r>
    </w:p>
    <w:p w14:paraId="0E0B99D2" w14:textId="77777777" w:rsidR="00735CBB" w:rsidRPr="00735CBB" w:rsidRDefault="00735CBB" w:rsidP="00735CBB">
      <w:pPr>
        <w:spacing w:line="240" w:lineRule="auto"/>
        <w:rPr>
          <w:rFonts w:eastAsia="Times New Roman" w:cs="Arial"/>
          <w:i/>
          <w:iCs/>
          <w:color w:val="000000"/>
          <w:lang w:eastAsia="bg-BG"/>
        </w:rPr>
      </w:pPr>
    </w:p>
    <w:p w14:paraId="080BB64D" w14:textId="36F5C822" w:rsidR="00735CBB" w:rsidRPr="00735CBB" w:rsidRDefault="00735CBB" w:rsidP="00735CBB">
      <w:pPr>
        <w:spacing w:line="240" w:lineRule="auto"/>
        <w:rPr>
          <w:rFonts w:eastAsia="Times New Roman" w:cs="Arial"/>
          <w:lang w:eastAsia="bg-BG"/>
        </w:rPr>
      </w:pPr>
      <w:r w:rsidRPr="00735CBB">
        <w:rPr>
          <w:rFonts w:eastAsia="Times New Roman" w:cs="Arial"/>
          <w:i/>
          <w:iCs/>
          <w:color w:val="000000"/>
          <w:lang w:eastAsia="bg-BG"/>
        </w:rPr>
        <w:t>Няма взаимодействие</w:t>
      </w:r>
    </w:p>
    <w:p w14:paraId="445D5168" w14:textId="7777777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При проучвания за лекарствени взаимодействия с валсартан, не са установени клинично значими взаимодействия с валсартан или някое от следните вещества: циметидин, варфарин, фуроземид, дигоксин, атенолол, индометацин, хидрохлоротиазид, амлодипин, глибенкламид. Дигоксин и индометацин могат да взаимодействат с хидрохлоротиазидната компонента на Валтензин Плюс (вж. взаимодействия, свързани с хидрохлоротиазид).</w:t>
      </w:r>
    </w:p>
    <w:p w14:paraId="45F5B8E5" w14:textId="77777777" w:rsidR="00735CBB" w:rsidRPr="00735CBB" w:rsidRDefault="00735CBB" w:rsidP="00735CBB">
      <w:pPr>
        <w:spacing w:line="240" w:lineRule="auto"/>
        <w:rPr>
          <w:rFonts w:eastAsia="Times New Roman" w:cs="Arial"/>
          <w:color w:val="000000"/>
          <w:u w:val="single"/>
          <w:lang w:eastAsia="bg-BG"/>
        </w:rPr>
      </w:pPr>
    </w:p>
    <w:p w14:paraId="4B08EDC7" w14:textId="6E18BC1E" w:rsidR="00735CBB" w:rsidRPr="00735CBB" w:rsidRDefault="00735CBB" w:rsidP="00735CBB">
      <w:pPr>
        <w:spacing w:line="240" w:lineRule="auto"/>
        <w:rPr>
          <w:rFonts w:eastAsia="Times New Roman" w:cs="Arial"/>
          <w:lang w:eastAsia="bg-BG"/>
        </w:rPr>
      </w:pPr>
      <w:r w:rsidRPr="00735CBB">
        <w:rPr>
          <w:rFonts w:eastAsia="Times New Roman" w:cs="Arial"/>
          <w:color w:val="000000"/>
          <w:u w:val="single"/>
          <w:lang w:eastAsia="bg-BG"/>
        </w:rPr>
        <w:t>Взаимодействия, свързани с хидрохлоротиазид</w:t>
      </w:r>
    </w:p>
    <w:p w14:paraId="1852B2DC" w14:textId="77777777" w:rsidR="00735CBB" w:rsidRPr="00735CBB" w:rsidRDefault="00735CBB" w:rsidP="00735CBB">
      <w:pPr>
        <w:spacing w:line="240" w:lineRule="auto"/>
        <w:rPr>
          <w:rFonts w:eastAsia="Times New Roman" w:cs="Arial"/>
          <w:i/>
          <w:iCs/>
          <w:color w:val="000000"/>
          <w:u w:val="single"/>
          <w:lang w:eastAsia="bg-BG"/>
        </w:rPr>
      </w:pPr>
    </w:p>
    <w:p w14:paraId="3096D3D2" w14:textId="7EC2F58A" w:rsidR="00735CBB" w:rsidRPr="00735CBB" w:rsidRDefault="00735CBB" w:rsidP="00735CBB">
      <w:pPr>
        <w:spacing w:line="240" w:lineRule="auto"/>
        <w:rPr>
          <w:rFonts w:eastAsia="Times New Roman" w:cs="Arial"/>
          <w:lang w:eastAsia="bg-BG"/>
        </w:rPr>
      </w:pPr>
      <w:r w:rsidRPr="00735CBB">
        <w:rPr>
          <w:rFonts w:eastAsia="Times New Roman" w:cs="Arial"/>
          <w:i/>
          <w:iCs/>
          <w:color w:val="000000"/>
          <w:u w:val="single"/>
          <w:lang w:eastAsia="bg-BG"/>
        </w:rPr>
        <w:t>Едновременна употреба, изискваща повишено внимание</w:t>
      </w:r>
    </w:p>
    <w:p w14:paraId="384FE600" w14:textId="77777777" w:rsidR="00735CBB" w:rsidRPr="00735CBB" w:rsidRDefault="00735CBB" w:rsidP="00735CBB">
      <w:pPr>
        <w:spacing w:line="240" w:lineRule="auto"/>
        <w:rPr>
          <w:rFonts w:eastAsia="Times New Roman" w:cs="Arial"/>
          <w:i/>
          <w:iCs/>
          <w:color w:val="000000"/>
          <w:lang w:eastAsia="bg-BG"/>
        </w:rPr>
      </w:pPr>
    </w:p>
    <w:p w14:paraId="2548E1AD" w14:textId="37A461FD" w:rsidR="00735CBB" w:rsidRPr="00735CBB" w:rsidRDefault="00735CBB" w:rsidP="00735CBB">
      <w:pPr>
        <w:spacing w:line="240" w:lineRule="auto"/>
        <w:rPr>
          <w:rFonts w:eastAsia="Times New Roman" w:cs="Arial"/>
          <w:lang w:eastAsia="bg-BG"/>
        </w:rPr>
      </w:pPr>
      <w:r w:rsidRPr="00735CBB">
        <w:rPr>
          <w:rFonts w:eastAsia="Times New Roman" w:cs="Arial"/>
          <w:i/>
          <w:iCs/>
          <w:color w:val="000000"/>
          <w:lang w:eastAsia="bg-BG"/>
        </w:rPr>
        <w:t>Лекарствени продукти, оказващи влияние върху серумните нива на калий</w:t>
      </w:r>
    </w:p>
    <w:p w14:paraId="78068123" w14:textId="7777777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 xml:space="preserve">Хипокалиемичният ефект на хидрохлоротиазид може да се повиши при едновременната употреба на калиуретични диуретици, кортикостероиди, лаксативи, АСТН, амфотерицин, карбеноксолон, пеницилин </w:t>
      </w:r>
      <w:r w:rsidRPr="00735CBB">
        <w:rPr>
          <w:rFonts w:eastAsia="Times New Roman" w:cs="Arial"/>
          <w:color w:val="000000"/>
          <w:lang w:val="en-US"/>
        </w:rPr>
        <w:t xml:space="preserve">G, </w:t>
      </w:r>
      <w:r w:rsidRPr="00735CBB">
        <w:rPr>
          <w:rFonts w:eastAsia="Times New Roman" w:cs="Arial"/>
          <w:color w:val="000000"/>
          <w:lang w:eastAsia="bg-BG"/>
        </w:rPr>
        <w:t>салицилова киселина и производните й.</w:t>
      </w:r>
    </w:p>
    <w:p w14:paraId="2C950D02" w14:textId="7777777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Ако е необходимо предписването на тези лекарствени продукти едновременно с комбинацията хидрохлоротиазид-валсартан се препоръчва мониториране на плазмените концентрации на калия (вж. точка 4.4).</w:t>
      </w:r>
    </w:p>
    <w:p w14:paraId="244138A9" w14:textId="77777777" w:rsidR="00735CBB" w:rsidRPr="00735CBB" w:rsidRDefault="00735CBB" w:rsidP="00735CBB">
      <w:pPr>
        <w:spacing w:line="240" w:lineRule="auto"/>
        <w:rPr>
          <w:rFonts w:eastAsia="Times New Roman" w:cs="Arial"/>
          <w:i/>
          <w:iCs/>
          <w:color w:val="000000"/>
          <w:lang w:eastAsia="bg-BG"/>
        </w:rPr>
      </w:pPr>
    </w:p>
    <w:p w14:paraId="6D20D1C7" w14:textId="6C376597" w:rsidR="00735CBB" w:rsidRPr="00735CBB" w:rsidRDefault="00735CBB" w:rsidP="00735CBB">
      <w:pPr>
        <w:spacing w:line="240" w:lineRule="auto"/>
        <w:rPr>
          <w:rFonts w:eastAsia="Times New Roman" w:cs="Arial"/>
          <w:lang w:eastAsia="bg-BG"/>
        </w:rPr>
      </w:pPr>
      <w:r w:rsidRPr="00735CBB">
        <w:rPr>
          <w:rFonts w:eastAsia="Times New Roman" w:cs="Arial"/>
          <w:i/>
          <w:iCs/>
          <w:color w:val="000000"/>
          <w:lang w:eastAsia="bg-BG"/>
        </w:rPr>
        <w:t xml:space="preserve">Лекарствени продукти, които могат да предизвикат </w:t>
      </w:r>
      <w:proofErr w:type="spellStart"/>
      <w:r w:rsidRPr="00735CBB">
        <w:rPr>
          <w:rFonts w:eastAsia="Times New Roman" w:cs="Arial"/>
          <w:i/>
          <w:iCs/>
          <w:color w:val="000000"/>
          <w:lang w:val="en-US"/>
        </w:rPr>
        <w:t>torsades</w:t>
      </w:r>
      <w:proofErr w:type="spellEnd"/>
      <w:r w:rsidRPr="00735CBB">
        <w:rPr>
          <w:rFonts w:eastAsia="Times New Roman" w:cs="Arial"/>
          <w:i/>
          <w:iCs/>
          <w:color w:val="000000"/>
          <w:lang w:val="en-US"/>
        </w:rPr>
        <w:t xml:space="preserve"> de pointes</w:t>
      </w:r>
    </w:p>
    <w:p w14:paraId="1F1CA725" w14:textId="7777777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 xml:space="preserve">Поради риска от хипокалиемия, хидрохлоротиазид трябва да се прилага с повишено внимание, когато е в комбинация с лекарствени продукти, които могат да предизвикат </w:t>
      </w:r>
      <w:proofErr w:type="spellStart"/>
      <w:r w:rsidRPr="00735CBB">
        <w:rPr>
          <w:rFonts w:eastAsia="Times New Roman" w:cs="Arial"/>
          <w:i/>
          <w:iCs/>
          <w:color w:val="000000"/>
          <w:lang w:val="en-US"/>
        </w:rPr>
        <w:t>torsades</w:t>
      </w:r>
      <w:proofErr w:type="spellEnd"/>
      <w:r w:rsidRPr="00735CBB">
        <w:rPr>
          <w:rFonts w:eastAsia="Times New Roman" w:cs="Arial"/>
          <w:i/>
          <w:iCs/>
          <w:color w:val="000000"/>
          <w:lang w:val="en-US"/>
        </w:rPr>
        <w:t xml:space="preserve"> de pointes, </w:t>
      </w:r>
      <w:r w:rsidRPr="00735CBB">
        <w:rPr>
          <w:rFonts w:eastAsia="Times New Roman" w:cs="Arial"/>
          <w:color w:val="000000"/>
          <w:lang w:eastAsia="bg-BG"/>
        </w:rPr>
        <w:t xml:space="preserve">по-специално клас </w:t>
      </w:r>
      <w:proofErr w:type="spellStart"/>
      <w:r w:rsidRPr="00735CBB">
        <w:rPr>
          <w:rFonts w:eastAsia="Times New Roman" w:cs="Arial"/>
          <w:color w:val="000000"/>
          <w:lang w:val="en-US"/>
        </w:rPr>
        <w:t>Ia</w:t>
      </w:r>
      <w:proofErr w:type="spellEnd"/>
      <w:r w:rsidRPr="00735CBB">
        <w:rPr>
          <w:rFonts w:eastAsia="Times New Roman" w:cs="Arial"/>
          <w:color w:val="000000"/>
          <w:lang w:val="en-US"/>
        </w:rPr>
        <w:t xml:space="preserve"> </w:t>
      </w:r>
      <w:r w:rsidRPr="00735CBB">
        <w:rPr>
          <w:rFonts w:eastAsia="Times New Roman" w:cs="Arial"/>
          <w:color w:val="000000"/>
          <w:lang w:eastAsia="bg-BG"/>
        </w:rPr>
        <w:t xml:space="preserve">и клас </w:t>
      </w:r>
      <w:r w:rsidRPr="00735CBB">
        <w:rPr>
          <w:rFonts w:eastAsia="Times New Roman" w:cs="Arial"/>
          <w:color w:val="000000"/>
          <w:lang w:val="en-US"/>
        </w:rPr>
        <w:t>III</w:t>
      </w:r>
      <w:r w:rsidRPr="00735CBB">
        <w:rPr>
          <w:rFonts w:eastAsia="Times New Roman" w:cs="Arial"/>
          <w:color w:val="000000"/>
          <w:lang w:eastAsia="bg-BG"/>
        </w:rPr>
        <w:t xml:space="preserve"> антиаритмици и някои антипсихотици.</w:t>
      </w:r>
    </w:p>
    <w:p w14:paraId="6C14E398" w14:textId="77777777" w:rsidR="00735CBB" w:rsidRPr="00735CBB" w:rsidRDefault="00735CBB" w:rsidP="00735CBB">
      <w:pPr>
        <w:spacing w:line="240" w:lineRule="auto"/>
        <w:rPr>
          <w:rFonts w:eastAsia="Times New Roman" w:cs="Arial"/>
          <w:i/>
          <w:iCs/>
          <w:color w:val="000000"/>
          <w:lang w:eastAsia="bg-BG"/>
        </w:rPr>
      </w:pPr>
    </w:p>
    <w:p w14:paraId="03A5D4B8" w14:textId="0BDE594F" w:rsidR="00735CBB" w:rsidRPr="00735CBB" w:rsidRDefault="00735CBB" w:rsidP="00735CBB">
      <w:pPr>
        <w:spacing w:line="240" w:lineRule="auto"/>
        <w:rPr>
          <w:rFonts w:eastAsia="Times New Roman" w:cs="Arial"/>
          <w:color w:val="000000"/>
          <w:lang w:eastAsia="bg-BG"/>
        </w:rPr>
      </w:pPr>
      <w:r w:rsidRPr="00735CBB">
        <w:rPr>
          <w:rFonts w:eastAsia="Times New Roman" w:cs="Arial"/>
          <w:i/>
          <w:iCs/>
          <w:color w:val="000000"/>
          <w:lang w:eastAsia="bg-BG"/>
        </w:rPr>
        <w:t xml:space="preserve">Лекарствени продукти, оказващи влияние върху серумните стойности на натрия </w:t>
      </w:r>
      <w:r w:rsidRPr="00735CBB">
        <w:rPr>
          <w:rFonts w:eastAsia="Times New Roman" w:cs="Arial"/>
          <w:color w:val="000000"/>
          <w:lang w:eastAsia="bg-BG"/>
        </w:rPr>
        <w:t xml:space="preserve">Хипонатриемичният </w:t>
      </w:r>
    </w:p>
    <w:p w14:paraId="294506FE" w14:textId="752766F6"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ефект на диуретиците може да се засили при едновременно приложение с лекарства, като антидепресанти, антипсихотици, антиепилептици и др. При продължително приложение на тези лекарства се изисква повишено внимание.</w:t>
      </w:r>
    </w:p>
    <w:p w14:paraId="68C967D4" w14:textId="77777777" w:rsidR="00735CBB" w:rsidRPr="00735CBB" w:rsidRDefault="00735CBB" w:rsidP="00735CBB">
      <w:pPr>
        <w:spacing w:line="240" w:lineRule="auto"/>
        <w:rPr>
          <w:rFonts w:eastAsia="Times New Roman" w:cs="Arial"/>
          <w:i/>
          <w:iCs/>
          <w:color w:val="000000"/>
          <w:lang w:eastAsia="bg-BG"/>
        </w:rPr>
      </w:pPr>
    </w:p>
    <w:p w14:paraId="5829FBDD" w14:textId="786C2B63" w:rsidR="00735CBB" w:rsidRPr="00735CBB" w:rsidRDefault="00735CBB" w:rsidP="00735CBB">
      <w:pPr>
        <w:spacing w:line="240" w:lineRule="auto"/>
        <w:rPr>
          <w:rFonts w:eastAsia="Times New Roman" w:cs="Arial"/>
          <w:lang w:eastAsia="bg-BG"/>
        </w:rPr>
      </w:pPr>
      <w:r w:rsidRPr="00735CBB">
        <w:rPr>
          <w:rFonts w:eastAsia="Times New Roman" w:cs="Arial"/>
          <w:i/>
          <w:iCs/>
          <w:color w:val="000000"/>
          <w:lang w:eastAsia="bg-BG"/>
        </w:rPr>
        <w:t>Дигиталисови гликозиди</w:t>
      </w:r>
    </w:p>
    <w:p w14:paraId="5DB032F6" w14:textId="7777777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Тиазид-индуцирана хипокалиемия или хипомагнезиемия могат да се изявят като нежелани реакции, улесняващи началото на дигиталис-индуцирани сърдечни аритмии (вж. точка 4.4).</w:t>
      </w:r>
    </w:p>
    <w:p w14:paraId="6CA489F7" w14:textId="77777777" w:rsidR="00735CBB" w:rsidRPr="00735CBB" w:rsidRDefault="00735CBB" w:rsidP="00735CBB">
      <w:pPr>
        <w:spacing w:line="240" w:lineRule="auto"/>
        <w:rPr>
          <w:rFonts w:eastAsia="Times New Roman" w:cs="Arial"/>
          <w:i/>
          <w:iCs/>
          <w:color w:val="000000"/>
          <w:lang w:eastAsia="bg-BG"/>
        </w:rPr>
      </w:pPr>
    </w:p>
    <w:p w14:paraId="4B9FF3DD" w14:textId="11A11B64" w:rsidR="00735CBB" w:rsidRPr="00735CBB" w:rsidRDefault="00735CBB" w:rsidP="00735CBB">
      <w:pPr>
        <w:spacing w:line="240" w:lineRule="auto"/>
        <w:rPr>
          <w:rFonts w:eastAsia="Times New Roman" w:cs="Arial"/>
          <w:lang w:eastAsia="bg-BG"/>
        </w:rPr>
      </w:pPr>
      <w:r w:rsidRPr="00735CBB">
        <w:rPr>
          <w:rFonts w:eastAsia="Times New Roman" w:cs="Arial"/>
          <w:i/>
          <w:iCs/>
          <w:color w:val="000000"/>
          <w:lang w:eastAsia="bg-BG"/>
        </w:rPr>
        <w:t xml:space="preserve">Калциеви соли и витамин </w:t>
      </w:r>
      <w:r w:rsidRPr="00735CBB">
        <w:rPr>
          <w:rFonts w:eastAsia="Times New Roman" w:cs="Arial"/>
          <w:i/>
          <w:iCs/>
          <w:color w:val="000000"/>
          <w:lang w:val="en-US"/>
        </w:rPr>
        <w:t>D</w:t>
      </w:r>
    </w:p>
    <w:p w14:paraId="281712FC" w14:textId="77777777" w:rsidR="00735CBB" w:rsidRPr="00735CBB" w:rsidRDefault="00735CBB" w:rsidP="00735CBB">
      <w:pPr>
        <w:rPr>
          <w:rFonts w:eastAsia="Times New Roman" w:cs="Arial"/>
          <w:lang w:eastAsia="bg-BG"/>
        </w:rPr>
      </w:pPr>
      <w:r w:rsidRPr="00735CBB">
        <w:rPr>
          <w:rFonts w:eastAsia="Times New Roman" w:cs="Arial"/>
          <w:color w:val="000000"/>
          <w:lang w:eastAsia="bg-BG"/>
        </w:rPr>
        <w:t xml:space="preserve">Приложението на тиазидни диуретици, включително хидрохлоротиазид, с витамин </w:t>
      </w:r>
      <w:r w:rsidRPr="00735CBB">
        <w:rPr>
          <w:rFonts w:eastAsia="Times New Roman" w:cs="Arial"/>
          <w:color w:val="000000"/>
          <w:lang w:val="en-US"/>
        </w:rPr>
        <w:t xml:space="preserve">D </w:t>
      </w:r>
      <w:r w:rsidRPr="00735CBB">
        <w:rPr>
          <w:rFonts w:eastAsia="Times New Roman" w:cs="Arial"/>
          <w:color w:val="000000"/>
          <w:lang w:eastAsia="bg-BG"/>
        </w:rPr>
        <w:t>или с калциеви соли може да потенцира покачването на серумния калций. Едновременното приложение на тиазидни диуретици с калциеви соли може да причини хиперкалциемия при предразположени към хиперкалциемия пациенти (напр. с хиперпаратиреоидизъм, малигнени</w:t>
      </w:r>
      <w:r w:rsidRPr="00735CBB">
        <w:rPr>
          <w:rFonts w:eastAsia="Times New Roman" w:cs="Arial"/>
          <w:color w:val="000000"/>
          <w:lang w:val="en-US" w:eastAsia="bg-BG"/>
        </w:rPr>
        <w:t xml:space="preserve"> </w:t>
      </w:r>
      <w:r w:rsidRPr="00735CBB">
        <w:rPr>
          <w:rFonts w:eastAsia="Times New Roman" w:cs="Arial"/>
          <w:color w:val="000000"/>
          <w:lang w:eastAsia="bg-BG"/>
        </w:rPr>
        <w:t xml:space="preserve">заболявалия или витамин </w:t>
      </w:r>
      <w:r w:rsidRPr="00735CBB">
        <w:rPr>
          <w:rFonts w:eastAsia="Times New Roman" w:cs="Arial"/>
          <w:i/>
          <w:iCs/>
          <w:color w:val="000000"/>
          <w:lang w:val="en-US"/>
        </w:rPr>
        <w:t>D</w:t>
      </w:r>
      <w:r w:rsidRPr="00735CBB">
        <w:rPr>
          <w:rFonts w:eastAsia="Times New Roman" w:cs="Arial"/>
          <w:color w:val="000000"/>
          <w:lang w:val="en-US"/>
        </w:rPr>
        <w:t xml:space="preserve"> </w:t>
      </w:r>
      <w:r w:rsidRPr="00735CBB">
        <w:rPr>
          <w:rFonts w:eastAsia="Times New Roman" w:cs="Arial"/>
          <w:color w:val="000000"/>
          <w:lang w:eastAsia="bg-BG"/>
        </w:rPr>
        <w:t>опосредствани състояния) чрез повишаване на тубулната калциева реабсорбция.</w:t>
      </w:r>
    </w:p>
    <w:p w14:paraId="304D568F" w14:textId="77777777" w:rsidR="00735CBB" w:rsidRPr="00735CBB" w:rsidRDefault="00735CBB" w:rsidP="00735CBB">
      <w:pPr>
        <w:spacing w:line="240" w:lineRule="auto"/>
        <w:rPr>
          <w:rFonts w:eastAsia="Times New Roman" w:cs="Arial"/>
          <w:i/>
          <w:iCs/>
          <w:color w:val="000000"/>
          <w:lang w:eastAsia="bg-BG"/>
        </w:rPr>
      </w:pPr>
    </w:p>
    <w:p w14:paraId="184018C7" w14:textId="3FE0DB64" w:rsidR="00735CBB" w:rsidRPr="00735CBB" w:rsidRDefault="00735CBB" w:rsidP="00735CBB">
      <w:pPr>
        <w:spacing w:line="240" w:lineRule="auto"/>
        <w:rPr>
          <w:rFonts w:eastAsia="Times New Roman" w:cs="Arial"/>
          <w:lang w:eastAsia="bg-BG"/>
        </w:rPr>
      </w:pPr>
      <w:r w:rsidRPr="00735CBB">
        <w:rPr>
          <w:rFonts w:eastAsia="Times New Roman" w:cs="Arial"/>
          <w:i/>
          <w:iCs/>
          <w:color w:val="000000"/>
          <w:lang w:eastAsia="bg-BG"/>
        </w:rPr>
        <w:t>Антидиабетни средства</w:t>
      </w:r>
      <w:r w:rsidRPr="00735CBB">
        <w:rPr>
          <w:rFonts w:eastAsia="Times New Roman" w:cs="Arial"/>
          <w:color w:val="000000"/>
          <w:lang w:eastAsia="bg-BG"/>
        </w:rPr>
        <w:t xml:space="preserve"> (перорални средства и инсулин)</w:t>
      </w:r>
    </w:p>
    <w:p w14:paraId="6E034BDA" w14:textId="7777777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Тиазидните диуретици могат да променят поносимостга към глюкоза. Може да се наложи корекция на дозата на антидиабетния лекарствен продукт.</w:t>
      </w:r>
    </w:p>
    <w:p w14:paraId="0F81E7EE" w14:textId="7777777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Метформин трябва да се използва с повишено внимание, поради риска от лактатна ацидоза, индуцирана от възможна функционална бъбречна недостатъчност, свързана с хидрохлоротиазид.</w:t>
      </w:r>
    </w:p>
    <w:p w14:paraId="38BC11F5" w14:textId="77777777" w:rsidR="00735CBB" w:rsidRPr="00735CBB" w:rsidRDefault="00735CBB" w:rsidP="00735CBB">
      <w:pPr>
        <w:spacing w:line="240" w:lineRule="auto"/>
        <w:rPr>
          <w:rFonts w:eastAsia="Times New Roman" w:cs="Arial"/>
          <w:i/>
          <w:iCs/>
          <w:color w:val="000000"/>
          <w:lang w:eastAsia="bg-BG"/>
        </w:rPr>
      </w:pPr>
    </w:p>
    <w:p w14:paraId="05AB4126" w14:textId="21FE6D83" w:rsidR="00735CBB" w:rsidRPr="00735CBB" w:rsidRDefault="00735CBB" w:rsidP="00735CBB">
      <w:pPr>
        <w:spacing w:line="240" w:lineRule="auto"/>
        <w:rPr>
          <w:rFonts w:eastAsia="Times New Roman" w:cs="Arial"/>
          <w:lang w:eastAsia="bg-BG"/>
        </w:rPr>
      </w:pPr>
      <w:r w:rsidRPr="00735CBB">
        <w:rPr>
          <w:rFonts w:eastAsia="Times New Roman" w:cs="Arial"/>
          <w:i/>
          <w:iCs/>
          <w:color w:val="000000"/>
          <w:lang w:eastAsia="bg-BG"/>
        </w:rPr>
        <w:t>Бета-блокери и диазоксид</w:t>
      </w:r>
    </w:p>
    <w:p w14:paraId="15EEFE50" w14:textId="7777777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Едновременното приложение на тиазидни диуретици, включително хидрохлоротиазид с бета- блокери може да повиши риска от хипергликемия. Тиазидните диуретици, включително хидрохлоротиазид могат да усилят хипергликемичния ефект на диазоксид.</w:t>
      </w:r>
    </w:p>
    <w:p w14:paraId="581D7B53" w14:textId="77777777" w:rsidR="00735CBB" w:rsidRPr="00735CBB" w:rsidRDefault="00735CBB" w:rsidP="00735CBB">
      <w:pPr>
        <w:spacing w:line="240" w:lineRule="auto"/>
        <w:rPr>
          <w:rFonts w:eastAsia="Times New Roman" w:cs="Arial"/>
          <w:i/>
          <w:iCs/>
          <w:color w:val="000000"/>
          <w:lang w:eastAsia="bg-BG"/>
        </w:rPr>
      </w:pPr>
    </w:p>
    <w:p w14:paraId="0C9EFCB0" w14:textId="73A33B0E" w:rsidR="00735CBB" w:rsidRPr="00735CBB" w:rsidRDefault="00735CBB" w:rsidP="00735CBB">
      <w:pPr>
        <w:spacing w:line="240" w:lineRule="auto"/>
        <w:rPr>
          <w:rFonts w:eastAsia="Times New Roman" w:cs="Arial"/>
          <w:lang w:eastAsia="bg-BG"/>
        </w:rPr>
      </w:pPr>
      <w:r w:rsidRPr="00735CBB">
        <w:rPr>
          <w:rFonts w:eastAsia="Times New Roman" w:cs="Arial"/>
          <w:i/>
          <w:iCs/>
          <w:color w:val="000000"/>
          <w:lang w:eastAsia="bg-BG"/>
        </w:rPr>
        <w:t>Лекарствени продукти, използвани в лечението на подагра</w:t>
      </w:r>
      <w:r w:rsidRPr="00735CBB">
        <w:rPr>
          <w:rFonts w:eastAsia="Times New Roman" w:cs="Arial"/>
          <w:color w:val="000000"/>
          <w:lang w:eastAsia="bg-BG"/>
        </w:rPr>
        <w:t xml:space="preserve"> (пробенецид, сулфинпиразон и алопуринол)</w:t>
      </w:r>
    </w:p>
    <w:p w14:paraId="4A509333" w14:textId="2209B5E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Възможно е да се наложи коригиране на дозата на урикозуричните средства, тъй като хидрохлоротиазид може да повиши стойностите на пикочна киселина в серума. Може да се наложи повишаване на дозата на пробенецид или сулфинпиразон. Едновременното прилагане на тиазидни диуретици, включително хидрохлоротиазид, може да увеличи честотата на реакциите на свръхчувствителност спрямо алопуринол.</w:t>
      </w:r>
    </w:p>
    <w:p w14:paraId="1C732E80" w14:textId="77777777" w:rsidR="00735CBB" w:rsidRPr="00735CBB" w:rsidRDefault="00735CBB" w:rsidP="00735CBB">
      <w:pPr>
        <w:spacing w:line="240" w:lineRule="auto"/>
        <w:rPr>
          <w:rFonts w:eastAsia="Times New Roman" w:cs="Arial"/>
          <w:i/>
          <w:iCs/>
          <w:color w:val="000000"/>
          <w:lang w:eastAsia="bg-BG"/>
        </w:rPr>
      </w:pPr>
    </w:p>
    <w:p w14:paraId="6E4961A1" w14:textId="103355E7" w:rsidR="00735CBB" w:rsidRPr="00735CBB" w:rsidRDefault="00735CBB" w:rsidP="00735CBB">
      <w:pPr>
        <w:spacing w:line="240" w:lineRule="auto"/>
        <w:rPr>
          <w:rFonts w:eastAsia="Times New Roman" w:cs="Arial"/>
          <w:i/>
          <w:iCs/>
          <w:color w:val="000000"/>
          <w:lang w:eastAsia="bg-BG"/>
        </w:rPr>
      </w:pPr>
      <w:r w:rsidRPr="00735CBB">
        <w:rPr>
          <w:rFonts w:eastAsia="Times New Roman" w:cs="Arial"/>
          <w:i/>
          <w:iCs/>
          <w:color w:val="000000"/>
          <w:lang w:eastAsia="bg-BG"/>
        </w:rPr>
        <w:t xml:space="preserve">Антихолинергични средства и други лекарствени продукти, оказващи влияние върху стомашния </w:t>
      </w:r>
    </w:p>
    <w:p w14:paraId="102BEC43" w14:textId="7E110713" w:rsidR="00735CBB" w:rsidRPr="00735CBB" w:rsidRDefault="00735CBB" w:rsidP="00735CBB">
      <w:pPr>
        <w:spacing w:line="240" w:lineRule="auto"/>
        <w:rPr>
          <w:rFonts w:eastAsia="Times New Roman" w:cs="Arial"/>
          <w:lang w:eastAsia="bg-BG"/>
        </w:rPr>
      </w:pPr>
      <w:r w:rsidRPr="00735CBB">
        <w:rPr>
          <w:rFonts w:eastAsia="Times New Roman" w:cs="Arial"/>
          <w:i/>
          <w:iCs/>
          <w:color w:val="000000"/>
          <w:lang w:eastAsia="bg-BG"/>
        </w:rPr>
        <w:t>мотилитет</w:t>
      </w:r>
    </w:p>
    <w:p w14:paraId="00138CED" w14:textId="7777777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Бионаличността на диуретиците от тиазиден тип може да се увеличи от антихолинергични лекарствени продукти (напр. атропин, бипериден), очевидно поради намаляване на мотилитета на стомашно-чревния тракт и скоростта на изпразване на стомаха. От друга страна, се очаква, че прокинетични лекарства, като цизапрцд могат да понижат бионаличността на тиазидните диуретици.</w:t>
      </w:r>
    </w:p>
    <w:p w14:paraId="64892CDC" w14:textId="77777777" w:rsidR="00735CBB" w:rsidRPr="00735CBB" w:rsidRDefault="00735CBB" w:rsidP="00735CBB">
      <w:pPr>
        <w:spacing w:line="240" w:lineRule="auto"/>
        <w:rPr>
          <w:rFonts w:eastAsia="Times New Roman" w:cs="Arial"/>
          <w:i/>
          <w:iCs/>
          <w:color w:val="000000"/>
          <w:lang w:eastAsia="bg-BG"/>
        </w:rPr>
      </w:pPr>
    </w:p>
    <w:p w14:paraId="091217A0" w14:textId="09CBA518" w:rsidR="00735CBB" w:rsidRPr="00735CBB" w:rsidRDefault="00735CBB" w:rsidP="00735CBB">
      <w:pPr>
        <w:spacing w:line="240" w:lineRule="auto"/>
        <w:rPr>
          <w:rFonts w:eastAsia="Times New Roman" w:cs="Arial"/>
          <w:lang w:eastAsia="bg-BG"/>
        </w:rPr>
      </w:pPr>
      <w:r w:rsidRPr="00735CBB">
        <w:rPr>
          <w:rFonts w:eastAsia="Times New Roman" w:cs="Arial"/>
          <w:i/>
          <w:iCs/>
          <w:color w:val="000000"/>
          <w:lang w:eastAsia="bg-BG"/>
        </w:rPr>
        <w:t>Амантадин</w:t>
      </w:r>
    </w:p>
    <w:p w14:paraId="1620F918" w14:textId="7777777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lastRenderedPageBreak/>
        <w:t>Тиазидите, включително хидрохлоротиазид, могат да повишат риска от нежелани реакции, причинени от амантадин.</w:t>
      </w:r>
    </w:p>
    <w:p w14:paraId="521B56F7" w14:textId="77777777" w:rsidR="00735CBB" w:rsidRPr="00735CBB" w:rsidRDefault="00735CBB" w:rsidP="00735CBB">
      <w:pPr>
        <w:spacing w:line="240" w:lineRule="auto"/>
        <w:rPr>
          <w:rFonts w:eastAsia="Times New Roman" w:cs="Arial"/>
          <w:i/>
          <w:iCs/>
          <w:color w:val="000000"/>
          <w:lang w:eastAsia="bg-BG"/>
        </w:rPr>
      </w:pPr>
    </w:p>
    <w:p w14:paraId="0A00D60C" w14:textId="7D8AD507" w:rsidR="00735CBB" w:rsidRPr="00735CBB" w:rsidRDefault="00735CBB" w:rsidP="00735CBB">
      <w:pPr>
        <w:spacing w:line="240" w:lineRule="auto"/>
        <w:rPr>
          <w:rFonts w:eastAsia="Times New Roman" w:cs="Arial"/>
          <w:lang w:eastAsia="bg-BG"/>
        </w:rPr>
      </w:pPr>
      <w:r w:rsidRPr="00735CBB">
        <w:rPr>
          <w:rFonts w:eastAsia="Times New Roman" w:cs="Arial"/>
          <w:i/>
          <w:iCs/>
          <w:color w:val="000000"/>
          <w:lang w:eastAsia="bg-BG"/>
        </w:rPr>
        <w:t>Йоннообменни смоли</w:t>
      </w:r>
    </w:p>
    <w:p w14:paraId="5D2040D9" w14:textId="7777777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Абсорбцията на тиазидните диуретици, включително хидрохлоротиазид, се намалява от холестирамин и колестипол. Това може да доведе до субтерапевтични ефекти на тиазидните диуретици. Обаче, разпределянето на дозата хидрохлоротиазид и смола така, че хидрохлоротиазид да се прилага поне 4 часа преди или 4-6 часа след приложението на смолите, може да минимизира взаимодействието.</w:t>
      </w:r>
    </w:p>
    <w:p w14:paraId="3649DBF3" w14:textId="77777777" w:rsidR="00735CBB" w:rsidRPr="00735CBB" w:rsidRDefault="00735CBB" w:rsidP="00735CBB">
      <w:pPr>
        <w:spacing w:line="240" w:lineRule="auto"/>
        <w:rPr>
          <w:rFonts w:eastAsia="Times New Roman" w:cs="Arial"/>
          <w:i/>
          <w:iCs/>
          <w:color w:val="000000"/>
          <w:lang w:eastAsia="bg-BG"/>
        </w:rPr>
      </w:pPr>
    </w:p>
    <w:p w14:paraId="3964BF36" w14:textId="7DE43172" w:rsidR="00735CBB" w:rsidRPr="00735CBB" w:rsidRDefault="00735CBB" w:rsidP="00735CBB">
      <w:pPr>
        <w:spacing w:line="240" w:lineRule="auto"/>
        <w:rPr>
          <w:rFonts w:eastAsia="Times New Roman" w:cs="Arial"/>
          <w:lang w:eastAsia="bg-BG"/>
        </w:rPr>
      </w:pPr>
      <w:r w:rsidRPr="00735CBB">
        <w:rPr>
          <w:rFonts w:eastAsia="Times New Roman" w:cs="Arial"/>
          <w:i/>
          <w:iCs/>
          <w:color w:val="000000"/>
          <w:lang w:eastAsia="bg-BG"/>
        </w:rPr>
        <w:t>Цитотоксични лекарствени продукти</w:t>
      </w:r>
    </w:p>
    <w:p w14:paraId="69083DFA" w14:textId="7777777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Тиазидните диуретици, включително хидрохлоротиазид, могат да намалят бъбречната екскреция на цитотоксични средства (напр. циклофосфамид, метотрексат) и да засилят техните миелосупресивни ефекти.</w:t>
      </w:r>
    </w:p>
    <w:p w14:paraId="55931066" w14:textId="77777777" w:rsidR="00735CBB" w:rsidRPr="00735CBB" w:rsidRDefault="00735CBB" w:rsidP="00735CBB">
      <w:pPr>
        <w:spacing w:line="240" w:lineRule="auto"/>
        <w:rPr>
          <w:rFonts w:eastAsia="Times New Roman" w:cs="Arial"/>
          <w:i/>
          <w:iCs/>
          <w:color w:val="000000"/>
          <w:lang w:eastAsia="bg-BG"/>
        </w:rPr>
      </w:pPr>
    </w:p>
    <w:p w14:paraId="7C3E84F8" w14:textId="4A87C4BB" w:rsidR="00735CBB" w:rsidRPr="00735CBB" w:rsidRDefault="00735CBB" w:rsidP="00735CBB">
      <w:pPr>
        <w:spacing w:line="240" w:lineRule="auto"/>
        <w:rPr>
          <w:rFonts w:eastAsia="Times New Roman" w:cs="Arial"/>
          <w:lang w:eastAsia="bg-BG"/>
        </w:rPr>
      </w:pPr>
      <w:r w:rsidRPr="00735CBB">
        <w:rPr>
          <w:rFonts w:eastAsia="Times New Roman" w:cs="Arial"/>
          <w:i/>
          <w:iCs/>
          <w:color w:val="000000"/>
          <w:lang w:eastAsia="bg-BG"/>
        </w:rPr>
        <w:t>Недеполяризиращи миорелаксанти</w:t>
      </w:r>
      <w:r w:rsidRPr="00735CBB">
        <w:rPr>
          <w:rFonts w:eastAsia="Times New Roman" w:cs="Arial"/>
          <w:color w:val="000000"/>
          <w:lang w:eastAsia="bg-BG"/>
        </w:rPr>
        <w:t xml:space="preserve"> (напр. тубокурарин)</w:t>
      </w:r>
    </w:p>
    <w:p w14:paraId="0580268B" w14:textId="7777777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Тиазидните диуретици, включително хидрохлоротиазид, потенцират действието на миорелаксантите, като производните на кураре.</w:t>
      </w:r>
    </w:p>
    <w:p w14:paraId="5841A441" w14:textId="77777777" w:rsidR="00735CBB" w:rsidRPr="00735CBB" w:rsidRDefault="00735CBB" w:rsidP="00735CBB">
      <w:pPr>
        <w:spacing w:line="240" w:lineRule="auto"/>
        <w:rPr>
          <w:rFonts w:eastAsia="Times New Roman" w:cs="Arial"/>
          <w:i/>
          <w:iCs/>
          <w:color w:val="000000"/>
          <w:lang w:eastAsia="bg-BG"/>
        </w:rPr>
      </w:pPr>
    </w:p>
    <w:p w14:paraId="20534D22" w14:textId="05E90A6D" w:rsidR="00735CBB" w:rsidRPr="00735CBB" w:rsidRDefault="00735CBB" w:rsidP="00735CBB">
      <w:pPr>
        <w:spacing w:line="240" w:lineRule="auto"/>
        <w:rPr>
          <w:rFonts w:eastAsia="Times New Roman" w:cs="Arial"/>
          <w:lang w:eastAsia="bg-BG"/>
        </w:rPr>
      </w:pPr>
      <w:r w:rsidRPr="00735CBB">
        <w:rPr>
          <w:rFonts w:eastAsia="Times New Roman" w:cs="Arial"/>
          <w:i/>
          <w:iCs/>
          <w:color w:val="000000"/>
          <w:lang w:eastAsia="bg-BG"/>
        </w:rPr>
        <w:t>Циклоспорин</w:t>
      </w:r>
    </w:p>
    <w:p w14:paraId="525B3FB9" w14:textId="36C2D264" w:rsidR="00735CBB" w:rsidRPr="00735CBB" w:rsidRDefault="00735CBB" w:rsidP="00735CBB">
      <w:pPr>
        <w:spacing w:line="240" w:lineRule="auto"/>
        <w:rPr>
          <w:rFonts w:eastAsia="Times New Roman" w:cs="Arial"/>
          <w:lang w:val="en-US" w:eastAsia="bg-BG"/>
        </w:rPr>
      </w:pPr>
      <w:r w:rsidRPr="00735CBB">
        <w:rPr>
          <w:rFonts w:eastAsia="Times New Roman" w:cs="Arial"/>
          <w:color w:val="000000"/>
          <w:lang w:eastAsia="bg-BG"/>
        </w:rPr>
        <w:t>Едновременното приложение с циклоспорин може да увеличи риска от хиперурикемия и усложнения на подаграта.</w:t>
      </w:r>
    </w:p>
    <w:p w14:paraId="48769E7B" w14:textId="69473557" w:rsidR="00735CBB" w:rsidRPr="00735CBB" w:rsidRDefault="00735CBB" w:rsidP="00735CBB">
      <w:pPr>
        <w:rPr>
          <w:rFonts w:cs="Arial"/>
          <w:lang w:val="en-US"/>
        </w:rPr>
      </w:pPr>
    </w:p>
    <w:p w14:paraId="26BAE3BA" w14:textId="77777777" w:rsidR="00735CBB" w:rsidRPr="00735CBB" w:rsidRDefault="00735CBB" w:rsidP="00735CBB">
      <w:pPr>
        <w:spacing w:line="240" w:lineRule="auto"/>
        <w:rPr>
          <w:rFonts w:eastAsia="Times New Roman" w:cs="Arial"/>
          <w:lang w:eastAsia="bg-BG"/>
        </w:rPr>
      </w:pPr>
      <w:r w:rsidRPr="00735CBB">
        <w:rPr>
          <w:rFonts w:eastAsia="Times New Roman" w:cs="Arial"/>
          <w:i/>
          <w:iCs/>
          <w:color w:val="000000"/>
          <w:lang w:eastAsia="bg-BG"/>
        </w:rPr>
        <w:t>Алкохол, барбитурати или наркотични вещества</w:t>
      </w:r>
    </w:p>
    <w:p w14:paraId="6ABF1F79" w14:textId="7777777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Едновременното приложение на тиазидни диуретици с лекарствени вещества, които имат хипотензивно действие (напр. като понижават действието на симпатиковата централна нервна система или чрез директно вазодилатиращо действие) може да потенцира поява на ортостатична хипотония.</w:t>
      </w:r>
    </w:p>
    <w:p w14:paraId="3276CDEC" w14:textId="77777777" w:rsidR="00735CBB" w:rsidRPr="00735CBB" w:rsidRDefault="00735CBB" w:rsidP="00735CBB">
      <w:pPr>
        <w:spacing w:line="240" w:lineRule="auto"/>
        <w:rPr>
          <w:rFonts w:eastAsia="Times New Roman" w:cs="Arial"/>
          <w:i/>
          <w:iCs/>
          <w:color w:val="000000"/>
          <w:lang w:eastAsia="bg-BG"/>
        </w:rPr>
      </w:pPr>
    </w:p>
    <w:p w14:paraId="41275B0B" w14:textId="422221C8" w:rsidR="00735CBB" w:rsidRPr="00735CBB" w:rsidRDefault="00735CBB" w:rsidP="00735CBB">
      <w:pPr>
        <w:spacing w:line="240" w:lineRule="auto"/>
        <w:rPr>
          <w:rFonts w:eastAsia="Times New Roman" w:cs="Arial"/>
          <w:lang w:eastAsia="bg-BG"/>
        </w:rPr>
      </w:pPr>
      <w:r w:rsidRPr="00735CBB">
        <w:rPr>
          <w:rFonts w:eastAsia="Times New Roman" w:cs="Arial"/>
          <w:i/>
          <w:iCs/>
          <w:color w:val="000000"/>
          <w:lang w:eastAsia="bg-BG"/>
        </w:rPr>
        <w:t>Метилдопа</w:t>
      </w:r>
    </w:p>
    <w:p w14:paraId="1DDC9907" w14:textId="7777777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Има изолирани съобщения за случаи на хемолитична анемия при пациенти, приемащи едновременно метилдопа и хидрохлоротиазид.</w:t>
      </w:r>
    </w:p>
    <w:p w14:paraId="6B488AE2" w14:textId="77777777" w:rsidR="00735CBB" w:rsidRPr="00735CBB" w:rsidRDefault="00735CBB" w:rsidP="00735CBB">
      <w:pPr>
        <w:spacing w:line="240" w:lineRule="auto"/>
        <w:rPr>
          <w:rFonts w:eastAsia="Times New Roman" w:cs="Arial"/>
          <w:i/>
          <w:iCs/>
          <w:color w:val="000000"/>
          <w:lang w:eastAsia="bg-BG"/>
        </w:rPr>
      </w:pPr>
    </w:p>
    <w:p w14:paraId="32E767D4" w14:textId="2CFE23B5" w:rsidR="00735CBB" w:rsidRPr="00735CBB" w:rsidRDefault="00735CBB" w:rsidP="00735CBB">
      <w:pPr>
        <w:spacing w:line="240" w:lineRule="auto"/>
        <w:rPr>
          <w:rFonts w:eastAsia="Times New Roman" w:cs="Arial"/>
          <w:lang w:eastAsia="bg-BG"/>
        </w:rPr>
      </w:pPr>
      <w:r w:rsidRPr="00735CBB">
        <w:rPr>
          <w:rFonts w:eastAsia="Times New Roman" w:cs="Arial"/>
          <w:i/>
          <w:iCs/>
          <w:color w:val="000000"/>
          <w:lang w:eastAsia="bg-BG"/>
        </w:rPr>
        <w:t>Йод</w:t>
      </w:r>
      <w:r w:rsidRPr="00735CBB">
        <w:rPr>
          <w:rFonts w:eastAsia="Times New Roman" w:cs="Arial"/>
          <w:i/>
          <w:iCs/>
          <w:color w:val="000000"/>
          <w:lang w:val="en-US" w:eastAsia="bg-BG"/>
        </w:rPr>
        <w:t>-</w:t>
      </w:r>
      <w:r w:rsidRPr="00735CBB">
        <w:rPr>
          <w:rFonts w:eastAsia="Times New Roman" w:cs="Arial"/>
          <w:i/>
          <w:iCs/>
          <w:color w:val="000000"/>
          <w:lang w:eastAsia="bg-BG"/>
        </w:rPr>
        <w:t>контрастни вещества</w:t>
      </w:r>
    </w:p>
    <w:p w14:paraId="6BD641BD" w14:textId="2CACB46A" w:rsidR="00735CBB" w:rsidRPr="00735CBB" w:rsidRDefault="00735CBB" w:rsidP="00735CBB">
      <w:pPr>
        <w:rPr>
          <w:rFonts w:eastAsia="Times New Roman" w:cs="Arial"/>
          <w:color w:val="000000"/>
          <w:lang w:eastAsia="bg-BG"/>
        </w:rPr>
      </w:pPr>
      <w:r w:rsidRPr="00735CBB">
        <w:rPr>
          <w:rFonts w:eastAsia="Times New Roman" w:cs="Arial"/>
          <w:color w:val="000000"/>
          <w:lang w:eastAsia="bg-BG"/>
        </w:rPr>
        <w:t>В случай на диуретик-индуцирана дехидратация, има повишен риск от остра бъбречна недостатъчност, особено при високи дози от йодния продукт. Пациентите трябва да се рехидратират преди прилагането на йод-контрастни вещества.</w:t>
      </w:r>
    </w:p>
    <w:p w14:paraId="7892224B" w14:textId="77777777" w:rsidR="00735CBB" w:rsidRPr="00735CBB" w:rsidRDefault="00735CBB" w:rsidP="00735CBB">
      <w:pPr>
        <w:rPr>
          <w:lang w:val="en-US"/>
        </w:rPr>
      </w:pPr>
    </w:p>
    <w:p w14:paraId="15A75A66" w14:textId="6F2B1B70" w:rsidR="00A71DCF" w:rsidRDefault="002C50EE" w:rsidP="00A93499">
      <w:pPr>
        <w:pStyle w:val="Heading2"/>
      </w:pPr>
      <w:r>
        <w:t>4.6. Фертилитет, бременност и кърмене</w:t>
      </w:r>
    </w:p>
    <w:p w14:paraId="63C893D8" w14:textId="20DC9E90" w:rsidR="00735CBB" w:rsidRDefault="00735CBB" w:rsidP="00735CBB"/>
    <w:p w14:paraId="20A161DC" w14:textId="77777777" w:rsidR="00735CBB" w:rsidRPr="00735CBB" w:rsidRDefault="00735CBB" w:rsidP="00735CBB">
      <w:pPr>
        <w:pStyle w:val="Heading3"/>
        <w:rPr>
          <w:rFonts w:eastAsia="Times New Roman"/>
          <w:sz w:val="28"/>
          <w:szCs w:val="28"/>
          <w:u w:val="single"/>
          <w:lang w:eastAsia="bg-BG"/>
        </w:rPr>
      </w:pPr>
      <w:r w:rsidRPr="00735CBB">
        <w:rPr>
          <w:rFonts w:eastAsia="Times New Roman"/>
          <w:u w:val="single"/>
          <w:lang w:eastAsia="bg-BG"/>
        </w:rPr>
        <w:t>Бременност</w:t>
      </w:r>
    </w:p>
    <w:p w14:paraId="0F91DD8A" w14:textId="77777777" w:rsidR="00735CBB" w:rsidRPr="00735CBB" w:rsidRDefault="00735CBB" w:rsidP="00735CBB">
      <w:pPr>
        <w:rPr>
          <w:rFonts w:eastAsia="Times New Roman" w:cs="Arial"/>
          <w:i/>
          <w:iCs/>
          <w:color w:val="000000"/>
          <w:u w:val="single"/>
          <w:lang w:eastAsia="bg-BG"/>
        </w:rPr>
      </w:pPr>
    </w:p>
    <w:p w14:paraId="4ABBACAA" w14:textId="69ECC0C9" w:rsidR="00735CBB" w:rsidRPr="00735CBB" w:rsidRDefault="00735CBB" w:rsidP="00735CBB">
      <w:pPr>
        <w:rPr>
          <w:rFonts w:eastAsia="Times New Roman" w:cs="Arial"/>
          <w:i/>
          <w:iCs/>
          <w:color w:val="000000"/>
          <w:u w:val="single"/>
          <w:lang w:eastAsia="bg-BG"/>
        </w:rPr>
      </w:pPr>
      <w:r w:rsidRPr="00735CBB">
        <w:rPr>
          <w:rFonts w:eastAsia="Times New Roman" w:cs="Arial"/>
          <w:i/>
          <w:iCs/>
          <w:color w:val="000000"/>
          <w:u w:val="single"/>
          <w:lang w:eastAsia="bg-BG"/>
        </w:rPr>
        <w:t>Валсартан</w:t>
      </w:r>
    </w:p>
    <w:tbl>
      <w:tblPr>
        <w:tblStyle w:val="TableGrid"/>
        <w:tblW w:w="0" w:type="auto"/>
        <w:tblLook w:val="04A0" w:firstRow="1" w:lastRow="0" w:firstColumn="1" w:lastColumn="0" w:noHBand="0" w:noVBand="1"/>
      </w:tblPr>
      <w:tblGrid>
        <w:gridCol w:w="9350"/>
      </w:tblGrid>
      <w:tr w:rsidR="00735CBB" w:rsidRPr="00735CBB" w14:paraId="0DEDD9FB" w14:textId="77777777" w:rsidTr="00735CBB">
        <w:tc>
          <w:tcPr>
            <w:tcW w:w="9500" w:type="dxa"/>
          </w:tcPr>
          <w:p w14:paraId="60E00A09" w14:textId="2740BE3C" w:rsidR="00735CBB" w:rsidRPr="00735CBB" w:rsidRDefault="00735CBB" w:rsidP="00735CBB">
            <w:pPr>
              <w:spacing w:line="240" w:lineRule="auto"/>
              <w:rPr>
                <w:rFonts w:eastAsia="Times New Roman" w:cs="Arial"/>
                <w:sz w:val="28"/>
                <w:szCs w:val="28"/>
                <w:lang w:eastAsia="bg-BG"/>
              </w:rPr>
            </w:pPr>
            <w:r w:rsidRPr="00735CBB">
              <w:rPr>
                <w:rFonts w:eastAsia="Times New Roman" w:cs="Arial"/>
                <w:color w:val="000000"/>
                <w:lang w:eastAsia="bg-BG"/>
              </w:rPr>
              <w:t xml:space="preserve">Употребата на ангиотензин II рецепторни антагонисти </w:t>
            </w:r>
            <w:r w:rsidRPr="00735CBB">
              <w:rPr>
                <w:rFonts w:eastAsia="Times New Roman" w:cs="Arial"/>
                <w:color w:val="000000"/>
                <w:lang w:val="en-US"/>
              </w:rPr>
              <w:t xml:space="preserve">(AIIRAs) </w:t>
            </w:r>
            <w:r w:rsidRPr="00735CBB">
              <w:rPr>
                <w:rFonts w:eastAsia="Times New Roman" w:cs="Arial"/>
                <w:color w:val="000000"/>
                <w:lang w:eastAsia="bg-BG"/>
              </w:rPr>
              <w:t>не се препоръчва през първия триместър на бременността (вж. точка 4.4). Употребата на ангиотензин II рецепторни антагонисти е противопоказана през втория и третия триместър на бременността (вж. точки 4.3 и 4.4).</w:t>
            </w:r>
          </w:p>
        </w:tc>
      </w:tr>
    </w:tbl>
    <w:p w14:paraId="3AACCE10" w14:textId="0CFA7F4F" w:rsidR="00735CBB" w:rsidRPr="00735CBB" w:rsidRDefault="00735CBB" w:rsidP="00735CBB">
      <w:pPr>
        <w:rPr>
          <w:rFonts w:cs="Arial"/>
          <w:sz w:val="24"/>
          <w:szCs w:val="24"/>
        </w:rPr>
      </w:pPr>
    </w:p>
    <w:p w14:paraId="4FF6ABBA" w14:textId="77777777" w:rsidR="00735CBB" w:rsidRPr="00735CBB" w:rsidRDefault="00735CBB" w:rsidP="00735CBB">
      <w:pPr>
        <w:spacing w:line="240" w:lineRule="auto"/>
        <w:rPr>
          <w:rFonts w:eastAsia="Times New Roman" w:cs="Arial"/>
          <w:sz w:val="28"/>
          <w:szCs w:val="28"/>
          <w:lang w:eastAsia="bg-BG"/>
        </w:rPr>
      </w:pPr>
      <w:r w:rsidRPr="00735CBB">
        <w:rPr>
          <w:rFonts w:eastAsia="Times New Roman" w:cs="Arial"/>
          <w:color w:val="000000"/>
          <w:lang w:eastAsia="bg-BG"/>
        </w:rPr>
        <w:t>Епидемиологичните данни относно риска от тератогенност след експозиция на</w:t>
      </w:r>
    </w:p>
    <w:p w14:paraId="4526D8B6" w14:textId="77777777" w:rsidR="00735CBB" w:rsidRPr="00735CBB" w:rsidRDefault="00735CBB" w:rsidP="00735CBB">
      <w:pPr>
        <w:spacing w:line="240" w:lineRule="auto"/>
        <w:rPr>
          <w:rFonts w:eastAsia="Times New Roman" w:cs="Arial"/>
          <w:sz w:val="28"/>
          <w:szCs w:val="28"/>
          <w:lang w:eastAsia="bg-BG"/>
        </w:rPr>
      </w:pPr>
      <w:r w:rsidRPr="00735CBB">
        <w:rPr>
          <w:rFonts w:eastAsia="Times New Roman" w:cs="Arial"/>
          <w:color w:val="000000"/>
          <w:lang w:eastAsia="bg-BG"/>
        </w:rPr>
        <w:lastRenderedPageBreak/>
        <w:t xml:space="preserve">АСЕ инхибитори през първия триместър на бременността не са окончателни; въпреки това, не може да се изключи леко повишение на риска. Няма контролирани епидемиологични данни за риска с ангиотензин II рецепторни антагонисти, сходни рискове може да съществуват за този клас лекарства. Освен ако продължаването на лечението с ангиотензин </w:t>
      </w:r>
      <w:r w:rsidRPr="00735CBB">
        <w:rPr>
          <w:rFonts w:eastAsia="Times New Roman" w:cs="Arial"/>
          <w:color w:val="000000"/>
          <w:lang w:val="en-US"/>
        </w:rPr>
        <w:t>II</w:t>
      </w:r>
      <w:r w:rsidRPr="00735CBB">
        <w:rPr>
          <w:rFonts w:eastAsia="Times New Roman" w:cs="Arial"/>
          <w:color w:val="000000"/>
          <w:lang w:eastAsia="bg-BG"/>
        </w:rPr>
        <w:t xml:space="preserve"> рецепторни антагонисти не е наложително, пациентките, планиращи бременност трябва да преминат на алтернативно антихипертензивно лечение с доказан профил на безопасност при употреба по време на бременност. При установяване на бременност, лечението с ангиотензин </w:t>
      </w:r>
      <w:r w:rsidRPr="00735CBB">
        <w:rPr>
          <w:rFonts w:eastAsia="Times New Roman" w:cs="Arial"/>
          <w:color w:val="000000"/>
          <w:lang w:val="en-US"/>
        </w:rPr>
        <w:t>II</w:t>
      </w:r>
      <w:r w:rsidRPr="00735CBB">
        <w:rPr>
          <w:rFonts w:eastAsia="Times New Roman" w:cs="Arial"/>
          <w:color w:val="000000"/>
          <w:lang w:eastAsia="bg-BG"/>
        </w:rPr>
        <w:t xml:space="preserve"> рецепторните антагонисти трябва бъде спряно незабавно и, ако е уместно, да се започне алтернативно лечение.</w:t>
      </w:r>
    </w:p>
    <w:p w14:paraId="7E54854C" w14:textId="77777777" w:rsidR="00735CBB" w:rsidRPr="00735CBB" w:rsidRDefault="00735CBB" w:rsidP="00735CBB">
      <w:pPr>
        <w:spacing w:line="240" w:lineRule="auto"/>
        <w:rPr>
          <w:rFonts w:eastAsia="Times New Roman" w:cs="Arial"/>
          <w:sz w:val="28"/>
          <w:szCs w:val="28"/>
          <w:lang w:eastAsia="bg-BG"/>
        </w:rPr>
      </w:pPr>
      <w:r w:rsidRPr="00735CBB">
        <w:rPr>
          <w:rFonts w:eastAsia="Times New Roman" w:cs="Arial"/>
          <w:color w:val="000000"/>
          <w:lang w:eastAsia="bg-BG"/>
        </w:rPr>
        <w:t>Известно е, че експозицията на ангиотензин II рецепторни антагонисти по време на втория и третия триместър на бременността при хора индуцира фетотоксичност (понижена бъбречна функция, олигохидроамниоза, забавена осификацията на черепа) и неонатална токсичност (бъбречна недостатъчност, хипотония, хиперкалиемия) (вж. също точка 5.3).</w:t>
      </w:r>
    </w:p>
    <w:p w14:paraId="0B8AA3E2" w14:textId="77777777" w:rsidR="00735CBB" w:rsidRPr="00735CBB" w:rsidRDefault="00735CBB" w:rsidP="00735CBB">
      <w:pPr>
        <w:spacing w:line="240" w:lineRule="auto"/>
        <w:rPr>
          <w:rFonts w:eastAsia="Times New Roman" w:cs="Arial"/>
          <w:sz w:val="28"/>
          <w:szCs w:val="28"/>
          <w:lang w:eastAsia="bg-BG"/>
        </w:rPr>
      </w:pPr>
      <w:r w:rsidRPr="00735CBB">
        <w:rPr>
          <w:rFonts w:eastAsia="Times New Roman" w:cs="Arial"/>
          <w:color w:val="000000"/>
          <w:lang w:eastAsia="bg-BG"/>
        </w:rPr>
        <w:t xml:space="preserve">При експозицията на ангиотензин </w:t>
      </w:r>
      <w:r w:rsidRPr="00735CBB">
        <w:rPr>
          <w:rFonts w:eastAsia="Times New Roman" w:cs="Arial"/>
          <w:color w:val="000000"/>
          <w:lang w:val="en-US"/>
        </w:rPr>
        <w:t>II</w:t>
      </w:r>
      <w:r w:rsidRPr="00735CBB">
        <w:rPr>
          <w:rFonts w:eastAsia="Times New Roman" w:cs="Arial"/>
          <w:color w:val="000000"/>
          <w:lang w:eastAsia="bg-BG"/>
        </w:rPr>
        <w:t xml:space="preserve"> рецепторен антагонист през втория триместър на бременността се препоръчва ултразвуково изследване на бъбречната функция и черепа. Деца, чиито майки са приемали ангиотензин II рецепторни антагонисти трябва да бъдат внимателно наблюдавани за хипотония (вж. също точки 4.3 и 4.4).</w:t>
      </w:r>
    </w:p>
    <w:p w14:paraId="68541800" w14:textId="77777777" w:rsidR="00735CBB" w:rsidRPr="00735CBB" w:rsidRDefault="00735CBB" w:rsidP="00735CBB">
      <w:pPr>
        <w:spacing w:line="240" w:lineRule="auto"/>
        <w:rPr>
          <w:rFonts w:eastAsia="Times New Roman" w:cs="Arial"/>
          <w:i/>
          <w:iCs/>
          <w:color w:val="000000"/>
          <w:lang w:eastAsia="bg-BG"/>
        </w:rPr>
      </w:pPr>
    </w:p>
    <w:p w14:paraId="60BDBE89" w14:textId="4C18A3E3" w:rsidR="00735CBB" w:rsidRPr="00735CBB" w:rsidRDefault="00735CBB" w:rsidP="00735CBB">
      <w:pPr>
        <w:spacing w:line="240" w:lineRule="auto"/>
        <w:rPr>
          <w:rFonts w:eastAsia="Times New Roman" w:cs="Arial"/>
          <w:sz w:val="28"/>
          <w:szCs w:val="28"/>
          <w:lang w:eastAsia="bg-BG"/>
        </w:rPr>
      </w:pPr>
      <w:r w:rsidRPr="00735CBB">
        <w:rPr>
          <w:rFonts w:eastAsia="Times New Roman" w:cs="Arial"/>
          <w:i/>
          <w:iCs/>
          <w:color w:val="000000"/>
          <w:lang w:eastAsia="bg-BG"/>
        </w:rPr>
        <w:t>Хидрохлоротиазид</w:t>
      </w:r>
    </w:p>
    <w:p w14:paraId="6A4378C4" w14:textId="77777777" w:rsidR="00735CBB" w:rsidRPr="00735CBB" w:rsidRDefault="00735CBB" w:rsidP="00735CBB">
      <w:pPr>
        <w:spacing w:line="240" w:lineRule="auto"/>
        <w:rPr>
          <w:rFonts w:eastAsia="Times New Roman" w:cs="Arial"/>
          <w:sz w:val="28"/>
          <w:szCs w:val="28"/>
          <w:lang w:eastAsia="bg-BG"/>
        </w:rPr>
      </w:pPr>
      <w:r w:rsidRPr="00735CBB">
        <w:rPr>
          <w:rFonts w:eastAsia="Times New Roman" w:cs="Arial"/>
          <w:color w:val="000000"/>
          <w:lang w:eastAsia="bg-BG"/>
        </w:rPr>
        <w:t>Има ограничен опит с хидрохлоротиазид по време на бременност, особено през първия триместър. Изпитванията при животни са недостатъчни. Хидрохлоротиазид преминава плацентата. Въз основа на фармакологичния механизъм на действие на хидрохлоротиазид се предполага, че употребата му през втори и трети триместър може да компрометира фетоплацентарната перфузия и да доведе до фетални и неонатални ефекти, като иктер, електролитен дисбаланс и тромбоцитопения.</w:t>
      </w:r>
    </w:p>
    <w:p w14:paraId="42648D65" w14:textId="77777777" w:rsidR="00735CBB" w:rsidRPr="00735CBB" w:rsidRDefault="00735CBB" w:rsidP="00735CBB">
      <w:pPr>
        <w:spacing w:line="240" w:lineRule="auto"/>
        <w:rPr>
          <w:rFonts w:eastAsia="Times New Roman" w:cs="Arial"/>
          <w:color w:val="000000"/>
          <w:u w:val="single"/>
          <w:lang w:eastAsia="bg-BG"/>
        </w:rPr>
      </w:pPr>
    </w:p>
    <w:p w14:paraId="397CDFBB" w14:textId="7D29A9D0" w:rsidR="00735CBB" w:rsidRPr="00735CBB" w:rsidRDefault="00735CBB" w:rsidP="00735CBB">
      <w:pPr>
        <w:pStyle w:val="Heading3"/>
        <w:rPr>
          <w:rFonts w:eastAsia="Times New Roman"/>
          <w:sz w:val="28"/>
          <w:szCs w:val="28"/>
          <w:u w:val="single"/>
          <w:lang w:eastAsia="bg-BG"/>
        </w:rPr>
      </w:pPr>
      <w:r w:rsidRPr="00735CBB">
        <w:rPr>
          <w:rFonts w:eastAsia="Times New Roman"/>
          <w:u w:val="single"/>
          <w:lang w:eastAsia="bg-BG"/>
        </w:rPr>
        <w:t>Кърмене</w:t>
      </w:r>
    </w:p>
    <w:p w14:paraId="069FCB53" w14:textId="77777777" w:rsidR="00735CBB" w:rsidRPr="00735CBB" w:rsidRDefault="00735CBB" w:rsidP="00735CBB">
      <w:pPr>
        <w:spacing w:line="240" w:lineRule="auto"/>
        <w:rPr>
          <w:rFonts w:eastAsia="Times New Roman" w:cs="Arial"/>
          <w:sz w:val="28"/>
          <w:szCs w:val="28"/>
          <w:lang w:eastAsia="bg-BG"/>
        </w:rPr>
      </w:pPr>
      <w:r w:rsidRPr="00735CBB">
        <w:rPr>
          <w:rFonts w:eastAsia="Times New Roman" w:cs="Arial"/>
          <w:color w:val="000000"/>
          <w:lang w:eastAsia="bg-BG"/>
        </w:rPr>
        <w:t>Липсват данни относно употребата на валсартан по време на кърмене.</w:t>
      </w:r>
      <w:r w:rsidRPr="00735CBB">
        <w:rPr>
          <w:rFonts w:eastAsia="Times New Roman" w:cs="Arial"/>
          <w:color w:val="000000"/>
          <w:lang w:val="en-US"/>
        </w:rPr>
        <w:t xml:space="preserve"> </w:t>
      </w:r>
      <w:r w:rsidRPr="00735CBB">
        <w:rPr>
          <w:rFonts w:eastAsia="Times New Roman" w:cs="Arial"/>
          <w:color w:val="000000"/>
          <w:lang w:eastAsia="bg-BG"/>
        </w:rPr>
        <w:t>Хидрохлоротиазид от</w:t>
      </w:r>
    </w:p>
    <w:p w14:paraId="2594A2E2" w14:textId="77777777" w:rsidR="00735CBB" w:rsidRPr="00735CBB" w:rsidRDefault="00735CBB" w:rsidP="00735CBB">
      <w:pPr>
        <w:rPr>
          <w:rFonts w:eastAsia="Times New Roman" w:cs="Arial"/>
          <w:sz w:val="28"/>
          <w:szCs w:val="28"/>
          <w:lang w:eastAsia="bg-BG"/>
        </w:rPr>
      </w:pPr>
      <w:r w:rsidRPr="00735CBB">
        <w:rPr>
          <w:rFonts w:eastAsia="Times New Roman" w:cs="Arial"/>
          <w:color w:val="000000"/>
          <w:lang w:eastAsia="bg-BG"/>
        </w:rPr>
        <w:t>екскретира в кърмата. Ето защо, не се препоръчва употребата на Валтензин Плюс по време на</w:t>
      </w:r>
      <w:r w:rsidRPr="00735CBB">
        <w:rPr>
          <w:rFonts w:eastAsia="Times New Roman" w:cs="Arial"/>
          <w:color w:val="000000"/>
          <w:lang w:val="en-US" w:eastAsia="bg-BG"/>
        </w:rPr>
        <w:t xml:space="preserve"> </w:t>
      </w:r>
      <w:r w:rsidRPr="00735CBB">
        <w:rPr>
          <w:rFonts w:eastAsia="Times New Roman" w:cs="Arial"/>
          <w:color w:val="000000"/>
          <w:lang w:eastAsia="bg-BG"/>
        </w:rPr>
        <w:t>кърмене. Предпочита се алтернативно лечение с по-добре установен профил на безопасност по време на кърмене, особено при новородени и недоносени бебета.</w:t>
      </w:r>
    </w:p>
    <w:p w14:paraId="00F2BB31" w14:textId="523970BF" w:rsidR="00735CBB" w:rsidRPr="00735CBB" w:rsidRDefault="00735CBB" w:rsidP="00735CBB">
      <w:pPr>
        <w:rPr>
          <w:lang w:val="en-US"/>
        </w:rPr>
      </w:pPr>
    </w:p>
    <w:p w14:paraId="6201597D" w14:textId="525567FA" w:rsidR="00EE6C97" w:rsidRDefault="002C50EE" w:rsidP="00A93499">
      <w:pPr>
        <w:pStyle w:val="Heading2"/>
      </w:pPr>
      <w:r>
        <w:t>4.7. Ефекти върху способността за шофиране и работа с машини</w:t>
      </w:r>
    </w:p>
    <w:p w14:paraId="3182B285" w14:textId="7E0763D7" w:rsidR="00735CBB" w:rsidRDefault="00735CBB" w:rsidP="00735CBB"/>
    <w:p w14:paraId="7C8E32E7" w14:textId="4AF067C4" w:rsidR="00735CBB" w:rsidRDefault="00735CBB" w:rsidP="00735CBB">
      <w:r>
        <w:t>Не са провеждани проучвания за ефекта на валсартан/хидрохлоротиазид върху способността за шофиране и работа с машини. Трябва да се има предвид, че при шофиране или работа с машини е възможно понякога да настъпят замаяност или умора.</w:t>
      </w:r>
    </w:p>
    <w:p w14:paraId="03C9B787" w14:textId="77777777" w:rsidR="00735CBB" w:rsidRPr="00735CBB" w:rsidRDefault="00735CBB" w:rsidP="00735CBB"/>
    <w:p w14:paraId="389A90F4" w14:textId="087EF871" w:rsidR="00BA5B74" w:rsidRDefault="002C50EE" w:rsidP="00A93499">
      <w:pPr>
        <w:pStyle w:val="Heading2"/>
      </w:pPr>
      <w:r>
        <w:t>4.8. Нежелани лекарствени реакции</w:t>
      </w:r>
    </w:p>
    <w:p w14:paraId="0A0DB549" w14:textId="6C926A0A" w:rsidR="00735CBB" w:rsidRDefault="00735CBB" w:rsidP="00735CBB"/>
    <w:p w14:paraId="2F72EAD8" w14:textId="7777777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Нежеланите лекарствени реакции, съобщавани в клинични изпитвания и лабораторните резултати, които се наблюдават по-често с валсартан плюс хидрохлоротиазид, отколкото с плацебо, както и отделните съобщения от постмаркетинговия опит са представени по-долу според системо-органната класификация. По време на лечението с валсартан/ хидрохлоротиазид могат да настъпят нежелани лекарствени реакции, за които е известно, че се проявяват с всяка компонента поотделно, но които не са наблюдавани в клинични изпитвания.</w:t>
      </w:r>
    </w:p>
    <w:p w14:paraId="1BDDBC29" w14:textId="77777777" w:rsidR="00735CBB" w:rsidRPr="00C51411" w:rsidRDefault="00735CBB" w:rsidP="00735CBB">
      <w:pPr>
        <w:spacing w:line="240" w:lineRule="auto"/>
        <w:rPr>
          <w:rFonts w:eastAsia="Times New Roman" w:cs="Arial"/>
          <w:b/>
          <w:bCs/>
          <w:color w:val="000000"/>
          <w:u w:val="single"/>
          <w:lang w:eastAsia="bg-BG"/>
        </w:rPr>
      </w:pPr>
      <w:bookmarkStart w:id="1" w:name="bookmark0"/>
    </w:p>
    <w:p w14:paraId="66A81D89" w14:textId="78A638CB" w:rsidR="00735CBB" w:rsidRPr="00735CBB" w:rsidRDefault="00735CBB" w:rsidP="00735CBB">
      <w:pPr>
        <w:spacing w:line="240" w:lineRule="auto"/>
        <w:rPr>
          <w:rFonts w:eastAsia="Times New Roman" w:cs="Arial"/>
          <w:lang w:eastAsia="bg-BG"/>
        </w:rPr>
      </w:pPr>
      <w:r w:rsidRPr="00735CBB">
        <w:rPr>
          <w:rFonts w:eastAsia="Times New Roman" w:cs="Arial"/>
          <w:b/>
          <w:bCs/>
          <w:color w:val="000000"/>
          <w:u w:val="single"/>
          <w:lang w:eastAsia="bg-BG"/>
        </w:rPr>
        <w:t>Нежелани лекарствени реакции</w:t>
      </w:r>
      <w:bookmarkEnd w:id="1"/>
    </w:p>
    <w:p w14:paraId="5A81EC08" w14:textId="7777777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Нежеланите лекарствени реакции са подредени по честота, започвайки от най-честите, като е използвана следната конвенция: много чести (≥1/10); чести (≥1/100 до &lt; 1/10); нечести (≥ 1/1 000 до &lt; 1/100); редки (≥1/10 000 до &lt; 1/1 000); много редки (&lt;1/10 000), с неизвестна честота (честотата не може да се определи от наличните данни). При всяко групиране по честота, нежеланите лекарствени реакции са подредени по реда на намаляване на сериозността им.</w:t>
      </w:r>
    </w:p>
    <w:p w14:paraId="1552A8E9" w14:textId="77777777" w:rsidR="00735CBB" w:rsidRPr="00C51411" w:rsidRDefault="00735CBB" w:rsidP="00735CBB">
      <w:pPr>
        <w:spacing w:line="240" w:lineRule="auto"/>
        <w:rPr>
          <w:rFonts w:eastAsia="Times New Roman" w:cs="Arial"/>
          <w:color w:val="000000"/>
          <w:u w:val="single"/>
          <w:lang w:eastAsia="bg-BG"/>
        </w:rPr>
      </w:pPr>
    </w:p>
    <w:p w14:paraId="4548D1E3" w14:textId="2488207A" w:rsidR="00735CBB" w:rsidRPr="00735CBB" w:rsidRDefault="00735CBB" w:rsidP="00735CBB">
      <w:pPr>
        <w:spacing w:line="240" w:lineRule="auto"/>
        <w:rPr>
          <w:rFonts w:eastAsia="Times New Roman" w:cs="Arial"/>
          <w:lang w:eastAsia="bg-BG"/>
        </w:rPr>
      </w:pPr>
      <w:r w:rsidRPr="00735CBB">
        <w:rPr>
          <w:rFonts w:eastAsia="Times New Roman" w:cs="Arial"/>
          <w:color w:val="000000"/>
          <w:u w:val="single"/>
          <w:lang w:eastAsia="bg-BG"/>
        </w:rPr>
        <w:t>Таблица 1. Честота на нежеланите лекарствени реакции с валсартан/хидрохлоротиазид</w:t>
      </w:r>
    </w:p>
    <w:p w14:paraId="2C0CDEEA" w14:textId="77777777" w:rsidR="00735CBB" w:rsidRPr="00C51411" w:rsidRDefault="00735CBB" w:rsidP="00735CBB">
      <w:pPr>
        <w:spacing w:line="240" w:lineRule="auto"/>
        <w:rPr>
          <w:rFonts w:eastAsia="Times New Roman" w:cs="Arial"/>
          <w:b/>
          <w:bCs/>
          <w:color w:val="000000"/>
          <w:lang w:eastAsia="bg-BG"/>
        </w:rPr>
      </w:pPr>
      <w:bookmarkStart w:id="2" w:name="bookmark2"/>
    </w:p>
    <w:p w14:paraId="15A8C949" w14:textId="1F26BC27"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Нарушения на метаболизма и храненето</w:t>
      </w:r>
      <w:bookmarkEnd w:id="2"/>
    </w:p>
    <w:p w14:paraId="073EA481" w14:textId="6F45F9C0"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Нечести</w:t>
      </w:r>
      <w:r w:rsidRPr="00C51411">
        <w:rPr>
          <w:rFonts w:eastAsia="Times New Roman" w:cs="Arial"/>
          <w:color w:val="000000"/>
          <w:lang w:val="en-US" w:eastAsia="bg-BG"/>
        </w:rPr>
        <w:t xml:space="preserve">: </w:t>
      </w:r>
      <w:r w:rsidRPr="00735CBB">
        <w:rPr>
          <w:rFonts w:eastAsia="Times New Roman" w:cs="Arial"/>
          <w:color w:val="000000"/>
          <w:lang w:eastAsia="bg-BG"/>
        </w:rPr>
        <w:t>Дехидратация</w:t>
      </w:r>
    </w:p>
    <w:p w14:paraId="4CE7CDD2" w14:textId="77777777" w:rsidR="00735CBB" w:rsidRPr="00C51411" w:rsidRDefault="00735CBB" w:rsidP="00735CBB">
      <w:pPr>
        <w:spacing w:line="240" w:lineRule="auto"/>
        <w:rPr>
          <w:rFonts w:eastAsia="Times New Roman" w:cs="Arial"/>
          <w:b/>
          <w:bCs/>
          <w:color w:val="000000"/>
          <w:lang w:eastAsia="bg-BG"/>
        </w:rPr>
      </w:pPr>
    </w:p>
    <w:p w14:paraId="09399812" w14:textId="04D07A13"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Нарушения на нервната система</w:t>
      </w:r>
    </w:p>
    <w:p w14:paraId="018BAEA7" w14:textId="6A8B3CE6"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Нечести</w:t>
      </w:r>
      <w:r w:rsidRPr="00C51411">
        <w:rPr>
          <w:rFonts w:eastAsia="Times New Roman" w:cs="Arial"/>
          <w:color w:val="000000"/>
          <w:lang w:val="en-US" w:eastAsia="bg-BG"/>
        </w:rPr>
        <w:t xml:space="preserve">: </w:t>
      </w:r>
      <w:r w:rsidRPr="00735CBB">
        <w:rPr>
          <w:rFonts w:eastAsia="Times New Roman" w:cs="Arial"/>
          <w:color w:val="000000"/>
          <w:lang w:eastAsia="bg-BG"/>
        </w:rPr>
        <w:t>Парестезия</w:t>
      </w:r>
    </w:p>
    <w:p w14:paraId="66B7F46A" w14:textId="3ACF15C5"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Много редки</w:t>
      </w:r>
      <w:r w:rsidRPr="00C51411">
        <w:rPr>
          <w:rFonts w:eastAsia="Times New Roman" w:cs="Arial"/>
          <w:color w:val="000000"/>
          <w:lang w:val="en-US" w:eastAsia="bg-BG"/>
        </w:rPr>
        <w:t xml:space="preserve">: </w:t>
      </w:r>
      <w:r w:rsidRPr="00735CBB">
        <w:rPr>
          <w:rFonts w:eastAsia="Times New Roman" w:cs="Arial"/>
          <w:color w:val="000000"/>
          <w:lang w:eastAsia="bg-BG"/>
        </w:rPr>
        <w:t>Замаяност</w:t>
      </w:r>
    </w:p>
    <w:p w14:paraId="3A2865BE" w14:textId="70AE1FE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С неизвестна честота</w:t>
      </w:r>
      <w:r w:rsidRPr="00C51411">
        <w:rPr>
          <w:rFonts w:eastAsia="Times New Roman" w:cs="Arial"/>
          <w:color w:val="000000"/>
          <w:lang w:val="en-US" w:eastAsia="bg-BG"/>
        </w:rPr>
        <w:t xml:space="preserve">: </w:t>
      </w:r>
      <w:r w:rsidRPr="00735CBB">
        <w:rPr>
          <w:rFonts w:eastAsia="Times New Roman" w:cs="Arial"/>
          <w:color w:val="000000"/>
          <w:lang w:eastAsia="bg-BG"/>
        </w:rPr>
        <w:t>Синкоп</w:t>
      </w:r>
    </w:p>
    <w:p w14:paraId="03A55A34" w14:textId="77777777" w:rsidR="00735CBB" w:rsidRPr="00C51411" w:rsidRDefault="00735CBB" w:rsidP="00735CBB">
      <w:pPr>
        <w:spacing w:line="240" w:lineRule="auto"/>
        <w:rPr>
          <w:rFonts w:eastAsia="Times New Roman" w:cs="Arial"/>
          <w:b/>
          <w:bCs/>
          <w:color w:val="000000"/>
          <w:lang w:eastAsia="bg-BG"/>
        </w:rPr>
      </w:pPr>
    </w:p>
    <w:p w14:paraId="3AD40A28" w14:textId="73CFBD7D"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Нарушения на очите</w:t>
      </w:r>
    </w:p>
    <w:p w14:paraId="73967C17" w14:textId="7AAC3106"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Нечести</w:t>
      </w:r>
      <w:r w:rsidRPr="00C51411">
        <w:rPr>
          <w:rFonts w:eastAsia="Times New Roman" w:cs="Arial"/>
          <w:color w:val="000000"/>
          <w:lang w:val="en-US" w:eastAsia="bg-BG"/>
        </w:rPr>
        <w:t xml:space="preserve">: </w:t>
      </w:r>
      <w:r w:rsidRPr="00735CBB">
        <w:rPr>
          <w:rFonts w:eastAsia="Times New Roman" w:cs="Arial"/>
          <w:color w:val="000000"/>
          <w:lang w:eastAsia="bg-BG"/>
        </w:rPr>
        <w:t>Замъглено зрение</w:t>
      </w:r>
    </w:p>
    <w:p w14:paraId="0FDFF658" w14:textId="77777777" w:rsidR="00735CBB" w:rsidRPr="00C51411" w:rsidRDefault="00735CBB" w:rsidP="00735CBB">
      <w:pPr>
        <w:spacing w:line="240" w:lineRule="auto"/>
        <w:rPr>
          <w:rFonts w:eastAsia="Times New Roman" w:cs="Arial"/>
          <w:b/>
          <w:bCs/>
          <w:color w:val="000000"/>
          <w:lang w:eastAsia="bg-BG"/>
        </w:rPr>
      </w:pPr>
    </w:p>
    <w:p w14:paraId="6F237D35" w14:textId="79821EAE"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Нарушения на ухото и лабиринта</w:t>
      </w:r>
    </w:p>
    <w:p w14:paraId="3F874806" w14:textId="3AE19B7B"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Нечести</w:t>
      </w:r>
      <w:r w:rsidRPr="00C51411">
        <w:rPr>
          <w:rFonts w:eastAsia="Times New Roman" w:cs="Arial"/>
          <w:color w:val="000000"/>
          <w:lang w:val="en-US" w:eastAsia="bg-BG"/>
        </w:rPr>
        <w:t xml:space="preserve">: </w:t>
      </w:r>
      <w:r w:rsidRPr="00735CBB">
        <w:rPr>
          <w:rFonts w:eastAsia="Times New Roman" w:cs="Arial"/>
          <w:color w:val="000000"/>
          <w:lang w:eastAsia="bg-BG"/>
        </w:rPr>
        <w:t>Шум в ушите</w:t>
      </w:r>
    </w:p>
    <w:p w14:paraId="26A76D54" w14:textId="77777777" w:rsidR="00735CBB" w:rsidRPr="00C51411" w:rsidRDefault="00735CBB" w:rsidP="00735CBB">
      <w:pPr>
        <w:spacing w:line="240" w:lineRule="auto"/>
        <w:rPr>
          <w:rFonts w:eastAsia="Times New Roman" w:cs="Arial"/>
          <w:b/>
          <w:bCs/>
          <w:color w:val="000000"/>
          <w:lang w:eastAsia="bg-BG"/>
        </w:rPr>
      </w:pPr>
    </w:p>
    <w:p w14:paraId="43E2EC11" w14:textId="1DFA4EA2"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Съдови нарушения</w:t>
      </w:r>
    </w:p>
    <w:p w14:paraId="73871280" w14:textId="20D4FC89"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Нечести</w:t>
      </w:r>
      <w:r w:rsidRPr="00C51411">
        <w:rPr>
          <w:rFonts w:eastAsia="Times New Roman" w:cs="Arial"/>
          <w:color w:val="000000"/>
          <w:lang w:val="en-US" w:eastAsia="bg-BG"/>
        </w:rPr>
        <w:t xml:space="preserve">: </w:t>
      </w:r>
      <w:r w:rsidRPr="00735CBB">
        <w:rPr>
          <w:rFonts w:eastAsia="Times New Roman" w:cs="Arial"/>
          <w:color w:val="000000"/>
          <w:lang w:eastAsia="bg-BG"/>
        </w:rPr>
        <w:t>Хипотония</w:t>
      </w:r>
    </w:p>
    <w:p w14:paraId="7C9EB683" w14:textId="77777777" w:rsidR="00735CBB" w:rsidRPr="00C51411" w:rsidRDefault="00735CBB" w:rsidP="00735CBB">
      <w:pPr>
        <w:spacing w:line="240" w:lineRule="auto"/>
        <w:rPr>
          <w:rFonts w:eastAsia="Times New Roman" w:cs="Arial"/>
          <w:b/>
          <w:bCs/>
          <w:color w:val="000000"/>
          <w:lang w:eastAsia="bg-BG"/>
        </w:rPr>
      </w:pPr>
    </w:p>
    <w:p w14:paraId="1FDDBFE6" w14:textId="0019E625"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Респираторни, гръдни и медиастиналнн нарушения</w:t>
      </w:r>
    </w:p>
    <w:p w14:paraId="191796BA" w14:textId="7C169186"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Нечести</w:t>
      </w:r>
      <w:r w:rsidRPr="00C51411">
        <w:rPr>
          <w:rFonts w:eastAsia="Times New Roman" w:cs="Arial"/>
          <w:color w:val="000000"/>
          <w:lang w:val="en-US" w:eastAsia="bg-BG"/>
        </w:rPr>
        <w:t xml:space="preserve">: </w:t>
      </w:r>
      <w:r w:rsidRPr="00735CBB">
        <w:rPr>
          <w:rFonts w:eastAsia="Times New Roman" w:cs="Arial"/>
          <w:color w:val="000000"/>
          <w:lang w:eastAsia="bg-BG"/>
        </w:rPr>
        <w:t>Кашлица</w:t>
      </w:r>
    </w:p>
    <w:p w14:paraId="38FE0B94" w14:textId="3CD76AAB"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С неизвестна честота</w:t>
      </w:r>
      <w:r w:rsidRPr="00C51411">
        <w:rPr>
          <w:rFonts w:eastAsia="Times New Roman" w:cs="Arial"/>
          <w:color w:val="000000"/>
          <w:lang w:val="en-US" w:eastAsia="bg-BG"/>
        </w:rPr>
        <w:t xml:space="preserve">: </w:t>
      </w:r>
      <w:r w:rsidRPr="00735CBB">
        <w:rPr>
          <w:rFonts w:eastAsia="Times New Roman" w:cs="Arial"/>
          <w:color w:val="000000"/>
          <w:lang w:eastAsia="bg-BG"/>
        </w:rPr>
        <w:t>Некардиогенен белодробен оток</w:t>
      </w:r>
    </w:p>
    <w:p w14:paraId="19E450CB" w14:textId="77777777" w:rsidR="00735CBB" w:rsidRPr="00C51411" w:rsidRDefault="00735CBB" w:rsidP="00735CBB">
      <w:pPr>
        <w:spacing w:line="240" w:lineRule="auto"/>
        <w:rPr>
          <w:rFonts w:eastAsia="Times New Roman" w:cs="Arial"/>
          <w:b/>
          <w:bCs/>
          <w:color w:val="000000"/>
          <w:lang w:eastAsia="bg-BG"/>
        </w:rPr>
      </w:pPr>
    </w:p>
    <w:p w14:paraId="050EF47A" w14:textId="6FCCABB6"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Стомашно-чревни нарушения</w:t>
      </w:r>
    </w:p>
    <w:p w14:paraId="29C59947" w14:textId="6D7BA82C"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Много редки</w:t>
      </w:r>
      <w:r w:rsidRPr="00C51411">
        <w:rPr>
          <w:rFonts w:eastAsia="Times New Roman" w:cs="Arial"/>
          <w:color w:val="000000"/>
          <w:lang w:val="en-US" w:eastAsia="bg-BG"/>
        </w:rPr>
        <w:t xml:space="preserve">: </w:t>
      </w:r>
      <w:r w:rsidRPr="00735CBB">
        <w:rPr>
          <w:rFonts w:eastAsia="Times New Roman" w:cs="Arial"/>
          <w:color w:val="000000"/>
          <w:lang w:eastAsia="bg-BG"/>
        </w:rPr>
        <w:t>Диария</w:t>
      </w:r>
    </w:p>
    <w:p w14:paraId="73C92E15" w14:textId="77777777" w:rsidR="00735CBB" w:rsidRPr="00C51411" w:rsidRDefault="00735CBB" w:rsidP="00735CBB">
      <w:pPr>
        <w:spacing w:line="240" w:lineRule="auto"/>
        <w:rPr>
          <w:rFonts w:eastAsia="Times New Roman" w:cs="Arial"/>
          <w:b/>
          <w:bCs/>
          <w:color w:val="000000"/>
          <w:lang w:eastAsia="bg-BG"/>
        </w:rPr>
      </w:pPr>
    </w:p>
    <w:p w14:paraId="1C961209" w14:textId="66FC2FF8"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Нарушения на мускулно-скелетната система и съединителната тъкан</w:t>
      </w:r>
    </w:p>
    <w:p w14:paraId="443EA38F" w14:textId="08D9CBB4"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Нечести</w:t>
      </w:r>
      <w:r w:rsidRPr="00C51411">
        <w:rPr>
          <w:rFonts w:eastAsia="Times New Roman" w:cs="Arial"/>
          <w:color w:val="000000"/>
          <w:lang w:val="en-US" w:eastAsia="bg-BG"/>
        </w:rPr>
        <w:t xml:space="preserve">: </w:t>
      </w:r>
      <w:r w:rsidRPr="00735CBB">
        <w:rPr>
          <w:rFonts w:eastAsia="Times New Roman" w:cs="Arial"/>
          <w:color w:val="000000"/>
          <w:lang w:eastAsia="bg-BG"/>
        </w:rPr>
        <w:t>Миалгия</w:t>
      </w:r>
    </w:p>
    <w:p w14:paraId="321578F2" w14:textId="6D74A19E"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Много редки</w:t>
      </w:r>
      <w:r w:rsidRPr="00C51411">
        <w:rPr>
          <w:rFonts w:eastAsia="Times New Roman" w:cs="Arial"/>
          <w:color w:val="000000"/>
          <w:lang w:val="en-US" w:eastAsia="bg-BG"/>
        </w:rPr>
        <w:t xml:space="preserve">: </w:t>
      </w:r>
      <w:r w:rsidRPr="00735CBB">
        <w:rPr>
          <w:rFonts w:eastAsia="Times New Roman" w:cs="Arial"/>
          <w:color w:val="000000"/>
          <w:lang w:eastAsia="bg-BG"/>
        </w:rPr>
        <w:t>Артралгия</w:t>
      </w:r>
    </w:p>
    <w:p w14:paraId="16F4D1D2" w14:textId="77777777" w:rsidR="00735CBB" w:rsidRPr="00C51411" w:rsidRDefault="00735CBB" w:rsidP="00735CBB">
      <w:pPr>
        <w:spacing w:line="240" w:lineRule="auto"/>
        <w:rPr>
          <w:rFonts w:eastAsia="Times New Roman" w:cs="Arial"/>
          <w:b/>
          <w:bCs/>
          <w:color w:val="000000"/>
          <w:lang w:eastAsia="bg-BG"/>
        </w:rPr>
      </w:pPr>
    </w:p>
    <w:p w14:paraId="7CCDA724" w14:textId="07F9D88A"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Нарушения на бъбреците и пикочните пътища</w:t>
      </w:r>
    </w:p>
    <w:p w14:paraId="7891F800" w14:textId="53B586F1"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С неизвестна честота</w:t>
      </w:r>
      <w:r w:rsidRPr="00C51411">
        <w:rPr>
          <w:rFonts w:eastAsia="Times New Roman" w:cs="Arial"/>
          <w:color w:val="000000"/>
          <w:lang w:val="en-US" w:eastAsia="bg-BG"/>
        </w:rPr>
        <w:t xml:space="preserve">: </w:t>
      </w:r>
      <w:r w:rsidRPr="00735CBB">
        <w:rPr>
          <w:rFonts w:eastAsia="Times New Roman" w:cs="Arial"/>
          <w:color w:val="000000"/>
          <w:lang w:eastAsia="bg-BG"/>
        </w:rPr>
        <w:t>У вредена бъбречна функция</w:t>
      </w:r>
    </w:p>
    <w:p w14:paraId="3B848FBB" w14:textId="77777777" w:rsidR="00735CBB" w:rsidRPr="00C51411" w:rsidRDefault="00735CBB" w:rsidP="00735CBB">
      <w:pPr>
        <w:spacing w:line="240" w:lineRule="auto"/>
        <w:rPr>
          <w:rFonts w:eastAsia="Times New Roman" w:cs="Arial"/>
          <w:b/>
          <w:bCs/>
          <w:color w:val="000000"/>
          <w:lang w:eastAsia="bg-BG"/>
        </w:rPr>
      </w:pPr>
    </w:p>
    <w:p w14:paraId="12E415CF" w14:textId="492214CB"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Общи нарушения и ефекти на мястото на приложение</w:t>
      </w:r>
    </w:p>
    <w:p w14:paraId="532558C6" w14:textId="5931AF3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Нечести</w:t>
      </w:r>
      <w:r w:rsidRPr="00C51411">
        <w:rPr>
          <w:rFonts w:eastAsia="Times New Roman" w:cs="Arial"/>
          <w:color w:val="000000"/>
          <w:lang w:val="en-US" w:eastAsia="bg-BG"/>
        </w:rPr>
        <w:t xml:space="preserve">: </w:t>
      </w:r>
      <w:r w:rsidRPr="00735CBB">
        <w:rPr>
          <w:rFonts w:eastAsia="Times New Roman" w:cs="Arial"/>
          <w:color w:val="000000"/>
          <w:lang w:eastAsia="bg-BG"/>
        </w:rPr>
        <w:t>Умора</w:t>
      </w:r>
    </w:p>
    <w:p w14:paraId="0E1E7DD0" w14:textId="77777777" w:rsidR="00735CBB" w:rsidRPr="00C51411" w:rsidRDefault="00735CBB" w:rsidP="00735CBB">
      <w:pPr>
        <w:spacing w:line="240" w:lineRule="auto"/>
        <w:rPr>
          <w:rFonts w:eastAsia="Times New Roman" w:cs="Arial"/>
          <w:b/>
          <w:bCs/>
          <w:color w:val="000000"/>
          <w:lang w:eastAsia="bg-BG"/>
        </w:rPr>
      </w:pPr>
    </w:p>
    <w:p w14:paraId="5ACB9512" w14:textId="6BE011F9"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Изследвания</w:t>
      </w:r>
    </w:p>
    <w:p w14:paraId="47FB0415" w14:textId="53CA7AE5" w:rsidR="00735CBB" w:rsidRPr="00C51411" w:rsidRDefault="00735CBB" w:rsidP="00735CBB">
      <w:pPr>
        <w:spacing w:line="240" w:lineRule="auto"/>
        <w:rPr>
          <w:rFonts w:eastAsia="Times New Roman" w:cs="Arial"/>
          <w:color w:val="000000"/>
          <w:lang w:eastAsia="bg-BG"/>
        </w:rPr>
      </w:pPr>
      <w:r w:rsidRPr="00735CBB">
        <w:rPr>
          <w:rFonts w:eastAsia="Times New Roman" w:cs="Arial"/>
          <w:color w:val="000000"/>
          <w:lang w:eastAsia="bg-BG"/>
        </w:rPr>
        <w:t>С неизвестна честота</w:t>
      </w:r>
      <w:r w:rsidRPr="00C51411">
        <w:rPr>
          <w:rFonts w:eastAsia="Times New Roman" w:cs="Arial"/>
          <w:color w:val="000000"/>
          <w:lang w:val="en-US" w:eastAsia="bg-BG"/>
        </w:rPr>
        <w:t xml:space="preserve">: </w:t>
      </w:r>
      <w:r w:rsidRPr="00735CBB">
        <w:rPr>
          <w:rFonts w:eastAsia="Times New Roman" w:cs="Arial"/>
          <w:color w:val="000000"/>
          <w:lang w:eastAsia="bg-BG"/>
        </w:rPr>
        <w:t>Повишени стойности на пикочна киселина билирубин и</w:t>
      </w:r>
      <w:r w:rsidRPr="00C51411">
        <w:rPr>
          <w:rFonts w:eastAsia="Times New Roman" w:cs="Arial"/>
          <w:lang w:val="en-US" w:eastAsia="bg-BG"/>
        </w:rPr>
        <w:t xml:space="preserve"> </w:t>
      </w:r>
      <w:r w:rsidRPr="00C51411">
        <w:rPr>
          <w:rFonts w:eastAsia="Times New Roman" w:cs="Arial"/>
          <w:color w:val="000000"/>
          <w:lang w:eastAsia="bg-BG"/>
        </w:rPr>
        <w:t>креатинин в серума, хипокалиемия, хипонатриемия повишаване на уреята в кръвта, неутропения</w:t>
      </w:r>
    </w:p>
    <w:p w14:paraId="19D97730" w14:textId="46BE37AA" w:rsidR="00735CBB" w:rsidRPr="00C51411" w:rsidRDefault="00735CBB" w:rsidP="00735CBB">
      <w:pPr>
        <w:spacing w:line="240" w:lineRule="auto"/>
        <w:rPr>
          <w:rFonts w:eastAsia="Times New Roman" w:cs="Arial"/>
          <w:color w:val="000000"/>
          <w:lang w:eastAsia="bg-BG"/>
        </w:rPr>
      </w:pPr>
    </w:p>
    <w:p w14:paraId="143F38BB" w14:textId="77777777" w:rsidR="00735CBB" w:rsidRPr="00735CBB" w:rsidRDefault="00735CBB" w:rsidP="00735CBB">
      <w:pPr>
        <w:spacing w:line="240" w:lineRule="auto"/>
        <w:rPr>
          <w:rFonts w:eastAsia="Times New Roman" w:cs="Arial"/>
          <w:lang w:eastAsia="bg-BG"/>
        </w:rPr>
      </w:pPr>
      <w:r w:rsidRPr="00735CBB">
        <w:rPr>
          <w:rFonts w:eastAsia="Times New Roman" w:cs="Arial"/>
          <w:color w:val="000000"/>
          <w:u w:val="single"/>
          <w:lang w:eastAsia="bg-BG"/>
        </w:rPr>
        <w:t>Допълнителна информация за отделните компоненти</w:t>
      </w:r>
    </w:p>
    <w:p w14:paraId="587022CB" w14:textId="7777777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lastRenderedPageBreak/>
        <w:t>Нежеланите лекарствени реакции, наблюдавани с отделните компоненти, могат да бъдат нежелани реакции и при Валтензин Плюс, дори и да не са наблюдавани в клинични изпитвания или в постмаркетинговия период.</w:t>
      </w:r>
    </w:p>
    <w:p w14:paraId="78AD261C" w14:textId="77777777" w:rsidR="00735CBB" w:rsidRPr="00C51411" w:rsidRDefault="00735CBB" w:rsidP="00735CBB">
      <w:pPr>
        <w:spacing w:line="240" w:lineRule="auto"/>
        <w:rPr>
          <w:rFonts w:eastAsia="Times New Roman" w:cs="Arial"/>
          <w:color w:val="000000"/>
          <w:u w:val="single"/>
          <w:lang w:eastAsia="bg-BG"/>
        </w:rPr>
      </w:pPr>
    </w:p>
    <w:p w14:paraId="60F39CD0" w14:textId="56B1A8FF" w:rsidR="00735CBB" w:rsidRPr="00735CBB" w:rsidRDefault="00735CBB" w:rsidP="00735CBB">
      <w:pPr>
        <w:spacing w:line="240" w:lineRule="auto"/>
        <w:rPr>
          <w:rFonts w:eastAsia="Times New Roman" w:cs="Arial"/>
          <w:lang w:eastAsia="bg-BG"/>
        </w:rPr>
      </w:pPr>
      <w:r w:rsidRPr="00735CBB">
        <w:rPr>
          <w:rFonts w:eastAsia="Times New Roman" w:cs="Arial"/>
          <w:color w:val="000000"/>
          <w:u w:val="single"/>
          <w:lang w:eastAsia="bg-BG"/>
        </w:rPr>
        <w:t>Таблица 2. Честота на нежеланите лекарствени реакции при валсартан</w:t>
      </w:r>
    </w:p>
    <w:p w14:paraId="6BE41EC3" w14:textId="77777777" w:rsidR="00735CBB" w:rsidRPr="00C51411" w:rsidRDefault="00735CBB" w:rsidP="00735CBB">
      <w:pPr>
        <w:spacing w:line="240" w:lineRule="auto"/>
        <w:rPr>
          <w:rFonts w:eastAsia="Times New Roman" w:cs="Arial"/>
          <w:b/>
          <w:bCs/>
          <w:color w:val="000000"/>
          <w:lang w:eastAsia="bg-BG"/>
        </w:rPr>
      </w:pPr>
    </w:p>
    <w:p w14:paraId="7CD3B3F2" w14:textId="259BFA75"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Нарушения на кръвта и лимфната система</w:t>
      </w:r>
    </w:p>
    <w:p w14:paraId="2636F208" w14:textId="03E196F8"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С неизвестна честота</w:t>
      </w:r>
      <w:r w:rsidRPr="00C51411">
        <w:rPr>
          <w:rFonts w:eastAsia="Times New Roman" w:cs="Arial"/>
          <w:color w:val="000000"/>
          <w:lang w:val="en-US" w:eastAsia="bg-BG"/>
        </w:rPr>
        <w:t xml:space="preserve">: </w:t>
      </w:r>
      <w:r w:rsidRPr="00735CBB">
        <w:rPr>
          <w:rFonts w:eastAsia="Times New Roman" w:cs="Arial"/>
          <w:color w:val="000000"/>
          <w:lang w:eastAsia="bg-BG"/>
        </w:rPr>
        <w:t>Понижаване на хемоглобина, понижаване на хематокрита,</w:t>
      </w:r>
      <w:r w:rsidRPr="00C51411">
        <w:rPr>
          <w:rFonts w:eastAsia="Times New Roman" w:cs="Arial"/>
          <w:lang w:val="en-US" w:eastAsia="bg-BG"/>
        </w:rPr>
        <w:t xml:space="preserve"> </w:t>
      </w:r>
      <w:r w:rsidRPr="00735CBB">
        <w:rPr>
          <w:rFonts w:eastAsia="Times New Roman" w:cs="Arial"/>
          <w:color w:val="000000"/>
          <w:lang w:eastAsia="bg-BG"/>
        </w:rPr>
        <w:t>тромбоцитопения</w:t>
      </w:r>
    </w:p>
    <w:p w14:paraId="654CFC0D" w14:textId="77777777" w:rsidR="00735CBB" w:rsidRPr="00C51411" w:rsidRDefault="00735CBB" w:rsidP="00735CBB">
      <w:pPr>
        <w:spacing w:line="240" w:lineRule="auto"/>
        <w:rPr>
          <w:rFonts w:eastAsia="Times New Roman" w:cs="Arial"/>
          <w:b/>
          <w:bCs/>
          <w:color w:val="000000"/>
          <w:lang w:eastAsia="bg-BG"/>
        </w:rPr>
      </w:pPr>
    </w:p>
    <w:p w14:paraId="24EFD182" w14:textId="493A86AA"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Нарушения на имунната система</w:t>
      </w:r>
    </w:p>
    <w:p w14:paraId="3C35B82E" w14:textId="787E692F"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С неизвестна честота</w:t>
      </w:r>
      <w:r w:rsidRPr="00C51411">
        <w:rPr>
          <w:rFonts w:eastAsia="Times New Roman" w:cs="Arial"/>
          <w:color w:val="000000"/>
          <w:lang w:val="en-US" w:eastAsia="bg-BG"/>
        </w:rPr>
        <w:t xml:space="preserve">: </w:t>
      </w:r>
      <w:r w:rsidRPr="00735CBB">
        <w:rPr>
          <w:rFonts w:eastAsia="Times New Roman" w:cs="Arial"/>
          <w:color w:val="000000"/>
          <w:lang w:eastAsia="bg-BG"/>
        </w:rPr>
        <w:t>Други реакции на свръхчувствителност/ алергични реакции,</w:t>
      </w:r>
      <w:r w:rsidRPr="00C51411">
        <w:rPr>
          <w:rFonts w:eastAsia="Times New Roman" w:cs="Arial"/>
          <w:lang w:val="en-US" w:eastAsia="bg-BG"/>
        </w:rPr>
        <w:t xml:space="preserve"> </w:t>
      </w:r>
      <w:r w:rsidRPr="00735CBB">
        <w:rPr>
          <w:rFonts w:eastAsia="Times New Roman" w:cs="Arial"/>
          <w:color w:val="000000"/>
          <w:lang w:eastAsia="bg-BG"/>
        </w:rPr>
        <w:t>включително серумна болест</w:t>
      </w:r>
    </w:p>
    <w:p w14:paraId="3D177D9B" w14:textId="77777777" w:rsidR="00735CBB" w:rsidRPr="00C51411" w:rsidRDefault="00735CBB" w:rsidP="00735CBB">
      <w:pPr>
        <w:spacing w:line="240" w:lineRule="auto"/>
        <w:rPr>
          <w:rFonts w:eastAsia="Times New Roman" w:cs="Arial"/>
          <w:b/>
          <w:bCs/>
          <w:color w:val="000000"/>
          <w:lang w:eastAsia="bg-BG"/>
        </w:rPr>
      </w:pPr>
    </w:p>
    <w:p w14:paraId="73E7908E" w14:textId="297D0AE3"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Нарушения на метаболизма и храненето</w:t>
      </w:r>
    </w:p>
    <w:p w14:paraId="15A17B3E" w14:textId="0CE7B7D8"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С неизвестна честота</w:t>
      </w:r>
      <w:r w:rsidRPr="00C51411">
        <w:rPr>
          <w:rFonts w:eastAsia="Times New Roman" w:cs="Arial"/>
          <w:color w:val="000000"/>
          <w:lang w:val="en-US" w:eastAsia="bg-BG"/>
        </w:rPr>
        <w:t xml:space="preserve">: </w:t>
      </w:r>
      <w:r w:rsidRPr="00735CBB">
        <w:rPr>
          <w:rFonts w:eastAsia="Times New Roman" w:cs="Arial"/>
          <w:color w:val="000000"/>
          <w:lang w:eastAsia="bg-BG"/>
        </w:rPr>
        <w:t>Повишаване на серумния калий, хипонатриемия</w:t>
      </w:r>
    </w:p>
    <w:p w14:paraId="07452719" w14:textId="77777777" w:rsidR="00735CBB" w:rsidRPr="00C51411" w:rsidRDefault="00735CBB" w:rsidP="00735CBB">
      <w:pPr>
        <w:spacing w:line="240" w:lineRule="auto"/>
        <w:rPr>
          <w:rFonts w:eastAsia="Times New Roman" w:cs="Arial"/>
          <w:b/>
          <w:bCs/>
          <w:color w:val="000000"/>
          <w:lang w:eastAsia="bg-BG"/>
        </w:rPr>
      </w:pPr>
    </w:p>
    <w:p w14:paraId="6F01C37A" w14:textId="556E65D3"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Нарушения на ухото и лабиринта</w:t>
      </w:r>
    </w:p>
    <w:p w14:paraId="31B503E0" w14:textId="26685BFC"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Нечести</w:t>
      </w:r>
      <w:r w:rsidRPr="00C51411">
        <w:rPr>
          <w:rFonts w:eastAsia="Times New Roman" w:cs="Arial"/>
          <w:color w:val="000000"/>
          <w:lang w:val="en-US" w:eastAsia="bg-BG"/>
        </w:rPr>
        <w:t xml:space="preserve">: </w:t>
      </w:r>
      <w:r w:rsidRPr="00735CBB">
        <w:rPr>
          <w:rFonts w:eastAsia="Times New Roman" w:cs="Arial"/>
          <w:color w:val="000000"/>
          <w:lang w:eastAsia="bg-BG"/>
        </w:rPr>
        <w:t>Световъртеж</w:t>
      </w:r>
    </w:p>
    <w:p w14:paraId="4E220BC2" w14:textId="77777777" w:rsidR="00735CBB" w:rsidRPr="00C51411" w:rsidRDefault="00735CBB" w:rsidP="00735CBB">
      <w:pPr>
        <w:spacing w:line="240" w:lineRule="auto"/>
        <w:rPr>
          <w:rFonts w:eastAsia="Times New Roman" w:cs="Arial"/>
          <w:b/>
          <w:bCs/>
          <w:color w:val="000000"/>
          <w:lang w:eastAsia="bg-BG"/>
        </w:rPr>
      </w:pPr>
    </w:p>
    <w:p w14:paraId="0862793A" w14:textId="34417493"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Съдови нарушения</w:t>
      </w:r>
    </w:p>
    <w:p w14:paraId="44D1592C" w14:textId="1E786489"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С неизвестна честота</w:t>
      </w:r>
      <w:r w:rsidRPr="00C51411">
        <w:rPr>
          <w:rFonts w:eastAsia="Times New Roman" w:cs="Arial"/>
          <w:color w:val="000000"/>
          <w:lang w:val="en-US" w:eastAsia="bg-BG"/>
        </w:rPr>
        <w:t xml:space="preserve">: </w:t>
      </w:r>
      <w:r w:rsidRPr="00735CBB">
        <w:rPr>
          <w:rFonts w:eastAsia="Times New Roman" w:cs="Arial"/>
          <w:color w:val="000000"/>
          <w:lang w:eastAsia="bg-BG"/>
        </w:rPr>
        <w:t>Васкулит</w:t>
      </w:r>
    </w:p>
    <w:p w14:paraId="3CF8EA4E" w14:textId="77777777" w:rsidR="00735CBB" w:rsidRPr="00C51411" w:rsidRDefault="00735CBB" w:rsidP="00735CBB">
      <w:pPr>
        <w:spacing w:line="240" w:lineRule="auto"/>
        <w:rPr>
          <w:rFonts w:eastAsia="Times New Roman" w:cs="Arial"/>
          <w:b/>
          <w:bCs/>
          <w:color w:val="000000"/>
          <w:lang w:eastAsia="bg-BG"/>
        </w:rPr>
      </w:pPr>
    </w:p>
    <w:p w14:paraId="2E56C22E" w14:textId="02F99C96"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Стомашно-чревни нарушения</w:t>
      </w:r>
    </w:p>
    <w:p w14:paraId="51642657" w14:textId="0C9D90BE"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Нечести</w:t>
      </w:r>
      <w:r w:rsidRPr="00C51411">
        <w:rPr>
          <w:rFonts w:eastAsia="Times New Roman" w:cs="Arial"/>
          <w:color w:val="000000"/>
          <w:lang w:val="en-US" w:eastAsia="bg-BG"/>
        </w:rPr>
        <w:t xml:space="preserve">: </w:t>
      </w:r>
      <w:r w:rsidRPr="00735CBB">
        <w:rPr>
          <w:rFonts w:eastAsia="Times New Roman" w:cs="Arial"/>
          <w:color w:val="000000"/>
          <w:lang w:eastAsia="bg-BG"/>
        </w:rPr>
        <w:t>Коремна болка</w:t>
      </w:r>
    </w:p>
    <w:p w14:paraId="719FB96A" w14:textId="77777777" w:rsidR="00735CBB" w:rsidRPr="00C51411" w:rsidRDefault="00735CBB" w:rsidP="00735CBB">
      <w:pPr>
        <w:spacing w:line="240" w:lineRule="auto"/>
        <w:rPr>
          <w:rFonts w:eastAsia="Times New Roman" w:cs="Arial"/>
          <w:b/>
          <w:bCs/>
          <w:color w:val="000000"/>
          <w:lang w:eastAsia="bg-BG"/>
        </w:rPr>
      </w:pPr>
    </w:p>
    <w:p w14:paraId="0A1FCA53" w14:textId="49F90774"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Хепатобилиарнн нарушения</w:t>
      </w:r>
    </w:p>
    <w:p w14:paraId="50175D15" w14:textId="5C37831F"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С неизвестна честота</w:t>
      </w:r>
      <w:r w:rsidRPr="00C51411">
        <w:rPr>
          <w:rFonts w:eastAsia="Times New Roman" w:cs="Arial"/>
          <w:color w:val="000000"/>
          <w:lang w:val="en-US" w:eastAsia="bg-BG"/>
        </w:rPr>
        <w:t xml:space="preserve">: </w:t>
      </w:r>
      <w:r w:rsidRPr="00735CBB">
        <w:rPr>
          <w:rFonts w:eastAsia="Times New Roman" w:cs="Arial"/>
          <w:color w:val="000000"/>
          <w:lang w:eastAsia="bg-BG"/>
        </w:rPr>
        <w:t>Повишени стойности</w:t>
      </w:r>
      <w:r w:rsidRPr="00C51411">
        <w:rPr>
          <w:rFonts w:eastAsia="Times New Roman" w:cs="Arial"/>
          <w:color w:val="000000"/>
          <w:lang w:val="en-US" w:eastAsia="bg-BG"/>
        </w:rPr>
        <w:t xml:space="preserve"> </w:t>
      </w:r>
      <w:r w:rsidRPr="00735CBB">
        <w:rPr>
          <w:rFonts w:eastAsia="Times New Roman" w:cs="Arial"/>
          <w:color w:val="000000"/>
          <w:lang w:eastAsia="bg-BG"/>
        </w:rPr>
        <w:t>на показателите на чернодробната</w:t>
      </w:r>
      <w:r w:rsidRPr="00C51411">
        <w:rPr>
          <w:rFonts w:eastAsia="Times New Roman" w:cs="Arial"/>
          <w:lang w:val="en-US" w:eastAsia="bg-BG"/>
        </w:rPr>
        <w:t xml:space="preserve"> </w:t>
      </w:r>
      <w:r w:rsidRPr="00735CBB">
        <w:rPr>
          <w:rFonts w:eastAsia="Times New Roman" w:cs="Arial"/>
          <w:color w:val="000000"/>
          <w:lang w:eastAsia="bg-BG"/>
        </w:rPr>
        <w:t>функция</w:t>
      </w:r>
    </w:p>
    <w:p w14:paraId="65996D0A" w14:textId="77777777" w:rsidR="00735CBB" w:rsidRPr="00C51411" w:rsidRDefault="00735CBB" w:rsidP="00735CBB">
      <w:pPr>
        <w:spacing w:line="240" w:lineRule="auto"/>
        <w:rPr>
          <w:rFonts w:eastAsia="Times New Roman" w:cs="Arial"/>
          <w:b/>
          <w:bCs/>
          <w:color w:val="000000"/>
          <w:lang w:eastAsia="bg-BG"/>
        </w:rPr>
      </w:pPr>
    </w:p>
    <w:p w14:paraId="2B5AC626" w14:textId="0B2A01F3"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Нарушения на кожата и подкожната тъкан</w:t>
      </w:r>
    </w:p>
    <w:p w14:paraId="547064BD" w14:textId="310A844C"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С неизвестна честота</w:t>
      </w:r>
      <w:r w:rsidRPr="00C51411">
        <w:rPr>
          <w:rFonts w:eastAsia="Times New Roman" w:cs="Arial"/>
          <w:color w:val="000000"/>
          <w:lang w:val="en-US" w:eastAsia="bg-BG"/>
        </w:rPr>
        <w:t xml:space="preserve">: </w:t>
      </w:r>
      <w:r w:rsidRPr="00735CBB">
        <w:rPr>
          <w:rFonts w:eastAsia="Times New Roman" w:cs="Arial"/>
          <w:color w:val="000000"/>
          <w:lang w:eastAsia="bg-BG"/>
        </w:rPr>
        <w:t>Ангиоедем, булозен дерматит, обрив, сърбеж</w:t>
      </w:r>
    </w:p>
    <w:p w14:paraId="66AB38D0" w14:textId="77777777" w:rsidR="00735CBB" w:rsidRPr="00C51411" w:rsidRDefault="00735CBB" w:rsidP="00735CBB">
      <w:pPr>
        <w:spacing w:line="240" w:lineRule="auto"/>
        <w:rPr>
          <w:rFonts w:eastAsia="Times New Roman" w:cs="Arial"/>
          <w:b/>
          <w:bCs/>
          <w:color w:val="000000"/>
          <w:lang w:eastAsia="bg-BG"/>
        </w:rPr>
      </w:pPr>
    </w:p>
    <w:p w14:paraId="76D584B1" w14:textId="17991444"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Нарушения на бъбреците и пикочните пътища</w:t>
      </w:r>
    </w:p>
    <w:p w14:paraId="785078ED" w14:textId="3B1FB130"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С неизвестна честота</w:t>
      </w:r>
      <w:r w:rsidRPr="00C51411">
        <w:rPr>
          <w:rFonts w:eastAsia="Times New Roman" w:cs="Arial"/>
          <w:color w:val="000000"/>
          <w:lang w:val="en-US" w:eastAsia="bg-BG"/>
        </w:rPr>
        <w:t xml:space="preserve">: </w:t>
      </w:r>
      <w:r w:rsidRPr="00735CBB">
        <w:rPr>
          <w:rFonts w:eastAsia="Times New Roman" w:cs="Arial"/>
          <w:color w:val="000000"/>
          <w:lang w:eastAsia="bg-BG"/>
        </w:rPr>
        <w:t>Бъбречна недостатъчност</w:t>
      </w:r>
    </w:p>
    <w:p w14:paraId="5042E2B8" w14:textId="77777777" w:rsidR="00735CBB" w:rsidRPr="00C51411" w:rsidRDefault="00735CBB" w:rsidP="00735CBB">
      <w:pPr>
        <w:spacing w:line="240" w:lineRule="auto"/>
        <w:rPr>
          <w:rFonts w:eastAsia="Times New Roman" w:cs="Arial"/>
          <w:color w:val="000000"/>
          <w:u w:val="single"/>
          <w:lang w:eastAsia="bg-BG"/>
        </w:rPr>
      </w:pPr>
    </w:p>
    <w:p w14:paraId="423C1B67" w14:textId="51AF61AC" w:rsidR="00735CBB" w:rsidRPr="00735CBB" w:rsidRDefault="00735CBB" w:rsidP="00735CBB">
      <w:pPr>
        <w:spacing w:line="240" w:lineRule="auto"/>
        <w:rPr>
          <w:rFonts w:eastAsia="Times New Roman" w:cs="Arial"/>
          <w:lang w:eastAsia="bg-BG"/>
        </w:rPr>
      </w:pPr>
      <w:r w:rsidRPr="00735CBB">
        <w:rPr>
          <w:rFonts w:eastAsia="Times New Roman" w:cs="Arial"/>
          <w:color w:val="000000"/>
          <w:u w:val="single"/>
          <w:lang w:eastAsia="bg-BG"/>
        </w:rPr>
        <w:t>Таблица 3. Честота на нежеланите лекарствени реакции с хидрохлоротиазид</w:t>
      </w:r>
    </w:p>
    <w:p w14:paraId="7B75622B" w14:textId="77777777" w:rsidR="00735CBB" w:rsidRPr="00C51411" w:rsidRDefault="00735CBB" w:rsidP="00735CBB">
      <w:pPr>
        <w:spacing w:line="240" w:lineRule="auto"/>
        <w:rPr>
          <w:rFonts w:eastAsia="Times New Roman" w:cs="Arial"/>
          <w:color w:val="000000"/>
          <w:lang w:eastAsia="bg-BG"/>
        </w:rPr>
      </w:pPr>
    </w:p>
    <w:p w14:paraId="16F40946" w14:textId="31008184"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Хидрохлоротиазид е широко предписван от много години, често в по-високи дози от тези, които се прилагат с Валтензин Плюс. При пациенти на монотерапия с тиазидни диуретици, включително хидрохлоротиазид са докладвани следните нежелани лекарствени реакции:</w:t>
      </w:r>
    </w:p>
    <w:p w14:paraId="0713F708" w14:textId="77777777" w:rsidR="00735CBB" w:rsidRPr="00C51411" w:rsidRDefault="00735CBB" w:rsidP="00735CBB">
      <w:pPr>
        <w:spacing w:line="240" w:lineRule="auto"/>
        <w:rPr>
          <w:rFonts w:eastAsia="Times New Roman" w:cs="Arial"/>
          <w:b/>
          <w:bCs/>
          <w:color w:val="000000"/>
          <w:lang w:eastAsia="bg-BG"/>
        </w:rPr>
      </w:pPr>
    </w:p>
    <w:p w14:paraId="2B148784" w14:textId="363C102E"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 xml:space="preserve">Неоплазми </w:t>
      </w:r>
      <w:r w:rsidRPr="00C51411">
        <w:rPr>
          <w:rFonts w:eastAsia="Times New Roman" w:cs="Arial"/>
          <w:b/>
          <w:bCs/>
          <w:color w:val="000000"/>
          <w:lang w:val="en-US" w:eastAsia="bg-BG"/>
        </w:rPr>
        <w:t>-</w:t>
      </w:r>
      <w:r w:rsidRPr="00735CBB">
        <w:rPr>
          <w:rFonts w:eastAsia="Times New Roman" w:cs="Arial"/>
          <w:b/>
          <w:bCs/>
          <w:color w:val="000000"/>
          <w:lang w:eastAsia="bg-BG"/>
        </w:rPr>
        <w:t xml:space="preserve"> доброкачествени, злокачествени и неопределени (вкл. кисти и полипи)</w:t>
      </w:r>
    </w:p>
    <w:p w14:paraId="7EAC9C55" w14:textId="1456C206"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С неизвестна честота:</w:t>
      </w:r>
      <w:r w:rsidRPr="00C51411">
        <w:rPr>
          <w:rFonts w:eastAsia="Times New Roman" w:cs="Arial"/>
          <w:color w:val="000000"/>
          <w:lang w:val="en-US" w:eastAsia="bg-BG"/>
        </w:rPr>
        <w:t xml:space="preserve"> </w:t>
      </w:r>
      <w:r w:rsidRPr="00735CBB">
        <w:rPr>
          <w:rFonts w:eastAsia="Times New Roman" w:cs="Arial"/>
          <w:color w:val="000000"/>
          <w:lang w:eastAsia="bg-BG"/>
        </w:rPr>
        <w:t>Немеланомен рак на кожата (базалноклетьчен карцином</w:t>
      </w:r>
      <w:r w:rsidRPr="00C51411">
        <w:rPr>
          <w:rFonts w:eastAsia="Times New Roman" w:cs="Arial"/>
          <w:lang w:val="en-US" w:eastAsia="bg-BG"/>
        </w:rPr>
        <w:t xml:space="preserve"> </w:t>
      </w:r>
      <w:r w:rsidRPr="00735CBB">
        <w:rPr>
          <w:rFonts w:eastAsia="Times New Roman" w:cs="Arial"/>
          <w:color w:val="000000"/>
          <w:lang w:eastAsia="bg-BG"/>
        </w:rPr>
        <w:t>и сквамозноклетъчен карцином)</w:t>
      </w:r>
    </w:p>
    <w:p w14:paraId="1423207A" w14:textId="77777777" w:rsidR="00735CBB" w:rsidRPr="00C51411" w:rsidRDefault="00735CBB" w:rsidP="00735CBB">
      <w:pPr>
        <w:spacing w:line="240" w:lineRule="auto"/>
        <w:rPr>
          <w:rFonts w:eastAsia="Times New Roman" w:cs="Arial"/>
          <w:b/>
          <w:bCs/>
          <w:color w:val="000000"/>
          <w:lang w:eastAsia="bg-BG"/>
        </w:rPr>
      </w:pPr>
    </w:p>
    <w:p w14:paraId="3EF668C8" w14:textId="23F8A01C"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Нарушения на кръвта и лимфната система</w:t>
      </w:r>
    </w:p>
    <w:p w14:paraId="0E1E9CE5" w14:textId="4626CDF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Редки</w:t>
      </w:r>
      <w:r w:rsidRPr="00C51411">
        <w:rPr>
          <w:rFonts w:eastAsia="Times New Roman" w:cs="Arial"/>
          <w:color w:val="000000"/>
          <w:lang w:val="en-US" w:eastAsia="bg-BG"/>
        </w:rPr>
        <w:t xml:space="preserve">: </w:t>
      </w:r>
      <w:r w:rsidRPr="00735CBB">
        <w:rPr>
          <w:rFonts w:eastAsia="Times New Roman" w:cs="Arial"/>
          <w:color w:val="000000"/>
          <w:lang w:eastAsia="bg-BG"/>
        </w:rPr>
        <w:t>Тромбоцитопения, понякога с пурпура</w:t>
      </w:r>
    </w:p>
    <w:p w14:paraId="0C79DA18" w14:textId="3CF5FD0C"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Много редки</w:t>
      </w:r>
      <w:r w:rsidRPr="00C51411">
        <w:rPr>
          <w:rFonts w:eastAsia="Times New Roman" w:cs="Arial"/>
          <w:color w:val="000000"/>
          <w:lang w:val="en-US" w:eastAsia="bg-BG"/>
        </w:rPr>
        <w:t xml:space="preserve">: </w:t>
      </w:r>
      <w:r w:rsidRPr="00735CBB">
        <w:rPr>
          <w:rFonts w:eastAsia="Times New Roman" w:cs="Arial"/>
          <w:color w:val="000000"/>
          <w:lang w:eastAsia="bg-BG"/>
        </w:rPr>
        <w:t>Агранулоцитоза, левкопения, хемолитична анемия, костно</w:t>
      </w:r>
      <w:r w:rsidRPr="00C51411">
        <w:rPr>
          <w:rFonts w:eastAsia="Times New Roman" w:cs="Arial"/>
          <w:color w:val="000000"/>
          <w:lang w:val="en-US" w:eastAsia="bg-BG"/>
        </w:rPr>
        <w:t>-</w:t>
      </w:r>
      <w:r w:rsidRPr="00735CBB">
        <w:rPr>
          <w:rFonts w:eastAsia="Times New Roman" w:cs="Arial"/>
          <w:color w:val="000000"/>
          <w:lang w:eastAsia="bg-BG"/>
        </w:rPr>
        <w:t>мозъчна недостатъчност</w:t>
      </w:r>
    </w:p>
    <w:p w14:paraId="39B07E92" w14:textId="2362A93F"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С неизвестна честота</w:t>
      </w:r>
      <w:r w:rsidRPr="00C51411">
        <w:rPr>
          <w:rFonts w:eastAsia="Times New Roman" w:cs="Arial"/>
          <w:color w:val="000000"/>
          <w:lang w:val="en-US" w:eastAsia="bg-BG"/>
        </w:rPr>
        <w:t xml:space="preserve">: </w:t>
      </w:r>
      <w:r w:rsidRPr="00735CBB">
        <w:rPr>
          <w:rFonts w:eastAsia="Times New Roman" w:cs="Arial"/>
          <w:color w:val="000000"/>
          <w:lang w:eastAsia="bg-BG"/>
        </w:rPr>
        <w:t>Апластична анемия</w:t>
      </w:r>
    </w:p>
    <w:p w14:paraId="2BD19F12" w14:textId="77777777" w:rsidR="00735CBB" w:rsidRPr="00C51411" w:rsidRDefault="00735CBB" w:rsidP="00735CBB">
      <w:pPr>
        <w:spacing w:line="240" w:lineRule="auto"/>
        <w:rPr>
          <w:rFonts w:eastAsia="Times New Roman" w:cs="Arial"/>
          <w:b/>
          <w:bCs/>
          <w:color w:val="000000"/>
          <w:lang w:eastAsia="bg-BG"/>
        </w:rPr>
      </w:pPr>
    </w:p>
    <w:p w14:paraId="42F47530" w14:textId="22A194AE"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Нарушения на имунната система</w:t>
      </w:r>
    </w:p>
    <w:p w14:paraId="37409D96" w14:textId="63BA9507"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Много редки</w:t>
      </w:r>
      <w:r w:rsidRPr="00C51411">
        <w:rPr>
          <w:rFonts w:eastAsia="Times New Roman" w:cs="Arial"/>
          <w:color w:val="000000"/>
          <w:lang w:val="en-US" w:eastAsia="bg-BG"/>
        </w:rPr>
        <w:t xml:space="preserve">: </w:t>
      </w:r>
      <w:r w:rsidRPr="00735CBB">
        <w:rPr>
          <w:rFonts w:eastAsia="Times New Roman" w:cs="Arial"/>
          <w:color w:val="000000"/>
          <w:lang w:eastAsia="bg-BG"/>
        </w:rPr>
        <w:t>Реакции на свръхчувствителност</w:t>
      </w:r>
    </w:p>
    <w:p w14:paraId="04DEE353" w14:textId="77777777" w:rsidR="00735CBB" w:rsidRPr="00C51411" w:rsidRDefault="00735CBB" w:rsidP="00735CBB">
      <w:pPr>
        <w:spacing w:line="240" w:lineRule="auto"/>
        <w:rPr>
          <w:rFonts w:eastAsia="Times New Roman" w:cs="Arial"/>
          <w:b/>
          <w:bCs/>
          <w:color w:val="000000"/>
          <w:lang w:eastAsia="bg-BG"/>
        </w:rPr>
      </w:pPr>
    </w:p>
    <w:p w14:paraId="44EA5397" w14:textId="23D0306F"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Нарушения на метаболизма и храненето</w:t>
      </w:r>
    </w:p>
    <w:p w14:paraId="4468CFD3" w14:textId="6F281BA8"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Много чести</w:t>
      </w:r>
      <w:r w:rsidRPr="00C51411">
        <w:rPr>
          <w:rFonts w:eastAsia="Times New Roman" w:cs="Arial"/>
          <w:color w:val="000000"/>
          <w:lang w:val="en-US" w:eastAsia="bg-BG"/>
        </w:rPr>
        <w:t xml:space="preserve">: </w:t>
      </w:r>
      <w:r w:rsidRPr="00735CBB">
        <w:rPr>
          <w:rFonts w:eastAsia="Times New Roman" w:cs="Arial"/>
          <w:color w:val="000000"/>
          <w:lang w:eastAsia="bg-BG"/>
        </w:rPr>
        <w:t>Хипокалиемия, повишени стойности на липидите в кръвта</w:t>
      </w:r>
      <w:r w:rsidRPr="00C51411">
        <w:rPr>
          <w:rFonts w:eastAsia="Times New Roman" w:cs="Arial"/>
          <w:lang w:val="en-US" w:eastAsia="bg-BG"/>
        </w:rPr>
        <w:t xml:space="preserve"> </w:t>
      </w:r>
      <w:r w:rsidRPr="00735CBB">
        <w:rPr>
          <w:rFonts w:eastAsia="Times New Roman" w:cs="Arial"/>
          <w:color w:val="000000"/>
          <w:lang w:eastAsia="bg-BG"/>
        </w:rPr>
        <w:t>(предимно при използване на по-високи дози)</w:t>
      </w:r>
    </w:p>
    <w:p w14:paraId="1EAD35FF" w14:textId="3987395F"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Чести</w:t>
      </w:r>
      <w:r w:rsidRPr="00C51411">
        <w:rPr>
          <w:rFonts w:eastAsia="Times New Roman" w:cs="Arial"/>
          <w:color w:val="000000"/>
          <w:lang w:val="en-US" w:eastAsia="bg-BG"/>
        </w:rPr>
        <w:t xml:space="preserve">: </w:t>
      </w:r>
      <w:r w:rsidRPr="00735CBB">
        <w:rPr>
          <w:rFonts w:eastAsia="Times New Roman" w:cs="Arial"/>
          <w:color w:val="000000"/>
          <w:lang w:eastAsia="bg-BG"/>
        </w:rPr>
        <w:t>Хипонатриемия, хипомагнезиемия,</w:t>
      </w:r>
      <w:r w:rsidRPr="00C51411">
        <w:rPr>
          <w:rFonts w:eastAsia="Times New Roman" w:cs="Arial"/>
          <w:lang w:val="en-US" w:eastAsia="bg-BG"/>
        </w:rPr>
        <w:t xml:space="preserve"> </w:t>
      </w:r>
      <w:r w:rsidRPr="00735CBB">
        <w:rPr>
          <w:rFonts w:eastAsia="Times New Roman" w:cs="Arial"/>
          <w:color w:val="000000"/>
          <w:lang w:eastAsia="bg-BG"/>
        </w:rPr>
        <w:t>хиперурикемия</w:t>
      </w:r>
    </w:p>
    <w:p w14:paraId="0E76F1AC" w14:textId="78917CC5"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Редки</w:t>
      </w:r>
      <w:r w:rsidRPr="00C51411">
        <w:rPr>
          <w:rFonts w:eastAsia="Times New Roman" w:cs="Arial"/>
          <w:color w:val="000000"/>
          <w:lang w:val="en-US" w:eastAsia="bg-BG"/>
        </w:rPr>
        <w:t xml:space="preserve">: </w:t>
      </w:r>
      <w:r w:rsidRPr="00735CBB">
        <w:rPr>
          <w:rFonts w:eastAsia="Times New Roman" w:cs="Arial"/>
          <w:color w:val="000000"/>
          <w:lang w:eastAsia="bg-BG"/>
        </w:rPr>
        <w:t>Хиперкалциемия, хипергликемия, глюкозурия и влошаване на</w:t>
      </w:r>
      <w:r w:rsidRPr="00C51411">
        <w:rPr>
          <w:rFonts w:eastAsia="Times New Roman" w:cs="Arial"/>
          <w:lang w:val="en-US" w:eastAsia="bg-BG"/>
        </w:rPr>
        <w:t xml:space="preserve"> </w:t>
      </w:r>
      <w:r w:rsidRPr="00735CBB">
        <w:rPr>
          <w:rFonts w:eastAsia="Times New Roman" w:cs="Arial"/>
          <w:color w:val="000000"/>
          <w:lang w:eastAsia="bg-BG"/>
        </w:rPr>
        <w:t>диабетния метаболитен статус</w:t>
      </w:r>
    </w:p>
    <w:p w14:paraId="042217BF" w14:textId="1AE32C2D"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Много редки</w:t>
      </w:r>
      <w:r w:rsidRPr="00C51411">
        <w:rPr>
          <w:rFonts w:eastAsia="Times New Roman" w:cs="Arial"/>
          <w:color w:val="000000"/>
          <w:lang w:val="en-US" w:eastAsia="bg-BG"/>
        </w:rPr>
        <w:t xml:space="preserve">: </w:t>
      </w:r>
      <w:r w:rsidRPr="00735CBB">
        <w:rPr>
          <w:rFonts w:eastAsia="Times New Roman" w:cs="Arial"/>
          <w:color w:val="000000"/>
          <w:lang w:eastAsia="bg-BG"/>
        </w:rPr>
        <w:t>Хипохлоремична алкалоза</w:t>
      </w:r>
    </w:p>
    <w:p w14:paraId="6E182CC0" w14:textId="77777777" w:rsidR="00735CBB" w:rsidRPr="00C51411" w:rsidRDefault="00735CBB" w:rsidP="00735CBB">
      <w:pPr>
        <w:spacing w:line="240" w:lineRule="auto"/>
        <w:rPr>
          <w:rFonts w:eastAsia="Times New Roman" w:cs="Arial"/>
          <w:b/>
          <w:bCs/>
          <w:color w:val="000000"/>
          <w:lang w:eastAsia="bg-BG"/>
        </w:rPr>
      </w:pPr>
    </w:p>
    <w:p w14:paraId="2AF5C012" w14:textId="75C3A830"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Психични нарушения</w:t>
      </w:r>
    </w:p>
    <w:p w14:paraId="30D64988" w14:textId="17B44089" w:rsidR="00735CBB" w:rsidRPr="00735CBB" w:rsidRDefault="00735CBB" w:rsidP="00735CBB">
      <w:pPr>
        <w:spacing w:line="240" w:lineRule="auto"/>
        <w:rPr>
          <w:rFonts w:eastAsia="Times New Roman" w:cs="Arial"/>
          <w:lang w:eastAsia="bg-BG"/>
        </w:rPr>
      </w:pPr>
      <w:r w:rsidRPr="00735CBB">
        <w:rPr>
          <w:rFonts w:eastAsia="Times New Roman" w:cs="Arial"/>
          <w:color w:val="000000"/>
          <w:lang w:eastAsia="bg-BG"/>
        </w:rPr>
        <w:t>Редки</w:t>
      </w:r>
      <w:r w:rsidRPr="00C51411">
        <w:rPr>
          <w:rFonts w:eastAsia="Times New Roman" w:cs="Arial"/>
          <w:color w:val="000000"/>
          <w:lang w:val="en-US" w:eastAsia="bg-BG"/>
        </w:rPr>
        <w:t xml:space="preserve">: </w:t>
      </w:r>
      <w:r w:rsidRPr="00735CBB">
        <w:rPr>
          <w:rFonts w:eastAsia="Times New Roman" w:cs="Arial"/>
          <w:color w:val="000000"/>
          <w:lang w:eastAsia="bg-BG"/>
        </w:rPr>
        <w:t>Депресия, нарушения на съня</w:t>
      </w:r>
    </w:p>
    <w:p w14:paraId="47779D64" w14:textId="77777777" w:rsidR="00735CBB" w:rsidRPr="00C51411" w:rsidRDefault="00735CBB" w:rsidP="00735CBB">
      <w:pPr>
        <w:spacing w:line="240" w:lineRule="auto"/>
        <w:rPr>
          <w:rFonts w:eastAsia="Times New Roman" w:cs="Arial"/>
          <w:b/>
          <w:bCs/>
          <w:color w:val="000000"/>
          <w:lang w:eastAsia="bg-BG"/>
        </w:rPr>
      </w:pPr>
    </w:p>
    <w:p w14:paraId="27CFBBD4" w14:textId="3079B092" w:rsidR="00735CBB" w:rsidRPr="00735CBB" w:rsidRDefault="00735CBB" w:rsidP="00735CBB">
      <w:pPr>
        <w:spacing w:line="240" w:lineRule="auto"/>
        <w:rPr>
          <w:rFonts w:eastAsia="Times New Roman" w:cs="Arial"/>
          <w:lang w:eastAsia="bg-BG"/>
        </w:rPr>
      </w:pPr>
      <w:r w:rsidRPr="00735CBB">
        <w:rPr>
          <w:rFonts w:eastAsia="Times New Roman" w:cs="Arial"/>
          <w:b/>
          <w:bCs/>
          <w:color w:val="000000"/>
          <w:lang w:eastAsia="bg-BG"/>
        </w:rPr>
        <w:t>Нарушения на нервната система</w:t>
      </w:r>
    </w:p>
    <w:p w14:paraId="30ECA79C" w14:textId="4DFE6C91" w:rsidR="00C51411" w:rsidRPr="00C51411" w:rsidRDefault="00C51411" w:rsidP="00C51411">
      <w:pPr>
        <w:spacing w:line="240" w:lineRule="auto"/>
        <w:rPr>
          <w:rFonts w:eastAsia="Times New Roman" w:cs="Arial"/>
          <w:lang w:eastAsia="bg-BG"/>
        </w:rPr>
      </w:pPr>
      <w:r w:rsidRPr="00C51411">
        <w:rPr>
          <w:rFonts w:eastAsia="Times New Roman" w:cs="Arial"/>
          <w:color w:val="000000"/>
          <w:lang w:eastAsia="bg-BG"/>
        </w:rPr>
        <w:t>Редки</w:t>
      </w:r>
      <w:r w:rsidRPr="00C51411">
        <w:rPr>
          <w:rFonts w:eastAsia="Times New Roman" w:cs="Arial"/>
          <w:color w:val="000000"/>
          <w:lang w:val="en-US" w:eastAsia="bg-BG"/>
        </w:rPr>
        <w:t xml:space="preserve">: </w:t>
      </w:r>
      <w:r w:rsidRPr="00C51411">
        <w:rPr>
          <w:rFonts w:eastAsia="Times New Roman" w:cs="Arial"/>
          <w:color w:val="000000"/>
          <w:lang w:eastAsia="bg-BG"/>
        </w:rPr>
        <w:t>Главоболие, световъртеж, парестезия</w:t>
      </w:r>
    </w:p>
    <w:p w14:paraId="412EB168" w14:textId="77777777" w:rsidR="00C51411" w:rsidRPr="00C51411" w:rsidRDefault="00C51411" w:rsidP="00C51411">
      <w:pPr>
        <w:spacing w:line="240" w:lineRule="auto"/>
        <w:rPr>
          <w:rFonts w:eastAsia="Times New Roman" w:cs="Arial"/>
          <w:b/>
          <w:bCs/>
          <w:color w:val="000000"/>
          <w:lang w:eastAsia="bg-BG"/>
        </w:rPr>
      </w:pPr>
    </w:p>
    <w:p w14:paraId="01E6EAFC" w14:textId="425B3C8C" w:rsidR="00C51411" w:rsidRPr="00C51411" w:rsidRDefault="00C51411" w:rsidP="00C51411">
      <w:pPr>
        <w:spacing w:line="240" w:lineRule="auto"/>
        <w:rPr>
          <w:rFonts w:eastAsia="Times New Roman" w:cs="Arial"/>
          <w:lang w:eastAsia="bg-BG"/>
        </w:rPr>
      </w:pPr>
      <w:r w:rsidRPr="00C51411">
        <w:rPr>
          <w:rFonts w:eastAsia="Times New Roman" w:cs="Arial"/>
          <w:b/>
          <w:bCs/>
          <w:color w:val="000000"/>
          <w:lang w:eastAsia="bg-BG"/>
        </w:rPr>
        <w:t>Нарушения на очите</w:t>
      </w:r>
    </w:p>
    <w:p w14:paraId="12D17AD3" w14:textId="7B9DA82D" w:rsidR="00C51411" w:rsidRPr="00C51411" w:rsidRDefault="00C51411" w:rsidP="00C51411">
      <w:pPr>
        <w:spacing w:line="240" w:lineRule="auto"/>
        <w:rPr>
          <w:rFonts w:eastAsia="Times New Roman" w:cs="Arial"/>
          <w:lang w:eastAsia="bg-BG"/>
        </w:rPr>
      </w:pPr>
      <w:r w:rsidRPr="00C51411">
        <w:rPr>
          <w:rFonts w:eastAsia="Times New Roman" w:cs="Arial"/>
          <w:color w:val="000000"/>
          <w:lang w:eastAsia="bg-BG"/>
        </w:rPr>
        <w:t>Редки</w:t>
      </w:r>
      <w:r w:rsidRPr="00C51411">
        <w:rPr>
          <w:rFonts w:eastAsia="Times New Roman" w:cs="Arial"/>
          <w:color w:val="000000"/>
          <w:lang w:val="en-US" w:eastAsia="bg-BG"/>
        </w:rPr>
        <w:t xml:space="preserve">: </w:t>
      </w:r>
      <w:r w:rsidRPr="00C51411">
        <w:rPr>
          <w:rFonts w:eastAsia="Times New Roman" w:cs="Arial"/>
          <w:color w:val="000000"/>
          <w:lang w:eastAsia="bg-BG"/>
        </w:rPr>
        <w:t>Нарушение на зрението</w:t>
      </w:r>
    </w:p>
    <w:p w14:paraId="0961A9C1" w14:textId="5B389B71" w:rsidR="00C51411" w:rsidRPr="00C51411" w:rsidRDefault="00C51411" w:rsidP="00C51411">
      <w:pPr>
        <w:spacing w:line="240" w:lineRule="auto"/>
        <w:rPr>
          <w:rFonts w:eastAsia="Times New Roman" w:cs="Arial"/>
          <w:lang w:eastAsia="bg-BG"/>
        </w:rPr>
      </w:pPr>
      <w:r w:rsidRPr="00C51411">
        <w:rPr>
          <w:rFonts w:eastAsia="Times New Roman" w:cs="Arial"/>
          <w:color w:val="000000"/>
          <w:lang w:eastAsia="bg-BG"/>
        </w:rPr>
        <w:t>С неизвестна честота</w:t>
      </w:r>
      <w:r w:rsidRPr="00C51411">
        <w:rPr>
          <w:rFonts w:eastAsia="Times New Roman" w:cs="Arial"/>
          <w:color w:val="000000"/>
          <w:lang w:val="en-US" w:eastAsia="bg-BG"/>
        </w:rPr>
        <w:t xml:space="preserve">: </w:t>
      </w:r>
      <w:r w:rsidRPr="00C51411">
        <w:rPr>
          <w:rFonts w:eastAsia="Times New Roman" w:cs="Arial"/>
          <w:color w:val="000000"/>
          <w:lang w:eastAsia="bg-BG"/>
        </w:rPr>
        <w:t>Хороидален излив, остра закритоъгълна глаукома, остра миопия,.</w:t>
      </w:r>
    </w:p>
    <w:p w14:paraId="63F81E08" w14:textId="77777777" w:rsidR="00C51411" w:rsidRPr="00C51411" w:rsidRDefault="00C51411" w:rsidP="00C51411">
      <w:pPr>
        <w:spacing w:line="240" w:lineRule="auto"/>
        <w:rPr>
          <w:rFonts w:eastAsia="Times New Roman" w:cs="Arial"/>
          <w:b/>
          <w:bCs/>
          <w:color w:val="000000"/>
          <w:lang w:eastAsia="bg-BG"/>
        </w:rPr>
      </w:pPr>
    </w:p>
    <w:p w14:paraId="02BA04F8" w14:textId="3758C7DC" w:rsidR="00C51411" w:rsidRPr="00C51411" w:rsidRDefault="00C51411" w:rsidP="00C51411">
      <w:pPr>
        <w:spacing w:line="240" w:lineRule="auto"/>
        <w:rPr>
          <w:rFonts w:eastAsia="Times New Roman" w:cs="Arial"/>
          <w:lang w:eastAsia="bg-BG"/>
        </w:rPr>
      </w:pPr>
      <w:r w:rsidRPr="00C51411">
        <w:rPr>
          <w:rFonts w:eastAsia="Times New Roman" w:cs="Arial"/>
          <w:b/>
          <w:bCs/>
          <w:color w:val="000000"/>
          <w:lang w:eastAsia="bg-BG"/>
        </w:rPr>
        <w:t>Сърдечни нарушения</w:t>
      </w:r>
    </w:p>
    <w:p w14:paraId="355D45E2" w14:textId="0C1338F3" w:rsidR="00C51411" w:rsidRPr="00C51411" w:rsidRDefault="00C51411" w:rsidP="00C51411">
      <w:pPr>
        <w:spacing w:line="240" w:lineRule="auto"/>
        <w:rPr>
          <w:rFonts w:eastAsia="Times New Roman" w:cs="Arial"/>
          <w:lang w:eastAsia="bg-BG"/>
        </w:rPr>
      </w:pPr>
      <w:r w:rsidRPr="00C51411">
        <w:rPr>
          <w:rFonts w:eastAsia="Times New Roman" w:cs="Arial"/>
          <w:color w:val="000000"/>
          <w:lang w:eastAsia="bg-BG"/>
        </w:rPr>
        <w:t>Редки</w:t>
      </w:r>
      <w:r w:rsidRPr="00C51411">
        <w:rPr>
          <w:rFonts w:eastAsia="Times New Roman" w:cs="Arial"/>
          <w:color w:val="000000"/>
          <w:lang w:val="en-US" w:eastAsia="bg-BG"/>
        </w:rPr>
        <w:t xml:space="preserve">: </w:t>
      </w:r>
      <w:r w:rsidRPr="00C51411">
        <w:rPr>
          <w:rFonts w:eastAsia="Times New Roman" w:cs="Arial"/>
          <w:color w:val="000000"/>
          <w:lang w:eastAsia="bg-BG"/>
        </w:rPr>
        <w:t>Сърдечни аритмии</w:t>
      </w:r>
    </w:p>
    <w:p w14:paraId="18092120" w14:textId="77777777" w:rsidR="00C51411" w:rsidRPr="00C51411" w:rsidRDefault="00C51411" w:rsidP="00C51411">
      <w:pPr>
        <w:spacing w:line="240" w:lineRule="auto"/>
        <w:rPr>
          <w:rFonts w:eastAsia="Times New Roman" w:cs="Arial"/>
          <w:b/>
          <w:bCs/>
          <w:color w:val="000000"/>
          <w:lang w:eastAsia="bg-BG"/>
        </w:rPr>
      </w:pPr>
    </w:p>
    <w:p w14:paraId="564EB3E3" w14:textId="40A51450" w:rsidR="00C51411" w:rsidRPr="00C51411" w:rsidRDefault="00C51411" w:rsidP="00C51411">
      <w:pPr>
        <w:spacing w:line="240" w:lineRule="auto"/>
        <w:rPr>
          <w:rFonts w:eastAsia="Times New Roman" w:cs="Arial"/>
          <w:lang w:eastAsia="bg-BG"/>
        </w:rPr>
      </w:pPr>
      <w:r w:rsidRPr="00C51411">
        <w:rPr>
          <w:rFonts w:eastAsia="Times New Roman" w:cs="Arial"/>
          <w:b/>
          <w:bCs/>
          <w:color w:val="000000"/>
          <w:lang w:eastAsia="bg-BG"/>
        </w:rPr>
        <w:t>Съдови нарушения</w:t>
      </w:r>
    </w:p>
    <w:p w14:paraId="2457F291" w14:textId="2360BF98" w:rsidR="00C51411" w:rsidRPr="00C51411" w:rsidRDefault="00C51411" w:rsidP="00C51411">
      <w:pPr>
        <w:spacing w:line="240" w:lineRule="auto"/>
        <w:rPr>
          <w:rFonts w:eastAsia="Times New Roman" w:cs="Arial"/>
          <w:lang w:eastAsia="bg-BG"/>
        </w:rPr>
      </w:pPr>
      <w:r w:rsidRPr="00C51411">
        <w:rPr>
          <w:rFonts w:eastAsia="Times New Roman" w:cs="Arial"/>
          <w:color w:val="000000"/>
          <w:lang w:eastAsia="bg-BG"/>
        </w:rPr>
        <w:t>Чести</w:t>
      </w:r>
      <w:r w:rsidRPr="00C51411">
        <w:rPr>
          <w:rFonts w:eastAsia="Times New Roman" w:cs="Arial"/>
          <w:color w:val="000000"/>
          <w:lang w:val="en-US" w:eastAsia="bg-BG"/>
        </w:rPr>
        <w:t xml:space="preserve">: </w:t>
      </w:r>
      <w:r w:rsidRPr="00C51411">
        <w:rPr>
          <w:rFonts w:eastAsia="Times New Roman" w:cs="Arial"/>
          <w:color w:val="000000"/>
          <w:lang w:eastAsia="bg-BG"/>
        </w:rPr>
        <w:t>Постурална хипотония</w:t>
      </w:r>
    </w:p>
    <w:p w14:paraId="44048C2C" w14:textId="77777777" w:rsidR="00C51411" w:rsidRPr="00C51411" w:rsidRDefault="00C51411" w:rsidP="00C51411">
      <w:pPr>
        <w:spacing w:line="240" w:lineRule="auto"/>
        <w:rPr>
          <w:rFonts w:eastAsia="Times New Roman" w:cs="Arial"/>
          <w:b/>
          <w:bCs/>
          <w:color w:val="000000"/>
          <w:lang w:eastAsia="bg-BG"/>
        </w:rPr>
      </w:pPr>
    </w:p>
    <w:p w14:paraId="5D017C1E" w14:textId="314876DB" w:rsidR="00C51411" w:rsidRPr="00C51411" w:rsidRDefault="00C51411" w:rsidP="00C51411">
      <w:pPr>
        <w:spacing w:line="240" w:lineRule="auto"/>
        <w:rPr>
          <w:rFonts w:eastAsia="Times New Roman" w:cs="Arial"/>
          <w:lang w:eastAsia="bg-BG"/>
        </w:rPr>
      </w:pPr>
      <w:r w:rsidRPr="00C51411">
        <w:rPr>
          <w:rFonts w:eastAsia="Times New Roman" w:cs="Arial"/>
          <w:b/>
          <w:bCs/>
          <w:color w:val="000000"/>
          <w:lang w:eastAsia="bg-BG"/>
        </w:rPr>
        <w:t>Респираторни, гръдни и медиастинални нарушения</w:t>
      </w:r>
    </w:p>
    <w:p w14:paraId="1D0363C4" w14:textId="2CDD6784" w:rsidR="00C51411" w:rsidRPr="00C51411" w:rsidRDefault="00C51411" w:rsidP="00C51411">
      <w:pPr>
        <w:spacing w:line="240" w:lineRule="auto"/>
        <w:rPr>
          <w:rFonts w:eastAsia="Times New Roman" w:cs="Arial"/>
          <w:lang w:eastAsia="bg-BG"/>
        </w:rPr>
      </w:pPr>
      <w:r w:rsidRPr="00C51411">
        <w:rPr>
          <w:rFonts w:eastAsia="Times New Roman" w:cs="Arial"/>
          <w:color w:val="000000"/>
          <w:lang w:eastAsia="bg-BG"/>
        </w:rPr>
        <w:t>Много редки</w:t>
      </w:r>
      <w:r w:rsidRPr="00C51411">
        <w:rPr>
          <w:rFonts w:eastAsia="Times New Roman" w:cs="Arial"/>
          <w:color w:val="000000"/>
          <w:lang w:val="en-US" w:eastAsia="bg-BG"/>
        </w:rPr>
        <w:t xml:space="preserve">: </w:t>
      </w:r>
      <w:r w:rsidRPr="00C51411">
        <w:rPr>
          <w:rFonts w:eastAsia="Times New Roman" w:cs="Arial"/>
          <w:color w:val="000000"/>
          <w:lang w:eastAsia="bg-BG"/>
        </w:rPr>
        <w:t>Остър респираторен дистрес синдром (ОРДС) (вж. точка</w:t>
      </w:r>
      <w:r w:rsidRPr="00C51411">
        <w:rPr>
          <w:rFonts w:eastAsia="Times New Roman" w:cs="Arial"/>
          <w:color w:val="000000"/>
          <w:lang w:val="en-US" w:eastAsia="bg-BG"/>
        </w:rPr>
        <w:t xml:space="preserve"> </w:t>
      </w:r>
      <w:r w:rsidRPr="00C51411">
        <w:rPr>
          <w:rFonts w:eastAsia="Times New Roman" w:cs="Arial"/>
          <w:color w:val="000000"/>
          <w:lang w:eastAsia="bg-BG"/>
        </w:rPr>
        <w:t>4.4)</w:t>
      </w:r>
    </w:p>
    <w:p w14:paraId="081C09EB" w14:textId="77777777" w:rsidR="00C51411" w:rsidRPr="00C51411" w:rsidRDefault="00C51411" w:rsidP="00C51411">
      <w:pPr>
        <w:spacing w:line="240" w:lineRule="auto"/>
        <w:rPr>
          <w:rFonts w:eastAsia="Times New Roman" w:cs="Arial"/>
          <w:b/>
          <w:bCs/>
          <w:color w:val="000000"/>
          <w:lang w:eastAsia="bg-BG"/>
        </w:rPr>
      </w:pPr>
    </w:p>
    <w:p w14:paraId="26171A04" w14:textId="7D823AF0" w:rsidR="00C51411" w:rsidRPr="00C51411" w:rsidRDefault="00C51411" w:rsidP="00C51411">
      <w:pPr>
        <w:spacing w:line="240" w:lineRule="auto"/>
        <w:rPr>
          <w:rFonts w:eastAsia="Times New Roman" w:cs="Arial"/>
          <w:lang w:eastAsia="bg-BG"/>
        </w:rPr>
      </w:pPr>
      <w:r w:rsidRPr="00C51411">
        <w:rPr>
          <w:rFonts w:eastAsia="Times New Roman" w:cs="Arial"/>
          <w:b/>
          <w:bCs/>
          <w:color w:val="000000"/>
          <w:lang w:eastAsia="bg-BG"/>
        </w:rPr>
        <w:t>Стомашно-чревни нарушения</w:t>
      </w:r>
    </w:p>
    <w:p w14:paraId="5F4DCDB0" w14:textId="60C2946B" w:rsidR="00C51411" w:rsidRPr="00C51411" w:rsidRDefault="00C51411" w:rsidP="00C51411">
      <w:pPr>
        <w:spacing w:line="240" w:lineRule="auto"/>
        <w:rPr>
          <w:rFonts w:eastAsia="Times New Roman" w:cs="Arial"/>
          <w:lang w:eastAsia="bg-BG"/>
        </w:rPr>
      </w:pPr>
      <w:r w:rsidRPr="00C51411">
        <w:rPr>
          <w:rFonts w:eastAsia="Times New Roman" w:cs="Arial"/>
          <w:color w:val="000000"/>
          <w:lang w:eastAsia="bg-BG"/>
        </w:rPr>
        <w:t>Чести</w:t>
      </w:r>
      <w:r w:rsidRPr="00C51411">
        <w:rPr>
          <w:rFonts w:eastAsia="Times New Roman" w:cs="Arial"/>
          <w:color w:val="000000"/>
          <w:lang w:val="en-US" w:eastAsia="bg-BG"/>
        </w:rPr>
        <w:t xml:space="preserve">: </w:t>
      </w:r>
      <w:r w:rsidRPr="00C51411">
        <w:rPr>
          <w:rFonts w:eastAsia="Times New Roman" w:cs="Arial"/>
          <w:color w:val="000000"/>
          <w:lang w:eastAsia="bg-BG"/>
        </w:rPr>
        <w:t>Загуба на апетит, леко гадене и повръщане</w:t>
      </w:r>
    </w:p>
    <w:p w14:paraId="0596A835" w14:textId="7279245B" w:rsidR="00C51411" w:rsidRPr="00C51411" w:rsidRDefault="00C51411" w:rsidP="00C51411">
      <w:pPr>
        <w:spacing w:line="240" w:lineRule="auto"/>
        <w:rPr>
          <w:rFonts w:eastAsia="Times New Roman" w:cs="Arial"/>
          <w:lang w:eastAsia="bg-BG"/>
        </w:rPr>
      </w:pPr>
      <w:r w:rsidRPr="00C51411">
        <w:rPr>
          <w:rFonts w:eastAsia="Times New Roman" w:cs="Arial"/>
          <w:color w:val="000000"/>
          <w:lang w:eastAsia="bg-BG"/>
        </w:rPr>
        <w:t>Редки</w:t>
      </w:r>
      <w:r w:rsidRPr="00C51411">
        <w:rPr>
          <w:rFonts w:eastAsia="Times New Roman" w:cs="Arial"/>
          <w:color w:val="000000"/>
          <w:lang w:val="en-US" w:eastAsia="bg-BG"/>
        </w:rPr>
        <w:t xml:space="preserve">: </w:t>
      </w:r>
      <w:r w:rsidRPr="00C51411">
        <w:rPr>
          <w:rFonts w:eastAsia="Times New Roman" w:cs="Arial"/>
          <w:color w:val="000000"/>
          <w:lang w:eastAsia="bg-BG"/>
        </w:rPr>
        <w:t>Запек, стомашно-чревен дискомфорт,</w:t>
      </w:r>
      <w:r w:rsidRPr="00C51411">
        <w:rPr>
          <w:rFonts w:eastAsia="Times New Roman" w:cs="Arial"/>
          <w:lang w:val="en-US" w:eastAsia="bg-BG"/>
        </w:rPr>
        <w:t xml:space="preserve"> </w:t>
      </w:r>
      <w:r w:rsidRPr="00C51411">
        <w:rPr>
          <w:rFonts w:eastAsia="Times New Roman" w:cs="Arial"/>
          <w:color w:val="000000"/>
          <w:lang w:eastAsia="bg-BG"/>
        </w:rPr>
        <w:t>диария</w:t>
      </w:r>
    </w:p>
    <w:p w14:paraId="7FBF9E31" w14:textId="7CA1B31E" w:rsidR="00C51411" w:rsidRPr="00C51411" w:rsidRDefault="00C51411" w:rsidP="00C51411">
      <w:pPr>
        <w:spacing w:line="240" w:lineRule="auto"/>
        <w:rPr>
          <w:rFonts w:eastAsia="Times New Roman" w:cs="Arial"/>
          <w:lang w:eastAsia="bg-BG"/>
        </w:rPr>
      </w:pPr>
      <w:r w:rsidRPr="00C51411">
        <w:rPr>
          <w:rFonts w:eastAsia="Times New Roman" w:cs="Arial"/>
          <w:color w:val="000000"/>
          <w:lang w:eastAsia="bg-BG"/>
        </w:rPr>
        <w:t>Много редки</w:t>
      </w:r>
      <w:r w:rsidRPr="00C51411">
        <w:rPr>
          <w:rFonts w:eastAsia="Times New Roman" w:cs="Arial"/>
          <w:color w:val="000000"/>
          <w:lang w:val="en-US" w:eastAsia="bg-BG"/>
        </w:rPr>
        <w:t xml:space="preserve">: </w:t>
      </w:r>
      <w:r w:rsidRPr="00C51411">
        <w:rPr>
          <w:rFonts w:eastAsia="Times New Roman" w:cs="Arial"/>
          <w:color w:val="000000"/>
          <w:lang w:eastAsia="bg-BG"/>
        </w:rPr>
        <w:t>Панкреатит</w:t>
      </w:r>
    </w:p>
    <w:p w14:paraId="6055655D" w14:textId="77777777" w:rsidR="00C51411" w:rsidRPr="00C51411" w:rsidRDefault="00C51411" w:rsidP="00C51411">
      <w:pPr>
        <w:spacing w:line="240" w:lineRule="auto"/>
        <w:rPr>
          <w:rFonts w:eastAsia="Times New Roman" w:cs="Arial"/>
          <w:b/>
          <w:bCs/>
          <w:color w:val="000000"/>
          <w:lang w:eastAsia="bg-BG"/>
        </w:rPr>
      </w:pPr>
    </w:p>
    <w:p w14:paraId="7524ACB1" w14:textId="36B5323F" w:rsidR="00C51411" w:rsidRPr="00C51411" w:rsidRDefault="00C51411" w:rsidP="00C51411">
      <w:pPr>
        <w:spacing w:line="240" w:lineRule="auto"/>
        <w:rPr>
          <w:rFonts w:eastAsia="Times New Roman" w:cs="Arial"/>
          <w:lang w:eastAsia="bg-BG"/>
        </w:rPr>
      </w:pPr>
      <w:r w:rsidRPr="00C51411">
        <w:rPr>
          <w:rFonts w:eastAsia="Times New Roman" w:cs="Arial"/>
          <w:b/>
          <w:bCs/>
          <w:color w:val="000000"/>
          <w:lang w:eastAsia="bg-BG"/>
        </w:rPr>
        <w:t>Хепатобилиарни нарушения</w:t>
      </w:r>
    </w:p>
    <w:p w14:paraId="1B01FBE9" w14:textId="108DC64F" w:rsidR="00C51411" w:rsidRPr="00C51411" w:rsidRDefault="00C51411" w:rsidP="00C51411">
      <w:pPr>
        <w:spacing w:line="240" w:lineRule="auto"/>
        <w:rPr>
          <w:rFonts w:eastAsia="Times New Roman" w:cs="Arial"/>
          <w:lang w:eastAsia="bg-BG"/>
        </w:rPr>
      </w:pPr>
      <w:r w:rsidRPr="00C51411">
        <w:rPr>
          <w:rFonts w:eastAsia="Times New Roman" w:cs="Arial"/>
          <w:color w:val="000000"/>
          <w:lang w:eastAsia="bg-BG"/>
        </w:rPr>
        <w:t>Редки</w:t>
      </w:r>
      <w:r w:rsidRPr="00C51411">
        <w:rPr>
          <w:rFonts w:eastAsia="Times New Roman" w:cs="Arial"/>
          <w:color w:val="000000"/>
          <w:lang w:val="en-US" w:eastAsia="bg-BG"/>
        </w:rPr>
        <w:t xml:space="preserve">: </w:t>
      </w:r>
      <w:r w:rsidRPr="00C51411">
        <w:rPr>
          <w:rFonts w:eastAsia="Times New Roman" w:cs="Arial"/>
          <w:color w:val="000000"/>
          <w:lang w:eastAsia="bg-BG"/>
        </w:rPr>
        <w:t>Интрахепатална холестаза или жълтеница</w:t>
      </w:r>
    </w:p>
    <w:p w14:paraId="7A7DB953" w14:textId="77777777" w:rsidR="00C51411" w:rsidRPr="00C51411" w:rsidRDefault="00C51411" w:rsidP="00C51411">
      <w:pPr>
        <w:spacing w:line="240" w:lineRule="auto"/>
        <w:rPr>
          <w:rFonts w:eastAsia="Times New Roman" w:cs="Arial"/>
          <w:b/>
          <w:bCs/>
          <w:color w:val="000000"/>
          <w:lang w:eastAsia="bg-BG"/>
        </w:rPr>
      </w:pPr>
    </w:p>
    <w:p w14:paraId="3629EBFE" w14:textId="471E8FC1" w:rsidR="00C51411" w:rsidRPr="00C51411" w:rsidRDefault="00C51411" w:rsidP="00C51411">
      <w:pPr>
        <w:spacing w:line="240" w:lineRule="auto"/>
        <w:rPr>
          <w:rFonts w:eastAsia="Times New Roman" w:cs="Arial"/>
          <w:lang w:eastAsia="bg-BG"/>
        </w:rPr>
      </w:pPr>
      <w:r w:rsidRPr="00C51411">
        <w:rPr>
          <w:rFonts w:eastAsia="Times New Roman" w:cs="Arial"/>
          <w:b/>
          <w:bCs/>
          <w:color w:val="000000"/>
          <w:lang w:eastAsia="bg-BG"/>
        </w:rPr>
        <w:t>Нарушения на бъбреците и пикочните пътища</w:t>
      </w:r>
    </w:p>
    <w:p w14:paraId="014F3AA8" w14:textId="4A8CEDF6" w:rsidR="00C51411" w:rsidRPr="00C51411" w:rsidRDefault="00C51411" w:rsidP="00C51411">
      <w:pPr>
        <w:spacing w:line="240" w:lineRule="auto"/>
        <w:rPr>
          <w:rFonts w:eastAsia="Times New Roman" w:cs="Arial"/>
          <w:lang w:eastAsia="bg-BG"/>
        </w:rPr>
      </w:pPr>
      <w:r w:rsidRPr="00C51411">
        <w:rPr>
          <w:rFonts w:eastAsia="Times New Roman" w:cs="Arial"/>
          <w:color w:val="000000"/>
          <w:lang w:eastAsia="bg-BG"/>
        </w:rPr>
        <w:t>С неизвестна честота</w:t>
      </w:r>
      <w:r w:rsidRPr="00C51411">
        <w:rPr>
          <w:rFonts w:eastAsia="Times New Roman" w:cs="Arial"/>
          <w:color w:val="000000"/>
          <w:lang w:val="en-US" w:eastAsia="bg-BG"/>
        </w:rPr>
        <w:t xml:space="preserve">: </w:t>
      </w:r>
      <w:r w:rsidRPr="00C51411">
        <w:rPr>
          <w:rFonts w:eastAsia="Times New Roman" w:cs="Arial"/>
          <w:color w:val="000000"/>
          <w:lang w:eastAsia="bg-BG"/>
        </w:rPr>
        <w:t>Бъбречна дисфункция, остра бъбречна недостатъчност</w:t>
      </w:r>
    </w:p>
    <w:p w14:paraId="3E4D18A3" w14:textId="77777777" w:rsidR="00C51411" w:rsidRPr="00C51411" w:rsidRDefault="00C51411" w:rsidP="00C51411">
      <w:pPr>
        <w:spacing w:line="240" w:lineRule="auto"/>
        <w:rPr>
          <w:rFonts w:eastAsia="Times New Roman" w:cs="Arial"/>
          <w:b/>
          <w:bCs/>
          <w:color w:val="000000"/>
          <w:lang w:eastAsia="bg-BG"/>
        </w:rPr>
      </w:pPr>
    </w:p>
    <w:p w14:paraId="5789E82A" w14:textId="64BCE940" w:rsidR="00C51411" w:rsidRPr="00C51411" w:rsidRDefault="00C51411" w:rsidP="00C51411">
      <w:pPr>
        <w:spacing w:line="240" w:lineRule="auto"/>
        <w:rPr>
          <w:rFonts w:eastAsia="Times New Roman" w:cs="Arial"/>
          <w:lang w:eastAsia="bg-BG"/>
        </w:rPr>
      </w:pPr>
      <w:r w:rsidRPr="00C51411">
        <w:rPr>
          <w:rFonts w:eastAsia="Times New Roman" w:cs="Arial"/>
          <w:b/>
          <w:bCs/>
          <w:color w:val="000000"/>
          <w:lang w:eastAsia="bg-BG"/>
        </w:rPr>
        <w:t>Нарушение на кожата и подкожната тъкан</w:t>
      </w:r>
    </w:p>
    <w:p w14:paraId="609C88BF" w14:textId="316FAC17" w:rsidR="00C51411" w:rsidRPr="00C51411" w:rsidRDefault="00C51411" w:rsidP="00C51411">
      <w:pPr>
        <w:spacing w:line="240" w:lineRule="auto"/>
        <w:rPr>
          <w:rFonts w:eastAsia="Times New Roman" w:cs="Arial"/>
          <w:lang w:eastAsia="bg-BG"/>
        </w:rPr>
      </w:pPr>
      <w:r w:rsidRPr="00C51411">
        <w:rPr>
          <w:rFonts w:eastAsia="Times New Roman" w:cs="Arial"/>
          <w:color w:val="000000"/>
          <w:lang w:eastAsia="bg-BG"/>
        </w:rPr>
        <w:t>Чести</w:t>
      </w:r>
      <w:r w:rsidRPr="00C51411">
        <w:rPr>
          <w:rFonts w:eastAsia="Times New Roman" w:cs="Arial"/>
          <w:color w:val="000000"/>
          <w:lang w:val="en-US" w:eastAsia="bg-BG"/>
        </w:rPr>
        <w:t xml:space="preserve">: </w:t>
      </w:r>
      <w:r w:rsidRPr="00C51411">
        <w:rPr>
          <w:rFonts w:eastAsia="Times New Roman" w:cs="Arial"/>
          <w:color w:val="000000"/>
          <w:lang w:eastAsia="bg-BG"/>
        </w:rPr>
        <w:t>Уртикария и други форми на обрив</w:t>
      </w:r>
    </w:p>
    <w:p w14:paraId="7036E57E" w14:textId="76C2900C" w:rsidR="00C51411" w:rsidRPr="00C51411" w:rsidRDefault="00C51411" w:rsidP="00C51411">
      <w:pPr>
        <w:spacing w:line="240" w:lineRule="auto"/>
        <w:rPr>
          <w:rFonts w:eastAsia="Times New Roman" w:cs="Arial"/>
          <w:lang w:eastAsia="bg-BG"/>
        </w:rPr>
      </w:pPr>
      <w:r w:rsidRPr="00C51411">
        <w:rPr>
          <w:rFonts w:eastAsia="Times New Roman" w:cs="Arial"/>
          <w:color w:val="000000"/>
          <w:lang w:eastAsia="bg-BG"/>
        </w:rPr>
        <w:t>Редки</w:t>
      </w:r>
      <w:r w:rsidRPr="00C51411">
        <w:rPr>
          <w:rFonts w:eastAsia="Times New Roman" w:cs="Arial"/>
          <w:color w:val="000000"/>
          <w:lang w:val="en-US" w:eastAsia="bg-BG"/>
        </w:rPr>
        <w:t xml:space="preserve">: </w:t>
      </w:r>
      <w:r w:rsidRPr="00C51411">
        <w:rPr>
          <w:rFonts w:eastAsia="Times New Roman" w:cs="Arial"/>
          <w:color w:val="000000"/>
          <w:lang w:eastAsia="bg-BG"/>
        </w:rPr>
        <w:t>Фоточувстителност</w:t>
      </w:r>
    </w:p>
    <w:p w14:paraId="050F1860" w14:textId="7783665C" w:rsidR="00C51411" w:rsidRPr="00C51411" w:rsidRDefault="00C51411" w:rsidP="00C51411">
      <w:pPr>
        <w:spacing w:line="240" w:lineRule="auto"/>
        <w:rPr>
          <w:rFonts w:eastAsia="Times New Roman" w:cs="Arial"/>
          <w:lang w:eastAsia="bg-BG"/>
        </w:rPr>
      </w:pPr>
      <w:r w:rsidRPr="00C51411">
        <w:rPr>
          <w:rFonts w:eastAsia="Times New Roman" w:cs="Arial"/>
          <w:color w:val="000000"/>
          <w:lang w:eastAsia="bg-BG"/>
        </w:rPr>
        <w:t>Много редки</w:t>
      </w:r>
      <w:r w:rsidRPr="00C51411">
        <w:rPr>
          <w:rFonts w:eastAsia="Times New Roman" w:cs="Arial"/>
          <w:color w:val="000000"/>
          <w:lang w:val="en-US" w:eastAsia="bg-BG"/>
        </w:rPr>
        <w:t xml:space="preserve">: </w:t>
      </w:r>
      <w:r w:rsidRPr="00C51411">
        <w:rPr>
          <w:rFonts w:eastAsia="Times New Roman" w:cs="Arial"/>
          <w:color w:val="000000"/>
          <w:lang w:eastAsia="bg-BG"/>
        </w:rPr>
        <w:t>Некротизиращ васкулит и токсична епидермална некролиза,</w:t>
      </w:r>
    </w:p>
    <w:p w14:paraId="7041FDA8" w14:textId="3B806FCC" w:rsidR="00C51411" w:rsidRPr="00C51411" w:rsidRDefault="00C51411" w:rsidP="00C51411">
      <w:pPr>
        <w:spacing w:line="240" w:lineRule="auto"/>
        <w:rPr>
          <w:rFonts w:eastAsia="Times New Roman" w:cs="Arial"/>
          <w:color w:val="000000"/>
          <w:lang w:eastAsia="bg-BG"/>
        </w:rPr>
      </w:pPr>
      <w:r w:rsidRPr="00C51411">
        <w:rPr>
          <w:rFonts w:eastAsia="Times New Roman" w:cs="Arial"/>
          <w:color w:val="000000"/>
          <w:lang w:eastAsia="bg-BG"/>
        </w:rPr>
        <w:t xml:space="preserve">кожни лупус еритематозус-подобни реакции, повторно активиране на кожен лупус еритематозус </w:t>
      </w:r>
    </w:p>
    <w:p w14:paraId="7E03AD28" w14:textId="4AAE3BAA" w:rsidR="00C51411" w:rsidRPr="00C51411" w:rsidRDefault="00C51411" w:rsidP="00C51411">
      <w:pPr>
        <w:spacing w:line="240" w:lineRule="auto"/>
        <w:rPr>
          <w:rFonts w:eastAsia="Times New Roman" w:cs="Arial"/>
          <w:lang w:eastAsia="bg-BG"/>
        </w:rPr>
      </w:pPr>
      <w:r w:rsidRPr="00C51411">
        <w:rPr>
          <w:rFonts w:eastAsia="Times New Roman" w:cs="Arial"/>
          <w:color w:val="000000"/>
          <w:lang w:eastAsia="bg-BG"/>
        </w:rPr>
        <w:t>С неизвестна честота</w:t>
      </w:r>
      <w:r w:rsidRPr="00C51411">
        <w:rPr>
          <w:rFonts w:eastAsia="Times New Roman" w:cs="Arial"/>
          <w:color w:val="000000"/>
          <w:lang w:val="en-US" w:eastAsia="bg-BG"/>
        </w:rPr>
        <w:t xml:space="preserve">: </w:t>
      </w:r>
      <w:r w:rsidRPr="00C51411">
        <w:rPr>
          <w:rFonts w:eastAsia="Times New Roman" w:cs="Arial"/>
          <w:color w:val="000000"/>
          <w:lang w:eastAsia="bg-BG"/>
        </w:rPr>
        <w:t>Еритема мултиформе</w:t>
      </w:r>
    </w:p>
    <w:p w14:paraId="3D2CF037" w14:textId="77777777" w:rsidR="00C51411" w:rsidRPr="00C51411" w:rsidRDefault="00C51411" w:rsidP="00C51411">
      <w:pPr>
        <w:spacing w:line="240" w:lineRule="auto"/>
        <w:rPr>
          <w:rFonts w:eastAsia="Times New Roman" w:cs="Arial"/>
          <w:b/>
          <w:bCs/>
          <w:color w:val="000000"/>
          <w:lang w:eastAsia="bg-BG"/>
        </w:rPr>
      </w:pPr>
    </w:p>
    <w:p w14:paraId="6E16E2F8" w14:textId="2EB6FDA2" w:rsidR="00C51411" w:rsidRPr="00C51411" w:rsidRDefault="00C51411" w:rsidP="00C51411">
      <w:pPr>
        <w:spacing w:line="240" w:lineRule="auto"/>
        <w:rPr>
          <w:rFonts w:eastAsia="Times New Roman" w:cs="Arial"/>
          <w:lang w:eastAsia="bg-BG"/>
        </w:rPr>
      </w:pPr>
      <w:r w:rsidRPr="00C51411">
        <w:rPr>
          <w:rFonts w:eastAsia="Times New Roman" w:cs="Arial"/>
          <w:b/>
          <w:bCs/>
          <w:color w:val="000000"/>
          <w:lang w:eastAsia="bg-BG"/>
        </w:rPr>
        <w:t>Общи нарушения и ефекти на мястото на приложение</w:t>
      </w:r>
    </w:p>
    <w:p w14:paraId="7F0E45A4" w14:textId="06FACE56" w:rsidR="00C51411" w:rsidRPr="00C51411" w:rsidRDefault="00C51411" w:rsidP="00C51411">
      <w:pPr>
        <w:spacing w:line="240" w:lineRule="auto"/>
        <w:rPr>
          <w:rFonts w:eastAsia="Times New Roman" w:cs="Arial"/>
          <w:lang w:eastAsia="bg-BG"/>
        </w:rPr>
      </w:pPr>
      <w:r w:rsidRPr="00C51411">
        <w:rPr>
          <w:rFonts w:eastAsia="Times New Roman" w:cs="Arial"/>
          <w:color w:val="000000"/>
          <w:lang w:eastAsia="bg-BG"/>
        </w:rPr>
        <w:lastRenderedPageBreak/>
        <w:t>С неизвестна честота</w:t>
      </w:r>
      <w:r w:rsidRPr="00C51411">
        <w:rPr>
          <w:rFonts w:eastAsia="Times New Roman" w:cs="Arial"/>
          <w:color w:val="000000"/>
          <w:lang w:val="en-US" w:eastAsia="bg-BG"/>
        </w:rPr>
        <w:t>:</w:t>
      </w:r>
      <w:r w:rsidRPr="00C51411">
        <w:rPr>
          <w:rFonts w:eastAsia="Times New Roman" w:cs="Arial"/>
          <w:color w:val="000000"/>
          <w:lang w:eastAsia="bg-BG"/>
        </w:rPr>
        <w:t xml:space="preserve"> Пирексия, астения</w:t>
      </w:r>
    </w:p>
    <w:p w14:paraId="58E33305" w14:textId="77777777" w:rsidR="00C51411" w:rsidRPr="00C51411" w:rsidRDefault="00C51411" w:rsidP="00C51411">
      <w:pPr>
        <w:spacing w:line="240" w:lineRule="auto"/>
        <w:rPr>
          <w:rFonts w:eastAsia="Times New Roman" w:cs="Arial"/>
          <w:b/>
          <w:bCs/>
          <w:color w:val="000000"/>
          <w:lang w:eastAsia="bg-BG"/>
        </w:rPr>
      </w:pPr>
    </w:p>
    <w:p w14:paraId="6192A707" w14:textId="000848F3" w:rsidR="00C51411" w:rsidRPr="00C51411" w:rsidRDefault="00C51411" w:rsidP="00C51411">
      <w:pPr>
        <w:spacing w:line="240" w:lineRule="auto"/>
        <w:rPr>
          <w:rFonts w:eastAsia="Times New Roman" w:cs="Arial"/>
          <w:lang w:eastAsia="bg-BG"/>
        </w:rPr>
      </w:pPr>
      <w:r w:rsidRPr="00C51411">
        <w:rPr>
          <w:rFonts w:eastAsia="Times New Roman" w:cs="Arial"/>
          <w:b/>
          <w:bCs/>
          <w:color w:val="000000"/>
          <w:lang w:eastAsia="bg-BG"/>
        </w:rPr>
        <w:t>Нарушения на мускулно-скелетната система и съединителната тъкан</w:t>
      </w:r>
    </w:p>
    <w:p w14:paraId="521E9A86" w14:textId="7FB80278" w:rsidR="00C51411" w:rsidRPr="00C51411" w:rsidRDefault="00C51411" w:rsidP="00C51411">
      <w:pPr>
        <w:spacing w:line="240" w:lineRule="auto"/>
        <w:rPr>
          <w:rFonts w:eastAsia="Times New Roman" w:cs="Arial"/>
          <w:lang w:eastAsia="bg-BG"/>
        </w:rPr>
      </w:pPr>
      <w:r w:rsidRPr="00C51411">
        <w:rPr>
          <w:rFonts w:eastAsia="Times New Roman" w:cs="Arial"/>
          <w:color w:val="000000"/>
          <w:lang w:eastAsia="bg-BG"/>
        </w:rPr>
        <w:t>С неизвестна честота</w:t>
      </w:r>
      <w:r w:rsidRPr="00C51411">
        <w:rPr>
          <w:rFonts w:eastAsia="Times New Roman" w:cs="Arial"/>
          <w:color w:val="000000"/>
          <w:lang w:val="en-US" w:eastAsia="bg-BG"/>
        </w:rPr>
        <w:t xml:space="preserve">: </w:t>
      </w:r>
      <w:r w:rsidRPr="00C51411">
        <w:rPr>
          <w:rFonts w:eastAsia="Times New Roman" w:cs="Arial"/>
          <w:color w:val="000000"/>
          <w:lang w:eastAsia="bg-BG"/>
        </w:rPr>
        <w:t>Мускулни спазми</w:t>
      </w:r>
    </w:p>
    <w:p w14:paraId="0A017362" w14:textId="77777777" w:rsidR="00C51411" w:rsidRPr="00C51411" w:rsidRDefault="00C51411" w:rsidP="00C51411">
      <w:pPr>
        <w:spacing w:line="240" w:lineRule="auto"/>
        <w:rPr>
          <w:rFonts w:eastAsia="Times New Roman" w:cs="Arial"/>
          <w:b/>
          <w:bCs/>
          <w:color w:val="000000"/>
          <w:lang w:eastAsia="bg-BG"/>
        </w:rPr>
      </w:pPr>
    </w:p>
    <w:p w14:paraId="7B1ADE7E" w14:textId="1F292F1F" w:rsidR="00C51411" w:rsidRPr="00C51411" w:rsidRDefault="00C51411" w:rsidP="00C51411">
      <w:pPr>
        <w:spacing w:line="240" w:lineRule="auto"/>
        <w:rPr>
          <w:rFonts w:eastAsia="Times New Roman" w:cs="Arial"/>
          <w:lang w:eastAsia="bg-BG"/>
        </w:rPr>
      </w:pPr>
      <w:r w:rsidRPr="00C51411">
        <w:rPr>
          <w:rFonts w:eastAsia="Times New Roman" w:cs="Arial"/>
          <w:b/>
          <w:bCs/>
          <w:color w:val="000000"/>
          <w:lang w:eastAsia="bg-BG"/>
        </w:rPr>
        <w:t>Нарушения на репродуктивната система и гърлата</w:t>
      </w:r>
    </w:p>
    <w:p w14:paraId="50D6837B" w14:textId="59FD46A0" w:rsidR="00C51411" w:rsidRPr="00C51411" w:rsidRDefault="00C51411" w:rsidP="00C51411">
      <w:pPr>
        <w:spacing w:line="240" w:lineRule="auto"/>
        <w:rPr>
          <w:rFonts w:eastAsia="Times New Roman" w:cs="Arial"/>
          <w:lang w:eastAsia="bg-BG"/>
        </w:rPr>
      </w:pPr>
      <w:r w:rsidRPr="00C51411">
        <w:rPr>
          <w:rFonts w:eastAsia="Times New Roman" w:cs="Arial"/>
          <w:color w:val="000000"/>
          <w:lang w:eastAsia="bg-BG"/>
        </w:rPr>
        <w:t>Чести</w:t>
      </w:r>
      <w:r w:rsidRPr="00C51411">
        <w:rPr>
          <w:rFonts w:eastAsia="Times New Roman" w:cs="Arial"/>
          <w:color w:val="000000"/>
          <w:lang w:val="en-US" w:eastAsia="bg-BG"/>
        </w:rPr>
        <w:t xml:space="preserve">: </w:t>
      </w:r>
      <w:r w:rsidRPr="00C51411">
        <w:rPr>
          <w:rFonts w:eastAsia="Times New Roman" w:cs="Arial"/>
          <w:color w:val="000000"/>
          <w:lang w:eastAsia="bg-BG"/>
        </w:rPr>
        <w:t>Импотентност</w:t>
      </w:r>
    </w:p>
    <w:p w14:paraId="408DDE1E" w14:textId="77777777" w:rsidR="00C51411" w:rsidRPr="00C51411" w:rsidRDefault="00C51411" w:rsidP="00C51411">
      <w:pPr>
        <w:spacing w:line="240" w:lineRule="auto"/>
        <w:rPr>
          <w:rFonts w:eastAsia="Times New Roman" w:cs="Arial"/>
          <w:color w:val="000000"/>
          <w:u w:val="single"/>
          <w:lang w:eastAsia="bg-BG"/>
        </w:rPr>
      </w:pPr>
    </w:p>
    <w:p w14:paraId="507EDB53" w14:textId="74B43623" w:rsidR="00C51411" w:rsidRPr="00C51411" w:rsidRDefault="00C51411" w:rsidP="00C51411">
      <w:pPr>
        <w:spacing w:line="240" w:lineRule="auto"/>
        <w:rPr>
          <w:rFonts w:eastAsia="Times New Roman" w:cs="Arial"/>
          <w:lang w:eastAsia="bg-BG"/>
        </w:rPr>
      </w:pPr>
      <w:r w:rsidRPr="00C51411">
        <w:rPr>
          <w:rFonts w:eastAsia="Times New Roman" w:cs="Arial"/>
          <w:color w:val="000000"/>
          <w:u w:val="single"/>
          <w:lang w:eastAsia="bg-BG"/>
        </w:rPr>
        <w:t>Описание на избрани нежелани реакц</w:t>
      </w:r>
      <w:r w:rsidRPr="00C51411">
        <w:rPr>
          <w:rFonts w:eastAsia="Times New Roman" w:cs="Arial"/>
          <w:color w:val="000000"/>
          <w:lang w:eastAsia="bg-BG"/>
        </w:rPr>
        <w:t>ии</w:t>
      </w:r>
    </w:p>
    <w:p w14:paraId="2DB0F098" w14:textId="77777777" w:rsidR="00C51411" w:rsidRPr="00C51411" w:rsidRDefault="00C51411" w:rsidP="00C51411">
      <w:pPr>
        <w:spacing w:line="240" w:lineRule="auto"/>
        <w:rPr>
          <w:rFonts w:eastAsia="Times New Roman" w:cs="Arial"/>
          <w:lang w:eastAsia="bg-BG"/>
        </w:rPr>
      </w:pPr>
      <w:r w:rsidRPr="00C51411">
        <w:rPr>
          <w:rFonts w:eastAsia="Times New Roman" w:cs="Arial"/>
          <w:color w:val="000000"/>
          <w:lang w:eastAsia="bg-BG"/>
        </w:rPr>
        <w:t>Не.меланомен рак на кожата: Въз основа на наличните данни от епидемиологични проучвания е наблюдавана зависима от кумулативната доза връзка между ХХТЗ и НМРК (вж. също точки 4.4 и 5.1).</w:t>
      </w:r>
    </w:p>
    <w:p w14:paraId="100EFE83" w14:textId="77777777" w:rsidR="00C51411" w:rsidRPr="00C51411" w:rsidRDefault="00C51411" w:rsidP="00C51411">
      <w:pPr>
        <w:spacing w:line="240" w:lineRule="auto"/>
        <w:rPr>
          <w:rFonts w:eastAsia="Times New Roman" w:cs="Arial"/>
          <w:color w:val="000000"/>
          <w:u w:val="single"/>
          <w:lang w:eastAsia="bg-BG"/>
        </w:rPr>
      </w:pPr>
    </w:p>
    <w:p w14:paraId="780AD134" w14:textId="1D8EF30D" w:rsidR="00C51411" w:rsidRPr="00C51411" w:rsidRDefault="00C51411" w:rsidP="00C51411">
      <w:pPr>
        <w:spacing w:line="240" w:lineRule="auto"/>
        <w:rPr>
          <w:rFonts w:eastAsia="Times New Roman" w:cs="Arial"/>
          <w:lang w:eastAsia="bg-BG"/>
        </w:rPr>
      </w:pPr>
      <w:r w:rsidRPr="00C51411">
        <w:rPr>
          <w:rFonts w:eastAsia="Times New Roman" w:cs="Arial"/>
          <w:color w:val="000000"/>
          <w:u w:val="single"/>
          <w:lang w:eastAsia="bg-BG"/>
        </w:rPr>
        <w:t>Съобщаване на подозирани нежелани реакции</w:t>
      </w:r>
    </w:p>
    <w:p w14:paraId="5208BDDD" w14:textId="77777777" w:rsidR="00C51411" w:rsidRPr="00C51411" w:rsidRDefault="00C51411" w:rsidP="00C51411">
      <w:pPr>
        <w:spacing w:line="240" w:lineRule="auto"/>
        <w:rPr>
          <w:rFonts w:eastAsia="Times New Roman" w:cs="Arial"/>
          <w:lang w:eastAsia="bg-BG"/>
        </w:rPr>
      </w:pPr>
      <w:r w:rsidRPr="00C51411">
        <w:rPr>
          <w:rFonts w:eastAsia="Times New Roman" w:cs="Arial"/>
          <w:color w:val="000000"/>
          <w:lang w:eastAsia="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Изпълнителна агенция по лекарствата, ул. „Дамян Груев" № 8, 1303 София, тел.: 02 8903417, уебсайт: </w:t>
      </w:r>
      <w:r w:rsidRPr="00C51411">
        <w:rPr>
          <w:rFonts w:eastAsia="Times New Roman" w:cs="Arial"/>
          <w:lang w:eastAsia="bg-BG"/>
        </w:rPr>
        <w:fldChar w:fldCharType="begin"/>
      </w:r>
      <w:r w:rsidRPr="00C51411">
        <w:rPr>
          <w:rFonts w:eastAsia="Times New Roman" w:cs="Arial"/>
          <w:lang w:eastAsia="bg-BG"/>
        </w:rPr>
        <w:instrText xml:space="preserve"> HYPERLINK "http://www.bda.bg" </w:instrText>
      </w:r>
      <w:r w:rsidRPr="00C51411">
        <w:rPr>
          <w:rFonts w:eastAsia="Times New Roman" w:cs="Arial"/>
          <w:lang w:eastAsia="bg-BG"/>
        </w:rPr>
      </w:r>
      <w:r w:rsidRPr="00C51411">
        <w:rPr>
          <w:rFonts w:eastAsia="Times New Roman" w:cs="Arial"/>
          <w:lang w:eastAsia="bg-BG"/>
        </w:rPr>
        <w:fldChar w:fldCharType="separate"/>
      </w:r>
      <w:r w:rsidRPr="00C51411">
        <w:rPr>
          <w:rFonts w:eastAsia="Times New Roman" w:cs="Arial"/>
          <w:color w:val="000000"/>
          <w:lang w:val="en-US"/>
        </w:rPr>
        <w:t>www.bda.bg</w:t>
      </w:r>
      <w:r w:rsidRPr="00C51411">
        <w:rPr>
          <w:rFonts w:eastAsia="Times New Roman" w:cs="Arial"/>
          <w:lang w:eastAsia="bg-BG"/>
        </w:rPr>
        <w:fldChar w:fldCharType="end"/>
      </w:r>
      <w:r w:rsidRPr="00C51411">
        <w:rPr>
          <w:rFonts w:eastAsia="Times New Roman" w:cs="Arial"/>
          <w:color w:val="000000"/>
          <w:lang w:val="en-US"/>
        </w:rPr>
        <w:t>.</w:t>
      </w:r>
    </w:p>
    <w:p w14:paraId="0A6A5CB0" w14:textId="77777777" w:rsidR="00735CBB" w:rsidRPr="00735CBB" w:rsidRDefault="00735CBB" w:rsidP="00735CBB">
      <w:pPr>
        <w:spacing w:line="240" w:lineRule="auto"/>
        <w:rPr>
          <w:rFonts w:ascii="Times New Roman" w:eastAsia="Times New Roman" w:hAnsi="Times New Roman" w:cs="Times New Roman"/>
          <w:sz w:val="24"/>
          <w:szCs w:val="24"/>
          <w:lang w:eastAsia="bg-BG"/>
        </w:rPr>
      </w:pPr>
    </w:p>
    <w:p w14:paraId="4A5904B1" w14:textId="13C6735C" w:rsidR="00EE6C97" w:rsidRDefault="002C50EE" w:rsidP="00A93499">
      <w:pPr>
        <w:pStyle w:val="Heading2"/>
      </w:pPr>
      <w:r>
        <w:t>4.9. Предозиране</w:t>
      </w:r>
    </w:p>
    <w:p w14:paraId="3F445BF3" w14:textId="3C8856B7" w:rsidR="00C51411" w:rsidRDefault="00C51411" w:rsidP="00C51411"/>
    <w:p w14:paraId="5852FB32" w14:textId="77777777" w:rsidR="00C51411" w:rsidRPr="00C51411" w:rsidRDefault="00C51411" w:rsidP="00C51411">
      <w:pPr>
        <w:pStyle w:val="Heading3"/>
        <w:rPr>
          <w:rFonts w:eastAsia="Times New Roman"/>
          <w:u w:val="single"/>
          <w:lang w:eastAsia="bg-BG"/>
        </w:rPr>
      </w:pPr>
      <w:r w:rsidRPr="00C51411">
        <w:rPr>
          <w:rFonts w:eastAsia="Times New Roman"/>
          <w:u w:val="single"/>
          <w:lang w:eastAsia="bg-BG"/>
        </w:rPr>
        <w:t>Симптоми</w:t>
      </w:r>
    </w:p>
    <w:p w14:paraId="5573715D" w14:textId="14AEEC7D" w:rsidR="00C51411" w:rsidRPr="00C51411" w:rsidRDefault="00C51411" w:rsidP="00C51411">
      <w:pPr>
        <w:rPr>
          <w:rFonts w:eastAsia="Times New Roman" w:cs="Arial"/>
          <w:color w:val="000000"/>
          <w:lang w:eastAsia="bg-BG"/>
        </w:rPr>
      </w:pPr>
      <w:r w:rsidRPr="00C51411">
        <w:rPr>
          <w:rFonts w:eastAsia="Times New Roman" w:cs="Arial"/>
          <w:color w:val="000000"/>
          <w:lang w:eastAsia="bg-BG"/>
        </w:rPr>
        <w:t>Предозирането с валсартан може да предизвика изразена хипотония, която може да доведе до потиснато ниво на съзнанието, циркулаторен колапс и/или шок. Освен това, поради предозиране на хидрохлоротиазидната компонента могат да настъпят следните признаци и симптоми: гадене, сънливост, хиповолемия и електролитен дисбаланс, свързан със сърдечни аритмии и мускулни спазми.</w:t>
      </w:r>
    </w:p>
    <w:p w14:paraId="15B3292A" w14:textId="153EFB1D" w:rsidR="00C51411" w:rsidRPr="00C51411" w:rsidRDefault="00C51411" w:rsidP="00C51411">
      <w:pPr>
        <w:rPr>
          <w:rFonts w:eastAsia="Times New Roman" w:cs="Arial"/>
          <w:color w:val="000000"/>
          <w:lang w:eastAsia="bg-BG"/>
        </w:rPr>
      </w:pPr>
    </w:p>
    <w:p w14:paraId="40022C29" w14:textId="77777777" w:rsidR="00C51411" w:rsidRPr="00C51411" w:rsidRDefault="00C51411" w:rsidP="00C51411">
      <w:pPr>
        <w:pStyle w:val="Heading3"/>
        <w:rPr>
          <w:rFonts w:eastAsia="Times New Roman"/>
          <w:u w:val="single"/>
          <w:lang w:eastAsia="bg-BG"/>
        </w:rPr>
      </w:pPr>
      <w:r w:rsidRPr="00C51411">
        <w:rPr>
          <w:rFonts w:eastAsia="Times New Roman"/>
          <w:u w:val="single"/>
          <w:lang w:eastAsia="bg-BG"/>
        </w:rPr>
        <w:t>Лечение</w:t>
      </w:r>
    </w:p>
    <w:p w14:paraId="2E650560" w14:textId="77777777" w:rsidR="00C51411" w:rsidRPr="00C51411" w:rsidRDefault="00C51411" w:rsidP="00C51411">
      <w:pPr>
        <w:spacing w:line="240" w:lineRule="auto"/>
        <w:rPr>
          <w:rFonts w:eastAsia="Times New Roman" w:cs="Arial"/>
          <w:lang w:eastAsia="bg-BG"/>
        </w:rPr>
      </w:pPr>
      <w:r w:rsidRPr="00C51411">
        <w:rPr>
          <w:rFonts w:eastAsia="Times New Roman" w:cs="Arial"/>
          <w:color w:val="000000"/>
          <w:lang w:eastAsia="bg-BG"/>
        </w:rPr>
        <w:t>Терапевтичните мерки зависят от времето на прием на лекарството и вида и тежестта на симптомите, като стабилизиране на циркулаторния статус е от първостепенна важност.</w:t>
      </w:r>
    </w:p>
    <w:p w14:paraId="748BFD9A" w14:textId="77777777" w:rsidR="00C51411" w:rsidRPr="00C51411" w:rsidRDefault="00C51411" w:rsidP="00C51411">
      <w:pPr>
        <w:spacing w:line="240" w:lineRule="auto"/>
        <w:rPr>
          <w:rFonts w:eastAsia="Times New Roman" w:cs="Arial"/>
          <w:lang w:eastAsia="bg-BG"/>
        </w:rPr>
      </w:pPr>
      <w:r w:rsidRPr="00C51411">
        <w:rPr>
          <w:rFonts w:eastAsia="Times New Roman" w:cs="Arial"/>
          <w:color w:val="000000"/>
          <w:lang w:eastAsia="bg-BG"/>
        </w:rPr>
        <w:t>В случай на хипотония, пациентът трябва да бъде поставен в легнало положение по гръб и бързо да бъдат приложени мерки за водно-солево заместване.</w:t>
      </w:r>
    </w:p>
    <w:p w14:paraId="2C344C9F" w14:textId="7857EDA8" w:rsidR="00C51411" w:rsidRPr="00C51411" w:rsidRDefault="00C51411" w:rsidP="00C51411">
      <w:pPr>
        <w:rPr>
          <w:rFonts w:cs="Arial"/>
        </w:rPr>
      </w:pPr>
      <w:r w:rsidRPr="00C51411">
        <w:rPr>
          <w:rFonts w:eastAsia="Times New Roman" w:cs="Arial"/>
          <w:color w:val="000000"/>
          <w:lang w:eastAsia="bg-BG"/>
        </w:rPr>
        <w:t>Валсартан не може да се елиминира чрез хемодиализа, поради силното му свързване с плазмените протеини, докато чрез диализа може да се постигне клирънс на</w:t>
      </w:r>
      <w:r>
        <w:rPr>
          <w:rFonts w:eastAsia="Times New Roman" w:cs="Arial"/>
          <w:color w:val="000000"/>
          <w:lang w:val="en-US" w:eastAsia="bg-BG"/>
        </w:rPr>
        <w:t xml:space="preserve"> </w:t>
      </w:r>
      <w:r w:rsidRPr="00C51411">
        <w:rPr>
          <w:rFonts w:eastAsia="Times New Roman" w:cs="Arial"/>
          <w:color w:val="000000"/>
          <w:lang w:eastAsia="bg-BG"/>
        </w:rPr>
        <w:t>хидрохлоротиазид.</w:t>
      </w:r>
    </w:p>
    <w:p w14:paraId="02081B24" w14:textId="36FE76F4" w:rsidR="00395555" w:rsidRPr="00395555" w:rsidRDefault="002C50EE" w:rsidP="008A6AF2">
      <w:pPr>
        <w:pStyle w:val="Heading1"/>
      </w:pPr>
      <w:r>
        <w:t>5. ФАРМАКОЛОГИЧНИ СВОЙСТВА</w:t>
      </w:r>
    </w:p>
    <w:p w14:paraId="3B9FA2B5" w14:textId="516ED1E2" w:rsidR="00EE6C97" w:rsidRDefault="002C50EE" w:rsidP="00A93499">
      <w:pPr>
        <w:pStyle w:val="Heading2"/>
      </w:pPr>
      <w:r>
        <w:t>5.1. Фармакодинамични свойства</w:t>
      </w:r>
    </w:p>
    <w:p w14:paraId="2376BCC5" w14:textId="1D349A19" w:rsidR="00C51411" w:rsidRDefault="00C51411" w:rsidP="00C51411"/>
    <w:p w14:paraId="57404B56" w14:textId="77777777" w:rsidR="00C51411" w:rsidRPr="00C51411" w:rsidRDefault="00C51411" w:rsidP="00C51411">
      <w:pPr>
        <w:spacing w:line="240" w:lineRule="auto"/>
        <w:rPr>
          <w:rFonts w:ascii="Times New Roman" w:eastAsia="Times New Roman" w:hAnsi="Times New Roman" w:cs="Times New Roman"/>
          <w:sz w:val="24"/>
          <w:szCs w:val="24"/>
          <w:lang w:eastAsia="bg-BG"/>
        </w:rPr>
      </w:pPr>
      <w:r w:rsidRPr="00C51411">
        <w:rPr>
          <w:rFonts w:ascii="Times New Roman" w:eastAsia="Times New Roman" w:hAnsi="Times New Roman" w:cs="Times New Roman"/>
          <w:color w:val="000000"/>
          <w:sz w:val="20"/>
          <w:szCs w:val="20"/>
          <w:lang w:eastAsia="bg-BG"/>
        </w:rPr>
        <w:t xml:space="preserve">Фармакотерапевтична група: Средства, действащи върху ренин-ангиотензиновата система, Ангиотензин </w:t>
      </w:r>
      <w:r w:rsidRPr="00C51411">
        <w:rPr>
          <w:rFonts w:ascii="Times New Roman" w:eastAsia="Times New Roman" w:hAnsi="Times New Roman" w:cs="Times New Roman"/>
          <w:color w:val="000000"/>
          <w:sz w:val="20"/>
          <w:szCs w:val="20"/>
          <w:lang w:val="en-US"/>
        </w:rPr>
        <w:t>II</w:t>
      </w:r>
      <w:r w:rsidRPr="00C51411">
        <w:rPr>
          <w:rFonts w:ascii="Times New Roman" w:eastAsia="Times New Roman" w:hAnsi="Times New Roman" w:cs="Times New Roman"/>
          <w:color w:val="000000"/>
          <w:sz w:val="20"/>
          <w:szCs w:val="20"/>
          <w:lang w:eastAsia="bg-BG"/>
        </w:rPr>
        <w:t xml:space="preserve"> рецепторни антагонисти </w:t>
      </w:r>
      <w:r w:rsidRPr="00C51411">
        <w:rPr>
          <w:rFonts w:ascii="Times New Roman" w:eastAsia="Times New Roman" w:hAnsi="Times New Roman" w:cs="Times New Roman"/>
          <w:color w:val="000000"/>
          <w:sz w:val="20"/>
          <w:szCs w:val="20"/>
          <w:lang w:val="en-US"/>
        </w:rPr>
        <w:t xml:space="preserve">(ARBs) </w:t>
      </w:r>
      <w:r w:rsidRPr="00C51411">
        <w:rPr>
          <w:rFonts w:ascii="Times New Roman" w:eastAsia="Times New Roman" w:hAnsi="Times New Roman" w:cs="Times New Roman"/>
          <w:color w:val="000000"/>
          <w:sz w:val="20"/>
          <w:szCs w:val="20"/>
          <w:lang w:eastAsia="bg-BG"/>
        </w:rPr>
        <w:t xml:space="preserve">и диуретици, валсартан и диуретици; АТС код: </w:t>
      </w:r>
      <w:r w:rsidRPr="00C51411">
        <w:rPr>
          <w:rFonts w:ascii="Times New Roman" w:eastAsia="Times New Roman" w:hAnsi="Times New Roman" w:cs="Times New Roman"/>
          <w:color w:val="000000"/>
          <w:sz w:val="20"/>
          <w:szCs w:val="20"/>
          <w:lang w:val="en-US"/>
        </w:rPr>
        <w:t>C09DA03.</w:t>
      </w:r>
    </w:p>
    <w:p w14:paraId="1C69D54C" w14:textId="77777777" w:rsidR="00C51411" w:rsidRDefault="00C51411" w:rsidP="00C51411">
      <w:pPr>
        <w:spacing w:line="240" w:lineRule="auto"/>
        <w:rPr>
          <w:rFonts w:ascii="Times New Roman" w:eastAsia="Times New Roman" w:hAnsi="Times New Roman" w:cs="Times New Roman"/>
          <w:color w:val="000000"/>
          <w:sz w:val="20"/>
          <w:szCs w:val="20"/>
          <w:u w:val="single"/>
          <w:lang w:eastAsia="bg-BG"/>
        </w:rPr>
      </w:pPr>
    </w:p>
    <w:p w14:paraId="589708D1" w14:textId="408DD67A" w:rsidR="00C51411" w:rsidRPr="00C51411" w:rsidRDefault="00C51411" w:rsidP="00C51411">
      <w:pPr>
        <w:spacing w:line="240" w:lineRule="auto"/>
        <w:rPr>
          <w:rFonts w:ascii="Times New Roman" w:eastAsia="Times New Roman" w:hAnsi="Times New Roman" w:cs="Times New Roman"/>
          <w:sz w:val="24"/>
          <w:szCs w:val="24"/>
          <w:lang w:eastAsia="bg-BG"/>
        </w:rPr>
      </w:pPr>
      <w:r w:rsidRPr="00C51411">
        <w:rPr>
          <w:rFonts w:ascii="Times New Roman" w:eastAsia="Times New Roman" w:hAnsi="Times New Roman" w:cs="Times New Roman"/>
          <w:color w:val="000000"/>
          <w:sz w:val="20"/>
          <w:szCs w:val="20"/>
          <w:u w:val="single"/>
          <w:lang w:eastAsia="bg-BG"/>
        </w:rPr>
        <w:t>Валсартан/хидрохлоротиазид</w:t>
      </w:r>
    </w:p>
    <w:p w14:paraId="353A2D51" w14:textId="77777777" w:rsidR="00C51411" w:rsidRPr="00C51411" w:rsidRDefault="00C51411" w:rsidP="00C51411">
      <w:pPr>
        <w:spacing w:line="240" w:lineRule="auto"/>
        <w:rPr>
          <w:rFonts w:ascii="Times New Roman" w:eastAsia="Times New Roman" w:hAnsi="Times New Roman" w:cs="Times New Roman"/>
          <w:sz w:val="24"/>
          <w:szCs w:val="24"/>
          <w:lang w:eastAsia="bg-BG"/>
        </w:rPr>
      </w:pPr>
      <w:r w:rsidRPr="00C51411">
        <w:rPr>
          <w:rFonts w:ascii="Times New Roman" w:eastAsia="Times New Roman" w:hAnsi="Times New Roman" w:cs="Times New Roman"/>
          <w:color w:val="000000"/>
          <w:sz w:val="20"/>
          <w:szCs w:val="20"/>
          <w:lang w:eastAsia="bg-BG"/>
        </w:rPr>
        <w:t xml:space="preserve">В двойно-сляпо, рандомизирано, активно-контролирано изпитване при пациенти непостигнали контрол на кръвното налягане с 320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 xml:space="preserve">валсартан се наблюдава значително по-голямо средно понижаване на </w:t>
      </w:r>
      <w:r w:rsidRPr="00C51411">
        <w:rPr>
          <w:rFonts w:ascii="Times New Roman" w:eastAsia="Times New Roman" w:hAnsi="Times New Roman" w:cs="Times New Roman"/>
          <w:color w:val="000000"/>
          <w:sz w:val="20"/>
          <w:szCs w:val="20"/>
          <w:lang w:eastAsia="bg-BG"/>
        </w:rPr>
        <w:lastRenderedPageBreak/>
        <w:t xml:space="preserve">систолното/диастолното кръвно налягане при комбинациите валсартан/хидрохлоротиазид 320/25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 xml:space="preserve">(15,4/10,4 </w:t>
      </w:r>
      <w:r w:rsidRPr="00C51411">
        <w:rPr>
          <w:rFonts w:ascii="Times New Roman" w:eastAsia="Times New Roman" w:hAnsi="Times New Roman" w:cs="Times New Roman"/>
          <w:color w:val="000000"/>
          <w:sz w:val="20"/>
          <w:szCs w:val="20"/>
          <w:lang w:val="en-US"/>
        </w:rPr>
        <w:t xml:space="preserve">mmHg) </w:t>
      </w:r>
      <w:r w:rsidRPr="00C51411">
        <w:rPr>
          <w:rFonts w:ascii="Times New Roman" w:eastAsia="Times New Roman" w:hAnsi="Times New Roman" w:cs="Times New Roman"/>
          <w:color w:val="000000"/>
          <w:sz w:val="20"/>
          <w:szCs w:val="20"/>
          <w:lang w:eastAsia="bg-BG"/>
        </w:rPr>
        <w:t xml:space="preserve">и валсартан/хидрохлоротиазид 320/12,5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 xml:space="preserve">(13,6/9,7 </w:t>
      </w:r>
      <w:r w:rsidRPr="00C51411">
        <w:rPr>
          <w:rFonts w:ascii="Times New Roman" w:eastAsia="Times New Roman" w:hAnsi="Times New Roman" w:cs="Times New Roman"/>
          <w:color w:val="000000"/>
          <w:sz w:val="20"/>
          <w:szCs w:val="20"/>
          <w:lang w:val="en-US"/>
        </w:rPr>
        <w:t xml:space="preserve">mmHg) </w:t>
      </w:r>
      <w:r w:rsidRPr="00C51411">
        <w:rPr>
          <w:rFonts w:ascii="Times New Roman" w:eastAsia="Times New Roman" w:hAnsi="Times New Roman" w:cs="Times New Roman"/>
          <w:color w:val="000000"/>
          <w:sz w:val="20"/>
          <w:szCs w:val="20"/>
          <w:lang w:eastAsia="bg-BG"/>
        </w:rPr>
        <w:t xml:space="preserve">в сравнение с 320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 xml:space="preserve">валсартан (6,1/5,8 </w:t>
      </w:r>
      <w:r w:rsidRPr="00C51411">
        <w:rPr>
          <w:rFonts w:ascii="Times New Roman" w:eastAsia="Times New Roman" w:hAnsi="Times New Roman" w:cs="Times New Roman"/>
          <w:color w:val="000000"/>
          <w:sz w:val="20"/>
          <w:szCs w:val="20"/>
          <w:lang w:val="en-US"/>
        </w:rPr>
        <w:t>mmHg).</w:t>
      </w:r>
    </w:p>
    <w:p w14:paraId="13E94BC7" w14:textId="77777777" w:rsidR="00C51411" w:rsidRPr="00C51411" w:rsidRDefault="00C51411" w:rsidP="00C51411">
      <w:pPr>
        <w:spacing w:line="240" w:lineRule="auto"/>
        <w:rPr>
          <w:rFonts w:ascii="Times New Roman" w:eastAsia="Times New Roman" w:hAnsi="Times New Roman" w:cs="Times New Roman"/>
          <w:sz w:val="24"/>
          <w:szCs w:val="24"/>
          <w:lang w:eastAsia="bg-BG"/>
        </w:rPr>
      </w:pPr>
      <w:r w:rsidRPr="00C51411">
        <w:rPr>
          <w:rFonts w:ascii="Times New Roman" w:eastAsia="Times New Roman" w:hAnsi="Times New Roman" w:cs="Times New Roman"/>
          <w:color w:val="000000"/>
          <w:sz w:val="20"/>
          <w:szCs w:val="20"/>
          <w:lang w:eastAsia="bg-BG"/>
        </w:rPr>
        <w:t xml:space="preserve">Разликата в понижаването на систолното кръвно налягане между дозите от 320/25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 xml:space="preserve">и 320/12,5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 xml:space="preserve">също достига статистическа значимост. Освен това, значително по-голям процент пациенти отговарят (диастолно кръвно налягане &lt;90 </w:t>
      </w:r>
      <w:r w:rsidRPr="00C51411">
        <w:rPr>
          <w:rFonts w:ascii="Times New Roman" w:eastAsia="Times New Roman" w:hAnsi="Times New Roman" w:cs="Times New Roman"/>
          <w:color w:val="000000"/>
          <w:sz w:val="20"/>
          <w:szCs w:val="20"/>
          <w:lang w:val="en-US"/>
        </w:rPr>
        <w:t xml:space="preserve">mmHg </w:t>
      </w:r>
      <w:r w:rsidRPr="00C51411">
        <w:rPr>
          <w:rFonts w:ascii="Times New Roman" w:eastAsia="Times New Roman" w:hAnsi="Times New Roman" w:cs="Times New Roman"/>
          <w:color w:val="000000"/>
          <w:sz w:val="20"/>
          <w:szCs w:val="20"/>
          <w:lang w:eastAsia="bg-BG"/>
        </w:rPr>
        <w:t xml:space="preserve">или понижаване &gt;10 </w:t>
      </w:r>
      <w:r w:rsidRPr="00C51411">
        <w:rPr>
          <w:rFonts w:ascii="Times New Roman" w:eastAsia="Times New Roman" w:hAnsi="Times New Roman" w:cs="Times New Roman"/>
          <w:color w:val="000000"/>
          <w:sz w:val="20"/>
          <w:szCs w:val="20"/>
          <w:lang w:val="en-US"/>
        </w:rPr>
        <w:t xml:space="preserve">mmHg) </w:t>
      </w:r>
      <w:r w:rsidRPr="00C51411">
        <w:rPr>
          <w:rFonts w:ascii="Times New Roman" w:eastAsia="Times New Roman" w:hAnsi="Times New Roman" w:cs="Times New Roman"/>
          <w:color w:val="000000"/>
          <w:sz w:val="20"/>
          <w:szCs w:val="20"/>
          <w:lang w:eastAsia="bg-BG"/>
        </w:rPr>
        <w:t xml:space="preserve">с валсартан/хидрохлоротиазид 320/25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 xml:space="preserve">(75%) и 320/12,5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 xml:space="preserve">(69%), в сравнение с 320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валсартан (53%).</w:t>
      </w:r>
    </w:p>
    <w:p w14:paraId="6528D7EB" w14:textId="77777777" w:rsidR="00C51411" w:rsidRDefault="00C51411" w:rsidP="00C51411">
      <w:pPr>
        <w:spacing w:line="240" w:lineRule="auto"/>
        <w:rPr>
          <w:rFonts w:ascii="Times New Roman" w:eastAsia="Times New Roman" w:hAnsi="Times New Roman" w:cs="Times New Roman"/>
          <w:color w:val="000000"/>
          <w:sz w:val="20"/>
          <w:szCs w:val="20"/>
          <w:lang w:eastAsia="bg-BG"/>
        </w:rPr>
      </w:pPr>
    </w:p>
    <w:p w14:paraId="780CD27A" w14:textId="23288952" w:rsidR="00C51411" w:rsidRPr="00C51411" w:rsidRDefault="00C51411" w:rsidP="00C51411">
      <w:pPr>
        <w:spacing w:line="240" w:lineRule="auto"/>
        <w:rPr>
          <w:rFonts w:ascii="Times New Roman" w:eastAsia="Times New Roman" w:hAnsi="Times New Roman" w:cs="Times New Roman"/>
          <w:sz w:val="24"/>
          <w:szCs w:val="24"/>
          <w:lang w:eastAsia="bg-BG"/>
        </w:rPr>
      </w:pPr>
      <w:r w:rsidRPr="00C51411">
        <w:rPr>
          <w:rFonts w:ascii="Times New Roman" w:eastAsia="Times New Roman" w:hAnsi="Times New Roman" w:cs="Times New Roman"/>
          <w:color w:val="000000"/>
          <w:sz w:val="20"/>
          <w:szCs w:val="20"/>
          <w:lang w:eastAsia="bg-BG"/>
        </w:rPr>
        <w:t xml:space="preserve">В двойно-сляпо, рандомизирано, плацебо-контролирано изпитване, сравняващо различните дозови комбинации на валсартан/хидрохлоротиазид със съответните им компоненти, е наблюдавано значително по-голямо средно понижаване на систолното/диастолното кръвно налягане при комбинацията валсартан/хидрохлоротиазид 320/12,5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 xml:space="preserve">(21,7/15,0 </w:t>
      </w:r>
      <w:r w:rsidRPr="00C51411">
        <w:rPr>
          <w:rFonts w:ascii="Times New Roman" w:eastAsia="Times New Roman" w:hAnsi="Times New Roman" w:cs="Times New Roman"/>
          <w:color w:val="000000"/>
          <w:sz w:val="20"/>
          <w:szCs w:val="20"/>
          <w:lang w:val="en-US"/>
        </w:rPr>
        <w:t xml:space="preserve">mmHg) </w:t>
      </w:r>
      <w:r w:rsidRPr="00C51411">
        <w:rPr>
          <w:rFonts w:ascii="Times New Roman" w:eastAsia="Times New Roman" w:hAnsi="Times New Roman" w:cs="Times New Roman"/>
          <w:color w:val="000000"/>
          <w:sz w:val="20"/>
          <w:szCs w:val="20"/>
          <w:lang w:eastAsia="bg-BG"/>
        </w:rPr>
        <w:t xml:space="preserve">и 320/25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 xml:space="preserve">(24,7/16,6 </w:t>
      </w:r>
      <w:r w:rsidRPr="00C51411">
        <w:rPr>
          <w:rFonts w:ascii="Times New Roman" w:eastAsia="Times New Roman" w:hAnsi="Times New Roman" w:cs="Times New Roman"/>
          <w:color w:val="000000"/>
          <w:sz w:val="20"/>
          <w:szCs w:val="20"/>
          <w:lang w:val="en-US"/>
        </w:rPr>
        <w:t xml:space="preserve">mmHg), </w:t>
      </w:r>
      <w:r w:rsidRPr="00C51411">
        <w:rPr>
          <w:rFonts w:ascii="Times New Roman" w:eastAsia="Times New Roman" w:hAnsi="Times New Roman" w:cs="Times New Roman"/>
          <w:color w:val="000000"/>
          <w:sz w:val="20"/>
          <w:szCs w:val="20"/>
          <w:lang w:eastAsia="bg-BG"/>
        </w:rPr>
        <w:t xml:space="preserve">в сравнение с плацебо (7,0/5,9 </w:t>
      </w:r>
      <w:r w:rsidRPr="00C51411">
        <w:rPr>
          <w:rFonts w:ascii="Times New Roman" w:eastAsia="Times New Roman" w:hAnsi="Times New Roman" w:cs="Times New Roman"/>
          <w:color w:val="000000"/>
          <w:sz w:val="20"/>
          <w:szCs w:val="20"/>
          <w:lang w:val="en-US"/>
        </w:rPr>
        <w:t xml:space="preserve">mmHg) </w:t>
      </w:r>
      <w:r w:rsidRPr="00C51411">
        <w:rPr>
          <w:rFonts w:ascii="Times New Roman" w:eastAsia="Times New Roman" w:hAnsi="Times New Roman" w:cs="Times New Roman"/>
          <w:color w:val="000000"/>
          <w:sz w:val="20"/>
          <w:szCs w:val="20"/>
          <w:lang w:eastAsia="bg-BG"/>
        </w:rPr>
        <w:t xml:space="preserve">и съответните монотерапии, напр. хидрохлоротиазид 12,5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 xml:space="preserve">(11,1/9,0 </w:t>
      </w:r>
      <w:r w:rsidRPr="00C51411">
        <w:rPr>
          <w:rFonts w:ascii="Times New Roman" w:eastAsia="Times New Roman" w:hAnsi="Times New Roman" w:cs="Times New Roman"/>
          <w:color w:val="000000"/>
          <w:sz w:val="20"/>
          <w:szCs w:val="20"/>
          <w:lang w:val="en-US"/>
        </w:rPr>
        <w:t xml:space="preserve">mmHg), </w:t>
      </w:r>
      <w:r w:rsidRPr="00C51411">
        <w:rPr>
          <w:rFonts w:ascii="Times New Roman" w:eastAsia="Times New Roman" w:hAnsi="Times New Roman" w:cs="Times New Roman"/>
          <w:color w:val="000000"/>
          <w:sz w:val="20"/>
          <w:szCs w:val="20"/>
          <w:lang w:eastAsia="bg-BG"/>
        </w:rPr>
        <w:t xml:space="preserve">хидрохлоротиазид 25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 xml:space="preserve">(14,5/10,8 </w:t>
      </w:r>
      <w:r w:rsidRPr="00C51411">
        <w:rPr>
          <w:rFonts w:ascii="Times New Roman" w:eastAsia="Times New Roman" w:hAnsi="Times New Roman" w:cs="Times New Roman"/>
          <w:color w:val="000000"/>
          <w:sz w:val="20"/>
          <w:szCs w:val="20"/>
          <w:lang w:val="en-US"/>
        </w:rPr>
        <w:t xml:space="preserve">mmHg) </w:t>
      </w:r>
      <w:r w:rsidRPr="00C51411">
        <w:rPr>
          <w:rFonts w:ascii="Times New Roman" w:eastAsia="Times New Roman" w:hAnsi="Times New Roman" w:cs="Times New Roman"/>
          <w:color w:val="000000"/>
          <w:sz w:val="20"/>
          <w:szCs w:val="20"/>
          <w:lang w:eastAsia="bg-BG"/>
        </w:rPr>
        <w:t xml:space="preserve">и валсартан 320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 xml:space="preserve">(13,7/11,3 </w:t>
      </w:r>
      <w:r w:rsidRPr="00C51411">
        <w:rPr>
          <w:rFonts w:ascii="Times New Roman" w:eastAsia="Times New Roman" w:hAnsi="Times New Roman" w:cs="Times New Roman"/>
          <w:color w:val="000000"/>
          <w:sz w:val="20"/>
          <w:szCs w:val="20"/>
          <w:lang w:val="en-US"/>
        </w:rPr>
        <w:t xml:space="preserve">mmHg), </w:t>
      </w:r>
      <w:r w:rsidRPr="00C51411">
        <w:rPr>
          <w:rFonts w:ascii="Times New Roman" w:eastAsia="Times New Roman" w:hAnsi="Times New Roman" w:cs="Times New Roman"/>
          <w:color w:val="000000"/>
          <w:sz w:val="20"/>
          <w:szCs w:val="20"/>
          <w:lang w:eastAsia="bg-BG"/>
        </w:rPr>
        <w:t xml:space="preserve">Освен това, значително по-голям процент пациенти отговарят (диастолно кръвно налягане &lt;90 </w:t>
      </w:r>
      <w:r w:rsidRPr="00C51411">
        <w:rPr>
          <w:rFonts w:ascii="Times New Roman" w:eastAsia="Times New Roman" w:hAnsi="Times New Roman" w:cs="Times New Roman"/>
          <w:color w:val="000000"/>
          <w:sz w:val="20"/>
          <w:szCs w:val="20"/>
          <w:lang w:val="en-US"/>
        </w:rPr>
        <w:t xml:space="preserve">mmHg </w:t>
      </w:r>
      <w:r w:rsidRPr="00C51411">
        <w:rPr>
          <w:rFonts w:ascii="Times New Roman" w:eastAsia="Times New Roman" w:hAnsi="Times New Roman" w:cs="Times New Roman"/>
          <w:color w:val="000000"/>
          <w:sz w:val="20"/>
          <w:szCs w:val="20"/>
          <w:lang w:eastAsia="bg-BG"/>
        </w:rPr>
        <w:t xml:space="preserve">или понижаване ≥10 </w:t>
      </w:r>
      <w:r w:rsidRPr="00C51411">
        <w:rPr>
          <w:rFonts w:ascii="Times New Roman" w:eastAsia="Times New Roman" w:hAnsi="Times New Roman" w:cs="Times New Roman"/>
          <w:color w:val="000000"/>
          <w:sz w:val="20"/>
          <w:szCs w:val="20"/>
          <w:lang w:val="en-US"/>
        </w:rPr>
        <w:t xml:space="preserve">mmHg) </w:t>
      </w:r>
      <w:r w:rsidRPr="00C51411">
        <w:rPr>
          <w:rFonts w:ascii="Times New Roman" w:eastAsia="Times New Roman" w:hAnsi="Times New Roman" w:cs="Times New Roman"/>
          <w:color w:val="000000"/>
          <w:sz w:val="20"/>
          <w:szCs w:val="20"/>
          <w:lang w:eastAsia="bg-BG"/>
        </w:rPr>
        <w:t xml:space="preserve">с валсартан/хидрохлоротиазид 320/25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 xml:space="preserve">(85%) и 320/12,5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 xml:space="preserve">(83%), в сравнение с плацебо (45%) и съответните монотерапии, напр. хидрохлоротиазид 12,5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 xml:space="preserve">(60%), хидрохлоротиазид 25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 xml:space="preserve">(66%), </w:t>
      </w:r>
      <w:r w:rsidRPr="00C51411">
        <w:rPr>
          <w:rFonts w:ascii="Times New Roman" w:eastAsia="Times New Roman" w:hAnsi="Times New Roman" w:cs="Times New Roman"/>
          <w:i/>
          <w:iCs/>
          <w:color w:val="000000"/>
          <w:sz w:val="20"/>
          <w:szCs w:val="20"/>
          <w:lang w:eastAsia="bg-BG"/>
        </w:rPr>
        <w:t>и</w:t>
      </w:r>
      <w:r w:rsidRPr="00C51411">
        <w:rPr>
          <w:rFonts w:ascii="Times New Roman" w:eastAsia="Times New Roman" w:hAnsi="Times New Roman" w:cs="Times New Roman"/>
          <w:color w:val="000000"/>
          <w:sz w:val="20"/>
          <w:szCs w:val="20"/>
          <w:lang w:eastAsia="bg-BG"/>
        </w:rPr>
        <w:t xml:space="preserve"> валсартан 320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(69%).</w:t>
      </w:r>
    </w:p>
    <w:p w14:paraId="62DD2598" w14:textId="77777777" w:rsidR="00C51411" w:rsidRDefault="00C51411" w:rsidP="00C51411">
      <w:pPr>
        <w:spacing w:line="240" w:lineRule="auto"/>
        <w:rPr>
          <w:rFonts w:ascii="Times New Roman" w:eastAsia="Times New Roman" w:hAnsi="Times New Roman" w:cs="Times New Roman"/>
          <w:color w:val="000000"/>
          <w:sz w:val="20"/>
          <w:szCs w:val="20"/>
          <w:lang w:eastAsia="bg-BG"/>
        </w:rPr>
      </w:pPr>
    </w:p>
    <w:p w14:paraId="1EF39393" w14:textId="2EF0B1AE" w:rsidR="00C51411" w:rsidRPr="00C51411" w:rsidRDefault="00C51411" w:rsidP="00C51411">
      <w:pPr>
        <w:spacing w:line="240" w:lineRule="auto"/>
        <w:rPr>
          <w:rFonts w:ascii="Times New Roman" w:eastAsia="Times New Roman" w:hAnsi="Times New Roman" w:cs="Times New Roman"/>
          <w:sz w:val="24"/>
          <w:szCs w:val="24"/>
          <w:lang w:eastAsia="bg-BG"/>
        </w:rPr>
      </w:pPr>
      <w:r w:rsidRPr="00C51411">
        <w:rPr>
          <w:rFonts w:ascii="Times New Roman" w:eastAsia="Times New Roman" w:hAnsi="Times New Roman" w:cs="Times New Roman"/>
          <w:color w:val="000000"/>
          <w:sz w:val="20"/>
          <w:szCs w:val="20"/>
          <w:lang w:eastAsia="bg-BG"/>
        </w:rPr>
        <w:t xml:space="preserve">При контролирани клинични изпитвания с валсартан + хидрохлоротиазид е наблюдавано дозозависимо понижаване на серумния калий. То настъпва по-често при пациенти, приемащи 25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 xml:space="preserve">хидрохлоротиазид, отколкото при тези на 12,5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хидрохлоротиазид. В контролирани клинични изпитвания с валсартан/хидрохлоротиазид, калий-понижаващият ефект на хидрохлоротиазид се намалява от калий-съхраняващия ефект на валсартан.</w:t>
      </w:r>
    </w:p>
    <w:p w14:paraId="1C7AD2AB" w14:textId="77777777" w:rsidR="00C51411" w:rsidRDefault="00C51411" w:rsidP="00C51411">
      <w:pPr>
        <w:spacing w:line="240" w:lineRule="auto"/>
        <w:rPr>
          <w:rFonts w:ascii="Times New Roman" w:eastAsia="Times New Roman" w:hAnsi="Times New Roman" w:cs="Times New Roman"/>
          <w:color w:val="000000"/>
          <w:sz w:val="20"/>
          <w:szCs w:val="20"/>
          <w:lang w:eastAsia="bg-BG"/>
        </w:rPr>
      </w:pPr>
    </w:p>
    <w:p w14:paraId="01712E9F" w14:textId="6AF036FF" w:rsidR="00C51411" w:rsidRPr="00C51411" w:rsidRDefault="00C51411" w:rsidP="00C51411">
      <w:pPr>
        <w:spacing w:line="240" w:lineRule="auto"/>
        <w:rPr>
          <w:rFonts w:ascii="Times New Roman" w:eastAsia="Times New Roman" w:hAnsi="Times New Roman" w:cs="Times New Roman"/>
          <w:sz w:val="24"/>
          <w:szCs w:val="24"/>
          <w:lang w:eastAsia="bg-BG"/>
        </w:rPr>
      </w:pPr>
      <w:r w:rsidRPr="00C51411">
        <w:rPr>
          <w:rFonts w:ascii="Times New Roman" w:eastAsia="Times New Roman" w:hAnsi="Times New Roman" w:cs="Times New Roman"/>
          <w:color w:val="000000"/>
          <w:sz w:val="20"/>
          <w:szCs w:val="20"/>
          <w:lang w:eastAsia="bg-BG"/>
        </w:rPr>
        <w:t>Понастоящем не са известни благоприятни ефекти на валсартан в комбинация с хидрохлоротиазид върху смъртността и заболеваемостта от сърдечносъдови заболявания. Епидемиологични проучвания показват, че дългосрочното лечение с хидрохлоротиазид намалява риска от сърдечносъдова заболеваемост и смъртност.</w:t>
      </w:r>
    </w:p>
    <w:p w14:paraId="40FECDEE" w14:textId="77777777" w:rsidR="00C51411" w:rsidRDefault="00C51411" w:rsidP="00C51411">
      <w:pPr>
        <w:spacing w:line="240" w:lineRule="auto"/>
        <w:rPr>
          <w:rFonts w:ascii="Times New Roman" w:eastAsia="Times New Roman" w:hAnsi="Times New Roman" w:cs="Times New Roman"/>
          <w:color w:val="000000"/>
          <w:sz w:val="20"/>
          <w:szCs w:val="20"/>
          <w:u w:val="single"/>
          <w:lang w:eastAsia="bg-BG"/>
        </w:rPr>
      </w:pPr>
    </w:p>
    <w:p w14:paraId="6E16306C" w14:textId="56385959" w:rsidR="00C51411" w:rsidRPr="00C51411" w:rsidRDefault="00C51411" w:rsidP="00C51411">
      <w:pPr>
        <w:spacing w:line="240" w:lineRule="auto"/>
        <w:rPr>
          <w:rFonts w:ascii="Times New Roman" w:eastAsia="Times New Roman" w:hAnsi="Times New Roman" w:cs="Times New Roman"/>
          <w:sz w:val="24"/>
          <w:szCs w:val="24"/>
          <w:lang w:eastAsia="bg-BG"/>
        </w:rPr>
      </w:pPr>
      <w:r w:rsidRPr="00C51411">
        <w:rPr>
          <w:rFonts w:ascii="Times New Roman" w:eastAsia="Times New Roman" w:hAnsi="Times New Roman" w:cs="Times New Roman"/>
          <w:color w:val="000000"/>
          <w:sz w:val="20"/>
          <w:szCs w:val="20"/>
          <w:u w:val="single"/>
          <w:lang w:eastAsia="bg-BG"/>
        </w:rPr>
        <w:t>Валсартан</w:t>
      </w:r>
    </w:p>
    <w:p w14:paraId="644C94F2" w14:textId="77777777" w:rsidR="00C51411" w:rsidRPr="00C51411" w:rsidRDefault="00C51411" w:rsidP="00C51411">
      <w:pPr>
        <w:spacing w:line="240" w:lineRule="auto"/>
        <w:rPr>
          <w:rFonts w:ascii="Times New Roman" w:eastAsia="Times New Roman" w:hAnsi="Times New Roman" w:cs="Times New Roman"/>
          <w:sz w:val="24"/>
          <w:szCs w:val="24"/>
          <w:lang w:eastAsia="bg-BG"/>
        </w:rPr>
      </w:pPr>
      <w:r w:rsidRPr="00C51411">
        <w:rPr>
          <w:rFonts w:ascii="Times New Roman" w:eastAsia="Times New Roman" w:hAnsi="Times New Roman" w:cs="Times New Roman"/>
          <w:color w:val="000000"/>
          <w:sz w:val="20"/>
          <w:szCs w:val="20"/>
          <w:lang w:eastAsia="bg-BG"/>
        </w:rPr>
        <w:t xml:space="preserve">Валсартан е перорално активен и специфичен ангиотензин II рецепторен антагонист. Той действа селективно на </w:t>
      </w:r>
      <w:r w:rsidRPr="00C51411">
        <w:rPr>
          <w:rFonts w:ascii="Times New Roman" w:eastAsia="Times New Roman" w:hAnsi="Times New Roman" w:cs="Times New Roman"/>
          <w:color w:val="000000"/>
          <w:sz w:val="20"/>
          <w:szCs w:val="20"/>
          <w:lang w:val="en-US"/>
        </w:rPr>
        <w:t xml:space="preserve">AT1 </w:t>
      </w:r>
      <w:r w:rsidRPr="00C51411">
        <w:rPr>
          <w:rFonts w:ascii="Times New Roman" w:eastAsia="Times New Roman" w:hAnsi="Times New Roman" w:cs="Times New Roman"/>
          <w:color w:val="000000"/>
          <w:sz w:val="20"/>
          <w:szCs w:val="20"/>
          <w:lang w:eastAsia="bg-BG"/>
        </w:rPr>
        <w:t xml:space="preserve">рецепторния подтип, който е отговорен за известните действия на ангиотензин </w:t>
      </w:r>
      <w:r w:rsidRPr="00C51411">
        <w:rPr>
          <w:rFonts w:ascii="Times New Roman" w:eastAsia="Times New Roman" w:hAnsi="Times New Roman" w:cs="Times New Roman"/>
          <w:color w:val="000000"/>
          <w:sz w:val="20"/>
          <w:szCs w:val="20"/>
          <w:lang w:val="en-US"/>
        </w:rPr>
        <w:t>II</w:t>
      </w:r>
      <w:r w:rsidRPr="00C51411">
        <w:rPr>
          <w:rFonts w:ascii="Times New Roman" w:eastAsia="Times New Roman" w:hAnsi="Times New Roman" w:cs="Times New Roman"/>
          <w:color w:val="000000"/>
          <w:sz w:val="20"/>
          <w:szCs w:val="20"/>
          <w:lang w:eastAsia="bg-BG"/>
        </w:rPr>
        <w:t xml:space="preserve">. Повишените плазмени нива на ангиотензин II вследствие на </w:t>
      </w:r>
      <w:r w:rsidRPr="00C51411">
        <w:rPr>
          <w:rFonts w:ascii="Times New Roman" w:eastAsia="Times New Roman" w:hAnsi="Times New Roman" w:cs="Times New Roman"/>
          <w:color w:val="000000"/>
          <w:sz w:val="20"/>
          <w:szCs w:val="20"/>
          <w:lang w:val="en-US"/>
        </w:rPr>
        <w:t xml:space="preserve">AT1 </w:t>
      </w:r>
      <w:r w:rsidRPr="00C51411">
        <w:rPr>
          <w:rFonts w:ascii="Times New Roman" w:eastAsia="Times New Roman" w:hAnsi="Times New Roman" w:cs="Times New Roman"/>
          <w:color w:val="000000"/>
          <w:sz w:val="20"/>
          <w:szCs w:val="20"/>
          <w:lang w:eastAsia="bg-BG"/>
        </w:rPr>
        <w:t>рецепторната</w:t>
      </w:r>
    </w:p>
    <w:p w14:paraId="7B4BC0F1" w14:textId="77777777" w:rsidR="00C51411" w:rsidRPr="00C51411" w:rsidRDefault="00C51411" w:rsidP="00C51411">
      <w:pPr>
        <w:rPr>
          <w:rFonts w:ascii="Times New Roman" w:eastAsia="Times New Roman" w:hAnsi="Times New Roman" w:cs="Times New Roman"/>
          <w:sz w:val="24"/>
          <w:szCs w:val="24"/>
          <w:lang w:eastAsia="bg-BG"/>
        </w:rPr>
      </w:pPr>
      <w:r w:rsidRPr="00C51411">
        <w:rPr>
          <w:rFonts w:ascii="Times New Roman" w:eastAsia="Times New Roman" w:hAnsi="Times New Roman" w:cs="Times New Roman"/>
          <w:color w:val="000000"/>
          <w:sz w:val="20"/>
          <w:szCs w:val="20"/>
          <w:lang w:eastAsia="bg-BG"/>
        </w:rPr>
        <w:t>блокада с валсартан могат да стимулират неблокираните АТ2 рецептори, което изглежда</w:t>
      </w:r>
      <w:r>
        <w:rPr>
          <w:rFonts w:ascii="Times New Roman" w:eastAsia="Times New Roman" w:hAnsi="Times New Roman" w:cs="Times New Roman"/>
          <w:color w:val="000000"/>
          <w:sz w:val="20"/>
          <w:szCs w:val="20"/>
          <w:lang w:val="en-US" w:eastAsia="bg-BG"/>
        </w:rPr>
        <w:t xml:space="preserve"> </w:t>
      </w:r>
      <w:r w:rsidRPr="00C51411">
        <w:rPr>
          <w:rFonts w:ascii="Times New Roman" w:eastAsia="Times New Roman" w:hAnsi="Times New Roman" w:cs="Times New Roman"/>
          <w:color w:val="000000"/>
          <w:sz w:val="20"/>
          <w:szCs w:val="20"/>
          <w:lang w:eastAsia="bg-BG"/>
        </w:rPr>
        <w:t xml:space="preserve">противодейства на ефекта на </w:t>
      </w:r>
      <w:r w:rsidRPr="00C51411">
        <w:rPr>
          <w:rFonts w:ascii="Times New Roman" w:eastAsia="Times New Roman" w:hAnsi="Times New Roman" w:cs="Times New Roman"/>
          <w:color w:val="000000"/>
          <w:sz w:val="20"/>
          <w:szCs w:val="20"/>
          <w:lang w:val="en-US"/>
        </w:rPr>
        <w:t xml:space="preserve">AT1 </w:t>
      </w:r>
      <w:r w:rsidRPr="00C51411">
        <w:rPr>
          <w:rFonts w:ascii="Times New Roman" w:eastAsia="Times New Roman" w:hAnsi="Times New Roman" w:cs="Times New Roman"/>
          <w:color w:val="000000"/>
          <w:sz w:val="20"/>
          <w:szCs w:val="20"/>
          <w:lang w:eastAsia="bg-BG"/>
        </w:rPr>
        <w:t xml:space="preserve">рецептора. Валсартан не проявява никаква частична агонистична активност към </w:t>
      </w:r>
      <w:r w:rsidRPr="00C51411">
        <w:rPr>
          <w:rFonts w:ascii="Times New Roman" w:eastAsia="Times New Roman" w:hAnsi="Times New Roman" w:cs="Times New Roman"/>
          <w:color w:val="000000"/>
          <w:sz w:val="20"/>
          <w:szCs w:val="20"/>
          <w:lang w:val="en-US"/>
        </w:rPr>
        <w:t xml:space="preserve">AT1 </w:t>
      </w:r>
      <w:r w:rsidRPr="00C51411">
        <w:rPr>
          <w:rFonts w:ascii="Times New Roman" w:eastAsia="Times New Roman" w:hAnsi="Times New Roman" w:cs="Times New Roman"/>
          <w:color w:val="000000"/>
          <w:sz w:val="20"/>
          <w:szCs w:val="20"/>
          <w:lang w:eastAsia="bg-BG"/>
        </w:rPr>
        <w:t xml:space="preserve">рецептора и има много по-висок (около 20 000 пъти) афинитет за </w:t>
      </w:r>
      <w:r w:rsidRPr="00C51411">
        <w:rPr>
          <w:rFonts w:ascii="Times New Roman" w:eastAsia="Times New Roman" w:hAnsi="Times New Roman" w:cs="Times New Roman"/>
          <w:color w:val="000000"/>
          <w:sz w:val="20"/>
          <w:szCs w:val="20"/>
          <w:lang w:val="en-US"/>
        </w:rPr>
        <w:t xml:space="preserve">AT1 </w:t>
      </w:r>
      <w:r w:rsidRPr="00C51411">
        <w:rPr>
          <w:rFonts w:ascii="Times New Roman" w:eastAsia="Times New Roman" w:hAnsi="Times New Roman" w:cs="Times New Roman"/>
          <w:color w:val="000000"/>
          <w:sz w:val="20"/>
          <w:szCs w:val="20"/>
          <w:lang w:eastAsia="bg-BG"/>
        </w:rPr>
        <w:t>рецептора, отколкото към АТ2 рецептора. Валсартан не се свързва и не блокира рецептори на други хормони или йонни канали, за които е известно, че са важни в сърдечносъдовата регулация.</w:t>
      </w:r>
    </w:p>
    <w:p w14:paraId="3DC557D8" w14:textId="77777777" w:rsidR="00C51411" w:rsidRDefault="00C51411" w:rsidP="00C51411">
      <w:pPr>
        <w:spacing w:line="240" w:lineRule="auto"/>
        <w:rPr>
          <w:rFonts w:ascii="Times New Roman" w:eastAsia="Times New Roman" w:hAnsi="Times New Roman" w:cs="Times New Roman"/>
          <w:color w:val="000000"/>
          <w:sz w:val="20"/>
          <w:szCs w:val="20"/>
          <w:lang w:eastAsia="bg-BG"/>
        </w:rPr>
      </w:pPr>
    </w:p>
    <w:p w14:paraId="2435CA93" w14:textId="5A59B017" w:rsidR="00C51411" w:rsidRPr="00C51411" w:rsidRDefault="00C51411" w:rsidP="00C51411">
      <w:pPr>
        <w:spacing w:line="240" w:lineRule="auto"/>
        <w:rPr>
          <w:rFonts w:ascii="Times New Roman" w:eastAsia="Times New Roman" w:hAnsi="Times New Roman" w:cs="Times New Roman"/>
          <w:sz w:val="24"/>
          <w:szCs w:val="24"/>
          <w:lang w:eastAsia="bg-BG"/>
        </w:rPr>
      </w:pPr>
      <w:r w:rsidRPr="00C51411">
        <w:rPr>
          <w:rFonts w:ascii="Times New Roman" w:eastAsia="Times New Roman" w:hAnsi="Times New Roman" w:cs="Times New Roman"/>
          <w:color w:val="000000"/>
          <w:sz w:val="20"/>
          <w:szCs w:val="20"/>
          <w:lang w:eastAsia="bg-BG"/>
        </w:rPr>
        <w:t xml:space="preserve">Валсартан не инхибира ангиотензин-конвертиращия ензим, известен още като кининаза </w:t>
      </w:r>
      <w:r w:rsidRPr="00C51411">
        <w:rPr>
          <w:rFonts w:ascii="Times New Roman" w:eastAsia="Times New Roman" w:hAnsi="Times New Roman" w:cs="Times New Roman"/>
          <w:color w:val="000000"/>
          <w:sz w:val="20"/>
          <w:szCs w:val="20"/>
          <w:lang w:val="en-US"/>
        </w:rPr>
        <w:t>II</w:t>
      </w:r>
      <w:r w:rsidRPr="00C51411">
        <w:rPr>
          <w:rFonts w:ascii="Times New Roman" w:eastAsia="Times New Roman" w:hAnsi="Times New Roman" w:cs="Times New Roman"/>
          <w:color w:val="000000"/>
          <w:sz w:val="20"/>
          <w:szCs w:val="20"/>
          <w:lang w:eastAsia="bg-BG"/>
        </w:rPr>
        <w:t xml:space="preserve">, който превръща ангиотензин I в ангиотензин II и разгражда брадикинин. Тъй като нямат ефект върху АСЕ и не потенцират брадикинин или субстанция Р, е малко вероятно ангиотензин </w:t>
      </w:r>
      <w:r w:rsidRPr="00C51411">
        <w:rPr>
          <w:rFonts w:ascii="Times New Roman" w:eastAsia="Times New Roman" w:hAnsi="Times New Roman" w:cs="Times New Roman"/>
          <w:color w:val="000000"/>
          <w:sz w:val="20"/>
          <w:szCs w:val="20"/>
          <w:lang w:val="en-US"/>
        </w:rPr>
        <w:t>II</w:t>
      </w:r>
      <w:r w:rsidRPr="00C51411">
        <w:rPr>
          <w:rFonts w:ascii="Times New Roman" w:eastAsia="Times New Roman" w:hAnsi="Times New Roman" w:cs="Times New Roman"/>
          <w:color w:val="000000"/>
          <w:sz w:val="20"/>
          <w:szCs w:val="20"/>
          <w:lang w:eastAsia="bg-BG"/>
        </w:rPr>
        <w:t xml:space="preserve"> рецепторните антагонисти да предизвикват кашлица. В клинични изпитвания, където валсартан е сравняван с АСЕ инхибитор, честотата на суха кашлица е била значително (Р &lt;0,05) по-ниска при пациенти, лекувани с валсартан, отколкото при тези, лекувани с АСЕ инхибитор (съответно 2,6% спрямо 7,9%). В клинично изпитване на пациенти с анамнеза за суха кашлица по време на лечение с АСЕ инхибитор, 19,5% от пациентите, приемащи валсартан и 19,0% от приемащите тиазиден диуретик имат кашлица, в сравнение с 68,5% от лекуваните с АСЕ инхибитор (Р &lt;0,05).</w:t>
      </w:r>
    </w:p>
    <w:p w14:paraId="49EE5BC9" w14:textId="77777777" w:rsidR="00C51411" w:rsidRDefault="00C51411" w:rsidP="00C51411">
      <w:pPr>
        <w:spacing w:line="240" w:lineRule="auto"/>
        <w:rPr>
          <w:rFonts w:ascii="Times New Roman" w:eastAsia="Times New Roman" w:hAnsi="Times New Roman" w:cs="Times New Roman"/>
          <w:color w:val="000000"/>
          <w:sz w:val="20"/>
          <w:szCs w:val="20"/>
          <w:lang w:eastAsia="bg-BG"/>
        </w:rPr>
      </w:pPr>
    </w:p>
    <w:p w14:paraId="3EA927F8" w14:textId="56C7CC1D" w:rsidR="00C51411" w:rsidRPr="00C51411" w:rsidRDefault="00C51411" w:rsidP="00C51411">
      <w:pPr>
        <w:spacing w:line="240" w:lineRule="auto"/>
        <w:rPr>
          <w:rFonts w:ascii="Times New Roman" w:eastAsia="Times New Roman" w:hAnsi="Times New Roman" w:cs="Times New Roman"/>
          <w:sz w:val="24"/>
          <w:szCs w:val="24"/>
          <w:lang w:eastAsia="bg-BG"/>
        </w:rPr>
      </w:pPr>
      <w:r w:rsidRPr="00C51411">
        <w:rPr>
          <w:rFonts w:ascii="Times New Roman" w:eastAsia="Times New Roman" w:hAnsi="Times New Roman" w:cs="Times New Roman"/>
          <w:color w:val="000000"/>
          <w:sz w:val="20"/>
          <w:szCs w:val="20"/>
          <w:lang w:eastAsia="bg-BG"/>
        </w:rPr>
        <w:t xml:space="preserve">Приложението на валсартан на пациенти с хипертония води до понижаване на кръвното налягане без повлияване на пулсовата честота. При повечето пациенти, след приложение на единична перорална доза, началото на антихипертензивния ефект настъпва в рамките на 2 часа, а пикът на понижаване на кръвното налягане се достига до 4-6 часа. Антихипертензивният ефект продължава над 24 часа след приема. При многократен прием, максимално понижаване на кръвното налягане </w:t>
      </w:r>
      <w:r w:rsidRPr="00C51411">
        <w:rPr>
          <w:rFonts w:ascii="Times New Roman" w:eastAsia="Times New Roman" w:hAnsi="Times New Roman" w:cs="Times New Roman"/>
          <w:i/>
          <w:iCs/>
          <w:color w:val="000000"/>
          <w:sz w:val="20"/>
          <w:szCs w:val="20"/>
          <w:lang w:eastAsia="bg-BG"/>
        </w:rPr>
        <w:t>при</w:t>
      </w:r>
      <w:r w:rsidRPr="00C51411">
        <w:rPr>
          <w:rFonts w:ascii="Times New Roman" w:eastAsia="Times New Roman" w:hAnsi="Times New Roman" w:cs="Times New Roman"/>
          <w:color w:val="000000"/>
          <w:sz w:val="20"/>
          <w:szCs w:val="20"/>
          <w:lang w:eastAsia="bg-BG"/>
        </w:rPr>
        <w:t xml:space="preserve"> всяка една от дозите се постига обикновено в рамките на 2-4 седмици и се задържа по време на дългосрочна терапия. В комбинация с хидрохлоротиазид, се постига значително допълнително понижаване на кръвното налягане.</w:t>
      </w:r>
    </w:p>
    <w:p w14:paraId="46A900AD" w14:textId="77777777" w:rsidR="00C51411" w:rsidRDefault="00C51411" w:rsidP="00C51411">
      <w:pPr>
        <w:spacing w:line="240" w:lineRule="auto"/>
        <w:rPr>
          <w:rFonts w:ascii="Times New Roman" w:eastAsia="Times New Roman" w:hAnsi="Times New Roman" w:cs="Times New Roman"/>
          <w:color w:val="000000"/>
          <w:sz w:val="20"/>
          <w:szCs w:val="20"/>
          <w:lang w:eastAsia="bg-BG"/>
        </w:rPr>
      </w:pPr>
    </w:p>
    <w:p w14:paraId="7A6F2244" w14:textId="58441365" w:rsidR="00C51411" w:rsidRPr="00C51411" w:rsidRDefault="00C51411" w:rsidP="00C51411">
      <w:pPr>
        <w:spacing w:line="240" w:lineRule="auto"/>
        <w:rPr>
          <w:rFonts w:ascii="Times New Roman" w:eastAsia="Times New Roman" w:hAnsi="Times New Roman" w:cs="Times New Roman"/>
          <w:sz w:val="24"/>
          <w:szCs w:val="24"/>
          <w:lang w:eastAsia="bg-BG"/>
        </w:rPr>
      </w:pPr>
      <w:r w:rsidRPr="00C51411">
        <w:rPr>
          <w:rFonts w:ascii="Times New Roman" w:eastAsia="Times New Roman" w:hAnsi="Times New Roman" w:cs="Times New Roman"/>
          <w:color w:val="000000"/>
          <w:sz w:val="20"/>
          <w:szCs w:val="20"/>
          <w:lang w:eastAsia="bg-BG"/>
        </w:rPr>
        <w:t>Внезапното спиране на валсартан не е свързано с ребаунд на хипертонията или с други нежелани клинични събития.</w:t>
      </w:r>
    </w:p>
    <w:p w14:paraId="14828E5B" w14:textId="77777777" w:rsidR="00C51411" w:rsidRPr="00C51411" w:rsidRDefault="00C51411" w:rsidP="00C51411">
      <w:pPr>
        <w:spacing w:line="240" w:lineRule="auto"/>
        <w:rPr>
          <w:rFonts w:ascii="Times New Roman" w:eastAsia="Times New Roman" w:hAnsi="Times New Roman" w:cs="Times New Roman"/>
          <w:sz w:val="24"/>
          <w:szCs w:val="24"/>
          <w:lang w:eastAsia="bg-BG"/>
        </w:rPr>
      </w:pPr>
      <w:r w:rsidRPr="00C51411">
        <w:rPr>
          <w:rFonts w:ascii="Times New Roman" w:eastAsia="Times New Roman" w:hAnsi="Times New Roman" w:cs="Times New Roman"/>
          <w:color w:val="000000"/>
          <w:sz w:val="20"/>
          <w:szCs w:val="20"/>
          <w:lang w:eastAsia="bg-BG"/>
        </w:rPr>
        <w:t xml:space="preserve">При пациенти с хипертония и диабет тип 2 с микроалбуминурия, валсартан намалява екскрецията на албумин с урината. Изпитването </w:t>
      </w:r>
      <w:r w:rsidRPr="00C51411">
        <w:rPr>
          <w:rFonts w:ascii="Times New Roman" w:eastAsia="Times New Roman" w:hAnsi="Times New Roman" w:cs="Times New Roman"/>
          <w:color w:val="000000"/>
          <w:sz w:val="20"/>
          <w:szCs w:val="20"/>
          <w:lang w:val="en-US"/>
        </w:rPr>
        <w:t xml:space="preserve">MARVAL (Micro Albuminuria Reduction with Valsartan - </w:t>
      </w:r>
      <w:r w:rsidRPr="00C51411">
        <w:rPr>
          <w:rFonts w:ascii="Times New Roman" w:eastAsia="Times New Roman" w:hAnsi="Times New Roman" w:cs="Times New Roman"/>
          <w:color w:val="000000"/>
          <w:sz w:val="20"/>
          <w:szCs w:val="20"/>
          <w:lang w:eastAsia="bg-BG"/>
        </w:rPr>
        <w:t xml:space="preserve">намаляване на микроалбуминурията с валсартан) оценява намаляването на екскрецията на албумин с урината с валсартан (80-160 </w:t>
      </w:r>
      <w:r w:rsidRPr="00C51411">
        <w:rPr>
          <w:rFonts w:ascii="Times New Roman" w:eastAsia="Times New Roman" w:hAnsi="Times New Roman" w:cs="Times New Roman"/>
          <w:color w:val="000000"/>
          <w:sz w:val="20"/>
          <w:szCs w:val="20"/>
          <w:lang w:val="en-US"/>
        </w:rPr>
        <w:t>mg</w:t>
      </w:r>
      <w:r w:rsidRPr="00C51411">
        <w:rPr>
          <w:rFonts w:ascii="Times New Roman" w:eastAsia="Times New Roman" w:hAnsi="Times New Roman" w:cs="Times New Roman"/>
          <w:color w:val="000000"/>
          <w:sz w:val="20"/>
          <w:szCs w:val="20"/>
          <w:lang w:eastAsia="bg-BG"/>
        </w:rPr>
        <w:t xml:space="preserve">/веднъж дневно) спрямо амлодипин (5-10 </w:t>
      </w:r>
      <w:r w:rsidRPr="00C51411">
        <w:rPr>
          <w:rFonts w:ascii="Times New Roman" w:eastAsia="Times New Roman" w:hAnsi="Times New Roman" w:cs="Times New Roman"/>
          <w:color w:val="000000"/>
          <w:sz w:val="20"/>
          <w:szCs w:val="20"/>
          <w:lang w:val="en-US"/>
        </w:rPr>
        <w:t>mg</w:t>
      </w:r>
      <w:r w:rsidRPr="00C51411">
        <w:rPr>
          <w:rFonts w:ascii="Times New Roman" w:eastAsia="Times New Roman" w:hAnsi="Times New Roman" w:cs="Times New Roman"/>
          <w:color w:val="000000"/>
          <w:sz w:val="20"/>
          <w:szCs w:val="20"/>
          <w:lang w:eastAsia="bg-BG"/>
        </w:rPr>
        <w:t xml:space="preserve">/веднъж дневно), при 332 пациенти с диабет тип 2 (средна възраст: 58 години; 265 мъже) с микроалбуминурия (валсартан: </w:t>
      </w:r>
      <w:r w:rsidRPr="00C51411">
        <w:rPr>
          <w:rFonts w:ascii="Times New Roman" w:eastAsia="Times New Roman" w:hAnsi="Times New Roman" w:cs="Times New Roman"/>
          <w:i/>
          <w:iCs/>
          <w:color w:val="000000"/>
          <w:sz w:val="20"/>
          <w:szCs w:val="20"/>
          <w:lang w:eastAsia="bg-BG"/>
        </w:rPr>
        <w:t>58</w:t>
      </w:r>
      <w:r w:rsidRPr="00C51411">
        <w:rPr>
          <w:rFonts w:ascii="Times New Roman" w:eastAsia="Times New Roman" w:hAnsi="Times New Roman" w:cs="Times New Roman"/>
          <w:color w:val="000000"/>
          <w:sz w:val="20"/>
          <w:szCs w:val="20"/>
          <w:lang w:eastAsia="bg-BG"/>
        </w:rPr>
        <w:t xml:space="preserve"> μ</w:t>
      </w:r>
      <w:r w:rsidRPr="00C51411">
        <w:rPr>
          <w:rFonts w:ascii="Times New Roman" w:eastAsia="Times New Roman" w:hAnsi="Times New Roman" w:cs="Times New Roman"/>
          <w:color w:val="000000"/>
          <w:sz w:val="20"/>
          <w:szCs w:val="20"/>
          <w:lang w:val="en-US"/>
        </w:rPr>
        <w:t xml:space="preserve">g/min; </w:t>
      </w:r>
      <w:r w:rsidRPr="00C51411">
        <w:rPr>
          <w:rFonts w:ascii="Times New Roman" w:eastAsia="Times New Roman" w:hAnsi="Times New Roman" w:cs="Times New Roman"/>
          <w:color w:val="000000"/>
          <w:sz w:val="20"/>
          <w:szCs w:val="20"/>
          <w:lang w:eastAsia="bg-BG"/>
        </w:rPr>
        <w:t xml:space="preserve">амлодипин: </w:t>
      </w:r>
      <w:r w:rsidRPr="00C51411">
        <w:rPr>
          <w:rFonts w:ascii="Times New Roman" w:eastAsia="Times New Roman" w:hAnsi="Times New Roman" w:cs="Times New Roman"/>
          <w:i/>
          <w:iCs/>
          <w:color w:val="000000"/>
          <w:sz w:val="20"/>
          <w:szCs w:val="20"/>
          <w:lang w:eastAsia="bg-BG"/>
        </w:rPr>
        <w:t>55,4</w:t>
      </w:r>
      <w:r w:rsidRPr="00C51411">
        <w:rPr>
          <w:rFonts w:ascii="Times New Roman" w:eastAsia="Times New Roman" w:hAnsi="Times New Roman" w:cs="Times New Roman"/>
          <w:color w:val="000000"/>
          <w:sz w:val="20"/>
          <w:szCs w:val="20"/>
          <w:lang w:eastAsia="bg-BG"/>
        </w:rPr>
        <w:t xml:space="preserve"> μ</w:t>
      </w:r>
      <w:r w:rsidRPr="00C51411">
        <w:rPr>
          <w:rFonts w:ascii="Times New Roman" w:eastAsia="Times New Roman" w:hAnsi="Times New Roman" w:cs="Times New Roman"/>
          <w:color w:val="000000"/>
          <w:sz w:val="20"/>
          <w:szCs w:val="20"/>
          <w:lang w:val="en-US"/>
        </w:rPr>
        <w:t xml:space="preserve">g/min), </w:t>
      </w:r>
      <w:r w:rsidRPr="00C51411">
        <w:rPr>
          <w:rFonts w:ascii="Times New Roman" w:eastAsia="Times New Roman" w:hAnsi="Times New Roman" w:cs="Times New Roman"/>
          <w:color w:val="000000"/>
          <w:sz w:val="20"/>
          <w:szCs w:val="20"/>
          <w:lang w:eastAsia="bg-BG"/>
        </w:rPr>
        <w:t>с нормално или високо кръвно налягане и със запазена бъбречна функция (серумен креатинин &lt;120 μ</w:t>
      </w:r>
      <w:r w:rsidRPr="00C51411">
        <w:rPr>
          <w:rFonts w:ascii="Times New Roman" w:eastAsia="Times New Roman" w:hAnsi="Times New Roman" w:cs="Times New Roman"/>
          <w:color w:val="000000"/>
          <w:sz w:val="20"/>
          <w:szCs w:val="20"/>
          <w:lang w:val="en-US"/>
        </w:rPr>
        <w:t>mol</w:t>
      </w:r>
      <w:r w:rsidRPr="00C51411">
        <w:rPr>
          <w:rFonts w:ascii="Times New Roman" w:eastAsia="Times New Roman" w:hAnsi="Times New Roman" w:cs="Times New Roman"/>
          <w:color w:val="000000"/>
          <w:sz w:val="20"/>
          <w:szCs w:val="20"/>
          <w:lang w:eastAsia="bg-BG"/>
        </w:rPr>
        <w:t>/</w:t>
      </w:r>
      <w:r w:rsidRPr="00C51411">
        <w:rPr>
          <w:rFonts w:ascii="Times New Roman" w:eastAsia="Times New Roman" w:hAnsi="Times New Roman" w:cs="Times New Roman"/>
          <w:color w:val="000000"/>
          <w:sz w:val="20"/>
          <w:szCs w:val="20"/>
          <w:lang w:val="en-US"/>
        </w:rPr>
        <w:t>l</w:t>
      </w:r>
      <w:r w:rsidRPr="00C51411">
        <w:rPr>
          <w:rFonts w:ascii="Times New Roman" w:eastAsia="Times New Roman" w:hAnsi="Times New Roman" w:cs="Times New Roman"/>
          <w:color w:val="000000"/>
          <w:sz w:val="20"/>
          <w:szCs w:val="20"/>
          <w:lang w:eastAsia="bg-BG"/>
        </w:rPr>
        <w:t xml:space="preserve">). На 24-тата седмица, екскрецията на албумин с урината е намалена (р &lt;0,001) с 42% (-24,2 </w:t>
      </w:r>
      <w:proofErr w:type="spellStart"/>
      <w:r w:rsidRPr="00C51411">
        <w:rPr>
          <w:rFonts w:ascii="Times New Roman" w:eastAsia="Times New Roman" w:hAnsi="Times New Roman" w:cs="Times New Roman"/>
          <w:color w:val="000000"/>
          <w:sz w:val="20"/>
          <w:szCs w:val="20"/>
          <w:lang w:val="en-US"/>
        </w:rPr>
        <w:t>pg</w:t>
      </w:r>
      <w:proofErr w:type="spellEnd"/>
      <w:r w:rsidRPr="00C51411">
        <w:rPr>
          <w:rFonts w:ascii="Times New Roman" w:eastAsia="Times New Roman" w:hAnsi="Times New Roman" w:cs="Times New Roman"/>
          <w:color w:val="000000"/>
          <w:sz w:val="20"/>
          <w:szCs w:val="20"/>
          <w:lang w:val="en-US"/>
        </w:rPr>
        <w:t xml:space="preserve">/min; </w:t>
      </w:r>
      <w:r w:rsidRPr="00C51411">
        <w:rPr>
          <w:rFonts w:ascii="Times New Roman" w:eastAsia="Times New Roman" w:hAnsi="Times New Roman" w:cs="Times New Roman"/>
          <w:color w:val="000000"/>
          <w:sz w:val="20"/>
          <w:szCs w:val="20"/>
          <w:lang w:eastAsia="bg-BG"/>
        </w:rPr>
        <w:t xml:space="preserve">95% </w:t>
      </w:r>
      <w:r w:rsidRPr="00C51411">
        <w:rPr>
          <w:rFonts w:ascii="Times New Roman" w:eastAsia="Times New Roman" w:hAnsi="Times New Roman" w:cs="Times New Roman"/>
          <w:color w:val="000000"/>
          <w:sz w:val="20"/>
          <w:szCs w:val="20"/>
          <w:lang w:val="en-US"/>
        </w:rPr>
        <w:t>CI: -</w:t>
      </w:r>
      <w:r w:rsidRPr="00C51411">
        <w:rPr>
          <w:rFonts w:ascii="Times New Roman" w:eastAsia="Times New Roman" w:hAnsi="Times New Roman" w:cs="Times New Roman"/>
          <w:color w:val="000000"/>
          <w:sz w:val="20"/>
          <w:szCs w:val="20"/>
          <w:lang w:eastAsia="bg-BG"/>
        </w:rPr>
        <w:t>40,4 до -19,1) с валсартан и приблизително 3% (-1,7 μ</w:t>
      </w:r>
      <w:r w:rsidRPr="00C51411">
        <w:rPr>
          <w:rFonts w:ascii="Times New Roman" w:eastAsia="Times New Roman" w:hAnsi="Times New Roman" w:cs="Times New Roman"/>
          <w:color w:val="000000"/>
          <w:sz w:val="20"/>
          <w:szCs w:val="20"/>
          <w:lang w:val="en-US"/>
        </w:rPr>
        <w:t xml:space="preserve">g/min; </w:t>
      </w:r>
      <w:r w:rsidRPr="00C51411">
        <w:rPr>
          <w:rFonts w:ascii="Times New Roman" w:eastAsia="Times New Roman" w:hAnsi="Times New Roman" w:cs="Times New Roman"/>
          <w:color w:val="000000"/>
          <w:sz w:val="20"/>
          <w:szCs w:val="20"/>
          <w:lang w:eastAsia="bg-BG"/>
        </w:rPr>
        <w:t xml:space="preserve">95% </w:t>
      </w:r>
      <w:r w:rsidRPr="00C51411">
        <w:rPr>
          <w:rFonts w:ascii="Times New Roman" w:eastAsia="Times New Roman" w:hAnsi="Times New Roman" w:cs="Times New Roman"/>
          <w:color w:val="000000"/>
          <w:sz w:val="20"/>
          <w:szCs w:val="20"/>
          <w:lang w:val="en-US"/>
        </w:rPr>
        <w:t xml:space="preserve">CI: </w:t>
      </w:r>
      <w:r w:rsidRPr="00C51411">
        <w:rPr>
          <w:rFonts w:ascii="Times New Roman" w:eastAsia="Times New Roman" w:hAnsi="Times New Roman" w:cs="Times New Roman"/>
          <w:color w:val="000000"/>
          <w:sz w:val="20"/>
          <w:szCs w:val="20"/>
          <w:lang w:eastAsia="bg-BG"/>
        </w:rPr>
        <w:t xml:space="preserve">-5,6 до 14,9) с амлодипин, независимо от сходната степен на понижаване на кръвното налягане в двете групи. Изпитването, наречено </w:t>
      </w:r>
      <w:r w:rsidRPr="00C51411">
        <w:rPr>
          <w:rFonts w:ascii="Times New Roman" w:eastAsia="Times New Roman" w:hAnsi="Times New Roman" w:cs="Times New Roman"/>
          <w:color w:val="000000"/>
          <w:sz w:val="20"/>
          <w:szCs w:val="20"/>
          <w:lang w:val="en-US"/>
        </w:rPr>
        <w:t xml:space="preserve">Diovan Reduction of Proteinuria (DROP) </w:t>
      </w:r>
      <w:r w:rsidRPr="00C51411">
        <w:rPr>
          <w:rFonts w:ascii="Times New Roman" w:eastAsia="Times New Roman" w:hAnsi="Times New Roman" w:cs="Times New Roman"/>
          <w:color w:val="000000"/>
          <w:sz w:val="20"/>
          <w:szCs w:val="20"/>
          <w:lang w:eastAsia="bg-BG"/>
        </w:rPr>
        <w:t xml:space="preserve">(Намаляване на протеинурията с Диован) проучва ефикасността на валсартан в редуцурането на екскрецията на албумин с урината при 391 пациенти с хипертония (кръвно налягане 150/88 </w:t>
      </w:r>
      <w:r w:rsidRPr="00C51411">
        <w:rPr>
          <w:rFonts w:ascii="Times New Roman" w:eastAsia="Times New Roman" w:hAnsi="Times New Roman" w:cs="Times New Roman"/>
          <w:color w:val="000000"/>
          <w:sz w:val="20"/>
          <w:szCs w:val="20"/>
          <w:lang w:val="en-US"/>
        </w:rPr>
        <w:t xml:space="preserve">mmHg) </w:t>
      </w:r>
      <w:r w:rsidRPr="00C51411">
        <w:rPr>
          <w:rFonts w:ascii="Times New Roman" w:eastAsia="Times New Roman" w:hAnsi="Times New Roman" w:cs="Times New Roman"/>
          <w:color w:val="000000"/>
          <w:sz w:val="20"/>
          <w:szCs w:val="20"/>
          <w:lang w:eastAsia="bg-BG"/>
        </w:rPr>
        <w:t>с диабет тип 2, албуминурия (средно=102 μ</w:t>
      </w:r>
      <w:r w:rsidRPr="00C51411">
        <w:rPr>
          <w:rFonts w:ascii="Times New Roman" w:eastAsia="Times New Roman" w:hAnsi="Times New Roman" w:cs="Times New Roman"/>
          <w:color w:val="000000"/>
          <w:sz w:val="20"/>
          <w:szCs w:val="20"/>
          <w:lang w:val="en-US"/>
        </w:rPr>
        <w:t xml:space="preserve">g/min; </w:t>
      </w:r>
      <w:r w:rsidRPr="00C51411">
        <w:rPr>
          <w:rFonts w:ascii="Times New Roman" w:eastAsia="Times New Roman" w:hAnsi="Times New Roman" w:cs="Times New Roman"/>
          <w:color w:val="000000"/>
          <w:sz w:val="20"/>
          <w:szCs w:val="20"/>
          <w:lang w:eastAsia="bg-BG"/>
        </w:rPr>
        <w:t>20-700 μ</w:t>
      </w:r>
      <w:r w:rsidRPr="00C51411">
        <w:rPr>
          <w:rFonts w:ascii="Times New Roman" w:eastAsia="Times New Roman" w:hAnsi="Times New Roman" w:cs="Times New Roman"/>
          <w:color w:val="000000"/>
          <w:sz w:val="20"/>
          <w:szCs w:val="20"/>
          <w:lang w:val="en-US"/>
        </w:rPr>
        <w:t xml:space="preserve">g/min) </w:t>
      </w:r>
      <w:r w:rsidRPr="00C51411">
        <w:rPr>
          <w:rFonts w:ascii="Times New Roman" w:eastAsia="Times New Roman" w:hAnsi="Times New Roman" w:cs="Times New Roman"/>
          <w:color w:val="000000"/>
          <w:sz w:val="20"/>
          <w:szCs w:val="20"/>
          <w:lang w:eastAsia="bg-BG"/>
        </w:rPr>
        <w:t>и запазена бъбречна функция (среден серумен креатинин = 80 μ</w:t>
      </w:r>
      <w:r w:rsidRPr="00C51411">
        <w:rPr>
          <w:rFonts w:ascii="Times New Roman" w:eastAsia="Times New Roman" w:hAnsi="Times New Roman" w:cs="Times New Roman"/>
          <w:color w:val="000000"/>
          <w:sz w:val="20"/>
          <w:szCs w:val="20"/>
          <w:lang w:val="en-US"/>
        </w:rPr>
        <w:t xml:space="preserve">mol/l). </w:t>
      </w:r>
      <w:r w:rsidRPr="00C51411">
        <w:rPr>
          <w:rFonts w:ascii="Times New Roman" w:eastAsia="Times New Roman" w:hAnsi="Times New Roman" w:cs="Times New Roman"/>
          <w:color w:val="000000"/>
          <w:sz w:val="20"/>
          <w:szCs w:val="20"/>
          <w:lang w:eastAsia="bg-BG"/>
        </w:rPr>
        <w:t xml:space="preserve">Пациентите са рандомизирани с една от 3-те дози валсартан (160, 320 и 640 </w:t>
      </w:r>
      <w:r w:rsidRPr="00C51411">
        <w:rPr>
          <w:rFonts w:ascii="Times New Roman" w:eastAsia="Times New Roman" w:hAnsi="Times New Roman" w:cs="Times New Roman"/>
          <w:color w:val="000000"/>
          <w:sz w:val="20"/>
          <w:szCs w:val="20"/>
          <w:lang w:val="en-US"/>
        </w:rPr>
        <w:t>mg</w:t>
      </w:r>
      <w:r w:rsidRPr="00C51411">
        <w:rPr>
          <w:rFonts w:ascii="Times New Roman" w:eastAsia="Times New Roman" w:hAnsi="Times New Roman" w:cs="Times New Roman"/>
          <w:color w:val="000000"/>
          <w:sz w:val="20"/>
          <w:szCs w:val="20"/>
          <w:lang w:eastAsia="bg-BG"/>
        </w:rPr>
        <w:t xml:space="preserve">/ден) и лекувани в продължение на 30 седмици. Целта на изпитването е да се определи оптималната доза валсартан за редуциране на екскрецията на албумин с урината при пациенти с хипертония и диабет тип 2. На 30-тата седмица, процентът на екскреция на албумин с урината е намален значително с 36% от изходната стойност с валсартан 160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i/>
          <w:iCs/>
          <w:color w:val="000000"/>
          <w:sz w:val="20"/>
          <w:szCs w:val="20"/>
          <w:lang w:eastAsia="bg-BG"/>
        </w:rPr>
        <w:t>(95%С</w:t>
      </w:r>
      <w:r w:rsidRPr="00C51411">
        <w:rPr>
          <w:rFonts w:ascii="Times New Roman" w:eastAsia="Times New Roman" w:hAnsi="Times New Roman" w:cs="Times New Roman"/>
          <w:i/>
          <w:iCs/>
          <w:color w:val="000000"/>
          <w:sz w:val="20"/>
          <w:szCs w:val="20"/>
          <w:lang w:val="en-US"/>
        </w:rPr>
        <w:t>I</w:t>
      </w:r>
      <w:r w:rsidRPr="00C51411">
        <w:rPr>
          <w:rFonts w:ascii="Times New Roman" w:eastAsia="Times New Roman" w:hAnsi="Times New Roman" w:cs="Times New Roman"/>
          <w:i/>
          <w:iCs/>
          <w:color w:val="000000"/>
          <w:sz w:val="20"/>
          <w:szCs w:val="20"/>
          <w:lang w:eastAsia="bg-BG"/>
        </w:rPr>
        <w:t>:</w:t>
      </w:r>
      <w:r w:rsidRPr="00C51411">
        <w:rPr>
          <w:rFonts w:ascii="Times New Roman" w:eastAsia="Times New Roman" w:hAnsi="Times New Roman" w:cs="Times New Roman"/>
          <w:color w:val="000000"/>
          <w:sz w:val="20"/>
          <w:szCs w:val="20"/>
          <w:lang w:eastAsia="bg-BG"/>
        </w:rPr>
        <w:t xml:space="preserve">22 до 47%), и с 44% с валсартан 320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(95%С</w:t>
      </w:r>
      <w:r w:rsidRPr="00C51411">
        <w:rPr>
          <w:rFonts w:ascii="Times New Roman" w:eastAsia="Times New Roman" w:hAnsi="Times New Roman" w:cs="Times New Roman"/>
          <w:color w:val="000000"/>
          <w:sz w:val="20"/>
          <w:szCs w:val="20"/>
          <w:lang w:val="en-US"/>
        </w:rPr>
        <w:t>I</w:t>
      </w:r>
      <w:r w:rsidRPr="00C51411">
        <w:rPr>
          <w:rFonts w:ascii="Times New Roman" w:eastAsia="Times New Roman" w:hAnsi="Times New Roman" w:cs="Times New Roman"/>
          <w:color w:val="000000"/>
          <w:sz w:val="20"/>
          <w:szCs w:val="20"/>
          <w:lang w:eastAsia="bg-BG"/>
        </w:rPr>
        <w:t xml:space="preserve">: 31 до 54%). Направено е заключение, че 160-320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валсартан води до клинично значимо понижаване на екскрецията на албумин с урината при пациенти с хипертония и диабет тип 2.</w:t>
      </w:r>
    </w:p>
    <w:p w14:paraId="7BE1821F" w14:textId="77777777" w:rsidR="00C51411" w:rsidRDefault="00C51411" w:rsidP="00C51411">
      <w:pPr>
        <w:spacing w:line="240" w:lineRule="auto"/>
        <w:rPr>
          <w:rFonts w:ascii="Times New Roman" w:eastAsia="Times New Roman" w:hAnsi="Times New Roman" w:cs="Times New Roman"/>
          <w:i/>
          <w:iCs/>
          <w:color w:val="000000"/>
          <w:sz w:val="20"/>
          <w:szCs w:val="20"/>
          <w:lang w:eastAsia="bg-BG"/>
        </w:rPr>
      </w:pPr>
    </w:p>
    <w:p w14:paraId="48E9ED3F" w14:textId="77777777" w:rsidR="00C51411" w:rsidRPr="00C51411" w:rsidRDefault="00C51411" w:rsidP="00C51411">
      <w:pPr>
        <w:rPr>
          <w:rFonts w:ascii="Times New Roman" w:eastAsia="Times New Roman" w:hAnsi="Times New Roman" w:cs="Times New Roman"/>
          <w:sz w:val="24"/>
          <w:szCs w:val="24"/>
          <w:lang w:eastAsia="bg-BG"/>
        </w:rPr>
      </w:pPr>
      <w:r w:rsidRPr="00C51411">
        <w:rPr>
          <w:rFonts w:ascii="Times New Roman" w:eastAsia="Times New Roman" w:hAnsi="Times New Roman" w:cs="Times New Roman"/>
          <w:i/>
          <w:iCs/>
          <w:color w:val="000000"/>
          <w:sz w:val="20"/>
          <w:szCs w:val="20"/>
          <w:lang w:eastAsia="bg-BG"/>
        </w:rPr>
        <w:t>Други: Двойна блокада на ренин-ангиотензин-алдостероновата система (РАА</w:t>
      </w:r>
      <w:r w:rsidRPr="00C51411">
        <w:rPr>
          <w:rFonts w:ascii="Times New Roman" w:eastAsia="Times New Roman" w:hAnsi="Times New Roman" w:cs="Times New Roman"/>
          <w:i/>
          <w:iCs/>
          <w:color w:val="000000"/>
          <w:sz w:val="20"/>
          <w:szCs w:val="20"/>
          <w:lang w:val="en-US"/>
        </w:rPr>
        <w:t xml:space="preserve">C) </w:t>
      </w:r>
      <w:r w:rsidRPr="00C51411">
        <w:rPr>
          <w:rFonts w:ascii="Times New Roman" w:eastAsia="Times New Roman" w:hAnsi="Times New Roman" w:cs="Times New Roman"/>
          <w:color w:val="000000"/>
          <w:sz w:val="20"/>
          <w:szCs w:val="20"/>
          <w:lang w:eastAsia="bg-BG"/>
        </w:rPr>
        <w:t xml:space="preserve">Две големи рандомизирани контролирани проучвания - </w:t>
      </w:r>
      <w:r w:rsidRPr="00C51411">
        <w:rPr>
          <w:rFonts w:ascii="Times New Roman" w:eastAsia="Times New Roman" w:hAnsi="Times New Roman" w:cs="Times New Roman"/>
          <w:color w:val="000000"/>
          <w:sz w:val="20"/>
          <w:szCs w:val="20"/>
          <w:lang w:val="en-US"/>
        </w:rPr>
        <w:t>ONTARGET (</w:t>
      </w:r>
      <w:proofErr w:type="spellStart"/>
      <w:r w:rsidRPr="00C51411">
        <w:rPr>
          <w:rFonts w:ascii="Times New Roman" w:eastAsia="Times New Roman" w:hAnsi="Times New Roman" w:cs="Times New Roman"/>
          <w:color w:val="000000"/>
          <w:sz w:val="20"/>
          <w:szCs w:val="20"/>
          <w:lang w:val="en-US"/>
        </w:rPr>
        <w:t>ONgoirig</w:t>
      </w:r>
      <w:proofErr w:type="spellEnd"/>
      <w:r w:rsidRPr="00C51411">
        <w:rPr>
          <w:rFonts w:ascii="Times New Roman" w:eastAsia="Times New Roman" w:hAnsi="Times New Roman" w:cs="Times New Roman"/>
          <w:color w:val="000000"/>
          <w:sz w:val="20"/>
          <w:szCs w:val="20"/>
          <w:lang w:val="en-US"/>
        </w:rPr>
        <w:t xml:space="preserve"> Telmisartan Alone and in combination with Ramipril Global Endpoint Trial - </w:t>
      </w:r>
      <w:r w:rsidRPr="00C51411">
        <w:rPr>
          <w:rFonts w:ascii="Times New Roman" w:eastAsia="Times New Roman" w:hAnsi="Times New Roman" w:cs="Times New Roman"/>
          <w:color w:val="000000"/>
          <w:sz w:val="20"/>
          <w:szCs w:val="20"/>
          <w:lang w:eastAsia="bg-BG"/>
        </w:rPr>
        <w:t xml:space="preserve">текущо глобално изпитване за крайни точки на телмисартан, самостоятелно и в комбинация с рамиприл) и </w:t>
      </w:r>
      <w:r w:rsidRPr="00C51411">
        <w:rPr>
          <w:rFonts w:ascii="Times New Roman" w:eastAsia="Times New Roman" w:hAnsi="Times New Roman" w:cs="Times New Roman"/>
          <w:color w:val="000000"/>
          <w:sz w:val="20"/>
          <w:szCs w:val="20"/>
          <w:lang w:val="en-US"/>
        </w:rPr>
        <w:t>VA NEPHRON-D</w:t>
      </w:r>
      <w:r w:rsidRPr="00C51411">
        <w:rPr>
          <w:rFonts w:ascii="Times New Roman" w:eastAsia="Times New Roman" w:hAnsi="Times New Roman" w:cs="Times New Roman"/>
          <w:color w:val="000000"/>
          <w:sz w:val="20"/>
          <w:szCs w:val="20"/>
          <w:lang w:eastAsia="bg-BG"/>
        </w:rPr>
        <w:t xml:space="preserve"> (Клинично проучване свързано с развитие на нефропатия при диабет, проведено от</w:t>
      </w:r>
      <w:r>
        <w:rPr>
          <w:rFonts w:ascii="Times New Roman" w:eastAsia="Times New Roman" w:hAnsi="Times New Roman" w:cs="Times New Roman"/>
          <w:color w:val="000000"/>
          <w:sz w:val="20"/>
          <w:szCs w:val="20"/>
          <w:lang w:val="en-US" w:eastAsia="bg-BG"/>
        </w:rPr>
        <w:t xml:space="preserve"> </w:t>
      </w:r>
      <w:r w:rsidRPr="00C51411">
        <w:rPr>
          <w:rFonts w:ascii="Times New Roman" w:eastAsia="Times New Roman" w:hAnsi="Times New Roman" w:cs="Times New Roman"/>
          <w:color w:val="000000"/>
          <w:sz w:val="20"/>
          <w:szCs w:val="20"/>
          <w:lang w:eastAsia="bg-BG"/>
        </w:rPr>
        <w:t xml:space="preserve">Министерство по въпросите на ветераните) - проучват употребата на комбинацията от АСЕ инхибитор и ангиотензин </w:t>
      </w:r>
      <w:r w:rsidRPr="00C51411">
        <w:rPr>
          <w:rFonts w:ascii="Times New Roman" w:eastAsia="Times New Roman" w:hAnsi="Times New Roman" w:cs="Times New Roman"/>
          <w:color w:val="000000"/>
          <w:sz w:val="20"/>
          <w:szCs w:val="20"/>
          <w:lang w:val="en-US"/>
        </w:rPr>
        <w:t>II</w:t>
      </w:r>
      <w:r w:rsidRPr="00C51411">
        <w:rPr>
          <w:rFonts w:ascii="Times New Roman" w:eastAsia="Times New Roman" w:hAnsi="Times New Roman" w:cs="Times New Roman"/>
          <w:color w:val="000000"/>
          <w:sz w:val="20"/>
          <w:szCs w:val="20"/>
          <w:lang w:eastAsia="bg-BG"/>
        </w:rPr>
        <w:t>-рецепторен блокер.</w:t>
      </w:r>
    </w:p>
    <w:p w14:paraId="513F71BD" w14:textId="77777777" w:rsidR="00C51411" w:rsidRPr="00C51411" w:rsidRDefault="00C51411" w:rsidP="00C51411">
      <w:pPr>
        <w:spacing w:line="240" w:lineRule="auto"/>
        <w:rPr>
          <w:rFonts w:ascii="Times New Roman" w:eastAsia="Times New Roman" w:hAnsi="Times New Roman" w:cs="Times New Roman"/>
          <w:sz w:val="24"/>
          <w:szCs w:val="24"/>
          <w:lang w:eastAsia="bg-BG"/>
        </w:rPr>
      </w:pPr>
      <w:r w:rsidRPr="00C51411">
        <w:rPr>
          <w:rFonts w:ascii="Times New Roman" w:eastAsia="Times New Roman" w:hAnsi="Times New Roman" w:cs="Times New Roman"/>
          <w:color w:val="000000"/>
          <w:sz w:val="20"/>
          <w:szCs w:val="20"/>
          <w:lang w:val="en-US"/>
        </w:rPr>
        <w:t xml:space="preserve">ONTARGET </w:t>
      </w:r>
      <w:r w:rsidRPr="00C51411">
        <w:rPr>
          <w:rFonts w:ascii="Times New Roman" w:eastAsia="Times New Roman" w:hAnsi="Times New Roman" w:cs="Times New Roman"/>
          <w:color w:val="000000"/>
          <w:sz w:val="20"/>
          <w:szCs w:val="20"/>
          <w:lang w:eastAsia="bg-BG"/>
        </w:rPr>
        <w:t xml:space="preserve">е проучване, проведено при пациенти с анамнеза за сърдечно-съдова или мозъчносъдова болест, или захарен диабет тип 2, придружени с данни за увреждане на ефекторни органи. </w:t>
      </w:r>
      <w:r w:rsidRPr="00C51411">
        <w:rPr>
          <w:rFonts w:ascii="Times New Roman" w:eastAsia="Times New Roman" w:hAnsi="Times New Roman" w:cs="Times New Roman"/>
          <w:color w:val="000000"/>
          <w:sz w:val="20"/>
          <w:szCs w:val="20"/>
          <w:lang w:val="en-US"/>
        </w:rPr>
        <w:t xml:space="preserve">VA NEPHRON-D </w:t>
      </w:r>
      <w:r w:rsidRPr="00C51411">
        <w:rPr>
          <w:rFonts w:ascii="Times New Roman" w:eastAsia="Times New Roman" w:hAnsi="Times New Roman" w:cs="Times New Roman"/>
          <w:color w:val="000000"/>
          <w:sz w:val="20"/>
          <w:szCs w:val="20"/>
          <w:lang w:eastAsia="bg-BG"/>
        </w:rPr>
        <w:t>е проучване при пациенти със захарен диабет тип 2 и диабетна нефропатия.</w:t>
      </w:r>
    </w:p>
    <w:p w14:paraId="09FB3010" w14:textId="77777777" w:rsidR="00C51411" w:rsidRPr="00C51411" w:rsidRDefault="00C51411" w:rsidP="00C51411">
      <w:pPr>
        <w:spacing w:line="240" w:lineRule="auto"/>
        <w:rPr>
          <w:rFonts w:ascii="Times New Roman" w:eastAsia="Times New Roman" w:hAnsi="Times New Roman" w:cs="Times New Roman"/>
          <w:sz w:val="24"/>
          <w:szCs w:val="24"/>
          <w:lang w:eastAsia="bg-BG"/>
        </w:rPr>
      </w:pPr>
      <w:r w:rsidRPr="00C51411">
        <w:rPr>
          <w:rFonts w:ascii="Times New Roman" w:eastAsia="Times New Roman" w:hAnsi="Times New Roman" w:cs="Times New Roman"/>
          <w:color w:val="000000"/>
          <w:sz w:val="20"/>
          <w:szCs w:val="20"/>
          <w:lang w:eastAsia="bg-BG"/>
        </w:rPr>
        <w:t>Тези проучвания не показват значим благоприятен ефект върху бъбречните и/или сърдечно</w:t>
      </w:r>
      <w:r w:rsidRPr="00C51411">
        <w:rPr>
          <w:rFonts w:ascii="Times New Roman" w:eastAsia="Times New Roman" w:hAnsi="Times New Roman" w:cs="Times New Roman"/>
          <w:color w:val="000000"/>
          <w:sz w:val="20"/>
          <w:szCs w:val="20"/>
          <w:lang w:eastAsia="bg-BG"/>
        </w:rPr>
        <w:softHyphen/>
        <w:t xml:space="preserve">съдовите последици и смъртност, като същевременно са наблюдавани повишен риск от хиперкалиемия, остро увреждане на бъбреците и/или хипотония в сравнение с монотерапията. Като се имат предвид сходните им фармакодинамични свойства, тези резултати са приложими </w:t>
      </w:r>
      <w:r w:rsidRPr="00C51411">
        <w:rPr>
          <w:rFonts w:ascii="Times New Roman" w:eastAsia="Times New Roman" w:hAnsi="Times New Roman" w:cs="Times New Roman"/>
          <w:i/>
          <w:iCs/>
          <w:color w:val="000000"/>
          <w:sz w:val="20"/>
          <w:szCs w:val="20"/>
          <w:lang w:eastAsia="bg-BG"/>
        </w:rPr>
        <w:t>и за</w:t>
      </w:r>
      <w:r w:rsidRPr="00C51411">
        <w:rPr>
          <w:rFonts w:ascii="Times New Roman" w:eastAsia="Times New Roman" w:hAnsi="Times New Roman" w:cs="Times New Roman"/>
          <w:color w:val="000000"/>
          <w:sz w:val="20"/>
          <w:szCs w:val="20"/>
          <w:lang w:eastAsia="bg-BG"/>
        </w:rPr>
        <w:t xml:space="preserve"> други АСЕ инхибитори и ангиотензин </w:t>
      </w:r>
      <w:r w:rsidRPr="00C51411">
        <w:rPr>
          <w:rFonts w:ascii="Times New Roman" w:eastAsia="Times New Roman" w:hAnsi="Times New Roman" w:cs="Times New Roman"/>
          <w:color w:val="000000"/>
          <w:sz w:val="20"/>
          <w:szCs w:val="20"/>
          <w:lang w:val="en-US"/>
        </w:rPr>
        <w:t>II</w:t>
      </w:r>
      <w:r w:rsidRPr="00C51411">
        <w:rPr>
          <w:rFonts w:ascii="Times New Roman" w:eastAsia="Times New Roman" w:hAnsi="Times New Roman" w:cs="Times New Roman"/>
          <w:color w:val="000000"/>
          <w:sz w:val="20"/>
          <w:szCs w:val="20"/>
          <w:lang w:eastAsia="bg-BG"/>
        </w:rPr>
        <w:t>-рецепторни блокери.</w:t>
      </w:r>
    </w:p>
    <w:p w14:paraId="046F8579" w14:textId="77777777" w:rsidR="00C51411" w:rsidRPr="00C51411" w:rsidRDefault="00C51411" w:rsidP="00C51411">
      <w:pPr>
        <w:spacing w:line="240" w:lineRule="auto"/>
        <w:rPr>
          <w:rFonts w:ascii="Times New Roman" w:eastAsia="Times New Roman" w:hAnsi="Times New Roman" w:cs="Times New Roman"/>
          <w:sz w:val="24"/>
          <w:szCs w:val="24"/>
          <w:lang w:eastAsia="bg-BG"/>
        </w:rPr>
      </w:pPr>
      <w:r w:rsidRPr="00C51411">
        <w:rPr>
          <w:rFonts w:ascii="Times New Roman" w:eastAsia="Times New Roman" w:hAnsi="Times New Roman" w:cs="Times New Roman"/>
          <w:color w:val="000000"/>
          <w:sz w:val="20"/>
          <w:szCs w:val="20"/>
          <w:lang w:eastAsia="bg-BG"/>
        </w:rPr>
        <w:t xml:space="preserve">АСЕ инхибитори и ангиотензин </w:t>
      </w:r>
      <w:r w:rsidRPr="00C51411">
        <w:rPr>
          <w:rFonts w:ascii="Times New Roman" w:eastAsia="Times New Roman" w:hAnsi="Times New Roman" w:cs="Times New Roman"/>
          <w:color w:val="000000"/>
          <w:sz w:val="20"/>
          <w:szCs w:val="20"/>
          <w:lang w:val="en-US"/>
        </w:rPr>
        <w:t>II</w:t>
      </w:r>
      <w:r w:rsidRPr="00C51411">
        <w:rPr>
          <w:rFonts w:ascii="Times New Roman" w:eastAsia="Times New Roman" w:hAnsi="Times New Roman" w:cs="Times New Roman"/>
          <w:color w:val="000000"/>
          <w:sz w:val="20"/>
          <w:szCs w:val="20"/>
          <w:lang w:eastAsia="bg-BG"/>
        </w:rPr>
        <w:t>-рецепторни блокери следователно не трябва да се използват едновременно при пациенти с диабетна нефропатия.</w:t>
      </w:r>
    </w:p>
    <w:p w14:paraId="45601426" w14:textId="77777777" w:rsidR="00C51411" w:rsidRPr="00C51411" w:rsidRDefault="00C51411" w:rsidP="00C51411">
      <w:pPr>
        <w:spacing w:line="240" w:lineRule="auto"/>
        <w:rPr>
          <w:rFonts w:ascii="Times New Roman" w:eastAsia="Times New Roman" w:hAnsi="Times New Roman" w:cs="Times New Roman"/>
          <w:sz w:val="24"/>
          <w:szCs w:val="24"/>
          <w:lang w:eastAsia="bg-BG"/>
        </w:rPr>
      </w:pPr>
      <w:r w:rsidRPr="00C51411">
        <w:rPr>
          <w:rFonts w:ascii="Times New Roman" w:eastAsia="Times New Roman" w:hAnsi="Times New Roman" w:cs="Times New Roman"/>
          <w:color w:val="000000"/>
          <w:sz w:val="20"/>
          <w:szCs w:val="20"/>
          <w:lang w:val="en-US"/>
        </w:rPr>
        <w:t xml:space="preserve">ALTITUDE </w:t>
      </w:r>
      <w:r w:rsidRPr="00C51411">
        <w:rPr>
          <w:rFonts w:ascii="Times New Roman" w:eastAsia="Times New Roman" w:hAnsi="Times New Roman" w:cs="Times New Roman"/>
          <w:color w:val="000000"/>
          <w:sz w:val="20"/>
          <w:szCs w:val="20"/>
          <w:lang w:eastAsia="bg-BG"/>
        </w:rPr>
        <w:t xml:space="preserve">(Клинично проучване проведено с алискирен при пациенти със захарен диабет тип 2 с използване на сърдечно-съдови и бъбречни заболявания като крайни точки) е проучване, предназначено да изследва ползата от добавянето на алискирен към стандартна терапия с АСЕ инхибитор или ангиотензин </w:t>
      </w:r>
      <w:r w:rsidRPr="00C51411">
        <w:rPr>
          <w:rFonts w:ascii="Times New Roman" w:eastAsia="Times New Roman" w:hAnsi="Times New Roman" w:cs="Times New Roman"/>
          <w:color w:val="000000"/>
          <w:sz w:val="20"/>
          <w:szCs w:val="20"/>
          <w:lang w:val="en-US"/>
        </w:rPr>
        <w:t>II</w:t>
      </w:r>
      <w:r w:rsidRPr="00C51411">
        <w:rPr>
          <w:rFonts w:ascii="Times New Roman" w:eastAsia="Times New Roman" w:hAnsi="Times New Roman" w:cs="Times New Roman"/>
          <w:color w:val="000000"/>
          <w:sz w:val="20"/>
          <w:szCs w:val="20"/>
          <w:lang w:eastAsia="bg-BG"/>
        </w:rPr>
        <w:t>-рецепторен блокер при пациенти със захарен диабет тип 2 и хронично бъбречно заболяване, сърдечно-съдово заболяване или и двете. Проучването е прекратено преждевременно поради повишен риск от неблагоприятни последици. Както сърдечно-съдовата смърт, така и инсултът са по-чести в групата на алискирен, отколкото в групата на плацебо, а представляващите интерес нежелани събития и сериозни нежелани събития (хиперкалиемия, хипотония и бъбречна дисфункция) се съобщават по-често в групата на алискирен, отколкото в групата на плацебо.</w:t>
      </w:r>
    </w:p>
    <w:p w14:paraId="7BF6457A" w14:textId="77777777" w:rsidR="00C51411" w:rsidRDefault="00C51411" w:rsidP="00C51411">
      <w:pPr>
        <w:spacing w:line="240" w:lineRule="auto"/>
        <w:rPr>
          <w:rFonts w:ascii="Times New Roman" w:eastAsia="Times New Roman" w:hAnsi="Times New Roman" w:cs="Times New Roman"/>
          <w:color w:val="000000"/>
          <w:sz w:val="20"/>
          <w:szCs w:val="20"/>
          <w:u w:val="single"/>
          <w:lang w:eastAsia="bg-BG"/>
        </w:rPr>
      </w:pPr>
    </w:p>
    <w:p w14:paraId="11F1E18E" w14:textId="192D5A84" w:rsidR="00C51411" w:rsidRPr="00C51411" w:rsidRDefault="00C51411" w:rsidP="00C51411">
      <w:pPr>
        <w:spacing w:line="240" w:lineRule="auto"/>
        <w:rPr>
          <w:rFonts w:ascii="Times New Roman" w:eastAsia="Times New Roman" w:hAnsi="Times New Roman" w:cs="Times New Roman"/>
          <w:sz w:val="24"/>
          <w:szCs w:val="24"/>
          <w:lang w:eastAsia="bg-BG"/>
        </w:rPr>
      </w:pPr>
      <w:r w:rsidRPr="00C51411">
        <w:rPr>
          <w:rFonts w:ascii="Times New Roman" w:eastAsia="Times New Roman" w:hAnsi="Times New Roman" w:cs="Times New Roman"/>
          <w:color w:val="000000"/>
          <w:sz w:val="20"/>
          <w:szCs w:val="20"/>
          <w:u w:val="single"/>
          <w:lang w:eastAsia="bg-BG"/>
        </w:rPr>
        <w:t>Хидрохлоротиазид</w:t>
      </w:r>
    </w:p>
    <w:p w14:paraId="0766BFB5" w14:textId="77777777" w:rsidR="00C51411" w:rsidRPr="00C51411" w:rsidRDefault="00C51411" w:rsidP="00C51411">
      <w:pPr>
        <w:spacing w:line="240" w:lineRule="auto"/>
        <w:rPr>
          <w:rFonts w:ascii="Times New Roman" w:eastAsia="Times New Roman" w:hAnsi="Times New Roman" w:cs="Times New Roman"/>
          <w:sz w:val="24"/>
          <w:szCs w:val="24"/>
          <w:lang w:eastAsia="bg-BG"/>
        </w:rPr>
      </w:pPr>
      <w:r w:rsidRPr="00C51411">
        <w:rPr>
          <w:rFonts w:ascii="Times New Roman" w:eastAsia="Times New Roman" w:hAnsi="Times New Roman" w:cs="Times New Roman"/>
          <w:color w:val="000000"/>
          <w:sz w:val="20"/>
          <w:szCs w:val="20"/>
          <w:lang w:eastAsia="bg-BG"/>
        </w:rPr>
        <w:t xml:space="preserve">Мястото на действие на тиазидните диуретици е главно в дисталните извити бъбречни тубули. Доказано е, че в бъбречния кортекс има рецептори с висок афинитет, които саосновно място за свързване на тиазидните диуретици и потискането на транспорта на </w:t>
      </w:r>
      <w:r w:rsidRPr="00C51411">
        <w:rPr>
          <w:rFonts w:ascii="Times New Roman" w:eastAsia="Times New Roman" w:hAnsi="Times New Roman" w:cs="Times New Roman"/>
          <w:color w:val="000000"/>
          <w:sz w:val="20"/>
          <w:szCs w:val="20"/>
          <w:lang w:val="en-US"/>
        </w:rPr>
        <w:t xml:space="preserve">NaC1 </w:t>
      </w:r>
      <w:r w:rsidRPr="00C51411">
        <w:rPr>
          <w:rFonts w:ascii="Times New Roman" w:eastAsia="Times New Roman" w:hAnsi="Times New Roman" w:cs="Times New Roman"/>
          <w:color w:val="000000"/>
          <w:sz w:val="20"/>
          <w:szCs w:val="20"/>
          <w:lang w:eastAsia="bg-BG"/>
        </w:rPr>
        <w:t xml:space="preserve">в дисталните извити тубули. Тиазидните диуретици действат чрез инхибиране на </w:t>
      </w:r>
      <w:proofErr w:type="spellStart"/>
      <w:r w:rsidRPr="00C51411">
        <w:rPr>
          <w:rFonts w:ascii="Times New Roman" w:eastAsia="Times New Roman" w:hAnsi="Times New Roman" w:cs="Times New Roman"/>
          <w:color w:val="000000"/>
          <w:sz w:val="20"/>
          <w:szCs w:val="20"/>
          <w:lang w:val="en-US"/>
        </w:rPr>
        <w:t>Na+Cl</w:t>
      </w:r>
      <w:proofErr w:type="spellEnd"/>
      <w:r w:rsidRPr="00C51411">
        <w:rPr>
          <w:rFonts w:ascii="Times New Roman" w:eastAsia="Times New Roman" w:hAnsi="Times New Roman" w:cs="Times New Roman"/>
          <w:color w:val="000000"/>
          <w:sz w:val="20"/>
          <w:szCs w:val="20"/>
          <w:lang w:val="en-US"/>
        </w:rPr>
        <w:t xml:space="preserve">- </w:t>
      </w:r>
      <w:r w:rsidRPr="00C51411">
        <w:rPr>
          <w:rFonts w:ascii="Times New Roman" w:eastAsia="Times New Roman" w:hAnsi="Times New Roman" w:cs="Times New Roman"/>
          <w:color w:val="000000"/>
          <w:sz w:val="20"/>
          <w:szCs w:val="20"/>
          <w:lang w:eastAsia="bg-BG"/>
        </w:rPr>
        <w:t xml:space="preserve">симпортер, вероятно чрез конкуриране за мястото на свързване на С1-, и по този начин повлияват механизмите на електролитна реабсорбция: директно повишавайки екскрецията </w:t>
      </w:r>
      <w:r w:rsidRPr="00C51411">
        <w:rPr>
          <w:rFonts w:ascii="Times New Roman" w:eastAsia="Times New Roman" w:hAnsi="Times New Roman" w:cs="Times New Roman"/>
          <w:color w:val="000000"/>
          <w:sz w:val="20"/>
          <w:szCs w:val="20"/>
          <w:lang w:eastAsia="bg-BG"/>
        </w:rPr>
        <w:lastRenderedPageBreak/>
        <w:t xml:space="preserve">на натрий и хлор в приблизително еднаква степен, и индиректно чрез диуретичното си действие намаляват плазмения обем с последващо повишаване на плазмената ренинова активност, секрецията на алдостерон и загубата на калий с урината и понижаване на серумния калий. Ренин- алдостероновата връзка е опосредствана от ангиотензин </w:t>
      </w:r>
      <w:r w:rsidRPr="00C51411">
        <w:rPr>
          <w:rFonts w:ascii="Times New Roman" w:eastAsia="Times New Roman" w:hAnsi="Times New Roman" w:cs="Times New Roman"/>
          <w:color w:val="000000"/>
          <w:sz w:val="20"/>
          <w:szCs w:val="20"/>
          <w:lang w:val="en-US"/>
        </w:rPr>
        <w:t>II</w:t>
      </w:r>
      <w:r w:rsidRPr="00C51411">
        <w:rPr>
          <w:rFonts w:ascii="Times New Roman" w:eastAsia="Times New Roman" w:hAnsi="Times New Roman" w:cs="Times New Roman"/>
          <w:color w:val="000000"/>
          <w:sz w:val="20"/>
          <w:szCs w:val="20"/>
          <w:lang w:eastAsia="bg-BG"/>
        </w:rPr>
        <w:t>, така, че при едновременно приложение с валсартан, редуцирането на серумния калий е по-слабо изразено от наблюдаваното при монотерапия с хидрохлоротиазид.</w:t>
      </w:r>
    </w:p>
    <w:p w14:paraId="3B053538" w14:textId="77777777" w:rsidR="00C51411" w:rsidRDefault="00C51411" w:rsidP="00C51411">
      <w:pPr>
        <w:spacing w:line="240" w:lineRule="auto"/>
        <w:rPr>
          <w:rFonts w:ascii="Times New Roman" w:eastAsia="Times New Roman" w:hAnsi="Times New Roman" w:cs="Times New Roman"/>
          <w:i/>
          <w:iCs/>
          <w:color w:val="000000"/>
          <w:sz w:val="20"/>
          <w:szCs w:val="20"/>
          <w:lang w:eastAsia="bg-BG"/>
        </w:rPr>
      </w:pPr>
    </w:p>
    <w:p w14:paraId="0BD5424C" w14:textId="31D45D1F" w:rsidR="00C51411" w:rsidRPr="00C51411" w:rsidRDefault="00C51411" w:rsidP="00C51411">
      <w:pPr>
        <w:spacing w:line="240" w:lineRule="auto"/>
        <w:rPr>
          <w:rFonts w:ascii="Times New Roman" w:eastAsia="Times New Roman" w:hAnsi="Times New Roman" w:cs="Times New Roman"/>
          <w:sz w:val="24"/>
          <w:szCs w:val="24"/>
          <w:lang w:eastAsia="bg-BG"/>
        </w:rPr>
      </w:pPr>
      <w:r w:rsidRPr="00C51411">
        <w:rPr>
          <w:rFonts w:ascii="Times New Roman" w:eastAsia="Times New Roman" w:hAnsi="Times New Roman" w:cs="Times New Roman"/>
          <w:i/>
          <w:iCs/>
          <w:color w:val="000000"/>
          <w:sz w:val="20"/>
          <w:szCs w:val="20"/>
          <w:lang w:eastAsia="bg-BG"/>
        </w:rPr>
        <w:t>Немеланомен рак на кожата</w:t>
      </w:r>
    </w:p>
    <w:p w14:paraId="6F9BF214" w14:textId="0F5D124A" w:rsidR="00C51411" w:rsidRPr="00C51411" w:rsidRDefault="00C51411" w:rsidP="00C51411">
      <w:pPr>
        <w:spacing w:line="240" w:lineRule="auto"/>
        <w:rPr>
          <w:rFonts w:ascii="Times New Roman" w:eastAsia="Times New Roman" w:hAnsi="Times New Roman" w:cs="Times New Roman"/>
          <w:sz w:val="24"/>
          <w:szCs w:val="24"/>
          <w:lang w:val="en-US" w:eastAsia="bg-BG"/>
        </w:rPr>
      </w:pPr>
      <w:r w:rsidRPr="00C51411">
        <w:rPr>
          <w:rFonts w:ascii="Times New Roman" w:eastAsia="Times New Roman" w:hAnsi="Times New Roman" w:cs="Times New Roman"/>
          <w:color w:val="000000"/>
          <w:sz w:val="20"/>
          <w:szCs w:val="20"/>
          <w:lang w:eastAsia="bg-BG"/>
        </w:rPr>
        <w:t xml:space="preserve">Въз основа на наличните данни от епидемиологични проучвания е наблюдавана зависима от кумулативната доза връзка между ХХТЗ и НМРК. Едно проучване включва популация, състояща се от 71 533 случаи на БКК и 8 629 случаи на СКК, и популация от съответно 1 430 833 и 172 462 подходящи контроли. Високата употреба на ХХТЗ (кумулативно ≥50 000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 xml:space="preserve">е свързана с коригирано съотношение на шансовете </w:t>
      </w:r>
      <w:r w:rsidRPr="00C51411">
        <w:rPr>
          <w:rFonts w:ascii="Times New Roman" w:eastAsia="Times New Roman" w:hAnsi="Times New Roman" w:cs="Times New Roman"/>
          <w:color w:val="000000"/>
          <w:sz w:val="20"/>
          <w:szCs w:val="20"/>
          <w:lang w:val="en-US"/>
        </w:rPr>
        <w:t xml:space="preserve">(OR) </w:t>
      </w:r>
      <w:r w:rsidRPr="00C51411">
        <w:rPr>
          <w:rFonts w:ascii="Times New Roman" w:eastAsia="Times New Roman" w:hAnsi="Times New Roman" w:cs="Times New Roman"/>
          <w:color w:val="000000"/>
          <w:sz w:val="20"/>
          <w:szCs w:val="20"/>
          <w:lang w:eastAsia="bg-BG"/>
        </w:rPr>
        <w:t xml:space="preserve">1,29 (95% ДИ: 1,23-1,35) за БКК и 3,98 (95% ДИ: 3,68-4,31) за СКК. Наблюдавана е ясна връзка кумулативна доза-отговор както за БКК, така и за СКК. Друго проучване показва възможна връзка между рака на устните (СКК) и експозицията на ХХТЗ: за 633 случаи на рак на устните е подбрана популация от 63 067 подходящи контроли, като се използва стратегия за вземане на проби, определена от риска. Демонстрирана е връзка кумулативна доза-отговор с коригиран </w:t>
      </w:r>
      <w:r w:rsidRPr="00C51411">
        <w:rPr>
          <w:rFonts w:ascii="Times New Roman" w:eastAsia="Times New Roman" w:hAnsi="Times New Roman" w:cs="Times New Roman"/>
          <w:color w:val="000000"/>
          <w:sz w:val="20"/>
          <w:szCs w:val="20"/>
          <w:lang w:val="en-US"/>
        </w:rPr>
        <w:t xml:space="preserve">OR </w:t>
      </w:r>
      <w:r w:rsidRPr="00C51411">
        <w:rPr>
          <w:rFonts w:ascii="Times New Roman" w:eastAsia="Times New Roman" w:hAnsi="Times New Roman" w:cs="Times New Roman"/>
          <w:color w:val="000000"/>
          <w:sz w:val="20"/>
          <w:szCs w:val="20"/>
          <w:lang w:eastAsia="bg-BG"/>
        </w:rPr>
        <w:t xml:space="preserve">2,1 (95% ДИ: 1,7-2,6), нарастващ до </w:t>
      </w:r>
      <w:r w:rsidRPr="00C51411">
        <w:rPr>
          <w:rFonts w:ascii="Times New Roman" w:eastAsia="Times New Roman" w:hAnsi="Times New Roman" w:cs="Times New Roman"/>
          <w:color w:val="000000"/>
          <w:sz w:val="20"/>
          <w:szCs w:val="20"/>
          <w:lang w:val="en-US"/>
        </w:rPr>
        <w:t xml:space="preserve">OR </w:t>
      </w:r>
      <w:r w:rsidRPr="00C51411">
        <w:rPr>
          <w:rFonts w:ascii="Times New Roman" w:eastAsia="Times New Roman" w:hAnsi="Times New Roman" w:cs="Times New Roman"/>
          <w:color w:val="000000"/>
          <w:sz w:val="20"/>
          <w:szCs w:val="20"/>
          <w:lang w:eastAsia="bg-BG"/>
        </w:rPr>
        <w:t xml:space="preserve">3,9 (3,0-4,9) за висока употреба (~ 25 000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 xml:space="preserve">и </w:t>
      </w:r>
      <w:r w:rsidRPr="00C51411">
        <w:rPr>
          <w:rFonts w:ascii="Times New Roman" w:eastAsia="Times New Roman" w:hAnsi="Times New Roman" w:cs="Times New Roman"/>
          <w:color w:val="000000"/>
          <w:sz w:val="20"/>
          <w:szCs w:val="20"/>
          <w:lang w:val="en-US"/>
        </w:rPr>
        <w:t xml:space="preserve">OR </w:t>
      </w:r>
      <w:r w:rsidRPr="00C51411">
        <w:rPr>
          <w:rFonts w:ascii="Times New Roman" w:eastAsia="Times New Roman" w:hAnsi="Times New Roman" w:cs="Times New Roman"/>
          <w:color w:val="000000"/>
          <w:sz w:val="20"/>
          <w:szCs w:val="20"/>
          <w:lang w:eastAsia="bg-BG"/>
        </w:rPr>
        <w:t>7,7 (5,7-1</w:t>
      </w:r>
      <w:r w:rsidRPr="00C51411">
        <w:rPr>
          <w:rFonts w:ascii="Times New Roman" w:eastAsia="Times New Roman" w:hAnsi="Times New Roman" w:cs="Times New Roman"/>
          <w:color w:val="000000"/>
          <w:sz w:val="20"/>
          <w:szCs w:val="20"/>
          <w:lang w:val="en-US"/>
        </w:rPr>
        <w:t xml:space="preserve">0,5) </w:t>
      </w:r>
      <w:r w:rsidRPr="00C51411">
        <w:rPr>
          <w:rFonts w:ascii="Times New Roman" w:eastAsia="Times New Roman" w:hAnsi="Times New Roman" w:cs="Times New Roman"/>
          <w:color w:val="000000"/>
          <w:sz w:val="20"/>
          <w:szCs w:val="20"/>
          <w:lang w:eastAsia="bg-BG"/>
        </w:rPr>
        <w:t xml:space="preserve">за най- високата кумулативна доза (~ 100 000 </w:t>
      </w:r>
      <w:r w:rsidRPr="00C51411">
        <w:rPr>
          <w:rFonts w:ascii="Times New Roman" w:eastAsia="Times New Roman" w:hAnsi="Times New Roman" w:cs="Times New Roman"/>
          <w:color w:val="000000"/>
          <w:sz w:val="20"/>
          <w:szCs w:val="20"/>
          <w:lang w:val="en-US"/>
        </w:rPr>
        <w:t xml:space="preserve">mg) </w:t>
      </w:r>
      <w:r w:rsidRPr="00C51411">
        <w:rPr>
          <w:rFonts w:ascii="Times New Roman" w:eastAsia="Times New Roman" w:hAnsi="Times New Roman" w:cs="Times New Roman"/>
          <w:color w:val="000000"/>
          <w:sz w:val="20"/>
          <w:szCs w:val="20"/>
          <w:lang w:eastAsia="bg-BG"/>
        </w:rPr>
        <w:t>(вж. също точка 4.4).</w:t>
      </w:r>
    </w:p>
    <w:p w14:paraId="06088455" w14:textId="4CA2CBDF" w:rsidR="00C51411" w:rsidRPr="00C51411" w:rsidRDefault="00C51411" w:rsidP="00C51411">
      <w:pPr>
        <w:rPr>
          <w:lang w:val="en-US"/>
        </w:rPr>
      </w:pPr>
    </w:p>
    <w:p w14:paraId="173D7F1D" w14:textId="51D77FB5" w:rsidR="00EE6C97" w:rsidRDefault="002C50EE" w:rsidP="00A93499">
      <w:pPr>
        <w:pStyle w:val="Heading2"/>
      </w:pPr>
      <w:r>
        <w:t>5.2. Фармакокинетични свойства</w:t>
      </w:r>
    </w:p>
    <w:p w14:paraId="534B1ED7" w14:textId="03EB0104" w:rsidR="00C51411" w:rsidRDefault="00C51411" w:rsidP="00C51411"/>
    <w:p w14:paraId="5757356E" w14:textId="77777777" w:rsidR="00C51411" w:rsidRPr="00C51411" w:rsidRDefault="00C51411" w:rsidP="00C51411">
      <w:pPr>
        <w:spacing w:line="240" w:lineRule="auto"/>
        <w:rPr>
          <w:rFonts w:eastAsia="Times New Roman" w:cs="Arial"/>
          <w:sz w:val="28"/>
          <w:szCs w:val="28"/>
          <w:lang w:eastAsia="bg-BG"/>
        </w:rPr>
      </w:pPr>
      <w:r w:rsidRPr="00C51411">
        <w:rPr>
          <w:rFonts w:eastAsia="Times New Roman" w:cs="Arial"/>
          <w:color w:val="000000"/>
          <w:u w:val="single"/>
          <w:lang w:eastAsia="bg-BG"/>
        </w:rPr>
        <w:t>Валсартан/хидрохлоротиазид</w:t>
      </w:r>
    </w:p>
    <w:p w14:paraId="7A065736" w14:textId="77777777" w:rsidR="00C51411" w:rsidRPr="00C51411" w:rsidRDefault="00C51411" w:rsidP="00C51411">
      <w:pPr>
        <w:spacing w:line="240" w:lineRule="auto"/>
        <w:rPr>
          <w:rFonts w:eastAsia="Times New Roman" w:cs="Arial"/>
          <w:sz w:val="28"/>
          <w:szCs w:val="28"/>
          <w:lang w:eastAsia="bg-BG"/>
        </w:rPr>
      </w:pPr>
      <w:r w:rsidRPr="00C51411">
        <w:rPr>
          <w:rFonts w:eastAsia="Times New Roman" w:cs="Arial"/>
          <w:color w:val="000000"/>
          <w:lang w:eastAsia="bg-BG"/>
        </w:rPr>
        <w:t>Системната наличност на хидрохлоротиазид е редуцирана с около 30%, когато се прилага заедно с валсартан. Кинетиката на валсартан не се повлиява значително при едновременната употреба с хидрохлоротиазид. Наблюдаваното взаимодействие няма влияние върху комбинираната употреба на валсартан и хидрохлоротиазид, тъй като контролирани клинични изпитвания показват чист антихипертензивен ефект, по-голям от получения само с едно от двете активни вещества или с плацебо.</w:t>
      </w:r>
    </w:p>
    <w:p w14:paraId="22932E31" w14:textId="77777777" w:rsidR="00C51411" w:rsidRPr="00C51411" w:rsidRDefault="00C51411" w:rsidP="00C51411">
      <w:pPr>
        <w:spacing w:line="240" w:lineRule="auto"/>
        <w:rPr>
          <w:rFonts w:eastAsia="Times New Roman" w:cs="Arial"/>
          <w:color w:val="000000"/>
          <w:u w:val="single"/>
          <w:lang w:eastAsia="bg-BG"/>
        </w:rPr>
      </w:pPr>
    </w:p>
    <w:p w14:paraId="604CBEBB" w14:textId="08684106" w:rsidR="00C51411" w:rsidRPr="00C51411" w:rsidRDefault="00C51411" w:rsidP="00C51411">
      <w:pPr>
        <w:pStyle w:val="Heading3"/>
        <w:rPr>
          <w:rFonts w:eastAsia="Times New Roman"/>
          <w:sz w:val="28"/>
          <w:szCs w:val="28"/>
          <w:u w:val="single"/>
          <w:lang w:eastAsia="bg-BG"/>
        </w:rPr>
      </w:pPr>
      <w:r w:rsidRPr="00C51411">
        <w:rPr>
          <w:rFonts w:eastAsia="Times New Roman"/>
          <w:u w:val="single"/>
          <w:lang w:eastAsia="bg-BG"/>
        </w:rPr>
        <w:t>Валсартан</w:t>
      </w:r>
    </w:p>
    <w:p w14:paraId="0D07C123" w14:textId="77777777" w:rsidR="00C51411" w:rsidRPr="00C51411" w:rsidRDefault="00C51411" w:rsidP="00C51411">
      <w:pPr>
        <w:spacing w:line="240" w:lineRule="auto"/>
        <w:rPr>
          <w:rFonts w:eastAsia="Times New Roman" w:cs="Arial"/>
          <w:i/>
          <w:iCs/>
          <w:color w:val="000000"/>
          <w:lang w:eastAsia="bg-BG"/>
        </w:rPr>
      </w:pPr>
    </w:p>
    <w:p w14:paraId="7B3DFF8B" w14:textId="035FCB52" w:rsidR="00C51411" w:rsidRPr="00C51411" w:rsidRDefault="00C51411" w:rsidP="00C51411">
      <w:pPr>
        <w:spacing w:line="240" w:lineRule="auto"/>
        <w:rPr>
          <w:rFonts w:eastAsia="Times New Roman" w:cs="Arial"/>
          <w:sz w:val="28"/>
          <w:szCs w:val="28"/>
          <w:lang w:eastAsia="bg-BG"/>
        </w:rPr>
      </w:pPr>
      <w:r w:rsidRPr="00C51411">
        <w:rPr>
          <w:rFonts w:eastAsia="Times New Roman" w:cs="Arial"/>
          <w:i/>
          <w:iCs/>
          <w:color w:val="000000"/>
          <w:lang w:eastAsia="bg-BG"/>
        </w:rPr>
        <w:t>Абсорбция</w:t>
      </w:r>
    </w:p>
    <w:p w14:paraId="1481821E" w14:textId="77777777" w:rsidR="00C51411" w:rsidRPr="00C51411" w:rsidRDefault="00C51411" w:rsidP="00C51411">
      <w:pPr>
        <w:spacing w:line="240" w:lineRule="auto"/>
        <w:rPr>
          <w:rFonts w:eastAsia="Times New Roman" w:cs="Arial"/>
          <w:sz w:val="28"/>
          <w:szCs w:val="28"/>
          <w:lang w:eastAsia="bg-BG"/>
        </w:rPr>
      </w:pPr>
      <w:r w:rsidRPr="00C51411">
        <w:rPr>
          <w:rFonts w:eastAsia="Times New Roman" w:cs="Arial"/>
          <w:color w:val="000000"/>
          <w:lang w:eastAsia="bg-BG"/>
        </w:rPr>
        <w:t xml:space="preserve">След перорално приложение само на валсартан, максимални плазмени концентрации на валсартан се достигат за 2-4 часа. Средната абсолютна бионаличност е 23%. Храната намалява експозицията (измерена чрез </w:t>
      </w:r>
      <w:r w:rsidRPr="00C51411">
        <w:rPr>
          <w:rFonts w:eastAsia="Times New Roman" w:cs="Arial"/>
          <w:color w:val="000000"/>
          <w:lang w:val="en-US"/>
        </w:rPr>
        <w:t xml:space="preserve">AUC) </w:t>
      </w:r>
      <w:r w:rsidRPr="00C51411">
        <w:rPr>
          <w:rFonts w:eastAsia="Times New Roman" w:cs="Arial"/>
          <w:color w:val="000000"/>
          <w:lang w:eastAsia="bg-BG"/>
        </w:rPr>
        <w:t>на валсартан с около 40%, а максималната плазмена концентрация (С</w:t>
      </w:r>
      <w:r w:rsidRPr="00C51411">
        <w:rPr>
          <w:rFonts w:eastAsia="Times New Roman" w:cs="Arial"/>
          <w:color w:val="000000"/>
          <w:vertAlign w:val="subscript"/>
          <w:lang w:val="en-US"/>
        </w:rPr>
        <w:t>max</w:t>
      </w:r>
      <w:r w:rsidRPr="00C51411">
        <w:rPr>
          <w:rFonts w:eastAsia="Times New Roman" w:cs="Arial"/>
          <w:color w:val="000000"/>
          <w:lang w:eastAsia="bg-BG"/>
        </w:rPr>
        <w:t xml:space="preserve">) с около 50%, въпреки че около 8 часа след приема, плазмените концентрации на валсартан са подобни в групите на прием след нахранване и на гладно. Това понижаване на </w:t>
      </w:r>
      <w:r w:rsidRPr="00C51411">
        <w:rPr>
          <w:rFonts w:eastAsia="Times New Roman" w:cs="Arial"/>
          <w:color w:val="000000"/>
          <w:lang w:val="en-US"/>
        </w:rPr>
        <w:t xml:space="preserve">AUC </w:t>
      </w:r>
      <w:r w:rsidRPr="00C51411">
        <w:rPr>
          <w:rFonts w:eastAsia="Times New Roman" w:cs="Arial"/>
          <w:color w:val="000000"/>
          <w:lang w:eastAsia="bg-BG"/>
        </w:rPr>
        <w:t>не е придружено от клинично значимо понижаване на терапевтичния ефект, поради което валсартан може да се приема със или без храна.</w:t>
      </w:r>
    </w:p>
    <w:p w14:paraId="11827529" w14:textId="77777777" w:rsidR="00C51411" w:rsidRPr="00C51411" w:rsidRDefault="00C51411" w:rsidP="00C51411">
      <w:pPr>
        <w:spacing w:line="240" w:lineRule="auto"/>
        <w:rPr>
          <w:rFonts w:eastAsia="Times New Roman" w:cs="Arial"/>
          <w:i/>
          <w:iCs/>
          <w:color w:val="000000"/>
          <w:lang w:eastAsia="bg-BG"/>
        </w:rPr>
      </w:pPr>
    </w:p>
    <w:p w14:paraId="47696DDF" w14:textId="7D8925F7" w:rsidR="00C51411" w:rsidRPr="00C51411" w:rsidRDefault="00C51411" w:rsidP="00C51411">
      <w:pPr>
        <w:spacing w:line="240" w:lineRule="auto"/>
        <w:rPr>
          <w:rFonts w:eastAsia="Times New Roman" w:cs="Arial"/>
          <w:sz w:val="28"/>
          <w:szCs w:val="28"/>
          <w:lang w:eastAsia="bg-BG"/>
        </w:rPr>
      </w:pPr>
      <w:r w:rsidRPr="00C51411">
        <w:rPr>
          <w:rFonts w:eastAsia="Times New Roman" w:cs="Arial"/>
          <w:i/>
          <w:iCs/>
          <w:color w:val="000000"/>
          <w:lang w:eastAsia="bg-BG"/>
        </w:rPr>
        <w:t>Разпределение</w:t>
      </w:r>
    </w:p>
    <w:p w14:paraId="32A8EDF6" w14:textId="77777777" w:rsidR="00C51411" w:rsidRPr="00C51411" w:rsidRDefault="00C51411" w:rsidP="00C51411">
      <w:pPr>
        <w:spacing w:line="240" w:lineRule="auto"/>
        <w:rPr>
          <w:rFonts w:eastAsia="Times New Roman" w:cs="Arial"/>
          <w:sz w:val="28"/>
          <w:szCs w:val="28"/>
          <w:lang w:eastAsia="bg-BG"/>
        </w:rPr>
      </w:pPr>
      <w:r w:rsidRPr="00C51411">
        <w:rPr>
          <w:rFonts w:eastAsia="Times New Roman" w:cs="Arial"/>
          <w:color w:val="000000"/>
          <w:lang w:eastAsia="bg-BG"/>
        </w:rPr>
        <w:t>Равновесният обем на разпределение на валсартан след интравенозно приложение е около 17 литра, показващ, че валсартан не се разпределя екстензивно в тъканите. Валсартан се свързва в голяма степен със серумните протеини (94-97%), предимно със серумния албумин.</w:t>
      </w:r>
    </w:p>
    <w:p w14:paraId="19C0CCF1" w14:textId="77777777" w:rsidR="00C51411" w:rsidRPr="00C51411" w:rsidRDefault="00C51411" w:rsidP="00C51411">
      <w:pPr>
        <w:spacing w:line="240" w:lineRule="auto"/>
        <w:rPr>
          <w:rFonts w:eastAsia="Times New Roman" w:cs="Arial"/>
          <w:i/>
          <w:iCs/>
          <w:color w:val="000000"/>
          <w:lang w:eastAsia="bg-BG"/>
        </w:rPr>
      </w:pPr>
    </w:p>
    <w:p w14:paraId="15BDCA11" w14:textId="54D56642" w:rsidR="00C51411" w:rsidRPr="00C51411" w:rsidRDefault="00C51411" w:rsidP="00C51411">
      <w:pPr>
        <w:spacing w:line="240" w:lineRule="auto"/>
        <w:rPr>
          <w:rFonts w:eastAsia="Times New Roman" w:cs="Arial"/>
          <w:sz w:val="28"/>
          <w:szCs w:val="28"/>
          <w:lang w:eastAsia="bg-BG"/>
        </w:rPr>
      </w:pPr>
      <w:r w:rsidRPr="00C51411">
        <w:rPr>
          <w:rFonts w:eastAsia="Times New Roman" w:cs="Arial"/>
          <w:i/>
          <w:iCs/>
          <w:color w:val="000000"/>
          <w:lang w:eastAsia="bg-BG"/>
        </w:rPr>
        <w:t>Биатрансформация</w:t>
      </w:r>
    </w:p>
    <w:p w14:paraId="2CFD9D88" w14:textId="77777777" w:rsidR="00C51411" w:rsidRPr="00C51411" w:rsidRDefault="00C51411" w:rsidP="00C51411">
      <w:pPr>
        <w:spacing w:line="240" w:lineRule="auto"/>
        <w:rPr>
          <w:rFonts w:eastAsia="Times New Roman" w:cs="Arial"/>
          <w:sz w:val="28"/>
          <w:szCs w:val="28"/>
          <w:lang w:eastAsia="bg-BG"/>
        </w:rPr>
      </w:pPr>
      <w:r w:rsidRPr="00C51411">
        <w:rPr>
          <w:rFonts w:eastAsia="Times New Roman" w:cs="Arial"/>
          <w:color w:val="000000"/>
          <w:lang w:eastAsia="bg-BG"/>
        </w:rPr>
        <w:t xml:space="preserve">Валсартан не се биотрансформира в голяма степен, като само около 20% от дозата се открива като метаболити. В плазмата е установен хидроксиметаболит в ниски концентрации (по-малко от 10% от </w:t>
      </w:r>
      <w:r w:rsidRPr="00C51411">
        <w:rPr>
          <w:rFonts w:eastAsia="Times New Roman" w:cs="Arial"/>
          <w:color w:val="000000"/>
          <w:lang w:val="en-US"/>
        </w:rPr>
        <w:t xml:space="preserve">AUC </w:t>
      </w:r>
      <w:r w:rsidRPr="00C51411">
        <w:rPr>
          <w:rFonts w:eastAsia="Times New Roman" w:cs="Arial"/>
          <w:color w:val="000000"/>
          <w:lang w:eastAsia="bg-BG"/>
        </w:rPr>
        <w:t>на валсартан). Този метаболит е фармакологично неактивен.</w:t>
      </w:r>
    </w:p>
    <w:p w14:paraId="00BD1556" w14:textId="77777777" w:rsidR="00C51411" w:rsidRPr="00C51411" w:rsidRDefault="00C51411" w:rsidP="00C51411">
      <w:pPr>
        <w:spacing w:line="240" w:lineRule="auto"/>
        <w:rPr>
          <w:rFonts w:eastAsia="Times New Roman" w:cs="Arial"/>
          <w:i/>
          <w:iCs/>
          <w:color w:val="000000"/>
          <w:lang w:eastAsia="bg-BG"/>
        </w:rPr>
      </w:pPr>
    </w:p>
    <w:p w14:paraId="18913C75" w14:textId="148300A9" w:rsidR="00C51411" w:rsidRPr="00C51411" w:rsidRDefault="00C51411" w:rsidP="00C51411">
      <w:pPr>
        <w:spacing w:line="240" w:lineRule="auto"/>
        <w:rPr>
          <w:rFonts w:eastAsia="Times New Roman" w:cs="Arial"/>
          <w:sz w:val="28"/>
          <w:szCs w:val="28"/>
          <w:lang w:eastAsia="bg-BG"/>
        </w:rPr>
      </w:pPr>
      <w:r w:rsidRPr="00C51411">
        <w:rPr>
          <w:rFonts w:eastAsia="Times New Roman" w:cs="Arial"/>
          <w:i/>
          <w:iCs/>
          <w:color w:val="000000"/>
          <w:lang w:eastAsia="bg-BG"/>
        </w:rPr>
        <w:t>Елиминиране</w:t>
      </w:r>
    </w:p>
    <w:p w14:paraId="16C90403" w14:textId="77777777" w:rsidR="00C51411" w:rsidRPr="00C51411" w:rsidRDefault="00C51411" w:rsidP="00C51411">
      <w:pPr>
        <w:spacing w:line="240" w:lineRule="auto"/>
        <w:rPr>
          <w:rFonts w:eastAsia="Times New Roman" w:cs="Arial"/>
          <w:sz w:val="28"/>
          <w:szCs w:val="28"/>
          <w:lang w:eastAsia="bg-BG"/>
        </w:rPr>
      </w:pPr>
      <w:r w:rsidRPr="00C51411">
        <w:rPr>
          <w:rFonts w:eastAsia="Times New Roman" w:cs="Arial"/>
          <w:color w:val="000000"/>
          <w:lang w:eastAsia="bg-BG"/>
        </w:rPr>
        <w:t xml:space="preserve">Валсартан показва мултиекспоненциална кинетика на елиминиране </w:t>
      </w:r>
      <w:r w:rsidRPr="00C51411">
        <w:rPr>
          <w:rFonts w:eastAsia="Times New Roman" w:cs="Arial"/>
          <w:color w:val="000000"/>
          <w:lang w:val="en-US"/>
        </w:rPr>
        <w:t>(t1/2</w:t>
      </w:r>
      <w:r w:rsidRPr="00C51411">
        <w:rPr>
          <w:rFonts w:eastAsia="Times New Roman" w:cs="Arial"/>
          <w:color w:val="000000"/>
          <w:lang w:eastAsia="bg-BG"/>
        </w:rPr>
        <w:t xml:space="preserve">α&lt;1 час и </w:t>
      </w:r>
      <w:r w:rsidRPr="00C51411">
        <w:rPr>
          <w:rFonts w:eastAsia="Times New Roman" w:cs="Arial"/>
          <w:color w:val="000000"/>
          <w:lang w:val="en-US"/>
        </w:rPr>
        <w:t>t1/2</w:t>
      </w:r>
      <w:r w:rsidRPr="00C51411">
        <w:rPr>
          <w:rFonts w:eastAsia="Times New Roman" w:cs="Arial"/>
          <w:color w:val="000000"/>
          <w:lang w:eastAsia="bg-BG"/>
        </w:rPr>
        <w:t>β</w:t>
      </w:r>
      <w:r w:rsidRPr="00C51411">
        <w:rPr>
          <w:rFonts w:eastAsia="Times New Roman" w:cs="Arial"/>
          <w:color w:val="000000"/>
          <w:lang w:val="en-US"/>
        </w:rPr>
        <w:t xml:space="preserve"> </w:t>
      </w:r>
      <w:r w:rsidRPr="00C51411">
        <w:rPr>
          <w:rFonts w:eastAsia="Times New Roman" w:cs="Arial"/>
          <w:color w:val="000000"/>
          <w:lang w:eastAsia="bg-BG"/>
        </w:rPr>
        <w:t>около 9 часа). Валсартан се елиминира предимно с фецеса (около 83% от дозата) и урината (около 13% от дозата), предимно като непроменено лекарство. След интравенозно приложение, плазменият клирънс на валсартан е около 2</w:t>
      </w:r>
      <w:r w:rsidRPr="00C51411">
        <w:rPr>
          <w:rFonts w:eastAsia="Times New Roman" w:cs="Arial"/>
          <w:color w:val="000000"/>
          <w:lang w:val="en-US"/>
        </w:rPr>
        <w:t xml:space="preserve"> l</w:t>
      </w:r>
      <w:r w:rsidRPr="00C51411">
        <w:rPr>
          <w:rFonts w:eastAsia="Times New Roman" w:cs="Arial"/>
          <w:color w:val="000000"/>
          <w:lang w:eastAsia="bg-BG"/>
        </w:rPr>
        <w:t>/час, а бъбречният му клирънс е 0,62</w:t>
      </w:r>
      <w:r w:rsidRPr="00C51411">
        <w:rPr>
          <w:rFonts w:eastAsia="Times New Roman" w:cs="Arial"/>
          <w:color w:val="000000"/>
          <w:lang w:val="en-US"/>
        </w:rPr>
        <w:t xml:space="preserve"> l</w:t>
      </w:r>
      <w:r w:rsidRPr="00C51411">
        <w:rPr>
          <w:rFonts w:eastAsia="Times New Roman" w:cs="Arial"/>
          <w:color w:val="000000"/>
          <w:lang w:eastAsia="bg-BG"/>
        </w:rPr>
        <w:t>/час (около 30% от общия клирънс). Полуживотът на валсартан е 6 часа.</w:t>
      </w:r>
    </w:p>
    <w:p w14:paraId="16C869DE" w14:textId="77777777" w:rsidR="00C51411" w:rsidRPr="00C51411" w:rsidRDefault="00C51411" w:rsidP="00C51411">
      <w:pPr>
        <w:spacing w:line="240" w:lineRule="auto"/>
        <w:rPr>
          <w:rFonts w:eastAsia="Times New Roman" w:cs="Arial"/>
          <w:color w:val="000000"/>
          <w:u w:val="single"/>
          <w:lang w:eastAsia="bg-BG"/>
        </w:rPr>
      </w:pPr>
    </w:p>
    <w:p w14:paraId="38ABA0B6" w14:textId="70E831B9" w:rsidR="00C51411" w:rsidRPr="00C51411" w:rsidRDefault="00C51411" w:rsidP="00C51411">
      <w:pPr>
        <w:pStyle w:val="Heading3"/>
        <w:rPr>
          <w:rFonts w:eastAsia="Times New Roman"/>
          <w:sz w:val="28"/>
          <w:szCs w:val="28"/>
          <w:u w:val="single"/>
          <w:lang w:eastAsia="bg-BG"/>
        </w:rPr>
      </w:pPr>
      <w:r w:rsidRPr="00C51411">
        <w:rPr>
          <w:rFonts w:eastAsia="Times New Roman"/>
          <w:u w:val="single"/>
          <w:lang w:eastAsia="bg-BG"/>
        </w:rPr>
        <w:t>Хидрохлоротиазид</w:t>
      </w:r>
    </w:p>
    <w:p w14:paraId="7CC7AE0E" w14:textId="77777777" w:rsidR="00C51411" w:rsidRPr="00C51411" w:rsidRDefault="00C51411" w:rsidP="00C51411">
      <w:pPr>
        <w:spacing w:line="240" w:lineRule="auto"/>
        <w:rPr>
          <w:rFonts w:eastAsia="Times New Roman" w:cs="Arial"/>
          <w:i/>
          <w:iCs/>
          <w:color w:val="000000"/>
          <w:lang w:eastAsia="bg-BG"/>
        </w:rPr>
      </w:pPr>
    </w:p>
    <w:p w14:paraId="2B4133BF" w14:textId="219218A1" w:rsidR="00C51411" w:rsidRPr="00C51411" w:rsidRDefault="00C51411" w:rsidP="00C51411">
      <w:pPr>
        <w:spacing w:line="240" w:lineRule="auto"/>
        <w:rPr>
          <w:rFonts w:eastAsia="Times New Roman" w:cs="Arial"/>
          <w:sz w:val="28"/>
          <w:szCs w:val="28"/>
          <w:lang w:eastAsia="bg-BG"/>
        </w:rPr>
      </w:pPr>
      <w:r w:rsidRPr="00C51411">
        <w:rPr>
          <w:rFonts w:eastAsia="Times New Roman" w:cs="Arial"/>
          <w:i/>
          <w:iCs/>
          <w:color w:val="000000"/>
          <w:lang w:eastAsia="bg-BG"/>
        </w:rPr>
        <w:t>Абсорбция</w:t>
      </w:r>
    </w:p>
    <w:p w14:paraId="7F6AE0C1" w14:textId="77777777" w:rsidR="00C51411" w:rsidRPr="00C51411" w:rsidRDefault="00C51411" w:rsidP="00C51411">
      <w:pPr>
        <w:spacing w:line="240" w:lineRule="auto"/>
        <w:rPr>
          <w:rFonts w:eastAsia="Times New Roman" w:cs="Arial"/>
          <w:sz w:val="28"/>
          <w:szCs w:val="28"/>
          <w:lang w:eastAsia="bg-BG"/>
        </w:rPr>
      </w:pPr>
      <w:r w:rsidRPr="00C51411">
        <w:rPr>
          <w:rFonts w:eastAsia="Times New Roman" w:cs="Arial"/>
          <w:color w:val="000000"/>
          <w:lang w:eastAsia="bg-BG"/>
        </w:rPr>
        <w:t xml:space="preserve">Абсорбцията на хидрохлоротиазид, след перорален прием, е бърза </w:t>
      </w:r>
      <w:r w:rsidRPr="00C51411">
        <w:rPr>
          <w:rFonts w:eastAsia="Times New Roman" w:cs="Arial"/>
          <w:color w:val="000000"/>
          <w:lang w:val="en-US"/>
        </w:rPr>
        <w:t>(</w:t>
      </w:r>
      <w:proofErr w:type="spellStart"/>
      <w:r w:rsidRPr="00C51411">
        <w:rPr>
          <w:rFonts w:eastAsia="Times New Roman" w:cs="Arial"/>
          <w:color w:val="000000"/>
          <w:lang w:val="en-US"/>
        </w:rPr>
        <w:t>t</w:t>
      </w:r>
      <w:r w:rsidRPr="00C51411">
        <w:rPr>
          <w:rFonts w:eastAsia="Times New Roman" w:cs="Arial"/>
          <w:color w:val="000000"/>
          <w:vertAlign w:val="subscript"/>
          <w:lang w:val="en-US"/>
        </w:rPr>
        <w:t>max</w:t>
      </w:r>
      <w:proofErr w:type="spellEnd"/>
      <w:r w:rsidRPr="00C51411">
        <w:rPr>
          <w:rFonts w:eastAsia="Times New Roman" w:cs="Arial"/>
          <w:color w:val="000000"/>
          <w:lang w:val="en-US"/>
        </w:rPr>
        <w:t xml:space="preserve"> </w:t>
      </w:r>
      <w:r w:rsidRPr="00C51411">
        <w:rPr>
          <w:rFonts w:eastAsia="Times New Roman" w:cs="Arial"/>
          <w:color w:val="000000"/>
          <w:lang w:eastAsia="bg-BG"/>
        </w:rPr>
        <w:t xml:space="preserve">около 2 часа). Увеличаването на средната </w:t>
      </w:r>
      <w:r w:rsidRPr="00C51411">
        <w:rPr>
          <w:rFonts w:eastAsia="Times New Roman" w:cs="Arial"/>
          <w:color w:val="000000"/>
          <w:lang w:val="en-US"/>
        </w:rPr>
        <w:t xml:space="preserve">AUC </w:t>
      </w:r>
      <w:r w:rsidRPr="00C51411">
        <w:rPr>
          <w:rFonts w:eastAsia="Times New Roman" w:cs="Arial"/>
          <w:color w:val="000000"/>
          <w:lang w:eastAsia="bg-BG"/>
        </w:rPr>
        <w:t>е линейно и дозозависимо в терапевтичния диапазон. Влиянието на храната върху абсорбцията на хидрохлоротиазид, ако има такова, е с незначително клинично значение. Абсолютната бионаличност на хидрохлоротиазид е 70% след перорално приложение.</w:t>
      </w:r>
    </w:p>
    <w:p w14:paraId="60460122" w14:textId="77777777" w:rsidR="00C51411" w:rsidRPr="00C51411" w:rsidRDefault="00C51411" w:rsidP="00C51411">
      <w:pPr>
        <w:spacing w:line="240" w:lineRule="auto"/>
        <w:rPr>
          <w:rFonts w:eastAsia="Times New Roman" w:cs="Arial"/>
          <w:i/>
          <w:iCs/>
          <w:color w:val="000000"/>
          <w:lang w:eastAsia="bg-BG"/>
        </w:rPr>
      </w:pPr>
    </w:p>
    <w:p w14:paraId="423D390F" w14:textId="136D3990" w:rsidR="00C51411" w:rsidRPr="00C51411" w:rsidRDefault="00C51411" w:rsidP="00C51411">
      <w:pPr>
        <w:spacing w:line="240" w:lineRule="auto"/>
        <w:rPr>
          <w:rFonts w:eastAsia="Times New Roman" w:cs="Arial"/>
          <w:sz w:val="28"/>
          <w:szCs w:val="28"/>
          <w:lang w:eastAsia="bg-BG"/>
        </w:rPr>
      </w:pPr>
      <w:r w:rsidRPr="00C51411">
        <w:rPr>
          <w:rFonts w:eastAsia="Times New Roman" w:cs="Arial"/>
          <w:i/>
          <w:iCs/>
          <w:color w:val="000000"/>
          <w:lang w:eastAsia="bg-BG"/>
        </w:rPr>
        <w:t>Разпределение</w:t>
      </w:r>
    </w:p>
    <w:p w14:paraId="41C2D27C" w14:textId="77777777" w:rsidR="00C51411" w:rsidRPr="00C51411" w:rsidRDefault="00C51411" w:rsidP="00C51411">
      <w:pPr>
        <w:spacing w:line="240" w:lineRule="auto"/>
        <w:rPr>
          <w:rFonts w:eastAsia="Times New Roman" w:cs="Arial"/>
          <w:sz w:val="28"/>
          <w:szCs w:val="28"/>
          <w:lang w:eastAsia="bg-BG"/>
        </w:rPr>
      </w:pPr>
      <w:r w:rsidRPr="00C51411">
        <w:rPr>
          <w:rFonts w:eastAsia="Times New Roman" w:cs="Arial"/>
          <w:color w:val="000000"/>
          <w:lang w:eastAsia="bg-BG"/>
        </w:rPr>
        <w:t xml:space="preserve">Привидният обем на разпределение е 4-8 </w:t>
      </w:r>
      <w:r w:rsidRPr="00C51411">
        <w:rPr>
          <w:rFonts w:eastAsia="Times New Roman" w:cs="Arial"/>
          <w:color w:val="000000"/>
          <w:lang w:val="en-US"/>
        </w:rPr>
        <w:t>1/kg.</w:t>
      </w:r>
    </w:p>
    <w:p w14:paraId="6A11B74F" w14:textId="78A65B8D" w:rsidR="00C51411" w:rsidRPr="00C51411" w:rsidRDefault="00C51411" w:rsidP="00C51411">
      <w:pPr>
        <w:spacing w:line="240" w:lineRule="auto"/>
        <w:rPr>
          <w:rFonts w:eastAsia="Times New Roman" w:cs="Arial"/>
          <w:color w:val="000000"/>
          <w:lang w:eastAsia="bg-BG"/>
        </w:rPr>
      </w:pPr>
      <w:r w:rsidRPr="00C51411">
        <w:rPr>
          <w:rFonts w:eastAsia="Times New Roman" w:cs="Arial"/>
          <w:color w:val="000000"/>
          <w:lang w:eastAsia="bg-BG"/>
        </w:rPr>
        <w:t>Циркулиращият хидрохлоротиазид е свързан със серумните протеини (40-70%), предимно със серумния албумин. Хидрохлоротиазид също така кумулира в еритроцитите приблизително 3 пъти повече, отколкото в плазмата.</w:t>
      </w:r>
    </w:p>
    <w:p w14:paraId="21132723" w14:textId="76D12761" w:rsidR="00C51411" w:rsidRPr="00C51411" w:rsidRDefault="00C51411" w:rsidP="00C51411">
      <w:pPr>
        <w:spacing w:line="240" w:lineRule="auto"/>
        <w:rPr>
          <w:rFonts w:eastAsia="Times New Roman" w:cs="Arial"/>
          <w:color w:val="000000"/>
          <w:lang w:eastAsia="bg-BG"/>
        </w:rPr>
      </w:pPr>
    </w:p>
    <w:p w14:paraId="1F4ECD8E" w14:textId="77777777" w:rsidR="00C51411" w:rsidRPr="00C51411" w:rsidRDefault="00C51411" w:rsidP="00C51411">
      <w:pPr>
        <w:spacing w:line="240" w:lineRule="auto"/>
        <w:rPr>
          <w:rFonts w:eastAsia="Times New Roman" w:cs="Arial"/>
          <w:sz w:val="28"/>
          <w:szCs w:val="28"/>
          <w:lang w:eastAsia="bg-BG"/>
        </w:rPr>
      </w:pPr>
      <w:r w:rsidRPr="00C51411">
        <w:rPr>
          <w:rFonts w:eastAsia="Times New Roman" w:cs="Arial"/>
          <w:i/>
          <w:iCs/>
          <w:color w:val="000000"/>
          <w:lang w:eastAsia="bg-BG"/>
        </w:rPr>
        <w:t>Елиминиране</w:t>
      </w:r>
    </w:p>
    <w:p w14:paraId="2D30738A" w14:textId="77777777" w:rsidR="00C51411" w:rsidRPr="00C51411" w:rsidRDefault="00C51411" w:rsidP="00C51411">
      <w:pPr>
        <w:spacing w:line="240" w:lineRule="auto"/>
        <w:rPr>
          <w:rFonts w:eastAsia="Times New Roman" w:cs="Arial"/>
          <w:sz w:val="28"/>
          <w:szCs w:val="28"/>
          <w:lang w:eastAsia="bg-BG"/>
        </w:rPr>
      </w:pPr>
      <w:r w:rsidRPr="00C51411">
        <w:rPr>
          <w:rFonts w:eastAsia="Times New Roman" w:cs="Arial"/>
          <w:color w:val="000000"/>
          <w:lang w:eastAsia="bg-BG"/>
        </w:rPr>
        <w:t>Хидрохлоротиазид се елиминира предимно като непроменено лекарствено вещество. Хидрохлоротиазид се елиминира от плазмата с елиминационен полуживот в терминалната елиминационна фаза средно 6 до 15 часа. Не се наблюдават промени в кинетиката на хидрохлоротиазид при многократно дозиране, а кумулирането е минимално, когато се прилага еднократно дневно. Повече от 95% от абсорбираната доза се екскретира като непроменено вещество в урината. Бъбречният клирънс се състои от пасивна филтрация и активна секреция в бъбречните тубули.</w:t>
      </w:r>
    </w:p>
    <w:p w14:paraId="7B024356" w14:textId="77777777" w:rsidR="00C51411" w:rsidRPr="00C51411" w:rsidRDefault="00C51411" w:rsidP="00C51411">
      <w:pPr>
        <w:spacing w:line="240" w:lineRule="auto"/>
        <w:rPr>
          <w:rFonts w:eastAsia="Times New Roman" w:cs="Arial"/>
          <w:color w:val="000000"/>
          <w:u w:val="single"/>
          <w:lang w:eastAsia="bg-BG"/>
        </w:rPr>
      </w:pPr>
    </w:p>
    <w:p w14:paraId="36CD3C64" w14:textId="5C13B48C" w:rsidR="00C51411" w:rsidRPr="00C51411" w:rsidRDefault="00C51411" w:rsidP="00C51411">
      <w:pPr>
        <w:pStyle w:val="Heading3"/>
        <w:rPr>
          <w:rFonts w:eastAsia="Times New Roman"/>
          <w:sz w:val="28"/>
          <w:szCs w:val="28"/>
          <w:u w:val="single"/>
          <w:lang w:eastAsia="bg-BG"/>
        </w:rPr>
      </w:pPr>
      <w:r w:rsidRPr="00C51411">
        <w:rPr>
          <w:rFonts w:eastAsia="Times New Roman"/>
          <w:u w:val="single"/>
          <w:lang w:eastAsia="bg-BG"/>
        </w:rPr>
        <w:t>Специални популации</w:t>
      </w:r>
    </w:p>
    <w:p w14:paraId="570C143B" w14:textId="77777777" w:rsidR="00C51411" w:rsidRPr="00C51411" w:rsidRDefault="00C51411" w:rsidP="00C51411">
      <w:pPr>
        <w:spacing w:line="240" w:lineRule="auto"/>
        <w:rPr>
          <w:rFonts w:eastAsia="Times New Roman" w:cs="Arial"/>
          <w:i/>
          <w:iCs/>
          <w:color w:val="000000"/>
          <w:lang w:eastAsia="bg-BG"/>
        </w:rPr>
      </w:pPr>
    </w:p>
    <w:p w14:paraId="7A929833" w14:textId="6D61ABE3" w:rsidR="00C51411" w:rsidRPr="00C51411" w:rsidRDefault="00C51411" w:rsidP="00C51411">
      <w:pPr>
        <w:spacing w:line="240" w:lineRule="auto"/>
        <w:rPr>
          <w:rFonts w:eastAsia="Times New Roman" w:cs="Arial"/>
          <w:sz w:val="28"/>
          <w:szCs w:val="28"/>
          <w:lang w:eastAsia="bg-BG"/>
        </w:rPr>
      </w:pPr>
      <w:r w:rsidRPr="00C51411">
        <w:rPr>
          <w:rFonts w:eastAsia="Times New Roman" w:cs="Arial"/>
          <w:i/>
          <w:iCs/>
          <w:color w:val="000000"/>
          <w:lang w:eastAsia="bg-BG"/>
        </w:rPr>
        <w:t>Старческа възраст</w:t>
      </w:r>
    </w:p>
    <w:p w14:paraId="64E5CE7E" w14:textId="20DE2A56" w:rsidR="00C51411" w:rsidRPr="00C51411" w:rsidRDefault="00C51411" w:rsidP="00C51411">
      <w:pPr>
        <w:spacing w:line="240" w:lineRule="auto"/>
        <w:rPr>
          <w:rFonts w:eastAsia="Times New Roman" w:cs="Arial"/>
          <w:sz w:val="28"/>
          <w:szCs w:val="28"/>
          <w:lang w:eastAsia="bg-BG"/>
        </w:rPr>
      </w:pPr>
      <w:r w:rsidRPr="00C51411">
        <w:rPr>
          <w:rFonts w:eastAsia="Times New Roman" w:cs="Arial"/>
          <w:color w:val="000000"/>
          <w:lang w:eastAsia="bg-BG"/>
        </w:rPr>
        <w:t>При някои пациенти в старческа възраст е наблюдавана по-голяма системна експозиция на валсартан, отколкото при по-млади пациенти; въпреки това, не е установено, че това има някакво клинично значение.</w:t>
      </w:r>
    </w:p>
    <w:p w14:paraId="5F2F9C40" w14:textId="77777777" w:rsidR="00C51411" w:rsidRPr="00C51411" w:rsidRDefault="00C51411" w:rsidP="00C51411">
      <w:pPr>
        <w:spacing w:line="240" w:lineRule="auto"/>
        <w:rPr>
          <w:rFonts w:eastAsia="Times New Roman" w:cs="Arial"/>
          <w:sz w:val="28"/>
          <w:szCs w:val="28"/>
          <w:lang w:eastAsia="bg-BG"/>
        </w:rPr>
      </w:pPr>
      <w:r w:rsidRPr="00C51411">
        <w:rPr>
          <w:rFonts w:eastAsia="Times New Roman" w:cs="Arial"/>
          <w:color w:val="000000"/>
          <w:lang w:eastAsia="bg-BG"/>
        </w:rPr>
        <w:t>Ограничените данни показват, че системният клирънс на хидрохлоротиазид е намален както при здрави пациенти, така и при пациенти с хипертония в старческа възраст, в сравнение с млади здрави доброволци.</w:t>
      </w:r>
    </w:p>
    <w:p w14:paraId="5BA07787" w14:textId="77777777" w:rsidR="00C51411" w:rsidRPr="00C51411" w:rsidRDefault="00C51411" w:rsidP="00C51411">
      <w:pPr>
        <w:spacing w:line="240" w:lineRule="auto"/>
        <w:rPr>
          <w:rFonts w:eastAsia="Times New Roman" w:cs="Arial"/>
          <w:i/>
          <w:iCs/>
          <w:color w:val="000000"/>
          <w:lang w:eastAsia="bg-BG"/>
        </w:rPr>
      </w:pPr>
    </w:p>
    <w:p w14:paraId="408A3358" w14:textId="05710383" w:rsidR="00C51411" w:rsidRPr="00C51411" w:rsidRDefault="00C51411" w:rsidP="00C51411">
      <w:pPr>
        <w:spacing w:line="240" w:lineRule="auto"/>
        <w:rPr>
          <w:rFonts w:eastAsia="Times New Roman" w:cs="Arial"/>
          <w:sz w:val="28"/>
          <w:szCs w:val="28"/>
          <w:lang w:eastAsia="bg-BG"/>
        </w:rPr>
      </w:pPr>
      <w:r w:rsidRPr="00C51411">
        <w:rPr>
          <w:rFonts w:eastAsia="Times New Roman" w:cs="Arial"/>
          <w:i/>
          <w:iCs/>
          <w:color w:val="000000"/>
          <w:lang w:eastAsia="bg-BG"/>
        </w:rPr>
        <w:t>Бъбречно увреждане</w:t>
      </w:r>
    </w:p>
    <w:p w14:paraId="10E0869F" w14:textId="77777777" w:rsidR="00C51411" w:rsidRPr="00C51411" w:rsidRDefault="00C51411" w:rsidP="00C51411">
      <w:pPr>
        <w:spacing w:line="240" w:lineRule="auto"/>
        <w:rPr>
          <w:rFonts w:eastAsia="Times New Roman" w:cs="Arial"/>
          <w:sz w:val="28"/>
          <w:szCs w:val="28"/>
          <w:lang w:eastAsia="bg-BG"/>
        </w:rPr>
      </w:pPr>
      <w:r w:rsidRPr="00C51411">
        <w:rPr>
          <w:rFonts w:eastAsia="Times New Roman" w:cs="Arial"/>
          <w:color w:val="000000"/>
          <w:lang w:eastAsia="bg-BG"/>
        </w:rPr>
        <w:t xml:space="preserve">При препоръчителна доза Валтензин Плюс не са необходими корекции на дозата при пациенти със скорост на гломерулна филтрация </w:t>
      </w:r>
      <w:r w:rsidRPr="00C51411">
        <w:rPr>
          <w:rFonts w:eastAsia="Times New Roman" w:cs="Arial"/>
          <w:color w:val="000000"/>
          <w:lang w:val="en-US"/>
        </w:rPr>
        <w:t xml:space="preserve">(GFR) </w:t>
      </w:r>
      <w:r w:rsidRPr="00C51411">
        <w:rPr>
          <w:rFonts w:eastAsia="Times New Roman" w:cs="Arial"/>
          <w:color w:val="000000"/>
          <w:lang w:eastAsia="bg-BG"/>
        </w:rPr>
        <w:t xml:space="preserve">30-70 </w:t>
      </w:r>
      <w:r w:rsidRPr="00C51411">
        <w:rPr>
          <w:rFonts w:eastAsia="Times New Roman" w:cs="Arial"/>
          <w:color w:val="000000"/>
          <w:lang w:val="en-US"/>
        </w:rPr>
        <w:t>ml/min.</w:t>
      </w:r>
    </w:p>
    <w:p w14:paraId="12881709" w14:textId="77777777" w:rsidR="00C51411" w:rsidRPr="00C51411" w:rsidRDefault="00C51411" w:rsidP="00C51411">
      <w:pPr>
        <w:spacing w:line="240" w:lineRule="auto"/>
        <w:rPr>
          <w:rFonts w:eastAsia="Times New Roman" w:cs="Arial"/>
          <w:color w:val="000000"/>
          <w:lang w:eastAsia="bg-BG"/>
        </w:rPr>
      </w:pPr>
    </w:p>
    <w:p w14:paraId="10993876" w14:textId="4B5B8EF4" w:rsidR="00C51411" w:rsidRPr="00C51411" w:rsidRDefault="00C51411" w:rsidP="00C51411">
      <w:pPr>
        <w:spacing w:line="240" w:lineRule="auto"/>
        <w:rPr>
          <w:rFonts w:eastAsia="Times New Roman" w:cs="Arial"/>
          <w:sz w:val="28"/>
          <w:szCs w:val="28"/>
          <w:lang w:eastAsia="bg-BG"/>
        </w:rPr>
      </w:pPr>
      <w:r w:rsidRPr="00C51411">
        <w:rPr>
          <w:rFonts w:eastAsia="Times New Roman" w:cs="Arial"/>
          <w:color w:val="000000"/>
          <w:lang w:eastAsia="bg-BG"/>
        </w:rPr>
        <w:t xml:space="preserve">Няма данни за Валтензин Плюс при пациенти с тежко бъбречно увреждане </w:t>
      </w:r>
      <w:r w:rsidRPr="00C51411">
        <w:rPr>
          <w:rFonts w:eastAsia="Times New Roman" w:cs="Arial"/>
          <w:color w:val="000000"/>
          <w:lang w:val="en-US"/>
        </w:rPr>
        <w:t xml:space="preserve">(GFR </w:t>
      </w:r>
      <w:r w:rsidRPr="00C51411">
        <w:rPr>
          <w:rFonts w:eastAsia="Times New Roman" w:cs="Arial"/>
          <w:color w:val="000000"/>
          <w:lang w:eastAsia="bg-BG"/>
        </w:rPr>
        <w:t xml:space="preserve">&lt;30 </w:t>
      </w:r>
      <w:r w:rsidRPr="00C51411">
        <w:rPr>
          <w:rFonts w:eastAsia="Times New Roman" w:cs="Arial"/>
          <w:color w:val="000000"/>
          <w:lang w:val="en-US"/>
        </w:rPr>
        <w:t xml:space="preserve">ml/min) </w:t>
      </w:r>
      <w:r w:rsidRPr="00C51411">
        <w:rPr>
          <w:rFonts w:eastAsia="Times New Roman" w:cs="Arial"/>
          <w:color w:val="000000"/>
          <w:lang w:eastAsia="bg-BG"/>
        </w:rPr>
        <w:t xml:space="preserve">и пациенти на хемодиализа. Валсартан е свързан в голяма степен с плазмените </w:t>
      </w:r>
      <w:r w:rsidRPr="00C51411">
        <w:rPr>
          <w:rFonts w:eastAsia="Times New Roman" w:cs="Arial"/>
          <w:color w:val="000000"/>
          <w:lang w:eastAsia="bg-BG"/>
        </w:rPr>
        <w:lastRenderedPageBreak/>
        <w:t>протеини и не се отстранява при диализа, докато очистването на хидрохлоротиазид се постига чрез диализа.</w:t>
      </w:r>
    </w:p>
    <w:p w14:paraId="36873D8A" w14:textId="77777777" w:rsidR="00C51411" w:rsidRPr="00C51411" w:rsidRDefault="00C51411" w:rsidP="00C51411">
      <w:pPr>
        <w:spacing w:line="240" w:lineRule="auto"/>
        <w:rPr>
          <w:rFonts w:eastAsia="Times New Roman" w:cs="Arial"/>
          <w:color w:val="000000"/>
          <w:lang w:eastAsia="bg-BG"/>
        </w:rPr>
      </w:pPr>
    </w:p>
    <w:p w14:paraId="198B6A30" w14:textId="77777777" w:rsidR="00C51411" w:rsidRPr="00C51411" w:rsidRDefault="00C51411" w:rsidP="00C51411">
      <w:pPr>
        <w:spacing w:line="240" w:lineRule="auto"/>
        <w:rPr>
          <w:rFonts w:eastAsia="Times New Roman" w:cs="Arial"/>
          <w:color w:val="000000"/>
          <w:lang w:eastAsia="bg-BG"/>
        </w:rPr>
      </w:pPr>
      <w:r w:rsidRPr="00C51411">
        <w:rPr>
          <w:rFonts w:eastAsia="Times New Roman" w:cs="Arial"/>
          <w:color w:val="000000"/>
          <w:lang w:eastAsia="bg-BG"/>
        </w:rPr>
        <w:t xml:space="preserve">При бъбречни нарушения средните максимални плазмени концентрации и стойностите на </w:t>
      </w:r>
      <w:r w:rsidRPr="00C51411">
        <w:rPr>
          <w:rFonts w:eastAsia="Times New Roman" w:cs="Arial"/>
          <w:color w:val="000000"/>
          <w:lang w:val="en-US"/>
        </w:rPr>
        <w:t xml:space="preserve">AUC </w:t>
      </w:r>
      <w:r w:rsidRPr="00C51411">
        <w:rPr>
          <w:rFonts w:eastAsia="Times New Roman" w:cs="Arial"/>
          <w:color w:val="000000"/>
          <w:lang w:eastAsia="bg-BG"/>
        </w:rPr>
        <w:t xml:space="preserve">на хидрохлоротиазид се повишават и скоростта на екскрецията чрез урината се понижава. При пациенти с леки до умерени бъбречни нарушения </w:t>
      </w:r>
      <w:r w:rsidRPr="00C51411">
        <w:rPr>
          <w:rFonts w:eastAsia="Times New Roman" w:cs="Arial"/>
          <w:color w:val="000000"/>
          <w:lang w:val="en-US"/>
        </w:rPr>
        <w:t xml:space="preserve">AUC </w:t>
      </w:r>
      <w:r w:rsidRPr="00C51411">
        <w:rPr>
          <w:rFonts w:eastAsia="Times New Roman" w:cs="Arial"/>
          <w:color w:val="000000"/>
          <w:lang w:eastAsia="bg-BG"/>
        </w:rPr>
        <w:t xml:space="preserve">на хидрохлоротиазид се повишава 3- кратно. При пациенти с тежко бъбречно увреждане се наблюдава повишаване на стойностите на </w:t>
      </w:r>
      <w:r w:rsidRPr="00C51411">
        <w:rPr>
          <w:rFonts w:eastAsia="Times New Roman" w:cs="Arial"/>
          <w:color w:val="000000"/>
          <w:lang w:val="en-US"/>
        </w:rPr>
        <w:t xml:space="preserve">AUC </w:t>
      </w:r>
      <w:r w:rsidRPr="00C51411">
        <w:rPr>
          <w:rFonts w:eastAsia="Times New Roman" w:cs="Arial"/>
          <w:color w:val="000000"/>
          <w:lang w:eastAsia="bg-BG"/>
        </w:rPr>
        <w:t xml:space="preserve">на хидрохлоротиазид 8 пъти. </w:t>
      </w:r>
    </w:p>
    <w:p w14:paraId="6117D145" w14:textId="147565B8" w:rsidR="00C51411" w:rsidRPr="00C51411" w:rsidRDefault="00C51411" w:rsidP="00C51411">
      <w:pPr>
        <w:spacing w:line="240" w:lineRule="auto"/>
        <w:rPr>
          <w:rFonts w:eastAsia="Times New Roman" w:cs="Arial"/>
          <w:sz w:val="28"/>
          <w:szCs w:val="28"/>
          <w:lang w:eastAsia="bg-BG"/>
        </w:rPr>
      </w:pPr>
      <w:r w:rsidRPr="00C51411">
        <w:rPr>
          <w:rFonts w:eastAsia="Times New Roman" w:cs="Arial"/>
          <w:color w:val="000000"/>
          <w:lang w:eastAsia="bg-BG"/>
        </w:rPr>
        <w:t>Хидрохлоротиазид е противопоказан за употреба при пациети с тежко бъбречно увреждане (вж. точка 4.3).</w:t>
      </w:r>
    </w:p>
    <w:p w14:paraId="14563C7F" w14:textId="77777777" w:rsidR="00C51411" w:rsidRPr="00C51411" w:rsidRDefault="00C51411" w:rsidP="00C51411">
      <w:pPr>
        <w:spacing w:line="240" w:lineRule="auto"/>
        <w:rPr>
          <w:rFonts w:eastAsia="Times New Roman" w:cs="Arial"/>
          <w:i/>
          <w:iCs/>
          <w:color w:val="000000"/>
          <w:lang w:eastAsia="bg-BG"/>
        </w:rPr>
      </w:pPr>
    </w:p>
    <w:p w14:paraId="69C42C11" w14:textId="36166610" w:rsidR="00C51411" w:rsidRPr="00C51411" w:rsidRDefault="00C51411" w:rsidP="00C51411">
      <w:pPr>
        <w:spacing w:line="240" w:lineRule="auto"/>
        <w:rPr>
          <w:rFonts w:eastAsia="Times New Roman" w:cs="Arial"/>
          <w:sz w:val="28"/>
          <w:szCs w:val="28"/>
          <w:lang w:eastAsia="bg-BG"/>
        </w:rPr>
      </w:pPr>
      <w:r w:rsidRPr="00C51411">
        <w:rPr>
          <w:rFonts w:eastAsia="Times New Roman" w:cs="Arial"/>
          <w:i/>
          <w:iCs/>
          <w:color w:val="000000"/>
          <w:lang w:eastAsia="bg-BG"/>
        </w:rPr>
        <w:t>Чернодробно увреждане</w:t>
      </w:r>
    </w:p>
    <w:p w14:paraId="6CF87D5D" w14:textId="0AF80B01" w:rsidR="00C51411" w:rsidRPr="00C51411" w:rsidRDefault="00C51411" w:rsidP="00C51411">
      <w:pPr>
        <w:spacing w:line="240" w:lineRule="auto"/>
        <w:rPr>
          <w:rFonts w:eastAsia="Times New Roman" w:cs="Arial"/>
          <w:sz w:val="28"/>
          <w:szCs w:val="28"/>
          <w:lang w:eastAsia="bg-BG"/>
        </w:rPr>
      </w:pPr>
      <w:r w:rsidRPr="00C51411">
        <w:rPr>
          <w:rFonts w:eastAsia="Times New Roman" w:cs="Arial"/>
          <w:color w:val="000000"/>
          <w:lang w:eastAsia="bg-BG"/>
        </w:rPr>
        <w:t>Във фармакокинетично изпитване при пациенти с лека (</w:t>
      </w:r>
      <w:r w:rsidRPr="00C51411">
        <w:rPr>
          <w:rFonts w:eastAsia="Times New Roman" w:cs="Arial"/>
          <w:color w:val="000000"/>
          <w:lang w:val="en-US"/>
        </w:rPr>
        <w:t>n=</w:t>
      </w:r>
      <w:r w:rsidRPr="00C51411">
        <w:rPr>
          <w:rFonts w:eastAsia="Times New Roman" w:cs="Arial"/>
          <w:color w:val="000000"/>
          <w:lang w:eastAsia="bg-BG"/>
        </w:rPr>
        <w:t>6) до умерена (</w:t>
      </w:r>
      <w:r w:rsidRPr="00C51411">
        <w:rPr>
          <w:rFonts w:eastAsia="Times New Roman" w:cs="Arial"/>
          <w:color w:val="000000"/>
          <w:lang w:val="en-US"/>
        </w:rPr>
        <w:t>n</w:t>
      </w:r>
      <w:r w:rsidRPr="00C51411">
        <w:rPr>
          <w:rFonts w:eastAsia="Times New Roman" w:cs="Arial"/>
          <w:color w:val="000000"/>
          <w:lang w:eastAsia="bg-BG"/>
        </w:rPr>
        <w:t>=5) чернодробна дисфункция, експозицията на валсартан се повишава приблизително два пъти спрямо здрави доброволци (вж. точки 4.2 и 4.4).</w:t>
      </w:r>
      <w:r w:rsidRPr="00C51411">
        <w:rPr>
          <w:rFonts w:eastAsia="Times New Roman" w:cs="Arial"/>
          <w:sz w:val="28"/>
          <w:szCs w:val="28"/>
          <w:lang w:val="en-US" w:eastAsia="bg-BG"/>
        </w:rPr>
        <w:t xml:space="preserve"> </w:t>
      </w:r>
      <w:r w:rsidRPr="00C51411">
        <w:rPr>
          <w:rFonts w:eastAsia="Times New Roman" w:cs="Arial"/>
          <w:color w:val="000000"/>
          <w:lang w:eastAsia="bg-BG"/>
        </w:rPr>
        <w:t>Липсват данни за употребата на валсартан при пациенти с тежка чернодробна дисфункция (вж. точка 4.3). Чернодробните заболявания не повлияват значимо фармакокинетиката на хидрохлоротиазид.</w:t>
      </w:r>
    </w:p>
    <w:p w14:paraId="7648CA8F" w14:textId="77777777" w:rsidR="00C51411" w:rsidRPr="00C51411" w:rsidRDefault="00C51411" w:rsidP="00C51411"/>
    <w:p w14:paraId="0CC65FE3" w14:textId="6B063A9A" w:rsidR="00EE6C97" w:rsidRDefault="002C50EE" w:rsidP="00A93499">
      <w:pPr>
        <w:pStyle w:val="Heading2"/>
      </w:pPr>
      <w:r>
        <w:t>5.3. Предклинични данни за безопасност</w:t>
      </w:r>
    </w:p>
    <w:p w14:paraId="6903192F" w14:textId="36EA0800" w:rsidR="00C51411" w:rsidRDefault="00C51411" w:rsidP="00C51411"/>
    <w:p w14:paraId="7F74C3BD" w14:textId="77777777" w:rsidR="00C51411" w:rsidRPr="00C51411" w:rsidRDefault="00C51411" w:rsidP="00C51411">
      <w:pPr>
        <w:spacing w:line="240" w:lineRule="auto"/>
        <w:rPr>
          <w:rFonts w:eastAsia="Times New Roman" w:cs="Arial"/>
          <w:sz w:val="28"/>
          <w:szCs w:val="28"/>
          <w:lang w:eastAsia="bg-BG"/>
        </w:rPr>
      </w:pPr>
      <w:r w:rsidRPr="00C51411">
        <w:rPr>
          <w:rFonts w:eastAsia="Times New Roman" w:cs="Arial"/>
          <w:color w:val="000000"/>
          <w:lang w:eastAsia="bg-BG"/>
        </w:rPr>
        <w:t>Потенциалната токсичност на комбинацията валсартан-хидрохлоротиазид след перорално приложение е проучена при плъхове и мармозетки в проучвания, продължаващи до шест месеца. Не са установени данни, които биха могли да изключат приложението на терапевтични дози при хора.</w:t>
      </w:r>
    </w:p>
    <w:p w14:paraId="595AB5F7" w14:textId="77777777" w:rsidR="00C51411" w:rsidRPr="00683493" w:rsidRDefault="00C51411" w:rsidP="00C51411">
      <w:pPr>
        <w:spacing w:line="240" w:lineRule="auto"/>
        <w:rPr>
          <w:rFonts w:eastAsia="Times New Roman" w:cs="Arial"/>
          <w:color w:val="000000"/>
          <w:lang w:eastAsia="bg-BG"/>
        </w:rPr>
      </w:pPr>
    </w:p>
    <w:p w14:paraId="357BD6EB" w14:textId="77777777" w:rsidR="00C51411" w:rsidRPr="00683493" w:rsidRDefault="00C51411" w:rsidP="00C51411">
      <w:pPr>
        <w:rPr>
          <w:rFonts w:eastAsia="Times New Roman" w:cs="Arial"/>
          <w:sz w:val="28"/>
          <w:szCs w:val="28"/>
          <w:lang w:eastAsia="bg-BG"/>
        </w:rPr>
      </w:pPr>
      <w:r w:rsidRPr="00C51411">
        <w:rPr>
          <w:rFonts w:eastAsia="Times New Roman" w:cs="Arial"/>
          <w:color w:val="000000"/>
          <w:lang w:eastAsia="bg-BG"/>
        </w:rPr>
        <w:t xml:space="preserve">Измененията, причинени от комбинацията в изпитванията за хроничната токсичност е по- вероятно да са предизвикани от валсартан. Токсикологичният прицелен орган е бъбрекъ, като реакцията е по-изразена при мармозетки, отколкото при плъхове. Комбинацията води до бъбречно увреждане (нефропатия с тубулна базофилия, покачване на серумната урея, серумния креатинин и серумния калий, увеличаване обема на урината и електролитите от 30 </w:t>
      </w:r>
      <w:r w:rsidRPr="00C51411">
        <w:rPr>
          <w:rFonts w:eastAsia="Times New Roman" w:cs="Arial"/>
          <w:color w:val="000000"/>
          <w:lang w:val="en-US"/>
        </w:rPr>
        <w:t>mg/kg/</w:t>
      </w:r>
      <w:r w:rsidRPr="00C51411">
        <w:rPr>
          <w:rFonts w:eastAsia="Times New Roman" w:cs="Arial"/>
          <w:color w:val="000000"/>
          <w:lang w:eastAsia="bg-BG"/>
        </w:rPr>
        <w:t xml:space="preserve">ден валсартан + 9 </w:t>
      </w:r>
      <w:r w:rsidRPr="00C51411">
        <w:rPr>
          <w:rFonts w:eastAsia="Times New Roman" w:cs="Arial"/>
          <w:color w:val="000000"/>
          <w:lang w:val="en-US"/>
        </w:rPr>
        <w:t>mg/kg</w:t>
      </w:r>
      <w:r w:rsidRPr="00C51411">
        <w:rPr>
          <w:rFonts w:eastAsia="Times New Roman" w:cs="Arial"/>
          <w:color w:val="000000"/>
          <w:lang w:eastAsia="bg-BG"/>
        </w:rPr>
        <w:t xml:space="preserve">/ден хидрохлоротиазид при плъхове и 10 + 3 </w:t>
      </w:r>
      <w:r w:rsidRPr="00C51411">
        <w:rPr>
          <w:rFonts w:eastAsia="Times New Roman" w:cs="Arial"/>
          <w:color w:val="000000"/>
          <w:lang w:val="en-US"/>
        </w:rPr>
        <w:t>mg/kg</w:t>
      </w:r>
      <w:r w:rsidRPr="00C51411">
        <w:rPr>
          <w:rFonts w:eastAsia="Times New Roman" w:cs="Arial"/>
          <w:color w:val="000000"/>
          <w:lang w:eastAsia="bg-BG"/>
        </w:rPr>
        <w:t>/ден при мармозетки),</w:t>
      </w:r>
      <w:r w:rsidRPr="00683493">
        <w:rPr>
          <w:rFonts w:eastAsia="Times New Roman" w:cs="Arial"/>
          <w:sz w:val="28"/>
          <w:szCs w:val="28"/>
          <w:lang w:val="en-US" w:eastAsia="bg-BG"/>
        </w:rPr>
        <w:t xml:space="preserve"> </w:t>
      </w:r>
      <w:r w:rsidRPr="00C51411">
        <w:rPr>
          <w:rFonts w:eastAsia="Times New Roman" w:cs="Arial"/>
          <w:color w:val="000000"/>
          <w:lang w:eastAsia="bg-BG"/>
        </w:rPr>
        <w:t>вероятно чрез променена бъбречна хемодинамика. Тези дози при плъхове, съответно</w:t>
      </w:r>
      <w:r w:rsidRPr="00683493">
        <w:rPr>
          <w:rFonts w:eastAsia="Times New Roman" w:cs="Arial"/>
          <w:sz w:val="28"/>
          <w:szCs w:val="28"/>
          <w:lang w:val="en-US" w:eastAsia="bg-BG"/>
        </w:rPr>
        <w:t xml:space="preserve"> </w:t>
      </w:r>
      <w:r w:rsidRPr="00683493">
        <w:rPr>
          <w:rFonts w:eastAsia="Times New Roman" w:cs="Arial"/>
          <w:color w:val="000000"/>
          <w:lang w:eastAsia="bg-BG"/>
        </w:rPr>
        <w:t>представляват 0,9 и 3,5-пъти максималната препоръчителна доза при хора на валсартан и</w:t>
      </w:r>
      <w:r w:rsidRPr="00683493">
        <w:rPr>
          <w:rFonts w:eastAsia="Times New Roman" w:cs="Arial"/>
          <w:color w:val="000000"/>
          <w:lang w:val="en-US" w:eastAsia="bg-BG"/>
        </w:rPr>
        <w:t xml:space="preserve"> </w:t>
      </w:r>
      <w:r w:rsidRPr="00683493">
        <w:rPr>
          <w:rFonts w:eastAsia="Times New Roman" w:cs="Arial"/>
          <w:color w:val="000000"/>
          <w:lang w:eastAsia="bg-BG"/>
        </w:rPr>
        <w:t xml:space="preserve">хидрохлоротиазид, изчислени на база </w:t>
      </w:r>
      <w:r w:rsidRPr="00683493">
        <w:rPr>
          <w:rFonts w:eastAsia="Times New Roman" w:cs="Arial"/>
          <w:color w:val="000000"/>
          <w:lang w:val="en-US"/>
        </w:rPr>
        <w:t>mg/m</w:t>
      </w:r>
      <w:r w:rsidRPr="00683493">
        <w:rPr>
          <w:rFonts w:eastAsia="Times New Roman" w:cs="Arial"/>
          <w:color w:val="000000"/>
          <w:vertAlign w:val="superscript"/>
          <w:lang w:val="en-US"/>
        </w:rPr>
        <w:t>2</w:t>
      </w:r>
      <w:r w:rsidRPr="00683493">
        <w:rPr>
          <w:rFonts w:eastAsia="Times New Roman" w:cs="Arial"/>
          <w:color w:val="000000"/>
          <w:lang w:val="en-US"/>
        </w:rPr>
        <w:t xml:space="preserve">. </w:t>
      </w:r>
      <w:r w:rsidRPr="00683493">
        <w:rPr>
          <w:rFonts w:eastAsia="Times New Roman" w:cs="Arial"/>
          <w:color w:val="000000"/>
          <w:lang w:eastAsia="bg-BG"/>
        </w:rPr>
        <w:t xml:space="preserve">Тези дози при мармозетки, съответно, представляват 0,3 и 1,2-пъти максималната препоръчителна доза при хора на валсартан и хидрохлоротиазид въз основа на </w:t>
      </w:r>
      <w:r w:rsidRPr="00683493">
        <w:rPr>
          <w:rFonts w:eastAsia="Times New Roman" w:cs="Arial"/>
          <w:color w:val="000000"/>
          <w:lang w:val="en-US"/>
        </w:rPr>
        <w:t>mg/m</w:t>
      </w:r>
      <w:r w:rsidRPr="00683493">
        <w:rPr>
          <w:rFonts w:eastAsia="Times New Roman" w:cs="Arial"/>
          <w:color w:val="000000"/>
          <w:vertAlign w:val="superscript"/>
          <w:lang w:val="en-US"/>
        </w:rPr>
        <w:t>2</w:t>
      </w:r>
      <w:r w:rsidRPr="00683493">
        <w:rPr>
          <w:rFonts w:eastAsia="Times New Roman" w:cs="Arial"/>
          <w:color w:val="000000"/>
          <w:lang w:val="en-US"/>
        </w:rPr>
        <w:t xml:space="preserve">. </w:t>
      </w:r>
      <w:r w:rsidRPr="00683493">
        <w:rPr>
          <w:rFonts w:eastAsia="Times New Roman" w:cs="Arial"/>
          <w:color w:val="000000"/>
          <w:lang w:eastAsia="bg-BG"/>
        </w:rPr>
        <w:t xml:space="preserve">(Изчисленията се отнасят за перорална доза от 320 </w:t>
      </w:r>
      <w:r w:rsidRPr="00683493">
        <w:rPr>
          <w:rFonts w:eastAsia="Times New Roman" w:cs="Arial"/>
          <w:color w:val="000000"/>
          <w:lang w:val="en-US"/>
        </w:rPr>
        <w:t>mg</w:t>
      </w:r>
      <w:r w:rsidRPr="00683493">
        <w:rPr>
          <w:rFonts w:eastAsia="Times New Roman" w:cs="Arial"/>
          <w:color w:val="000000"/>
          <w:lang w:eastAsia="bg-BG"/>
        </w:rPr>
        <w:t xml:space="preserve">/ден валсартан в комбинация с 25 </w:t>
      </w:r>
      <w:r w:rsidRPr="00683493">
        <w:rPr>
          <w:rFonts w:eastAsia="Times New Roman" w:cs="Arial"/>
          <w:color w:val="000000"/>
          <w:lang w:val="en-US"/>
        </w:rPr>
        <w:t>mg</w:t>
      </w:r>
      <w:r w:rsidRPr="00683493">
        <w:rPr>
          <w:rFonts w:eastAsia="Times New Roman" w:cs="Arial"/>
          <w:color w:val="000000"/>
          <w:lang w:eastAsia="bg-BG"/>
        </w:rPr>
        <w:t xml:space="preserve">/ден хидрохлоротиазид и пациент с тегло 60 </w:t>
      </w:r>
      <w:r w:rsidRPr="00683493">
        <w:rPr>
          <w:rFonts w:eastAsia="Times New Roman" w:cs="Arial"/>
          <w:color w:val="000000"/>
          <w:lang w:val="en-US"/>
        </w:rPr>
        <w:t>kg.)</w:t>
      </w:r>
    </w:p>
    <w:p w14:paraId="7803C9B0" w14:textId="77777777" w:rsidR="00C51411" w:rsidRPr="00683493" w:rsidRDefault="00C51411" w:rsidP="00C51411">
      <w:pPr>
        <w:spacing w:line="240" w:lineRule="auto"/>
        <w:rPr>
          <w:rFonts w:eastAsia="Times New Roman" w:cs="Arial"/>
          <w:color w:val="000000"/>
          <w:lang w:eastAsia="bg-BG"/>
        </w:rPr>
      </w:pPr>
    </w:p>
    <w:p w14:paraId="6AF0C578" w14:textId="38678FC8" w:rsidR="00C51411" w:rsidRPr="00C51411" w:rsidRDefault="00C51411" w:rsidP="00C51411">
      <w:pPr>
        <w:spacing w:line="240" w:lineRule="auto"/>
        <w:rPr>
          <w:rFonts w:eastAsia="Times New Roman" w:cs="Arial"/>
          <w:sz w:val="28"/>
          <w:szCs w:val="28"/>
          <w:lang w:eastAsia="bg-BG"/>
        </w:rPr>
      </w:pPr>
      <w:r w:rsidRPr="00C51411">
        <w:rPr>
          <w:rFonts w:eastAsia="Times New Roman" w:cs="Arial"/>
          <w:color w:val="000000"/>
          <w:lang w:eastAsia="bg-BG"/>
        </w:rPr>
        <w:t xml:space="preserve">Високи дози от комбинацията валсартан-хидрохлоротиазид предизвикват спад в индексите на еритроцитите (еритроцити, хемоглобин, хематокрит, от 100 + 31 </w:t>
      </w:r>
      <w:r w:rsidRPr="00C51411">
        <w:rPr>
          <w:rFonts w:eastAsia="Times New Roman" w:cs="Arial"/>
          <w:color w:val="000000"/>
          <w:lang w:val="en-US"/>
        </w:rPr>
        <w:t>mg/kg</w:t>
      </w:r>
      <w:r w:rsidRPr="00C51411">
        <w:rPr>
          <w:rFonts w:eastAsia="Times New Roman" w:cs="Arial"/>
          <w:color w:val="000000"/>
          <w:lang w:eastAsia="bg-BG"/>
        </w:rPr>
        <w:t xml:space="preserve">/ден при плъхове и 30 + 9 </w:t>
      </w:r>
      <w:r w:rsidRPr="00C51411">
        <w:rPr>
          <w:rFonts w:eastAsia="Times New Roman" w:cs="Arial"/>
          <w:color w:val="000000"/>
          <w:lang w:val="en-US"/>
        </w:rPr>
        <w:t>mg/kg</w:t>
      </w:r>
      <w:r w:rsidRPr="00C51411">
        <w:rPr>
          <w:rFonts w:eastAsia="Times New Roman" w:cs="Arial"/>
          <w:color w:val="000000"/>
          <w:lang w:eastAsia="bg-BG"/>
        </w:rPr>
        <w:t xml:space="preserve">/ден при мармозетки). При плъхове тези дози съответстват на 3,0 и 12 пъти максималната препоръчителна доза при хора на валсартан и хидрохлоротиазид, изчислени на база </w:t>
      </w:r>
      <w:r w:rsidRPr="00C51411">
        <w:rPr>
          <w:rFonts w:eastAsia="Times New Roman" w:cs="Arial"/>
          <w:color w:val="000000"/>
          <w:lang w:val="en-US"/>
        </w:rPr>
        <w:t>mg/m</w:t>
      </w:r>
      <w:r w:rsidRPr="00C51411">
        <w:rPr>
          <w:rFonts w:eastAsia="Times New Roman" w:cs="Arial"/>
          <w:color w:val="000000"/>
          <w:vertAlign w:val="superscript"/>
          <w:lang w:val="en-US"/>
        </w:rPr>
        <w:t>2</w:t>
      </w:r>
      <w:r w:rsidRPr="00C51411">
        <w:rPr>
          <w:rFonts w:eastAsia="Times New Roman" w:cs="Arial"/>
          <w:color w:val="000000"/>
          <w:lang w:val="en-US"/>
        </w:rPr>
        <w:t xml:space="preserve">. </w:t>
      </w:r>
      <w:r w:rsidRPr="00C51411">
        <w:rPr>
          <w:rFonts w:eastAsia="Times New Roman" w:cs="Arial"/>
          <w:color w:val="000000"/>
          <w:lang w:eastAsia="bg-BG"/>
        </w:rPr>
        <w:t xml:space="preserve">При мармозетки тези дози съответстват на 0,9 и 3,5 пъти максималната препоръчителна доза при хора на валсартан и хидрохлоротиазид, изчислени на база </w:t>
      </w:r>
      <w:r w:rsidRPr="00C51411">
        <w:rPr>
          <w:rFonts w:eastAsia="Times New Roman" w:cs="Arial"/>
          <w:color w:val="000000"/>
          <w:lang w:val="en-US"/>
        </w:rPr>
        <w:t>mg/m</w:t>
      </w:r>
      <w:r w:rsidRPr="00C51411">
        <w:rPr>
          <w:rFonts w:eastAsia="Times New Roman" w:cs="Arial"/>
          <w:color w:val="000000"/>
          <w:vertAlign w:val="superscript"/>
          <w:lang w:val="en-US"/>
        </w:rPr>
        <w:t>2</w:t>
      </w:r>
      <w:r w:rsidRPr="00C51411">
        <w:rPr>
          <w:rFonts w:eastAsia="Times New Roman" w:cs="Arial"/>
          <w:color w:val="000000"/>
          <w:lang w:val="en-US"/>
        </w:rPr>
        <w:t xml:space="preserve">. </w:t>
      </w:r>
      <w:r w:rsidRPr="00C51411">
        <w:rPr>
          <w:rFonts w:eastAsia="Times New Roman" w:cs="Arial"/>
          <w:color w:val="000000"/>
          <w:lang w:eastAsia="bg-BG"/>
        </w:rPr>
        <w:t xml:space="preserve">(Изчисленията се отнасят за перорална доза от 320 </w:t>
      </w:r>
      <w:r w:rsidRPr="00C51411">
        <w:rPr>
          <w:rFonts w:eastAsia="Times New Roman" w:cs="Arial"/>
          <w:color w:val="000000"/>
          <w:lang w:val="en-US"/>
        </w:rPr>
        <w:t>mg</w:t>
      </w:r>
      <w:r w:rsidRPr="00C51411">
        <w:rPr>
          <w:rFonts w:eastAsia="Times New Roman" w:cs="Arial"/>
          <w:color w:val="000000"/>
          <w:lang w:eastAsia="bg-BG"/>
        </w:rPr>
        <w:t xml:space="preserve">/ден валсартан в комбинация с 25 </w:t>
      </w:r>
      <w:r w:rsidRPr="00C51411">
        <w:rPr>
          <w:rFonts w:eastAsia="Times New Roman" w:cs="Arial"/>
          <w:color w:val="000000"/>
          <w:lang w:val="en-US"/>
        </w:rPr>
        <w:t>mg</w:t>
      </w:r>
      <w:r w:rsidRPr="00C51411">
        <w:rPr>
          <w:rFonts w:eastAsia="Times New Roman" w:cs="Arial"/>
          <w:color w:val="000000"/>
          <w:lang w:eastAsia="bg-BG"/>
        </w:rPr>
        <w:t xml:space="preserve">/ден хидрохлоротиазид и пациент с тегло 60 </w:t>
      </w:r>
      <w:r w:rsidRPr="00C51411">
        <w:rPr>
          <w:rFonts w:eastAsia="Times New Roman" w:cs="Arial"/>
          <w:color w:val="000000"/>
          <w:lang w:val="en-US"/>
        </w:rPr>
        <w:t>kg.).</w:t>
      </w:r>
    </w:p>
    <w:p w14:paraId="4DC18A9D" w14:textId="77777777" w:rsidR="00C51411" w:rsidRPr="00683493" w:rsidRDefault="00C51411" w:rsidP="00C51411">
      <w:pPr>
        <w:spacing w:line="240" w:lineRule="auto"/>
        <w:rPr>
          <w:rFonts w:eastAsia="Times New Roman" w:cs="Arial"/>
          <w:color w:val="000000"/>
          <w:lang w:eastAsia="bg-BG"/>
        </w:rPr>
      </w:pPr>
    </w:p>
    <w:p w14:paraId="31D46D1A" w14:textId="445D6391" w:rsidR="00C51411" w:rsidRPr="00C51411" w:rsidRDefault="00C51411" w:rsidP="00C51411">
      <w:pPr>
        <w:spacing w:line="240" w:lineRule="auto"/>
        <w:rPr>
          <w:rFonts w:eastAsia="Times New Roman" w:cs="Arial"/>
          <w:sz w:val="28"/>
          <w:szCs w:val="28"/>
          <w:lang w:eastAsia="bg-BG"/>
        </w:rPr>
      </w:pPr>
      <w:r w:rsidRPr="00C51411">
        <w:rPr>
          <w:rFonts w:eastAsia="Times New Roman" w:cs="Arial"/>
          <w:color w:val="000000"/>
          <w:lang w:eastAsia="bg-BG"/>
        </w:rPr>
        <w:lastRenderedPageBreak/>
        <w:t xml:space="preserve">При мармозетки, е наблюдавано увреждане на стомашната лигавица (от 30 + 9 </w:t>
      </w:r>
      <w:r w:rsidRPr="00C51411">
        <w:rPr>
          <w:rFonts w:eastAsia="Times New Roman" w:cs="Arial"/>
          <w:color w:val="000000"/>
          <w:lang w:val="en-US"/>
        </w:rPr>
        <w:t>mg/kg</w:t>
      </w:r>
      <w:r w:rsidRPr="00C51411">
        <w:rPr>
          <w:rFonts w:eastAsia="Times New Roman" w:cs="Arial"/>
          <w:color w:val="000000"/>
          <w:lang w:eastAsia="bg-BG"/>
        </w:rPr>
        <w:t xml:space="preserve">/ден). Комбинацията също е довела до хиперплазия на аферентните артериоли в бъбреците (при 600 + 188 </w:t>
      </w:r>
      <w:r w:rsidRPr="00C51411">
        <w:rPr>
          <w:rFonts w:eastAsia="Times New Roman" w:cs="Arial"/>
          <w:color w:val="000000"/>
          <w:lang w:val="en-US"/>
        </w:rPr>
        <w:t>mg/kg</w:t>
      </w:r>
      <w:r w:rsidRPr="00C51411">
        <w:rPr>
          <w:rFonts w:eastAsia="Times New Roman" w:cs="Arial"/>
          <w:color w:val="000000"/>
          <w:lang w:eastAsia="bg-BG"/>
        </w:rPr>
        <w:t xml:space="preserve">/ден при плъхове и от 30 + 9 </w:t>
      </w:r>
      <w:r w:rsidRPr="00C51411">
        <w:rPr>
          <w:rFonts w:eastAsia="Times New Roman" w:cs="Arial"/>
          <w:color w:val="000000"/>
          <w:lang w:val="en-US"/>
        </w:rPr>
        <w:t>mg/kg</w:t>
      </w:r>
      <w:r w:rsidRPr="00C51411">
        <w:rPr>
          <w:rFonts w:eastAsia="Times New Roman" w:cs="Arial"/>
          <w:color w:val="000000"/>
          <w:lang w:eastAsia="bg-BG"/>
        </w:rPr>
        <w:t xml:space="preserve">/ден при маркозетки). При мармозетки тези дози съответстват на 0,9 и 3,5 пъти максималната препоръчителна доза при хора на валсартан и хидрохлоротиазид, изчислени на база </w:t>
      </w:r>
      <w:r w:rsidRPr="00C51411">
        <w:rPr>
          <w:rFonts w:eastAsia="Times New Roman" w:cs="Arial"/>
          <w:color w:val="000000"/>
          <w:lang w:val="en-US"/>
        </w:rPr>
        <w:t>mg/m</w:t>
      </w:r>
      <w:r w:rsidRPr="00C51411">
        <w:rPr>
          <w:rFonts w:eastAsia="Times New Roman" w:cs="Arial"/>
          <w:color w:val="000000"/>
          <w:vertAlign w:val="superscript"/>
          <w:lang w:val="en-US"/>
        </w:rPr>
        <w:t>2</w:t>
      </w:r>
      <w:r w:rsidRPr="00C51411">
        <w:rPr>
          <w:rFonts w:eastAsia="Times New Roman" w:cs="Arial"/>
          <w:color w:val="000000"/>
          <w:lang w:val="en-US"/>
        </w:rPr>
        <w:t xml:space="preserve">. </w:t>
      </w:r>
      <w:r w:rsidRPr="00C51411">
        <w:rPr>
          <w:rFonts w:eastAsia="Times New Roman" w:cs="Arial"/>
          <w:color w:val="000000"/>
          <w:lang w:eastAsia="bg-BG"/>
        </w:rPr>
        <w:t xml:space="preserve">При плъхове тези дози съответстват на 18 и 73 пъти максималната препоръчителна доза при хора на валсартан и хидрохлоротиазид, изчислени на база </w:t>
      </w:r>
      <w:r w:rsidRPr="00C51411">
        <w:rPr>
          <w:rFonts w:eastAsia="Times New Roman" w:cs="Arial"/>
          <w:color w:val="000000"/>
          <w:lang w:val="en-US"/>
        </w:rPr>
        <w:t>mg/m</w:t>
      </w:r>
      <w:r w:rsidRPr="00C51411">
        <w:rPr>
          <w:rFonts w:eastAsia="Times New Roman" w:cs="Arial"/>
          <w:color w:val="000000"/>
          <w:vertAlign w:val="superscript"/>
          <w:lang w:val="en-US"/>
        </w:rPr>
        <w:t>2</w:t>
      </w:r>
      <w:r w:rsidRPr="00C51411">
        <w:rPr>
          <w:rFonts w:eastAsia="Times New Roman" w:cs="Arial"/>
          <w:color w:val="000000"/>
          <w:lang w:val="en-US"/>
        </w:rPr>
        <w:t xml:space="preserve">. </w:t>
      </w:r>
      <w:r w:rsidRPr="00C51411">
        <w:rPr>
          <w:rFonts w:eastAsia="Times New Roman" w:cs="Arial"/>
          <w:color w:val="000000"/>
          <w:lang w:eastAsia="bg-BG"/>
        </w:rPr>
        <w:t xml:space="preserve">(Изчисленията се отнасят за перорална доза от 320 </w:t>
      </w:r>
      <w:r w:rsidRPr="00C51411">
        <w:rPr>
          <w:rFonts w:eastAsia="Times New Roman" w:cs="Arial"/>
          <w:color w:val="000000"/>
          <w:lang w:val="en-US"/>
        </w:rPr>
        <w:t>mg</w:t>
      </w:r>
      <w:r w:rsidRPr="00C51411">
        <w:rPr>
          <w:rFonts w:eastAsia="Times New Roman" w:cs="Arial"/>
          <w:color w:val="000000"/>
          <w:lang w:eastAsia="bg-BG"/>
        </w:rPr>
        <w:t xml:space="preserve">/ден валсартан в комбинация с 25 </w:t>
      </w:r>
      <w:r w:rsidRPr="00C51411">
        <w:rPr>
          <w:rFonts w:eastAsia="Times New Roman" w:cs="Arial"/>
          <w:color w:val="000000"/>
          <w:lang w:val="en-US"/>
        </w:rPr>
        <w:t>mg</w:t>
      </w:r>
      <w:r w:rsidRPr="00C51411">
        <w:rPr>
          <w:rFonts w:eastAsia="Times New Roman" w:cs="Arial"/>
          <w:color w:val="000000"/>
          <w:lang w:eastAsia="bg-BG"/>
        </w:rPr>
        <w:t xml:space="preserve">/ден хидрохлоротиазид и пациент с тегло 60 </w:t>
      </w:r>
      <w:r w:rsidRPr="00C51411">
        <w:rPr>
          <w:rFonts w:eastAsia="Times New Roman" w:cs="Arial"/>
          <w:color w:val="000000"/>
          <w:lang w:val="en-US"/>
        </w:rPr>
        <w:t>kg).</w:t>
      </w:r>
    </w:p>
    <w:p w14:paraId="46FA94D4" w14:textId="77777777" w:rsidR="00C51411" w:rsidRPr="00683493" w:rsidRDefault="00C51411" w:rsidP="00C51411">
      <w:pPr>
        <w:spacing w:line="240" w:lineRule="auto"/>
        <w:rPr>
          <w:rFonts w:eastAsia="Times New Roman" w:cs="Arial"/>
          <w:color w:val="000000"/>
          <w:lang w:eastAsia="bg-BG"/>
        </w:rPr>
      </w:pPr>
    </w:p>
    <w:p w14:paraId="3D6A567D" w14:textId="14EF9A2E" w:rsidR="00C51411" w:rsidRPr="00C51411" w:rsidRDefault="00C51411" w:rsidP="00C51411">
      <w:pPr>
        <w:spacing w:line="240" w:lineRule="auto"/>
        <w:rPr>
          <w:rFonts w:eastAsia="Times New Roman" w:cs="Arial"/>
          <w:sz w:val="28"/>
          <w:szCs w:val="28"/>
          <w:lang w:eastAsia="bg-BG"/>
        </w:rPr>
      </w:pPr>
      <w:r w:rsidRPr="00C51411">
        <w:rPr>
          <w:rFonts w:eastAsia="Times New Roman" w:cs="Arial"/>
          <w:color w:val="000000"/>
          <w:lang w:eastAsia="bg-BG"/>
        </w:rPr>
        <w:t xml:space="preserve">Ефектите, описани по-горе вероятно се дължат на фармакологичните ефекти на високите дози валсартан (блокада на ангиотензин </w:t>
      </w:r>
      <w:r w:rsidRPr="00C51411">
        <w:rPr>
          <w:rFonts w:eastAsia="Times New Roman" w:cs="Arial"/>
          <w:color w:val="000000"/>
          <w:lang w:val="en-US"/>
        </w:rPr>
        <w:t>II</w:t>
      </w:r>
      <w:r w:rsidRPr="00C51411">
        <w:rPr>
          <w:rFonts w:eastAsia="Times New Roman" w:cs="Arial"/>
          <w:color w:val="000000"/>
          <w:lang w:eastAsia="bg-BG"/>
        </w:rPr>
        <w:t>-индуцирано инхибиране на освобождаването на ренин, със стимулиране на ренин-продуциращите клетки) и се срещат също и при АСЕ инхибиторите. Тези данни вероятно нямат практическо значение по отношение на терапевтичното приложение на валсартан при хора.</w:t>
      </w:r>
    </w:p>
    <w:p w14:paraId="3D6F3909" w14:textId="77777777" w:rsidR="00C51411" w:rsidRPr="00683493" w:rsidRDefault="00C51411" w:rsidP="00C51411">
      <w:pPr>
        <w:spacing w:line="240" w:lineRule="auto"/>
        <w:rPr>
          <w:rFonts w:eastAsia="Times New Roman" w:cs="Arial"/>
          <w:color w:val="000000"/>
          <w:lang w:eastAsia="bg-BG"/>
        </w:rPr>
      </w:pPr>
    </w:p>
    <w:p w14:paraId="3384BD4C" w14:textId="162C52BF" w:rsidR="00C51411" w:rsidRPr="00C51411" w:rsidRDefault="00C51411" w:rsidP="00C51411">
      <w:pPr>
        <w:spacing w:line="240" w:lineRule="auto"/>
        <w:rPr>
          <w:rFonts w:eastAsia="Times New Roman" w:cs="Arial"/>
          <w:sz w:val="28"/>
          <w:szCs w:val="28"/>
          <w:lang w:eastAsia="bg-BG"/>
        </w:rPr>
      </w:pPr>
      <w:r w:rsidRPr="00C51411">
        <w:rPr>
          <w:rFonts w:eastAsia="Times New Roman" w:cs="Arial"/>
          <w:color w:val="000000"/>
          <w:lang w:eastAsia="bg-BG"/>
        </w:rPr>
        <w:t>Комбинацията валсартан - хидрохлоротиазид не е проучвана за мутагенност, хромозомни аномалии или карциногенност, тъй като няма данни за взаимодействие между двете вещества. Въпреки това, тези тестове са проведени поотделно с валсартан и хидрохлоротиазид, и не са показали данни за мутагенност, хромозомни аномалии или карциногенност.</w:t>
      </w:r>
    </w:p>
    <w:p w14:paraId="6BAFE648" w14:textId="77777777" w:rsidR="00C51411" w:rsidRPr="00683493" w:rsidRDefault="00C51411" w:rsidP="00C51411">
      <w:pPr>
        <w:spacing w:line="240" w:lineRule="auto"/>
        <w:rPr>
          <w:rFonts w:eastAsia="Times New Roman" w:cs="Arial"/>
          <w:color w:val="000000"/>
          <w:lang w:eastAsia="bg-BG"/>
        </w:rPr>
      </w:pPr>
    </w:p>
    <w:p w14:paraId="065ED5D1" w14:textId="6EEBEB54" w:rsidR="00C51411" w:rsidRPr="00C51411" w:rsidRDefault="00C51411" w:rsidP="00C51411">
      <w:pPr>
        <w:spacing w:line="240" w:lineRule="auto"/>
        <w:rPr>
          <w:rFonts w:eastAsia="Times New Roman" w:cs="Arial"/>
          <w:sz w:val="28"/>
          <w:szCs w:val="28"/>
          <w:lang w:eastAsia="bg-BG"/>
        </w:rPr>
      </w:pPr>
      <w:r w:rsidRPr="00C51411">
        <w:rPr>
          <w:rFonts w:eastAsia="Times New Roman" w:cs="Arial"/>
          <w:color w:val="000000"/>
          <w:lang w:eastAsia="bg-BG"/>
        </w:rPr>
        <w:t xml:space="preserve">При плъхове, токсичните дози на валсартан за майката (600 </w:t>
      </w:r>
      <w:r w:rsidRPr="00C51411">
        <w:rPr>
          <w:rFonts w:eastAsia="Times New Roman" w:cs="Arial"/>
          <w:color w:val="000000"/>
          <w:lang w:val="en-US"/>
        </w:rPr>
        <w:t>mg/kg</w:t>
      </w:r>
      <w:r w:rsidRPr="00C51411">
        <w:rPr>
          <w:rFonts w:eastAsia="Times New Roman" w:cs="Arial"/>
          <w:color w:val="000000"/>
          <w:lang w:eastAsia="bg-BG"/>
        </w:rPr>
        <w:t xml:space="preserve">/ден) през последните дни от бременността и кърменето са довели до по-ниска преживяемост, по-малко наддаване на тегло и забавено развитие (отделяне на ушната мида и отваряне на слуховия канал) на поколението (вж. раздел 4.6). Тези дози при плъхове (600 </w:t>
      </w:r>
      <w:r w:rsidRPr="00C51411">
        <w:rPr>
          <w:rFonts w:eastAsia="Times New Roman" w:cs="Arial"/>
          <w:color w:val="000000"/>
          <w:lang w:val="en-US"/>
        </w:rPr>
        <w:t>mg/kg</w:t>
      </w:r>
      <w:r w:rsidRPr="00C51411">
        <w:rPr>
          <w:rFonts w:eastAsia="Times New Roman" w:cs="Arial"/>
          <w:color w:val="000000"/>
          <w:lang w:eastAsia="bg-BG"/>
        </w:rPr>
        <w:t xml:space="preserve">/ден) са приблизително 18 пъти максималната препоръчителна доза при хора, изчислени на база </w:t>
      </w:r>
      <w:r w:rsidRPr="00C51411">
        <w:rPr>
          <w:rFonts w:eastAsia="Times New Roman" w:cs="Arial"/>
          <w:color w:val="000000"/>
          <w:lang w:val="en-US"/>
        </w:rPr>
        <w:t>mg/m</w:t>
      </w:r>
      <w:r w:rsidRPr="00C51411">
        <w:rPr>
          <w:rFonts w:eastAsia="Times New Roman" w:cs="Arial"/>
          <w:color w:val="000000"/>
          <w:vertAlign w:val="superscript"/>
          <w:lang w:val="en-US"/>
        </w:rPr>
        <w:t>2</w:t>
      </w:r>
      <w:r w:rsidRPr="00C51411">
        <w:rPr>
          <w:rFonts w:eastAsia="Times New Roman" w:cs="Arial"/>
          <w:color w:val="000000"/>
          <w:lang w:val="en-US"/>
        </w:rPr>
        <w:t xml:space="preserve"> </w:t>
      </w:r>
      <w:r w:rsidRPr="00C51411">
        <w:rPr>
          <w:rFonts w:eastAsia="Times New Roman" w:cs="Arial"/>
          <w:color w:val="000000"/>
          <w:lang w:eastAsia="bg-BG"/>
        </w:rPr>
        <w:t xml:space="preserve">(изчисленията се отнасят за перорална доза от 320 </w:t>
      </w:r>
      <w:r w:rsidRPr="00C51411">
        <w:rPr>
          <w:rFonts w:eastAsia="Times New Roman" w:cs="Arial"/>
          <w:color w:val="000000"/>
          <w:lang w:val="en-US"/>
        </w:rPr>
        <w:t>mg</w:t>
      </w:r>
      <w:r w:rsidRPr="00C51411">
        <w:rPr>
          <w:rFonts w:eastAsia="Times New Roman" w:cs="Arial"/>
          <w:color w:val="000000"/>
          <w:lang w:eastAsia="bg-BG"/>
        </w:rPr>
        <w:t xml:space="preserve">/ден и пациент с тегло 60 </w:t>
      </w:r>
      <w:r w:rsidRPr="00C51411">
        <w:rPr>
          <w:rFonts w:eastAsia="Times New Roman" w:cs="Arial"/>
          <w:color w:val="000000"/>
          <w:lang w:val="en-US"/>
        </w:rPr>
        <w:t xml:space="preserve">kg). </w:t>
      </w:r>
      <w:r w:rsidRPr="00C51411">
        <w:rPr>
          <w:rFonts w:eastAsia="Times New Roman" w:cs="Arial"/>
          <w:color w:val="000000"/>
          <w:lang w:eastAsia="bg-BG"/>
        </w:rPr>
        <w:t xml:space="preserve">Сходни резултати са наблюдавани с валсартан/хидрохлоротиазид при плъхове и зайци. В изпитвания за ембриофеталното развитие (Сегмент </w:t>
      </w:r>
      <w:r w:rsidRPr="00C51411">
        <w:rPr>
          <w:rFonts w:eastAsia="Times New Roman" w:cs="Arial"/>
          <w:color w:val="000000"/>
          <w:lang w:val="en-US"/>
        </w:rPr>
        <w:t>II</w:t>
      </w:r>
      <w:r w:rsidRPr="00C51411">
        <w:rPr>
          <w:rFonts w:eastAsia="Times New Roman" w:cs="Arial"/>
          <w:color w:val="000000"/>
          <w:lang w:eastAsia="bg-BG"/>
        </w:rPr>
        <w:t>) с валсартан/ хидрохлоротиазид при плъхове и зайци няма данни за тератогенност; въпреки това, е наблюдавана фетотоксичност, свързана с майчината токсичност.</w:t>
      </w:r>
    </w:p>
    <w:p w14:paraId="4B41BF5E" w14:textId="7F3D7828" w:rsidR="00C51411" w:rsidRPr="00C51411" w:rsidRDefault="00C51411" w:rsidP="00C51411">
      <w:pPr>
        <w:spacing w:line="240" w:lineRule="auto"/>
        <w:rPr>
          <w:rFonts w:ascii="Times New Roman" w:eastAsia="Times New Roman" w:hAnsi="Times New Roman" w:cs="Times New Roman"/>
          <w:sz w:val="24"/>
          <w:szCs w:val="24"/>
          <w:lang w:val="en-US" w:eastAsia="bg-BG"/>
        </w:rPr>
      </w:pPr>
    </w:p>
    <w:p w14:paraId="357049A8" w14:textId="2F4C7BA7" w:rsidR="00BB22B4" w:rsidRDefault="002C50EE" w:rsidP="00471F10">
      <w:pPr>
        <w:pStyle w:val="Heading1"/>
      </w:pPr>
      <w:r>
        <w:t>7. ПРИТЕЖАТЕЛ НА РАЗРЕШЕНИЕТО ЗА УПОТРЕБА</w:t>
      </w:r>
    </w:p>
    <w:p w14:paraId="2430950E" w14:textId="76D2F653" w:rsidR="00683493" w:rsidRDefault="00683493" w:rsidP="00683493"/>
    <w:p w14:paraId="4F6534A6" w14:textId="77777777" w:rsidR="00683493" w:rsidRDefault="00683493" w:rsidP="00683493">
      <w:r>
        <w:t xml:space="preserve">Teva B.V. </w:t>
      </w:r>
    </w:p>
    <w:p w14:paraId="6ADB0782" w14:textId="77777777" w:rsidR="00683493" w:rsidRDefault="00683493" w:rsidP="00683493">
      <w:pPr>
        <w:rPr>
          <w:lang w:eastAsia="bg-BG"/>
        </w:rPr>
      </w:pPr>
      <w:r>
        <w:t xml:space="preserve">Swensweg </w:t>
      </w:r>
      <w:r>
        <w:rPr>
          <w:lang w:eastAsia="bg-BG"/>
        </w:rPr>
        <w:t xml:space="preserve">5 </w:t>
      </w:r>
    </w:p>
    <w:p w14:paraId="193E9382" w14:textId="77777777" w:rsidR="00683493" w:rsidRDefault="00683493" w:rsidP="00683493">
      <w:r>
        <w:rPr>
          <w:lang w:eastAsia="bg-BG"/>
        </w:rPr>
        <w:t xml:space="preserve">2031 </w:t>
      </w:r>
      <w:r>
        <w:t xml:space="preserve">GA Haarlem </w:t>
      </w:r>
    </w:p>
    <w:p w14:paraId="1640CFDB" w14:textId="6FBBF8A4" w:rsidR="00683493" w:rsidRPr="00683493" w:rsidRDefault="00683493" w:rsidP="00683493">
      <w:r>
        <w:rPr>
          <w:lang w:eastAsia="bg-BG"/>
        </w:rPr>
        <w:t>Нидерландия</w:t>
      </w:r>
    </w:p>
    <w:p w14:paraId="0A53321D" w14:textId="51848955" w:rsidR="00EE6C97" w:rsidRDefault="00936AD0" w:rsidP="00A93499">
      <w:pPr>
        <w:pStyle w:val="Heading1"/>
      </w:pPr>
      <w:r>
        <w:t>8.</w:t>
      </w:r>
      <w:r w:rsidR="002C50EE">
        <w:t>НОМЕР НА РАЗРЕШЕНИЕТО ЗА УПОТРЕБА</w:t>
      </w:r>
    </w:p>
    <w:p w14:paraId="64955187" w14:textId="4F65851A" w:rsidR="00683493" w:rsidRDefault="00683493" w:rsidP="00683493"/>
    <w:p w14:paraId="10AE042D" w14:textId="77777777" w:rsidR="00683493" w:rsidRPr="00683493" w:rsidRDefault="00683493" w:rsidP="00683493">
      <w:pPr>
        <w:rPr>
          <w:sz w:val="24"/>
          <w:szCs w:val="24"/>
          <w:lang w:eastAsia="bg-BG"/>
        </w:rPr>
      </w:pPr>
      <w:r w:rsidRPr="00683493">
        <w:rPr>
          <w:lang w:eastAsia="bg-BG"/>
        </w:rPr>
        <w:t xml:space="preserve">Валтензин Плюс 320 </w:t>
      </w:r>
      <w:r w:rsidRPr="00683493">
        <w:rPr>
          <w:lang w:val="en-US"/>
        </w:rPr>
        <w:t xml:space="preserve">mg/12,5 mg </w:t>
      </w:r>
      <w:r w:rsidRPr="00683493">
        <w:rPr>
          <w:lang w:eastAsia="bg-BG"/>
        </w:rPr>
        <w:t xml:space="preserve">филмирани таблетки - </w:t>
      </w:r>
      <w:r w:rsidRPr="00683493">
        <w:rPr>
          <w:lang w:val="en-US"/>
        </w:rPr>
        <w:t xml:space="preserve">per. </w:t>
      </w:r>
      <w:r w:rsidRPr="00683493">
        <w:rPr>
          <w:lang w:eastAsia="bg-BG"/>
        </w:rPr>
        <w:t>№ 20110396</w:t>
      </w:r>
    </w:p>
    <w:p w14:paraId="04B02737" w14:textId="7EE2E898" w:rsidR="00683493" w:rsidRPr="00683493" w:rsidRDefault="00683493" w:rsidP="00683493">
      <w:r w:rsidRPr="00683493">
        <w:rPr>
          <w:lang w:eastAsia="bg-BG"/>
        </w:rPr>
        <w:t xml:space="preserve">Валтензин Плюс 320 </w:t>
      </w:r>
      <w:r w:rsidRPr="00683493">
        <w:rPr>
          <w:lang w:val="en-US"/>
        </w:rPr>
        <w:t xml:space="preserve">mg/25 mg </w:t>
      </w:r>
      <w:r w:rsidRPr="00683493">
        <w:rPr>
          <w:lang w:eastAsia="bg-BG"/>
        </w:rPr>
        <w:t xml:space="preserve">филмирани таблетки - </w:t>
      </w:r>
      <w:r w:rsidRPr="00683493">
        <w:rPr>
          <w:lang w:val="en-US"/>
        </w:rPr>
        <w:t xml:space="preserve">per. </w:t>
      </w:r>
      <w:r w:rsidRPr="00683493">
        <w:rPr>
          <w:lang w:eastAsia="bg-BG"/>
        </w:rPr>
        <w:t>№ 20110397</w:t>
      </w:r>
    </w:p>
    <w:p w14:paraId="3715C10B" w14:textId="0C72BE31" w:rsidR="00BB22B4" w:rsidRDefault="002C50EE" w:rsidP="00471F10">
      <w:pPr>
        <w:pStyle w:val="Heading1"/>
      </w:pPr>
      <w:r>
        <w:lastRenderedPageBreak/>
        <w:t>9. ДАТА НА ПЪРВО РАЗРЕШАВАНЕ/ПОДНОВЯВАНЕ НА РАЗРЕШЕНИЕТО ЗА УПОТРЕБА</w:t>
      </w:r>
    </w:p>
    <w:p w14:paraId="28F727AF" w14:textId="2CBA1BCC" w:rsidR="00683493" w:rsidRDefault="00683493" w:rsidP="00683493"/>
    <w:p w14:paraId="7F4CCFD9" w14:textId="77777777" w:rsidR="00683493" w:rsidRPr="00683493" w:rsidRDefault="00683493" w:rsidP="00683493">
      <w:pPr>
        <w:rPr>
          <w:sz w:val="24"/>
          <w:szCs w:val="24"/>
          <w:lang w:eastAsia="bg-BG"/>
        </w:rPr>
      </w:pPr>
      <w:r w:rsidRPr="00683493">
        <w:rPr>
          <w:lang w:eastAsia="bg-BG"/>
        </w:rPr>
        <w:t>Дата на първо разрешаване: 28.06.2011 г.</w:t>
      </w:r>
    </w:p>
    <w:p w14:paraId="40CEB82F" w14:textId="77777777" w:rsidR="00683493" w:rsidRPr="00683493" w:rsidRDefault="00683493" w:rsidP="00683493">
      <w:pPr>
        <w:rPr>
          <w:sz w:val="24"/>
          <w:szCs w:val="24"/>
          <w:lang w:eastAsia="bg-BG"/>
        </w:rPr>
      </w:pPr>
      <w:r w:rsidRPr="00683493">
        <w:rPr>
          <w:lang w:eastAsia="bg-BG"/>
        </w:rPr>
        <w:t>Дата на последно подновяване: 05.07.2016 г.</w:t>
      </w:r>
    </w:p>
    <w:p w14:paraId="7AC935ED" w14:textId="77777777" w:rsidR="00683493" w:rsidRPr="00683493" w:rsidRDefault="00683493" w:rsidP="00683493"/>
    <w:p w14:paraId="43FB38A2" w14:textId="0C18A683" w:rsidR="007C605B" w:rsidRDefault="002C50EE" w:rsidP="005726E3">
      <w:pPr>
        <w:pStyle w:val="Heading1"/>
      </w:pPr>
      <w:r>
        <w:t>10. ДАТА НА АКТУАЛИЗИРАНЕ НА ТЕКСТА</w:t>
      </w:r>
      <w:bookmarkEnd w:id="0"/>
    </w:p>
    <w:p w14:paraId="472617BD" w14:textId="3BA44A42" w:rsidR="00BB22B4" w:rsidRPr="00BB22B4" w:rsidRDefault="00BB22B4" w:rsidP="00EE6C97"/>
    <w:sectPr w:rsidR="00BB22B4" w:rsidRPr="00BB22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2"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8C95238"/>
    <w:multiLevelType w:val="hybridMultilevel"/>
    <w:tmpl w:val="891EAF04"/>
    <w:lvl w:ilvl="0" w:tplc="04B61F84">
      <w:start w:val="4"/>
      <w:numFmt w:val="bullet"/>
      <w:lvlText w:val="-"/>
      <w:lvlJc w:val="left"/>
      <w:pPr>
        <w:ind w:left="720" w:hanging="360"/>
      </w:pPr>
      <w:rPr>
        <w:rFonts w:ascii="Times New Roman" w:eastAsia="Times New Roman" w:hAnsi="Times New Roman" w:cs="Times New Roman" w:hint="default"/>
        <w:color w:val="000000"/>
        <w:sz w:val="2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29304D31"/>
    <w:multiLevelType w:val="hybridMultilevel"/>
    <w:tmpl w:val="558E934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6D37A7"/>
    <w:multiLevelType w:val="hybridMultilevel"/>
    <w:tmpl w:val="46CC86F0"/>
    <w:lvl w:ilvl="0" w:tplc="D1263D34">
      <w:start w:val="4"/>
      <w:numFmt w:val="bullet"/>
      <w:lvlText w:val="-"/>
      <w:lvlJc w:val="left"/>
      <w:pPr>
        <w:ind w:left="720" w:hanging="360"/>
      </w:pPr>
      <w:rPr>
        <w:rFonts w:ascii="Times New Roman" w:eastAsia="Times New Roman" w:hAnsi="Times New Roman" w:cs="Times New Roman" w:hint="default"/>
        <w:color w:val="00000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0"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5"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E06251"/>
    <w:multiLevelType w:val="hybridMultilevel"/>
    <w:tmpl w:val="1090AE9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16cid:durableId="1574118384">
    <w:abstractNumId w:val="31"/>
  </w:num>
  <w:num w:numId="2" w16cid:durableId="1612932146">
    <w:abstractNumId w:val="0"/>
  </w:num>
  <w:num w:numId="3" w16cid:durableId="1810323821">
    <w:abstractNumId w:val="16"/>
  </w:num>
  <w:num w:numId="4" w16cid:durableId="2135319613">
    <w:abstractNumId w:val="3"/>
  </w:num>
  <w:num w:numId="5" w16cid:durableId="740105516">
    <w:abstractNumId w:val="1"/>
  </w:num>
  <w:num w:numId="6" w16cid:durableId="1668363208">
    <w:abstractNumId w:val="20"/>
  </w:num>
  <w:num w:numId="7" w16cid:durableId="1241988161">
    <w:abstractNumId w:val="12"/>
  </w:num>
  <w:num w:numId="8" w16cid:durableId="2102022361">
    <w:abstractNumId w:val="19"/>
  </w:num>
  <w:num w:numId="9" w16cid:durableId="1154613663">
    <w:abstractNumId w:val="2"/>
  </w:num>
  <w:num w:numId="10" w16cid:durableId="1733848127">
    <w:abstractNumId w:val="4"/>
  </w:num>
  <w:num w:numId="11" w16cid:durableId="1861704680">
    <w:abstractNumId w:val="34"/>
  </w:num>
  <w:num w:numId="12" w16cid:durableId="1434934028">
    <w:abstractNumId w:val="17"/>
  </w:num>
  <w:num w:numId="13" w16cid:durableId="479157895">
    <w:abstractNumId w:val="23"/>
  </w:num>
  <w:num w:numId="14" w16cid:durableId="1670476636">
    <w:abstractNumId w:val="15"/>
  </w:num>
  <w:num w:numId="15" w16cid:durableId="1000155783">
    <w:abstractNumId w:val="33"/>
  </w:num>
  <w:num w:numId="16" w16cid:durableId="2056420707">
    <w:abstractNumId w:val="11"/>
  </w:num>
  <w:num w:numId="17" w16cid:durableId="1787119182">
    <w:abstractNumId w:val="28"/>
  </w:num>
  <w:num w:numId="18" w16cid:durableId="722945139">
    <w:abstractNumId w:val="8"/>
  </w:num>
  <w:num w:numId="19" w16cid:durableId="1678728408">
    <w:abstractNumId w:val="30"/>
  </w:num>
  <w:num w:numId="20" w16cid:durableId="1970816657">
    <w:abstractNumId w:val="27"/>
  </w:num>
  <w:num w:numId="21" w16cid:durableId="1531146514">
    <w:abstractNumId w:val="21"/>
  </w:num>
  <w:num w:numId="22" w16cid:durableId="1276465">
    <w:abstractNumId w:val="29"/>
  </w:num>
  <w:num w:numId="23" w16cid:durableId="1624310558">
    <w:abstractNumId w:val="22"/>
  </w:num>
  <w:num w:numId="24" w16cid:durableId="1692877547">
    <w:abstractNumId w:val="9"/>
  </w:num>
  <w:num w:numId="25" w16cid:durableId="50930855">
    <w:abstractNumId w:val="26"/>
  </w:num>
  <w:num w:numId="26" w16cid:durableId="176701536">
    <w:abstractNumId w:val="25"/>
  </w:num>
  <w:num w:numId="27" w16cid:durableId="2050564750">
    <w:abstractNumId w:val="35"/>
  </w:num>
  <w:num w:numId="28" w16cid:durableId="1820733422">
    <w:abstractNumId w:val="6"/>
  </w:num>
  <w:num w:numId="29" w16cid:durableId="973678124">
    <w:abstractNumId w:val="24"/>
  </w:num>
  <w:num w:numId="30" w16cid:durableId="154884452">
    <w:abstractNumId w:val="39"/>
  </w:num>
  <w:num w:numId="31" w16cid:durableId="1053964910">
    <w:abstractNumId w:val="5"/>
  </w:num>
  <w:num w:numId="32" w16cid:durableId="2073575793">
    <w:abstractNumId w:val="37"/>
  </w:num>
  <w:num w:numId="33" w16cid:durableId="1566643170">
    <w:abstractNumId w:val="32"/>
  </w:num>
  <w:num w:numId="34" w16cid:durableId="2060787732">
    <w:abstractNumId w:val="36"/>
  </w:num>
  <w:num w:numId="35" w16cid:durableId="34161354">
    <w:abstractNumId w:val="7"/>
  </w:num>
  <w:num w:numId="36" w16cid:durableId="1976908676">
    <w:abstractNumId w:val="10"/>
  </w:num>
  <w:num w:numId="37" w16cid:durableId="758528303">
    <w:abstractNumId w:val="18"/>
  </w:num>
  <w:num w:numId="38" w16cid:durableId="178396561">
    <w:abstractNumId w:val="38"/>
  </w:num>
  <w:num w:numId="39" w16cid:durableId="934825996">
    <w:abstractNumId w:val="14"/>
  </w:num>
  <w:num w:numId="40" w16cid:durableId="15677658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A00"/>
    <w:rsid w:val="00185A46"/>
    <w:rsid w:val="001915B6"/>
    <w:rsid w:val="001A6EBD"/>
    <w:rsid w:val="001D1B23"/>
    <w:rsid w:val="002B3C38"/>
    <w:rsid w:val="002B4DBB"/>
    <w:rsid w:val="002C50EE"/>
    <w:rsid w:val="00340A0A"/>
    <w:rsid w:val="003765DC"/>
    <w:rsid w:val="00395555"/>
    <w:rsid w:val="003E3126"/>
    <w:rsid w:val="00426E5F"/>
    <w:rsid w:val="00471F10"/>
    <w:rsid w:val="004A448E"/>
    <w:rsid w:val="004D4D6B"/>
    <w:rsid w:val="004F1CE7"/>
    <w:rsid w:val="004F498A"/>
    <w:rsid w:val="00517A5B"/>
    <w:rsid w:val="005726E3"/>
    <w:rsid w:val="00593A00"/>
    <w:rsid w:val="005A66D9"/>
    <w:rsid w:val="00605BCA"/>
    <w:rsid w:val="006158A1"/>
    <w:rsid w:val="00617B1F"/>
    <w:rsid w:val="00672487"/>
    <w:rsid w:val="00672600"/>
    <w:rsid w:val="00681D4A"/>
    <w:rsid w:val="00683493"/>
    <w:rsid w:val="00685882"/>
    <w:rsid w:val="007122AD"/>
    <w:rsid w:val="00735CBB"/>
    <w:rsid w:val="0075649D"/>
    <w:rsid w:val="007C605B"/>
    <w:rsid w:val="008134C8"/>
    <w:rsid w:val="00814073"/>
    <w:rsid w:val="00826F0D"/>
    <w:rsid w:val="00875EEC"/>
    <w:rsid w:val="00893B92"/>
    <w:rsid w:val="008A6AF2"/>
    <w:rsid w:val="008C70A2"/>
    <w:rsid w:val="00926409"/>
    <w:rsid w:val="00936AD0"/>
    <w:rsid w:val="00954129"/>
    <w:rsid w:val="009773E4"/>
    <w:rsid w:val="009B171C"/>
    <w:rsid w:val="009F1313"/>
    <w:rsid w:val="00A20351"/>
    <w:rsid w:val="00A65A81"/>
    <w:rsid w:val="00A71DCF"/>
    <w:rsid w:val="00A93499"/>
    <w:rsid w:val="00AA23EC"/>
    <w:rsid w:val="00AC63CE"/>
    <w:rsid w:val="00AE2107"/>
    <w:rsid w:val="00B275A8"/>
    <w:rsid w:val="00B6672E"/>
    <w:rsid w:val="00BA5B74"/>
    <w:rsid w:val="00BB22B4"/>
    <w:rsid w:val="00BF2600"/>
    <w:rsid w:val="00C0049F"/>
    <w:rsid w:val="00C07B84"/>
    <w:rsid w:val="00C33464"/>
    <w:rsid w:val="00C40420"/>
    <w:rsid w:val="00C51411"/>
    <w:rsid w:val="00C809A7"/>
    <w:rsid w:val="00C83063"/>
    <w:rsid w:val="00C87E90"/>
    <w:rsid w:val="00CA1B57"/>
    <w:rsid w:val="00CF77F7"/>
    <w:rsid w:val="00D86297"/>
    <w:rsid w:val="00DB32D3"/>
    <w:rsid w:val="00DD466D"/>
    <w:rsid w:val="00EB6364"/>
    <w:rsid w:val="00EE6C97"/>
    <w:rsid w:val="00F37B64"/>
    <w:rsid w:val="00F53FB7"/>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22</Pages>
  <Words>8252</Words>
  <Characters>47038</Characters>
  <Application>Microsoft Office Word</Application>
  <DocSecurity>0</DocSecurity>
  <Lines>391</Lines>
  <Paragraphs>110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55180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ВАСИЛЕВ</cp:lastModifiedBy>
  <cp:revision>2</cp:revision>
  <dcterms:created xsi:type="dcterms:W3CDTF">2023-01-04T16:15:00Z</dcterms:created>
  <dcterms:modified xsi:type="dcterms:W3CDTF">2023-01-04T16:15:00Z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