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482ED0D3" w14:textId="09D2D8E1" w:rsidR="00F53FB7" w:rsidRDefault="00DD466D" w:rsidP="00A93499">
      <w:pPr>
        <w:pStyle w:val="Heading1"/>
      </w:pPr>
      <w:r>
        <w:t>1.ИМЕ НА ЛЕКАРСТВЕНИЯ ПРОДУКТ</w:t>
      </w:r>
    </w:p>
    <w:p w14:paraId="78D6E469" w14:textId="67058495" w:rsidR="00926409" w:rsidRDefault="00926409" w:rsidP="00926409"/>
    <w:p w14:paraId="393BF75C" w14:textId="77777777" w:rsidR="00926409" w:rsidRPr="00926409" w:rsidRDefault="00926409" w:rsidP="00926409">
      <w:pPr>
        <w:rPr>
          <w:sz w:val="24"/>
          <w:szCs w:val="24"/>
          <w:lang w:val="en-US" w:eastAsia="bg-BG"/>
        </w:rPr>
      </w:pPr>
      <w:r w:rsidRPr="00926409">
        <w:rPr>
          <w:lang w:eastAsia="bg-BG"/>
        </w:rPr>
        <w:t xml:space="preserve">Валтензин Плюс 320 </w:t>
      </w:r>
      <w:r w:rsidRPr="00926409">
        <w:rPr>
          <w:lang w:val="en-US"/>
        </w:rPr>
        <w:t xml:space="preserve">mg/12,5 mg </w:t>
      </w:r>
      <w:r w:rsidRPr="00926409">
        <w:rPr>
          <w:lang w:eastAsia="bg-BG"/>
        </w:rPr>
        <w:t>филмирани таблетки</w:t>
      </w:r>
    </w:p>
    <w:p w14:paraId="4C8D6813" w14:textId="77777777" w:rsidR="00926409" w:rsidRPr="00926409" w:rsidRDefault="00926409" w:rsidP="00926409">
      <w:pPr>
        <w:rPr>
          <w:sz w:val="24"/>
          <w:szCs w:val="24"/>
          <w:lang w:val="en-US" w:eastAsia="bg-BG"/>
        </w:rPr>
      </w:pPr>
      <w:proofErr w:type="spellStart"/>
      <w:r w:rsidRPr="00926409">
        <w:rPr>
          <w:lang w:val="en-US"/>
        </w:rPr>
        <w:t>Valtensin</w:t>
      </w:r>
      <w:proofErr w:type="spellEnd"/>
      <w:r w:rsidRPr="00926409">
        <w:rPr>
          <w:lang w:val="en-US"/>
        </w:rPr>
        <w:t xml:space="preserve"> Plus </w:t>
      </w:r>
      <w:r w:rsidRPr="00926409">
        <w:rPr>
          <w:lang w:eastAsia="bg-BG"/>
        </w:rPr>
        <w:t xml:space="preserve">320 </w:t>
      </w:r>
      <w:r w:rsidRPr="00926409">
        <w:rPr>
          <w:lang w:val="en-US"/>
        </w:rPr>
        <w:t>mg/12,5 mg film-coated tablets</w:t>
      </w:r>
    </w:p>
    <w:p w14:paraId="36EBE802" w14:textId="77777777" w:rsidR="00926409" w:rsidRDefault="00926409" w:rsidP="00926409">
      <w:pPr>
        <w:rPr>
          <w:lang w:eastAsia="bg-BG"/>
        </w:rPr>
      </w:pPr>
    </w:p>
    <w:p w14:paraId="67DE9111" w14:textId="04331652" w:rsidR="00926409" w:rsidRPr="00926409" w:rsidRDefault="00926409" w:rsidP="00926409">
      <w:pPr>
        <w:rPr>
          <w:sz w:val="24"/>
          <w:szCs w:val="24"/>
          <w:lang w:val="en-US" w:eastAsia="bg-BG"/>
        </w:rPr>
      </w:pPr>
      <w:r w:rsidRPr="00926409">
        <w:rPr>
          <w:lang w:eastAsia="bg-BG"/>
        </w:rPr>
        <w:t xml:space="preserve">Валтензин Плюс </w:t>
      </w:r>
      <w:r w:rsidRPr="00926409">
        <w:rPr>
          <w:lang w:val="en-US"/>
        </w:rPr>
        <w:t xml:space="preserve">320 mg/25 mg </w:t>
      </w:r>
      <w:r w:rsidRPr="00926409">
        <w:rPr>
          <w:lang w:eastAsia="bg-BG"/>
        </w:rPr>
        <w:t>филмирани таблетки</w:t>
      </w:r>
    </w:p>
    <w:p w14:paraId="59BC2C75" w14:textId="60703628" w:rsidR="00926409" w:rsidRPr="00926409" w:rsidRDefault="00926409" w:rsidP="00926409">
      <w:proofErr w:type="spellStart"/>
      <w:r w:rsidRPr="00926409">
        <w:rPr>
          <w:lang w:val="en-US"/>
        </w:rPr>
        <w:t>Valtensin</w:t>
      </w:r>
      <w:proofErr w:type="spellEnd"/>
      <w:r w:rsidRPr="00926409">
        <w:rPr>
          <w:lang w:val="en-US"/>
        </w:rPr>
        <w:t xml:space="preserve"> Plus 320 mg/25 mg film-coated tablets</w:t>
      </w:r>
    </w:p>
    <w:p w14:paraId="0DF202EC" w14:textId="5D71920A" w:rsidR="00F53FB7" w:rsidRDefault="00DD466D" w:rsidP="00A93499">
      <w:pPr>
        <w:pStyle w:val="Heading1"/>
      </w:pPr>
      <w:r>
        <w:t>2. КАЧЕСТВЕН И КОЛИЧЕСТВЕН СЪСТАВ</w:t>
      </w:r>
    </w:p>
    <w:p w14:paraId="68FC6F62" w14:textId="3749F611" w:rsidR="00926409" w:rsidRDefault="00926409" w:rsidP="00926409"/>
    <w:p w14:paraId="50F0F86B"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Всяка таблетка съдържа 320 </w:t>
      </w:r>
      <w:r w:rsidRPr="00926409">
        <w:rPr>
          <w:rFonts w:eastAsia="Times New Roman" w:cs="Arial"/>
          <w:color w:val="000000"/>
          <w:lang w:val="en-US"/>
        </w:rPr>
        <w:t xml:space="preserve">mg </w:t>
      </w:r>
      <w:r w:rsidRPr="00926409">
        <w:rPr>
          <w:rFonts w:eastAsia="Times New Roman" w:cs="Arial"/>
          <w:color w:val="000000"/>
          <w:lang w:eastAsia="bg-BG"/>
        </w:rPr>
        <w:t>валсартан (</w:t>
      </w:r>
      <w:r w:rsidRPr="00926409">
        <w:rPr>
          <w:rFonts w:eastAsia="Times New Roman" w:cs="Arial"/>
          <w:i/>
          <w:iCs/>
          <w:color w:val="000000"/>
          <w:lang w:val="en-US"/>
        </w:rPr>
        <w:t>valsartan)</w:t>
      </w:r>
      <w:r w:rsidRPr="00926409">
        <w:rPr>
          <w:rFonts w:eastAsia="Times New Roman" w:cs="Arial"/>
          <w:color w:val="000000"/>
          <w:lang w:val="en-US"/>
        </w:rPr>
        <w:t xml:space="preserve"> </w:t>
      </w:r>
      <w:r w:rsidRPr="00926409">
        <w:rPr>
          <w:rFonts w:eastAsia="Times New Roman" w:cs="Arial"/>
          <w:color w:val="000000"/>
          <w:lang w:eastAsia="bg-BG"/>
        </w:rPr>
        <w:t xml:space="preserve">и 12,5 </w:t>
      </w:r>
      <w:r w:rsidRPr="00926409">
        <w:rPr>
          <w:rFonts w:eastAsia="Times New Roman" w:cs="Arial"/>
          <w:color w:val="000000"/>
          <w:lang w:val="en-US"/>
        </w:rPr>
        <w:t xml:space="preserve">mg </w:t>
      </w:r>
      <w:r w:rsidRPr="00926409">
        <w:rPr>
          <w:rFonts w:eastAsia="Times New Roman" w:cs="Arial"/>
          <w:color w:val="000000"/>
          <w:lang w:eastAsia="bg-BG"/>
        </w:rPr>
        <w:t xml:space="preserve">хидрохлоротиазид </w:t>
      </w:r>
      <w:r w:rsidRPr="00926409">
        <w:rPr>
          <w:rFonts w:eastAsia="Times New Roman" w:cs="Arial"/>
          <w:i/>
          <w:iCs/>
          <w:color w:val="000000"/>
          <w:lang w:val="en-US"/>
        </w:rPr>
        <w:t>(hydrochlorothiazide).</w:t>
      </w:r>
    </w:p>
    <w:p w14:paraId="4777111D"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Всяка таблетка съдържа 320 </w:t>
      </w:r>
      <w:r w:rsidRPr="00926409">
        <w:rPr>
          <w:rFonts w:eastAsia="Times New Roman" w:cs="Arial"/>
          <w:color w:val="000000"/>
          <w:lang w:val="en-US"/>
        </w:rPr>
        <w:t xml:space="preserve">mg </w:t>
      </w:r>
      <w:r w:rsidRPr="00926409">
        <w:rPr>
          <w:rFonts w:eastAsia="Times New Roman" w:cs="Arial"/>
          <w:color w:val="000000"/>
          <w:lang w:eastAsia="bg-BG"/>
        </w:rPr>
        <w:t>валсартан (</w:t>
      </w:r>
      <w:r w:rsidRPr="00926409">
        <w:rPr>
          <w:rFonts w:eastAsia="Times New Roman" w:cs="Arial"/>
          <w:i/>
          <w:iCs/>
          <w:color w:val="000000"/>
          <w:lang w:val="en-US"/>
        </w:rPr>
        <w:t>valsartan)</w:t>
      </w:r>
      <w:r w:rsidRPr="00926409">
        <w:rPr>
          <w:rFonts w:eastAsia="Times New Roman" w:cs="Arial"/>
          <w:color w:val="000000"/>
          <w:lang w:val="en-US"/>
        </w:rPr>
        <w:t xml:space="preserve"> </w:t>
      </w:r>
      <w:r w:rsidRPr="00926409">
        <w:rPr>
          <w:rFonts w:eastAsia="Times New Roman" w:cs="Arial"/>
          <w:color w:val="000000"/>
          <w:lang w:eastAsia="bg-BG"/>
        </w:rPr>
        <w:t xml:space="preserve">и 25 </w:t>
      </w:r>
      <w:r w:rsidRPr="00926409">
        <w:rPr>
          <w:rFonts w:eastAsia="Times New Roman" w:cs="Arial"/>
          <w:color w:val="000000"/>
          <w:lang w:val="en-US"/>
        </w:rPr>
        <w:t xml:space="preserve">mg </w:t>
      </w:r>
      <w:r w:rsidRPr="00926409">
        <w:rPr>
          <w:rFonts w:eastAsia="Times New Roman" w:cs="Arial"/>
          <w:color w:val="000000"/>
          <w:lang w:eastAsia="bg-BG"/>
        </w:rPr>
        <w:t>хидрохлоротиазид (</w:t>
      </w:r>
      <w:r w:rsidRPr="00926409">
        <w:rPr>
          <w:rFonts w:eastAsia="Times New Roman" w:cs="Arial"/>
          <w:i/>
          <w:iCs/>
          <w:color w:val="000000"/>
          <w:lang w:val="en-US"/>
        </w:rPr>
        <w:t>hydrochlorothiazide).</w:t>
      </w:r>
    </w:p>
    <w:p w14:paraId="327F3A08" w14:textId="77777777" w:rsidR="00926409" w:rsidRPr="00926409" w:rsidRDefault="00926409" w:rsidP="00926409">
      <w:pPr>
        <w:spacing w:line="240" w:lineRule="auto"/>
        <w:rPr>
          <w:rFonts w:eastAsia="Times New Roman" w:cs="Arial"/>
          <w:color w:val="000000"/>
          <w:lang w:eastAsia="bg-BG"/>
        </w:rPr>
      </w:pPr>
    </w:p>
    <w:p w14:paraId="3DD8631F" w14:textId="6768973F"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Помощни вещества с известно действие:</w:t>
      </w:r>
    </w:p>
    <w:p w14:paraId="315F7115"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Всяка филмирана таблетка Валтензин Плюс 320 </w:t>
      </w:r>
      <w:r w:rsidRPr="00926409">
        <w:rPr>
          <w:rFonts w:eastAsia="Times New Roman" w:cs="Arial"/>
          <w:color w:val="000000"/>
          <w:lang w:val="en-US"/>
        </w:rPr>
        <w:t xml:space="preserve">mg/12,5 mg </w:t>
      </w:r>
      <w:r w:rsidRPr="00926409">
        <w:rPr>
          <w:rFonts w:eastAsia="Times New Roman" w:cs="Arial"/>
          <w:color w:val="000000"/>
          <w:lang w:eastAsia="bg-BG"/>
        </w:rPr>
        <w:t xml:space="preserve">съдържа 156,38 </w:t>
      </w:r>
      <w:r w:rsidRPr="00926409">
        <w:rPr>
          <w:rFonts w:eastAsia="Times New Roman" w:cs="Arial"/>
          <w:color w:val="000000"/>
          <w:lang w:val="en-US"/>
        </w:rPr>
        <w:t xml:space="preserve">mg </w:t>
      </w:r>
      <w:r w:rsidRPr="00926409">
        <w:rPr>
          <w:rFonts w:eastAsia="Times New Roman" w:cs="Arial"/>
          <w:color w:val="000000"/>
          <w:lang w:eastAsia="bg-BG"/>
        </w:rPr>
        <w:t xml:space="preserve">лактоза монохидрат и 1,01 </w:t>
      </w:r>
      <w:r w:rsidRPr="00926409">
        <w:rPr>
          <w:rFonts w:eastAsia="Times New Roman" w:cs="Arial"/>
          <w:color w:val="000000"/>
          <w:lang w:val="en-US"/>
        </w:rPr>
        <w:t xml:space="preserve">mg </w:t>
      </w:r>
      <w:r w:rsidRPr="00926409">
        <w:rPr>
          <w:rFonts w:eastAsia="Times New Roman" w:cs="Arial"/>
          <w:color w:val="000000"/>
          <w:lang w:eastAsia="bg-BG"/>
        </w:rPr>
        <w:t>лецитин (съдържа соево масло).</w:t>
      </w:r>
    </w:p>
    <w:p w14:paraId="2B71C07F" w14:textId="3581FDC8" w:rsidR="00926409" w:rsidRPr="00926409" w:rsidRDefault="00926409" w:rsidP="00926409">
      <w:pPr>
        <w:rPr>
          <w:rFonts w:cs="Arial"/>
          <w:sz w:val="24"/>
          <w:szCs w:val="24"/>
        </w:rPr>
      </w:pPr>
      <w:r w:rsidRPr="00926409">
        <w:rPr>
          <w:rFonts w:eastAsia="Times New Roman" w:cs="Arial"/>
          <w:color w:val="000000"/>
          <w:lang w:eastAsia="bg-BG"/>
        </w:rPr>
        <w:t xml:space="preserve">Всяка филмирана таблетка Валтензин Плюс 320 </w:t>
      </w:r>
      <w:r w:rsidRPr="00926409">
        <w:rPr>
          <w:rFonts w:eastAsia="Times New Roman" w:cs="Arial"/>
          <w:color w:val="000000"/>
          <w:lang w:val="en-US"/>
        </w:rPr>
        <w:t xml:space="preserve">mg/25 mg </w:t>
      </w:r>
      <w:r w:rsidRPr="00926409">
        <w:rPr>
          <w:rFonts w:eastAsia="Times New Roman" w:cs="Arial"/>
          <w:color w:val="000000"/>
          <w:lang w:eastAsia="bg-BG"/>
        </w:rPr>
        <w:t xml:space="preserve">съдържа 143,88 </w:t>
      </w:r>
      <w:r w:rsidRPr="00926409">
        <w:rPr>
          <w:rFonts w:eastAsia="Times New Roman" w:cs="Arial"/>
          <w:color w:val="000000"/>
          <w:lang w:val="en-US"/>
        </w:rPr>
        <w:t xml:space="preserve">mg </w:t>
      </w:r>
      <w:r w:rsidRPr="00926409">
        <w:rPr>
          <w:rFonts w:eastAsia="Times New Roman" w:cs="Arial"/>
          <w:color w:val="000000"/>
          <w:lang w:eastAsia="bg-BG"/>
        </w:rPr>
        <w:t xml:space="preserve">лактоза монохидрат и 1,01 </w:t>
      </w:r>
      <w:r w:rsidRPr="00926409">
        <w:rPr>
          <w:rFonts w:eastAsia="Times New Roman" w:cs="Arial"/>
          <w:color w:val="000000"/>
          <w:lang w:val="en-US"/>
        </w:rPr>
        <w:t xml:space="preserve">mg </w:t>
      </w:r>
      <w:r w:rsidRPr="00926409">
        <w:rPr>
          <w:rFonts w:eastAsia="Times New Roman" w:cs="Arial"/>
          <w:color w:val="000000"/>
          <w:lang w:eastAsia="bg-BG"/>
        </w:rPr>
        <w:t>лецитин (съдържа соево масло).</w:t>
      </w:r>
    </w:p>
    <w:p w14:paraId="4CABB9ED" w14:textId="1EDA64B4" w:rsidR="00F53FB7" w:rsidRDefault="00DD466D" w:rsidP="00A93499">
      <w:pPr>
        <w:pStyle w:val="Heading1"/>
      </w:pPr>
      <w:r>
        <w:t>3. ЛЕКАРСТВЕНА ФОРМА</w:t>
      </w:r>
    </w:p>
    <w:p w14:paraId="3B56001E" w14:textId="6D4F579C" w:rsidR="00926409" w:rsidRDefault="00926409" w:rsidP="00926409"/>
    <w:p w14:paraId="69D321ED"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Валтензин Плюс 320 </w:t>
      </w:r>
      <w:r w:rsidRPr="00926409">
        <w:rPr>
          <w:rFonts w:eastAsia="Times New Roman" w:cs="Arial"/>
          <w:color w:val="000000"/>
          <w:lang w:val="en-US"/>
        </w:rPr>
        <w:t xml:space="preserve">mg/12,5 mg </w:t>
      </w:r>
      <w:r w:rsidRPr="00926409">
        <w:rPr>
          <w:rFonts w:eastAsia="Times New Roman" w:cs="Arial"/>
          <w:color w:val="000000"/>
          <w:lang w:eastAsia="bg-BG"/>
        </w:rPr>
        <w:t xml:space="preserve">филмирани таблетки: розови, овални, двойноизпъкнали филмирани таблетки, с размери 18,9 х 7,5 </w:t>
      </w:r>
      <w:r w:rsidRPr="00926409">
        <w:rPr>
          <w:rFonts w:eastAsia="Times New Roman" w:cs="Arial"/>
          <w:color w:val="000000"/>
          <w:lang w:val="en-US"/>
        </w:rPr>
        <w:t xml:space="preserve">mm, </w:t>
      </w:r>
      <w:r w:rsidRPr="00926409">
        <w:rPr>
          <w:rFonts w:eastAsia="Times New Roman" w:cs="Arial"/>
          <w:color w:val="000000"/>
          <w:lang w:eastAsia="bg-BG"/>
        </w:rPr>
        <w:t>маркирани с ‘V’ от едната страна и '</w:t>
      </w:r>
      <w:r w:rsidRPr="00926409">
        <w:rPr>
          <w:rFonts w:eastAsia="Times New Roman" w:cs="Arial"/>
          <w:color w:val="000000"/>
          <w:lang w:val="en-US"/>
        </w:rPr>
        <w:t>H'</w:t>
      </w:r>
      <w:r w:rsidRPr="00926409">
        <w:rPr>
          <w:rFonts w:eastAsia="Times New Roman" w:cs="Arial"/>
          <w:color w:val="000000"/>
          <w:lang w:eastAsia="bg-BG"/>
        </w:rPr>
        <w:t xml:space="preserve"> от другата.</w:t>
      </w:r>
    </w:p>
    <w:p w14:paraId="2F27046B" w14:textId="77777777" w:rsidR="00926409" w:rsidRPr="00926409" w:rsidRDefault="00926409" w:rsidP="00926409">
      <w:pPr>
        <w:spacing w:line="240" w:lineRule="auto"/>
        <w:rPr>
          <w:rFonts w:eastAsia="Times New Roman" w:cs="Arial"/>
          <w:color w:val="000000"/>
          <w:lang w:eastAsia="bg-BG"/>
        </w:rPr>
      </w:pPr>
    </w:p>
    <w:p w14:paraId="63C9674C" w14:textId="4E3A56F6"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Валтензин Плюс 320 </w:t>
      </w:r>
      <w:r w:rsidRPr="00926409">
        <w:rPr>
          <w:rFonts w:eastAsia="Times New Roman" w:cs="Arial"/>
          <w:color w:val="000000"/>
          <w:lang w:val="en-US"/>
        </w:rPr>
        <w:t xml:space="preserve">mg/25 mg </w:t>
      </w:r>
      <w:r w:rsidRPr="00926409">
        <w:rPr>
          <w:rFonts w:eastAsia="Times New Roman" w:cs="Arial"/>
          <w:color w:val="000000"/>
          <w:lang w:eastAsia="bg-BG"/>
        </w:rPr>
        <w:t xml:space="preserve">филмирани таблетки: жълти, овални, двойноизпъкнали филмирани таблетки, с размери 18,9 х 7,5 </w:t>
      </w:r>
      <w:r w:rsidRPr="00926409">
        <w:rPr>
          <w:rFonts w:eastAsia="Times New Roman" w:cs="Arial"/>
          <w:color w:val="000000"/>
          <w:lang w:val="en-US"/>
        </w:rPr>
        <w:t xml:space="preserve">mm, </w:t>
      </w:r>
      <w:r w:rsidRPr="00926409">
        <w:rPr>
          <w:rFonts w:eastAsia="Times New Roman" w:cs="Arial"/>
          <w:color w:val="000000"/>
          <w:lang w:eastAsia="bg-BG"/>
        </w:rPr>
        <w:t>делителна черга от едната страна и странични черти, маркирани с ‘V’ от едната страна и ‘Н’ от другата.</w:t>
      </w:r>
    </w:p>
    <w:p w14:paraId="1FE924ED" w14:textId="77777777" w:rsidR="00926409" w:rsidRPr="00926409" w:rsidRDefault="00926409" w:rsidP="00926409">
      <w:pPr>
        <w:spacing w:line="240" w:lineRule="auto"/>
        <w:rPr>
          <w:rFonts w:eastAsia="Times New Roman" w:cs="Arial"/>
          <w:color w:val="000000"/>
          <w:lang w:eastAsia="bg-BG"/>
        </w:rPr>
      </w:pPr>
    </w:p>
    <w:p w14:paraId="408CC585" w14:textId="79DC9FBE"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Таблетката може да бъде разделена на две равни дози.</w:t>
      </w:r>
    </w:p>
    <w:p w14:paraId="17E0FE46" w14:textId="77777777" w:rsidR="00926409" w:rsidRPr="00926409" w:rsidRDefault="00926409" w:rsidP="00926409"/>
    <w:p w14:paraId="490FC2C4" w14:textId="6899DE43" w:rsidR="002C50EE" w:rsidRDefault="002C50EE" w:rsidP="002C50EE">
      <w:pPr>
        <w:pStyle w:val="Heading1"/>
      </w:pPr>
      <w:r>
        <w:t>4. КЛИНИЧНИ ДАННИ</w:t>
      </w:r>
    </w:p>
    <w:p w14:paraId="1A37D275" w14:textId="37A08AA1" w:rsidR="00F53FB7" w:rsidRDefault="002C50EE" w:rsidP="00A93499">
      <w:pPr>
        <w:pStyle w:val="Heading2"/>
      </w:pPr>
      <w:r>
        <w:t>4.1. Терапевтични показания</w:t>
      </w:r>
    </w:p>
    <w:p w14:paraId="24F31C1B" w14:textId="1D89F494" w:rsidR="00926409" w:rsidRDefault="00926409" w:rsidP="00926409"/>
    <w:p w14:paraId="01750894" w14:textId="77777777" w:rsidR="00926409" w:rsidRPr="00926409" w:rsidRDefault="00926409" w:rsidP="00926409">
      <w:pPr>
        <w:rPr>
          <w:sz w:val="24"/>
          <w:szCs w:val="24"/>
          <w:lang w:eastAsia="bg-BG"/>
        </w:rPr>
      </w:pPr>
      <w:r w:rsidRPr="00926409">
        <w:rPr>
          <w:lang w:eastAsia="bg-BG"/>
        </w:rPr>
        <w:t>Лечение на есенциална хипертония при възрастни.</w:t>
      </w:r>
    </w:p>
    <w:p w14:paraId="3E324C1C" w14:textId="77777777" w:rsidR="00926409" w:rsidRDefault="00926409" w:rsidP="00926409">
      <w:pPr>
        <w:rPr>
          <w:lang w:eastAsia="bg-BG"/>
        </w:rPr>
      </w:pPr>
    </w:p>
    <w:p w14:paraId="01D6C2F4" w14:textId="6E86A344" w:rsidR="00926409" w:rsidRPr="00926409" w:rsidRDefault="00926409" w:rsidP="00926409">
      <w:pPr>
        <w:rPr>
          <w:sz w:val="24"/>
          <w:szCs w:val="24"/>
          <w:lang w:eastAsia="bg-BG"/>
        </w:rPr>
      </w:pPr>
      <w:r w:rsidRPr="00926409">
        <w:rPr>
          <w:lang w:eastAsia="bg-BG"/>
        </w:rPr>
        <w:t>Валтензин Плюс фиксирана дозова комбинация е показан при пациенти, чието кръвно налягане не се контролира адекватно от монотерапия с валсартан или хидрохлоротиазид.</w:t>
      </w:r>
    </w:p>
    <w:p w14:paraId="50789127" w14:textId="77777777" w:rsidR="00926409" w:rsidRPr="00926409" w:rsidRDefault="00926409" w:rsidP="00926409"/>
    <w:p w14:paraId="05D17336" w14:textId="67204480" w:rsidR="00F53FB7" w:rsidRDefault="002C50EE" w:rsidP="00A93499">
      <w:pPr>
        <w:pStyle w:val="Heading2"/>
      </w:pPr>
      <w:r>
        <w:lastRenderedPageBreak/>
        <w:t>4.2. Дозировка и начин на приложение</w:t>
      </w:r>
    </w:p>
    <w:p w14:paraId="5BF0DEA8" w14:textId="429AAC0C" w:rsidR="00926409" w:rsidRDefault="00926409" w:rsidP="00926409"/>
    <w:p w14:paraId="6589F97A" w14:textId="77777777" w:rsidR="00926409" w:rsidRPr="00926409" w:rsidRDefault="00926409" w:rsidP="00926409">
      <w:pPr>
        <w:pStyle w:val="Heading3"/>
        <w:rPr>
          <w:rFonts w:eastAsia="Times New Roman"/>
          <w:sz w:val="28"/>
          <w:szCs w:val="28"/>
          <w:u w:val="single"/>
          <w:lang w:eastAsia="bg-BG"/>
        </w:rPr>
      </w:pPr>
      <w:r w:rsidRPr="00926409">
        <w:rPr>
          <w:rFonts w:eastAsia="Times New Roman"/>
          <w:u w:val="single"/>
          <w:lang w:eastAsia="bg-BG"/>
        </w:rPr>
        <w:t>Дозировка</w:t>
      </w:r>
    </w:p>
    <w:p w14:paraId="1E275EBF" w14:textId="77777777" w:rsidR="00926409" w:rsidRPr="00926409" w:rsidRDefault="00926409" w:rsidP="00926409">
      <w:pPr>
        <w:rPr>
          <w:rFonts w:eastAsia="Times New Roman" w:cs="Arial"/>
          <w:sz w:val="28"/>
          <w:szCs w:val="28"/>
          <w:lang w:eastAsia="bg-BG"/>
        </w:rPr>
      </w:pPr>
      <w:r w:rsidRPr="00926409">
        <w:rPr>
          <w:rFonts w:eastAsia="Times New Roman" w:cs="Arial"/>
          <w:color w:val="000000"/>
          <w:lang w:eastAsia="bg-BG"/>
        </w:rPr>
        <w:t xml:space="preserve">Препоръчителната доза Валтензин Плюс е една филмирана таблетка Валтензин Плюс 320 </w:t>
      </w:r>
      <w:r w:rsidRPr="00926409">
        <w:rPr>
          <w:rFonts w:eastAsia="Times New Roman" w:cs="Arial"/>
          <w:color w:val="000000"/>
          <w:lang w:val="en-US"/>
        </w:rPr>
        <w:t xml:space="preserve">mg/12,5 mg </w:t>
      </w:r>
      <w:r w:rsidRPr="00926409">
        <w:rPr>
          <w:rFonts w:eastAsia="Times New Roman" w:cs="Arial"/>
          <w:color w:val="000000"/>
          <w:lang w:eastAsia="bg-BG"/>
        </w:rPr>
        <w:t xml:space="preserve">или Валтензин Плюс 320 </w:t>
      </w:r>
      <w:r w:rsidRPr="00926409">
        <w:rPr>
          <w:rFonts w:eastAsia="Times New Roman" w:cs="Arial"/>
          <w:color w:val="000000"/>
          <w:lang w:val="en-US"/>
        </w:rPr>
        <w:t xml:space="preserve">mg/25 mg </w:t>
      </w:r>
      <w:r w:rsidRPr="00926409">
        <w:rPr>
          <w:rFonts w:eastAsia="Times New Roman" w:cs="Arial"/>
          <w:color w:val="000000"/>
          <w:lang w:eastAsia="bg-BG"/>
        </w:rPr>
        <w:t>веднъж дневно. Препоръчва се титриране на дозите на отделните компоненти. При всеки случай, повишаването на дозата на отделните</w:t>
      </w:r>
      <w:r w:rsidRPr="00926409">
        <w:rPr>
          <w:rFonts w:eastAsia="Times New Roman" w:cs="Arial"/>
          <w:color w:val="000000"/>
          <w:lang w:val="en-US" w:eastAsia="bg-BG"/>
        </w:rPr>
        <w:t xml:space="preserve"> </w:t>
      </w:r>
      <w:r w:rsidRPr="00926409">
        <w:rPr>
          <w:rFonts w:eastAsia="Times New Roman" w:cs="Arial"/>
          <w:color w:val="000000"/>
          <w:lang w:eastAsia="bg-BG"/>
        </w:rPr>
        <w:t>компоненти трябва да се проследи до следващата доза, за да се намали риска от хипотония и други нежелани лекарствени реакции.</w:t>
      </w:r>
    </w:p>
    <w:p w14:paraId="676A7736"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Когато е уместно от клинична гледна точка, би могло да се обмисли директно преминаване от монотерапия към лечение с комбинация от фиксирани дози при пациенти, чието кръвно налягане не се контролира адекватно от монотерапия с валсартан или хидрохлоротиазид, при условие, че се следва препоръчваното титриране на дозите на отделните компоненти.</w:t>
      </w:r>
    </w:p>
    <w:p w14:paraId="0781EBA4" w14:textId="77777777" w:rsidR="00926409" w:rsidRPr="00926409" w:rsidRDefault="00926409" w:rsidP="00926409">
      <w:pPr>
        <w:spacing w:line="240" w:lineRule="auto"/>
        <w:rPr>
          <w:rFonts w:eastAsia="Times New Roman" w:cs="Arial"/>
          <w:color w:val="000000"/>
          <w:lang w:eastAsia="bg-BG"/>
        </w:rPr>
      </w:pPr>
    </w:p>
    <w:p w14:paraId="7A6C4ACD" w14:textId="10FE514F"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Клиничният отговор спрямо Валтензин Плюс трябва да се оцени след започване на лечението и ако не се постигне контрол на кръвното налягане, дозата може да се повиши чрез повишаване на отделните компоненти до максимална доза 320 </w:t>
      </w:r>
      <w:r w:rsidRPr="00926409">
        <w:rPr>
          <w:rFonts w:eastAsia="Times New Roman" w:cs="Arial"/>
          <w:color w:val="000000"/>
          <w:lang w:val="en-US"/>
        </w:rPr>
        <w:t xml:space="preserve">mg/25 mg </w:t>
      </w:r>
      <w:r w:rsidRPr="00926409">
        <w:rPr>
          <w:rFonts w:eastAsia="Times New Roman" w:cs="Arial"/>
          <w:color w:val="000000"/>
          <w:lang w:eastAsia="bg-BG"/>
        </w:rPr>
        <w:t>Валтензин Плюс,</w:t>
      </w:r>
    </w:p>
    <w:p w14:paraId="2393250C" w14:textId="77777777" w:rsidR="00926409" w:rsidRPr="00926409" w:rsidRDefault="00926409" w:rsidP="00926409">
      <w:pPr>
        <w:spacing w:line="240" w:lineRule="auto"/>
        <w:rPr>
          <w:rFonts w:eastAsia="Times New Roman" w:cs="Arial"/>
          <w:color w:val="000000"/>
          <w:lang w:eastAsia="bg-BG"/>
        </w:rPr>
      </w:pPr>
    </w:p>
    <w:p w14:paraId="277E81CD" w14:textId="1E399EF0"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Антихипертензивният ефект е подчертано наличен в рамките на 2 седмици.</w:t>
      </w:r>
    </w:p>
    <w:p w14:paraId="3B465B88"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При повечето пациенти, максимални ефекти се наблюдават в рамките на 4 седмици. Въпреки това, при някои пациенти, може да е необходимо лечение от 4-8 седмици. Това трябва да се има предвид при титрирането на дозата.</w:t>
      </w:r>
    </w:p>
    <w:p w14:paraId="4340A69C" w14:textId="77777777" w:rsidR="00926409" w:rsidRPr="00926409" w:rsidRDefault="00926409" w:rsidP="00926409">
      <w:pPr>
        <w:spacing w:line="240" w:lineRule="auto"/>
        <w:rPr>
          <w:rFonts w:eastAsia="Times New Roman" w:cs="Arial"/>
          <w:color w:val="000000"/>
          <w:lang w:eastAsia="bg-BG"/>
        </w:rPr>
      </w:pPr>
    </w:p>
    <w:p w14:paraId="153243E1" w14:textId="5F00F840"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Ако не се наблюдава съответният ефект с Валтензин Плюс 320 </w:t>
      </w:r>
      <w:r w:rsidRPr="00926409">
        <w:rPr>
          <w:rFonts w:eastAsia="Times New Roman" w:cs="Arial"/>
          <w:color w:val="000000"/>
          <w:lang w:val="en-US"/>
        </w:rPr>
        <w:t xml:space="preserve">mg/25 mg </w:t>
      </w:r>
      <w:r w:rsidRPr="00926409">
        <w:rPr>
          <w:rFonts w:eastAsia="Times New Roman" w:cs="Arial"/>
          <w:color w:val="000000"/>
          <w:lang w:eastAsia="bg-BG"/>
        </w:rPr>
        <w:t>след 8 седмици, трябва да се обмисли лечение с допълнителен или алтернативен антихипертензивен лекарствен продукт (вж. точки 4.3, 4.4, 4,5 и 5,1).</w:t>
      </w:r>
    </w:p>
    <w:p w14:paraId="3C3E23DB" w14:textId="77777777" w:rsidR="00926409" w:rsidRPr="00926409" w:rsidRDefault="00926409" w:rsidP="00926409">
      <w:pPr>
        <w:spacing w:line="240" w:lineRule="auto"/>
        <w:rPr>
          <w:rFonts w:eastAsia="Times New Roman" w:cs="Arial"/>
          <w:i/>
          <w:iCs/>
          <w:color w:val="000000"/>
          <w:u w:val="single"/>
          <w:lang w:eastAsia="bg-BG"/>
        </w:rPr>
      </w:pPr>
    </w:p>
    <w:p w14:paraId="4462CF8D" w14:textId="22449613" w:rsidR="00926409" w:rsidRPr="00926409" w:rsidRDefault="00926409" w:rsidP="00926409">
      <w:pPr>
        <w:spacing w:line="240" w:lineRule="auto"/>
        <w:rPr>
          <w:rFonts w:eastAsia="Times New Roman" w:cs="Arial"/>
          <w:sz w:val="28"/>
          <w:szCs w:val="28"/>
          <w:lang w:eastAsia="bg-BG"/>
        </w:rPr>
      </w:pPr>
      <w:r w:rsidRPr="00926409">
        <w:rPr>
          <w:rFonts w:eastAsia="Times New Roman" w:cs="Arial"/>
          <w:i/>
          <w:iCs/>
          <w:color w:val="000000"/>
          <w:u w:val="single"/>
          <w:lang w:eastAsia="bg-BG"/>
        </w:rPr>
        <w:t>Специални популации</w:t>
      </w:r>
    </w:p>
    <w:p w14:paraId="0917F2DD" w14:textId="77777777" w:rsidR="00926409" w:rsidRPr="00926409" w:rsidRDefault="00926409" w:rsidP="00926409">
      <w:pPr>
        <w:spacing w:line="240" w:lineRule="auto"/>
        <w:rPr>
          <w:rFonts w:eastAsia="Times New Roman" w:cs="Arial"/>
          <w:i/>
          <w:iCs/>
          <w:color w:val="000000"/>
          <w:lang w:eastAsia="bg-BG"/>
        </w:rPr>
      </w:pPr>
    </w:p>
    <w:p w14:paraId="1DC132A2" w14:textId="36F250F1" w:rsidR="00926409" w:rsidRPr="00926409" w:rsidRDefault="00926409" w:rsidP="00926409">
      <w:pPr>
        <w:spacing w:line="240" w:lineRule="auto"/>
        <w:rPr>
          <w:rFonts w:eastAsia="Times New Roman" w:cs="Arial"/>
          <w:sz w:val="28"/>
          <w:szCs w:val="28"/>
          <w:lang w:eastAsia="bg-BG"/>
        </w:rPr>
      </w:pPr>
      <w:r w:rsidRPr="00926409">
        <w:rPr>
          <w:rFonts w:eastAsia="Times New Roman" w:cs="Arial"/>
          <w:i/>
          <w:iCs/>
          <w:color w:val="000000"/>
          <w:lang w:eastAsia="bg-BG"/>
        </w:rPr>
        <w:t>Бъбречно увреждане</w:t>
      </w:r>
    </w:p>
    <w:p w14:paraId="17C04599"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Не се налага коригиране на дозата при пациенти с леко до умерено бъбречно увреждане (скорост на гломерулна филтрация </w:t>
      </w:r>
      <w:r w:rsidRPr="00926409">
        <w:rPr>
          <w:rFonts w:eastAsia="Times New Roman" w:cs="Arial"/>
          <w:color w:val="000000"/>
          <w:lang w:val="en-US"/>
        </w:rPr>
        <w:t xml:space="preserve">(GFR) </w:t>
      </w:r>
      <w:r w:rsidRPr="00926409">
        <w:rPr>
          <w:rFonts w:eastAsia="Times New Roman" w:cs="Arial"/>
          <w:color w:val="000000"/>
          <w:lang w:eastAsia="bg-BG"/>
        </w:rPr>
        <w:t xml:space="preserve">&gt; 30 </w:t>
      </w:r>
      <w:r w:rsidRPr="00926409">
        <w:rPr>
          <w:rFonts w:eastAsia="Times New Roman" w:cs="Arial"/>
          <w:color w:val="000000"/>
          <w:lang w:val="en-US"/>
        </w:rPr>
        <w:t xml:space="preserve">ml/min). </w:t>
      </w:r>
      <w:r w:rsidRPr="00926409">
        <w:rPr>
          <w:rFonts w:eastAsia="Times New Roman" w:cs="Arial"/>
          <w:color w:val="000000"/>
          <w:lang w:eastAsia="bg-BG"/>
        </w:rPr>
        <w:t xml:space="preserve">Поради хидрохлоротиазидната компонента, Валтензин Плюс е противопоказан при пациенти с тежко бъбречно увреждане </w:t>
      </w:r>
      <w:r w:rsidRPr="00926409">
        <w:rPr>
          <w:rFonts w:eastAsia="Times New Roman" w:cs="Arial"/>
          <w:color w:val="000000"/>
          <w:lang w:val="en-US"/>
        </w:rPr>
        <w:t xml:space="preserve">(GFR </w:t>
      </w:r>
      <w:r w:rsidRPr="00926409">
        <w:rPr>
          <w:rFonts w:eastAsia="Times New Roman" w:cs="Arial"/>
          <w:color w:val="000000"/>
          <w:lang w:eastAsia="bg-BG"/>
        </w:rPr>
        <w:t xml:space="preserve">&lt; 30 </w:t>
      </w:r>
      <w:r w:rsidRPr="00926409">
        <w:rPr>
          <w:rFonts w:eastAsia="Times New Roman" w:cs="Arial"/>
          <w:color w:val="000000"/>
          <w:lang w:val="en-US"/>
        </w:rPr>
        <w:t xml:space="preserve">ml/min) </w:t>
      </w:r>
      <w:r w:rsidRPr="00926409">
        <w:rPr>
          <w:rFonts w:eastAsia="Times New Roman" w:cs="Arial"/>
          <w:color w:val="000000"/>
          <w:lang w:eastAsia="bg-BG"/>
        </w:rPr>
        <w:t>и анурия (вж. точки 4.3,4.4 и 5,2).</w:t>
      </w:r>
    </w:p>
    <w:p w14:paraId="2765D859" w14:textId="77777777" w:rsidR="00926409" w:rsidRPr="00926409" w:rsidRDefault="00926409" w:rsidP="00926409">
      <w:pPr>
        <w:spacing w:line="240" w:lineRule="auto"/>
        <w:rPr>
          <w:rFonts w:eastAsia="Times New Roman" w:cs="Arial"/>
          <w:i/>
          <w:iCs/>
          <w:color w:val="000000"/>
          <w:lang w:eastAsia="bg-BG"/>
        </w:rPr>
      </w:pPr>
    </w:p>
    <w:p w14:paraId="463AC2C4" w14:textId="76CCBC6F" w:rsidR="00926409" w:rsidRPr="00926409" w:rsidRDefault="00926409" w:rsidP="00926409">
      <w:pPr>
        <w:spacing w:line="240" w:lineRule="auto"/>
        <w:rPr>
          <w:rFonts w:eastAsia="Times New Roman" w:cs="Arial"/>
          <w:sz w:val="28"/>
          <w:szCs w:val="28"/>
          <w:lang w:eastAsia="bg-BG"/>
        </w:rPr>
      </w:pPr>
      <w:r w:rsidRPr="00926409">
        <w:rPr>
          <w:rFonts w:eastAsia="Times New Roman" w:cs="Arial"/>
          <w:i/>
          <w:iCs/>
          <w:color w:val="000000"/>
          <w:lang w:eastAsia="bg-BG"/>
        </w:rPr>
        <w:t>Чернодробно увреждане</w:t>
      </w:r>
    </w:p>
    <w:p w14:paraId="574EBE48"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При пациенти с леко до умерено чернодробно увреждане без холестаза, дозата валсартан не трябва да превишава 80 </w:t>
      </w:r>
      <w:r w:rsidRPr="00926409">
        <w:rPr>
          <w:rFonts w:eastAsia="Times New Roman" w:cs="Arial"/>
          <w:color w:val="000000"/>
          <w:lang w:val="en-US"/>
        </w:rPr>
        <w:t xml:space="preserve">mg </w:t>
      </w:r>
      <w:r w:rsidRPr="00926409">
        <w:rPr>
          <w:rFonts w:eastAsia="Times New Roman" w:cs="Arial"/>
          <w:color w:val="000000"/>
          <w:lang w:eastAsia="bg-BG"/>
        </w:rPr>
        <w:t>(вж. точка 4.4). При пациенти с леки до умерени чернодробни нарушения не се изисква коригиране на дозата хидрохлоротиазид. Поради съдържанието на валсартан Валтензин Плюс е противопоказан при пациенти с тежко чернодробно увреждане или с билиарна цироза и холестаза (вж. точки 4.3,4.4 и 5.2).</w:t>
      </w:r>
    </w:p>
    <w:p w14:paraId="1E47F01B" w14:textId="77777777" w:rsidR="00926409" w:rsidRPr="00926409" w:rsidRDefault="00926409" w:rsidP="00926409">
      <w:pPr>
        <w:spacing w:line="240" w:lineRule="auto"/>
        <w:rPr>
          <w:rFonts w:eastAsia="Times New Roman" w:cs="Arial"/>
          <w:i/>
          <w:iCs/>
          <w:color w:val="000000"/>
          <w:lang w:eastAsia="bg-BG"/>
        </w:rPr>
      </w:pPr>
    </w:p>
    <w:p w14:paraId="02E6AB46" w14:textId="0929A913" w:rsidR="00926409" w:rsidRPr="00926409" w:rsidRDefault="00926409" w:rsidP="00926409">
      <w:pPr>
        <w:spacing w:line="240" w:lineRule="auto"/>
        <w:rPr>
          <w:rFonts w:eastAsia="Times New Roman" w:cs="Arial"/>
          <w:sz w:val="28"/>
          <w:szCs w:val="28"/>
          <w:lang w:eastAsia="bg-BG"/>
        </w:rPr>
      </w:pPr>
      <w:r w:rsidRPr="00926409">
        <w:rPr>
          <w:rFonts w:eastAsia="Times New Roman" w:cs="Arial"/>
          <w:i/>
          <w:iCs/>
          <w:color w:val="000000"/>
          <w:lang w:eastAsia="bg-BG"/>
        </w:rPr>
        <w:t>Старческа възраст</w:t>
      </w:r>
    </w:p>
    <w:p w14:paraId="66454B1C"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Не се налага промяна в дозировката при пациенти в старческа възраст.</w:t>
      </w:r>
    </w:p>
    <w:p w14:paraId="6337A6E4" w14:textId="77777777" w:rsidR="00926409" w:rsidRPr="00926409" w:rsidRDefault="00926409" w:rsidP="00926409">
      <w:pPr>
        <w:spacing w:line="240" w:lineRule="auto"/>
        <w:rPr>
          <w:rFonts w:eastAsia="Times New Roman" w:cs="Arial"/>
          <w:i/>
          <w:iCs/>
          <w:color w:val="000000"/>
          <w:lang w:eastAsia="bg-BG"/>
        </w:rPr>
      </w:pPr>
    </w:p>
    <w:p w14:paraId="0B5F513C" w14:textId="48D30A1C" w:rsidR="00926409" w:rsidRPr="00926409" w:rsidRDefault="00926409" w:rsidP="00926409">
      <w:pPr>
        <w:spacing w:line="240" w:lineRule="auto"/>
        <w:rPr>
          <w:rFonts w:eastAsia="Times New Roman" w:cs="Arial"/>
          <w:sz w:val="28"/>
          <w:szCs w:val="28"/>
          <w:lang w:eastAsia="bg-BG"/>
        </w:rPr>
      </w:pPr>
      <w:r w:rsidRPr="00926409">
        <w:rPr>
          <w:rFonts w:eastAsia="Times New Roman" w:cs="Arial"/>
          <w:i/>
          <w:iCs/>
          <w:color w:val="000000"/>
          <w:lang w:eastAsia="bg-BG"/>
        </w:rPr>
        <w:t>Педиатрична популация</w:t>
      </w:r>
    </w:p>
    <w:p w14:paraId="62BC3007"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Валтензин Плюс не се препоръчва за употреба при деца под 18 години, поради липсата на данни за безопасност и ефикасност.</w:t>
      </w:r>
    </w:p>
    <w:p w14:paraId="4F20189E" w14:textId="77777777" w:rsidR="00926409" w:rsidRPr="00926409" w:rsidRDefault="00926409" w:rsidP="00926409">
      <w:pPr>
        <w:spacing w:line="240" w:lineRule="auto"/>
        <w:rPr>
          <w:rFonts w:eastAsia="Times New Roman" w:cs="Arial"/>
          <w:color w:val="000000"/>
          <w:u w:val="single"/>
          <w:lang w:eastAsia="bg-BG"/>
        </w:rPr>
      </w:pPr>
    </w:p>
    <w:p w14:paraId="688B7673" w14:textId="690A670C" w:rsidR="00926409" w:rsidRPr="00926409" w:rsidRDefault="00926409" w:rsidP="00926409">
      <w:pPr>
        <w:pStyle w:val="Heading3"/>
        <w:rPr>
          <w:rFonts w:eastAsia="Times New Roman"/>
          <w:sz w:val="28"/>
          <w:szCs w:val="28"/>
          <w:u w:val="single"/>
          <w:lang w:eastAsia="bg-BG"/>
        </w:rPr>
      </w:pPr>
      <w:r w:rsidRPr="00926409">
        <w:rPr>
          <w:rFonts w:eastAsia="Times New Roman"/>
          <w:u w:val="single"/>
          <w:lang w:eastAsia="bg-BG"/>
        </w:rPr>
        <w:lastRenderedPageBreak/>
        <w:t>Начин на приложение</w:t>
      </w:r>
    </w:p>
    <w:p w14:paraId="42C71A1B" w14:textId="60ADDE06" w:rsidR="00926409" w:rsidRDefault="00926409" w:rsidP="00926409">
      <w:pPr>
        <w:rPr>
          <w:rFonts w:eastAsia="Times New Roman" w:cs="Arial"/>
          <w:color w:val="000000"/>
          <w:lang w:eastAsia="bg-BG"/>
        </w:rPr>
      </w:pPr>
      <w:r w:rsidRPr="00926409">
        <w:rPr>
          <w:rFonts w:eastAsia="Times New Roman" w:cs="Arial"/>
          <w:color w:val="000000"/>
          <w:lang w:eastAsia="bg-BG"/>
        </w:rPr>
        <w:t>Валтензин Плюс може да се приема със или без храна и трябва да се приема с вода.</w:t>
      </w:r>
    </w:p>
    <w:p w14:paraId="092B669F" w14:textId="77777777" w:rsidR="00926409" w:rsidRPr="00926409" w:rsidRDefault="00926409" w:rsidP="00926409">
      <w:pPr>
        <w:rPr>
          <w:rFonts w:cs="Arial"/>
          <w:sz w:val="24"/>
          <w:szCs w:val="24"/>
          <w:lang w:val="en-US"/>
        </w:rPr>
      </w:pPr>
    </w:p>
    <w:p w14:paraId="1BF2EFF4" w14:textId="610C9E74" w:rsidR="001A6EBD" w:rsidRDefault="002C50EE" w:rsidP="00471F10">
      <w:pPr>
        <w:pStyle w:val="Heading2"/>
      </w:pPr>
      <w:r>
        <w:t>4.3. Противопоказания</w:t>
      </w:r>
    </w:p>
    <w:p w14:paraId="3C27A6ED" w14:textId="583BA352" w:rsidR="00926409" w:rsidRDefault="00926409" w:rsidP="00926409"/>
    <w:p w14:paraId="2F449D0D" w14:textId="77777777" w:rsidR="00926409" w:rsidRPr="00926409" w:rsidRDefault="00926409" w:rsidP="00926409">
      <w:pPr>
        <w:pStyle w:val="ListParagraph"/>
        <w:numPr>
          <w:ilvl w:val="0"/>
          <w:numId w:val="40"/>
        </w:numPr>
        <w:spacing w:line="240" w:lineRule="auto"/>
        <w:rPr>
          <w:rFonts w:eastAsia="Times New Roman" w:cs="Arial"/>
          <w:sz w:val="28"/>
          <w:szCs w:val="28"/>
          <w:lang w:eastAsia="bg-BG"/>
        </w:rPr>
      </w:pPr>
      <w:r w:rsidRPr="00926409">
        <w:rPr>
          <w:rFonts w:eastAsia="Times New Roman" w:cs="Arial"/>
          <w:color w:val="000000"/>
          <w:lang w:eastAsia="bg-BG"/>
        </w:rPr>
        <w:t>Свръхчувствителност към активните вещества, към други сулфонамид-производни лекарствени продукти или към някое от помощните вещества, изброени в точка 6.1.</w:t>
      </w:r>
    </w:p>
    <w:p w14:paraId="1373F458" w14:textId="77777777" w:rsidR="00926409" w:rsidRPr="00926409" w:rsidRDefault="00926409" w:rsidP="00926409">
      <w:pPr>
        <w:pStyle w:val="ListParagraph"/>
        <w:numPr>
          <w:ilvl w:val="0"/>
          <w:numId w:val="40"/>
        </w:numPr>
        <w:spacing w:line="240" w:lineRule="auto"/>
        <w:rPr>
          <w:rFonts w:eastAsia="Times New Roman" w:cs="Arial"/>
          <w:sz w:val="28"/>
          <w:szCs w:val="28"/>
          <w:lang w:eastAsia="bg-BG"/>
        </w:rPr>
      </w:pPr>
      <w:r w:rsidRPr="00926409">
        <w:rPr>
          <w:rFonts w:eastAsia="Times New Roman" w:cs="Arial"/>
          <w:color w:val="000000"/>
          <w:lang w:eastAsia="bg-BG"/>
        </w:rPr>
        <w:t>Втори и трети триместри на бременността (вж. точки 4,4 и 4.6),</w:t>
      </w:r>
    </w:p>
    <w:p w14:paraId="7A99405E" w14:textId="77777777" w:rsidR="00926409" w:rsidRPr="00926409" w:rsidRDefault="00926409" w:rsidP="00926409">
      <w:pPr>
        <w:pStyle w:val="ListParagraph"/>
        <w:numPr>
          <w:ilvl w:val="0"/>
          <w:numId w:val="40"/>
        </w:numPr>
        <w:spacing w:line="240" w:lineRule="auto"/>
        <w:rPr>
          <w:rFonts w:eastAsia="Times New Roman" w:cs="Arial"/>
          <w:sz w:val="28"/>
          <w:szCs w:val="28"/>
          <w:lang w:eastAsia="bg-BG"/>
        </w:rPr>
      </w:pPr>
      <w:r w:rsidRPr="00926409">
        <w:rPr>
          <w:rFonts w:eastAsia="Times New Roman" w:cs="Arial"/>
          <w:color w:val="000000"/>
          <w:lang w:eastAsia="bg-BG"/>
        </w:rPr>
        <w:t>Тежко чернодробно увреждане, билиарна цироза и холестаза.</w:t>
      </w:r>
    </w:p>
    <w:p w14:paraId="03BB62A8" w14:textId="77777777" w:rsidR="00926409" w:rsidRPr="00926409" w:rsidRDefault="00926409" w:rsidP="00926409">
      <w:pPr>
        <w:pStyle w:val="ListParagraph"/>
        <w:numPr>
          <w:ilvl w:val="0"/>
          <w:numId w:val="40"/>
        </w:numPr>
        <w:spacing w:line="240" w:lineRule="auto"/>
        <w:rPr>
          <w:rFonts w:eastAsia="Times New Roman" w:cs="Arial"/>
          <w:sz w:val="28"/>
          <w:szCs w:val="28"/>
          <w:lang w:eastAsia="bg-BG"/>
        </w:rPr>
      </w:pPr>
      <w:r w:rsidRPr="00926409">
        <w:rPr>
          <w:rFonts w:eastAsia="Times New Roman" w:cs="Arial"/>
          <w:color w:val="000000"/>
          <w:lang w:eastAsia="bg-BG"/>
        </w:rPr>
        <w:t xml:space="preserve">Тежко бъбречно увреждане (креатининов клирънс &lt;30 </w:t>
      </w:r>
      <w:r w:rsidRPr="00926409">
        <w:rPr>
          <w:rFonts w:eastAsia="Times New Roman" w:cs="Arial"/>
          <w:color w:val="000000"/>
          <w:lang w:val="en-US"/>
        </w:rPr>
        <w:t xml:space="preserve">ml/min), </w:t>
      </w:r>
      <w:r w:rsidRPr="00926409">
        <w:rPr>
          <w:rFonts w:eastAsia="Times New Roman" w:cs="Arial"/>
          <w:color w:val="000000"/>
          <w:lang w:eastAsia="bg-BG"/>
        </w:rPr>
        <w:t>анурия.</w:t>
      </w:r>
    </w:p>
    <w:p w14:paraId="38E90BF4" w14:textId="77777777" w:rsidR="00926409" w:rsidRPr="00926409" w:rsidRDefault="00926409" w:rsidP="00926409">
      <w:pPr>
        <w:pStyle w:val="ListParagraph"/>
        <w:numPr>
          <w:ilvl w:val="0"/>
          <w:numId w:val="40"/>
        </w:numPr>
        <w:spacing w:line="240" w:lineRule="auto"/>
        <w:rPr>
          <w:rFonts w:eastAsia="Times New Roman" w:cs="Arial"/>
          <w:sz w:val="28"/>
          <w:szCs w:val="28"/>
          <w:lang w:eastAsia="bg-BG"/>
        </w:rPr>
      </w:pPr>
      <w:r w:rsidRPr="00926409">
        <w:rPr>
          <w:rFonts w:eastAsia="Times New Roman" w:cs="Arial"/>
          <w:color w:val="000000"/>
          <w:lang w:eastAsia="bg-BG"/>
        </w:rPr>
        <w:t>Рефрактерна хипокал иемия, хипонатриемия, хиперкалциемия и симптоматична хиперурикемия.</w:t>
      </w:r>
    </w:p>
    <w:p w14:paraId="02F556BC" w14:textId="5F7C5E63" w:rsidR="00926409" w:rsidRPr="00926409" w:rsidRDefault="00926409" w:rsidP="00926409">
      <w:pPr>
        <w:pStyle w:val="ListParagraph"/>
        <w:numPr>
          <w:ilvl w:val="0"/>
          <w:numId w:val="40"/>
        </w:numPr>
        <w:spacing w:line="240" w:lineRule="auto"/>
        <w:rPr>
          <w:rFonts w:eastAsia="Times New Roman" w:cs="Arial"/>
          <w:sz w:val="28"/>
          <w:szCs w:val="28"/>
          <w:lang w:eastAsia="bg-BG"/>
        </w:rPr>
      </w:pPr>
      <w:r w:rsidRPr="00926409">
        <w:rPr>
          <w:rFonts w:eastAsia="Times New Roman" w:cs="Arial"/>
          <w:color w:val="000000"/>
          <w:lang w:eastAsia="bg-BG"/>
        </w:rPr>
        <w:t xml:space="preserve">Едновременна употреба на Валтензин Плюс с алискирен-съдържащи продукти при пациенти със захарен диабет или бъбречно увреждане </w:t>
      </w:r>
      <w:r w:rsidRPr="00926409">
        <w:rPr>
          <w:rFonts w:eastAsia="Times New Roman" w:cs="Arial"/>
          <w:color w:val="000000"/>
          <w:lang w:val="en-US"/>
        </w:rPr>
        <w:t xml:space="preserve">(GFR </w:t>
      </w:r>
      <w:r w:rsidRPr="00926409">
        <w:rPr>
          <w:rFonts w:eastAsia="Times New Roman" w:cs="Arial"/>
          <w:color w:val="000000"/>
          <w:lang w:eastAsia="bg-BG"/>
        </w:rPr>
        <w:t xml:space="preserve">&lt; 60 </w:t>
      </w:r>
      <w:r w:rsidRPr="00926409">
        <w:rPr>
          <w:rFonts w:eastAsia="Times New Roman" w:cs="Arial"/>
          <w:color w:val="000000"/>
          <w:lang w:val="en-US"/>
        </w:rPr>
        <w:t>ml/min/1,73 m</w:t>
      </w:r>
      <w:r w:rsidRPr="00926409">
        <w:rPr>
          <w:rFonts w:eastAsia="Times New Roman" w:cs="Arial"/>
          <w:color w:val="000000"/>
          <w:vertAlign w:val="superscript"/>
          <w:lang w:val="en-US"/>
        </w:rPr>
        <w:t>2</w:t>
      </w:r>
      <w:r w:rsidRPr="00926409">
        <w:rPr>
          <w:rFonts w:eastAsia="Times New Roman" w:cs="Arial"/>
          <w:color w:val="000000"/>
          <w:lang w:val="en-US"/>
        </w:rPr>
        <w:t>)(</w:t>
      </w:r>
      <w:r w:rsidRPr="00926409">
        <w:rPr>
          <w:rFonts w:eastAsia="Times New Roman" w:cs="Arial"/>
          <w:color w:val="000000"/>
          <w:lang w:eastAsia="bg-BG"/>
        </w:rPr>
        <w:t>вж. точки 4.5 и 5.1).</w:t>
      </w:r>
    </w:p>
    <w:p w14:paraId="413DF87F" w14:textId="77777777" w:rsidR="00926409" w:rsidRPr="00926409" w:rsidRDefault="00926409" w:rsidP="00926409">
      <w:pPr>
        <w:spacing w:line="240" w:lineRule="auto"/>
        <w:rPr>
          <w:rFonts w:ascii="Times New Roman" w:eastAsia="Times New Roman" w:hAnsi="Times New Roman" w:cs="Times New Roman"/>
          <w:sz w:val="24"/>
          <w:szCs w:val="24"/>
          <w:lang w:eastAsia="bg-BG"/>
        </w:rPr>
      </w:pPr>
    </w:p>
    <w:p w14:paraId="0C106098" w14:textId="19B06AEB" w:rsidR="001A6EBD" w:rsidRDefault="002C50EE" w:rsidP="00471F10">
      <w:pPr>
        <w:pStyle w:val="Heading2"/>
      </w:pPr>
      <w:r>
        <w:t>4.4. Специални предупреждения и предпазни мерки при употреба</w:t>
      </w:r>
    </w:p>
    <w:p w14:paraId="20028A5F" w14:textId="1C831F8D" w:rsidR="00926409" w:rsidRDefault="00926409" w:rsidP="00926409"/>
    <w:p w14:paraId="22B96D66"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Промени в нивата на серумните електролити</w:t>
      </w:r>
    </w:p>
    <w:p w14:paraId="395EDC6B" w14:textId="77777777" w:rsidR="00926409" w:rsidRPr="00926409" w:rsidRDefault="00926409" w:rsidP="00926409">
      <w:pPr>
        <w:spacing w:line="240" w:lineRule="auto"/>
        <w:rPr>
          <w:rFonts w:eastAsia="Times New Roman" w:cs="Arial"/>
          <w:i/>
          <w:iCs/>
          <w:color w:val="000000"/>
          <w:lang w:eastAsia="bg-BG"/>
        </w:rPr>
      </w:pPr>
    </w:p>
    <w:p w14:paraId="3EA699CD" w14:textId="2F85C18C" w:rsidR="00926409" w:rsidRPr="00926409" w:rsidRDefault="00926409" w:rsidP="00926409">
      <w:pPr>
        <w:spacing w:line="240" w:lineRule="auto"/>
        <w:rPr>
          <w:rFonts w:eastAsia="Times New Roman" w:cs="Arial"/>
          <w:lang w:eastAsia="bg-BG"/>
        </w:rPr>
      </w:pPr>
      <w:r w:rsidRPr="00926409">
        <w:rPr>
          <w:rFonts w:eastAsia="Times New Roman" w:cs="Arial"/>
          <w:i/>
          <w:iCs/>
          <w:color w:val="000000"/>
          <w:lang w:eastAsia="bg-BG"/>
        </w:rPr>
        <w:t>Валсартан</w:t>
      </w:r>
    </w:p>
    <w:p w14:paraId="18672CB6"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Не се препоръчва едновременната употреба с калиеви добавки, калий-съхраняващи диуретици, калий-съдържащи заместители на солта или други средства, които могат да повишат стойностите на калий (хепарин и др.). Уместно е да се мониторират стойностите на калия.</w:t>
      </w:r>
    </w:p>
    <w:p w14:paraId="2787BA0B" w14:textId="77777777" w:rsidR="00926409" w:rsidRPr="00926409" w:rsidRDefault="00926409" w:rsidP="00926409">
      <w:pPr>
        <w:spacing w:line="240" w:lineRule="auto"/>
        <w:rPr>
          <w:rFonts w:eastAsia="Times New Roman" w:cs="Arial"/>
          <w:i/>
          <w:iCs/>
          <w:color w:val="000000"/>
          <w:lang w:eastAsia="bg-BG"/>
        </w:rPr>
      </w:pPr>
    </w:p>
    <w:p w14:paraId="492AF06C" w14:textId="13BBD283" w:rsidR="00926409" w:rsidRPr="00926409" w:rsidRDefault="00926409" w:rsidP="00926409">
      <w:pPr>
        <w:spacing w:line="240" w:lineRule="auto"/>
        <w:rPr>
          <w:rFonts w:eastAsia="Times New Roman" w:cs="Arial"/>
          <w:lang w:eastAsia="bg-BG"/>
        </w:rPr>
      </w:pPr>
      <w:r w:rsidRPr="00926409">
        <w:rPr>
          <w:rFonts w:eastAsia="Times New Roman" w:cs="Arial"/>
          <w:i/>
          <w:iCs/>
          <w:color w:val="000000"/>
          <w:lang w:eastAsia="bg-BG"/>
        </w:rPr>
        <w:t>Хидрохлоротиазид</w:t>
      </w:r>
    </w:p>
    <w:p w14:paraId="0F5642D1" w14:textId="073AD66E"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При лечение с тиазидни диуретици, включително хидрохлоротиазид, се съобщава за случаи на хипокалиемия. Препоръчва се често монигориране на стойностите на серумния калий.</w:t>
      </w:r>
    </w:p>
    <w:p w14:paraId="7B4E0EC2"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Лечението с тиазидни диуретици, включително хидрохлоротиазид, се свързва с хипонатриемия и хипохлоремична алкалоза. Тиазидите, включително хидрохлоротиазид, повишават екскрецията на магнезий в урината, което може да доведе до хипомагнезиемия. Екскрецията на калций намалява под влиянието на тиазидните диуретици. Това може да доведе до хиперкалциемия.</w:t>
      </w:r>
    </w:p>
    <w:p w14:paraId="7C992993"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Какго при всички пациенти на лечение с диуретици, трябва да се извършва периодично определяне на серумните електролити на подходящи интервали от време.</w:t>
      </w:r>
    </w:p>
    <w:p w14:paraId="1573E6DD" w14:textId="77777777" w:rsidR="00926409" w:rsidRPr="00926409" w:rsidRDefault="00926409" w:rsidP="00926409">
      <w:pPr>
        <w:spacing w:line="240" w:lineRule="auto"/>
        <w:rPr>
          <w:rFonts w:eastAsia="Times New Roman" w:cs="Arial"/>
          <w:color w:val="000000"/>
          <w:u w:val="single"/>
          <w:lang w:eastAsia="bg-BG"/>
        </w:rPr>
      </w:pPr>
    </w:p>
    <w:p w14:paraId="1ADCEB69" w14:textId="1CF8F24B"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Пациенти с натриев и/или обемен дефицит</w:t>
      </w:r>
    </w:p>
    <w:p w14:paraId="283FCA20"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Пациентите, получаващи тиазидни диуретици, включително хидрохлоротиазид, трябва да бъдат наблюдавани за поява на клинични признаци на воден или електролитен дисбаланс.</w:t>
      </w:r>
    </w:p>
    <w:p w14:paraId="4BDBDF6A" w14:textId="77777777" w:rsidR="00926409" w:rsidRPr="00926409" w:rsidRDefault="00926409" w:rsidP="00926409">
      <w:pPr>
        <w:spacing w:line="240" w:lineRule="auto"/>
        <w:rPr>
          <w:rFonts w:eastAsia="Times New Roman" w:cs="Arial"/>
          <w:color w:val="000000"/>
          <w:lang w:eastAsia="bg-BG"/>
        </w:rPr>
      </w:pPr>
    </w:p>
    <w:p w14:paraId="323A0332" w14:textId="1A6C67EE"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При пациенти с тежък натриев и/или обемен дефицит, като тези, приемащи високи дози диуретици, в редки случаи след започване на терапия с валсартан/хидрохлоротиазид може да настъпи симптоматична хипотония. Натриевият и/или обемният дефицит трябва да се коригира преди започване на лечението с Валтензин Плюс.</w:t>
      </w:r>
    </w:p>
    <w:p w14:paraId="7E529882" w14:textId="77777777" w:rsidR="00926409" w:rsidRPr="00926409" w:rsidRDefault="00926409" w:rsidP="00926409">
      <w:pPr>
        <w:spacing w:line="240" w:lineRule="auto"/>
        <w:rPr>
          <w:rFonts w:eastAsia="Times New Roman" w:cs="Arial"/>
          <w:color w:val="000000"/>
          <w:u w:val="single"/>
          <w:lang w:eastAsia="bg-BG"/>
        </w:rPr>
      </w:pPr>
    </w:p>
    <w:p w14:paraId="76995945" w14:textId="4D16CA10"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lastRenderedPageBreak/>
        <w:t>Пациенти с тежка хронична сърдечна недостатъчност или други състояния, при които е налице стимулация на системата ренин-ангиотензин-алдостерон</w:t>
      </w:r>
    </w:p>
    <w:p w14:paraId="7402B089"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При пациенти, чиято бъбречна функция би могла да зависи от активността на ренин- ангиотензин-алдостероновата система (напр. пациенти с тежка застойна сърдечна недостатъчност), лечението с инхибитори на ангиотензин конвертиращия ензим (АСЕ- инхибитори) се свързва с олигурия и/или прогресираща азотемия и в редки случаи с остра бъбречна недостатъчност и/или смърт.</w:t>
      </w:r>
    </w:p>
    <w:p w14:paraId="57184D55" w14:textId="77777777" w:rsidR="00926409" w:rsidRPr="00926409" w:rsidRDefault="00926409" w:rsidP="00926409">
      <w:pPr>
        <w:spacing w:line="240" w:lineRule="auto"/>
        <w:rPr>
          <w:rFonts w:eastAsia="Times New Roman" w:cs="Arial"/>
          <w:color w:val="000000"/>
          <w:lang w:eastAsia="bg-BG"/>
        </w:rPr>
      </w:pPr>
    </w:p>
    <w:p w14:paraId="263B7D5E" w14:textId="41B1A51E"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При оценка на пациентите със сърдечна недостатъчност или след прекаран миокарден инфаркт винаги трябва да се оценява бъбречната функция. При пациенти с тежка хронична сърдечна недостатъчност употребата на валсартан/хидрохлоротиазид не е проучвана.</w:t>
      </w:r>
    </w:p>
    <w:p w14:paraId="534553E4"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Следователно, ие може да се изключи, че поради потискане на ренин-ангиотензин- алдостероновата система, приложението на валсартан/хидрохлоротиазид може да бъде свързано с увреждане на бъбречната фукнция. Валтензин Плюс не трябва да се прилага при тези пациенти.</w:t>
      </w:r>
    </w:p>
    <w:p w14:paraId="088DD606" w14:textId="77777777" w:rsidR="00926409" w:rsidRPr="00926409" w:rsidRDefault="00926409" w:rsidP="00926409">
      <w:pPr>
        <w:spacing w:line="240" w:lineRule="auto"/>
        <w:rPr>
          <w:rFonts w:eastAsia="Times New Roman" w:cs="Arial"/>
          <w:color w:val="000000"/>
          <w:u w:val="single"/>
          <w:lang w:eastAsia="bg-BG"/>
        </w:rPr>
      </w:pPr>
    </w:p>
    <w:p w14:paraId="25B03C61" w14:textId="5A5BA320"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Стеноза на бъбречна артерия</w:t>
      </w:r>
    </w:p>
    <w:p w14:paraId="750913F3"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Валтензин Плюс не трябва да се прилага за лечение на хипертония при пациенти с едностранна или двустранна стеноза на бъбречните артерии или стеноза на артерията на единствен бъбрек, тъй като при такива пациенти е възможно стойностите на уреята в кръвта и на серумния креатинин да се повишат.</w:t>
      </w:r>
    </w:p>
    <w:p w14:paraId="0D1BEEB7" w14:textId="77777777" w:rsidR="00926409" w:rsidRPr="00926409" w:rsidRDefault="00926409" w:rsidP="00926409">
      <w:pPr>
        <w:spacing w:line="240" w:lineRule="auto"/>
        <w:rPr>
          <w:rFonts w:eastAsia="Times New Roman" w:cs="Arial"/>
          <w:color w:val="000000"/>
          <w:u w:val="single"/>
          <w:lang w:eastAsia="bg-BG"/>
        </w:rPr>
      </w:pPr>
    </w:p>
    <w:p w14:paraId="784F52C0" w14:textId="44585E06"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Първичен хипералдостеронизъм</w:t>
      </w:r>
    </w:p>
    <w:p w14:paraId="6D5E312C" w14:textId="03A1907E" w:rsidR="00926409" w:rsidRPr="00926409" w:rsidRDefault="00926409" w:rsidP="00926409">
      <w:pPr>
        <w:rPr>
          <w:rFonts w:eastAsia="Times New Roman" w:cs="Arial"/>
          <w:color w:val="000000"/>
          <w:lang w:eastAsia="bg-BG"/>
        </w:rPr>
      </w:pPr>
      <w:r w:rsidRPr="00926409">
        <w:rPr>
          <w:rFonts w:eastAsia="Times New Roman" w:cs="Arial"/>
          <w:color w:val="000000"/>
          <w:lang w:eastAsia="bg-BG"/>
        </w:rPr>
        <w:t>Пациентите с първичен хипералдостеронизъм не трябва да се лекуват с Валтензин Плюс, тъй като тяхната система ренин-ангиотензин не е активирана.</w:t>
      </w:r>
    </w:p>
    <w:p w14:paraId="6830D31D" w14:textId="341FF938" w:rsidR="00926409" w:rsidRPr="00926409" w:rsidRDefault="00926409" w:rsidP="00926409">
      <w:pPr>
        <w:rPr>
          <w:rFonts w:eastAsia="Times New Roman" w:cs="Arial"/>
          <w:color w:val="000000"/>
          <w:lang w:eastAsia="bg-BG"/>
        </w:rPr>
      </w:pPr>
    </w:p>
    <w:p w14:paraId="02170CBC" w14:textId="77777777" w:rsidR="00926409" w:rsidRPr="00926409" w:rsidRDefault="00926409" w:rsidP="00926409">
      <w:pPr>
        <w:spacing w:line="240" w:lineRule="auto"/>
        <w:rPr>
          <w:rFonts w:eastAsia="Times New Roman" w:cs="Arial"/>
          <w:color w:val="000000"/>
          <w:lang w:eastAsia="bg-BG"/>
        </w:rPr>
      </w:pPr>
      <w:r w:rsidRPr="00926409">
        <w:rPr>
          <w:rFonts w:eastAsia="Times New Roman" w:cs="Arial"/>
          <w:color w:val="000000"/>
          <w:u w:val="single"/>
          <w:lang w:eastAsia="bg-BG"/>
        </w:rPr>
        <w:t xml:space="preserve">Стеноза на аортната и мнгралната клапа, хипертрофична обструктивна кардиомиопатия </w:t>
      </w:r>
      <w:r w:rsidRPr="00926409">
        <w:rPr>
          <w:rFonts w:eastAsia="Times New Roman" w:cs="Arial"/>
          <w:color w:val="000000"/>
          <w:lang w:eastAsia="bg-BG"/>
        </w:rPr>
        <w:t xml:space="preserve">Както при всички вазодилататори, при пациенти, страдащи от стеноза на аортната или митралната клапа или от </w:t>
      </w:r>
    </w:p>
    <w:p w14:paraId="637712B0" w14:textId="5BC07A0C"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хипертрофична обструктивна кардиомиопатия (ХОКМ) е необходимо особено повишено внимание.</w:t>
      </w:r>
    </w:p>
    <w:p w14:paraId="238569F7" w14:textId="77777777" w:rsidR="00926409" w:rsidRPr="00926409" w:rsidRDefault="00926409" w:rsidP="00926409">
      <w:pPr>
        <w:spacing w:line="240" w:lineRule="auto"/>
        <w:rPr>
          <w:rFonts w:eastAsia="Times New Roman" w:cs="Arial"/>
          <w:color w:val="000000"/>
          <w:u w:val="single"/>
          <w:lang w:eastAsia="bg-BG"/>
        </w:rPr>
      </w:pPr>
    </w:p>
    <w:p w14:paraId="6A14DC5A" w14:textId="49502AC3"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Бъбречно увреждане</w:t>
      </w:r>
    </w:p>
    <w:p w14:paraId="3D56508C"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Не се налага корекция на дозата при пациенти с бъбречно увреждане и креатининов клирънс</w:t>
      </w:r>
    </w:p>
    <w:p w14:paraId="335CDB42"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 xml:space="preserve">≥ 30 </w:t>
      </w:r>
      <w:r w:rsidRPr="00926409">
        <w:rPr>
          <w:rFonts w:eastAsia="Times New Roman" w:cs="Arial"/>
          <w:color w:val="000000"/>
          <w:lang w:val="en-US"/>
        </w:rPr>
        <w:t xml:space="preserve">ml/min </w:t>
      </w:r>
      <w:r w:rsidRPr="00926409">
        <w:rPr>
          <w:rFonts w:eastAsia="Times New Roman" w:cs="Arial"/>
          <w:color w:val="000000"/>
          <w:lang w:eastAsia="bg-BG"/>
        </w:rPr>
        <w:t>(вж. точка 4.2). При прилагане на Валтензин Плюс при пациенти с бъбречно увреждане се препоръчва периодично мониториране на стойностите на серумния калий, креатинин и на пикочната киселина.</w:t>
      </w:r>
    </w:p>
    <w:p w14:paraId="166A70BD" w14:textId="77777777" w:rsidR="00926409" w:rsidRPr="00926409" w:rsidRDefault="00926409" w:rsidP="00926409">
      <w:pPr>
        <w:spacing w:line="240" w:lineRule="auto"/>
        <w:rPr>
          <w:rFonts w:eastAsia="Times New Roman" w:cs="Arial"/>
          <w:color w:val="000000"/>
          <w:u w:val="single"/>
          <w:lang w:eastAsia="bg-BG"/>
        </w:rPr>
      </w:pPr>
    </w:p>
    <w:p w14:paraId="0C5448FF" w14:textId="503EDB28"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Бъбречна трансплантация</w:t>
      </w:r>
    </w:p>
    <w:p w14:paraId="18812632"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До този момент няма натрупан опит по отношение на безопасната употреба на валсартан/хидрохлоротиазид при пациенти, претърпели наскоро бъбречна трансплантация.</w:t>
      </w:r>
    </w:p>
    <w:p w14:paraId="50F38DCC" w14:textId="77777777" w:rsidR="00926409" w:rsidRPr="00926409" w:rsidRDefault="00926409" w:rsidP="00926409">
      <w:pPr>
        <w:spacing w:line="240" w:lineRule="auto"/>
        <w:rPr>
          <w:rFonts w:eastAsia="Times New Roman" w:cs="Arial"/>
          <w:color w:val="000000"/>
          <w:u w:val="single"/>
          <w:lang w:eastAsia="bg-BG"/>
        </w:rPr>
      </w:pPr>
    </w:p>
    <w:p w14:paraId="2DA3118D" w14:textId="0C73C905"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Чернодробно увреждане</w:t>
      </w:r>
    </w:p>
    <w:p w14:paraId="63E50957"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При пациенти с леко до умерено чернодробно увреждане без холестаза, Валтензин Плюс трябва да се използва с повишено внимание (вж. точки 4.2 и 5.2). Тиазидите трябва да се използват с повишено внимание при пациенти с нарушена бъбречна функция или прогресиращо чернодробно заболяване, тъй като минимални промени във водния или електролитен баланс могат да предизвикат чернодробна кома.</w:t>
      </w:r>
    </w:p>
    <w:p w14:paraId="7CB31561" w14:textId="77777777" w:rsidR="00926409" w:rsidRPr="00926409" w:rsidRDefault="00926409" w:rsidP="00926409">
      <w:pPr>
        <w:spacing w:line="240" w:lineRule="auto"/>
        <w:rPr>
          <w:rFonts w:eastAsia="Times New Roman" w:cs="Arial"/>
          <w:color w:val="000000"/>
          <w:u w:val="single"/>
          <w:lang w:eastAsia="bg-BG"/>
        </w:rPr>
      </w:pPr>
    </w:p>
    <w:p w14:paraId="64A43482" w14:textId="2A93A1CE"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Анамнеза за ангиоедем</w:t>
      </w:r>
    </w:p>
    <w:p w14:paraId="0A7F3A45"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При пациенти, лекувани с валсартан са наблюдавани ангиоедем, включително оток на ларинкса и глотиса, причиняващ обструкция на дихателните пътища и/или оток на лицето, устните, фаринкса и/или езика; при някои от тези пациенти ангиоедем е наблюдаван преди това след прием на други лекарства, включително АСЕ-инхибитори. При пациенти, които развият ангиоедем употребата на Валтензин Плюс трябва да се преустанови незабавно и Валтензин Плюс не трябва да се прилага отново (вж. точка 4.8).</w:t>
      </w:r>
    </w:p>
    <w:p w14:paraId="51B123E7" w14:textId="77777777" w:rsidR="00926409" w:rsidRPr="00926409" w:rsidRDefault="00926409" w:rsidP="00926409">
      <w:pPr>
        <w:spacing w:line="240" w:lineRule="auto"/>
        <w:rPr>
          <w:rFonts w:eastAsia="Times New Roman" w:cs="Arial"/>
          <w:color w:val="000000"/>
          <w:u w:val="single"/>
          <w:lang w:eastAsia="bg-BG"/>
        </w:rPr>
      </w:pPr>
    </w:p>
    <w:p w14:paraId="4DEB10C7" w14:textId="7D481741"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Системен лупус еритематозус</w:t>
      </w:r>
    </w:p>
    <w:p w14:paraId="4DEF8679"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Има съобщения, че тиазидните диуретици, включително хидрохлоротиазид, обострят или активират системен лупус еритематодес.</w:t>
      </w:r>
    </w:p>
    <w:p w14:paraId="12DA6DAA" w14:textId="77777777" w:rsidR="00926409" w:rsidRPr="00926409" w:rsidRDefault="00926409" w:rsidP="00926409">
      <w:pPr>
        <w:spacing w:line="240" w:lineRule="auto"/>
        <w:rPr>
          <w:rFonts w:eastAsia="Times New Roman" w:cs="Arial"/>
          <w:color w:val="000000"/>
          <w:u w:val="single"/>
          <w:lang w:eastAsia="bg-BG"/>
        </w:rPr>
      </w:pPr>
    </w:p>
    <w:p w14:paraId="7906A42C" w14:textId="13BB4889"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Други метаболитни нарушения</w:t>
      </w:r>
    </w:p>
    <w:p w14:paraId="0ED5327C"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Тиазидните диуретици, включително хидрохлоротиазид, могат да променят глюкозния толеранс и да повишат серумните нива на холестерола, триглицеридите и пикочната киселина. При пациенти с диабет може да се наложи коригиране на дозата на инсулина или на пероралните хипогликемични средства.</w:t>
      </w:r>
    </w:p>
    <w:p w14:paraId="23FE7453"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Тиазидите могат да понижат екскреция на калций в урината и да доведат до преходно леко повишаване на нивата на серумния калций при липса на установено нарушение на калциевия метаболизъм. Изразената хиперкалциемия може да бъде доказателство за скрит хиперпаратиреоидизъм. Приемът на тиазидни диуретици трябва да бъде прекратен преди провеждането на изследвания за паратиреоидната функция.</w:t>
      </w:r>
    </w:p>
    <w:p w14:paraId="05CE7B25" w14:textId="77777777" w:rsidR="00926409" w:rsidRPr="00926409" w:rsidRDefault="00926409" w:rsidP="00926409">
      <w:pPr>
        <w:spacing w:line="240" w:lineRule="auto"/>
        <w:rPr>
          <w:rFonts w:eastAsia="Times New Roman" w:cs="Arial"/>
          <w:color w:val="000000"/>
          <w:u w:val="single"/>
          <w:lang w:eastAsia="bg-BG"/>
        </w:rPr>
      </w:pPr>
    </w:p>
    <w:p w14:paraId="73C14D3F" w14:textId="60ADC795"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Фоточувствителност</w:t>
      </w:r>
    </w:p>
    <w:p w14:paraId="59BD5376"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 xml:space="preserve">Има съобщения за случаи на реакции на фоточувствителност при прием на тиазидни диуретици (вж. точка 4.8). Ако в хода на лечението възникне реакция на фоточувствителност се препоръчва спиране на лечението. Ако е необходимо повторно прилагане на диуретика, се препоръчва защита на областите, изложени на слънце или изкуствена </w:t>
      </w:r>
      <w:r w:rsidRPr="00926409">
        <w:rPr>
          <w:rFonts w:eastAsia="Times New Roman" w:cs="Arial"/>
          <w:color w:val="000000"/>
          <w:lang w:val="en-US"/>
        </w:rPr>
        <w:t xml:space="preserve">UVA </w:t>
      </w:r>
      <w:r w:rsidRPr="00926409">
        <w:rPr>
          <w:rFonts w:eastAsia="Times New Roman" w:cs="Arial"/>
          <w:color w:val="000000"/>
          <w:lang w:eastAsia="bg-BG"/>
        </w:rPr>
        <w:t>светлина.</w:t>
      </w:r>
    </w:p>
    <w:p w14:paraId="6B429E6B" w14:textId="77777777" w:rsidR="00926409" w:rsidRPr="00926409" w:rsidRDefault="00926409" w:rsidP="00926409">
      <w:pPr>
        <w:spacing w:line="240" w:lineRule="auto"/>
        <w:rPr>
          <w:rFonts w:eastAsia="Times New Roman" w:cs="Arial"/>
          <w:color w:val="000000"/>
          <w:u w:val="single"/>
          <w:lang w:eastAsia="bg-BG"/>
        </w:rPr>
      </w:pPr>
    </w:p>
    <w:p w14:paraId="4F37AD28" w14:textId="5D56F004"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Бременност</w:t>
      </w:r>
    </w:p>
    <w:p w14:paraId="3B8966FD" w14:textId="77777777" w:rsidR="00926409" w:rsidRPr="00926409" w:rsidRDefault="00926409" w:rsidP="00926409">
      <w:pPr>
        <w:rPr>
          <w:rFonts w:eastAsia="Times New Roman" w:cs="Arial"/>
          <w:lang w:eastAsia="bg-BG"/>
        </w:rPr>
      </w:pPr>
      <w:r w:rsidRPr="00926409">
        <w:rPr>
          <w:rFonts w:eastAsia="Times New Roman" w:cs="Arial"/>
          <w:color w:val="000000"/>
          <w:lang w:eastAsia="bg-BG"/>
        </w:rPr>
        <w:t xml:space="preserve">По време на бременност не трябва да започва лечение с ангиотензин </w:t>
      </w:r>
      <w:r w:rsidRPr="00926409">
        <w:rPr>
          <w:rFonts w:eastAsia="Times New Roman" w:cs="Arial"/>
          <w:color w:val="000000"/>
          <w:lang w:val="en-US"/>
        </w:rPr>
        <w:t xml:space="preserve">II </w:t>
      </w:r>
      <w:r w:rsidRPr="00926409">
        <w:rPr>
          <w:rFonts w:eastAsia="Times New Roman" w:cs="Arial"/>
          <w:color w:val="000000"/>
          <w:lang w:eastAsia="bg-BG"/>
        </w:rPr>
        <w:t xml:space="preserve">рецепторни антагонисти </w:t>
      </w:r>
      <w:r w:rsidRPr="00926409">
        <w:rPr>
          <w:rFonts w:eastAsia="Times New Roman" w:cs="Arial"/>
          <w:color w:val="000000"/>
          <w:lang w:val="en-US"/>
        </w:rPr>
        <w:t xml:space="preserve">(AIIRAs). </w:t>
      </w:r>
      <w:r w:rsidRPr="00926409">
        <w:rPr>
          <w:rFonts w:eastAsia="Times New Roman" w:cs="Arial"/>
          <w:color w:val="000000"/>
          <w:lang w:eastAsia="bg-BG"/>
        </w:rPr>
        <w:t>Пациентките, планиращи бременност, трябва да преминат на алтернативно лечение с антихипертензивни средства с установен профил на безопасност за употреба по време на бременност, освен ако лечението с ангиотензин II рецепторни антагонисти не е крайно</w:t>
      </w:r>
      <w:r w:rsidRPr="00926409">
        <w:rPr>
          <w:rFonts w:eastAsia="Times New Roman" w:cs="Arial"/>
          <w:lang w:val="en-US" w:eastAsia="bg-BG"/>
        </w:rPr>
        <w:t xml:space="preserve"> </w:t>
      </w:r>
      <w:r w:rsidRPr="00926409">
        <w:rPr>
          <w:rFonts w:eastAsia="Times New Roman" w:cs="Arial"/>
          <w:color w:val="000000"/>
          <w:lang w:eastAsia="bg-BG"/>
        </w:rPr>
        <w:t xml:space="preserve">необходимо. При установяване на бременност, лечението с ангиотензин </w:t>
      </w:r>
      <w:r w:rsidRPr="00926409">
        <w:rPr>
          <w:rFonts w:eastAsia="Times New Roman" w:cs="Arial"/>
          <w:color w:val="000000"/>
          <w:lang w:val="en-US"/>
        </w:rPr>
        <w:t xml:space="preserve">II </w:t>
      </w:r>
      <w:r w:rsidRPr="00926409">
        <w:rPr>
          <w:rFonts w:eastAsia="Times New Roman" w:cs="Arial"/>
          <w:color w:val="000000"/>
          <w:lang w:eastAsia="bg-BG"/>
        </w:rPr>
        <w:t>рецепторните</w:t>
      </w:r>
      <w:r w:rsidRPr="00926409">
        <w:rPr>
          <w:rFonts w:eastAsia="Times New Roman" w:cs="Arial"/>
          <w:color w:val="000000"/>
          <w:lang w:val="en-US" w:eastAsia="bg-BG"/>
        </w:rPr>
        <w:t xml:space="preserve"> </w:t>
      </w:r>
      <w:r w:rsidRPr="00926409">
        <w:rPr>
          <w:rFonts w:eastAsia="Times New Roman" w:cs="Arial"/>
          <w:color w:val="000000"/>
          <w:lang w:eastAsia="bg-BG"/>
        </w:rPr>
        <w:t xml:space="preserve">антагонисти трябва да се спре незабавно, и ако е подходящо, да се започне алтернативно лечение (вж. точки </w:t>
      </w:r>
      <w:r w:rsidRPr="00926409">
        <w:rPr>
          <w:rFonts w:eastAsia="Times New Roman" w:cs="Arial"/>
          <w:i/>
          <w:iCs/>
          <w:color w:val="000000"/>
          <w:lang w:eastAsia="bg-BG"/>
        </w:rPr>
        <w:t>4.3</w:t>
      </w:r>
      <w:r w:rsidRPr="00926409">
        <w:rPr>
          <w:rFonts w:eastAsia="Times New Roman" w:cs="Arial"/>
          <w:color w:val="000000"/>
          <w:lang w:eastAsia="bg-BG"/>
        </w:rPr>
        <w:t xml:space="preserve"> и 4.6).</w:t>
      </w:r>
    </w:p>
    <w:p w14:paraId="7D087DC1" w14:textId="77777777" w:rsidR="00926409" w:rsidRPr="00926409" w:rsidRDefault="00926409" w:rsidP="00926409">
      <w:pPr>
        <w:spacing w:line="240" w:lineRule="auto"/>
        <w:rPr>
          <w:rFonts w:eastAsia="Times New Roman" w:cs="Arial"/>
          <w:color w:val="000000"/>
          <w:u w:val="single"/>
          <w:lang w:eastAsia="bg-BG"/>
        </w:rPr>
      </w:pPr>
    </w:p>
    <w:p w14:paraId="2140DC9E" w14:textId="777FCDD6"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Общи</w:t>
      </w:r>
    </w:p>
    <w:p w14:paraId="505C51AB"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Необходимо е повишено внимание при пациенти с предшестващи прояви на свръхчувствителност към други ангиотензин II рецепторни антагонисти. Реакциите на свръхчувствителност към хидрохлоротиазид са по-вероятни при пациенти, страдащи от алергия и астма.</w:t>
      </w:r>
    </w:p>
    <w:p w14:paraId="64466212" w14:textId="77777777" w:rsidR="00926409" w:rsidRPr="00926409" w:rsidRDefault="00926409" w:rsidP="00926409">
      <w:pPr>
        <w:spacing w:line="240" w:lineRule="auto"/>
        <w:rPr>
          <w:rFonts w:eastAsia="Times New Roman" w:cs="Arial"/>
          <w:color w:val="000000"/>
          <w:u w:val="single"/>
          <w:lang w:eastAsia="bg-BG"/>
        </w:rPr>
      </w:pPr>
    </w:p>
    <w:p w14:paraId="00B5F6C6" w14:textId="49CD4E6C"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 xml:space="preserve">Хороидален излив, остра миопия и вторична остра закритоъгълна глаукома </w:t>
      </w:r>
      <w:r w:rsidRPr="00926409">
        <w:rPr>
          <w:rFonts w:eastAsia="Times New Roman" w:cs="Arial"/>
          <w:color w:val="000000"/>
          <w:lang w:eastAsia="bg-BG"/>
        </w:rPr>
        <w:t xml:space="preserve">Хидрохлоротиазид е сулфонамид и може да предизвика идиосинкратична реакция, водеща до хороидален излив с дефект на зрителното поле, остра преходна миопия и остра закритоъгълна глаукома. Симптомите включват внезапно начало на намалена </w:t>
      </w:r>
      <w:r w:rsidRPr="00926409">
        <w:rPr>
          <w:rFonts w:eastAsia="Times New Roman" w:cs="Arial"/>
          <w:color w:val="000000"/>
          <w:lang w:eastAsia="bg-BG"/>
        </w:rPr>
        <w:lastRenderedPageBreak/>
        <w:t>зрителна острота или очна болка и обикновено се появяват в рамките на часове до седмици от началото на лекарствената терапия. Нелекуваната остра закритоъгълна глаукома може да доведе до трайна загуба на зрението.</w:t>
      </w:r>
    </w:p>
    <w:p w14:paraId="5FC8C1C0"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Основното лечение е да се прекрати употребата на хидрохлоротиазид възможно най-бързо. Може да се наложи медицинско или хирургично лечение, ако вътреочното налягане остава неконтролирано. Рискови фактори за развитие на остра закритоъгълна глаукома могат да бъдат анамнеза за алергия към сулфонамиди или пеницилин.</w:t>
      </w:r>
    </w:p>
    <w:p w14:paraId="0E73C56C" w14:textId="77777777" w:rsidR="00926409" w:rsidRPr="00926409" w:rsidRDefault="00926409" w:rsidP="00926409">
      <w:pPr>
        <w:spacing w:line="240" w:lineRule="auto"/>
        <w:rPr>
          <w:rFonts w:eastAsia="Times New Roman" w:cs="Arial"/>
          <w:color w:val="000000"/>
          <w:u w:val="single"/>
          <w:lang w:eastAsia="bg-BG"/>
        </w:rPr>
      </w:pPr>
    </w:p>
    <w:p w14:paraId="33BDC8F4" w14:textId="7B2D2866"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Двойно блокиране на ренин-ангиотензин-алдостероновата система (РААС)</w:t>
      </w:r>
    </w:p>
    <w:p w14:paraId="12D314A8"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 xml:space="preserve">Има данни, че едновременната употреба на АСЕ инхибитори, ангиотензин </w:t>
      </w:r>
      <w:r w:rsidRPr="00926409">
        <w:rPr>
          <w:rFonts w:eastAsia="Times New Roman" w:cs="Arial"/>
          <w:color w:val="000000"/>
          <w:lang w:val="en-US"/>
        </w:rPr>
        <w:t>II</w:t>
      </w:r>
      <w:r w:rsidRPr="00926409">
        <w:rPr>
          <w:rFonts w:eastAsia="Times New Roman" w:cs="Arial"/>
          <w:color w:val="000000"/>
          <w:lang w:eastAsia="bg-BG"/>
        </w:rPr>
        <w:t xml:space="preserve">-рецепторни 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 препоръчва двойно блокиране на РААС чрез комбинираната употреба на АСЕ инхибитори, ангиотензин </w:t>
      </w:r>
      <w:r w:rsidRPr="00926409">
        <w:rPr>
          <w:rFonts w:eastAsia="Times New Roman" w:cs="Arial"/>
          <w:color w:val="000000"/>
          <w:lang w:val="en-US"/>
        </w:rPr>
        <w:t>II</w:t>
      </w:r>
      <w:r w:rsidRPr="00926409">
        <w:rPr>
          <w:rFonts w:eastAsia="Times New Roman" w:cs="Arial"/>
          <w:color w:val="000000"/>
          <w:lang w:eastAsia="bg-BG"/>
        </w:rPr>
        <w:t>-рецепторни блокери или алискирен (вж. точки 4.5 и 5.1).</w:t>
      </w:r>
    </w:p>
    <w:p w14:paraId="46CC269B"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Ако се прецени, че терапията с двойно блокиране е абсолютно необходима, това трябва да става само под наблюдението на специалист и при често внимателно мониториране на бъбречната функция, електролитите и кръвното налягане.</w:t>
      </w:r>
    </w:p>
    <w:p w14:paraId="20F1DD48"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АСЕ инхибитори и ангиотензин П-рецепторни блокери не трябва да се използват едновременно при пациенти с диабетна нефропатия.</w:t>
      </w:r>
    </w:p>
    <w:p w14:paraId="0B0D18D8" w14:textId="77777777" w:rsidR="00926409" w:rsidRPr="00926409" w:rsidRDefault="00926409" w:rsidP="00926409">
      <w:pPr>
        <w:spacing w:line="240" w:lineRule="auto"/>
        <w:rPr>
          <w:rFonts w:eastAsia="Times New Roman" w:cs="Arial"/>
          <w:color w:val="000000"/>
          <w:u w:val="single"/>
          <w:lang w:eastAsia="bg-BG"/>
        </w:rPr>
      </w:pPr>
    </w:p>
    <w:p w14:paraId="79C2C5E1" w14:textId="0A697729"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Немеланомен рак на кожата</w:t>
      </w:r>
    </w:p>
    <w:p w14:paraId="402E47D1"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В две епидемиологични проучвания, основаващи се на датския национален раков регистър, е наблюдаван повишен риск от немеланомен рак на кожата (НМРК) [базалноклетьчен карцином (БКК) и сквамозноклетьчен карцином (СКК)] при нарастваща експозиция на кумулативна доза хидрохлоротиазид (ХХТЗ). Фотосенсибилизиращите ефекти на ХХТЗ могат да действат като вероятен механизъм за развитие на НМРК.</w:t>
      </w:r>
    </w:p>
    <w:p w14:paraId="4A85F92A" w14:textId="107ECBBF"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Пациентите, приемащи ХХТЗ, трябва да бъдат информирани за риска от НМРК и съветвани редовно да проверяват кожата си за нови лезии и незабавно да съобщават при поява на подозрителни кожни лезии. На пациентите трябва да се препоръчат възможни превантивни мерки, като ограничено излагане на слънчева светлина и ултравиолетови лъчи, а в случай на експозиция, подходяща защита, за да се сведе до минимум рискът от рак на кожата. Подозрителните кожни лезии трябва да бъдат подложени на незабавно изследване, потенциално включващо хистологични изследвания на биопсични материали. Преразглеждане на употребата на ХХТЗ може да се наложи и при пациенти, които са имали предходен НМРК (вж. също точка 4.8).</w:t>
      </w:r>
    </w:p>
    <w:p w14:paraId="5009C244" w14:textId="77777777" w:rsidR="00926409" w:rsidRPr="00926409" w:rsidRDefault="00926409" w:rsidP="00926409">
      <w:pPr>
        <w:spacing w:line="240" w:lineRule="auto"/>
        <w:rPr>
          <w:rFonts w:eastAsia="Times New Roman" w:cs="Arial"/>
          <w:color w:val="000000"/>
          <w:u w:val="single"/>
          <w:lang w:eastAsia="bg-BG"/>
        </w:rPr>
      </w:pPr>
    </w:p>
    <w:p w14:paraId="10B48ABD" w14:textId="20A0B343"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Остра респираторна токсичност</w:t>
      </w:r>
    </w:p>
    <w:p w14:paraId="49A8B295" w14:textId="4FE79F16" w:rsidR="00926409" w:rsidRPr="00926409" w:rsidRDefault="00926409" w:rsidP="00926409">
      <w:pPr>
        <w:spacing w:line="240" w:lineRule="auto"/>
        <w:rPr>
          <w:rFonts w:eastAsia="Times New Roman" w:cs="Arial"/>
          <w:color w:val="000000"/>
          <w:lang w:val="en-US" w:eastAsia="bg-BG"/>
        </w:rPr>
      </w:pPr>
      <w:r w:rsidRPr="00926409">
        <w:rPr>
          <w:rFonts w:eastAsia="Times New Roman" w:cs="Arial"/>
          <w:color w:val="000000"/>
          <w:lang w:eastAsia="bg-BG"/>
        </w:rPr>
        <w:t>След прием на хидрохлоротиазид се съобщават много редки тежки случаи на остра респираторна токсичност, включително остър респираторен дистрес синдром (ОРДС). След прием на хидрохлоротиазид обикновено се развива белодробен оток в рамките на минути до часове. В началото симптомите включват диспнея, повишена температура, влошаване на белодробната функция и хипотония. При съмнение за ОРДС трябва да бъде спрян приемът на Валтензин Плюс и да се приложи подходящо лечение. Хидрохлоротиазид не трябва да се прилага при пациенти, които преди това са получавали ОРДС след прием на</w:t>
      </w:r>
      <w:r w:rsidRPr="00926409">
        <w:rPr>
          <w:rFonts w:eastAsia="Times New Roman" w:cs="Arial"/>
          <w:color w:val="000000"/>
          <w:lang w:val="en-US" w:eastAsia="bg-BG"/>
        </w:rPr>
        <w:t xml:space="preserve"> </w:t>
      </w:r>
      <w:r w:rsidRPr="00926409">
        <w:rPr>
          <w:rFonts w:eastAsia="Times New Roman" w:cs="Arial"/>
          <w:color w:val="000000"/>
          <w:lang w:eastAsia="bg-BG"/>
        </w:rPr>
        <w:t>хидрохлоротиазид</w:t>
      </w:r>
      <w:r w:rsidRPr="00926409">
        <w:rPr>
          <w:rFonts w:eastAsia="Times New Roman" w:cs="Arial"/>
          <w:color w:val="000000"/>
          <w:lang w:val="en-US" w:eastAsia="bg-BG"/>
        </w:rPr>
        <w:t>.</w:t>
      </w:r>
    </w:p>
    <w:p w14:paraId="1C41B4CA" w14:textId="1FC179C8" w:rsidR="00926409" w:rsidRPr="00926409" w:rsidRDefault="00926409" w:rsidP="00926409">
      <w:pPr>
        <w:spacing w:line="240" w:lineRule="auto"/>
        <w:rPr>
          <w:rFonts w:eastAsia="Times New Roman" w:cs="Arial"/>
          <w:color w:val="000000"/>
          <w:lang w:val="en-US" w:eastAsia="bg-BG"/>
        </w:rPr>
      </w:pPr>
    </w:p>
    <w:p w14:paraId="4E115408"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Помощни вещества</w:t>
      </w:r>
    </w:p>
    <w:p w14:paraId="33991296" w14:textId="77777777" w:rsidR="00926409" w:rsidRPr="00926409" w:rsidRDefault="00926409" w:rsidP="00926409">
      <w:pPr>
        <w:spacing w:line="240" w:lineRule="auto"/>
        <w:rPr>
          <w:rFonts w:eastAsia="Times New Roman" w:cs="Arial"/>
          <w:i/>
          <w:iCs/>
          <w:color w:val="000000"/>
          <w:lang w:eastAsia="bg-BG"/>
        </w:rPr>
      </w:pPr>
    </w:p>
    <w:p w14:paraId="09D1A8CD" w14:textId="03CEE7A3" w:rsidR="00926409" w:rsidRPr="00926409" w:rsidRDefault="00926409" w:rsidP="00926409">
      <w:pPr>
        <w:spacing w:line="240" w:lineRule="auto"/>
        <w:rPr>
          <w:rFonts w:eastAsia="Times New Roman" w:cs="Arial"/>
          <w:lang w:eastAsia="bg-BG"/>
        </w:rPr>
      </w:pPr>
      <w:r w:rsidRPr="00926409">
        <w:rPr>
          <w:rFonts w:eastAsia="Times New Roman" w:cs="Arial"/>
          <w:i/>
          <w:iCs/>
          <w:color w:val="000000"/>
          <w:lang w:eastAsia="bg-BG"/>
        </w:rPr>
        <w:t>Лактоза</w:t>
      </w:r>
    </w:p>
    <w:p w14:paraId="4B45778B"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lastRenderedPageBreak/>
        <w:t>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25FD75CA" w14:textId="77777777" w:rsidR="00926409" w:rsidRPr="00926409" w:rsidRDefault="00926409" w:rsidP="00926409">
      <w:pPr>
        <w:spacing w:line="240" w:lineRule="auto"/>
        <w:rPr>
          <w:rFonts w:eastAsia="Times New Roman" w:cs="Arial"/>
          <w:i/>
          <w:iCs/>
          <w:color w:val="000000"/>
          <w:lang w:eastAsia="bg-BG"/>
        </w:rPr>
      </w:pPr>
    </w:p>
    <w:p w14:paraId="4307FCBE" w14:textId="126ACB14" w:rsidR="00926409" w:rsidRPr="00926409" w:rsidRDefault="00926409" w:rsidP="00926409">
      <w:pPr>
        <w:spacing w:line="240" w:lineRule="auto"/>
        <w:rPr>
          <w:rFonts w:eastAsia="Times New Roman" w:cs="Arial"/>
          <w:lang w:eastAsia="bg-BG"/>
        </w:rPr>
      </w:pPr>
      <w:r w:rsidRPr="00926409">
        <w:rPr>
          <w:rFonts w:eastAsia="Times New Roman" w:cs="Arial"/>
          <w:i/>
          <w:iCs/>
          <w:color w:val="000000"/>
          <w:lang w:eastAsia="bg-BG"/>
        </w:rPr>
        <w:t>Лецитин</w:t>
      </w:r>
    </w:p>
    <w:p w14:paraId="2477D86C"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Този лекарствен продукт не трябва да се използва, ако пациентът е алергичен към фъстъци или соя (вж. точка 4.3).</w:t>
      </w:r>
    </w:p>
    <w:p w14:paraId="1C687727" w14:textId="77777777" w:rsidR="00926409" w:rsidRPr="00926409" w:rsidRDefault="00926409" w:rsidP="00926409">
      <w:pPr>
        <w:spacing w:line="240" w:lineRule="auto"/>
        <w:rPr>
          <w:rFonts w:eastAsia="Times New Roman" w:cs="Arial"/>
          <w:i/>
          <w:iCs/>
          <w:color w:val="000000"/>
          <w:lang w:eastAsia="bg-BG"/>
        </w:rPr>
      </w:pPr>
    </w:p>
    <w:p w14:paraId="24B66115" w14:textId="079C90B7" w:rsidR="00926409" w:rsidRPr="00926409" w:rsidRDefault="00926409" w:rsidP="00926409">
      <w:pPr>
        <w:spacing w:line="240" w:lineRule="auto"/>
        <w:rPr>
          <w:rFonts w:eastAsia="Times New Roman" w:cs="Arial"/>
          <w:lang w:eastAsia="bg-BG"/>
        </w:rPr>
      </w:pPr>
      <w:r w:rsidRPr="00926409">
        <w:rPr>
          <w:rFonts w:eastAsia="Times New Roman" w:cs="Arial"/>
          <w:i/>
          <w:iCs/>
          <w:color w:val="000000"/>
          <w:lang w:eastAsia="bg-BG"/>
        </w:rPr>
        <w:t>Натрий</w:t>
      </w:r>
    </w:p>
    <w:p w14:paraId="03B71ECD"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 xml:space="preserve">Това лекарство съдържа по-малко от 1 </w:t>
      </w:r>
      <w:r w:rsidRPr="00926409">
        <w:rPr>
          <w:rFonts w:eastAsia="Times New Roman" w:cs="Arial"/>
          <w:color w:val="000000"/>
          <w:lang w:val="en-US"/>
        </w:rPr>
        <w:t xml:space="preserve">mmol </w:t>
      </w:r>
      <w:r w:rsidRPr="00926409">
        <w:rPr>
          <w:rFonts w:eastAsia="Times New Roman" w:cs="Arial"/>
          <w:color w:val="000000"/>
          <w:lang w:eastAsia="bg-BG"/>
        </w:rPr>
        <w:t xml:space="preserve">натрий (23 </w:t>
      </w:r>
      <w:r w:rsidRPr="00926409">
        <w:rPr>
          <w:rFonts w:eastAsia="Times New Roman" w:cs="Arial"/>
          <w:color w:val="000000"/>
          <w:lang w:val="en-US"/>
        </w:rPr>
        <w:t xml:space="preserve">mg) </w:t>
      </w:r>
      <w:r w:rsidRPr="00926409">
        <w:rPr>
          <w:rFonts w:eastAsia="Times New Roman" w:cs="Arial"/>
          <w:color w:val="000000"/>
          <w:lang w:eastAsia="bg-BG"/>
        </w:rPr>
        <w:t>на филмирана таблетка, т.е, може да се каже, че практически не съдържа натрий.</w:t>
      </w:r>
    </w:p>
    <w:p w14:paraId="5C69C3AC" w14:textId="77777777" w:rsidR="00926409" w:rsidRPr="00926409" w:rsidRDefault="00926409" w:rsidP="00926409">
      <w:pPr>
        <w:spacing w:line="240" w:lineRule="auto"/>
        <w:rPr>
          <w:rFonts w:ascii="Times New Roman" w:eastAsia="Times New Roman" w:hAnsi="Times New Roman" w:cs="Times New Roman"/>
          <w:sz w:val="24"/>
          <w:szCs w:val="24"/>
          <w:lang w:val="en-US" w:eastAsia="bg-BG"/>
        </w:rPr>
      </w:pPr>
    </w:p>
    <w:p w14:paraId="7ABEA351" w14:textId="44DD98D6" w:rsidR="00A71DCF" w:rsidRDefault="002C50EE" w:rsidP="00A93499">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043D1832" w14:textId="36D5F076" w:rsidR="00735CBB" w:rsidRDefault="00735CBB" w:rsidP="00735CBB"/>
    <w:p w14:paraId="3D0C7AA1"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u w:val="single"/>
          <w:lang w:eastAsia="bg-BG"/>
        </w:rPr>
        <w:t>Взаимодействия, свързани с валсартан и хидрохлоротиазид</w:t>
      </w:r>
    </w:p>
    <w:p w14:paraId="6097798D" w14:textId="77777777" w:rsidR="00735CBB" w:rsidRPr="00735CBB" w:rsidRDefault="00735CBB" w:rsidP="00735CBB">
      <w:pPr>
        <w:spacing w:line="240" w:lineRule="auto"/>
        <w:rPr>
          <w:rFonts w:eastAsia="Times New Roman" w:cs="Arial"/>
          <w:i/>
          <w:iCs/>
          <w:color w:val="000000"/>
          <w:u w:val="single"/>
          <w:lang w:eastAsia="bg-BG"/>
        </w:rPr>
      </w:pPr>
    </w:p>
    <w:p w14:paraId="22C942BD" w14:textId="5AF4135B" w:rsidR="00735CBB" w:rsidRPr="00735CBB" w:rsidRDefault="00735CBB" w:rsidP="00735CBB">
      <w:pPr>
        <w:spacing w:line="240" w:lineRule="auto"/>
        <w:rPr>
          <w:rFonts w:eastAsia="Times New Roman" w:cs="Arial"/>
          <w:lang w:eastAsia="bg-BG"/>
        </w:rPr>
      </w:pPr>
      <w:r w:rsidRPr="00735CBB">
        <w:rPr>
          <w:rFonts w:eastAsia="Times New Roman" w:cs="Arial"/>
          <w:i/>
          <w:iCs/>
          <w:color w:val="000000"/>
          <w:u w:val="single"/>
          <w:lang w:eastAsia="bg-BG"/>
        </w:rPr>
        <w:t>Не се препоръчва едновременна употреба</w:t>
      </w:r>
    </w:p>
    <w:p w14:paraId="758A54DC" w14:textId="77777777" w:rsidR="00735CBB" w:rsidRPr="00735CBB" w:rsidRDefault="00735CBB" w:rsidP="00735CBB">
      <w:pPr>
        <w:spacing w:line="240" w:lineRule="auto"/>
        <w:rPr>
          <w:rFonts w:eastAsia="Times New Roman" w:cs="Arial"/>
          <w:i/>
          <w:iCs/>
          <w:color w:val="000000"/>
          <w:lang w:eastAsia="bg-BG"/>
        </w:rPr>
      </w:pPr>
    </w:p>
    <w:p w14:paraId="1E1214BE" w14:textId="2E1EFADA"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Литий</w:t>
      </w:r>
    </w:p>
    <w:p w14:paraId="36B28CD3"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Съобщавани са случаи на обратимо повишаване на серумните концентрации и токсичността на литий при едновременна употреба на литий с АСЕ инхибитори, ангиотензин II рецепторни антагонисти или тиазидни диуретици, включително хидрохлоротиазид. Тъй като бъбречният клирънс на лития се редуцира от тиазидите, рискът от литиева токсичност може да се увеличи допълнително с Валтензин Плюс. Ако се прецени, че комбинацията е необходима, се препоръчва внимателно мониториране на серумните нива на литий.</w:t>
      </w:r>
    </w:p>
    <w:p w14:paraId="6071892F" w14:textId="77777777" w:rsidR="00735CBB" w:rsidRPr="00735CBB" w:rsidRDefault="00735CBB" w:rsidP="00735CBB">
      <w:pPr>
        <w:spacing w:line="240" w:lineRule="auto"/>
        <w:rPr>
          <w:rFonts w:eastAsia="Times New Roman" w:cs="Arial"/>
          <w:i/>
          <w:iCs/>
          <w:color w:val="000000"/>
          <w:u w:val="single"/>
          <w:lang w:eastAsia="bg-BG"/>
        </w:rPr>
      </w:pPr>
    </w:p>
    <w:p w14:paraId="7AD13F49" w14:textId="56E669B1" w:rsidR="00735CBB" w:rsidRPr="00735CBB" w:rsidRDefault="00735CBB" w:rsidP="00735CBB">
      <w:pPr>
        <w:spacing w:line="240" w:lineRule="auto"/>
        <w:rPr>
          <w:rFonts w:eastAsia="Times New Roman" w:cs="Arial"/>
          <w:lang w:eastAsia="bg-BG"/>
        </w:rPr>
      </w:pPr>
      <w:r w:rsidRPr="00735CBB">
        <w:rPr>
          <w:rFonts w:eastAsia="Times New Roman" w:cs="Arial"/>
          <w:i/>
          <w:iCs/>
          <w:color w:val="000000"/>
          <w:u w:val="single"/>
          <w:lang w:eastAsia="bg-BG"/>
        </w:rPr>
        <w:t>Необходимо е повишено внимание при едновременна употреба</w:t>
      </w:r>
    </w:p>
    <w:p w14:paraId="2AF8003D" w14:textId="77777777" w:rsidR="00735CBB" w:rsidRPr="00735CBB" w:rsidRDefault="00735CBB" w:rsidP="00735CBB">
      <w:pPr>
        <w:spacing w:line="240" w:lineRule="auto"/>
        <w:rPr>
          <w:rFonts w:eastAsia="Times New Roman" w:cs="Arial"/>
          <w:i/>
          <w:iCs/>
          <w:color w:val="000000"/>
          <w:lang w:eastAsia="bg-BG"/>
        </w:rPr>
      </w:pPr>
    </w:p>
    <w:p w14:paraId="4875BC0B" w14:textId="7EA8C0C3"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Други антихипертензивни средства</w:t>
      </w:r>
    </w:p>
    <w:p w14:paraId="67BBDAD2"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 xml:space="preserve">Валтензин Плюс може да повиши ефикасността на други лекарства с антихипертензивни свойства (напр. гванидин, метилдопа, вазодилататори, </w:t>
      </w:r>
      <w:r w:rsidRPr="00735CBB">
        <w:rPr>
          <w:rFonts w:eastAsia="Times New Roman" w:cs="Arial"/>
          <w:color w:val="000000"/>
          <w:lang w:val="en-US"/>
        </w:rPr>
        <w:t xml:space="preserve">ACEIs, ARBs, </w:t>
      </w:r>
      <w:r w:rsidRPr="00735CBB">
        <w:rPr>
          <w:rFonts w:eastAsia="Times New Roman" w:cs="Arial"/>
          <w:color w:val="000000"/>
          <w:lang w:eastAsia="bg-BG"/>
        </w:rPr>
        <w:t xml:space="preserve">бета-блокери, калциеви антагонисти и директни инхибитори на ренина </w:t>
      </w:r>
      <w:r w:rsidRPr="00735CBB">
        <w:rPr>
          <w:rFonts w:eastAsia="Times New Roman" w:cs="Arial"/>
          <w:color w:val="000000"/>
          <w:lang w:val="en-US"/>
        </w:rPr>
        <w:t>(DRIs)).</w:t>
      </w:r>
    </w:p>
    <w:p w14:paraId="0603CAE4" w14:textId="77777777" w:rsidR="00735CBB" w:rsidRPr="00735CBB" w:rsidRDefault="00735CBB" w:rsidP="00735CBB">
      <w:pPr>
        <w:spacing w:line="240" w:lineRule="auto"/>
        <w:rPr>
          <w:rFonts w:eastAsia="Times New Roman" w:cs="Arial"/>
          <w:i/>
          <w:iCs/>
          <w:color w:val="000000"/>
          <w:lang w:eastAsia="bg-BG"/>
        </w:rPr>
      </w:pPr>
    </w:p>
    <w:p w14:paraId="2CC6888D" w14:textId="072DE055"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Пресорни амини</w:t>
      </w:r>
      <w:r w:rsidRPr="00735CBB">
        <w:rPr>
          <w:rFonts w:eastAsia="Times New Roman" w:cs="Arial"/>
          <w:color w:val="000000"/>
          <w:lang w:eastAsia="bg-BG"/>
        </w:rPr>
        <w:t xml:space="preserve"> (напр. норадреналин, адреналин)</w:t>
      </w:r>
    </w:p>
    <w:p w14:paraId="57715007"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Възможно е намаляване на отговора към пресорни амини. Клиничното значение на този ефект е неясно и е недостатъчно за да се изключи употребата им.</w:t>
      </w:r>
    </w:p>
    <w:p w14:paraId="2877214E" w14:textId="77777777" w:rsidR="00735CBB" w:rsidRPr="00735CBB" w:rsidRDefault="00735CBB" w:rsidP="00735CBB">
      <w:pPr>
        <w:spacing w:line="240" w:lineRule="auto"/>
        <w:rPr>
          <w:rFonts w:eastAsia="Times New Roman" w:cs="Arial"/>
          <w:i/>
          <w:iCs/>
          <w:color w:val="000000"/>
          <w:lang w:eastAsia="bg-BG"/>
        </w:rPr>
      </w:pPr>
    </w:p>
    <w:p w14:paraId="31180F56" w14:textId="5A8B2E2C"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 xml:space="preserve">Нестероидни противовъзпалителни средства (НСПВС), включително селективни СОХ-2 инхибитори, ацетилсалицилова киселина (&gt;3 </w:t>
      </w:r>
      <w:r w:rsidRPr="00735CBB">
        <w:rPr>
          <w:rFonts w:eastAsia="Times New Roman" w:cs="Arial"/>
          <w:i/>
          <w:iCs/>
          <w:color w:val="000000"/>
          <w:lang w:val="en-US"/>
        </w:rPr>
        <w:t>g</w:t>
      </w:r>
      <w:r w:rsidRPr="00735CBB">
        <w:rPr>
          <w:rFonts w:eastAsia="Times New Roman" w:cs="Arial"/>
          <w:i/>
          <w:iCs/>
          <w:color w:val="000000"/>
          <w:lang w:eastAsia="bg-BG"/>
        </w:rPr>
        <w:t xml:space="preserve">/дневно), и неселективни НСПВС </w:t>
      </w:r>
      <w:r w:rsidRPr="00735CBB">
        <w:rPr>
          <w:rFonts w:eastAsia="Times New Roman" w:cs="Arial"/>
          <w:color w:val="000000"/>
          <w:lang w:eastAsia="bg-BG"/>
        </w:rPr>
        <w:t>НСПВС могат да отслабят антихипертензивния ефект на ангиотензин II рецепторните антагонисти и на хидрохлоротиазид при едновременно приложение. Освен това, комбинираната употреба на валсартан/хидрохлоротиазид и НСПВС може да доведе до влошаване на бъбречната функция и повишаване на серумния калий. Ето защо, се препоръчва проследяване на бъбречната функция в началото на лечението, както и адекватна хидратация на пациента.</w:t>
      </w:r>
    </w:p>
    <w:p w14:paraId="6F489C0D" w14:textId="77777777" w:rsidR="00735CBB" w:rsidRPr="00735CBB" w:rsidRDefault="00735CBB" w:rsidP="00735CBB">
      <w:pPr>
        <w:spacing w:line="240" w:lineRule="auto"/>
        <w:rPr>
          <w:rFonts w:eastAsia="Times New Roman" w:cs="Arial"/>
          <w:color w:val="000000"/>
          <w:u w:val="single"/>
          <w:lang w:eastAsia="bg-BG"/>
        </w:rPr>
      </w:pPr>
    </w:p>
    <w:p w14:paraId="03111436" w14:textId="7D458692" w:rsidR="00735CBB" w:rsidRPr="00735CBB" w:rsidRDefault="00735CBB" w:rsidP="00735CBB">
      <w:pPr>
        <w:spacing w:line="240" w:lineRule="auto"/>
        <w:rPr>
          <w:rFonts w:eastAsia="Times New Roman" w:cs="Arial"/>
          <w:lang w:eastAsia="bg-BG"/>
        </w:rPr>
      </w:pPr>
      <w:r w:rsidRPr="00735CBB">
        <w:rPr>
          <w:rFonts w:eastAsia="Times New Roman" w:cs="Arial"/>
          <w:color w:val="000000"/>
          <w:u w:val="single"/>
          <w:lang w:eastAsia="bg-BG"/>
        </w:rPr>
        <w:t>Взаимодействия, свързани с валсартан</w:t>
      </w:r>
    </w:p>
    <w:p w14:paraId="05DE45AD" w14:textId="77777777" w:rsidR="00735CBB" w:rsidRPr="00735CBB" w:rsidRDefault="00735CBB" w:rsidP="00735CBB">
      <w:pPr>
        <w:spacing w:line="240" w:lineRule="auto"/>
        <w:rPr>
          <w:rFonts w:eastAsia="Times New Roman" w:cs="Arial"/>
          <w:i/>
          <w:iCs/>
          <w:color w:val="000000"/>
          <w:u w:val="single"/>
          <w:lang w:eastAsia="bg-BG"/>
        </w:rPr>
      </w:pPr>
    </w:p>
    <w:p w14:paraId="41411769" w14:textId="4F97993B" w:rsidR="00735CBB" w:rsidRPr="00735CBB" w:rsidRDefault="00735CBB" w:rsidP="00735CBB">
      <w:pPr>
        <w:spacing w:line="240" w:lineRule="auto"/>
        <w:rPr>
          <w:rFonts w:eastAsia="Times New Roman" w:cs="Arial"/>
          <w:lang w:eastAsia="bg-BG"/>
        </w:rPr>
      </w:pPr>
      <w:r w:rsidRPr="00735CBB">
        <w:rPr>
          <w:rFonts w:eastAsia="Times New Roman" w:cs="Arial"/>
          <w:i/>
          <w:iCs/>
          <w:color w:val="000000"/>
          <w:u w:val="single"/>
          <w:lang w:eastAsia="bg-BG"/>
        </w:rPr>
        <w:lastRenderedPageBreak/>
        <w:t xml:space="preserve">Двойно блокиране наренин-ангиотензин-алдостероновата система /РААС), с </w:t>
      </w:r>
      <w:r w:rsidRPr="00735CBB">
        <w:rPr>
          <w:rFonts w:eastAsia="Times New Roman" w:cs="Arial"/>
          <w:i/>
          <w:iCs/>
          <w:color w:val="000000"/>
          <w:u w:val="single"/>
          <w:lang w:val="en-US"/>
        </w:rPr>
        <w:t xml:space="preserve">ARBs, </w:t>
      </w:r>
      <w:r w:rsidRPr="00735CBB">
        <w:rPr>
          <w:rFonts w:eastAsia="Times New Roman" w:cs="Arial"/>
          <w:i/>
          <w:iCs/>
          <w:color w:val="000000"/>
          <w:u w:val="single"/>
          <w:lang w:eastAsia="bg-BG"/>
        </w:rPr>
        <w:t>АСЕИ или алискирен</w:t>
      </w:r>
    </w:p>
    <w:p w14:paraId="2A5A1CD6" w14:textId="77777777" w:rsidR="00735CBB" w:rsidRPr="00735CBB" w:rsidRDefault="00735CBB" w:rsidP="00735CBB">
      <w:pPr>
        <w:rPr>
          <w:rFonts w:eastAsia="Times New Roman" w:cs="Arial"/>
          <w:lang w:eastAsia="bg-BG"/>
        </w:rPr>
      </w:pPr>
      <w:r w:rsidRPr="00735CBB">
        <w:rPr>
          <w:rFonts w:eastAsia="Times New Roman" w:cs="Arial"/>
          <w:color w:val="000000"/>
          <w:lang w:eastAsia="bg-BG"/>
        </w:rPr>
        <w:t xml:space="preserve">Данни от клинични проучвания показват, че двойното блокиране на ренин ангиотензин- алдостероновата система (РААС) чрез комбинираната употреба на АСЕ инхибитори, ангиотензин </w:t>
      </w:r>
      <w:r w:rsidRPr="00735CBB">
        <w:rPr>
          <w:rFonts w:eastAsia="Times New Roman" w:cs="Arial"/>
          <w:color w:val="000000"/>
          <w:lang w:val="en-US"/>
        </w:rPr>
        <w:t>II</w:t>
      </w:r>
      <w:r w:rsidRPr="00735CBB">
        <w:rPr>
          <w:rFonts w:eastAsia="Times New Roman" w:cs="Arial"/>
          <w:color w:val="000000"/>
          <w:lang w:eastAsia="bg-BG"/>
        </w:rPr>
        <w:t>-рецепторни блокери или алискирен се свързва с по-висока честота на нежелани събития, като например хипотония, хиперкалиемия и намаляване на бъбречна функция</w:t>
      </w:r>
      <w:r w:rsidRPr="00735CBB">
        <w:rPr>
          <w:rFonts w:eastAsia="Times New Roman" w:cs="Arial"/>
          <w:color w:val="000000"/>
          <w:lang w:val="en-US" w:eastAsia="bg-BG"/>
        </w:rPr>
        <w:t xml:space="preserve"> </w:t>
      </w:r>
      <w:r w:rsidRPr="00735CBB">
        <w:rPr>
          <w:rFonts w:eastAsia="Times New Roman" w:cs="Arial"/>
          <w:color w:val="000000"/>
          <w:lang w:eastAsia="bg-BG"/>
        </w:rPr>
        <w:t>(включително остра бъбречна недостатъчност), в сравнение с употребата само на едно средство, действащо върху РААС (вж. точки 4.3, 4.4 и 5.1).</w:t>
      </w:r>
    </w:p>
    <w:p w14:paraId="57206CD8" w14:textId="77777777" w:rsidR="00735CBB" w:rsidRPr="00735CBB" w:rsidRDefault="00735CBB" w:rsidP="00735CBB">
      <w:pPr>
        <w:spacing w:line="240" w:lineRule="auto"/>
        <w:rPr>
          <w:rFonts w:eastAsia="Times New Roman" w:cs="Arial"/>
          <w:i/>
          <w:iCs/>
          <w:color w:val="000000"/>
          <w:u w:val="single"/>
          <w:lang w:eastAsia="bg-BG"/>
        </w:rPr>
      </w:pPr>
    </w:p>
    <w:p w14:paraId="5E110DB0" w14:textId="1AF8D56D" w:rsidR="00735CBB" w:rsidRPr="00735CBB" w:rsidRDefault="00735CBB" w:rsidP="00735CBB">
      <w:pPr>
        <w:spacing w:line="240" w:lineRule="auto"/>
        <w:rPr>
          <w:rFonts w:eastAsia="Times New Roman" w:cs="Arial"/>
          <w:lang w:eastAsia="bg-BG"/>
        </w:rPr>
      </w:pPr>
      <w:r w:rsidRPr="00735CBB">
        <w:rPr>
          <w:rFonts w:eastAsia="Times New Roman" w:cs="Arial"/>
          <w:i/>
          <w:iCs/>
          <w:color w:val="000000"/>
          <w:u w:val="single"/>
          <w:lang w:eastAsia="bg-BG"/>
        </w:rPr>
        <w:t>Не се препоръчва едновременна употреба</w:t>
      </w:r>
    </w:p>
    <w:p w14:paraId="1FF22AC0" w14:textId="77777777" w:rsidR="00735CBB" w:rsidRPr="00735CBB" w:rsidRDefault="00735CBB" w:rsidP="00735CBB">
      <w:pPr>
        <w:spacing w:line="240" w:lineRule="auto"/>
        <w:rPr>
          <w:rFonts w:eastAsia="Times New Roman" w:cs="Arial"/>
          <w:i/>
          <w:iCs/>
          <w:color w:val="000000"/>
          <w:lang w:eastAsia="bg-BG"/>
        </w:rPr>
      </w:pPr>
    </w:p>
    <w:p w14:paraId="4F4711DF" w14:textId="11FC87CB"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Калий-съхраняващи диуретици, калиеви добавки, калий-съдържащи заместители на солта и други вещества, които могат да повишат нивата на калий</w:t>
      </w:r>
    </w:p>
    <w:p w14:paraId="7485784B"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Препоръчва се проследяване плазмените нива на калий, ако се счита за необходимо приложението на лекарствен продукт, повлияващ нивата на калий, в комбинация с валсартан.</w:t>
      </w:r>
    </w:p>
    <w:p w14:paraId="5597ADDD" w14:textId="77777777" w:rsidR="00735CBB" w:rsidRPr="00735CBB" w:rsidRDefault="00735CBB" w:rsidP="00735CBB">
      <w:pPr>
        <w:spacing w:line="240" w:lineRule="auto"/>
        <w:rPr>
          <w:rFonts w:eastAsia="Times New Roman" w:cs="Arial"/>
          <w:i/>
          <w:iCs/>
          <w:color w:val="000000"/>
          <w:lang w:eastAsia="bg-BG"/>
        </w:rPr>
      </w:pPr>
    </w:p>
    <w:p w14:paraId="3F64BEBF" w14:textId="285EBD7A"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Транспортери</w:t>
      </w:r>
    </w:p>
    <w:p w14:paraId="16F675A3" w14:textId="77777777"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val="en-US"/>
        </w:rPr>
        <w:t>In vitro</w:t>
      </w:r>
      <w:r w:rsidRPr="00735CBB">
        <w:rPr>
          <w:rFonts w:eastAsia="Times New Roman" w:cs="Arial"/>
          <w:color w:val="000000"/>
          <w:lang w:val="en-US"/>
        </w:rPr>
        <w:t xml:space="preserve"> </w:t>
      </w:r>
      <w:r w:rsidRPr="00735CBB">
        <w:rPr>
          <w:rFonts w:eastAsia="Times New Roman" w:cs="Arial"/>
          <w:color w:val="000000"/>
          <w:lang w:eastAsia="bg-BG"/>
        </w:rPr>
        <w:t xml:space="preserve">данни показват, че валсартан е субстрат на транспортера за чернодробно захващане ОАТР1В1/ОАТР1ВЗ и на транспортера за чернодробен ефлукс - </w:t>
      </w:r>
      <w:r w:rsidRPr="00735CBB">
        <w:rPr>
          <w:rFonts w:eastAsia="Times New Roman" w:cs="Arial"/>
          <w:color w:val="000000"/>
          <w:lang w:val="en-US"/>
        </w:rPr>
        <w:t xml:space="preserve">MRP2. </w:t>
      </w:r>
      <w:r w:rsidRPr="00735CBB">
        <w:rPr>
          <w:rFonts w:eastAsia="Times New Roman" w:cs="Arial"/>
          <w:color w:val="000000"/>
          <w:lang w:eastAsia="bg-BG"/>
        </w:rPr>
        <w:t>Клиничното значение на тези данни не е известно. Едновременното приложение на инхибитори на транспортерите за захващане (напр. рифампин, циклоспорин) или на транспортерите за ефлукс (напр. ритонавир) може да повиши системната експозиция на валсартан. При започване или прекратяване на съпътстващо лечение с такива лекарства се изискват подходящи интензивни грижи.</w:t>
      </w:r>
    </w:p>
    <w:p w14:paraId="0E0B99D2" w14:textId="77777777" w:rsidR="00735CBB" w:rsidRPr="00735CBB" w:rsidRDefault="00735CBB" w:rsidP="00735CBB">
      <w:pPr>
        <w:spacing w:line="240" w:lineRule="auto"/>
        <w:rPr>
          <w:rFonts w:eastAsia="Times New Roman" w:cs="Arial"/>
          <w:i/>
          <w:iCs/>
          <w:color w:val="000000"/>
          <w:lang w:eastAsia="bg-BG"/>
        </w:rPr>
      </w:pPr>
    </w:p>
    <w:p w14:paraId="080BB64D" w14:textId="36F5C822"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Няма взаимодействие</w:t>
      </w:r>
    </w:p>
    <w:p w14:paraId="445D5168"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При проучвания за лекарствени взаимодействия с валсартан, не са установени клинично значими взаимодействия с валсартан или някое от следните вещества: циметидин, варфарин, фуроземид, дигоксин, атенолол, индометацин, хидрохлоротиазид, амлодипин, глибенкламид. Дигоксин и индометацин могат да взаимодействат с хидрохлоротиазидната компонента на Валтензин Плюс (вж. взаимодействия, свързани с хидрохлоротиазид).</w:t>
      </w:r>
    </w:p>
    <w:p w14:paraId="45F5B8E5" w14:textId="77777777" w:rsidR="00735CBB" w:rsidRPr="00735CBB" w:rsidRDefault="00735CBB" w:rsidP="00735CBB">
      <w:pPr>
        <w:spacing w:line="240" w:lineRule="auto"/>
        <w:rPr>
          <w:rFonts w:eastAsia="Times New Roman" w:cs="Arial"/>
          <w:color w:val="000000"/>
          <w:u w:val="single"/>
          <w:lang w:eastAsia="bg-BG"/>
        </w:rPr>
      </w:pPr>
    </w:p>
    <w:p w14:paraId="4B08EDC7" w14:textId="6E18BC1E" w:rsidR="00735CBB" w:rsidRPr="00735CBB" w:rsidRDefault="00735CBB" w:rsidP="00735CBB">
      <w:pPr>
        <w:spacing w:line="240" w:lineRule="auto"/>
        <w:rPr>
          <w:rFonts w:eastAsia="Times New Roman" w:cs="Arial"/>
          <w:lang w:eastAsia="bg-BG"/>
        </w:rPr>
      </w:pPr>
      <w:r w:rsidRPr="00735CBB">
        <w:rPr>
          <w:rFonts w:eastAsia="Times New Roman" w:cs="Arial"/>
          <w:color w:val="000000"/>
          <w:u w:val="single"/>
          <w:lang w:eastAsia="bg-BG"/>
        </w:rPr>
        <w:t>Взаимодействия, свързани с хидрохлоротиазид</w:t>
      </w:r>
    </w:p>
    <w:p w14:paraId="1852B2DC" w14:textId="77777777" w:rsidR="00735CBB" w:rsidRPr="00735CBB" w:rsidRDefault="00735CBB" w:rsidP="00735CBB">
      <w:pPr>
        <w:spacing w:line="240" w:lineRule="auto"/>
        <w:rPr>
          <w:rFonts w:eastAsia="Times New Roman" w:cs="Arial"/>
          <w:i/>
          <w:iCs/>
          <w:color w:val="000000"/>
          <w:u w:val="single"/>
          <w:lang w:eastAsia="bg-BG"/>
        </w:rPr>
      </w:pPr>
    </w:p>
    <w:p w14:paraId="3096D3D2" w14:textId="7EC2F58A" w:rsidR="00735CBB" w:rsidRPr="00735CBB" w:rsidRDefault="00735CBB" w:rsidP="00735CBB">
      <w:pPr>
        <w:spacing w:line="240" w:lineRule="auto"/>
        <w:rPr>
          <w:rFonts w:eastAsia="Times New Roman" w:cs="Arial"/>
          <w:lang w:eastAsia="bg-BG"/>
        </w:rPr>
      </w:pPr>
      <w:r w:rsidRPr="00735CBB">
        <w:rPr>
          <w:rFonts w:eastAsia="Times New Roman" w:cs="Arial"/>
          <w:i/>
          <w:iCs/>
          <w:color w:val="000000"/>
          <w:u w:val="single"/>
          <w:lang w:eastAsia="bg-BG"/>
        </w:rPr>
        <w:t>Едновременна употреба, изискваща повишено внимание</w:t>
      </w:r>
    </w:p>
    <w:p w14:paraId="384FE600" w14:textId="77777777" w:rsidR="00735CBB" w:rsidRPr="00735CBB" w:rsidRDefault="00735CBB" w:rsidP="00735CBB">
      <w:pPr>
        <w:spacing w:line="240" w:lineRule="auto"/>
        <w:rPr>
          <w:rFonts w:eastAsia="Times New Roman" w:cs="Arial"/>
          <w:i/>
          <w:iCs/>
          <w:color w:val="000000"/>
          <w:lang w:eastAsia="bg-BG"/>
        </w:rPr>
      </w:pPr>
    </w:p>
    <w:p w14:paraId="2548E1AD" w14:textId="37A461FD"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Лекарствени продукти, оказващи влияние върху серумните нива на калий</w:t>
      </w:r>
    </w:p>
    <w:p w14:paraId="78068123"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 xml:space="preserve">Хипокалиемичният ефект на хидрохлоротиазид може да се повиши при едновременната употреба на калиуретични диуретици, кортикостероиди, лаксативи, АСТН, амфотерицин, карбеноксолон, пеницилин </w:t>
      </w:r>
      <w:r w:rsidRPr="00735CBB">
        <w:rPr>
          <w:rFonts w:eastAsia="Times New Roman" w:cs="Arial"/>
          <w:color w:val="000000"/>
          <w:lang w:val="en-US"/>
        </w:rPr>
        <w:t xml:space="preserve">G, </w:t>
      </w:r>
      <w:r w:rsidRPr="00735CBB">
        <w:rPr>
          <w:rFonts w:eastAsia="Times New Roman" w:cs="Arial"/>
          <w:color w:val="000000"/>
          <w:lang w:eastAsia="bg-BG"/>
        </w:rPr>
        <w:t>салицилова киселина и производните й.</w:t>
      </w:r>
    </w:p>
    <w:p w14:paraId="2C950D02"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Ако е необходимо предписването на тези лекарствени продукти едновременно с комбинацията хидрохлоротиазид-валсартан се препоръчва мониториране на плазмените концентрации на калия (вж. точка 4.4).</w:t>
      </w:r>
    </w:p>
    <w:p w14:paraId="244138A9" w14:textId="77777777" w:rsidR="00735CBB" w:rsidRPr="00735CBB" w:rsidRDefault="00735CBB" w:rsidP="00735CBB">
      <w:pPr>
        <w:spacing w:line="240" w:lineRule="auto"/>
        <w:rPr>
          <w:rFonts w:eastAsia="Times New Roman" w:cs="Arial"/>
          <w:i/>
          <w:iCs/>
          <w:color w:val="000000"/>
          <w:lang w:eastAsia="bg-BG"/>
        </w:rPr>
      </w:pPr>
    </w:p>
    <w:p w14:paraId="6D20D1C7" w14:textId="6C376597"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 xml:space="preserve">Лекарствени продукти, които могат да предизвикат </w:t>
      </w:r>
      <w:proofErr w:type="spellStart"/>
      <w:r w:rsidRPr="00735CBB">
        <w:rPr>
          <w:rFonts w:eastAsia="Times New Roman" w:cs="Arial"/>
          <w:i/>
          <w:iCs/>
          <w:color w:val="000000"/>
          <w:lang w:val="en-US"/>
        </w:rPr>
        <w:t>torsades</w:t>
      </w:r>
      <w:proofErr w:type="spellEnd"/>
      <w:r w:rsidRPr="00735CBB">
        <w:rPr>
          <w:rFonts w:eastAsia="Times New Roman" w:cs="Arial"/>
          <w:i/>
          <w:iCs/>
          <w:color w:val="000000"/>
          <w:lang w:val="en-US"/>
        </w:rPr>
        <w:t xml:space="preserve"> de pointes</w:t>
      </w:r>
    </w:p>
    <w:p w14:paraId="1F1CA725"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 xml:space="preserve">Поради риска от хипокалиемия, хидрохлоротиазид трябва да се прилага с повишено внимание, когато е в комбинация с лекарствени продукти, които могат да предизвикат </w:t>
      </w:r>
      <w:proofErr w:type="spellStart"/>
      <w:r w:rsidRPr="00735CBB">
        <w:rPr>
          <w:rFonts w:eastAsia="Times New Roman" w:cs="Arial"/>
          <w:i/>
          <w:iCs/>
          <w:color w:val="000000"/>
          <w:lang w:val="en-US"/>
        </w:rPr>
        <w:t>torsades</w:t>
      </w:r>
      <w:proofErr w:type="spellEnd"/>
      <w:r w:rsidRPr="00735CBB">
        <w:rPr>
          <w:rFonts w:eastAsia="Times New Roman" w:cs="Arial"/>
          <w:i/>
          <w:iCs/>
          <w:color w:val="000000"/>
          <w:lang w:val="en-US"/>
        </w:rPr>
        <w:t xml:space="preserve"> de pointes, </w:t>
      </w:r>
      <w:r w:rsidRPr="00735CBB">
        <w:rPr>
          <w:rFonts w:eastAsia="Times New Roman" w:cs="Arial"/>
          <w:color w:val="000000"/>
          <w:lang w:eastAsia="bg-BG"/>
        </w:rPr>
        <w:t xml:space="preserve">по-специално клас </w:t>
      </w:r>
      <w:proofErr w:type="spellStart"/>
      <w:r w:rsidRPr="00735CBB">
        <w:rPr>
          <w:rFonts w:eastAsia="Times New Roman" w:cs="Arial"/>
          <w:color w:val="000000"/>
          <w:lang w:val="en-US"/>
        </w:rPr>
        <w:t>Ia</w:t>
      </w:r>
      <w:proofErr w:type="spellEnd"/>
      <w:r w:rsidRPr="00735CBB">
        <w:rPr>
          <w:rFonts w:eastAsia="Times New Roman" w:cs="Arial"/>
          <w:color w:val="000000"/>
          <w:lang w:val="en-US"/>
        </w:rPr>
        <w:t xml:space="preserve"> </w:t>
      </w:r>
      <w:r w:rsidRPr="00735CBB">
        <w:rPr>
          <w:rFonts w:eastAsia="Times New Roman" w:cs="Arial"/>
          <w:color w:val="000000"/>
          <w:lang w:eastAsia="bg-BG"/>
        </w:rPr>
        <w:t xml:space="preserve">и клас </w:t>
      </w:r>
      <w:r w:rsidRPr="00735CBB">
        <w:rPr>
          <w:rFonts w:eastAsia="Times New Roman" w:cs="Arial"/>
          <w:color w:val="000000"/>
          <w:lang w:val="en-US"/>
        </w:rPr>
        <w:t>III</w:t>
      </w:r>
      <w:r w:rsidRPr="00735CBB">
        <w:rPr>
          <w:rFonts w:eastAsia="Times New Roman" w:cs="Arial"/>
          <w:color w:val="000000"/>
          <w:lang w:eastAsia="bg-BG"/>
        </w:rPr>
        <w:t xml:space="preserve"> антиаритмици и някои антипсихотици.</w:t>
      </w:r>
    </w:p>
    <w:p w14:paraId="6C14E398" w14:textId="77777777" w:rsidR="00735CBB" w:rsidRPr="00735CBB" w:rsidRDefault="00735CBB" w:rsidP="00735CBB">
      <w:pPr>
        <w:spacing w:line="240" w:lineRule="auto"/>
        <w:rPr>
          <w:rFonts w:eastAsia="Times New Roman" w:cs="Arial"/>
          <w:i/>
          <w:iCs/>
          <w:color w:val="000000"/>
          <w:lang w:eastAsia="bg-BG"/>
        </w:rPr>
      </w:pPr>
    </w:p>
    <w:p w14:paraId="03A5D4B8" w14:textId="0BDE594F" w:rsidR="00735CBB" w:rsidRPr="00735CBB" w:rsidRDefault="00735CBB" w:rsidP="00735CBB">
      <w:pPr>
        <w:spacing w:line="240" w:lineRule="auto"/>
        <w:rPr>
          <w:rFonts w:eastAsia="Times New Roman" w:cs="Arial"/>
          <w:color w:val="000000"/>
          <w:lang w:eastAsia="bg-BG"/>
        </w:rPr>
      </w:pPr>
      <w:r w:rsidRPr="00735CBB">
        <w:rPr>
          <w:rFonts w:eastAsia="Times New Roman" w:cs="Arial"/>
          <w:i/>
          <w:iCs/>
          <w:color w:val="000000"/>
          <w:lang w:eastAsia="bg-BG"/>
        </w:rPr>
        <w:t xml:space="preserve">Лекарствени продукти, оказващи влияние върху серумните стойности на натрия </w:t>
      </w:r>
      <w:r w:rsidRPr="00735CBB">
        <w:rPr>
          <w:rFonts w:eastAsia="Times New Roman" w:cs="Arial"/>
          <w:color w:val="000000"/>
          <w:lang w:eastAsia="bg-BG"/>
        </w:rPr>
        <w:t xml:space="preserve">Хипонатриемичният </w:t>
      </w:r>
    </w:p>
    <w:p w14:paraId="294506FE" w14:textId="752766F6"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ефект на диуретиците може да се засили при едновременно приложение с лекарства, като антидепресанти, антипсихотици, антиепилептици и др. При продължително приложение на тези лекарства се изисква повишено внимание.</w:t>
      </w:r>
    </w:p>
    <w:p w14:paraId="68C967D4" w14:textId="77777777" w:rsidR="00735CBB" w:rsidRPr="00735CBB" w:rsidRDefault="00735CBB" w:rsidP="00735CBB">
      <w:pPr>
        <w:spacing w:line="240" w:lineRule="auto"/>
        <w:rPr>
          <w:rFonts w:eastAsia="Times New Roman" w:cs="Arial"/>
          <w:i/>
          <w:iCs/>
          <w:color w:val="000000"/>
          <w:lang w:eastAsia="bg-BG"/>
        </w:rPr>
      </w:pPr>
    </w:p>
    <w:p w14:paraId="5829FBDD" w14:textId="786C2B63"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Дигиталисови гликозиди</w:t>
      </w:r>
    </w:p>
    <w:p w14:paraId="5DB032F6"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Тиазид-индуцирана хипокалиемия или хипомагнезиемия могат да се изявят като нежелани реакции, улесняващи началото на дигиталис-индуцирани сърдечни аритмии (вж. точка 4.4).</w:t>
      </w:r>
    </w:p>
    <w:p w14:paraId="6CA489F7" w14:textId="77777777" w:rsidR="00735CBB" w:rsidRPr="00735CBB" w:rsidRDefault="00735CBB" w:rsidP="00735CBB">
      <w:pPr>
        <w:spacing w:line="240" w:lineRule="auto"/>
        <w:rPr>
          <w:rFonts w:eastAsia="Times New Roman" w:cs="Arial"/>
          <w:i/>
          <w:iCs/>
          <w:color w:val="000000"/>
          <w:lang w:eastAsia="bg-BG"/>
        </w:rPr>
      </w:pPr>
    </w:p>
    <w:p w14:paraId="4B9FF3DD" w14:textId="11A11B64"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 xml:space="preserve">Калциеви соли и витамин </w:t>
      </w:r>
      <w:r w:rsidRPr="00735CBB">
        <w:rPr>
          <w:rFonts w:eastAsia="Times New Roman" w:cs="Arial"/>
          <w:i/>
          <w:iCs/>
          <w:color w:val="000000"/>
          <w:lang w:val="en-US"/>
        </w:rPr>
        <w:t>D</w:t>
      </w:r>
    </w:p>
    <w:p w14:paraId="281712FC" w14:textId="77777777" w:rsidR="00735CBB" w:rsidRPr="00735CBB" w:rsidRDefault="00735CBB" w:rsidP="00735CBB">
      <w:pPr>
        <w:rPr>
          <w:rFonts w:eastAsia="Times New Roman" w:cs="Arial"/>
          <w:lang w:eastAsia="bg-BG"/>
        </w:rPr>
      </w:pPr>
      <w:r w:rsidRPr="00735CBB">
        <w:rPr>
          <w:rFonts w:eastAsia="Times New Roman" w:cs="Arial"/>
          <w:color w:val="000000"/>
          <w:lang w:eastAsia="bg-BG"/>
        </w:rPr>
        <w:t xml:space="preserve">Приложението на тиазидни диуретици, включително хидрохлоротиазид, с витамин </w:t>
      </w:r>
      <w:r w:rsidRPr="00735CBB">
        <w:rPr>
          <w:rFonts w:eastAsia="Times New Roman" w:cs="Arial"/>
          <w:color w:val="000000"/>
          <w:lang w:val="en-US"/>
        </w:rPr>
        <w:t xml:space="preserve">D </w:t>
      </w:r>
      <w:r w:rsidRPr="00735CBB">
        <w:rPr>
          <w:rFonts w:eastAsia="Times New Roman" w:cs="Arial"/>
          <w:color w:val="000000"/>
          <w:lang w:eastAsia="bg-BG"/>
        </w:rPr>
        <w:t>или с калциеви соли може да потенцира покачването на серумния калций. Едновременното приложение на тиазидни диуретици с калциеви соли може да причини хиперкалциемия при предразположени към хиперкалциемия пациенти (напр. с хиперпаратиреоидизъм, малигнени</w:t>
      </w:r>
      <w:r w:rsidRPr="00735CBB">
        <w:rPr>
          <w:rFonts w:eastAsia="Times New Roman" w:cs="Arial"/>
          <w:color w:val="000000"/>
          <w:lang w:val="en-US" w:eastAsia="bg-BG"/>
        </w:rPr>
        <w:t xml:space="preserve"> </w:t>
      </w:r>
      <w:r w:rsidRPr="00735CBB">
        <w:rPr>
          <w:rFonts w:eastAsia="Times New Roman" w:cs="Arial"/>
          <w:color w:val="000000"/>
          <w:lang w:eastAsia="bg-BG"/>
        </w:rPr>
        <w:t xml:space="preserve">заболявалия или витамин </w:t>
      </w:r>
      <w:r w:rsidRPr="00735CBB">
        <w:rPr>
          <w:rFonts w:eastAsia="Times New Roman" w:cs="Arial"/>
          <w:i/>
          <w:iCs/>
          <w:color w:val="000000"/>
          <w:lang w:val="en-US"/>
        </w:rPr>
        <w:t>D</w:t>
      </w:r>
      <w:r w:rsidRPr="00735CBB">
        <w:rPr>
          <w:rFonts w:eastAsia="Times New Roman" w:cs="Arial"/>
          <w:color w:val="000000"/>
          <w:lang w:val="en-US"/>
        </w:rPr>
        <w:t xml:space="preserve"> </w:t>
      </w:r>
      <w:r w:rsidRPr="00735CBB">
        <w:rPr>
          <w:rFonts w:eastAsia="Times New Roman" w:cs="Arial"/>
          <w:color w:val="000000"/>
          <w:lang w:eastAsia="bg-BG"/>
        </w:rPr>
        <w:t>опосредствани състояния) чрез повишаване на тубулната калциева реабсорбция.</w:t>
      </w:r>
    </w:p>
    <w:p w14:paraId="304D568F" w14:textId="77777777" w:rsidR="00735CBB" w:rsidRPr="00735CBB" w:rsidRDefault="00735CBB" w:rsidP="00735CBB">
      <w:pPr>
        <w:spacing w:line="240" w:lineRule="auto"/>
        <w:rPr>
          <w:rFonts w:eastAsia="Times New Roman" w:cs="Arial"/>
          <w:i/>
          <w:iCs/>
          <w:color w:val="000000"/>
          <w:lang w:eastAsia="bg-BG"/>
        </w:rPr>
      </w:pPr>
    </w:p>
    <w:p w14:paraId="184018C7" w14:textId="3FE0DB64"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Антидиабетни средства</w:t>
      </w:r>
      <w:r w:rsidRPr="00735CBB">
        <w:rPr>
          <w:rFonts w:eastAsia="Times New Roman" w:cs="Arial"/>
          <w:color w:val="000000"/>
          <w:lang w:eastAsia="bg-BG"/>
        </w:rPr>
        <w:t xml:space="preserve"> (перорални средства и инсулин)</w:t>
      </w:r>
    </w:p>
    <w:p w14:paraId="6E034BDA"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Тиазидните диуретици могат да променят поносимостга към глюкоза. Може да се наложи корекция на дозата на антидиабетния лекарствен продукт.</w:t>
      </w:r>
    </w:p>
    <w:p w14:paraId="0F81E7EE"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Метформин трябва да се използва с повишено внимание, поради риска от лактатна ацидоза, индуцирана от възможна функционална бъбречна недостатъчност, свързана с хидрохлоротиазид.</w:t>
      </w:r>
    </w:p>
    <w:p w14:paraId="38BC11F5" w14:textId="77777777" w:rsidR="00735CBB" w:rsidRPr="00735CBB" w:rsidRDefault="00735CBB" w:rsidP="00735CBB">
      <w:pPr>
        <w:spacing w:line="240" w:lineRule="auto"/>
        <w:rPr>
          <w:rFonts w:eastAsia="Times New Roman" w:cs="Arial"/>
          <w:i/>
          <w:iCs/>
          <w:color w:val="000000"/>
          <w:lang w:eastAsia="bg-BG"/>
        </w:rPr>
      </w:pPr>
    </w:p>
    <w:p w14:paraId="05AB4126" w14:textId="21FE6D83"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Бета-блокери и диазоксид</w:t>
      </w:r>
    </w:p>
    <w:p w14:paraId="15EEFE50"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Едновременното приложение на тиазидни диуретици, включително хидрохлоротиазид с бета- блокери може да повиши риска от хипергликемия. Тиазидните диуретици, включително хидрохлоротиазид могат да усилят хипергликемичния ефект на диазоксид.</w:t>
      </w:r>
    </w:p>
    <w:p w14:paraId="581D7B53" w14:textId="77777777" w:rsidR="00735CBB" w:rsidRPr="00735CBB" w:rsidRDefault="00735CBB" w:rsidP="00735CBB">
      <w:pPr>
        <w:spacing w:line="240" w:lineRule="auto"/>
        <w:rPr>
          <w:rFonts w:eastAsia="Times New Roman" w:cs="Arial"/>
          <w:i/>
          <w:iCs/>
          <w:color w:val="000000"/>
          <w:lang w:eastAsia="bg-BG"/>
        </w:rPr>
      </w:pPr>
    </w:p>
    <w:p w14:paraId="0C9EFCB0" w14:textId="73A33B0E"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Лекарствени продукти, използвани в лечението на подагра</w:t>
      </w:r>
      <w:r w:rsidRPr="00735CBB">
        <w:rPr>
          <w:rFonts w:eastAsia="Times New Roman" w:cs="Arial"/>
          <w:color w:val="000000"/>
          <w:lang w:eastAsia="bg-BG"/>
        </w:rPr>
        <w:t xml:space="preserve"> (пробенецид, сулфинпиразон и алопуринол)</w:t>
      </w:r>
    </w:p>
    <w:p w14:paraId="4A509333" w14:textId="2209B5E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Възможно е да се наложи коригиране на дозата на урикозуричните средства, тъй като хидрохлоротиазид може да повиши стойностите на пикочна киселина в серума. Може да се наложи повишаване на дозата на пробенецид или сулфинпиразон. Едновременното прилагане на тиазидни диуретици, включително хидрохлоротиазид, може да увеличи честотата на реакциите на свръхчувствителност спрямо алопуринол.</w:t>
      </w:r>
    </w:p>
    <w:p w14:paraId="1C732E80" w14:textId="77777777" w:rsidR="00735CBB" w:rsidRPr="00735CBB" w:rsidRDefault="00735CBB" w:rsidP="00735CBB">
      <w:pPr>
        <w:spacing w:line="240" w:lineRule="auto"/>
        <w:rPr>
          <w:rFonts w:eastAsia="Times New Roman" w:cs="Arial"/>
          <w:i/>
          <w:iCs/>
          <w:color w:val="000000"/>
          <w:lang w:eastAsia="bg-BG"/>
        </w:rPr>
      </w:pPr>
    </w:p>
    <w:p w14:paraId="6E4961A1" w14:textId="103355E7" w:rsidR="00735CBB" w:rsidRPr="00735CBB" w:rsidRDefault="00735CBB" w:rsidP="00735CBB">
      <w:pPr>
        <w:spacing w:line="240" w:lineRule="auto"/>
        <w:rPr>
          <w:rFonts w:eastAsia="Times New Roman" w:cs="Arial"/>
          <w:i/>
          <w:iCs/>
          <w:color w:val="000000"/>
          <w:lang w:eastAsia="bg-BG"/>
        </w:rPr>
      </w:pPr>
      <w:r w:rsidRPr="00735CBB">
        <w:rPr>
          <w:rFonts w:eastAsia="Times New Roman" w:cs="Arial"/>
          <w:i/>
          <w:iCs/>
          <w:color w:val="000000"/>
          <w:lang w:eastAsia="bg-BG"/>
        </w:rPr>
        <w:t xml:space="preserve">Антихолинергични средства и други лекарствени продукти, оказващи влияние върху стомашния </w:t>
      </w:r>
    </w:p>
    <w:p w14:paraId="102BEC43" w14:textId="7E110713"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мотилитет</w:t>
      </w:r>
    </w:p>
    <w:p w14:paraId="00138CED"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Бионаличността на диуретиците от тиазиден тип може да се увеличи от антихолинергични лекарствени продукти (напр. атропин, бипериден), очевидно поради намаляване на мотилитета на стомашно-чревния тракт и скоростта на изпразване на стомаха. От друга страна, се очаква, че прокинетични лекарства, като цизапрцд могат да понижат бионаличността на тиазидните диуретици.</w:t>
      </w:r>
    </w:p>
    <w:p w14:paraId="64892CDC" w14:textId="77777777" w:rsidR="00735CBB" w:rsidRPr="00735CBB" w:rsidRDefault="00735CBB" w:rsidP="00735CBB">
      <w:pPr>
        <w:spacing w:line="240" w:lineRule="auto"/>
        <w:rPr>
          <w:rFonts w:eastAsia="Times New Roman" w:cs="Arial"/>
          <w:i/>
          <w:iCs/>
          <w:color w:val="000000"/>
          <w:lang w:eastAsia="bg-BG"/>
        </w:rPr>
      </w:pPr>
    </w:p>
    <w:p w14:paraId="091217A0" w14:textId="09CBA518"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Амантадин</w:t>
      </w:r>
    </w:p>
    <w:p w14:paraId="1620F918"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lastRenderedPageBreak/>
        <w:t>Тиазидите, включително хидрохлоротиазид, могат да повишат риска от нежелани реакции, причинени от амантадин.</w:t>
      </w:r>
    </w:p>
    <w:p w14:paraId="521B56F7" w14:textId="77777777" w:rsidR="00735CBB" w:rsidRPr="00735CBB" w:rsidRDefault="00735CBB" w:rsidP="00735CBB">
      <w:pPr>
        <w:spacing w:line="240" w:lineRule="auto"/>
        <w:rPr>
          <w:rFonts w:eastAsia="Times New Roman" w:cs="Arial"/>
          <w:i/>
          <w:iCs/>
          <w:color w:val="000000"/>
          <w:lang w:eastAsia="bg-BG"/>
        </w:rPr>
      </w:pPr>
    </w:p>
    <w:p w14:paraId="0A00D60C" w14:textId="7D8AD507"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Йоннообменни смоли</w:t>
      </w:r>
    </w:p>
    <w:p w14:paraId="5D2040D9"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Абсорбцията на тиазидните диуретици, включително хидрохлоротиазид, се намалява от холестирамин и колестипол. Това може да доведе до субтерапевтични ефекти на тиазидните диуретици. Обаче, разпределянето на дозата хидрохлоротиазид и смола така, че хидрохлоротиазид да се прилага поне 4 часа преди или 4-6 часа след приложението на смолите, може да минимизира взаимодействието.</w:t>
      </w:r>
    </w:p>
    <w:p w14:paraId="3649DBF3" w14:textId="77777777" w:rsidR="00735CBB" w:rsidRPr="00735CBB" w:rsidRDefault="00735CBB" w:rsidP="00735CBB">
      <w:pPr>
        <w:spacing w:line="240" w:lineRule="auto"/>
        <w:rPr>
          <w:rFonts w:eastAsia="Times New Roman" w:cs="Arial"/>
          <w:i/>
          <w:iCs/>
          <w:color w:val="000000"/>
          <w:lang w:eastAsia="bg-BG"/>
        </w:rPr>
      </w:pPr>
    </w:p>
    <w:p w14:paraId="3964BF36" w14:textId="7DE43172"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Цитотоксични лекарствени продукти</w:t>
      </w:r>
    </w:p>
    <w:p w14:paraId="69083DFA"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Тиазидните диуретици, включително хидрохлоротиазид, могат да намалят бъбречната екскреция на цитотоксични средства (напр. циклофосфамид, метотрексат) и да засилят техните миелосупресивни ефекти.</w:t>
      </w:r>
    </w:p>
    <w:p w14:paraId="55931066" w14:textId="77777777" w:rsidR="00735CBB" w:rsidRPr="00735CBB" w:rsidRDefault="00735CBB" w:rsidP="00735CBB">
      <w:pPr>
        <w:spacing w:line="240" w:lineRule="auto"/>
        <w:rPr>
          <w:rFonts w:eastAsia="Times New Roman" w:cs="Arial"/>
          <w:i/>
          <w:iCs/>
          <w:color w:val="000000"/>
          <w:lang w:eastAsia="bg-BG"/>
        </w:rPr>
      </w:pPr>
    </w:p>
    <w:p w14:paraId="7C3E84F8" w14:textId="4A87C4BB"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Недеполяризиращи миорелаксанти</w:t>
      </w:r>
      <w:r w:rsidRPr="00735CBB">
        <w:rPr>
          <w:rFonts w:eastAsia="Times New Roman" w:cs="Arial"/>
          <w:color w:val="000000"/>
          <w:lang w:eastAsia="bg-BG"/>
        </w:rPr>
        <w:t xml:space="preserve"> (напр. тубокурарин)</w:t>
      </w:r>
    </w:p>
    <w:p w14:paraId="0580268B"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Тиазидните диуретици, включително хидрохлоротиазид, потенцират действието на миорелаксантите, като производните на кураре.</w:t>
      </w:r>
    </w:p>
    <w:p w14:paraId="5841A441" w14:textId="77777777" w:rsidR="00735CBB" w:rsidRPr="00735CBB" w:rsidRDefault="00735CBB" w:rsidP="00735CBB">
      <w:pPr>
        <w:spacing w:line="240" w:lineRule="auto"/>
        <w:rPr>
          <w:rFonts w:eastAsia="Times New Roman" w:cs="Arial"/>
          <w:i/>
          <w:iCs/>
          <w:color w:val="000000"/>
          <w:lang w:eastAsia="bg-BG"/>
        </w:rPr>
      </w:pPr>
    </w:p>
    <w:p w14:paraId="20534D22" w14:textId="05E90A6D"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Циклоспорин</w:t>
      </w:r>
    </w:p>
    <w:p w14:paraId="525B3FB9" w14:textId="36C2D264" w:rsidR="00735CBB" w:rsidRPr="00735CBB" w:rsidRDefault="00735CBB" w:rsidP="00735CBB">
      <w:pPr>
        <w:spacing w:line="240" w:lineRule="auto"/>
        <w:rPr>
          <w:rFonts w:eastAsia="Times New Roman" w:cs="Arial"/>
          <w:lang w:val="en-US" w:eastAsia="bg-BG"/>
        </w:rPr>
      </w:pPr>
      <w:r w:rsidRPr="00735CBB">
        <w:rPr>
          <w:rFonts w:eastAsia="Times New Roman" w:cs="Arial"/>
          <w:color w:val="000000"/>
          <w:lang w:eastAsia="bg-BG"/>
        </w:rPr>
        <w:t>Едновременното приложение с циклоспорин може да увеличи риска от хиперурикемия и усложнения на подаграта.</w:t>
      </w:r>
    </w:p>
    <w:p w14:paraId="48769E7B" w14:textId="69473557" w:rsidR="00735CBB" w:rsidRPr="00735CBB" w:rsidRDefault="00735CBB" w:rsidP="00735CBB">
      <w:pPr>
        <w:rPr>
          <w:rFonts w:cs="Arial"/>
          <w:lang w:val="en-US"/>
        </w:rPr>
      </w:pPr>
    </w:p>
    <w:p w14:paraId="26BAE3BA" w14:textId="77777777"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Алкохол, барбитурати или наркотични вещества</w:t>
      </w:r>
    </w:p>
    <w:p w14:paraId="6ABF1F79"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Едновременното приложение на тиазидни диуретици с лекарствени вещества, които имат хипотензивно действие (напр. като понижават действието на симпатиковата централна нервна система или чрез директно вазодилатиращо действие) може да потенцира поява на ортостатична хипотония.</w:t>
      </w:r>
    </w:p>
    <w:p w14:paraId="3276CDEC" w14:textId="77777777" w:rsidR="00735CBB" w:rsidRPr="00735CBB" w:rsidRDefault="00735CBB" w:rsidP="00735CBB">
      <w:pPr>
        <w:spacing w:line="240" w:lineRule="auto"/>
        <w:rPr>
          <w:rFonts w:eastAsia="Times New Roman" w:cs="Arial"/>
          <w:i/>
          <w:iCs/>
          <w:color w:val="000000"/>
          <w:lang w:eastAsia="bg-BG"/>
        </w:rPr>
      </w:pPr>
    </w:p>
    <w:p w14:paraId="41275B0B" w14:textId="422221C8"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Метилдопа</w:t>
      </w:r>
    </w:p>
    <w:p w14:paraId="1DDC9907"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Има изолирани съобщения за случаи на хемолитична анемия при пациенти, приемащи едновременно метилдопа и хидрохлоротиазид.</w:t>
      </w:r>
    </w:p>
    <w:p w14:paraId="6B488AE2" w14:textId="77777777" w:rsidR="00735CBB" w:rsidRPr="00735CBB" w:rsidRDefault="00735CBB" w:rsidP="00735CBB">
      <w:pPr>
        <w:spacing w:line="240" w:lineRule="auto"/>
        <w:rPr>
          <w:rFonts w:eastAsia="Times New Roman" w:cs="Arial"/>
          <w:i/>
          <w:iCs/>
          <w:color w:val="000000"/>
          <w:lang w:eastAsia="bg-BG"/>
        </w:rPr>
      </w:pPr>
    </w:p>
    <w:p w14:paraId="32E767D4" w14:textId="2CFE23B5"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Йод</w:t>
      </w:r>
      <w:r w:rsidRPr="00735CBB">
        <w:rPr>
          <w:rFonts w:eastAsia="Times New Roman" w:cs="Arial"/>
          <w:i/>
          <w:iCs/>
          <w:color w:val="000000"/>
          <w:lang w:val="en-US" w:eastAsia="bg-BG"/>
        </w:rPr>
        <w:t>-</w:t>
      </w:r>
      <w:r w:rsidRPr="00735CBB">
        <w:rPr>
          <w:rFonts w:eastAsia="Times New Roman" w:cs="Arial"/>
          <w:i/>
          <w:iCs/>
          <w:color w:val="000000"/>
          <w:lang w:eastAsia="bg-BG"/>
        </w:rPr>
        <w:t>контрастни вещества</w:t>
      </w:r>
    </w:p>
    <w:p w14:paraId="6BD641BD" w14:textId="2CACB46A" w:rsidR="00735CBB" w:rsidRPr="00735CBB" w:rsidRDefault="00735CBB" w:rsidP="00735CBB">
      <w:pPr>
        <w:rPr>
          <w:rFonts w:eastAsia="Times New Roman" w:cs="Arial"/>
          <w:color w:val="000000"/>
          <w:lang w:eastAsia="bg-BG"/>
        </w:rPr>
      </w:pPr>
      <w:r w:rsidRPr="00735CBB">
        <w:rPr>
          <w:rFonts w:eastAsia="Times New Roman" w:cs="Arial"/>
          <w:color w:val="000000"/>
          <w:lang w:eastAsia="bg-BG"/>
        </w:rPr>
        <w:t>В случай на диуретик-индуцирана дехидратация, има повишен риск от остра бъбречна недостатъчност, особено при високи дози от йодния продукт. Пациентите трябва да се рехидратират преди прилагането на йод-контрастни вещества.</w:t>
      </w:r>
    </w:p>
    <w:p w14:paraId="7892224B" w14:textId="77777777" w:rsidR="00735CBB" w:rsidRPr="00735CBB" w:rsidRDefault="00735CBB" w:rsidP="00735CBB">
      <w:pPr>
        <w:rPr>
          <w:lang w:val="en-US"/>
        </w:rPr>
      </w:pPr>
    </w:p>
    <w:p w14:paraId="15A75A66" w14:textId="6F2B1B70" w:rsidR="00A71DCF" w:rsidRDefault="002C50EE" w:rsidP="00A93499">
      <w:pPr>
        <w:pStyle w:val="Heading2"/>
      </w:pPr>
      <w:r>
        <w:t>4.6. Фертилитет, бременност и кърмене</w:t>
      </w:r>
    </w:p>
    <w:p w14:paraId="63C893D8" w14:textId="20DC9E90" w:rsidR="00735CBB" w:rsidRDefault="00735CBB" w:rsidP="00735CBB"/>
    <w:p w14:paraId="20A161DC" w14:textId="77777777" w:rsidR="00735CBB" w:rsidRPr="00735CBB" w:rsidRDefault="00735CBB" w:rsidP="00735CBB">
      <w:pPr>
        <w:pStyle w:val="Heading3"/>
        <w:rPr>
          <w:rFonts w:eastAsia="Times New Roman"/>
          <w:sz w:val="28"/>
          <w:szCs w:val="28"/>
          <w:u w:val="single"/>
          <w:lang w:eastAsia="bg-BG"/>
        </w:rPr>
      </w:pPr>
      <w:r w:rsidRPr="00735CBB">
        <w:rPr>
          <w:rFonts w:eastAsia="Times New Roman"/>
          <w:u w:val="single"/>
          <w:lang w:eastAsia="bg-BG"/>
        </w:rPr>
        <w:t>Бременност</w:t>
      </w:r>
    </w:p>
    <w:p w14:paraId="0F91DD8A" w14:textId="77777777" w:rsidR="00735CBB" w:rsidRPr="00735CBB" w:rsidRDefault="00735CBB" w:rsidP="00735CBB">
      <w:pPr>
        <w:rPr>
          <w:rFonts w:eastAsia="Times New Roman" w:cs="Arial"/>
          <w:i/>
          <w:iCs/>
          <w:color w:val="000000"/>
          <w:u w:val="single"/>
          <w:lang w:eastAsia="bg-BG"/>
        </w:rPr>
      </w:pPr>
    </w:p>
    <w:p w14:paraId="4ABBACAA" w14:textId="69ECC0C9" w:rsidR="00735CBB" w:rsidRPr="00735CBB" w:rsidRDefault="00735CBB" w:rsidP="00735CBB">
      <w:pPr>
        <w:rPr>
          <w:rFonts w:eastAsia="Times New Roman" w:cs="Arial"/>
          <w:i/>
          <w:iCs/>
          <w:color w:val="000000"/>
          <w:u w:val="single"/>
          <w:lang w:eastAsia="bg-BG"/>
        </w:rPr>
      </w:pPr>
      <w:r w:rsidRPr="00735CBB">
        <w:rPr>
          <w:rFonts w:eastAsia="Times New Roman" w:cs="Arial"/>
          <w:i/>
          <w:iCs/>
          <w:color w:val="000000"/>
          <w:u w:val="single"/>
          <w:lang w:eastAsia="bg-BG"/>
        </w:rPr>
        <w:t>Валсартан</w:t>
      </w:r>
    </w:p>
    <w:tbl>
      <w:tblPr>
        <w:tblStyle w:val="TableGrid"/>
        <w:tblW w:w="0" w:type="auto"/>
        <w:tblLook w:val="04A0" w:firstRow="1" w:lastRow="0" w:firstColumn="1" w:lastColumn="0" w:noHBand="0" w:noVBand="1"/>
      </w:tblPr>
      <w:tblGrid>
        <w:gridCol w:w="9350"/>
      </w:tblGrid>
      <w:tr w:rsidR="00735CBB" w:rsidRPr="00735CBB" w14:paraId="0DEDD9FB" w14:textId="77777777" w:rsidTr="00735CBB">
        <w:tc>
          <w:tcPr>
            <w:tcW w:w="9500" w:type="dxa"/>
          </w:tcPr>
          <w:p w14:paraId="60E00A09" w14:textId="2740BE3C" w:rsidR="00735CBB" w:rsidRPr="00735CBB" w:rsidRDefault="00735CBB" w:rsidP="00735CBB">
            <w:pPr>
              <w:spacing w:line="240" w:lineRule="auto"/>
              <w:rPr>
                <w:rFonts w:eastAsia="Times New Roman" w:cs="Arial"/>
                <w:sz w:val="28"/>
                <w:szCs w:val="28"/>
                <w:lang w:eastAsia="bg-BG"/>
              </w:rPr>
            </w:pPr>
            <w:r w:rsidRPr="00735CBB">
              <w:rPr>
                <w:rFonts w:eastAsia="Times New Roman" w:cs="Arial"/>
                <w:color w:val="000000"/>
                <w:lang w:eastAsia="bg-BG"/>
              </w:rPr>
              <w:t xml:space="preserve">Употребата на ангиотензин II рецепторни антагонисти </w:t>
            </w:r>
            <w:r w:rsidRPr="00735CBB">
              <w:rPr>
                <w:rFonts w:eastAsia="Times New Roman" w:cs="Arial"/>
                <w:color w:val="000000"/>
                <w:lang w:val="en-US"/>
              </w:rPr>
              <w:t xml:space="preserve">(AIIRAs) </w:t>
            </w:r>
            <w:r w:rsidRPr="00735CBB">
              <w:rPr>
                <w:rFonts w:eastAsia="Times New Roman" w:cs="Arial"/>
                <w:color w:val="000000"/>
                <w:lang w:eastAsia="bg-BG"/>
              </w:rPr>
              <w:t>не се препоръчва през първия триместър на бременността (вж. точка 4.4). Употребата на ангиотензин II рецепторни антагонисти е противопоказана през втория и третия триместър на бременността (вж. точки 4.3 и 4.4).</w:t>
            </w:r>
          </w:p>
        </w:tc>
      </w:tr>
    </w:tbl>
    <w:p w14:paraId="3AACCE10" w14:textId="0CFA7F4F" w:rsidR="00735CBB" w:rsidRPr="00735CBB" w:rsidRDefault="00735CBB" w:rsidP="00735CBB">
      <w:pPr>
        <w:rPr>
          <w:rFonts w:cs="Arial"/>
          <w:sz w:val="24"/>
          <w:szCs w:val="24"/>
        </w:rPr>
      </w:pPr>
    </w:p>
    <w:p w14:paraId="4FF6ABBA" w14:textId="77777777" w:rsidR="00735CBB" w:rsidRPr="00735CBB" w:rsidRDefault="00735CBB" w:rsidP="00735CBB">
      <w:pPr>
        <w:spacing w:line="240" w:lineRule="auto"/>
        <w:rPr>
          <w:rFonts w:eastAsia="Times New Roman" w:cs="Arial"/>
          <w:sz w:val="28"/>
          <w:szCs w:val="28"/>
          <w:lang w:eastAsia="bg-BG"/>
        </w:rPr>
      </w:pPr>
      <w:r w:rsidRPr="00735CBB">
        <w:rPr>
          <w:rFonts w:eastAsia="Times New Roman" w:cs="Arial"/>
          <w:color w:val="000000"/>
          <w:lang w:eastAsia="bg-BG"/>
        </w:rPr>
        <w:t>Епидемиологичните данни относно риска от тератогенност след експозиция на</w:t>
      </w:r>
    </w:p>
    <w:p w14:paraId="4526D8B6" w14:textId="77777777" w:rsidR="00735CBB" w:rsidRPr="00735CBB" w:rsidRDefault="00735CBB" w:rsidP="00735CBB">
      <w:pPr>
        <w:spacing w:line="240" w:lineRule="auto"/>
        <w:rPr>
          <w:rFonts w:eastAsia="Times New Roman" w:cs="Arial"/>
          <w:sz w:val="28"/>
          <w:szCs w:val="28"/>
          <w:lang w:eastAsia="bg-BG"/>
        </w:rPr>
      </w:pPr>
      <w:r w:rsidRPr="00735CBB">
        <w:rPr>
          <w:rFonts w:eastAsia="Times New Roman" w:cs="Arial"/>
          <w:color w:val="000000"/>
          <w:lang w:eastAsia="bg-BG"/>
        </w:rPr>
        <w:lastRenderedPageBreak/>
        <w:t xml:space="preserve">АСЕ инхибитори през първия триместър на бременността не са окончателни; въпреки това, не може да се изключи леко повишение на риска. Няма контролирани епидемиологични данни за риска с ангиотензин II рецепторни антагонисти, сходни рискове може да съществуват за този клас лекарства. Освен ако продължаването на лечението с ангиотензин </w:t>
      </w:r>
      <w:r w:rsidRPr="00735CBB">
        <w:rPr>
          <w:rFonts w:eastAsia="Times New Roman" w:cs="Arial"/>
          <w:color w:val="000000"/>
          <w:lang w:val="en-US"/>
        </w:rPr>
        <w:t>II</w:t>
      </w:r>
      <w:r w:rsidRPr="00735CBB">
        <w:rPr>
          <w:rFonts w:eastAsia="Times New Roman" w:cs="Arial"/>
          <w:color w:val="000000"/>
          <w:lang w:eastAsia="bg-BG"/>
        </w:rPr>
        <w:t xml:space="preserve"> рецепторни антагонисти не е наложително, пациентките, планиращи бременност трябва да преминат на алтернативно антихипертензивно лечение с доказан профил на безопасност при употреба по време на бременност. При установяване на бременност, лечението с ангиотензин </w:t>
      </w:r>
      <w:r w:rsidRPr="00735CBB">
        <w:rPr>
          <w:rFonts w:eastAsia="Times New Roman" w:cs="Arial"/>
          <w:color w:val="000000"/>
          <w:lang w:val="en-US"/>
        </w:rPr>
        <w:t>II</w:t>
      </w:r>
      <w:r w:rsidRPr="00735CBB">
        <w:rPr>
          <w:rFonts w:eastAsia="Times New Roman" w:cs="Arial"/>
          <w:color w:val="000000"/>
          <w:lang w:eastAsia="bg-BG"/>
        </w:rPr>
        <w:t xml:space="preserve"> рецепторните антагонисти трябва бъде спряно незабавно и, ако е уместно, да се започне алтернативно лечение.</w:t>
      </w:r>
    </w:p>
    <w:p w14:paraId="7E54854C" w14:textId="77777777" w:rsidR="00735CBB" w:rsidRPr="00735CBB" w:rsidRDefault="00735CBB" w:rsidP="00735CBB">
      <w:pPr>
        <w:spacing w:line="240" w:lineRule="auto"/>
        <w:rPr>
          <w:rFonts w:eastAsia="Times New Roman" w:cs="Arial"/>
          <w:sz w:val="28"/>
          <w:szCs w:val="28"/>
          <w:lang w:eastAsia="bg-BG"/>
        </w:rPr>
      </w:pPr>
      <w:r w:rsidRPr="00735CBB">
        <w:rPr>
          <w:rFonts w:eastAsia="Times New Roman" w:cs="Arial"/>
          <w:color w:val="000000"/>
          <w:lang w:eastAsia="bg-BG"/>
        </w:rPr>
        <w:t>Известно е, че експозицията на ангиотензин II рецепторни антагонисти по време на втория и третия триместър на бременността при хора индуцира фетотоксичност (понижена бъбречна функция, олигохидроамниоза, забавена осификацията на черепа) и неонатална токсичност (бъбречна недостатъчност, хипотония, хиперкалиемия) (вж. също точка 5.3).</w:t>
      </w:r>
    </w:p>
    <w:p w14:paraId="0B8AA3E2" w14:textId="77777777" w:rsidR="00735CBB" w:rsidRPr="00735CBB" w:rsidRDefault="00735CBB" w:rsidP="00735CBB">
      <w:pPr>
        <w:spacing w:line="240" w:lineRule="auto"/>
        <w:rPr>
          <w:rFonts w:eastAsia="Times New Roman" w:cs="Arial"/>
          <w:sz w:val="28"/>
          <w:szCs w:val="28"/>
          <w:lang w:eastAsia="bg-BG"/>
        </w:rPr>
      </w:pPr>
      <w:r w:rsidRPr="00735CBB">
        <w:rPr>
          <w:rFonts w:eastAsia="Times New Roman" w:cs="Arial"/>
          <w:color w:val="000000"/>
          <w:lang w:eastAsia="bg-BG"/>
        </w:rPr>
        <w:t xml:space="preserve">При експозицията на ангиотензин </w:t>
      </w:r>
      <w:r w:rsidRPr="00735CBB">
        <w:rPr>
          <w:rFonts w:eastAsia="Times New Roman" w:cs="Arial"/>
          <w:color w:val="000000"/>
          <w:lang w:val="en-US"/>
        </w:rPr>
        <w:t>II</w:t>
      </w:r>
      <w:r w:rsidRPr="00735CBB">
        <w:rPr>
          <w:rFonts w:eastAsia="Times New Roman" w:cs="Arial"/>
          <w:color w:val="000000"/>
          <w:lang w:eastAsia="bg-BG"/>
        </w:rPr>
        <w:t xml:space="preserve"> рецепторен антагонист през втория триместър на бременността се препоръчва ултразвуково изследване на бъбречната функция и черепа. Деца, чиито майки са приемали ангиотензин II рецепторни антагонисти трябва да бъдат внимателно наблюдавани за хипотония (вж. също точки 4.3 и 4.4).</w:t>
      </w:r>
    </w:p>
    <w:p w14:paraId="68541800" w14:textId="77777777" w:rsidR="00735CBB" w:rsidRPr="00735CBB" w:rsidRDefault="00735CBB" w:rsidP="00735CBB">
      <w:pPr>
        <w:spacing w:line="240" w:lineRule="auto"/>
        <w:rPr>
          <w:rFonts w:eastAsia="Times New Roman" w:cs="Arial"/>
          <w:i/>
          <w:iCs/>
          <w:color w:val="000000"/>
          <w:lang w:eastAsia="bg-BG"/>
        </w:rPr>
      </w:pPr>
    </w:p>
    <w:p w14:paraId="60BDBE89" w14:textId="4C18A3E3" w:rsidR="00735CBB" w:rsidRPr="00735CBB" w:rsidRDefault="00735CBB" w:rsidP="00735CBB">
      <w:pPr>
        <w:spacing w:line="240" w:lineRule="auto"/>
        <w:rPr>
          <w:rFonts w:eastAsia="Times New Roman" w:cs="Arial"/>
          <w:sz w:val="28"/>
          <w:szCs w:val="28"/>
          <w:lang w:eastAsia="bg-BG"/>
        </w:rPr>
      </w:pPr>
      <w:r w:rsidRPr="00735CBB">
        <w:rPr>
          <w:rFonts w:eastAsia="Times New Roman" w:cs="Arial"/>
          <w:i/>
          <w:iCs/>
          <w:color w:val="000000"/>
          <w:lang w:eastAsia="bg-BG"/>
        </w:rPr>
        <w:t>Хидрохлоротиазид</w:t>
      </w:r>
    </w:p>
    <w:p w14:paraId="6A4378C4" w14:textId="77777777" w:rsidR="00735CBB" w:rsidRPr="00735CBB" w:rsidRDefault="00735CBB" w:rsidP="00735CBB">
      <w:pPr>
        <w:spacing w:line="240" w:lineRule="auto"/>
        <w:rPr>
          <w:rFonts w:eastAsia="Times New Roman" w:cs="Arial"/>
          <w:sz w:val="28"/>
          <w:szCs w:val="28"/>
          <w:lang w:eastAsia="bg-BG"/>
        </w:rPr>
      </w:pPr>
      <w:r w:rsidRPr="00735CBB">
        <w:rPr>
          <w:rFonts w:eastAsia="Times New Roman" w:cs="Arial"/>
          <w:color w:val="000000"/>
          <w:lang w:eastAsia="bg-BG"/>
        </w:rPr>
        <w:t>Има ограничен опит с хидрохлоротиазид по време на бременност, особено през първия триместър. Изпитванията при животни са недостатъчни. Хидрохлоротиазид преминава плацентата. Въз основа на фармакологичния механизъм на действие на хидрохлоротиазид се предполага, че употребата му през втори и трети триместър може да компрометира фетоплацентарната перфузия и да доведе до фетални и неонатални ефекти, като иктер, електролитен дисбаланс и тромбоцитопения.</w:t>
      </w:r>
    </w:p>
    <w:p w14:paraId="42648D65" w14:textId="77777777" w:rsidR="00735CBB" w:rsidRPr="00735CBB" w:rsidRDefault="00735CBB" w:rsidP="00735CBB">
      <w:pPr>
        <w:spacing w:line="240" w:lineRule="auto"/>
        <w:rPr>
          <w:rFonts w:eastAsia="Times New Roman" w:cs="Arial"/>
          <w:color w:val="000000"/>
          <w:u w:val="single"/>
          <w:lang w:eastAsia="bg-BG"/>
        </w:rPr>
      </w:pPr>
    </w:p>
    <w:p w14:paraId="397CDFBB" w14:textId="7D29A9D0" w:rsidR="00735CBB" w:rsidRPr="00735CBB" w:rsidRDefault="00735CBB" w:rsidP="00735CBB">
      <w:pPr>
        <w:pStyle w:val="Heading3"/>
        <w:rPr>
          <w:rFonts w:eastAsia="Times New Roman"/>
          <w:sz w:val="28"/>
          <w:szCs w:val="28"/>
          <w:u w:val="single"/>
          <w:lang w:eastAsia="bg-BG"/>
        </w:rPr>
      </w:pPr>
      <w:r w:rsidRPr="00735CBB">
        <w:rPr>
          <w:rFonts w:eastAsia="Times New Roman"/>
          <w:u w:val="single"/>
          <w:lang w:eastAsia="bg-BG"/>
        </w:rPr>
        <w:t>Кърмене</w:t>
      </w:r>
    </w:p>
    <w:p w14:paraId="069FCB53" w14:textId="77777777" w:rsidR="00735CBB" w:rsidRPr="00735CBB" w:rsidRDefault="00735CBB" w:rsidP="00735CBB">
      <w:pPr>
        <w:spacing w:line="240" w:lineRule="auto"/>
        <w:rPr>
          <w:rFonts w:eastAsia="Times New Roman" w:cs="Arial"/>
          <w:sz w:val="28"/>
          <w:szCs w:val="28"/>
          <w:lang w:eastAsia="bg-BG"/>
        </w:rPr>
      </w:pPr>
      <w:r w:rsidRPr="00735CBB">
        <w:rPr>
          <w:rFonts w:eastAsia="Times New Roman" w:cs="Arial"/>
          <w:color w:val="000000"/>
          <w:lang w:eastAsia="bg-BG"/>
        </w:rPr>
        <w:t>Липсват данни относно употребата на валсартан по време на кърмене.</w:t>
      </w:r>
      <w:r w:rsidRPr="00735CBB">
        <w:rPr>
          <w:rFonts w:eastAsia="Times New Roman" w:cs="Arial"/>
          <w:color w:val="000000"/>
          <w:lang w:val="en-US"/>
        </w:rPr>
        <w:t xml:space="preserve"> </w:t>
      </w:r>
      <w:r w:rsidRPr="00735CBB">
        <w:rPr>
          <w:rFonts w:eastAsia="Times New Roman" w:cs="Arial"/>
          <w:color w:val="000000"/>
          <w:lang w:eastAsia="bg-BG"/>
        </w:rPr>
        <w:t>Хидрохлоротиазид от</w:t>
      </w:r>
    </w:p>
    <w:p w14:paraId="2594A2E2" w14:textId="77777777" w:rsidR="00735CBB" w:rsidRPr="00735CBB" w:rsidRDefault="00735CBB" w:rsidP="00735CBB">
      <w:pPr>
        <w:rPr>
          <w:rFonts w:eastAsia="Times New Roman" w:cs="Arial"/>
          <w:sz w:val="28"/>
          <w:szCs w:val="28"/>
          <w:lang w:eastAsia="bg-BG"/>
        </w:rPr>
      </w:pPr>
      <w:r w:rsidRPr="00735CBB">
        <w:rPr>
          <w:rFonts w:eastAsia="Times New Roman" w:cs="Arial"/>
          <w:color w:val="000000"/>
          <w:lang w:eastAsia="bg-BG"/>
        </w:rPr>
        <w:t>екскретира в кърмата. Ето защо, не се препоръчва употребата на Валтензин Плюс по време на</w:t>
      </w:r>
      <w:r w:rsidRPr="00735CBB">
        <w:rPr>
          <w:rFonts w:eastAsia="Times New Roman" w:cs="Arial"/>
          <w:color w:val="000000"/>
          <w:lang w:val="en-US" w:eastAsia="bg-BG"/>
        </w:rPr>
        <w:t xml:space="preserve"> </w:t>
      </w:r>
      <w:r w:rsidRPr="00735CBB">
        <w:rPr>
          <w:rFonts w:eastAsia="Times New Roman" w:cs="Arial"/>
          <w:color w:val="000000"/>
          <w:lang w:eastAsia="bg-BG"/>
        </w:rPr>
        <w:t>кърмене. Предпочита се алтернативно лечение с по-добре установен профил на безопасност по време на кърмене, особено при новородени и недоносени бебета.</w:t>
      </w:r>
    </w:p>
    <w:p w14:paraId="00F2BB31" w14:textId="523970BF" w:rsidR="00735CBB" w:rsidRPr="00735CBB" w:rsidRDefault="00735CBB" w:rsidP="00735CBB">
      <w:pPr>
        <w:rPr>
          <w:lang w:val="en-US"/>
        </w:rPr>
      </w:pPr>
    </w:p>
    <w:p w14:paraId="6201597D" w14:textId="525567FA" w:rsidR="00EE6C97" w:rsidRDefault="002C50EE" w:rsidP="00A93499">
      <w:pPr>
        <w:pStyle w:val="Heading2"/>
      </w:pPr>
      <w:r>
        <w:t>4.7. Ефекти върху способността за шофиране и работа с машини</w:t>
      </w:r>
    </w:p>
    <w:p w14:paraId="3182B285" w14:textId="7E0763D7" w:rsidR="00735CBB" w:rsidRDefault="00735CBB" w:rsidP="00735CBB"/>
    <w:p w14:paraId="7C8E32E7" w14:textId="4AF067C4" w:rsidR="00735CBB" w:rsidRDefault="00735CBB" w:rsidP="00735CBB">
      <w:r>
        <w:t>Не са провеждани проучвания за ефекта на валсартан/хидрохлоротиазид върху способността за шофиране и работа с машини. Трябва да се има предвид, че при шофиране или работа с машини е възможно понякога да настъпят замаяност или умора.</w:t>
      </w:r>
    </w:p>
    <w:p w14:paraId="03C9B787" w14:textId="77777777" w:rsidR="00735CBB" w:rsidRPr="00735CBB" w:rsidRDefault="00735CBB" w:rsidP="00735CBB"/>
    <w:p w14:paraId="389A90F4" w14:textId="087EF871" w:rsidR="00BA5B74" w:rsidRDefault="002C50EE" w:rsidP="00A93499">
      <w:pPr>
        <w:pStyle w:val="Heading2"/>
      </w:pPr>
      <w:r>
        <w:t>4.8. Нежелани лекарствени реакции</w:t>
      </w:r>
    </w:p>
    <w:p w14:paraId="0A0DB549" w14:textId="6C926A0A" w:rsidR="00735CBB" w:rsidRDefault="00735CBB" w:rsidP="00735CBB"/>
    <w:p w14:paraId="2F72EAD8"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Нежеланите лекарствени реакции, съобщавани в клинични изпитвания и лабораторните резултати, които се наблюдават по-често с валсартан плюс хидрохлоротиазид, отколкото с плацебо, както и отделните съобщения от постмаркетинговия опит са представени по-долу според системо-органната класификация. По време на лечението с валсартан/ хидрохлоротиазид могат да настъпят нежелани лекарствени реакции, за които е известно, че се проявяват с всяка компонента поотделно, но които не са наблюдавани в клинични изпитвания.</w:t>
      </w:r>
    </w:p>
    <w:p w14:paraId="1BDDBC29" w14:textId="77777777" w:rsidR="00735CBB" w:rsidRPr="00C51411" w:rsidRDefault="00735CBB" w:rsidP="00735CBB">
      <w:pPr>
        <w:spacing w:line="240" w:lineRule="auto"/>
        <w:rPr>
          <w:rFonts w:eastAsia="Times New Roman" w:cs="Arial"/>
          <w:b/>
          <w:bCs/>
          <w:color w:val="000000"/>
          <w:u w:val="single"/>
          <w:lang w:eastAsia="bg-BG"/>
        </w:rPr>
      </w:pPr>
      <w:bookmarkStart w:id="1" w:name="bookmark0"/>
    </w:p>
    <w:p w14:paraId="66A81D89" w14:textId="78A638CB" w:rsidR="00735CBB" w:rsidRPr="00735CBB" w:rsidRDefault="00735CBB" w:rsidP="00735CBB">
      <w:pPr>
        <w:spacing w:line="240" w:lineRule="auto"/>
        <w:rPr>
          <w:rFonts w:eastAsia="Times New Roman" w:cs="Arial"/>
          <w:lang w:eastAsia="bg-BG"/>
        </w:rPr>
      </w:pPr>
      <w:r w:rsidRPr="00735CBB">
        <w:rPr>
          <w:rFonts w:eastAsia="Times New Roman" w:cs="Arial"/>
          <w:b/>
          <w:bCs/>
          <w:color w:val="000000"/>
          <w:u w:val="single"/>
          <w:lang w:eastAsia="bg-BG"/>
        </w:rPr>
        <w:t>Нежелани лекарствени реакции</w:t>
      </w:r>
      <w:bookmarkEnd w:id="1"/>
    </w:p>
    <w:p w14:paraId="5A81EC08"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Нежеланите лекарствени реакции са подредени по честота, започвайки от най-честите, като е използвана следната конвенция: много чести (≥1/10); чести (≥1/100 до &lt; 1/10); нечести (≥ 1/1 000 до &lt; 1/100); редки (≥1/10 000 до &lt; 1/1 000); много редки (&lt;1/10 000), с неизвестна честота (честотата не може да се определи от наличните данни). При всяко групиране по честота, нежеланите лекарствени реакции са подредени по реда на намаляване на сериозността им.</w:t>
      </w:r>
    </w:p>
    <w:p w14:paraId="1552A8E9" w14:textId="77777777" w:rsidR="00735CBB" w:rsidRPr="00C51411" w:rsidRDefault="00735CBB" w:rsidP="00735CBB">
      <w:pPr>
        <w:spacing w:line="240" w:lineRule="auto"/>
        <w:rPr>
          <w:rFonts w:eastAsia="Times New Roman" w:cs="Arial"/>
          <w:color w:val="000000"/>
          <w:u w:val="single"/>
          <w:lang w:eastAsia="bg-BG"/>
        </w:rPr>
      </w:pPr>
    </w:p>
    <w:p w14:paraId="4548D1E3" w14:textId="2488207A" w:rsidR="00735CBB" w:rsidRPr="00735CBB" w:rsidRDefault="00735CBB" w:rsidP="00735CBB">
      <w:pPr>
        <w:spacing w:line="240" w:lineRule="auto"/>
        <w:rPr>
          <w:rFonts w:eastAsia="Times New Roman" w:cs="Arial"/>
          <w:lang w:eastAsia="bg-BG"/>
        </w:rPr>
      </w:pPr>
      <w:r w:rsidRPr="00735CBB">
        <w:rPr>
          <w:rFonts w:eastAsia="Times New Roman" w:cs="Arial"/>
          <w:color w:val="000000"/>
          <w:u w:val="single"/>
          <w:lang w:eastAsia="bg-BG"/>
        </w:rPr>
        <w:t>Таблица 1. Честота на нежеланите лекарствени реакции с валсартан/хидрохлоротиазид</w:t>
      </w:r>
    </w:p>
    <w:p w14:paraId="2C0CDEEA" w14:textId="77777777" w:rsidR="00735CBB" w:rsidRPr="00C51411" w:rsidRDefault="00735CBB" w:rsidP="00735CBB">
      <w:pPr>
        <w:spacing w:line="240" w:lineRule="auto"/>
        <w:rPr>
          <w:rFonts w:eastAsia="Times New Roman" w:cs="Arial"/>
          <w:b/>
          <w:bCs/>
          <w:color w:val="000000"/>
          <w:lang w:eastAsia="bg-BG"/>
        </w:rPr>
      </w:pPr>
      <w:bookmarkStart w:id="2" w:name="bookmark2"/>
    </w:p>
    <w:p w14:paraId="15A8C949" w14:textId="1F26BC27"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метаболизма и храненето</w:t>
      </w:r>
      <w:bookmarkEnd w:id="2"/>
    </w:p>
    <w:p w14:paraId="073EA481" w14:textId="6F45F9C0"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Дехидратация</w:t>
      </w:r>
    </w:p>
    <w:p w14:paraId="4CE7CDD2" w14:textId="77777777" w:rsidR="00735CBB" w:rsidRPr="00C51411" w:rsidRDefault="00735CBB" w:rsidP="00735CBB">
      <w:pPr>
        <w:spacing w:line="240" w:lineRule="auto"/>
        <w:rPr>
          <w:rFonts w:eastAsia="Times New Roman" w:cs="Arial"/>
          <w:b/>
          <w:bCs/>
          <w:color w:val="000000"/>
          <w:lang w:eastAsia="bg-BG"/>
        </w:rPr>
      </w:pPr>
    </w:p>
    <w:p w14:paraId="09399812" w14:textId="04D07A13"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нервната система</w:t>
      </w:r>
    </w:p>
    <w:p w14:paraId="018BAEA7" w14:textId="6A8B3CE6"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Парестезия</w:t>
      </w:r>
    </w:p>
    <w:p w14:paraId="66B7F46A" w14:textId="3ACF15C5"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Много редки</w:t>
      </w:r>
      <w:r w:rsidRPr="00C51411">
        <w:rPr>
          <w:rFonts w:eastAsia="Times New Roman" w:cs="Arial"/>
          <w:color w:val="000000"/>
          <w:lang w:val="en-US" w:eastAsia="bg-BG"/>
        </w:rPr>
        <w:t xml:space="preserve">: </w:t>
      </w:r>
      <w:r w:rsidRPr="00735CBB">
        <w:rPr>
          <w:rFonts w:eastAsia="Times New Roman" w:cs="Arial"/>
          <w:color w:val="000000"/>
          <w:lang w:eastAsia="bg-BG"/>
        </w:rPr>
        <w:t>Замаяност</w:t>
      </w:r>
    </w:p>
    <w:p w14:paraId="3A2865BE" w14:textId="70AE1FE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Синкоп</w:t>
      </w:r>
    </w:p>
    <w:p w14:paraId="03A55A34" w14:textId="77777777" w:rsidR="00735CBB" w:rsidRPr="00C51411" w:rsidRDefault="00735CBB" w:rsidP="00735CBB">
      <w:pPr>
        <w:spacing w:line="240" w:lineRule="auto"/>
        <w:rPr>
          <w:rFonts w:eastAsia="Times New Roman" w:cs="Arial"/>
          <w:b/>
          <w:bCs/>
          <w:color w:val="000000"/>
          <w:lang w:eastAsia="bg-BG"/>
        </w:rPr>
      </w:pPr>
    </w:p>
    <w:p w14:paraId="3AD40A28" w14:textId="73CFBD7D"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очите</w:t>
      </w:r>
    </w:p>
    <w:p w14:paraId="73967C17" w14:textId="7AAC3106"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Замъглено зрение</w:t>
      </w:r>
    </w:p>
    <w:p w14:paraId="0FDFF658" w14:textId="77777777" w:rsidR="00735CBB" w:rsidRPr="00C51411" w:rsidRDefault="00735CBB" w:rsidP="00735CBB">
      <w:pPr>
        <w:spacing w:line="240" w:lineRule="auto"/>
        <w:rPr>
          <w:rFonts w:eastAsia="Times New Roman" w:cs="Arial"/>
          <w:b/>
          <w:bCs/>
          <w:color w:val="000000"/>
          <w:lang w:eastAsia="bg-BG"/>
        </w:rPr>
      </w:pPr>
    </w:p>
    <w:p w14:paraId="6F237D35" w14:textId="79821EAE"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ухото и лабиринта</w:t>
      </w:r>
    </w:p>
    <w:p w14:paraId="3F874806" w14:textId="3AE19B7B"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Шум в ушите</w:t>
      </w:r>
    </w:p>
    <w:p w14:paraId="26A76D54" w14:textId="77777777" w:rsidR="00735CBB" w:rsidRPr="00C51411" w:rsidRDefault="00735CBB" w:rsidP="00735CBB">
      <w:pPr>
        <w:spacing w:line="240" w:lineRule="auto"/>
        <w:rPr>
          <w:rFonts w:eastAsia="Times New Roman" w:cs="Arial"/>
          <w:b/>
          <w:bCs/>
          <w:color w:val="000000"/>
          <w:lang w:eastAsia="bg-BG"/>
        </w:rPr>
      </w:pPr>
    </w:p>
    <w:p w14:paraId="43E2EC11" w14:textId="1DFA4EA2"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Съдови нарушения</w:t>
      </w:r>
    </w:p>
    <w:p w14:paraId="73871280" w14:textId="20D4FC89"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Хипотония</w:t>
      </w:r>
    </w:p>
    <w:p w14:paraId="7C9EB683" w14:textId="77777777" w:rsidR="00735CBB" w:rsidRPr="00C51411" w:rsidRDefault="00735CBB" w:rsidP="00735CBB">
      <w:pPr>
        <w:spacing w:line="240" w:lineRule="auto"/>
        <w:rPr>
          <w:rFonts w:eastAsia="Times New Roman" w:cs="Arial"/>
          <w:b/>
          <w:bCs/>
          <w:color w:val="000000"/>
          <w:lang w:eastAsia="bg-BG"/>
        </w:rPr>
      </w:pPr>
    </w:p>
    <w:p w14:paraId="1FDDBFE6" w14:textId="0019E625"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Респираторни, гръдни и медиастиналнн нарушения</w:t>
      </w:r>
    </w:p>
    <w:p w14:paraId="191796BA" w14:textId="7C169186"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Кашлица</w:t>
      </w:r>
    </w:p>
    <w:p w14:paraId="38FE0B94" w14:textId="3CD76AAB"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Некардиогенен белодробен оток</w:t>
      </w:r>
    </w:p>
    <w:p w14:paraId="19E450CB" w14:textId="77777777" w:rsidR="00735CBB" w:rsidRPr="00C51411" w:rsidRDefault="00735CBB" w:rsidP="00735CBB">
      <w:pPr>
        <w:spacing w:line="240" w:lineRule="auto"/>
        <w:rPr>
          <w:rFonts w:eastAsia="Times New Roman" w:cs="Arial"/>
          <w:b/>
          <w:bCs/>
          <w:color w:val="000000"/>
          <w:lang w:eastAsia="bg-BG"/>
        </w:rPr>
      </w:pPr>
    </w:p>
    <w:p w14:paraId="050EF47A" w14:textId="6FCCABB6"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Стомашно-чревни нарушения</w:t>
      </w:r>
    </w:p>
    <w:p w14:paraId="29C59947" w14:textId="6D7BA82C"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Много редки</w:t>
      </w:r>
      <w:r w:rsidRPr="00C51411">
        <w:rPr>
          <w:rFonts w:eastAsia="Times New Roman" w:cs="Arial"/>
          <w:color w:val="000000"/>
          <w:lang w:val="en-US" w:eastAsia="bg-BG"/>
        </w:rPr>
        <w:t xml:space="preserve">: </w:t>
      </w:r>
      <w:r w:rsidRPr="00735CBB">
        <w:rPr>
          <w:rFonts w:eastAsia="Times New Roman" w:cs="Arial"/>
          <w:color w:val="000000"/>
          <w:lang w:eastAsia="bg-BG"/>
        </w:rPr>
        <w:t>Диария</w:t>
      </w:r>
    </w:p>
    <w:p w14:paraId="73C92E15" w14:textId="77777777" w:rsidR="00735CBB" w:rsidRPr="00C51411" w:rsidRDefault="00735CBB" w:rsidP="00735CBB">
      <w:pPr>
        <w:spacing w:line="240" w:lineRule="auto"/>
        <w:rPr>
          <w:rFonts w:eastAsia="Times New Roman" w:cs="Arial"/>
          <w:b/>
          <w:bCs/>
          <w:color w:val="000000"/>
          <w:lang w:eastAsia="bg-BG"/>
        </w:rPr>
      </w:pPr>
    </w:p>
    <w:p w14:paraId="1C961209" w14:textId="66FC2FF8"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мускулно-скелетната система и съединителната тъкан</w:t>
      </w:r>
    </w:p>
    <w:p w14:paraId="443EA38F" w14:textId="08D9CBB4"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Миалгия</w:t>
      </w:r>
    </w:p>
    <w:p w14:paraId="321578F2" w14:textId="6D74A19E"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Много редки</w:t>
      </w:r>
      <w:r w:rsidRPr="00C51411">
        <w:rPr>
          <w:rFonts w:eastAsia="Times New Roman" w:cs="Arial"/>
          <w:color w:val="000000"/>
          <w:lang w:val="en-US" w:eastAsia="bg-BG"/>
        </w:rPr>
        <w:t xml:space="preserve">: </w:t>
      </w:r>
      <w:r w:rsidRPr="00735CBB">
        <w:rPr>
          <w:rFonts w:eastAsia="Times New Roman" w:cs="Arial"/>
          <w:color w:val="000000"/>
          <w:lang w:eastAsia="bg-BG"/>
        </w:rPr>
        <w:t>Артралгия</w:t>
      </w:r>
    </w:p>
    <w:p w14:paraId="16F4D1D2" w14:textId="77777777" w:rsidR="00735CBB" w:rsidRPr="00C51411" w:rsidRDefault="00735CBB" w:rsidP="00735CBB">
      <w:pPr>
        <w:spacing w:line="240" w:lineRule="auto"/>
        <w:rPr>
          <w:rFonts w:eastAsia="Times New Roman" w:cs="Arial"/>
          <w:b/>
          <w:bCs/>
          <w:color w:val="000000"/>
          <w:lang w:eastAsia="bg-BG"/>
        </w:rPr>
      </w:pPr>
    </w:p>
    <w:p w14:paraId="7CCDA724" w14:textId="07F9D88A"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бъбреците и пикочните пътища</w:t>
      </w:r>
    </w:p>
    <w:p w14:paraId="7891F800" w14:textId="53B586F1"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У вредена бъбречна функция</w:t>
      </w:r>
    </w:p>
    <w:p w14:paraId="3B848FBB" w14:textId="77777777" w:rsidR="00735CBB" w:rsidRPr="00C51411" w:rsidRDefault="00735CBB" w:rsidP="00735CBB">
      <w:pPr>
        <w:spacing w:line="240" w:lineRule="auto"/>
        <w:rPr>
          <w:rFonts w:eastAsia="Times New Roman" w:cs="Arial"/>
          <w:b/>
          <w:bCs/>
          <w:color w:val="000000"/>
          <w:lang w:eastAsia="bg-BG"/>
        </w:rPr>
      </w:pPr>
    </w:p>
    <w:p w14:paraId="12E415CF" w14:textId="492214CB"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Общи нарушения и ефекти на мястото на приложение</w:t>
      </w:r>
    </w:p>
    <w:p w14:paraId="532558C6" w14:textId="5931AF3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Умора</w:t>
      </w:r>
    </w:p>
    <w:p w14:paraId="0E1E7DD0" w14:textId="77777777" w:rsidR="00735CBB" w:rsidRPr="00C51411" w:rsidRDefault="00735CBB" w:rsidP="00735CBB">
      <w:pPr>
        <w:spacing w:line="240" w:lineRule="auto"/>
        <w:rPr>
          <w:rFonts w:eastAsia="Times New Roman" w:cs="Arial"/>
          <w:b/>
          <w:bCs/>
          <w:color w:val="000000"/>
          <w:lang w:eastAsia="bg-BG"/>
        </w:rPr>
      </w:pPr>
    </w:p>
    <w:p w14:paraId="5ACB9512" w14:textId="6BE011F9"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Изследвания</w:t>
      </w:r>
    </w:p>
    <w:p w14:paraId="47FB0415" w14:textId="53CA7AE5" w:rsidR="00735CBB" w:rsidRPr="00C51411" w:rsidRDefault="00735CBB" w:rsidP="00735CBB">
      <w:pPr>
        <w:spacing w:line="240" w:lineRule="auto"/>
        <w:rPr>
          <w:rFonts w:eastAsia="Times New Roman" w:cs="Arial"/>
          <w:color w:val="000000"/>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Повишени стойности на пикочна киселина билирубин и</w:t>
      </w:r>
      <w:r w:rsidRPr="00C51411">
        <w:rPr>
          <w:rFonts w:eastAsia="Times New Roman" w:cs="Arial"/>
          <w:lang w:val="en-US" w:eastAsia="bg-BG"/>
        </w:rPr>
        <w:t xml:space="preserve"> </w:t>
      </w:r>
      <w:r w:rsidRPr="00C51411">
        <w:rPr>
          <w:rFonts w:eastAsia="Times New Roman" w:cs="Arial"/>
          <w:color w:val="000000"/>
          <w:lang w:eastAsia="bg-BG"/>
        </w:rPr>
        <w:t>креатинин в серума, хипокалиемия, хипонатриемия повишаване на уреята в кръвта, неутропения</w:t>
      </w:r>
    </w:p>
    <w:p w14:paraId="19D97730" w14:textId="46BE37AA" w:rsidR="00735CBB" w:rsidRPr="00C51411" w:rsidRDefault="00735CBB" w:rsidP="00735CBB">
      <w:pPr>
        <w:spacing w:line="240" w:lineRule="auto"/>
        <w:rPr>
          <w:rFonts w:eastAsia="Times New Roman" w:cs="Arial"/>
          <w:color w:val="000000"/>
          <w:lang w:eastAsia="bg-BG"/>
        </w:rPr>
      </w:pPr>
    </w:p>
    <w:p w14:paraId="143F38BB"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u w:val="single"/>
          <w:lang w:eastAsia="bg-BG"/>
        </w:rPr>
        <w:t>Допълнителна информация за отделните компоненти</w:t>
      </w:r>
    </w:p>
    <w:p w14:paraId="587022CB"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lastRenderedPageBreak/>
        <w:t>Нежеланите лекарствени реакции, наблюдавани с отделните компоненти, могат да бъдат нежелани реакции и при Валтензин Плюс, дори и да не са наблюдавани в клинични изпитвания или в постмаркетинговия период.</w:t>
      </w:r>
    </w:p>
    <w:p w14:paraId="78AD261C" w14:textId="77777777" w:rsidR="00735CBB" w:rsidRPr="00C51411" w:rsidRDefault="00735CBB" w:rsidP="00735CBB">
      <w:pPr>
        <w:spacing w:line="240" w:lineRule="auto"/>
        <w:rPr>
          <w:rFonts w:eastAsia="Times New Roman" w:cs="Arial"/>
          <w:color w:val="000000"/>
          <w:u w:val="single"/>
          <w:lang w:eastAsia="bg-BG"/>
        </w:rPr>
      </w:pPr>
    </w:p>
    <w:p w14:paraId="60F39CD0" w14:textId="56B1A8FF" w:rsidR="00735CBB" w:rsidRPr="00735CBB" w:rsidRDefault="00735CBB" w:rsidP="00735CBB">
      <w:pPr>
        <w:spacing w:line="240" w:lineRule="auto"/>
        <w:rPr>
          <w:rFonts w:eastAsia="Times New Roman" w:cs="Arial"/>
          <w:lang w:eastAsia="bg-BG"/>
        </w:rPr>
      </w:pPr>
      <w:r w:rsidRPr="00735CBB">
        <w:rPr>
          <w:rFonts w:eastAsia="Times New Roman" w:cs="Arial"/>
          <w:color w:val="000000"/>
          <w:u w:val="single"/>
          <w:lang w:eastAsia="bg-BG"/>
        </w:rPr>
        <w:t>Таблица 2. Честота на нежеланите лекарствени реакции при валсартан</w:t>
      </w:r>
    </w:p>
    <w:p w14:paraId="6BE41EC3" w14:textId="77777777" w:rsidR="00735CBB" w:rsidRPr="00C51411" w:rsidRDefault="00735CBB" w:rsidP="00735CBB">
      <w:pPr>
        <w:spacing w:line="240" w:lineRule="auto"/>
        <w:rPr>
          <w:rFonts w:eastAsia="Times New Roman" w:cs="Arial"/>
          <w:b/>
          <w:bCs/>
          <w:color w:val="000000"/>
          <w:lang w:eastAsia="bg-BG"/>
        </w:rPr>
      </w:pPr>
    </w:p>
    <w:p w14:paraId="7CD3B3F2" w14:textId="259BFA75"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кръвта и лимфната система</w:t>
      </w:r>
    </w:p>
    <w:p w14:paraId="2636F208" w14:textId="03E196F8"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Понижаване на хемоглобина, понижаване на хематокрита,</w:t>
      </w:r>
      <w:r w:rsidRPr="00C51411">
        <w:rPr>
          <w:rFonts w:eastAsia="Times New Roman" w:cs="Arial"/>
          <w:lang w:val="en-US" w:eastAsia="bg-BG"/>
        </w:rPr>
        <w:t xml:space="preserve"> </w:t>
      </w:r>
      <w:r w:rsidRPr="00735CBB">
        <w:rPr>
          <w:rFonts w:eastAsia="Times New Roman" w:cs="Arial"/>
          <w:color w:val="000000"/>
          <w:lang w:eastAsia="bg-BG"/>
        </w:rPr>
        <w:t>тромбоцитопения</w:t>
      </w:r>
    </w:p>
    <w:p w14:paraId="654CFC0D" w14:textId="77777777" w:rsidR="00735CBB" w:rsidRPr="00C51411" w:rsidRDefault="00735CBB" w:rsidP="00735CBB">
      <w:pPr>
        <w:spacing w:line="240" w:lineRule="auto"/>
        <w:rPr>
          <w:rFonts w:eastAsia="Times New Roman" w:cs="Arial"/>
          <w:b/>
          <w:bCs/>
          <w:color w:val="000000"/>
          <w:lang w:eastAsia="bg-BG"/>
        </w:rPr>
      </w:pPr>
    </w:p>
    <w:p w14:paraId="24EFD182" w14:textId="493A86AA"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имунната система</w:t>
      </w:r>
    </w:p>
    <w:p w14:paraId="3C35B82E" w14:textId="787E692F"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Други реакции на свръхчувствителност/ алергични реакции,</w:t>
      </w:r>
      <w:r w:rsidRPr="00C51411">
        <w:rPr>
          <w:rFonts w:eastAsia="Times New Roman" w:cs="Arial"/>
          <w:lang w:val="en-US" w:eastAsia="bg-BG"/>
        </w:rPr>
        <w:t xml:space="preserve"> </w:t>
      </w:r>
      <w:r w:rsidRPr="00735CBB">
        <w:rPr>
          <w:rFonts w:eastAsia="Times New Roman" w:cs="Arial"/>
          <w:color w:val="000000"/>
          <w:lang w:eastAsia="bg-BG"/>
        </w:rPr>
        <w:t>включително серумна болест</w:t>
      </w:r>
    </w:p>
    <w:p w14:paraId="3D177D9B" w14:textId="77777777" w:rsidR="00735CBB" w:rsidRPr="00C51411" w:rsidRDefault="00735CBB" w:rsidP="00735CBB">
      <w:pPr>
        <w:spacing w:line="240" w:lineRule="auto"/>
        <w:rPr>
          <w:rFonts w:eastAsia="Times New Roman" w:cs="Arial"/>
          <w:b/>
          <w:bCs/>
          <w:color w:val="000000"/>
          <w:lang w:eastAsia="bg-BG"/>
        </w:rPr>
      </w:pPr>
    </w:p>
    <w:p w14:paraId="73E7908E" w14:textId="297D0AE3"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метаболизма и храненето</w:t>
      </w:r>
    </w:p>
    <w:p w14:paraId="15A17B3E" w14:textId="0CE7B7D8"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Повишаване на серумния калий, хипонатриемия</w:t>
      </w:r>
    </w:p>
    <w:p w14:paraId="07452719" w14:textId="77777777" w:rsidR="00735CBB" w:rsidRPr="00C51411" w:rsidRDefault="00735CBB" w:rsidP="00735CBB">
      <w:pPr>
        <w:spacing w:line="240" w:lineRule="auto"/>
        <w:rPr>
          <w:rFonts w:eastAsia="Times New Roman" w:cs="Arial"/>
          <w:b/>
          <w:bCs/>
          <w:color w:val="000000"/>
          <w:lang w:eastAsia="bg-BG"/>
        </w:rPr>
      </w:pPr>
    </w:p>
    <w:p w14:paraId="6F01C37A" w14:textId="556E65D3"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ухото и лабиринта</w:t>
      </w:r>
    </w:p>
    <w:p w14:paraId="31B503E0" w14:textId="26685BFC"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Световъртеж</w:t>
      </w:r>
    </w:p>
    <w:p w14:paraId="4E220BC2" w14:textId="77777777" w:rsidR="00735CBB" w:rsidRPr="00C51411" w:rsidRDefault="00735CBB" w:rsidP="00735CBB">
      <w:pPr>
        <w:spacing w:line="240" w:lineRule="auto"/>
        <w:rPr>
          <w:rFonts w:eastAsia="Times New Roman" w:cs="Arial"/>
          <w:b/>
          <w:bCs/>
          <w:color w:val="000000"/>
          <w:lang w:eastAsia="bg-BG"/>
        </w:rPr>
      </w:pPr>
    </w:p>
    <w:p w14:paraId="0862793A" w14:textId="34417493"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Съдови нарушения</w:t>
      </w:r>
    </w:p>
    <w:p w14:paraId="44D1592C" w14:textId="1E786489"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Васкулит</w:t>
      </w:r>
    </w:p>
    <w:p w14:paraId="3CF8EA4E" w14:textId="77777777" w:rsidR="00735CBB" w:rsidRPr="00C51411" w:rsidRDefault="00735CBB" w:rsidP="00735CBB">
      <w:pPr>
        <w:spacing w:line="240" w:lineRule="auto"/>
        <w:rPr>
          <w:rFonts w:eastAsia="Times New Roman" w:cs="Arial"/>
          <w:b/>
          <w:bCs/>
          <w:color w:val="000000"/>
          <w:lang w:eastAsia="bg-BG"/>
        </w:rPr>
      </w:pPr>
    </w:p>
    <w:p w14:paraId="2E56C22E" w14:textId="02F99C96"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Стомашно-чревни нарушения</w:t>
      </w:r>
    </w:p>
    <w:p w14:paraId="51642657" w14:textId="0C9D90BE"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Коремна болка</w:t>
      </w:r>
    </w:p>
    <w:p w14:paraId="719FB96A" w14:textId="77777777" w:rsidR="00735CBB" w:rsidRPr="00C51411" w:rsidRDefault="00735CBB" w:rsidP="00735CBB">
      <w:pPr>
        <w:spacing w:line="240" w:lineRule="auto"/>
        <w:rPr>
          <w:rFonts w:eastAsia="Times New Roman" w:cs="Arial"/>
          <w:b/>
          <w:bCs/>
          <w:color w:val="000000"/>
          <w:lang w:eastAsia="bg-BG"/>
        </w:rPr>
      </w:pPr>
    </w:p>
    <w:p w14:paraId="0A1FCA53" w14:textId="49F90774"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Хепатобилиарнн нарушения</w:t>
      </w:r>
    </w:p>
    <w:p w14:paraId="50175D15" w14:textId="5C37831F"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Повишени стойности</w:t>
      </w:r>
      <w:r w:rsidRPr="00C51411">
        <w:rPr>
          <w:rFonts w:eastAsia="Times New Roman" w:cs="Arial"/>
          <w:color w:val="000000"/>
          <w:lang w:val="en-US" w:eastAsia="bg-BG"/>
        </w:rPr>
        <w:t xml:space="preserve"> </w:t>
      </w:r>
      <w:r w:rsidRPr="00735CBB">
        <w:rPr>
          <w:rFonts w:eastAsia="Times New Roman" w:cs="Arial"/>
          <w:color w:val="000000"/>
          <w:lang w:eastAsia="bg-BG"/>
        </w:rPr>
        <w:t>на показателите на чернодробната</w:t>
      </w:r>
      <w:r w:rsidRPr="00C51411">
        <w:rPr>
          <w:rFonts w:eastAsia="Times New Roman" w:cs="Arial"/>
          <w:lang w:val="en-US" w:eastAsia="bg-BG"/>
        </w:rPr>
        <w:t xml:space="preserve"> </w:t>
      </w:r>
      <w:r w:rsidRPr="00735CBB">
        <w:rPr>
          <w:rFonts w:eastAsia="Times New Roman" w:cs="Arial"/>
          <w:color w:val="000000"/>
          <w:lang w:eastAsia="bg-BG"/>
        </w:rPr>
        <w:t>функция</w:t>
      </w:r>
    </w:p>
    <w:p w14:paraId="65996D0A" w14:textId="77777777" w:rsidR="00735CBB" w:rsidRPr="00C51411" w:rsidRDefault="00735CBB" w:rsidP="00735CBB">
      <w:pPr>
        <w:spacing w:line="240" w:lineRule="auto"/>
        <w:rPr>
          <w:rFonts w:eastAsia="Times New Roman" w:cs="Arial"/>
          <w:b/>
          <w:bCs/>
          <w:color w:val="000000"/>
          <w:lang w:eastAsia="bg-BG"/>
        </w:rPr>
      </w:pPr>
    </w:p>
    <w:p w14:paraId="2B5AC626" w14:textId="0B2A01F3"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кожата и подкожната тъкан</w:t>
      </w:r>
    </w:p>
    <w:p w14:paraId="547064BD" w14:textId="310A844C"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Ангиоедем, булозен дерматит, обрив, сърбеж</w:t>
      </w:r>
    </w:p>
    <w:p w14:paraId="66AB38D0" w14:textId="77777777" w:rsidR="00735CBB" w:rsidRPr="00C51411" w:rsidRDefault="00735CBB" w:rsidP="00735CBB">
      <w:pPr>
        <w:spacing w:line="240" w:lineRule="auto"/>
        <w:rPr>
          <w:rFonts w:eastAsia="Times New Roman" w:cs="Arial"/>
          <w:b/>
          <w:bCs/>
          <w:color w:val="000000"/>
          <w:lang w:eastAsia="bg-BG"/>
        </w:rPr>
      </w:pPr>
    </w:p>
    <w:p w14:paraId="76D584B1" w14:textId="17991444"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бъбреците и пикочните пътища</w:t>
      </w:r>
    </w:p>
    <w:p w14:paraId="785078ED" w14:textId="3B1FB130"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Бъбречна недостатъчност</w:t>
      </w:r>
    </w:p>
    <w:p w14:paraId="5042E2B8" w14:textId="77777777" w:rsidR="00735CBB" w:rsidRPr="00C51411" w:rsidRDefault="00735CBB" w:rsidP="00735CBB">
      <w:pPr>
        <w:spacing w:line="240" w:lineRule="auto"/>
        <w:rPr>
          <w:rFonts w:eastAsia="Times New Roman" w:cs="Arial"/>
          <w:color w:val="000000"/>
          <w:u w:val="single"/>
          <w:lang w:eastAsia="bg-BG"/>
        </w:rPr>
      </w:pPr>
    </w:p>
    <w:p w14:paraId="423C1B67" w14:textId="51AF61AC" w:rsidR="00735CBB" w:rsidRPr="00735CBB" w:rsidRDefault="00735CBB" w:rsidP="00735CBB">
      <w:pPr>
        <w:spacing w:line="240" w:lineRule="auto"/>
        <w:rPr>
          <w:rFonts w:eastAsia="Times New Roman" w:cs="Arial"/>
          <w:lang w:eastAsia="bg-BG"/>
        </w:rPr>
      </w:pPr>
      <w:r w:rsidRPr="00735CBB">
        <w:rPr>
          <w:rFonts w:eastAsia="Times New Roman" w:cs="Arial"/>
          <w:color w:val="000000"/>
          <w:u w:val="single"/>
          <w:lang w:eastAsia="bg-BG"/>
        </w:rPr>
        <w:t>Таблица 3. Честота на нежеланите лекарствени реакции с хидрохлоротиазид</w:t>
      </w:r>
    </w:p>
    <w:p w14:paraId="7B75622B" w14:textId="77777777" w:rsidR="00735CBB" w:rsidRPr="00C51411" w:rsidRDefault="00735CBB" w:rsidP="00735CBB">
      <w:pPr>
        <w:spacing w:line="240" w:lineRule="auto"/>
        <w:rPr>
          <w:rFonts w:eastAsia="Times New Roman" w:cs="Arial"/>
          <w:color w:val="000000"/>
          <w:lang w:eastAsia="bg-BG"/>
        </w:rPr>
      </w:pPr>
    </w:p>
    <w:p w14:paraId="16F40946" w14:textId="31008184"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Хидрохлоротиазид е широко предписван от много години, често в по-високи дози от тези, които се прилагат с Валтензин Плюс. При пациенти на монотерапия с тиазидни диуретици, включително хидрохлоротиазид са докладвани следните нежелани лекарствени реакции:</w:t>
      </w:r>
    </w:p>
    <w:p w14:paraId="0713F708" w14:textId="77777777" w:rsidR="00735CBB" w:rsidRPr="00C51411" w:rsidRDefault="00735CBB" w:rsidP="00735CBB">
      <w:pPr>
        <w:spacing w:line="240" w:lineRule="auto"/>
        <w:rPr>
          <w:rFonts w:eastAsia="Times New Roman" w:cs="Arial"/>
          <w:b/>
          <w:bCs/>
          <w:color w:val="000000"/>
          <w:lang w:eastAsia="bg-BG"/>
        </w:rPr>
      </w:pPr>
    </w:p>
    <w:p w14:paraId="2B148784" w14:textId="363C102E"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 xml:space="preserve">Неоплазми </w:t>
      </w:r>
      <w:r w:rsidRPr="00C51411">
        <w:rPr>
          <w:rFonts w:eastAsia="Times New Roman" w:cs="Arial"/>
          <w:b/>
          <w:bCs/>
          <w:color w:val="000000"/>
          <w:lang w:val="en-US" w:eastAsia="bg-BG"/>
        </w:rPr>
        <w:t>-</w:t>
      </w:r>
      <w:r w:rsidRPr="00735CBB">
        <w:rPr>
          <w:rFonts w:eastAsia="Times New Roman" w:cs="Arial"/>
          <w:b/>
          <w:bCs/>
          <w:color w:val="000000"/>
          <w:lang w:eastAsia="bg-BG"/>
        </w:rPr>
        <w:t xml:space="preserve"> доброкачествени, злокачествени и неопределени (вкл. кисти и полипи)</w:t>
      </w:r>
    </w:p>
    <w:p w14:paraId="7EAC9C55" w14:textId="1456C206"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Немеланомен рак на кожата (базалноклетьчен карцином</w:t>
      </w:r>
      <w:r w:rsidRPr="00C51411">
        <w:rPr>
          <w:rFonts w:eastAsia="Times New Roman" w:cs="Arial"/>
          <w:lang w:val="en-US" w:eastAsia="bg-BG"/>
        </w:rPr>
        <w:t xml:space="preserve"> </w:t>
      </w:r>
      <w:r w:rsidRPr="00735CBB">
        <w:rPr>
          <w:rFonts w:eastAsia="Times New Roman" w:cs="Arial"/>
          <w:color w:val="000000"/>
          <w:lang w:eastAsia="bg-BG"/>
        </w:rPr>
        <w:t>и сквамозноклетъчен карцином)</w:t>
      </w:r>
    </w:p>
    <w:p w14:paraId="1423207A" w14:textId="77777777" w:rsidR="00735CBB" w:rsidRPr="00C51411" w:rsidRDefault="00735CBB" w:rsidP="00735CBB">
      <w:pPr>
        <w:spacing w:line="240" w:lineRule="auto"/>
        <w:rPr>
          <w:rFonts w:eastAsia="Times New Roman" w:cs="Arial"/>
          <w:b/>
          <w:bCs/>
          <w:color w:val="000000"/>
          <w:lang w:eastAsia="bg-BG"/>
        </w:rPr>
      </w:pPr>
    </w:p>
    <w:p w14:paraId="3EF668C8" w14:textId="23F8A01C"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кръвта и лимфната система</w:t>
      </w:r>
    </w:p>
    <w:p w14:paraId="0E1E9CE5" w14:textId="4626CDF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Редки</w:t>
      </w:r>
      <w:r w:rsidRPr="00C51411">
        <w:rPr>
          <w:rFonts w:eastAsia="Times New Roman" w:cs="Arial"/>
          <w:color w:val="000000"/>
          <w:lang w:val="en-US" w:eastAsia="bg-BG"/>
        </w:rPr>
        <w:t xml:space="preserve">: </w:t>
      </w:r>
      <w:r w:rsidRPr="00735CBB">
        <w:rPr>
          <w:rFonts w:eastAsia="Times New Roman" w:cs="Arial"/>
          <w:color w:val="000000"/>
          <w:lang w:eastAsia="bg-BG"/>
        </w:rPr>
        <w:t>Тромбоцитопения, понякога с пурпура</w:t>
      </w:r>
    </w:p>
    <w:p w14:paraId="0C79DA18" w14:textId="3CF5FD0C"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Много редки</w:t>
      </w:r>
      <w:r w:rsidRPr="00C51411">
        <w:rPr>
          <w:rFonts w:eastAsia="Times New Roman" w:cs="Arial"/>
          <w:color w:val="000000"/>
          <w:lang w:val="en-US" w:eastAsia="bg-BG"/>
        </w:rPr>
        <w:t xml:space="preserve">: </w:t>
      </w:r>
      <w:r w:rsidRPr="00735CBB">
        <w:rPr>
          <w:rFonts w:eastAsia="Times New Roman" w:cs="Arial"/>
          <w:color w:val="000000"/>
          <w:lang w:eastAsia="bg-BG"/>
        </w:rPr>
        <w:t>Агранулоцитоза, левкопения, хемолитична анемия, костно</w:t>
      </w:r>
      <w:r w:rsidRPr="00C51411">
        <w:rPr>
          <w:rFonts w:eastAsia="Times New Roman" w:cs="Arial"/>
          <w:color w:val="000000"/>
          <w:lang w:val="en-US" w:eastAsia="bg-BG"/>
        </w:rPr>
        <w:t>-</w:t>
      </w:r>
      <w:r w:rsidRPr="00735CBB">
        <w:rPr>
          <w:rFonts w:eastAsia="Times New Roman" w:cs="Arial"/>
          <w:color w:val="000000"/>
          <w:lang w:eastAsia="bg-BG"/>
        </w:rPr>
        <w:t>мозъчна недостатъчност</w:t>
      </w:r>
    </w:p>
    <w:p w14:paraId="39B07E92" w14:textId="2362A93F"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Апластична анемия</w:t>
      </w:r>
    </w:p>
    <w:p w14:paraId="2BD19F12" w14:textId="77777777" w:rsidR="00735CBB" w:rsidRPr="00C51411" w:rsidRDefault="00735CBB" w:rsidP="00735CBB">
      <w:pPr>
        <w:spacing w:line="240" w:lineRule="auto"/>
        <w:rPr>
          <w:rFonts w:eastAsia="Times New Roman" w:cs="Arial"/>
          <w:b/>
          <w:bCs/>
          <w:color w:val="000000"/>
          <w:lang w:eastAsia="bg-BG"/>
        </w:rPr>
      </w:pPr>
    </w:p>
    <w:p w14:paraId="42F47530" w14:textId="22A194AE"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имунната система</w:t>
      </w:r>
    </w:p>
    <w:p w14:paraId="37409D96" w14:textId="63BA950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Много редки</w:t>
      </w:r>
      <w:r w:rsidRPr="00C51411">
        <w:rPr>
          <w:rFonts w:eastAsia="Times New Roman" w:cs="Arial"/>
          <w:color w:val="000000"/>
          <w:lang w:val="en-US" w:eastAsia="bg-BG"/>
        </w:rPr>
        <w:t xml:space="preserve">: </w:t>
      </w:r>
      <w:r w:rsidRPr="00735CBB">
        <w:rPr>
          <w:rFonts w:eastAsia="Times New Roman" w:cs="Arial"/>
          <w:color w:val="000000"/>
          <w:lang w:eastAsia="bg-BG"/>
        </w:rPr>
        <w:t>Реакции на свръхчувствителност</w:t>
      </w:r>
    </w:p>
    <w:p w14:paraId="04DEE353" w14:textId="77777777" w:rsidR="00735CBB" w:rsidRPr="00C51411" w:rsidRDefault="00735CBB" w:rsidP="00735CBB">
      <w:pPr>
        <w:spacing w:line="240" w:lineRule="auto"/>
        <w:rPr>
          <w:rFonts w:eastAsia="Times New Roman" w:cs="Arial"/>
          <w:b/>
          <w:bCs/>
          <w:color w:val="000000"/>
          <w:lang w:eastAsia="bg-BG"/>
        </w:rPr>
      </w:pPr>
    </w:p>
    <w:p w14:paraId="44EA5397" w14:textId="23D0306F"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метаболизма и храненето</w:t>
      </w:r>
    </w:p>
    <w:p w14:paraId="4468CFD3" w14:textId="6F281BA8"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Много чести</w:t>
      </w:r>
      <w:r w:rsidRPr="00C51411">
        <w:rPr>
          <w:rFonts w:eastAsia="Times New Roman" w:cs="Arial"/>
          <w:color w:val="000000"/>
          <w:lang w:val="en-US" w:eastAsia="bg-BG"/>
        </w:rPr>
        <w:t xml:space="preserve">: </w:t>
      </w:r>
      <w:r w:rsidRPr="00735CBB">
        <w:rPr>
          <w:rFonts w:eastAsia="Times New Roman" w:cs="Arial"/>
          <w:color w:val="000000"/>
          <w:lang w:eastAsia="bg-BG"/>
        </w:rPr>
        <w:t>Хипокалиемия, повишени стойности на липидите в кръвта</w:t>
      </w:r>
      <w:r w:rsidRPr="00C51411">
        <w:rPr>
          <w:rFonts w:eastAsia="Times New Roman" w:cs="Arial"/>
          <w:lang w:val="en-US" w:eastAsia="bg-BG"/>
        </w:rPr>
        <w:t xml:space="preserve"> </w:t>
      </w:r>
      <w:r w:rsidRPr="00735CBB">
        <w:rPr>
          <w:rFonts w:eastAsia="Times New Roman" w:cs="Arial"/>
          <w:color w:val="000000"/>
          <w:lang w:eastAsia="bg-BG"/>
        </w:rPr>
        <w:t>(предимно при използване на по-високи дози)</w:t>
      </w:r>
    </w:p>
    <w:p w14:paraId="1EAD35FF" w14:textId="3987395F"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Чести</w:t>
      </w:r>
      <w:r w:rsidRPr="00C51411">
        <w:rPr>
          <w:rFonts w:eastAsia="Times New Roman" w:cs="Arial"/>
          <w:color w:val="000000"/>
          <w:lang w:val="en-US" w:eastAsia="bg-BG"/>
        </w:rPr>
        <w:t xml:space="preserve">: </w:t>
      </w:r>
      <w:r w:rsidRPr="00735CBB">
        <w:rPr>
          <w:rFonts w:eastAsia="Times New Roman" w:cs="Arial"/>
          <w:color w:val="000000"/>
          <w:lang w:eastAsia="bg-BG"/>
        </w:rPr>
        <w:t>Хипонатриемия, хипомагнезиемия,</w:t>
      </w:r>
      <w:r w:rsidRPr="00C51411">
        <w:rPr>
          <w:rFonts w:eastAsia="Times New Roman" w:cs="Arial"/>
          <w:lang w:val="en-US" w:eastAsia="bg-BG"/>
        </w:rPr>
        <w:t xml:space="preserve"> </w:t>
      </w:r>
      <w:r w:rsidRPr="00735CBB">
        <w:rPr>
          <w:rFonts w:eastAsia="Times New Roman" w:cs="Arial"/>
          <w:color w:val="000000"/>
          <w:lang w:eastAsia="bg-BG"/>
        </w:rPr>
        <w:t>хиперурикемия</w:t>
      </w:r>
    </w:p>
    <w:p w14:paraId="0E76F1AC" w14:textId="78917CC5"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Редки</w:t>
      </w:r>
      <w:r w:rsidRPr="00C51411">
        <w:rPr>
          <w:rFonts w:eastAsia="Times New Roman" w:cs="Arial"/>
          <w:color w:val="000000"/>
          <w:lang w:val="en-US" w:eastAsia="bg-BG"/>
        </w:rPr>
        <w:t xml:space="preserve">: </w:t>
      </w:r>
      <w:r w:rsidRPr="00735CBB">
        <w:rPr>
          <w:rFonts w:eastAsia="Times New Roman" w:cs="Arial"/>
          <w:color w:val="000000"/>
          <w:lang w:eastAsia="bg-BG"/>
        </w:rPr>
        <w:t>Хиперкалциемия, хипергликемия, глюкозурия и влошаване на</w:t>
      </w:r>
      <w:r w:rsidRPr="00C51411">
        <w:rPr>
          <w:rFonts w:eastAsia="Times New Roman" w:cs="Arial"/>
          <w:lang w:val="en-US" w:eastAsia="bg-BG"/>
        </w:rPr>
        <w:t xml:space="preserve"> </w:t>
      </w:r>
      <w:r w:rsidRPr="00735CBB">
        <w:rPr>
          <w:rFonts w:eastAsia="Times New Roman" w:cs="Arial"/>
          <w:color w:val="000000"/>
          <w:lang w:eastAsia="bg-BG"/>
        </w:rPr>
        <w:t>диабетния метаболитен статус</w:t>
      </w:r>
    </w:p>
    <w:p w14:paraId="042217BF" w14:textId="1AE32C2D"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Много редки</w:t>
      </w:r>
      <w:r w:rsidRPr="00C51411">
        <w:rPr>
          <w:rFonts w:eastAsia="Times New Roman" w:cs="Arial"/>
          <w:color w:val="000000"/>
          <w:lang w:val="en-US" w:eastAsia="bg-BG"/>
        </w:rPr>
        <w:t xml:space="preserve">: </w:t>
      </w:r>
      <w:r w:rsidRPr="00735CBB">
        <w:rPr>
          <w:rFonts w:eastAsia="Times New Roman" w:cs="Arial"/>
          <w:color w:val="000000"/>
          <w:lang w:eastAsia="bg-BG"/>
        </w:rPr>
        <w:t>Хипохлоремична алкалоза</w:t>
      </w:r>
    </w:p>
    <w:p w14:paraId="6E182CC0" w14:textId="77777777" w:rsidR="00735CBB" w:rsidRPr="00C51411" w:rsidRDefault="00735CBB" w:rsidP="00735CBB">
      <w:pPr>
        <w:spacing w:line="240" w:lineRule="auto"/>
        <w:rPr>
          <w:rFonts w:eastAsia="Times New Roman" w:cs="Arial"/>
          <w:b/>
          <w:bCs/>
          <w:color w:val="000000"/>
          <w:lang w:eastAsia="bg-BG"/>
        </w:rPr>
      </w:pPr>
    </w:p>
    <w:p w14:paraId="2AF5C012" w14:textId="75C3A830"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Психични нарушения</w:t>
      </w:r>
    </w:p>
    <w:p w14:paraId="30D64988" w14:textId="17B44089"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Редки</w:t>
      </w:r>
      <w:r w:rsidRPr="00C51411">
        <w:rPr>
          <w:rFonts w:eastAsia="Times New Roman" w:cs="Arial"/>
          <w:color w:val="000000"/>
          <w:lang w:val="en-US" w:eastAsia="bg-BG"/>
        </w:rPr>
        <w:t xml:space="preserve">: </w:t>
      </w:r>
      <w:r w:rsidRPr="00735CBB">
        <w:rPr>
          <w:rFonts w:eastAsia="Times New Roman" w:cs="Arial"/>
          <w:color w:val="000000"/>
          <w:lang w:eastAsia="bg-BG"/>
        </w:rPr>
        <w:t>Депресия, нарушения на съня</w:t>
      </w:r>
    </w:p>
    <w:p w14:paraId="47779D64" w14:textId="77777777" w:rsidR="00735CBB" w:rsidRPr="00C51411" w:rsidRDefault="00735CBB" w:rsidP="00735CBB">
      <w:pPr>
        <w:spacing w:line="240" w:lineRule="auto"/>
        <w:rPr>
          <w:rFonts w:eastAsia="Times New Roman" w:cs="Arial"/>
          <w:b/>
          <w:bCs/>
          <w:color w:val="000000"/>
          <w:lang w:eastAsia="bg-BG"/>
        </w:rPr>
      </w:pPr>
    </w:p>
    <w:p w14:paraId="27CFBBD4" w14:textId="3079B092"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нервната система</w:t>
      </w:r>
    </w:p>
    <w:p w14:paraId="30ECA79C" w14:textId="4DFE6C91"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Редки</w:t>
      </w:r>
      <w:r w:rsidRPr="00C51411">
        <w:rPr>
          <w:rFonts w:eastAsia="Times New Roman" w:cs="Arial"/>
          <w:color w:val="000000"/>
          <w:lang w:val="en-US" w:eastAsia="bg-BG"/>
        </w:rPr>
        <w:t xml:space="preserve">: </w:t>
      </w:r>
      <w:r w:rsidRPr="00C51411">
        <w:rPr>
          <w:rFonts w:eastAsia="Times New Roman" w:cs="Arial"/>
          <w:color w:val="000000"/>
          <w:lang w:eastAsia="bg-BG"/>
        </w:rPr>
        <w:t>Главоболие, световъртеж, парестезия</w:t>
      </w:r>
    </w:p>
    <w:p w14:paraId="412EB168" w14:textId="77777777" w:rsidR="00C51411" w:rsidRPr="00C51411" w:rsidRDefault="00C51411" w:rsidP="00C51411">
      <w:pPr>
        <w:spacing w:line="240" w:lineRule="auto"/>
        <w:rPr>
          <w:rFonts w:eastAsia="Times New Roman" w:cs="Arial"/>
          <w:b/>
          <w:bCs/>
          <w:color w:val="000000"/>
          <w:lang w:eastAsia="bg-BG"/>
        </w:rPr>
      </w:pPr>
    </w:p>
    <w:p w14:paraId="01E6EAFC" w14:textId="425B3C8C"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Нарушения на очите</w:t>
      </w:r>
    </w:p>
    <w:p w14:paraId="12D17AD3" w14:textId="7B9DA82D"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Редки</w:t>
      </w:r>
      <w:r w:rsidRPr="00C51411">
        <w:rPr>
          <w:rFonts w:eastAsia="Times New Roman" w:cs="Arial"/>
          <w:color w:val="000000"/>
          <w:lang w:val="en-US" w:eastAsia="bg-BG"/>
        </w:rPr>
        <w:t xml:space="preserve">: </w:t>
      </w:r>
      <w:r w:rsidRPr="00C51411">
        <w:rPr>
          <w:rFonts w:eastAsia="Times New Roman" w:cs="Arial"/>
          <w:color w:val="000000"/>
          <w:lang w:eastAsia="bg-BG"/>
        </w:rPr>
        <w:t>Нарушение на зрението</w:t>
      </w:r>
    </w:p>
    <w:p w14:paraId="0961A9C1" w14:textId="5B389B71"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C51411">
        <w:rPr>
          <w:rFonts w:eastAsia="Times New Roman" w:cs="Arial"/>
          <w:color w:val="000000"/>
          <w:lang w:eastAsia="bg-BG"/>
        </w:rPr>
        <w:t>Хороидален излив, остра закритоъгълна глаукома, остра миопия,.</w:t>
      </w:r>
    </w:p>
    <w:p w14:paraId="63F81E08" w14:textId="77777777" w:rsidR="00C51411" w:rsidRPr="00C51411" w:rsidRDefault="00C51411" w:rsidP="00C51411">
      <w:pPr>
        <w:spacing w:line="240" w:lineRule="auto"/>
        <w:rPr>
          <w:rFonts w:eastAsia="Times New Roman" w:cs="Arial"/>
          <w:b/>
          <w:bCs/>
          <w:color w:val="000000"/>
          <w:lang w:eastAsia="bg-BG"/>
        </w:rPr>
      </w:pPr>
    </w:p>
    <w:p w14:paraId="02BA04F8" w14:textId="3758C7DC"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Сърдечни нарушения</w:t>
      </w:r>
    </w:p>
    <w:p w14:paraId="355D45E2" w14:textId="0C1338F3"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Редки</w:t>
      </w:r>
      <w:r w:rsidRPr="00C51411">
        <w:rPr>
          <w:rFonts w:eastAsia="Times New Roman" w:cs="Arial"/>
          <w:color w:val="000000"/>
          <w:lang w:val="en-US" w:eastAsia="bg-BG"/>
        </w:rPr>
        <w:t xml:space="preserve">: </w:t>
      </w:r>
      <w:r w:rsidRPr="00C51411">
        <w:rPr>
          <w:rFonts w:eastAsia="Times New Roman" w:cs="Arial"/>
          <w:color w:val="000000"/>
          <w:lang w:eastAsia="bg-BG"/>
        </w:rPr>
        <w:t>Сърдечни аритмии</w:t>
      </w:r>
    </w:p>
    <w:p w14:paraId="18092120" w14:textId="77777777" w:rsidR="00C51411" w:rsidRPr="00C51411" w:rsidRDefault="00C51411" w:rsidP="00C51411">
      <w:pPr>
        <w:spacing w:line="240" w:lineRule="auto"/>
        <w:rPr>
          <w:rFonts w:eastAsia="Times New Roman" w:cs="Arial"/>
          <w:b/>
          <w:bCs/>
          <w:color w:val="000000"/>
          <w:lang w:eastAsia="bg-BG"/>
        </w:rPr>
      </w:pPr>
    </w:p>
    <w:p w14:paraId="564EB3E3" w14:textId="40A51450"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Съдови нарушения</w:t>
      </w:r>
    </w:p>
    <w:p w14:paraId="2457F291" w14:textId="2360BF98"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Чести</w:t>
      </w:r>
      <w:r w:rsidRPr="00C51411">
        <w:rPr>
          <w:rFonts w:eastAsia="Times New Roman" w:cs="Arial"/>
          <w:color w:val="000000"/>
          <w:lang w:val="en-US" w:eastAsia="bg-BG"/>
        </w:rPr>
        <w:t xml:space="preserve">: </w:t>
      </w:r>
      <w:r w:rsidRPr="00C51411">
        <w:rPr>
          <w:rFonts w:eastAsia="Times New Roman" w:cs="Arial"/>
          <w:color w:val="000000"/>
          <w:lang w:eastAsia="bg-BG"/>
        </w:rPr>
        <w:t>Постурална хипотония</w:t>
      </w:r>
    </w:p>
    <w:p w14:paraId="44048C2C" w14:textId="77777777" w:rsidR="00C51411" w:rsidRPr="00C51411" w:rsidRDefault="00C51411" w:rsidP="00C51411">
      <w:pPr>
        <w:spacing w:line="240" w:lineRule="auto"/>
        <w:rPr>
          <w:rFonts w:eastAsia="Times New Roman" w:cs="Arial"/>
          <w:b/>
          <w:bCs/>
          <w:color w:val="000000"/>
          <w:lang w:eastAsia="bg-BG"/>
        </w:rPr>
      </w:pPr>
    </w:p>
    <w:p w14:paraId="5D017C1E" w14:textId="314876DB"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Респираторни, гръдни и медиастинални нарушения</w:t>
      </w:r>
    </w:p>
    <w:p w14:paraId="1D0363C4" w14:textId="2CDD6784"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Много редки</w:t>
      </w:r>
      <w:r w:rsidRPr="00C51411">
        <w:rPr>
          <w:rFonts w:eastAsia="Times New Roman" w:cs="Arial"/>
          <w:color w:val="000000"/>
          <w:lang w:val="en-US" w:eastAsia="bg-BG"/>
        </w:rPr>
        <w:t xml:space="preserve">: </w:t>
      </w:r>
      <w:r w:rsidRPr="00C51411">
        <w:rPr>
          <w:rFonts w:eastAsia="Times New Roman" w:cs="Arial"/>
          <w:color w:val="000000"/>
          <w:lang w:eastAsia="bg-BG"/>
        </w:rPr>
        <w:t>Остър респираторен дистрес синдром (ОРДС) (вж. точка</w:t>
      </w:r>
      <w:r w:rsidRPr="00C51411">
        <w:rPr>
          <w:rFonts w:eastAsia="Times New Roman" w:cs="Arial"/>
          <w:color w:val="000000"/>
          <w:lang w:val="en-US" w:eastAsia="bg-BG"/>
        </w:rPr>
        <w:t xml:space="preserve"> </w:t>
      </w:r>
      <w:r w:rsidRPr="00C51411">
        <w:rPr>
          <w:rFonts w:eastAsia="Times New Roman" w:cs="Arial"/>
          <w:color w:val="000000"/>
          <w:lang w:eastAsia="bg-BG"/>
        </w:rPr>
        <w:t>4.4)</w:t>
      </w:r>
    </w:p>
    <w:p w14:paraId="081C09EB" w14:textId="77777777" w:rsidR="00C51411" w:rsidRPr="00C51411" w:rsidRDefault="00C51411" w:rsidP="00C51411">
      <w:pPr>
        <w:spacing w:line="240" w:lineRule="auto"/>
        <w:rPr>
          <w:rFonts w:eastAsia="Times New Roman" w:cs="Arial"/>
          <w:b/>
          <w:bCs/>
          <w:color w:val="000000"/>
          <w:lang w:eastAsia="bg-BG"/>
        </w:rPr>
      </w:pPr>
    </w:p>
    <w:p w14:paraId="26171A04" w14:textId="7D823AF0"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Стомашно-чревни нарушения</w:t>
      </w:r>
    </w:p>
    <w:p w14:paraId="5F4DCDB0" w14:textId="60C2946B"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Чести</w:t>
      </w:r>
      <w:r w:rsidRPr="00C51411">
        <w:rPr>
          <w:rFonts w:eastAsia="Times New Roman" w:cs="Arial"/>
          <w:color w:val="000000"/>
          <w:lang w:val="en-US" w:eastAsia="bg-BG"/>
        </w:rPr>
        <w:t xml:space="preserve">: </w:t>
      </w:r>
      <w:r w:rsidRPr="00C51411">
        <w:rPr>
          <w:rFonts w:eastAsia="Times New Roman" w:cs="Arial"/>
          <w:color w:val="000000"/>
          <w:lang w:eastAsia="bg-BG"/>
        </w:rPr>
        <w:t>Загуба на апетит, леко гадене и повръщане</w:t>
      </w:r>
    </w:p>
    <w:p w14:paraId="0596A835" w14:textId="7279245B"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Редки</w:t>
      </w:r>
      <w:r w:rsidRPr="00C51411">
        <w:rPr>
          <w:rFonts w:eastAsia="Times New Roman" w:cs="Arial"/>
          <w:color w:val="000000"/>
          <w:lang w:val="en-US" w:eastAsia="bg-BG"/>
        </w:rPr>
        <w:t xml:space="preserve">: </w:t>
      </w:r>
      <w:r w:rsidRPr="00C51411">
        <w:rPr>
          <w:rFonts w:eastAsia="Times New Roman" w:cs="Arial"/>
          <w:color w:val="000000"/>
          <w:lang w:eastAsia="bg-BG"/>
        </w:rPr>
        <w:t>Запек, стомашно-чревен дискомфорт,</w:t>
      </w:r>
      <w:r w:rsidRPr="00C51411">
        <w:rPr>
          <w:rFonts w:eastAsia="Times New Roman" w:cs="Arial"/>
          <w:lang w:val="en-US" w:eastAsia="bg-BG"/>
        </w:rPr>
        <w:t xml:space="preserve"> </w:t>
      </w:r>
      <w:r w:rsidRPr="00C51411">
        <w:rPr>
          <w:rFonts w:eastAsia="Times New Roman" w:cs="Arial"/>
          <w:color w:val="000000"/>
          <w:lang w:eastAsia="bg-BG"/>
        </w:rPr>
        <w:t>диария</w:t>
      </w:r>
    </w:p>
    <w:p w14:paraId="7FBF9E31" w14:textId="7CA1B31E"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Много редки</w:t>
      </w:r>
      <w:r w:rsidRPr="00C51411">
        <w:rPr>
          <w:rFonts w:eastAsia="Times New Roman" w:cs="Arial"/>
          <w:color w:val="000000"/>
          <w:lang w:val="en-US" w:eastAsia="bg-BG"/>
        </w:rPr>
        <w:t xml:space="preserve">: </w:t>
      </w:r>
      <w:r w:rsidRPr="00C51411">
        <w:rPr>
          <w:rFonts w:eastAsia="Times New Roman" w:cs="Arial"/>
          <w:color w:val="000000"/>
          <w:lang w:eastAsia="bg-BG"/>
        </w:rPr>
        <w:t>Панкреатит</w:t>
      </w:r>
    </w:p>
    <w:p w14:paraId="6055655D" w14:textId="77777777" w:rsidR="00C51411" w:rsidRPr="00C51411" w:rsidRDefault="00C51411" w:rsidP="00C51411">
      <w:pPr>
        <w:spacing w:line="240" w:lineRule="auto"/>
        <w:rPr>
          <w:rFonts w:eastAsia="Times New Roman" w:cs="Arial"/>
          <w:b/>
          <w:bCs/>
          <w:color w:val="000000"/>
          <w:lang w:eastAsia="bg-BG"/>
        </w:rPr>
      </w:pPr>
    </w:p>
    <w:p w14:paraId="7524ACB1" w14:textId="36B5323F"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Хепатобилиарни нарушения</w:t>
      </w:r>
    </w:p>
    <w:p w14:paraId="1B01FBE9" w14:textId="108DC64F"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Редки</w:t>
      </w:r>
      <w:r w:rsidRPr="00C51411">
        <w:rPr>
          <w:rFonts w:eastAsia="Times New Roman" w:cs="Arial"/>
          <w:color w:val="000000"/>
          <w:lang w:val="en-US" w:eastAsia="bg-BG"/>
        </w:rPr>
        <w:t xml:space="preserve">: </w:t>
      </w:r>
      <w:r w:rsidRPr="00C51411">
        <w:rPr>
          <w:rFonts w:eastAsia="Times New Roman" w:cs="Arial"/>
          <w:color w:val="000000"/>
          <w:lang w:eastAsia="bg-BG"/>
        </w:rPr>
        <w:t>Интрахепатална холестаза или жълтеница</w:t>
      </w:r>
    </w:p>
    <w:p w14:paraId="7A7DB953" w14:textId="77777777" w:rsidR="00C51411" w:rsidRPr="00C51411" w:rsidRDefault="00C51411" w:rsidP="00C51411">
      <w:pPr>
        <w:spacing w:line="240" w:lineRule="auto"/>
        <w:rPr>
          <w:rFonts w:eastAsia="Times New Roman" w:cs="Arial"/>
          <w:b/>
          <w:bCs/>
          <w:color w:val="000000"/>
          <w:lang w:eastAsia="bg-BG"/>
        </w:rPr>
      </w:pPr>
    </w:p>
    <w:p w14:paraId="3629EBFE" w14:textId="471E8FC1"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Нарушения на бъбреците и пикочните пътища</w:t>
      </w:r>
    </w:p>
    <w:p w14:paraId="014F3AA8" w14:textId="4A8CEDF6"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C51411">
        <w:rPr>
          <w:rFonts w:eastAsia="Times New Roman" w:cs="Arial"/>
          <w:color w:val="000000"/>
          <w:lang w:eastAsia="bg-BG"/>
        </w:rPr>
        <w:t>Бъбречна дисфункция, остра бъбречна недостатъчност</w:t>
      </w:r>
    </w:p>
    <w:p w14:paraId="3E4D18A3" w14:textId="77777777" w:rsidR="00C51411" w:rsidRPr="00C51411" w:rsidRDefault="00C51411" w:rsidP="00C51411">
      <w:pPr>
        <w:spacing w:line="240" w:lineRule="auto"/>
        <w:rPr>
          <w:rFonts w:eastAsia="Times New Roman" w:cs="Arial"/>
          <w:b/>
          <w:bCs/>
          <w:color w:val="000000"/>
          <w:lang w:eastAsia="bg-BG"/>
        </w:rPr>
      </w:pPr>
    </w:p>
    <w:p w14:paraId="5789E82A" w14:textId="64BCE940"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Нарушение на кожата и подкожната тъкан</w:t>
      </w:r>
    </w:p>
    <w:p w14:paraId="609C88BF" w14:textId="316FAC17"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Чести</w:t>
      </w:r>
      <w:r w:rsidRPr="00C51411">
        <w:rPr>
          <w:rFonts w:eastAsia="Times New Roman" w:cs="Arial"/>
          <w:color w:val="000000"/>
          <w:lang w:val="en-US" w:eastAsia="bg-BG"/>
        </w:rPr>
        <w:t xml:space="preserve">: </w:t>
      </w:r>
      <w:r w:rsidRPr="00C51411">
        <w:rPr>
          <w:rFonts w:eastAsia="Times New Roman" w:cs="Arial"/>
          <w:color w:val="000000"/>
          <w:lang w:eastAsia="bg-BG"/>
        </w:rPr>
        <w:t>Уртикария и други форми на обрив</w:t>
      </w:r>
    </w:p>
    <w:p w14:paraId="7036E57E" w14:textId="76C2900C"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Редки</w:t>
      </w:r>
      <w:r w:rsidRPr="00C51411">
        <w:rPr>
          <w:rFonts w:eastAsia="Times New Roman" w:cs="Arial"/>
          <w:color w:val="000000"/>
          <w:lang w:val="en-US" w:eastAsia="bg-BG"/>
        </w:rPr>
        <w:t xml:space="preserve">: </w:t>
      </w:r>
      <w:r w:rsidRPr="00C51411">
        <w:rPr>
          <w:rFonts w:eastAsia="Times New Roman" w:cs="Arial"/>
          <w:color w:val="000000"/>
          <w:lang w:eastAsia="bg-BG"/>
        </w:rPr>
        <w:t>Фоточувстителност</w:t>
      </w:r>
    </w:p>
    <w:p w14:paraId="050F1860" w14:textId="7783665C"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Много редки</w:t>
      </w:r>
      <w:r w:rsidRPr="00C51411">
        <w:rPr>
          <w:rFonts w:eastAsia="Times New Roman" w:cs="Arial"/>
          <w:color w:val="000000"/>
          <w:lang w:val="en-US" w:eastAsia="bg-BG"/>
        </w:rPr>
        <w:t xml:space="preserve">: </w:t>
      </w:r>
      <w:r w:rsidRPr="00C51411">
        <w:rPr>
          <w:rFonts w:eastAsia="Times New Roman" w:cs="Arial"/>
          <w:color w:val="000000"/>
          <w:lang w:eastAsia="bg-BG"/>
        </w:rPr>
        <w:t>Некротизиращ васкулит и токсична епидермална некролиза,</w:t>
      </w:r>
    </w:p>
    <w:p w14:paraId="7041FDA8" w14:textId="3B806FCC" w:rsidR="00C51411" w:rsidRPr="00C51411" w:rsidRDefault="00C51411" w:rsidP="00C51411">
      <w:pPr>
        <w:spacing w:line="240" w:lineRule="auto"/>
        <w:rPr>
          <w:rFonts w:eastAsia="Times New Roman" w:cs="Arial"/>
          <w:color w:val="000000"/>
          <w:lang w:eastAsia="bg-BG"/>
        </w:rPr>
      </w:pPr>
      <w:r w:rsidRPr="00C51411">
        <w:rPr>
          <w:rFonts w:eastAsia="Times New Roman" w:cs="Arial"/>
          <w:color w:val="000000"/>
          <w:lang w:eastAsia="bg-BG"/>
        </w:rPr>
        <w:t xml:space="preserve">кожни лупус еритематозус-подобни реакции, повторно активиране на кожен лупус еритематозус </w:t>
      </w:r>
    </w:p>
    <w:p w14:paraId="7E03AD28" w14:textId="4AAE3BAA"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C51411">
        <w:rPr>
          <w:rFonts w:eastAsia="Times New Roman" w:cs="Arial"/>
          <w:color w:val="000000"/>
          <w:lang w:eastAsia="bg-BG"/>
        </w:rPr>
        <w:t>Еритема мултиформе</w:t>
      </w:r>
    </w:p>
    <w:p w14:paraId="3D2CF037" w14:textId="77777777" w:rsidR="00C51411" w:rsidRPr="00C51411" w:rsidRDefault="00C51411" w:rsidP="00C51411">
      <w:pPr>
        <w:spacing w:line="240" w:lineRule="auto"/>
        <w:rPr>
          <w:rFonts w:eastAsia="Times New Roman" w:cs="Arial"/>
          <w:b/>
          <w:bCs/>
          <w:color w:val="000000"/>
          <w:lang w:eastAsia="bg-BG"/>
        </w:rPr>
      </w:pPr>
    </w:p>
    <w:p w14:paraId="6E16E2F8" w14:textId="2EB6FDA2"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Общи нарушения и ефекти на мястото на приложение</w:t>
      </w:r>
    </w:p>
    <w:p w14:paraId="7F0E45A4" w14:textId="06FACE56"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lastRenderedPageBreak/>
        <w:t>С неизвестна честота</w:t>
      </w:r>
      <w:r w:rsidRPr="00C51411">
        <w:rPr>
          <w:rFonts w:eastAsia="Times New Roman" w:cs="Arial"/>
          <w:color w:val="000000"/>
          <w:lang w:val="en-US" w:eastAsia="bg-BG"/>
        </w:rPr>
        <w:t>:</w:t>
      </w:r>
      <w:r w:rsidRPr="00C51411">
        <w:rPr>
          <w:rFonts w:eastAsia="Times New Roman" w:cs="Arial"/>
          <w:color w:val="000000"/>
          <w:lang w:eastAsia="bg-BG"/>
        </w:rPr>
        <w:t xml:space="preserve"> Пирексия, астения</w:t>
      </w:r>
    </w:p>
    <w:p w14:paraId="58E33305" w14:textId="77777777" w:rsidR="00C51411" w:rsidRPr="00C51411" w:rsidRDefault="00C51411" w:rsidP="00C51411">
      <w:pPr>
        <w:spacing w:line="240" w:lineRule="auto"/>
        <w:rPr>
          <w:rFonts w:eastAsia="Times New Roman" w:cs="Arial"/>
          <w:b/>
          <w:bCs/>
          <w:color w:val="000000"/>
          <w:lang w:eastAsia="bg-BG"/>
        </w:rPr>
      </w:pPr>
    </w:p>
    <w:p w14:paraId="6192A707" w14:textId="000848F3"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Нарушения на мускулно-скелетната система и съединителната тъкан</w:t>
      </w:r>
    </w:p>
    <w:p w14:paraId="521E9A86" w14:textId="7FB80278"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C51411">
        <w:rPr>
          <w:rFonts w:eastAsia="Times New Roman" w:cs="Arial"/>
          <w:color w:val="000000"/>
          <w:lang w:eastAsia="bg-BG"/>
        </w:rPr>
        <w:t>Мускулни спазми</w:t>
      </w:r>
    </w:p>
    <w:p w14:paraId="0A017362" w14:textId="77777777" w:rsidR="00C51411" w:rsidRPr="00C51411" w:rsidRDefault="00C51411" w:rsidP="00C51411">
      <w:pPr>
        <w:spacing w:line="240" w:lineRule="auto"/>
        <w:rPr>
          <w:rFonts w:eastAsia="Times New Roman" w:cs="Arial"/>
          <w:b/>
          <w:bCs/>
          <w:color w:val="000000"/>
          <w:lang w:eastAsia="bg-BG"/>
        </w:rPr>
      </w:pPr>
    </w:p>
    <w:p w14:paraId="7B1ADE7E" w14:textId="1F292F1F"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Нарушения на репродуктивната система и гърлата</w:t>
      </w:r>
    </w:p>
    <w:p w14:paraId="50D6837B" w14:textId="59FD46A0"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Чести</w:t>
      </w:r>
      <w:r w:rsidRPr="00C51411">
        <w:rPr>
          <w:rFonts w:eastAsia="Times New Roman" w:cs="Arial"/>
          <w:color w:val="000000"/>
          <w:lang w:val="en-US" w:eastAsia="bg-BG"/>
        </w:rPr>
        <w:t xml:space="preserve">: </w:t>
      </w:r>
      <w:r w:rsidRPr="00C51411">
        <w:rPr>
          <w:rFonts w:eastAsia="Times New Roman" w:cs="Arial"/>
          <w:color w:val="000000"/>
          <w:lang w:eastAsia="bg-BG"/>
        </w:rPr>
        <w:t>Импотентност</w:t>
      </w:r>
    </w:p>
    <w:p w14:paraId="408DDE1E" w14:textId="77777777" w:rsidR="00C51411" w:rsidRPr="00C51411" w:rsidRDefault="00C51411" w:rsidP="00C51411">
      <w:pPr>
        <w:spacing w:line="240" w:lineRule="auto"/>
        <w:rPr>
          <w:rFonts w:eastAsia="Times New Roman" w:cs="Arial"/>
          <w:color w:val="000000"/>
          <w:u w:val="single"/>
          <w:lang w:eastAsia="bg-BG"/>
        </w:rPr>
      </w:pPr>
    </w:p>
    <w:p w14:paraId="507EDB53" w14:textId="74B43623" w:rsidR="00C51411" w:rsidRPr="00C51411" w:rsidRDefault="00C51411" w:rsidP="00C51411">
      <w:pPr>
        <w:spacing w:line="240" w:lineRule="auto"/>
        <w:rPr>
          <w:rFonts w:eastAsia="Times New Roman" w:cs="Arial"/>
          <w:lang w:eastAsia="bg-BG"/>
        </w:rPr>
      </w:pPr>
      <w:r w:rsidRPr="00C51411">
        <w:rPr>
          <w:rFonts w:eastAsia="Times New Roman" w:cs="Arial"/>
          <w:color w:val="000000"/>
          <w:u w:val="single"/>
          <w:lang w:eastAsia="bg-BG"/>
        </w:rPr>
        <w:t>Описание на избрани нежелани реакц</w:t>
      </w:r>
      <w:r w:rsidRPr="00C51411">
        <w:rPr>
          <w:rFonts w:eastAsia="Times New Roman" w:cs="Arial"/>
          <w:color w:val="000000"/>
          <w:lang w:eastAsia="bg-BG"/>
        </w:rPr>
        <w:t>ии</w:t>
      </w:r>
    </w:p>
    <w:p w14:paraId="2DB0F098" w14:textId="77777777"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Не.меланомен рак на кожата: Въз основа на наличните данни от епидемиологични проучвания е наблюдавана зависима от кумулативната доза връзка между ХХТЗ и НМРК (вж. също точки 4.4 и 5.1).</w:t>
      </w:r>
    </w:p>
    <w:p w14:paraId="100EFE83" w14:textId="77777777" w:rsidR="00C51411" w:rsidRPr="00C51411" w:rsidRDefault="00C51411" w:rsidP="00C51411">
      <w:pPr>
        <w:spacing w:line="240" w:lineRule="auto"/>
        <w:rPr>
          <w:rFonts w:eastAsia="Times New Roman" w:cs="Arial"/>
          <w:color w:val="000000"/>
          <w:u w:val="single"/>
          <w:lang w:eastAsia="bg-BG"/>
        </w:rPr>
      </w:pPr>
    </w:p>
    <w:p w14:paraId="780AD134" w14:textId="1D8EF30D" w:rsidR="00C51411" w:rsidRPr="00C51411" w:rsidRDefault="00C51411" w:rsidP="00C51411">
      <w:pPr>
        <w:spacing w:line="240" w:lineRule="auto"/>
        <w:rPr>
          <w:rFonts w:eastAsia="Times New Roman" w:cs="Arial"/>
          <w:lang w:eastAsia="bg-BG"/>
        </w:rPr>
      </w:pPr>
      <w:r w:rsidRPr="00C51411">
        <w:rPr>
          <w:rFonts w:eastAsia="Times New Roman" w:cs="Arial"/>
          <w:color w:val="000000"/>
          <w:u w:val="single"/>
          <w:lang w:eastAsia="bg-BG"/>
        </w:rPr>
        <w:t>Съобщаване на подозирани нежелани реакции</w:t>
      </w:r>
    </w:p>
    <w:p w14:paraId="5208BDDD" w14:textId="77777777"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 тел.: 02 8903417, уебсайт: </w:t>
      </w:r>
      <w:r w:rsidRPr="00C51411">
        <w:rPr>
          <w:rFonts w:eastAsia="Times New Roman" w:cs="Arial"/>
          <w:lang w:eastAsia="bg-BG"/>
        </w:rPr>
        <w:fldChar w:fldCharType="begin"/>
      </w:r>
      <w:r w:rsidRPr="00C51411">
        <w:rPr>
          <w:rFonts w:eastAsia="Times New Roman" w:cs="Arial"/>
          <w:lang w:eastAsia="bg-BG"/>
        </w:rPr>
        <w:instrText xml:space="preserve"> HYPERLINK "http://www.bda.bg" </w:instrText>
      </w:r>
      <w:r w:rsidRPr="00C51411">
        <w:rPr>
          <w:rFonts w:eastAsia="Times New Roman" w:cs="Arial"/>
          <w:lang w:eastAsia="bg-BG"/>
        </w:rPr>
      </w:r>
      <w:r w:rsidRPr="00C51411">
        <w:rPr>
          <w:rFonts w:eastAsia="Times New Roman" w:cs="Arial"/>
          <w:lang w:eastAsia="bg-BG"/>
        </w:rPr>
        <w:fldChar w:fldCharType="separate"/>
      </w:r>
      <w:r w:rsidRPr="00C51411">
        <w:rPr>
          <w:rFonts w:eastAsia="Times New Roman" w:cs="Arial"/>
          <w:color w:val="000000"/>
          <w:lang w:val="en-US"/>
        </w:rPr>
        <w:t>www.bda.bg</w:t>
      </w:r>
      <w:r w:rsidRPr="00C51411">
        <w:rPr>
          <w:rFonts w:eastAsia="Times New Roman" w:cs="Arial"/>
          <w:lang w:eastAsia="bg-BG"/>
        </w:rPr>
        <w:fldChar w:fldCharType="end"/>
      </w:r>
      <w:r w:rsidRPr="00C51411">
        <w:rPr>
          <w:rFonts w:eastAsia="Times New Roman" w:cs="Arial"/>
          <w:color w:val="000000"/>
          <w:lang w:val="en-US"/>
        </w:rPr>
        <w:t>.</w:t>
      </w:r>
    </w:p>
    <w:p w14:paraId="0A6A5CB0" w14:textId="77777777" w:rsidR="00735CBB" w:rsidRPr="00735CBB" w:rsidRDefault="00735CBB" w:rsidP="00735CBB">
      <w:pPr>
        <w:spacing w:line="240" w:lineRule="auto"/>
        <w:rPr>
          <w:rFonts w:ascii="Times New Roman" w:eastAsia="Times New Roman" w:hAnsi="Times New Roman" w:cs="Times New Roman"/>
          <w:sz w:val="24"/>
          <w:szCs w:val="24"/>
          <w:lang w:eastAsia="bg-BG"/>
        </w:rPr>
      </w:pPr>
    </w:p>
    <w:p w14:paraId="4A5904B1" w14:textId="13C6735C" w:rsidR="00EE6C97" w:rsidRDefault="002C50EE" w:rsidP="00A93499">
      <w:pPr>
        <w:pStyle w:val="Heading2"/>
      </w:pPr>
      <w:r>
        <w:t>4.9. Предозиране</w:t>
      </w:r>
    </w:p>
    <w:p w14:paraId="3F445BF3" w14:textId="3C8856B7" w:rsidR="00C51411" w:rsidRDefault="00C51411" w:rsidP="00C51411"/>
    <w:p w14:paraId="5852FB32" w14:textId="77777777" w:rsidR="00C51411" w:rsidRPr="00C51411" w:rsidRDefault="00C51411" w:rsidP="00C51411">
      <w:pPr>
        <w:pStyle w:val="Heading3"/>
        <w:rPr>
          <w:rFonts w:eastAsia="Times New Roman"/>
          <w:u w:val="single"/>
          <w:lang w:eastAsia="bg-BG"/>
        </w:rPr>
      </w:pPr>
      <w:r w:rsidRPr="00C51411">
        <w:rPr>
          <w:rFonts w:eastAsia="Times New Roman"/>
          <w:u w:val="single"/>
          <w:lang w:eastAsia="bg-BG"/>
        </w:rPr>
        <w:t>Симптоми</w:t>
      </w:r>
    </w:p>
    <w:p w14:paraId="5573715D" w14:textId="14AEEC7D" w:rsidR="00C51411" w:rsidRPr="00C51411" w:rsidRDefault="00C51411" w:rsidP="00C51411">
      <w:pPr>
        <w:rPr>
          <w:rFonts w:eastAsia="Times New Roman" w:cs="Arial"/>
          <w:color w:val="000000"/>
          <w:lang w:eastAsia="bg-BG"/>
        </w:rPr>
      </w:pPr>
      <w:r w:rsidRPr="00C51411">
        <w:rPr>
          <w:rFonts w:eastAsia="Times New Roman" w:cs="Arial"/>
          <w:color w:val="000000"/>
          <w:lang w:eastAsia="bg-BG"/>
        </w:rPr>
        <w:t>Предозирането с валсартан може да предизвика изразена хипотония, която може да доведе до потиснато ниво на съзнанието, циркулаторен колапс и/или шок. Освен това, поради предозиране на хидрохлоротиазидната компонента могат да настъпят следните признаци и симптоми: гадене, сънливост, хиповолемия и електролитен дисбаланс, свързан със сърдечни аритмии и мускулни спазми.</w:t>
      </w:r>
    </w:p>
    <w:p w14:paraId="15B3292A" w14:textId="153EFB1D" w:rsidR="00C51411" w:rsidRPr="00C51411" w:rsidRDefault="00C51411" w:rsidP="00C51411">
      <w:pPr>
        <w:rPr>
          <w:rFonts w:eastAsia="Times New Roman" w:cs="Arial"/>
          <w:color w:val="000000"/>
          <w:lang w:eastAsia="bg-BG"/>
        </w:rPr>
      </w:pPr>
    </w:p>
    <w:p w14:paraId="40022C29" w14:textId="77777777" w:rsidR="00C51411" w:rsidRPr="00C51411" w:rsidRDefault="00C51411" w:rsidP="00C51411">
      <w:pPr>
        <w:pStyle w:val="Heading3"/>
        <w:rPr>
          <w:rFonts w:eastAsia="Times New Roman"/>
          <w:u w:val="single"/>
          <w:lang w:eastAsia="bg-BG"/>
        </w:rPr>
      </w:pPr>
      <w:r w:rsidRPr="00C51411">
        <w:rPr>
          <w:rFonts w:eastAsia="Times New Roman"/>
          <w:u w:val="single"/>
          <w:lang w:eastAsia="bg-BG"/>
        </w:rPr>
        <w:t>Лечение</w:t>
      </w:r>
    </w:p>
    <w:p w14:paraId="2E650560" w14:textId="77777777"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Терапевтичните мерки зависят от времето на прием на лекарството и вида и тежестта на симптомите, като стабилизиране на циркулаторния статус е от първостепенна важност.</w:t>
      </w:r>
    </w:p>
    <w:p w14:paraId="748BFD9A" w14:textId="77777777"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В случай на хипотония, пациентът трябва да бъде поставен в легнало положение по гръб и бързо да бъдат приложени мерки за водно-солево заместване.</w:t>
      </w:r>
    </w:p>
    <w:p w14:paraId="2C344C9F" w14:textId="7857EDA8" w:rsidR="00C51411" w:rsidRPr="00C51411" w:rsidRDefault="00C51411" w:rsidP="00C51411">
      <w:pPr>
        <w:rPr>
          <w:rFonts w:cs="Arial"/>
        </w:rPr>
      </w:pPr>
      <w:r w:rsidRPr="00C51411">
        <w:rPr>
          <w:rFonts w:eastAsia="Times New Roman" w:cs="Arial"/>
          <w:color w:val="000000"/>
          <w:lang w:eastAsia="bg-BG"/>
        </w:rPr>
        <w:t>Валсартан не може да се елиминира чрез хемодиализа, поради силното му свързване с плазмените протеини, докато чрез диализа може да се постигне клирънс на</w:t>
      </w:r>
      <w:r>
        <w:rPr>
          <w:rFonts w:eastAsia="Times New Roman" w:cs="Arial"/>
          <w:color w:val="000000"/>
          <w:lang w:val="en-US" w:eastAsia="bg-BG"/>
        </w:rPr>
        <w:t xml:space="preserve"> </w:t>
      </w:r>
      <w:r w:rsidRPr="00C51411">
        <w:rPr>
          <w:rFonts w:eastAsia="Times New Roman" w:cs="Arial"/>
          <w:color w:val="000000"/>
          <w:lang w:eastAsia="bg-BG"/>
        </w:rPr>
        <w:t>хидрохлоротиазид.</w:t>
      </w:r>
    </w:p>
    <w:p w14:paraId="02081B24" w14:textId="36FE76F4" w:rsidR="00395555" w:rsidRPr="00395555" w:rsidRDefault="002C50EE" w:rsidP="008A6AF2">
      <w:pPr>
        <w:pStyle w:val="Heading1"/>
      </w:pPr>
      <w:r>
        <w:t>5. ФАРМАКОЛОГИЧНИ СВОЙСТВА</w:t>
      </w:r>
    </w:p>
    <w:p w14:paraId="3B9FA2B5" w14:textId="516ED1E2" w:rsidR="00EE6C97" w:rsidRDefault="002C50EE" w:rsidP="00A93499">
      <w:pPr>
        <w:pStyle w:val="Heading2"/>
      </w:pPr>
      <w:r>
        <w:t>5.1. Фармакодинамични свойства</w:t>
      </w:r>
    </w:p>
    <w:p w14:paraId="2376BCC5" w14:textId="1D349A19" w:rsidR="00C51411" w:rsidRDefault="00C51411" w:rsidP="00C51411"/>
    <w:p w14:paraId="57404B56"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Фармакотерапевтична група: Средства, действащи върху ренин-ангиотензиновата система, Ангиотензин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 xml:space="preserve"> рецепторни антагонисти </w:t>
      </w:r>
      <w:r w:rsidRPr="00C51411">
        <w:rPr>
          <w:rFonts w:ascii="Times New Roman" w:eastAsia="Times New Roman" w:hAnsi="Times New Roman" w:cs="Times New Roman"/>
          <w:color w:val="000000"/>
          <w:sz w:val="20"/>
          <w:szCs w:val="20"/>
          <w:lang w:val="en-US"/>
        </w:rPr>
        <w:t xml:space="preserve">(ARBs) </w:t>
      </w:r>
      <w:r w:rsidRPr="00C51411">
        <w:rPr>
          <w:rFonts w:ascii="Times New Roman" w:eastAsia="Times New Roman" w:hAnsi="Times New Roman" w:cs="Times New Roman"/>
          <w:color w:val="000000"/>
          <w:sz w:val="20"/>
          <w:szCs w:val="20"/>
          <w:lang w:eastAsia="bg-BG"/>
        </w:rPr>
        <w:t xml:space="preserve">и диуретици, валсартан и диуретици; АТС код: </w:t>
      </w:r>
      <w:r w:rsidRPr="00C51411">
        <w:rPr>
          <w:rFonts w:ascii="Times New Roman" w:eastAsia="Times New Roman" w:hAnsi="Times New Roman" w:cs="Times New Roman"/>
          <w:color w:val="000000"/>
          <w:sz w:val="20"/>
          <w:szCs w:val="20"/>
          <w:lang w:val="en-US"/>
        </w:rPr>
        <w:t>C09DA03.</w:t>
      </w:r>
    </w:p>
    <w:p w14:paraId="1C69D54C" w14:textId="77777777" w:rsidR="00C51411" w:rsidRDefault="00C51411" w:rsidP="00C51411">
      <w:pPr>
        <w:spacing w:line="240" w:lineRule="auto"/>
        <w:rPr>
          <w:rFonts w:ascii="Times New Roman" w:eastAsia="Times New Roman" w:hAnsi="Times New Roman" w:cs="Times New Roman"/>
          <w:color w:val="000000"/>
          <w:sz w:val="20"/>
          <w:szCs w:val="20"/>
          <w:u w:val="single"/>
          <w:lang w:eastAsia="bg-BG"/>
        </w:rPr>
      </w:pPr>
    </w:p>
    <w:p w14:paraId="589708D1" w14:textId="408DD67A"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u w:val="single"/>
          <w:lang w:eastAsia="bg-BG"/>
        </w:rPr>
        <w:t>Валсартан/хидрохлоротиазид</w:t>
      </w:r>
    </w:p>
    <w:p w14:paraId="353A2D51"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В двойно-сляпо, рандомизирано, активно-контролирано изпитване при пациенти непостигнали контрол на кръвното налягане с 320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валсартан се наблюдава значително по-голямо средно понижаване на </w:t>
      </w:r>
      <w:r w:rsidRPr="00C51411">
        <w:rPr>
          <w:rFonts w:ascii="Times New Roman" w:eastAsia="Times New Roman" w:hAnsi="Times New Roman" w:cs="Times New Roman"/>
          <w:color w:val="000000"/>
          <w:sz w:val="20"/>
          <w:szCs w:val="20"/>
          <w:lang w:eastAsia="bg-BG"/>
        </w:rPr>
        <w:lastRenderedPageBreak/>
        <w:t xml:space="preserve">систолното/диастолното кръвно налягане при комбинациите валсартан/хидрохлоротиазид 320/25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(15,4/10,4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и валсартан/хидрохлоротиазид 320/12,5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(13,6/9,7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в сравнение с 320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валсартан (6,1/5,8 </w:t>
      </w:r>
      <w:r w:rsidRPr="00C51411">
        <w:rPr>
          <w:rFonts w:ascii="Times New Roman" w:eastAsia="Times New Roman" w:hAnsi="Times New Roman" w:cs="Times New Roman"/>
          <w:color w:val="000000"/>
          <w:sz w:val="20"/>
          <w:szCs w:val="20"/>
          <w:lang w:val="en-US"/>
        </w:rPr>
        <w:t>mmHg).</w:t>
      </w:r>
    </w:p>
    <w:p w14:paraId="13E94BC7"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Разликата в понижаването на систолното кръвно налягане между дозите от 320/25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и 320/12,5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също достига статистическа значимост. Освен това, значително по-голям процент пациенти отговарят (диастолно кръвно налягане &lt;90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или понижаване &gt;10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с валсартан/хидрохлоротиазид 320/25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(75%) и 320/12,5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(69%), в сравнение с 320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валсартан (53%).</w:t>
      </w:r>
    </w:p>
    <w:p w14:paraId="6528D7EB" w14:textId="77777777" w:rsidR="00C51411" w:rsidRDefault="00C51411" w:rsidP="00C51411">
      <w:pPr>
        <w:spacing w:line="240" w:lineRule="auto"/>
        <w:rPr>
          <w:rFonts w:ascii="Times New Roman" w:eastAsia="Times New Roman" w:hAnsi="Times New Roman" w:cs="Times New Roman"/>
          <w:color w:val="000000"/>
          <w:sz w:val="20"/>
          <w:szCs w:val="20"/>
          <w:lang w:eastAsia="bg-BG"/>
        </w:rPr>
      </w:pPr>
    </w:p>
    <w:p w14:paraId="780CD27A" w14:textId="23288952"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В двойно-сляпо, рандомизирано, плацебо-контролирано изпитване, сравняващо различните дозови комбинации на валсартан/хидрохлоротиазид със съответните им компоненти, е наблюдавано значително по-голямо средно понижаване на систолното/диастолното кръвно налягане при комбинацията валсартан/хидрохлоротиазид 320/12,5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(21,7/15,0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и 320/25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(24,7/16,6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в сравнение с плацебо (7,0/5,9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и съответните монотерапии, напр. хидрохлоротиазид 12,5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(11,1/9,0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хидрохлоротиазид 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(14,5/10,8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и валсартан 320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(13,7/11,3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Освен това, значително по-голям процент пациенти отговарят (диастолно кръвно налягане &lt;90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или понижаване ≥10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с валсартан/хидрохлоротиазид 320/25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(85%) и 320/12,5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(83%), в сравнение с плацебо (45%) и съответните монотерапии, напр. хидрохлоротиазид 12,5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(60%), хидрохлоротиазид 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(66%), </w:t>
      </w:r>
      <w:r w:rsidRPr="00C51411">
        <w:rPr>
          <w:rFonts w:ascii="Times New Roman" w:eastAsia="Times New Roman" w:hAnsi="Times New Roman" w:cs="Times New Roman"/>
          <w:i/>
          <w:iCs/>
          <w:color w:val="000000"/>
          <w:sz w:val="20"/>
          <w:szCs w:val="20"/>
          <w:lang w:eastAsia="bg-BG"/>
        </w:rPr>
        <w:t>и</w:t>
      </w:r>
      <w:r w:rsidRPr="00C51411">
        <w:rPr>
          <w:rFonts w:ascii="Times New Roman" w:eastAsia="Times New Roman" w:hAnsi="Times New Roman" w:cs="Times New Roman"/>
          <w:color w:val="000000"/>
          <w:sz w:val="20"/>
          <w:szCs w:val="20"/>
          <w:lang w:eastAsia="bg-BG"/>
        </w:rPr>
        <w:t xml:space="preserve"> валсартан 320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(69%).</w:t>
      </w:r>
    </w:p>
    <w:p w14:paraId="62DD2598" w14:textId="77777777" w:rsidR="00C51411" w:rsidRDefault="00C51411" w:rsidP="00C51411">
      <w:pPr>
        <w:spacing w:line="240" w:lineRule="auto"/>
        <w:rPr>
          <w:rFonts w:ascii="Times New Roman" w:eastAsia="Times New Roman" w:hAnsi="Times New Roman" w:cs="Times New Roman"/>
          <w:color w:val="000000"/>
          <w:sz w:val="20"/>
          <w:szCs w:val="20"/>
          <w:lang w:eastAsia="bg-BG"/>
        </w:rPr>
      </w:pPr>
    </w:p>
    <w:p w14:paraId="1EF39393" w14:textId="2EF0B1AE"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При контролирани клинични изпитвания с валсартан + хидрохлоротиазид е наблюдавано дозозависимо понижаване на серумния калий. То настъпва по-често при пациенти, приемащи 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хидрохлоротиазид, отколкото при тези на 12,5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хидрохлоротиазид. В контролирани клинични изпитвания с валсартан/хидрохлоротиазид, калий-понижаващият ефект на хидрохлоротиазид се намалява от калий-съхраняващия ефект на валсартан.</w:t>
      </w:r>
    </w:p>
    <w:p w14:paraId="1C7AD2AB" w14:textId="77777777" w:rsidR="00C51411" w:rsidRDefault="00C51411" w:rsidP="00C51411">
      <w:pPr>
        <w:spacing w:line="240" w:lineRule="auto"/>
        <w:rPr>
          <w:rFonts w:ascii="Times New Roman" w:eastAsia="Times New Roman" w:hAnsi="Times New Roman" w:cs="Times New Roman"/>
          <w:color w:val="000000"/>
          <w:sz w:val="20"/>
          <w:szCs w:val="20"/>
          <w:lang w:eastAsia="bg-BG"/>
        </w:rPr>
      </w:pPr>
    </w:p>
    <w:p w14:paraId="01712E9F" w14:textId="6AF036FF"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Понастоящем не са известни благоприятни ефекти на валсартан в комбинация с хидрохлоротиазид върху смъртността и заболеваемостта от сърдечносъдови заболявания. Епидемиологични проучвания показват, че дългосрочното лечение с хидрохлоротиазид намалява риска от сърдечносъдова заболеваемост и смъртност.</w:t>
      </w:r>
    </w:p>
    <w:p w14:paraId="40FECDEE" w14:textId="77777777" w:rsidR="00C51411" w:rsidRDefault="00C51411" w:rsidP="00C51411">
      <w:pPr>
        <w:spacing w:line="240" w:lineRule="auto"/>
        <w:rPr>
          <w:rFonts w:ascii="Times New Roman" w:eastAsia="Times New Roman" w:hAnsi="Times New Roman" w:cs="Times New Roman"/>
          <w:color w:val="000000"/>
          <w:sz w:val="20"/>
          <w:szCs w:val="20"/>
          <w:u w:val="single"/>
          <w:lang w:eastAsia="bg-BG"/>
        </w:rPr>
      </w:pPr>
    </w:p>
    <w:p w14:paraId="6E16306C" w14:textId="56385959"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u w:val="single"/>
          <w:lang w:eastAsia="bg-BG"/>
        </w:rPr>
        <w:t>Валсартан</w:t>
      </w:r>
    </w:p>
    <w:p w14:paraId="644C94F2"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Валсартан е перорално активен и специфичен ангиотензин II рецепторен антагонист. Той действа селективно на </w:t>
      </w:r>
      <w:r w:rsidRPr="00C51411">
        <w:rPr>
          <w:rFonts w:ascii="Times New Roman" w:eastAsia="Times New Roman" w:hAnsi="Times New Roman" w:cs="Times New Roman"/>
          <w:color w:val="000000"/>
          <w:sz w:val="20"/>
          <w:szCs w:val="20"/>
          <w:lang w:val="en-US"/>
        </w:rPr>
        <w:t xml:space="preserve">AT1 </w:t>
      </w:r>
      <w:r w:rsidRPr="00C51411">
        <w:rPr>
          <w:rFonts w:ascii="Times New Roman" w:eastAsia="Times New Roman" w:hAnsi="Times New Roman" w:cs="Times New Roman"/>
          <w:color w:val="000000"/>
          <w:sz w:val="20"/>
          <w:szCs w:val="20"/>
          <w:lang w:eastAsia="bg-BG"/>
        </w:rPr>
        <w:t xml:space="preserve">рецепторния подтип, който е отговорен за известните действия на ангиотензин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 xml:space="preserve">. Повишените плазмени нива на ангиотензин II вследствие на </w:t>
      </w:r>
      <w:r w:rsidRPr="00C51411">
        <w:rPr>
          <w:rFonts w:ascii="Times New Roman" w:eastAsia="Times New Roman" w:hAnsi="Times New Roman" w:cs="Times New Roman"/>
          <w:color w:val="000000"/>
          <w:sz w:val="20"/>
          <w:szCs w:val="20"/>
          <w:lang w:val="en-US"/>
        </w:rPr>
        <w:t xml:space="preserve">AT1 </w:t>
      </w:r>
      <w:r w:rsidRPr="00C51411">
        <w:rPr>
          <w:rFonts w:ascii="Times New Roman" w:eastAsia="Times New Roman" w:hAnsi="Times New Roman" w:cs="Times New Roman"/>
          <w:color w:val="000000"/>
          <w:sz w:val="20"/>
          <w:szCs w:val="20"/>
          <w:lang w:eastAsia="bg-BG"/>
        </w:rPr>
        <w:t>рецепторната</w:t>
      </w:r>
    </w:p>
    <w:p w14:paraId="7B4BC0F1" w14:textId="77777777" w:rsidR="00C51411" w:rsidRPr="00C51411" w:rsidRDefault="00C51411" w:rsidP="00C51411">
      <w:pPr>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блокада с валсартан могат да стимулират неблокираните АТ2 рецептори, което изглежда</w:t>
      </w:r>
      <w:r>
        <w:rPr>
          <w:rFonts w:ascii="Times New Roman" w:eastAsia="Times New Roman" w:hAnsi="Times New Roman" w:cs="Times New Roman"/>
          <w:color w:val="000000"/>
          <w:sz w:val="20"/>
          <w:szCs w:val="20"/>
          <w:lang w:val="en-US" w:eastAsia="bg-BG"/>
        </w:rPr>
        <w:t xml:space="preserve"> </w:t>
      </w:r>
      <w:r w:rsidRPr="00C51411">
        <w:rPr>
          <w:rFonts w:ascii="Times New Roman" w:eastAsia="Times New Roman" w:hAnsi="Times New Roman" w:cs="Times New Roman"/>
          <w:color w:val="000000"/>
          <w:sz w:val="20"/>
          <w:szCs w:val="20"/>
          <w:lang w:eastAsia="bg-BG"/>
        </w:rPr>
        <w:t xml:space="preserve">противодейства на ефекта на </w:t>
      </w:r>
      <w:r w:rsidRPr="00C51411">
        <w:rPr>
          <w:rFonts w:ascii="Times New Roman" w:eastAsia="Times New Roman" w:hAnsi="Times New Roman" w:cs="Times New Roman"/>
          <w:color w:val="000000"/>
          <w:sz w:val="20"/>
          <w:szCs w:val="20"/>
          <w:lang w:val="en-US"/>
        </w:rPr>
        <w:t xml:space="preserve">AT1 </w:t>
      </w:r>
      <w:r w:rsidRPr="00C51411">
        <w:rPr>
          <w:rFonts w:ascii="Times New Roman" w:eastAsia="Times New Roman" w:hAnsi="Times New Roman" w:cs="Times New Roman"/>
          <w:color w:val="000000"/>
          <w:sz w:val="20"/>
          <w:szCs w:val="20"/>
          <w:lang w:eastAsia="bg-BG"/>
        </w:rPr>
        <w:t xml:space="preserve">рецептора. Валсартан не проявява никаква частична агонистична активност към </w:t>
      </w:r>
      <w:r w:rsidRPr="00C51411">
        <w:rPr>
          <w:rFonts w:ascii="Times New Roman" w:eastAsia="Times New Roman" w:hAnsi="Times New Roman" w:cs="Times New Roman"/>
          <w:color w:val="000000"/>
          <w:sz w:val="20"/>
          <w:szCs w:val="20"/>
          <w:lang w:val="en-US"/>
        </w:rPr>
        <w:t xml:space="preserve">AT1 </w:t>
      </w:r>
      <w:r w:rsidRPr="00C51411">
        <w:rPr>
          <w:rFonts w:ascii="Times New Roman" w:eastAsia="Times New Roman" w:hAnsi="Times New Roman" w:cs="Times New Roman"/>
          <w:color w:val="000000"/>
          <w:sz w:val="20"/>
          <w:szCs w:val="20"/>
          <w:lang w:eastAsia="bg-BG"/>
        </w:rPr>
        <w:t xml:space="preserve">рецептора и има много по-висок (около 20 000 пъти) афинитет за </w:t>
      </w:r>
      <w:r w:rsidRPr="00C51411">
        <w:rPr>
          <w:rFonts w:ascii="Times New Roman" w:eastAsia="Times New Roman" w:hAnsi="Times New Roman" w:cs="Times New Roman"/>
          <w:color w:val="000000"/>
          <w:sz w:val="20"/>
          <w:szCs w:val="20"/>
          <w:lang w:val="en-US"/>
        </w:rPr>
        <w:t xml:space="preserve">AT1 </w:t>
      </w:r>
      <w:r w:rsidRPr="00C51411">
        <w:rPr>
          <w:rFonts w:ascii="Times New Roman" w:eastAsia="Times New Roman" w:hAnsi="Times New Roman" w:cs="Times New Roman"/>
          <w:color w:val="000000"/>
          <w:sz w:val="20"/>
          <w:szCs w:val="20"/>
          <w:lang w:eastAsia="bg-BG"/>
        </w:rPr>
        <w:t>рецептора, отколкото към АТ2 рецептора. Валсартан не се свързва и не блокира рецептори на други хормони или йонни канали, за които е известно, че са важни в сърдечносъдовата регулация.</w:t>
      </w:r>
    </w:p>
    <w:p w14:paraId="3DC557D8" w14:textId="77777777" w:rsidR="00C51411" w:rsidRDefault="00C51411" w:rsidP="00C51411">
      <w:pPr>
        <w:spacing w:line="240" w:lineRule="auto"/>
        <w:rPr>
          <w:rFonts w:ascii="Times New Roman" w:eastAsia="Times New Roman" w:hAnsi="Times New Roman" w:cs="Times New Roman"/>
          <w:color w:val="000000"/>
          <w:sz w:val="20"/>
          <w:szCs w:val="20"/>
          <w:lang w:eastAsia="bg-BG"/>
        </w:rPr>
      </w:pPr>
    </w:p>
    <w:p w14:paraId="2435CA93" w14:textId="5A59B01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Валсартан не инхибира ангиотензин-конвертиращия ензим, известен още като кининаза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 xml:space="preserve">, който превръща ангиотензин I в ангиотензин II и разгражда брадикинин. Тъй като нямат ефект върху АСЕ и не потенцират брадикинин или субстанция Р, е малко вероятно ангиотензин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 xml:space="preserve"> рецепторните антагонисти да предизвикват кашлица. В клинични изпитвания, където валсартан е сравняван с АСЕ инхибитор, честотата на суха кашлица е била значително (Р &lt;0,05) по-ниска при пациенти, лекувани с валсартан, отколкото при тези, лекувани с АСЕ инхибитор (съответно 2,6% спрямо 7,9%). В клинично изпитване на пациенти с анамнеза за суха кашлица по време на лечение с АСЕ инхибитор, 19,5% от пациентите, приемащи валсартан и 19,0% от приемащите тиазиден диуретик имат кашлица, в сравнение с 68,5% от лекуваните с АСЕ инхибитор (Р &lt;0,05).</w:t>
      </w:r>
    </w:p>
    <w:p w14:paraId="49EE5BC9" w14:textId="77777777" w:rsidR="00C51411" w:rsidRDefault="00C51411" w:rsidP="00C51411">
      <w:pPr>
        <w:spacing w:line="240" w:lineRule="auto"/>
        <w:rPr>
          <w:rFonts w:ascii="Times New Roman" w:eastAsia="Times New Roman" w:hAnsi="Times New Roman" w:cs="Times New Roman"/>
          <w:color w:val="000000"/>
          <w:sz w:val="20"/>
          <w:szCs w:val="20"/>
          <w:lang w:eastAsia="bg-BG"/>
        </w:rPr>
      </w:pPr>
    </w:p>
    <w:p w14:paraId="3EA927F8" w14:textId="56C7CC1D"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Приложението на валсартан на пациенти с хипертония води до понижаване на кръвното налягане без повлияване на пулсовата честота. При повечето пациенти, след приложение на единична перорална доза, началото на антихипертензивния ефект настъпва в рамките на 2 часа, а пикът на понижаване на кръвното налягане се достига до 4-6 часа. Антихипертензивният ефект продължава над 24 часа след приема. При многократен прием, максимално понижаване на кръвното налягане </w:t>
      </w:r>
      <w:r w:rsidRPr="00C51411">
        <w:rPr>
          <w:rFonts w:ascii="Times New Roman" w:eastAsia="Times New Roman" w:hAnsi="Times New Roman" w:cs="Times New Roman"/>
          <w:i/>
          <w:iCs/>
          <w:color w:val="000000"/>
          <w:sz w:val="20"/>
          <w:szCs w:val="20"/>
          <w:lang w:eastAsia="bg-BG"/>
        </w:rPr>
        <w:t>при</w:t>
      </w:r>
      <w:r w:rsidRPr="00C51411">
        <w:rPr>
          <w:rFonts w:ascii="Times New Roman" w:eastAsia="Times New Roman" w:hAnsi="Times New Roman" w:cs="Times New Roman"/>
          <w:color w:val="000000"/>
          <w:sz w:val="20"/>
          <w:szCs w:val="20"/>
          <w:lang w:eastAsia="bg-BG"/>
        </w:rPr>
        <w:t xml:space="preserve"> всяка една от дозите се постига обикновено в рамките на 2-4 седмици и се задържа по време на дългосрочна терапия. В комбинация с хидрохлоротиазид, се постига значително допълнително понижаване на кръвното налягане.</w:t>
      </w:r>
    </w:p>
    <w:p w14:paraId="46A900AD" w14:textId="77777777" w:rsidR="00C51411" w:rsidRDefault="00C51411" w:rsidP="00C51411">
      <w:pPr>
        <w:spacing w:line="240" w:lineRule="auto"/>
        <w:rPr>
          <w:rFonts w:ascii="Times New Roman" w:eastAsia="Times New Roman" w:hAnsi="Times New Roman" w:cs="Times New Roman"/>
          <w:color w:val="000000"/>
          <w:sz w:val="20"/>
          <w:szCs w:val="20"/>
          <w:lang w:eastAsia="bg-BG"/>
        </w:rPr>
      </w:pPr>
    </w:p>
    <w:p w14:paraId="7A6F2244" w14:textId="58441365"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Внезапното спиране на валсартан не е свързано с ребаунд на хипертонията или с други нежелани клинични събития.</w:t>
      </w:r>
    </w:p>
    <w:p w14:paraId="14828E5B"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При пациенти с хипертония и диабет тип 2 с микроалбуминурия, валсартан намалява екскрецията на албумин с урината. Изпитването </w:t>
      </w:r>
      <w:r w:rsidRPr="00C51411">
        <w:rPr>
          <w:rFonts w:ascii="Times New Roman" w:eastAsia="Times New Roman" w:hAnsi="Times New Roman" w:cs="Times New Roman"/>
          <w:color w:val="000000"/>
          <w:sz w:val="20"/>
          <w:szCs w:val="20"/>
          <w:lang w:val="en-US"/>
        </w:rPr>
        <w:t xml:space="preserve">MARVAL (Micro Albuminuria Reduction with Valsartan - </w:t>
      </w:r>
      <w:r w:rsidRPr="00C51411">
        <w:rPr>
          <w:rFonts w:ascii="Times New Roman" w:eastAsia="Times New Roman" w:hAnsi="Times New Roman" w:cs="Times New Roman"/>
          <w:color w:val="000000"/>
          <w:sz w:val="20"/>
          <w:szCs w:val="20"/>
          <w:lang w:eastAsia="bg-BG"/>
        </w:rPr>
        <w:t xml:space="preserve">намаляване на микроалбуминурията с валсартан) оценява намаляването на екскрецията на албумин с урината с валсартан (80-160 </w:t>
      </w:r>
      <w:r w:rsidRPr="00C51411">
        <w:rPr>
          <w:rFonts w:ascii="Times New Roman" w:eastAsia="Times New Roman" w:hAnsi="Times New Roman" w:cs="Times New Roman"/>
          <w:color w:val="000000"/>
          <w:sz w:val="20"/>
          <w:szCs w:val="20"/>
          <w:lang w:val="en-US"/>
        </w:rPr>
        <w:t>mg</w:t>
      </w:r>
      <w:r w:rsidRPr="00C51411">
        <w:rPr>
          <w:rFonts w:ascii="Times New Roman" w:eastAsia="Times New Roman" w:hAnsi="Times New Roman" w:cs="Times New Roman"/>
          <w:color w:val="000000"/>
          <w:sz w:val="20"/>
          <w:szCs w:val="20"/>
          <w:lang w:eastAsia="bg-BG"/>
        </w:rPr>
        <w:t xml:space="preserve">/веднъж дневно) спрямо амлодипин (5-10 </w:t>
      </w:r>
      <w:r w:rsidRPr="00C51411">
        <w:rPr>
          <w:rFonts w:ascii="Times New Roman" w:eastAsia="Times New Roman" w:hAnsi="Times New Roman" w:cs="Times New Roman"/>
          <w:color w:val="000000"/>
          <w:sz w:val="20"/>
          <w:szCs w:val="20"/>
          <w:lang w:val="en-US"/>
        </w:rPr>
        <w:t>mg</w:t>
      </w:r>
      <w:r w:rsidRPr="00C51411">
        <w:rPr>
          <w:rFonts w:ascii="Times New Roman" w:eastAsia="Times New Roman" w:hAnsi="Times New Roman" w:cs="Times New Roman"/>
          <w:color w:val="000000"/>
          <w:sz w:val="20"/>
          <w:szCs w:val="20"/>
          <w:lang w:eastAsia="bg-BG"/>
        </w:rPr>
        <w:t xml:space="preserve">/веднъж дневно), при 332 пациенти с диабет тип 2 (средна възраст: 58 години; 265 мъже) с микроалбуминурия (валсартан: </w:t>
      </w:r>
      <w:r w:rsidRPr="00C51411">
        <w:rPr>
          <w:rFonts w:ascii="Times New Roman" w:eastAsia="Times New Roman" w:hAnsi="Times New Roman" w:cs="Times New Roman"/>
          <w:i/>
          <w:iCs/>
          <w:color w:val="000000"/>
          <w:sz w:val="20"/>
          <w:szCs w:val="20"/>
          <w:lang w:eastAsia="bg-BG"/>
        </w:rPr>
        <w:t>58</w:t>
      </w:r>
      <w:r w:rsidRPr="00C51411">
        <w:rPr>
          <w:rFonts w:ascii="Times New Roman" w:eastAsia="Times New Roman" w:hAnsi="Times New Roman" w:cs="Times New Roman"/>
          <w:color w:val="000000"/>
          <w:sz w:val="20"/>
          <w:szCs w:val="20"/>
          <w:lang w:eastAsia="bg-BG"/>
        </w:rPr>
        <w:t xml:space="preserve"> μ</w:t>
      </w:r>
      <w:r w:rsidRPr="00C51411">
        <w:rPr>
          <w:rFonts w:ascii="Times New Roman" w:eastAsia="Times New Roman" w:hAnsi="Times New Roman" w:cs="Times New Roman"/>
          <w:color w:val="000000"/>
          <w:sz w:val="20"/>
          <w:szCs w:val="20"/>
          <w:lang w:val="en-US"/>
        </w:rPr>
        <w:t xml:space="preserve">g/min; </w:t>
      </w:r>
      <w:r w:rsidRPr="00C51411">
        <w:rPr>
          <w:rFonts w:ascii="Times New Roman" w:eastAsia="Times New Roman" w:hAnsi="Times New Roman" w:cs="Times New Roman"/>
          <w:color w:val="000000"/>
          <w:sz w:val="20"/>
          <w:szCs w:val="20"/>
          <w:lang w:eastAsia="bg-BG"/>
        </w:rPr>
        <w:t xml:space="preserve">амлодипин: </w:t>
      </w:r>
      <w:r w:rsidRPr="00C51411">
        <w:rPr>
          <w:rFonts w:ascii="Times New Roman" w:eastAsia="Times New Roman" w:hAnsi="Times New Roman" w:cs="Times New Roman"/>
          <w:i/>
          <w:iCs/>
          <w:color w:val="000000"/>
          <w:sz w:val="20"/>
          <w:szCs w:val="20"/>
          <w:lang w:eastAsia="bg-BG"/>
        </w:rPr>
        <w:t>55,4</w:t>
      </w:r>
      <w:r w:rsidRPr="00C51411">
        <w:rPr>
          <w:rFonts w:ascii="Times New Roman" w:eastAsia="Times New Roman" w:hAnsi="Times New Roman" w:cs="Times New Roman"/>
          <w:color w:val="000000"/>
          <w:sz w:val="20"/>
          <w:szCs w:val="20"/>
          <w:lang w:eastAsia="bg-BG"/>
        </w:rPr>
        <w:t xml:space="preserve"> μ</w:t>
      </w:r>
      <w:r w:rsidRPr="00C51411">
        <w:rPr>
          <w:rFonts w:ascii="Times New Roman" w:eastAsia="Times New Roman" w:hAnsi="Times New Roman" w:cs="Times New Roman"/>
          <w:color w:val="000000"/>
          <w:sz w:val="20"/>
          <w:szCs w:val="20"/>
          <w:lang w:val="en-US"/>
        </w:rPr>
        <w:t xml:space="preserve">g/min), </w:t>
      </w:r>
      <w:r w:rsidRPr="00C51411">
        <w:rPr>
          <w:rFonts w:ascii="Times New Roman" w:eastAsia="Times New Roman" w:hAnsi="Times New Roman" w:cs="Times New Roman"/>
          <w:color w:val="000000"/>
          <w:sz w:val="20"/>
          <w:szCs w:val="20"/>
          <w:lang w:eastAsia="bg-BG"/>
        </w:rPr>
        <w:t>с нормално или високо кръвно налягане и със запазена бъбречна функция (серумен креатинин &lt;120 μ</w:t>
      </w:r>
      <w:r w:rsidRPr="00C51411">
        <w:rPr>
          <w:rFonts w:ascii="Times New Roman" w:eastAsia="Times New Roman" w:hAnsi="Times New Roman" w:cs="Times New Roman"/>
          <w:color w:val="000000"/>
          <w:sz w:val="20"/>
          <w:szCs w:val="20"/>
          <w:lang w:val="en-US"/>
        </w:rPr>
        <w:t>mol</w:t>
      </w:r>
      <w:r w:rsidRPr="00C51411">
        <w:rPr>
          <w:rFonts w:ascii="Times New Roman" w:eastAsia="Times New Roman" w:hAnsi="Times New Roman" w:cs="Times New Roman"/>
          <w:color w:val="000000"/>
          <w:sz w:val="20"/>
          <w:szCs w:val="20"/>
          <w:lang w:eastAsia="bg-BG"/>
        </w:rPr>
        <w:t>/</w:t>
      </w:r>
      <w:r w:rsidRPr="00C51411">
        <w:rPr>
          <w:rFonts w:ascii="Times New Roman" w:eastAsia="Times New Roman" w:hAnsi="Times New Roman" w:cs="Times New Roman"/>
          <w:color w:val="000000"/>
          <w:sz w:val="20"/>
          <w:szCs w:val="20"/>
          <w:lang w:val="en-US"/>
        </w:rPr>
        <w:t>l</w:t>
      </w:r>
      <w:r w:rsidRPr="00C51411">
        <w:rPr>
          <w:rFonts w:ascii="Times New Roman" w:eastAsia="Times New Roman" w:hAnsi="Times New Roman" w:cs="Times New Roman"/>
          <w:color w:val="000000"/>
          <w:sz w:val="20"/>
          <w:szCs w:val="20"/>
          <w:lang w:eastAsia="bg-BG"/>
        </w:rPr>
        <w:t xml:space="preserve">). На 24-тата седмица, екскрецията на албумин с урината е намалена (р &lt;0,001) с 42% (-24,2 </w:t>
      </w:r>
      <w:proofErr w:type="spellStart"/>
      <w:r w:rsidRPr="00C51411">
        <w:rPr>
          <w:rFonts w:ascii="Times New Roman" w:eastAsia="Times New Roman" w:hAnsi="Times New Roman" w:cs="Times New Roman"/>
          <w:color w:val="000000"/>
          <w:sz w:val="20"/>
          <w:szCs w:val="20"/>
          <w:lang w:val="en-US"/>
        </w:rPr>
        <w:t>pg</w:t>
      </w:r>
      <w:proofErr w:type="spellEnd"/>
      <w:r w:rsidRPr="00C51411">
        <w:rPr>
          <w:rFonts w:ascii="Times New Roman" w:eastAsia="Times New Roman" w:hAnsi="Times New Roman" w:cs="Times New Roman"/>
          <w:color w:val="000000"/>
          <w:sz w:val="20"/>
          <w:szCs w:val="20"/>
          <w:lang w:val="en-US"/>
        </w:rPr>
        <w:t xml:space="preserve">/min; </w:t>
      </w:r>
      <w:r w:rsidRPr="00C51411">
        <w:rPr>
          <w:rFonts w:ascii="Times New Roman" w:eastAsia="Times New Roman" w:hAnsi="Times New Roman" w:cs="Times New Roman"/>
          <w:color w:val="000000"/>
          <w:sz w:val="20"/>
          <w:szCs w:val="20"/>
          <w:lang w:eastAsia="bg-BG"/>
        </w:rPr>
        <w:t xml:space="preserve">95% </w:t>
      </w:r>
      <w:r w:rsidRPr="00C51411">
        <w:rPr>
          <w:rFonts w:ascii="Times New Roman" w:eastAsia="Times New Roman" w:hAnsi="Times New Roman" w:cs="Times New Roman"/>
          <w:color w:val="000000"/>
          <w:sz w:val="20"/>
          <w:szCs w:val="20"/>
          <w:lang w:val="en-US"/>
        </w:rPr>
        <w:t>CI: -</w:t>
      </w:r>
      <w:r w:rsidRPr="00C51411">
        <w:rPr>
          <w:rFonts w:ascii="Times New Roman" w:eastAsia="Times New Roman" w:hAnsi="Times New Roman" w:cs="Times New Roman"/>
          <w:color w:val="000000"/>
          <w:sz w:val="20"/>
          <w:szCs w:val="20"/>
          <w:lang w:eastAsia="bg-BG"/>
        </w:rPr>
        <w:t>40,4 до -19,1) с валсартан и приблизително 3% (-1,7 μ</w:t>
      </w:r>
      <w:r w:rsidRPr="00C51411">
        <w:rPr>
          <w:rFonts w:ascii="Times New Roman" w:eastAsia="Times New Roman" w:hAnsi="Times New Roman" w:cs="Times New Roman"/>
          <w:color w:val="000000"/>
          <w:sz w:val="20"/>
          <w:szCs w:val="20"/>
          <w:lang w:val="en-US"/>
        </w:rPr>
        <w:t xml:space="preserve">g/min; </w:t>
      </w:r>
      <w:r w:rsidRPr="00C51411">
        <w:rPr>
          <w:rFonts w:ascii="Times New Roman" w:eastAsia="Times New Roman" w:hAnsi="Times New Roman" w:cs="Times New Roman"/>
          <w:color w:val="000000"/>
          <w:sz w:val="20"/>
          <w:szCs w:val="20"/>
          <w:lang w:eastAsia="bg-BG"/>
        </w:rPr>
        <w:t xml:space="preserve">95% </w:t>
      </w:r>
      <w:r w:rsidRPr="00C51411">
        <w:rPr>
          <w:rFonts w:ascii="Times New Roman" w:eastAsia="Times New Roman" w:hAnsi="Times New Roman" w:cs="Times New Roman"/>
          <w:color w:val="000000"/>
          <w:sz w:val="20"/>
          <w:szCs w:val="20"/>
          <w:lang w:val="en-US"/>
        </w:rPr>
        <w:t xml:space="preserve">CI: </w:t>
      </w:r>
      <w:r w:rsidRPr="00C51411">
        <w:rPr>
          <w:rFonts w:ascii="Times New Roman" w:eastAsia="Times New Roman" w:hAnsi="Times New Roman" w:cs="Times New Roman"/>
          <w:color w:val="000000"/>
          <w:sz w:val="20"/>
          <w:szCs w:val="20"/>
          <w:lang w:eastAsia="bg-BG"/>
        </w:rPr>
        <w:t xml:space="preserve">-5,6 до 14,9) с амлодипин, независимо от сходната степен на понижаване на кръвното налягане в двете групи. Изпитването, наречено </w:t>
      </w:r>
      <w:r w:rsidRPr="00C51411">
        <w:rPr>
          <w:rFonts w:ascii="Times New Roman" w:eastAsia="Times New Roman" w:hAnsi="Times New Roman" w:cs="Times New Roman"/>
          <w:color w:val="000000"/>
          <w:sz w:val="20"/>
          <w:szCs w:val="20"/>
          <w:lang w:val="en-US"/>
        </w:rPr>
        <w:t xml:space="preserve">Diovan Reduction of Proteinuria (DROP) </w:t>
      </w:r>
      <w:r w:rsidRPr="00C51411">
        <w:rPr>
          <w:rFonts w:ascii="Times New Roman" w:eastAsia="Times New Roman" w:hAnsi="Times New Roman" w:cs="Times New Roman"/>
          <w:color w:val="000000"/>
          <w:sz w:val="20"/>
          <w:szCs w:val="20"/>
          <w:lang w:eastAsia="bg-BG"/>
        </w:rPr>
        <w:t xml:space="preserve">(Намаляване на протеинурията с Диован) проучва ефикасността на валсартан в редуцурането на екскрецията на албумин с урината при 391 пациенти с хипертония (кръвно налягане 150/88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с диабет тип 2, албуминурия (средно=102 μ</w:t>
      </w:r>
      <w:r w:rsidRPr="00C51411">
        <w:rPr>
          <w:rFonts w:ascii="Times New Roman" w:eastAsia="Times New Roman" w:hAnsi="Times New Roman" w:cs="Times New Roman"/>
          <w:color w:val="000000"/>
          <w:sz w:val="20"/>
          <w:szCs w:val="20"/>
          <w:lang w:val="en-US"/>
        </w:rPr>
        <w:t xml:space="preserve">g/min; </w:t>
      </w:r>
      <w:r w:rsidRPr="00C51411">
        <w:rPr>
          <w:rFonts w:ascii="Times New Roman" w:eastAsia="Times New Roman" w:hAnsi="Times New Roman" w:cs="Times New Roman"/>
          <w:color w:val="000000"/>
          <w:sz w:val="20"/>
          <w:szCs w:val="20"/>
          <w:lang w:eastAsia="bg-BG"/>
        </w:rPr>
        <w:t>20-700 μ</w:t>
      </w:r>
      <w:r w:rsidRPr="00C51411">
        <w:rPr>
          <w:rFonts w:ascii="Times New Roman" w:eastAsia="Times New Roman" w:hAnsi="Times New Roman" w:cs="Times New Roman"/>
          <w:color w:val="000000"/>
          <w:sz w:val="20"/>
          <w:szCs w:val="20"/>
          <w:lang w:val="en-US"/>
        </w:rPr>
        <w:t xml:space="preserve">g/min) </w:t>
      </w:r>
      <w:r w:rsidRPr="00C51411">
        <w:rPr>
          <w:rFonts w:ascii="Times New Roman" w:eastAsia="Times New Roman" w:hAnsi="Times New Roman" w:cs="Times New Roman"/>
          <w:color w:val="000000"/>
          <w:sz w:val="20"/>
          <w:szCs w:val="20"/>
          <w:lang w:eastAsia="bg-BG"/>
        </w:rPr>
        <w:t>и запазена бъбречна функция (среден серумен креатинин = 80 μ</w:t>
      </w:r>
      <w:r w:rsidRPr="00C51411">
        <w:rPr>
          <w:rFonts w:ascii="Times New Roman" w:eastAsia="Times New Roman" w:hAnsi="Times New Roman" w:cs="Times New Roman"/>
          <w:color w:val="000000"/>
          <w:sz w:val="20"/>
          <w:szCs w:val="20"/>
          <w:lang w:val="en-US"/>
        </w:rPr>
        <w:t xml:space="preserve">mol/l). </w:t>
      </w:r>
      <w:r w:rsidRPr="00C51411">
        <w:rPr>
          <w:rFonts w:ascii="Times New Roman" w:eastAsia="Times New Roman" w:hAnsi="Times New Roman" w:cs="Times New Roman"/>
          <w:color w:val="000000"/>
          <w:sz w:val="20"/>
          <w:szCs w:val="20"/>
          <w:lang w:eastAsia="bg-BG"/>
        </w:rPr>
        <w:t xml:space="preserve">Пациентите са рандомизирани с една от 3-те дози валсартан (160, 320 и 640 </w:t>
      </w:r>
      <w:r w:rsidRPr="00C51411">
        <w:rPr>
          <w:rFonts w:ascii="Times New Roman" w:eastAsia="Times New Roman" w:hAnsi="Times New Roman" w:cs="Times New Roman"/>
          <w:color w:val="000000"/>
          <w:sz w:val="20"/>
          <w:szCs w:val="20"/>
          <w:lang w:val="en-US"/>
        </w:rPr>
        <w:t>mg</w:t>
      </w:r>
      <w:r w:rsidRPr="00C51411">
        <w:rPr>
          <w:rFonts w:ascii="Times New Roman" w:eastAsia="Times New Roman" w:hAnsi="Times New Roman" w:cs="Times New Roman"/>
          <w:color w:val="000000"/>
          <w:sz w:val="20"/>
          <w:szCs w:val="20"/>
          <w:lang w:eastAsia="bg-BG"/>
        </w:rPr>
        <w:t xml:space="preserve">/ден) и лекувани в продължение на 30 седмици. Целта на изпитването е да се определи оптималната доза валсартан за редуциране на екскрецията на албумин с урината при пациенти с хипертония и диабет тип 2. На 30-тата седмица, процентът на екскреция на албумин с урината е намален значително с 36% от изходната стойност с валсартан 160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i/>
          <w:iCs/>
          <w:color w:val="000000"/>
          <w:sz w:val="20"/>
          <w:szCs w:val="20"/>
          <w:lang w:eastAsia="bg-BG"/>
        </w:rPr>
        <w:t>(95%С</w:t>
      </w:r>
      <w:r w:rsidRPr="00C51411">
        <w:rPr>
          <w:rFonts w:ascii="Times New Roman" w:eastAsia="Times New Roman" w:hAnsi="Times New Roman" w:cs="Times New Roman"/>
          <w:i/>
          <w:iCs/>
          <w:color w:val="000000"/>
          <w:sz w:val="20"/>
          <w:szCs w:val="20"/>
          <w:lang w:val="en-US"/>
        </w:rPr>
        <w:t>I</w:t>
      </w:r>
      <w:r w:rsidRPr="00C51411">
        <w:rPr>
          <w:rFonts w:ascii="Times New Roman" w:eastAsia="Times New Roman" w:hAnsi="Times New Roman" w:cs="Times New Roman"/>
          <w:i/>
          <w:iCs/>
          <w:color w:val="000000"/>
          <w:sz w:val="20"/>
          <w:szCs w:val="20"/>
          <w:lang w:eastAsia="bg-BG"/>
        </w:rPr>
        <w:t>:</w:t>
      </w:r>
      <w:r w:rsidRPr="00C51411">
        <w:rPr>
          <w:rFonts w:ascii="Times New Roman" w:eastAsia="Times New Roman" w:hAnsi="Times New Roman" w:cs="Times New Roman"/>
          <w:color w:val="000000"/>
          <w:sz w:val="20"/>
          <w:szCs w:val="20"/>
          <w:lang w:eastAsia="bg-BG"/>
        </w:rPr>
        <w:t xml:space="preserve">22 до 47%), и с 44% с валсартан 320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(95%С</w:t>
      </w:r>
      <w:r w:rsidRPr="00C51411">
        <w:rPr>
          <w:rFonts w:ascii="Times New Roman" w:eastAsia="Times New Roman" w:hAnsi="Times New Roman" w:cs="Times New Roman"/>
          <w:color w:val="000000"/>
          <w:sz w:val="20"/>
          <w:szCs w:val="20"/>
          <w:lang w:val="en-US"/>
        </w:rPr>
        <w:t>I</w:t>
      </w:r>
      <w:r w:rsidRPr="00C51411">
        <w:rPr>
          <w:rFonts w:ascii="Times New Roman" w:eastAsia="Times New Roman" w:hAnsi="Times New Roman" w:cs="Times New Roman"/>
          <w:color w:val="000000"/>
          <w:sz w:val="20"/>
          <w:szCs w:val="20"/>
          <w:lang w:eastAsia="bg-BG"/>
        </w:rPr>
        <w:t xml:space="preserve">: 31 до 54%). Направено е заключение, че 160-320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валсартан води до клинично значимо понижаване на екскрецията на албумин с урината при пациенти с хипертония и диабет тип 2.</w:t>
      </w:r>
    </w:p>
    <w:p w14:paraId="7BE1821F" w14:textId="77777777" w:rsidR="00C51411" w:rsidRDefault="00C51411" w:rsidP="00C51411">
      <w:pPr>
        <w:spacing w:line="240" w:lineRule="auto"/>
        <w:rPr>
          <w:rFonts w:ascii="Times New Roman" w:eastAsia="Times New Roman" w:hAnsi="Times New Roman" w:cs="Times New Roman"/>
          <w:i/>
          <w:iCs/>
          <w:color w:val="000000"/>
          <w:sz w:val="20"/>
          <w:szCs w:val="20"/>
          <w:lang w:eastAsia="bg-BG"/>
        </w:rPr>
      </w:pPr>
    </w:p>
    <w:p w14:paraId="48E9ED3F" w14:textId="77777777" w:rsidR="00C51411" w:rsidRPr="00C51411" w:rsidRDefault="00C51411" w:rsidP="00C51411">
      <w:pPr>
        <w:rPr>
          <w:rFonts w:ascii="Times New Roman" w:eastAsia="Times New Roman" w:hAnsi="Times New Roman" w:cs="Times New Roman"/>
          <w:sz w:val="24"/>
          <w:szCs w:val="24"/>
          <w:lang w:eastAsia="bg-BG"/>
        </w:rPr>
      </w:pPr>
      <w:r w:rsidRPr="00C51411">
        <w:rPr>
          <w:rFonts w:ascii="Times New Roman" w:eastAsia="Times New Roman" w:hAnsi="Times New Roman" w:cs="Times New Roman"/>
          <w:i/>
          <w:iCs/>
          <w:color w:val="000000"/>
          <w:sz w:val="20"/>
          <w:szCs w:val="20"/>
          <w:lang w:eastAsia="bg-BG"/>
        </w:rPr>
        <w:t>Други: Двойна блокада на ренин-ангиотензин-алдостероновата система (РАА</w:t>
      </w:r>
      <w:r w:rsidRPr="00C51411">
        <w:rPr>
          <w:rFonts w:ascii="Times New Roman" w:eastAsia="Times New Roman" w:hAnsi="Times New Roman" w:cs="Times New Roman"/>
          <w:i/>
          <w:iCs/>
          <w:color w:val="000000"/>
          <w:sz w:val="20"/>
          <w:szCs w:val="20"/>
          <w:lang w:val="en-US"/>
        </w:rPr>
        <w:t xml:space="preserve">C) </w:t>
      </w:r>
      <w:r w:rsidRPr="00C51411">
        <w:rPr>
          <w:rFonts w:ascii="Times New Roman" w:eastAsia="Times New Roman" w:hAnsi="Times New Roman" w:cs="Times New Roman"/>
          <w:color w:val="000000"/>
          <w:sz w:val="20"/>
          <w:szCs w:val="20"/>
          <w:lang w:eastAsia="bg-BG"/>
        </w:rPr>
        <w:t xml:space="preserve">Две големи рандомизирани контролирани проучвания - </w:t>
      </w:r>
      <w:r w:rsidRPr="00C51411">
        <w:rPr>
          <w:rFonts w:ascii="Times New Roman" w:eastAsia="Times New Roman" w:hAnsi="Times New Roman" w:cs="Times New Roman"/>
          <w:color w:val="000000"/>
          <w:sz w:val="20"/>
          <w:szCs w:val="20"/>
          <w:lang w:val="en-US"/>
        </w:rPr>
        <w:t>ONTARGET (</w:t>
      </w:r>
      <w:proofErr w:type="spellStart"/>
      <w:r w:rsidRPr="00C51411">
        <w:rPr>
          <w:rFonts w:ascii="Times New Roman" w:eastAsia="Times New Roman" w:hAnsi="Times New Roman" w:cs="Times New Roman"/>
          <w:color w:val="000000"/>
          <w:sz w:val="20"/>
          <w:szCs w:val="20"/>
          <w:lang w:val="en-US"/>
        </w:rPr>
        <w:t>ONgoirig</w:t>
      </w:r>
      <w:proofErr w:type="spellEnd"/>
      <w:r w:rsidRPr="00C51411">
        <w:rPr>
          <w:rFonts w:ascii="Times New Roman" w:eastAsia="Times New Roman" w:hAnsi="Times New Roman" w:cs="Times New Roman"/>
          <w:color w:val="000000"/>
          <w:sz w:val="20"/>
          <w:szCs w:val="20"/>
          <w:lang w:val="en-US"/>
        </w:rPr>
        <w:t xml:space="preserve"> Telmisartan Alone and in combination with Ramipril Global Endpoint Trial - </w:t>
      </w:r>
      <w:r w:rsidRPr="00C51411">
        <w:rPr>
          <w:rFonts w:ascii="Times New Roman" w:eastAsia="Times New Roman" w:hAnsi="Times New Roman" w:cs="Times New Roman"/>
          <w:color w:val="000000"/>
          <w:sz w:val="20"/>
          <w:szCs w:val="20"/>
          <w:lang w:eastAsia="bg-BG"/>
        </w:rPr>
        <w:t xml:space="preserve">текущо глобално изпитване за крайни точки на телмисартан, самостоятелно и в комбинация с рамиприл) и </w:t>
      </w:r>
      <w:r w:rsidRPr="00C51411">
        <w:rPr>
          <w:rFonts w:ascii="Times New Roman" w:eastAsia="Times New Roman" w:hAnsi="Times New Roman" w:cs="Times New Roman"/>
          <w:color w:val="000000"/>
          <w:sz w:val="20"/>
          <w:szCs w:val="20"/>
          <w:lang w:val="en-US"/>
        </w:rPr>
        <w:t>VA NEPHRON-D</w:t>
      </w:r>
      <w:r w:rsidRPr="00C51411">
        <w:rPr>
          <w:rFonts w:ascii="Times New Roman" w:eastAsia="Times New Roman" w:hAnsi="Times New Roman" w:cs="Times New Roman"/>
          <w:color w:val="000000"/>
          <w:sz w:val="20"/>
          <w:szCs w:val="20"/>
          <w:lang w:eastAsia="bg-BG"/>
        </w:rPr>
        <w:t xml:space="preserve"> (Клинично проучване свързано с развитие на нефропатия при диабет, проведено от</w:t>
      </w:r>
      <w:r>
        <w:rPr>
          <w:rFonts w:ascii="Times New Roman" w:eastAsia="Times New Roman" w:hAnsi="Times New Roman" w:cs="Times New Roman"/>
          <w:color w:val="000000"/>
          <w:sz w:val="20"/>
          <w:szCs w:val="20"/>
          <w:lang w:val="en-US" w:eastAsia="bg-BG"/>
        </w:rPr>
        <w:t xml:space="preserve"> </w:t>
      </w:r>
      <w:r w:rsidRPr="00C51411">
        <w:rPr>
          <w:rFonts w:ascii="Times New Roman" w:eastAsia="Times New Roman" w:hAnsi="Times New Roman" w:cs="Times New Roman"/>
          <w:color w:val="000000"/>
          <w:sz w:val="20"/>
          <w:szCs w:val="20"/>
          <w:lang w:eastAsia="bg-BG"/>
        </w:rPr>
        <w:t xml:space="preserve">Министерство по въпросите на ветераните) - проучват употребата на комбинацията от АСЕ инхибитор и ангиотензин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-рецепторен блокер.</w:t>
      </w:r>
    </w:p>
    <w:p w14:paraId="513F71BD"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val="en-US"/>
        </w:rPr>
        <w:t xml:space="preserve">ONTARGET </w:t>
      </w:r>
      <w:r w:rsidRPr="00C51411">
        <w:rPr>
          <w:rFonts w:ascii="Times New Roman" w:eastAsia="Times New Roman" w:hAnsi="Times New Roman" w:cs="Times New Roman"/>
          <w:color w:val="000000"/>
          <w:sz w:val="20"/>
          <w:szCs w:val="2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C51411">
        <w:rPr>
          <w:rFonts w:ascii="Times New Roman" w:eastAsia="Times New Roman" w:hAnsi="Times New Roman" w:cs="Times New Roman"/>
          <w:color w:val="000000"/>
          <w:sz w:val="20"/>
          <w:szCs w:val="20"/>
          <w:lang w:val="en-US"/>
        </w:rPr>
        <w:t xml:space="preserve">VA NEPHRON-D </w:t>
      </w:r>
      <w:r w:rsidRPr="00C51411">
        <w:rPr>
          <w:rFonts w:ascii="Times New Roman" w:eastAsia="Times New Roman" w:hAnsi="Times New Roman" w:cs="Times New Roman"/>
          <w:color w:val="000000"/>
          <w:sz w:val="20"/>
          <w:szCs w:val="20"/>
          <w:lang w:eastAsia="bg-BG"/>
        </w:rPr>
        <w:t>е проучване при пациенти със захарен диабет тип 2 и диабетна нефропатия.</w:t>
      </w:r>
    </w:p>
    <w:p w14:paraId="09FB3010"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Тези проучвания не показват значим благоприятен ефект върху бъбречните и/или сърдечно</w:t>
      </w:r>
      <w:r w:rsidRPr="00C51411">
        <w:rPr>
          <w:rFonts w:ascii="Times New Roman" w:eastAsia="Times New Roman" w:hAnsi="Times New Roman" w:cs="Times New Roman"/>
          <w:color w:val="000000"/>
          <w:sz w:val="20"/>
          <w:szCs w:val="20"/>
          <w:lang w:eastAsia="bg-BG"/>
        </w:rPr>
        <w:softHyphen/>
        <w:t xml:space="preserve">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 Като се имат предвид сходните им фармакодинамични свойства, тези резултати са приложими </w:t>
      </w:r>
      <w:r w:rsidRPr="00C51411">
        <w:rPr>
          <w:rFonts w:ascii="Times New Roman" w:eastAsia="Times New Roman" w:hAnsi="Times New Roman" w:cs="Times New Roman"/>
          <w:i/>
          <w:iCs/>
          <w:color w:val="000000"/>
          <w:sz w:val="20"/>
          <w:szCs w:val="20"/>
          <w:lang w:eastAsia="bg-BG"/>
        </w:rPr>
        <w:t>и за</w:t>
      </w:r>
      <w:r w:rsidRPr="00C51411">
        <w:rPr>
          <w:rFonts w:ascii="Times New Roman" w:eastAsia="Times New Roman" w:hAnsi="Times New Roman" w:cs="Times New Roman"/>
          <w:color w:val="000000"/>
          <w:sz w:val="20"/>
          <w:szCs w:val="20"/>
          <w:lang w:eastAsia="bg-BG"/>
        </w:rPr>
        <w:t xml:space="preserve"> други АСЕ инхибитори и ангиотензин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-рецепторни блокери.</w:t>
      </w:r>
    </w:p>
    <w:p w14:paraId="046F8579"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АСЕ инхибитори и ангиотензин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-рецепторни блокери следователно не трябва да се използват едновременно при пациенти с диабетна нефропатия.</w:t>
      </w:r>
    </w:p>
    <w:p w14:paraId="45601426"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val="en-US"/>
        </w:rPr>
        <w:t xml:space="preserve">ALTITUDE </w:t>
      </w:r>
      <w:r w:rsidRPr="00C51411">
        <w:rPr>
          <w:rFonts w:ascii="Times New Roman" w:eastAsia="Times New Roman" w:hAnsi="Times New Roman" w:cs="Times New Roman"/>
          <w:color w:val="000000"/>
          <w:sz w:val="20"/>
          <w:szCs w:val="20"/>
          <w:lang w:eastAsia="bg-BG"/>
        </w:rPr>
        <w:t xml:space="preserve">(Клинично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 предназначено да изследва ползата от добавянето на алискирен към стандартна терапия с АСЕ инхибитор или ангиотензин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7BF6457A" w14:textId="77777777" w:rsidR="00C51411" w:rsidRDefault="00C51411" w:rsidP="00C51411">
      <w:pPr>
        <w:spacing w:line="240" w:lineRule="auto"/>
        <w:rPr>
          <w:rFonts w:ascii="Times New Roman" w:eastAsia="Times New Roman" w:hAnsi="Times New Roman" w:cs="Times New Roman"/>
          <w:color w:val="000000"/>
          <w:sz w:val="20"/>
          <w:szCs w:val="20"/>
          <w:u w:val="single"/>
          <w:lang w:eastAsia="bg-BG"/>
        </w:rPr>
      </w:pPr>
    </w:p>
    <w:p w14:paraId="11F1E18E" w14:textId="192D5A84"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u w:val="single"/>
          <w:lang w:eastAsia="bg-BG"/>
        </w:rPr>
        <w:t>Хидрохлоротиазид</w:t>
      </w:r>
    </w:p>
    <w:p w14:paraId="0766BFB5"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Мястото на действие на тиазидните диуретици е главно в дисталните извити бъбречни тубули. Доказано е, че в бъбречния кортекс има рецептори с висок афинитет, които саосновно място за свързване на тиазидните диуретици и потискането на транспорта на </w:t>
      </w:r>
      <w:r w:rsidRPr="00C51411">
        <w:rPr>
          <w:rFonts w:ascii="Times New Roman" w:eastAsia="Times New Roman" w:hAnsi="Times New Roman" w:cs="Times New Roman"/>
          <w:color w:val="000000"/>
          <w:sz w:val="20"/>
          <w:szCs w:val="20"/>
          <w:lang w:val="en-US"/>
        </w:rPr>
        <w:t xml:space="preserve">NaC1 </w:t>
      </w:r>
      <w:r w:rsidRPr="00C51411">
        <w:rPr>
          <w:rFonts w:ascii="Times New Roman" w:eastAsia="Times New Roman" w:hAnsi="Times New Roman" w:cs="Times New Roman"/>
          <w:color w:val="000000"/>
          <w:sz w:val="20"/>
          <w:szCs w:val="20"/>
          <w:lang w:eastAsia="bg-BG"/>
        </w:rPr>
        <w:t xml:space="preserve">в дисталните извити тубули. Тиазидните диуретици действат чрез инхибиране на </w:t>
      </w:r>
      <w:proofErr w:type="spellStart"/>
      <w:r w:rsidRPr="00C51411">
        <w:rPr>
          <w:rFonts w:ascii="Times New Roman" w:eastAsia="Times New Roman" w:hAnsi="Times New Roman" w:cs="Times New Roman"/>
          <w:color w:val="000000"/>
          <w:sz w:val="20"/>
          <w:szCs w:val="20"/>
          <w:lang w:val="en-US"/>
        </w:rPr>
        <w:t>Na+Cl</w:t>
      </w:r>
      <w:proofErr w:type="spellEnd"/>
      <w:r w:rsidRPr="00C51411">
        <w:rPr>
          <w:rFonts w:ascii="Times New Roman" w:eastAsia="Times New Roman" w:hAnsi="Times New Roman" w:cs="Times New Roman"/>
          <w:color w:val="000000"/>
          <w:sz w:val="20"/>
          <w:szCs w:val="20"/>
          <w:lang w:val="en-US"/>
        </w:rPr>
        <w:t xml:space="preserve">- </w:t>
      </w:r>
      <w:r w:rsidRPr="00C51411">
        <w:rPr>
          <w:rFonts w:ascii="Times New Roman" w:eastAsia="Times New Roman" w:hAnsi="Times New Roman" w:cs="Times New Roman"/>
          <w:color w:val="000000"/>
          <w:sz w:val="20"/>
          <w:szCs w:val="20"/>
          <w:lang w:eastAsia="bg-BG"/>
        </w:rPr>
        <w:t xml:space="preserve">симпортер, вероятно чрез конкуриране за мястото на свързване на С1-, и по този начин повлияват механизмите на електролитна реабсорбция: директно повишавайки екскрецията </w:t>
      </w:r>
      <w:r w:rsidRPr="00C51411">
        <w:rPr>
          <w:rFonts w:ascii="Times New Roman" w:eastAsia="Times New Roman" w:hAnsi="Times New Roman" w:cs="Times New Roman"/>
          <w:color w:val="000000"/>
          <w:sz w:val="20"/>
          <w:szCs w:val="20"/>
          <w:lang w:eastAsia="bg-BG"/>
        </w:rPr>
        <w:lastRenderedPageBreak/>
        <w:t xml:space="preserve">на натрий и хлор в приблизително еднаква степен, и индиректно чрез диуретичното си действие намаляват плазмения обем с последващо повишаване на плазмената ренинова активност, секрецията на алдостерон и загубата на калий с урината и понижаване на серумния калий. Ренин- алдостероновата връзка е опосредствана от ангиотензин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 така, че при едновременно приложение с валсартан, редуцирането на серумния калий е по-слабо изразено от наблюдаваното при монотерапия с хидрохлоротиазид.</w:t>
      </w:r>
    </w:p>
    <w:p w14:paraId="3B053538" w14:textId="77777777" w:rsidR="00C51411" w:rsidRDefault="00C51411" w:rsidP="00C51411">
      <w:pPr>
        <w:spacing w:line="240" w:lineRule="auto"/>
        <w:rPr>
          <w:rFonts w:ascii="Times New Roman" w:eastAsia="Times New Roman" w:hAnsi="Times New Roman" w:cs="Times New Roman"/>
          <w:i/>
          <w:iCs/>
          <w:color w:val="000000"/>
          <w:sz w:val="20"/>
          <w:szCs w:val="20"/>
          <w:lang w:eastAsia="bg-BG"/>
        </w:rPr>
      </w:pPr>
    </w:p>
    <w:p w14:paraId="0BD5424C" w14:textId="31D45D1F"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i/>
          <w:iCs/>
          <w:color w:val="000000"/>
          <w:sz w:val="20"/>
          <w:szCs w:val="20"/>
          <w:lang w:eastAsia="bg-BG"/>
        </w:rPr>
        <w:t>Немеланомен рак на кожата</w:t>
      </w:r>
    </w:p>
    <w:p w14:paraId="6F9BF214" w14:textId="0F5D124A" w:rsidR="00C51411" w:rsidRPr="00C51411" w:rsidRDefault="00C51411" w:rsidP="00C51411">
      <w:pPr>
        <w:spacing w:line="240" w:lineRule="auto"/>
        <w:rPr>
          <w:rFonts w:ascii="Times New Roman" w:eastAsia="Times New Roman" w:hAnsi="Times New Roman" w:cs="Times New Roman"/>
          <w:sz w:val="24"/>
          <w:szCs w:val="24"/>
          <w:lang w:val="en-US" w:eastAsia="bg-BG"/>
        </w:rPr>
      </w:pPr>
      <w:r w:rsidRPr="00C51411">
        <w:rPr>
          <w:rFonts w:ascii="Times New Roman" w:eastAsia="Times New Roman" w:hAnsi="Times New Roman" w:cs="Times New Roman"/>
          <w:color w:val="000000"/>
          <w:sz w:val="20"/>
          <w:szCs w:val="20"/>
          <w:lang w:eastAsia="bg-BG"/>
        </w:rPr>
        <w:t xml:space="preserve">Въз основа на наличните данни от епидемиологични проучвания е наблюдавана зависима от кумулативната доза връзка между ХХТЗ и НМРК. Едно проучване включва популация, състояща се от 71 533 случаи на БКК и 8 629 случаи на СКК, и популация от съответно 1 430 833 и 172 462 подходящи контроли. Високата употреба на ХХТЗ (кумулативно ≥50 000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е свързана с коригирано съотношение на шансовете </w:t>
      </w:r>
      <w:r w:rsidRPr="00C51411">
        <w:rPr>
          <w:rFonts w:ascii="Times New Roman" w:eastAsia="Times New Roman" w:hAnsi="Times New Roman" w:cs="Times New Roman"/>
          <w:color w:val="000000"/>
          <w:sz w:val="20"/>
          <w:szCs w:val="20"/>
          <w:lang w:val="en-US"/>
        </w:rPr>
        <w:t xml:space="preserve">(OR) </w:t>
      </w:r>
      <w:r w:rsidRPr="00C51411">
        <w:rPr>
          <w:rFonts w:ascii="Times New Roman" w:eastAsia="Times New Roman" w:hAnsi="Times New Roman" w:cs="Times New Roman"/>
          <w:color w:val="000000"/>
          <w:sz w:val="20"/>
          <w:szCs w:val="20"/>
          <w:lang w:eastAsia="bg-BG"/>
        </w:rPr>
        <w:t xml:space="preserve">1,29 (95% ДИ: 1,23-1,35) за БКК и 3,98 (95% ДИ: 3,68-4,31) за СКК. Наблюдавана е ясна връзка кумулативна доза-отговор както за БКК, така и за СКК. Друго проучване показва възможна връзка между рака на устните (СКК) и експозицията на ХХТЗ: за 633 случаи на рак на устните е подбрана популация от 63 067 подходящи контроли, като се използва стратегия за вземане на проби, определена от риска. Демонстрирана е връзка кумулативна доза-отговор с коригиран </w:t>
      </w:r>
      <w:r w:rsidRPr="00C51411">
        <w:rPr>
          <w:rFonts w:ascii="Times New Roman" w:eastAsia="Times New Roman" w:hAnsi="Times New Roman" w:cs="Times New Roman"/>
          <w:color w:val="000000"/>
          <w:sz w:val="20"/>
          <w:szCs w:val="20"/>
          <w:lang w:val="en-US"/>
        </w:rPr>
        <w:t xml:space="preserve">OR </w:t>
      </w:r>
      <w:r w:rsidRPr="00C51411">
        <w:rPr>
          <w:rFonts w:ascii="Times New Roman" w:eastAsia="Times New Roman" w:hAnsi="Times New Roman" w:cs="Times New Roman"/>
          <w:color w:val="000000"/>
          <w:sz w:val="20"/>
          <w:szCs w:val="20"/>
          <w:lang w:eastAsia="bg-BG"/>
        </w:rPr>
        <w:t xml:space="preserve">2,1 (95% ДИ: 1,7-2,6), нарастващ до </w:t>
      </w:r>
      <w:r w:rsidRPr="00C51411">
        <w:rPr>
          <w:rFonts w:ascii="Times New Roman" w:eastAsia="Times New Roman" w:hAnsi="Times New Roman" w:cs="Times New Roman"/>
          <w:color w:val="000000"/>
          <w:sz w:val="20"/>
          <w:szCs w:val="20"/>
          <w:lang w:val="en-US"/>
        </w:rPr>
        <w:t xml:space="preserve">OR </w:t>
      </w:r>
      <w:r w:rsidRPr="00C51411">
        <w:rPr>
          <w:rFonts w:ascii="Times New Roman" w:eastAsia="Times New Roman" w:hAnsi="Times New Roman" w:cs="Times New Roman"/>
          <w:color w:val="000000"/>
          <w:sz w:val="20"/>
          <w:szCs w:val="20"/>
          <w:lang w:eastAsia="bg-BG"/>
        </w:rPr>
        <w:t xml:space="preserve">3,9 (3,0-4,9) за висока употреба (~ 25 000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и </w:t>
      </w:r>
      <w:r w:rsidRPr="00C51411">
        <w:rPr>
          <w:rFonts w:ascii="Times New Roman" w:eastAsia="Times New Roman" w:hAnsi="Times New Roman" w:cs="Times New Roman"/>
          <w:color w:val="000000"/>
          <w:sz w:val="20"/>
          <w:szCs w:val="20"/>
          <w:lang w:val="en-US"/>
        </w:rPr>
        <w:t xml:space="preserve">OR </w:t>
      </w:r>
      <w:r w:rsidRPr="00C51411">
        <w:rPr>
          <w:rFonts w:ascii="Times New Roman" w:eastAsia="Times New Roman" w:hAnsi="Times New Roman" w:cs="Times New Roman"/>
          <w:color w:val="000000"/>
          <w:sz w:val="20"/>
          <w:szCs w:val="20"/>
          <w:lang w:eastAsia="bg-BG"/>
        </w:rPr>
        <w:t>7,7 (5,7-1</w:t>
      </w:r>
      <w:r w:rsidRPr="00C51411">
        <w:rPr>
          <w:rFonts w:ascii="Times New Roman" w:eastAsia="Times New Roman" w:hAnsi="Times New Roman" w:cs="Times New Roman"/>
          <w:color w:val="000000"/>
          <w:sz w:val="20"/>
          <w:szCs w:val="20"/>
          <w:lang w:val="en-US"/>
        </w:rPr>
        <w:t xml:space="preserve">0,5) </w:t>
      </w:r>
      <w:r w:rsidRPr="00C51411">
        <w:rPr>
          <w:rFonts w:ascii="Times New Roman" w:eastAsia="Times New Roman" w:hAnsi="Times New Roman" w:cs="Times New Roman"/>
          <w:color w:val="000000"/>
          <w:sz w:val="20"/>
          <w:szCs w:val="20"/>
          <w:lang w:eastAsia="bg-BG"/>
        </w:rPr>
        <w:t xml:space="preserve">за най- високата кумулативна доза (~ 100 000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(вж. също точка 4.4).</w:t>
      </w:r>
    </w:p>
    <w:p w14:paraId="06088455" w14:textId="4CA2CBDF" w:rsidR="00C51411" w:rsidRPr="00C51411" w:rsidRDefault="00C51411" w:rsidP="00C51411">
      <w:pPr>
        <w:rPr>
          <w:lang w:val="en-US"/>
        </w:rPr>
      </w:pPr>
    </w:p>
    <w:p w14:paraId="173D7F1D" w14:textId="51D77FB5" w:rsidR="00EE6C97" w:rsidRDefault="002C50EE" w:rsidP="00A93499">
      <w:pPr>
        <w:pStyle w:val="Heading2"/>
      </w:pPr>
      <w:r>
        <w:t>5.2. Фармакокинетични свойства</w:t>
      </w:r>
    </w:p>
    <w:p w14:paraId="534B1ED7" w14:textId="03EB0104" w:rsidR="00C51411" w:rsidRDefault="00C51411" w:rsidP="00C51411"/>
    <w:p w14:paraId="5757356E"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u w:val="single"/>
          <w:lang w:eastAsia="bg-BG"/>
        </w:rPr>
        <w:t>Валсартан/хидрохлоротиазид</w:t>
      </w:r>
    </w:p>
    <w:p w14:paraId="7A065736"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Системната наличност на хидрохлоротиазид е редуцирана с около 30%, когато се прилага заедно с валсартан. Кинетиката на валсартан не се повлиява значително при едновременната употреба с хидрохлоротиазид. Наблюдаваното взаимодействие няма влияние върху комбинираната употреба на валсартан и хидрохлоротиазид, тъй като контролирани клинични изпитвания показват чист антихипертензивен ефект, по-голям от получения само с едно от двете активни вещества или с плацебо.</w:t>
      </w:r>
    </w:p>
    <w:p w14:paraId="22932E31" w14:textId="77777777" w:rsidR="00C51411" w:rsidRPr="00C51411" w:rsidRDefault="00C51411" w:rsidP="00C51411">
      <w:pPr>
        <w:spacing w:line="240" w:lineRule="auto"/>
        <w:rPr>
          <w:rFonts w:eastAsia="Times New Roman" w:cs="Arial"/>
          <w:color w:val="000000"/>
          <w:u w:val="single"/>
          <w:lang w:eastAsia="bg-BG"/>
        </w:rPr>
      </w:pPr>
    </w:p>
    <w:p w14:paraId="604CBEBB" w14:textId="08684106" w:rsidR="00C51411" w:rsidRPr="00C51411" w:rsidRDefault="00C51411" w:rsidP="00C51411">
      <w:pPr>
        <w:pStyle w:val="Heading3"/>
        <w:rPr>
          <w:rFonts w:eastAsia="Times New Roman"/>
          <w:sz w:val="28"/>
          <w:szCs w:val="28"/>
          <w:u w:val="single"/>
          <w:lang w:eastAsia="bg-BG"/>
        </w:rPr>
      </w:pPr>
      <w:r w:rsidRPr="00C51411">
        <w:rPr>
          <w:rFonts w:eastAsia="Times New Roman"/>
          <w:u w:val="single"/>
          <w:lang w:eastAsia="bg-BG"/>
        </w:rPr>
        <w:t>Валсартан</w:t>
      </w:r>
    </w:p>
    <w:p w14:paraId="0D07C123" w14:textId="77777777" w:rsidR="00C51411" w:rsidRPr="00C51411" w:rsidRDefault="00C51411" w:rsidP="00C51411">
      <w:pPr>
        <w:spacing w:line="240" w:lineRule="auto"/>
        <w:rPr>
          <w:rFonts w:eastAsia="Times New Roman" w:cs="Arial"/>
          <w:i/>
          <w:iCs/>
          <w:color w:val="000000"/>
          <w:lang w:eastAsia="bg-BG"/>
        </w:rPr>
      </w:pPr>
    </w:p>
    <w:p w14:paraId="7B3DFF8B" w14:textId="035FCB52"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Абсорбция</w:t>
      </w:r>
    </w:p>
    <w:p w14:paraId="1481821E"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След перорално приложение само на валсартан, максимални плазмени концентрации на валсартан се достигат за 2-4 часа. Средната абсолютна бионаличност е 23%. Храната намалява експозицията (измерена чрез </w:t>
      </w:r>
      <w:r w:rsidRPr="00C51411">
        <w:rPr>
          <w:rFonts w:eastAsia="Times New Roman" w:cs="Arial"/>
          <w:color w:val="000000"/>
          <w:lang w:val="en-US"/>
        </w:rPr>
        <w:t xml:space="preserve">AUC) </w:t>
      </w:r>
      <w:r w:rsidRPr="00C51411">
        <w:rPr>
          <w:rFonts w:eastAsia="Times New Roman" w:cs="Arial"/>
          <w:color w:val="000000"/>
          <w:lang w:eastAsia="bg-BG"/>
        </w:rPr>
        <w:t>на валсартан с около 40%, а максималната плазмена концентрация (С</w:t>
      </w:r>
      <w:r w:rsidRPr="00C51411">
        <w:rPr>
          <w:rFonts w:eastAsia="Times New Roman" w:cs="Arial"/>
          <w:color w:val="000000"/>
          <w:vertAlign w:val="subscript"/>
          <w:lang w:val="en-US"/>
        </w:rPr>
        <w:t>max</w:t>
      </w:r>
      <w:r w:rsidRPr="00C51411">
        <w:rPr>
          <w:rFonts w:eastAsia="Times New Roman" w:cs="Arial"/>
          <w:color w:val="000000"/>
          <w:lang w:eastAsia="bg-BG"/>
        </w:rPr>
        <w:t xml:space="preserve">) с около 50%, въпреки че около 8 часа след приема, плазмените концентрации на валсартан са подобни в групите на прием след нахранване и на гладно. Това понижаване на </w:t>
      </w:r>
      <w:r w:rsidRPr="00C51411">
        <w:rPr>
          <w:rFonts w:eastAsia="Times New Roman" w:cs="Arial"/>
          <w:color w:val="000000"/>
          <w:lang w:val="en-US"/>
        </w:rPr>
        <w:t xml:space="preserve">AUC </w:t>
      </w:r>
      <w:r w:rsidRPr="00C51411">
        <w:rPr>
          <w:rFonts w:eastAsia="Times New Roman" w:cs="Arial"/>
          <w:color w:val="000000"/>
          <w:lang w:eastAsia="bg-BG"/>
        </w:rPr>
        <w:t>не е придружено от клинично значимо понижаване на терапевтичния ефект, поради което валсартан може да се приема със или без храна.</w:t>
      </w:r>
    </w:p>
    <w:p w14:paraId="11827529" w14:textId="77777777" w:rsidR="00C51411" w:rsidRPr="00C51411" w:rsidRDefault="00C51411" w:rsidP="00C51411">
      <w:pPr>
        <w:spacing w:line="240" w:lineRule="auto"/>
        <w:rPr>
          <w:rFonts w:eastAsia="Times New Roman" w:cs="Arial"/>
          <w:i/>
          <w:iCs/>
          <w:color w:val="000000"/>
          <w:lang w:eastAsia="bg-BG"/>
        </w:rPr>
      </w:pPr>
    </w:p>
    <w:p w14:paraId="47696DDF" w14:textId="7D8925F7"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Разпределение</w:t>
      </w:r>
    </w:p>
    <w:p w14:paraId="32A8EDF6"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Равновесният обем на разпределение на валсартан след интравенозно приложение е около 17 литра, показващ, че валсартан не се разпределя екстензивно в тъканите. Валсартан се свързва в голяма степен със серумните протеини (94-97%), предимно със серумния албумин.</w:t>
      </w:r>
    </w:p>
    <w:p w14:paraId="19C0CCF1" w14:textId="77777777" w:rsidR="00C51411" w:rsidRPr="00C51411" w:rsidRDefault="00C51411" w:rsidP="00C51411">
      <w:pPr>
        <w:spacing w:line="240" w:lineRule="auto"/>
        <w:rPr>
          <w:rFonts w:eastAsia="Times New Roman" w:cs="Arial"/>
          <w:i/>
          <w:iCs/>
          <w:color w:val="000000"/>
          <w:lang w:eastAsia="bg-BG"/>
        </w:rPr>
      </w:pPr>
    </w:p>
    <w:p w14:paraId="15BDCA11" w14:textId="54D56642"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Биатрансформация</w:t>
      </w:r>
    </w:p>
    <w:p w14:paraId="2CFD9D88"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Валсартан не се биотрансформира в голяма степен, като само около 20% от дозата се открива като метаболити. В плазмата е установен хидроксиметаболит в ниски концентрации (по-малко от 10% от </w:t>
      </w:r>
      <w:r w:rsidRPr="00C51411">
        <w:rPr>
          <w:rFonts w:eastAsia="Times New Roman" w:cs="Arial"/>
          <w:color w:val="000000"/>
          <w:lang w:val="en-US"/>
        </w:rPr>
        <w:t xml:space="preserve">AUC </w:t>
      </w:r>
      <w:r w:rsidRPr="00C51411">
        <w:rPr>
          <w:rFonts w:eastAsia="Times New Roman" w:cs="Arial"/>
          <w:color w:val="000000"/>
          <w:lang w:eastAsia="bg-BG"/>
        </w:rPr>
        <w:t>на валсартан). Този метаболит е фармакологично неактивен.</w:t>
      </w:r>
    </w:p>
    <w:p w14:paraId="00BD1556" w14:textId="77777777" w:rsidR="00C51411" w:rsidRPr="00C51411" w:rsidRDefault="00C51411" w:rsidP="00C51411">
      <w:pPr>
        <w:spacing w:line="240" w:lineRule="auto"/>
        <w:rPr>
          <w:rFonts w:eastAsia="Times New Roman" w:cs="Arial"/>
          <w:i/>
          <w:iCs/>
          <w:color w:val="000000"/>
          <w:lang w:eastAsia="bg-BG"/>
        </w:rPr>
      </w:pPr>
    </w:p>
    <w:p w14:paraId="18913C75" w14:textId="148300A9"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Елиминиране</w:t>
      </w:r>
    </w:p>
    <w:p w14:paraId="16C90403"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Валсартан показва мултиекспоненциална кинетика на елиминиране </w:t>
      </w:r>
      <w:r w:rsidRPr="00C51411">
        <w:rPr>
          <w:rFonts w:eastAsia="Times New Roman" w:cs="Arial"/>
          <w:color w:val="000000"/>
          <w:lang w:val="en-US"/>
        </w:rPr>
        <w:t>(t1/2</w:t>
      </w:r>
      <w:r w:rsidRPr="00C51411">
        <w:rPr>
          <w:rFonts w:eastAsia="Times New Roman" w:cs="Arial"/>
          <w:color w:val="000000"/>
          <w:lang w:eastAsia="bg-BG"/>
        </w:rPr>
        <w:t xml:space="preserve">α&lt;1 час и </w:t>
      </w:r>
      <w:r w:rsidRPr="00C51411">
        <w:rPr>
          <w:rFonts w:eastAsia="Times New Roman" w:cs="Arial"/>
          <w:color w:val="000000"/>
          <w:lang w:val="en-US"/>
        </w:rPr>
        <w:t>t1/2</w:t>
      </w:r>
      <w:r w:rsidRPr="00C51411">
        <w:rPr>
          <w:rFonts w:eastAsia="Times New Roman" w:cs="Arial"/>
          <w:color w:val="000000"/>
          <w:lang w:eastAsia="bg-BG"/>
        </w:rPr>
        <w:t>β</w:t>
      </w:r>
      <w:r w:rsidRPr="00C51411">
        <w:rPr>
          <w:rFonts w:eastAsia="Times New Roman" w:cs="Arial"/>
          <w:color w:val="000000"/>
          <w:lang w:val="en-US"/>
        </w:rPr>
        <w:t xml:space="preserve"> </w:t>
      </w:r>
      <w:r w:rsidRPr="00C51411">
        <w:rPr>
          <w:rFonts w:eastAsia="Times New Roman" w:cs="Arial"/>
          <w:color w:val="000000"/>
          <w:lang w:eastAsia="bg-BG"/>
        </w:rPr>
        <w:t>около 9 часа). Валсартан се елиминира предимно с фецеса (около 83% от дозата) и урината (около 13% от дозата), предимно като непроменено лекарство. След интравенозно приложение, плазменият клирънс на валсартан е около 2</w:t>
      </w:r>
      <w:r w:rsidRPr="00C51411">
        <w:rPr>
          <w:rFonts w:eastAsia="Times New Roman" w:cs="Arial"/>
          <w:color w:val="000000"/>
          <w:lang w:val="en-US"/>
        </w:rPr>
        <w:t xml:space="preserve"> l</w:t>
      </w:r>
      <w:r w:rsidRPr="00C51411">
        <w:rPr>
          <w:rFonts w:eastAsia="Times New Roman" w:cs="Arial"/>
          <w:color w:val="000000"/>
          <w:lang w:eastAsia="bg-BG"/>
        </w:rPr>
        <w:t>/час, а бъбречният му клирънс е 0,62</w:t>
      </w:r>
      <w:r w:rsidRPr="00C51411">
        <w:rPr>
          <w:rFonts w:eastAsia="Times New Roman" w:cs="Arial"/>
          <w:color w:val="000000"/>
          <w:lang w:val="en-US"/>
        </w:rPr>
        <w:t xml:space="preserve"> l</w:t>
      </w:r>
      <w:r w:rsidRPr="00C51411">
        <w:rPr>
          <w:rFonts w:eastAsia="Times New Roman" w:cs="Arial"/>
          <w:color w:val="000000"/>
          <w:lang w:eastAsia="bg-BG"/>
        </w:rPr>
        <w:t>/час (около 30% от общия клирънс). Полуживотът на валсартан е 6 часа.</w:t>
      </w:r>
    </w:p>
    <w:p w14:paraId="16C869DE" w14:textId="77777777" w:rsidR="00C51411" w:rsidRPr="00C51411" w:rsidRDefault="00C51411" w:rsidP="00C51411">
      <w:pPr>
        <w:spacing w:line="240" w:lineRule="auto"/>
        <w:rPr>
          <w:rFonts w:eastAsia="Times New Roman" w:cs="Arial"/>
          <w:color w:val="000000"/>
          <w:u w:val="single"/>
          <w:lang w:eastAsia="bg-BG"/>
        </w:rPr>
      </w:pPr>
    </w:p>
    <w:p w14:paraId="38ABA0B6" w14:textId="70E831B9" w:rsidR="00C51411" w:rsidRPr="00C51411" w:rsidRDefault="00C51411" w:rsidP="00C51411">
      <w:pPr>
        <w:pStyle w:val="Heading3"/>
        <w:rPr>
          <w:rFonts w:eastAsia="Times New Roman"/>
          <w:sz w:val="28"/>
          <w:szCs w:val="28"/>
          <w:u w:val="single"/>
          <w:lang w:eastAsia="bg-BG"/>
        </w:rPr>
      </w:pPr>
      <w:r w:rsidRPr="00C51411">
        <w:rPr>
          <w:rFonts w:eastAsia="Times New Roman"/>
          <w:u w:val="single"/>
          <w:lang w:eastAsia="bg-BG"/>
        </w:rPr>
        <w:t>Хидрохлоротиазид</w:t>
      </w:r>
    </w:p>
    <w:p w14:paraId="7CC7AE0E" w14:textId="77777777" w:rsidR="00C51411" w:rsidRPr="00C51411" w:rsidRDefault="00C51411" w:rsidP="00C51411">
      <w:pPr>
        <w:spacing w:line="240" w:lineRule="auto"/>
        <w:rPr>
          <w:rFonts w:eastAsia="Times New Roman" w:cs="Arial"/>
          <w:i/>
          <w:iCs/>
          <w:color w:val="000000"/>
          <w:lang w:eastAsia="bg-BG"/>
        </w:rPr>
      </w:pPr>
    </w:p>
    <w:p w14:paraId="2B4133BF" w14:textId="219218A1"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Абсорбция</w:t>
      </w:r>
    </w:p>
    <w:p w14:paraId="7F6AE0C1"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Абсорбцията на хидрохлоротиазид, след перорален прием, е бърза </w:t>
      </w:r>
      <w:r w:rsidRPr="00C51411">
        <w:rPr>
          <w:rFonts w:eastAsia="Times New Roman" w:cs="Arial"/>
          <w:color w:val="000000"/>
          <w:lang w:val="en-US"/>
        </w:rPr>
        <w:t>(</w:t>
      </w:r>
      <w:proofErr w:type="spellStart"/>
      <w:r w:rsidRPr="00C51411">
        <w:rPr>
          <w:rFonts w:eastAsia="Times New Roman" w:cs="Arial"/>
          <w:color w:val="000000"/>
          <w:lang w:val="en-US"/>
        </w:rPr>
        <w:t>t</w:t>
      </w:r>
      <w:r w:rsidRPr="00C51411">
        <w:rPr>
          <w:rFonts w:eastAsia="Times New Roman" w:cs="Arial"/>
          <w:color w:val="000000"/>
          <w:vertAlign w:val="subscript"/>
          <w:lang w:val="en-US"/>
        </w:rPr>
        <w:t>max</w:t>
      </w:r>
      <w:proofErr w:type="spellEnd"/>
      <w:r w:rsidRPr="00C51411">
        <w:rPr>
          <w:rFonts w:eastAsia="Times New Roman" w:cs="Arial"/>
          <w:color w:val="000000"/>
          <w:lang w:val="en-US"/>
        </w:rPr>
        <w:t xml:space="preserve"> </w:t>
      </w:r>
      <w:r w:rsidRPr="00C51411">
        <w:rPr>
          <w:rFonts w:eastAsia="Times New Roman" w:cs="Arial"/>
          <w:color w:val="000000"/>
          <w:lang w:eastAsia="bg-BG"/>
        </w:rPr>
        <w:t xml:space="preserve">около 2 часа). Увеличаването на средната </w:t>
      </w:r>
      <w:r w:rsidRPr="00C51411">
        <w:rPr>
          <w:rFonts w:eastAsia="Times New Roman" w:cs="Arial"/>
          <w:color w:val="000000"/>
          <w:lang w:val="en-US"/>
        </w:rPr>
        <w:t xml:space="preserve">AUC </w:t>
      </w:r>
      <w:r w:rsidRPr="00C51411">
        <w:rPr>
          <w:rFonts w:eastAsia="Times New Roman" w:cs="Arial"/>
          <w:color w:val="000000"/>
          <w:lang w:eastAsia="bg-BG"/>
        </w:rPr>
        <w:t>е линейно и дозозависимо в терапевтичния диапазон. Влиянието на храната върху абсорбцията на хидрохлоротиазид, ако има такова, е с незначително клинично значение. Абсолютната бионаличност на хидрохлоротиазид е 70% след перорално приложение.</w:t>
      </w:r>
    </w:p>
    <w:p w14:paraId="60460122" w14:textId="77777777" w:rsidR="00C51411" w:rsidRPr="00C51411" w:rsidRDefault="00C51411" w:rsidP="00C51411">
      <w:pPr>
        <w:spacing w:line="240" w:lineRule="auto"/>
        <w:rPr>
          <w:rFonts w:eastAsia="Times New Roman" w:cs="Arial"/>
          <w:i/>
          <w:iCs/>
          <w:color w:val="000000"/>
          <w:lang w:eastAsia="bg-BG"/>
        </w:rPr>
      </w:pPr>
    </w:p>
    <w:p w14:paraId="423D390F" w14:textId="136D3990"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Разпределение</w:t>
      </w:r>
    </w:p>
    <w:p w14:paraId="41C2D27C"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Привидният обем на разпределение е 4-8 </w:t>
      </w:r>
      <w:r w:rsidRPr="00C51411">
        <w:rPr>
          <w:rFonts w:eastAsia="Times New Roman" w:cs="Arial"/>
          <w:color w:val="000000"/>
          <w:lang w:val="en-US"/>
        </w:rPr>
        <w:t>1/kg.</w:t>
      </w:r>
    </w:p>
    <w:p w14:paraId="6A11B74F" w14:textId="78A65B8D" w:rsidR="00C51411" w:rsidRPr="00C51411" w:rsidRDefault="00C51411" w:rsidP="00C51411">
      <w:pPr>
        <w:spacing w:line="240" w:lineRule="auto"/>
        <w:rPr>
          <w:rFonts w:eastAsia="Times New Roman" w:cs="Arial"/>
          <w:color w:val="000000"/>
          <w:lang w:eastAsia="bg-BG"/>
        </w:rPr>
      </w:pPr>
      <w:r w:rsidRPr="00C51411">
        <w:rPr>
          <w:rFonts w:eastAsia="Times New Roman" w:cs="Arial"/>
          <w:color w:val="000000"/>
          <w:lang w:eastAsia="bg-BG"/>
        </w:rPr>
        <w:t>Циркулиращият хидрохлоротиазид е свързан със серумните протеини (40-70%), предимно със серумния албумин. Хидрохлоротиазид също така кумулира в еритроцитите приблизително 3 пъти повече, отколкото в плазмата.</w:t>
      </w:r>
    </w:p>
    <w:p w14:paraId="21132723" w14:textId="76D12761" w:rsidR="00C51411" w:rsidRPr="00C51411" w:rsidRDefault="00C51411" w:rsidP="00C51411">
      <w:pPr>
        <w:spacing w:line="240" w:lineRule="auto"/>
        <w:rPr>
          <w:rFonts w:eastAsia="Times New Roman" w:cs="Arial"/>
          <w:color w:val="000000"/>
          <w:lang w:eastAsia="bg-BG"/>
        </w:rPr>
      </w:pPr>
    </w:p>
    <w:p w14:paraId="1F4ECD8E"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Елиминиране</w:t>
      </w:r>
    </w:p>
    <w:p w14:paraId="2D30738A"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Хидрохлоротиазид се елиминира предимно като непроменено лекарствено вещество. Хидрохлоротиазид се елиминира от плазмата с елиминационен полуживот в терминалната елиминационна фаза средно 6 до 15 часа. Не се наблюдават промени в кинетиката на хидрохлоротиазид при многократно дозиране, а кумулирането е минимално, когато се прилага еднократно дневно. Повече от 95% от абсорбираната доза се екскретира като непроменено вещество в урината. Бъбречният клирънс се състои от пасивна филтрация и активна секреция в бъбречните тубули.</w:t>
      </w:r>
    </w:p>
    <w:p w14:paraId="7B024356" w14:textId="77777777" w:rsidR="00C51411" w:rsidRPr="00C51411" w:rsidRDefault="00C51411" w:rsidP="00C51411">
      <w:pPr>
        <w:spacing w:line="240" w:lineRule="auto"/>
        <w:rPr>
          <w:rFonts w:eastAsia="Times New Roman" w:cs="Arial"/>
          <w:color w:val="000000"/>
          <w:u w:val="single"/>
          <w:lang w:eastAsia="bg-BG"/>
        </w:rPr>
      </w:pPr>
    </w:p>
    <w:p w14:paraId="36CD3C64" w14:textId="5C13B48C" w:rsidR="00C51411" w:rsidRPr="00C51411" w:rsidRDefault="00C51411" w:rsidP="00C51411">
      <w:pPr>
        <w:pStyle w:val="Heading3"/>
        <w:rPr>
          <w:rFonts w:eastAsia="Times New Roman"/>
          <w:sz w:val="28"/>
          <w:szCs w:val="28"/>
          <w:u w:val="single"/>
          <w:lang w:eastAsia="bg-BG"/>
        </w:rPr>
      </w:pPr>
      <w:r w:rsidRPr="00C51411">
        <w:rPr>
          <w:rFonts w:eastAsia="Times New Roman"/>
          <w:u w:val="single"/>
          <w:lang w:eastAsia="bg-BG"/>
        </w:rPr>
        <w:t>Специални популации</w:t>
      </w:r>
    </w:p>
    <w:p w14:paraId="570C143B" w14:textId="77777777" w:rsidR="00C51411" w:rsidRPr="00C51411" w:rsidRDefault="00C51411" w:rsidP="00C51411">
      <w:pPr>
        <w:spacing w:line="240" w:lineRule="auto"/>
        <w:rPr>
          <w:rFonts w:eastAsia="Times New Roman" w:cs="Arial"/>
          <w:i/>
          <w:iCs/>
          <w:color w:val="000000"/>
          <w:lang w:eastAsia="bg-BG"/>
        </w:rPr>
      </w:pPr>
    </w:p>
    <w:p w14:paraId="7A929833" w14:textId="6D61ABE3"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Старческа възраст</w:t>
      </w:r>
    </w:p>
    <w:p w14:paraId="64E5CE7E" w14:textId="20DE2A56"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При някои пациенти в старческа възраст е наблюдавана по-голяма системна експозиция на валсартан, отколкото при по-млади пациенти; въпреки това, не е установено, че това има някакво клинично значение.</w:t>
      </w:r>
    </w:p>
    <w:p w14:paraId="5F2F9C40"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Ограничените данни показват, че системният клирънс на хидрохлоротиазид е намален както при здрави пациенти, така и при пациенти с хипертония в старческа възраст, в сравнение с млади здрави доброволци.</w:t>
      </w:r>
    </w:p>
    <w:p w14:paraId="5BA07787" w14:textId="77777777" w:rsidR="00C51411" w:rsidRPr="00C51411" w:rsidRDefault="00C51411" w:rsidP="00C51411">
      <w:pPr>
        <w:spacing w:line="240" w:lineRule="auto"/>
        <w:rPr>
          <w:rFonts w:eastAsia="Times New Roman" w:cs="Arial"/>
          <w:i/>
          <w:iCs/>
          <w:color w:val="000000"/>
          <w:lang w:eastAsia="bg-BG"/>
        </w:rPr>
      </w:pPr>
    </w:p>
    <w:p w14:paraId="408A3358" w14:textId="05710383"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Бъбречно увреждане</w:t>
      </w:r>
    </w:p>
    <w:p w14:paraId="10E0869F"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При препоръчителна доза Валтензин Плюс не са необходими корекции на дозата при пациенти със скорост на гломерулна филтрация </w:t>
      </w:r>
      <w:r w:rsidRPr="00C51411">
        <w:rPr>
          <w:rFonts w:eastAsia="Times New Roman" w:cs="Arial"/>
          <w:color w:val="000000"/>
          <w:lang w:val="en-US"/>
        </w:rPr>
        <w:t xml:space="preserve">(GFR) </w:t>
      </w:r>
      <w:r w:rsidRPr="00C51411">
        <w:rPr>
          <w:rFonts w:eastAsia="Times New Roman" w:cs="Arial"/>
          <w:color w:val="000000"/>
          <w:lang w:eastAsia="bg-BG"/>
        </w:rPr>
        <w:t xml:space="preserve">30-70 </w:t>
      </w:r>
      <w:r w:rsidRPr="00C51411">
        <w:rPr>
          <w:rFonts w:eastAsia="Times New Roman" w:cs="Arial"/>
          <w:color w:val="000000"/>
          <w:lang w:val="en-US"/>
        </w:rPr>
        <w:t>ml/min.</w:t>
      </w:r>
    </w:p>
    <w:p w14:paraId="12881709" w14:textId="77777777" w:rsidR="00C51411" w:rsidRPr="00C51411" w:rsidRDefault="00C51411" w:rsidP="00C51411">
      <w:pPr>
        <w:spacing w:line="240" w:lineRule="auto"/>
        <w:rPr>
          <w:rFonts w:eastAsia="Times New Roman" w:cs="Arial"/>
          <w:color w:val="000000"/>
          <w:lang w:eastAsia="bg-BG"/>
        </w:rPr>
      </w:pPr>
    </w:p>
    <w:p w14:paraId="10993876" w14:textId="4B5B8EF4"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Няма данни за Валтензин Плюс при пациенти с тежко бъбречно увреждане </w:t>
      </w:r>
      <w:r w:rsidRPr="00C51411">
        <w:rPr>
          <w:rFonts w:eastAsia="Times New Roman" w:cs="Arial"/>
          <w:color w:val="000000"/>
          <w:lang w:val="en-US"/>
        </w:rPr>
        <w:t xml:space="preserve">(GFR </w:t>
      </w:r>
      <w:r w:rsidRPr="00C51411">
        <w:rPr>
          <w:rFonts w:eastAsia="Times New Roman" w:cs="Arial"/>
          <w:color w:val="000000"/>
          <w:lang w:eastAsia="bg-BG"/>
        </w:rPr>
        <w:t xml:space="preserve">&lt;30 </w:t>
      </w:r>
      <w:r w:rsidRPr="00C51411">
        <w:rPr>
          <w:rFonts w:eastAsia="Times New Roman" w:cs="Arial"/>
          <w:color w:val="000000"/>
          <w:lang w:val="en-US"/>
        </w:rPr>
        <w:t xml:space="preserve">ml/min) </w:t>
      </w:r>
      <w:r w:rsidRPr="00C51411">
        <w:rPr>
          <w:rFonts w:eastAsia="Times New Roman" w:cs="Arial"/>
          <w:color w:val="000000"/>
          <w:lang w:eastAsia="bg-BG"/>
        </w:rPr>
        <w:t xml:space="preserve">и пациенти на хемодиализа. Валсартан е свързан в голяма степен с плазмените </w:t>
      </w:r>
      <w:r w:rsidRPr="00C51411">
        <w:rPr>
          <w:rFonts w:eastAsia="Times New Roman" w:cs="Arial"/>
          <w:color w:val="000000"/>
          <w:lang w:eastAsia="bg-BG"/>
        </w:rPr>
        <w:lastRenderedPageBreak/>
        <w:t>протеини и не се отстранява при диализа, докато очистването на хидрохлоротиазид се постига чрез диализа.</w:t>
      </w:r>
    </w:p>
    <w:p w14:paraId="36873D8A" w14:textId="77777777" w:rsidR="00C51411" w:rsidRPr="00C51411" w:rsidRDefault="00C51411" w:rsidP="00C51411">
      <w:pPr>
        <w:spacing w:line="240" w:lineRule="auto"/>
        <w:rPr>
          <w:rFonts w:eastAsia="Times New Roman" w:cs="Arial"/>
          <w:color w:val="000000"/>
          <w:lang w:eastAsia="bg-BG"/>
        </w:rPr>
      </w:pPr>
    </w:p>
    <w:p w14:paraId="198B6A30" w14:textId="77777777" w:rsidR="00C51411" w:rsidRPr="00C51411" w:rsidRDefault="00C51411" w:rsidP="00C51411">
      <w:pPr>
        <w:spacing w:line="240" w:lineRule="auto"/>
        <w:rPr>
          <w:rFonts w:eastAsia="Times New Roman" w:cs="Arial"/>
          <w:color w:val="000000"/>
          <w:lang w:eastAsia="bg-BG"/>
        </w:rPr>
      </w:pPr>
      <w:r w:rsidRPr="00C51411">
        <w:rPr>
          <w:rFonts w:eastAsia="Times New Roman" w:cs="Arial"/>
          <w:color w:val="000000"/>
          <w:lang w:eastAsia="bg-BG"/>
        </w:rPr>
        <w:t xml:space="preserve">При бъбречни нарушения средните максимални плазмени концентрации и стойностите на </w:t>
      </w:r>
      <w:r w:rsidRPr="00C51411">
        <w:rPr>
          <w:rFonts w:eastAsia="Times New Roman" w:cs="Arial"/>
          <w:color w:val="000000"/>
          <w:lang w:val="en-US"/>
        </w:rPr>
        <w:t xml:space="preserve">AUC </w:t>
      </w:r>
      <w:r w:rsidRPr="00C51411">
        <w:rPr>
          <w:rFonts w:eastAsia="Times New Roman" w:cs="Arial"/>
          <w:color w:val="000000"/>
          <w:lang w:eastAsia="bg-BG"/>
        </w:rPr>
        <w:t xml:space="preserve">на хидрохлоротиазид се повишават и скоростта на екскрецията чрез урината се понижава. При пациенти с леки до умерени бъбречни нарушения </w:t>
      </w:r>
      <w:r w:rsidRPr="00C51411">
        <w:rPr>
          <w:rFonts w:eastAsia="Times New Roman" w:cs="Arial"/>
          <w:color w:val="000000"/>
          <w:lang w:val="en-US"/>
        </w:rPr>
        <w:t xml:space="preserve">AUC </w:t>
      </w:r>
      <w:r w:rsidRPr="00C51411">
        <w:rPr>
          <w:rFonts w:eastAsia="Times New Roman" w:cs="Arial"/>
          <w:color w:val="000000"/>
          <w:lang w:eastAsia="bg-BG"/>
        </w:rPr>
        <w:t xml:space="preserve">на хидрохлоротиазид се повишава 3- кратно. При пациенти с тежко бъбречно увреждане се наблюдава повишаване на стойностите на </w:t>
      </w:r>
      <w:r w:rsidRPr="00C51411">
        <w:rPr>
          <w:rFonts w:eastAsia="Times New Roman" w:cs="Arial"/>
          <w:color w:val="000000"/>
          <w:lang w:val="en-US"/>
        </w:rPr>
        <w:t xml:space="preserve">AUC </w:t>
      </w:r>
      <w:r w:rsidRPr="00C51411">
        <w:rPr>
          <w:rFonts w:eastAsia="Times New Roman" w:cs="Arial"/>
          <w:color w:val="000000"/>
          <w:lang w:eastAsia="bg-BG"/>
        </w:rPr>
        <w:t xml:space="preserve">на хидрохлоротиазид 8 пъти. </w:t>
      </w:r>
    </w:p>
    <w:p w14:paraId="6117D145" w14:textId="147565B8"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Хидрохлоротиазид е противопоказан за употреба при пациети с тежко бъбречно увреждане (вж. точка 4.3).</w:t>
      </w:r>
    </w:p>
    <w:p w14:paraId="14563C7F" w14:textId="77777777" w:rsidR="00C51411" w:rsidRPr="00C51411" w:rsidRDefault="00C51411" w:rsidP="00C51411">
      <w:pPr>
        <w:spacing w:line="240" w:lineRule="auto"/>
        <w:rPr>
          <w:rFonts w:eastAsia="Times New Roman" w:cs="Arial"/>
          <w:i/>
          <w:iCs/>
          <w:color w:val="000000"/>
          <w:lang w:eastAsia="bg-BG"/>
        </w:rPr>
      </w:pPr>
    </w:p>
    <w:p w14:paraId="69C42C11" w14:textId="36166610"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Чернодробно увреждане</w:t>
      </w:r>
    </w:p>
    <w:p w14:paraId="6CF87D5D" w14:textId="0AF80B01"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Във фармакокинетично изпитване при пациенти с лека (</w:t>
      </w:r>
      <w:r w:rsidRPr="00C51411">
        <w:rPr>
          <w:rFonts w:eastAsia="Times New Roman" w:cs="Arial"/>
          <w:color w:val="000000"/>
          <w:lang w:val="en-US"/>
        </w:rPr>
        <w:t>n=</w:t>
      </w:r>
      <w:r w:rsidRPr="00C51411">
        <w:rPr>
          <w:rFonts w:eastAsia="Times New Roman" w:cs="Arial"/>
          <w:color w:val="000000"/>
          <w:lang w:eastAsia="bg-BG"/>
        </w:rPr>
        <w:t>6) до умерена (</w:t>
      </w:r>
      <w:r w:rsidRPr="00C51411">
        <w:rPr>
          <w:rFonts w:eastAsia="Times New Roman" w:cs="Arial"/>
          <w:color w:val="000000"/>
          <w:lang w:val="en-US"/>
        </w:rPr>
        <w:t>n</w:t>
      </w:r>
      <w:r w:rsidRPr="00C51411">
        <w:rPr>
          <w:rFonts w:eastAsia="Times New Roman" w:cs="Arial"/>
          <w:color w:val="000000"/>
          <w:lang w:eastAsia="bg-BG"/>
        </w:rPr>
        <w:t>=5) чернодробна дисфункция, експозицията на валсартан се повишава приблизително два пъти спрямо здрави доброволци (вж. точки 4.2 и 4.4).</w:t>
      </w:r>
      <w:r w:rsidRPr="00C51411">
        <w:rPr>
          <w:rFonts w:eastAsia="Times New Roman" w:cs="Arial"/>
          <w:sz w:val="28"/>
          <w:szCs w:val="28"/>
          <w:lang w:val="en-US" w:eastAsia="bg-BG"/>
        </w:rPr>
        <w:t xml:space="preserve"> </w:t>
      </w:r>
      <w:r w:rsidRPr="00C51411">
        <w:rPr>
          <w:rFonts w:eastAsia="Times New Roman" w:cs="Arial"/>
          <w:color w:val="000000"/>
          <w:lang w:eastAsia="bg-BG"/>
        </w:rPr>
        <w:t>Липсват данни за употребата на валсартан при пациенти с тежка чернодробна дисфункция (вж. точка 4.3). Чернодробните заболявания не повлияват значимо фармакокинетиката на хидрохлоротиазид.</w:t>
      </w:r>
    </w:p>
    <w:p w14:paraId="7648CA8F" w14:textId="77777777" w:rsidR="00C51411" w:rsidRPr="00C51411" w:rsidRDefault="00C51411" w:rsidP="00C51411"/>
    <w:p w14:paraId="0CC65FE3" w14:textId="6B063A9A" w:rsidR="00EE6C97" w:rsidRDefault="002C50EE" w:rsidP="00A93499">
      <w:pPr>
        <w:pStyle w:val="Heading2"/>
      </w:pPr>
      <w:r>
        <w:t>5.3. Предклинични данни за безопасност</w:t>
      </w:r>
    </w:p>
    <w:p w14:paraId="6903192F" w14:textId="36EA0800" w:rsidR="00C51411" w:rsidRDefault="00C51411" w:rsidP="00C51411"/>
    <w:p w14:paraId="7F74C3BD"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Потенциалната токсичност на комбинацията валсартан-хидрохлоротиазид след перорално приложение е проучена при плъхове и мармозетки в проучвания, продължаващи до шест месеца. Не са установени данни, които биха могли да изключат приложението на терапевтични дози при хора.</w:t>
      </w:r>
    </w:p>
    <w:p w14:paraId="595AB5F7" w14:textId="77777777" w:rsidR="00C51411" w:rsidRPr="00683493" w:rsidRDefault="00C51411" w:rsidP="00C51411">
      <w:pPr>
        <w:spacing w:line="240" w:lineRule="auto"/>
        <w:rPr>
          <w:rFonts w:eastAsia="Times New Roman" w:cs="Arial"/>
          <w:color w:val="000000"/>
          <w:lang w:eastAsia="bg-BG"/>
        </w:rPr>
      </w:pPr>
    </w:p>
    <w:p w14:paraId="357BD6EB" w14:textId="77777777" w:rsidR="00C51411" w:rsidRPr="00683493" w:rsidRDefault="00C51411" w:rsidP="00C51411">
      <w:pPr>
        <w:rPr>
          <w:rFonts w:eastAsia="Times New Roman" w:cs="Arial"/>
          <w:sz w:val="28"/>
          <w:szCs w:val="28"/>
          <w:lang w:eastAsia="bg-BG"/>
        </w:rPr>
      </w:pPr>
      <w:r w:rsidRPr="00C51411">
        <w:rPr>
          <w:rFonts w:eastAsia="Times New Roman" w:cs="Arial"/>
          <w:color w:val="000000"/>
          <w:lang w:eastAsia="bg-BG"/>
        </w:rPr>
        <w:t xml:space="preserve">Измененията, причинени от комбинацията в изпитванията за хроничната токсичност е по- вероятно да са предизвикани от валсартан. Токсикологичният прицелен орган е бъбрекъ, като реакцията е по-изразена при мармозетки, отколкото при плъхове. Комбинацията води до бъбречно увреждане (нефропатия с тубулна базофилия, покачване на серумната урея, серумния креатинин и серумния калий, увеличаване обема на урината и електролитите от 30 </w:t>
      </w:r>
      <w:r w:rsidRPr="00C51411">
        <w:rPr>
          <w:rFonts w:eastAsia="Times New Roman" w:cs="Arial"/>
          <w:color w:val="000000"/>
          <w:lang w:val="en-US"/>
        </w:rPr>
        <w:t>mg/kg/</w:t>
      </w:r>
      <w:r w:rsidRPr="00C51411">
        <w:rPr>
          <w:rFonts w:eastAsia="Times New Roman" w:cs="Arial"/>
          <w:color w:val="000000"/>
          <w:lang w:eastAsia="bg-BG"/>
        </w:rPr>
        <w:t xml:space="preserve">ден валсартан + 9 </w:t>
      </w:r>
      <w:r w:rsidRPr="00C51411">
        <w:rPr>
          <w:rFonts w:eastAsia="Times New Roman" w:cs="Arial"/>
          <w:color w:val="000000"/>
          <w:lang w:val="en-US"/>
        </w:rPr>
        <w:t>mg/kg</w:t>
      </w:r>
      <w:r w:rsidRPr="00C51411">
        <w:rPr>
          <w:rFonts w:eastAsia="Times New Roman" w:cs="Arial"/>
          <w:color w:val="000000"/>
          <w:lang w:eastAsia="bg-BG"/>
        </w:rPr>
        <w:t xml:space="preserve">/ден хидрохлоротиазид при плъхове и 10 + 3 </w:t>
      </w:r>
      <w:r w:rsidRPr="00C51411">
        <w:rPr>
          <w:rFonts w:eastAsia="Times New Roman" w:cs="Arial"/>
          <w:color w:val="000000"/>
          <w:lang w:val="en-US"/>
        </w:rPr>
        <w:t>mg/kg</w:t>
      </w:r>
      <w:r w:rsidRPr="00C51411">
        <w:rPr>
          <w:rFonts w:eastAsia="Times New Roman" w:cs="Arial"/>
          <w:color w:val="000000"/>
          <w:lang w:eastAsia="bg-BG"/>
        </w:rPr>
        <w:t>/ден при мармозетки),</w:t>
      </w:r>
      <w:r w:rsidRPr="00683493">
        <w:rPr>
          <w:rFonts w:eastAsia="Times New Roman" w:cs="Arial"/>
          <w:sz w:val="28"/>
          <w:szCs w:val="28"/>
          <w:lang w:val="en-US" w:eastAsia="bg-BG"/>
        </w:rPr>
        <w:t xml:space="preserve"> </w:t>
      </w:r>
      <w:r w:rsidRPr="00C51411">
        <w:rPr>
          <w:rFonts w:eastAsia="Times New Roman" w:cs="Arial"/>
          <w:color w:val="000000"/>
          <w:lang w:eastAsia="bg-BG"/>
        </w:rPr>
        <w:t>вероятно чрез променена бъбречна хемодинамика. Тези дози при плъхове, съответно</w:t>
      </w:r>
      <w:r w:rsidRPr="00683493">
        <w:rPr>
          <w:rFonts w:eastAsia="Times New Roman" w:cs="Arial"/>
          <w:sz w:val="28"/>
          <w:szCs w:val="28"/>
          <w:lang w:val="en-US" w:eastAsia="bg-BG"/>
        </w:rPr>
        <w:t xml:space="preserve"> </w:t>
      </w:r>
      <w:r w:rsidRPr="00683493">
        <w:rPr>
          <w:rFonts w:eastAsia="Times New Roman" w:cs="Arial"/>
          <w:color w:val="000000"/>
          <w:lang w:eastAsia="bg-BG"/>
        </w:rPr>
        <w:t>представляват 0,9 и 3,5-пъти максималната препоръчителна доза при хора на валсартан и</w:t>
      </w:r>
      <w:r w:rsidRPr="00683493">
        <w:rPr>
          <w:rFonts w:eastAsia="Times New Roman" w:cs="Arial"/>
          <w:color w:val="000000"/>
          <w:lang w:val="en-US" w:eastAsia="bg-BG"/>
        </w:rPr>
        <w:t xml:space="preserve"> </w:t>
      </w:r>
      <w:r w:rsidRPr="00683493">
        <w:rPr>
          <w:rFonts w:eastAsia="Times New Roman" w:cs="Arial"/>
          <w:color w:val="000000"/>
          <w:lang w:eastAsia="bg-BG"/>
        </w:rPr>
        <w:t xml:space="preserve">хидрохлоротиазид, изчислени на база </w:t>
      </w:r>
      <w:r w:rsidRPr="00683493">
        <w:rPr>
          <w:rFonts w:eastAsia="Times New Roman" w:cs="Arial"/>
          <w:color w:val="000000"/>
          <w:lang w:val="en-US"/>
        </w:rPr>
        <w:t>mg/m</w:t>
      </w:r>
      <w:r w:rsidRPr="00683493">
        <w:rPr>
          <w:rFonts w:eastAsia="Times New Roman" w:cs="Arial"/>
          <w:color w:val="000000"/>
          <w:vertAlign w:val="superscript"/>
          <w:lang w:val="en-US"/>
        </w:rPr>
        <w:t>2</w:t>
      </w:r>
      <w:r w:rsidRPr="00683493">
        <w:rPr>
          <w:rFonts w:eastAsia="Times New Roman" w:cs="Arial"/>
          <w:color w:val="000000"/>
          <w:lang w:val="en-US"/>
        </w:rPr>
        <w:t xml:space="preserve">. </w:t>
      </w:r>
      <w:r w:rsidRPr="00683493">
        <w:rPr>
          <w:rFonts w:eastAsia="Times New Roman" w:cs="Arial"/>
          <w:color w:val="000000"/>
          <w:lang w:eastAsia="bg-BG"/>
        </w:rPr>
        <w:t xml:space="preserve">Тези дози при мармозетки, съответно, представляват 0,3 и 1,2-пъти максималната препоръчителна доза при хора на валсартан и хидрохлоротиазид въз основа на </w:t>
      </w:r>
      <w:r w:rsidRPr="00683493">
        <w:rPr>
          <w:rFonts w:eastAsia="Times New Roman" w:cs="Arial"/>
          <w:color w:val="000000"/>
          <w:lang w:val="en-US"/>
        </w:rPr>
        <w:t>mg/m</w:t>
      </w:r>
      <w:r w:rsidRPr="00683493">
        <w:rPr>
          <w:rFonts w:eastAsia="Times New Roman" w:cs="Arial"/>
          <w:color w:val="000000"/>
          <w:vertAlign w:val="superscript"/>
          <w:lang w:val="en-US"/>
        </w:rPr>
        <w:t>2</w:t>
      </w:r>
      <w:r w:rsidRPr="00683493">
        <w:rPr>
          <w:rFonts w:eastAsia="Times New Roman" w:cs="Arial"/>
          <w:color w:val="000000"/>
          <w:lang w:val="en-US"/>
        </w:rPr>
        <w:t xml:space="preserve">. </w:t>
      </w:r>
      <w:r w:rsidRPr="00683493">
        <w:rPr>
          <w:rFonts w:eastAsia="Times New Roman" w:cs="Arial"/>
          <w:color w:val="000000"/>
          <w:lang w:eastAsia="bg-BG"/>
        </w:rPr>
        <w:t xml:space="preserve">(Изчисленията се отнасят за перорална доза от 320 </w:t>
      </w:r>
      <w:r w:rsidRPr="00683493">
        <w:rPr>
          <w:rFonts w:eastAsia="Times New Roman" w:cs="Arial"/>
          <w:color w:val="000000"/>
          <w:lang w:val="en-US"/>
        </w:rPr>
        <w:t>mg</w:t>
      </w:r>
      <w:r w:rsidRPr="00683493">
        <w:rPr>
          <w:rFonts w:eastAsia="Times New Roman" w:cs="Arial"/>
          <w:color w:val="000000"/>
          <w:lang w:eastAsia="bg-BG"/>
        </w:rPr>
        <w:t xml:space="preserve">/ден валсартан в комбинация с 25 </w:t>
      </w:r>
      <w:r w:rsidRPr="00683493">
        <w:rPr>
          <w:rFonts w:eastAsia="Times New Roman" w:cs="Arial"/>
          <w:color w:val="000000"/>
          <w:lang w:val="en-US"/>
        </w:rPr>
        <w:t>mg</w:t>
      </w:r>
      <w:r w:rsidRPr="00683493">
        <w:rPr>
          <w:rFonts w:eastAsia="Times New Roman" w:cs="Arial"/>
          <w:color w:val="000000"/>
          <w:lang w:eastAsia="bg-BG"/>
        </w:rPr>
        <w:t xml:space="preserve">/ден хидрохлоротиазид и пациент с тегло 60 </w:t>
      </w:r>
      <w:r w:rsidRPr="00683493">
        <w:rPr>
          <w:rFonts w:eastAsia="Times New Roman" w:cs="Arial"/>
          <w:color w:val="000000"/>
          <w:lang w:val="en-US"/>
        </w:rPr>
        <w:t>kg.)</w:t>
      </w:r>
    </w:p>
    <w:p w14:paraId="7803C9B0" w14:textId="77777777" w:rsidR="00C51411" w:rsidRPr="00683493" w:rsidRDefault="00C51411" w:rsidP="00C51411">
      <w:pPr>
        <w:spacing w:line="240" w:lineRule="auto"/>
        <w:rPr>
          <w:rFonts w:eastAsia="Times New Roman" w:cs="Arial"/>
          <w:color w:val="000000"/>
          <w:lang w:eastAsia="bg-BG"/>
        </w:rPr>
      </w:pPr>
    </w:p>
    <w:p w14:paraId="6AF0C578" w14:textId="38678FC8"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Високи дози от комбинацията валсартан-хидрохлоротиазид предизвикват спад в индексите на еритроцитите (еритроцити, хемоглобин, хематокрит, от 100 + 31 </w:t>
      </w:r>
      <w:r w:rsidRPr="00C51411">
        <w:rPr>
          <w:rFonts w:eastAsia="Times New Roman" w:cs="Arial"/>
          <w:color w:val="000000"/>
          <w:lang w:val="en-US"/>
        </w:rPr>
        <w:t>mg/kg</w:t>
      </w:r>
      <w:r w:rsidRPr="00C51411">
        <w:rPr>
          <w:rFonts w:eastAsia="Times New Roman" w:cs="Arial"/>
          <w:color w:val="000000"/>
          <w:lang w:eastAsia="bg-BG"/>
        </w:rPr>
        <w:t xml:space="preserve">/ден при плъхове и 30 + 9 </w:t>
      </w:r>
      <w:r w:rsidRPr="00C51411">
        <w:rPr>
          <w:rFonts w:eastAsia="Times New Roman" w:cs="Arial"/>
          <w:color w:val="000000"/>
          <w:lang w:val="en-US"/>
        </w:rPr>
        <w:t>mg/kg</w:t>
      </w:r>
      <w:r w:rsidRPr="00C51411">
        <w:rPr>
          <w:rFonts w:eastAsia="Times New Roman" w:cs="Arial"/>
          <w:color w:val="000000"/>
          <w:lang w:eastAsia="bg-BG"/>
        </w:rPr>
        <w:t xml:space="preserve">/ден при мармозетки). При плъхове тези дози съответстват на 3,0 и 12 пъти максималната препоръчителна доза при хора на валсартан и хидрохлоротиазид, изчислени на база </w:t>
      </w:r>
      <w:r w:rsidRPr="00C51411">
        <w:rPr>
          <w:rFonts w:eastAsia="Times New Roman" w:cs="Arial"/>
          <w:color w:val="000000"/>
          <w:lang w:val="en-US"/>
        </w:rPr>
        <w:t>mg/m</w:t>
      </w:r>
      <w:r w:rsidRPr="00C51411">
        <w:rPr>
          <w:rFonts w:eastAsia="Times New Roman" w:cs="Arial"/>
          <w:color w:val="000000"/>
          <w:vertAlign w:val="superscript"/>
          <w:lang w:val="en-US"/>
        </w:rPr>
        <w:t>2</w:t>
      </w:r>
      <w:r w:rsidRPr="00C51411">
        <w:rPr>
          <w:rFonts w:eastAsia="Times New Roman" w:cs="Arial"/>
          <w:color w:val="000000"/>
          <w:lang w:val="en-US"/>
        </w:rPr>
        <w:t xml:space="preserve">. </w:t>
      </w:r>
      <w:r w:rsidRPr="00C51411">
        <w:rPr>
          <w:rFonts w:eastAsia="Times New Roman" w:cs="Arial"/>
          <w:color w:val="000000"/>
          <w:lang w:eastAsia="bg-BG"/>
        </w:rPr>
        <w:t xml:space="preserve">При мармозетки тези дози съответстват на 0,9 и 3,5 пъти максималната препоръчителна доза при хора на валсартан и хидрохлоротиазид, изчислени на база </w:t>
      </w:r>
      <w:r w:rsidRPr="00C51411">
        <w:rPr>
          <w:rFonts w:eastAsia="Times New Roman" w:cs="Arial"/>
          <w:color w:val="000000"/>
          <w:lang w:val="en-US"/>
        </w:rPr>
        <w:t>mg/m</w:t>
      </w:r>
      <w:r w:rsidRPr="00C51411">
        <w:rPr>
          <w:rFonts w:eastAsia="Times New Roman" w:cs="Arial"/>
          <w:color w:val="000000"/>
          <w:vertAlign w:val="superscript"/>
          <w:lang w:val="en-US"/>
        </w:rPr>
        <w:t>2</w:t>
      </w:r>
      <w:r w:rsidRPr="00C51411">
        <w:rPr>
          <w:rFonts w:eastAsia="Times New Roman" w:cs="Arial"/>
          <w:color w:val="000000"/>
          <w:lang w:val="en-US"/>
        </w:rPr>
        <w:t xml:space="preserve">. </w:t>
      </w:r>
      <w:r w:rsidRPr="00C51411">
        <w:rPr>
          <w:rFonts w:eastAsia="Times New Roman" w:cs="Arial"/>
          <w:color w:val="000000"/>
          <w:lang w:eastAsia="bg-BG"/>
        </w:rPr>
        <w:t xml:space="preserve">(Изчисленията се отнасят за перорална доза от 320 </w:t>
      </w:r>
      <w:r w:rsidRPr="00C51411">
        <w:rPr>
          <w:rFonts w:eastAsia="Times New Roman" w:cs="Arial"/>
          <w:color w:val="000000"/>
          <w:lang w:val="en-US"/>
        </w:rPr>
        <w:t>mg</w:t>
      </w:r>
      <w:r w:rsidRPr="00C51411">
        <w:rPr>
          <w:rFonts w:eastAsia="Times New Roman" w:cs="Arial"/>
          <w:color w:val="000000"/>
          <w:lang w:eastAsia="bg-BG"/>
        </w:rPr>
        <w:t xml:space="preserve">/ден валсартан в комбинация с 25 </w:t>
      </w:r>
      <w:r w:rsidRPr="00C51411">
        <w:rPr>
          <w:rFonts w:eastAsia="Times New Roman" w:cs="Arial"/>
          <w:color w:val="000000"/>
          <w:lang w:val="en-US"/>
        </w:rPr>
        <w:t>mg</w:t>
      </w:r>
      <w:r w:rsidRPr="00C51411">
        <w:rPr>
          <w:rFonts w:eastAsia="Times New Roman" w:cs="Arial"/>
          <w:color w:val="000000"/>
          <w:lang w:eastAsia="bg-BG"/>
        </w:rPr>
        <w:t xml:space="preserve">/ден хидрохлоротиазид и пациент с тегло 60 </w:t>
      </w:r>
      <w:r w:rsidRPr="00C51411">
        <w:rPr>
          <w:rFonts w:eastAsia="Times New Roman" w:cs="Arial"/>
          <w:color w:val="000000"/>
          <w:lang w:val="en-US"/>
        </w:rPr>
        <w:t>kg.).</w:t>
      </w:r>
    </w:p>
    <w:p w14:paraId="4DC18A9D" w14:textId="77777777" w:rsidR="00C51411" w:rsidRPr="00683493" w:rsidRDefault="00C51411" w:rsidP="00C51411">
      <w:pPr>
        <w:spacing w:line="240" w:lineRule="auto"/>
        <w:rPr>
          <w:rFonts w:eastAsia="Times New Roman" w:cs="Arial"/>
          <w:color w:val="000000"/>
          <w:lang w:eastAsia="bg-BG"/>
        </w:rPr>
      </w:pPr>
    </w:p>
    <w:p w14:paraId="31D46D1A" w14:textId="445D6391"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lastRenderedPageBreak/>
        <w:t xml:space="preserve">При мармозетки, е наблюдавано увреждане на стомашната лигавица (от 30 + 9 </w:t>
      </w:r>
      <w:r w:rsidRPr="00C51411">
        <w:rPr>
          <w:rFonts w:eastAsia="Times New Roman" w:cs="Arial"/>
          <w:color w:val="000000"/>
          <w:lang w:val="en-US"/>
        </w:rPr>
        <w:t>mg/kg</w:t>
      </w:r>
      <w:r w:rsidRPr="00C51411">
        <w:rPr>
          <w:rFonts w:eastAsia="Times New Roman" w:cs="Arial"/>
          <w:color w:val="000000"/>
          <w:lang w:eastAsia="bg-BG"/>
        </w:rPr>
        <w:t xml:space="preserve">/ден). Комбинацията също е довела до хиперплазия на аферентните артериоли в бъбреците (при 600 + 188 </w:t>
      </w:r>
      <w:r w:rsidRPr="00C51411">
        <w:rPr>
          <w:rFonts w:eastAsia="Times New Roman" w:cs="Arial"/>
          <w:color w:val="000000"/>
          <w:lang w:val="en-US"/>
        </w:rPr>
        <w:t>mg/kg</w:t>
      </w:r>
      <w:r w:rsidRPr="00C51411">
        <w:rPr>
          <w:rFonts w:eastAsia="Times New Roman" w:cs="Arial"/>
          <w:color w:val="000000"/>
          <w:lang w:eastAsia="bg-BG"/>
        </w:rPr>
        <w:t xml:space="preserve">/ден при плъхове и от 30 + 9 </w:t>
      </w:r>
      <w:r w:rsidRPr="00C51411">
        <w:rPr>
          <w:rFonts w:eastAsia="Times New Roman" w:cs="Arial"/>
          <w:color w:val="000000"/>
          <w:lang w:val="en-US"/>
        </w:rPr>
        <w:t>mg/kg</w:t>
      </w:r>
      <w:r w:rsidRPr="00C51411">
        <w:rPr>
          <w:rFonts w:eastAsia="Times New Roman" w:cs="Arial"/>
          <w:color w:val="000000"/>
          <w:lang w:eastAsia="bg-BG"/>
        </w:rPr>
        <w:t xml:space="preserve">/ден при маркозетки). При мармозетки тези дози съответстват на 0,9 и 3,5 пъти максималната препоръчителна доза при хора на валсартан и хидрохлоротиазид, изчислени на база </w:t>
      </w:r>
      <w:r w:rsidRPr="00C51411">
        <w:rPr>
          <w:rFonts w:eastAsia="Times New Roman" w:cs="Arial"/>
          <w:color w:val="000000"/>
          <w:lang w:val="en-US"/>
        </w:rPr>
        <w:t>mg/m</w:t>
      </w:r>
      <w:r w:rsidRPr="00C51411">
        <w:rPr>
          <w:rFonts w:eastAsia="Times New Roman" w:cs="Arial"/>
          <w:color w:val="000000"/>
          <w:vertAlign w:val="superscript"/>
          <w:lang w:val="en-US"/>
        </w:rPr>
        <w:t>2</w:t>
      </w:r>
      <w:r w:rsidRPr="00C51411">
        <w:rPr>
          <w:rFonts w:eastAsia="Times New Roman" w:cs="Arial"/>
          <w:color w:val="000000"/>
          <w:lang w:val="en-US"/>
        </w:rPr>
        <w:t xml:space="preserve">. </w:t>
      </w:r>
      <w:r w:rsidRPr="00C51411">
        <w:rPr>
          <w:rFonts w:eastAsia="Times New Roman" w:cs="Arial"/>
          <w:color w:val="000000"/>
          <w:lang w:eastAsia="bg-BG"/>
        </w:rPr>
        <w:t xml:space="preserve">При плъхове тези дози съответстват на 18 и 73 пъти максималната препоръчителна доза при хора на валсартан и хидрохлоротиазид, изчислени на база </w:t>
      </w:r>
      <w:r w:rsidRPr="00C51411">
        <w:rPr>
          <w:rFonts w:eastAsia="Times New Roman" w:cs="Arial"/>
          <w:color w:val="000000"/>
          <w:lang w:val="en-US"/>
        </w:rPr>
        <w:t>mg/m</w:t>
      </w:r>
      <w:r w:rsidRPr="00C51411">
        <w:rPr>
          <w:rFonts w:eastAsia="Times New Roman" w:cs="Arial"/>
          <w:color w:val="000000"/>
          <w:vertAlign w:val="superscript"/>
          <w:lang w:val="en-US"/>
        </w:rPr>
        <w:t>2</w:t>
      </w:r>
      <w:r w:rsidRPr="00C51411">
        <w:rPr>
          <w:rFonts w:eastAsia="Times New Roman" w:cs="Arial"/>
          <w:color w:val="000000"/>
          <w:lang w:val="en-US"/>
        </w:rPr>
        <w:t xml:space="preserve">. </w:t>
      </w:r>
      <w:r w:rsidRPr="00C51411">
        <w:rPr>
          <w:rFonts w:eastAsia="Times New Roman" w:cs="Arial"/>
          <w:color w:val="000000"/>
          <w:lang w:eastAsia="bg-BG"/>
        </w:rPr>
        <w:t xml:space="preserve">(Изчисленията се отнасят за перорална доза от 320 </w:t>
      </w:r>
      <w:r w:rsidRPr="00C51411">
        <w:rPr>
          <w:rFonts w:eastAsia="Times New Roman" w:cs="Arial"/>
          <w:color w:val="000000"/>
          <w:lang w:val="en-US"/>
        </w:rPr>
        <w:t>mg</w:t>
      </w:r>
      <w:r w:rsidRPr="00C51411">
        <w:rPr>
          <w:rFonts w:eastAsia="Times New Roman" w:cs="Arial"/>
          <w:color w:val="000000"/>
          <w:lang w:eastAsia="bg-BG"/>
        </w:rPr>
        <w:t xml:space="preserve">/ден валсартан в комбинация с 25 </w:t>
      </w:r>
      <w:r w:rsidRPr="00C51411">
        <w:rPr>
          <w:rFonts w:eastAsia="Times New Roman" w:cs="Arial"/>
          <w:color w:val="000000"/>
          <w:lang w:val="en-US"/>
        </w:rPr>
        <w:t>mg</w:t>
      </w:r>
      <w:r w:rsidRPr="00C51411">
        <w:rPr>
          <w:rFonts w:eastAsia="Times New Roman" w:cs="Arial"/>
          <w:color w:val="000000"/>
          <w:lang w:eastAsia="bg-BG"/>
        </w:rPr>
        <w:t xml:space="preserve">/ден хидрохлоротиазид и пациент с тегло 60 </w:t>
      </w:r>
      <w:r w:rsidRPr="00C51411">
        <w:rPr>
          <w:rFonts w:eastAsia="Times New Roman" w:cs="Arial"/>
          <w:color w:val="000000"/>
          <w:lang w:val="en-US"/>
        </w:rPr>
        <w:t>kg).</w:t>
      </w:r>
    </w:p>
    <w:p w14:paraId="46FA94D4" w14:textId="77777777" w:rsidR="00C51411" w:rsidRPr="00683493" w:rsidRDefault="00C51411" w:rsidP="00C51411">
      <w:pPr>
        <w:spacing w:line="240" w:lineRule="auto"/>
        <w:rPr>
          <w:rFonts w:eastAsia="Times New Roman" w:cs="Arial"/>
          <w:color w:val="000000"/>
          <w:lang w:eastAsia="bg-BG"/>
        </w:rPr>
      </w:pPr>
    </w:p>
    <w:p w14:paraId="3D6A567D" w14:textId="14EF9A2E"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Ефектите, описани по-горе вероятно се дължат на фармакологичните ефекти на високите дози валсартан (блокада на ангиотензин </w:t>
      </w:r>
      <w:r w:rsidRPr="00C51411">
        <w:rPr>
          <w:rFonts w:eastAsia="Times New Roman" w:cs="Arial"/>
          <w:color w:val="000000"/>
          <w:lang w:val="en-US"/>
        </w:rPr>
        <w:t>II</w:t>
      </w:r>
      <w:r w:rsidRPr="00C51411">
        <w:rPr>
          <w:rFonts w:eastAsia="Times New Roman" w:cs="Arial"/>
          <w:color w:val="000000"/>
          <w:lang w:eastAsia="bg-BG"/>
        </w:rPr>
        <w:t>-индуцирано инхибиране на освобождаването на ренин, със стимулиране на ренин-продуциращите клетки) и се срещат също и при АСЕ инхибиторите. Тези данни вероятно нямат практическо значение по отношение на терапевтичното приложение на валсартан при хора.</w:t>
      </w:r>
    </w:p>
    <w:p w14:paraId="3D6F3909" w14:textId="77777777" w:rsidR="00C51411" w:rsidRPr="00683493" w:rsidRDefault="00C51411" w:rsidP="00C51411">
      <w:pPr>
        <w:spacing w:line="240" w:lineRule="auto"/>
        <w:rPr>
          <w:rFonts w:eastAsia="Times New Roman" w:cs="Arial"/>
          <w:color w:val="000000"/>
          <w:lang w:eastAsia="bg-BG"/>
        </w:rPr>
      </w:pPr>
    </w:p>
    <w:p w14:paraId="3384BD4C" w14:textId="162C52BF"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Комбинацията валсартан - хидрохлоротиазид не е проучвана за мутагенност, хромозомни аномалии или карциногенност, тъй като няма данни за взаимодействие между двете вещества. Въпреки това, тези тестове са проведени поотделно с валсартан и хидрохлоротиазид, и не са показали данни за мутагенност, хромозомни аномалии или карциногенност.</w:t>
      </w:r>
    </w:p>
    <w:p w14:paraId="6BAFE648" w14:textId="77777777" w:rsidR="00C51411" w:rsidRPr="00683493" w:rsidRDefault="00C51411" w:rsidP="00C51411">
      <w:pPr>
        <w:spacing w:line="240" w:lineRule="auto"/>
        <w:rPr>
          <w:rFonts w:eastAsia="Times New Roman" w:cs="Arial"/>
          <w:color w:val="000000"/>
          <w:lang w:eastAsia="bg-BG"/>
        </w:rPr>
      </w:pPr>
    </w:p>
    <w:p w14:paraId="065ED5D1" w14:textId="6EEBEB54"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При плъхове, токсичните дози на валсартан за майката (600 </w:t>
      </w:r>
      <w:r w:rsidRPr="00C51411">
        <w:rPr>
          <w:rFonts w:eastAsia="Times New Roman" w:cs="Arial"/>
          <w:color w:val="000000"/>
          <w:lang w:val="en-US"/>
        </w:rPr>
        <w:t>mg/kg</w:t>
      </w:r>
      <w:r w:rsidRPr="00C51411">
        <w:rPr>
          <w:rFonts w:eastAsia="Times New Roman" w:cs="Arial"/>
          <w:color w:val="000000"/>
          <w:lang w:eastAsia="bg-BG"/>
        </w:rPr>
        <w:t xml:space="preserve">/ден) през последните дни от бременността и кърменето са довели до по-ниска преживяемост, по-малко наддаване на тегло и забавено развитие (отделяне на ушната мида и отваряне на слуховия канал) на поколението (вж. раздел 4.6). Тези дози при плъхове (600 </w:t>
      </w:r>
      <w:r w:rsidRPr="00C51411">
        <w:rPr>
          <w:rFonts w:eastAsia="Times New Roman" w:cs="Arial"/>
          <w:color w:val="000000"/>
          <w:lang w:val="en-US"/>
        </w:rPr>
        <w:t>mg/kg</w:t>
      </w:r>
      <w:r w:rsidRPr="00C51411">
        <w:rPr>
          <w:rFonts w:eastAsia="Times New Roman" w:cs="Arial"/>
          <w:color w:val="000000"/>
          <w:lang w:eastAsia="bg-BG"/>
        </w:rPr>
        <w:t xml:space="preserve">/ден) са приблизително 18 пъти максималната препоръчителна доза при хора, изчислени на база </w:t>
      </w:r>
      <w:r w:rsidRPr="00C51411">
        <w:rPr>
          <w:rFonts w:eastAsia="Times New Roman" w:cs="Arial"/>
          <w:color w:val="000000"/>
          <w:lang w:val="en-US"/>
        </w:rPr>
        <w:t>mg/m</w:t>
      </w:r>
      <w:r w:rsidRPr="00C51411">
        <w:rPr>
          <w:rFonts w:eastAsia="Times New Roman" w:cs="Arial"/>
          <w:color w:val="000000"/>
          <w:vertAlign w:val="superscript"/>
          <w:lang w:val="en-US"/>
        </w:rPr>
        <w:t>2</w:t>
      </w:r>
      <w:r w:rsidRPr="00C51411">
        <w:rPr>
          <w:rFonts w:eastAsia="Times New Roman" w:cs="Arial"/>
          <w:color w:val="000000"/>
          <w:lang w:val="en-US"/>
        </w:rPr>
        <w:t xml:space="preserve"> </w:t>
      </w:r>
      <w:r w:rsidRPr="00C51411">
        <w:rPr>
          <w:rFonts w:eastAsia="Times New Roman" w:cs="Arial"/>
          <w:color w:val="000000"/>
          <w:lang w:eastAsia="bg-BG"/>
        </w:rPr>
        <w:t xml:space="preserve">(изчисленията се отнасят за перорална доза от 320 </w:t>
      </w:r>
      <w:r w:rsidRPr="00C51411">
        <w:rPr>
          <w:rFonts w:eastAsia="Times New Roman" w:cs="Arial"/>
          <w:color w:val="000000"/>
          <w:lang w:val="en-US"/>
        </w:rPr>
        <w:t>mg</w:t>
      </w:r>
      <w:r w:rsidRPr="00C51411">
        <w:rPr>
          <w:rFonts w:eastAsia="Times New Roman" w:cs="Arial"/>
          <w:color w:val="000000"/>
          <w:lang w:eastAsia="bg-BG"/>
        </w:rPr>
        <w:t xml:space="preserve">/ден и пациент с тегло 60 </w:t>
      </w:r>
      <w:r w:rsidRPr="00C51411">
        <w:rPr>
          <w:rFonts w:eastAsia="Times New Roman" w:cs="Arial"/>
          <w:color w:val="000000"/>
          <w:lang w:val="en-US"/>
        </w:rPr>
        <w:t xml:space="preserve">kg). </w:t>
      </w:r>
      <w:r w:rsidRPr="00C51411">
        <w:rPr>
          <w:rFonts w:eastAsia="Times New Roman" w:cs="Arial"/>
          <w:color w:val="000000"/>
          <w:lang w:eastAsia="bg-BG"/>
        </w:rPr>
        <w:t xml:space="preserve">Сходни резултати са наблюдавани с валсартан/хидрохлоротиазид при плъхове и зайци. В изпитвания за ембриофеталното развитие (Сегмент </w:t>
      </w:r>
      <w:r w:rsidRPr="00C51411">
        <w:rPr>
          <w:rFonts w:eastAsia="Times New Roman" w:cs="Arial"/>
          <w:color w:val="000000"/>
          <w:lang w:val="en-US"/>
        </w:rPr>
        <w:t>II</w:t>
      </w:r>
      <w:r w:rsidRPr="00C51411">
        <w:rPr>
          <w:rFonts w:eastAsia="Times New Roman" w:cs="Arial"/>
          <w:color w:val="000000"/>
          <w:lang w:eastAsia="bg-BG"/>
        </w:rPr>
        <w:t>) с валсартан/ хидрохлоротиазид при плъхове и зайци няма данни за тератогенност; въпреки това, е наблюдавана фетотоксичност, свързана с майчината токсичност.</w:t>
      </w:r>
    </w:p>
    <w:p w14:paraId="4B41BF5E" w14:textId="7F3D7828" w:rsidR="00C51411" w:rsidRPr="00C51411" w:rsidRDefault="00C51411" w:rsidP="00C51411">
      <w:pPr>
        <w:spacing w:line="240" w:lineRule="auto"/>
        <w:rPr>
          <w:rFonts w:ascii="Times New Roman" w:eastAsia="Times New Roman" w:hAnsi="Times New Roman" w:cs="Times New Roman"/>
          <w:sz w:val="24"/>
          <w:szCs w:val="24"/>
          <w:lang w:val="en-US" w:eastAsia="bg-BG"/>
        </w:rPr>
      </w:pPr>
    </w:p>
    <w:p w14:paraId="357049A8" w14:textId="2F4C7BA7" w:rsidR="00BB22B4" w:rsidRDefault="002C50EE" w:rsidP="00471F10">
      <w:pPr>
        <w:pStyle w:val="Heading1"/>
      </w:pPr>
      <w:r>
        <w:t>7. ПРИТЕЖАТЕЛ НА РАЗРЕШЕНИЕТО ЗА УПОТРЕБА</w:t>
      </w:r>
    </w:p>
    <w:p w14:paraId="2430950E" w14:textId="76D2F653" w:rsidR="00683493" w:rsidRDefault="00683493" w:rsidP="00683493"/>
    <w:p w14:paraId="4F6534A6" w14:textId="77777777" w:rsidR="00683493" w:rsidRDefault="00683493" w:rsidP="00683493">
      <w:r>
        <w:t xml:space="preserve">Teva B.V. </w:t>
      </w:r>
    </w:p>
    <w:p w14:paraId="6ADB0782" w14:textId="77777777" w:rsidR="00683493" w:rsidRDefault="00683493" w:rsidP="00683493">
      <w:pPr>
        <w:rPr>
          <w:lang w:eastAsia="bg-BG"/>
        </w:rPr>
      </w:pPr>
      <w:r>
        <w:t xml:space="preserve">Swensweg </w:t>
      </w:r>
      <w:r>
        <w:rPr>
          <w:lang w:eastAsia="bg-BG"/>
        </w:rPr>
        <w:t xml:space="preserve">5 </w:t>
      </w:r>
    </w:p>
    <w:p w14:paraId="193E9382" w14:textId="77777777" w:rsidR="00683493" w:rsidRDefault="00683493" w:rsidP="00683493">
      <w:r>
        <w:rPr>
          <w:lang w:eastAsia="bg-BG"/>
        </w:rPr>
        <w:t xml:space="preserve">2031 </w:t>
      </w:r>
      <w:r>
        <w:t xml:space="preserve">GA Haarlem </w:t>
      </w:r>
    </w:p>
    <w:p w14:paraId="1640CFDB" w14:textId="6FBBF8A4" w:rsidR="00683493" w:rsidRPr="00683493" w:rsidRDefault="00683493" w:rsidP="00683493">
      <w:r>
        <w:rPr>
          <w:lang w:eastAsia="bg-BG"/>
        </w:rPr>
        <w:t>Нидерландия</w:t>
      </w:r>
    </w:p>
    <w:p w14:paraId="0A53321D" w14:textId="51848955" w:rsidR="00EE6C97" w:rsidRDefault="00936AD0" w:rsidP="00A93499">
      <w:pPr>
        <w:pStyle w:val="Heading1"/>
      </w:pPr>
      <w:r>
        <w:t>8.</w:t>
      </w:r>
      <w:r w:rsidR="002C50EE">
        <w:t>НОМЕР НА РАЗРЕШЕНИЕТО ЗА УПОТРЕБА</w:t>
      </w:r>
    </w:p>
    <w:p w14:paraId="64955187" w14:textId="4F65851A" w:rsidR="00683493" w:rsidRDefault="00683493" w:rsidP="00683493"/>
    <w:p w14:paraId="10AE042D" w14:textId="77777777" w:rsidR="00683493" w:rsidRPr="00683493" w:rsidRDefault="00683493" w:rsidP="00683493">
      <w:pPr>
        <w:rPr>
          <w:sz w:val="24"/>
          <w:szCs w:val="24"/>
          <w:lang w:eastAsia="bg-BG"/>
        </w:rPr>
      </w:pPr>
      <w:r w:rsidRPr="00683493">
        <w:rPr>
          <w:lang w:eastAsia="bg-BG"/>
        </w:rPr>
        <w:t xml:space="preserve">Валтензин Плюс 320 </w:t>
      </w:r>
      <w:r w:rsidRPr="00683493">
        <w:rPr>
          <w:lang w:val="en-US"/>
        </w:rPr>
        <w:t xml:space="preserve">mg/12,5 mg </w:t>
      </w:r>
      <w:r w:rsidRPr="00683493">
        <w:rPr>
          <w:lang w:eastAsia="bg-BG"/>
        </w:rPr>
        <w:t xml:space="preserve">филмирани таблетки - </w:t>
      </w:r>
      <w:r w:rsidRPr="00683493">
        <w:rPr>
          <w:lang w:val="en-US"/>
        </w:rPr>
        <w:t xml:space="preserve">per. </w:t>
      </w:r>
      <w:r w:rsidRPr="00683493">
        <w:rPr>
          <w:lang w:eastAsia="bg-BG"/>
        </w:rPr>
        <w:t>№ 20110396</w:t>
      </w:r>
    </w:p>
    <w:p w14:paraId="04B02737" w14:textId="7EE2E898" w:rsidR="00683493" w:rsidRPr="00683493" w:rsidRDefault="00683493" w:rsidP="00683493">
      <w:r w:rsidRPr="00683493">
        <w:rPr>
          <w:lang w:eastAsia="bg-BG"/>
        </w:rPr>
        <w:t xml:space="preserve">Валтензин Плюс 320 </w:t>
      </w:r>
      <w:r w:rsidRPr="00683493">
        <w:rPr>
          <w:lang w:val="en-US"/>
        </w:rPr>
        <w:t xml:space="preserve">mg/25 mg </w:t>
      </w:r>
      <w:r w:rsidRPr="00683493">
        <w:rPr>
          <w:lang w:eastAsia="bg-BG"/>
        </w:rPr>
        <w:t xml:space="preserve">филмирани таблетки - </w:t>
      </w:r>
      <w:r w:rsidRPr="00683493">
        <w:rPr>
          <w:lang w:val="en-US"/>
        </w:rPr>
        <w:t xml:space="preserve">per. </w:t>
      </w:r>
      <w:r w:rsidRPr="00683493">
        <w:rPr>
          <w:lang w:eastAsia="bg-BG"/>
        </w:rPr>
        <w:t>№ 20110397</w:t>
      </w:r>
    </w:p>
    <w:p w14:paraId="3715C10B" w14:textId="0C72BE31" w:rsidR="00BB22B4" w:rsidRDefault="002C50EE" w:rsidP="00471F10">
      <w:pPr>
        <w:pStyle w:val="Heading1"/>
      </w:pPr>
      <w:r>
        <w:lastRenderedPageBreak/>
        <w:t>9. ДАТА НА ПЪРВО РАЗРЕШАВАНЕ/ПОДНОВЯВАНЕ НА РАЗРЕШЕНИЕТО ЗА УПОТРЕБА</w:t>
      </w:r>
    </w:p>
    <w:p w14:paraId="28F727AF" w14:textId="2CBA1BCC" w:rsidR="00683493" w:rsidRDefault="00683493" w:rsidP="00683493"/>
    <w:p w14:paraId="7F4CCFD9" w14:textId="77777777" w:rsidR="00683493" w:rsidRPr="00683493" w:rsidRDefault="00683493" w:rsidP="00683493">
      <w:pPr>
        <w:rPr>
          <w:sz w:val="24"/>
          <w:szCs w:val="24"/>
          <w:lang w:eastAsia="bg-BG"/>
        </w:rPr>
      </w:pPr>
      <w:r w:rsidRPr="00683493">
        <w:rPr>
          <w:lang w:eastAsia="bg-BG"/>
        </w:rPr>
        <w:t>Дата на първо разрешаване: 28.06.2011 г.</w:t>
      </w:r>
    </w:p>
    <w:p w14:paraId="40CEB82F" w14:textId="77777777" w:rsidR="00683493" w:rsidRPr="00683493" w:rsidRDefault="00683493" w:rsidP="00683493">
      <w:pPr>
        <w:rPr>
          <w:sz w:val="24"/>
          <w:szCs w:val="24"/>
          <w:lang w:eastAsia="bg-BG"/>
        </w:rPr>
      </w:pPr>
      <w:r w:rsidRPr="00683493">
        <w:rPr>
          <w:lang w:eastAsia="bg-BG"/>
        </w:rPr>
        <w:t>Дата на последно подновяване: 05.07.2016 г.</w:t>
      </w:r>
    </w:p>
    <w:p w14:paraId="7AC935ED" w14:textId="77777777" w:rsidR="00683493" w:rsidRPr="00683493" w:rsidRDefault="00683493" w:rsidP="00683493"/>
    <w:p w14:paraId="43FB38A2" w14:textId="0C18A683" w:rsidR="007C605B" w:rsidRDefault="002C50EE" w:rsidP="005726E3">
      <w:pPr>
        <w:pStyle w:val="Heading1"/>
      </w:pPr>
      <w:r>
        <w:t>10. ДАТА НА АКТУАЛИЗИРАНЕ НА ТЕКСТА</w:t>
      </w:r>
      <w:bookmarkEnd w:id="0"/>
    </w:p>
    <w:p w14:paraId="472617BD" w14:textId="3BA44A42" w:rsidR="00BB22B4" w:rsidRPr="00BB22B4" w:rsidRDefault="00BB22B4" w:rsidP="00EE6C97"/>
    <w:sectPr w:rsidR="00BB22B4" w:rsidRPr="00BB2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8C95238"/>
    <w:multiLevelType w:val="hybridMultilevel"/>
    <w:tmpl w:val="891EAF04"/>
    <w:lvl w:ilvl="0" w:tplc="04B61F84">
      <w:start w:val="4"/>
      <w:numFmt w:val="bullet"/>
      <w:lvlText w:val="-"/>
      <w:lvlJc w:val="left"/>
      <w:pPr>
        <w:ind w:left="720" w:hanging="360"/>
      </w:pPr>
      <w:rPr>
        <w:rFonts w:ascii="Times New Roman" w:eastAsia="Times New Roman" w:hAnsi="Times New Roman" w:cs="Times New Roman" w:hint="default"/>
        <w:color w:val="000000"/>
        <w:sz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9304D31"/>
    <w:multiLevelType w:val="hybridMultilevel"/>
    <w:tmpl w:val="558E9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5"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E06251"/>
    <w:multiLevelType w:val="hybridMultilevel"/>
    <w:tmpl w:val="1090A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74118384">
    <w:abstractNumId w:val="31"/>
  </w:num>
  <w:num w:numId="2" w16cid:durableId="1612932146">
    <w:abstractNumId w:val="0"/>
  </w:num>
  <w:num w:numId="3" w16cid:durableId="1810323821">
    <w:abstractNumId w:val="16"/>
  </w:num>
  <w:num w:numId="4" w16cid:durableId="2135319613">
    <w:abstractNumId w:val="3"/>
  </w:num>
  <w:num w:numId="5" w16cid:durableId="740105516">
    <w:abstractNumId w:val="1"/>
  </w:num>
  <w:num w:numId="6" w16cid:durableId="1668363208">
    <w:abstractNumId w:val="20"/>
  </w:num>
  <w:num w:numId="7" w16cid:durableId="1241988161">
    <w:abstractNumId w:val="12"/>
  </w:num>
  <w:num w:numId="8" w16cid:durableId="2102022361">
    <w:abstractNumId w:val="19"/>
  </w:num>
  <w:num w:numId="9" w16cid:durableId="1154613663">
    <w:abstractNumId w:val="2"/>
  </w:num>
  <w:num w:numId="10" w16cid:durableId="1733848127">
    <w:abstractNumId w:val="4"/>
  </w:num>
  <w:num w:numId="11" w16cid:durableId="1861704680">
    <w:abstractNumId w:val="34"/>
  </w:num>
  <w:num w:numId="12" w16cid:durableId="1434934028">
    <w:abstractNumId w:val="17"/>
  </w:num>
  <w:num w:numId="13" w16cid:durableId="479157895">
    <w:abstractNumId w:val="23"/>
  </w:num>
  <w:num w:numId="14" w16cid:durableId="1670476636">
    <w:abstractNumId w:val="15"/>
  </w:num>
  <w:num w:numId="15" w16cid:durableId="1000155783">
    <w:abstractNumId w:val="33"/>
  </w:num>
  <w:num w:numId="16" w16cid:durableId="2056420707">
    <w:abstractNumId w:val="11"/>
  </w:num>
  <w:num w:numId="17" w16cid:durableId="1787119182">
    <w:abstractNumId w:val="28"/>
  </w:num>
  <w:num w:numId="18" w16cid:durableId="722945139">
    <w:abstractNumId w:val="8"/>
  </w:num>
  <w:num w:numId="19" w16cid:durableId="1678728408">
    <w:abstractNumId w:val="30"/>
  </w:num>
  <w:num w:numId="20" w16cid:durableId="1970816657">
    <w:abstractNumId w:val="27"/>
  </w:num>
  <w:num w:numId="21" w16cid:durableId="1531146514">
    <w:abstractNumId w:val="21"/>
  </w:num>
  <w:num w:numId="22" w16cid:durableId="1276465">
    <w:abstractNumId w:val="29"/>
  </w:num>
  <w:num w:numId="23" w16cid:durableId="1624310558">
    <w:abstractNumId w:val="22"/>
  </w:num>
  <w:num w:numId="24" w16cid:durableId="1692877547">
    <w:abstractNumId w:val="9"/>
  </w:num>
  <w:num w:numId="25" w16cid:durableId="50930855">
    <w:abstractNumId w:val="26"/>
  </w:num>
  <w:num w:numId="26" w16cid:durableId="176701536">
    <w:abstractNumId w:val="25"/>
  </w:num>
  <w:num w:numId="27" w16cid:durableId="2050564750">
    <w:abstractNumId w:val="35"/>
  </w:num>
  <w:num w:numId="28" w16cid:durableId="1820733422">
    <w:abstractNumId w:val="6"/>
  </w:num>
  <w:num w:numId="29" w16cid:durableId="973678124">
    <w:abstractNumId w:val="24"/>
  </w:num>
  <w:num w:numId="30" w16cid:durableId="154884452">
    <w:abstractNumId w:val="39"/>
  </w:num>
  <w:num w:numId="31" w16cid:durableId="1053964910">
    <w:abstractNumId w:val="5"/>
  </w:num>
  <w:num w:numId="32" w16cid:durableId="2073575793">
    <w:abstractNumId w:val="37"/>
  </w:num>
  <w:num w:numId="33" w16cid:durableId="1566643170">
    <w:abstractNumId w:val="32"/>
  </w:num>
  <w:num w:numId="34" w16cid:durableId="2060787732">
    <w:abstractNumId w:val="36"/>
  </w:num>
  <w:num w:numId="35" w16cid:durableId="34161354">
    <w:abstractNumId w:val="7"/>
  </w:num>
  <w:num w:numId="36" w16cid:durableId="1976908676">
    <w:abstractNumId w:val="10"/>
  </w:num>
  <w:num w:numId="37" w16cid:durableId="758528303">
    <w:abstractNumId w:val="18"/>
  </w:num>
  <w:num w:numId="38" w16cid:durableId="178396561">
    <w:abstractNumId w:val="38"/>
  </w:num>
  <w:num w:numId="39" w16cid:durableId="934825996">
    <w:abstractNumId w:val="14"/>
  </w:num>
  <w:num w:numId="40" w16cid:durableId="1567765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85A46"/>
    <w:rsid w:val="001915B6"/>
    <w:rsid w:val="001A6EBD"/>
    <w:rsid w:val="001D1B23"/>
    <w:rsid w:val="002B3C38"/>
    <w:rsid w:val="002B4DBB"/>
    <w:rsid w:val="002C50EE"/>
    <w:rsid w:val="00340A0A"/>
    <w:rsid w:val="003765DC"/>
    <w:rsid w:val="00395555"/>
    <w:rsid w:val="003E3126"/>
    <w:rsid w:val="00426E5F"/>
    <w:rsid w:val="00471F10"/>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3493"/>
    <w:rsid w:val="00685882"/>
    <w:rsid w:val="007122AD"/>
    <w:rsid w:val="00735CBB"/>
    <w:rsid w:val="0075649D"/>
    <w:rsid w:val="007C605B"/>
    <w:rsid w:val="008134C8"/>
    <w:rsid w:val="00814073"/>
    <w:rsid w:val="00826F0D"/>
    <w:rsid w:val="00875EEC"/>
    <w:rsid w:val="00893B92"/>
    <w:rsid w:val="008A6AF2"/>
    <w:rsid w:val="008C70A2"/>
    <w:rsid w:val="00926409"/>
    <w:rsid w:val="00936AD0"/>
    <w:rsid w:val="00954129"/>
    <w:rsid w:val="009773E4"/>
    <w:rsid w:val="009B171C"/>
    <w:rsid w:val="009F1313"/>
    <w:rsid w:val="00A20351"/>
    <w:rsid w:val="00A65A81"/>
    <w:rsid w:val="00A71DCF"/>
    <w:rsid w:val="00A93499"/>
    <w:rsid w:val="00AA23EC"/>
    <w:rsid w:val="00AC63CE"/>
    <w:rsid w:val="00AE2107"/>
    <w:rsid w:val="00B275A8"/>
    <w:rsid w:val="00B6672E"/>
    <w:rsid w:val="00BA5B74"/>
    <w:rsid w:val="00BB22B4"/>
    <w:rsid w:val="00BF2600"/>
    <w:rsid w:val="00C0049F"/>
    <w:rsid w:val="00C07B84"/>
    <w:rsid w:val="00C33464"/>
    <w:rsid w:val="00C40420"/>
    <w:rsid w:val="00C51411"/>
    <w:rsid w:val="00C809A7"/>
    <w:rsid w:val="00C83063"/>
    <w:rsid w:val="00C87E90"/>
    <w:rsid w:val="00CA1B57"/>
    <w:rsid w:val="00CF77F7"/>
    <w:rsid w:val="00D86297"/>
    <w:rsid w:val="00DB32D3"/>
    <w:rsid w:val="00DD466D"/>
    <w:rsid w:val="00E005BB"/>
    <w:rsid w:val="00EB6364"/>
    <w:rsid w:val="00EE6C97"/>
    <w:rsid w:val="00F37B64"/>
    <w:rsid w:val="00F53FB7"/>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8252</Words>
  <Characters>47038</Characters>
  <Application>Microsoft Office Word</Application>
  <DocSecurity>0</DocSecurity>
  <Lines>391</Lines>
  <Paragraphs>110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ВАСИЛЕВ</cp:lastModifiedBy>
  <cp:revision>2</cp:revision>
  <dcterms:created xsi:type="dcterms:W3CDTF">2023-01-04T16:15:00Z</dcterms:created>
  <dcterms:modified xsi:type="dcterms:W3CDTF">2023-01-04T16:15:00Z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