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7FF4C87C" w:rsidR="00F53FB7" w:rsidRDefault="00DD466D" w:rsidP="00A93499">
      <w:pPr>
        <w:pStyle w:val="Heading1"/>
      </w:pPr>
      <w:r>
        <w:t>1.ИМЕ НА ЛЕКАРСТВЕНИЯ ПРОДУКТ</w:t>
      </w:r>
    </w:p>
    <w:p w14:paraId="6CBC3D8C" w14:textId="0C92117C" w:rsidR="00CA3703" w:rsidRDefault="00CA3703" w:rsidP="00CA3703"/>
    <w:p w14:paraId="3A046C4F" w14:textId="77777777" w:rsidR="00CA3703" w:rsidRPr="00CA3703" w:rsidRDefault="00CA3703" w:rsidP="00CA3703">
      <w:pPr>
        <w:rPr>
          <w:sz w:val="24"/>
          <w:szCs w:val="24"/>
          <w:lang w:val="en-US" w:eastAsia="bg-BG"/>
        </w:rPr>
      </w:pPr>
      <w:r w:rsidRPr="00CA3703">
        <w:rPr>
          <w:lang w:eastAsia="bg-BG"/>
        </w:rPr>
        <w:t xml:space="preserve">ВАПРЕС 80 </w:t>
      </w:r>
      <w:r w:rsidRPr="00CA3703">
        <w:rPr>
          <w:lang w:val="en-US"/>
        </w:rPr>
        <w:t xml:space="preserve">mg </w:t>
      </w:r>
      <w:r w:rsidRPr="00CA3703">
        <w:rPr>
          <w:lang w:eastAsia="bg-BG"/>
        </w:rPr>
        <w:t>филмирани таблетки</w:t>
      </w:r>
    </w:p>
    <w:p w14:paraId="56BBD77B" w14:textId="77777777" w:rsidR="00CA3703" w:rsidRPr="00CA3703" w:rsidRDefault="00CA3703" w:rsidP="00CA3703">
      <w:pPr>
        <w:rPr>
          <w:sz w:val="24"/>
          <w:szCs w:val="24"/>
          <w:lang w:val="en-US" w:eastAsia="bg-BG"/>
        </w:rPr>
      </w:pPr>
      <w:r w:rsidRPr="00CA3703">
        <w:rPr>
          <w:lang w:val="en-US"/>
        </w:rPr>
        <w:t xml:space="preserve">VAPRESS </w:t>
      </w:r>
      <w:r w:rsidRPr="00CA3703">
        <w:rPr>
          <w:lang w:eastAsia="bg-BG"/>
        </w:rPr>
        <w:t xml:space="preserve">80 </w:t>
      </w:r>
      <w:r w:rsidRPr="00CA3703">
        <w:rPr>
          <w:lang w:val="en-US"/>
        </w:rPr>
        <w:t>mg film-coated tablets</w:t>
      </w:r>
    </w:p>
    <w:p w14:paraId="7F468024" w14:textId="77777777" w:rsidR="00CA3703" w:rsidRPr="00CA3703" w:rsidRDefault="00CA3703" w:rsidP="00CA3703">
      <w:pPr>
        <w:rPr>
          <w:sz w:val="24"/>
          <w:szCs w:val="24"/>
          <w:lang w:val="en-US" w:eastAsia="bg-BG"/>
        </w:rPr>
      </w:pPr>
      <w:r w:rsidRPr="00CA3703">
        <w:rPr>
          <w:lang w:eastAsia="bg-BG"/>
        </w:rPr>
        <w:t xml:space="preserve">ВАПРЕС 160 </w:t>
      </w:r>
      <w:r w:rsidRPr="00CA3703">
        <w:rPr>
          <w:lang w:val="en-US"/>
        </w:rPr>
        <w:t xml:space="preserve">mg </w:t>
      </w:r>
      <w:r w:rsidRPr="00CA3703">
        <w:rPr>
          <w:lang w:eastAsia="bg-BG"/>
        </w:rPr>
        <w:t>филмирани таблетки</w:t>
      </w:r>
    </w:p>
    <w:p w14:paraId="4EAEEBF3" w14:textId="77777777" w:rsidR="00CA3703" w:rsidRPr="00CA3703" w:rsidRDefault="00CA3703" w:rsidP="00CA3703">
      <w:pPr>
        <w:rPr>
          <w:sz w:val="24"/>
          <w:szCs w:val="24"/>
          <w:lang w:val="en-US" w:eastAsia="bg-BG"/>
        </w:rPr>
      </w:pPr>
      <w:r w:rsidRPr="00CA3703">
        <w:rPr>
          <w:lang w:val="en-US"/>
        </w:rPr>
        <w:t xml:space="preserve">VAPRESS </w:t>
      </w:r>
      <w:r w:rsidRPr="00CA3703">
        <w:rPr>
          <w:lang w:eastAsia="bg-BG"/>
        </w:rPr>
        <w:t xml:space="preserve">160 </w:t>
      </w:r>
      <w:r w:rsidRPr="00CA3703">
        <w:rPr>
          <w:lang w:val="en-US"/>
        </w:rPr>
        <w:t>mg film-coated tablets</w:t>
      </w:r>
    </w:p>
    <w:p w14:paraId="5AB56BA1" w14:textId="77777777" w:rsidR="00CA3703" w:rsidRPr="00CA3703" w:rsidRDefault="00CA3703" w:rsidP="00CA3703"/>
    <w:p w14:paraId="0DF202EC" w14:textId="637D08C3" w:rsidR="00F53FB7" w:rsidRDefault="00DD466D" w:rsidP="00A93499">
      <w:pPr>
        <w:pStyle w:val="Heading1"/>
      </w:pPr>
      <w:r>
        <w:t>2. КАЧЕСТВЕН И КОЛИЧЕСТВЕН СЪСТАВ</w:t>
      </w:r>
    </w:p>
    <w:p w14:paraId="4EC6071E" w14:textId="1E0BE16B" w:rsidR="00CA3703" w:rsidRDefault="00CA3703" w:rsidP="00CA3703"/>
    <w:p w14:paraId="2C842802"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 xml:space="preserve">ВАПРЕС 80 </w:t>
      </w:r>
      <w:r w:rsidRPr="00CA3703">
        <w:rPr>
          <w:rFonts w:eastAsia="Times New Roman" w:cs="Arial"/>
          <w:color w:val="000000"/>
          <w:lang w:val="en-US"/>
        </w:rPr>
        <w:t xml:space="preserve">mg </w:t>
      </w:r>
      <w:r w:rsidRPr="00CA3703">
        <w:rPr>
          <w:rFonts w:eastAsia="Times New Roman" w:cs="Arial"/>
          <w:color w:val="000000"/>
          <w:lang w:eastAsia="bg-BG"/>
        </w:rPr>
        <w:t xml:space="preserve">филмирани таблетки: Всяка филмирана таблетка съдържа 80 </w:t>
      </w:r>
      <w:r w:rsidRPr="00CA3703">
        <w:rPr>
          <w:rFonts w:eastAsia="Times New Roman" w:cs="Arial"/>
          <w:color w:val="000000"/>
          <w:lang w:val="en-US"/>
        </w:rPr>
        <w:t xml:space="preserve">mg </w:t>
      </w:r>
      <w:r w:rsidRPr="00CA3703">
        <w:rPr>
          <w:rFonts w:eastAsia="Times New Roman" w:cs="Arial"/>
          <w:color w:val="000000"/>
          <w:lang w:eastAsia="bg-BG"/>
        </w:rPr>
        <w:t xml:space="preserve">валсартан </w:t>
      </w:r>
      <w:r w:rsidRPr="00CA3703">
        <w:rPr>
          <w:rFonts w:eastAsia="Times New Roman" w:cs="Arial"/>
          <w:i/>
          <w:iCs/>
          <w:color w:val="000000"/>
          <w:lang w:val="en-US"/>
        </w:rPr>
        <w:t>(</w:t>
      </w:r>
      <w:proofErr w:type="spellStart"/>
      <w:r w:rsidRPr="00CA3703">
        <w:rPr>
          <w:rFonts w:eastAsia="Times New Roman" w:cs="Arial"/>
          <w:i/>
          <w:iCs/>
          <w:color w:val="000000"/>
          <w:lang w:val="en-US"/>
        </w:rPr>
        <w:t>yalsartan</w:t>
      </w:r>
      <w:proofErr w:type="spellEnd"/>
      <w:r w:rsidRPr="00CA3703">
        <w:rPr>
          <w:rFonts w:eastAsia="Times New Roman" w:cs="Arial"/>
          <w:i/>
          <w:iCs/>
          <w:color w:val="000000"/>
          <w:lang w:val="en-US"/>
        </w:rPr>
        <w:t>).</w:t>
      </w:r>
    </w:p>
    <w:p w14:paraId="48D37F57" w14:textId="3241E470"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ВАПРЕС 160</w:t>
      </w:r>
      <w:r w:rsidRPr="00CA3703">
        <w:rPr>
          <w:rFonts w:eastAsia="Times New Roman" w:cs="Arial"/>
          <w:color w:val="000000"/>
          <w:lang w:val="en-US"/>
        </w:rPr>
        <w:t xml:space="preserve"> mg </w:t>
      </w:r>
      <w:r w:rsidRPr="00CA3703">
        <w:rPr>
          <w:rFonts w:eastAsia="Times New Roman" w:cs="Arial"/>
          <w:color w:val="000000"/>
          <w:lang w:eastAsia="bg-BG"/>
        </w:rPr>
        <w:t xml:space="preserve">филмирани таблетки: Всяка филмирана таблетка съдържа 160 </w:t>
      </w:r>
      <w:r w:rsidRPr="00CA3703">
        <w:rPr>
          <w:rFonts w:eastAsia="Times New Roman" w:cs="Arial"/>
          <w:color w:val="000000"/>
          <w:lang w:val="en-US"/>
        </w:rPr>
        <w:t xml:space="preserve">mg </w:t>
      </w:r>
      <w:r w:rsidRPr="00CA3703">
        <w:rPr>
          <w:rFonts w:eastAsia="Times New Roman" w:cs="Arial"/>
          <w:color w:val="000000"/>
          <w:lang w:eastAsia="bg-BG"/>
        </w:rPr>
        <w:t xml:space="preserve">валсартан </w:t>
      </w:r>
      <w:r w:rsidRPr="00CA3703">
        <w:rPr>
          <w:rFonts w:eastAsia="Times New Roman" w:cs="Arial"/>
          <w:i/>
          <w:iCs/>
          <w:color w:val="000000"/>
          <w:lang w:val="en-US"/>
        </w:rPr>
        <w:t>(valsartan).</w:t>
      </w:r>
    </w:p>
    <w:p w14:paraId="4CABB9ED" w14:textId="3E289D0C" w:rsidR="00F53FB7" w:rsidRDefault="00DD466D" w:rsidP="00A93499">
      <w:pPr>
        <w:pStyle w:val="Heading1"/>
      </w:pPr>
      <w:r>
        <w:t>3. ЛЕКАРСТВЕНА ФОРМА</w:t>
      </w:r>
    </w:p>
    <w:p w14:paraId="371DBA10" w14:textId="0A77D673" w:rsidR="00CA3703" w:rsidRDefault="00CA3703" w:rsidP="00CA3703"/>
    <w:p w14:paraId="7D6AD3F4"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Филмирана таблетка.</w:t>
      </w:r>
    </w:p>
    <w:p w14:paraId="70EA4139" w14:textId="77777777" w:rsidR="00CA3703" w:rsidRPr="00CA3703" w:rsidRDefault="00CA3703" w:rsidP="00CA3703">
      <w:pPr>
        <w:spacing w:line="240" w:lineRule="auto"/>
        <w:rPr>
          <w:rFonts w:eastAsia="Times New Roman" w:cs="Arial"/>
          <w:color w:val="000000"/>
          <w:lang w:eastAsia="bg-BG"/>
        </w:rPr>
      </w:pPr>
    </w:p>
    <w:p w14:paraId="065223EA" w14:textId="017497A5"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 xml:space="preserve">ВАПРЕС 80 </w:t>
      </w:r>
      <w:r w:rsidRPr="00CA3703">
        <w:rPr>
          <w:rFonts w:eastAsia="Times New Roman" w:cs="Arial"/>
          <w:color w:val="000000"/>
          <w:lang w:val="en-US"/>
        </w:rPr>
        <w:t xml:space="preserve">mg </w:t>
      </w:r>
      <w:r w:rsidRPr="00CA3703">
        <w:rPr>
          <w:rFonts w:eastAsia="Times New Roman" w:cs="Arial"/>
          <w:color w:val="000000"/>
          <w:lang w:eastAsia="bg-BG"/>
        </w:rPr>
        <w:t xml:space="preserve">филмирани таблетки: Жълти, кръгли, изпъкнали филмирани таблетки с делителна черта и диаметър на ядрото 10.4 </w:t>
      </w:r>
      <w:r w:rsidRPr="00CA3703">
        <w:rPr>
          <w:rFonts w:eastAsia="Times New Roman" w:cs="Arial"/>
          <w:color w:val="000000"/>
          <w:lang w:val="en-US"/>
        </w:rPr>
        <w:t xml:space="preserve">mm. </w:t>
      </w:r>
      <w:r w:rsidRPr="00CA3703">
        <w:rPr>
          <w:rFonts w:eastAsia="Times New Roman" w:cs="Arial"/>
          <w:color w:val="000000"/>
          <w:lang w:eastAsia="bg-BG"/>
        </w:rPr>
        <w:t>Делителната черта служи само за улесняване разделянето на таблетката с цел по-лесно поглъщане, а не разделя таблетката на две равни половини.</w:t>
      </w:r>
    </w:p>
    <w:p w14:paraId="18388D9E"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 xml:space="preserve">ВАПРЕС 160 </w:t>
      </w:r>
      <w:r w:rsidRPr="00CA3703">
        <w:rPr>
          <w:rFonts w:eastAsia="Times New Roman" w:cs="Arial"/>
          <w:color w:val="000000"/>
          <w:lang w:val="en-US"/>
        </w:rPr>
        <w:t xml:space="preserve">mg </w:t>
      </w:r>
      <w:r w:rsidRPr="00CA3703">
        <w:rPr>
          <w:rFonts w:eastAsia="Times New Roman" w:cs="Arial"/>
          <w:color w:val="000000"/>
          <w:lang w:eastAsia="bg-BG"/>
        </w:rPr>
        <w:t xml:space="preserve">филмирани таблетки: Жълти, изпъкнали филмирани таблетки с форма на капсула, с делителна черта от едната страна и надпис МС от другата и с размери на ядрото 17.5 х 8 </w:t>
      </w:r>
      <w:r w:rsidRPr="00CA3703">
        <w:rPr>
          <w:rFonts w:eastAsia="Times New Roman" w:cs="Arial"/>
          <w:color w:val="000000"/>
          <w:lang w:val="en-US"/>
        </w:rPr>
        <w:t xml:space="preserve">mm. </w:t>
      </w:r>
      <w:r w:rsidRPr="00CA3703">
        <w:rPr>
          <w:rFonts w:eastAsia="Times New Roman" w:cs="Arial"/>
          <w:color w:val="000000"/>
          <w:lang w:eastAsia="bg-BG"/>
        </w:rPr>
        <w:t>Делителната черта служи само за улесняване разделянето на таблетката с цел по-лесно поглъщане, а не разделя таблетката на две равни половини.</w:t>
      </w:r>
    </w:p>
    <w:p w14:paraId="326ABD10" w14:textId="77777777" w:rsidR="00CA3703" w:rsidRPr="00CA3703" w:rsidRDefault="00CA3703" w:rsidP="00CA3703"/>
    <w:p w14:paraId="490FC2C4" w14:textId="6899DE43" w:rsidR="002C50EE" w:rsidRDefault="002C50EE" w:rsidP="002C50EE">
      <w:pPr>
        <w:pStyle w:val="Heading1"/>
      </w:pPr>
      <w:r>
        <w:t>4. КЛИНИЧНИ ДАННИ</w:t>
      </w:r>
    </w:p>
    <w:p w14:paraId="1A37D275" w14:textId="632EFF6C" w:rsidR="00F53FB7" w:rsidRDefault="002C50EE" w:rsidP="00A93499">
      <w:pPr>
        <w:pStyle w:val="Heading2"/>
      </w:pPr>
      <w:r>
        <w:t>4.1. Терапевтични показания</w:t>
      </w:r>
    </w:p>
    <w:p w14:paraId="1D09B238" w14:textId="1806DBF9" w:rsidR="00CA3703" w:rsidRDefault="00CA3703" w:rsidP="00CA3703"/>
    <w:p w14:paraId="5F2BDAED" w14:textId="77777777" w:rsidR="00CA3703" w:rsidRPr="00CA3703" w:rsidRDefault="00CA3703" w:rsidP="00CA3703">
      <w:pPr>
        <w:spacing w:line="240" w:lineRule="auto"/>
        <w:rPr>
          <w:rFonts w:ascii="Times New Roman" w:eastAsia="Times New Roman" w:hAnsi="Times New Roman" w:cs="Times New Roman"/>
          <w:sz w:val="24"/>
          <w:szCs w:val="24"/>
          <w:lang w:eastAsia="bg-BG"/>
        </w:rPr>
      </w:pPr>
      <w:r w:rsidRPr="00CA3703">
        <w:rPr>
          <w:rFonts w:ascii="Times New Roman" w:eastAsia="Times New Roman" w:hAnsi="Times New Roman" w:cs="Times New Roman"/>
          <w:color w:val="000000"/>
          <w:u w:val="single"/>
          <w:lang w:eastAsia="bg-BG"/>
        </w:rPr>
        <w:t>Хипертония</w:t>
      </w:r>
    </w:p>
    <w:p w14:paraId="307A9BC7"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Лечение на есенциална хипертония при възрастни и хипертония при деца и юноши на възраст от 6 до под 18 години.</w:t>
      </w:r>
    </w:p>
    <w:p w14:paraId="2BB2EBE6" w14:textId="77777777" w:rsidR="00CA3703" w:rsidRPr="00CA3703" w:rsidRDefault="00CA3703" w:rsidP="00CA3703">
      <w:pPr>
        <w:spacing w:line="240" w:lineRule="auto"/>
        <w:rPr>
          <w:rFonts w:eastAsia="Times New Roman" w:cs="Arial"/>
          <w:color w:val="000000"/>
          <w:u w:val="single"/>
          <w:lang w:eastAsia="bg-BG"/>
        </w:rPr>
      </w:pPr>
    </w:p>
    <w:p w14:paraId="6AB6E76C" w14:textId="0BC8A6C8"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u w:val="single"/>
          <w:lang w:eastAsia="bg-BG"/>
        </w:rPr>
        <w:t>Скорошен инфаркт на миокар</w:t>
      </w:r>
      <w:r w:rsidRPr="00CA3703">
        <w:rPr>
          <w:rFonts w:eastAsia="Times New Roman" w:cs="Arial"/>
          <w:color w:val="000000"/>
          <w:lang w:eastAsia="bg-BG"/>
        </w:rPr>
        <w:t>да</w:t>
      </w:r>
    </w:p>
    <w:p w14:paraId="05D91B0A"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Лечение на клинично стабилни възрастни със симптоматична сърдечна недостатъчност или асимптоматична левокамерна систолна дисфункция след скорошен (12 часа до 10 дни) инфаркт на миокарда (вж. точка 4.4 и точка 5.1).</w:t>
      </w:r>
    </w:p>
    <w:p w14:paraId="39217458" w14:textId="77777777" w:rsidR="00CA3703" w:rsidRPr="00CA3703" w:rsidRDefault="00CA3703" w:rsidP="00CA3703">
      <w:pPr>
        <w:spacing w:line="240" w:lineRule="auto"/>
        <w:rPr>
          <w:rFonts w:eastAsia="Times New Roman" w:cs="Arial"/>
          <w:color w:val="000000"/>
          <w:u w:val="single"/>
          <w:lang w:eastAsia="bg-BG"/>
        </w:rPr>
      </w:pPr>
    </w:p>
    <w:p w14:paraId="74EF0B52" w14:textId="0A109499"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u w:val="single"/>
          <w:lang w:eastAsia="bg-BG"/>
        </w:rPr>
        <w:t>Сърдечна недостатъчност</w:t>
      </w:r>
    </w:p>
    <w:p w14:paraId="11924DF1"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 xml:space="preserve">Лечение на възрастни пациенти със симптоматична сърдечна недостатъчност, когато инхибитори на ангиотензин конвертиращия ензим (АСЕ) не се понасят, или при пациенти </w:t>
      </w:r>
      <w:r w:rsidRPr="00CA3703">
        <w:rPr>
          <w:rFonts w:eastAsia="Times New Roman" w:cs="Arial"/>
          <w:color w:val="000000"/>
          <w:lang w:eastAsia="bg-BG"/>
        </w:rPr>
        <w:lastRenderedPageBreak/>
        <w:t>с непоносимост към бета блокери като допълваща терапия към терапията с АСЕ инхибитори, когато не е възможно да се използват минералкортикоидни рецепторни антагонисти (вж. точки 4.2,</w:t>
      </w:r>
      <w:r w:rsidRPr="00CA3703">
        <w:rPr>
          <w:rFonts w:eastAsia="Times New Roman" w:cs="Arial"/>
          <w:color w:val="000000"/>
          <w:lang w:val="en-US"/>
        </w:rPr>
        <w:t xml:space="preserve"> </w:t>
      </w:r>
      <w:r w:rsidRPr="00CA3703">
        <w:rPr>
          <w:rFonts w:eastAsia="Times New Roman" w:cs="Arial"/>
          <w:color w:val="000000"/>
          <w:lang w:eastAsia="bg-BG"/>
        </w:rPr>
        <w:t>4.4, 4.5 и 5.1).</w:t>
      </w:r>
    </w:p>
    <w:p w14:paraId="5A3199D3" w14:textId="77777777" w:rsidR="00CA3703" w:rsidRPr="00CA3703" w:rsidRDefault="00CA3703" w:rsidP="00CA3703"/>
    <w:p w14:paraId="05D17336" w14:textId="0EABDF97" w:rsidR="00F53FB7" w:rsidRDefault="002C50EE" w:rsidP="00A93499">
      <w:pPr>
        <w:pStyle w:val="Heading2"/>
      </w:pPr>
      <w:r>
        <w:t>4.2. Дозировка и начин на приложение</w:t>
      </w:r>
    </w:p>
    <w:p w14:paraId="72AD4F16" w14:textId="7DBFF7C6" w:rsidR="00CA3703" w:rsidRDefault="00CA3703" w:rsidP="00CA3703"/>
    <w:p w14:paraId="0FE4C4C6" w14:textId="77777777" w:rsidR="00CA3703" w:rsidRPr="00976CF1" w:rsidRDefault="00CA3703" w:rsidP="00976CF1">
      <w:pPr>
        <w:pStyle w:val="Heading3"/>
        <w:rPr>
          <w:rFonts w:eastAsia="Times New Roman"/>
          <w:u w:val="single"/>
          <w:lang w:eastAsia="bg-BG"/>
        </w:rPr>
      </w:pPr>
      <w:r w:rsidRPr="00976CF1">
        <w:rPr>
          <w:rFonts w:eastAsia="Times New Roman"/>
          <w:u w:val="single"/>
          <w:lang w:eastAsia="bg-BG"/>
        </w:rPr>
        <w:t>Дозировка</w:t>
      </w:r>
    </w:p>
    <w:p w14:paraId="022077EE" w14:textId="77777777" w:rsidR="00CA3703" w:rsidRPr="00976CF1" w:rsidRDefault="00CA3703" w:rsidP="00CA3703">
      <w:pPr>
        <w:spacing w:line="240" w:lineRule="auto"/>
        <w:rPr>
          <w:rFonts w:eastAsia="Times New Roman" w:cs="Arial"/>
          <w:color w:val="000000"/>
          <w:u w:val="single"/>
          <w:lang w:eastAsia="bg-BG"/>
        </w:rPr>
      </w:pPr>
    </w:p>
    <w:p w14:paraId="565D90C8" w14:textId="32A5A394" w:rsidR="00CA3703" w:rsidRPr="00976CF1" w:rsidRDefault="00CA3703" w:rsidP="00CA3703">
      <w:pPr>
        <w:spacing w:line="240" w:lineRule="auto"/>
        <w:rPr>
          <w:rFonts w:eastAsia="Times New Roman" w:cs="Arial"/>
          <w:color w:val="000000"/>
          <w:u w:val="single"/>
          <w:lang w:eastAsia="bg-BG"/>
        </w:rPr>
      </w:pPr>
      <w:r w:rsidRPr="00CA3703">
        <w:rPr>
          <w:rFonts w:eastAsia="Times New Roman" w:cs="Arial"/>
          <w:color w:val="000000"/>
          <w:u w:val="single"/>
          <w:lang w:eastAsia="bg-BG"/>
        </w:rPr>
        <w:t>Хипертония</w:t>
      </w:r>
    </w:p>
    <w:p w14:paraId="769A4723"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 xml:space="preserve">Препоръчителната начална доза ВАПРЕС е 80 </w:t>
      </w:r>
      <w:r w:rsidRPr="00CA3703">
        <w:rPr>
          <w:rFonts w:eastAsia="Times New Roman" w:cs="Arial"/>
          <w:color w:val="000000"/>
          <w:lang w:val="en-US"/>
        </w:rPr>
        <w:t xml:space="preserve">mg </w:t>
      </w:r>
      <w:r w:rsidRPr="00CA3703">
        <w:rPr>
          <w:rFonts w:eastAsia="Times New Roman" w:cs="Arial"/>
          <w:color w:val="000000"/>
          <w:lang w:eastAsia="bg-BG"/>
        </w:rPr>
        <w:t xml:space="preserve">веднъж дневно. Антихипертензивният ефект се изявява след 2 седмици, а максимален ефект се постига след 4 седмици. При пациенти, при които кръвното налягане не е адекватно контролирано, дозата може да бъде увеличена до 160 </w:t>
      </w:r>
      <w:r w:rsidRPr="00CA3703">
        <w:rPr>
          <w:rFonts w:eastAsia="Times New Roman" w:cs="Arial"/>
          <w:color w:val="000000"/>
          <w:lang w:val="en-US"/>
        </w:rPr>
        <w:t xml:space="preserve">mg </w:t>
      </w:r>
      <w:r w:rsidRPr="00CA3703">
        <w:rPr>
          <w:rFonts w:eastAsia="Times New Roman" w:cs="Arial"/>
          <w:color w:val="000000"/>
          <w:lang w:eastAsia="bg-BG"/>
        </w:rPr>
        <w:t xml:space="preserve">и до максимум 320 </w:t>
      </w:r>
      <w:r w:rsidRPr="00CA3703">
        <w:rPr>
          <w:rFonts w:eastAsia="Times New Roman" w:cs="Arial"/>
          <w:color w:val="000000"/>
          <w:lang w:val="en-US"/>
        </w:rPr>
        <w:t>mg.</w:t>
      </w:r>
    </w:p>
    <w:p w14:paraId="17A7F1A5"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Валсартан може да бъде приеман едновременно и с други антихипертензивни агенти (вижте точки 4.3, 4.4, 4.5 и 5.1). Добавянето на диуретик като хидрохлоротиазид ще намали кръвното налягане дори повече при такива пациенти.</w:t>
      </w:r>
    </w:p>
    <w:p w14:paraId="031EC484" w14:textId="77777777" w:rsidR="00CA3703" w:rsidRPr="00976CF1" w:rsidRDefault="00CA3703" w:rsidP="00CA3703">
      <w:pPr>
        <w:spacing w:line="240" w:lineRule="auto"/>
        <w:rPr>
          <w:rFonts w:eastAsia="Times New Roman" w:cs="Arial"/>
          <w:color w:val="000000"/>
          <w:u w:val="single"/>
          <w:lang w:eastAsia="bg-BG"/>
        </w:rPr>
      </w:pPr>
    </w:p>
    <w:p w14:paraId="20EDF806" w14:textId="3E66A6EE"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u w:val="single"/>
          <w:lang w:eastAsia="bg-BG"/>
        </w:rPr>
        <w:t>Скорошен инфаркт на миокарда</w:t>
      </w:r>
    </w:p>
    <w:p w14:paraId="6450B0AE"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 xml:space="preserve">При клинично стабилни пациенти терапията може да бъде започната най-рано на 12-ия час след инфаркт на миокарда. След начална доза от 20 </w:t>
      </w:r>
      <w:r w:rsidRPr="00CA3703">
        <w:rPr>
          <w:rFonts w:eastAsia="Times New Roman" w:cs="Arial"/>
          <w:color w:val="000000"/>
          <w:lang w:val="en-US"/>
        </w:rPr>
        <w:t xml:space="preserve">mg </w:t>
      </w:r>
      <w:r w:rsidRPr="00CA3703">
        <w:rPr>
          <w:rFonts w:eastAsia="Times New Roman" w:cs="Arial"/>
          <w:color w:val="000000"/>
          <w:lang w:eastAsia="bg-BG"/>
        </w:rPr>
        <w:t xml:space="preserve">два пъти дневно, дозата валсартан трябва да бъде титрирана през следващите няколко седмици до 40 </w:t>
      </w:r>
      <w:r w:rsidRPr="00CA3703">
        <w:rPr>
          <w:rFonts w:eastAsia="Times New Roman" w:cs="Arial"/>
          <w:color w:val="000000"/>
          <w:lang w:val="en-US"/>
        </w:rPr>
        <w:t xml:space="preserve">mg, </w:t>
      </w:r>
      <w:r w:rsidRPr="00CA3703">
        <w:rPr>
          <w:rFonts w:eastAsia="Times New Roman" w:cs="Arial"/>
          <w:color w:val="000000"/>
          <w:lang w:eastAsia="bg-BG"/>
        </w:rPr>
        <w:t xml:space="preserve">80 </w:t>
      </w:r>
      <w:r w:rsidRPr="00CA3703">
        <w:rPr>
          <w:rFonts w:eastAsia="Times New Roman" w:cs="Arial"/>
          <w:color w:val="000000"/>
          <w:lang w:val="en-US"/>
        </w:rPr>
        <w:t xml:space="preserve">mg </w:t>
      </w:r>
      <w:r w:rsidRPr="00CA3703">
        <w:rPr>
          <w:rFonts w:eastAsia="Times New Roman" w:cs="Arial"/>
          <w:color w:val="000000"/>
          <w:lang w:eastAsia="bg-BG"/>
        </w:rPr>
        <w:t xml:space="preserve">и 160 </w:t>
      </w:r>
      <w:r w:rsidRPr="00CA3703">
        <w:rPr>
          <w:rFonts w:eastAsia="Times New Roman" w:cs="Arial"/>
          <w:color w:val="000000"/>
          <w:lang w:val="en-US"/>
        </w:rPr>
        <w:t xml:space="preserve">mg </w:t>
      </w:r>
      <w:r w:rsidRPr="00CA3703">
        <w:rPr>
          <w:rFonts w:eastAsia="Times New Roman" w:cs="Arial"/>
          <w:color w:val="000000"/>
          <w:lang w:eastAsia="bg-BG"/>
        </w:rPr>
        <w:t xml:space="preserve">два пъти дневно. Дозата от 20 </w:t>
      </w:r>
      <w:r w:rsidRPr="00CA3703">
        <w:rPr>
          <w:rFonts w:eastAsia="Times New Roman" w:cs="Arial"/>
          <w:color w:val="000000"/>
          <w:lang w:val="en-US"/>
        </w:rPr>
        <w:t xml:space="preserve">mg </w:t>
      </w:r>
      <w:r w:rsidRPr="00CA3703">
        <w:rPr>
          <w:rFonts w:eastAsia="Times New Roman" w:cs="Arial"/>
          <w:color w:val="000000"/>
          <w:lang w:eastAsia="bg-BG"/>
        </w:rPr>
        <w:t>не може да бъде получена с ВАПРЕС, тъй като фабрично таблетките не могат да бъдат разделени на две равни половини.</w:t>
      </w:r>
    </w:p>
    <w:p w14:paraId="0696ED63"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 xml:space="preserve">Прицелната максимална доза е 160 </w:t>
      </w:r>
      <w:r w:rsidRPr="00CA3703">
        <w:rPr>
          <w:rFonts w:eastAsia="Times New Roman" w:cs="Arial"/>
          <w:color w:val="000000"/>
          <w:lang w:val="en-US"/>
        </w:rPr>
        <w:t xml:space="preserve">mg </w:t>
      </w:r>
      <w:r w:rsidRPr="00CA3703">
        <w:rPr>
          <w:rFonts w:eastAsia="Times New Roman" w:cs="Arial"/>
          <w:color w:val="000000"/>
          <w:lang w:eastAsia="bg-BG"/>
        </w:rPr>
        <w:t xml:space="preserve">два пъти дневно. Като цяло се препоръчва да се достигне ниво на дозата от 80 </w:t>
      </w:r>
      <w:r w:rsidRPr="00CA3703">
        <w:rPr>
          <w:rFonts w:eastAsia="Times New Roman" w:cs="Arial"/>
          <w:color w:val="000000"/>
          <w:lang w:val="en-US"/>
        </w:rPr>
        <w:t xml:space="preserve">mg </w:t>
      </w:r>
      <w:r w:rsidRPr="00CA3703">
        <w:rPr>
          <w:rFonts w:eastAsia="Times New Roman" w:cs="Arial"/>
          <w:color w:val="000000"/>
          <w:lang w:eastAsia="bg-BG"/>
        </w:rPr>
        <w:t xml:space="preserve">два пъти дневно в рамките на две седмици от започване на лечението, а прицелната максимална доза (160 </w:t>
      </w:r>
      <w:r w:rsidRPr="00CA3703">
        <w:rPr>
          <w:rFonts w:eastAsia="Times New Roman" w:cs="Arial"/>
          <w:color w:val="000000"/>
          <w:lang w:val="en-US"/>
        </w:rPr>
        <w:t xml:space="preserve">mg </w:t>
      </w:r>
      <w:r w:rsidRPr="00CA3703">
        <w:rPr>
          <w:rFonts w:eastAsia="Times New Roman" w:cs="Arial"/>
          <w:color w:val="000000"/>
          <w:lang w:eastAsia="bg-BG"/>
        </w:rPr>
        <w:t>два пъти дневно) да се достигне в рамките на три месеца, в зависимост от поносимостта на пациента. Ако се появят симптоматична хипотония или бъбречна дисфункция, трябва да се обмисли понижаване на дозата.</w:t>
      </w:r>
    </w:p>
    <w:p w14:paraId="671DB133"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Валсартан може да се прилага при пациенти, които получават и друга терапия след инфаркт на миокарда, напр. тромболитици, ацетилсалицилов а киселина, бета-блокери, статини и диуретици. Комбинацията с АСЕ-инхибитори не се препоръчва (вж. точка 4.4 и точка 5.1).</w:t>
      </w:r>
    </w:p>
    <w:p w14:paraId="7923E13E"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Клиничната оценка на пациенти след инфаркт на миокарда трябва винаги да включва и оценка на бъбречната фунция.</w:t>
      </w:r>
    </w:p>
    <w:p w14:paraId="30216874" w14:textId="77777777" w:rsidR="00CA3703" w:rsidRPr="00976CF1" w:rsidRDefault="00CA3703" w:rsidP="00CA3703">
      <w:pPr>
        <w:spacing w:line="240" w:lineRule="auto"/>
        <w:rPr>
          <w:rFonts w:eastAsia="Times New Roman" w:cs="Arial"/>
          <w:color w:val="000000"/>
          <w:u w:val="single"/>
          <w:lang w:eastAsia="bg-BG"/>
        </w:rPr>
      </w:pPr>
    </w:p>
    <w:p w14:paraId="7085010E" w14:textId="4E65BD71"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u w:val="single"/>
          <w:lang w:eastAsia="bg-BG"/>
        </w:rPr>
        <w:t>Сърдечна недостатъчност</w:t>
      </w:r>
    </w:p>
    <w:p w14:paraId="398667E7"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 xml:space="preserve">Препоръчителната начална доза ВАПРЕС е 40 </w:t>
      </w:r>
      <w:r w:rsidRPr="00CA3703">
        <w:rPr>
          <w:rFonts w:eastAsia="Times New Roman" w:cs="Arial"/>
          <w:color w:val="000000"/>
          <w:lang w:val="en-US"/>
        </w:rPr>
        <w:t xml:space="preserve">mg </w:t>
      </w:r>
      <w:r w:rsidRPr="00CA3703">
        <w:rPr>
          <w:rFonts w:eastAsia="Times New Roman" w:cs="Arial"/>
          <w:color w:val="000000"/>
          <w:lang w:eastAsia="bg-BG"/>
        </w:rPr>
        <w:t xml:space="preserve">два пъти дневно. Титриране на дозата до 80 </w:t>
      </w:r>
      <w:r w:rsidRPr="00CA3703">
        <w:rPr>
          <w:rFonts w:eastAsia="Times New Roman" w:cs="Arial"/>
          <w:color w:val="000000"/>
          <w:lang w:val="en-US"/>
        </w:rPr>
        <w:t xml:space="preserve">mg </w:t>
      </w:r>
      <w:r w:rsidRPr="00CA3703">
        <w:rPr>
          <w:rFonts w:eastAsia="Times New Roman" w:cs="Arial"/>
          <w:color w:val="000000"/>
          <w:lang w:eastAsia="bg-BG"/>
        </w:rPr>
        <w:t xml:space="preserve">и 160 </w:t>
      </w:r>
      <w:r w:rsidRPr="00CA3703">
        <w:rPr>
          <w:rFonts w:eastAsia="Times New Roman" w:cs="Arial"/>
          <w:color w:val="000000"/>
          <w:lang w:val="en-US"/>
        </w:rPr>
        <w:t xml:space="preserve">mg </w:t>
      </w:r>
      <w:r w:rsidRPr="00CA3703">
        <w:rPr>
          <w:rFonts w:eastAsia="Times New Roman" w:cs="Arial"/>
          <w:color w:val="000000"/>
          <w:lang w:eastAsia="bg-BG"/>
        </w:rPr>
        <w:t xml:space="preserve">два пъти дневно трябва да се извършва на интервали от поне две седмици до максималната доза, която се понася от пациента. Трябва да се обмисли намаляване на дозата на диуретиците, които са приемани едновременно. Максималната дневна доза, използвана при клиничните проучвания е 320 </w:t>
      </w:r>
      <w:r w:rsidRPr="00CA3703">
        <w:rPr>
          <w:rFonts w:eastAsia="Times New Roman" w:cs="Arial"/>
          <w:color w:val="000000"/>
          <w:lang w:val="en-US"/>
        </w:rPr>
        <w:t xml:space="preserve">mg, </w:t>
      </w:r>
      <w:r w:rsidRPr="00CA3703">
        <w:rPr>
          <w:rFonts w:eastAsia="Times New Roman" w:cs="Arial"/>
          <w:color w:val="000000"/>
          <w:lang w:eastAsia="bg-BG"/>
        </w:rPr>
        <w:t xml:space="preserve">разделена в две дози. Дозата от 40 </w:t>
      </w:r>
      <w:r w:rsidRPr="00CA3703">
        <w:rPr>
          <w:rFonts w:eastAsia="Times New Roman" w:cs="Arial"/>
          <w:color w:val="000000"/>
          <w:lang w:val="en-US"/>
        </w:rPr>
        <w:t xml:space="preserve">mg </w:t>
      </w:r>
      <w:r w:rsidRPr="00CA3703">
        <w:rPr>
          <w:rFonts w:eastAsia="Times New Roman" w:cs="Arial"/>
          <w:color w:val="000000"/>
          <w:lang w:eastAsia="bg-BG"/>
        </w:rPr>
        <w:t>не може да бъде получена с ВАПРЕС, тъй като фабрично таблетките не могат да бъдат разделени на две равни половини.</w:t>
      </w:r>
    </w:p>
    <w:p w14:paraId="744CDF75"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Валсартан може да се приема едновременно и с други терапии за сърдечна недостатъчност. Въпреки това, тройната комбинация от АСЕ-инхибитор, валсартан и бета-блокер или калий-съхраняващ диуретик не се препоръчва (вж. точка 4.4 и точка 5.1).</w:t>
      </w:r>
    </w:p>
    <w:p w14:paraId="442583D7"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Клиничната оценка на пациентите със сърдечна недостатъчност трябва винаги да включва оценка на бъбречната функция.</w:t>
      </w:r>
    </w:p>
    <w:p w14:paraId="345B2377" w14:textId="77777777" w:rsidR="00976CF1" w:rsidRPr="00976CF1" w:rsidRDefault="00976CF1" w:rsidP="00CA3703">
      <w:pPr>
        <w:spacing w:line="240" w:lineRule="auto"/>
        <w:rPr>
          <w:rFonts w:eastAsia="Times New Roman" w:cs="Arial"/>
          <w:color w:val="000000"/>
          <w:u w:val="single"/>
          <w:lang w:eastAsia="bg-BG"/>
        </w:rPr>
      </w:pPr>
    </w:p>
    <w:p w14:paraId="6E3F9E27" w14:textId="2403798F"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u w:val="single"/>
          <w:lang w:eastAsia="bg-BG"/>
        </w:rPr>
        <w:lastRenderedPageBreak/>
        <w:t>Допълнителна информация за специалните популации</w:t>
      </w:r>
    </w:p>
    <w:p w14:paraId="19A33036"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u w:val="single"/>
          <w:lang w:eastAsia="bg-BG"/>
        </w:rPr>
        <w:t>Пациенти в старческа възраст</w:t>
      </w:r>
    </w:p>
    <w:p w14:paraId="247D4CC7"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Не се изисква адаптиране на дозата при пациенти в старческа възраст.</w:t>
      </w:r>
    </w:p>
    <w:p w14:paraId="01169A6F" w14:textId="77777777" w:rsidR="00976CF1" w:rsidRPr="00976CF1" w:rsidRDefault="00976CF1" w:rsidP="00CA3703">
      <w:pPr>
        <w:spacing w:line="240" w:lineRule="auto"/>
        <w:rPr>
          <w:rFonts w:eastAsia="Times New Roman" w:cs="Arial"/>
          <w:color w:val="000000"/>
          <w:u w:val="single"/>
          <w:lang w:eastAsia="bg-BG"/>
        </w:rPr>
      </w:pPr>
    </w:p>
    <w:p w14:paraId="75F73ADE" w14:textId="276C4EC5"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u w:val="single"/>
          <w:lang w:eastAsia="bg-BG"/>
        </w:rPr>
        <w:t>Бъбречна недостатъчност</w:t>
      </w:r>
    </w:p>
    <w:p w14:paraId="289A48EA"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 xml:space="preserve">Не се изисква адапиране на дозата при пациенти с креатининов клирънс &gt;10 </w:t>
      </w:r>
      <w:r w:rsidRPr="00CA3703">
        <w:rPr>
          <w:rFonts w:eastAsia="Times New Roman" w:cs="Arial"/>
          <w:color w:val="000000"/>
          <w:lang w:val="en-US"/>
        </w:rPr>
        <w:t xml:space="preserve">ml/min </w:t>
      </w:r>
      <w:r w:rsidRPr="00CA3703">
        <w:rPr>
          <w:rFonts w:eastAsia="Times New Roman" w:cs="Arial"/>
          <w:color w:val="000000"/>
          <w:lang w:eastAsia="bg-BG"/>
        </w:rPr>
        <w:t>(вж. точка 4.4 и точка 5.2).</w:t>
      </w:r>
    </w:p>
    <w:p w14:paraId="4229DAE5" w14:textId="77777777" w:rsidR="00976CF1" w:rsidRPr="00976CF1" w:rsidRDefault="00976CF1" w:rsidP="00CA3703">
      <w:pPr>
        <w:spacing w:line="240" w:lineRule="auto"/>
        <w:rPr>
          <w:rFonts w:eastAsia="Times New Roman" w:cs="Arial"/>
          <w:color w:val="000000"/>
          <w:u w:val="single"/>
          <w:lang w:eastAsia="bg-BG"/>
        </w:rPr>
      </w:pPr>
    </w:p>
    <w:p w14:paraId="41EC12FF" w14:textId="5B2F5702"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u w:val="single"/>
          <w:lang w:eastAsia="bg-BG"/>
        </w:rPr>
        <w:t>Чернодробна недостатъчност</w:t>
      </w:r>
    </w:p>
    <w:p w14:paraId="18A1A03F" w14:textId="77777777"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lang w:eastAsia="bg-BG"/>
        </w:rPr>
        <w:t xml:space="preserve">Валсартан е противопоказан при пациенти с тежка чернодробна недостатъчност, билиарна цироза и при пациенти с холестаза (вж. точка 4.3, точка 4.4. и точка 5.2). При пациенти с лека до умерена чернодробна недостатъчност без холестаза дозата валсартан не трябва да надвишава 80 </w:t>
      </w:r>
      <w:r w:rsidRPr="00CA3703">
        <w:rPr>
          <w:rFonts w:eastAsia="Times New Roman" w:cs="Arial"/>
          <w:color w:val="000000"/>
          <w:lang w:val="en-US"/>
        </w:rPr>
        <w:t>mg</w:t>
      </w:r>
    </w:p>
    <w:p w14:paraId="77642FFA" w14:textId="77777777" w:rsidR="00976CF1" w:rsidRPr="00976CF1" w:rsidRDefault="00976CF1" w:rsidP="00CA3703">
      <w:pPr>
        <w:spacing w:line="240" w:lineRule="auto"/>
        <w:rPr>
          <w:rFonts w:eastAsia="Times New Roman" w:cs="Arial"/>
          <w:color w:val="000000"/>
          <w:u w:val="single"/>
          <w:lang w:eastAsia="bg-BG"/>
        </w:rPr>
      </w:pPr>
    </w:p>
    <w:p w14:paraId="0B8D620A" w14:textId="5ABF4919"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u w:val="single"/>
          <w:lang w:eastAsia="bg-BG"/>
        </w:rPr>
        <w:t>Педиатрична популация</w:t>
      </w:r>
    </w:p>
    <w:p w14:paraId="3CE4F6E5" w14:textId="77777777" w:rsidR="00976CF1" w:rsidRPr="00976CF1" w:rsidRDefault="00976CF1" w:rsidP="00CA3703">
      <w:pPr>
        <w:spacing w:line="240" w:lineRule="auto"/>
        <w:rPr>
          <w:rFonts w:eastAsia="Times New Roman" w:cs="Arial"/>
          <w:color w:val="000000"/>
          <w:u w:val="single"/>
          <w:lang w:eastAsia="bg-BG"/>
        </w:rPr>
      </w:pPr>
    </w:p>
    <w:p w14:paraId="49F6C23E" w14:textId="5991793D" w:rsidR="00CA3703" w:rsidRPr="00CA3703" w:rsidRDefault="00CA3703" w:rsidP="00CA3703">
      <w:pPr>
        <w:spacing w:line="240" w:lineRule="auto"/>
        <w:rPr>
          <w:rFonts w:eastAsia="Times New Roman" w:cs="Arial"/>
          <w:sz w:val="24"/>
          <w:szCs w:val="24"/>
          <w:lang w:eastAsia="bg-BG"/>
        </w:rPr>
      </w:pPr>
      <w:r w:rsidRPr="00CA3703">
        <w:rPr>
          <w:rFonts w:eastAsia="Times New Roman" w:cs="Arial"/>
          <w:color w:val="000000"/>
          <w:u w:val="single"/>
          <w:lang w:eastAsia="bg-BG"/>
        </w:rPr>
        <w:t>Хипертония при деца</w:t>
      </w:r>
    </w:p>
    <w:p w14:paraId="210A7C07"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i/>
          <w:iCs/>
          <w:color w:val="000000"/>
          <w:lang w:eastAsia="bg-BG"/>
        </w:rPr>
        <w:t>Деца и юноши на възраст 6-18 години</w:t>
      </w:r>
    </w:p>
    <w:p w14:paraId="2A44DBAE"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 xml:space="preserve">Началната доза е 40 </w:t>
      </w:r>
      <w:r w:rsidRPr="00976CF1">
        <w:rPr>
          <w:rFonts w:eastAsia="Times New Roman" w:cs="Arial"/>
          <w:color w:val="000000"/>
          <w:lang w:val="en-US"/>
        </w:rPr>
        <w:t xml:space="preserve">mg </w:t>
      </w:r>
      <w:r w:rsidRPr="00976CF1">
        <w:rPr>
          <w:rFonts w:eastAsia="Times New Roman" w:cs="Arial"/>
          <w:color w:val="000000"/>
          <w:lang w:eastAsia="bg-BG"/>
        </w:rPr>
        <w:t xml:space="preserve">веднъж дневно при деца с тегло по-малко от 35 </w:t>
      </w:r>
      <w:r w:rsidRPr="00976CF1">
        <w:rPr>
          <w:rFonts w:eastAsia="Times New Roman" w:cs="Arial"/>
          <w:color w:val="000000"/>
          <w:lang w:val="en-US"/>
        </w:rPr>
        <w:t xml:space="preserve">kg </w:t>
      </w:r>
      <w:r w:rsidRPr="00976CF1">
        <w:rPr>
          <w:rFonts w:eastAsia="Times New Roman" w:cs="Arial"/>
          <w:color w:val="000000"/>
          <w:lang w:eastAsia="bg-BG"/>
        </w:rPr>
        <w:t xml:space="preserve">и 80 </w:t>
      </w:r>
      <w:r w:rsidRPr="00976CF1">
        <w:rPr>
          <w:rFonts w:eastAsia="Times New Roman" w:cs="Arial"/>
          <w:color w:val="000000"/>
          <w:lang w:val="en-US"/>
        </w:rPr>
        <w:t xml:space="preserve">mg </w:t>
      </w:r>
      <w:r w:rsidRPr="00976CF1">
        <w:rPr>
          <w:rFonts w:eastAsia="Times New Roman" w:cs="Arial"/>
          <w:color w:val="000000"/>
          <w:lang w:eastAsia="bg-BG"/>
        </w:rPr>
        <w:t xml:space="preserve">при тези с тегло 35 </w:t>
      </w:r>
      <w:r w:rsidRPr="00976CF1">
        <w:rPr>
          <w:rFonts w:eastAsia="Times New Roman" w:cs="Arial"/>
          <w:color w:val="000000"/>
          <w:lang w:val="en-US"/>
        </w:rPr>
        <w:t xml:space="preserve">kg </w:t>
      </w:r>
      <w:r w:rsidRPr="00976CF1">
        <w:rPr>
          <w:rFonts w:eastAsia="Times New Roman" w:cs="Arial"/>
          <w:color w:val="000000"/>
          <w:lang w:eastAsia="bg-BG"/>
        </w:rPr>
        <w:t xml:space="preserve">и повече. Дозата трябва да се адаптира в зависимост от резултатите на кръвното налягане. За максималните дози, изследвани по време на клиничните проучвания, моля вижте таблицата по-долу. Дозата от 40 </w:t>
      </w:r>
      <w:r w:rsidRPr="00976CF1">
        <w:rPr>
          <w:rFonts w:eastAsia="Times New Roman" w:cs="Arial"/>
          <w:color w:val="000000"/>
          <w:lang w:val="en-US"/>
        </w:rPr>
        <w:t xml:space="preserve">mg </w:t>
      </w:r>
      <w:r w:rsidRPr="00976CF1">
        <w:rPr>
          <w:rFonts w:eastAsia="Times New Roman" w:cs="Arial"/>
          <w:color w:val="000000"/>
          <w:lang w:eastAsia="bg-BG"/>
        </w:rPr>
        <w:t>не може да бъде получена с ВАПРЕС, тъй като фабрично таблетките не могат да бъдат разделени на две равни половини.</w:t>
      </w:r>
    </w:p>
    <w:p w14:paraId="17812E80" w14:textId="2EAC7276" w:rsidR="00CA3703" w:rsidRPr="00CA3703"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Дози, по-високи от тези, описани по-долу, не са изследвани и поради това не се препоръчват.</w:t>
      </w:r>
    </w:p>
    <w:p w14:paraId="48915FA4" w14:textId="04FAB782" w:rsidR="00CA3703" w:rsidRDefault="00CA3703" w:rsidP="00CA3703"/>
    <w:tbl>
      <w:tblPr>
        <w:tblStyle w:val="TableGrid"/>
        <w:tblW w:w="0" w:type="auto"/>
        <w:tblLook w:val="04A0" w:firstRow="1" w:lastRow="0" w:firstColumn="1" w:lastColumn="0" w:noHBand="0" w:noVBand="1"/>
      </w:tblPr>
      <w:tblGrid>
        <w:gridCol w:w="4668"/>
        <w:gridCol w:w="4682"/>
      </w:tblGrid>
      <w:tr w:rsidR="00976CF1" w14:paraId="5FC93628" w14:textId="77777777" w:rsidTr="00976CF1">
        <w:tc>
          <w:tcPr>
            <w:tcW w:w="4750" w:type="dxa"/>
          </w:tcPr>
          <w:p w14:paraId="25AB40EB" w14:textId="06447C52" w:rsidR="00976CF1" w:rsidRDefault="00976CF1" w:rsidP="00976CF1">
            <w:r>
              <w:t>Тегло</w:t>
            </w:r>
          </w:p>
        </w:tc>
        <w:tc>
          <w:tcPr>
            <w:tcW w:w="4750" w:type="dxa"/>
          </w:tcPr>
          <w:p w14:paraId="35E65149" w14:textId="0C62018D" w:rsidR="00976CF1" w:rsidRDefault="00976CF1" w:rsidP="00976CF1">
            <w:r>
              <w:t>Максимална доза, изследвана по време на клиничните проучвания</w:t>
            </w:r>
          </w:p>
        </w:tc>
      </w:tr>
      <w:tr w:rsidR="00976CF1" w14:paraId="246A2D28" w14:textId="77777777" w:rsidTr="00976CF1">
        <w:tc>
          <w:tcPr>
            <w:tcW w:w="4750" w:type="dxa"/>
          </w:tcPr>
          <w:p w14:paraId="452F982A" w14:textId="26E234B3" w:rsidR="00976CF1" w:rsidRDefault="00976CF1" w:rsidP="00976CF1">
            <w:r>
              <w:t xml:space="preserve">≥18 </w:t>
            </w:r>
            <w:r>
              <w:rPr>
                <w:lang w:val="en-US"/>
              </w:rPr>
              <w:t xml:space="preserve">kg </w:t>
            </w:r>
            <w:r>
              <w:t xml:space="preserve">до &lt;35 </w:t>
            </w:r>
            <w:r>
              <w:rPr>
                <w:lang w:val="en-US"/>
              </w:rPr>
              <w:t>kg</w:t>
            </w:r>
          </w:p>
        </w:tc>
        <w:tc>
          <w:tcPr>
            <w:tcW w:w="4750" w:type="dxa"/>
          </w:tcPr>
          <w:p w14:paraId="4DED51DB" w14:textId="4F0C6C87" w:rsidR="00976CF1" w:rsidRDefault="00976CF1" w:rsidP="00976CF1">
            <w:r>
              <w:t xml:space="preserve">80 </w:t>
            </w:r>
            <w:r>
              <w:rPr>
                <w:lang w:val="en-US"/>
              </w:rPr>
              <w:t>mg</w:t>
            </w:r>
          </w:p>
        </w:tc>
      </w:tr>
      <w:tr w:rsidR="00976CF1" w14:paraId="64F42DC2" w14:textId="77777777" w:rsidTr="00976CF1">
        <w:tc>
          <w:tcPr>
            <w:tcW w:w="4750" w:type="dxa"/>
          </w:tcPr>
          <w:p w14:paraId="18530EE8" w14:textId="2AAC450C" w:rsidR="00976CF1" w:rsidRDefault="00976CF1" w:rsidP="00976CF1">
            <w:r>
              <w:t xml:space="preserve">≥35 </w:t>
            </w:r>
            <w:r>
              <w:rPr>
                <w:lang w:val="en-US"/>
              </w:rPr>
              <w:t xml:space="preserve">kg </w:t>
            </w:r>
            <w:r>
              <w:t xml:space="preserve">до &lt;80 </w:t>
            </w:r>
            <w:r>
              <w:rPr>
                <w:lang w:val="en-US"/>
              </w:rPr>
              <w:t>kg</w:t>
            </w:r>
          </w:p>
        </w:tc>
        <w:tc>
          <w:tcPr>
            <w:tcW w:w="4750" w:type="dxa"/>
          </w:tcPr>
          <w:p w14:paraId="456F96AC" w14:textId="2DE19435" w:rsidR="00976CF1" w:rsidRDefault="00976CF1" w:rsidP="00976CF1">
            <w:r>
              <w:t xml:space="preserve">160 </w:t>
            </w:r>
            <w:r>
              <w:rPr>
                <w:lang w:val="en-US"/>
              </w:rPr>
              <w:t>mg</w:t>
            </w:r>
          </w:p>
        </w:tc>
      </w:tr>
      <w:tr w:rsidR="00976CF1" w14:paraId="107434FF" w14:textId="77777777" w:rsidTr="00976CF1">
        <w:tc>
          <w:tcPr>
            <w:tcW w:w="4750" w:type="dxa"/>
          </w:tcPr>
          <w:p w14:paraId="068C4D30" w14:textId="41FF8D98" w:rsidR="00976CF1" w:rsidRDefault="00976CF1" w:rsidP="00976CF1">
            <w:r>
              <w:t xml:space="preserve">≥80 </w:t>
            </w:r>
            <w:r>
              <w:rPr>
                <w:lang w:val="en-US"/>
              </w:rPr>
              <w:t xml:space="preserve">kg </w:t>
            </w:r>
            <w:r>
              <w:t xml:space="preserve">до &lt;160 </w:t>
            </w:r>
            <w:r>
              <w:rPr>
                <w:lang w:val="en-US"/>
              </w:rPr>
              <w:t>kg</w:t>
            </w:r>
          </w:p>
        </w:tc>
        <w:tc>
          <w:tcPr>
            <w:tcW w:w="4750" w:type="dxa"/>
          </w:tcPr>
          <w:p w14:paraId="4F79D885" w14:textId="03E7DFFB" w:rsidR="00976CF1" w:rsidRDefault="00976CF1" w:rsidP="00976CF1">
            <w:r>
              <w:t xml:space="preserve">320 </w:t>
            </w:r>
            <w:r>
              <w:rPr>
                <w:lang w:val="en-US"/>
              </w:rPr>
              <w:t>mg</w:t>
            </w:r>
          </w:p>
        </w:tc>
      </w:tr>
    </w:tbl>
    <w:p w14:paraId="66F8C2A9" w14:textId="77777777" w:rsidR="00976CF1" w:rsidRDefault="00976CF1" w:rsidP="00976CF1">
      <w:pPr>
        <w:spacing w:line="240" w:lineRule="auto"/>
        <w:rPr>
          <w:rFonts w:ascii="Times New Roman" w:eastAsia="Times New Roman" w:hAnsi="Times New Roman" w:cs="Times New Roman"/>
          <w:i/>
          <w:iCs/>
          <w:color w:val="000000"/>
          <w:lang w:eastAsia="bg-BG"/>
        </w:rPr>
      </w:pPr>
    </w:p>
    <w:p w14:paraId="2FC2D40B" w14:textId="4A382538" w:rsidR="00976CF1" w:rsidRPr="00976CF1" w:rsidRDefault="00976CF1" w:rsidP="00976CF1">
      <w:pPr>
        <w:spacing w:line="240" w:lineRule="auto"/>
        <w:rPr>
          <w:rFonts w:eastAsia="Times New Roman" w:cs="Arial"/>
          <w:sz w:val="24"/>
          <w:szCs w:val="24"/>
          <w:lang w:eastAsia="bg-BG"/>
        </w:rPr>
      </w:pPr>
      <w:r w:rsidRPr="00976CF1">
        <w:rPr>
          <w:rFonts w:eastAsia="Times New Roman" w:cs="Arial"/>
          <w:i/>
          <w:iCs/>
          <w:color w:val="000000"/>
          <w:lang w:eastAsia="bg-BG"/>
        </w:rPr>
        <w:t>Деца на възраст под 6 години</w:t>
      </w:r>
    </w:p>
    <w:p w14:paraId="604D669D"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Наличните данни са описани в точки 4.8, 5.1 и 5.2. Въпреки това, безопасността и ефикасността на валсартан при деца на възраст между 1 и 6 години не са установени.</w:t>
      </w:r>
    </w:p>
    <w:p w14:paraId="67005759" w14:textId="77777777" w:rsidR="00976CF1" w:rsidRPr="00976CF1" w:rsidRDefault="00976CF1" w:rsidP="00976CF1">
      <w:pPr>
        <w:spacing w:line="240" w:lineRule="auto"/>
        <w:rPr>
          <w:rFonts w:eastAsia="Times New Roman" w:cs="Arial"/>
          <w:color w:val="000000"/>
          <w:u w:val="single"/>
          <w:lang w:eastAsia="bg-BG"/>
        </w:rPr>
      </w:pPr>
    </w:p>
    <w:p w14:paraId="14666CDB" w14:textId="7050CE1E"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u w:val="single"/>
          <w:lang w:eastAsia="bg-BG"/>
        </w:rPr>
        <w:t>Употреба при деца и юноши на възраст 6-18 години с бъбречна недостатъчност</w:t>
      </w:r>
    </w:p>
    <w:p w14:paraId="386ABC8A"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 xml:space="preserve">Употребата при деца с креатининов клирънс &lt;30 </w:t>
      </w:r>
      <w:r w:rsidRPr="00976CF1">
        <w:rPr>
          <w:rFonts w:eastAsia="Times New Roman" w:cs="Arial"/>
          <w:color w:val="000000"/>
          <w:lang w:val="en-US"/>
        </w:rPr>
        <w:t xml:space="preserve">ml/min </w:t>
      </w:r>
      <w:r w:rsidRPr="00976CF1">
        <w:rPr>
          <w:rFonts w:eastAsia="Times New Roman" w:cs="Arial"/>
          <w:color w:val="000000"/>
          <w:lang w:eastAsia="bg-BG"/>
        </w:rPr>
        <w:t xml:space="preserve">и при деца на диализа не е изследвана и поради тази причина валсартан не се препоръчва при тези пациенти. Не се изисква адаптиране на дозата при деца с креатининов клирънс &gt;30 </w:t>
      </w:r>
      <w:r w:rsidRPr="00976CF1">
        <w:rPr>
          <w:rFonts w:eastAsia="Times New Roman" w:cs="Arial"/>
          <w:color w:val="000000"/>
          <w:lang w:val="en-US"/>
        </w:rPr>
        <w:t xml:space="preserve">ml/min. </w:t>
      </w:r>
      <w:r w:rsidRPr="00976CF1">
        <w:rPr>
          <w:rFonts w:eastAsia="Times New Roman" w:cs="Arial"/>
          <w:color w:val="000000"/>
          <w:lang w:eastAsia="bg-BG"/>
        </w:rPr>
        <w:t>Бъбречната функция и серумният калий трябва да бъдат мониторирани отблизо (вж. точка 4.4 и точка 5.2).</w:t>
      </w:r>
    </w:p>
    <w:p w14:paraId="6094D8E0" w14:textId="77777777" w:rsidR="00976CF1" w:rsidRPr="00976CF1" w:rsidRDefault="00976CF1" w:rsidP="00976CF1">
      <w:pPr>
        <w:spacing w:line="240" w:lineRule="auto"/>
        <w:rPr>
          <w:rFonts w:eastAsia="Times New Roman" w:cs="Arial"/>
          <w:color w:val="000000"/>
          <w:u w:val="single"/>
          <w:lang w:eastAsia="bg-BG"/>
        </w:rPr>
      </w:pPr>
    </w:p>
    <w:p w14:paraId="71CFCFB3" w14:textId="1323D451"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u w:val="single"/>
          <w:lang w:eastAsia="bg-BG"/>
        </w:rPr>
        <w:t>Употреба при деца и юноши на възраст 6-18 години с чернодробна недостатъчност</w:t>
      </w:r>
    </w:p>
    <w:p w14:paraId="4C5FF080"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 xml:space="preserve">Както и при възрастни, валсартан е противопоказан при деца с тежка чернодробна недостатъчност, билиарна цироза и при пациенти с холестаза (вж точка 4.3, точка 4.4 и точка 5.2). Клиничният опит с валсартан е ограничен при деца с лека до умерена чернодробна недостатъчност. Дозата валсартан не трябва да превишава 80 </w:t>
      </w:r>
      <w:r w:rsidRPr="00976CF1">
        <w:rPr>
          <w:rFonts w:eastAsia="Times New Roman" w:cs="Arial"/>
          <w:color w:val="000000"/>
          <w:lang w:val="en-US"/>
        </w:rPr>
        <w:t xml:space="preserve">mg </w:t>
      </w:r>
      <w:r w:rsidRPr="00976CF1">
        <w:rPr>
          <w:rFonts w:eastAsia="Times New Roman" w:cs="Arial"/>
          <w:color w:val="000000"/>
          <w:lang w:eastAsia="bg-BG"/>
        </w:rPr>
        <w:t>при тези пациенти.</w:t>
      </w:r>
    </w:p>
    <w:p w14:paraId="443CCC32" w14:textId="77777777" w:rsidR="00976CF1" w:rsidRPr="00976CF1" w:rsidRDefault="00976CF1" w:rsidP="00976CF1">
      <w:pPr>
        <w:spacing w:line="240" w:lineRule="auto"/>
        <w:rPr>
          <w:rFonts w:eastAsia="Times New Roman" w:cs="Arial"/>
          <w:color w:val="000000"/>
          <w:u w:val="single"/>
          <w:lang w:eastAsia="bg-BG"/>
        </w:rPr>
      </w:pPr>
    </w:p>
    <w:p w14:paraId="179A3CB0" w14:textId="49510515"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u w:val="single"/>
          <w:lang w:eastAsia="bg-BG"/>
        </w:rPr>
        <w:t>Сърдечна недостатъчност и скорошен инфаркт на миокарда при деца</w:t>
      </w:r>
    </w:p>
    <w:p w14:paraId="1316EBC8"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Валсартан не се препоръчва за лечение на сърдечна недостатъчност или скорошен инфаркт на миокарда при деца и юноши под 18-годишна възраст поради липса на данни за безопасност и ефикасност.</w:t>
      </w:r>
    </w:p>
    <w:p w14:paraId="3D37F56B" w14:textId="77777777" w:rsidR="00976CF1" w:rsidRPr="00976CF1" w:rsidRDefault="00976CF1" w:rsidP="00976CF1">
      <w:pPr>
        <w:spacing w:line="240" w:lineRule="auto"/>
        <w:rPr>
          <w:rFonts w:eastAsia="Times New Roman" w:cs="Arial"/>
          <w:color w:val="000000"/>
          <w:u w:val="single"/>
          <w:lang w:eastAsia="bg-BG"/>
        </w:rPr>
      </w:pPr>
    </w:p>
    <w:p w14:paraId="716001D7" w14:textId="74C4CEA1" w:rsidR="00976CF1" w:rsidRPr="00976CF1" w:rsidRDefault="00976CF1" w:rsidP="00976CF1">
      <w:pPr>
        <w:pStyle w:val="Heading3"/>
        <w:rPr>
          <w:rFonts w:eastAsia="Times New Roman"/>
          <w:u w:val="single"/>
          <w:lang w:eastAsia="bg-BG"/>
        </w:rPr>
      </w:pPr>
      <w:r w:rsidRPr="00976CF1">
        <w:rPr>
          <w:rFonts w:eastAsia="Times New Roman"/>
          <w:u w:val="single"/>
          <w:lang w:eastAsia="bg-BG"/>
        </w:rPr>
        <w:t>Начин на приложение</w:t>
      </w:r>
    </w:p>
    <w:p w14:paraId="0B337910" w14:textId="77777777" w:rsidR="00976CF1" w:rsidRPr="00976CF1" w:rsidRDefault="00976CF1" w:rsidP="00976CF1">
      <w:pPr>
        <w:spacing w:line="240" w:lineRule="auto"/>
        <w:rPr>
          <w:rFonts w:ascii="Times New Roman" w:eastAsia="Times New Roman" w:hAnsi="Times New Roman" w:cs="Times New Roman"/>
          <w:sz w:val="24"/>
          <w:szCs w:val="24"/>
          <w:lang w:eastAsia="bg-BG"/>
        </w:rPr>
      </w:pPr>
      <w:r w:rsidRPr="00976CF1">
        <w:rPr>
          <w:rFonts w:eastAsia="Times New Roman" w:cs="Arial"/>
          <w:color w:val="000000"/>
          <w:lang w:eastAsia="bg-BG"/>
        </w:rPr>
        <w:t>ВАПРЕС може да се приема независимо от храненето и трябва да се приема с вода.</w:t>
      </w:r>
    </w:p>
    <w:p w14:paraId="215EAFB3" w14:textId="77777777" w:rsidR="00976CF1" w:rsidRPr="00CA3703" w:rsidRDefault="00976CF1" w:rsidP="00CA3703"/>
    <w:p w14:paraId="1BF2EFF4" w14:textId="13B25092" w:rsidR="001A6EBD" w:rsidRDefault="002C50EE" w:rsidP="00471F10">
      <w:pPr>
        <w:pStyle w:val="Heading2"/>
      </w:pPr>
      <w:r>
        <w:t>4.3. Противопоказания</w:t>
      </w:r>
    </w:p>
    <w:p w14:paraId="3AC9A50A" w14:textId="64CD4CB8" w:rsidR="00976CF1" w:rsidRDefault="00976CF1" w:rsidP="00976CF1"/>
    <w:p w14:paraId="6A813004" w14:textId="77777777" w:rsidR="00976CF1" w:rsidRPr="00976CF1" w:rsidRDefault="00976CF1" w:rsidP="00976CF1">
      <w:pPr>
        <w:pStyle w:val="ListParagraph"/>
        <w:numPr>
          <w:ilvl w:val="0"/>
          <w:numId w:val="40"/>
        </w:numPr>
        <w:spacing w:line="240" w:lineRule="auto"/>
        <w:rPr>
          <w:rFonts w:eastAsia="Times New Roman" w:cs="Arial"/>
          <w:sz w:val="24"/>
          <w:szCs w:val="24"/>
          <w:lang w:eastAsia="bg-BG"/>
        </w:rPr>
      </w:pPr>
      <w:r w:rsidRPr="00976CF1">
        <w:rPr>
          <w:rFonts w:eastAsia="Times New Roman" w:cs="Arial"/>
          <w:color w:val="000000"/>
          <w:lang w:eastAsia="bg-BG"/>
        </w:rPr>
        <w:t>Свръхчувствителност към активното вещество или към някое от помощните вещества, изброени в точка 6.</w:t>
      </w:r>
    </w:p>
    <w:p w14:paraId="2CD1E62B" w14:textId="77777777" w:rsidR="00976CF1" w:rsidRPr="00976CF1" w:rsidRDefault="00976CF1" w:rsidP="00976CF1">
      <w:pPr>
        <w:pStyle w:val="ListParagraph"/>
        <w:numPr>
          <w:ilvl w:val="0"/>
          <w:numId w:val="40"/>
        </w:numPr>
        <w:spacing w:line="240" w:lineRule="auto"/>
        <w:rPr>
          <w:rFonts w:eastAsia="Times New Roman" w:cs="Arial"/>
          <w:sz w:val="24"/>
          <w:szCs w:val="24"/>
          <w:lang w:eastAsia="bg-BG"/>
        </w:rPr>
      </w:pPr>
      <w:r w:rsidRPr="00976CF1">
        <w:rPr>
          <w:rFonts w:eastAsia="Times New Roman" w:cs="Arial"/>
          <w:color w:val="000000"/>
          <w:lang w:eastAsia="bg-BG"/>
        </w:rPr>
        <w:t>Тежка чернодробна недостатъчност, билиарна цироза и холестаза.</w:t>
      </w:r>
    </w:p>
    <w:p w14:paraId="1F623CD9" w14:textId="77777777" w:rsidR="00976CF1" w:rsidRPr="00976CF1" w:rsidRDefault="00976CF1" w:rsidP="00976CF1">
      <w:pPr>
        <w:pStyle w:val="ListParagraph"/>
        <w:numPr>
          <w:ilvl w:val="0"/>
          <w:numId w:val="40"/>
        </w:numPr>
        <w:spacing w:line="240" w:lineRule="auto"/>
        <w:rPr>
          <w:rFonts w:eastAsia="Times New Roman" w:cs="Arial"/>
          <w:sz w:val="24"/>
          <w:szCs w:val="24"/>
          <w:lang w:eastAsia="bg-BG"/>
        </w:rPr>
      </w:pPr>
      <w:r w:rsidRPr="00976CF1">
        <w:rPr>
          <w:rFonts w:eastAsia="Times New Roman" w:cs="Arial"/>
          <w:color w:val="000000"/>
          <w:lang w:eastAsia="bg-BG"/>
        </w:rPr>
        <w:t>Втори и трети триместър от бременността (вж. точка 4.4 и точка 4.6).</w:t>
      </w:r>
    </w:p>
    <w:p w14:paraId="0938483E" w14:textId="5D18E6FC" w:rsidR="00976CF1" w:rsidRPr="00976CF1" w:rsidRDefault="00976CF1" w:rsidP="00976CF1">
      <w:pPr>
        <w:pStyle w:val="ListParagraph"/>
        <w:numPr>
          <w:ilvl w:val="0"/>
          <w:numId w:val="40"/>
        </w:numPr>
        <w:spacing w:line="240" w:lineRule="auto"/>
        <w:rPr>
          <w:rFonts w:eastAsia="Times New Roman" w:cs="Arial"/>
          <w:sz w:val="24"/>
          <w:szCs w:val="24"/>
          <w:lang w:eastAsia="bg-BG"/>
        </w:rPr>
      </w:pPr>
      <w:r w:rsidRPr="00976CF1">
        <w:rPr>
          <w:rFonts w:eastAsia="Times New Roman" w:cs="Arial"/>
          <w:color w:val="000000"/>
          <w:lang w:eastAsia="bg-BG"/>
        </w:rPr>
        <w:t xml:space="preserve">Едновременната употреба на ВАПРЕС с алискирен съдържащи продукти е противопоказано при пациенти със захарен диабет или бъбречно увреждане </w:t>
      </w:r>
      <w:r w:rsidRPr="00976CF1">
        <w:rPr>
          <w:rFonts w:eastAsia="Times New Roman" w:cs="Arial"/>
          <w:color w:val="000000"/>
          <w:lang w:val="en-US"/>
        </w:rPr>
        <w:t>(GFR</w:t>
      </w:r>
      <w:r w:rsidRPr="00976CF1">
        <w:rPr>
          <w:rFonts w:eastAsia="Times New Roman" w:cs="Arial"/>
          <w:color w:val="000000"/>
          <w:lang w:eastAsia="bg-BG"/>
        </w:rPr>
        <w:t xml:space="preserve">&lt;60 </w:t>
      </w:r>
      <w:r w:rsidRPr="00976CF1">
        <w:rPr>
          <w:rFonts w:eastAsia="Times New Roman" w:cs="Arial"/>
          <w:color w:val="000000"/>
          <w:lang w:val="en-US"/>
        </w:rPr>
        <w:t>mL/min/1.73 m</w:t>
      </w:r>
      <w:r w:rsidRPr="00976CF1">
        <w:rPr>
          <w:rFonts w:eastAsia="Times New Roman" w:cs="Arial"/>
          <w:color w:val="000000"/>
          <w:vertAlign w:val="superscript"/>
          <w:lang w:val="en-US"/>
        </w:rPr>
        <w:t>2</w:t>
      </w:r>
      <w:r w:rsidRPr="00976CF1">
        <w:rPr>
          <w:rFonts w:eastAsia="Times New Roman" w:cs="Arial"/>
          <w:color w:val="000000"/>
          <w:lang w:val="en-US"/>
        </w:rPr>
        <w:t xml:space="preserve">) </w:t>
      </w:r>
      <w:r w:rsidRPr="00976CF1">
        <w:rPr>
          <w:rFonts w:eastAsia="Times New Roman" w:cs="Arial"/>
          <w:color w:val="000000"/>
          <w:lang w:eastAsia="bg-BG"/>
        </w:rPr>
        <w:t>(вижте точка 4.5 и точка 5.1).</w:t>
      </w:r>
    </w:p>
    <w:p w14:paraId="330511C0" w14:textId="77777777" w:rsidR="00976CF1" w:rsidRPr="00976CF1" w:rsidRDefault="00976CF1" w:rsidP="00976CF1"/>
    <w:p w14:paraId="0C106098" w14:textId="06FA8583" w:rsidR="001A6EBD" w:rsidRDefault="002C50EE" w:rsidP="00471F10">
      <w:pPr>
        <w:pStyle w:val="Heading2"/>
      </w:pPr>
      <w:r>
        <w:t>4.4. Специални предупреждения и предпазни мерки при употреба</w:t>
      </w:r>
    </w:p>
    <w:p w14:paraId="53E09907" w14:textId="6A5B8259" w:rsidR="00976CF1" w:rsidRDefault="00976CF1" w:rsidP="00976CF1"/>
    <w:p w14:paraId="338DA52F"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u w:val="single"/>
          <w:lang w:eastAsia="bg-BG"/>
        </w:rPr>
        <w:t>Хиперкалиемия</w:t>
      </w:r>
    </w:p>
    <w:p w14:paraId="5C06C979"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 xml:space="preserve">Едновременната употреба с калиеви добавки, калий-съхраняващи диуретици, заместители на солта, съдържащи калий, и други продукти, които могат да повишат нивата на калий </w:t>
      </w:r>
      <w:r w:rsidRPr="00976CF1">
        <w:rPr>
          <w:rFonts w:eastAsia="Times New Roman" w:cs="Arial"/>
          <w:color w:val="000000"/>
          <w:lang w:val="en-US"/>
        </w:rPr>
        <w:t>(</w:t>
      </w:r>
      <w:r w:rsidRPr="00976CF1">
        <w:rPr>
          <w:rFonts w:eastAsia="Times New Roman" w:cs="Arial"/>
          <w:color w:val="000000"/>
          <w:lang w:eastAsia="bg-BG"/>
        </w:rPr>
        <w:t>хепарин и др.) не се препоръчва. При необходимост трябва да се проследяват нивата на калий.</w:t>
      </w:r>
    </w:p>
    <w:p w14:paraId="003D3568" w14:textId="77777777" w:rsidR="00976CF1" w:rsidRPr="00976CF1" w:rsidRDefault="00976CF1" w:rsidP="00976CF1">
      <w:pPr>
        <w:spacing w:line="240" w:lineRule="auto"/>
        <w:rPr>
          <w:rFonts w:eastAsia="Times New Roman" w:cs="Arial"/>
          <w:color w:val="000000"/>
          <w:u w:val="single"/>
          <w:lang w:eastAsia="bg-BG"/>
        </w:rPr>
      </w:pPr>
    </w:p>
    <w:p w14:paraId="0B6C1927" w14:textId="72B0B5D9" w:rsidR="00976CF1" w:rsidRPr="00976CF1" w:rsidRDefault="00976CF1" w:rsidP="00976CF1">
      <w:pPr>
        <w:spacing w:line="240" w:lineRule="auto"/>
        <w:rPr>
          <w:rFonts w:eastAsia="Times New Roman" w:cs="Arial"/>
          <w:lang w:eastAsia="bg-BG"/>
        </w:rPr>
      </w:pPr>
      <w:r w:rsidRPr="00976CF1">
        <w:rPr>
          <w:rFonts w:eastAsia="Times New Roman" w:cs="Arial"/>
          <w:color w:val="000000"/>
          <w:u w:val="single"/>
          <w:lang w:eastAsia="bg-BG"/>
        </w:rPr>
        <w:t>Бъбречно увреждане</w:t>
      </w:r>
    </w:p>
    <w:p w14:paraId="3A26225F"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 xml:space="preserve">Към момента няма достатъчно данни за безопасността при пациенти с креатининов клирънс &lt;10 </w:t>
      </w:r>
      <w:r w:rsidRPr="00976CF1">
        <w:rPr>
          <w:rFonts w:eastAsia="Times New Roman" w:cs="Arial"/>
          <w:color w:val="000000"/>
          <w:lang w:val="en-US"/>
        </w:rPr>
        <w:t xml:space="preserve">ml/min </w:t>
      </w:r>
      <w:r w:rsidRPr="00976CF1">
        <w:rPr>
          <w:rFonts w:eastAsia="Times New Roman" w:cs="Arial"/>
          <w:color w:val="000000"/>
          <w:lang w:eastAsia="bg-BG"/>
        </w:rPr>
        <w:t xml:space="preserve">и пациенти на диализа; поради тази причина валсартан трябва да се приема с внимание при тези пациенти. Не се изисква адаптиране на дозата при възрастни с креатининов клирънс &gt;10 </w:t>
      </w:r>
      <w:r w:rsidRPr="00976CF1">
        <w:rPr>
          <w:rFonts w:eastAsia="Times New Roman" w:cs="Arial"/>
          <w:color w:val="000000"/>
          <w:lang w:val="en-US"/>
        </w:rPr>
        <w:t xml:space="preserve">ml/min </w:t>
      </w:r>
      <w:r w:rsidRPr="00976CF1">
        <w:rPr>
          <w:rFonts w:eastAsia="Times New Roman" w:cs="Arial"/>
          <w:color w:val="000000"/>
          <w:lang w:eastAsia="bg-BG"/>
        </w:rPr>
        <w:t>(вж. точка 4.2 и точка 5.2).</w:t>
      </w:r>
    </w:p>
    <w:p w14:paraId="655FBDBC" w14:textId="77777777" w:rsidR="00976CF1" w:rsidRPr="00976CF1" w:rsidRDefault="00976CF1" w:rsidP="00976CF1">
      <w:pPr>
        <w:spacing w:line="240" w:lineRule="auto"/>
        <w:rPr>
          <w:rFonts w:eastAsia="Times New Roman" w:cs="Arial"/>
          <w:color w:val="000000"/>
          <w:u w:val="single"/>
          <w:lang w:eastAsia="bg-BG"/>
        </w:rPr>
      </w:pPr>
    </w:p>
    <w:p w14:paraId="640173CC" w14:textId="28873096" w:rsidR="00976CF1" w:rsidRPr="00976CF1" w:rsidRDefault="00976CF1" w:rsidP="00976CF1">
      <w:pPr>
        <w:spacing w:line="240" w:lineRule="auto"/>
        <w:rPr>
          <w:rFonts w:eastAsia="Times New Roman" w:cs="Arial"/>
          <w:lang w:eastAsia="bg-BG"/>
        </w:rPr>
      </w:pPr>
      <w:r w:rsidRPr="00976CF1">
        <w:rPr>
          <w:rFonts w:eastAsia="Times New Roman" w:cs="Arial"/>
          <w:color w:val="000000"/>
          <w:u w:val="single"/>
          <w:lang w:eastAsia="bg-BG"/>
        </w:rPr>
        <w:t>Чернодробно увреждане</w:t>
      </w:r>
    </w:p>
    <w:p w14:paraId="26C4386C"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Валсартан трябва да се използва с внимание при пациенти с умерено до тежко чернодробно увреждане без холестаза (вж. точка 4.2 и точка 5.2).</w:t>
      </w:r>
    </w:p>
    <w:p w14:paraId="64FBBCCF" w14:textId="77777777" w:rsidR="00976CF1" w:rsidRPr="00976CF1" w:rsidRDefault="00976CF1" w:rsidP="00976CF1">
      <w:pPr>
        <w:spacing w:line="240" w:lineRule="auto"/>
        <w:rPr>
          <w:rFonts w:eastAsia="Times New Roman" w:cs="Arial"/>
          <w:color w:val="000000"/>
          <w:u w:val="single"/>
          <w:lang w:eastAsia="bg-BG"/>
        </w:rPr>
      </w:pPr>
    </w:p>
    <w:p w14:paraId="50B53C82" w14:textId="02828A2E" w:rsidR="00976CF1" w:rsidRPr="00976CF1" w:rsidRDefault="00976CF1" w:rsidP="00976CF1">
      <w:pPr>
        <w:spacing w:line="240" w:lineRule="auto"/>
        <w:rPr>
          <w:rFonts w:eastAsia="Times New Roman" w:cs="Arial"/>
          <w:lang w:eastAsia="bg-BG"/>
        </w:rPr>
      </w:pPr>
      <w:r w:rsidRPr="00976CF1">
        <w:rPr>
          <w:rFonts w:eastAsia="Times New Roman" w:cs="Arial"/>
          <w:color w:val="000000"/>
          <w:u w:val="single"/>
          <w:lang w:eastAsia="bg-BG"/>
        </w:rPr>
        <w:t>Пациенти с натриев дефицит и/ или хиповолемия</w:t>
      </w:r>
    </w:p>
    <w:p w14:paraId="53DF26AF"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При пациенти с тежък натриев дефицит и/ или хиповолемия, например тези, които приемат високи дози диуретици, в редки случи може да се появи симптоматична хшютония след започване на терапия с валсартан. Натриевият дефицит и/ или хиповолемията трябва да бъдат коригирани преди започване на лечение с валсартан, например чрез намаляване на дозата диуретик.</w:t>
      </w:r>
    </w:p>
    <w:p w14:paraId="420986BB" w14:textId="77777777" w:rsidR="00976CF1" w:rsidRPr="00976CF1" w:rsidRDefault="00976CF1" w:rsidP="00976CF1">
      <w:pPr>
        <w:spacing w:line="240" w:lineRule="auto"/>
        <w:rPr>
          <w:rFonts w:eastAsia="Times New Roman" w:cs="Arial"/>
          <w:color w:val="000000"/>
          <w:u w:val="single"/>
          <w:lang w:eastAsia="bg-BG"/>
        </w:rPr>
      </w:pPr>
    </w:p>
    <w:p w14:paraId="32DBF126" w14:textId="6C20D147" w:rsidR="00976CF1" w:rsidRPr="00976CF1" w:rsidRDefault="00976CF1" w:rsidP="00976CF1">
      <w:pPr>
        <w:spacing w:line="240" w:lineRule="auto"/>
        <w:rPr>
          <w:rFonts w:eastAsia="Times New Roman" w:cs="Arial"/>
          <w:lang w:eastAsia="bg-BG"/>
        </w:rPr>
      </w:pPr>
      <w:r w:rsidRPr="00976CF1">
        <w:rPr>
          <w:rFonts w:eastAsia="Times New Roman" w:cs="Arial"/>
          <w:color w:val="000000"/>
          <w:u w:val="single"/>
          <w:lang w:eastAsia="bg-BG"/>
        </w:rPr>
        <w:t>Стеноза на бъбречната артерия</w:t>
      </w:r>
    </w:p>
    <w:p w14:paraId="3ABF1606"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Безопасността на валсартан при пациенти с двустранна стеноза на бъбречната артерия или стеноза на единствен бъбрек не е установена.</w:t>
      </w:r>
    </w:p>
    <w:p w14:paraId="4FBCA824"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 xml:space="preserve">Краткосрочното приложение на валсартан при дванайсет пациента с реноваскуларна хипертония вследствие на едностранна стеноза на бъбречната артерия не е </w:t>
      </w:r>
      <w:r w:rsidRPr="00976CF1">
        <w:rPr>
          <w:rFonts w:eastAsia="Times New Roman" w:cs="Arial"/>
          <w:color w:val="000000"/>
          <w:lang w:eastAsia="bg-BG"/>
        </w:rPr>
        <w:lastRenderedPageBreak/>
        <w:t>предизвикало значими промени в бъбречната хемодинамика, нивата на серумния креатинин или урея в кръвта. Въпреки това, други агенти, които повлияват ренин-ангиотензин системата могат да повишат нивата на урея в кръвта или серумен креатинин при пациенти с едностранна стеноза на бъбречната артерия, поради което се препоръчва проследяване на бъбречната функция, когато пациентите са на лечение с валсартан.</w:t>
      </w:r>
    </w:p>
    <w:p w14:paraId="19730202" w14:textId="77777777" w:rsidR="00976CF1" w:rsidRPr="00976CF1" w:rsidRDefault="00976CF1" w:rsidP="00976CF1">
      <w:pPr>
        <w:spacing w:line="240" w:lineRule="auto"/>
        <w:rPr>
          <w:rFonts w:eastAsia="Times New Roman" w:cs="Arial"/>
          <w:color w:val="000000"/>
          <w:u w:val="single"/>
          <w:lang w:eastAsia="bg-BG"/>
        </w:rPr>
      </w:pPr>
    </w:p>
    <w:p w14:paraId="138B3D41" w14:textId="5AAC2778" w:rsidR="00976CF1" w:rsidRPr="00976CF1" w:rsidRDefault="00976CF1" w:rsidP="00976CF1">
      <w:pPr>
        <w:spacing w:line="240" w:lineRule="auto"/>
        <w:rPr>
          <w:rFonts w:eastAsia="Times New Roman" w:cs="Arial"/>
          <w:lang w:eastAsia="bg-BG"/>
        </w:rPr>
      </w:pPr>
      <w:r w:rsidRPr="00976CF1">
        <w:rPr>
          <w:rFonts w:eastAsia="Times New Roman" w:cs="Arial"/>
          <w:color w:val="000000"/>
          <w:u w:val="single"/>
          <w:lang w:eastAsia="bg-BG"/>
        </w:rPr>
        <w:t>Бъбречна трансплантация</w:t>
      </w:r>
    </w:p>
    <w:p w14:paraId="5FB9A7B9"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Понастоящем липсва опит относно безопасността на валсартан при пациенти, които са преживели скорошна бъбречна трансплантация.</w:t>
      </w:r>
    </w:p>
    <w:p w14:paraId="3246A171" w14:textId="77777777" w:rsidR="00976CF1" w:rsidRPr="00976CF1" w:rsidRDefault="00976CF1" w:rsidP="00976CF1">
      <w:pPr>
        <w:spacing w:line="240" w:lineRule="auto"/>
        <w:rPr>
          <w:rFonts w:eastAsia="Times New Roman" w:cs="Arial"/>
          <w:color w:val="000000"/>
          <w:u w:val="single"/>
          <w:lang w:eastAsia="bg-BG"/>
        </w:rPr>
      </w:pPr>
    </w:p>
    <w:p w14:paraId="70645E7D" w14:textId="2C4D7322" w:rsidR="00976CF1" w:rsidRPr="00976CF1" w:rsidRDefault="00976CF1" w:rsidP="00976CF1">
      <w:pPr>
        <w:spacing w:line="240" w:lineRule="auto"/>
        <w:rPr>
          <w:rFonts w:eastAsia="Times New Roman" w:cs="Arial"/>
          <w:lang w:eastAsia="bg-BG"/>
        </w:rPr>
      </w:pPr>
      <w:r w:rsidRPr="00976CF1">
        <w:rPr>
          <w:rFonts w:eastAsia="Times New Roman" w:cs="Arial"/>
          <w:color w:val="000000"/>
          <w:u w:val="single"/>
          <w:lang w:eastAsia="bg-BG"/>
        </w:rPr>
        <w:t>Първичен хипералдостеронизъм</w:t>
      </w:r>
    </w:p>
    <w:p w14:paraId="5589CC08"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Пациенти с първичен хипералдостеронизъм не трябва да бъдат лекувани с валсартан, тъй като тяхната ренин-ангиотензин система не е активирана.</w:t>
      </w:r>
    </w:p>
    <w:p w14:paraId="40FFB19C" w14:textId="77777777" w:rsidR="00976CF1" w:rsidRPr="00976CF1" w:rsidRDefault="00976CF1" w:rsidP="00976CF1">
      <w:pPr>
        <w:spacing w:line="240" w:lineRule="auto"/>
        <w:rPr>
          <w:rFonts w:eastAsia="Times New Roman" w:cs="Arial"/>
          <w:color w:val="000000"/>
          <w:u w:val="single"/>
          <w:lang w:eastAsia="bg-BG"/>
        </w:rPr>
      </w:pPr>
    </w:p>
    <w:p w14:paraId="22653B08" w14:textId="71F43770" w:rsidR="00976CF1" w:rsidRPr="00976CF1" w:rsidRDefault="00976CF1" w:rsidP="00976CF1">
      <w:pPr>
        <w:spacing w:line="240" w:lineRule="auto"/>
        <w:rPr>
          <w:rFonts w:eastAsia="Times New Roman" w:cs="Arial"/>
          <w:lang w:eastAsia="bg-BG"/>
        </w:rPr>
      </w:pPr>
      <w:r w:rsidRPr="00976CF1">
        <w:rPr>
          <w:rFonts w:eastAsia="Times New Roman" w:cs="Arial"/>
          <w:color w:val="000000"/>
          <w:u w:val="single"/>
          <w:lang w:eastAsia="bg-BG"/>
        </w:rPr>
        <w:t>Стеноза на аортна и митрална клапа, обструктивна хипертрофична кардиомиопатия</w:t>
      </w:r>
    </w:p>
    <w:p w14:paraId="20965981"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Какго и при всички други вазодилататори се изисква особено внимание при пациенти, страдащи от стеноза на аортната или митралната клапа или от обструктивна хипертрофична кардиомиопатия (ХОКМП).</w:t>
      </w:r>
    </w:p>
    <w:p w14:paraId="6B4C876C" w14:textId="77777777" w:rsidR="00976CF1" w:rsidRPr="00976CF1" w:rsidRDefault="00976CF1" w:rsidP="00976CF1">
      <w:pPr>
        <w:spacing w:line="240" w:lineRule="auto"/>
        <w:rPr>
          <w:rFonts w:eastAsia="Times New Roman" w:cs="Arial"/>
          <w:color w:val="000000"/>
          <w:u w:val="single"/>
          <w:lang w:eastAsia="bg-BG"/>
        </w:rPr>
      </w:pPr>
    </w:p>
    <w:p w14:paraId="42F47B29" w14:textId="72EF8EF7" w:rsidR="00976CF1" w:rsidRPr="00976CF1" w:rsidRDefault="00976CF1" w:rsidP="00976CF1">
      <w:pPr>
        <w:spacing w:line="240" w:lineRule="auto"/>
        <w:rPr>
          <w:rFonts w:eastAsia="Times New Roman" w:cs="Arial"/>
          <w:lang w:eastAsia="bg-BG"/>
        </w:rPr>
      </w:pPr>
      <w:r w:rsidRPr="00976CF1">
        <w:rPr>
          <w:rFonts w:eastAsia="Times New Roman" w:cs="Arial"/>
          <w:color w:val="000000"/>
          <w:u w:val="single"/>
          <w:lang w:eastAsia="bg-BG"/>
        </w:rPr>
        <w:t>Бременност</w:t>
      </w:r>
    </w:p>
    <w:p w14:paraId="3825B0CE"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 xml:space="preserve">Не трябва да се започва прием на ангиотензин </w:t>
      </w:r>
      <w:r w:rsidRPr="00976CF1">
        <w:rPr>
          <w:rFonts w:eastAsia="Times New Roman" w:cs="Arial"/>
          <w:color w:val="000000"/>
          <w:lang w:val="en-US"/>
        </w:rPr>
        <w:t>II</w:t>
      </w:r>
      <w:r w:rsidRPr="00976CF1">
        <w:rPr>
          <w:rFonts w:eastAsia="Times New Roman" w:cs="Arial"/>
          <w:color w:val="000000"/>
          <w:lang w:eastAsia="bg-BG"/>
        </w:rPr>
        <w:t xml:space="preserve"> рецепторни антагонисти по време на бременност. Освен ако продължаващото лечение с ангиотензин </w:t>
      </w:r>
      <w:r w:rsidRPr="00976CF1">
        <w:rPr>
          <w:rFonts w:eastAsia="Times New Roman" w:cs="Arial"/>
          <w:color w:val="000000"/>
          <w:lang w:val="en-US"/>
        </w:rPr>
        <w:t>II</w:t>
      </w:r>
      <w:r w:rsidRPr="00976CF1">
        <w:rPr>
          <w:rFonts w:eastAsia="Times New Roman" w:cs="Arial"/>
          <w:color w:val="000000"/>
          <w:lang w:eastAsia="bg-BG"/>
        </w:rPr>
        <w:t xml:space="preserve"> рецепторни антагонисти не е от ключово значение, пациентите, които планират бременност, трябва да започнат алтернативно антихипертензивно лечение с установен профил на безопасност по време на бременност. При установяване на бременност лечението с ангиотензин </w:t>
      </w:r>
      <w:r w:rsidRPr="00976CF1">
        <w:rPr>
          <w:rFonts w:eastAsia="Times New Roman" w:cs="Arial"/>
          <w:color w:val="000000"/>
          <w:lang w:val="en-US"/>
        </w:rPr>
        <w:t>II</w:t>
      </w:r>
      <w:r w:rsidRPr="00976CF1">
        <w:rPr>
          <w:rFonts w:eastAsia="Times New Roman" w:cs="Arial"/>
          <w:color w:val="000000"/>
          <w:lang w:eastAsia="bg-BG"/>
        </w:rPr>
        <w:t xml:space="preserve"> рецепторни антагонисти трябва да бъде преустановено незабавно и ако е необходимо да бъде започната алтернативна терапия (вж. точка 4.3 и точка 4.6).</w:t>
      </w:r>
    </w:p>
    <w:p w14:paraId="176E062C" w14:textId="77777777" w:rsidR="00976CF1" w:rsidRPr="00976CF1" w:rsidRDefault="00976CF1" w:rsidP="00976CF1">
      <w:pPr>
        <w:spacing w:line="240" w:lineRule="auto"/>
        <w:rPr>
          <w:rFonts w:eastAsia="Times New Roman" w:cs="Arial"/>
          <w:color w:val="000000"/>
          <w:u w:val="single"/>
          <w:lang w:eastAsia="bg-BG"/>
        </w:rPr>
      </w:pPr>
    </w:p>
    <w:p w14:paraId="18FCB1AB" w14:textId="02F8A211" w:rsidR="00976CF1" w:rsidRPr="00976CF1" w:rsidRDefault="00976CF1" w:rsidP="00976CF1">
      <w:pPr>
        <w:spacing w:line="240" w:lineRule="auto"/>
        <w:rPr>
          <w:rFonts w:eastAsia="Times New Roman" w:cs="Arial"/>
          <w:lang w:eastAsia="bg-BG"/>
        </w:rPr>
      </w:pPr>
      <w:r w:rsidRPr="00976CF1">
        <w:rPr>
          <w:rFonts w:eastAsia="Times New Roman" w:cs="Arial"/>
          <w:color w:val="000000"/>
          <w:u w:val="single"/>
          <w:lang w:eastAsia="bg-BG"/>
        </w:rPr>
        <w:t>Скорошен инфаркт на миокарда</w:t>
      </w:r>
    </w:p>
    <w:p w14:paraId="53A4843F" w14:textId="24FECDEF" w:rsidR="00976CF1" w:rsidRPr="00976CF1" w:rsidRDefault="00976CF1" w:rsidP="00976CF1">
      <w:pPr>
        <w:rPr>
          <w:rFonts w:eastAsia="Times New Roman" w:cs="Arial"/>
          <w:color w:val="000000"/>
          <w:lang w:eastAsia="bg-BG"/>
        </w:rPr>
      </w:pPr>
      <w:r w:rsidRPr="00976CF1">
        <w:rPr>
          <w:rFonts w:eastAsia="Times New Roman" w:cs="Arial"/>
          <w:color w:val="000000"/>
          <w:lang w:eastAsia="bg-BG"/>
        </w:rPr>
        <w:t>Комбинацията от каптоприл и валсартан не е показала допълнителна клинична полза,</w:t>
      </w:r>
      <w:r w:rsidRPr="00976CF1">
        <w:rPr>
          <w:rFonts w:eastAsia="Times New Roman" w:cs="Arial"/>
          <w:color w:val="000000"/>
          <w:lang w:val="en-US"/>
        </w:rPr>
        <w:t xml:space="preserve"> </w:t>
      </w:r>
      <w:r w:rsidRPr="00976CF1">
        <w:rPr>
          <w:rFonts w:eastAsia="Times New Roman" w:cs="Arial"/>
          <w:color w:val="000000"/>
          <w:lang w:eastAsia="bg-BG"/>
        </w:rPr>
        <w:t xml:space="preserve">вместо това рискът от нежелани лекарствени реакции е повишен в сравнение с лечение със съответните терапии (вж. точка 4.2 и точка 5.1). Поради тази причина комбинацията от валсартан и </w:t>
      </w:r>
      <w:r w:rsidRPr="00976CF1">
        <w:rPr>
          <w:rFonts w:eastAsia="Times New Roman" w:cs="Arial"/>
          <w:color w:val="000000"/>
          <w:lang w:val="en-US"/>
        </w:rPr>
        <w:t>ACE-</w:t>
      </w:r>
      <w:r w:rsidRPr="00976CF1">
        <w:rPr>
          <w:rFonts w:eastAsia="Times New Roman" w:cs="Arial"/>
          <w:color w:val="000000"/>
          <w:lang w:eastAsia="bg-BG"/>
        </w:rPr>
        <w:t>инхиботр не се препоръчва.</w:t>
      </w:r>
    </w:p>
    <w:p w14:paraId="5E2F0E3B" w14:textId="4E41E76B" w:rsidR="00976CF1" w:rsidRPr="00976CF1" w:rsidRDefault="00976CF1" w:rsidP="00976CF1">
      <w:pPr>
        <w:rPr>
          <w:rFonts w:eastAsia="Times New Roman" w:cs="Arial"/>
          <w:color w:val="000000"/>
          <w:lang w:eastAsia="bg-BG"/>
        </w:rPr>
      </w:pPr>
    </w:p>
    <w:p w14:paraId="77E58525"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Необходимо е внимание, когато се започва терапия при пациенти след прекаран инфаркт на миокарда. Оценката на пациенти след прекаран инфаркт на миокарда трябва винаги да включва оценка на бъбречната функция (вж. точка 4.2).</w:t>
      </w:r>
    </w:p>
    <w:p w14:paraId="3B31E317"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Употребата на валсартан при пациенти след прекаран инфаркт на миокарда често води до известно намаляване на кръвното налягане, но прекратяване на терапията поради продължаваща симптоматична хипотония обикновено не се налага ако се спазват препоръките за дозиране (вж. точка 4.2).</w:t>
      </w:r>
    </w:p>
    <w:p w14:paraId="17C989C9" w14:textId="77777777" w:rsidR="00976CF1" w:rsidRPr="00976CF1" w:rsidRDefault="00976CF1" w:rsidP="00976CF1">
      <w:pPr>
        <w:spacing w:line="240" w:lineRule="auto"/>
        <w:rPr>
          <w:rFonts w:eastAsia="Times New Roman" w:cs="Arial"/>
          <w:color w:val="000000"/>
          <w:u w:val="single"/>
          <w:lang w:eastAsia="bg-BG"/>
        </w:rPr>
      </w:pPr>
    </w:p>
    <w:p w14:paraId="03E1AC92" w14:textId="54AD4F56" w:rsidR="00976CF1" w:rsidRPr="00976CF1" w:rsidRDefault="00976CF1" w:rsidP="00976CF1">
      <w:pPr>
        <w:spacing w:line="240" w:lineRule="auto"/>
        <w:rPr>
          <w:rFonts w:eastAsia="Times New Roman" w:cs="Arial"/>
          <w:lang w:eastAsia="bg-BG"/>
        </w:rPr>
      </w:pPr>
      <w:r w:rsidRPr="00976CF1">
        <w:rPr>
          <w:rFonts w:eastAsia="Times New Roman" w:cs="Arial"/>
          <w:color w:val="000000"/>
          <w:u w:val="single"/>
          <w:lang w:eastAsia="bg-BG"/>
        </w:rPr>
        <w:t>Сърдечна недостатъчност</w:t>
      </w:r>
    </w:p>
    <w:p w14:paraId="03A60DE5"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Рискът от нежелани лекарствени реакции, особено хипотония, хиперкалиемия и намаляване на бъбречната функция (включително остра бъбречна недостатъчност), може да се повиши, когато ВАПРЕС се използва в комбинация с АСЕ инхибитор.</w:t>
      </w:r>
    </w:p>
    <w:p w14:paraId="146FCE28"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 xml:space="preserve">При пациенти със сърдечна недостатъчност тройната комбинация от АСЕ-инхибитор, бета блокер и валсартан не е показала клинична полза (вж. точка 5.1). Очевидно такава комбинация повишава риска от нежелани лекарствени реакции и поради тази причина не се препоръчва. Тройна комбинация от АСЕ инхибитор, минералкортикоиден рецепторен </w:t>
      </w:r>
      <w:r w:rsidRPr="00976CF1">
        <w:rPr>
          <w:rFonts w:eastAsia="Times New Roman" w:cs="Arial"/>
          <w:color w:val="000000"/>
          <w:lang w:eastAsia="bg-BG"/>
        </w:rPr>
        <w:lastRenderedPageBreak/>
        <w:t>антагонист и валсартан също не се препоръчва. Тези комбинации трябва да се използват под наблюдението на специалист и при често внимателно мониториране на бъбречната функция, електролитите и кръвното налягане.</w:t>
      </w:r>
    </w:p>
    <w:p w14:paraId="20447E58"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Необходимо е внимание при започване на терапия при пациенти със сърдечна недостатъчност. Оценката на пациенти със сърдечна недостатъчност трябва винаги да включва и оценка на бъбречната функция (вж. точка 4.2).</w:t>
      </w:r>
    </w:p>
    <w:p w14:paraId="7EAFB714"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Употребата на ВАПРЕС при пациенти със сърдечна недостатъчност често води до понижаване на кръвното налягане, но преустановяване на лечението обикновено не е необходимо ако се спазват препоръките за дозиране (вж. точка 4.2).</w:t>
      </w:r>
    </w:p>
    <w:p w14:paraId="360F748D"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 xml:space="preserve">При пациенти, при които бъбречната функция може да зависи от активността на ренин-ангиотензин- алдостерон системата (например, пациенти със застойна сърдечна недостатъчност), лечението с АСЕ инхибитори се свързва с олигурия и/ или прогресивна азотемия, а в редки случаи с остра бъбречна недостатъчност и/ или смърт. Тъй като валсартан е ангиотензин </w:t>
      </w:r>
      <w:r w:rsidRPr="00976CF1">
        <w:rPr>
          <w:rFonts w:eastAsia="Times New Roman" w:cs="Arial"/>
          <w:color w:val="000000"/>
          <w:lang w:val="en-US"/>
        </w:rPr>
        <w:t>II</w:t>
      </w:r>
      <w:r w:rsidRPr="00976CF1">
        <w:rPr>
          <w:rFonts w:eastAsia="Times New Roman" w:cs="Arial"/>
          <w:color w:val="000000"/>
          <w:lang w:eastAsia="bg-BG"/>
        </w:rPr>
        <w:t xml:space="preserve"> антагонист блокер, не може да се изключи, че употребата на ВАПРЕС може да се асоциира с увреждане на бъбречната функция.</w:t>
      </w:r>
    </w:p>
    <w:p w14:paraId="09F7097C"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 xml:space="preserve">АСЕ инхибитори и ангиотензин </w:t>
      </w:r>
      <w:r w:rsidRPr="00976CF1">
        <w:rPr>
          <w:rFonts w:eastAsia="Times New Roman" w:cs="Arial"/>
          <w:color w:val="000000"/>
          <w:lang w:val="en-US"/>
        </w:rPr>
        <w:t>II</w:t>
      </w:r>
      <w:r w:rsidRPr="00976CF1">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094C3F18" w14:textId="77777777" w:rsidR="00976CF1" w:rsidRPr="00976CF1" w:rsidRDefault="00976CF1" w:rsidP="00976CF1">
      <w:pPr>
        <w:spacing w:line="240" w:lineRule="auto"/>
        <w:rPr>
          <w:rFonts w:eastAsia="Times New Roman" w:cs="Arial"/>
          <w:color w:val="000000"/>
          <w:u w:val="single"/>
          <w:lang w:eastAsia="bg-BG"/>
        </w:rPr>
      </w:pPr>
    </w:p>
    <w:p w14:paraId="65339FBA" w14:textId="5571C981" w:rsidR="00976CF1" w:rsidRPr="00976CF1" w:rsidRDefault="00976CF1" w:rsidP="00976CF1">
      <w:pPr>
        <w:spacing w:line="240" w:lineRule="auto"/>
        <w:rPr>
          <w:rFonts w:eastAsia="Times New Roman" w:cs="Arial"/>
          <w:lang w:eastAsia="bg-BG"/>
        </w:rPr>
      </w:pPr>
      <w:r w:rsidRPr="00976CF1">
        <w:rPr>
          <w:rFonts w:eastAsia="Times New Roman" w:cs="Arial"/>
          <w:color w:val="000000"/>
          <w:u w:val="single"/>
          <w:lang w:eastAsia="bg-BG"/>
        </w:rPr>
        <w:t>Анамнеза за ангиоедем</w:t>
      </w:r>
    </w:p>
    <w:p w14:paraId="08839FEE"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При някои пациенти, лекувани с валсартан е докладван ангиоедем, включително оток на ларинкса и глотиса, причиняващ запушване на дихателните пътища и/ или оток на лицето, устните, фаринкса и/ или езика; някои от тези пациенти са страдали от ангиоедем при предходни лечения с други лекарствени продукти, включително АКЕ инхибитори. При пациенти, които развият ангиоедем, приемът на валсартан трябва да бъде преустановен незабавно и не трябва да бъде подновяван (вижте точка 4.8).</w:t>
      </w:r>
    </w:p>
    <w:p w14:paraId="7E81D268" w14:textId="77777777" w:rsidR="00976CF1" w:rsidRPr="00976CF1" w:rsidRDefault="00976CF1" w:rsidP="00976CF1">
      <w:pPr>
        <w:spacing w:line="240" w:lineRule="auto"/>
        <w:rPr>
          <w:rFonts w:eastAsia="Times New Roman" w:cs="Arial"/>
          <w:color w:val="000000"/>
          <w:u w:val="single"/>
          <w:lang w:eastAsia="bg-BG"/>
        </w:rPr>
      </w:pPr>
    </w:p>
    <w:p w14:paraId="3C9B1C84" w14:textId="753B498E" w:rsidR="00976CF1" w:rsidRPr="00976CF1" w:rsidRDefault="00976CF1" w:rsidP="00976CF1">
      <w:pPr>
        <w:spacing w:line="240" w:lineRule="auto"/>
        <w:rPr>
          <w:rFonts w:eastAsia="Times New Roman" w:cs="Arial"/>
          <w:lang w:eastAsia="bg-BG"/>
        </w:rPr>
      </w:pPr>
      <w:r w:rsidRPr="00976CF1">
        <w:rPr>
          <w:rFonts w:eastAsia="Times New Roman" w:cs="Arial"/>
          <w:color w:val="000000"/>
          <w:u w:val="single"/>
          <w:lang w:eastAsia="bg-BG"/>
        </w:rPr>
        <w:t xml:space="preserve">Двойна блокада на системата ренин-ангиотензин-алдостерон </w:t>
      </w:r>
      <w:r w:rsidRPr="00976CF1">
        <w:rPr>
          <w:rFonts w:eastAsia="Times New Roman" w:cs="Arial"/>
          <w:color w:val="000000"/>
          <w:u w:val="single"/>
          <w:lang w:val="en-US"/>
        </w:rPr>
        <w:t>(RAAS)</w:t>
      </w:r>
    </w:p>
    <w:p w14:paraId="25A1D07E"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 xml:space="preserve">Има данни, че едновременната употреба на АСЕ инхибитори, ангиотензин </w:t>
      </w:r>
      <w:r w:rsidRPr="00976CF1">
        <w:rPr>
          <w:rFonts w:eastAsia="Times New Roman" w:cs="Arial"/>
          <w:color w:val="000000"/>
          <w:lang w:val="en-US"/>
        </w:rPr>
        <w:t>II</w:t>
      </w:r>
      <w:r w:rsidRPr="00976CF1">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976CF1">
        <w:rPr>
          <w:rFonts w:eastAsia="Times New Roman" w:cs="Arial"/>
          <w:color w:val="000000"/>
          <w:lang w:val="en-US"/>
        </w:rPr>
        <w:t>II</w:t>
      </w:r>
      <w:r w:rsidRPr="00976CF1">
        <w:rPr>
          <w:rFonts w:eastAsia="Times New Roman" w:cs="Arial"/>
          <w:color w:val="000000"/>
          <w:lang w:eastAsia="bg-BG"/>
        </w:rPr>
        <w:t>-рецепторни блокери или алискирен (вж. точки 4.5 и 5.1).</w:t>
      </w:r>
    </w:p>
    <w:p w14:paraId="4BC831C3"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5A29E453"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 xml:space="preserve">АСЕ инхибитори и ангиотензин </w:t>
      </w:r>
      <w:r w:rsidRPr="00976CF1">
        <w:rPr>
          <w:rFonts w:eastAsia="Times New Roman" w:cs="Arial"/>
          <w:color w:val="000000"/>
          <w:lang w:val="en-US"/>
        </w:rPr>
        <w:t>II</w:t>
      </w:r>
      <w:r w:rsidRPr="00976CF1">
        <w:rPr>
          <w:rFonts w:eastAsia="Times New Roman" w:cs="Arial"/>
          <w:color w:val="000000"/>
          <w:lang w:eastAsia="bg-BG"/>
        </w:rPr>
        <w:t>-рецепторни блокери не трябва да се използват</w:t>
      </w:r>
      <w:r w:rsidRPr="00976CF1">
        <w:rPr>
          <w:rFonts w:eastAsia="Times New Roman" w:cs="Arial"/>
          <w:color w:val="000000"/>
          <w:lang w:val="en-US"/>
        </w:rPr>
        <w:t xml:space="preserve"> </w:t>
      </w:r>
      <w:r w:rsidRPr="00976CF1">
        <w:rPr>
          <w:rFonts w:eastAsia="Times New Roman" w:cs="Arial"/>
          <w:color w:val="000000"/>
          <w:lang w:eastAsia="bg-BG"/>
        </w:rPr>
        <w:t>едновременно при пациенти с диабетна нефропатия.</w:t>
      </w:r>
    </w:p>
    <w:p w14:paraId="03BFEEDD" w14:textId="77777777" w:rsidR="00976CF1" w:rsidRPr="00976CF1" w:rsidRDefault="00976CF1" w:rsidP="00976CF1">
      <w:pPr>
        <w:spacing w:line="240" w:lineRule="auto"/>
        <w:rPr>
          <w:rFonts w:eastAsia="Times New Roman" w:cs="Arial"/>
          <w:i/>
          <w:iCs/>
          <w:color w:val="000000"/>
          <w:u w:val="single"/>
          <w:lang w:eastAsia="bg-BG"/>
        </w:rPr>
      </w:pPr>
    </w:p>
    <w:p w14:paraId="14291FDE" w14:textId="29B79AF2" w:rsidR="00976CF1" w:rsidRPr="00976CF1" w:rsidRDefault="00976CF1" w:rsidP="00976CF1">
      <w:pPr>
        <w:spacing w:line="240" w:lineRule="auto"/>
        <w:rPr>
          <w:rFonts w:eastAsia="Times New Roman" w:cs="Arial"/>
          <w:lang w:eastAsia="bg-BG"/>
        </w:rPr>
      </w:pPr>
      <w:r w:rsidRPr="00976CF1">
        <w:rPr>
          <w:rFonts w:eastAsia="Times New Roman" w:cs="Arial"/>
          <w:i/>
          <w:iCs/>
          <w:color w:val="000000"/>
          <w:u w:val="single"/>
          <w:lang w:eastAsia="bg-BG"/>
        </w:rPr>
        <w:t>Педиатрична популация</w:t>
      </w:r>
    </w:p>
    <w:p w14:paraId="08B847B7"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u w:val="single"/>
          <w:lang w:eastAsia="bg-BG"/>
        </w:rPr>
        <w:t>Бъбречно увреждане</w:t>
      </w:r>
    </w:p>
    <w:p w14:paraId="78329471"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 xml:space="preserve">Употребата при деца с креатининов клирънс &lt;30 </w:t>
      </w:r>
      <w:r w:rsidRPr="00976CF1">
        <w:rPr>
          <w:rFonts w:eastAsia="Times New Roman" w:cs="Arial"/>
          <w:color w:val="000000"/>
          <w:lang w:val="en-US"/>
        </w:rPr>
        <w:t xml:space="preserve">ml/min </w:t>
      </w:r>
      <w:r w:rsidRPr="00976CF1">
        <w:rPr>
          <w:rFonts w:eastAsia="Times New Roman" w:cs="Arial"/>
          <w:color w:val="000000"/>
          <w:lang w:eastAsia="bg-BG"/>
        </w:rPr>
        <w:t xml:space="preserve">и при деца на диализа не е проучвана, поради което валсартан не се препоръчва при тези пациенти. Не се изисква адаптиране на дозата при пациенти с креатининов клирънс &gt;30 </w:t>
      </w:r>
      <w:r w:rsidRPr="00976CF1">
        <w:rPr>
          <w:rFonts w:eastAsia="Times New Roman" w:cs="Arial"/>
          <w:color w:val="000000"/>
          <w:lang w:val="en-US"/>
        </w:rPr>
        <w:t xml:space="preserve">ml/min </w:t>
      </w:r>
      <w:r w:rsidRPr="00976CF1">
        <w:rPr>
          <w:rFonts w:eastAsia="Times New Roman" w:cs="Arial"/>
          <w:color w:val="000000"/>
          <w:lang w:eastAsia="bg-BG"/>
        </w:rPr>
        <w:t xml:space="preserve">(вж. точка 4.2 </w:t>
      </w:r>
      <w:r w:rsidRPr="00976CF1">
        <w:rPr>
          <w:rFonts w:eastAsia="Times New Roman" w:cs="Arial"/>
          <w:i/>
          <w:iCs/>
          <w:color w:val="000000"/>
          <w:lang w:eastAsia="bg-BG"/>
        </w:rPr>
        <w:t>и</w:t>
      </w:r>
      <w:r w:rsidRPr="00976CF1">
        <w:rPr>
          <w:rFonts w:eastAsia="Times New Roman" w:cs="Arial"/>
          <w:color w:val="000000"/>
          <w:lang w:eastAsia="bg-BG"/>
        </w:rPr>
        <w:t xml:space="preserve"> точка 5.2). Бъбречната функция и серумният калий трябва да се проследяват отблизо по време на лечението с валсартан. Тази препоръка се отнася особено за случаите, в които валсартан се дава при наличието на други състояния (треска, дехидратация), които могат да повлияят бъбречната функция.</w:t>
      </w:r>
    </w:p>
    <w:p w14:paraId="51F14F75" w14:textId="77777777" w:rsidR="00976CF1" w:rsidRPr="00976CF1" w:rsidRDefault="00976CF1" w:rsidP="00976CF1">
      <w:pPr>
        <w:spacing w:line="240" w:lineRule="auto"/>
        <w:rPr>
          <w:rFonts w:eastAsia="Times New Roman" w:cs="Arial"/>
          <w:color w:val="000000"/>
          <w:u w:val="single"/>
          <w:lang w:eastAsia="bg-BG"/>
        </w:rPr>
      </w:pPr>
    </w:p>
    <w:p w14:paraId="47759F79" w14:textId="37299978" w:rsidR="00976CF1" w:rsidRPr="00976CF1" w:rsidRDefault="00976CF1" w:rsidP="00976CF1">
      <w:pPr>
        <w:spacing w:line="240" w:lineRule="auto"/>
        <w:rPr>
          <w:rFonts w:eastAsia="Times New Roman" w:cs="Arial"/>
          <w:lang w:eastAsia="bg-BG"/>
        </w:rPr>
      </w:pPr>
      <w:r w:rsidRPr="00976CF1">
        <w:rPr>
          <w:rFonts w:eastAsia="Times New Roman" w:cs="Arial"/>
          <w:color w:val="000000"/>
          <w:u w:val="single"/>
          <w:lang w:eastAsia="bg-BG"/>
        </w:rPr>
        <w:t>Чернодробно увреждане</w:t>
      </w:r>
    </w:p>
    <w:p w14:paraId="0673B882" w14:textId="77777777" w:rsidR="00976CF1" w:rsidRPr="00976CF1" w:rsidRDefault="00976CF1" w:rsidP="00976CF1">
      <w:pPr>
        <w:spacing w:line="240" w:lineRule="auto"/>
        <w:rPr>
          <w:rFonts w:eastAsia="Times New Roman" w:cs="Arial"/>
          <w:lang w:eastAsia="bg-BG"/>
        </w:rPr>
      </w:pPr>
      <w:r w:rsidRPr="00976CF1">
        <w:rPr>
          <w:rFonts w:eastAsia="Times New Roman" w:cs="Arial"/>
          <w:color w:val="000000"/>
          <w:lang w:eastAsia="bg-BG"/>
        </w:rPr>
        <w:t xml:space="preserve">Както и при възрастни, валсартан е противопоказан при деца с тежко чернодробно увреждане, билиарна цироза и при пациенти с холестаза (вж. точка 4.3 и точка 5.2). </w:t>
      </w:r>
      <w:r w:rsidRPr="00976CF1">
        <w:rPr>
          <w:rFonts w:eastAsia="Times New Roman" w:cs="Arial"/>
          <w:color w:val="000000"/>
          <w:lang w:eastAsia="bg-BG"/>
        </w:rPr>
        <w:lastRenderedPageBreak/>
        <w:t xml:space="preserve">Клиничният опит с валсартан е ограничен при педиатрични пациенти с леко до умерено чернодробно увреждане. Дозата валсартан не трябва да надвишава 80 </w:t>
      </w:r>
      <w:r w:rsidRPr="00976CF1">
        <w:rPr>
          <w:rFonts w:eastAsia="Times New Roman" w:cs="Arial"/>
          <w:color w:val="000000"/>
          <w:lang w:val="en-US"/>
        </w:rPr>
        <w:t xml:space="preserve">mg </w:t>
      </w:r>
      <w:r w:rsidRPr="00976CF1">
        <w:rPr>
          <w:rFonts w:eastAsia="Times New Roman" w:cs="Arial"/>
          <w:color w:val="000000"/>
          <w:lang w:eastAsia="bg-BG"/>
        </w:rPr>
        <w:t>при тези пациенти.</w:t>
      </w:r>
    </w:p>
    <w:p w14:paraId="5157C29F" w14:textId="77777777" w:rsidR="00976CF1" w:rsidRPr="00976CF1" w:rsidRDefault="00976CF1" w:rsidP="00976CF1"/>
    <w:p w14:paraId="7ABEA351" w14:textId="3FC317DB"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3A771156" w14:textId="04E0F5D9" w:rsidR="00976CF1" w:rsidRDefault="00976CF1" w:rsidP="00976CF1"/>
    <w:p w14:paraId="2A2142A2"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i/>
          <w:iCs/>
          <w:color w:val="000000"/>
          <w:lang w:eastAsia="bg-BG"/>
        </w:rPr>
        <w:t>Двойна блокада на ренин-ангиотензин-алдостерон системата с АРА, АКЕИ или алискирен:</w:t>
      </w:r>
    </w:p>
    <w:p w14:paraId="5906155F"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976CF1">
        <w:rPr>
          <w:rFonts w:eastAsia="Times New Roman" w:cs="Arial"/>
          <w:color w:val="000000"/>
          <w:lang w:val="en-US"/>
        </w:rPr>
        <w:t>II</w:t>
      </w:r>
      <w:r w:rsidRPr="00976CF1">
        <w:rPr>
          <w:rFonts w:eastAsia="Times New Roman" w:cs="Arial"/>
          <w:color w:val="000000"/>
          <w:lang w:eastAsia="bg-BG"/>
        </w:rPr>
        <w:t>- 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25DAA94C" w14:textId="77777777" w:rsidR="00976CF1" w:rsidRPr="00976CF1" w:rsidRDefault="00976CF1" w:rsidP="00976CF1">
      <w:pPr>
        <w:spacing w:line="240" w:lineRule="auto"/>
        <w:rPr>
          <w:rFonts w:eastAsia="Times New Roman" w:cs="Arial"/>
          <w:i/>
          <w:iCs/>
          <w:color w:val="000000"/>
          <w:u w:val="single"/>
          <w:lang w:eastAsia="bg-BG"/>
        </w:rPr>
      </w:pPr>
    </w:p>
    <w:p w14:paraId="596EB327" w14:textId="01A80529" w:rsidR="00976CF1" w:rsidRPr="00976CF1" w:rsidRDefault="00976CF1" w:rsidP="00976CF1">
      <w:pPr>
        <w:spacing w:line="240" w:lineRule="auto"/>
        <w:rPr>
          <w:rFonts w:eastAsia="Times New Roman" w:cs="Arial"/>
          <w:sz w:val="24"/>
          <w:szCs w:val="24"/>
          <w:lang w:eastAsia="bg-BG"/>
        </w:rPr>
      </w:pPr>
      <w:r w:rsidRPr="00976CF1">
        <w:rPr>
          <w:rFonts w:eastAsia="Times New Roman" w:cs="Arial"/>
          <w:i/>
          <w:iCs/>
          <w:color w:val="000000"/>
          <w:u w:val="single"/>
          <w:lang w:eastAsia="bg-BG"/>
        </w:rPr>
        <w:t>Едновременната употреба не се препоръчва</w:t>
      </w:r>
    </w:p>
    <w:p w14:paraId="06DBD09D"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i/>
          <w:iCs/>
          <w:color w:val="000000"/>
          <w:lang w:eastAsia="bg-BG"/>
        </w:rPr>
        <w:t>Литий</w:t>
      </w:r>
    </w:p>
    <w:p w14:paraId="39DECAA9"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Обратимо повишаване на серумните концентрации на литий и токсичностса съобщени по време на едновременната употреба на АСЕ-инхибитори или ангиотензин П рецепторни блокери, включително валсартан. Препоръчва се внимателно следене на серумните нива на литий, ако се прецени, че комбинацията е необходима. Ако се прилага и деурети се предполага, че рискът от литиева токсичност може да бъде допълнително повишен.</w:t>
      </w:r>
    </w:p>
    <w:p w14:paraId="48294D13" w14:textId="77777777" w:rsidR="00976CF1" w:rsidRPr="00976CF1" w:rsidRDefault="00976CF1" w:rsidP="00976CF1">
      <w:pPr>
        <w:spacing w:line="240" w:lineRule="auto"/>
        <w:rPr>
          <w:rFonts w:eastAsia="Times New Roman" w:cs="Arial"/>
          <w:i/>
          <w:iCs/>
          <w:color w:val="000000"/>
          <w:lang w:eastAsia="bg-BG"/>
        </w:rPr>
      </w:pPr>
    </w:p>
    <w:p w14:paraId="33119501" w14:textId="509D9350" w:rsidR="00976CF1" w:rsidRPr="00976CF1" w:rsidRDefault="00976CF1" w:rsidP="00976CF1">
      <w:pPr>
        <w:spacing w:line="240" w:lineRule="auto"/>
        <w:rPr>
          <w:rFonts w:eastAsia="Times New Roman" w:cs="Arial"/>
          <w:sz w:val="24"/>
          <w:szCs w:val="24"/>
          <w:lang w:eastAsia="bg-BG"/>
        </w:rPr>
      </w:pPr>
      <w:r w:rsidRPr="00976CF1">
        <w:rPr>
          <w:rFonts w:eastAsia="Times New Roman" w:cs="Arial"/>
          <w:i/>
          <w:iCs/>
          <w:color w:val="000000"/>
          <w:lang w:eastAsia="bg-BG"/>
        </w:rPr>
        <w:t>Калий-съхраняващи диуретици, калиеви добавки, заместители на солта, съдържащи калий и други вещества, които могат да повишат нивата на калий</w:t>
      </w:r>
    </w:p>
    <w:p w14:paraId="448E1883"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Ако се налага комбиниране на лекарствени продукти, които влияят върху нивата на калий, и валсартан се препоръчва да се проследяват плазмените нива на калий.</w:t>
      </w:r>
    </w:p>
    <w:p w14:paraId="5DF4052B" w14:textId="77777777" w:rsidR="00976CF1" w:rsidRPr="00976CF1" w:rsidRDefault="00976CF1" w:rsidP="00976CF1">
      <w:pPr>
        <w:spacing w:line="240" w:lineRule="auto"/>
        <w:rPr>
          <w:rFonts w:eastAsia="Times New Roman" w:cs="Arial"/>
          <w:i/>
          <w:iCs/>
          <w:color w:val="000000"/>
          <w:u w:val="single"/>
          <w:lang w:eastAsia="bg-BG"/>
        </w:rPr>
      </w:pPr>
    </w:p>
    <w:p w14:paraId="1A4F2891" w14:textId="737EAE5C" w:rsidR="00976CF1" w:rsidRPr="00976CF1" w:rsidRDefault="00976CF1" w:rsidP="00976CF1">
      <w:pPr>
        <w:spacing w:line="240" w:lineRule="auto"/>
        <w:rPr>
          <w:rFonts w:eastAsia="Times New Roman" w:cs="Arial"/>
          <w:sz w:val="24"/>
          <w:szCs w:val="24"/>
          <w:lang w:eastAsia="bg-BG"/>
        </w:rPr>
      </w:pPr>
      <w:r w:rsidRPr="00976CF1">
        <w:rPr>
          <w:rFonts w:eastAsia="Times New Roman" w:cs="Arial"/>
          <w:i/>
          <w:iCs/>
          <w:color w:val="000000"/>
          <w:u w:val="single"/>
          <w:lang w:eastAsia="bg-BG"/>
        </w:rPr>
        <w:t>Изисква се внимание при едновременна употреба</w:t>
      </w:r>
    </w:p>
    <w:p w14:paraId="69D40762"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i/>
          <w:iCs/>
          <w:color w:val="000000"/>
          <w:lang w:eastAsia="bg-BG"/>
        </w:rPr>
        <w:t xml:space="preserve">Нестероидни противовъзпалителни средства (НСПВС), включително селективни СОХ-2 инхибитори, ацетилсалицилова киселина &gt;3 </w:t>
      </w:r>
      <w:r w:rsidRPr="00976CF1">
        <w:rPr>
          <w:rFonts w:eastAsia="Times New Roman" w:cs="Arial"/>
          <w:i/>
          <w:iCs/>
          <w:color w:val="000000"/>
          <w:lang w:val="en-US"/>
        </w:rPr>
        <w:t>g</w:t>
      </w:r>
      <w:r w:rsidRPr="00976CF1">
        <w:rPr>
          <w:rFonts w:eastAsia="Times New Roman" w:cs="Arial"/>
          <w:i/>
          <w:iCs/>
          <w:color w:val="000000"/>
          <w:lang w:eastAsia="bg-BG"/>
        </w:rPr>
        <w:t>/дневно) и не-селективни НСПВС</w:t>
      </w:r>
    </w:p>
    <w:p w14:paraId="062C2A19"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 xml:space="preserve">При едновременна употреба на ангиотензин </w:t>
      </w:r>
      <w:r w:rsidRPr="00976CF1">
        <w:rPr>
          <w:rFonts w:eastAsia="Times New Roman" w:cs="Arial"/>
          <w:color w:val="000000"/>
          <w:lang w:val="en-US"/>
        </w:rPr>
        <w:t>II</w:t>
      </w:r>
      <w:r w:rsidRPr="00976CF1">
        <w:rPr>
          <w:rFonts w:eastAsia="Times New Roman" w:cs="Arial"/>
          <w:color w:val="000000"/>
          <w:lang w:eastAsia="bg-BG"/>
        </w:rPr>
        <w:t xml:space="preserve"> антагонисти и НСПВС може да се появи намаляване на антихипертензивния ефект. Освен това едновременната употреба на ангиотензин П антагонисти и НСПВС може да доведе до повишаване на риска от влошаване на бъбречната функция и увеличаване на серумния калий. Поради тази причина се препоръчва проследяване на бъбречната функция в началото на лечението, както и подходящо хидратиране на пациента.</w:t>
      </w:r>
    </w:p>
    <w:p w14:paraId="76DEDD47" w14:textId="77777777" w:rsidR="00976CF1" w:rsidRPr="00976CF1" w:rsidRDefault="00976CF1" w:rsidP="00976CF1">
      <w:pPr>
        <w:spacing w:line="240" w:lineRule="auto"/>
        <w:rPr>
          <w:rFonts w:eastAsia="Times New Roman" w:cs="Arial"/>
          <w:i/>
          <w:iCs/>
          <w:color w:val="000000"/>
          <w:u w:val="single"/>
          <w:lang w:eastAsia="bg-BG"/>
        </w:rPr>
      </w:pPr>
    </w:p>
    <w:p w14:paraId="6757BF58" w14:textId="7577254C" w:rsidR="00976CF1" w:rsidRPr="00976CF1" w:rsidRDefault="00976CF1" w:rsidP="00976CF1">
      <w:pPr>
        <w:spacing w:line="240" w:lineRule="auto"/>
        <w:rPr>
          <w:rFonts w:eastAsia="Times New Roman" w:cs="Arial"/>
          <w:sz w:val="24"/>
          <w:szCs w:val="24"/>
          <w:lang w:eastAsia="bg-BG"/>
        </w:rPr>
      </w:pPr>
      <w:r w:rsidRPr="00976CF1">
        <w:rPr>
          <w:rFonts w:eastAsia="Times New Roman" w:cs="Arial"/>
          <w:i/>
          <w:iCs/>
          <w:color w:val="000000"/>
          <w:u w:val="single"/>
          <w:lang w:eastAsia="bg-BG"/>
        </w:rPr>
        <w:t>Транспортери</w:t>
      </w:r>
    </w:p>
    <w:p w14:paraId="2C549100"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i/>
          <w:iCs/>
          <w:color w:val="000000"/>
          <w:lang w:val="en-US"/>
        </w:rPr>
        <w:t>In vitro</w:t>
      </w:r>
      <w:r w:rsidRPr="00976CF1">
        <w:rPr>
          <w:rFonts w:eastAsia="Times New Roman" w:cs="Arial"/>
          <w:color w:val="000000"/>
          <w:lang w:val="en-US"/>
        </w:rPr>
        <w:t xml:space="preserve"> </w:t>
      </w:r>
      <w:r w:rsidRPr="00976CF1">
        <w:rPr>
          <w:rFonts w:eastAsia="Times New Roman" w:cs="Arial"/>
          <w:color w:val="000000"/>
          <w:lang w:eastAsia="bg-BG"/>
        </w:rPr>
        <w:t xml:space="preserve">данни подсказват, че валсартан е субстрат на транспортерите за чернодробно захващане на ОАТР1В1/ОАТР1ВЗ и на чернодробния ефлукс транспортер </w:t>
      </w:r>
      <w:r w:rsidRPr="00976CF1">
        <w:rPr>
          <w:rFonts w:eastAsia="Times New Roman" w:cs="Arial"/>
          <w:color w:val="000000"/>
          <w:lang w:val="en-US"/>
        </w:rPr>
        <w:t xml:space="preserve">MRP2. </w:t>
      </w:r>
      <w:r w:rsidRPr="00976CF1">
        <w:rPr>
          <w:rFonts w:eastAsia="Times New Roman" w:cs="Arial"/>
          <w:color w:val="000000"/>
          <w:lang w:eastAsia="bg-BG"/>
        </w:rPr>
        <w:t>Клиничната значимост на тази находка не е известна. Едновременното приложение на инхибитори на транспортери за захващане (например рифампин, циклоспорин) или на ефлукс транспортерите (например ритонавир) може да повиши системната експозиция на валсартан. Предприемете подходящи грижи при започване или преустановяване на съпътстващото лечение с такива лекарства.</w:t>
      </w:r>
    </w:p>
    <w:p w14:paraId="322BF1E8" w14:textId="77777777" w:rsidR="00976CF1" w:rsidRPr="00976CF1" w:rsidRDefault="00976CF1" w:rsidP="00976CF1">
      <w:pPr>
        <w:rPr>
          <w:rFonts w:eastAsia="Times New Roman" w:cs="Arial"/>
          <w:color w:val="000000"/>
          <w:lang w:eastAsia="bg-BG"/>
        </w:rPr>
      </w:pPr>
    </w:p>
    <w:p w14:paraId="454444FF" w14:textId="5AEC2A72" w:rsidR="00976CF1" w:rsidRPr="00976CF1" w:rsidRDefault="00976CF1" w:rsidP="00976CF1">
      <w:pPr>
        <w:rPr>
          <w:rFonts w:eastAsia="Times New Roman" w:cs="Arial"/>
          <w:color w:val="000000"/>
          <w:lang w:eastAsia="bg-BG"/>
        </w:rPr>
      </w:pPr>
      <w:r w:rsidRPr="00976CF1">
        <w:rPr>
          <w:rFonts w:eastAsia="Times New Roman" w:cs="Arial"/>
          <w:color w:val="000000"/>
          <w:lang w:eastAsia="bg-BG"/>
        </w:rPr>
        <w:t>Други</w:t>
      </w:r>
    </w:p>
    <w:p w14:paraId="376C7ADA"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lastRenderedPageBreak/>
        <w:t>При проучванията за взаимодействие на валсартан не са открити никакви взаимодействия от клинично значение с валсартан или някое от следните вещества: циметидин, варфарин, фуроземид, дигоксин, атенолол, индометацин, хидрохлоротиазид, амлодипин, глибенкламид.</w:t>
      </w:r>
    </w:p>
    <w:p w14:paraId="462E33B8" w14:textId="77777777" w:rsidR="00976CF1" w:rsidRPr="00976CF1" w:rsidRDefault="00976CF1" w:rsidP="00976CF1">
      <w:pPr>
        <w:spacing w:line="240" w:lineRule="auto"/>
        <w:rPr>
          <w:rFonts w:eastAsia="Times New Roman" w:cs="Arial"/>
          <w:i/>
          <w:iCs/>
          <w:color w:val="000000"/>
          <w:u w:val="single"/>
          <w:lang w:eastAsia="bg-BG"/>
        </w:rPr>
      </w:pPr>
    </w:p>
    <w:p w14:paraId="57B1CECB" w14:textId="7825334E" w:rsidR="00976CF1" w:rsidRPr="00976CF1" w:rsidRDefault="00976CF1" w:rsidP="00976CF1">
      <w:pPr>
        <w:spacing w:line="240" w:lineRule="auto"/>
        <w:rPr>
          <w:rFonts w:eastAsia="Times New Roman" w:cs="Arial"/>
          <w:sz w:val="24"/>
          <w:szCs w:val="24"/>
          <w:lang w:eastAsia="bg-BG"/>
        </w:rPr>
      </w:pPr>
      <w:r w:rsidRPr="00976CF1">
        <w:rPr>
          <w:rFonts w:eastAsia="Times New Roman" w:cs="Arial"/>
          <w:i/>
          <w:iCs/>
          <w:color w:val="000000"/>
          <w:u w:val="single"/>
          <w:lang w:eastAsia="bg-BG"/>
        </w:rPr>
        <w:t>Педиатрична популация</w:t>
      </w:r>
    </w:p>
    <w:p w14:paraId="5B57142A"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При хипертония при деца и юноши, при които подлежащите бъбречни нарушения са чести, се препоръчва внимание при едновременната употреба на валсартан и други вещества, които инхибират ренин-ангиотензин-алдостерон системата, което може да повиши нивата на серумен калий. Бъбречната функция и нивата на серумен калий трябва да бъдат проследявани отблизо.</w:t>
      </w:r>
    </w:p>
    <w:p w14:paraId="31253719" w14:textId="77777777" w:rsidR="00976CF1" w:rsidRPr="00976CF1" w:rsidRDefault="00976CF1" w:rsidP="00976CF1"/>
    <w:p w14:paraId="15A75A66" w14:textId="379384FA" w:rsidR="00A71DCF" w:rsidRDefault="002C50EE" w:rsidP="00A93499">
      <w:pPr>
        <w:pStyle w:val="Heading2"/>
      </w:pPr>
      <w:r>
        <w:t>4.6. Фертилитет, бременност и кърмене</w:t>
      </w:r>
    </w:p>
    <w:p w14:paraId="31612B56" w14:textId="77C844C7" w:rsidR="00976CF1" w:rsidRDefault="00976CF1" w:rsidP="00976CF1"/>
    <w:p w14:paraId="59036B85" w14:textId="028B6D3C" w:rsidR="00976CF1" w:rsidRPr="00976CF1" w:rsidRDefault="00976CF1" w:rsidP="00976CF1">
      <w:pPr>
        <w:pStyle w:val="Heading3"/>
        <w:rPr>
          <w:u w:val="single"/>
        </w:rPr>
      </w:pPr>
      <w:r w:rsidRPr="00976CF1">
        <w:rPr>
          <w:u w:val="single"/>
        </w:rPr>
        <w:t>Бременност</w:t>
      </w:r>
    </w:p>
    <w:tbl>
      <w:tblPr>
        <w:tblStyle w:val="TableGrid"/>
        <w:tblW w:w="0" w:type="auto"/>
        <w:tblLook w:val="04A0" w:firstRow="1" w:lastRow="0" w:firstColumn="1" w:lastColumn="0" w:noHBand="0" w:noVBand="1"/>
      </w:tblPr>
      <w:tblGrid>
        <w:gridCol w:w="9350"/>
      </w:tblGrid>
      <w:tr w:rsidR="00976CF1" w:rsidRPr="00976CF1" w14:paraId="1DF71C27" w14:textId="77777777" w:rsidTr="00976CF1">
        <w:tc>
          <w:tcPr>
            <w:tcW w:w="9500" w:type="dxa"/>
          </w:tcPr>
          <w:p w14:paraId="4C20B61C" w14:textId="0AFDDEFB" w:rsidR="00976CF1" w:rsidRPr="00976CF1" w:rsidRDefault="00976CF1" w:rsidP="00976CF1">
            <w:pPr>
              <w:rPr>
                <w:rFonts w:cs="Arial"/>
              </w:rPr>
            </w:pPr>
            <w:r w:rsidRPr="00976CF1">
              <w:rPr>
                <w:rFonts w:cs="Arial"/>
              </w:rPr>
              <w:t xml:space="preserve">Употребата на ангиотензин </w:t>
            </w:r>
            <w:r w:rsidRPr="00976CF1">
              <w:rPr>
                <w:rFonts w:cs="Arial"/>
                <w:lang w:val="en-US"/>
              </w:rPr>
              <w:t>II</w:t>
            </w:r>
            <w:r w:rsidRPr="00976CF1">
              <w:rPr>
                <w:rFonts w:cs="Arial"/>
              </w:rPr>
              <w:t xml:space="preserve"> рецепторни антагонисти не се препоръчва през първия триместър от бременноста (вж. точка 4.4). Употребата на ангиотензин </w:t>
            </w:r>
            <w:r w:rsidRPr="00976CF1">
              <w:rPr>
                <w:rFonts w:cs="Arial"/>
                <w:lang w:val="en-US"/>
              </w:rPr>
              <w:t>II</w:t>
            </w:r>
            <w:r w:rsidRPr="00976CF1">
              <w:rPr>
                <w:rFonts w:cs="Arial"/>
              </w:rPr>
              <w:t xml:space="preserve"> рецепторни антагонисти е противопоказана през втория и третия триместър от бременноста (вж. точка 4.3 и точка 4.4).</w:t>
            </w:r>
          </w:p>
        </w:tc>
      </w:tr>
    </w:tbl>
    <w:p w14:paraId="74039ED4"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 xml:space="preserve">Епидемиологичните данни за риска от тератогенност след екпозиция на АСЕ-инхибитори по време на първия триместър от бременността не са убедителни; въпреки това, не може да се изключи леко повишение на риска. Въпреки че няма контролирани епидемиологични данни за риск с ангиотензин </w:t>
      </w:r>
      <w:r w:rsidRPr="00976CF1">
        <w:rPr>
          <w:rFonts w:eastAsia="Times New Roman" w:cs="Arial"/>
          <w:color w:val="000000"/>
          <w:lang w:val="en-US"/>
        </w:rPr>
        <w:t>II</w:t>
      </w:r>
      <w:r w:rsidRPr="00976CF1">
        <w:rPr>
          <w:rFonts w:eastAsia="Times New Roman" w:cs="Arial"/>
          <w:color w:val="000000"/>
          <w:lang w:eastAsia="bg-BG"/>
        </w:rPr>
        <w:t xml:space="preserve"> рецепторни антагонисти, подобни рискове може да съществуват за този клас лекарства. Освен ако терапията с ангиотензин </w:t>
      </w:r>
      <w:r w:rsidRPr="00976CF1">
        <w:rPr>
          <w:rFonts w:eastAsia="Times New Roman" w:cs="Arial"/>
          <w:color w:val="000000"/>
          <w:lang w:val="en-US"/>
        </w:rPr>
        <w:t xml:space="preserve">II </w:t>
      </w:r>
      <w:r w:rsidRPr="00976CF1">
        <w:rPr>
          <w:rFonts w:eastAsia="Times New Roman" w:cs="Arial"/>
          <w:color w:val="000000"/>
          <w:lang w:eastAsia="bg-BG"/>
        </w:rPr>
        <w:t>рецепторни антагонисти не е необходима, пациентите, които планират бременност трябва да преминат на алтернативно антихипертензивно лечение, което има установен профил на безопасност при бременност. При установяване на бременност лечението с ангиотензин П рецепторни антагонисти трябва да бъде преустановено незабавно и, при необходимост, трябва да се започне алтернативна терапия.</w:t>
      </w:r>
    </w:p>
    <w:p w14:paraId="49F13230"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 xml:space="preserve">Експозицията на ангиотензин </w:t>
      </w:r>
      <w:r w:rsidRPr="00976CF1">
        <w:rPr>
          <w:rFonts w:eastAsia="Times New Roman" w:cs="Arial"/>
          <w:color w:val="000000"/>
          <w:lang w:val="en-US"/>
        </w:rPr>
        <w:t>II</w:t>
      </w:r>
      <w:r w:rsidRPr="00976CF1">
        <w:rPr>
          <w:rFonts w:eastAsia="Times New Roman" w:cs="Arial"/>
          <w:color w:val="000000"/>
          <w:lang w:eastAsia="bg-BG"/>
        </w:rPr>
        <w:t xml:space="preserve"> рецепторни антагонисти по време на втория и третия триместър от бременността установено индуцира фетотоксичност при хора (намалена бъбречна функция, олигохидрамнион, забавена осификация на черепа) и неонатална токсичност (бъбречна недостатъчност, хипотония, хиперкалиемия); вж. също точка 5.3.</w:t>
      </w:r>
    </w:p>
    <w:p w14:paraId="451F28FD"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 xml:space="preserve">Ако експозицията на ангиотензин </w:t>
      </w:r>
      <w:r w:rsidRPr="00976CF1">
        <w:rPr>
          <w:rFonts w:eastAsia="Times New Roman" w:cs="Arial"/>
          <w:color w:val="000000"/>
          <w:lang w:val="en-US"/>
        </w:rPr>
        <w:t>II</w:t>
      </w:r>
      <w:r w:rsidRPr="00976CF1">
        <w:rPr>
          <w:rFonts w:eastAsia="Times New Roman" w:cs="Arial"/>
          <w:color w:val="000000"/>
          <w:lang w:eastAsia="bg-BG"/>
        </w:rPr>
        <w:t xml:space="preserve"> рецепторни антагонисти е през втория триместър от бременността се препоръчва ултразвуково изследване на бъбречната функция и черепа.</w:t>
      </w:r>
    </w:p>
    <w:p w14:paraId="57744BAC"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 xml:space="preserve">Новородените, чиито майки са приемали ангиотензин </w:t>
      </w:r>
      <w:r w:rsidRPr="00976CF1">
        <w:rPr>
          <w:rFonts w:eastAsia="Times New Roman" w:cs="Arial"/>
          <w:color w:val="000000"/>
          <w:lang w:val="en-US"/>
        </w:rPr>
        <w:t>II</w:t>
      </w:r>
      <w:r w:rsidRPr="00976CF1">
        <w:rPr>
          <w:rFonts w:eastAsia="Times New Roman" w:cs="Arial"/>
          <w:color w:val="000000"/>
          <w:lang w:eastAsia="bg-BG"/>
        </w:rPr>
        <w:t xml:space="preserve"> рецепторни антагонисти, трябва да бъдат наблюдавани отблизо за хипотония (вж. също точка 4.3 и точка 4.4).</w:t>
      </w:r>
    </w:p>
    <w:p w14:paraId="51338DB0" w14:textId="77777777" w:rsidR="00976CF1" w:rsidRPr="00976CF1" w:rsidRDefault="00976CF1" w:rsidP="00976CF1">
      <w:pPr>
        <w:spacing w:line="240" w:lineRule="auto"/>
        <w:rPr>
          <w:rFonts w:eastAsia="Times New Roman" w:cs="Arial"/>
          <w:color w:val="000000"/>
          <w:u w:val="single"/>
          <w:lang w:eastAsia="bg-BG"/>
        </w:rPr>
      </w:pPr>
    </w:p>
    <w:p w14:paraId="2387F68E" w14:textId="230D52F0" w:rsidR="00976CF1" w:rsidRPr="00976CF1" w:rsidRDefault="00976CF1" w:rsidP="00976CF1">
      <w:pPr>
        <w:pStyle w:val="Heading3"/>
        <w:rPr>
          <w:rFonts w:eastAsia="Times New Roman"/>
          <w:u w:val="single"/>
          <w:lang w:eastAsia="bg-BG"/>
        </w:rPr>
      </w:pPr>
      <w:r w:rsidRPr="00976CF1">
        <w:rPr>
          <w:rFonts w:eastAsia="Times New Roman"/>
          <w:u w:val="single"/>
          <w:lang w:eastAsia="bg-BG"/>
        </w:rPr>
        <w:t>Кърмене</w:t>
      </w:r>
    </w:p>
    <w:p w14:paraId="320A5CBC"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Тъй като няма налична информация за употребата на валсартан по време на кърмене, валсартан не се препоръчва и за предпочитане са алтернативни лечения с по-добър профил на безопасност по време на кърмене, особено при кърмене на новородени или преждевременно родени деца.</w:t>
      </w:r>
    </w:p>
    <w:p w14:paraId="7D7F9894" w14:textId="77777777" w:rsidR="00976CF1" w:rsidRPr="00976CF1" w:rsidRDefault="00976CF1" w:rsidP="00976CF1">
      <w:pPr>
        <w:spacing w:line="240" w:lineRule="auto"/>
        <w:rPr>
          <w:rFonts w:eastAsia="Times New Roman" w:cs="Arial"/>
          <w:color w:val="000000"/>
          <w:u w:val="single"/>
          <w:lang w:eastAsia="bg-BG"/>
        </w:rPr>
      </w:pPr>
    </w:p>
    <w:p w14:paraId="52946626" w14:textId="778D298A" w:rsidR="00976CF1" w:rsidRPr="00976CF1" w:rsidRDefault="00976CF1" w:rsidP="00976CF1">
      <w:pPr>
        <w:pStyle w:val="Heading3"/>
        <w:rPr>
          <w:rFonts w:eastAsia="Times New Roman"/>
          <w:u w:val="single"/>
          <w:lang w:eastAsia="bg-BG"/>
        </w:rPr>
      </w:pPr>
      <w:r w:rsidRPr="00976CF1">
        <w:rPr>
          <w:rFonts w:eastAsia="Times New Roman"/>
          <w:u w:val="single"/>
          <w:lang w:eastAsia="bg-BG"/>
        </w:rPr>
        <w:t>Фертилитет</w:t>
      </w:r>
    </w:p>
    <w:p w14:paraId="221F8F15"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 xml:space="preserve">При дози до 200 </w:t>
      </w:r>
      <w:r w:rsidRPr="00976CF1">
        <w:rPr>
          <w:rFonts w:eastAsia="Times New Roman" w:cs="Arial"/>
          <w:color w:val="000000"/>
          <w:lang w:val="en-US"/>
        </w:rPr>
        <w:t xml:space="preserve">mg/ kg </w:t>
      </w:r>
      <w:r w:rsidRPr="00976CF1">
        <w:rPr>
          <w:rFonts w:eastAsia="Times New Roman" w:cs="Arial"/>
          <w:color w:val="000000"/>
          <w:lang w:eastAsia="bg-BG"/>
        </w:rPr>
        <w:t xml:space="preserve">дневно валсартан няма нежелани ефекти върху възпроизводителната способност при мъжки и женски плъхове. Тази доза надвишава максималната препоръчителна доза при хора 6 пъти на база </w:t>
      </w:r>
      <w:r w:rsidRPr="00976CF1">
        <w:rPr>
          <w:rFonts w:eastAsia="Times New Roman" w:cs="Arial"/>
          <w:color w:val="000000"/>
          <w:lang w:val="en-US"/>
        </w:rPr>
        <w:t>mg/m</w:t>
      </w:r>
      <w:r w:rsidRPr="00976CF1">
        <w:rPr>
          <w:rFonts w:eastAsia="Times New Roman" w:cs="Arial"/>
          <w:color w:val="000000"/>
          <w:vertAlign w:val="superscript"/>
          <w:lang w:val="en-US"/>
        </w:rPr>
        <w:t>2</w:t>
      </w:r>
      <w:r w:rsidRPr="00976CF1">
        <w:rPr>
          <w:rFonts w:eastAsia="Times New Roman" w:cs="Arial"/>
          <w:color w:val="000000"/>
          <w:lang w:val="en-US"/>
        </w:rPr>
        <w:t xml:space="preserve"> </w:t>
      </w:r>
      <w:r w:rsidRPr="00976CF1">
        <w:rPr>
          <w:rFonts w:eastAsia="Times New Roman" w:cs="Arial"/>
          <w:color w:val="000000"/>
          <w:lang w:eastAsia="bg-BG"/>
        </w:rPr>
        <w:t xml:space="preserve">(изчисленията се отнасят за 320 </w:t>
      </w:r>
      <w:r w:rsidRPr="00976CF1">
        <w:rPr>
          <w:rFonts w:eastAsia="Times New Roman" w:cs="Arial"/>
          <w:color w:val="000000"/>
          <w:lang w:val="en-US"/>
        </w:rPr>
        <w:t xml:space="preserve">mg </w:t>
      </w:r>
      <w:r w:rsidRPr="00976CF1">
        <w:rPr>
          <w:rFonts w:eastAsia="Times New Roman" w:cs="Arial"/>
          <w:color w:val="000000"/>
          <w:lang w:eastAsia="bg-BG"/>
        </w:rPr>
        <w:t>дневно при пациент, тежащ 60 кг).</w:t>
      </w:r>
    </w:p>
    <w:p w14:paraId="13DC0C8F" w14:textId="77777777" w:rsidR="00976CF1" w:rsidRPr="00976CF1" w:rsidRDefault="00976CF1" w:rsidP="00976CF1"/>
    <w:p w14:paraId="6201597D" w14:textId="1583C7FD" w:rsidR="00EE6C97" w:rsidRDefault="002C50EE" w:rsidP="00A93499">
      <w:pPr>
        <w:pStyle w:val="Heading2"/>
      </w:pPr>
      <w:r>
        <w:t>4.7. Ефекти върху способността за шофиране и работа с машини</w:t>
      </w:r>
    </w:p>
    <w:p w14:paraId="7B9BFB6A" w14:textId="2A090ECA" w:rsidR="00976CF1" w:rsidRDefault="00976CF1" w:rsidP="00976CF1"/>
    <w:p w14:paraId="231AEF2B" w14:textId="77777777" w:rsidR="00976CF1" w:rsidRPr="00976CF1" w:rsidRDefault="00976CF1" w:rsidP="00976CF1">
      <w:pPr>
        <w:rPr>
          <w:sz w:val="24"/>
          <w:szCs w:val="24"/>
          <w:lang w:eastAsia="bg-BG"/>
        </w:rPr>
      </w:pPr>
      <w:r w:rsidRPr="00976CF1">
        <w:rPr>
          <w:lang w:eastAsia="bg-BG"/>
        </w:rPr>
        <w:t>Не са провеждани проучвания на ефектите върху способността за шофиране. При шофиране и работа с машини трябва да се отчете появата понякога на замаяност и отпадналост.</w:t>
      </w:r>
    </w:p>
    <w:p w14:paraId="388929D5" w14:textId="77777777" w:rsidR="00976CF1" w:rsidRPr="00976CF1" w:rsidRDefault="00976CF1" w:rsidP="00976CF1"/>
    <w:p w14:paraId="389A90F4" w14:textId="6D2BBFD2" w:rsidR="00BA5B74" w:rsidRDefault="002C50EE" w:rsidP="00A93499">
      <w:pPr>
        <w:pStyle w:val="Heading2"/>
      </w:pPr>
      <w:r>
        <w:t>4.8. Нежелани лекарствени реакции</w:t>
      </w:r>
    </w:p>
    <w:p w14:paraId="426AC430" w14:textId="14F54AAB" w:rsidR="00976CF1" w:rsidRDefault="00976CF1" w:rsidP="00976CF1"/>
    <w:p w14:paraId="213E44CF" w14:textId="5AEE661F" w:rsidR="00976CF1" w:rsidRPr="00976CF1" w:rsidRDefault="00976CF1" w:rsidP="00976CF1">
      <w:pPr>
        <w:rPr>
          <w:rFonts w:cs="Arial"/>
        </w:rPr>
      </w:pPr>
      <w:r w:rsidRPr="00976CF1">
        <w:rPr>
          <w:rFonts w:cs="Arial"/>
        </w:rPr>
        <w:t>При контролирани клинични проучвания при възрастни пациенти с хипертония общата честота на нежелани реакции е сравнима с плацебо и е в съответствие с фармакологията на валсартан. Честотата на нежелани лекарствени реакции не е свързана с дозата или продължителността на лечението а също не показва връзка и с пол, възраст или раса.</w:t>
      </w:r>
    </w:p>
    <w:p w14:paraId="06D09EDD" w14:textId="0C6B4879" w:rsidR="00976CF1" w:rsidRPr="00976CF1" w:rsidRDefault="00976CF1" w:rsidP="00976CF1">
      <w:pPr>
        <w:rPr>
          <w:rFonts w:cs="Arial"/>
        </w:rPr>
      </w:pPr>
    </w:p>
    <w:p w14:paraId="6309E09B"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Нежеланите лекарствени реакции, които са известни от клиничните проучвания, пост-маркетинговия опит и лабораторните изследвания са описани по-долу според класификацията система-орган-клас.</w:t>
      </w:r>
    </w:p>
    <w:p w14:paraId="01CA5E5E" w14:textId="77777777" w:rsidR="00976CF1" w:rsidRPr="00976CF1" w:rsidRDefault="00976CF1" w:rsidP="00976CF1">
      <w:pPr>
        <w:spacing w:line="240" w:lineRule="auto"/>
        <w:rPr>
          <w:rFonts w:eastAsia="Times New Roman" w:cs="Arial"/>
          <w:color w:val="000000"/>
          <w:lang w:eastAsia="bg-BG"/>
        </w:rPr>
      </w:pPr>
    </w:p>
    <w:p w14:paraId="0CFA90A0" w14:textId="184A9F34"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Нежеланите лекарствени реакции са групирани по честота, като най-честата е посочена първа, използвайки следната класификация: много чести (≥1/10); чести (≥1/100 до &lt;1/10); нечести (≥1/1,000 до &lt;1/100); редки (≥1/10,000 до &lt;1/1,000) много редки (&lt;1/10,000), с неизвестна честота (честотата не може да бъде установена от наличните данни). В рамките на всяка група по честота нежеланите реакции са подредени в низходящ ред според тежестта.</w:t>
      </w:r>
    </w:p>
    <w:p w14:paraId="038AF656"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За нежеланите реакции, установени в пост-маркетинговия опит и при лабораторни тестове не е възможно определянето на точна честота и поради тази причина те са категоризирани „с неизвестна честота”.</w:t>
      </w:r>
    </w:p>
    <w:p w14:paraId="201BD86F" w14:textId="77777777" w:rsidR="00976CF1" w:rsidRPr="00976CF1" w:rsidRDefault="00976CF1" w:rsidP="00976CF1">
      <w:pPr>
        <w:spacing w:line="240" w:lineRule="auto"/>
        <w:rPr>
          <w:rFonts w:eastAsia="Times New Roman" w:cs="Arial"/>
          <w:color w:val="000000"/>
          <w:u w:val="single"/>
          <w:lang w:eastAsia="bg-BG"/>
        </w:rPr>
      </w:pPr>
    </w:p>
    <w:p w14:paraId="0518FB2A" w14:textId="5FD98E74" w:rsidR="00976CF1" w:rsidRPr="00976CF1" w:rsidRDefault="00976CF1" w:rsidP="00976CF1">
      <w:pPr>
        <w:pStyle w:val="ListParagraph"/>
        <w:numPr>
          <w:ilvl w:val="0"/>
          <w:numId w:val="40"/>
        </w:numPr>
        <w:spacing w:line="240" w:lineRule="auto"/>
        <w:rPr>
          <w:rFonts w:eastAsia="Times New Roman" w:cs="Arial"/>
          <w:sz w:val="24"/>
          <w:szCs w:val="24"/>
          <w:lang w:eastAsia="bg-BG"/>
        </w:rPr>
      </w:pPr>
      <w:r w:rsidRPr="00976CF1">
        <w:rPr>
          <w:rFonts w:eastAsia="Times New Roman" w:cs="Arial"/>
          <w:color w:val="000000"/>
          <w:u w:val="single"/>
          <w:lang w:eastAsia="bg-BG"/>
        </w:rPr>
        <w:t>Хипертония</w:t>
      </w:r>
    </w:p>
    <w:p w14:paraId="0AC808AD" w14:textId="1C8D2E67" w:rsidR="00976CF1" w:rsidRDefault="00976CF1" w:rsidP="00976CF1"/>
    <w:tbl>
      <w:tblPr>
        <w:tblStyle w:val="TableGrid"/>
        <w:tblW w:w="0" w:type="auto"/>
        <w:tblLook w:val="04A0" w:firstRow="1" w:lastRow="0" w:firstColumn="1" w:lastColumn="0" w:noHBand="0" w:noVBand="1"/>
      </w:tblPr>
      <w:tblGrid>
        <w:gridCol w:w="4660"/>
        <w:gridCol w:w="4690"/>
      </w:tblGrid>
      <w:tr w:rsidR="00976CF1" w14:paraId="72981B81" w14:textId="77777777" w:rsidTr="006A4FD3">
        <w:tc>
          <w:tcPr>
            <w:tcW w:w="9500" w:type="dxa"/>
            <w:gridSpan w:val="2"/>
          </w:tcPr>
          <w:p w14:paraId="051786B9" w14:textId="12FE39F5" w:rsidR="00976CF1" w:rsidRDefault="00976CF1" w:rsidP="00976CF1">
            <w:r>
              <w:rPr>
                <w:b/>
                <w:bCs/>
              </w:rPr>
              <w:t>Нарушения на кръвта и лимфната система</w:t>
            </w:r>
          </w:p>
        </w:tc>
      </w:tr>
      <w:tr w:rsidR="00976CF1" w14:paraId="3E85CB1F" w14:textId="77777777" w:rsidTr="00976CF1">
        <w:tc>
          <w:tcPr>
            <w:tcW w:w="4750" w:type="dxa"/>
          </w:tcPr>
          <w:p w14:paraId="50641BD3" w14:textId="2E5B51B6" w:rsidR="00976CF1" w:rsidRDefault="00976CF1" w:rsidP="00976CF1">
            <w:r>
              <w:t>С неизвестна честота</w:t>
            </w:r>
          </w:p>
        </w:tc>
        <w:tc>
          <w:tcPr>
            <w:tcW w:w="4750" w:type="dxa"/>
          </w:tcPr>
          <w:p w14:paraId="2B8C4026" w14:textId="005A70B6" w:rsidR="00976CF1" w:rsidRDefault="00976CF1" w:rsidP="00976CF1">
            <w:r>
              <w:t>Понижен хемоглобин, понижен хематокрит, неутропения, тромбоцитопения.</w:t>
            </w:r>
          </w:p>
        </w:tc>
      </w:tr>
      <w:tr w:rsidR="00976CF1" w14:paraId="13CBEC68" w14:textId="77777777" w:rsidTr="00D94F8D">
        <w:tc>
          <w:tcPr>
            <w:tcW w:w="9500" w:type="dxa"/>
            <w:gridSpan w:val="2"/>
          </w:tcPr>
          <w:p w14:paraId="59685D30" w14:textId="15950555" w:rsidR="00976CF1" w:rsidRDefault="00976CF1" w:rsidP="00976CF1">
            <w:r>
              <w:rPr>
                <w:b/>
                <w:bCs/>
              </w:rPr>
              <w:t>Нарушения на имунната система</w:t>
            </w:r>
          </w:p>
        </w:tc>
      </w:tr>
      <w:tr w:rsidR="00976CF1" w14:paraId="6781BA47" w14:textId="77777777" w:rsidTr="00976CF1">
        <w:tc>
          <w:tcPr>
            <w:tcW w:w="4750" w:type="dxa"/>
          </w:tcPr>
          <w:p w14:paraId="11390FD3" w14:textId="05172976" w:rsidR="00976CF1" w:rsidRDefault="00976CF1" w:rsidP="00976CF1">
            <w:r>
              <w:t>С неизвестна честота</w:t>
            </w:r>
          </w:p>
        </w:tc>
        <w:tc>
          <w:tcPr>
            <w:tcW w:w="4750" w:type="dxa"/>
          </w:tcPr>
          <w:p w14:paraId="5520D46A" w14:textId="649E5654" w:rsidR="00976CF1" w:rsidRDefault="00976CF1" w:rsidP="00976CF1">
            <w:r>
              <w:t>Свръхчувствителност, включително серумна болест</w:t>
            </w:r>
          </w:p>
        </w:tc>
      </w:tr>
      <w:tr w:rsidR="00976CF1" w14:paraId="643124EA" w14:textId="77777777" w:rsidTr="00FC2E84">
        <w:tc>
          <w:tcPr>
            <w:tcW w:w="9500" w:type="dxa"/>
            <w:gridSpan w:val="2"/>
          </w:tcPr>
          <w:p w14:paraId="40D5C69C" w14:textId="49060DE9" w:rsidR="00976CF1" w:rsidRDefault="00976CF1" w:rsidP="00976CF1">
            <w:r>
              <w:rPr>
                <w:b/>
                <w:bCs/>
              </w:rPr>
              <w:t>Нарушения на метаболизма и храненето</w:t>
            </w:r>
          </w:p>
        </w:tc>
      </w:tr>
      <w:tr w:rsidR="00976CF1" w14:paraId="1C73546E" w14:textId="77777777" w:rsidTr="00976CF1">
        <w:tc>
          <w:tcPr>
            <w:tcW w:w="4750" w:type="dxa"/>
          </w:tcPr>
          <w:p w14:paraId="4C620178" w14:textId="4A71431A" w:rsidR="00976CF1" w:rsidRDefault="00976CF1" w:rsidP="00976CF1">
            <w:r>
              <w:t>С неизвестна честота</w:t>
            </w:r>
          </w:p>
        </w:tc>
        <w:tc>
          <w:tcPr>
            <w:tcW w:w="4750" w:type="dxa"/>
          </w:tcPr>
          <w:p w14:paraId="66DF37FA" w14:textId="762808DF" w:rsidR="00976CF1" w:rsidRDefault="00976CF1" w:rsidP="00976CF1">
            <w:r>
              <w:t>Повишени нива на серумен калий, хипонатриемия</w:t>
            </w:r>
          </w:p>
        </w:tc>
      </w:tr>
      <w:tr w:rsidR="00976CF1" w14:paraId="41B565A0" w14:textId="77777777" w:rsidTr="0021566C">
        <w:tc>
          <w:tcPr>
            <w:tcW w:w="9500" w:type="dxa"/>
            <w:gridSpan w:val="2"/>
          </w:tcPr>
          <w:p w14:paraId="717C1EC5" w14:textId="483522D0" w:rsidR="00976CF1" w:rsidRDefault="00976CF1" w:rsidP="00976CF1">
            <w:r>
              <w:rPr>
                <w:b/>
                <w:bCs/>
              </w:rPr>
              <w:t>Нарушения на ухото и лабиринта</w:t>
            </w:r>
          </w:p>
        </w:tc>
      </w:tr>
      <w:tr w:rsidR="00976CF1" w14:paraId="4A1DF7B6" w14:textId="77777777" w:rsidTr="00976CF1">
        <w:tc>
          <w:tcPr>
            <w:tcW w:w="4750" w:type="dxa"/>
          </w:tcPr>
          <w:p w14:paraId="670880EA" w14:textId="25FCE6D7" w:rsidR="00976CF1" w:rsidRDefault="00976CF1" w:rsidP="00976CF1">
            <w:r>
              <w:t>Нечести</w:t>
            </w:r>
          </w:p>
        </w:tc>
        <w:tc>
          <w:tcPr>
            <w:tcW w:w="4750" w:type="dxa"/>
          </w:tcPr>
          <w:p w14:paraId="4C469063" w14:textId="72307EAC" w:rsidR="00976CF1" w:rsidRDefault="00976CF1" w:rsidP="00976CF1">
            <w:r>
              <w:t>Вертиго</w:t>
            </w:r>
          </w:p>
        </w:tc>
      </w:tr>
      <w:tr w:rsidR="00976CF1" w14:paraId="533454CD" w14:textId="77777777" w:rsidTr="00EA1EAA">
        <w:tc>
          <w:tcPr>
            <w:tcW w:w="9500" w:type="dxa"/>
            <w:gridSpan w:val="2"/>
          </w:tcPr>
          <w:p w14:paraId="083ACF6E" w14:textId="105DA7C4" w:rsidR="00976CF1" w:rsidRDefault="00976CF1" w:rsidP="00976CF1">
            <w:r>
              <w:rPr>
                <w:b/>
                <w:bCs/>
              </w:rPr>
              <w:t>Васкуларни нарушения</w:t>
            </w:r>
          </w:p>
        </w:tc>
      </w:tr>
      <w:tr w:rsidR="00976CF1" w14:paraId="6D29A2E2" w14:textId="77777777" w:rsidTr="00976CF1">
        <w:tc>
          <w:tcPr>
            <w:tcW w:w="4750" w:type="dxa"/>
          </w:tcPr>
          <w:p w14:paraId="19A60BE6" w14:textId="31862494" w:rsidR="00976CF1" w:rsidRDefault="00976CF1" w:rsidP="00976CF1">
            <w:r>
              <w:t>С неизвестна честота</w:t>
            </w:r>
          </w:p>
        </w:tc>
        <w:tc>
          <w:tcPr>
            <w:tcW w:w="4750" w:type="dxa"/>
          </w:tcPr>
          <w:p w14:paraId="12233EB7" w14:textId="0236110B" w:rsidR="00976CF1" w:rsidRDefault="00976CF1" w:rsidP="00976CF1">
            <w:r>
              <w:t>Васкулит</w:t>
            </w:r>
          </w:p>
        </w:tc>
      </w:tr>
      <w:tr w:rsidR="00976CF1" w14:paraId="3F5DE905" w14:textId="77777777" w:rsidTr="001573CB">
        <w:tc>
          <w:tcPr>
            <w:tcW w:w="9500" w:type="dxa"/>
            <w:gridSpan w:val="2"/>
          </w:tcPr>
          <w:p w14:paraId="3C91C5CC" w14:textId="0A2A0086" w:rsidR="00976CF1" w:rsidRDefault="00976CF1" w:rsidP="00976CF1">
            <w:r>
              <w:rPr>
                <w:b/>
                <w:bCs/>
              </w:rPr>
              <w:t>Респираторни, гръдни и медиастинални нарушения</w:t>
            </w:r>
          </w:p>
        </w:tc>
      </w:tr>
      <w:tr w:rsidR="00976CF1" w14:paraId="739EAE68" w14:textId="77777777" w:rsidTr="00976CF1">
        <w:tc>
          <w:tcPr>
            <w:tcW w:w="4750" w:type="dxa"/>
          </w:tcPr>
          <w:p w14:paraId="10C12A5A" w14:textId="678E55FD" w:rsidR="00976CF1" w:rsidRDefault="00976CF1" w:rsidP="00976CF1">
            <w:r>
              <w:t>Нечести</w:t>
            </w:r>
          </w:p>
        </w:tc>
        <w:tc>
          <w:tcPr>
            <w:tcW w:w="4750" w:type="dxa"/>
          </w:tcPr>
          <w:p w14:paraId="5D8287C0" w14:textId="5A85C81D" w:rsidR="00976CF1" w:rsidRDefault="00976CF1" w:rsidP="00976CF1">
            <w:r>
              <w:t>Кашлица</w:t>
            </w:r>
          </w:p>
        </w:tc>
      </w:tr>
      <w:tr w:rsidR="00976CF1" w14:paraId="643862C2" w14:textId="77777777" w:rsidTr="00760E8B">
        <w:tc>
          <w:tcPr>
            <w:tcW w:w="9500" w:type="dxa"/>
            <w:gridSpan w:val="2"/>
          </w:tcPr>
          <w:p w14:paraId="730A10EE" w14:textId="27C6BBA8" w:rsidR="00976CF1" w:rsidRDefault="00976CF1" w:rsidP="00976CF1">
            <w:r>
              <w:rPr>
                <w:b/>
                <w:bCs/>
              </w:rPr>
              <w:t>Стомашно-чревни нарушения</w:t>
            </w:r>
          </w:p>
        </w:tc>
      </w:tr>
      <w:tr w:rsidR="00976CF1" w14:paraId="6122803C" w14:textId="77777777" w:rsidTr="00976CF1">
        <w:tc>
          <w:tcPr>
            <w:tcW w:w="4750" w:type="dxa"/>
          </w:tcPr>
          <w:p w14:paraId="6231A6AF" w14:textId="1077E405" w:rsidR="00976CF1" w:rsidRDefault="00976CF1" w:rsidP="00976CF1">
            <w:r>
              <w:t>Нечести</w:t>
            </w:r>
          </w:p>
        </w:tc>
        <w:tc>
          <w:tcPr>
            <w:tcW w:w="4750" w:type="dxa"/>
          </w:tcPr>
          <w:p w14:paraId="25D46B3B" w14:textId="6273530E" w:rsidR="00976CF1" w:rsidRDefault="00976CF1" w:rsidP="00976CF1">
            <w:r>
              <w:t>Коремна болка</w:t>
            </w:r>
          </w:p>
        </w:tc>
      </w:tr>
      <w:tr w:rsidR="00976CF1" w14:paraId="2C77B194" w14:textId="77777777" w:rsidTr="007A044A">
        <w:tc>
          <w:tcPr>
            <w:tcW w:w="9500" w:type="dxa"/>
            <w:gridSpan w:val="2"/>
          </w:tcPr>
          <w:p w14:paraId="71D8FD3B" w14:textId="2E920353" w:rsidR="00976CF1" w:rsidRDefault="00976CF1" w:rsidP="00976CF1">
            <w:r>
              <w:rPr>
                <w:b/>
                <w:bCs/>
              </w:rPr>
              <w:lastRenderedPageBreak/>
              <w:t>Хепато-билиарни нарушения</w:t>
            </w:r>
          </w:p>
        </w:tc>
      </w:tr>
      <w:tr w:rsidR="00976CF1" w14:paraId="72FE31CE" w14:textId="77777777" w:rsidTr="00976CF1">
        <w:tc>
          <w:tcPr>
            <w:tcW w:w="4750" w:type="dxa"/>
          </w:tcPr>
          <w:p w14:paraId="06E43909" w14:textId="071DD699" w:rsidR="00976CF1" w:rsidRDefault="00976CF1" w:rsidP="00976CF1">
            <w:r>
              <w:t>С неизвестна честота</w:t>
            </w:r>
          </w:p>
        </w:tc>
        <w:tc>
          <w:tcPr>
            <w:tcW w:w="4750" w:type="dxa"/>
          </w:tcPr>
          <w:p w14:paraId="7C6CBF92" w14:textId="1EBE680D" w:rsidR="00976CF1" w:rsidRDefault="00976CF1" w:rsidP="00976CF1">
            <w:r>
              <w:t>Повишение на показателите на чернодробната функция, включително повишение на серумния билирубин</w:t>
            </w:r>
          </w:p>
        </w:tc>
      </w:tr>
      <w:tr w:rsidR="00976CF1" w14:paraId="248338B2" w14:textId="77777777" w:rsidTr="00653D9D">
        <w:tc>
          <w:tcPr>
            <w:tcW w:w="9500" w:type="dxa"/>
            <w:gridSpan w:val="2"/>
          </w:tcPr>
          <w:p w14:paraId="00750666" w14:textId="7DDFEFE3" w:rsidR="00976CF1" w:rsidRDefault="00976CF1" w:rsidP="00976CF1">
            <w:r>
              <w:rPr>
                <w:b/>
                <w:bCs/>
              </w:rPr>
              <w:t>Нарушения на кожата и подкожната тъкан</w:t>
            </w:r>
          </w:p>
        </w:tc>
      </w:tr>
      <w:tr w:rsidR="00976CF1" w14:paraId="651FC2B0" w14:textId="77777777" w:rsidTr="00976CF1">
        <w:tc>
          <w:tcPr>
            <w:tcW w:w="4750" w:type="dxa"/>
          </w:tcPr>
          <w:p w14:paraId="5922BCA3" w14:textId="6DADE587" w:rsidR="00976CF1" w:rsidRDefault="00976CF1" w:rsidP="00976CF1">
            <w:r>
              <w:t>С неизвестна честота</w:t>
            </w:r>
          </w:p>
        </w:tc>
        <w:tc>
          <w:tcPr>
            <w:tcW w:w="4750" w:type="dxa"/>
          </w:tcPr>
          <w:p w14:paraId="24AB927E" w14:textId="434B673A" w:rsidR="00976CF1" w:rsidRDefault="00976CF1" w:rsidP="00976CF1">
            <w:r>
              <w:t>Ангиоедем, обрив, сърбеж, булозен дерматит</w:t>
            </w:r>
          </w:p>
        </w:tc>
      </w:tr>
      <w:tr w:rsidR="00976CF1" w14:paraId="5DF587C2" w14:textId="77777777" w:rsidTr="009C08FD">
        <w:tc>
          <w:tcPr>
            <w:tcW w:w="9500" w:type="dxa"/>
            <w:gridSpan w:val="2"/>
          </w:tcPr>
          <w:p w14:paraId="65147C68" w14:textId="14281066" w:rsidR="00976CF1" w:rsidRDefault="00976CF1" w:rsidP="00976CF1">
            <w:r>
              <w:rPr>
                <w:b/>
                <w:bCs/>
              </w:rPr>
              <w:t>Мускулно-скелетни нарушения и нарушения на съединителната тъкан</w:t>
            </w:r>
          </w:p>
        </w:tc>
      </w:tr>
      <w:tr w:rsidR="00976CF1" w14:paraId="62E49E8D" w14:textId="77777777" w:rsidTr="00976CF1">
        <w:tc>
          <w:tcPr>
            <w:tcW w:w="4750" w:type="dxa"/>
          </w:tcPr>
          <w:p w14:paraId="2F65FF7C" w14:textId="7C8A56A9" w:rsidR="00976CF1" w:rsidRDefault="00976CF1" w:rsidP="00976CF1">
            <w:r>
              <w:t>С неизвестна честота</w:t>
            </w:r>
          </w:p>
        </w:tc>
        <w:tc>
          <w:tcPr>
            <w:tcW w:w="4750" w:type="dxa"/>
          </w:tcPr>
          <w:p w14:paraId="77070200" w14:textId="622B933E" w:rsidR="00976CF1" w:rsidRDefault="00976CF1" w:rsidP="00976CF1">
            <w:r>
              <w:t>Миалгия</w:t>
            </w:r>
          </w:p>
        </w:tc>
      </w:tr>
      <w:tr w:rsidR="00976CF1" w14:paraId="7A86B7B9" w14:textId="77777777" w:rsidTr="006E3EEB">
        <w:tc>
          <w:tcPr>
            <w:tcW w:w="9500" w:type="dxa"/>
            <w:gridSpan w:val="2"/>
          </w:tcPr>
          <w:p w14:paraId="563641CA" w14:textId="6F3DFA7D" w:rsidR="00976CF1" w:rsidRDefault="00976CF1" w:rsidP="00976CF1">
            <w:r>
              <w:rPr>
                <w:b/>
                <w:bCs/>
              </w:rPr>
              <w:t>Нарушения на бъбреците и пикочните пътища</w:t>
            </w:r>
          </w:p>
        </w:tc>
      </w:tr>
      <w:tr w:rsidR="00976CF1" w14:paraId="06F9644B" w14:textId="77777777" w:rsidTr="00976CF1">
        <w:tc>
          <w:tcPr>
            <w:tcW w:w="4750" w:type="dxa"/>
          </w:tcPr>
          <w:p w14:paraId="1D433024" w14:textId="2CBECC78" w:rsidR="00976CF1" w:rsidRDefault="00976CF1" w:rsidP="00976CF1">
            <w:r>
              <w:t>С неизвестна честота</w:t>
            </w:r>
          </w:p>
        </w:tc>
        <w:tc>
          <w:tcPr>
            <w:tcW w:w="4750" w:type="dxa"/>
          </w:tcPr>
          <w:p w14:paraId="359A9957" w14:textId="2EB6E9F1" w:rsidR="00976CF1" w:rsidRDefault="00976CF1" w:rsidP="00976CF1">
            <w:r>
              <w:t>Бъбречна недостатъчност и увреждане, повишение на серумния креатинин</w:t>
            </w:r>
          </w:p>
        </w:tc>
      </w:tr>
      <w:tr w:rsidR="00976CF1" w14:paraId="05EB5F49" w14:textId="77777777" w:rsidTr="00C434B4">
        <w:tc>
          <w:tcPr>
            <w:tcW w:w="9500" w:type="dxa"/>
            <w:gridSpan w:val="2"/>
          </w:tcPr>
          <w:p w14:paraId="34B103CB" w14:textId="2B629334" w:rsidR="00976CF1" w:rsidRDefault="00976CF1" w:rsidP="00976CF1">
            <w:r>
              <w:rPr>
                <w:b/>
                <w:bCs/>
              </w:rPr>
              <w:t>Общи нарушения и ефекти на мястото на приложение</w:t>
            </w:r>
          </w:p>
        </w:tc>
      </w:tr>
      <w:tr w:rsidR="00976CF1" w14:paraId="227881D5" w14:textId="77777777" w:rsidTr="00976CF1">
        <w:tc>
          <w:tcPr>
            <w:tcW w:w="4750" w:type="dxa"/>
          </w:tcPr>
          <w:p w14:paraId="31B33382" w14:textId="4D06B2F6" w:rsidR="00976CF1" w:rsidRDefault="00976CF1" w:rsidP="00976CF1">
            <w:r>
              <w:t>Нечести</w:t>
            </w:r>
          </w:p>
        </w:tc>
        <w:tc>
          <w:tcPr>
            <w:tcW w:w="4750" w:type="dxa"/>
          </w:tcPr>
          <w:p w14:paraId="42CBE0B6" w14:textId="150C567F" w:rsidR="00976CF1" w:rsidRDefault="00976CF1" w:rsidP="00976CF1">
            <w:r>
              <w:t>Умора</w:t>
            </w:r>
          </w:p>
        </w:tc>
      </w:tr>
    </w:tbl>
    <w:p w14:paraId="6F39DA17" w14:textId="654658C1" w:rsidR="00976CF1" w:rsidRDefault="00976CF1" w:rsidP="00976CF1"/>
    <w:p w14:paraId="022D426A"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i/>
          <w:iCs/>
          <w:color w:val="000000"/>
          <w:u w:val="single"/>
          <w:lang w:eastAsia="bg-BG"/>
        </w:rPr>
        <w:t>Педиатрична популация</w:t>
      </w:r>
    </w:p>
    <w:p w14:paraId="1D59923C"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u w:val="single"/>
          <w:lang w:eastAsia="bg-BG"/>
        </w:rPr>
        <w:t>Хипертония</w:t>
      </w:r>
    </w:p>
    <w:p w14:paraId="56C7CBBD" w14:textId="479C44B6" w:rsidR="00976CF1" w:rsidRPr="00976CF1" w:rsidRDefault="00976CF1" w:rsidP="00976CF1">
      <w:pPr>
        <w:rPr>
          <w:rFonts w:eastAsia="Times New Roman" w:cs="Arial"/>
          <w:color w:val="000000"/>
          <w:lang w:eastAsia="bg-BG"/>
        </w:rPr>
      </w:pPr>
      <w:r w:rsidRPr="00976CF1">
        <w:rPr>
          <w:rFonts w:eastAsia="Times New Roman" w:cs="Arial"/>
          <w:color w:val="000000"/>
          <w:lang w:eastAsia="bg-BG"/>
        </w:rPr>
        <w:t>Антихипертензивният ефект на валсартан е оценен в две рандомизирани, двойнослепи клинични проучвания (всяко последвано от период на удължаване или проучване) и едно отворено проучване. Тези проучвания са включвали 711 педиатрични пациента на възраст от 6 до под 18 години със или без хронично бъбречно заболяване (ХБЗ), от които 560 пациента са получавали валсартан. С изключение на изолирани стомашно-чревни нарушения (като коремна болка, гадене повръщане) и замаяност, не са установени съществени различия по отношение на типа, честота и тежестта на нежеланите реакции между профила за безопасност на педиатрични пациенти на възраст от 6 до под 18 години и тези, докладвани при възрастни пациенти.</w:t>
      </w:r>
    </w:p>
    <w:p w14:paraId="5104C9B1" w14:textId="3FBA6165" w:rsidR="00976CF1" w:rsidRPr="00976CF1" w:rsidRDefault="00976CF1" w:rsidP="00976CF1">
      <w:pPr>
        <w:rPr>
          <w:rFonts w:eastAsia="Times New Roman" w:cs="Arial"/>
          <w:color w:val="000000"/>
          <w:lang w:eastAsia="bg-BG"/>
        </w:rPr>
      </w:pPr>
    </w:p>
    <w:p w14:paraId="4B4E2EE4" w14:textId="77777777"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Неврокогнитивната и оценката на развитие на педиатрични пациенти на възраст между 6 и 16 години не разкриват цялостно клинично значимо неблагоприятно въздействие след лечение в рамките на максимум една година с валсартан.</w:t>
      </w:r>
    </w:p>
    <w:p w14:paraId="1AE85132" w14:textId="77777777" w:rsidR="00976CF1" w:rsidRPr="00976CF1" w:rsidRDefault="00976CF1" w:rsidP="00976CF1">
      <w:pPr>
        <w:spacing w:line="240" w:lineRule="auto"/>
        <w:rPr>
          <w:rFonts w:eastAsia="Times New Roman" w:cs="Arial"/>
          <w:color w:val="000000"/>
          <w:lang w:eastAsia="bg-BG"/>
        </w:rPr>
      </w:pPr>
    </w:p>
    <w:p w14:paraId="1169C649" w14:textId="1DAD42CC"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Извършен е обобщен анализ при 560 педиатрични пациенти (на възраст 6-17 години), които получават или валсартан като монотерапия [</w:t>
      </w:r>
      <w:r w:rsidRPr="00976CF1">
        <w:rPr>
          <w:rFonts w:eastAsia="Times New Roman" w:cs="Arial"/>
          <w:color w:val="000000"/>
          <w:lang w:val="en-US"/>
        </w:rPr>
        <w:t>n</w:t>
      </w:r>
      <w:r w:rsidRPr="00976CF1">
        <w:rPr>
          <w:rFonts w:eastAsia="Times New Roman" w:cs="Arial"/>
          <w:color w:val="000000"/>
          <w:lang w:eastAsia="bg-BG"/>
        </w:rPr>
        <w:t>=483], или комбинирана антихипертензивна терапия, включваща валсартан [</w:t>
      </w:r>
      <w:r w:rsidRPr="00976CF1">
        <w:rPr>
          <w:rFonts w:eastAsia="Times New Roman" w:cs="Arial"/>
          <w:color w:val="000000"/>
          <w:lang w:val="en-US"/>
        </w:rPr>
        <w:t>n</w:t>
      </w:r>
      <w:r w:rsidRPr="00976CF1">
        <w:rPr>
          <w:rFonts w:eastAsia="Times New Roman" w:cs="Arial"/>
          <w:color w:val="000000"/>
          <w:lang w:eastAsia="bg-BG"/>
        </w:rPr>
        <w:t xml:space="preserve">=77]. От тези 560 пациента, 85 (15,2%) са имали ХБЗ (изходно ниво </w:t>
      </w:r>
      <w:r w:rsidRPr="00976CF1">
        <w:rPr>
          <w:rFonts w:eastAsia="Times New Roman" w:cs="Arial"/>
          <w:color w:val="000000"/>
          <w:lang w:val="en-US"/>
        </w:rPr>
        <w:t xml:space="preserve">GFR </w:t>
      </w:r>
      <w:r w:rsidRPr="00976CF1">
        <w:rPr>
          <w:rFonts w:eastAsia="Times New Roman" w:cs="Arial"/>
          <w:color w:val="000000"/>
          <w:lang w:eastAsia="bg-BG"/>
        </w:rPr>
        <w:t xml:space="preserve">&lt;90 </w:t>
      </w:r>
      <w:r w:rsidRPr="00976CF1">
        <w:rPr>
          <w:rFonts w:eastAsia="Times New Roman" w:cs="Arial"/>
          <w:color w:val="000000"/>
          <w:lang w:val="en-US"/>
        </w:rPr>
        <w:t>mL/min/1,73m</w:t>
      </w:r>
      <w:r w:rsidRPr="00976CF1">
        <w:rPr>
          <w:rFonts w:eastAsia="Times New Roman" w:cs="Arial"/>
          <w:color w:val="000000"/>
          <w:vertAlign w:val="superscript"/>
          <w:lang w:val="en-US"/>
        </w:rPr>
        <w:t>2</w:t>
      </w:r>
      <w:r w:rsidRPr="00976CF1">
        <w:rPr>
          <w:rFonts w:eastAsia="Times New Roman" w:cs="Arial"/>
          <w:color w:val="000000"/>
          <w:lang w:val="en-US"/>
        </w:rPr>
        <w:t xml:space="preserve">). </w:t>
      </w:r>
      <w:r w:rsidRPr="00976CF1">
        <w:rPr>
          <w:rFonts w:eastAsia="Times New Roman" w:cs="Arial"/>
          <w:color w:val="000000"/>
          <w:lang w:eastAsia="bg-BG"/>
        </w:rPr>
        <w:t>Най-общо, 45 (8,5%) пациента са прекратили участие в проучването поради нежелани реакции. Общо 111 (19,8%) пациента са получили нежелани лекарствен реакции (НЛР), като най-често съобщаваните са били главоболие (5,4%), замаяност (2,3%) и хиперкалиемия (2,3%). При пациенти с ХБЗ най-често съобщаваните нежелани реакции са били хиперкалиемия (12,9%), главоболие 7,1%), повишени нива на креатинин в кръвта (5,9%) и хипотония (4,7%). При пациенти без ХБЗ най-често съобщаваните НЛР са били главоболие (5,1%) и замаяност (2,7%). НЛР са наблюдавани по-често при пациенти, които приемат валсартан в комбинация с други антихипертензивни лечения, отколкото при самостоятелно приложение на валсартан.</w:t>
      </w:r>
    </w:p>
    <w:p w14:paraId="06AD6BF5" w14:textId="77777777" w:rsidR="00976CF1" w:rsidRPr="00976CF1" w:rsidRDefault="00976CF1" w:rsidP="00976CF1">
      <w:pPr>
        <w:spacing w:line="240" w:lineRule="auto"/>
        <w:rPr>
          <w:rFonts w:eastAsia="Times New Roman" w:cs="Arial"/>
          <w:color w:val="000000"/>
          <w:lang w:eastAsia="bg-BG"/>
        </w:rPr>
      </w:pPr>
    </w:p>
    <w:p w14:paraId="21E88FC0" w14:textId="5D7FB0C5"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 xml:space="preserve">Антихипертензивният ефект на валсартан при деца на възраст от 1 до под 6 години е оценен в три рандомизирани, двойнослепи клинични проучвания (всяко последвано от период на удължаване). В първото проучване при 90 деца на възраст от 1 до под 6 години са наблюдавани два смъртни случая и изолирани случаи на изразено повишаване на </w:t>
      </w:r>
      <w:r w:rsidRPr="00976CF1">
        <w:rPr>
          <w:rFonts w:eastAsia="Times New Roman" w:cs="Arial"/>
          <w:color w:val="000000"/>
          <w:lang w:eastAsia="bg-BG"/>
        </w:rPr>
        <w:lastRenderedPageBreak/>
        <w:t>чернодробните трансаминази. Случаите са наблюдавани в популация със значими съпътстващи заболявания. Причинно-следствена връзка с употребата на валсартан не е установена. В двете последващи проучнаия, в които са рандомицирани 202 деца на възраст от 1 до под 6 години, не са наблюдавани значими повишения на чернодробните трансаминази, нито смъртни случаи при лечение с валсартан.</w:t>
      </w:r>
    </w:p>
    <w:p w14:paraId="6CEB45DF" w14:textId="77777777" w:rsidR="00976CF1" w:rsidRPr="00976CF1" w:rsidRDefault="00976CF1" w:rsidP="00976CF1">
      <w:pPr>
        <w:spacing w:line="240" w:lineRule="auto"/>
        <w:rPr>
          <w:rFonts w:eastAsia="Times New Roman" w:cs="Arial"/>
          <w:color w:val="000000"/>
          <w:lang w:eastAsia="bg-BG"/>
        </w:rPr>
      </w:pPr>
    </w:p>
    <w:p w14:paraId="71DF7930" w14:textId="4613492E"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 xml:space="preserve">Проведен е сборен анализ на данните от 202 педиатрични пациенти с хипертония (на възраст от 1 до под 6 години), като всички пациенти са приемали валсартан като монотерапия в двойнослепите периоди (с изключение на плацебо в периода на отнемане). От тях 186 пациенти продължават участието си или в продължение на проучването, или в отворения период. От 202 пациенти, 33 (16,3%) имат ХБЗ (изходно </w:t>
      </w:r>
      <w:r w:rsidRPr="00976CF1">
        <w:rPr>
          <w:rFonts w:eastAsia="Times New Roman" w:cs="Arial"/>
          <w:color w:val="000000"/>
          <w:lang w:val="en-US"/>
        </w:rPr>
        <w:t xml:space="preserve">eGFR </w:t>
      </w:r>
      <w:r w:rsidRPr="00976CF1">
        <w:rPr>
          <w:rFonts w:eastAsia="Times New Roman" w:cs="Arial"/>
          <w:color w:val="000000"/>
          <w:lang w:eastAsia="bg-BG"/>
        </w:rPr>
        <w:t xml:space="preserve">&lt;90 </w:t>
      </w:r>
      <w:r w:rsidRPr="00976CF1">
        <w:rPr>
          <w:rFonts w:eastAsia="Times New Roman" w:cs="Arial"/>
          <w:color w:val="000000"/>
          <w:lang w:val="en-US"/>
        </w:rPr>
        <w:t xml:space="preserve">ml/min). </w:t>
      </w:r>
      <w:r w:rsidRPr="00976CF1">
        <w:rPr>
          <w:rFonts w:eastAsia="Times New Roman" w:cs="Arial"/>
          <w:color w:val="000000"/>
          <w:lang w:eastAsia="bg-BG"/>
        </w:rPr>
        <w:t xml:space="preserve">През двойнозаслепения период двама пациенти (1%) са прекратили участие поради нежелано събитие, а през открития период или през периода на продължение на проучването четирима пациенти (2,1%) са прекратили участие поради нежелано събитие. През двойнозаслепения период 13 (7,0%) от пациентите са изпитали поне една НЛР. Най- честите НЛР са повръщане </w:t>
      </w:r>
      <w:r w:rsidRPr="00976CF1">
        <w:rPr>
          <w:rFonts w:eastAsia="Times New Roman" w:cs="Arial"/>
          <w:color w:val="000000"/>
          <w:lang w:val="en-US"/>
        </w:rPr>
        <w:t xml:space="preserve">n=3 </w:t>
      </w:r>
      <w:r w:rsidRPr="00976CF1">
        <w:rPr>
          <w:rFonts w:eastAsia="Times New Roman" w:cs="Arial"/>
          <w:color w:val="000000"/>
          <w:lang w:eastAsia="bg-BG"/>
        </w:rPr>
        <w:t>(1,6%) и диария</w:t>
      </w:r>
      <w:r w:rsidRPr="00976CF1">
        <w:rPr>
          <w:rFonts w:eastAsia="Times New Roman" w:cs="Arial"/>
          <w:color w:val="000000"/>
          <w:lang w:val="en-US"/>
        </w:rPr>
        <w:t xml:space="preserve"> n</w:t>
      </w:r>
      <w:r w:rsidRPr="00976CF1">
        <w:rPr>
          <w:rFonts w:eastAsia="Times New Roman" w:cs="Arial"/>
          <w:color w:val="000000"/>
          <w:lang w:eastAsia="bg-BG"/>
        </w:rPr>
        <w:t>=2 (1,1%). Една НЛР (диария) е наблюдавана в групата с ХБЗ. В отворения период 5,4% от пациентите (10/186) са изпитали поне една НЛР. Най- честата НЛР е намален апетит, което е съобщено от двама пациенти (1,1%). В двойнозаслепения период и в отворения период се съобщава за хиперкалиемия за един пациент във всеки период. Няма случаи на хипотония или виене на свят в двойно заслепения период.</w:t>
      </w:r>
    </w:p>
    <w:p w14:paraId="0D258245" w14:textId="77777777" w:rsidR="00976CF1" w:rsidRPr="00976CF1" w:rsidRDefault="00976CF1" w:rsidP="00976CF1">
      <w:pPr>
        <w:spacing w:line="240" w:lineRule="auto"/>
        <w:rPr>
          <w:rFonts w:eastAsia="Times New Roman" w:cs="Arial"/>
          <w:color w:val="000000"/>
          <w:lang w:eastAsia="bg-BG"/>
        </w:rPr>
      </w:pPr>
    </w:p>
    <w:p w14:paraId="2539085F" w14:textId="18E465E3"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Хиперкалиемия е наблюдавана по-често при деца и юноши на възраст от 1 до под 18 години с подлежащо хронично бъбречно заболяване (ХБЗ). Рискът от хиперкалиемия може да бъде по-висок при деца на възраст от 1 до 5 години в сравнение с деца на възраст от 6 до под 18 години.</w:t>
      </w:r>
    </w:p>
    <w:p w14:paraId="6074AE24" w14:textId="77777777" w:rsidR="00976CF1" w:rsidRPr="00976CF1" w:rsidRDefault="00976CF1" w:rsidP="00976CF1">
      <w:pPr>
        <w:spacing w:line="240" w:lineRule="auto"/>
        <w:rPr>
          <w:rFonts w:eastAsia="Times New Roman" w:cs="Arial"/>
          <w:color w:val="000000"/>
          <w:lang w:eastAsia="bg-BG"/>
        </w:rPr>
      </w:pPr>
    </w:p>
    <w:p w14:paraId="1802E793" w14:textId="73034B82" w:rsidR="00976CF1" w:rsidRPr="00976CF1" w:rsidRDefault="00976CF1" w:rsidP="00976CF1">
      <w:pPr>
        <w:spacing w:line="240" w:lineRule="auto"/>
        <w:rPr>
          <w:rFonts w:eastAsia="Times New Roman" w:cs="Arial"/>
          <w:sz w:val="24"/>
          <w:szCs w:val="24"/>
          <w:lang w:eastAsia="bg-BG"/>
        </w:rPr>
      </w:pPr>
      <w:r w:rsidRPr="00976CF1">
        <w:rPr>
          <w:rFonts w:eastAsia="Times New Roman" w:cs="Arial"/>
          <w:color w:val="000000"/>
          <w:lang w:eastAsia="bg-BG"/>
        </w:rPr>
        <w:t>Профилът на безопасност при контролираните клинични проучвания при възрастни пациенти с пост- миокарден инфаркт и/ или сърдечна недостатъчност варира от общия профил на безопасност при пациенти с хипертония. Това може да е свързано с основното заболяване на пациентите. Нежеланите лекарствени реакции при пациенти с пост-миокарден инфаркт и/ или сърдечна недостатъчност са изброени по-долу.</w:t>
      </w:r>
    </w:p>
    <w:p w14:paraId="6C372E37" w14:textId="47829100" w:rsidR="00976CF1" w:rsidRPr="00976CF1" w:rsidRDefault="00976CF1" w:rsidP="00976CF1">
      <w:pPr>
        <w:pStyle w:val="ListParagraph"/>
        <w:numPr>
          <w:ilvl w:val="0"/>
          <w:numId w:val="40"/>
        </w:numPr>
        <w:rPr>
          <w:rFonts w:cs="Arial"/>
        </w:rPr>
      </w:pPr>
      <w:r w:rsidRPr="00976CF1">
        <w:rPr>
          <w:rFonts w:eastAsia="Times New Roman" w:cs="Arial"/>
          <w:color w:val="000000"/>
          <w:u w:val="single"/>
          <w:lang w:eastAsia="bg-BG"/>
        </w:rPr>
        <w:t>Пост-миокарден инфаркт и/ или сърдечна недостатъчност (проучвани</w:t>
      </w:r>
      <w:r w:rsidRPr="00976CF1">
        <w:rPr>
          <w:rFonts w:eastAsia="Times New Roman" w:cs="Arial"/>
          <w:color w:val="000000"/>
          <w:u w:val="single"/>
          <w:lang w:val="en-US"/>
        </w:rPr>
        <w:t xml:space="preserve"> </w:t>
      </w:r>
      <w:r w:rsidRPr="00976CF1">
        <w:rPr>
          <w:rFonts w:eastAsia="Times New Roman" w:cs="Arial"/>
          <w:color w:val="000000"/>
          <w:u w:val="single"/>
          <w:lang w:eastAsia="bg-BG"/>
        </w:rPr>
        <w:t>сама при възрастни пациенти)</w:t>
      </w:r>
    </w:p>
    <w:p w14:paraId="7701978C" w14:textId="20E875D3" w:rsidR="00976CF1" w:rsidRDefault="00976CF1" w:rsidP="00976CF1"/>
    <w:tbl>
      <w:tblPr>
        <w:tblStyle w:val="TableGrid"/>
        <w:tblW w:w="0" w:type="auto"/>
        <w:tblLook w:val="04A0" w:firstRow="1" w:lastRow="0" w:firstColumn="1" w:lastColumn="0" w:noHBand="0" w:noVBand="1"/>
      </w:tblPr>
      <w:tblGrid>
        <w:gridCol w:w="4660"/>
        <w:gridCol w:w="4690"/>
      </w:tblGrid>
      <w:tr w:rsidR="00976CF1" w14:paraId="6B17985D" w14:textId="77777777" w:rsidTr="002D77EF">
        <w:tc>
          <w:tcPr>
            <w:tcW w:w="9500" w:type="dxa"/>
            <w:gridSpan w:val="2"/>
          </w:tcPr>
          <w:p w14:paraId="3AC678DD" w14:textId="58D2CE1A" w:rsidR="00976CF1" w:rsidRDefault="00976CF1" w:rsidP="00976CF1">
            <w:r>
              <w:rPr>
                <w:b/>
                <w:bCs/>
              </w:rPr>
              <w:t>Нарушения на кръвта и лимфната система</w:t>
            </w:r>
          </w:p>
        </w:tc>
      </w:tr>
      <w:tr w:rsidR="00976CF1" w14:paraId="0B668289" w14:textId="77777777" w:rsidTr="00976CF1">
        <w:tc>
          <w:tcPr>
            <w:tcW w:w="4750" w:type="dxa"/>
          </w:tcPr>
          <w:p w14:paraId="033D1F13" w14:textId="154D0E1F" w:rsidR="00976CF1" w:rsidRPr="00976CF1" w:rsidRDefault="00976CF1" w:rsidP="00976CF1">
            <w:pPr>
              <w:rPr>
                <w:rFonts w:cs="Arial"/>
              </w:rPr>
            </w:pPr>
            <w:r w:rsidRPr="00976CF1">
              <w:rPr>
                <w:rFonts w:cs="Arial"/>
              </w:rPr>
              <w:t>С неизвестна честота</w:t>
            </w:r>
          </w:p>
        </w:tc>
        <w:tc>
          <w:tcPr>
            <w:tcW w:w="4750" w:type="dxa"/>
          </w:tcPr>
          <w:p w14:paraId="5ADDD5F8" w14:textId="48237E66" w:rsidR="00976CF1" w:rsidRPr="00976CF1" w:rsidRDefault="00976CF1" w:rsidP="00976CF1">
            <w:pPr>
              <w:rPr>
                <w:rFonts w:cs="Arial"/>
              </w:rPr>
            </w:pPr>
            <w:r w:rsidRPr="00976CF1">
              <w:rPr>
                <w:rFonts w:cs="Arial"/>
              </w:rPr>
              <w:t>Тромбоцитопения</w:t>
            </w:r>
          </w:p>
        </w:tc>
      </w:tr>
      <w:tr w:rsidR="00976CF1" w14:paraId="4835A8DF" w14:textId="77777777" w:rsidTr="00427EEE">
        <w:tc>
          <w:tcPr>
            <w:tcW w:w="9500" w:type="dxa"/>
            <w:gridSpan w:val="2"/>
          </w:tcPr>
          <w:p w14:paraId="05271AA4" w14:textId="455325CF" w:rsidR="00976CF1" w:rsidRPr="00976CF1" w:rsidRDefault="00976CF1" w:rsidP="00976CF1">
            <w:pPr>
              <w:rPr>
                <w:rFonts w:cs="Arial"/>
              </w:rPr>
            </w:pPr>
            <w:r w:rsidRPr="00976CF1">
              <w:rPr>
                <w:rFonts w:cs="Arial"/>
                <w:b/>
                <w:bCs/>
              </w:rPr>
              <w:t>Нарушения на имунната система</w:t>
            </w:r>
          </w:p>
        </w:tc>
      </w:tr>
      <w:tr w:rsidR="00976CF1" w14:paraId="1DF31D14" w14:textId="77777777" w:rsidTr="00976CF1">
        <w:tc>
          <w:tcPr>
            <w:tcW w:w="4750" w:type="dxa"/>
          </w:tcPr>
          <w:p w14:paraId="4D9C3BB1" w14:textId="79E77B6A" w:rsidR="00976CF1" w:rsidRPr="00976CF1" w:rsidRDefault="00976CF1" w:rsidP="00976CF1">
            <w:pPr>
              <w:rPr>
                <w:rFonts w:cs="Arial"/>
              </w:rPr>
            </w:pPr>
            <w:r w:rsidRPr="00976CF1">
              <w:rPr>
                <w:rFonts w:cs="Arial"/>
              </w:rPr>
              <w:t>С неизвестна честота</w:t>
            </w:r>
          </w:p>
        </w:tc>
        <w:tc>
          <w:tcPr>
            <w:tcW w:w="4750" w:type="dxa"/>
          </w:tcPr>
          <w:p w14:paraId="7DAAD67B" w14:textId="407687AC" w:rsidR="00976CF1" w:rsidRPr="00976CF1" w:rsidRDefault="00976CF1" w:rsidP="00976CF1">
            <w:pPr>
              <w:rPr>
                <w:rFonts w:cs="Arial"/>
              </w:rPr>
            </w:pPr>
            <w:r w:rsidRPr="00976CF1">
              <w:rPr>
                <w:rFonts w:cs="Arial"/>
              </w:rPr>
              <w:t>Свръхчувствителност, включително серумна болест</w:t>
            </w:r>
          </w:p>
        </w:tc>
      </w:tr>
      <w:tr w:rsidR="00976CF1" w14:paraId="52315940" w14:textId="77777777" w:rsidTr="00D27D79">
        <w:tc>
          <w:tcPr>
            <w:tcW w:w="9500" w:type="dxa"/>
            <w:gridSpan w:val="2"/>
          </w:tcPr>
          <w:p w14:paraId="6A3A1B2C" w14:textId="671C0D96" w:rsidR="00976CF1" w:rsidRPr="00976CF1" w:rsidRDefault="00976CF1" w:rsidP="00976CF1">
            <w:pPr>
              <w:rPr>
                <w:rFonts w:cs="Arial"/>
              </w:rPr>
            </w:pPr>
            <w:r w:rsidRPr="00976CF1">
              <w:rPr>
                <w:rFonts w:cs="Arial"/>
                <w:b/>
                <w:bCs/>
              </w:rPr>
              <w:t>Нарушения на метаболизма и храненето</w:t>
            </w:r>
          </w:p>
        </w:tc>
      </w:tr>
      <w:tr w:rsidR="00976CF1" w14:paraId="70DF79D2" w14:textId="77777777" w:rsidTr="00976CF1">
        <w:tc>
          <w:tcPr>
            <w:tcW w:w="4750" w:type="dxa"/>
          </w:tcPr>
          <w:p w14:paraId="4A39C62A" w14:textId="0871C54C" w:rsidR="00976CF1" w:rsidRPr="00976CF1" w:rsidRDefault="00976CF1" w:rsidP="00976CF1">
            <w:pPr>
              <w:rPr>
                <w:rFonts w:cs="Arial"/>
              </w:rPr>
            </w:pPr>
            <w:r w:rsidRPr="00976CF1">
              <w:rPr>
                <w:rFonts w:cs="Arial"/>
              </w:rPr>
              <w:t>Нечести</w:t>
            </w:r>
          </w:p>
        </w:tc>
        <w:tc>
          <w:tcPr>
            <w:tcW w:w="4750" w:type="dxa"/>
          </w:tcPr>
          <w:p w14:paraId="257411E6" w14:textId="0FAAB2E1" w:rsidR="00976CF1" w:rsidRPr="00976CF1" w:rsidRDefault="00976CF1" w:rsidP="00976CF1">
            <w:pPr>
              <w:rPr>
                <w:rFonts w:cs="Arial"/>
              </w:rPr>
            </w:pPr>
            <w:r w:rsidRPr="00976CF1">
              <w:rPr>
                <w:rFonts w:cs="Arial"/>
              </w:rPr>
              <w:t>Хиперкалиемия</w:t>
            </w:r>
          </w:p>
        </w:tc>
      </w:tr>
      <w:tr w:rsidR="00976CF1" w14:paraId="455C5F13" w14:textId="77777777" w:rsidTr="00976CF1">
        <w:tc>
          <w:tcPr>
            <w:tcW w:w="4750" w:type="dxa"/>
          </w:tcPr>
          <w:p w14:paraId="48516240" w14:textId="229D130B" w:rsidR="00976CF1" w:rsidRPr="00976CF1" w:rsidRDefault="00976CF1" w:rsidP="00976CF1">
            <w:pPr>
              <w:rPr>
                <w:rFonts w:cs="Arial"/>
              </w:rPr>
            </w:pPr>
            <w:r w:rsidRPr="00976CF1">
              <w:rPr>
                <w:rFonts w:cs="Arial"/>
              </w:rPr>
              <w:t>С неизвестна честота</w:t>
            </w:r>
          </w:p>
        </w:tc>
        <w:tc>
          <w:tcPr>
            <w:tcW w:w="4750" w:type="dxa"/>
          </w:tcPr>
          <w:p w14:paraId="75331FEB" w14:textId="7EF05466" w:rsidR="00976CF1" w:rsidRPr="00976CF1" w:rsidRDefault="00976CF1" w:rsidP="00976CF1">
            <w:pPr>
              <w:rPr>
                <w:rFonts w:cs="Arial"/>
              </w:rPr>
            </w:pPr>
            <w:r w:rsidRPr="00976CF1">
              <w:rPr>
                <w:rFonts w:cs="Arial"/>
              </w:rPr>
              <w:t>Повишени нива на серумен калий, хипонатриемия</w:t>
            </w:r>
          </w:p>
        </w:tc>
      </w:tr>
      <w:tr w:rsidR="00976CF1" w14:paraId="21807E0F" w14:textId="77777777" w:rsidTr="00A77121">
        <w:tc>
          <w:tcPr>
            <w:tcW w:w="9500" w:type="dxa"/>
            <w:gridSpan w:val="2"/>
          </w:tcPr>
          <w:p w14:paraId="4DAA836B" w14:textId="5C993FF1" w:rsidR="00976CF1" w:rsidRPr="00976CF1" w:rsidRDefault="00976CF1" w:rsidP="00976CF1">
            <w:pPr>
              <w:rPr>
                <w:rFonts w:cs="Arial"/>
              </w:rPr>
            </w:pPr>
            <w:r w:rsidRPr="00976CF1">
              <w:rPr>
                <w:rFonts w:cs="Arial"/>
                <w:b/>
                <w:bCs/>
              </w:rPr>
              <w:t>Нарушения на нервната система</w:t>
            </w:r>
          </w:p>
        </w:tc>
      </w:tr>
      <w:tr w:rsidR="00976CF1" w14:paraId="7511F7EA" w14:textId="77777777" w:rsidTr="00976CF1">
        <w:tc>
          <w:tcPr>
            <w:tcW w:w="4750" w:type="dxa"/>
          </w:tcPr>
          <w:p w14:paraId="5970C549" w14:textId="6C8187CB" w:rsidR="00976CF1" w:rsidRPr="00976CF1" w:rsidRDefault="00976CF1" w:rsidP="00976CF1">
            <w:pPr>
              <w:rPr>
                <w:rFonts w:cs="Arial"/>
              </w:rPr>
            </w:pPr>
            <w:r w:rsidRPr="00976CF1">
              <w:rPr>
                <w:rFonts w:cs="Arial"/>
              </w:rPr>
              <w:t>Чести</w:t>
            </w:r>
          </w:p>
        </w:tc>
        <w:tc>
          <w:tcPr>
            <w:tcW w:w="4750" w:type="dxa"/>
          </w:tcPr>
          <w:p w14:paraId="564D786E" w14:textId="40435BE6" w:rsidR="00976CF1" w:rsidRPr="00976CF1" w:rsidRDefault="00976CF1" w:rsidP="00976CF1">
            <w:pPr>
              <w:rPr>
                <w:rFonts w:cs="Arial"/>
              </w:rPr>
            </w:pPr>
            <w:r w:rsidRPr="00976CF1">
              <w:rPr>
                <w:rFonts w:cs="Arial"/>
              </w:rPr>
              <w:t>Замаяност, постурална замаяност</w:t>
            </w:r>
          </w:p>
        </w:tc>
      </w:tr>
      <w:tr w:rsidR="00976CF1" w14:paraId="7A8733D8" w14:textId="77777777" w:rsidTr="00976CF1">
        <w:tc>
          <w:tcPr>
            <w:tcW w:w="4750" w:type="dxa"/>
          </w:tcPr>
          <w:p w14:paraId="4D60B1AF" w14:textId="732968C8" w:rsidR="00976CF1" w:rsidRPr="00976CF1" w:rsidRDefault="00976CF1" w:rsidP="00976CF1">
            <w:pPr>
              <w:rPr>
                <w:rFonts w:cs="Arial"/>
              </w:rPr>
            </w:pPr>
            <w:r w:rsidRPr="00976CF1">
              <w:rPr>
                <w:rFonts w:cs="Arial"/>
              </w:rPr>
              <w:t>Нечести</w:t>
            </w:r>
          </w:p>
        </w:tc>
        <w:tc>
          <w:tcPr>
            <w:tcW w:w="4750" w:type="dxa"/>
          </w:tcPr>
          <w:p w14:paraId="118D7326" w14:textId="16A5C5E2" w:rsidR="00976CF1" w:rsidRPr="00976CF1" w:rsidRDefault="00976CF1" w:rsidP="00976CF1">
            <w:pPr>
              <w:rPr>
                <w:rFonts w:cs="Arial"/>
              </w:rPr>
            </w:pPr>
            <w:r w:rsidRPr="00976CF1">
              <w:rPr>
                <w:rFonts w:cs="Arial"/>
              </w:rPr>
              <w:t>Синкоп, главоболие</w:t>
            </w:r>
          </w:p>
        </w:tc>
      </w:tr>
      <w:tr w:rsidR="00976CF1" w14:paraId="01DFDD5C" w14:textId="77777777" w:rsidTr="00DB04E4">
        <w:tc>
          <w:tcPr>
            <w:tcW w:w="9500" w:type="dxa"/>
            <w:gridSpan w:val="2"/>
          </w:tcPr>
          <w:p w14:paraId="49274070" w14:textId="5B983DAC" w:rsidR="00976CF1" w:rsidRPr="00976CF1" w:rsidRDefault="00976CF1" w:rsidP="00976CF1">
            <w:pPr>
              <w:rPr>
                <w:rFonts w:cs="Arial"/>
              </w:rPr>
            </w:pPr>
            <w:r w:rsidRPr="00976CF1">
              <w:rPr>
                <w:rFonts w:cs="Arial"/>
                <w:b/>
                <w:bCs/>
              </w:rPr>
              <w:t>Нарушения на ухото и лабиринта</w:t>
            </w:r>
          </w:p>
        </w:tc>
      </w:tr>
      <w:tr w:rsidR="00976CF1" w14:paraId="6E39993D" w14:textId="77777777" w:rsidTr="00976CF1">
        <w:tc>
          <w:tcPr>
            <w:tcW w:w="4750" w:type="dxa"/>
          </w:tcPr>
          <w:p w14:paraId="043BCFA4" w14:textId="09F2DC07" w:rsidR="00976CF1" w:rsidRPr="00976CF1" w:rsidRDefault="00976CF1" w:rsidP="00976CF1">
            <w:pPr>
              <w:rPr>
                <w:rFonts w:cs="Arial"/>
              </w:rPr>
            </w:pPr>
            <w:r w:rsidRPr="00976CF1">
              <w:rPr>
                <w:rFonts w:cs="Arial"/>
              </w:rPr>
              <w:t>Нечести</w:t>
            </w:r>
          </w:p>
        </w:tc>
        <w:tc>
          <w:tcPr>
            <w:tcW w:w="4750" w:type="dxa"/>
          </w:tcPr>
          <w:p w14:paraId="0599896C" w14:textId="44EFB16A" w:rsidR="00976CF1" w:rsidRPr="00976CF1" w:rsidRDefault="00976CF1" w:rsidP="00976CF1">
            <w:pPr>
              <w:rPr>
                <w:rFonts w:cs="Arial"/>
              </w:rPr>
            </w:pPr>
            <w:r w:rsidRPr="00976CF1">
              <w:rPr>
                <w:rFonts w:cs="Arial"/>
              </w:rPr>
              <w:t>Вертиго</w:t>
            </w:r>
          </w:p>
        </w:tc>
      </w:tr>
      <w:tr w:rsidR="00976CF1" w14:paraId="7E640CFA" w14:textId="77777777" w:rsidTr="00776B50">
        <w:tc>
          <w:tcPr>
            <w:tcW w:w="9500" w:type="dxa"/>
            <w:gridSpan w:val="2"/>
          </w:tcPr>
          <w:p w14:paraId="6FD5F6A5" w14:textId="3872E546" w:rsidR="00976CF1" w:rsidRPr="00976CF1" w:rsidRDefault="00976CF1" w:rsidP="00976CF1">
            <w:pPr>
              <w:rPr>
                <w:rFonts w:cs="Arial"/>
              </w:rPr>
            </w:pPr>
            <w:r w:rsidRPr="00976CF1">
              <w:rPr>
                <w:rFonts w:cs="Arial"/>
                <w:b/>
                <w:bCs/>
              </w:rPr>
              <w:lastRenderedPageBreak/>
              <w:t>Сърдечни нарушения</w:t>
            </w:r>
          </w:p>
        </w:tc>
      </w:tr>
      <w:tr w:rsidR="00976CF1" w14:paraId="14A2A1C4" w14:textId="77777777" w:rsidTr="00976CF1">
        <w:tc>
          <w:tcPr>
            <w:tcW w:w="4750" w:type="dxa"/>
          </w:tcPr>
          <w:p w14:paraId="5F52C888" w14:textId="5C8B15ED" w:rsidR="00976CF1" w:rsidRPr="00976CF1" w:rsidRDefault="00976CF1" w:rsidP="00976CF1">
            <w:pPr>
              <w:rPr>
                <w:rFonts w:cs="Arial"/>
              </w:rPr>
            </w:pPr>
            <w:r w:rsidRPr="00976CF1">
              <w:rPr>
                <w:rFonts w:cs="Arial"/>
              </w:rPr>
              <w:t>Нечести</w:t>
            </w:r>
          </w:p>
        </w:tc>
        <w:tc>
          <w:tcPr>
            <w:tcW w:w="4750" w:type="dxa"/>
          </w:tcPr>
          <w:p w14:paraId="05E3F109" w14:textId="5ED50E4C" w:rsidR="00976CF1" w:rsidRPr="00976CF1" w:rsidRDefault="00976CF1" w:rsidP="00976CF1">
            <w:pPr>
              <w:rPr>
                <w:rFonts w:cs="Arial"/>
              </w:rPr>
            </w:pPr>
            <w:r w:rsidRPr="00976CF1">
              <w:rPr>
                <w:rFonts w:cs="Arial"/>
              </w:rPr>
              <w:t>Сърдечна недостатъчност</w:t>
            </w:r>
          </w:p>
        </w:tc>
      </w:tr>
      <w:tr w:rsidR="00976CF1" w14:paraId="52C9FA07" w14:textId="77777777" w:rsidTr="00DE4B54">
        <w:tc>
          <w:tcPr>
            <w:tcW w:w="9500" w:type="dxa"/>
            <w:gridSpan w:val="2"/>
          </w:tcPr>
          <w:p w14:paraId="1CF08924" w14:textId="1F100502" w:rsidR="00976CF1" w:rsidRPr="00976CF1" w:rsidRDefault="00976CF1" w:rsidP="00976CF1">
            <w:pPr>
              <w:rPr>
                <w:rFonts w:cs="Arial"/>
              </w:rPr>
            </w:pPr>
            <w:r w:rsidRPr="00976CF1">
              <w:rPr>
                <w:rFonts w:cs="Arial"/>
                <w:b/>
                <w:bCs/>
              </w:rPr>
              <w:t>Васкуларни нарушения</w:t>
            </w:r>
          </w:p>
        </w:tc>
      </w:tr>
      <w:tr w:rsidR="00976CF1" w14:paraId="52868C6D" w14:textId="77777777" w:rsidTr="00976CF1">
        <w:tc>
          <w:tcPr>
            <w:tcW w:w="4750" w:type="dxa"/>
          </w:tcPr>
          <w:p w14:paraId="2989B11E" w14:textId="3EBAB2E6" w:rsidR="00976CF1" w:rsidRPr="00976CF1" w:rsidRDefault="00976CF1" w:rsidP="00976CF1">
            <w:pPr>
              <w:rPr>
                <w:rFonts w:cs="Arial"/>
              </w:rPr>
            </w:pPr>
            <w:r w:rsidRPr="00976CF1">
              <w:rPr>
                <w:rFonts w:cs="Arial"/>
              </w:rPr>
              <w:t>Чести</w:t>
            </w:r>
          </w:p>
        </w:tc>
        <w:tc>
          <w:tcPr>
            <w:tcW w:w="4750" w:type="dxa"/>
          </w:tcPr>
          <w:p w14:paraId="225C85D2" w14:textId="1B6DEFDB" w:rsidR="00976CF1" w:rsidRPr="00976CF1" w:rsidRDefault="00976CF1" w:rsidP="00976CF1">
            <w:pPr>
              <w:rPr>
                <w:rFonts w:cs="Arial"/>
              </w:rPr>
            </w:pPr>
            <w:r w:rsidRPr="00976CF1">
              <w:rPr>
                <w:rFonts w:cs="Arial"/>
              </w:rPr>
              <w:t>Хипотония, ортостатична хипотония</w:t>
            </w:r>
          </w:p>
        </w:tc>
      </w:tr>
      <w:tr w:rsidR="00976CF1" w14:paraId="3B2045CF" w14:textId="77777777" w:rsidTr="00976CF1">
        <w:tc>
          <w:tcPr>
            <w:tcW w:w="4750" w:type="dxa"/>
          </w:tcPr>
          <w:p w14:paraId="0EC601D9" w14:textId="63977747" w:rsidR="00976CF1" w:rsidRPr="00976CF1" w:rsidRDefault="00976CF1" w:rsidP="00976CF1">
            <w:pPr>
              <w:rPr>
                <w:rFonts w:cs="Arial"/>
              </w:rPr>
            </w:pPr>
            <w:r w:rsidRPr="00976CF1">
              <w:rPr>
                <w:rFonts w:cs="Arial"/>
              </w:rPr>
              <w:t>С неизвестна честота</w:t>
            </w:r>
          </w:p>
        </w:tc>
        <w:tc>
          <w:tcPr>
            <w:tcW w:w="4750" w:type="dxa"/>
          </w:tcPr>
          <w:p w14:paraId="5D41A9E9" w14:textId="44C7CD03" w:rsidR="00976CF1" w:rsidRPr="00976CF1" w:rsidRDefault="00976CF1" w:rsidP="00976CF1">
            <w:pPr>
              <w:rPr>
                <w:rFonts w:cs="Arial"/>
              </w:rPr>
            </w:pPr>
            <w:r w:rsidRPr="00976CF1">
              <w:rPr>
                <w:rFonts w:cs="Arial"/>
              </w:rPr>
              <w:t>Васкулит</w:t>
            </w:r>
          </w:p>
        </w:tc>
      </w:tr>
      <w:tr w:rsidR="00976CF1" w14:paraId="7E1957AA" w14:textId="77777777" w:rsidTr="00931B1A">
        <w:tc>
          <w:tcPr>
            <w:tcW w:w="9500" w:type="dxa"/>
            <w:gridSpan w:val="2"/>
          </w:tcPr>
          <w:p w14:paraId="343205E8" w14:textId="7509943C" w:rsidR="00976CF1" w:rsidRPr="00976CF1" w:rsidRDefault="00976CF1" w:rsidP="00976CF1">
            <w:pPr>
              <w:rPr>
                <w:rFonts w:cs="Arial"/>
              </w:rPr>
            </w:pPr>
            <w:r w:rsidRPr="00976CF1">
              <w:rPr>
                <w:rFonts w:cs="Arial"/>
                <w:b/>
                <w:bCs/>
              </w:rPr>
              <w:t>Респираторни, гръдни н медиастинални нарушения</w:t>
            </w:r>
          </w:p>
        </w:tc>
      </w:tr>
      <w:tr w:rsidR="00976CF1" w14:paraId="2DBE6F9D" w14:textId="77777777" w:rsidTr="00976CF1">
        <w:tc>
          <w:tcPr>
            <w:tcW w:w="4750" w:type="dxa"/>
          </w:tcPr>
          <w:p w14:paraId="2D45126A" w14:textId="5FA2A054" w:rsidR="00976CF1" w:rsidRPr="00976CF1" w:rsidRDefault="00976CF1" w:rsidP="00976CF1">
            <w:pPr>
              <w:rPr>
                <w:rFonts w:cs="Arial"/>
              </w:rPr>
            </w:pPr>
            <w:r w:rsidRPr="00976CF1">
              <w:rPr>
                <w:rFonts w:cs="Arial"/>
              </w:rPr>
              <w:t>Нечести</w:t>
            </w:r>
          </w:p>
        </w:tc>
        <w:tc>
          <w:tcPr>
            <w:tcW w:w="4750" w:type="dxa"/>
          </w:tcPr>
          <w:p w14:paraId="4DE03783" w14:textId="7CED9DEA" w:rsidR="00976CF1" w:rsidRPr="00976CF1" w:rsidRDefault="00976CF1" w:rsidP="00976CF1">
            <w:pPr>
              <w:rPr>
                <w:rFonts w:cs="Arial"/>
              </w:rPr>
            </w:pPr>
            <w:r w:rsidRPr="00976CF1">
              <w:rPr>
                <w:rFonts w:cs="Arial"/>
              </w:rPr>
              <w:t>Кашлица</w:t>
            </w:r>
          </w:p>
        </w:tc>
      </w:tr>
      <w:tr w:rsidR="00976CF1" w14:paraId="1FF4F973" w14:textId="77777777" w:rsidTr="00747739">
        <w:tc>
          <w:tcPr>
            <w:tcW w:w="9500" w:type="dxa"/>
            <w:gridSpan w:val="2"/>
          </w:tcPr>
          <w:p w14:paraId="2CD91B31" w14:textId="1A7A01E0" w:rsidR="00976CF1" w:rsidRPr="00976CF1" w:rsidRDefault="00976CF1" w:rsidP="00976CF1">
            <w:pPr>
              <w:rPr>
                <w:rFonts w:cs="Arial"/>
              </w:rPr>
            </w:pPr>
            <w:r w:rsidRPr="00976CF1">
              <w:rPr>
                <w:rFonts w:cs="Arial"/>
                <w:b/>
                <w:bCs/>
              </w:rPr>
              <w:t>Стомашно-чревни нарушения</w:t>
            </w:r>
          </w:p>
        </w:tc>
      </w:tr>
      <w:tr w:rsidR="00976CF1" w14:paraId="59044B56" w14:textId="77777777" w:rsidTr="00976CF1">
        <w:tc>
          <w:tcPr>
            <w:tcW w:w="4750" w:type="dxa"/>
          </w:tcPr>
          <w:p w14:paraId="141271AB" w14:textId="429BF19C" w:rsidR="00976CF1" w:rsidRPr="00976CF1" w:rsidRDefault="00976CF1" w:rsidP="00976CF1">
            <w:pPr>
              <w:rPr>
                <w:rFonts w:cs="Arial"/>
              </w:rPr>
            </w:pPr>
            <w:r w:rsidRPr="00976CF1">
              <w:rPr>
                <w:rFonts w:cs="Arial"/>
              </w:rPr>
              <w:t>Нечести</w:t>
            </w:r>
          </w:p>
        </w:tc>
        <w:tc>
          <w:tcPr>
            <w:tcW w:w="4750" w:type="dxa"/>
          </w:tcPr>
          <w:p w14:paraId="229F6C23" w14:textId="7390B9F2" w:rsidR="00976CF1" w:rsidRPr="00976CF1" w:rsidRDefault="00976CF1" w:rsidP="00976CF1">
            <w:pPr>
              <w:rPr>
                <w:rFonts w:cs="Arial"/>
              </w:rPr>
            </w:pPr>
            <w:r w:rsidRPr="00976CF1">
              <w:rPr>
                <w:rFonts w:cs="Arial"/>
              </w:rPr>
              <w:t>Гадене, диария</w:t>
            </w:r>
          </w:p>
        </w:tc>
      </w:tr>
      <w:tr w:rsidR="00976CF1" w14:paraId="38B1496F" w14:textId="77777777" w:rsidTr="00E86884">
        <w:tc>
          <w:tcPr>
            <w:tcW w:w="9500" w:type="dxa"/>
            <w:gridSpan w:val="2"/>
          </w:tcPr>
          <w:p w14:paraId="4CC4E5D0" w14:textId="66A8594C" w:rsidR="00976CF1" w:rsidRPr="00976CF1" w:rsidRDefault="00976CF1" w:rsidP="00976CF1">
            <w:pPr>
              <w:rPr>
                <w:rFonts w:cs="Arial"/>
              </w:rPr>
            </w:pPr>
            <w:r w:rsidRPr="00976CF1">
              <w:rPr>
                <w:rFonts w:cs="Arial"/>
                <w:b/>
                <w:bCs/>
              </w:rPr>
              <w:t>Хепато-билиарни нарушения</w:t>
            </w:r>
          </w:p>
        </w:tc>
      </w:tr>
      <w:tr w:rsidR="00976CF1" w14:paraId="54C0571D" w14:textId="77777777" w:rsidTr="00976CF1">
        <w:tc>
          <w:tcPr>
            <w:tcW w:w="4750" w:type="dxa"/>
          </w:tcPr>
          <w:p w14:paraId="045AFE3F" w14:textId="67C10B98" w:rsidR="00976CF1" w:rsidRPr="00976CF1" w:rsidRDefault="00976CF1" w:rsidP="00976CF1">
            <w:pPr>
              <w:rPr>
                <w:rFonts w:cs="Arial"/>
              </w:rPr>
            </w:pPr>
            <w:r w:rsidRPr="00976CF1">
              <w:rPr>
                <w:rFonts w:cs="Arial"/>
              </w:rPr>
              <w:t>С неизвестна честота</w:t>
            </w:r>
          </w:p>
        </w:tc>
        <w:tc>
          <w:tcPr>
            <w:tcW w:w="4750" w:type="dxa"/>
          </w:tcPr>
          <w:p w14:paraId="31D85EF9" w14:textId="73E6A453" w:rsidR="00976CF1" w:rsidRPr="00976CF1" w:rsidRDefault="00976CF1" w:rsidP="00976CF1">
            <w:pPr>
              <w:rPr>
                <w:rFonts w:cs="Arial"/>
              </w:rPr>
            </w:pPr>
            <w:r w:rsidRPr="00976CF1">
              <w:rPr>
                <w:rFonts w:cs="Arial"/>
              </w:rPr>
              <w:t>Повишение на показателите на чернодробната функция</w:t>
            </w:r>
          </w:p>
        </w:tc>
      </w:tr>
      <w:tr w:rsidR="00976CF1" w14:paraId="276EAF8A" w14:textId="77777777" w:rsidTr="00C62495">
        <w:tc>
          <w:tcPr>
            <w:tcW w:w="9500" w:type="dxa"/>
            <w:gridSpan w:val="2"/>
          </w:tcPr>
          <w:p w14:paraId="73D75898" w14:textId="2BFE973A" w:rsidR="00976CF1" w:rsidRPr="00976CF1" w:rsidRDefault="00976CF1" w:rsidP="00976CF1">
            <w:pPr>
              <w:rPr>
                <w:rFonts w:cs="Arial"/>
              </w:rPr>
            </w:pPr>
            <w:r w:rsidRPr="00976CF1">
              <w:rPr>
                <w:rFonts w:cs="Arial"/>
                <w:b/>
                <w:bCs/>
              </w:rPr>
              <w:t>Нарушения на кожата и подкожната тъкан</w:t>
            </w:r>
          </w:p>
        </w:tc>
      </w:tr>
      <w:tr w:rsidR="00976CF1" w14:paraId="29FB579E" w14:textId="77777777" w:rsidTr="00976CF1">
        <w:tc>
          <w:tcPr>
            <w:tcW w:w="4750" w:type="dxa"/>
          </w:tcPr>
          <w:p w14:paraId="5C50FF66" w14:textId="5DF1DF7E" w:rsidR="00976CF1" w:rsidRPr="00976CF1" w:rsidRDefault="00976CF1" w:rsidP="00976CF1">
            <w:pPr>
              <w:rPr>
                <w:rFonts w:cs="Arial"/>
              </w:rPr>
            </w:pPr>
            <w:r w:rsidRPr="00976CF1">
              <w:rPr>
                <w:rFonts w:cs="Arial"/>
              </w:rPr>
              <w:t>Нечести</w:t>
            </w:r>
          </w:p>
        </w:tc>
        <w:tc>
          <w:tcPr>
            <w:tcW w:w="4750" w:type="dxa"/>
          </w:tcPr>
          <w:p w14:paraId="2A62C3B9" w14:textId="2317CF66" w:rsidR="00976CF1" w:rsidRPr="00976CF1" w:rsidRDefault="00976CF1" w:rsidP="00976CF1">
            <w:pPr>
              <w:rPr>
                <w:rFonts w:cs="Arial"/>
              </w:rPr>
            </w:pPr>
            <w:r w:rsidRPr="00976CF1">
              <w:rPr>
                <w:rFonts w:cs="Arial"/>
              </w:rPr>
              <w:t>Ангиоедем</w:t>
            </w:r>
          </w:p>
        </w:tc>
      </w:tr>
      <w:tr w:rsidR="00976CF1" w14:paraId="5F7E9BF4" w14:textId="77777777" w:rsidTr="00976CF1">
        <w:tc>
          <w:tcPr>
            <w:tcW w:w="4750" w:type="dxa"/>
          </w:tcPr>
          <w:p w14:paraId="2A5CFFD9" w14:textId="637C41BC" w:rsidR="00976CF1" w:rsidRPr="00976CF1" w:rsidRDefault="00976CF1" w:rsidP="00976CF1">
            <w:pPr>
              <w:rPr>
                <w:rFonts w:cs="Arial"/>
              </w:rPr>
            </w:pPr>
            <w:r w:rsidRPr="00976CF1">
              <w:rPr>
                <w:rFonts w:cs="Arial"/>
              </w:rPr>
              <w:t>С неизвестна честота</w:t>
            </w:r>
          </w:p>
        </w:tc>
        <w:tc>
          <w:tcPr>
            <w:tcW w:w="4750" w:type="dxa"/>
          </w:tcPr>
          <w:p w14:paraId="4CCFEB31" w14:textId="30F2C6A7" w:rsidR="00976CF1" w:rsidRPr="00976CF1" w:rsidRDefault="00976CF1" w:rsidP="00976CF1">
            <w:pPr>
              <w:rPr>
                <w:rFonts w:cs="Arial"/>
              </w:rPr>
            </w:pPr>
            <w:r w:rsidRPr="00976CF1">
              <w:rPr>
                <w:rFonts w:cs="Arial"/>
              </w:rPr>
              <w:t>Булозен дерматит, обрив, сърбеж</w:t>
            </w:r>
          </w:p>
        </w:tc>
      </w:tr>
      <w:tr w:rsidR="00976CF1" w14:paraId="6DD57D6B" w14:textId="77777777" w:rsidTr="00802AE3">
        <w:tc>
          <w:tcPr>
            <w:tcW w:w="9500" w:type="dxa"/>
            <w:gridSpan w:val="2"/>
          </w:tcPr>
          <w:p w14:paraId="6AE1A721" w14:textId="0ED95120" w:rsidR="00976CF1" w:rsidRPr="00976CF1" w:rsidRDefault="00976CF1" w:rsidP="00976CF1">
            <w:pPr>
              <w:rPr>
                <w:rFonts w:cs="Arial"/>
              </w:rPr>
            </w:pPr>
            <w:r w:rsidRPr="00976CF1">
              <w:rPr>
                <w:rFonts w:cs="Arial"/>
                <w:b/>
                <w:bCs/>
              </w:rPr>
              <w:t>Мускулно-скелетни нарушения и нарушения на съединителната тъкан</w:t>
            </w:r>
          </w:p>
        </w:tc>
      </w:tr>
      <w:tr w:rsidR="00976CF1" w14:paraId="316F0959" w14:textId="77777777" w:rsidTr="00976CF1">
        <w:tc>
          <w:tcPr>
            <w:tcW w:w="4750" w:type="dxa"/>
          </w:tcPr>
          <w:p w14:paraId="32396962" w14:textId="7B448A86" w:rsidR="00976CF1" w:rsidRPr="00976CF1" w:rsidRDefault="00976CF1" w:rsidP="00976CF1">
            <w:pPr>
              <w:rPr>
                <w:rFonts w:cs="Arial"/>
              </w:rPr>
            </w:pPr>
            <w:r w:rsidRPr="00976CF1">
              <w:rPr>
                <w:rFonts w:cs="Arial"/>
              </w:rPr>
              <w:t>С неизвестна честота</w:t>
            </w:r>
          </w:p>
        </w:tc>
        <w:tc>
          <w:tcPr>
            <w:tcW w:w="4750" w:type="dxa"/>
          </w:tcPr>
          <w:p w14:paraId="5F8CA3A6" w14:textId="0F834379" w:rsidR="00976CF1" w:rsidRPr="00976CF1" w:rsidRDefault="00976CF1" w:rsidP="00976CF1">
            <w:pPr>
              <w:rPr>
                <w:rFonts w:cs="Arial"/>
              </w:rPr>
            </w:pPr>
            <w:r w:rsidRPr="00976CF1">
              <w:rPr>
                <w:rFonts w:cs="Arial"/>
              </w:rPr>
              <w:t>Миалгия</w:t>
            </w:r>
          </w:p>
        </w:tc>
      </w:tr>
      <w:tr w:rsidR="00976CF1" w14:paraId="20850AD2" w14:textId="77777777" w:rsidTr="00CB4B0C">
        <w:tc>
          <w:tcPr>
            <w:tcW w:w="9500" w:type="dxa"/>
            <w:gridSpan w:val="2"/>
          </w:tcPr>
          <w:p w14:paraId="546ACE9C" w14:textId="44780D44" w:rsidR="00976CF1" w:rsidRPr="00976CF1" w:rsidRDefault="00976CF1" w:rsidP="00976CF1">
            <w:pPr>
              <w:rPr>
                <w:rFonts w:cs="Arial"/>
              </w:rPr>
            </w:pPr>
            <w:r w:rsidRPr="00976CF1">
              <w:rPr>
                <w:rFonts w:cs="Arial"/>
                <w:b/>
                <w:bCs/>
              </w:rPr>
              <w:t>Нарушения на бъбреците и пикочните пътища</w:t>
            </w:r>
          </w:p>
        </w:tc>
      </w:tr>
      <w:tr w:rsidR="00976CF1" w14:paraId="32FE16C0" w14:textId="77777777" w:rsidTr="00976CF1">
        <w:tc>
          <w:tcPr>
            <w:tcW w:w="4750" w:type="dxa"/>
          </w:tcPr>
          <w:p w14:paraId="2AFCCD18" w14:textId="1E35DBD3" w:rsidR="00976CF1" w:rsidRPr="00976CF1" w:rsidRDefault="00976CF1" w:rsidP="00976CF1">
            <w:pPr>
              <w:rPr>
                <w:rFonts w:cs="Arial"/>
              </w:rPr>
            </w:pPr>
            <w:r w:rsidRPr="00976CF1">
              <w:rPr>
                <w:rFonts w:cs="Arial"/>
              </w:rPr>
              <w:t>Чести</w:t>
            </w:r>
          </w:p>
        </w:tc>
        <w:tc>
          <w:tcPr>
            <w:tcW w:w="4750" w:type="dxa"/>
          </w:tcPr>
          <w:p w14:paraId="3F54CB0A" w14:textId="133EE9F9" w:rsidR="00976CF1" w:rsidRPr="00976CF1" w:rsidRDefault="00976CF1" w:rsidP="00976CF1">
            <w:pPr>
              <w:rPr>
                <w:rFonts w:cs="Arial"/>
              </w:rPr>
            </w:pPr>
            <w:r w:rsidRPr="00976CF1">
              <w:rPr>
                <w:rFonts w:cs="Arial"/>
              </w:rPr>
              <w:t>Бъбречна недостатъчност и увреждане</w:t>
            </w:r>
          </w:p>
        </w:tc>
      </w:tr>
      <w:tr w:rsidR="00976CF1" w14:paraId="6422094C" w14:textId="77777777" w:rsidTr="00976CF1">
        <w:tc>
          <w:tcPr>
            <w:tcW w:w="4750" w:type="dxa"/>
          </w:tcPr>
          <w:p w14:paraId="58BB8E9A" w14:textId="6FA2B166" w:rsidR="00976CF1" w:rsidRPr="00976CF1" w:rsidRDefault="00976CF1" w:rsidP="00976CF1">
            <w:pPr>
              <w:rPr>
                <w:rFonts w:cs="Arial"/>
              </w:rPr>
            </w:pPr>
            <w:r w:rsidRPr="00976CF1">
              <w:rPr>
                <w:rFonts w:cs="Arial"/>
              </w:rPr>
              <w:t>Нечести</w:t>
            </w:r>
          </w:p>
        </w:tc>
        <w:tc>
          <w:tcPr>
            <w:tcW w:w="4750" w:type="dxa"/>
          </w:tcPr>
          <w:p w14:paraId="2E5A9565" w14:textId="4F7C7BE2" w:rsidR="00976CF1" w:rsidRPr="00976CF1" w:rsidRDefault="00976CF1" w:rsidP="00976CF1">
            <w:pPr>
              <w:rPr>
                <w:rFonts w:cs="Arial"/>
              </w:rPr>
            </w:pPr>
            <w:r w:rsidRPr="00976CF1">
              <w:rPr>
                <w:rFonts w:cs="Arial"/>
              </w:rPr>
              <w:t>Остра бъбречна недостатъчност, повишение на серумния креатинин</w:t>
            </w:r>
          </w:p>
        </w:tc>
      </w:tr>
      <w:tr w:rsidR="00976CF1" w14:paraId="2E857883" w14:textId="77777777" w:rsidTr="00976CF1">
        <w:tc>
          <w:tcPr>
            <w:tcW w:w="4750" w:type="dxa"/>
          </w:tcPr>
          <w:p w14:paraId="08CB9F00" w14:textId="75A9613E" w:rsidR="00976CF1" w:rsidRPr="00976CF1" w:rsidRDefault="00976CF1" w:rsidP="00976CF1">
            <w:pPr>
              <w:rPr>
                <w:rFonts w:cs="Arial"/>
              </w:rPr>
            </w:pPr>
            <w:r w:rsidRPr="00976CF1">
              <w:rPr>
                <w:rFonts w:cs="Arial"/>
              </w:rPr>
              <w:t>С неизвестна честота</w:t>
            </w:r>
          </w:p>
        </w:tc>
        <w:tc>
          <w:tcPr>
            <w:tcW w:w="4750" w:type="dxa"/>
          </w:tcPr>
          <w:p w14:paraId="069F762E" w14:textId="7E04870C" w:rsidR="00976CF1" w:rsidRPr="00976CF1" w:rsidRDefault="00976CF1" w:rsidP="00976CF1">
            <w:pPr>
              <w:rPr>
                <w:rFonts w:cs="Arial"/>
              </w:rPr>
            </w:pPr>
            <w:r w:rsidRPr="00976CF1">
              <w:rPr>
                <w:rFonts w:cs="Arial"/>
              </w:rPr>
              <w:t>Повишение на нитроген кръвната урея</w:t>
            </w:r>
          </w:p>
        </w:tc>
      </w:tr>
      <w:tr w:rsidR="00976CF1" w14:paraId="12EBC0D4" w14:textId="77777777" w:rsidTr="001453EC">
        <w:tc>
          <w:tcPr>
            <w:tcW w:w="9500" w:type="dxa"/>
            <w:gridSpan w:val="2"/>
          </w:tcPr>
          <w:p w14:paraId="5D369B2C" w14:textId="5ED1CC4B" w:rsidR="00976CF1" w:rsidRPr="00976CF1" w:rsidRDefault="00976CF1" w:rsidP="00976CF1">
            <w:pPr>
              <w:rPr>
                <w:rFonts w:cs="Arial"/>
              </w:rPr>
            </w:pPr>
            <w:r w:rsidRPr="00976CF1">
              <w:rPr>
                <w:rFonts w:cs="Arial"/>
                <w:b/>
                <w:bCs/>
              </w:rPr>
              <w:t>Общи нарушения и ефекти на мястото на приложение</w:t>
            </w:r>
          </w:p>
        </w:tc>
      </w:tr>
      <w:tr w:rsidR="00976CF1" w14:paraId="3555D7CC" w14:textId="77777777" w:rsidTr="00976CF1">
        <w:tc>
          <w:tcPr>
            <w:tcW w:w="4750" w:type="dxa"/>
          </w:tcPr>
          <w:p w14:paraId="79513052" w14:textId="24E976B7" w:rsidR="00976CF1" w:rsidRPr="00976CF1" w:rsidRDefault="00976CF1" w:rsidP="00976CF1">
            <w:pPr>
              <w:rPr>
                <w:rFonts w:cs="Arial"/>
              </w:rPr>
            </w:pPr>
            <w:r w:rsidRPr="00976CF1">
              <w:rPr>
                <w:rFonts w:cs="Arial"/>
              </w:rPr>
              <w:t>Нечести</w:t>
            </w:r>
          </w:p>
        </w:tc>
        <w:tc>
          <w:tcPr>
            <w:tcW w:w="4750" w:type="dxa"/>
          </w:tcPr>
          <w:p w14:paraId="3AB7B98B" w14:textId="2B7C1410" w:rsidR="00976CF1" w:rsidRPr="00976CF1" w:rsidRDefault="00976CF1" w:rsidP="00976CF1">
            <w:pPr>
              <w:rPr>
                <w:rFonts w:cs="Arial"/>
              </w:rPr>
            </w:pPr>
            <w:r w:rsidRPr="00976CF1">
              <w:rPr>
                <w:rFonts w:cs="Arial"/>
              </w:rPr>
              <w:t>Астения, умора</w:t>
            </w:r>
          </w:p>
        </w:tc>
      </w:tr>
    </w:tbl>
    <w:p w14:paraId="47395962" w14:textId="77777777" w:rsidR="00976CF1" w:rsidRDefault="00976CF1" w:rsidP="00976CF1">
      <w:pPr>
        <w:spacing w:line="240" w:lineRule="auto"/>
        <w:rPr>
          <w:rFonts w:ascii="Times New Roman" w:eastAsia="Times New Roman" w:hAnsi="Times New Roman" w:cs="Times New Roman"/>
          <w:color w:val="000000"/>
          <w:u w:val="single"/>
          <w:lang w:eastAsia="bg-BG"/>
        </w:rPr>
      </w:pPr>
    </w:p>
    <w:p w14:paraId="13A18F26" w14:textId="4E630165" w:rsidR="00976CF1" w:rsidRPr="00976CF1" w:rsidRDefault="00976CF1" w:rsidP="00976CF1">
      <w:pPr>
        <w:spacing w:line="240" w:lineRule="auto"/>
        <w:rPr>
          <w:rFonts w:eastAsia="Times New Roman" w:cs="Arial"/>
          <w:lang w:eastAsia="bg-BG"/>
        </w:rPr>
      </w:pPr>
      <w:r w:rsidRPr="00976CF1">
        <w:rPr>
          <w:rFonts w:eastAsia="Times New Roman" w:cs="Arial"/>
          <w:color w:val="000000"/>
          <w:u w:val="single"/>
          <w:lang w:eastAsia="bg-BG"/>
        </w:rPr>
        <w:t>Съобщаване на подозирани нежелани реакции</w:t>
      </w:r>
    </w:p>
    <w:p w14:paraId="10FCE03E" w14:textId="38735723" w:rsidR="00976CF1" w:rsidRDefault="00976CF1" w:rsidP="00976CF1">
      <w:pPr>
        <w:rPr>
          <w:rFonts w:eastAsia="Times New Roman" w:cs="Arial"/>
          <w:lang w:eastAsia="bg-BG"/>
        </w:rPr>
      </w:pPr>
      <w:r w:rsidRPr="00976CF1">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 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 </w:t>
      </w:r>
      <w:r w:rsidRPr="00976CF1">
        <w:rPr>
          <w:rFonts w:eastAsia="Times New Roman" w:cs="Arial"/>
          <w:b/>
          <w:bCs/>
          <w:color w:val="000000"/>
          <w:lang w:eastAsia="bg-BG"/>
        </w:rPr>
        <w:t xml:space="preserve">Изпълнителна агенция по лекарствата </w:t>
      </w:r>
      <w:r w:rsidRPr="00976CF1">
        <w:rPr>
          <w:rFonts w:eastAsia="Times New Roman" w:cs="Arial"/>
          <w:color w:val="000000"/>
          <w:lang w:eastAsia="bg-BG"/>
        </w:rPr>
        <w:t xml:space="preserve">ул.,Дамян Груев” № 8 1303 София Тел.: +359 2 890 3417 уебсайт: </w:t>
      </w:r>
      <w:r w:rsidRPr="00976CF1">
        <w:rPr>
          <w:rFonts w:eastAsia="Times New Roman" w:cs="Arial"/>
          <w:lang w:eastAsia="bg-BG"/>
        </w:rPr>
        <w:fldChar w:fldCharType="begin"/>
      </w:r>
      <w:r w:rsidRPr="00976CF1">
        <w:rPr>
          <w:rFonts w:eastAsia="Times New Roman" w:cs="Arial"/>
          <w:lang w:eastAsia="bg-BG"/>
        </w:rPr>
        <w:instrText xml:space="preserve"> HYPERLINK "http://www.bda.bg" </w:instrText>
      </w:r>
      <w:r w:rsidRPr="00976CF1">
        <w:rPr>
          <w:rFonts w:eastAsia="Times New Roman" w:cs="Arial"/>
          <w:lang w:eastAsia="bg-BG"/>
        </w:rPr>
      </w:r>
      <w:r w:rsidRPr="00976CF1">
        <w:rPr>
          <w:rFonts w:eastAsia="Times New Roman" w:cs="Arial"/>
          <w:lang w:eastAsia="bg-BG"/>
        </w:rPr>
        <w:fldChar w:fldCharType="separate"/>
      </w:r>
      <w:r w:rsidRPr="00976CF1">
        <w:rPr>
          <w:rFonts w:eastAsia="Times New Roman" w:cs="Arial"/>
          <w:color w:val="000000"/>
          <w:u w:val="single"/>
          <w:lang w:val="en-US"/>
        </w:rPr>
        <w:t>www.bda.bg</w:t>
      </w:r>
      <w:r w:rsidRPr="00976CF1">
        <w:rPr>
          <w:rFonts w:eastAsia="Times New Roman" w:cs="Arial"/>
          <w:lang w:eastAsia="bg-BG"/>
        </w:rPr>
        <w:fldChar w:fldCharType="end"/>
      </w:r>
    </w:p>
    <w:p w14:paraId="3BE2A611" w14:textId="77777777" w:rsidR="0088616D" w:rsidRPr="00976CF1" w:rsidRDefault="0088616D" w:rsidP="00976CF1">
      <w:pPr>
        <w:rPr>
          <w:rFonts w:cs="Arial"/>
        </w:rPr>
      </w:pPr>
    </w:p>
    <w:p w14:paraId="4A5904B1" w14:textId="2534FFA9" w:rsidR="00EE6C97" w:rsidRDefault="002C50EE" w:rsidP="00A93499">
      <w:pPr>
        <w:pStyle w:val="Heading2"/>
      </w:pPr>
      <w:r>
        <w:t>4.9. Предозиране</w:t>
      </w:r>
    </w:p>
    <w:p w14:paraId="6CD2E90B" w14:textId="724348E0" w:rsidR="0088616D" w:rsidRDefault="0088616D" w:rsidP="0088616D"/>
    <w:p w14:paraId="1A4FA4C0" w14:textId="31E241CC" w:rsidR="0088616D" w:rsidRPr="0088616D" w:rsidRDefault="0088616D" w:rsidP="0088616D">
      <w:pPr>
        <w:pStyle w:val="Heading3"/>
        <w:rPr>
          <w:u w:val="single"/>
        </w:rPr>
      </w:pPr>
      <w:r w:rsidRPr="0088616D">
        <w:rPr>
          <w:u w:val="single"/>
        </w:rPr>
        <w:t>Симптоми</w:t>
      </w:r>
    </w:p>
    <w:p w14:paraId="67D153BC" w14:textId="77777777" w:rsidR="0088616D" w:rsidRPr="0088616D" w:rsidRDefault="0088616D" w:rsidP="0088616D">
      <w:pPr>
        <w:spacing w:line="240" w:lineRule="auto"/>
        <w:rPr>
          <w:rFonts w:eastAsia="Times New Roman" w:cs="Arial"/>
          <w:sz w:val="24"/>
          <w:szCs w:val="24"/>
          <w:lang w:eastAsia="bg-BG"/>
        </w:rPr>
      </w:pPr>
      <w:r w:rsidRPr="0088616D">
        <w:rPr>
          <w:rFonts w:eastAsia="Times New Roman" w:cs="Arial"/>
          <w:color w:val="000000"/>
          <w:lang w:eastAsia="bg-BG"/>
        </w:rPr>
        <w:t>Предозирането с валсартан може да има за резултат изразена хипотония, която може да доведе до потиснато съзнание, циркулаторен колапс и/ или шок.</w:t>
      </w:r>
    </w:p>
    <w:p w14:paraId="599B1407" w14:textId="77777777" w:rsidR="0088616D" w:rsidRPr="0088616D" w:rsidRDefault="0088616D" w:rsidP="0088616D">
      <w:pPr>
        <w:spacing w:line="240" w:lineRule="auto"/>
        <w:rPr>
          <w:rFonts w:eastAsia="Times New Roman" w:cs="Arial"/>
          <w:color w:val="000000"/>
          <w:u w:val="single"/>
          <w:lang w:eastAsia="bg-BG"/>
        </w:rPr>
      </w:pPr>
    </w:p>
    <w:p w14:paraId="648650F3" w14:textId="0B586804" w:rsidR="0088616D" w:rsidRPr="0088616D" w:rsidRDefault="0088616D" w:rsidP="0088616D">
      <w:pPr>
        <w:pStyle w:val="Heading3"/>
        <w:rPr>
          <w:rFonts w:eastAsia="Times New Roman"/>
          <w:u w:val="single"/>
          <w:lang w:eastAsia="bg-BG"/>
        </w:rPr>
      </w:pPr>
      <w:r w:rsidRPr="0088616D">
        <w:rPr>
          <w:rFonts w:eastAsia="Times New Roman"/>
          <w:u w:val="single"/>
          <w:lang w:eastAsia="bg-BG"/>
        </w:rPr>
        <w:t>Лечение</w:t>
      </w:r>
    </w:p>
    <w:p w14:paraId="0FDC6B92" w14:textId="77777777" w:rsidR="0088616D" w:rsidRPr="0088616D" w:rsidRDefault="0088616D" w:rsidP="0088616D">
      <w:pPr>
        <w:spacing w:line="240" w:lineRule="auto"/>
        <w:rPr>
          <w:rFonts w:eastAsia="Times New Roman" w:cs="Arial"/>
          <w:sz w:val="24"/>
          <w:szCs w:val="24"/>
          <w:lang w:eastAsia="bg-BG"/>
        </w:rPr>
      </w:pPr>
      <w:r w:rsidRPr="0088616D">
        <w:rPr>
          <w:rFonts w:eastAsia="Times New Roman" w:cs="Arial"/>
          <w:color w:val="000000"/>
          <w:lang w:eastAsia="bg-BG"/>
        </w:rPr>
        <w:t>Терапевтичните мерки зависят от момента на приемане на продукта, типа и тежестта на симптомите; стабилизирането на циркулаторния статус е от първостепенно значение.</w:t>
      </w:r>
    </w:p>
    <w:p w14:paraId="16178C18" w14:textId="77777777" w:rsidR="0088616D" w:rsidRPr="0088616D" w:rsidRDefault="0088616D" w:rsidP="0088616D">
      <w:pPr>
        <w:spacing w:line="240" w:lineRule="auto"/>
        <w:rPr>
          <w:rFonts w:eastAsia="Times New Roman" w:cs="Arial"/>
          <w:sz w:val="24"/>
          <w:szCs w:val="24"/>
          <w:lang w:eastAsia="bg-BG"/>
        </w:rPr>
      </w:pPr>
      <w:r w:rsidRPr="0088616D">
        <w:rPr>
          <w:rFonts w:eastAsia="Times New Roman" w:cs="Arial"/>
          <w:color w:val="000000"/>
          <w:lang w:eastAsia="bg-BG"/>
        </w:rPr>
        <w:t>При поява на хипотония пациентът трябва да се постави в легнало положение и трябва да се предприемат мерки за коригиране на кръвния обем.</w:t>
      </w:r>
    </w:p>
    <w:p w14:paraId="20663635" w14:textId="77777777" w:rsidR="0088616D" w:rsidRPr="0088616D" w:rsidRDefault="0088616D" w:rsidP="0088616D">
      <w:pPr>
        <w:spacing w:line="240" w:lineRule="auto"/>
        <w:rPr>
          <w:rFonts w:eastAsia="Times New Roman" w:cs="Arial"/>
          <w:sz w:val="24"/>
          <w:szCs w:val="24"/>
          <w:lang w:eastAsia="bg-BG"/>
        </w:rPr>
      </w:pPr>
      <w:r w:rsidRPr="0088616D">
        <w:rPr>
          <w:rFonts w:eastAsia="Times New Roman" w:cs="Arial"/>
          <w:color w:val="000000"/>
          <w:lang w:eastAsia="bg-BG"/>
        </w:rPr>
        <w:t>Малко вероятно е валсартан да бъде премахнат чрез хемодиализа.</w:t>
      </w:r>
    </w:p>
    <w:p w14:paraId="500303B4" w14:textId="77777777" w:rsidR="0088616D" w:rsidRPr="0088616D" w:rsidRDefault="0088616D" w:rsidP="0088616D"/>
    <w:p w14:paraId="02081B24" w14:textId="36FE76F4" w:rsidR="00395555" w:rsidRPr="00395555" w:rsidRDefault="002C50EE" w:rsidP="008A6AF2">
      <w:pPr>
        <w:pStyle w:val="Heading1"/>
      </w:pPr>
      <w:r>
        <w:lastRenderedPageBreak/>
        <w:t>5. ФАРМАКОЛОГИЧНИ СВОЙСТВА</w:t>
      </w:r>
    </w:p>
    <w:p w14:paraId="3B9FA2B5" w14:textId="093C4C3C" w:rsidR="00EE6C97" w:rsidRDefault="002C50EE" w:rsidP="00A93499">
      <w:pPr>
        <w:pStyle w:val="Heading2"/>
      </w:pPr>
      <w:r>
        <w:t>5.1. Фармакодинамични свойства</w:t>
      </w:r>
    </w:p>
    <w:p w14:paraId="69455164" w14:textId="235060FE" w:rsidR="00C27151" w:rsidRDefault="00C27151" w:rsidP="00C27151"/>
    <w:p w14:paraId="5BF6265F" w14:textId="72F70EB6"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 xml:space="preserve">Фармакотерапевтична група: Агенти, действащи върху ренин-ангиотензиновата система, ангиотензин </w:t>
      </w:r>
      <w:r w:rsidRPr="00C27151">
        <w:rPr>
          <w:rFonts w:eastAsia="Times New Roman" w:cs="Arial"/>
          <w:color w:val="000000"/>
          <w:lang w:val="en-US" w:eastAsia="bg-BG"/>
        </w:rPr>
        <w:t>II</w:t>
      </w:r>
      <w:r w:rsidRPr="00C27151">
        <w:rPr>
          <w:rFonts w:eastAsia="Times New Roman" w:cs="Arial"/>
          <w:color w:val="000000"/>
          <w:lang w:eastAsia="bg-BG"/>
        </w:rPr>
        <w:t xml:space="preserve"> рецепторни антагонисти, АТС код: С09СА03</w:t>
      </w:r>
    </w:p>
    <w:p w14:paraId="26C9DC22" w14:textId="77777777" w:rsidR="00C27151" w:rsidRPr="00C27151" w:rsidRDefault="00C27151" w:rsidP="00C27151">
      <w:pPr>
        <w:spacing w:line="240" w:lineRule="auto"/>
        <w:rPr>
          <w:rFonts w:eastAsia="Times New Roman" w:cs="Arial"/>
          <w:color w:val="000000"/>
          <w:lang w:eastAsia="bg-BG"/>
        </w:rPr>
      </w:pPr>
    </w:p>
    <w:p w14:paraId="0D2AFD61" w14:textId="5518783F"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 xml:space="preserve">Валсартан е перорално активен, мощен и специфичен ангиотензин </w:t>
      </w:r>
      <w:r w:rsidRPr="00C27151">
        <w:rPr>
          <w:rFonts w:eastAsia="Times New Roman" w:cs="Arial"/>
          <w:color w:val="000000"/>
          <w:lang w:val="en-US"/>
        </w:rPr>
        <w:t>II</w:t>
      </w:r>
      <w:r w:rsidRPr="00C27151">
        <w:rPr>
          <w:rFonts w:eastAsia="Times New Roman" w:cs="Arial"/>
          <w:color w:val="000000"/>
          <w:lang w:eastAsia="bg-BG"/>
        </w:rPr>
        <w:t xml:space="preserve"> рецепторен антагонист. Той действа селективно върху </w:t>
      </w:r>
      <w:r w:rsidRPr="00C27151">
        <w:rPr>
          <w:rFonts w:eastAsia="Times New Roman" w:cs="Arial"/>
          <w:color w:val="000000"/>
          <w:lang w:val="en-US"/>
        </w:rPr>
        <w:t>AT</w:t>
      </w:r>
      <w:r w:rsidRPr="00C27151">
        <w:rPr>
          <w:rFonts w:eastAsia="Times New Roman" w:cs="Arial"/>
          <w:color w:val="000000"/>
          <w:vertAlign w:val="subscript"/>
          <w:lang w:val="en-US"/>
        </w:rPr>
        <w:t>1</w:t>
      </w:r>
      <w:r w:rsidRPr="00C27151">
        <w:rPr>
          <w:rFonts w:eastAsia="Times New Roman" w:cs="Arial"/>
          <w:color w:val="000000"/>
          <w:lang w:val="en-US"/>
        </w:rPr>
        <w:t xml:space="preserve"> </w:t>
      </w:r>
      <w:r w:rsidRPr="00C27151">
        <w:rPr>
          <w:rFonts w:eastAsia="Times New Roman" w:cs="Arial"/>
          <w:color w:val="000000"/>
          <w:lang w:eastAsia="bg-BG"/>
        </w:rPr>
        <w:t xml:space="preserve">рецепторния подтип, който е отговорен за известните действия на ангиотензин </w:t>
      </w:r>
      <w:r w:rsidRPr="00C27151">
        <w:rPr>
          <w:rFonts w:eastAsia="Times New Roman" w:cs="Arial"/>
          <w:color w:val="000000"/>
          <w:lang w:val="en-US"/>
        </w:rPr>
        <w:t>II</w:t>
      </w:r>
      <w:r w:rsidRPr="00C27151">
        <w:rPr>
          <w:rFonts w:eastAsia="Times New Roman" w:cs="Arial"/>
          <w:color w:val="000000"/>
          <w:lang w:eastAsia="bg-BG"/>
        </w:rPr>
        <w:t xml:space="preserve">. Повишените плазмени нива на Ангиотензин </w:t>
      </w:r>
      <w:r w:rsidRPr="00C27151">
        <w:rPr>
          <w:rFonts w:eastAsia="Times New Roman" w:cs="Arial"/>
          <w:color w:val="000000"/>
          <w:lang w:val="en-US"/>
        </w:rPr>
        <w:t>II</w:t>
      </w:r>
      <w:r w:rsidRPr="00C27151">
        <w:rPr>
          <w:rFonts w:eastAsia="Times New Roman" w:cs="Arial"/>
          <w:color w:val="000000"/>
          <w:lang w:eastAsia="bg-BG"/>
        </w:rPr>
        <w:t xml:space="preserve"> след блокада на </w:t>
      </w:r>
      <w:r w:rsidRPr="00C27151">
        <w:rPr>
          <w:rFonts w:eastAsia="Times New Roman" w:cs="Arial"/>
          <w:color w:val="000000"/>
          <w:lang w:val="en-US"/>
        </w:rPr>
        <w:t>AT</w:t>
      </w:r>
      <w:r w:rsidRPr="00C27151">
        <w:rPr>
          <w:rFonts w:eastAsia="Times New Roman" w:cs="Arial"/>
          <w:color w:val="000000"/>
          <w:vertAlign w:val="subscript"/>
          <w:lang w:val="en-US"/>
        </w:rPr>
        <w:t>1</w:t>
      </w:r>
      <w:r w:rsidRPr="00C27151">
        <w:rPr>
          <w:rFonts w:eastAsia="Times New Roman" w:cs="Arial"/>
          <w:color w:val="000000"/>
          <w:lang w:val="en-US"/>
        </w:rPr>
        <w:t xml:space="preserve"> </w:t>
      </w:r>
      <w:r w:rsidRPr="00C27151">
        <w:rPr>
          <w:rFonts w:eastAsia="Times New Roman" w:cs="Arial"/>
          <w:color w:val="000000"/>
          <w:lang w:eastAsia="bg-BG"/>
        </w:rPr>
        <w:t>рецептора с валсартан може да стимулира отблокирания АТ</w:t>
      </w:r>
      <w:r w:rsidRPr="00C27151">
        <w:rPr>
          <w:rFonts w:eastAsia="Times New Roman" w:cs="Arial"/>
          <w:color w:val="000000"/>
          <w:vertAlign w:val="subscript"/>
          <w:lang w:eastAsia="bg-BG"/>
        </w:rPr>
        <w:t>2</w:t>
      </w:r>
      <w:r w:rsidRPr="00C27151">
        <w:rPr>
          <w:rFonts w:eastAsia="Times New Roman" w:cs="Arial"/>
          <w:color w:val="000000"/>
          <w:lang w:eastAsia="bg-BG"/>
        </w:rPr>
        <w:t xml:space="preserve"> рецептор, който балансира ефекта на АТ</w:t>
      </w:r>
      <w:r w:rsidRPr="00C27151">
        <w:rPr>
          <w:rFonts w:eastAsia="Times New Roman" w:cs="Arial"/>
          <w:color w:val="000000"/>
          <w:vertAlign w:val="subscript"/>
          <w:lang w:eastAsia="bg-BG"/>
        </w:rPr>
        <w:t>1</w:t>
      </w:r>
      <w:r w:rsidRPr="00C27151">
        <w:rPr>
          <w:rFonts w:eastAsia="Times New Roman" w:cs="Arial"/>
          <w:color w:val="000000"/>
          <w:lang w:eastAsia="bg-BG"/>
        </w:rPr>
        <w:t xml:space="preserve"> рецептора. Валсартан не проявява никаква частична агонистична активност спрямо </w:t>
      </w:r>
      <w:r w:rsidRPr="00C27151">
        <w:rPr>
          <w:rFonts w:eastAsia="Times New Roman" w:cs="Arial"/>
          <w:color w:val="000000"/>
          <w:lang w:val="en-US"/>
        </w:rPr>
        <w:t>AT</w:t>
      </w:r>
      <w:r w:rsidRPr="00C27151">
        <w:rPr>
          <w:rFonts w:eastAsia="Times New Roman" w:cs="Arial"/>
          <w:color w:val="000000"/>
          <w:vertAlign w:val="subscript"/>
          <w:lang w:val="en-US"/>
        </w:rPr>
        <w:t>1</w:t>
      </w:r>
      <w:r w:rsidRPr="00C27151">
        <w:rPr>
          <w:rFonts w:eastAsia="Times New Roman" w:cs="Arial"/>
          <w:color w:val="000000"/>
          <w:lang w:val="en-US"/>
        </w:rPr>
        <w:t xml:space="preserve"> </w:t>
      </w:r>
      <w:r w:rsidRPr="00C27151">
        <w:rPr>
          <w:rFonts w:eastAsia="Times New Roman" w:cs="Arial"/>
          <w:color w:val="000000"/>
          <w:lang w:eastAsia="bg-BG"/>
        </w:rPr>
        <w:t>рецептора и има значително (около 20 000 пъти) по-голям афинитет към АТ</w:t>
      </w:r>
      <w:r w:rsidRPr="00C27151">
        <w:rPr>
          <w:rFonts w:eastAsia="Times New Roman" w:cs="Arial"/>
          <w:color w:val="000000"/>
          <w:vertAlign w:val="subscript"/>
          <w:lang w:eastAsia="bg-BG"/>
        </w:rPr>
        <w:t>1</w:t>
      </w:r>
      <w:r w:rsidRPr="00C27151">
        <w:rPr>
          <w:rFonts w:eastAsia="Times New Roman" w:cs="Arial"/>
          <w:color w:val="000000"/>
          <w:lang w:eastAsia="bg-BG"/>
        </w:rPr>
        <w:t xml:space="preserve"> рецептора отколкото към АТ</w:t>
      </w:r>
      <w:r w:rsidRPr="00C27151">
        <w:rPr>
          <w:rFonts w:eastAsia="Times New Roman" w:cs="Arial"/>
          <w:color w:val="000000"/>
          <w:vertAlign w:val="subscript"/>
          <w:lang w:eastAsia="bg-BG"/>
        </w:rPr>
        <w:t>2</w:t>
      </w:r>
      <w:r w:rsidRPr="00C27151">
        <w:rPr>
          <w:rFonts w:eastAsia="Times New Roman" w:cs="Arial"/>
          <w:color w:val="000000"/>
          <w:lang w:eastAsia="bg-BG"/>
        </w:rPr>
        <w:t xml:space="preserve"> рецептора. Не е известно валсартан да се свързва или да блокира други хормонални рецептори или йонни канали, важни за сърдечно-съдовата регулация.</w:t>
      </w:r>
    </w:p>
    <w:p w14:paraId="4547372C"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 xml:space="preserve">Валсартан не инхибира ангиотензин-конвертиращия ензим (също познат като киназа </w:t>
      </w:r>
      <w:r w:rsidRPr="00C27151">
        <w:rPr>
          <w:rFonts w:eastAsia="Times New Roman" w:cs="Arial"/>
          <w:color w:val="000000"/>
          <w:lang w:val="en-US"/>
        </w:rPr>
        <w:t>II</w:t>
      </w:r>
      <w:r w:rsidRPr="00C27151">
        <w:rPr>
          <w:rFonts w:eastAsia="Times New Roman" w:cs="Arial"/>
          <w:color w:val="000000"/>
          <w:lang w:eastAsia="bg-BG"/>
        </w:rPr>
        <w:t xml:space="preserve">), който конвертира Ангиотензин I в Ангиотензин </w:t>
      </w:r>
      <w:r w:rsidRPr="00C27151">
        <w:rPr>
          <w:rFonts w:eastAsia="Times New Roman" w:cs="Arial"/>
          <w:color w:val="000000"/>
          <w:lang w:val="en-US"/>
        </w:rPr>
        <w:t>II</w:t>
      </w:r>
      <w:r w:rsidRPr="00C27151">
        <w:rPr>
          <w:rFonts w:eastAsia="Times New Roman" w:cs="Arial"/>
          <w:color w:val="000000"/>
          <w:lang w:eastAsia="bg-BG"/>
        </w:rPr>
        <w:t xml:space="preserve"> и разгражда брадикинина. Тъй като няма никакъв ефект върху АКЕ и никаква потенциация на брадикинин или Р субстанция, ангиотензин </w:t>
      </w:r>
      <w:r w:rsidRPr="00C27151">
        <w:rPr>
          <w:rFonts w:eastAsia="Times New Roman" w:cs="Arial"/>
          <w:color w:val="000000"/>
          <w:lang w:val="en-US"/>
        </w:rPr>
        <w:t>II</w:t>
      </w:r>
      <w:r w:rsidRPr="00C27151">
        <w:rPr>
          <w:rFonts w:eastAsia="Times New Roman" w:cs="Arial"/>
          <w:color w:val="000000"/>
          <w:lang w:eastAsia="bg-BG"/>
        </w:rPr>
        <w:t xml:space="preserve"> антагонистите е малко вероятно да бъдат свързани с кашлица. При клинично проучване, при което валсартан е сравнен с АСЕ-инхибитор, изявата на суха кашлица е била значимо (р&lt;0.05) по-малка при пациентите, лекувани с валсартан, в сравнение с тези, лекувани с АСЕ-инхибитор (2.6% срещу 7.9% респективно). При клинично проучване при пациенти с анамнеза за суха кашлица по време на лечение с АСЕ-инхибитор, 19.5% от субектите, лекувани с валсартан, и 19.0% от тези, лекувани с тиазиден диуретик са получили кашлица в сравнение с 68.5% при тези, лекувани с АСЕ-инхибитор (р&lt;0.05).</w:t>
      </w:r>
    </w:p>
    <w:p w14:paraId="4BF561DA" w14:textId="77777777" w:rsidR="00C27151" w:rsidRPr="00C27151" w:rsidRDefault="00C27151" w:rsidP="00C27151">
      <w:pPr>
        <w:spacing w:line="240" w:lineRule="auto"/>
        <w:rPr>
          <w:rFonts w:eastAsia="Times New Roman" w:cs="Arial"/>
          <w:color w:val="000000"/>
          <w:u w:val="single"/>
          <w:lang w:eastAsia="bg-BG"/>
        </w:rPr>
      </w:pPr>
    </w:p>
    <w:p w14:paraId="581C7105" w14:textId="017DA37B" w:rsidR="00C27151" w:rsidRPr="00C27151" w:rsidRDefault="00C27151" w:rsidP="00C27151">
      <w:pPr>
        <w:spacing w:line="240" w:lineRule="auto"/>
        <w:rPr>
          <w:rFonts w:eastAsia="Times New Roman" w:cs="Arial"/>
          <w:lang w:eastAsia="bg-BG"/>
        </w:rPr>
      </w:pPr>
      <w:r w:rsidRPr="00C27151">
        <w:rPr>
          <w:rFonts w:eastAsia="Times New Roman" w:cs="Arial"/>
          <w:color w:val="000000"/>
          <w:u w:val="single"/>
          <w:lang w:eastAsia="bg-BG"/>
        </w:rPr>
        <w:t>Хипертония</w:t>
      </w:r>
    </w:p>
    <w:p w14:paraId="5628A515"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Приемът на валсартан от пациенти с хипертония има за резултат понижаване на артериалното налягане без да се засегне честотата на пулса.</w:t>
      </w:r>
    </w:p>
    <w:p w14:paraId="7051EF6B"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При повечето пациенти след прием на единична доза перорално, началото на антихипертензивното действие е след 2 часа, а пикът на намаляване на артериалното налягане се достига след 4-6 часа. Антихипертензивният ефект продължава над 24 часа след прием. При многократно приложение антихипертензивният ефект е значителен след 2 седмици, а максималните ефекти се постигат в рамките на 4 седмици и се запазват при продължителна терапия. В комбинация с хидрохлоротиазид се наблюдава допълнително съществено понижение на артериалното налягане.</w:t>
      </w:r>
    </w:p>
    <w:p w14:paraId="125ABF14"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Внезапното преустановяване приема на валсартан не се свързва с възобновяване на хипертонията или други нежелани клинични събития.</w:t>
      </w:r>
    </w:p>
    <w:p w14:paraId="59EF049C" w14:textId="77777777" w:rsidR="00C27151" w:rsidRPr="00C27151" w:rsidRDefault="00C27151" w:rsidP="00C27151">
      <w:pPr>
        <w:rPr>
          <w:rFonts w:eastAsia="Times New Roman" w:cs="Arial"/>
          <w:lang w:eastAsia="bg-BG"/>
        </w:rPr>
      </w:pPr>
      <w:r w:rsidRPr="00C27151">
        <w:rPr>
          <w:rFonts w:eastAsia="Times New Roman" w:cs="Arial"/>
          <w:color w:val="000000"/>
          <w:lang w:eastAsia="bg-BG"/>
        </w:rPr>
        <w:t xml:space="preserve">При хипертонични пациенти с диабет тип 2 и микроалбуминурия, валсартан е показал намаляване на уриината екскреция на албумин. Проучването </w:t>
      </w:r>
      <w:r w:rsidRPr="00C27151">
        <w:rPr>
          <w:rFonts w:eastAsia="Times New Roman" w:cs="Arial"/>
          <w:color w:val="000000"/>
          <w:lang w:val="en-US"/>
        </w:rPr>
        <w:t xml:space="preserve">MARVAL (Micro Albuminuria Reduction with Valsartan) </w:t>
      </w:r>
      <w:r w:rsidRPr="00C27151">
        <w:rPr>
          <w:rFonts w:eastAsia="Times New Roman" w:cs="Arial"/>
          <w:color w:val="000000"/>
          <w:lang w:eastAsia="bg-BG"/>
        </w:rPr>
        <w:t xml:space="preserve">оценява намаляването на албумин екскрецията чрез урината при употребата на </w:t>
      </w:r>
      <w:r w:rsidRPr="00C27151">
        <w:rPr>
          <w:rFonts w:eastAsia="Times New Roman" w:cs="Arial"/>
          <w:color w:val="000000"/>
          <w:u w:val="single"/>
          <w:lang w:eastAsia="bg-BG"/>
        </w:rPr>
        <w:t>вал</w:t>
      </w:r>
      <w:r w:rsidRPr="00C27151">
        <w:rPr>
          <w:rFonts w:eastAsia="Times New Roman" w:cs="Arial"/>
          <w:color w:val="000000"/>
          <w:lang w:eastAsia="bg-BG"/>
        </w:rPr>
        <w:t xml:space="preserve">сартан (80-160 </w:t>
      </w:r>
      <w:r w:rsidRPr="00C27151">
        <w:rPr>
          <w:rFonts w:eastAsia="Times New Roman" w:cs="Arial"/>
          <w:color w:val="000000"/>
          <w:lang w:val="en-US"/>
        </w:rPr>
        <w:t xml:space="preserve">mg/od) </w:t>
      </w:r>
      <w:r w:rsidRPr="00C27151">
        <w:rPr>
          <w:rFonts w:eastAsia="Times New Roman" w:cs="Arial"/>
          <w:color w:val="000000"/>
          <w:lang w:eastAsia="bg-BG"/>
        </w:rPr>
        <w:t xml:space="preserve">срещу амлодипин </w:t>
      </w:r>
      <w:r w:rsidRPr="00C27151">
        <w:rPr>
          <w:rFonts w:eastAsia="Times New Roman" w:cs="Arial"/>
          <w:color w:val="000000"/>
          <w:lang w:val="en-US"/>
        </w:rPr>
        <w:t xml:space="preserve">(5-10 mg/od) </w:t>
      </w:r>
      <w:r w:rsidRPr="00C27151">
        <w:rPr>
          <w:rFonts w:eastAsia="Times New Roman" w:cs="Arial"/>
          <w:color w:val="000000"/>
          <w:lang w:eastAsia="bg-BG"/>
        </w:rPr>
        <w:t>при 332 пациента с диабет тип 2 (средния възраст: 58 години; 265 мъже), с микроалбуминурия (валсартан: 58 μ</w:t>
      </w:r>
      <w:r w:rsidRPr="00C27151">
        <w:rPr>
          <w:rFonts w:eastAsia="Times New Roman" w:cs="Arial"/>
          <w:color w:val="000000"/>
          <w:lang w:val="en-US"/>
        </w:rPr>
        <w:t xml:space="preserve">g/min; </w:t>
      </w:r>
      <w:r w:rsidRPr="00C27151">
        <w:rPr>
          <w:rFonts w:eastAsia="Times New Roman" w:cs="Arial"/>
          <w:color w:val="000000"/>
          <w:lang w:eastAsia="bg-BG"/>
        </w:rPr>
        <w:t>амлодипин; 55.4 μ</w:t>
      </w:r>
      <w:r w:rsidRPr="00C27151">
        <w:rPr>
          <w:rFonts w:eastAsia="Times New Roman" w:cs="Arial"/>
          <w:color w:val="000000"/>
          <w:lang w:val="en-US"/>
        </w:rPr>
        <w:t xml:space="preserve">g/min), </w:t>
      </w:r>
      <w:r w:rsidRPr="00C27151">
        <w:rPr>
          <w:rFonts w:eastAsia="Times New Roman" w:cs="Arial"/>
          <w:color w:val="000000"/>
          <w:lang w:eastAsia="bg-BG"/>
        </w:rPr>
        <w:t>с нормално или повишено артериално налягане и със съхранена бъбречна функция (креатинин&lt;120 μ</w:t>
      </w:r>
      <w:r w:rsidRPr="00C27151">
        <w:rPr>
          <w:rFonts w:eastAsia="Times New Roman" w:cs="Arial"/>
          <w:color w:val="000000"/>
          <w:lang w:val="en-US"/>
        </w:rPr>
        <w:t>mol</w:t>
      </w:r>
      <w:r w:rsidRPr="00C27151">
        <w:rPr>
          <w:rFonts w:eastAsia="Times New Roman" w:cs="Arial"/>
          <w:color w:val="000000"/>
          <w:lang w:eastAsia="bg-BG"/>
        </w:rPr>
        <w:t>/</w:t>
      </w:r>
      <w:r w:rsidRPr="00C27151">
        <w:rPr>
          <w:rFonts w:eastAsia="Times New Roman" w:cs="Arial"/>
          <w:color w:val="000000"/>
          <w:lang w:val="en-US"/>
        </w:rPr>
        <w:t>l</w:t>
      </w:r>
      <w:r w:rsidRPr="00C27151">
        <w:rPr>
          <w:rFonts w:eastAsia="Times New Roman" w:cs="Arial"/>
          <w:color w:val="000000"/>
          <w:lang w:eastAsia="bg-BG"/>
        </w:rPr>
        <w:t>). На 24-тата седмица екскрецията на албумин е намалена (р&lt;0.001) с 42% (-24.2</w:t>
      </w:r>
      <w:r w:rsidRPr="00C27151">
        <w:rPr>
          <w:rFonts w:eastAsia="Times New Roman" w:cs="Arial"/>
          <w:color w:val="000000"/>
          <w:lang w:val="en-US"/>
        </w:rPr>
        <w:t xml:space="preserve"> </w:t>
      </w:r>
      <w:r w:rsidRPr="00C27151">
        <w:rPr>
          <w:rFonts w:eastAsia="Times New Roman" w:cs="Arial"/>
          <w:color w:val="000000"/>
          <w:lang w:eastAsia="bg-BG"/>
        </w:rPr>
        <w:t>μ</w:t>
      </w:r>
      <w:r w:rsidRPr="00C27151">
        <w:rPr>
          <w:rFonts w:eastAsia="Times New Roman" w:cs="Arial"/>
          <w:color w:val="000000"/>
          <w:lang w:val="en-US"/>
        </w:rPr>
        <w:t>g/min;</w:t>
      </w:r>
      <w:r w:rsidRPr="00C27151">
        <w:rPr>
          <w:rFonts w:eastAsia="Times New Roman" w:cs="Arial"/>
          <w:color w:val="000000"/>
          <w:lang w:val="en-US"/>
        </w:rPr>
        <w:t xml:space="preserve"> </w:t>
      </w:r>
      <w:r w:rsidRPr="00C27151">
        <w:rPr>
          <w:rFonts w:eastAsia="Times New Roman" w:cs="Arial"/>
          <w:color w:val="000000"/>
          <w:lang w:eastAsia="bg-BG"/>
        </w:rPr>
        <w:t xml:space="preserve">95% </w:t>
      </w:r>
      <w:r w:rsidRPr="00C27151">
        <w:rPr>
          <w:rFonts w:eastAsia="Times New Roman" w:cs="Arial"/>
          <w:color w:val="000000"/>
          <w:lang w:val="en-US"/>
        </w:rPr>
        <w:t xml:space="preserve">CI: -40.4 </w:t>
      </w:r>
      <w:r w:rsidRPr="00C27151">
        <w:rPr>
          <w:rFonts w:eastAsia="Times New Roman" w:cs="Arial"/>
          <w:color w:val="000000"/>
          <w:lang w:eastAsia="bg-BG"/>
        </w:rPr>
        <w:t xml:space="preserve">до </w:t>
      </w:r>
      <w:r w:rsidRPr="00C27151">
        <w:rPr>
          <w:rFonts w:eastAsia="Times New Roman" w:cs="Arial"/>
          <w:color w:val="000000"/>
          <w:lang w:val="en-US"/>
        </w:rPr>
        <w:t xml:space="preserve">-19.1) </w:t>
      </w:r>
      <w:r w:rsidRPr="00C27151">
        <w:rPr>
          <w:rFonts w:eastAsia="Times New Roman" w:cs="Arial"/>
          <w:color w:val="000000"/>
          <w:lang w:eastAsia="bg-BG"/>
        </w:rPr>
        <w:t xml:space="preserve">при валсартан и приблизително с 3% (-1.7 </w:t>
      </w:r>
      <w:proofErr w:type="spellStart"/>
      <w:r w:rsidRPr="00C27151">
        <w:rPr>
          <w:rFonts w:eastAsia="Times New Roman" w:cs="Arial"/>
          <w:color w:val="000000"/>
          <w:lang w:val="en-US"/>
        </w:rPr>
        <w:t>pg</w:t>
      </w:r>
      <w:proofErr w:type="spellEnd"/>
      <w:r w:rsidRPr="00C27151">
        <w:rPr>
          <w:rFonts w:eastAsia="Times New Roman" w:cs="Arial"/>
          <w:color w:val="000000"/>
          <w:lang w:val="en-US"/>
        </w:rPr>
        <w:t xml:space="preserve">/min; </w:t>
      </w:r>
      <w:r w:rsidRPr="00C27151">
        <w:rPr>
          <w:rFonts w:eastAsia="Times New Roman" w:cs="Arial"/>
          <w:color w:val="000000"/>
          <w:lang w:eastAsia="bg-BG"/>
        </w:rPr>
        <w:t xml:space="preserve">95% </w:t>
      </w:r>
      <w:r w:rsidRPr="00C27151">
        <w:rPr>
          <w:rFonts w:eastAsia="Times New Roman" w:cs="Arial"/>
          <w:color w:val="000000"/>
          <w:lang w:val="en-US"/>
        </w:rPr>
        <w:t xml:space="preserve">CI: </w:t>
      </w:r>
      <w:r w:rsidRPr="00C27151">
        <w:rPr>
          <w:rFonts w:eastAsia="Times New Roman" w:cs="Arial"/>
          <w:color w:val="000000"/>
          <w:lang w:eastAsia="bg-BG"/>
        </w:rPr>
        <w:t>-5.6 до 14.9) при амлодипин, въпреки сходните нива на понижаване на артериалното налягане при двете групи.</w:t>
      </w:r>
    </w:p>
    <w:p w14:paraId="4190C01F"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lastRenderedPageBreak/>
        <w:t xml:space="preserve">Проучването </w:t>
      </w:r>
      <w:r w:rsidRPr="00C27151">
        <w:rPr>
          <w:rFonts w:eastAsia="Times New Roman" w:cs="Arial"/>
          <w:color w:val="000000"/>
          <w:lang w:val="en-US"/>
        </w:rPr>
        <w:t xml:space="preserve">DROP </w:t>
      </w:r>
      <w:r w:rsidRPr="00C27151">
        <w:rPr>
          <w:rFonts w:eastAsia="Times New Roman" w:cs="Arial"/>
          <w:color w:val="000000"/>
          <w:lang w:eastAsia="bg-BG"/>
        </w:rPr>
        <w:t xml:space="preserve">допълнително изследва ефикасността на валсартан за понижаване на албумин екскрецията при 391 хипертензивни пациента (ВР=150/88 </w:t>
      </w:r>
      <w:r w:rsidRPr="00C27151">
        <w:rPr>
          <w:rFonts w:eastAsia="Times New Roman" w:cs="Arial"/>
          <w:color w:val="000000"/>
          <w:lang w:val="en-US"/>
        </w:rPr>
        <w:t xml:space="preserve">mmHg) </w:t>
      </w:r>
      <w:r w:rsidRPr="00C27151">
        <w:rPr>
          <w:rFonts w:eastAsia="Times New Roman" w:cs="Arial"/>
          <w:color w:val="000000"/>
          <w:lang w:eastAsia="bg-BG"/>
        </w:rPr>
        <w:t xml:space="preserve">с диабет тип 2, албуминурия (средно=102 </w:t>
      </w:r>
      <w:r w:rsidRPr="00C27151">
        <w:rPr>
          <w:rFonts w:eastAsia="Times New Roman" w:cs="Arial"/>
          <w:color w:val="000000"/>
          <w:lang w:val="en-US"/>
        </w:rPr>
        <w:t xml:space="preserve">jig/min; </w:t>
      </w:r>
      <w:r w:rsidRPr="00C27151">
        <w:rPr>
          <w:rFonts w:eastAsia="Times New Roman" w:cs="Arial"/>
          <w:color w:val="000000"/>
          <w:lang w:eastAsia="bg-BG"/>
        </w:rPr>
        <w:t xml:space="preserve">20-700 </w:t>
      </w:r>
      <w:r w:rsidRPr="00C27151">
        <w:rPr>
          <w:rFonts w:eastAsia="Times New Roman" w:cs="Arial"/>
          <w:color w:val="000000"/>
          <w:lang w:val="en-US"/>
        </w:rPr>
        <w:t xml:space="preserve">jig/min) </w:t>
      </w:r>
      <w:r w:rsidRPr="00C27151">
        <w:rPr>
          <w:rFonts w:eastAsia="Times New Roman" w:cs="Arial"/>
          <w:color w:val="000000"/>
          <w:lang w:eastAsia="bg-BG"/>
        </w:rPr>
        <w:t xml:space="preserve">и съхранена бъбречна функция (среден серумен креатинин = 80 ц то 1/1). Пациентите са били рандомизирани на една от 3 дози валсартан (160, 320 и 640 </w:t>
      </w:r>
      <w:r w:rsidRPr="00C27151">
        <w:rPr>
          <w:rFonts w:eastAsia="Times New Roman" w:cs="Arial"/>
          <w:color w:val="000000"/>
          <w:lang w:val="en-US"/>
        </w:rPr>
        <w:t xml:space="preserve">mg/od) </w:t>
      </w:r>
      <w:r w:rsidRPr="00C27151">
        <w:rPr>
          <w:rFonts w:eastAsia="Times New Roman" w:cs="Arial"/>
          <w:color w:val="000000"/>
          <w:lang w:eastAsia="bg-BG"/>
        </w:rPr>
        <w:t xml:space="preserve">и са били лекувани в продължение на 30 седмици. Целта на проучването е била да установи оптималната доза валсартан за редуциране на албумин екскрецията при пациенти с хипертония и диабет тип 2. На 30-тата седмица процентната промяна в албумин екскрецията е намалена с 36% от изходните данни с валсартан 160 </w:t>
      </w:r>
      <w:r w:rsidRPr="00C27151">
        <w:rPr>
          <w:rFonts w:eastAsia="Times New Roman" w:cs="Arial"/>
          <w:color w:val="000000"/>
          <w:lang w:val="en-US"/>
        </w:rPr>
        <w:t xml:space="preserve">mg </w:t>
      </w:r>
      <w:r w:rsidRPr="00C27151">
        <w:rPr>
          <w:rFonts w:eastAsia="Times New Roman" w:cs="Arial"/>
          <w:color w:val="000000"/>
          <w:lang w:eastAsia="bg-BG"/>
        </w:rPr>
        <w:t xml:space="preserve">(95%С1: 22 до 47%), и с 44% с валсартан 320 </w:t>
      </w:r>
      <w:r w:rsidRPr="00C27151">
        <w:rPr>
          <w:rFonts w:eastAsia="Times New Roman" w:cs="Arial"/>
          <w:color w:val="000000"/>
          <w:lang w:val="en-US"/>
        </w:rPr>
        <w:t xml:space="preserve">mg </w:t>
      </w:r>
      <w:r w:rsidRPr="00C27151">
        <w:rPr>
          <w:rFonts w:eastAsia="Times New Roman" w:cs="Arial"/>
          <w:color w:val="000000"/>
          <w:lang w:eastAsia="bg-BG"/>
        </w:rPr>
        <w:t xml:space="preserve">(95%С1: 31 до 54%). Заключено е, че 160-320 </w:t>
      </w:r>
      <w:r w:rsidRPr="00C27151">
        <w:rPr>
          <w:rFonts w:eastAsia="Times New Roman" w:cs="Arial"/>
          <w:color w:val="000000"/>
          <w:lang w:val="en-US"/>
        </w:rPr>
        <w:t xml:space="preserve">mg </w:t>
      </w:r>
      <w:r w:rsidRPr="00C27151">
        <w:rPr>
          <w:rFonts w:eastAsia="Times New Roman" w:cs="Arial"/>
          <w:color w:val="000000"/>
          <w:lang w:eastAsia="bg-BG"/>
        </w:rPr>
        <w:t>валсартан водят до клинично значимо понижаване на албумин екскрецията при пациенти с хипертония и диабет тип 2.</w:t>
      </w:r>
    </w:p>
    <w:p w14:paraId="0DEAB526" w14:textId="77777777" w:rsidR="00C27151" w:rsidRPr="00C27151" w:rsidRDefault="00C27151" w:rsidP="00C27151">
      <w:pPr>
        <w:spacing w:line="240" w:lineRule="auto"/>
        <w:rPr>
          <w:rFonts w:eastAsia="Times New Roman" w:cs="Arial"/>
          <w:color w:val="000000"/>
          <w:u w:val="single"/>
          <w:lang w:eastAsia="bg-BG"/>
        </w:rPr>
      </w:pPr>
    </w:p>
    <w:p w14:paraId="69272ADE" w14:textId="15F90969" w:rsidR="00C27151" w:rsidRPr="00C27151" w:rsidRDefault="00C27151" w:rsidP="00C27151">
      <w:pPr>
        <w:spacing w:line="240" w:lineRule="auto"/>
        <w:rPr>
          <w:rFonts w:eastAsia="Times New Roman" w:cs="Arial"/>
          <w:lang w:eastAsia="bg-BG"/>
        </w:rPr>
      </w:pPr>
      <w:r w:rsidRPr="00C27151">
        <w:rPr>
          <w:rFonts w:eastAsia="Times New Roman" w:cs="Arial"/>
          <w:color w:val="000000"/>
          <w:u w:val="single"/>
          <w:lang w:eastAsia="bg-BG"/>
        </w:rPr>
        <w:t>Скорошен инфаркт на миокарда</w:t>
      </w:r>
    </w:p>
    <w:p w14:paraId="1EA47D0A"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 xml:space="preserve">Проучването </w:t>
      </w:r>
      <w:r w:rsidRPr="00C27151">
        <w:rPr>
          <w:rFonts w:eastAsia="Times New Roman" w:cs="Arial"/>
          <w:color w:val="000000"/>
          <w:lang w:val="en-US"/>
        </w:rPr>
        <w:t xml:space="preserve">VALIANT (The </w:t>
      </w:r>
      <w:proofErr w:type="spellStart"/>
      <w:r w:rsidRPr="00C27151">
        <w:rPr>
          <w:rFonts w:eastAsia="Times New Roman" w:cs="Arial"/>
          <w:color w:val="000000"/>
          <w:lang w:val="en-US"/>
        </w:rPr>
        <w:t>VALsartan</w:t>
      </w:r>
      <w:proofErr w:type="spellEnd"/>
      <w:r w:rsidRPr="00C27151">
        <w:rPr>
          <w:rFonts w:eastAsia="Times New Roman" w:cs="Arial"/>
          <w:color w:val="000000"/>
          <w:lang w:val="en-US"/>
        </w:rPr>
        <w:t xml:space="preserve"> In Acute myocardial </w:t>
      </w:r>
      <w:proofErr w:type="spellStart"/>
      <w:r w:rsidRPr="00C27151">
        <w:rPr>
          <w:rFonts w:eastAsia="Times New Roman" w:cs="Arial"/>
          <w:color w:val="000000"/>
          <w:lang w:val="en-US"/>
        </w:rPr>
        <w:t>iNfarcTion</w:t>
      </w:r>
      <w:proofErr w:type="spellEnd"/>
      <w:r w:rsidRPr="00C27151">
        <w:rPr>
          <w:rFonts w:eastAsia="Times New Roman" w:cs="Arial"/>
          <w:color w:val="000000"/>
          <w:lang w:val="en-US"/>
        </w:rPr>
        <w:t xml:space="preserve"> trial) </w:t>
      </w:r>
      <w:r w:rsidRPr="00C27151">
        <w:rPr>
          <w:rFonts w:eastAsia="Times New Roman" w:cs="Arial"/>
          <w:color w:val="000000"/>
          <w:lang w:eastAsia="bg-BG"/>
        </w:rPr>
        <w:t xml:space="preserve">е </w:t>
      </w:r>
      <w:r w:rsidRPr="00C27151">
        <w:rPr>
          <w:rFonts w:eastAsia="Times New Roman" w:cs="Arial"/>
          <w:color w:val="000000"/>
          <w:lang w:val="en-US"/>
        </w:rPr>
        <w:t xml:space="preserve">pa </w:t>
      </w:r>
      <w:r w:rsidRPr="00C27151">
        <w:rPr>
          <w:rFonts w:eastAsia="Times New Roman" w:cs="Arial"/>
          <w:color w:val="000000"/>
          <w:lang w:eastAsia="bg-BG"/>
        </w:rPr>
        <w:t>нд ом из прано, контролирано, мултинационално, двойносляпо проучване при 14 703 пациента с остър инфаркт на миокарда и признаци, симптоми и радиологични доказателства за застойна сърдечна недостатъчност и/ или данни за левокармена систолна дисфункция (проявена като фракция на &lt;40% от радионуклеидната вентрикулография или &lt;35% от ехокардиографията или контрастната вентрикулна ангиография). Пациентите са рандомизирани в рамките на 12 часа до 10 дни след появата на симптомите на инфаркт на миокарда на валсартан, каптоприл или комбинация от двете. Средната продължителност на лечение е била 2 години. Първичната крайна точка е била времето на смъртността по всякакви причини.</w:t>
      </w:r>
    </w:p>
    <w:p w14:paraId="275D9BD0"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Валсартан е показал същата ефикасност като каптоприл при намаляването на смъртността по всякакви причини след инфаркт на миокарда. Общата смъртност е сходна при валсартан (19.9%), каптоприл (19.5%) и валсартан + каптоприл (19.3% ) групите. Комбинирането на валсартан и каптоприл не е довело до допълнителни ползи в сравнение с употребата само на каптоприл. Не е наблюдавана разлика между валсартан и каптоприл при общата смъртност по отношение на възраст, пол, раса, изходни терапии или съпътстващи заболявалия. Валсартан е също ефективен при удължаване на времето за и намаляването на сърдечно-съдовата смъртност, хоспитализацията поради сърдечна недостатъчност, повторен инфаркт на миокарда, повторен сърдечен арест и нефатален инсулт (вторична съставна крайна точка).</w:t>
      </w:r>
    </w:p>
    <w:p w14:paraId="4D2F305C"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Профилът на безопасност на валсартан съответства на клиничната картина на пациентите, лекувани след инфаркт на миокарда. По отношение на бъбречната функция е наблюдавано двойно увеличение на серумния креатинин при 4.2% от пациентите, лекувани с валсартан, 4.8 % от пациентите, лекувани с валсартан + каптоприл, и 3.4% от пациентите, лекувани с каптоприл. Преустановяване на лечението поради различни видове бъбречна дисфункция се е наложило при 1.1% от пациентите, лекувани с валсартан, 1.3% при пациентите, лекувани с валсартан + каптоприл, и 0.8% от пациентите, лекувани с каптоприл. В оценката на пациентите с пост-миокарден инфаркт трябва да бъде включена и оценка на бъбречната функция.</w:t>
      </w:r>
    </w:p>
    <w:p w14:paraId="265F234C"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Не е наблюдавана разлика при общата смъртност, сърдечно-съдовата смъртност или заболеваемост, когато едновременно са приемани бета-блокери с комбинацията валсартан + каптоприл, само с валсартан или само с каптоприл. Независимо от лечението, смъртността е била по-ниска в групата пациенти, лекувани с бета-блокер, което предполага, че известната полза от бета-блокерите при тази популация се наблюдава и при това проучване.</w:t>
      </w:r>
    </w:p>
    <w:p w14:paraId="6C03A5F2" w14:textId="77777777" w:rsidR="00C27151" w:rsidRPr="00C27151" w:rsidRDefault="00C27151" w:rsidP="00C27151">
      <w:pPr>
        <w:spacing w:line="240" w:lineRule="auto"/>
        <w:rPr>
          <w:rFonts w:eastAsia="Times New Roman" w:cs="Arial"/>
          <w:color w:val="000000"/>
          <w:u w:val="single"/>
          <w:lang w:eastAsia="bg-BG"/>
        </w:rPr>
      </w:pPr>
    </w:p>
    <w:p w14:paraId="2AD9E756" w14:textId="00342888" w:rsidR="00C27151" w:rsidRPr="00C27151" w:rsidRDefault="00C27151" w:rsidP="00C27151">
      <w:pPr>
        <w:spacing w:line="240" w:lineRule="auto"/>
        <w:rPr>
          <w:rFonts w:eastAsia="Times New Roman" w:cs="Arial"/>
          <w:lang w:eastAsia="bg-BG"/>
        </w:rPr>
      </w:pPr>
      <w:r w:rsidRPr="00C27151">
        <w:rPr>
          <w:rFonts w:eastAsia="Times New Roman" w:cs="Arial"/>
          <w:color w:val="000000"/>
          <w:u w:val="single"/>
          <w:lang w:eastAsia="bg-BG"/>
        </w:rPr>
        <w:t>Сърдечна недостатъчност</w:t>
      </w:r>
    </w:p>
    <w:p w14:paraId="5315B980" w14:textId="77777777" w:rsidR="00C27151" w:rsidRPr="00C27151" w:rsidRDefault="00C27151" w:rsidP="00C27151">
      <w:pPr>
        <w:rPr>
          <w:rFonts w:eastAsia="Times New Roman" w:cs="Arial"/>
          <w:lang w:eastAsia="bg-BG"/>
        </w:rPr>
      </w:pPr>
      <w:r w:rsidRPr="00C27151">
        <w:rPr>
          <w:rFonts w:eastAsia="Times New Roman" w:cs="Arial"/>
          <w:color w:val="000000"/>
          <w:lang w:val="en-US"/>
        </w:rPr>
        <w:lastRenderedPageBreak/>
        <w:t>Val-</w:t>
      </w:r>
      <w:proofErr w:type="spellStart"/>
      <w:r w:rsidRPr="00C27151">
        <w:rPr>
          <w:rFonts w:eastAsia="Times New Roman" w:cs="Arial"/>
          <w:color w:val="000000"/>
          <w:lang w:val="en-US"/>
        </w:rPr>
        <w:t>HeFT</w:t>
      </w:r>
      <w:proofErr w:type="spellEnd"/>
      <w:r w:rsidRPr="00C27151">
        <w:rPr>
          <w:rFonts w:eastAsia="Times New Roman" w:cs="Arial"/>
          <w:color w:val="000000"/>
          <w:lang w:val="en-US"/>
        </w:rPr>
        <w:t xml:space="preserve"> </w:t>
      </w:r>
      <w:r w:rsidRPr="00C27151">
        <w:rPr>
          <w:rFonts w:eastAsia="Times New Roman" w:cs="Arial"/>
          <w:color w:val="000000"/>
          <w:lang w:eastAsia="bg-BG"/>
        </w:rPr>
        <w:t xml:space="preserve">е рандомизирано, контролирано, мултинационално клинично проучване на валсартан сравнен с плацебо върху заболеваемостта и смъртността при 5010 пациента със сърдечна недостатъчност клас </w:t>
      </w:r>
      <w:r w:rsidRPr="00C27151">
        <w:rPr>
          <w:rFonts w:eastAsia="Times New Roman" w:cs="Arial"/>
          <w:color w:val="000000"/>
          <w:lang w:val="en-US"/>
        </w:rPr>
        <w:t>II</w:t>
      </w:r>
      <w:r w:rsidRPr="00C27151">
        <w:rPr>
          <w:rFonts w:eastAsia="Times New Roman" w:cs="Arial"/>
          <w:color w:val="000000"/>
          <w:lang w:eastAsia="bg-BG"/>
        </w:rPr>
        <w:t xml:space="preserve"> (62%), </w:t>
      </w:r>
      <w:r w:rsidRPr="00C27151">
        <w:rPr>
          <w:rFonts w:eastAsia="Times New Roman" w:cs="Arial"/>
          <w:color w:val="000000"/>
          <w:lang w:val="en-US"/>
        </w:rPr>
        <w:t>III</w:t>
      </w:r>
      <w:r w:rsidRPr="00C27151">
        <w:rPr>
          <w:rFonts w:eastAsia="Times New Roman" w:cs="Arial"/>
          <w:color w:val="000000"/>
          <w:lang w:eastAsia="bg-BG"/>
        </w:rPr>
        <w:t xml:space="preserve"> (36%) и IV (2%) според класификацията на Нюйоркеката сърдечна асоциация </w:t>
      </w:r>
      <w:r w:rsidRPr="00C27151">
        <w:rPr>
          <w:rFonts w:eastAsia="Times New Roman" w:cs="Arial"/>
          <w:color w:val="000000"/>
          <w:lang w:val="en-US"/>
        </w:rPr>
        <w:t xml:space="preserve">(NYHA), </w:t>
      </w:r>
      <w:r w:rsidRPr="00C27151">
        <w:rPr>
          <w:rFonts w:eastAsia="Times New Roman" w:cs="Arial"/>
          <w:color w:val="000000"/>
          <w:lang w:eastAsia="bg-BG"/>
        </w:rPr>
        <w:t xml:space="preserve">които са били лекувани за левокармерна фракция на изтласкване&lt;40% и левокамерен вътрешен диастоличен диаметър &gt;2.9 </w:t>
      </w:r>
      <w:r w:rsidRPr="00C27151">
        <w:rPr>
          <w:rFonts w:eastAsia="Times New Roman" w:cs="Arial"/>
          <w:color w:val="000000"/>
          <w:lang w:val="en-US"/>
        </w:rPr>
        <w:t>cm/m</w:t>
      </w:r>
      <w:r w:rsidRPr="00C27151">
        <w:rPr>
          <w:rFonts w:eastAsia="Times New Roman" w:cs="Arial"/>
          <w:color w:val="000000"/>
          <w:vertAlign w:val="superscript"/>
          <w:lang w:val="en-US"/>
        </w:rPr>
        <w:t>2</w:t>
      </w:r>
      <w:r w:rsidRPr="00C27151">
        <w:rPr>
          <w:rFonts w:eastAsia="Times New Roman" w:cs="Arial"/>
          <w:color w:val="000000"/>
          <w:lang w:val="en-US"/>
        </w:rPr>
        <w:t xml:space="preserve">. </w:t>
      </w:r>
      <w:r w:rsidRPr="00C27151">
        <w:rPr>
          <w:rFonts w:eastAsia="Times New Roman" w:cs="Arial"/>
          <w:color w:val="000000"/>
          <w:lang w:eastAsia="bg-BG"/>
        </w:rPr>
        <w:t>Основната терапия включва:</w:t>
      </w:r>
      <w:r w:rsidRPr="00C27151">
        <w:rPr>
          <w:rFonts w:eastAsia="Times New Roman" w:cs="Arial"/>
          <w:color w:val="000000"/>
          <w:lang w:val="en-US"/>
        </w:rPr>
        <w:t xml:space="preserve"> ACE</w:t>
      </w:r>
      <w:r w:rsidRPr="00C27151">
        <w:rPr>
          <w:rFonts w:eastAsia="Times New Roman" w:cs="Arial"/>
          <w:color w:val="000000"/>
          <w:lang w:eastAsia="bg-BG"/>
        </w:rPr>
        <w:t xml:space="preserve"> инхибитори (93%), диуретици (86%), дигоксин (67%) и бета-блокери</w:t>
      </w:r>
      <w:r w:rsidRPr="00C27151">
        <w:rPr>
          <w:rFonts w:eastAsia="Times New Roman" w:cs="Arial"/>
          <w:color w:val="000000"/>
          <w:lang w:val="en-US"/>
        </w:rPr>
        <w:t xml:space="preserve"> (36%). </w:t>
      </w:r>
      <w:r w:rsidRPr="00C27151">
        <w:rPr>
          <w:rFonts w:eastAsia="Times New Roman" w:cs="Arial"/>
          <w:color w:val="000000"/>
          <w:lang w:eastAsia="bg-BG"/>
        </w:rPr>
        <w:t>Средната продължителност на проследяване е приблизително 2 години. Средната дневна доза валсартан при</w:t>
      </w:r>
      <w:r w:rsidRPr="00C27151">
        <w:rPr>
          <w:rFonts w:eastAsia="Times New Roman" w:cs="Arial"/>
          <w:color w:val="000000"/>
          <w:lang w:val="en-US" w:eastAsia="bg-BG"/>
        </w:rPr>
        <w:t xml:space="preserve"> </w:t>
      </w:r>
      <w:r w:rsidRPr="00C27151">
        <w:rPr>
          <w:rFonts w:eastAsia="Times New Roman" w:cs="Arial"/>
          <w:color w:val="000000"/>
          <w:lang w:val="en-US"/>
        </w:rPr>
        <w:t>Val-</w:t>
      </w:r>
      <w:proofErr w:type="spellStart"/>
      <w:r w:rsidRPr="00C27151">
        <w:rPr>
          <w:rFonts w:eastAsia="Times New Roman" w:cs="Arial"/>
          <w:color w:val="000000"/>
          <w:lang w:val="en-US"/>
        </w:rPr>
        <w:t>HeFT</w:t>
      </w:r>
      <w:proofErr w:type="spellEnd"/>
      <w:r w:rsidRPr="00C27151">
        <w:rPr>
          <w:rFonts w:eastAsia="Times New Roman" w:cs="Arial"/>
          <w:color w:val="000000"/>
          <w:lang w:val="en-US"/>
        </w:rPr>
        <w:t xml:space="preserve"> </w:t>
      </w:r>
      <w:r w:rsidRPr="00C27151">
        <w:rPr>
          <w:rFonts w:eastAsia="Times New Roman" w:cs="Arial"/>
          <w:color w:val="000000"/>
          <w:lang w:eastAsia="bg-BG"/>
        </w:rPr>
        <w:t xml:space="preserve">е </w:t>
      </w:r>
      <w:r w:rsidRPr="00C27151">
        <w:rPr>
          <w:rFonts w:eastAsia="Times New Roman" w:cs="Arial"/>
          <w:color w:val="000000"/>
          <w:lang w:val="en-US"/>
        </w:rPr>
        <w:t xml:space="preserve">254 mg. </w:t>
      </w:r>
      <w:r w:rsidRPr="00C27151">
        <w:rPr>
          <w:rFonts w:eastAsia="Times New Roman" w:cs="Arial"/>
          <w:color w:val="000000"/>
          <w:lang w:eastAsia="bg-BG"/>
        </w:rPr>
        <w:t>Проучването има две първични крайни точки: обща смъртност (време до смърт) и композитни смъртност и заболяване от сърдечна недостатъчност (време до първото болестно събитие), дефинирани като смърт, внезапна смърт при реанимация, хоспитализация при сърдечна недостатъчност или прием на интравенозни инотропни или вазодилататорни агенти за 4 или повече часа без хоспитализация.</w:t>
      </w:r>
    </w:p>
    <w:p w14:paraId="037A5253"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 xml:space="preserve">Общата смъртност е сходна </w:t>
      </w:r>
      <w:r w:rsidRPr="00C27151">
        <w:rPr>
          <w:rFonts w:eastAsia="Times New Roman" w:cs="Arial"/>
          <w:color w:val="000000"/>
          <w:lang w:val="en-US"/>
        </w:rPr>
        <w:t xml:space="preserve">(p=NS) </w:t>
      </w:r>
      <w:r w:rsidRPr="00C27151">
        <w:rPr>
          <w:rFonts w:eastAsia="Times New Roman" w:cs="Arial"/>
          <w:color w:val="000000"/>
          <w:lang w:eastAsia="bg-BG"/>
        </w:rPr>
        <w:t xml:space="preserve">при валсартан (19.7%) и плацебо (19.4%) групите. Основното предимство е 27.5% (95% </w:t>
      </w:r>
      <w:r w:rsidRPr="00C27151">
        <w:rPr>
          <w:rFonts w:eastAsia="Times New Roman" w:cs="Arial"/>
          <w:color w:val="000000"/>
          <w:lang w:val="en-US"/>
        </w:rPr>
        <w:t xml:space="preserve">CI: </w:t>
      </w:r>
      <w:r w:rsidRPr="00C27151">
        <w:rPr>
          <w:rFonts w:eastAsia="Times New Roman" w:cs="Arial"/>
          <w:color w:val="000000"/>
          <w:lang w:eastAsia="bg-BG"/>
        </w:rPr>
        <w:t>17 до 37%) намаление на риска за времето до първата хоспитализация заради сърдечна недостатъчност (13.9% срещу 18.5%). Резултатите, които изглежда са в полза на плацебо (композитна смъртност и заболеваемост 21.9% при плацебо срещу 25.4% при валсартан групата), са наблюдавани при пациенти, лекувани с тройна комбинация от АСЕ инхибитор, бета- блокер и валсартан.</w:t>
      </w:r>
    </w:p>
    <w:p w14:paraId="06B4E012"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При подгрупата пациенти, които не са приемали АСЕ инхибитор (</w:t>
      </w:r>
      <w:r w:rsidRPr="00C27151">
        <w:rPr>
          <w:rFonts w:eastAsia="Times New Roman" w:cs="Arial"/>
          <w:color w:val="000000"/>
          <w:lang w:val="en-US"/>
        </w:rPr>
        <w:t>n</w:t>
      </w:r>
      <w:r w:rsidRPr="00C27151">
        <w:rPr>
          <w:rFonts w:eastAsia="Times New Roman" w:cs="Arial"/>
          <w:color w:val="000000"/>
          <w:lang w:eastAsia="bg-BG"/>
        </w:rPr>
        <w:t xml:space="preserve">=366) ползата по отношение на заболеваемостта е най-голяма. В тази подгрупа общата смъртност е значително намалена при валсартан с 33% в сравнение с плацебо (95% </w:t>
      </w:r>
      <w:r w:rsidRPr="00C27151">
        <w:rPr>
          <w:rFonts w:eastAsia="Times New Roman" w:cs="Arial"/>
          <w:color w:val="000000"/>
          <w:lang w:val="en-US"/>
        </w:rPr>
        <w:t xml:space="preserve">CI: </w:t>
      </w:r>
      <w:r w:rsidRPr="00C27151">
        <w:rPr>
          <w:rFonts w:eastAsia="Times New Roman" w:cs="Arial"/>
          <w:color w:val="000000"/>
          <w:lang w:eastAsia="bg-BG"/>
        </w:rPr>
        <w:t>-6% до 58%) (17.3% валсартан срещу 27.1% плацебо), рискът от композитна смъртност или заболеваемост е съществено намален с 44% (24.9% валсартан срещу 42.5% плацебо).</w:t>
      </w:r>
    </w:p>
    <w:p w14:paraId="6404C291"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 xml:space="preserve">При пациентите, получаващи АСЕ инхибитор с бета-блокер, общата смъртност е сходна </w:t>
      </w:r>
      <w:r w:rsidRPr="00C27151">
        <w:rPr>
          <w:rFonts w:eastAsia="Times New Roman" w:cs="Arial"/>
          <w:color w:val="000000"/>
          <w:lang w:val="en-US"/>
        </w:rPr>
        <w:t xml:space="preserve">(p=NS) </w:t>
      </w:r>
      <w:r w:rsidRPr="00C27151">
        <w:rPr>
          <w:rFonts w:eastAsia="Times New Roman" w:cs="Arial"/>
          <w:color w:val="000000"/>
          <w:lang w:eastAsia="bg-BG"/>
        </w:rPr>
        <w:t xml:space="preserve">при валсартан (21.8%) и при плацебо (22.5%) групата. Рискът от композитна смъртност и заболеваемост е съществено намален при валсартан с 18.3% (95% </w:t>
      </w:r>
      <w:r w:rsidRPr="00C27151">
        <w:rPr>
          <w:rFonts w:eastAsia="Times New Roman" w:cs="Arial"/>
          <w:color w:val="000000"/>
          <w:lang w:val="en-US"/>
        </w:rPr>
        <w:t xml:space="preserve">CI: </w:t>
      </w:r>
      <w:r w:rsidRPr="00C27151">
        <w:rPr>
          <w:rFonts w:eastAsia="Times New Roman" w:cs="Arial"/>
          <w:color w:val="000000"/>
          <w:lang w:eastAsia="bg-BG"/>
        </w:rPr>
        <w:t>8% до 28%) в сравнение с плацебо (31.0% срещу 36.3%).</w:t>
      </w:r>
    </w:p>
    <w:p w14:paraId="25A91F13"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 xml:space="preserve">В общата популация на </w:t>
      </w:r>
      <w:r w:rsidRPr="00C27151">
        <w:rPr>
          <w:rFonts w:eastAsia="Times New Roman" w:cs="Arial"/>
          <w:color w:val="000000"/>
          <w:lang w:val="en-US"/>
        </w:rPr>
        <w:t>Val-</w:t>
      </w:r>
      <w:proofErr w:type="spellStart"/>
      <w:r w:rsidRPr="00C27151">
        <w:rPr>
          <w:rFonts w:eastAsia="Times New Roman" w:cs="Arial"/>
          <w:color w:val="000000"/>
          <w:lang w:val="en-US"/>
        </w:rPr>
        <w:t>HeFT</w:t>
      </w:r>
      <w:proofErr w:type="spellEnd"/>
      <w:r w:rsidRPr="00C27151">
        <w:rPr>
          <w:rFonts w:eastAsia="Times New Roman" w:cs="Arial"/>
          <w:color w:val="000000"/>
          <w:lang w:val="en-US"/>
        </w:rPr>
        <w:t xml:space="preserve">, </w:t>
      </w:r>
      <w:r w:rsidRPr="00C27151">
        <w:rPr>
          <w:rFonts w:eastAsia="Times New Roman" w:cs="Arial"/>
          <w:color w:val="000000"/>
          <w:lang w:eastAsia="bg-BG"/>
        </w:rPr>
        <w:t xml:space="preserve">пациентите, лекувани с валсартан са показали значително подобрение при </w:t>
      </w:r>
      <w:r w:rsidRPr="00C27151">
        <w:rPr>
          <w:rFonts w:eastAsia="Times New Roman" w:cs="Arial"/>
          <w:color w:val="000000"/>
          <w:lang w:val="en-US"/>
        </w:rPr>
        <w:t xml:space="preserve">NYHA </w:t>
      </w:r>
      <w:r w:rsidRPr="00C27151">
        <w:rPr>
          <w:rFonts w:eastAsia="Times New Roman" w:cs="Arial"/>
          <w:color w:val="000000"/>
          <w:lang w:eastAsia="bg-BG"/>
        </w:rPr>
        <w:t>класа и при симптомите и признаците на сърдечна недостатъчност, включително диспнея, умора, едем и хрипове в сравнение с плацебо. Пациентите, лекувани с валсартан, са имали по-високо качество на живот, което е демонстрирано чрез промяна в резултата от началната до крайната точка на плацебо на Качеството на живот при сърдечна недостатъчност в Минесота. Фракцията на изтласкване при пациентите, лекувани с валсартан е съществено повишена, а левокамерният вътрешен диастоличен диаметър е съществено намален от началото до крайната точка в сравнение с плацебо.</w:t>
      </w:r>
    </w:p>
    <w:p w14:paraId="6E031BCC" w14:textId="77777777" w:rsidR="00C27151" w:rsidRPr="00C27151" w:rsidRDefault="00C27151" w:rsidP="00C27151">
      <w:pPr>
        <w:spacing w:line="240" w:lineRule="auto"/>
        <w:rPr>
          <w:rFonts w:eastAsia="Times New Roman" w:cs="Arial"/>
          <w:color w:val="000000"/>
          <w:u w:val="single"/>
          <w:lang w:eastAsia="bg-BG"/>
        </w:rPr>
      </w:pPr>
    </w:p>
    <w:p w14:paraId="6419F30B" w14:textId="4F9A5030" w:rsidR="00C27151" w:rsidRPr="00C27151" w:rsidRDefault="00C27151" w:rsidP="00C27151">
      <w:pPr>
        <w:spacing w:line="240" w:lineRule="auto"/>
        <w:rPr>
          <w:rFonts w:eastAsia="Times New Roman" w:cs="Arial"/>
          <w:lang w:eastAsia="bg-BG"/>
        </w:rPr>
      </w:pPr>
      <w:r w:rsidRPr="00C27151">
        <w:rPr>
          <w:rFonts w:eastAsia="Times New Roman" w:cs="Arial"/>
          <w:color w:val="000000"/>
          <w:u w:val="single"/>
          <w:lang w:eastAsia="bg-BG"/>
        </w:rPr>
        <w:t>Двойна блокада на ренин-ангиотензин-алдостерон системата (РААС)</w:t>
      </w:r>
    </w:p>
    <w:p w14:paraId="528DD05A" w14:textId="53A695A2"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 xml:space="preserve">Две големи рандомизирани контролирани проучвания - </w:t>
      </w:r>
      <w:r w:rsidRPr="00C27151">
        <w:rPr>
          <w:rFonts w:eastAsia="Times New Roman" w:cs="Arial"/>
          <w:color w:val="000000"/>
          <w:lang w:val="en-US"/>
        </w:rPr>
        <w:t>ONTARGET (</w:t>
      </w:r>
      <w:proofErr w:type="spellStart"/>
      <w:r w:rsidRPr="00C27151">
        <w:rPr>
          <w:rFonts w:eastAsia="Times New Roman" w:cs="Arial"/>
          <w:color w:val="000000"/>
          <w:lang w:val="en-US"/>
        </w:rPr>
        <w:t>ONgoing</w:t>
      </w:r>
      <w:proofErr w:type="spellEnd"/>
      <w:r w:rsidRPr="00C27151">
        <w:rPr>
          <w:rFonts w:eastAsia="Times New Roman" w:cs="Arial"/>
          <w:color w:val="000000"/>
          <w:lang w:val="en-US"/>
        </w:rPr>
        <w:t xml:space="preserve"> Telmisartan Alone and in combination with Ramipril Global Endpoint Trial - </w:t>
      </w:r>
      <w:r w:rsidRPr="00C27151">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C27151">
        <w:rPr>
          <w:rFonts w:eastAsia="Times New Roman" w:cs="Arial"/>
          <w:color w:val="000000"/>
          <w:lang w:val="en-US"/>
        </w:rPr>
        <w:t xml:space="preserve">VA NEPHRON-D </w:t>
      </w:r>
      <w:r w:rsidRPr="00C27151">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C27151">
        <w:rPr>
          <w:rFonts w:eastAsia="Times New Roman" w:cs="Arial"/>
          <w:color w:val="000000"/>
          <w:lang w:val="en-US"/>
        </w:rPr>
        <w:t>II</w:t>
      </w:r>
      <w:r w:rsidRPr="00C27151">
        <w:rPr>
          <w:rFonts w:eastAsia="Times New Roman" w:cs="Arial"/>
          <w:color w:val="000000"/>
          <w:lang w:eastAsia="bg-BG"/>
        </w:rPr>
        <w:t>-рецепторен блокер.</w:t>
      </w:r>
    </w:p>
    <w:p w14:paraId="257EE0FE"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val="en-US"/>
        </w:rPr>
        <w:t xml:space="preserve">ONTARGET </w:t>
      </w:r>
      <w:r w:rsidRPr="00C27151">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C27151">
        <w:rPr>
          <w:rFonts w:eastAsia="Times New Roman" w:cs="Arial"/>
          <w:color w:val="000000"/>
          <w:lang w:val="en-US"/>
        </w:rPr>
        <w:t xml:space="preserve">VA NEPHRON-D </w:t>
      </w:r>
      <w:r w:rsidRPr="00C27151">
        <w:rPr>
          <w:rFonts w:eastAsia="Times New Roman" w:cs="Arial"/>
          <w:color w:val="000000"/>
          <w:lang w:eastAsia="bg-BG"/>
        </w:rPr>
        <w:t>е проучване при пациенти със захарен диабет тип 2 и диабетна нефропатия.</w:t>
      </w:r>
    </w:p>
    <w:p w14:paraId="0F8A3104"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lastRenderedPageBreak/>
        <w:t xml:space="preserve">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C27151">
        <w:rPr>
          <w:rFonts w:eastAsia="Times New Roman" w:cs="Arial"/>
          <w:color w:val="000000"/>
          <w:lang w:val="en-US"/>
        </w:rPr>
        <w:t>II</w:t>
      </w:r>
      <w:r w:rsidRPr="00C27151">
        <w:rPr>
          <w:rFonts w:eastAsia="Times New Roman" w:cs="Arial"/>
          <w:color w:val="000000"/>
          <w:lang w:eastAsia="bg-BG"/>
        </w:rPr>
        <w:t>-рецепторни блокери.</w:t>
      </w:r>
    </w:p>
    <w:p w14:paraId="43871788"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 xml:space="preserve">АСЕ инхибитори и ангиотензин </w:t>
      </w:r>
      <w:r w:rsidRPr="00C27151">
        <w:rPr>
          <w:rFonts w:eastAsia="Times New Roman" w:cs="Arial"/>
          <w:color w:val="000000"/>
          <w:lang w:val="en-US"/>
        </w:rPr>
        <w:t>II</w:t>
      </w:r>
      <w:r w:rsidRPr="00C27151">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53514540" w14:textId="77777777" w:rsidR="00C27151" w:rsidRPr="00C27151" w:rsidRDefault="00C27151" w:rsidP="00C27151">
      <w:pPr>
        <w:rPr>
          <w:rFonts w:eastAsia="Times New Roman" w:cs="Arial"/>
          <w:lang w:eastAsia="bg-BG"/>
        </w:rPr>
      </w:pPr>
      <w:r w:rsidRPr="00C27151">
        <w:rPr>
          <w:rFonts w:eastAsia="Times New Roman" w:cs="Arial"/>
          <w:color w:val="000000"/>
          <w:lang w:val="en-US"/>
        </w:rPr>
        <w:t xml:space="preserve">ALTITUDE </w:t>
      </w:r>
      <w:r w:rsidRPr="00C27151">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w:t>
      </w:r>
      <w:r w:rsidRPr="00C27151">
        <w:rPr>
          <w:rFonts w:eastAsia="Times New Roman" w:cs="Arial"/>
          <w:color w:val="000000"/>
          <w:lang w:val="en-US"/>
        </w:rPr>
        <w:t>ACE</w:t>
      </w:r>
      <w:r w:rsidRPr="00C27151">
        <w:rPr>
          <w:rFonts w:eastAsia="Times New Roman" w:cs="Arial"/>
          <w:color w:val="000000"/>
          <w:lang w:eastAsia="bg-BG"/>
        </w:rPr>
        <w:t xml:space="preserve"> инхибитор или ангиотензин </w:t>
      </w:r>
      <w:r w:rsidRPr="00C27151">
        <w:rPr>
          <w:rFonts w:eastAsia="Times New Roman" w:cs="Arial"/>
          <w:color w:val="000000"/>
          <w:lang w:val="en-US"/>
        </w:rPr>
        <w:t>II</w:t>
      </w:r>
      <w:r w:rsidRPr="00C27151">
        <w:rPr>
          <w:rFonts w:eastAsia="Times New Roman" w:cs="Arial"/>
          <w:color w:val="000000"/>
          <w:lang w:eastAsia="bg-BG"/>
        </w:rPr>
        <w:t>-рецепторен блокер при пациенти със захарен диабет</w:t>
      </w:r>
      <w:r w:rsidRPr="00C27151">
        <w:rPr>
          <w:rFonts w:eastAsia="Times New Roman" w:cs="Arial"/>
          <w:color w:val="000000"/>
          <w:lang w:val="en-US"/>
        </w:rPr>
        <w:t xml:space="preserve"> </w:t>
      </w:r>
      <w:r w:rsidRPr="00C27151">
        <w:rPr>
          <w:rFonts w:eastAsia="Times New Roman" w:cs="Arial"/>
          <w:color w:val="000000"/>
          <w:lang w:eastAsia="bg-BG"/>
        </w:rPr>
        <w:t>тип 2 и хронично</w:t>
      </w:r>
      <w:r w:rsidRPr="00C27151">
        <w:rPr>
          <w:rFonts w:eastAsia="Times New Roman" w:cs="Arial"/>
          <w:lang w:val="en-US" w:eastAsia="bg-BG"/>
        </w:rPr>
        <w:t xml:space="preserve"> </w:t>
      </w:r>
      <w:r w:rsidRPr="00C27151">
        <w:rPr>
          <w:rFonts w:eastAsia="Times New Roman" w:cs="Arial"/>
          <w:color w:val="000000"/>
          <w:lang w:eastAsia="bg-BG"/>
        </w:rPr>
        <w:t>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представляващите интерес нежелани събития и сериозни нежелани събития (хиперкалиенуя,</w:t>
      </w:r>
      <w:r w:rsidRPr="00C27151">
        <w:rPr>
          <w:rFonts w:eastAsia="Times New Roman" w:cs="Arial"/>
          <w:color w:val="000000"/>
          <w:lang w:val="en-US" w:eastAsia="bg-BG"/>
        </w:rPr>
        <w:t xml:space="preserve"> </w:t>
      </w:r>
      <w:r w:rsidRPr="00C27151">
        <w:rPr>
          <w:rFonts w:eastAsia="Times New Roman" w:cs="Arial"/>
          <w:color w:val="000000"/>
          <w:lang w:eastAsia="bg-BG"/>
        </w:rPr>
        <w:t>хипотония и бъбречна дисфункция) се съобщават по-често в групата на алискирен, отколкото в групата на плацебо.</w:t>
      </w:r>
    </w:p>
    <w:p w14:paraId="529DD5D4" w14:textId="77777777" w:rsidR="00C27151" w:rsidRPr="00C27151" w:rsidRDefault="00C27151" w:rsidP="00C27151">
      <w:pPr>
        <w:spacing w:line="240" w:lineRule="auto"/>
        <w:rPr>
          <w:rFonts w:eastAsia="Times New Roman" w:cs="Arial"/>
          <w:i/>
          <w:iCs/>
          <w:color w:val="000000"/>
          <w:u w:val="single"/>
          <w:lang w:eastAsia="bg-BG"/>
        </w:rPr>
      </w:pPr>
    </w:p>
    <w:p w14:paraId="6FDA8B01" w14:textId="67055514" w:rsidR="00C27151" w:rsidRPr="00C27151" w:rsidRDefault="00C27151" w:rsidP="00C27151">
      <w:pPr>
        <w:spacing w:line="240" w:lineRule="auto"/>
        <w:rPr>
          <w:rFonts w:eastAsia="Times New Roman" w:cs="Arial"/>
          <w:lang w:eastAsia="bg-BG"/>
        </w:rPr>
      </w:pPr>
      <w:r w:rsidRPr="00C27151">
        <w:rPr>
          <w:rFonts w:eastAsia="Times New Roman" w:cs="Arial"/>
          <w:i/>
          <w:iCs/>
          <w:color w:val="000000"/>
          <w:u w:val="single"/>
          <w:lang w:eastAsia="bg-BG"/>
        </w:rPr>
        <w:t>Педиатрична популация</w:t>
      </w:r>
    </w:p>
    <w:p w14:paraId="2E138EA4"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u w:val="single"/>
          <w:lang w:eastAsia="bg-BG"/>
        </w:rPr>
        <w:t>Хипертония</w:t>
      </w:r>
    </w:p>
    <w:p w14:paraId="3F53E4FF"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Антихипертензивният ефект на валсартан е оценен при четири рандомизирани, двойно-слепи клинични проучвания при 561 педиатрични пациента на възраст между 6 и 18 години и 165 педиатрични пациенти на възраст между 1 и 6 години. Нарушения на бъбреците и пикочните пътища, както и затлъстяване, са най-честите основни заболявания, които потенциално допринасят за хипертонията при деца, включени в тези проучвания.</w:t>
      </w:r>
    </w:p>
    <w:p w14:paraId="68FBA69E" w14:textId="77777777" w:rsidR="00C27151" w:rsidRPr="00C27151" w:rsidRDefault="00C27151" w:rsidP="00C27151">
      <w:pPr>
        <w:spacing w:line="240" w:lineRule="auto"/>
        <w:rPr>
          <w:rFonts w:eastAsia="Times New Roman" w:cs="Arial"/>
          <w:i/>
          <w:iCs/>
          <w:color w:val="000000"/>
          <w:u w:val="single"/>
          <w:lang w:eastAsia="bg-BG"/>
        </w:rPr>
      </w:pPr>
    </w:p>
    <w:p w14:paraId="1084E60D" w14:textId="0C20FFA2" w:rsidR="00C27151" w:rsidRPr="00C27151" w:rsidRDefault="00C27151" w:rsidP="00C27151">
      <w:pPr>
        <w:spacing w:line="240" w:lineRule="auto"/>
        <w:rPr>
          <w:rFonts w:eastAsia="Times New Roman" w:cs="Arial"/>
          <w:lang w:eastAsia="bg-BG"/>
        </w:rPr>
      </w:pPr>
      <w:r w:rsidRPr="00C27151">
        <w:rPr>
          <w:rFonts w:eastAsia="Times New Roman" w:cs="Arial"/>
          <w:i/>
          <w:iCs/>
          <w:color w:val="000000"/>
          <w:u w:val="single"/>
          <w:lang w:eastAsia="bg-BG"/>
        </w:rPr>
        <w:t>Клиничен опит при деца на и над 6 годишна възраст</w:t>
      </w:r>
    </w:p>
    <w:p w14:paraId="557A4B46"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 xml:space="preserve">При клинично проучване при 261 педиатрични пациенти с хипертония на възраст между 6 и 16 години, пациентите с тегло &lt;35 </w:t>
      </w:r>
      <w:r w:rsidRPr="00C27151">
        <w:rPr>
          <w:rFonts w:eastAsia="Times New Roman" w:cs="Arial"/>
          <w:color w:val="000000"/>
          <w:lang w:val="en-US"/>
        </w:rPr>
        <w:t xml:space="preserve">kg </w:t>
      </w:r>
      <w:r w:rsidRPr="00C27151">
        <w:rPr>
          <w:rFonts w:eastAsia="Times New Roman" w:cs="Arial"/>
          <w:color w:val="000000"/>
          <w:lang w:eastAsia="bg-BG"/>
        </w:rPr>
        <w:t xml:space="preserve">са получавали 10, 40 или 80 </w:t>
      </w:r>
      <w:r w:rsidRPr="00C27151">
        <w:rPr>
          <w:rFonts w:eastAsia="Times New Roman" w:cs="Arial"/>
          <w:color w:val="000000"/>
          <w:lang w:val="en-US"/>
        </w:rPr>
        <w:t xml:space="preserve">mg </w:t>
      </w:r>
      <w:r w:rsidRPr="00C27151">
        <w:rPr>
          <w:rFonts w:eastAsia="Times New Roman" w:cs="Arial"/>
          <w:color w:val="000000"/>
          <w:lang w:eastAsia="bg-BG"/>
        </w:rPr>
        <w:t>валсартан дневно (ниска, средна и висока доза), а пациентите с тегло</w:t>
      </w:r>
      <w:r w:rsidRPr="00C27151">
        <w:rPr>
          <w:rFonts w:eastAsia="Times New Roman" w:cs="Arial"/>
          <w:color w:val="000000"/>
          <w:lang w:val="en-US"/>
        </w:rPr>
        <w:t xml:space="preserve"> </w:t>
      </w:r>
      <w:r w:rsidRPr="00C27151">
        <w:rPr>
          <w:rFonts w:eastAsia="Times New Roman" w:cs="Arial"/>
          <w:color w:val="000000"/>
          <w:lang w:eastAsia="bg-BG"/>
        </w:rPr>
        <w:t xml:space="preserve">≥35 </w:t>
      </w:r>
      <w:r w:rsidRPr="00C27151">
        <w:rPr>
          <w:rFonts w:eastAsia="Times New Roman" w:cs="Arial"/>
          <w:color w:val="000000"/>
          <w:lang w:val="en-US"/>
        </w:rPr>
        <w:t xml:space="preserve">kg </w:t>
      </w:r>
      <w:r w:rsidRPr="00C27151">
        <w:rPr>
          <w:rFonts w:eastAsia="Times New Roman" w:cs="Arial"/>
          <w:color w:val="000000"/>
          <w:lang w:eastAsia="bg-BG"/>
        </w:rPr>
        <w:t xml:space="preserve">са получавали 20, 80 и 160 </w:t>
      </w:r>
      <w:r w:rsidRPr="00C27151">
        <w:rPr>
          <w:rFonts w:eastAsia="Times New Roman" w:cs="Arial"/>
          <w:color w:val="000000"/>
          <w:lang w:val="en-US"/>
        </w:rPr>
        <w:t xml:space="preserve">mg </w:t>
      </w:r>
      <w:r w:rsidRPr="00C27151">
        <w:rPr>
          <w:rFonts w:eastAsia="Times New Roman" w:cs="Arial"/>
          <w:color w:val="000000"/>
          <w:lang w:eastAsia="bg-BG"/>
        </w:rPr>
        <w:t>валсартан дневно (ниска, средна и висока доза). В края на втората седмица валсартан е намалил както систоличното, така и диастолното артериално налягане по дозо-зависим начин. Като цяло, трите дозови нива на валсартан (ниско, средно и високо) съществено намаляват систоличното артериално налягане от изходните стойности съответно с 8, 10, 12</w:t>
      </w:r>
      <w:r w:rsidRPr="00C27151">
        <w:rPr>
          <w:rFonts w:eastAsia="Times New Roman" w:cs="Arial"/>
          <w:color w:val="000000"/>
          <w:lang w:val="en-US"/>
        </w:rPr>
        <w:t xml:space="preserve">mm Hg. </w:t>
      </w:r>
      <w:r w:rsidRPr="00C27151">
        <w:rPr>
          <w:rFonts w:eastAsia="Times New Roman" w:cs="Arial"/>
          <w:color w:val="000000"/>
          <w:lang w:eastAsia="bg-BG"/>
        </w:rPr>
        <w:t xml:space="preserve">Пациентите са били повторно рандомизирани или да продължат да приемат същата доза валсартан или са преминали на плацебо. При пациентите, които са продължили да приемат средни или високи дози валсартан, систоличното артериално налягане при минимална плазмена концентрация е било -4 и -7 </w:t>
      </w:r>
      <w:r w:rsidRPr="00C27151">
        <w:rPr>
          <w:rFonts w:eastAsia="Times New Roman" w:cs="Arial"/>
          <w:color w:val="000000"/>
          <w:u w:val="single"/>
          <w:lang w:val="en-US"/>
        </w:rPr>
        <w:t>mm</w:t>
      </w:r>
      <w:r w:rsidRPr="00C27151">
        <w:rPr>
          <w:rFonts w:eastAsia="Times New Roman" w:cs="Arial"/>
          <w:color w:val="000000"/>
          <w:lang w:val="en-US"/>
        </w:rPr>
        <w:t xml:space="preserve"> Hg </w:t>
      </w:r>
      <w:r w:rsidRPr="00C27151">
        <w:rPr>
          <w:rFonts w:eastAsia="Times New Roman" w:cs="Arial"/>
          <w:color w:val="000000"/>
          <w:lang w:eastAsia="bg-BG"/>
        </w:rPr>
        <w:t>по-ниско от това при пациентите, приемащи плацебо. При пациентите, приемащи ниска доза валсартан, систоличното налягане при минимална плазмена концентрация е било сходно с това при пациентите на лечение с плацебо. Като цяло, дозо- зависимият антихипертензивен ефект на валсартан е наличен при всички демографски групи.</w:t>
      </w:r>
    </w:p>
    <w:p w14:paraId="76516244" w14:textId="77777777" w:rsidR="00C27151" w:rsidRPr="00C27151" w:rsidRDefault="00C27151" w:rsidP="00C27151">
      <w:pPr>
        <w:spacing w:line="240" w:lineRule="auto"/>
        <w:rPr>
          <w:rFonts w:eastAsia="Times New Roman" w:cs="Arial"/>
          <w:color w:val="000000"/>
          <w:lang w:eastAsia="bg-BG"/>
        </w:rPr>
      </w:pPr>
    </w:p>
    <w:p w14:paraId="4FA6B25E" w14:textId="1933E12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 xml:space="preserve">При второ клинично проучване, включващо 300 педиатрични пациенти с хипертония на възраст между 6 и 18 години, подходящите пациенти са били рандомизирани да приемат валсартан или еналаприл таблетки за 12 седмици. Деца с тегло между ≥18 </w:t>
      </w:r>
      <w:r w:rsidRPr="00C27151">
        <w:rPr>
          <w:rFonts w:eastAsia="Times New Roman" w:cs="Arial"/>
          <w:color w:val="000000"/>
          <w:lang w:val="en-US"/>
        </w:rPr>
        <w:t xml:space="preserve">kg </w:t>
      </w:r>
      <w:r w:rsidRPr="00C27151">
        <w:rPr>
          <w:rFonts w:eastAsia="Times New Roman" w:cs="Arial"/>
          <w:color w:val="000000"/>
          <w:lang w:eastAsia="bg-BG"/>
        </w:rPr>
        <w:t xml:space="preserve">и &lt;35 </w:t>
      </w:r>
      <w:r w:rsidRPr="00C27151">
        <w:rPr>
          <w:rFonts w:eastAsia="Times New Roman" w:cs="Arial"/>
          <w:color w:val="000000"/>
          <w:lang w:val="en-US"/>
        </w:rPr>
        <w:t xml:space="preserve">kg </w:t>
      </w:r>
      <w:r w:rsidRPr="00C27151">
        <w:rPr>
          <w:rFonts w:eastAsia="Times New Roman" w:cs="Arial"/>
          <w:color w:val="000000"/>
          <w:lang w:eastAsia="bg-BG"/>
        </w:rPr>
        <w:t xml:space="preserve">са получавали валсартан 80 </w:t>
      </w:r>
      <w:r w:rsidRPr="00C27151">
        <w:rPr>
          <w:rFonts w:eastAsia="Times New Roman" w:cs="Arial"/>
          <w:color w:val="000000"/>
          <w:lang w:val="en-US"/>
        </w:rPr>
        <w:t xml:space="preserve">mg </w:t>
      </w:r>
      <w:r w:rsidRPr="00C27151">
        <w:rPr>
          <w:rFonts w:eastAsia="Times New Roman" w:cs="Arial"/>
          <w:color w:val="000000"/>
          <w:lang w:eastAsia="bg-BG"/>
        </w:rPr>
        <w:t xml:space="preserve">или еналаприл 10 </w:t>
      </w:r>
      <w:r w:rsidRPr="00C27151">
        <w:rPr>
          <w:rFonts w:eastAsia="Times New Roman" w:cs="Arial"/>
          <w:color w:val="000000"/>
          <w:lang w:val="en-US"/>
        </w:rPr>
        <w:t xml:space="preserve">mg; </w:t>
      </w:r>
      <w:r w:rsidRPr="00C27151">
        <w:rPr>
          <w:rFonts w:eastAsia="Times New Roman" w:cs="Arial"/>
          <w:color w:val="000000"/>
          <w:lang w:eastAsia="bg-BG"/>
        </w:rPr>
        <w:t xml:space="preserve">тези между ≥35 </w:t>
      </w:r>
      <w:r w:rsidRPr="00C27151">
        <w:rPr>
          <w:rFonts w:eastAsia="Times New Roman" w:cs="Arial"/>
          <w:color w:val="000000"/>
          <w:lang w:val="en-US"/>
        </w:rPr>
        <w:t xml:space="preserve">kg </w:t>
      </w:r>
      <w:r w:rsidRPr="00C27151">
        <w:rPr>
          <w:rFonts w:eastAsia="Times New Roman" w:cs="Arial"/>
          <w:color w:val="000000"/>
          <w:lang w:eastAsia="bg-BG"/>
        </w:rPr>
        <w:t xml:space="preserve">и &lt;80 </w:t>
      </w:r>
      <w:r w:rsidRPr="00C27151">
        <w:rPr>
          <w:rFonts w:eastAsia="Times New Roman" w:cs="Arial"/>
          <w:color w:val="000000"/>
          <w:lang w:val="en-US"/>
        </w:rPr>
        <w:t xml:space="preserve">kg </w:t>
      </w:r>
      <w:r w:rsidRPr="00C27151">
        <w:rPr>
          <w:rFonts w:eastAsia="Times New Roman" w:cs="Arial"/>
          <w:color w:val="000000"/>
          <w:lang w:eastAsia="bg-BG"/>
        </w:rPr>
        <w:t xml:space="preserve">са </w:t>
      </w:r>
      <w:r w:rsidRPr="00C27151">
        <w:rPr>
          <w:rFonts w:eastAsia="Times New Roman" w:cs="Arial"/>
          <w:color w:val="000000"/>
          <w:lang w:eastAsia="bg-BG"/>
        </w:rPr>
        <w:lastRenderedPageBreak/>
        <w:t xml:space="preserve">получавали валсартан 160 </w:t>
      </w:r>
      <w:r w:rsidRPr="00C27151">
        <w:rPr>
          <w:rFonts w:eastAsia="Times New Roman" w:cs="Arial"/>
          <w:color w:val="000000"/>
          <w:lang w:val="en-US"/>
        </w:rPr>
        <w:t xml:space="preserve">mg </w:t>
      </w:r>
      <w:r w:rsidRPr="00C27151">
        <w:rPr>
          <w:rFonts w:eastAsia="Times New Roman" w:cs="Arial"/>
          <w:color w:val="000000"/>
          <w:lang w:eastAsia="bg-BG"/>
        </w:rPr>
        <w:t xml:space="preserve">или еналаприл 20 </w:t>
      </w:r>
      <w:r w:rsidRPr="00C27151">
        <w:rPr>
          <w:rFonts w:eastAsia="Times New Roman" w:cs="Arial"/>
          <w:color w:val="000000"/>
          <w:lang w:val="en-US"/>
        </w:rPr>
        <w:t xml:space="preserve">mg; </w:t>
      </w:r>
      <w:r w:rsidRPr="00C27151">
        <w:rPr>
          <w:rFonts w:eastAsia="Times New Roman" w:cs="Arial"/>
          <w:color w:val="000000"/>
          <w:lang w:eastAsia="bg-BG"/>
        </w:rPr>
        <w:t xml:space="preserve">тези ≥80 </w:t>
      </w:r>
      <w:r w:rsidRPr="00C27151">
        <w:rPr>
          <w:rFonts w:eastAsia="Times New Roman" w:cs="Arial"/>
          <w:color w:val="000000"/>
          <w:lang w:val="en-US"/>
        </w:rPr>
        <w:t xml:space="preserve">kg </w:t>
      </w:r>
      <w:r w:rsidRPr="00C27151">
        <w:rPr>
          <w:rFonts w:eastAsia="Times New Roman" w:cs="Arial"/>
          <w:color w:val="000000"/>
          <w:lang w:eastAsia="bg-BG"/>
        </w:rPr>
        <w:t xml:space="preserve">са получавали валсартан 320 </w:t>
      </w:r>
      <w:r w:rsidRPr="00C27151">
        <w:rPr>
          <w:rFonts w:eastAsia="Times New Roman" w:cs="Arial"/>
          <w:color w:val="000000"/>
          <w:lang w:val="en-US"/>
        </w:rPr>
        <w:t xml:space="preserve">mg </w:t>
      </w:r>
      <w:r w:rsidRPr="00C27151">
        <w:rPr>
          <w:rFonts w:eastAsia="Times New Roman" w:cs="Arial"/>
          <w:color w:val="000000"/>
          <w:lang w:eastAsia="bg-BG"/>
        </w:rPr>
        <w:t xml:space="preserve">или еналаприл 40 </w:t>
      </w:r>
      <w:r w:rsidRPr="00C27151">
        <w:rPr>
          <w:rFonts w:eastAsia="Times New Roman" w:cs="Arial"/>
          <w:color w:val="000000"/>
          <w:lang w:val="en-US"/>
        </w:rPr>
        <w:t xml:space="preserve">mg. </w:t>
      </w:r>
      <w:r w:rsidRPr="00C27151">
        <w:rPr>
          <w:rFonts w:eastAsia="Times New Roman" w:cs="Arial"/>
          <w:color w:val="000000"/>
          <w:lang w:eastAsia="bg-BG"/>
        </w:rPr>
        <w:t xml:space="preserve">Понижаването на систоличното налягане е било съпоставимо при пациентите, получавали валсартан (15 </w:t>
      </w:r>
      <w:r w:rsidRPr="00C27151">
        <w:rPr>
          <w:rFonts w:eastAsia="Times New Roman" w:cs="Arial"/>
          <w:color w:val="000000"/>
          <w:lang w:val="en-US"/>
        </w:rPr>
        <w:t xml:space="preserve">mmHg) </w:t>
      </w:r>
      <w:r w:rsidRPr="00C27151">
        <w:rPr>
          <w:rFonts w:eastAsia="Times New Roman" w:cs="Arial"/>
          <w:color w:val="000000"/>
          <w:lang w:eastAsia="bg-BG"/>
        </w:rPr>
        <w:t xml:space="preserve">и еналаприл (14 </w:t>
      </w:r>
      <w:r w:rsidRPr="00C27151">
        <w:rPr>
          <w:rFonts w:eastAsia="Times New Roman" w:cs="Arial"/>
          <w:color w:val="000000"/>
          <w:lang w:val="en-US"/>
        </w:rPr>
        <w:t>mm</w:t>
      </w:r>
      <w:r w:rsidRPr="00C27151">
        <w:rPr>
          <w:rFonts w:eastAsia="Times New Roman" w:cs="Arial"/>
          <w:color w:val="000000"/>
          <w:lang w:eastAsia="bg-BG"/>
        </w:rPr>
        <w:t xml:space="preserve"> </w:t>
      </w:r>
      <w:r w:rsidRPr="00C27151">
        <w:rPr>
          <w:rFonts w:eastAsia="Times New Roman" w:cs="Arial"/>
          <w:color w:val="000000"/>
          <w:lang w:val="en-US"/>
        </w:rPr>
        <w:t xml:space="preserve">Hg) </w:t>
      </w:r>
      <w:r w:rsidRPr="00C27151">
        <w:rPr>
          <w:rFonts w:eastAsia="Times New Roman" w:cs="Arial"/>
          <w:color w:val="000000"/>
          <w:lang w:eastAsia="bg-BG"/>
        </w:rPr>
        <w:t xml:space="preserve">(не по-малка р-стойност &lt;0.0001). Последователни резултати са били наблюдавани при диастолното налягане с понижение от съответно 9.1 </w:t>
      </w:r>
      <w:r w:rsidRPr="00C27151">
        <w:rPr>
          <w:rFonts w:eastAsia="Times New Roman" w:cs="Arial"/>
          <w:color w:val="000000"/>
          <w:lang w:val="en-US"/>
        </w:rPr>
        <w:t xml:space="preserve">mmHg </w:t>
      </w:r>
      <w:r w:rsidRPr="00C27151">
        <w:rPr>
          <w:rFonts w:eastAsia="Times New Roman" w:cs="Arial"/>
          <w:color w:val="000000"/>
          <w:lang w:eastAsia="bg-BG"/>
        </w:rPr>
        <w:t xml:space="preserve">и 8.5 </w:t>
      </w:r>
      <w:r w:rsidRPr="00C27151">
        <w:rPr>
          <w:rFonts w:eastAsia="Times New Roman" w:cs="Arial"/>
          <w:color w:val="000000"/>
          <w:lang w:val="en-US"/>
        </w:rPr>
        <w:t xml:space="preserve">mmHg </w:t>
      </w:r>
      <w:r w:rsidRPr="00C27151">
        <w:rPr>
          <w:rFonts w:eastAsia="Times New Roman" w:cs="Arial"/>
          <w:color w:val="000000"/>
          <w:lang w:eastAsia="bg-BG"/>
        </w:rPr>
        <w:t>при валсартан и еналаприл.</w:t>
      </w:r>
    </w:p>
    <w:p w14:paraId="7C74DE07" w14:textId="77777777" w:rsidR="00C27151" w:rsidRPr="00C27151" w:rsidRDefault="00C27151" w:rsidP="00C27151">
      <w:pPr>
        <w:spacing w:line="240" w:lineRule="auto"/>
        <w:rPr>
          <w:rFonts w:eastAsia="Times New Roman" w:cs="Arial"/>
          <w:color w:val="000000"/>
          <w:lang w:eastAsia="bg-BG"/>
        </w:rPr>
      </w:pPr>
    </w:p>
    <w:p w14:paraId="4915963E" w14:textId="2B33C763"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 xml:space="preserve">При трето, отворено клинично проучване, включващо 150 педиатрични пациенти с хипертония на възраст от 6 до 17 години, отговарящите на условията пациенти (систолично кръвно налягане ≥95 персентил за възраст, пол и височина) са получавали валсартан за 18 месеца, за да се установи безопасността и толерантността. От 150-те пациента, които участват в това проучване, 41 пациента получават също съвместно антихипертензивно лечение. Пациентите са дозирани въз основа на тяхното тегло в категории за началната и поддържащите дози. Пациентите с тегло от 18 до &lt;35 </w:t>
      </w:r>
      <w:r w:rsidRPr="00C27151">
        <w:rPr>
          <w:rFonts w:eastAsia="Times New Roman" w:cs="Arial"/>
          <w:color w:val="000000"/>
          <w:lang w:val="en-US"/>
        </w:rPr>
        <w:t xml:space="preserve">kg, </w:t>
      </w:r>
      <w:r w:rsidRPr="00C27151">
        <w:rPr>
          <w:rFonts w:eastAsia="Times New Roman" w:cs="Arial"/>
          <w:color w:val="000000"/>
          <w:lang w:eastAsia="bg-BG"/>
        </w:rPr>
        <w:t xml:space="preserve">от ≥35 до &lt;80 </w:t>
      </w:r>
      <w:r w:rsidRPr="00C27151">
        <w:rPr>
          <w:rFonts w:eastAsia="Times New Roman" w:cs="Arial"/>
          <w:color w:val="000000"/>
          <w:lang w:val="en-US"/>
        </w:rPr>
        <w:t xml:space="preserve">kg </w:t>
      </w:r>
      <w:r w:rsidRPr="00C27151">
        <w:rPr>
          <w:rFonts w:eastAsia="Times New Roman" w:cs="Arial"/>
          <w:color w:val="000000"/>
          <w:lang w:eastAsia="bg-BG"/>
        </w:rPr>
        <w:t xml:space="preserve">и от &gt;80 до &lt;160 </w:t>
      </w:r>
      <w:r w:rsidRPr="00C27151">
        <w:rPr>
          <w:rFonts w:eastAsia="Times New Roman" w:cs="Arial"/>
          <w:color w:val="000000"/>
          <w:lang w:val="en-US"/>
        </w:rPr>
        <w:t xml:space="preserve">kg </w:t>
      </w:r>
      <w:r w:rsidRPr="00C27151">
        <w:rPr>
          <w:rFonts w:eastAsia="Times New Roman" w:cs="Arial"/>
          <w:color w:val="000000"/>
          <w:lang w:eastAsia="bg-BG"/>
        </w:rPr>
        <w:t xml:space="preserve">са получавали 40 </w:t>
      </w:r>
      <w:r w:rsidRPr="00C27151">
        <w:rPr>
          <w:rFonts w:eastAsia="Times New Roman" w:cs="Arial"/>
          <w:color w:val="000000"/>
          <w:lang w:val="en-US"/>
        </w:rPr>
        <w:t xml:space="preserve">mg, </w:t>
      </w:r>
      <w:r w:rsidRPr="00C27151">
        <w:rPr>
          <w:rFonts w:eastAsia="Times New Roman" w:cs="Arial"/>
          <w:color w:val="000000"/>
          <w:lang w:eastAsia="bg-BG"/>
        </w:rPr>
        <w:t xml:space="preserve">80 </w:t>
      </w:r>
      <w:r w:rsidRPr="00C27151">
        <w:rPr>
          <w:rFonts w:eastAsia="Times New Roman" w:cs="Arial"/>
          <w:color w:val="000000"/>
          <w:lang w:val="en-US"/>
        </w:rPr>
        <w:t xml:space="preserve">mg </w:t>
      </w:r>
      <w:r w:rsidRPr="00C27151">
        <w:rPr>
          <w:rFonts w:eastAsia="Times New Roman" w:cs="Arial"/>
          <w:color w:val="000000"/>
          <w:lang w:eastAsia="bg-BG"/>
        </w:rPr>
        <w:t xml:space="preserve">и 160 </w:t>
      </w:r>
      <w:r w:rsidRPr="00C27151">
        <w:rPr>
          <w:rFonts w:eastAsia="Times New Roman" w:cs="Arial"/>
          <w:color w:val="000000"/>
          <w:lang w:val="en-US"/>
        </w:rPr>
        <w:t xml:space="preserve">mg </w:t>
      </w:r>
      <w:r w:rsidRPr="00C27151">
        <w:rPr>
          <w:rFonts w:eastAsia="Times New Roman" w:cs="Arial"/>
          <w:color w:val="000000"/>
          <w:lang w:eastAsia="bg-BG"/>
        </w:rPr>
        <w:t xml:space="preserve">и след една седмица дозите са титрирани съответно до 80 </w:t>
      </w:r>
      <w:r w:rsidRPr="00C27151">
        <w:rPr>
          <w:rFonts w:eastAsia="Times New Roman" w:cs="Arial"/>
          <w:color w:val="000000"/>
          <w:lang w:val="en-US"/>
        </w:rPr>
        <w:t xml:space="preserve">mg, </w:t>
      </w:r>
      <w:r w:rsidRPr="00C27151">
        <w:rPr>
          <w:rFonts w:eastAsia="Times New Roman" w:cs="Arial"/>
          <w:color w:val="000000"/>
          <w:lang w:eastAsia="bg-BG"/>
        </w:rPr>
        <w:t xml:space="preserve">160 </w:t>
      </w:r>
      <w:r w:rsidRPr="00C27151">
        <w:rPr>
          <w:rFonts w:eastAsia="Times New Roman" w:cs="Arial"/>
          <w:color w:val="000000"/>
          <w:lang w:val="en-US"/>
        </w:rPr>
        <w:t xml:space="preserve">mg </w:t>
      </w:r>
      <w:r w:rsidRPr="00C27151">
        <w:rPr>
          <w:rFonts w:eastAsia="Times New Roman" w:cs="Arial"/>
          <w:color w:val="000000"/>
          <w:lang w:eastAsia="bg-BG"/>
        </w:rPr>
        <w:t xml:space="preserve">и 320 </w:t>
      </w:r>
      <w:r w:rsidRPr="00C27151">
        <w:rPr>
          <w:rFonts w:eastAsia="Times New Roman" w:cs="Arial"/>
          <w:color w:val="000000"/>
          <w:lang w:val="en-US"/>
        </w:rPr>
        <w:t xml:space="preserve">mg. </w:t>
      </w:r>
      <w:r w:rsidRPr="00C27151">
        <w:rPr>
          <w:rFonts w:eastAsia="Times New Roman" w:cs="Arial"/>
          <w:color w:val="000000"/>
          <w:lang w:eastAsia="bg-BG"/>
        </w:rPr>
        <w:t xml:space="preserve">Половината от включените пациенти (50,0%, </w:t>
      </w:r>
      <w:r w:rsidRPr="00C27151">
        <w:rPr>
          <w:rFonts w:eastAsia="Times New Roman" w:cs="Arial"/>
          <w:color w:val="000000"/>
          <w:lang w:val="en-US"/>
        </w:rPr>
        <w:t>n</w:t>
      </w:r>
      <w:r w:rsidRPr="00C27151">
        <w:rPr>
          <w:rFonts w:eastAsia="Times New Roman" w:cs="Arial"/>
          <w:color w:val="000000"/>
          <w:lang w:eastAsia="bg-BG"/>
        </w:rPr>
        <w:t xml:space="preserve">=75) са имали ХБЗ, като 29,3% от пациентите са били с ХБЗ Стадий 2 </w:t>
      </w:r>
      <w:r w:rsidRPr="00C27151">
        <w:rPr>
          <w:rFonts w:eastAsia="Times New Roman" w:cs="Arial"/>
          <w:color w:val="000000"/>
          <w:lang w:val="en-US"/>
        </w:rPr>
        <w:t xml:space="preserve">(GFR </w:t>
      </w:r>
      <w:r w:rsidRPr="00C27151">
        <w:rPr>
          <w:rFonts w:eastAsia="Times New Roman" w:cs="Arial"/>
          <w:color w:val="000000"/>
          <w:lang w:eastAsia="bg-BG"/>
        </w:rPr>
        <w:t xml:space="preserve">60 - 89 </w:t>
      </w:r>
      <w:r w:rsidRPr="00C27151">
        <w:rPr>
          <w:rFonts w:eastAsia="Times New Roman" w:cs="Arial"/>
          <w:color w:val="000000"/>
          <w:lang w:val="en-US"/>
        </w:rPr>
        <w:t xml:space="preserve">mL/min/l,73m2) </w:t>
      </w:r>
      <w:r w:rsidRPr="00C27151">
        <w:rPr>
          <w:rFonts w:eastAsia="Times New Roman" w:cs="Arial"/>
          <w:color w:val="000000"/>
          <w:lang w:eastAsia="bg-BG"/>
        </w:rPr>
        <w:t xml:space="preserve">или Стадий 3 </w:t>
      </w:r>
      <w:r w:rsidRPr="00C27151">
        <w:rPr>
          <w:rFonts w:eastAsia="Times New Roman" w:cs="Arial"/>
          <w:color w:val="000000"/>
          <w:lang w:val="en-US"/>
        </w:rPr>
        <w:t xml:space="preserve">(GFR </w:t>
      </w:r>
      <w:r w:rsidRPr="00C27151">
        <w:rPr>
          <w:rFonts w:eastAsia="Times New Roman" w:cs="Arial"/>
          <w:color w:val="000000"/>
          <w:lang w:eastAsia="bg-BG"/>
        </w:rPr>
        <w:t xml:space="preserve">30-59 </w:t>
      </w:r>
      <w:r w:rsidRPr="00C27151">
        <w:rPr>
          <w:rFonts w:eastAsia="Times New Roman" w:cs="Arial"/>
          <w:color w:val="000000"/>
          <w:lang w:val="en-US"/>
        </w:rPr>
        <w:t xml:space="preserve">mL/min/l,73m2). </w:t>
      </w:r>
      <w:r w:rsidRPr="00C27151">
        <w:rPr>
          <w:rFonts w:eastAsia="Times New Roman" w:cs="Arial"/>
          <w:color w:val="000000"/>
          <w:lang w:eastAsia="bg-BG"/>
        </w:rPr>
        <w:t xml:space="preserve">Средните понижения на систоличното кръвно налягане са били 14,9 </w:t>
      </w:r>
      <w:r w:rsidRPr="00C27151">
        <w:rPr>
          <w:rFonts w:eastAsia="Times New Roman" w:cs="Arial"/>
          <w:color w:val="000000"/>
          <w:lang w:val="en-US"/>
        </w:rPr>
        <w:t xml:space="preserve">mmHg </w:t>
      </w:r>
      <w:r w:rsidRPr="00C27151">
        <w:rPr>
          <w:rFonts w:eastAsia="Times New Roman" w:cs="Arial"/>
          <w:color w:val="000000"/>
          <w:lang w:eastAsia="bg-BG"/>
        </w:rPr>
        <w:t xml:space="preserve">при всички пациенти (изходно ниво 133,5 </w:t>
      </w:r>
      <w:r w:rsidRPr="00C27151">
        <w:rPr>
          <w:rFonts w:eastAsia="Times New Roman" w:cs="Arial"/>
          <w:color w:val="000000"/>
          <w:lang w:val="en-US"/>
        </w:rPr>
        <w:t xml:space="preserve">mmHg), </w:t>
      </w:r>
      <w:r w:rsidRPr="00C27151">
        <w:rPr>
          <w:rFonts w:eastAsia="Times New Roman" w:cs="Arial"/>
          <w:color w:val="000000"/>
          <w:lang w:eastAsia="bg-BG"/>
        </w:rPr>
        <w:t xml:space="preserve">18,4 </w:t>
      </w:r>
      <w:r w:rsidRPr="00C27151">
        <w:rPr>
          <w:rFonts w:eastAsia="Times New Roman" w:cs="Arial"/>
          <w:color w:val="000000"/>
          <w:lang w:val="en-US"/>
        </w:rPr>
        <w:t xml:space="preserve">mmHg </w:t>
      </w:r>
      <w:r w:rsidRPr="00C27151">
        <w:rPr>
          <w:rFonts w:eastAsia="Times New Roman" w:cs="Arial"/>
          <w:color w:val="000000"/>
          <w:lang w:eastAsia="bg-BG"/>
        </w:rPr>
        <w:t xml:space="preserve">при пациентите с ХБЗ (изходно ниво 131,9 </w:t>
      </w:r>
      <w:r w:rsidRPr="00C27151">
        <w:rPr>
          <w:rFonts w:eastAsia="Times New Roman" w:cs="Arial"/>
          <w:color w:val="000000"/>
          <w:lang w:val="en-US"/>
        </w:rPr>
        <w:t xml:space="preserve">mmHg) </w:t>
      </w:r>
      <w:r w:rsidRPr="00C27151">
        <w:rPr>
          <w:rFonts w:eastAsia="Times New Roman" w:cs="Arial"/>
          <w:color w:val="000000"/>
          <w:lang w:eastAsia="bg-BG"/>
        </w:rPr>
        <w:t xml:space="preserve">и 11,5 </w:t>
      </w:r>
      <w:r w:rsidRPr="00C27151">
        <w:rPr>
          <w:rFonts w:eastAsia="Times New Roman" w:cs="Arial"/>
          <w:color w:val="000000"/>
          <w:lang w:val="en-US"/>
        </w:rPr>
        <w:t xml:space="preserve">mmHg </w:t>
      </w:r>
      <w:r w:rsidRPr="00C27151">
        <w:rPr>
          <w:rFonts w:eastAsia="Times New Roman" w:cs="Arial"/>
          <w:color w:val="000000"/>
          <w:lang w:eastAsia="bg-BG"/>
        </w:rPr>
        <w:t xml:space="preserve">при пациентите без ХБЗ (изходно ниво 135,1 </w:t>
      </w:r>
      <w:r w:rsidRPr="00C27151">
        <w:rPr>
          <w:rFonts w:eastAsia="Times New Roman" w:cs="Arial"/>
          <w:color w:val="000000"/>
          <w:lang w:val="en-US"/>
        </w:rPr>
        <w:t xml:space="preserve">mmHg). </w:t>
      </w:r>
      <w:r w:rsidRPr="00C27151">
        <w:rPr>
          <w:rFonts w:eastAsia="Times New Roman" w:cs="Arial"/>
          <w:color w:val="000000"/>
          <w:lang w:eastAsia="bg-BG"/>
        </w:rPr>
        <w:t>Процентът от пациентите, които са постигнали общ контрол на кръвното налягане (както систолично, така и диастолно кръвно налягане &lt;95 персентила) е малко по-висок в</w:t>
      </w:r>
    </w:p>
    <w:p w14:paraId="5C31970C"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групата с ХБЗ (79,5%) в сравнение с групата без ХБЗ (72,2%).</w:t>
      </w:r>
    </w:p>
    <w:p w14:paraId="26EAB8C1" w14:textId="77777777" w:rsidR="00C27151" w:rsidRPr="00C27151" w:rsidRDefault="00C27151" w:rsidP="00C27151">
      <w:pPr>
        <w:spacing w:line="240" w:lineRule="auto"/>
        <w:rPr>
          <w:rFonts w:eastAsia="Times New Roman" w:cs="Arial"/>
          <w:i/>
          <w:iCs/>
          <w:color w:val="000000"/>
          <w:u w:val="single"/>
          <w:lang w:eastAsia="bg-BG"/>
        </w:rPr>
      </w:pPr>
    </w:p>
    <w:p w14:paraId="4ED1623D" w14:textId="2A76B42C" w:rsidR="00C27151" w:rsidRPr="00C27151" w:rsidRDefault="00C27151" w:rsidP="00C27151">
      <w:pPr>
        <w:spacing w:line="240" w:lineRule="auto"/>
        <w:rPr>
          <w:rFonts w:eastAsia="Times New Roman" w:cs="Arial"/>
          <w:lang w:val="en-US" w:eastAsia="bg-BG"/>
        </w:rPr>
      </w:pPr>
      <w:r w:rsidRPr="00C27151">
        <w:rPr>
          <w:rFonts w:eastAsia="Times New Roman" w:cs="Arial"/>
          <w:i/>
          <w:iCs/>
          <w:color w:val="000000"/>
          <w:u w:val="single"/>
          <w:lang w:eastAsia="bg-BG"/>
        </w:rPr>
        <w:t>Клиничен опит при деиа на възраст под 6 години</w:t>
      </w:r>
    </w:p>
    <w:p w14:paraId="30A71617"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Проведени са три клинични проучвания при 291 пациенти на възраст от 1 до 5 години. В проучванията не са включени деца под 1 година.</w:t>
      </w:r>
    </w:p>
    <w:p w14:paraId="1507384A"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В първото проучване с 90 пациенти не е демонстриран дозозависим клиничен отговор, но във второто проучване със 75 пациенти, по-високите дози на валсартан са свързани с по-голямо понижение на артериалното налягане.</w:t>
      </w:r>
    </w:p>
    <w:p w14:paraId="510730BE"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 xml:space="preserve">Третото проучване е 6-седмично рандомизирано двойносляпо проучване за оценка на дозовия отговор на валсартан при 126 деца на възраст от 1 до 5 години с хипертония, със или без ХБЗ, рандомзирани на 0,25 </w:t>
      </w:r>
      <w:r w:rsidRPr="00C27151">
        <w:rPr>
          <w:rFonts w:eastAsia="Times New Roman" w:cs="Arial"/>
          <w:color w:val="000000"/>
          <w:lang w:val="en-US"/>
        </w:rPr>
        <w:t xml:space="preserve">mg/kg </w:t>
      </w:r>
      <w:r w:rsidRPr="00C27151">
        <w:rPr>
          <w:rFonts w:eastAsia="Times New Roman" w:cs="Arial"/>
          <w:color w:val="000000"/>
          <w:lang w:eastAsia="bg-BG"/>
        </w:rPr>
        <w:t xml:space="preserve">или 4 </w:t>
      </w:r>
      <w:r w:rsidRPr="00C27151">
        <w:rPr>
          <w:rFonts w:eastAsia="Times New Roman" w:cs="Arial"/>
          <w:color w:val="000000"/>
          <w:lang w:val="en-US"/>
        </w:rPr>
        <w:t xml:space="preserve">mg/kg </w:t>
      </w:r>
      <w:r w:rsidRPr="00C27151">
        <w:rPr>
          <w:rFonts w:eastAsia="Times New Roman" w:cs="Arial"/>
          <w:color w:val="000000"/>
          <w:lang w:eastAsia="bg-BG"/>
        </w:rPr>
        <w:t xml:space="preserve">телесно тегло. При достигане на крайната цел, намалението на средното систолно налягане </w:t>
      </w:r>
      <w:r w:rsidRPr="00C27151">
        <w:rPr>
          <w:rFonts w:eastAsia="Times New Roman" w:cs="Arial"/>
          <w:color w:val="000000"/>
          <w:lang w:val="en-US"/>
        </w:rPr>
        <w:t xml:space="preserve">(MSBP)/ </w:t>
      </w:r>
      <w:r w:rsidRPr="00C27151">
        <w:rPr>
          <w:rFonts w:eastAsia="Times New Roman" w:cs="Arial"/>
          <w:color w:val="000000"/>
          <w:lang w:eastAsia="bg-BG"/>
        </w:rPr>
        <w:t xml:space="preserve">средното диастолно налягане </w:t>
      </w:r>
      <w:r w:rsidRPr="00C27151">
        <w:rPr>
          <w:rFonts w:eastAsia="Times New Roman" w:cs="Arial"/>
          <w:color w:val="000000"/>
          <w:lang w:val="en-US"/>
        </w:rPr>
        <w:t xml:space="preserve">(MDBP) </w:t>
      </w:r>
      <w:r w:rsidRPr="00C27151">
        <w:rPr>
          <w:rFonts w:eastAsia="Times New Roman" w:cs="Arial"/>
          <w:color w:val="000000"/>
          <w:lang w:eastAsia="bg-BG"/>
        </w:rPr>
        <w:t xml:space="preserve">при валсартан 4,0 </w:t>
      </w:r>
      <w:r w:rsidRPr="00C27151">
        <w:rPr>
          <w:rFonts w:eastAsia="Times New Roman" w:cs="Arial"/>
          <w:color w:val="000000"/>
          <w:lang w:val="en-US"/>
        </w:rPr>
        <w:t xml:space="preserve">mg/kg </w:t>
      </w:r>
      <w:r w:rsidRPr="00C27151">
        <w:rPr>
          <w:rFonts w:eastAsia="Times New Roman" w:cs="Arial"/>
          <w:color w:val="000000"/>
          <w:lang w:eastAsia="bg-BG"/>
        </w:rPr>
        <w:t xml:space="preserve">в сравнение с валсартан 0,25 </w:t>
      </w:r>
      <w:r w:rsidRPr="00C27151">
        <w:rPr>
          <w:rFonts w:eastAsia="Times New Roman" w:cs="Arial"/>
          <w:color w:val="000000"/>
          <w:lang w:val="en-US"/>
        </w:rPr>
        <w:t xml:space="preserve">mg/kg </w:t>
      </w:r>
      <w:r w:rsidRPr="00C27151">
        <w:rPr>
          <w:rFonts w:eastAsia="Times New Roman" w:cs="Arial"/>
          <w:color w:val="000000"/>
          <w:lang w:eastAsia="bg-BG"/>
        </w:rPr>
        <w:t xml:space="preserve">е 8,5/6,8 </w:t>
      </w:r>
      <w:r w:rsidRPr="00C27151">
        <w:rPr>
          <w:rFonts w:eastAsia="Times New Roman" w:cs="Arial"/>
          <w:color w:val="000000"/>
          <w:lang w:val="en-US"/>
        </w:rPr>
        <w:t xml:space="preserve">mmHg </w:t>
      </w:r>
      <w:r w:rsidRPr="00C27151">
        <w:rPr>
          <w:rFonts w:eastAsia="Times New Roman" w:cs="Arial"/>
          <w:color w:val="000000"/>
          <w:lang w:eastAsia="bg-BG"/>
        </w:rPr>
        <w:t xml:space="preserve">и 4,1/0,3 </w:t>
      </w:r>
      <w:r w:rsidRPr="00C27151">
        <w:rPr>
          <w:rFonts w:eastAsia="Times New Roman" w:cs="Arial"/>
          <w:color w:val="000000"/>
          <w:lang w:val="en-US"/>
        </w:rPr>
        <w:t xml:space="preserve">mmHg, </w:t>
      </w:r>
      <w:r w:rsidRPr="00C27151">
        <w:rPr>
          <w:rFonts w:eastAsia="Times New Roman" w:cs="Arial"/>
          <w:color w:val="000000"/>
          <w:lang w:eastAsia="bg-BG"/>
        </w:rPr>
        <w:t>съответно;</w:t>
      </w:r>
    </w:p>
    <w:p w14:paraId="1BE5DC44" w14:textId="77777777"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 xml:space="preserve">(р=0,0157/р&lt;0,0001). По подобен начин подгрупата на ХБЗ показа също намаление на </w:t>
      </w:r>
      <w:r w:rsidRPr="00C27151">
        <w:rPr>
          <w:rFonts w:eastAsia="Times New Roman" w:cs="Arial"/>
          <w:color w:val="000000"/>
          <w:lang w:val="en-US"/>
        </w:rPr>
        <w:t xml:space="preserve">MSBP/MDBP </w:t>
      </w:r>
      <w:r w:rsidRPr="00C27151">
        <w:rPr>
          <w:rFonts w:eastAsia="Times New Roman" w:cs="Arial"/>
          <w:color w:val="000000"/>
          <w:lang w:eastAsia="bg-BG"/>
        </w:rPr>
        <w:t xml:space="preserve">с валсартан 4,0 </w:t>
      </w:r>
      <w:r w:rsidRPr="00C27151">
        <w:rPr>
          <w:rFonts w:eastAsia="Times New Roman" w:cs="Arial"/>
          <w:color w:val="000000"/>
          <w:lang w:val="en-US"/>
        </w:rPr>
        <w:t xml:space="preserve">mg/kg </w:t>
      </w:r>
      <w:r w:rsidRPr="00C27151">
        <w:rPr>
          <w:rFonts w:eastAsia="Times New Roman" w:cs="Arial"/>
          <w:color w:val="000000"/>
          <w:lang w:eastAsia="bg-BG"/>
        </w:rPr>
        <w:t xml:space="preserve">в сравнение с валсартан 0,25 </w:t>
      </w:r>
      <w:r w:rsidRPr="00C27151">
        <w:rPr>
          <w:rFonts w:eastAsia="Times New Roman" w:cs="Arial"/>
          <w:color w:val="000000"/>
          <w:lang w:val="en-US"/>
        </w:rPr>
        <w:t xml:space="preserve">mg/kg </w:t>
      </w:r>
      <w:r w:rsidRPr="00C27151">
        <w:rPr>
          <w:rFonts w:eastAsia="Times New Roman" w:cs="Arial"/>
          <w:color w:val="000000"/>
          <w:lang w:eastAsia="bg-BG"/>
        </w:rPr>
        <w:t xml:space="preserve">(9,2/6,5 </w:t>
      </w:r>
      <w:r w:rsidRPr="00C27151">
        <w:rPr>
          <w:rFonts w:eastAsia="Times New Roman" w:cs="Arial"/>
          <w:color w:val="000000"/>
          <w:lang w:val="en-US"/>
        </w:rPr>
        <w:t xml:space="preserve">mmHg </w:t>
      </w:r>
      <w:r w:rsidRPr="00C27151">
        <w:rPr>
          <w:rFonts w:eastAsia="Times New Roman" w:cs="Arial"/>
          <w:color w:val="000000"/>
          <w:lang w:eastAsia="bg-BG"/>
        </w:rPr>
        <w:t xml:space="preserve">срещу 1,2/ +1,3 </w:t>
      </w:r>
      <w:r w:rsidRPr="00C27151">
        <w:rPr>
          <w:rFonts w:eastAsia="Times New Roman" w:cs="Arial"/>
          <w:color w:val="000000"/>
          <w:lang w:val="en-US"/>
        </w:rPr>
        <w:t>mmHg).</w:t>
      </w:r>
    </w:p>
    <w:p w14:paraId="145DDF09" w14:textId="77777777" w:rsidR="00C27151" w:rsidRPr="00C27151" w:rsidRDefault="00C27151" w:rsidP="00C27151">
      <w:pPr>
        <w:spacing w:line="240" w:lineRule="auto"/>
        <w:rPr>
          <w:rFonts w:eastAsia="Times New Roman" w:cs="Arial"/>
          <w:color w:val="000000"/>
          <w:lang w:eastAsia="bg-BG"/>
        </w:rPr>
      </w:pPr>
    </w:p>
    <w:p w14:paraId="5C3FDE1D" w14:textId="519D233E" w:rsidR="00C27151" w:rsidRPr="00C27151" w:rsidRDefault="00C27151" w:rsidP="00C27151">
      <w:pPr>
        <w:spacing w:line="240" w:lineRule="auto"/>
        <w:rPr>
          <w:rFonts w:eastAsia="Times New Roman" w:cs="Arial"/>
          <w:lang w:eastAsia="bg-BG"/>
        </w:rPr>
      </w:pPr>
      <w:r w:rsidRPr="00C27151">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валсартан във всики подгрупи на педиатричната популация със сърдечна недостатъчност и сърдечна недостатъчност след скорошен инфаркт на миокарда. Вижте точка 4.2 за информация относно педиатричната употреба.</w:t>
      </w:r>
    </w:p>
    <w:p w14:paraId="68B72522" w14:textId="77777777" w:rsidR="00C27151" w:rsidRPr="00C27151" w:rsidRDefault="00C27151" w:rsidP="00C27151">
      <w:pPr>
        <w:spacing w:line="240" w:lineRule="auto"/>
        <w:rPr>
          <w:rFonts w:ascii="Times New Roman" w:eastAsia="Times New Roman" w:hAnsi="Times New Roman" w:cs="Times New Roman"/>
          <w:sz w:val="24"/>
          <w:szCs w:val="24"/>
          <w:lang w:eastAsia="bg-BG"/>
        </w:rPr>
      </w:pPr>
    </w:p>
    <w:p w14:paraId="173D7F1D" w14:textId="5B141AEF" w:rsidR="00EE6C97" w:rsidRDefault="002C50EE" w:rsidP="00A93499">
      <w:pPr>
        <w:pStyle w:val="Heading2"/>
      </w:pPr>
      <w:r>
        <w:t>5.2. Фармакокинетични свойства</w:t>
      </w:r>
    </w:p>
    <w:p w14:paraId="2D5A3AF0" w14:textId="7993C32E" w:rsidR="00C27151" w:rsidRDefault="00C27151" w:rsidP="00C27151"/>
    <w:p w14:paraId="275F65BF" w14:textId="77777777" w:rsidR="00C27151" w:rsidRPr="00C27151" w:rsidRDefault="00C27151" w:rsidP="00C27151">
      <w:pPr>
        <w:pStyle w:val="Heading3"/>
        <w:rPr>
          <w:rFonts w:eastAsia="Times New Roman"/>
          <w:u w:val="single"/>
          <w:lang w:eastAsia="bg-BG"/>
        </w:rPr>
      </w:pPr>
      <w:r w:rsidRPr="00C27151">
        <w:rPr>
          <w:rFonts w:eastAsia="Times New Roman"/>
          <w:u w:val="single"/>
          <w:lang w:eastAsia="bg-BG"/>
        </w:rPr>
        <w:lastRenderedPageBreak/>
        <w:t>Абсорбция</w:t>
      </w:r>
    </w:p>
    <w:p w14:paraId="11CF145A" w14:textId="77777777"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lang w:eastAsia="bg-BG"/>
        </w:rPr>
        <w:t xml:space="preserve">След перорално приложение само иа валсартан пиковите плазмени концентрации на валсартан се достигат в рамките на 2 - 4 часа при таблетките и 1 - 2 часа при разтвора. Средната абсолютна бионаличност е 23% и 39% съответно при таблетките и разтвора. Храната намалява експозицията (измерена по </w:t>
      </w:r>
      <w:r w:rsidRPr="00C27151">
        <w:rPr>
          <w:rFonts w:eastAsia="Times New Roman" w:cs="Arial"/>
          <w:color w:val="000000"/>
          <w:lang w:val="en-US"/>
        </w:rPr>
        <w:t xml:space="preserve">AUC) </w:t>
      </w:r>
      <w:r w:rsidRPr="00C27151">
        <w:rPr>
          <w:rFonts w:eastAsia="Times New Roman" w:cs="Arial"/>
          <w:color w:val="000000"/>
          <w:lang w:eastAsia="bg-BG"/>
        </w:rPr>
        <w:t>на валсартан с около 40%, а пиковите плазмени концентрации (С</w:t>
      </w:r>
      <w:r w:rsidRPr="00C27151">
        <w:rPr>
          <w:rFonts w:eastAsia="Times New Roman" w:cs="Arial"/>
          <w:color w:val="000000"/>
          <w:vertAlign w:val="subscript"/>
          <w:lang w:val="en-US"/>
        </w:rPr>
        <w:t>max</w:t>
      </w:r>
      <w:r w:rsidRPr="00C27151">
        <w:rPr>
          <w:rFonts w:eastAsia="Times New Roman" w:cs="Arial"/>
          <w:color w:val="000000"/>
          <w:lang w:eastAsia="bg-BG"/>
        </w:rPr>
        <w:t xml:space="preserve">) с около 50%; въпреки това в рамките на 8 часа след прием плазмените концентрации на валсартан са сходни при прием на гладно и след хранене. Тази редукция на </w:t>
      </w:r>
      <w:r w:rsidRPr="00C27151">
        <w:rPr>
          <w:rFonts w:eastAsia="Times New Roman" w:cs="Arial"/>
          <w:color w:val="000000"/>
          <w:lang w:val="en-US"/>
        </w:rPr>
        <w:t xml:space="preserve">AUC, </w:t>
      </w:r>
      <w:r w:rsidRPr="00C27151">
        <w:rPr>
          <w:rFonts w:eastAsia="Times New Roman" w:cs="Arial"/>
          <w:color w:val="000000"/>
          <w:lang w:eastAsia="bg-BG"/>
        </w:rPr>
        <w:t>обаче, не е придружена от клинично значимо намаление на терапевтичния ефект, и поради тази причина валсартан може да бъде приеман с и без храна.</w:t>
      </w:r>
    </w:p>
    <w:p w14:paraId="2C00CD2F" w14:textId="77777777" w:rsidR="00C27151" w:rsidRPr="00C27151" w:rsidRDefault="00C27151" w:rsidP="00C27151">
      <w:pPr>
        <w:spacing w:line="240" w:lineRule="auto"/>
        <w:rPr>
          <w:rFonts w:eastAsia="Times New Roman" w:cs="Arial"/>
          <w:color w:val="000000"/>
          <w:u w:val="single"/>
          <w:lang w:eastAsia="bg-BG"/>
        </w:rPr>
      </w:pPr>
    </w:p>
    <w:p w14:paraId="504C6A81" w14:textId="32A98284" w:rsidR="00C27151" w:rsidRPr="00C27151" w:rsidRDefault="00C27151" w:rsidP="00C27151">
      <w:pPr>
        <w:pStyle w:val="Heading3"/>
        <w:rPr>
          <w:rFonts w:eastAsia="Times New Roman"/>
          <w:u w:val="single"/>
          <w:lang w:eastAsia="bg-BG"/>
        </w:rPr>
      </w:pPr>
      <w:r w:rsidRPr="00C27151">
        <w:rPr>
          <w:rFonts w:eastAsia="Times New Roman"/>
          <w:u w:val="single"/>
          <w:lang w:eastAsia="bg-BG"/>
        </w:rPr>
        <w:t>Разпределение</w:t>
      </w:r>
    </w:p>
    <w:p w14:paraId="1E9EBE57" w14:textId="77777777"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lang w:eastAsia="bg-BG"/>
        </w:rPr>
        <w:t>Стабилният обем на разпределение на валсартан след интравензно приложение е около 17 литра, което индикира, че валсартан не се разпределя обширно в тъканите. Валсартан се свързва в голяма степен със серумните протеини (94 - 97%), основно със серумния албумин.</w:t>
      </w:r>
    </w:p>
    <w:p w14:paraId="78985594" w14:textId="77777777" w:rsidR="00C27151" w:rsidRPr="00C27151" w:rsidRDefault="00C27151" w:rsidP="00C27151">
      <w:pPr>
        <w:spacing w:line="240" w:lineRule="auto"/>
        <w:rPr>
          <w:rFonts w:eastAsia="Times New Roman" w:cs="Arial"/>
          <w:color w:val="000000"/>
          <w:u w:val="single"/>
          <w:lang w:eastAsia="bg-BG"/>
        </w:rPr>
      </w:pPr>
    </w:p>
    <w:p w14:paraId="4AF8E386" w14:textId="35CC45A3" w:rsidR="00C27151" w:rsidRPr="00C27151" w:rsidRDefault="00C27151" w:rsidP="00C27151">
      <w:pPr>
        <w:pStyle w:val="Heading3"/>
        <w:rPr>
          <w:rFonts w:eastAsia="Times New Roman"/>
          <w:u w:val="single"/>
          <w:lang w:eastAsia="bg-BG"/>
        </w:rPr>
      </w:pPr>
      <w:r w:rsidRPr="00C27151">
        <w:rPr>
          <w:rFonts w:eastAsia="Times New Roman"/>
          <w:u w:val="single"/>
          <w:lang w:eastAsia="bg-BG"/>
        </w:rPr>
        <w:t>Биотрансформация</w:t>
      </w:r>
    </w:p>
    <w:p w14:paraId="493D764D" w14:textId="77777777"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lang w:eastAsia="bg-BG"/>
        </w:rPr>
        <w:t xml:space="preserve">Биотрансформацията на валсартан не е в голяма степен като само около 20% от дозата се открива като метаболити. В плазмата в ниски концентрации се открива хидрокси метаболит (по-малко от 10% от валсартан </w:t>
      </w:r>
      <w:r w:rsidRPr="00C27151">
        <w:rPr>
          <w:rFonts w:eastAsia="Times New Roman" w:cs="Arial"/>
          <w:color w:val="000000"/>
          <w:lang w:val="en-US"/>
        </w:rPr>
        <w:t xml:space="preserve">AUC). </w:t>
      </w:r>
      <w:r w:rsidRPr="00C27151">
        <w:rPr>
          <w:rFonts w:eastAsia="Times New Roman" w:cs="Arial"/>
          <w:color w:val="000000"/>
          <w:lang w:eastAsia="bg-BG"/>
        </w:rPr>
        <w:t>Този метаболит е фармакологично инактивен.</w:t>
      </w:r>
    </w:p>
    <w:p w14:paraId="3FD25F8D" w14:textId="77777777" w:rsidR="00C27151" w:rsidRPr="00C27151" w:rsidRDefault="00C27151" w:rsidP="00C27151">
      <w:pPr>
        <w:spacing w:line="240" w:lineRule="auto"/>
        <w:rPr>
          <w:rFonts w:eastAsia="Times New Roman" w:cs="Arial"/>
          <w:color w:val="000000"/>
          <w:u w:val="single"/>
          <w:lang w:eastAsia="bg-BG"/>
        </w:rPr>
      </w:pPr>
    </w:p>
    <w:p w14:paraId="55F05405" w14:textId="07180708" w:rsidR="00C27151" w:rsidRPr="00C27151" w:rsidRDefault="00C27151" w:rsidP="00C27151">
      <w:pPr>
        <w:pStyle w:val="Heading3"/>
        <w:rPr>
          <w:rFonts w:eastAsia="Times New Roman"/>
          <w:u w:val="single"/>
          <w:lang w:eastAsia="bg-BG"/>
        </w:rPr>
      </w:pPr>
      <w:r w:rsidRPr="00C27151">
        <w:rPr>
          <w:rFonts w:eastAsia="Times New Roman"/>
          <w:u w:val="single"/>
          <w:lang w:eastAsia="bg-BG"/>
        </w:rPr>
        <w:t>Елиминиране</w:t>
      </w:r>
    </w:p>
    <w:p w14:paraId="7FD41ACE" w14:textId="77777777"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lang w:eastAsia="bg-BG"/>
        </w:rPr>
        <w:t xml:space="preserve">Валсартан показва мултиекспоненциална кинетика на разпад </w:t>
      </w:r>
      <w:r w:rsidRPr="00C27151">
        <w:rPr>
          <w:rFonts w:eastAsia="Times New Roman" w:cs="Arial"/>
          <w:color w:val="000000"/>
          <w:lang w:val="en-US"/>
        </w:rPr>
        <w:t xml:space="preserve">(t1/2 </w:t>
      </w:r>
      <w:r w:rsidRPr="00C27151">
        <w:rPr>
          <w:rFonts w:eastAsia="Times New Roman" w:cs="Arial"/>
          <w:color w:val="000000"/>
          <w:lang w:eastAsia="bg-BG"/>
        </w:rPr>
        <w:t xml:space="preserve">&lt;1 </w:t>
      </w:r>
      <w:r w:rsidRPr="00C27151">
        <w:rPr>
          <w:rFonts w:eastAsia="Times New Roman" w:cs="Arial"/>
          <w:color w:val="000000"/>
          <w:lang w:val="en-US"/>
        </w:rPr>
        <w:t xml:space="preserve">h </w:t>
      </w:r>
      <w:r w:rsidRPr="00C27151">
        <w:rPr>
          <w:rFonts w:eastAsia="Times New Roman" w:cs="Arial"/>
          <w:color w:val="000000"/>
          <w:lang w:eastAsia="bg-BG"/>
        </w:rPr>
        <w:t xml:space="preserve">и </w:t>
      </w:r>
      <w:r w:rsidRPr="00C27151">
        <w:rPr>
          <w:rFonts w:eastAsia="Times New Roman" w:cs="Arial"/>
          <w:color w:val="000000"/>
          <w:lang w:val="en-US"/>
        </w:rPr>
        <w:t>t1/2</w:t>
      </w:r>
      <w:r w:rsidRPr="00C27151">
        <w:rPr>
          <w:rFonts w:eastAsia="Times New Roman" w:cs="Arial"/>
          <w:color w:val="000000"/>
          <w:lang w:eastAsia="bg-BG"/>
        </w:rPr>
        <w:t>β</w:t>
      </w:r>
      <w:r w:rsidRPr="00C27151">
        <w:rPr>
          <w:rFonts w:eastAsia="Times New Roman" w:cs="Arial"/>
          <w:color w:val="000000"/>
          <w:lang w:val="en-US"/>
        </w:rPr>
        <w:t xml:space="preserve"> </w:t>
      </w:r>
      <w:r w:rsidRPr="00C27151">
        <w:rPr>
          <w:rFonts w:eastAsia="Times New Roman" w:cs="Arial"/>
          <w:color w:val="000000"/>
          <w:lang w:eastAsia="bg-BG"/>
        </w:rPr>
        <w:t>около 9 часа). Валсартан се елиминира основно чрез жлъчната секреция с изпражненията (около 83% от дозата) и чрез бъбреците с урината (около 13%), главно като непроменено лекарство. След интравенозно приложение плазменият клирънс на валсартан е около 2 л/ час, а бъбречният клирънс е 0,62 л/ час (около 30% от общия клирънс). Плазменият полуживот на валсартан е 6 часа.</w:t>
      </w:r>
    </w:p>
    <w:p w14:paraId="4C6C7AD7" w14:textId="77777777" w:rsidR="00C27151" w:rsidRPr="00C27151" w:rsidRDefault="00C27151" w:rsidP="00C27151">
      <w:pPr>
        <w:spacing w:line="240" w:lineRule="auto"/>
        <w:rPr>
          <w:rFonts w:eastAsia="Times New Roman" w:cs="Arial"/>
          <w:color w:val="000000"/>
          <w:u w:val="single"/>
          <w:lang w:eastAsia="bg-BG"/>
        </w:rPr>
      </w:pPr>
    </w:p>
    <w:p w14:paraId="07154C9F" w14:textId="04A86D0F"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u w:val="single"/>
          <w:lang w:eastAsia="bg-BG"/>
        </w:rPr>
        <w:t xml:space="preserve">При пациенти със сърдечна недостатъчност (40 </w:t>
      </w:r>
      <w:r w:rsidRPr="00C27151">
        <w:rPr>
          <w:rFonts w:eastAsia="Times New Roman" w:cs="Arial"/>
          <w:color w:val="000000"/>
          <w:u w:val="single"/>
          <w:lang w:val="en-US"/>
        </w:rPr>
        <w:t xml:space="preserve">mg, </w:t>
      </w:r>
      <w:r w:rsidRPr="00C27151">
        <w:rPr>
          <w:rFonts w:eastAsia="Times New Roman" w:cs="Arial"/>
          <w:color w:val="000000"/>
          <w:u w:val="single"/>
          <w:lang w:eastAsia="bg-BG"/>
        </w:rPr>
        <w:t xml:space="preserve">80 </w:t>
      </w:r>
      <w:r w:rsidRPr="00C27151">
        <w:rPr>
          <w:rFonts w:eastAsia="Times New Roman" w:cs="Arial"/>
          <w:color w:val="000000"/>
          <w:u w:val="single"/>
          <w:lang w:val="en-US"/>
        </w:rPr>
        <w:t xml:space="preserve">mg </w:t>
      </w:r>
      <w:r w:rsidRPr="00C27151">
        <w:rPr>
          <w:rFonts w:eastAsia="Times New Roman" w:cs="Arial"/>
          <w:color w:val="000000"/>
          <w:u w:val="single"/>
          <w:lang w:eastAsia="bg-BG"/>
        </w:rPr>
        <w:t xml:space="preserve">и 160 </w:t>
      </w:r>
      <w:r w:rsidRPr="00C27151">
        <w:rPr>
          <w:rFonts w:eastAsia="Times New Roman" w:cs="Arial"/>
          <w:color w:val="000000"/>
          <w:u w:val="single"/>
          <w:lang w:val="en-US"/>
        </w:rPr>
        <w:t>mg):</w:t>
      </w:r>
    </w:p>
    <w:p w14:paraId="572925EF" w14:textId="77777777"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lang w:eastAsia="bg-BG"/>
        </w:rPr>
        <w:t xml:space="preserve">Средната продължителност до достигане на пикови концентрации и елиминационен полуживот на валсартан при пациенти със сърдечна недостатъчност са сходни с тези, наблюдавани при здрави доброволци. Стойностите на </w:t>
      </w:r>
      <w:r w:rsidRPr="00C27151">
        <w:rPr>
          <w:rFonts w:eastAsia="Times New Roman" w:cs="Arial"/>
          <w:color w:val="000000"/>
          <w:lang w:val="en-US"/>
        </w:rPr>
        <w:t xml:space="preserve">AUC </w:t>
      </w:r>
      <w:r w:rsidRPr="00C27151">
        <w:rPr>
          <w:rFonts w:eastAsia="Times New Roman" w:cs="Arial"/>
          <w:color w:val="000000"/>
          <w:lang w:eastAsia="bg-BG"/>
        </w:rPr>
        <w:t>и С</w:t>
      </w:r>
      <w:r w:rsidRPr="00C27151">
        <w:rPr>
          <w:rFonts w:eastAsia="Times New Roman" w:cs="Arial"/>
          <w:color w:val="000000"/>
          <w:vertAlign w:val="subscript"/>
          <w:lang w:val="en-US"/>
        </w:rPr>
        <w:t>max</w:t>
      </w:r>
      <w:r w:rsidRPr="00C27151">
        <w:rPr>
          <w:rFonts w:eastAsia="Times New Roman" w:cs="Arial"/>
          <w:color w:val="000000"/>
          <w:lang w:eastAsia="bg-BG"/>
        </w:rPr>
        <w:t xml:space="preserve"> на валсартан са почти пропорционални</w:t>
      </w:r>
      <w:r w:rsidRPr="00C27151">
        <w:rPr>
          <w:rFonts w:eastAsia="Times New Roman" w:cs="Arial"/>
          <w:color w:val="000000"/>
          <w:lang w:val="en-US"/>
        </w:rPr>
        <w:t xml:space="preserve"> </w:t>
      </w:r>
      <w:r w:rsidRPr="00C27151">
        <w:rPr>
          <w:rFonts w:eastAsia="Times New Roman" w:cs="Arial"/>
          <w:color w:val="000000"/>
          <w:lang w:eastAsia="bg-BG"/>
        </w:rPr>
        <w:t xml:space="preserve">е увеличаване на дозата в границите на клиничното дозиране (40 до 160 </w:t>
      </w:r>
      <w:r w:rsidRPr="00C27151">
        <w:rPr>
          <w:rFonts w:eastAsia="Times New Roman" w:cs="Arial"/>
          <w:color w:val="000000"/>
          <w:lang w:val="en-US"/>
        </w:rPr>
        <w:t xml:space="preserve">mg </w:t>
      </w:r>
      <w:r w:rsidRPr="00C27151">
        <w:rPr>
          <w:rFonts w:eastAsia="Times New Roman" w:cs="Arial"/>
          <w:color w:val="000000"/>
          <w:lang w:eastAsia="bg-BG"/>
        </w:rPr>
        <w:t>два пъти дневно). Средният коефицент на натрупване е около 1.7. Видимият клирънс на валсартан след перорално приложение е приблизително 4.5 л/ час. Възрастта не повлиява клирънса при пациенти със сърдечна</w:t>
      </w:r>
    </w:p>
    <w:p w14:paraId="34B3AC2E" w14:textId="78B17241" w:rsidR="00C27151" w:rsidRPr="00C27151" w:rsidRDefault="00C27151" w:rsidP="00C27151">
      <w:pPr>
        <w:rPr>
          <w:rFonts w:eastAsia="Times New Roman" w:cs="Arial"/>
          <w:color w:val="000000"/>
          <w:lang w:eastAsia="bg-BG"/>
        </w:rPr>
      </w:pPr>
      <w:r w:rsidRPr="00C27151">
        <w:rPr>
          <w:rFonts w:eastAsia="Times New Roman" w:cs="Arial"/>
          <w:color w:val="000000"/>
          <w:lang w:eastAsia="bg-BG"/>
        </w:rPr>
        <w:t>недостатъчност.</w:t>
      </w:r>
    </w:p>
    <w:p w14:paraId="4A7913E2" w14:textId="21FCB113" w:rsidR="00C27151" w:rsidRPr="00C27151" w:rsidRDefault="00C27151" w:rsidP="00C27151">
      <w:pPr>
        <w:rPr>
          <w:rFonts w:eastAsia="Times New Roman" w:cs="Arial"/>
          <w:color w:val="000000"/>
          <w:lang w:eastAsia="bg-BG"/>
        </w:rPr>
      </w:pPr>
    </w:p>
    <w:p w14:paraId="35E8D9D3" w14:textId="77777777" w:rsidR="00C27151" w:rsidRPr="00C27151" w:rsidRDefault="00C27151" w:rsidP="00C27151">
      <w:pPr>
        <w:pStyle w:val="Heading3"/>
        <w:rPr>
          <w:rFonts w:eastAsia="Times New Roman"/>
          <w:u w:val="single"/>
          <w:lang w:eastAsia="bg-BG"/>
        </w:rPr>
      </w:pPr>
      <w:r w:rsidRPr="00C27151">
        <w:rPr>
          <w:rStyle w:val="Heading3Char"/>
          <w:u w:val="single"/>
          <w:lang w:eastAsia="bg-BG"/>
        </w:rPr>
        <w:t>Специални</w:t>
      </w:r>
      <w:r w:rsidRPr="00C27151">
        <w:rPr>
          <w:rFonts w:eastAsia="Times New Roman"/>
          <w:color w:val="000000"/>
          <w:u w:val="single"/>
          <w:lang w:eastAsia="bg-BG"/>
        </w:rPr>
        <w:t xml:space="preserve"> популации</w:t>
      </w:r>
    </w:p>
    <w:p w14:paraId="40F93D62" w14:textId="77777777"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u w:val="single"/>
          <w:lang w:eastAsia="bg-BG"/>
        </w:rPr>
        <w:t>Пациенти в старческа възраст</w:t>
      </w:r>
    </w:p>
    <w:p w14:paraId="34B4A840" w14:textId="77777777"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lang w:eastAsia="bg-BG"/>
        </w:rPr>
        <w:t>Малко по-висока системна експозиция към валсартан е наблюдавана при някои пациенти в старческа възраст в сравнение с млади субекти, но това откритие не е показало клинична значимост.</w:t>
      </w:r>
    </w:p>
    <w:p w14:paraId="044C586A" w14:textId="77777777" w:rsidR="00C27151" w:rsidRPr="00C27151" w:rsidRDefault="00C27151" w:rsidP="00C27151">
      <w:pPr>
        <w:spacing w:line="240" w:lineRule="auto"/>
        <w:rPr>
          <w:rFonts w:eastAsia="Times New Roman" w:cs="Arial"/>
          <w:color w:val="000000"/>
          <w:u w:val="single"/>
          <w:lang w:eastAsia="bg-BG"/>
        </w:rPr>
      </w:pPr>
    </w:p>
    <w:p w14:paraId="11A77C50" w14:textId="6A316714"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u w:val="single"/>
          <w:lang w:eastAsia="bg-BG"/>
        </w:rPr>
        <w:t>Бъбречно увреждане</w:t>
      </w:r>
    </w:p>
    <w:p w14:paraId="6158D377" w14:textId="77777777"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lang w:eastAsia="bg-BG"/>
        </w:rPr>
        <w:lastRenderedPageBreak/>
        <w:t xml:space="preserve">Както се очаква за вещество, чийто бъбречен клирънс е отговорен само за 30% от общия плазмен клирънс, не се наблюдава корелация между бъбречната функция и системната експозиция на валсартан. Поради тази причина не се изисква адаптиране на дозата при пациенти с бъбречно увреждане (креатининов клирънс &gt;10 </w:t>
      </w:r>
      <w:r w:rsidRPr="00C27151">
        <w:rPr>
          <w:rFonts w:eastAsia="Times New Roman" w:cs="Arial"/>
          <w:color w:val="000000"/>
          <w:lang w:val="en-US"/>
        </w:rPr>
        <w:t xml:space="preserve">ml/min). </w:t>
      </w:r>
      <w:r w:rsidRPr="00C27151">
        <w:rPr>
          <w:rFonts w:eastAsia="Times New Roman" w:cs="Arial"/>
          <w:color w:val="000000"/>
          <w:lang w:eastAsia="bg-BG"/>
        </w:rPr>
        <w:t xml:space="preserve">Към настоящия момент няма наличен опит за безопасността при употреба при пациенти с креатининов клирънс &lt;10 </w:t>
      </w:r>
      <w:r w:rsidRPr="00C27151">
        <w:rPr>
          <w:rFonts w:eastAsia="Times New Roman" w:cs="Arial"/>
          <w:color w:val="000000"/>
          <w:lang w:val="en-US"/>
        </w:rPr>
        <w:t xml:space="preserve">ml/min </w:t>
      </w:r>
      <w:r w:rsidRPr="00C27151">
        <w:rPr>
          <w:rFonts w:eastAsia="Times New Roman" w:cs="Arial"/>
          <w:color w:val="000000"/>
          <w:lang w:eastAsia="bg-BG"/>
        </w:rPr>
        <w:t>и при пациенти на диализа; поради тази причина валсартан трябва да се прилага с внимание при тези пациенти (вж. точка 4.2 и точка 4.4).</w:t>
      </w:r>
    </w:p>
    <w:p w14:paraId="27B5643C" w14:textId="77777777"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lang w:eastAsia="bg-BG"/>
        </w:rPr>
        <w:t>Валсартан се свързва във висока степен с плазмените протеини и не се очаква да бъде премахнат чрез диализа.</w:t>
      </w:r>
    </w:p>
    <w:p w14:paraId="17AD0D72" w14:textId="77777777" w:rsidR="00C27151" w:rsidRPr="00C27151" w:rsidRDefault="00C27151" w:rsidP="00C27151">
      <w:pPr>
        <w:spacing w:line="240" w:lineRule="auto"/>
        <w:rPr>
          <w:rFonts w:eastAsia="Times New Roman" w:cs="Arial"/>
          <w:color w:val="000000"/>
          <w:u w:val="single"/>
          <w:lang w:eastAsia="bg-BG"/>
        </w:rPr>
      </w:pPr>
    </w:p>
    <w:p w14:paraId="74D309C4" w14:textId="7FE88E6E"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u w:val="single"/>
          <w:lang w:eastAsia="bg-BG"/>
        </w:rPr>
        <w:t>Чернодробно увреждане</w:t>
      </w:r>
    </w:p>
    <w:p w14:paraId="5F2A9857" w14:textId="77777777"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lang w:eastAsia="bg-BG"/>
        </w:rPr>
        <w:t xml:space="preserve">Приблизително 70% от абсорбираната доза се елиминира в жлъчката, основно в непроменена форма. Валсартан не се подлага на съществена биотрансформация. Удвояване на експозицията </w:t>
      </w:r>
      <w:r w:rsidRPr="00C27151">
        <w:rPr>
          <w:rFonts w:eastAsia="Times New Roman" w:cs="Arial"/>
          <w:color w:val="000000"/>
          <w:lang w:val="en-US"/>
        </w:rPr>
        <w:t xml:space="preserve">(AUC) </w:t>
      </w:r>
      <w:r w:rsidRPr="00C27151">
        <w:rPr>
          <w:rFonts w:eastAsia="Times New Roman" w:cs="Arial"/>
          <w:color w:val="000000"/>
          <w:lang w:eastAsia="bg-BG"/>
        </w:rPr>
        <w:t>е наблюдавано при пациенти с леко до умерено чернодробно увреждане в сравнение със здрави субекти. Въпреки това, не е наблюдавана корелация между плазмените концентрации на валсартан и степента на чернодробна дисфункция. Валсартан не е проучван при пациенти с тежка чернодробна дисфункция (вж. точка 4.2, точка 4.3 и точка 4.4).</w:t>
      </w:r>
    </w:p>
    <w:p w14:paraId="6F22C2BC" w14:textId="77777777" w:rsidR="00C27151" w:rsidRPr="00C27151" w:rsidRDefault="00C27151" w:rsidP="00C27151">
      <w:pPr>
        <w:spacing w:line="240" w:lineRule="auto"/>
        <w:rPr>
          <w:rFonts w:eastAsia="Times New Roman" w:cs="Arial"/>
          <w:i/>
          <w:iCs/>
          <w:color w:val="000000"/>
          <w:u w:val="single"/>
          <w:lang w:eastAsia="bg-BG"/>
        </w:rPr>
      </w:pPr>
    </w:p>
    <w:p w14:paraId="0023306E" w14:textId="64E98F13" w:rsidR="00C27151" w:rsidRPr="00C27151" w:rsidRDefault="00C27151" w:rsidP="00C27151">
      <w:pPr>
        <w:spacing w:line="240" w:lineRule="auto"/>
        <w:rPr>
          <w:rFonts w:eastAsia="Times New Roman" w:cs="Arial"/>
          <w:sz w:val="24"/>
          <w:szCs w:val="24"/>
          <w:lang w:eastAsia="bg-BG"/>
        </w:rPr>
      </w:pPr>
      <w:r w:rsidRPr="00C27151">
        <w:rPr>
          <w:rFonts w:eastAsia="Times New Roman" w:cs="Arial"/>
          <w:i/>
          <w:iCs/>
          <w:color w:val="000000"/>
          <w:u w:val="single"/>
          <w:lang w:eastAsia="bg-BG"/>
        </w:rPr>
        <w:t>Педиатрична популация</w:t>
      </w:r>
    </w:p>
    <w:p w14:paraId="610591DF" w14:textId="77777777"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lang w:eastAsia="bg-BG"/>
        </w:rPr>
        <w:t xml:space="preserve">В проучване при 26 педиатрични пациенти с хипертония (на възраст между 1 и 16 години) при единична доза валсартан суспензия (средно 0.8 до 2 </w:t>
      </w:r>
      <w:r w:rsidRPr="00C27151">
        <w:rPr>
          <w:rFonts w:eastAsia="Times New Roman" w:cs="Arial"/>
          <w:color w:val="000000"/>
          <w:lang w:val="en-US"/>
        </w:rPr>
        <w:t xml:space="preserve">mg/ kg, </w:t>
      </w:r>
      <w:r w:rsidRPr="00C27151">
        <w:rPr>
          <w:rFonts w:eastAsia="Times New Roman" w:cs="Arial"/>
          <w:color w:val="000000"/>
          <w:lang w:eastAsia="bg-BG"/>
        </w:rPr>
        <w:t xml:space="preserve">при максимална доза 80 </w:t>
      </w:r>
      <w:r w:rsidRPr="00C27151">
        <w:rPr>
          <w:rFonts w:eastAsia="Times New Roman" w:cs="Arial"/>
          <w:color w:val="000000"/>
          <w:lang w:val="en-US"/>
        </w:rPr>
        <w:t xml:space="preserve">mg), </w:t>
      </w:r>
      <w:r w:rsidRPr="00C27151">
        <w:rPr>
          <w:rFonts w:eastAsia="Times New Roman" w:cs="Arial"/>
          <w:color w:val="000000"/>
          <w:lang w:eastAsia="bg-BG"/>
        </w:rPr>
        <w:t>клирънсът (л/ час/ кг) на валсартан е сравним в целия възрастов диапазон от 1 до 16 години и е сходен с този при възрастни, получавали същата формула.</w:t>
      </w:r>
    </w:p>
    <w:p w14:paraId="3F9A08D1" w14:textId="77777777" w:rsidR="00C27151" w:rsidRPr="00C27151" w:rsidRDefault="00C27151" w:rsidP="00C27151">
      <w:pPr>
        <w:spacing w:line="240" w:lineRule="auto"/>
        <w:rPr>
          <w:rFonts w:eastAsia="Times New Roman" w:cs="Arial"/>
          <w:color w:val="000000"/>
          <w:u w:val="single"/>
          <w:lang w:eastAsia="bg-BG"/>
        </w:rPr>
      </w:pPr>
    </w:p>
    <w:p w14:paraId="2DBA14C5" w14:textId="2395A9A6"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u w:val="single"/>
          <w:lang w:eastAsia="bg-BG"/>
        </w:rPr>
        <w:t>Бъбречно увреждане</w:t>
      </w:r>
    </w:p>
    <w:p w14:paraId="7621F5EC" w14:textId="56BB9BFD" w:rsidR="00C27151" w:rsidRPr="00C27151" w:rsidRDefault="00C27151" w:rsidP="00C27151">
      <w:pPr>
        <w:rPr>
          <w:rFonts w:cs="Arial"/>
        </w:rPr>
      </w:pPr>
      <w:r w:rsidRPr="00C27151">
        <w:rPr>
          <w:rFonts w:eastAsia="Times New Roman" w:cs="Arial"/>
          <w:color w:val="000000"/>
          <w:lang w:eastAsia="bg-BG"/>
        </w:rPr>
        <w:t xml:space="preserve">Употребата при педиатрични пациенти с креатининов клирънс &lt;30 </w:t>
      </w:r>
      <w:r w:rsidRPr="00C27151">
        <w:rPr>
          <w:rFonts w:eastAsia="Times New Roman" w:cs="Arial"/>
          <w:color w:val="000000"/>
          <w:lang w:val="en-US"/>
        </w:rPr>
        <w:t xml:space="preserve">ml/min </w:t>
      </w:r>
      <w:r w:rsidRPr="00C27151">
        <w:rPr>
          <w:rFonts w:eastAsia="Times New Roman" w:cs="Arial"/>
          <w:color w:val="000000"/>
          <w:lang w:eastAsia="bg-BG"/>
        </w:rPr>
        <w:t xml:space="preserve">и педиатрични пациенти на диалаза не е проучвана; поради това валсартан не се препоръчва при тези пациенти. Не се изисква адаптиране на дозата при педиатрични пациенти с креатининов клирънс &gt;30 </w:t>
      </w:r>
      <w:r w:rsidRPr="00C27151">
        <w:rPr>
          <w:rFonts w:eastAsia="Times New Roman" w:cs="Arial"/>
          <w:color w:val="000000"/>
          <w:lang w:val="en-US"/>
        </w:rPr>
        <w:t xml:space="preserve">ml/min. </w:t>
      </w:r>
      <w:r w:rsidRPr="00C27151">
        <w:rPr>
          <w:rFonts w:eastAsia="Times New Roman" w:cs="Arial"/>
          <w:color w:val="000000"/>
          <w:lang w:eastAsia="bg-BG"/>
        </w:rPr>
        <w:t>Бъбречната функция и серумният калий трябва да бъдат внимателно наблюдавани (вж. точка 4.2 и точка 4.4).</w:t>
      </w:r>
    </w:p>
    <w:p w14:paraId="65EB26CC" w14:textId="77777777" w:rsidR="00C27151" w:rsidRPr="00C27151" w:rsidRDefault="00C27151" w:rsidP="00C27151"/>
    <w:p w14:paraId="0CC65FE3" w14:textId="05905A9B" w:rsidR="00EE6C97" w:rsidRDefault="002C50EE" w:rsidP="00A93499">
      <w:pPr>
        <w:pStyle w:val="Heading2"/>
      </w:pPr>
      <w:r>
        <w:t>5.3. Предклинични данни за безопасност</w:t>
      </w:r>
    </w:p>
    <w:p w14:paraId="0DF0AEB3" w14:textId="5C567454" w:rsidR="00C27151" w:rsidRDefault="00C27151" w:rsidP="00C27151"/>
    <w:p w14:paraId="64743920" w14:textId="77777777"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lang w:eastAsia="bg-BG"/>
        </w:rPr>
        <w:t>Неклиничните данни не показват особен риск за хората въз основа на конвеционалните фармакологични изпитвания за безопасност, токсичност при многократно приложение, генотоксичност, карциногенен потенциал.</w:t>
      </w:r>
    </w:p>
    <w:p w14:paraId="59C06F25" w14:textId="77777777"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lang w:eastAsia="bg-BG"/>
        </w:rPr>
        <w:t xml:space="preserve">При плъхове, токсични дози за майката (600 </w:t>
      </w:r>
      <w:r w:rsidRPr="00C27151">
        <w:rPr>
          <w:rFonts w:eastAsia="Times New Roman" w:cs="Arial"/>
          <w:color w:val="000000"/>
          <w:lang w:val="en-US"/>
        </w:rPr>
        <w:t>mg</w:t>
      </w:r>
      <w:r w:rsidRPr="00C27151">
        <w:rPr>
          <w:rFonts w:eastAsia="Times New Roman" w:cs="Arial"/>
          <w:color w:val="000000"/>
          <w:lang w:eastAsia="bg-BG"/>
        </w:rPr>
        <w:t xml:space="preserve">/кг/дневно) през последните дни от бременността и кърменето са довели до по-ниска преживяемост, по-малко наддаване на тегло и забавено развитие (отделяне на ушната мида и отваряне на слуховия канал) в поколението (вж. точка 4.6). Тези дози при плъхове (600 </w:t>
      </w:r>
      <w:r w:rsidRPr="00C27151">
        <w:rPr>
          <w:rFonts w:eastAsia="Times New Roman" w:cs="Arial"/>
          <w:color w:val="000000"/>
          <w:lang w:val="en-US"/>
        </w:rPr>
        <w:t>mg</w:t>
      </w:r>
      <w:r w:rsidRPr="00C27151">
        <w:rPr>
          <w:rFonts w:eastAsia="Times New Roman" w:cs="Arial"/>
          <w:color w:val="000000"/>
          <w:lang w:eastAsia="bg-BG"/>
        </w:rPr>
        <w:t xml:space="preserve">/кг/дневно) са приблизително 18 пъти максималната препоръчителна доза при хора на база </w:t>
      </w:r>
      <w:r w:rsidRPr="00C27151">
        <w:rPr>
          <w:rFonts w:eastAsia="Times New Roman" w:cs="Arial"/>
          <w:color w:val="000000"/>
          <w:lang w:val="en-US"/>
        </w:rPr>
        <w:t>mg/m</w:t>
      </w:r>
      <w:r w:rsidRPr="00C27151">
        <w:rPr>
          <w:rFonts w:eastAsia="Times New Roman" w:cs="Arial"/>
          <w:color w:val="000000"/>
          <w:vertAlign w:val="superscript"/>
          <w:lang w:val="en-US"/>
        </w:rPr>
        <w:t>2</w:t>
      </w:r>
      <w:r w:rsidRPr="00C27151">
        <w:rPr>
          <w:rFonts w:eastAsia="Times New Roman" w:cs="Arial"/>
          <w:color w:val="000000"/>
          <w:lang w:val="en-US"/>
        </w:rPr>
        <w:t xml:space="preserve"> </w:t>
      </w:r>
      <w:r w:rsidRPr="00C27151">
        <w:rPr>
          <w:rFonts w:eastAsia="Times New Roman" w:cs="Arial"/>
          <w:color w:val="000000"/>
          <w:lang w:eastAsia="bg-BG"/>
        </w:rPr>
        <w:t xml:space="preserve">(изчисленията са направени въз основа на перорална доза от 320 </w:t>
      </w:r>
      <w:r w:rsidRPr="00C27151">
        <w:rPr>
          <w:rFonts w:eastAsia="Times New Roman" w:cs="Arial"/>
          <w:color w:val="000000"/>
          <w:lang w:val="en-US"/>
        </w:rPr>
        <w:t xml:space="preserve">mg/ </w:t>
      </w:r>
      <w:r w:rsidRPr="00C27151">
        <w:rPr>
          <w:rFonts w:eastAsia="Times New Roman" w:cs="Arial"/>
          <w:color w:val="000000"/>
          <w:lang w:eastAsia="bg-BG"/>
        </w:rPr>
        <w:t>дневно и тегло на пациента 60 кг).</w:t>
      </w:r>
    </w:p>
    <w:p w14:paraId="7BB997CC" w14:textId="531FA891" w:rsidR="00C27151" w:rsidRPr="00C27151" w:rsidRDefault="00C27151" w:rsidP="00C27151">
      <w:pPr>
        <w:spacing w:line="240" w:lineRule="auto"/>
        <w:rPr>
          <w:rFonts w:eastAsia="Times New Roman" w:cs="Arial"/>
          <w:color w:val="000000"/>
          <w:lang w:eastAsia="bg-BG"/>
        </w:rPr>
      </w:pPr>
      <w:r w:rsidRPr="00C27151">
        <w:rPr>
          <w:rFonts w:eastAsia="Times New Roman" w:cs="Arial"/>
          <w:color w:val="000000"/>
          <w:lang w:eastAsia="bg-BG"/>
        </w:rPr>
        <w:t xml:space="preserve">При неклинични проучвания за безопасност, високи дози валсартан (200 до 600 </w:t>
      </w:r>
      <w:r w:rsidRPr="00C27151">
        <w:rPr>
          <w:rFonts w:eastAsia="Times New Roman" w:cs="Arial"/>
          <w:color w:val="000000"/>
          <w:lang w:val="en-US"/>
        </w:rPr>
        <w:t>mg</w:t>
      </w:r>
      <w:r w:rsidRPr="00C27151">
        <w:rPr>
          <w:rFonts w:eastAsia="Times New Roman" w:cs="Arial"/>
          <w:color w:val="000000"/>
          <w:lang w:eastAsia="bg-BG"/>
        </w:rPr>
        <w:t>/кг телесно тегло) са причинили при плъхове намаляване на параметрите на червените кръвни клетки (</w:t>
      </w:r>
      <w:r w:rsidRPr="00C27151">
        <w:rPr>
          <w:rFonts w:eastAsia="Times New Roman" w:cs="Arial"/>
          <w:color w:val="000000"/>
          <w:u w:val="single"/>
          <w:lang w:eastAsia="bg-BG"/>
        </w:rPr>
        <w:t>еритр</w:t>
      </w:r>
      <w:r w:rsidRPr="00C27151">
        <w:rPr>
          <w:rFonts w:eastAsia="Times New Roman" w:cs="Arial"/>
          <w:color w:val="000000"/>
          <w:lang w:eastAsia="bg-BG"/>
        </w:rPr>
        <w:t>оцити, хемоглобин, хематокрит) и доказани промени в бъбречната хемодинамика (леко повишение на бъбречната урея и бъбречна тубулна хиперплазия, и базофилия при мъжките). Тези дози при плъхове</w:t>
      </w:r>
      <w:r w:rsidRPr="00C27151">
        <w:rPr>
          <w:rFonts w:eastAsia="Times New Roman" w:cs="Arial"/>
          <w:sz w:val="24"/>
          <w:szCs w:val="24"/>
          <w:lang w:val="en-US" w:eastAsia="bg-BG"/>
        </w:rPr>
        <w:t xml:space="preserve"> </w:t>
      </w:r>
      <w:r w:rsidRPr="00C27151">
        <w:rPr>
          <w:rFonts w:eastAsia="Times New Roman" w:cs="Arial"/>
          <w:color w:val="000000"/>
          <w:lang w:eastAsia="bg-BG"/>
        </w:rPr>
        <w:t xml:space="preserve">(200 </w:t>
      </w:r>
      <w:r w:rsidRPr="00C27151">
        <w:rPr>
          <w:rFonts w:eastAsia="Times New Roman" w:cs="Arial"/>
          <w:color w:val="000000"/>
          <w:lang w:val="en-US"/>
        </w:rPr>
        <w:t xml:space="preserve">and </w:t>
      </w:r>
      <w:r w:rsidRPr="00C27151">
        <w:rPr>
          <w:rFonts w:eastAsia="Times New Roman" w:cs="Arial"/>
          <w:color w:val="000000"/>
          <w:lang w:eastAsia="bg-BG"/>
        </w:rPr>
        <w:t xml:space="preserve">600 </w:t>
      </w:r>
      <w:r w:rsidRPr="00C27151">
        <w:rPr>
          <w:rFonts w:eastAsia="Times New Roman" w:cs="Arial"/>
          <w:color w:val="000000"/>
          <w:lang w:val="en-US"/>
        </w:rPr>
        <w:t>mg</w:t>
      </w:r>
      <w:r w:rsidRPr="00C27151">
        <w:rPr>
          <w:rFonts w:eastAsia="Times New Roman" w:cs="Arial"/>
          <w:color w:val="000000"/>
          <w:lang w:eastAsia="bg-BG"/>
        </w:rPr>
        <w:t>/кг/дневно) са приблизително 6 и 18 пъти максималната препоръчителна дневна доза</w:t>
      </w:r>
      <w:r w:rsidRPr="00C27151">
        <w:rPr>
          <w:rFonts w:eastAsia="Times New Roman" w:cs="Arial"/>
          <w:sz w:val="24"/>
          <w:szCs w:val="24"/>
          <w:lang w:val="en-US" w:eastAsia="bg-BG"/>
        </w:rPr>
        <w:t xml:space="preserve"> </w:t>
      </w:r>
      <w:r w:rsidRPr="00C27151">
        <w:rPr>
          <w:rFonts w:eastAsia="Times New Roman" w:cs="Arial"/>
          <w:color w:val="000000"/>
          <w:lang w:eastAsia="bg-BG"/>
        </w:rPr>
        <w:t xml:space="preserve">при хора на база </w:t>
      </w:r>
      <w:r w:rsidRPr="00C27151">
        <w:rPr>
          <w:rFonts w:eastAsia="Times New Roman" w:cs="Arial"/>
          <w:color w:val="000000"/>
          <w:lang w:val="en-US"/>
        </w:rPr>
        <w:lastRenderedPageBreak/>
        <w:t>mg/m</w:t>
      </w:r>
      <w:r w:rsidRPr="00C27151">
        <w:rPr>
          <w:rFonts w:eastAsia="Times New Roman" w:cs="Arial"/>
          <w:color w:val="000000"/>
          <w:vertAlign w:val="superscript"/>
          <w:lang w:val="en-US"/>
        </w:rPr>
        <w:t>2</w:t>
      </w:r>
      <w:r w:rsidRPr="00C27151">
        <w:rPr>
          <w:rFonts w:eastAsia="Times New Roman" w:cs="Arial"/>
          <w:color w:val="000000"/>
          <w:lang w:val="en-US"/>
        </w:rPr>
        <w:t xml:space="preserve"> </w:t>
      </w:r>
      <w:r w:rsidRPr="00C27151">
        <w:rPr>
          <w:rFonts w:eastAsia="Times New Roman" w:cs="Arial"/>
          <w:color w:val="000000"/>
          <w:lang w:eastAsia="bg-BG"/>
        </w:rPr>
        <w:t>(изчисленията са направени въз основа на перорална</w:t>
      </w:r>
      <w:r w:rsidRPr="00C27151">
        <w:rPr>
          <w:rFonts w:eastAsia="Times New Roman" w:cs="Arial"/>
          <w:color w:val="000000"/>
          <w:lang w:val="en-US"/>
        </w:rPr>
        <w:t xml:space="preserve"> </w:t>
      </w:r>
      <w:r w:rsidRPr="00C27151">
        <w:rPr>
          <w:rFonts w:eastAsia="Times New Roman" w:cs="Arial"/>
          <w:color w:val="000000"/>
          <w:lang w:eastAsia="bg-BG"/>
        </w:rPr>
        <w:t xml:space="preserve">доза от 320 </w:t>
      </w:r>
      <w:r w:rsidRPr="00C27151">
        <w:rPr>
          <w:rFonts w:eastAsia="Times New Roman" w:cs="Arial"/>
          <w:color w:val="000000"/>
          <w:lang w:val="en-US"/>
        </w:rPr>
        <w:t>mg/</w:t>
      </w:r>
      <w:r w:rsidRPr="00C27151">
        <w:rPr>
          <w:rFonts w:eastAsia="Times New Roman" w:cs="Arial"/>
          <w:color w:val="000000"/>
          <w:lang w:eastAsia="bg-BG"/>
        </w:rPr>
        <w:t>дневно и</w:t>
      </w:r>
      <w:r w:rsidRPr="00C27151">
        <w:rPr>
          <w:rFonts w:eastAsia="Times New Roman" w:cs="Arial"/>
          <w:i/>
          <w:iCs/>
          <w:color w:val="000000"/>
          <w:lang w:eastAsia="bg-BG"/>
        </w:rPr>
        <w:t xml:space="preserve"> </w:t>
      </w:r>
      <w:r w:rsidRPr="00C27151">
        <w:rPr>
          <w:rFonts w:eastAsia="Times New Roman" w:cs="Arial"/>
          <w:color w:val="000000"/>
          <w:lang w:eastAsia="bg-BG"/>
        </w:rPr>
        <w:t>тегло на пациента 60 кг).</w:t>
      </w:r>
    </w:p>
    <w:p w14:paraId="0092B253" w14:textId="16CFBFFE" w:rsidR="00C27151" w:rsidRPr="00C27151" w:rsidRDefault="00C27151" w:rsidP="00C27151">
      <w:pPr>
        <w:spacing w:line="240" w:lineRule="auto"/>
        <w:rPr>
          <w:rFonts w:eastAsia="Times New Roman" w:cs="Arial"/>
          <w:color w:val="000000"/>
          <w:lang w:eastAsia="bg-BG"/>
        </w:rPr>
      </w:pPr>
    </w:p>
    <w:p w14:paraId="08855152" w14:textId="77777777"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lang w:eastAsia="bg-BG"/>
        </w:rPr>
        <w:t>При мармозетките при сходни дози промените са били сходни, но по-тежки, особено при бъбреците, където измененията са се развили до нефропатия, включваща повишени урея и креатинин.</w:t>
      </w:r>
    </w:p>
    <w:p w14:paraId="7D8D5FD9" w14:textId="77777777" w:rsidR="00C27151" w:rsidRPr="00C27151" w:rsidRDefault="00C27151" w:rsidP="00C27151">
      <w:pPr>
        <w:spacing w:line="240" w:lineRule="auto"/>
        <w:rPr>
          <w:rFonts w:eastAsia="Times New Roman" w:cs="Arial"/>
          <w:sz w:val="24"/>
          <w:szCs w:val="24"/>
          <w:lang w:eastAsia="bg-BG"/>
        </w:rPr>
      </w:pPr>
      <w:r w:rsidRPr="00C27151">
        <w:rPr>
          <w:rFonts w:eastAsia="Times New Roman" w:cs="Arial"/>
          <w:color w:val="000000"/>
          <w:lang w:eastAsia="bg-BG"/>
        </w:rPr>
        <w:t>В допълнение и при двата вида е наблюдавана хипертрофия на юкстагломерулните клетки. Всички промени се считат за причинени от фармакологичното действие на валсартан, което причинява продължителна хипотония, особено при мармозетките. При терапевтичните дози при хора хипертрофията на бъбречните юкстагломерулни клетки не е релевантно.</w:t>
      </w:r>
    </w:p>
    <w:p w14:paraId="08F89B60" w14:textId="77777777" w:rsidR="00C27151" w:rsidRPr="00C27151" w:rsidRDefault="00C27151" w:rsidP="00C27151">
      <w:pPr>
        <w:spacing w:line="240" w:lineRule="auto"/>
        <w:rPr>
          <w:rFonts w:eastAsia="Times New Roman" w:cs="Arial"/>
          <w:i/>
          <w:iCs/>
          <w:color w:val="000000"/>
          <w:u w:val="single"/>
          <w:lang w:eastAsia="bg-BG"/>
        </w:rPr>
      </w:pPr>
    </w:p>
    <w:p w14:paraId="33A2F65A" w14:textId="7F76BB33" w:rsidR="00C27151" w:rsidRPr="00C27151" w:rsidRDefault="00C27151" w:rsidP="00C27151">
      <w:pPr>
        <w:spacing w:line="240" w:lineRule="auto"/>
        <w:rPr>
          <w:rFonts w:eastAsia="Times New Roman" w:cs="Arial"/>
          <w:sz w:val="24"/>
          <w:szCs w:val="24"/>
          <w:lang w:eastAsia="bg-BG"/>
        </w:rPr>
      </w:pPr>
      <w:r w:rsidRPr="00C27151">
        <w:rPr>
          <w:rFonts w:eastAsia="Times New Roman" w:cs="Arial"/>
          <w:i/>
          <w:iCs/>
          <w:color w:val="000000"/>
          <w:u w:val="single"/>
          <w:lang w:eastAsia="bg-BG"/>
        </w:rPr>
        <w:t>Педиатрична популация</w:t>
      </w:r>
    </w:p>
    <w:p w14:paraId="0DD1B18A" w14:textId="77777777" w:rsidR="00C27151" w:rsidRPr="00C27151" w:rsidRDefault="00C27151" w:rsidP="00C27151">
      <w:pPr>
        <w:spacing w:line="240" w:lineRule="auto"/>
        <w:rPr>
          <w:rFonts w:ascii="Times New Roman" w:eastAsia="Times New Roman" w:hAnsi="Times New Roman" w:cs="Times New Roman"/>
          <w:sz w:val="24"/>
          <w:szCs w:val="24"/>
          <w:lang w:eastAsia="bg-BG"/>
        </w:rPr>
      </w:pPr>
      <w:r w:rsidRPr="00C27151">
        <w:rPr>
          <w:rFonts w:eastAsia="Times New Roman" w:cs="Arial"/>
          <w:color w:val="000000"/>
          <w:lang w:eastAsia="bg-BG"/>
        </w:rPr>
        <w:t xml:space="preserve">Ежедневно перорално приложение на валсартан при новородени/ млади плъхове (от 7 до 70 ден след раждането) в дози от едва 1 </w:t>
      </w:r>
      <w:r w:rsidRPr="00C27151">
        <w:rPr>
          <w:rFonts w:eastAsia="Times New Roman" w:cs="Arial"/>
          <w:color w:val="000000"/>
          <w:lang w:val="en-US"/>
        </w:rPr>
        <w:t>mg</w:t>
      </w:r>
      <w:r w:rsidRPr="00C27151">
        <w:rPr>
          <w:rFonts w:eastAsia="Times New Roman" w:cs="Arial"/>
          <w:color w:val="000000"/>
          <w:lang w:eastAsia="bg-BG"/>
        </w:rPr>
        <w:t xml:space="preserve">/кг/дневно (околоЮ-35% от максималната препоръчителна педиатрична доза от 4 </w:t>
      </w:r>
      <w:r w:rsidRPr="00C27151">
        <w:rPr>
          <w:rFonts w:eastAsia="Times New Roman" w:cs="Arial"/>
          <w:color w:val="000000"/>
          <w:lang w:val="en-US"/>
        </w:rPr>
        <w:t>mg</w:t>
      </w:r>
      <w:r w:rsidRPr="00C27151">
        <w:rPr>
          <w:rFonts w:eastAsia="Times New Roman" w:cs="Arial"/>
          <w:color w:val="000000"/>
          <w:lang w:eastAsia="bg-BG"/>
        </w:rPr>
        <w:t xml:space="preserve">/кг/дневно при системна експозиция) е предизвикало устойчиви, необратими бъбречни увреждания. Горепосочените ефекти представляват очаквания засилен ефект на инхибиторите на ангиотензин конвертиращия ензим и ангиотензин </w:t>
      </w:r>
      <w:r w:rsidRPr="00C27151">
        <w:rPr>
          <w:rFonts w:eastAsia="Times New Roman" w:cs="Arial"/>
          <w:color w:val="000000"/>
          <w:lang w:val="en-US"/>
        </w:rPr>
        <w:t>II</w:t>
      </w:r>
      <w:r w:rsidRPr="00C27151">
        <w:rPr>
          <w:rFonts w:eastAsia="Times New Roman" w:cs="Arial"/>
          <w:color w:val="000000"/>
          <w:lang w:eastAsia="bg-BG"/>
        </w:rPr>
        <w:t xml:space="preserve"> тип 1 блокери; подобни ефекти са наблюдавани ако плъховете са третирани през първите 13 дни от живота. Този период е съпоставим с 36 гестационна седмица при хората, като евентуално може да се увеличи до 44 седмица след зачеването при хората. Плъховете при валсартан проучването в младежка възраст са приемали дози до ден 70 и не може да се изключи ефект върху бъбречното съзряване (4 - 6 седмица след раждането). Функционалното бъбречно съзряване е непрекъснат процес през първата година от живота при хората. Следователно не може да бъде изключено клинично значение при деца на възраст &lt;1 година, като същевременно предклиничните данни не показват опасност за деца на възраст над 1 година.</w:t>
      </w:r>
    </w:p>
    <w:p w14:paraId="4A6CB6EF" w14:textId="77777777" w:rsidR="00C27151" w:rsidRPr="00C27151" w:rsidRDefault="00C27151" w:rsidP="00C27151"/>
    <w:p w14:paraId="357049A8" w14:textId="1EBCA722" w:rsidR="00BB22B4" w:rsidRDefault="002C50EE" w:rsidP="00471F10">
      <w:pPr>
        <w:pStyle w:val="Heading1"/>
      </w:pPr>
      <w:r>
        <w:t>7. ПРИТЕЖАТЕЛ НА РАЗРЕШЕНИЕТО ЗА УПОТРЕБА</w:t>
      </w:r>
    </w:p>
    <w:p w14:paraId="46647807" w14:textId="175D729F" w:rsidR="00C27151" w:rsidRDefault="00C27151" w:rsidP="00C27151"/>
    <w:p w14:paraId="7702FB93" w14:textId="3483DADC" w:rsidR="00C27151" w:rsidRPr="00C27151" w:rsidRDefault="00C27151" w:rsidP="00C27151">
      <w:pPr>
        <w:rPr>
          <w:sz w:val="24"/>
          <w:szCs w:val="24"/>
          <w:lang w:val="en-US" w:eastAsia="bg-BG"/>
        </w:rPr>
      </w:pPr>
      <w:proofErr w:type="spellStart"/>
      <w:r w:rsidRPr="00C27151">
        <w:rPr>
          <w:lang w:val="en-US"/>
        </w:rPr>
        <w:t>Medochemie</w:t>
      </w:r>
      <w:proofErr w:type="spellEnd"/>
      <w:r w:rsidRPr="00C27151">
        <w:rPr>
          <w:lang w:val="en-US"/>
        </w:rPr>
        <w:t xml:space="preserve"> Ltd., </w:t>
      </w:r>
      <w:r w:rsidRPr="00C27151">
        <w:rPr>
          <w:lang w:eastAsia="bg-BG"/>
        </w:rPr>
        <w:t xml:space="preserve">1-10 </w:t>
      </w:r>
      <w:proofErr w:type="spellStart"/>
      <w:r w:rsidRPr="00C27151">
        <w:rPr>
          <w:lang w:val="en-US"/>
        </w:rPr>
        <w:t>Constantinoupoleos</w:t>
      </w:r>
      <w:proofErr w:type="spellEnd"/>
      <w:r w:rsidRPr="00C27151">
        <w:rPr>
          <w:lang w:val="en-US"/>
        </w:rPr>
        <w:t xml:space="preserve"> str., 3011 Limassol, </w:t>
      </w:r>
      <w:r w:rsidRPr="00C27151">
        <w:rPr>
          <w:lang w:eastAsia="bg-BG"/>
        </w:rPr>
        <w:t>Кипър</w:t>
      </w:r>
    </w:p>
    <w:p w14:paraId="0A53321D" w14:textId="001B76D7" w:rsidR="00EE6C97" w:rsidRDefault="00936AD0" w:rsidP="00A93499">
      <w:pPr>
        <w:pStyle w:val="Heading1"/>
      </w:pPr>
      <w:r>
        <w:t>8.</w:t>
      </w:r>
      <w:r w:rsidR="002C50EE">
        <w:t>НОМЕР НА РАЗРЕШЕНИЕТО ЗА УПОТРЕБА</w:t>
      </w:r>
    </w:p>
    <w:p w14:paraId="38AAC277" w14:textId="09F31717" w:rsidR="00C27151" w:rsidRDefault="00C27151" w:rsidP="00C27151"/>
    <w:p w14:paraId="4EBBFB8A" w14:textId="77777777" w:rsidR="00C27151" w:rsidRPr="00C27151" w:rsidRDefault="00C27151" w:rsidP="00C27151">
      <w:pPr>
        <w:rPr>
          <w:sz w:val="24"/>
          <w:szCs w:val="24"/>
          <w:lang w:val="en-US" w:eastAsia="bg-BG"/>
        </w:rPr>
      </w:pPr>
      <w:r w:rsidRPr="00C27151">
        <w:rPr>
          <w:lang w:eastAsia="bg-BG"/>
        </w:rPr>
        <w:t xml:space="preserve">ВАПРЕС 80 </w:t>
      </w:r>
      <w:r w:rsidRPr="00C27151">
        <w:rPr>
          <w:lang w:val="en-US"/>
        </w:rPr>
        <w:t>mg:</w:t>
      </w:r>
    </w:p>
    <w:p w14:paraId="1CADB267" w14:textId="77777777" w:rsidR="00C27151" w:rsidRPr="00C27151" w:rsidRDefault="00C27151" w:rsidP="00C27151">
      <w:pPr>
        <w:rPr>
          <w:sz w:val="24"/>
          <w:szCs w:val="24"/>
          <w:lang w:val="en-US" w:eastAsia="bg-BG"/>
        </w:rPr>
      </w:pPr>
      <w:r w:rsidRPr="00C27151">
        <w:rPr>
          <w:lang w:val="en-US"/>
        </w:rPr>
        <w:t xml:space="preserve">Per. № </w:t>
      </w:r>
      <w:r w:rsidRPr="00C27151">
        <w:rPr>
          <w:i/>
          <w:iCs/>
          <w:lang w:val="en-US"/>
        </w:rPr>
        <w:t>20120248</w:t>
      </w:r>
    </w:p>
    <w:p w14:paraId="149016A8" w14:textId="77777777" w:rsidR="00C27151" w:rsidRDefault="00C27151" w:rsidP="00C27151">
      <w:pPr>
        <w:rPr>
          <w:lang w:eastAsia="bg-BG"/>
        </w:rPr>
      </w:pPr>
    </w:p>
    <w:p w14:paraId="4EA1E804" w14:textId="3F3CA4EE" w:rsidR="00C27151" w:rsidRPr="00C27151" w:rsidRDefault="00C27151" w:rsidP="00C27151">
      <w:pPr>
        <w:rPr>
          <w:sz w:val="24"/>
          <w:szCs w:val="24"/>
          <w:lang w:val="en-US" w:eastAsia="bg-BG"/>
        </w:rPr>
      </w:pPr>
      <w:r w:rsidRPr="00C27151">
        <w:rPr>
          <w:lang w:eastAsia="bg-BG"/>
        </w:rPr>
        <w:t xml:space="preserve">ВАПРЕС </w:t>
      </w:r>
      <w:r w:rsidRPr="00C27151">
        <w:rPr>
          <w:lang w:val="en-US"/>
        </w:rPr>
        <w:t>160 mg:</w:t>
      </w:r>
    </w:p>
    <w:p w14:paraId="344ED00C" w14:textId="77777777" w:rsidR="00C27151" w:rsidRPr="00C27151" w:rsidRDefault="00C27151" w:rsidP="00C27151">
      <w:pPr>
        <w:rPr>
          <w:sz w:val="24"/>
          <w:szCs w:val="24"/>
          <w:lang w:val="en-US" w:eastAsia="bg-BG"/>
        </w:rPr>
      </w:pPr>
      <w:r w:rsidRPr="00C27151">
        <w:rPr>
          <w:lang w:val="en-US"/>
        </w:rPr>
        <w:t>Per. № 20120249</w:t>
      </w:r>
    </w:p>
    <w:p w14:paraId="4DC996A3" w14:textId="77777777" w:rsidR="00C27151" w:rsidRPr="00C27151" w:rsidRDefault="00C27151" w:rsidP="00C27151"/>
    <w:p w14:paraId="3715C10B" w14:textId="132EB2EC" w:rsidR="00BB22B4" w:rsidRDefault="002C50EE" w:rsidP="00471F10">
      <w:pPr>
        <w:pStyle w:val="Heading1"/>
      </w:pPr>
      <w:r>
        <w:t>9. ДАТА НА ПЪРВО РАЗРЕШАВАНЕ/ПОДНОВЯВАНЕ НА РАЗРЕШЕНИЕТО ЗА УПОТРЕБА</w:t>
      </w:r>
    </w:p>
    <w:p w14:paraId="0192BC30" w14:textId="754A369B" w:rsidR="00C27151" w:rsidRDefault="00C27151" w:rsidP="00C27151"/>
    <w:p w14:paraId="61AB3900" w14:textId="77777777" w:rsidR="00C27151" w:rsidRPr="00C27151" w:rsidRDefault="00C27151" w:rsidP="00C27151">
      <w:pPr>
        <w:rPr>
          <w:sz w:val="24"/>
          <w:szCs w:val="24"/>
          <w:lang w:eastAsia="bg-BG"/>
        </w:rPr>
      </w:pPr>
      <w:r w:rsidRPr="00C27151">
        <w:rPr>
          <w:lang w:eastAsia="bg-BG"/>
        </w:rPr>
        <w:t>Дата на първо разрешаване: 14 май 2012 г.</w:t>
      </w:r>
    </w:p>
    <w:p w14:paraId="3B1DC8DA" w14:textId="3EA959EC" w:rsidR="00C27151" w:rsidRPr="00C27151" w:rsidRDefault="00C27151" w:rsidP="00C27151">
      <w:pPr>
        <w:rPr>
          <w:sz w:val="24"/>
          <w:szCs w:val="24"/>
          <w:lang w:eastAsia="bg-BG"/>
        </w:rPr>
      </w:pPr>
      <w:r w:rsidRPr="00C27151">
        <w:rPr>
          <w:lang w:eastAsia="bg-BG"/>
        </w:rPr>
        <w:t>Дата на последно подновяване: 27 март 2017 г.</w:t>
      </w:r>
    </w:p>
    <w:p w14:paraId="43FB38A2" w14:textId="0C18A683" w:rsidR="007C605B" w:rsidRDefault="002C50EE" w:rsidP="005726E3">
      <w:pPr>
        <w:pStyle w:val="Heading1"/>
      </w:pPr>
      <w:r>
        <w:lastRenderedPageBreak/>
        <w:t>10. ДАТА НА АКТУАЛИЗИРАНЕ НА ТЕКСТА</w:t>
      </w:r>
      <w:bookmarkEnd w:id="0"/>
    </w:p>
    <w:p w14:paraId="38C4648F" w14:textId="1109EC21" w:rsidR="00C27151" w:rsidRPr="00BB22B4" w:rsidRDefault="00C27151" w:rsidP="00C27151">
      <w:r>
        <w:t>2020-10-01</w:t>
      </w:r>
    </w:p>
    <w:sectPr w:rsidR="00C27151"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B0539"/>
    <w:multiLevelType w:val="hybridMultilevel"/>
    <w:tmpl w:val="D17C04F4"/>
    <w:lvl w:ilvl="0" w:tplc="9CB43358">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4"/>
  </w:num>
  <w:num w:numId="12" w16cid:durableId="1434934028">
    <w:abstractNumId w:val="16"/>
  </w:num>
  <w:num w:numId="13" w16cid:durableId="479157895">
    <w:abstractNumId w:val="22"/>
  </w:num>
  <w:num w:numId="14" w16cid:durableId="1670476636">
    <w:abstractNumId w:val="14"/>
  </w:num>
  <w:num w:numId="15" w16cid:durableId="1000155783">
    <w:abstractNumId w:val="33"/>
  </w:num>
  <w:num w:numId="16" w16cid:durableId="2056420707">
    <w:abstractNumId w:val="11"/>
  </w:num>
  <w:num w:numId="17" w16cid:durableId="1787119182">
    <w:abstractNumId w:val="28"/>
  </w:num>
  <w:num w:numId="18" w16cid:durableId="722945139">
    <w:abstractNumId w:val="8"/>
  </w:num>
  <w:num w:numId="19" w16cid:durableId="1678728408">
    <w:abstractNumId w:val="30"/>
  </w:num>
  <w:num w:numId="20" w16cid:durableId="1970816657">
    <w:abstractNumId w:val="26"/>
  </w:num>
  <w:num w:numId="21" w16cid:durableId="1531146514">
    <w:abstractNumId w:val="20"/>
  </w:num>
  <w:num w:numId="22" w16cid:durableId="1276465">
    <w:abstractNumId w:val="29"/>
  </w:num>
  <w:num w:numId="23" w16cid:durableId="1624310558">
    <w:abstractNumId w:val="21"/>
  </w:num>
  <w:num w:numId="24" w16cid:durableId="1692877547">
    <w:abstractNumId w:val="9"/>
  </w:num>
  <w:num w:numId="25" w16cid:durableId="50930855">
    <w:abstractNumId w:val="25"/>
  </w:num>
  <w:num w:numId="26" w16cid:durableId="176701536">
    <w:abstractNumId w:val="24"/>
  </w:num>
  <w:num w:numId="27" w16cid:durableId="2050564750">
    <w:abstractNumId w:val="35"/>
  </w:num>
  <w:num w:numId="28" w16cid:durableId="1820733422">
    <w:abstractNumId w:val="6"/>
  </w:num>
  <w:num w:numId="29" w16cid:durableId="973678124">
    <w:abstractNumId w:val="23"/>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0"/>
  </w:num>
  <w:num w:numId="37" w16cid:durableId="758528303">
    <w:abstractNumId w:val="17"/>
  </w:num>
  <w:num w:numId="38" w16cid:durableId="178396561">
    <w:abstractNumId w:val="38"/>
  </w:num>
  <w:num w:numId="39" w16cid:durableId="934825996">
    <w:abstractNumId w:val="13"/>
  </w:num>
  <w:num w:numId="40" w16cid:durableId="1344212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B3C38"/>
    <w:rsid w:val="002B4DBB"/>
    <w:rsid w:val="002C50EE"/>
    <w:rsid w:val="00340A0A"/>
    <w:rsid w:val="003765DC"/>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8616D"/>
    <w:rsid w:val="00893B92"/>
    <w:rsid w:val="008A6AF2"/>
    <w:rsid w:val="008C70A2"/>
    <w:rsid w:val="00936AD0"/>
    <w:rsid w:val="00954129"/>
    <w:rsid w:val="00976CF1"/>
    <w:rsid w:val="009773E4"/>
    <w:rsid w:val="009B171C"/>
    <w:rsid w:val="009F1313"/>
    <w:rsid w:val="00A20351"/>
    <w:rsid w:val="00A65A81"/>
    <w:rsid w:val="00A71DCF"/>
    <w:rsid w:val="00A93499"/>
    <w:rsid w:val="00AA23EC"/>
    <w:rsid w:val="00AC63CE"/>
    <w:rsid w:val="00AE2107"/>
    <w:rsid w:val="00B275A8"/>
    <w:rsid w:val="00B6672E"/>
    <w:rsid w:val="00BA5B74"/>
    <w:rsid w:val="00BB22B4"/>
    <w:rsid w:val="00BF2600"/>
    <w:rsid w:val="00C0049F"/>
    <w:rsid w:val="00C07B84"/>
    <w:rsid w:val="00C27151"/>
    <w:rsid w:val="00C33464"/>
    <w:rsid w:val="00C40420"/>
    <w:rsid w:val="00C809A7"/>
    <w:rsid w:val="00C83063"/>
    <w:rsid w:val="00C87E90"/>
    <w:rsid w:val="00CA1B57"/>
    <w:rsid w:val="00CA3703"/>
    <w:rsid w:val="00CF77F7"/>
    <w:rsid w:val="00D86297"/>
    <w:rsid w:val="00DB32D3"/>
    <w:rsid w:val="00DD466D"/>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8340</Words>
  <Characters>47539</Characters>
  <Application>Microsoft Office Word</Application>
  <DocSecurity>0</DocSecurity>
  <Lines>396</Lines>
  <Paragraphs>111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2023-01-16T22:12:00Z</dcterms:created>
  <dcterms:modified xsi:type="dcterms:W3CDTF">2023-01-16T22:12:00Z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