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096F6477" w:rsidR="00F53FB7" w:rsidRDefault="00DD466D" w:rsidP="00A93499">
      <w:pPr>
        <w:pStyle w:val="Heading1"/>
      </w:pPr>
      <w:r>
        <w:t>1.ИМЕ НА ЛЕКАРСТВЕНИЯ ПРОДУКТ</w:t>
      </w:r>
    </w:p>
    <w:p w14:paraId="116DDEBC" w14:textId="3F0679EF" w:rsidR="00B8116F" w:rsidRDefault="00B8116F" w:rsidP="00B8116F"/>
    <w:p w14:paraId="6E51C6EC" w14:textId="77777777" w:rsidR="00B8116F" w:rsidRPr="00B8116F" w:rsidRDefault="00B8116F" w:rsidP="00B8116F">
      <w:pPr>
        <w:rPr>
          <w:sz w:val="24"/>
          <w:szCs w:val="24"/>
          <w:lang w:val="en-US" w:eastAsia="bg-BG"/>
        </w:rPr>
      </w:pPr>
      <w:r w:rsidRPr="00B8116F">
        <w:rPr>
          <w:lang w:eastAsia="bg-BG"/>
        </w:rPr>
        <w:t xml:space="preserve">Вазилип 10 </w:t>
      </w:r>
      <w:r w:rsidRPr="00B8116F">
        <w:rPr>
          <w:lang w:val="en-US"/>
        </w:rPr>
        <w:t xml:space="preserve">mg </w:t>
      </w:r>
      <w:r w:rsidRPr="00B8116F">
        <w:rPr>
          <w:lang w:eastAsia="bg-BG"/>
        </w:rPr>
        <w:t>филмирани таблетки</w:t>
      </w:r>
    </w:p>
    <w:p w14:paraId="524939BA" w14:textId="77777777" w:rsidR="00B8116F" w:rsidRPr="00B8116F" w:rsidRDefault="00B8116F" w:rsidP="00B8116F">
      <w:pPr>
        <w:rPr>
          <w:sz w:val="24"/>
          <w:szCs w:val="24"/>
          <w:lang w:val="en-US" w:eastAsia="bg-BG"/>
        </w:rPr>
      </w:pPr>
      <w:r w:rsidRPr="00B8116F">
        <w:rPr>
          <w:lang w:eastAsia="bg-BG"/>
        </w:rPr>
        <w:t xml:space="preserve">Вазилип 20 </w:t>
      </w:r>
      <w:r w:rsidRPr="00B8116F">
        <w:rPr>
          <w:lang w:val="en-US"/>
        </w:rPr>
        <w:t xml:space="preserve">mg </w:t>
      </w:r>
      <w:r w:rsidRPr="00B8116F">
        <w:rPr>
          <w:lang w:eastAsia="bg-BG"/>
        </w:rPr>
        <w:t>филмирани таблетки</w:t>
      </w:r>
    </w:p>
    <w:p w14:paraId="5E388749" w14:textId="77777777" w:rsidR="00B8116F" w:rsidRPr="00B8116F" w:rsidRDefault="00B8116F" w:rsidP="00B8116F">
      <w:pPr>
        <w:rPr>
          <w:sz w:val="24"/>
          <w:szCs w:val="24"/>
          <w:lang w:val="en-US" w:eastAsia="bg-BG"/>
        </w:rPr>
      </w:pPr>
      <w:r w:rsidRPr="00B8116F">
        <w:rPr>
          <w:lang w:eastAsia="bg-BG"/>
        </w:rPr>
        <w:t xml:space="preserve">Вазилип 40 </w:t>
      </w:r>
      <w:r w:rsidRPr="00B8116F">
        <w:rPr>
          <w:lang w:val="en-US"/>
        </w:rPr>
        <w:t xml:space="preserve">mg </w:t>
      </w:r>
      <w:r w:rsidRPr="00B8116F">
        <w:rPr>
          <w:lang w:eastAsia="bg-BG"/>
        </w:rPr>
        <w:t>филмирани таблетки</w:t>
      </w:r>
    </w:p>
    <w:p w14:paraId="66A02837" w14:textId="77777777" w:rsidR="00B8116F" w:rsidRDefault="00B8116F" w:rsidP="00B8116F">
      <w:pPr>
        <w:rPr>
          <w:lang w:val="en-US"/>
        </w:rPr>
      </w:pPr>
    </w:p>
    <w:p w14:paraId="39AAD8E2" w14:textId="6727381A" w:rsidR="00B8116F" w:rsidRPr="00B8116F" w:rsidRDefault="00B8116F" w:rsidP="00B8116F">
      <w:pPr>
        <w:rPr>
          <w:sz w:val="24"/>
          <w:szCs w:val="24"/>
          <w:lang w:val="en-US" w:eastAsia="bg-BG"/>
        </w:rPr>
      </w:pPr>
      <w:proofErr w:type="spellStart"/>
      <w:r w:rsidRPr="00B8116F">
        <w:rPr>
          <w:lang w:val="en-US"/>
        </w:rPr>
        <w:t>Vasilip</w:t>
      </w:r>
      <w:proofErr w:type="spellEnd"/>
      <w:r w:rsidRPr="00B8116F">
        <w:rPr>
          <w:lang w:val="en-US"/>
        </w:rPr>
        <w:t xml:space="preserve"> </w:t>
      </w:r>
      <w:r w:rsidRPr="00B8116F">
        <w:rPr>
          <w:lang w:eastAsia="bg-BG"/>
        </w:rPr>
        <w:t xml:space="preserve">10 </w:t>
      </w:r>
      <w:r w:rsidRPr="00B8116F">
        <w:rPr>
          <w:lang w:val="en-US"/>
        </w:rPr>
        <w:t>mg film-coated tablets</w:t>
      </w:r>
    </w:p>
    <w:p w14:paraId="6A4F1603" w14:textId="77777777" w:rsidR="00B8116F" w:rsidRPr="00B8116F" w:rsidRDefault="00B8116F" w:rsidP="00B8116F">
      <w:pPr>
        <w:rPr>
          <w:sz w:val="24"/>
          <w:szCs w:val="24"/>
          <w:lang w:val="en-US" w:eastAsia="bg-BG"/>
        </w:rPr>
      </w:pPr>
      <w:proofErr w:type="spellStart"/>
      <w:r w:rsidRPr="00B8116F">
        <w:rPr>
          <w:lang w:val="en-US"/>
        </w:rPr>
        <w:t>Vasilip</w:t>
      </w:r>
      <w:proofErr w:type="spellEnd"/>
      <w:r w:rsidRPr="00B8116F">
        <w:rPr>
          <w:lang w:val="en-US"/>
        </w:rPr>
        <w:t xml:space="preserve"> 20 mg film-coated tablets</w:t>
      </w:r>
    </w:p>
    <w:p w14:paraId="770C6EF7" w14:textId="77777777" w:rsidR="00B8116F" w:rsidRPr="00B8116F" w:rsidRDefault="00B8116F" w:rsidP="00B8116F">
      <w:pPr>
        <w:rPr>
          <w:sz w:val="24"/>
          <w:szCs w:val="24"/>
          <w:lang w:val="en-US" w:eastAsia="bg-BG"/>
        </w:rPr>
      </w:pPr>
      <w:proofErr w:type="spellStart"/>
      <w:r w:rsidRPr="00B8116F">
        <w:rPr>
          <w:lang w:val="en-US"/>
        </w:rPr>
        <w:t>Vasilip</w:t>
      </w:r>
      <w:proofErr w:type="spellEnd"/>
      <w:r w:rsidRPr="00B8116F">
        <w:rPr>
          <w:lang w:val="en-US"/>
        </w:rPr>
        <w:t xml:space="preserve"> 40 mg film-coated tablets</w:t>
      </w:r>
    </w:p>
    <w:p w14:paraId="7680A308" w14:textId="77777777" w:rsidR="00B8116F" w:rsidRPr="00B8116F" w:rsidRDefault="00B8116F" w:rsidP="00B8116F"/>
    <w:p w14:paraId="0DF202EC" w14:textId="0BE6E271" w:rsidR="00F53FB7" w:rsidRDefault="00DD466D" w:rsidP="00A93499">
      <w:pPr>
        <w:pStyle w:val="Heading1"/>
      </w:pPr>
      <w:r>
        <w:t>2. КАЧЕСТВЕН И КОЛИЧЕСТВЕН СЪСТАВ</w:t>
      </w:r>
    </w:p>
    <w:p w14:paraId="3389AF6A" w14:textId="441B4F59" w:rsidR="00B8116F" w:rsidRDefault="00B8116F" w:rsidP="00B8116F"/>
    <w:p w14:paraId="68FCDF06"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Всяка филмирана таблетка съдържа 10 </w:t>
      </w:r>
      <w:r w:rsidRPr="00B8116F">
        <w:rPr>
          <w:rFonts w:eastAsia="Times New Roman" w:cs="Arial"/>
          <w:color w:val="000000"/>
          <w:lang w:val="en-US"/>
        </w:rPr>
        <w:t xml:space="preserve">mg, </w:t>
      </w:r>
      <w:r w:rsidRPr="00B8116F">
        <w:rPr>
          <w:rFonts w:eastAsia="Times New Roman" w:cs="Arial"/>
          <w:color w:val="000000"/>
          <w:lang w:eastAsia="bg-BG"/>
        </w:rPr>
        <w:t xml:space="preserve">20 </w:t>
      </w:r>
      <w:r w:rsidRPr="00B8116F">
        <w:rPr>
          <w:rFonts w:eastAsia="Times New Roman" w:cs="Arial"/>
          <w:color w:val="000000"/>
          <w:lang w:val="en-US"/>
        </w:rPr>
        <w:t xml:space="preserve">mg </w:t>
      </w:r>
      <w:r w:rsidRPr="00B8116F">
        <w:rPr>
          <w:rFonts w:eastAsia="Times New Roman" w:cs="Arial"/>
          <w:color w:val="000000"/>
          <w:lang w:eastAsia="bg-BG"/>
        </w:rPr>
        <w:t xml:space="preserve">или 40 </w:t>
      </w:r>
      <w:r w:rsidRPr="00B8116F">
        <w:rPr>
          <w:rFonts w:eastAsia="Times New Roman" w:cs="Arial"/>
          <w:color w:val="000000"/>
          <w:lang w:val="en-US"/>
        </w:rPr>
        <w:t xml:space="preserve">mg </w:t>
      </w:r>
      <w:r w:rsidRPr="00B8116F">
        <w:rPr>
          <w:rFonts w:eastAsia="Times New Roman" w:cs="Arial"/>
          <w:color w:val="000000"/>
          <w:lang w:eastAsia="bg-BG"/>
        </w:rPr>
        <w:t xml:space="preserve">симвастатин </w:t>
      </w:r>
      <w:r w:rsidRPr="00B8116F">
        <w:rPr>
          <w:rFonts w:eastAsia="Times New Roman" w:cs="Arial"/>
          <w:i/>
          <w:iCs/>
          <w:color w:val="000000"/>
          <w:lang w:val="en-US"/>
        </w:rPr>
        <w:t>(simvastatin).</w:t>
      </w:r>
    </w:p>
    <w:p w14:paraId="235F8067" w14:textId="77777777" w:rsidR="00B8116F" w:rsidRPr="00B8116F" w:rsidRDefault="00B8116F" w:rsidP="00B8116F">
      <w:pPr>
        <w:rPr>
          <w:rFonts w:eastAsia="Times New Roman" w:cs="Arial"/>
          <w:color w:val="000000"/>
          <w:lang w:eastAsia="bg-BG"/>
        </w:rPr>
      </w:pPr>
    </w:p>
    <w:p w14:paraId="66BFDB00" w14:textId="2ADE4876" w:rsidR="00B8116F" w:rsidRDefault="00B8116F" w:rsidP="00B8116F">
      <w:pPr>
        <w:rPr>
          <w:rFonts w:eastAsia="Times New Roman" w:cs="Arial"/>
          <w:color w:val="000000"/>
          <w:lang w:eastAsia="bg-BG"/>
        </w:rPr>
      </w:pPr>
      <w:r w:rsidRPr="00B8116F">
        <w:rPr>
          <w:rFonts w:eastAsia="Times New Roman" w:cs="Arial"/>
          <w:color w:val="000000"/>
          <w:lang w:eastAsia="bg-BG"/>
        </w:rPr>
        <w:t>Помощно(и) веществена) с известно действие:</w:t>
      </w:r>
    </w:p>
    <w:tbl>
      <w:tblPr>
        <w:tblStyle w:val="TableGrid"/>
        <w:tblW w:w="0" w:type="auto"/>
        <w:tblLook w:val="04A0" w:firstRow="1" w:lastRow="0" w:firstColumn="1" w:lastColumn="0" w:noHBand="0" w:noVBand="1"/>
      </w:tblPr>
      <w:tblGrid>
        <w:gridCol w:w="2333"/>
        <w:gridCol w:w="2339"/>
        <w:gridCol w:w="2339"/>
        <w:gridCol w:w="2339"/>
      </w:tblGrid>
      <w:tr w:rsidR="00B8116F" w14:paraId="59355675" w14:textId="77777777" w:rsidTr="00B8116F">
        <w:tc>
          <w:tcPr>
            <w:tcW w:w="2375" w:type="dxa"/>
          </w:tcPr>
          <w:p w14:paraId="6BA5D575" w14:textId="77777777" w:rsidR="00B8116F" w:rsidRPr="00B8116F" w:rsidRDefault="00B8116F" w:rsidP="00B8116F">
            <w:pPr>
              <w:rPr>
                <w:rFonts w:cs="Arial"/>
              </w:rPr>
            </w:pPr>
          </w:p>
        </w:tc>
        <w:tc>
          <w:tcPr>
            <w:tcW w:w="2375" w:type="dxa"/>
          </w:tcPr>
          <w:p w14:paraId="53FADD58" w14:textId="561130B5" w:rsidR="00B8116F" w:rsidRPr="00B8116F" w:rsidRDefault="00B8116F" w:rsidP="00B8116F">
            <w:pPr>
              <w:rPr>
                <w:rFonts w:cs="Arial"/>
              </w:rPr>
            </w:pPr>
            <w:r w:rsidRPr="00B8116F">
              <w:t xml:space="preserve">Таблетки от 10 </w:t>
            </w:r>
            <w:r w:rsidRPr="00B8116F">
              <w:rPr>
                <w:lang w:val="en-US"/>
              </w:rPr>
              <w:t>mg</w:t>
            </w:r>
          </w:p>
        </w:tc>
        <w:tc>
          <w:tcPr>
            <w:tcW w:w="2375" w:type="dxa"/>
          </w:tcPr>
          <w:p w14:paraId="5A0A4BEA" w14:textId="6C867A13" w:rsidR="00B8116F" w:rsidRPr="00B8116F" w:rsidRDefault="00B8116F" w:rsidP="00B8116F">
            <w:pPr>
              <w:rPr>
                <w:rFonts w:cs="Arial"/>
              </w:rPr>
            </w:pPr>
            <w:r w:rsidRPr="00B8116F">
              <w:t xml:space="preserve">Таблетки от 20 </w:t>
            </w:r>
            <w:r w:rsidRPr="00B8116F">
              <w:rPr>
                <w:lang w:val="en-US"/>
              </w:rPr>
              <w:t>mg</w:t>
            </w:r>
          </w:p>
        </w:tc>
        <w:tc>
          <w:tcPr>
            <w:tcW w:w="2375" w:type="dxa"/>
          </w:tcPr>
          <w:p w14:paraId="580F2CC5" w14:textId="7E06216F" w:rsidR="00B8116F" w:rsidRPr="00B8116F" w:rsidRDefault="00B8116F" w:rsidP="00B8116F">
            <w:pPr>
              <w:rPr>
                <w:rFonts w:cs="Arial"/>
              </w:rPr>
            </w:pPr>
            <w:r w:rsidRPr="00B8116F">
              <w:t xml:space="preserve">Таблетки от 40 </w:t>
            </w:r>
            <w:r w:rsidRPr="00B8116F">
              <w:rPr>
                <w:lang w:val="en-US"/>
              </w:rPr>
              <w:t>mg</w:t>
            </w:r>
          </w:p>
        </w:tc>
      </w:tr>
      <w:tr w:rsidR="00B8116F" w14:paraId="6F7B1E59" w14:textId="77777777" w:rsidTr="00B8116F">
        <w:tc>
          <w:tcPr>
            <w:tcW w:w="2375" w:type="dxa"/>
          </w:tcPr>
          <w:p w14:paraId="6E42BEFC" w14:textId="4C3DAD50" w:rsidR="00B8116F" w:rsidRPr="00B8116F" w:rsidRDefault="00B8116F" w:rsidP="00B8116F">
            <w:pPr>
              <w:rPr>
                <w:rFonts w:cs="Arial"/>
              </w:rPr>
            </w:pPr>
            <w:r w:rsidRPr="00B8116F">
              <w:t>лактоза</w:t>
            </w:r>
          </w:p>
        </w:tc>
        <w:tc>
          <w:tcPr>
            <w:tcW w:w="2375" w:type="dxa"/>
          </w:tcPr>
          <w:p w14:paraId="11A5CCC0" w14:textId="752EB7FE" w:rsidR="00B8116F" w:rsidRPr="00B8116F" w:rsidRDefault="00B8116F" w:rsidP="00B8116F">
            <w:pPr>
              <w:rPr>
                <w:rFonts w:cs="Arial"/>
              </w:rPr>
            </w:pPr>
            <w:r w:rsidRPr="00B8116F">
              <w:t xml:space="preserve">64,53 </w:t>
            </w:r>
            <w:r w:rsidRPr="00B8116F">
              <w:rPr>
                <w:lang w:val="en-US"/>
              </w:rPr>
              <w:t>mg</w:t>
            </w:r>
          </w:p>
        </w:tc>
        <w:tc>
          <w:tcPr>
            <w:tcW w:w="2375" w:type="dxa"/>
          </w:tcPr>
          <w:p w14:paraId="20AC9753" w14:textId="1C5574A0" w:rsidR="00B8116F" w:rsidRPr="00B8116F" w:rsidRDefault="00B8116F" w:rsidP="00B8116F">
            <w:pPr>
              <w:rPr>
                <w:rFonts w:cs="Arial"/>
              </w:rPr>
            </w:pPr>
            <w:r w:rsidRPr="00B8116F">
              <w:t xml:space="preserve">129,05 </w:t>
            </w:r>
            <w:r w:rsidRPr="00B8116F">
              <w:rPr>
                <w:lang w:val="en-US"/>
              </w:rPr>
              <w:t>mg</w:t>
            </w:r>
          </w:p>
        </w:tc>
        <w:tc>
          <w:tcPr>
            <w:tcW w:w="2375" w:type="dxa"/>
          </w:tcPr>
          <w:p w14:paraId="18362020" w14:textId="1567E097" w:rsidR="00B8116F" w:rsidRPr="00B8116F" w:rsidRDefault="00B8116F" w:rsidP="00B8116F">
            <w:pPr>
              <w:rPr>
                <w:rFonts w:cs="Arial"/>
              </w:rPr>
            </w:pPr>
            <w:r w:rsidRPr="00B8116F">
              <w:t xml:space="preserve">258,11 </w:t>
            </w:r>
            <w:r w:rsidRPr="00B8116F">
              <w:rPr>
                <w:lang w:val="en-US"/>
              </w:rPr>
              <w:t>mg</w:t>
            </w:r>
          </w:p>
        </w:tc>
      </w:tr>
    </w:tbl>
    <w:p w14:paraId="2C8E96DC" w14:textId="77777777" w:rsidR="00B8116F" w:rsidRPr="00B8116F" w:rsidRDefault="00B8116F" w:rsidP="00B8116F">
      <w:pPr>
        <w:rPr>
          <w:rFonts w:cs="Arial"/>
          <w:sz w:val="24"/>
          <w:szCs w:val="24"/>
        </w:rPr>
      </w:pPr>
    </w:p>
    <w:p w14:paraId="4CABB9ED" w14:textId="598ECA2A" w:rsidR="00F53FB7" w:rsidRDefault="00DD466D" w:rsidP="00A93499">
      <w:pPr>
        <w:pStyle w:val="Heading1"/>
      </w:pPr>
      <w:r>
        <w:t>3. ЛЕКАРСТВЕНА ФОРМА</w:t>
      </w:r>
    </w:p>
    <w:p w14:paraId="55EE957B" w14:textId="3CE982EC" w:rsidR="00B8116F" w:rsidRDefault="00B8116F" w:rsidP="00B8116F"/>
    <w:p w14:paraId="440C2ECB"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Филмирана таблетка</w:t>
      </w:r>
    </w:p>
    <w:p w14:paraId="2FBB4D2C" w14:textId="77777777" w:rsidR="00B8116F" w:rsidRPr="00B8116F" w:rsidRDefault="00B8116F" w:rsidP="00B8116F">
      <w:pPr>
        <w:spacing w:line="240" w:lineRule="auto"/>
        <w:rPr>
          <w:rFonts w:eastAsia="Times New Roman" w:cs="Arial"/>
          <w:color w:val="000000"/>
          <w:lang w:eastAsia="bg-BG"/>
        </w:rPr>
      </w:pPr>
    </w:p>
    <w:p w14:paraId="226BF00C" w14:textId="430847E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Вазилип 10 </w:t>
      </w:r>
      <w:r w:rsidRPr="00B8116F">
        <w:rPr>
          <w:rFonts w:eastAsia="Times New Roman" w:cs="Arial"/>
          <w:color w:val="000000"/>
          <w:lang w:val="en-US"/>
        </w:rPr>
        <w:t xml:space="preserve">mg </w:t>
      </w:r>
      <w:r w:rsidRPr="00B8116F">
        <w:rPr>
          <w:rFonts w:eastAsia="Times New Roman" w:cs="Arial"/>
          <w:color w:val="000000"/>
          <w:lang w:eastAsia="bg-BG"/>
        </w:rPr>
        <w:t>филмирани таблетки са овални, леко двойноизпъкнали, от едната страна с делителна черта и с 10 от противоположната страна, бели, филмирани таблетки.</w:t>
      </w:r>
    </w:p>
    <w:p w14:paraId="21E4CF15"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Вазилип 20 </w:t>
      </w:r>
      <w:r w:rsidRPr="00B8116F">
        <w:rPr>
          <w:rFonts w:eastAsia="Times New Roman" w:cs="Arial"/>
          <w:color w:val="000000"/>
          <w:lang w:val="en-US"/>
        </w:rPr>
        <w:t xml:space="preserve">mg </w:t>
      </w:r>
      <w:r w:rsidRPr="00B8116F">
        <w:rPr>
          <w:rFonts w:eastAsia="Times New Roman" w:cs="Arial"/>
          <w:color w:val="000000"/>
          <w:lang w:eastAsia="bg-BG"/>
        </w:rPr>
        <w:t>филмирани таблетки са овални, леко двойноизпъкнали, от едната страна с делителна черта и с 20 от противоположната страна, бели, филмирани таблетки.</w:t>
      </w:r>
    </w:p>
    <w:p w14:paraId="61E9207C"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Вазилип 40 </w:t>
      </w:r>
      <w:r w:rsidRPr="00B8116F">
        <w:rPr>
          <w:rFonts w:eastAsia="Times New Roman" w:cs="Arial"/>
          <w:color w:val="000000"/>
          <w:lang w:val="en-US"/>
        </w:rPr>
        <w:t xml:space="preserve">mg </w:t>
      </w:r>
      <w:r w:rsidRPr="00B8116F">
        <w:rPr>
          <w:rFonts w:eastAsia="Times New Roman" w:cs="Arial"/>
          <w:color w:val="000000"/>
          <w:lang w:eastAsia="bg-BG"/>
        </w:rPr>
        <w:t>филмирани таблетки са кръгли, леко двойноизпъкнали, със скосени ръбове, от едната страна с делителна черта, бели, филмирани таблетки.</w:t>
      </w:r>
    </w:p>
    <w:p w14:paraId="4E558CD3" w14:textId="77777777" w:rsidR="00B8116F" w:rsidRPr="00B8116F" w:rsidRDefault="00B8116F" w:rsidP="00B8116F">
      <w:pPr>
        <w:spacing w:line="240" w:lineRule="auto"/>
        <w:rPr>
          <w:rFonts w:eastAsia="Times New Roman" w:cs="Arial"/>
          <w:color w:val="000000"/>
          <w:lang w:eastAsia="bg-BG"/>
        </w:rPr>
      </w:pPr>
    </w:p>
    <w:p w14:paraId="4790164E" w14:textId="79946E39"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Таблетките могат да се разделят на две еднакви дози.</w:t>
      </w:r>
    </w:p>
    <w:p w14:paraId="65507F82" w14:textId="77777777" w:rsidR="00B8116F" w:rsidRPr="00B8116F" w:rsidRDefault="00B8116F" w:rsidP="00B8116F"/>
    <w:p w14:paraId="490FC2C4" w14:textId="6899DE43" w:rsidR="002C50EE" w:rsidRDefault="002C50EE" w:rsidP="002C50EE">
      <w:pPr>
        <w:pStyle w:val="Heading1"/>
      </w:pPr>
      <w:r>
        <w:t>4. КЛИНИЧНИ ДАННИ</w:t>
      </w:r>
    </w:p>
    <w:p w14:paraId="1A37D275" w14:textId="79268F2E" w:rsidR="00F53FB7" w:rsidRDefault="002C50EE" w:rsidP="00A93499">
      <w:pPr>
        <w:pStyle w:val="Heading2"/>
      </w:pPr>
      <w:r>
        <w:t>4.1. Терапевтични показания</w:t>
      </w:r>
    </w:p>
    <w:p w14:paraId="574FD6CA" w14:textId="2CEFDF9F" w:rsidR="00B8116F" w:rsidRDefault="00B8116F" w:rsidP="00B8116F"/>
    <w:p w14:paraId="35DAFD91"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Хиперхолестеролемия</w:t>
      </w:r>
    </w:p>
    <w:p w14:paraId="2D3E768D"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Лечение на първична хиперхолестеролемия или смесена дислипидемия, като добавка към диетата, когато отговорът към диетата и друго немедикаментозно лечение (напр. физически усилия, намаление на теглото) е недостатъчен.</w:t>
      </w:r>
    </w:p>
    <w:p w14:paraId="49A2D07C" w14:textId="77777777" w:rsidR="00B8116F" w:rsidRPr="00B8116F" w:rsidRDefault="00B8116F" w:rsidP="00B8116F">
      <w:pPr>
        <w:spacing w:line="240" w:lineRule="auto"/>
        <w:rPr>
          <w:rFonts w:eastAsia="Times New Roman" w:cs="Arial"/>
          <w:color w:val="000000"/>
          <w:lang w:eastAsia="bg-BG"/>
        </w:rPr>
      </w:pPr>
    </w:p>
    <w:p w14:paraId="5056C5A8" w14:textId="6D4D4D7E"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lastRenderedPageBreak/>
        <w:t xml:space="preserve">Лечение на хомозиготна фамилна хиперхолестеролемия, като добавка към диетата и друго липидопонижаващо лечение (напр. </w:t>
      </w:r>
      <w:r w:rsidRPr="00B8116F">
        <w:rPr>
          <w:rFonts w:eastAsia="Times New Roman" w:cs="Arial"/>
          <w:color w:val="000000"/>
          <w:lang w:val="en-US"/>
        </w:rPr>
        <w:t xml:space="preserve">LDL </w:t>
      </w:r>
      <w:r w:rsidRPr="00B8116F">
        <w:rPr>
          <w:rFonts w:eastAsia="Times New Roman" w:cs="Arial"/>
          <w:color w:val="000000"/>
          <w:lang w:eastAsia="bg-BG"/>
        </w:rPr>
        <w:t>афереза) или в случай, че такова лечение е неподходящо.</w:t>
      </w:r>
    </w:p>
    <w:p w14:paraId="56640457" w14:textId="77777777" w:rsidR="00B8116F" w:rsidRPr="00B8116F" w:rsidRDefault="00B8116F" w:rsidP="00B8116F">
      <w:pPr>
        <w:spacing w:line="240" w:lineRule="auto"/>
        <w:rPr>
          <w:rFonts w:eastAsia="Times New Roman" w:cs="Arial"/>
          <w:color w:val="000000"/>
          <w:u w:val="single"/>
          <w:lang w:eastAsia="bg-BG"/>
        </w:rPr>
      </w:pPr>
    </w:p>
    <w:p w14:paraId="2BE98DFB" w14:textId="06250CAD"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Сърдечносъдова профилактика</w:t>
      </w:r>
    </w:p>
    <w:p w14:paraId="39F8A8C1" w14:textId="77777777" w:rsidR="00B8116F" w:rsidRPr="00B8116F" w:rsidRDefault="00B8116F" w:rsidP="00B8116F">
      <w:pPr>
        <w:spacing w:line="240" w:lineRule="auto"/>
        <w:rPr>
          <w:rFonts w:ascii="Times New Roman" w:eastAsia="Times New Roman" w:hAnsi="Times New Roman" w:cs="Times New Roman"/>
          <w:sz w:val="24"/>
          <w:szCs w:val="24"/>
          <w:lang w:eastAsia="bg-BG"/>
        </w:rPr>
      </w:pPr>
      <w:r w:rsidRPr="00B8116F">
        <w:rPr>
          <w:rFonts w:eastAsia="Times New Roman" w:cs="Arial"/>
          <w:color w:val="000000"/>
          <w:lang w:eastAsia="bg-BG"/>
        </w:rPr>
        <w:t>Намаляване на сърдечносъдовата смъртност при пациенти с манифестно атеросклеротично сърдечносъдово заболяване или захарен диабет, с нормални или повишени нива на холестерола, като допълнително средство при коригирането на останалите рискови фактори и друго кардиопротективно лечение (вж. точка 5.1).</w:t>
      </w:r>
    </w:p>
    <w:p w14:paraId="0962A13E" w14:textId="77777777" w:rsidR="00B8116F" w:rsidRPr="00B8116F" w:rsidRDefault="00B8116F" w:rsidP="00B8116F"/>
    <w:p w14:paraId="05D17336" w14:textId="12E58D5A" w:rsidR="00F53FB7" w:rsidRDefault="002C50EE" w:rsidP="00A93499">
      <w:pPr>
        <w:pStyle w:val="Heading2"/>
      </w:pPr>
      <w:r>
        <w:t>4.2. Дозировка и начин на приложение</w:t>
      </w:r>
    </w:p>
    <w:p w14:paraId="0B6C72D7" w14:textId="5A7E5DF9" w:rsidR="00B8116F" w:rsidRDefault="00B8116F" w:rsidP="00B8116F"/>
    <w:p w14:paraId="528B02DC" w14:textId="77777777" w:rsidR="00B8116F" w:rsidRPr="00B8116F" w:rsidRDefault="00B8116F" w:rsidP="00B8116F">
      <w:pPr>
        <w:pStyle w:val="Heading3"/>
        <w:rPr>
          <w:rFonts w:eastAsia="Times New Roman"/>
          <w:sz w:val="28"/>
          <w:szCs w:val="28"/>
          <w:u w:val="single"/>
          <w:lang w:eastAsia="bg-BG"/>
        </w:rPr>
      </w:pPr>
      <w:r w:rsidRPr="00B8116F">
        <w:rPr>
          <w:rFonts w:eastAsia="Times New Roman"/>
          <w:u w:val="single"/>
          <w:lang w:eastAsia="bg-BG"/>
        </w:rPr>
        <w:t>Начин на приложение</w:t>
      </w:r>
    </w:p>
    <w:p w14:paraId="68BDEA18" w14:textId="77777777" w:rsidR="00B8116F" w:rsidRPr="00B8116F" w:rsidRDefault="00B8116F" w:rsidP="00B8116F">
      <w:pPr>
        <w:spacing w:line="240" w:lineRule="auto"/>
        <w:rPr>
          <w:rFonts w:eastAsia="Times New Roman" w:cs="Arial"/>
          <w:color w:val="000000"/>
          <w:lang w:eastAsia="bg-BG"/>
        </w:rPr>
      </w:pPr>
    </w:p>
    <w:p w14:paraId="39F99E1E" w14:textId="0354D6B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Перорално</w:t>
      </w:r>
    </w:p>
    <w:p w14:paraId="3833C9D4"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Дозата е 5-80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перорално, еднократно вечер. Коригирането на дозата, ако е необходимо, трябва да се извършва през интервали не по-малки от 4 седмици, до максимална доза от 80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приемана еднократно вечер. Доза от 80 </w:t>
      </w:r>
      <w:r w:rsidRPr="00B8116F">
        <w:rPr>
          <w:rFonts w:eastAsia="Times New Roman" w:cs="Arial"/>
          <w:color w:val="000000"/>
          <w:lang w:val="en-US"/>
        </w:rPr>
        <w:t xml:space="preserve">mg </w:t>
      </w:r>
      <w:r w:rsidRPr="00B8116F">
        <w:rPr>
          <w:rFonts w:eastAsia="Times New Roman" w:cs="Arial"/>
          <w:color w:val="000000"/>
          <w:lang w:eastAsia="bg-BG"/>
        </w:rPr>
        <w:t>се препоръчва само при пациенти с тежка хиперхолестеролемия и с висок риск от сърдечносъдови усложнения, които не са постигнали целите на тяхното лечение и когато се очаква ползата от лечението да надвиши потенциалния риск (вж. точки 4.4 и 5.1).</w:t>
      </w:r>
    </w:p>
    <w:p w14:paraId="6B1FCC86" w14:textId="77777777" w:rsidR="00B8116F" w:rsidRPr="00B8116F" w:rsidRDefault="00B8116F" w:rsidP="00B8116F">
      <w:pPr>
        <w:spacing w:line="240" w:lineRule="auto"/>
        <w:rPr>
          <w:rFonts w:eastAsia="Times New Roman" w:cs="Arial"/>
          <w:color w:val="000000"/>
          <w:u w:val="single"/>
          <w:lang w:eastAsia="bg-BG"/>
        </w:rPr>
      </w:pPr>
    </w:p>
    <w:p w14:paraId="35D29731" w14:textId="58CA7CBA"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Хиперхолестеролемия</w:t>
      </w:r>
    </w:p>
    <w:p w14:paraId="6AFF1016"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Пациентът трябва да се постави на стандартна холестерол-понижаваща диета, и тази диета трябва да продължи по време на лечение със симвастатин. Обичайната начална доза е 10-20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еднократно вечер. Пациенти, които се нуждаят от голямо намаление на </w:t>
      </w:r>
      <w:r w:rsidRPr="00B8116F">
        <w:rPr>
          <w:rFonts w:eastAsia="Times New Roman" w:cs="Arial"/>
          <w:color w:val="000000"/>
          <w:lang w:val="en-US"/>
        </w:rPr>
        <w:t xml:space="preserve">LDL-C </w:t>
      </w:r>
      <w:r w:rsidRPr="00B8116F">
        <w:rPr>
          <w:rFonts w:eastAsia="Times New Roman" w:cs="Arial"/>
          <w:color w:val="000000"/>
          <w:lang w:eastAsia="bg-BG"/>
        </w:rPr>
        <w:t xml:space="preserve">(над 45 %) може да започнат с еднократна доза от 20-40 </w:t>
      </w:r>
      <w:r w:rsidRPr="00B8116F">
        <w:rPr>
          <w:rFonts w:eastAsia="Times New Roman" w:cs="Arial"/>
          <w:color w:val="000000"/>
          <w:lang w:val="en-US"/>
        </w:rPr>
        <w:t xml:space="preserve">mg </w:t>
      </w:r>
      <w:r w:rsidRPr="00B8116F">
        <w:rPr>
          <w:rFonts w:eastAsia="Times New Roman" w:cs="Arial"/>
          <w:color w:val="000000"/>
          <w:lang w:eastAsia="bg-BG"/>
        </w:rPr>
        <w:t>дневно, приемани вечер. Коригирането на дозата, ако е необходимо, трябва да се извършва както е указано по-горе.</w:t>
      </w:r>
    </w:p>
    <w:p w14:paraId="28FD5D01" w14:textId="77777777" w:rsidR="00B8116F" w:rsidRPr="00B8116F" w:rsidRDefault="00B8116F" w:rsidP="00B8116F">
      <w:pPr>
        <w:spacing w:line="240" w:lineRule="auto"/>
        <w:rPr>
          <w:rFonts w:eastAsia="Times New Roman" w:cs="Arial"/>
          <w:color w:val="000000"/>
          <w:u w:val="single"/>
          <w:lang w:eastAsia="bg-BG"/>
        </w:rPr>
      </w:pPr>
    </w:p>
    <w:p w14:paraId="5618FB4D" w14:textId="3DF63288"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Хомозиготна фамилна хиперхолестеролемия</w:t>
      </w:r>
    </w:p>
    <w:p w14:paraId="176D949D"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Въз основа на резултатите от контролирано клинично изпитване, препоръчителната начална доза симвастатин е 40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приемани вечер. При тези пациенти симвастатин трябва да се прилага като допълнително средство към друго липидопонижаващо лечение (напр. </w:t>
      </w:r>
      <w:r w:rsidRPr="00B8116F">
        <w:rPr>
          <w:rFonts w:eastAsia="Times New Roman" w:cs="Arial"/>
          <w:color w:val="000000"/>
          <w:lang w:val="en-US"/>
        </w:rPr>
        <w:t xml:space="preserve">LDL </w:t>
      </w:r>
      <w:r w:rsidRPr="00B8116F">
        <w:rPr>
          <w:rFonts w:eastAsia="Times New Roman" w:cs="Arial"/>
          <w:color w:val="000000"/>
          <w:lang w:eastAsia="bg-BG"/>
        </w:rPr>
        <w:t>афереза) или в случай, че няма възможност за такова лечение.</w:t>
      </w:r>
    </w:p>
    <w:p w14:paraId="7B480E5D" w14:textId="77777777" w:rsidR="00B8116F" w:rsidRPr="00B8116F" w:rsidRDefault="00B8116F" w:rsidP="00B8116F">
      <w:pPr>
        <w:spacing w:line="240" w:lineRule="auto"/>
        <w:rPr>
          <w:rFonts w:eastAsia="Times New Roman" w:cs="Arial"/>
          <w:color w:val="000000"/>
          <w:lang w:eastAsia="bg-BG"/>
        </w:rPr>
      </w:pPr>
    </w:p>
    <w:p w14:paraId="61EB0421" w14:textId="1AE5C1C9"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При пациенти, приемащи ломитапид едновременно със симвастатин, дозата на симвастатин не трябва да превишава 40 </w:t>
      </w:r>
      <w:r w:rsidRPr="00B8116F">
        <w:rPr>
          <w:rFonts w:eastAsia="Times New Roman" w:cs="Arial"/>
          <w:color w:val="000000"/>
          <w:lang w:val="en-US"/>
        </w:rPr>
        <w:t xml:space="preserve">mg </w:t>
      </w:r>
      <w:r w:rsidRPr="00B8116F">
        <w:rPr>
          <w:rFonts w:eastAsia="Times New Roman" w:cs="Arial"/>
          <w:color w:val="000000"/>
          <w:lang w:eastAsia="bg-BG"/>
        </w:rPr>
        <w:t>дневно (вж. точки 4.4,4.4 и 4.5).</w:t>
      </w:r>
    </w:p>
    <w:p w14:paraId="6133C5B1" w14:textId="77777777" w:rsidR="00B8116F" w:rsidRPr="00B8116F" w:rsidRDefault="00B8116F" w:rsidP="00B8116F">
      <w:pPr>
        <w:spacing w:line="240" w:lineRule="auto"/>
        <w:rPr>
          <w:rFonts w:eastAsia="Times New Roman" w:cs="Arial"/>
          <w:color w:val="000000"/>
          <w:u w:val="single"/>
          <w:lang w:eastAsia="bg-BG"/>
        </w:rPr>
      </w:pPr>
    </w:p>
    <w:p w14:paraId="100A4F91" w14:textId="165BF78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Сърдечносъдова профилактика</w:t>
      </w:r>
    </w:p>
    <w:p w14:paraId="769B1E87"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Обичайната доза на симвастатин е 20 до 40 </w:t>
      </w:r>
      <w:r w:rsidRPr="00B8116F">
        <w:rPr>
          <w:rFonts w:eastAsia="Times New Roman" w:cs="Arial"/>
          <w:color w:val="000000"/>
          <w:lang w:val="en-US"/>
        </w:rPr>
        <w:t xml:space="preserve">mg </w:t>
      </w:r>
      <w:r w:rsidRPr="00B8116F">
        <w:rPr>
          <w:rFonts w:eastAsia="Times New Roman" w:cs="Arial"/>
          <w:color w:val="000000"/>
          <w:lang w:eastAsia="bg-BG"/>
        </w:rPr>
        <w:t>дневно, приета еднократно вечер, при пациенти с висок риск от исхемична болест на сърцето (ИБС) с или без хиперлипидемия.</w:t>
      </w:r>
    </w:p>
    <w:p w14:paraId="37EF0B5E"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Медикаментозното лечение може да започне едновременно с диета и физическо натоварване. Коригирането на дозата, ако е необходимо, трябва да се извършва както е указано по-горе.</w:t>
      </w:r>
    </w:p>
    <w:p w14:paraId="56325E30" w14:textId="77777777" w:rsidR="00B8116F" w:rsidRPr="00B8116F" w:rsidRDefault="00B8116F" w:rsidP="00B8116F">
      <w:pPr>
        <w:spacing w:line="240" w:lineRule="auto"/>
        <w:rPr>
          <w:rFonts w:eastAsia="Times New Roman" w:cs="Arial"/>
          <w:color w:val="000000"/>
          <w:u w:val="single"/>
          <w:lang w:eastAsia="bg-BG"/>
        </w:rPr>
      </w:pPr>
    </w:p>
    <w:p w14:paraId="6893E565" w14:textId="1A33F45D"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Едновременно лечение</w:t>
      </w:r>
    </w:p>
    <w:p w14:paraId="0CD44224"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lastRenderedPageBreak/>
        <w:t>Симвастатин е ефективен при самостоятелно приложение или в комбинация с жлъчни секвестранти. Те трябва да се приемат повече от 2 часа преди или повече от 4 часа след приложението на жлъчен секвестрант.</w:t>
      </w:r>
    </w:p>
    <w:p w14:paraId="6C128A05" w14:textId="77777777" w:rsidR="00B8116F" w:rsidRPr="00B8116F" w:rsidRDefault="00B8116F" w:rsidP="00B8116F">
      <w:pPr>
        <w:spacing w:line="240" w:lineRule="auto"/>
        <w:rPr>
          <w:rFonts w:eastAsia="Times New Roman" w:cs="Arial"/>
          <w:color w:val="000000"/>
          <w:lang w:eastAsia="bg-BG"/>
        </w:rPr>
      </w:pPr>
    </w:p>
    <w:p w14:paraId="45FA0883" w14:textId="65543F70"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При пациенти, приемащи симвастатин едновременно с фибрати, различни от гемифиборзил (вж. точка 4.3) или фенофибрати, дозата на симвастатин не трябва да надхвърля 10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При пациенти, лекувани с амиодарон, амлодипин, верапамил, дилтиазем или продукти съдържащи елбасвир или гразопревир едновременно със симвастатин, дозата на симвастатин не трябва да надхвърля 20 </w:t>
      </w:r>
      <w:r w:rsidRPr="00B8116F">
        <w:rPr>
          <w:rFonts w:eastAsia="Times New Roman" w:cs="Arial"/>
          <w:color w:val="000000"/>
          <w:lang w:val="en-US"/>
        </w:rPr>
        <w:t xml:space="preserve">mg </w:t>
      </w:r>
      <w:r w:rsidRPr="00B8116F">
        <w:rPr>
          <w:rFonts w:eastAsia="Times New Roman" w:cs="Arial"/>
          <w:color w:val="000000"/>
          <w:lang w:eastAsia="bg-BG"/>
        </w:rPr>
        <w:t>дневно (вж. точки 4.4 и 4.5).</w:t>
      </w:r>
    </w:p>
    <w:p w14:paraId="782DE075" w14:textId="77777777" w:rsidR="00B8116F" w:rsidRPr="00B8116F" w:rsidRDefault="00B8116F" w:rsidP="00B8116F">
      <w:pPr>
        <w:spacing w:line="240" w:lineRule="auto"/>
        <w:rPr>
          <w:rFonts w:eastAsia="Times New Roman" w:cs="Arial"/>
          <w:color w:val="000000"/>
          <w:u w:val="single"/>
          <w:lang w:eastAsia="bg-BG"/>
        </w:rPr>
      </w:pPr>
    </w:p>
    <w:p w14:paraId="24257497" w14:textId="1E45D5F5"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Дозировка при бъбречна недостатъчност</w:t>
      </w:r>
    </w:p>
    <w:p w14:paraId="4BF68704"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Не е необходимо изменение на дозата при пациенти с умерена бъбречна недостатъчност.</w:t>
      </w:r>
    </w:p>
    <w:p w14:paraId="55CBF0FC" w14:textId="77777777" w:rsidR="00B8116F" w:rsidRPr="00B8116F" w:rsidRDefault="00B8116F" w:rsidP="00B8116F">
      <w:pPr>
        <w:spacing w:line="240" w:lineRule="auto"/>
        <w:rPr>
          <w:rFonts w:eastAsia="Times New Roman" w:cs="Arial"/>
          <w:color w:val="000000"/>
          <w:lang w:eastAsia="bg-BG"/>
        </w:rPr>
      </w:pPr>
    </w:p>
    <w:p w14:paraId="4BA68D34" w14:textId="1308DB26"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При болни с тежка бъбречна недостатъчност (креатининов клирънс &lt; 30 </w:t>
      </w:r>
      <w:r w:rsidRPr="00B8116F">
        <w:rPr>
          <w:rFonts w:eastAsia="Times New Roman" w:cs="Arial"/>
          <w:color w:val="000000"/>
          <w:lang w:val="en-US"/>
        </w:rPr>
        <w:t xml:space="preserve">ml/min) </w:t>
      </w:r>
      <w:r w:rsidRPr="00B8116F">
        <w:rPr>
          <w:rFonts w:eastAsia="Times New Roman" w:cs="Arial"/>
          <w:color w:val="000000"/>
          <w:lang w:eastAsia="bg-BG"/>
        </w:rPr>
        <w:t xml:space="preserve">приложението на дози над 10 </w:t>
      </w:r>
      <w:r w:rsidRPr="00B8116F">
        <w:rPr>
          <w:rFonts w:eastAsia="Times New Roman" w:cs="Arial"/>
          <w:color w:val="000000"/>
          <w:lang w:val="en-US"/>
        </w:rPr>
        <w:t xml:space="preserve">mg </w:t>
      </w:r>
      <w:r w:rsidRPr="00B8116F">
        <w:rPr>
          <w:rFonts w:eastAsia="Times New Roman" w:cs="Arial"/>
          <w:color w:val="000000"/>
          <w:lang w:eastAsia="bg-BG"/>
        </w:rPr>
        <w:t>дневно трябва внимателно да се обмисли и, ако е необходимо, лекарството трябва да се прилага предпазливо.</w:t>
      </w:r>
    </w:p>
    <w:p w14:paraId="7BEE4E36" w14:textId="77777777" w:rsidR="00B8116F" w:rsidRPr="00B8116F" w:rsidRDefault="00B8116F" w:rsidP="00B8116F">
      <w:pPr>
        <w:spacing w:line="240" w:lineRule="auto"/>
        <w:rPr>
          <w:rFonts w:eastAsia="Times New Roman" w:cs="Arial"/>
          <w:color w:val="000000"/>
          <w:u w:val="single"/>
          <w:lang w:eastAsia="bg-BG"/>
        </w:rPr>
      </w:pPr>
    </w:p>
    <w:p w14:paraId="4F83DB2E" w14:textId="0BE8C586"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Приложение при възрастни</w:t>
      </w:r>
    </w:p>
    <w:p w14:paraId="107C6501"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Не е необходимо коригиране на дозата.</w:t>
      </w:r>
    </w:p>
    <w:p w14:paraId="047AB13F" w14:textId="77777777" w:rsidR="00B8116F" w:rsidRPr="00B8116F" w:rsidRDefault="00B8116F" w:rsidP="00B8116F">
      <w:pPr>
        <w:spacing w:line="240" w:lineRule="auto"/>
        <w:rPr>
          <w:rFonts w:eastAsia="Times New Roman" w:cs="Arial"/>
          <w:color w:val="000000"/>
          <w:u w:val="single"/>
          <w:lang w:eastAsia="bg-BG"/>
        </w:rPr>
      </w:pPr>
    </w:p>
    <w:p w14:paraId="0F3BA36B" w14:textId="003B781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Приложение при деца и юноши: (10-17 годишна възраст)</w:t>
      </w:r>
    </w:p>
    <w:p w14:paraId="7477D127"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За деца и юноши (младежи II степен по Танер и нагоре и девойки, които са поне една година след първата им менструация на възраст 10-17 години) с хетерозиготна фамилна хиперхолестеролемия, препоръчителната обичайна начална доза е 10 </w:t>
      </w:r>
      <w:r w:rsidRPr="00B8116F">
        <w:rPr>
          <w:rFonts w:eastAsia="Times New Roman" w:cs="Arial"/>
          <w:color w:val="000000"/>
          <w:lang w:val="en-US"/>
        </w:rPr>
        <w:t xml:space="preserve">mg </w:t>
      </w:r>
      <w:r w:rsidRPr="00B8116F">
        <w:rPr>
          <w:rFonts w:eastAsia="Times New Roman" w:cs="Arial"/>
          <w:color w:val="000000"/>
          <w:lang w:eastAsia="bg-BG"/>
        </w:rPr>
        <w:t>веднъж дневно вечер. Децата и юношите трябва да бъдат поставени на стандартна холестерол-понижаваща диета, преди започване на лечение със симвастатин: тази диета трябва да продължи и по време на лечението със симвастатин.</w:t>
      </w:r>
    </w:p>
    <w:p w14:paraId="2CFBC366" w14:textId="77777777" w:rsidR="00B8116F" w:rsidRPr="00B8116F" w:rsidRDefault="00B8116F" w:rsidP="00B8116F">
      <w:pPr>
        <w:spacing w:line="240" w:lineRule="auto"/>
        <w:rPr>
          <w:rFonts w:eastAsia="Times New Roman" w:cs="Arial"/>
          <w:color w:val="000000"/>
          <w:lang w:eastAsia="bg-BG"/>
        </w:rPr>
      </w:pPr>
    </w:p>
    <w:p w14:paraId="7EA16927" w14:textId="114C08D6"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 xml:space="preserve">Препоръчителният дозов интервал е 10-40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максималната препоръчителна доза е 40 </w:t>
      </w:r>
      <w:r w:rsidRPr="00B8116F">
        <w:rPr>
          <w:rFonts w:eastAsia="Times New Roman" w:cs="Arial"/>
          <w:color w:val="000000"/>
          <w:lang w:val="en-US"/>
        </w:rPr>
        <w:t>mg</w:t>
      </w:r>
      <w:r w:rsidRPr="00B8116F">
        <w:rPr>
          <w:rFonts w:eastAsia="Times New Roman" w:cs="Arial"/>
          <w:color w:val="000000"/>
          <w:lang w:eastAsia="bg-BG"/>
        </w:rPr>
        <w:t xml:space="preserve">/дневно. </w:t>
      </w:r>
    </w:p>
    <w:p w14:paraId="339FA899" w14:textId="4303AA19"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Дозите трябва да бъдат индивидуални, според препоръчаната цел на терапията съгласно препоръките за педиатрично лечение (вж.точки 4.4 и 5.1). Коригиране на дозата трябва да се прави през интервал от 4 седмици и повече.</w:t>
      </w:r>
    </w:p>
    <w:p w14:paraId="52FCB048" w14:textId="77777777" w:rsidR="00B8116F" w:rsidRPr="00B8116F" w:rsidRDefault="00B8116F" w:rsidP="00B8116F">
      <w:pPr>
        <w:rPr>
          <w:rFonts w:eastAsia="Times New Roman" w:cs="Arial"/>
          <w:color w:val="000000"/>
          <w:lang w:eastAsia="bg-BG"/>
        </w:rPr>
      </w:pPr>
    </w:p>
    <w:p w14:paraId="3CE7F851" w14:textId="5183E8BC" w:rsidR="00B8116F" w:rsidRPr="00B8116F" w:rsidRDefault="00B8116F" w:rsidP="00B8116F">
      <w:pPr>
        <w:rPr>
          <w:rFonts w:eastAsia="Times New Roman" w:cs="Arial"/>
          <w:color w:val="000000"/>
          <w:lang w:eastAsia="bg-BG"/>
        </w:rPr>
      </w:pPr>
      <w:r w:rsidRPr="00B8116F">
        <w:rPr>
          <w:rFonts w:eastAsia="Times New Roman" w:cs="Arial"/>
          <w:color w:val="000000"/>
          <w:lang w:eastAsia="bg-BG"/>
        </w:rPr>
        <w:t>Опитът със симвастатин при деца преди пубертета е ограничен.</w:t>
      </w:r>
    </w:p>
    <w:p w14:paraId="4C84557A" w14:textId="77777777" w:rsidR="00B8116F" w:rsidRPr="00B8116F" w:rsidRDefault="00B8116F" w:rsidP="00B8116F"/>
    <w:p w14:paraId="1BF2EFF4" w14:textId="315DD2F7" w:rsidR="001A6EBD" w:rsidRDefault="002C50EE" w:rsidP="00471F10">
      <w:pPr>
        <w:pStyle w:val="Heading2"/>
      </w:pPr>
      <w:r>
        <w:t>4.3. Противопоказания</w:t>
      </w:r>
    </w:p>
    <w:p w14:paraId="77731DE7" w14:textId="164F0E66" w:rsidR="00B8116F" w:rsidRDefault="00B8116F" w:rsidP="00B8116F"/>
    <w:p w14:paraId="231DF4A4"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Свръхчувствителност към симвастатин или някое от помощните вещества, изброени в точка 6.1.</w:t>
      </w:r>
    </w:p>
    <w:p w14:paraId="0344EC7C"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Активно чернодробно заболяване или неизяснено персистиращо повишение на стойностите на серумните трансаминази.</w:t>
      </w:r>
    </w:p>
    <w:p w14:paraId="047C2836"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Бременност и кърмене (вж. 4.6 Фертилитет, бременност и кърмене).</w:t>
      </w:r>
    </w:p>
    <w:p w14:paraId="29D7D34C"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 xml:space="preserve">Едновременно приложение с мощни </w:t>
      </w:r>
      <w:r w:rsidRPr="00B8116F">
        <w:rPr>
          <w:rFonts w:eastAsia="Times New Roman" w:cs="Arial"/>
          <w:color w:val="000000"/>
          <w:lang w:val="en-US"/>
        </w:rPr>
        <w:t xml:space="preserve">CYP3A4 </w:t>
      </w:r>
      <w:r w:rsidRPr="00B8116F">
        <w:rPr>
          <w:rFonts w:eastAsia="Times New Roman" w:cs="Arial"/>
          <w:color w:val="000000"/>
          <w:lang w:eastAsia="bg-BG"/>
        </w:rPr>
        <w:t xml:space="preserve">инхибитори (агенти, повишаващи </w:t>
      </w:r>
      <w:r w:rsidRPr="00B8116F">
        <w:rPr>
          <w:rFonts w:eastAsia="Times New Roman" w:cs="Arial"/>
          <w:color w:val="000000"/>
          <w:lang w:val="en-US"/>
        </w:rPr>
        <w:t xml:space="preserve">AUC </w:t>
      </w:r>
      <w:r w:rsidRPr="00B8116F">
        <w:rPr>
          <w:rFonts w:eastAsia="Times New Roman" w:cs="Arial"/>
          <w:color w:val="000000"/>
          <w:lang w:eastAsia="bg-BG"/>
        </w:rPr>
        <w:t xml:space="preserve">приблизително 5 пъти и повече) (напр. итраконазол, кетоконазол, позаконазол, вориконазол, </w:t>
      </w:r>
      <w:r w:rsidRPr="00B8116F">
        <w:rPr>
          <w:rFonts w:eastAsia="Times New Roman" w:cs="Arial"/>
          <w:color w:val="000000"/>
          <w:lang w:val="en-US"/>
        </w:rPr>
        <w:t xml:space="preserve">HIV </w:t>
      </w:r>
      <w:r w:rsidRPr="00B8116F">
        <w:rPr>
          <w:rFonts w:eastAsia="Times New Roman" w:cs="Arial"/>
          <w:color w:val="000000"/>
          <w:lang w:eastAsia="bg-BG"/>
        </w:rPr>
        <w:t>протеазни инхибитори (напр. нелфинавир), боцепревир, телапревир, еритромицин, кларитромицин, телитромицин и нефазодон и лекарствени продукти, съдържащи кобицистат) (вж. точки 4.4 и 4.5).</w:t>
      </w:r>
    </w:p>
    <w:p w14:paraId="4D6C97DE"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lastRenderedPageBreak/>
        <w:t>Едновременно приложение на гемфиброзил, циклоспорин или даназол (вж. точки 4.4 и 4.5).</w:t>
      </w:r>
    </w:p>
    <w:p w14:paraId="0290D3AD" w14:textId="55A59C5E"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 xml:space="preserve">Едновременно приложение на ломитапид със симвастатин в дози &gt; 40 </w:t>
      </w:r>
      <w:r w:rsidRPr="00B8116F">
        <w:rPr>
          <w:rFonts w:eastAsia="Times New Roman" w:cs="Arial"/>
          <w:color w:val="000000"/>
          <w:lang w:val="en-US"/>
        </w:rPr>
        <w:t xml:space="preserve">mg </w:t>
      </w:r>
      <w:r w:rsidRPr="00B8116F">
        <w:rPr>
          <w:rFonts w:eastAsia="Times New Roman" w:cs="Arial"/>
          <w:color w:val="000000"/>
          <w:lang w:eastAsia="bg-BG"/>
        </w:rPr>
        <w:t>при пациенти с ХоФХ (вж. точки 4.2,4.4 и 4.5).</w:t>
      </w:r>
    </w:p>
    <w:p w14:paraId="71E80CAF" w14:textId="77777777" w:rsidR="00B8116F" w:rsidRPr="00B8116F" w:rsidRDefault="00B8116F" w:rsidP="00B8116F"/>
    <w:p w14:paraId="0C106098" w14:textId="5D3E86A7" w:rsidR="001A6EBD" w:rsidRDefault="002C50EE" w:rsidP="00471F10">
      <w:pPr>
        <w:pStyle w:val="Heading2"/>
      </w:pPr>
      <w:r>
        <w:t>4.4. Специални предупреждения и предпазни мерки при употреба</w:t>
      </w:r>
    </w:p>
    <w:p w14:paraId="42C08E95" w14:textId="702AC2C4" w:rsidR="00B8116F" w:rsidRDefault="00B8116F" w:rsidP="00B8116F"/>
    <w:p w14:paraId="7D3CA405" w14:textId="77777777"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Миопатия/рабдомиолиза</w:t>
      </w:r>
    </w:p>
    <w:p w14:paraId="1A6D5093"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Симвастатин, както и другите инхибитори на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редуктазата, понякога причинява миопатия, проявяваща се с мускулна болка, чувствителност или слабост с повишение на креатин киназата (КК) повече от десет пъти над горната референтна граница (ГРГ). Миопатията понякога протича като рабдомиолиза с или без остра бъбречна недостатъчност, дължаща се на миоглобинурия, като в много редки случаи се стига до смърт. Рискът от миопатия се увеличава при изразено инхибиране на </w:t>
      </w:r>
      <w:r w:rsidRPr="00B8116F">
        <w:rPr>
          <w:rFonts w:eastAsia="Times New Roman" w:cs="Arial"/>
          <w:color w:val="000000"/>
          <w:lang w:val="en-US"/>
        </w:rPr>
        <w:t xml:space="preserve">HMG-CoA </w:t>
      </w:r>
      <w:r w:rsidRPr="00B8116F">
        <w:rPr>
          <w:rFonts w:eastAsia="Times New Roman" w:cs="Arial"/>
          <w:color w:val="000000"/>
          <w:lang w:eastAsia="bg-BG"/>
        </w:rPr>
        <w:t>редуктазата в плазмата (като повишени плазмени нива на симвастатин и симвастатинова киселина), които може да се дължат отчасти на взаимодействащи лекарствени продукти, които повлияват метаболизма и/или транспортните пътища на симвастатин (вж. точка 4.5).</w:t>
      </w:r>
    </w:p>
    <w:p w14:paraId="0065D465" w14:textId="77777777" w:rsidR="00B8116F" w:rsidRPr="00B8116F" w:rsidRDefault="00B8116F" w:rsidP="00B8116F">
      <w:pPr>
        <w:spacing w:line="240" w:lineRule="auto"/>
        <w:rPr>
          <w:rFonts w:eastAsia="Times New Roman" w:cs="Arial"/>
          <w:color w:val="000000"/>
          <w:lang w:eastAsia="bg-BG"/>
        </w:rPr>
      </w:pPr>
    </w:p>
    <w:p w14:paraId="6EB8DB82" w14:textId="3CA42680"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Както и при другите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редуктазни инхибитори, рискът от миопатия/рабдомиолиза зависи от дозата. Данните от клинични изпитвания, при които 41 413 пациенти са били лекувани със симвастатин, като 24 747 (приблизително 60%) от които са били включени в проучвания с медиана на проследяване в продължение на най-малко 4 години, показват, че честотата на миопатия е приблизително 0,03%, 0,08% и 0,61% при 20,40 и 80 </w:t>
      </w:r>
      <w:r w:rsidRPr="00B8116F">
        <w:rPr>
          <w:rFonts w:eastAsia="Times New Roman" w:cs="Arial"/>
          <w:color w:val="000000"/>
          <w:lang w:val="en-US"/>
        </w:rPr>
        <w:t xml:space="preserve">mg </w:t>
      </w:r>
      <w:r w:rsidRPr="00B8116F">
        <w:rPr>
          <w:rFonts w:eastAsia="Times New Roman" w:cs="Arial"/>
          <w:color w:val="000000"/>
          <w:lang w:eastAsia="bg-BG"/>
        </w:rPr>
        <w:t>/ден, съответно. В тези проучвания пациентите са били внимателно наблюдавани, като са изключени някои взаимодействащи си лекарствени продукти.</w:t>
      </w:r>
    </w:p>
    <w:p w14:paraId="71418928" w14:textId="77777777" w:rsidR="00B8116F" w:rsidRPr="00B8116F" w:rsidRDefault="00B8116F" w:rsidP="00B8116F">
      <w:pPr>
        <w:rPr>
          <w:rFonts w:eastAsia="Times New Roman" w:cs="Arial"/>
          <w:lang w:eastAsia="bg-BG"/>
        </w:rPr>
      </w:pPr>
      <w:r w:rsidRPr="00B8116F">
        <w:rPr>
          <w:rFonts w:eastAsia="Times New Roman" w:cs="Arial"/>
          <w:color w:val="000000"/>
          <w:lang w:eastAsia="bg-BG"/>
        </w:rPr>
        <w:t xml:space="preserve">В клинично изпитване, в което пациенти с анамнеза за инфаркт на миокарда са лекувани със симвастатин 80 </w:t>
      </w:r>
      <w:r w:rsidRPr="00B8116F">
        <w:rPr>
          <w:rFonts w:eastAsia="Times New Roman" w:cs="Arial"/>
          <w:color w:val="000000"/>
          <w:lang w:val="en-US"/>
        </w:rPr>
        <w:t>mg</w:t>
      </w:r>
      <w:r w:rsidRPr="00B8116F">
        <w:rPr>
          <w:rFonts w:eastAsia="Times New Roman" w:cs="Arial"/>
          <w:color w:val="000000"/>
          <w:lang w:eastAsia="bg-BG"/>
        </w:rPr>
        <w:t xml:space="preserve">/дневно (медиана на проследяването 6,7 години), честотата на миопатия е приблизително 1,0 %, сравнено с 0,02 % при пациентите на лечение с доза от 20 </w:t>
      </w:r>
      <w:r w:rsidRPr="00B8116F">
        <w:rPr>
          <w:rFonts w:eastAsia="Times New Roman" w:cs="Arial"/>
          <w:color w:val="000000"/>
          <w:lang w:val="en-US"/>
        </w:rPr>
        <w:t xml:space="preserve">mg </w:t>
      </w:r>
      <w:r w:rsidRPr="00B8116F">
        <w:rPr>
          <w:rFonts w:eastAsia="Times New Roman" w:cs="Arial"/>
          <w:color w:val="000000"/>
          <w:lang w:eastAsia="bg-BG"/>
        </w:rPr>
        <w:t>дневно. Приблизително половината от тези случаи на миопатия са настъпили през първата година на</w:t>
      </w:r>
      <w:r w:rsidRPr="00B8116F">
        <w:rPr>
          <w:rFonts w:eastAsia="Times New Roman" w:cs="Arial"/>
          <w:color w:val="000000"/>
          <w:lang w:eastAsia="bg-BG"/>
        </w:rPr>
        <w:t xml:space="preserve"> </w:t>
      </w:r>
      <w:r w:rsidRPr="00B8116F">
        <w:rPr>
          <w:rFonts w:eastAsia="Times New Roman" w:cs="Arial"/>
          <w:color w:val="000000"/>
          <w:lang w:eastAsia="bg-BG"/>
        </w:rPr>
        <w:t>лечението. Честотата на развитие на миопатия през всяка следваща година от лечение приблизително 0,1 % (вж. точки 4.8 и 5.1).</w:t>
      </w:r>
    </w:p>
    <w:p w14:paraId="7A37B8CA"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При пациенти на лечение със симвастатин 80 </w:t>
      </w:r>
      <w:r w:rsidRPr="00B8116F">
        <w:rPr>
          <w:rFonts w:eastAsia="Times New Roman" w:cs="Arial"/>
          <w:color w:val="000000"/>
          <w:lang w:val="en-US"/>
        </w:rPr>
        <w:t xml:space="preserve">mg, </w:t>
      </w:r>
      <w:r w:rsidRPr="00B8116F">
        <w:rPr>
          <w:rFonts w:eastAsia="Times New Roman" w:cs="Arial"/>
          <w:color w:val="000000"/>
          <w:lang w:eastAsia="bg-BG"/>
        </w:rPr>
        <w:t xml:space="preserve">рискът от миопатия е по-висок, отколкото при пациенти на лечение с други статини със сходна ефикасност по отношение на понижаването на </w:t>
      </w:r>
      <w:r w:rsidRPr="00B8116F">
        <w:rPr>
          <w:rFonts w:eastAsia="Times New Roman" w:cs="Arial"/>
          <w:color w:val="000000"/>
          <w:lang w:val="en-US"/>
        </w:rPr>
        <w:t xml:space="preserve">LDL-C. </w:t>
      </w:r>
      <w:r w:rsidRPr="00B8116F">
        <w:rPr>
          <w:rFonts w:eastAsia="Times New Roman" w:cs="Arial"/>
          <w:color w:val="000000"/>
          <w:lang w:eastAsia="bg-BG"/>
        </w:rPr>
        <w:t xml:space="preserve">Следователно дозата симвастатин 80 </w:t>
      </w:r>
      <w:r w:rsidRPr="00B8116F">
        <w:rPr>
          <w:rFonts w:eastAsia="Times New Roman" w:cs="Arial"/>
          <w:color w:val="000000"/>
          <w:lang w:val="en-US"/>
        </w:rPr>
        <w:t xml:space="preserve">mg </w:t>
      </w:r>
      <w:r w:rsidRPr="00B8116F">
        <w:rPr>
          <w:rFonts w:eastAsia="Times New Roman" w:cs="Arial"/>
          <w:color w:val="000000"/>
          <w:lang w:eastAsia="bg-BG"/>
        </w:rPr>
        <w:t xml:space="preserve">трябва да се използва само при пациенти с висок риск от сърдечносъдови усложнения, при които с по-ниски дози не са постигнати терапевтичните цели и в случай, че очакваната полза надвишава потенциалните рискове. При пациенти, приемащи симвастатин 80 </w:t>
      </w:r>
      <w:r w:rsidRPr="00B8116F">
        <w:rPr>
          <w:rFonts w:eastAsia="Times New Roman" w:cs="Arial"/>
          <w:color w:val="000000"/>
          <w:lang w:val="en-US"/>
        </w:rPr>
        <w:t xml:space="preserve">mg, </w:t>
      </w:r>
      <w:r w:rsidRPr="00B8116F">
        <w:rPr>
          <w:rFonts w:eastAsia="Times New Roman" w:cs="Arial"/>
          <w:color w:val="000000"/>
          <w:lang w:eastAsia="bg-BG"/>
        </w:rPr>
        <w:t xml:space="preserve">при които се налага прием и на лекарствен продукт, участващ в лекарствени взаимодействия, трябва да се използва по-ниска доза на симвастатин или алтернативно лечение с друг статии, който е с по-нисък потенциал за лекарствени взаимодействия (вж. по-долу </w:t>
      </w:r>
      <w:r w:rsidRPr="00B8116F">
        <w:rPr>
          <w:rFonts w:eastAsia="Times New Roman" w:cs="Arial"/>
          <w:i/>
          <w:iCs/>
          <w:color w:val="000000"/>
          <w:lang w:eastAsia="bg-BG"/>
        </w:rPr>
        <w:t xml:space="preserve">Мерки за редуциране на риска от миопатия, </w:t>
      </w:r>
      <w:r w:rsidRPr="00B8116F">
        <w:rPr>
          <w:rFonts w:eastAsia="Times New Roman" w:cs="Arial"/>
          <w:color w:val="000000"/>
          <w:lang w:eastAsia="bg-BG"/>
        </w:rPr>
        <w:t>причинена от взаимодействия между лекарствени продукти и точки 4.2,4.3 и 4.5).</w:t>
      </w:r>
    </w:p>
    <w:p w14:paraId="7ECFCB94" w14:textId="77777777" w:rsidR="00B8116F" w:rsidRPr="00B8116F" w:rsidRDefault="00B8116F" w:rsidP="00B8116F">
      <w:pPr>
        <w:spacing w:line="240" w:lineRule="auto"/>
        <w:rPr>
          <w:rFonts w:eastAsia="Times New Roman" w:cs="Arial"/>
          <w:color w:val="000000"/>
          <w:lang w:eastAsia="bg-BG"/>
        </w:rPr>
      </w:pPr>
    </w:p>
    <w:p w14:paraId="46B927ED" w14:textId="23D00801"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В клинично проучване, в което пациенти с висок риск от сърдечносъдови заболявания са лекувани със симвастатин 40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(медиана </w:t>
      </w:r>
      <w:r w:rsidRPr="00B8116F">
        <w:rPr>
          <w:rFonts w:eastAsia="Times New Roman" w:cs="Arial"/>
          <w:i/>
          <w:iCs/>
          <w:color w:val="000000"/>
          <w:lang w:eastAsia="bg-BG"/>
        </w:rPr>
        <w:t>на</w:t>
      </w:r>
      <w:r w:rsidRPr="00B8116F">
        <w:rPr>
          <w:rFonts w:eastAsia="Times New Roman" w:cs="Arial"/>
          <w:color w:val="000000"/>
          <w:lang w:eastAsia="bg-BG"/>
        </w:rPr>
        <w:t xml:space="preserve"> проследяването 3,9 години), честотата на миопатия е приблизително 0,05% при не-китайци (</w:t>
      </w:r>
      <w:r w:rsidRPr="00B8116F">
        <w:rPr>
          <w:rFonts w:eastAsia="Times New Roman" w:cs="Arial"/>
          <w:color w:val="000000"/>
          <w:lang w:val="en-US"/>
        </w:rPr>
        <w:t>n</w:t>
      </w:r>
      <w:r w:rsidRPr="00B8116F">
        <w:rPr>
          <w:rFonts w:eastAsia="Times New Roman" w:cs="Arial"/>
          <w:color w:val="000000"/>
          <w:lang w:eastAsia="bg-BG"/>
        </w:rPr>
        <w:t>= 7367) в сравнение с 0,24% при китайци (</w:t>
      </w:r>
      <w:r w:rsidRPr="00B8116F">
        <w:rPr>
          <w:rFonts w:eastAsia="Times New Roman" w:cs="Arial"/>
          <w:color w:val="000000"/>
          <w:lang w:val="en-US"/>
        </w:rPr>
        <w:t>n</w:t>
      </w:r>
      <w:r w:rsidRPr="00B8116F">
        <w:rPr>
          <w:rFonts w:eastAsia="Times New Roman" w:cs="Arial"/>
          <w:color w:val="000000"/>
          <w:lang w:eastAsia="bg-BG"/>
        </w:rPr>
        <w:t xml:space="preserve">= 5468). Тъй като при това клинично изпитване от азиатското население са оценени само китайци, при предписване на симвастатин на пациенти от </w:t>
      </w:r>
      <w:r w:rsidRPr="00B8116F">
        <w:rPr>
          <w:rFonts w:eastAsia="Times New Roman" w:cs="Arial"/>
          <w:color w:val="000000"/>
          <w:lang w:eastAsia="bg-BG"/>
        </w:rPr>
        <w:lastRenderedPageBreak/>
        <w:t>Азия трябва да се подхожда с повишено внимание и да се употребява най-ниската доза, ако е необходимо.</w:t>
      </w:r>
    </w:p>
    <w:p w14:paraId="1B3A3F79" w14:textId="77777777" w:rsidR="00B8116F" w:rsidRPr="00B8116F" w:rsidRDefault="00B8116F" w:rsidP="00B8116F">
      <w:pPr>
        <w:spacing w:line="240" w:lineRule="auto"/>
        <w:rPr>
          <w:rFonts w:eastAsia="Times New Roman" w:cs="Arial"/>
          <w:i/>
          <w:iCs/>
          <w:color w:val="000000"/>
          <w:u w:val="single"/>
          <w:lang w:eastAsia="bg-BG"/>
        </w:rPr>
      </w:pPr>
    </w:p>
    <w:p w14:paraId="483D8364" w14:textId="04C1D5F8"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Намалена функция на транспортните протеини</w:t>
      </w:r>
    </w:p>
    <w:p w14:paraId="7AE67A6D"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Намалена функция на чернодробните ОАТР транспортни протеини може да доведе до повишена системна експозиция на симвастатин и повишен риск от миопатия и рабдомиолиза. Редукция във функцията може да настъпи като резултат от инхибиция с взаимодействащи лекарства (напр. циклоспорин) или при пациенти, носители на </w:t>
      </w:r>
      <w:r w:rsidRPr="00B8116F">
        <w:rPr>
          <w:rFonts w:eastAsia="Times New Roman" w:cs="Arial"/>
          <w:color w:val="000000"/>
          <w:lang w:val="en-US"/>
        </w:rPr>
        <w:t xml:space="preserve">SLCO1B1 </w:t>
      </w:r>
      <w:r w:rsidRPr="00B8116F">
        <w:rPr>
          <w:rFonts w:eastAsia="Times New Roman" w:cs="Arial"/>
          <w:color w:val="000000"/>
          <w:lang w:eastAsia="bg-BG"/>
        </w:rPr>
        <w:t>с.521Т&gt;С генотип.</w:t>
      </w:r>
    </w:p>
    <w:p w14:paraId="6AFC6E31" w14:textId="77777777" w:rsidR="00B8116F" w:rsidRPr="00B8116F" w:rsidRDefault="00B8116F" w:rsidP="00B8116F">
      <w:pPr>
        <w:spacing w:line="240" w:lineRule="auto"/>
        <w:rPr>
          <w:rFonts w:eastAsia="Times New Roman" w:cs="Arial"/>
          <w:color w:val="000000"/>
          <w:lang w:eastAsia="bg-BG"/>
        </w:rPr>
      </w:pPr>
    </w:p>
    <w:p w14:paraId="76F3A566" w14:textId="24A1B729"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Пациенти, носители на </w:t>
      </w:r>
      <w:r w:rsidRPr="00B8116F">
        <w:rPr>
          <w:rFonts w:eastAsia="Times New Roman" w:cs="Arial"/>
          <w:color w:val="000000"/>
          <w:lang w:val="en-US"/>
        </w:rPr>
        <w:t xml:space="preserve">SLCO1B1 </w:t>
      </w:r>
      <w:r w:rsidRPr="00B8116F">
        <w:rPr>
          <w:rFonts w:eastAsia="Times New Roman" w:cs="Arial"/>
          <w:color w:val="000000"/>
          <w:lang w:eastAsia="bg-BG"/>
        </w:rPr>
        <w:t xml:space="preserve">генен алел (с.521Т&gt;С), кодиращ по-ниско активен ОАТР1В1 протеин, имат по-висока системна експозиция на симвастатин и повишен риск от миопатия. Рискът от миопатия, асоцииран с висока доза симвастатин (80 </w:t>
      </w:r>
      <w:r w:rsidRPr="00B8116F">
        <w:rPr>
          <w:rFonts w:eastAsia="Times New Roman" w:cs="Arial"/>
          <w:color w:val="000000"/>
          <w:lang w:val="en-US"/>
        </w:rPr>
        <w:t xml:space="preserve">mg) </w:t>
      </w:r>
      <w:r w:rsidRPr="00B8116F">
        <w:rPr>
          <w:rFonts w:eastAsia="Times New Roman" w:cs="Arial"/>
          <w:color w:val="000000"/>
          <w:lang w:eastAsia="bg-BG"/>
        </w:rPr>
        <w:t xml:space="preserve">общо е около 1%, без генетични тестове. Базирано на резулататите на изследването </w:t>
      </w:r>
      <w:r w:rsidRPr="00B8116F">
        <w:rPr>
          <w:rFonts w:eastAsia="Times New Roman" w:cs="Arial"/>
          <w:color w:val="000000"/>
          <w:lang w:val="en-US"/>
        </w:rPr>
        <w:t xml:space="preserve">SEARCH, </w:t>
      </w:r>
      <w:r w:rsidRPr="00B8116F">
        <w:rPr>
          <w:rFonts w:eastAsia="Times New Roman" w:cs="Arial"/>
          <w:color w:val="000000"/>
          <w:lang w:eastAsia="bg-BG"/>
        </w:rPr>
        <w:t xml:space="preserve">при хомозиготните носители на С-алел (също наречен СС), които са лекувани с 80 </w:t>
      </w:r>
      <w:r w:rsidRPr="00B8116F">
        <w:rPr>
          <w:rFonts w:eastAsia="Times New Roman" w:cs="Arial"/>
          <w:color w:val="000000"/>
          <w:lang w:val="en-US"/>
        </w:rPr>
        <w:t xml:space="preserve">mg </w:t>
      </w:r>
      <w:r w:rsidRPr="00B8116F">
        <w:rPr>
          <w:rFonts w:eastAsia="Times New Roman" w:cs="Arial"/>
          <w:color w:val="000000"/>
          <w:lang w:eastAsia="bg-BG"/>
        </w:rPr>
        <w:t xml:space="preserve">симвастатин, рискът от миопатия в рамките на една година е 15%, докато при хетерозиготните носители е 1,5%. Съответстващият риск при пациенти, с най-разпространения генотип (ТТ), е 0,3% (вж. точка 5.2). Когато е възможно, генотипът за наличие на С-алел трябва да бъде взет под внимание при оценка на полза-риск съотношението, преди предписване на 80 </w:t>
      </w:r>
      <w:r w:rsidRPr="00B8116F">
        <w:rPr>
          <w:rFonts w:eastAsia="Times New Roman" w:cs="Arial"/>
          <w:color w:val="000000"/>
          <w:lang w:val="en-US"/>
        </w:rPr>
        <w:t xml:space="preserve">mg </w:t>
      </w:r>
      <w:r w:rsidRPr="00B8116F">
        <w:rPr>
          <w:rFonts w:eastAsia="Times New Roman" w:cs="Arial"/>
          <w:color w:val="000000"/>
          <w:lang w:eastAsia="bg-BG"/>
        </w:rPr>
        <w:t>симвастатин на индивидуални пациенти и високите дози трябва да бъдат избягвани при носители на СС- генотип. Въпреки това, отсъствието на този ген при генотипиране, не може да изключи появата на миопатия.</w:t>
      </w:r>
    </w:p>
    <w:p w14:paraId="64D83A52" w14:textId="77777777" w:rsidR="00B8116F" w:rsidRPr="00B8116F" w:rsidRDefault="00B8116F" w:rsidP="00B8116F">
      <w:pPr>
        <w:spacing w:line="240" w:lineRule="auto"/>
        <w:rPr>
          <w:rFonts w:eastAsia="Times New Roman" w:cs="Arial"/>
          <w:i/>
          <w:iCs/>
          <w:color w:val="000000"/>
          <w:u w:val="single"/>
          <w:lang w:eastAsia="bg-BG"/>
        </w:rPr>
      </w:pPr>
    </w:p>
    <w:p w14:paraId="7C1D395B" w14:textId="711C46E2"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Измервания на креатин киназата</w:t>
      </w:r>
    </w:p>
    <w:p w14:paraId="082E4947"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Креатин киназата (КК) не трябва да се измерва след напрегнати физически усилия или при наличие на възможна друга причина за увеличение на КК, тъй като това затруднява интерпретирането на стойностите. Ако нивата на КК са значително по-високи в сравнение с изходните (≥5 х ГРГ), трябва да се направи ново изследване след 5 до 7 дни за потвърждение на резултата.</w:t>
      </w:r>
    </w:p>
    <w:p w14:paraId="462FA63A" w14:textId="77777777" w:rsidR="00B8116F" w:rsidRPr="00B8116F" w:rsidRDefault="00B8116F" w:rsidP="00B8116F">
      <w:pPr>
        <w:spacing w:line="240" w:lineRule="auto"/>
        <w:rPr>
          <w:rFonts w:eastAsia="Times New Roman" w:cs="Arial"/>
          <w:i/>
          <w:iCs/>
          <w:color w:val="000000"/>
          <w:u w:val="single"/>
          <w:lang w:eastAsia="bg-BG"/>
        </w:rPr>
      </w:pPr>
    </w:p>
    <w:p w14:paraId="72BDEDF3" w14:textId="56423D1F"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Преди лечението</w:t>
      </w:r>
    </w:p>
    <w:p w14:paraId="48E06405" w14:textId="77777777"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 xml:space="preserve">Всички пациенти, които започват лечение със симвастатин, или преди увеличение на дозата на симвастатин, трябва да бъдат уведомени за риска от миопатия и за необходимостта да съобщават незабавно за всяка необяснима болка, чувствителност или слабост в мускулите. </w:t>
      </w:r>
    </w:p>
    <w:p w14:paraId="7469F9B2" w14:textId="77777777" w:rsidR="00B8116F" w:rsidRPr="00B8116F" w:rsidRDefault="00B8116F" w:rsidP="00B8116F">
      <w:pPr>
        <w:spacing w:line="240" w:lineRule="auto"/>
        <w:rPr>
          <w:rFonts w:eastAsia="Times New Roman" w:cs="Arial"/>
          <w:color w:val="000000"/>
          <w:lang w:eastAsia="bg-BG"/>
        </w:rPr>
      </w:pPr>
    </w:p>
    <w:p w14:paraId="44CA0EB3" w14:textId="209D246B"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Трябва да се внимава при пациенти с налични фактори, предразполагащи към рабдомиолиза При следните ситуации нивото на КК трябва да се измери преди началото на лечението за да се установи референтна изходна стойност:</w:t>
      </w:r>
    </w:p>
    <w:p w14:paraId="5AE45909"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Пациенти в старческа възраст (&gt; 65 години)</w:t>
      </w:r>
    </w:p>
    <w:p w14:paraId="648F9454"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Женски пол</w:t>
      </w:r>
    </w:p>
    <w:p w14:paraId="41A48CB5"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Бъбречно увреждане</w:t>
      </w:r>
    </w:p>
    <w:p w14:paraId="2C9AE72F"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Неконтролиран хипотиреоидизъм</w:t>
      </w:r>
    </w:p>
    <w:p w14:paraId="150C33CD"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Лична или фамилна анамнеза за наследствени мускулни заболявалия</w:t>
      </w:r>
    </w:p>
    <w:p w14:paraId="13A6A232"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Анамнеза за мускулна токсичност при лечение със статии или фибрат</w:t>
      </w:r>
    </w:p>
    <w:p w14:paraId="109155FA" w14:textId="491A5E76"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Злоупотреба с алкохол</w:t>
      </w:r>
    </w:p>
    <w:p w14:paraId="329C07B3"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При такива ситуации трябва да се прецени рискът по отношение на възможната полза от лечението, като се препоръчва клинично мониториране. Ако пациентът е имал преди това мускулно нарушение при лечение с фибрат или статии, лечението с различен </w:t>
      </w:r>
      <w:r w:rsidRPr="00B8116F">
        <w:rPr>
          <w:rFonts w:eastAsia="Times New Roman" w:cs="Arial"/>
          <w:color w:val="000000"/>
          <w:lang w:eastAsia="bg-BG"/>
        </w:rPr>
        <w:lastRenderedPageBreak/>
        <w:t>представител на този клас трябва да се започва много внимателно. Ако изходните нива на КК са значително повишени (≥ 5 х ГРГ), лечение не трябва да се започва.</w:t>
      </w:r>
    </w:p>
    <w:p w14:paraId="371591D8" w14:textId="77777777" w:rsidR="00B8116F" w:rsidRPr="00B8116F" w:rsidRDefault="00B8116F" w:rsidP="00B8116F">
      <w:pPr>
        <w:spacing w:line="240" w:lineRule="auto"/>
        <w:rPr>
          <w:rFonts w:eastAsia="Times New Roman" w:cs="Arial"/>
          <w:i/>
          <w:iCs/>
          <w:color w:val="000000"/>
          <w:u w:val="single"/>
          <w:lang w:eastAsia="bg-BG"/>
        </w:rPr>
      </w:pPr>
    </w:p>
    <w:p w14:paraId="26E03A7E" w14:textId="57CB8E0E"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По време на лечение</w:t>
      </w:r>
    </w:p>
    <w:p w14:paraId="0330ACCC"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При възникване на мускулна болка, слабост или спазми по време на лечение на болния със статии, трябва да се измерят нивата на КК. Ако при липса на напрегнати физически усилия се открият значително повишени нива (&gt; 5 х ГРГ), лечението трябва да се преустанови. Ако мускулните симптоми са тежки и причиняват ежедневен дискомфорт, дори и нивата на КК да са ≤5 х ГРГ, трябва да се помисли за преустановяване на лечението. Ако по някаква друга причина се подозира наличие на миопатия, лечението трябва да се преустанови.</w:t>
      </w:r>
    </w:p>
    <w:p w14:paraId="086240F3" w14:textId="77777777" w:rsidR="00B8116F" w:rsidRPr="00B8116F" w:rsidRDefault="00B8116F" w:rsidP="00B8116F">
      <w:pPr>
        <w:spacing w:line="240" w:lineRule="auto"/>
        <w:rPr>
          <w:rFonts w:eastAsia="Times New Roman" w:cs="Arial"/>
          <w:color w:val="000000"/>
          <w:lang w:eastAsia="bg-BG"/>
        </w:rPr>
      </w:pPr>
    </w:p>
    <w:p w14:paraId="7D61CA59" w14:textId="5188CE61"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При отзвучаване на симптомите и възвръщане на нивата на КК към нормата може да се помисли за възобновяване на лечението със статина или прилагане на друг статии в най- ниската доза при стриктно мониториране.</w:t>
      </w:r>
    </w:p>
    <w:p w14:paraId="23E49019" w14:textId="77777777" w:rsidR="00B8116F" w:rsidRPr="00B8116F" w:rsidRDefault="00B8116F" w:rsidP="00B8116F">
      <w:pPr>
        <w:spacing w:line="240" w:lineRule="auto"/>
        <w:rPr>
          <w:rFonts w:eastAsia="Times New Roman" w:cs="Arial"/>
          <w:color w:val="000000"/>
          <w:lang w:eastAsia="bg-BG"/>
        </w:rPr>
      </w:pPr>
    </w:p>
    <w:p w14:paraId="2B9CBA09" w14:textId="3C62585C"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По време или след лечение с някои статини е имало много редки съобщения за имуномедиирана некротизаираща миопатия (ИМНМ). Клинично ИМНМ се характеризира с персистираща проксимална мускулна слабост и повишени серумни нива на креатин киназата, които персистират въпреки прекратяването на лечението със статини (вж. точка 4.8).</w:t>
      </w:r>
    </w:p>
    <w:p w14:paraId="41F449C5" w14:textId="77777777" w:rsidR="00B8116F" w:rsidRPr="00B8116F" w:rsidRDefault="00B8116F" w:rsidP="00B8116F">
      <w:pPr>
        <w:spacing w:line="240" w:lineRule="auto"/>
        <w:rPr>
          <w:rFonts w:eastAsia="Times New Roman" w:cs="Arial"/>
          <w:color w:val="000000"/>
          <w:lang w:eastAsia="bg-BG"/>
        </w:rPr>
      </w:pPr>
    </w:p>
    <w:p w14:paraId="3699C5DC" w14:textId="1278DE49"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Висока честота на миопатия е наблюдавано при пациенти, титрирани с доза до 80 </w:t>
      </w:r>
      <w:r w:rsidRPr="00B8116F">
        <w:rPr>
          <w:rFonts w:eastAsia="Times New Roman" w:cs="Arial"/>
          <w:color w:val="000000"/>
          <w:lang w:val="en-US"/>
        </w:rPr>
        <w:t xml:space="preserve">mg </w:t>
      </w:r>
      <w:r w:rsidRPr="00B8116F">
        <w:rPr>
          <w:rFonts w:eastAsia="Times New Roman" w:cs="Arial"/>
          <w:color w:val="000000"/>
          <w:lang w:eastAsia="bg-BG"/>
        </w:rPr>
        <w:t>(вж. точка 5.1). Препоръчват се периодични измервания на КК, тъй като те могат да бъдат полезни за идентифициране на субклинични случаи на миопатия. Въпреки това, няма гаранция, че това наблюдение ще предотврати миопатията.</w:t>
      </w:r>
    </w:p>
    <w:p w14:paraId="5EB1AB6A" w14:textId="77777777" w:rsidR="00B8116F" w:rsidRPr="00B8116F" w:rsidRDefault="00B8116F" w:rsidP="00B8116F">
      <w:pPr>
        <w:spacing w:line="240" w:lineRule="auto"/>
        <w:rPr>
          <w:rFonts w:eastAsia="Times New Roman" w:cs="Arial"/>
          <w:color w:val="000000"/>
          <w:lang w:eastAsia="bg-BG"/>
        </w:rPr>
      </w:pPr>
    </w:p>
    <w:p w14:paraId="4448538D" w14:textId="53BEEDB2"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Лечението със симвастатин трябва временно да се спре няколко дни преди голяма планова операция или ако последва значимо болестно или хирургично състояние.</w:t>
      </w:r>
    </w:p>
    <w:p w14:paraId="5607CAC6" w14:textId="77777777" w:rsidR="00B8116F" w:rsidRPr="00B8116F" w:rsidRDefault="00B8116F" w:rsidP="00B8116F">
      <w:pPr>
        <w:spacing w:line="240" w:lineRule="auto"/>
        <w:rPr>
          <w:rFonts w:eastAsia="Times New Roman" w:cs="Arial"/>
          <w:i/>
          <w:iCs/>
          <w:color w:val="000000"/>
          <w:u w:val="single"/>
          <w:lang w:eastAsia="bg-BG"/>
        </w:rPr>
      </w:pPr>
    </w:p>
    <w:p w14:paraId="25BA1EC4" w14:textId="6109F4F8"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Мерки за намаляване на риска от миопатия, предизвикана от лекарствени взаимодействия (вж. също и точка 4.5)</w:t>
      </w:r>
    </w:p>
    <w:p w14:paraId="4D0A31AF" w14:textId="77777777" w:rsidR="00B8116F" w:rsidRPr="00B8116F" w:rsidRDefault="00B8116F" w:rsidP="00B8116F">
      <w:pPr>
        <w:spacing w:line="240" w:lineRule="auto"/>
        <w:rPr>
          <w:rFonts w:eastAsia="Times New Roman" w:cs="Arial"/>
          <w:color w:val="000000"/>
          <w:lang w:eastAsia="bg-BG"/>
        </w:rPr>
      </w:pPr>
    </w:p>
    <w:p w14:paraId="703B172C" w14:textId="03FAF15D"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Рискът от миопатия и рабдомиолиза се увеличава значително при едновременно приложение на симвастатин с мощен инхибитор на </w:t>
      </w:r>
      <w:r w:rsidRPr="00B8116F">
        <w:rPr>
          <w:rFonts w:eastAsia="Times New Roman" w:cs="Arial"/>
          <w:color w:val="000000"/>
          <w:lang w:val="en-US"/>
        </w:rPr>
        <w:t xml:space="preserve">CYP3A4 </w:t>
      </w:r>
      <w:r w:rsidRPr="00B8116F">
        <w:rPr>
          <w:rFonts w:eastAsia="Times New Roman" w:cs="Arial"/>
          <w:color w:val="000000"/>
          <w:lang w:eastAsia="bg-BG"/>
        </w:rPr>
        <w:t xml:space="preserve">(като итраконазол, кетоконазол, позаконазол, вориконазол, еритромицин, кларитромицин, телитромицин, </w:t>
      </w:r>
      <w:r w:rsidRPr="00B8116F">
        <w:rPr>
          <w:rFonts w:eastAsia="Times New Roman" w:cs="Arial"/>
          <w:color w:val="000000"/>
          <w:lang w:val="en-US"/>
        </w:rPr>
        <w:t xml:space="preserve">HIV </w:t>
      </w:r>
      <w:r w:rsidRPr="00B8116F">
        <w:rPr>
          <w:rFonts w:eastAsia="Times New Roman" w:cs="Arial"/>
          <w:color w:val="000000"/>
          <w:lang w:eastAsia="bg-BG"/>
        </w:rPr>
        <w:t xml:space="preserve">протеазни инхибитори, (напр. нелфинавир), бокепревир, телапревир, нефазодон и лекарствени продукти, съдържащи кобицистат), както и на гемфиброзил и циклоспорин и даназол. Употребата на тези лекарствени продукти </w:t>
      </w:r>
      <w:r w:rsidRPr="00B8116F">
        <w:rPr>
          <w:rFonts w:eastAsia="Times New Roman" w:cs="Arial"/>
          <w:i/>
          <w:iCs/>
          <w:color w:val="000000"/>
          <w:lang w:eastAsia="bg-BG"/>
        </w:rPr>
        <w:t>е</w:t>
      </w:r>
      <w:r w:rsidRPr="00B8116F">
        <w:rPr>
          <w:rFonts w:eastAsia="Times New Roman" w:cs="Arial"/>
          <w:color w:val="000000"/>
          <w:lang w:eastAsia="bg-BG"/>
        </w:rPr>
        <w:t xml:space="preserve"> противопоказана, (вж. точка 4.3).</w:t>
      </w:r>
    </w:p>
    <w:p w14:paraId="58ACC467" w14:textId="77777777" w:rsidR="00B8116F" w:rsidRPr="00B8116F" w:rsidRDefault="00B8116F" w:rsidP="00B8116F">
      <w:pPr>
        <w:spacing w:line="240" w:lineRule="auto"/>
        <w:rPr>
          <w:rFonts w:eastAsia="Times New Roman" w:cs="Arial"/>
          <w:color w:val="000000"/>
          <w:lang w:eastAsia="bg-BG"/>
        </w:rPr>
      </w:pPr>
    </w:p>
    <w:p w14:paraId="6C1765B8" w14:textId="3F728929"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Рискът от миопатия и рабдомиолиза се увеличава и при едновременно приложение на</w:t>
      </w:r>
      <w:r w:rsidRPr="00B8116F">
        <w:rPr>
          <w:rFonts w:eastAsia="Times New Roman" w:cs="Arial"/>
          <w:color w:val="000000"/>
          <w:u w:val="single"/>
          <w:lang w:eastAsia="bg-BG"/>
        </w:rPr>
        <w:t xml:space="preserve"> </w:t>
      </w:r>
      <w:r w:rsidRPr="00B8116F">
        <w:rPr>
          <w:rFonts w:eastAsia="Times New Roman" w:cs="Arial"/>
          <w:color w:val="000000"/>
          <w:lang w:eastAsia="bg-BG"/>
        </w:rPr>
        <w:t>амиодарон, амлодипин, верапамил или дилтиазем с определени дози симвастатин (вж. точки 4.2 и 4.5). Рискът от миопатия, включително рабдомиолиза, може да бъде увеличен при едновременно прилагане на фузидова киселина със статини (вж. точка 4.5). При пациенти с</w:t>
      </w:r>
      <w:r w:rsidRPr="00B8116F">
        <w:rPr>
          <w:rFonts w:eastAsia="Times New Roman" w:cs="Arial"/>
          <w:color w:val="000000"/>
          <w:lang w:eastAsia="bg-BG"/>
        </w:rPr>
        <w:t xml:space="preserve"> </w:t>
      </w:r>
      <w:r w:rsidRPr="00B8116F">
        <w:rPr>
          <w:rFonts w:eastAsia="Times New Roman" w:cs="Arial"/>
          <w:color w:val="000000"/>
          <w:lang w:eastAsia="bg-BG"/>
        </w:rPr>
        <w:t>ХоФХ, рискът може да се повиши при едновременна употреба на ломитапид със симвастатин.</w:t>
      </w:r>
    </w:p>
    <w:p w14:paraId="2804D040" w14:textId="5BB5DF5F" w:rsidR="00B8116F" w:rsidRPr="00B8116F" w:rsidRDefault="00B8116F" w:rsidP="00B8116F">
      <w:pPr>
        <w:spacing w:line="240" w:lineRule="auto"/>
        <w:rPr>
          <w:rFonts w:eastAsia="Times New Roman" w:cs="Arial"/>
          <w:color w:val="000000"/>
          <w:lang w:eastAsia="bg-BG"/>
        </w:rPr>
      </w:pPr>
    </w:p>
    <w:p w14:paraId="40273986"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Поради това, по отношение на инхибиторите на </w:t>
      </w:r>
      <w:r w:rsidRPr="00B8116F">
        <w:rPr>
          <w:rFonts w:eastAsia="Times New Roman" w:cs="Arial"/>
          <w:color w:val="000000"/>
          <w:lang w:val="en-US"/>
        </w:rPr>
        <w:t xml:space="preserve">CYP3A4, </w:t>
      </w:r>
      <w:r w:rsidRPr="00B8116F">
        <w:rPr>
          <w:rFonts w:eastAsia="Times New Roman" w:cs="Arial"/>
          <w:color w:val="000000"/>
          <w:lang w:eastAsia="bg-BG"/>
        </w:rPr>
        <w:t xml:space="preserve">употребата на симвастатин едновременно с итраконазол, кетоконазол, позаконазол, вориконазол, </w:t>
      </w:r>
      <w:r w:rsidRPr="00B8116F">
        <w:rPr>
          <w:rFonts w:eastAsia="Times New Roman" w:cs="Arial"/>
          <w:color w:val="000000"/>
          <w:lang w:val="en-US"/>
        </w:rPr>
        <w:t xml:space="preserve">HIV </w:t>
      </w:r>
      <w:r w:rsidRPr="00B8116F">
        <w:rPr>
          <w:rFonts w:eastAsia="Times New Roman" w:cs="Arial"/>
          <w:color w:val="000000"/>
          <w:lang w:eastAsia="bg-BG"/>
        </w:rPr>
        <w:t xml:space="preserve">протеазни инхибитори (напр. нелфинавир, бокепревир, телапревир), еритромицин, кларитромицин, телитромицин, нефазодон и лекарствени продукти, съдържащи кобицистат е </w:t>
      </w:r>
      <w:r w:rsidRPr="00B8116F">
        <w:rPr>
          <w:rFonts w:eastAsia="Times New Roman" w:cs="Arial"/>
          <w:color w:val="000000"/>
          <w:lang w:eastAsia="bg-BG"/>
        </w:rPr>
        <w:lastRenderedPageBreak/>
        <w:t xml:space="preserve">противопоказана (вж. точки 4.3 и 4.5). Ако не може да се избегне лечение с мощни </w:t>
      </w:r>
      <w:r w:rsidRPr="00B8116F">
        <w:rPr>
          <w:rFonts w:eastAsia="Times New Roman" w:cs="Arial"/>
          <w:color w:val="000000"/>
          <w:lang w:val="en-US"/>
        </w:rPr>
        <w:t xml:space="preserve">CYP3 </w:t>
      </w:r>
      <w:r w:rsidRPr="00B8116F">
        <w:rPr>
          <w:rFonts w:eastAsia="Times New Roman" w:cs="Arial"/>
          <w:color w:val="000000"/>
          <w:lang w:eastAsia="bg-BG"/>
        </w:rPr>
        <w:t xml:space="preserve">А4 инхибитори (агенти, които повишават </w:t>
      </w:r>
      <w:r w:rsidRPr="00B8116F">
        <w:rPr>
          <w:rFonts w:eastAsia="Times New Roman" w:cs="Arial"/>
          <w:color w:val="000000"/>
          <w:lang w:val="en-US"/>
        </w:rPr>
        <w:t xml:space="preserve">AUC </w:t>
      </w:r>
      <w:r w:rsidRPr="00B8116F">
        <w:rPr>
          <w:rFonts w:eastAsia="Times New Roman" w:cs="Arial"/>
          <w:color w:val="000000"/>
          <w:lang w:eastAsia="bg-BG"/>
        </w:rPr>
        <w:t xml:space="preserve">приблизително 5 кратно или повече лечението със симвастатин трябва да се преустанови (и да се обсъди използването на алтернативен статин) по време на терапията. Освен това трябва да се внимава, когато симвастатин се комбинира с някои други инхибитори на </w:t>
      </w:r>
      <w:r w:rsidRPr="00B8116F">
        <w:rPr>
          <w:rFonts w:eastAsia="Times New Roman" w:cs="Arial"/>
          <w:color w:val="000000"/>
          <w:lang w:val="en-US"/>
        </w:rPr>
        <w:t xml:space="preserve">CYP3A4 </w:t>
      </w:r>
      <w:r w:rsidRPr="00B8116F">
        <w:rPr>
          <w:rFonts w:eastAsia="Times New Roman" w:cs="Arial"/>
          <w:color w:val="000000"/>
          <w:lang w:eastAsia="bg-BG"/>
        </w:rPr>
        <w:t>с по-малка мощност: флуконазол, верапамил, дилтиазем (вж. точки 4.2 и 4.5). Едновременният прием на сок от грейпфрут и симвастатин трябва да се избягва.</w:t>
      </w:r>
    </w:p>
    <w:p w14:paraId="05A6D846" w14:textId="77777777" w:rsidR="00B8116F" w:rsidRPr="00B8116F" w:rsidRDefault="00B8116F" w:rsidP="00B8116F">
      <w:pPr>
        <w:spacing w:line="240" w:lineRule="auto"/>
        <w:rPr>
          <w:rFonts w:eastAsia="Times New Roman" w:cs="Arial"/>
          <w:color w:val="000000"/>
          <w:lang w:eastAsia="bg-BG"/>
        </w:rPr>
      </w:pPr>
    </w:p>
    <w:p w14:paraId="3BD6A1DF" w14:textId="4169747E"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Използването на симвастатин с гемфиброзил е противопоказано (вж. точка 4.3). Поради повишения риск от миопатия и рабдомиолиза, дозата на симвастатин не трябва да надхвърля 10 </w:t>
      </w:r>
      <w:r w:rsidRPr="00B8116F">
        <w:rPr>
          <w:rFonts w:eastAsia="Times New Roman" w:cs="Arial"/>
          <w:color w:val="000000"/>
          <w:lang w:val="en-US"/>
        </w:rPr>
        <w:t xml:space="preserve">mg </w:t>
      </w:r>
      <w:r w:rsidRPr="00B8116F">
        <w:rPr>
          <w:rFonts w:eastAsia="Times New Roman" w:cs="Arial"/>
          <w:color w:val="000000"/>
          <w:lang w:eastAsia="bg-BG"/>
        </w:rPr>
        <w:t>дневно при пациенти, приемащи симвастатин с други фибрати (с изключение на фенофибрат) (вж. точки 4.2 и 4.5). Трябва да се внимава при предписване на фенофибрат със симвастатин, тъй като и двата продукта може да предизвикат миопатия при самостоятелно приложение.</w:t>
      </w:r>
    </w:p>
    <w:p w14:paraId="340CB9D6"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Вазилип не трябва да се прилага едновременно с форми за системно приложение на фузидова киселина или в рамките на 7 дни от прекратяване на лечението с фузидова киселина. При пациенти, при които се счита, че използването на системна фузидова киселина е от съществено значение, лечението със статии трябва да се прекрати през цялото времетраене на лечението с фузидова киселина. Има съобщения за случаи на рабдомиолиза (включително и с летален изход) при пациенти, получаващи тази комбинация (вж. точка 4.5). Пациентът трябва да бъде посъветван да се потърси незабавно медицинска помощ, ако получи симптоми на мускулна слабост, болка или чувствителност.</w:t>
      </w:r>
    </w:p>
    <w:p w14:paraId="7CBA2FA4" w14:textId="77777777" w:rsidR="00B8116F" w:rsidRPr="00B8116F" w:rsidRDefault="00B8116F" w:rsidP="00B8116F">
      <w:pPr>
        <w:spacing w:line="240" w:lineRule="auto"/>
        <w:rPr>
          <w:rFonts w:eastAsia="Times New Roman" w:cs="Arial"/>
          <w:color w:val="000000"/>
          <w:lang w:eastAsia="bg-BG"/>
        </w:rPr>
      </w:pPr>
    </w:p>
    <w:p w14:paraId="674207B4" w14:textId="35E7126A"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Лечението със статини може да бъде започнато повторно седем дни след последната доза фузидова киселина.</w:t>
      </w:r>
    </w:p>
    <w:p w14:paraId="7E1528F4" w14:textId="77777777" w:rsidR="00B8116F" w:rsidRPr="00B8116F" w:rsidRDefault="00B8116F" w:rsidP="00B8116F">
      <w:pPr>
        <w:spacing w:line="240" w:lineRule="auto"/>
        <w:rPr>
          <w:rFonts w:eastAsia="Times New Roman" w:cs="Arial"/>
          <w:color w:val="000000"/>
          <w:lang w:eastAsia="bg-BG"/>
        </w:rPr>
      </w:pPr>
    </w:p>
    <w:p w14:paraId="291F7EDC" w14:textId="0DC29D31"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 xml:space="preserve">При изключителни обстоятелства, когато продължителното системно приложение на фузидова киселина е необходимо, например за лечение на тежки инфекции, необходимостта от едновременното приложение на </w:t>
      </w:r>
    </w:p>
    <w:p w14:paraId="6B2E70BC" w14:textId="38528DDF"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Вазилип и фузидова киселина трябва да се преценява за всеки отделен случай и под строг медицински контрол.</w:t>
      </w:r>
    </w:p>
    <w:p w14:paraId="4C3D0D98" w14:textId="77777777" w:rsidR="00B8116F" w:rsidRPr="00B8116F" w:rsidRDefault="00B8116F" w:rsidP="00B8116F">
      <w:pPr>
        <w:spacing w:line="240" w:lineRule="auto"/>
        <w:rPr>
          <w:rFonts w:eastAsia="Times New Roman" w:cs="Arial"/>
          <w:color w:val="000000"/>
          <w:lang w:eastAsia="bg-BG"/>
        </w:rPr>
      </w:pPr>
    </w:p>
    <w:p w14:paraId="6FA7CF29" w14:textId="0CD115C6"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Комбинираното приложение на симвастатин в дози, по-високи от 20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с амиодарон, амлодипин, верапамил или дилтиазем трябва да се избягва. При пациенти с ХоФХ, едновременното приложение на симвастатин в дози по-големи от 40 </w:t>
      </w:r>
      <w:r w:rsidRPr="00B8116F">
        <w:rPr>
          <w:rFonts w:eastAsia="Times New Roman" w:cs="Arial"/>
          <w:color w:val="000000"/>
          <w:lang w:val="en-US"/>
        </w:rPr>
        <w:t xml:space="preserve">mg </w:t>
      </w:r>
      <w:r w:rsidRPr="00B8116F">
        <w:rPr>
          <w:rFonts w:eastAsia="Times New Roman" w:cs="Arial"/>
          <w:color w:val="000000"/>
          <w:lang w:eastAsia="bg-BG"/>
        </w:rPr>
        <w:t>дневно с лопитамид трябва да се избягва (вж. точки 4.2,4.3 и 4.5).</w:t>
      </w:r>
    </w:p>
    <w:p w14:paraId="61077349" w14:textId="77777777" w:rsidR="00B8116F" w:rsidRPr="00B8116F" w:rsidRDefault="00B8116F" w:rsidP="00B8116F">
      <w:pPr>
        <w:spacing w:line="240" w:lineRule="auto"/>
        <w:rPr>
          <w:rFonts w:eastAsia="Times New Roman" w:cs="Arial"/>
          <w:color w:val="000000"/>
          <w:lang w:eastAsia="bg-BG"/>
        </w:rPr>
      </w:pPr>
    </w:p>
    <w:p w14:paraId="13C34345" w14:textId="5D3F50B1"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Пациентите, приемащи други лекарства, обозначени като умерени инхибитори на </w:t>
      </w:r>
      <w:r w:rsidRPr="00B8116F">
        <w:rPr>
          <w:rFonts w:eastAsia="Times New Roman" w:cs="Arial"/>
          <w:color w:val="000000"/>
          <w:lang w:val="en-US"/>
        </w:rPr>
        <w:t xml:space="preserve">CYP3A4 </w:t>
      </w:r>
      <w:r w:rsidRPr="00B8116F">
        <w:rPr>
          <w:rFonts w:eastAsia="Times New Roman" w:cs="Arial"/>
          <w:color w:val="000000"/>
          <w:lang w:eastAsia="bg-BG"/>
        </w:rPr>
        <w:t xml:space="preserve">едновременно със симвастатин, по-специално по-високи дози симвастатин, може да имат повишен риск от миопатия. При съвместно прилагане на симвастатин с умерен инхибитор на </w:t>
      </w:r>
      <w:r w:rsidRPr="00B8116F">
        <w:rPr>
          <w:rFonts w:eastAsia="Times New Roman" w:cs="Arial"/>
          <w:color w:val="000000"/>
          <w:lang w:val="en-US"/>
        </w:rPr>
        <w:t>CYP3</w:t>
      </w:r>
      <w:r w:rsidRPr="00B8116F">
        <w:rPr>
          <w:rFonts w:eastAsia="Times New Roman" w:cs="Arial"/>
          <w:color w:val="000000"/>
          <w:lang w:eastAsia="bg-BG"/>
        </w:rPr>
        <w:t xml:space="preserve">А4 (средства, които повишават </w:t>
      </w:r>
      <w:r w:rsidRPr="00B8116F">
        <w:rPr>
          <w:rFonts w:eastAsia="Times New Roman" w:cs="Arial"/>
          <w:color w:val="000000"/>
          <w:lang w:val="en-US"/>
        </w:rPr>
        <w:t xml:space="preserve">AUC </w:t>
      </w:r>
      <w:r w:rsidRPr="00B8116F">
        <w:rPr>
          <w:rFonts w:eastAsia="Times New Roman" w:cs="Arial"/>
          <w:color w:val="000000"/>
          <w:lang w:eastAsia="bg-BG"/>
        </w:rPr>
        <w:t xml:space="preserve">приблизително 2-5 пъти), може да се наложи корекция на дозата. За някои умерени </w:t>
      </w:r>
      <w:r w:rsidRPr="00B8116F">
        <w:rPr>
          <w:rFonts w:eastAsia="Times New Roman" w:cs="Arial"/>
          <w:color w:val="000000"/>
          <w:lang w:val="en-US"/>
        </w:rPr>
        <w:t xml:space="preserve">CYP3A4 </w:t>
      </w:r>
      <w:r w:rsidRPr="00B8116F">
        <w:rPr>
          <w:rFonts w:eastAsia="Times New Roman" w:cs="Arial"/>
          <w:color w:val="000000"/>
          <w:lang w:eastAsia="bg-BG"/>
        </w:rPr>
        <w:t xml:space="preserve">инхибитори като например дилтиазем, се препоръчва максимална доза от 20 </w:t>
      </w:r>
      <w:r w:rsidRPr="00B8116F">
        <w:rPr>
          <w:rFonts w:eastAsia="Times New Roman" w:cs="Arial"/>
          <w:color w:val="000000"/>
          <w:lang w:val="en-US"/>
        </w:rPr>
        <w:t xml:space="preserve">mg </w:t>
      </w:r>
      <w:r w:rsidRPr="00B8116F">
        <w:rPr>
          <w:rFonts w:eastAsia="Times New Roman" w:cs="Arial"/>
          <w:color w:val="000000"/>
          <w:lang w:eastAsia="bg-BG"/>
        </w:rPr>
        <w:t>симвастатин (вж. точка 4.2).</w:t>
      </w:r>
    </w:p>
    <w:p w14:paraId="78DF8C8B" w14:textId="77777777" w:rsidR="00B8116F" w:rsidRPr="00B8116F" w:rsidRDefault="00B8116F" w:rsidP="00B8116F">
      <w:pPr>
        <w:spacing w:line="240" w:lineRule="auto"/>
        <w:rPr>
          <w:rFonts w:eastAsia="Times New Roman" w:cs="Arial"/>
          <w:color w:val="000000"/>
          <w:lang w:eastAsia="bg-BG"/>
        </w:rPr>
      </w:pPr>
    </w:p>
    <w:p w14:paraId="6B471B39" w14:textId="53217A2A"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 xml:space="preserve">Симвастатин е субстрат на ефлуксния транспортер на протеина на резистентност на рака на гърдата </w:t>
      </w:r>
      <w:r w:rsidRPr="00B8116F">
        <w:rPr>
          <w:rFonts w:eastAsia="Times New Roman" w:cs="Arial"/>
          <w:color w:val="000000"/>
          <w:lang w:val="en-US"/>
        </w:rPr>
        <w:t xml:space="preserve">(Breast Cancer Resistant Protein, BCRP). </w:t>
      </w:r>
      <w:r w:rsidRPr="00B8116F">
        <w:rPr>
          <w:rFonts w:eastAsia="Times New Roman" w:cs="Arial"/>
          <w:color w:val="000000"/>
          <w:lang w:eastAsia="bg-BG"/>
        </w:rPr>
        <w:t xml:space="preserve">Едновременно приложение на продукти, които са инхибитори на </w:t>
      </w:r>
      <w:r w:rsidRPr="00B8116F">
        <w:rPr>
          <w:rFonts w:eastAsia="Times New Roman" w:cs="Arial"/>
          <w:color w:val="000000"/>
          <w:lang w:val="en-US"/>
        </w:rPr>
        <w:t xml:space="preserve">BCRP </w:t>
      </w:r>
      <w:r w:rsidRPr="00B8116F">
        <w:rPr>
          <w:rFonts w:eastAsia="Times New Roman" w:cs="Arial"/>
          <w:color w:val="000000"/>
          <w:lang w:eastAsia="bg-BG"/>
        </w:rPr>
        <w:t>(напр. елбасвир и гразопревир), може да доведе до повишени плазмени концентрации на симвастатин и повишен риск от миопатия; следователно трябва да се обмисли коригиране на дозата симвастатин в зависимост от предписаната доза. Едновременното</w:t>
      </w:r>
      <w:r w:rsidRPr="00B8116F">
        <w:rPr>
          <w:rFonts w:eastAsia="Times New Roman" w:cs="Arial"/>
          <w:lang w:eastAsia="bg-BG"/>
        </w:rPr>
        <w:t xml:space="preserve"> </w:t>
      </w:r>
      <w:r w:rsidRPr="00B8116F">
        <w:rPr>
          <w:rFonts w:eastAsia="Times New Roman" w:cs="Arial"/>
          <w:color w:val="000000"/>
          <w:lang w:eastAsia="bg-BG"/>
        </w:rPr>
        <w:t xml:space="preserve">приложение на елбасвир и гразопревир със </w:t>
      </w:r>
      <w:r w:rsidRPr="00B8116F">
        <w:rPr>
          <w:rFonts w:eastAsia="Times New Roman" w:cs="Arial"/>
          <w:color w:val="000000"/>
          <w:lang w:eastAsia="bg-BG"/>
        </w:rPr>
        <w:lastRenderedPageBreak/>
        <w:t xml:space="preserve">симвастатин не е проучено; все пак дозата на симвастатин не трябва да надвишава 20 </w:t>
      </w:r>
      <w:r w:rsidRPr="00B8116F">
        <w:rPr>
          <w:rFonts w:eastAsia="Times New Roman" w:cs="Arial"/>
          <w:color w:val="000000"/>
          <w:lang w:val="en-US"/>
        </w:rPr>
        <w:t xml:space="preserve">mg </w:t>
      </w:r>
      <w:r w:rsidRPr="00B8116F">
        <w:rPr>
          <w:rFonts w:eastAsia="Times New Roman" w:cs="Arial"/>
          <w:color w:val="000000"/>
          <w:lang w:eastAsia="bg-BG"/>
        </w:rPr>
        <w:t>дневно при пациенти, получаващи съпътстващо лечение с продукти, съдържащи елбасвир или гразопревир (вж. точка 4.5).</w:t>
      </w:r>
    </w:p>
    <w:p w14:paraId="46587C57" w14:textId="4BA702B3" w:rsidR="00B8116F" w:rsidRPr="00B8116F" w:rsidRDefault="00B8116F" w:rsidP="00B8116F">
      <w:pPr>
        <w:spacing w:line="240" w:lineRule="auto"/>
        <w:rPr>
          <w:rFonts w:eastAsia="Times New Roman" w:cs="Arial"/>
          <w:color w:val="000000"/>
          <w:lang w:eastAsia="bg-BG"/>
        </w:rPr>
      </w:pPr>
    </w:p>
    <w:p w14:paraId="7714180A"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Редките случаи на миопатия / рабдомиолиза са свързани с едновременното приложение на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редуктазни инхибитори и липид- модифициращи дози (&gt; 1 </w:t>
      </w:r>
      <w:r w:rsidRPr="00B8116F">
        <w:rPr>
          <w:rFonts w:eastAsia="Times New Roman" w:cs="Arial"/>
          <w:color w:val="000000"/>
          <w:lang w:val="en-US"/>
        </w:rPr>
        <w:t xml:space="preserve">g </w:t>
      </w:r>
      <w:r w:rsidRPr="00B8116F">
        <w:rPr>
          <w:rFonts w:eastAsia="Times New Roman" w:cs="Arial"/>
          <w:color w:val="000000"/>
          <w:lang w:eastAsia="bg-BG"/>
        </w:rPr>
        <w:t>/ ден) ниацин (никотинова киселина), всяко едно от които може да причини миопатия, когато се прилага самостоятелно.</w:t>
      </w:r>
    </w:p>
    <w:p w14:paraId="14322153" w14:textId="77777777" w:rsidR="00B8116F" w:rsidRPr="00B8116F" w:rsidRDefault="00B8116F" w:rsidP="00B8116F">
      <w:pPr>
        <w:spacing w:line="240" w:lineRule="auto"/>
        <w:rPr>
          <w:rFonts w:eastAsia="Times New Roman" w:cs="Arial"/>
          <w:color w:val="000000"/>
          <w:lang w:eastAsia="bg-BG"/>
        </w:rPr>
      </w:pPr>
    </w:p>
    <w:p w14:paraId="58EB3763" w14:textId="6579FED5"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В клинично изпитване (медиана на проследяване 3,9 години), включващо пациенти с висок риск за сърдечносъдово заболяване и с добре контролирани нива на </w:t>
      </w:r>
      <w:r w:rsidRPr="00B8116F">
        <w:rPr>
          <w:rFonts w:eastAsia="Times New Roman" w:cs="Arial"/>
          <w:color w:val="000000"/>
          <w:lang w:val="en-US"/>
        </w:rPr>
        <w:t>LDL</w:t>
      </w:r>
      <w:r w:rsidRPr="00B8116F">
        <w:rPr>
          <w:rFonts w:eastAsia="Times New Roman" w:cs="Arial"/>
          <w:color w:val="000000"/>
          <w:lang w:eastAsia="bg-BG"/>
        </w:rPr>
        <w:t xml:space="preserve">-холестерол, лекувани със симвастатин 40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с или без езетимиб 10 </w:t>
      </w:r>
      <w:r w:rsidRPr="00B8116F">
        <w:rPr>
          <w:rFonts w:eastAsia="Times New Roman" w:cs="Arial"/>
          <w:color w:val="000000"/>
          <w:lang w:val="en-US"/>
        </w:rPr>
        <w:t xml:space="preserve">mg </w:t>
      </w:r>
      <w:r w:rsidRPr="00B8116F">
        <w:rPr>
          <w:rFonts w:eastAsia="Times New Roman" w:cs="Arial"/>
          <w:color w:val="000000"/>
          <w:lang w:eastAsia="bg-BG"/>
        </w:rPr>
        <w:t xml:space="preserve">не е имало допълнителна полза върху сърдечносъдовите резултати при добяването на ниацин (никотинова киселина) в липидомотифициращи дози (≥1 </w:t>
      </w:r>
      <w:r w:rsidRPr="00B8116F">
        <w:rPr>
          <w:rFonts w:eastAsia="Times New Roman" w:cs="Arial"/>
          <w:color w:val="000000"/>
          <w:lang w:val="en-US"/>
        </w:rPr>
        <w:t xml:space="preserve">g </w:t>
      </w:r>
      <w:r w:rsidRPr="00B8116F">
        <w:rPr>
          <w:rFonts w:eastAsia="Times New Roman" w:cs="Arial"/>
          <w:color w:val="000000"/>
          <w:lang w:eastAsia="bg-BG"/>
        </w:rPr>
        <w:t xml:space="preserve">/дневно). Поради тази причина лекарите, които възнамеряват да провеждат комбинирано лечение със симвастатин и липидомодифициращи дози (&gt; 1 </w:t>
      </w:r>
      <w:r w:rsidRPr="00B8116F">
        <w:rPr>
          <w:rFonts w:eastAsia="Times New Roman" w:cs="Arial"/>
          <w:color w:val="000000"/>
          <w:lang w:val="en-US"/>
        </w:rPr>
        <w:t xml:space="preserve">g </w:t>
      </w:r>
      <w:r w:rsidRPr="00B8116F">
        <w:rPr>
          <w:rFonts w:eastAsia="Times New Roman" w:cs="Arial"/>
          <w:color w:val="000000"/>
          <w:lang w:eastAsia="bg-BG"/>
        </w:rPr>
        <w:t>/ ден) ниацин (никотинова киселина) или продукти, съдържащи ниацин трябва внимателно да преценят потенциалните ползи и рискове и внимателно да проследяват пациентите за признаци и симптоми на болки в мускулите, чувствителност или слабост, особено по време на първите месеци на лечението и когато дозата на двата продукта се увеличава.</w:t>
      </w:r>
    </w:p>
    <w:p w14:paraId="2D53B997" w14:textId="77777777" w:rsidR="00B8116F" w:rsidRPr="00B8116F" w:rsidRDefault="00B8116F" w:rsidP="00B8116F">
      <w:pPr>
        <w:spacing w:line="240" w:lineRule="auto"/>
        <w:rPr>
          <w:rFonts w:eastAsia="Times New Roman" w:cs="Arial"/>
          <w:color w:val="000000"/>
          <w:lang w:eastAsia="bg-BG"/>
        </w:rPr>
      </w:pPr>
    </w:p>
    <w:p w14:paraId="52B8AACE" w14:textId="62352EDD"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Освен това, честотата на настъпване на миопатия в това изпитване е приблизително 0,24% при китайци, лекувани или със симвастатин 40 </w:t>
      </w:r>
      <w:r w:rsidRPr="00B8116F">
        <w:rPr>
          <w:rFonts w:eastAsia="Times New Roman" w:cs="Arial"/>
          <w:color w:val="000000"/>
          <w:lang w:val="en-US"/>
        </w:rPr>
        <w:t xml:space="preserve">mg, </w:t>
      </w:r>
      <w:r w:rsidRPr="00B8116F">
        <w:rPr>
          <w:rFonts w:eastAsia="Times New Roman" w:cs="Arial"/>
          <w:color w:val="000000"/>
          <w:lang w:eastAsia="bg-BG"/>
        </w:rPr>
        <w:t xml:space="preserve">или с езетимиб/симвастатин 10 </w:t>
      </w:r>
      <w:r w:rsidRPr="00B8116F">
        <w:rPr>
          <w:rFonts w:eastAsia="Times New Roman" w:cs="Arial"/>
          <w:color w:val="000000"/>
          <w:lang w:val="en-US"/>
        </w:rPr>
        <w:t xml:space="preserve">mg/40 mg, </w:t>
      </w:r>
      <w:r w:rsidRPr="00B8116F">
        <w:rPr>
          <w:rFonts w:eastAsia="Times New Roman" w:cs="Arial"/>
          <w:color w:val="000000"/>
          <w:lang w:eastAsia="bg-BG"/>
        </w:rPr>
        <w:t xml:space="preserve">сравнено с 1,24% при китайци, лекувани или със симвастатин 40 </w:t>
      </w:r>
      <w:r w:rsidRPr="00B8116F">
        <w:rPr>
          <w:rFonts w:eastAsia="Times New Roman" w:cs="Arial"/>
          <w:color w:val="000000"/>
          <w:lang w:val="en-US"/>
        </w:rPr>
        <w:t xml:space="preserve">mg, </w:t>
      </w:r>
      <w:r w:rsidRPr="00B8116F">
        <w:rPr>
          <w:rFonts w:eastAsia="Times New Roman" w:cs="Arial"/>
          <w:color w:val="000000"/>
          <w:lang w:eastAsia="bg-BG"/>
        </w:rPr>
        <w:t xml:space="preserve">или с езетимиб/симвастатин 10 </w:t>
      </w:r>
      <w:r w:rsidRPr="00B8116F">
        <w:rPr>
          <w:rFonts w:eastAsia="Times New Roman" w:cs="Arial"/>
          <w:color w:val="000000"/>
          <w:lang w:val="en-US"/>
        </w:rPr>
        <w:t xml:space="preserve">mg/40 mg, </w:t>
      </w:r>
      <w:r w:rsidRPr="00B8116F">
        <w:rPr>
          <w:rFonts w:eastAsia="Times New Roman" w:cs="Arial"/>
          <w:color w:val="000000"/>
          <w:lang w:eastAsia="bg-BG"/>
        </w:rPr>
        <w:t xml:space="preserve">на които е приложено едновременно никотинова киселина/лароприпрант 2 000 </w:t>
      </w:r>
      <w:r w:rsidRPr="00B8116F">
        <w:rPr>
          <w:rFonts w:eastAsia="Times New Roman" w:cs="Arial"/>
          <w:color w:val="000000"/>
          <w:lang w:val="en-US"/>
        </w:rPr>
        <w:t xml:space="preserve">mg/40 mg </w:t>
      </w:r>
      <w:r w:rsidRPr="00B8116F">
        <w:rPr>
          <w:rFonts w:eastAsia="Times New Roman" w:cs="Arial"/>
          <w:color w:val="000000"/>
          <w:lang w:eastAsia="bg-BG"/>
        </w:rPr>
        <w:t xml:space="preserve">с удължено освобождаване. Въпреки че в клиничното изпитване като представител на азиатското население са оценени само китайците, тъй като честота на миопатия при китайци е по-висока в сравнение с некнтайци, едновременното приложение на симвастатин с ниацин (никотинова киселина) в липидопонижаващи дози (&gt;1 </w:t>
      </w:r>
      <w:r w:rsidRPr="00B8116F">
        <w:rPr>
          <w:rFonts w:eastAsia="Times New Roman" w:cs="Arial"/>
          <w:color w:val="000000"/>
          <w:lang w:val="en-US"/>
        </w:rPr>
        <w:t xml:space="preserve">g </w:t>
      </w:r>
      <w:r w:rsidRPr="00B8116F">
        <w:rPr>
          <w:rFonts w:eastAsia="Times New Roman" w:cs="Arial"/>
          <w:color w:val="000000"/>
          <w:lang w:eastAsia="bg-BG"/>
        </w:rPr>
        <w:t>/дневно) не се препоръчва при азиатци, Аципимокс е структурно свързан с ниацин. Въпреки че аципимокс не е проучван, рискът от мускулна токсичност може да бъде сходен с този при ниацин.</w:t>
      </w:r>
    </w:p>
    <w:p w14:paraId="260B2D46" w14:textId="77777777" w:rsidR="00B8116F" w:rsidRPr="00B8116F" w:rsidRDefault="00B8116F" w:rsidP="00B8116F">
      <w:pPr>
        <w:spacing w:line="240" w:lineRule="auto"/>
        <w:rPr>
          <w:rFonts w:eastAsia="Times New Roman" w:cs="Arial"/>
          <w:color w:val="000000"/>
          <w:lang w:eastAsia="bg-BG"/>
        </w:rPr>
      </w:pPr>
    </w:p>
    <w:p w14:paraId="117D7283" w14:textId="00039F84"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Дапомицин</w:t>
      </w:r>
    </w:p>
    <w:p w14:paraId="149EBE9E"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Съобщавани са случаи на миопатия и/или рабдомиолиза при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редуктазни инхибитори (напр. симвастатин) едновременно прилагани с дапомицин. Необходимо е повишено внимание, когато се предписват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редуктазни инхибитори в комбинация с дапомицин, тъй като всеки от тях може да причини миопатия </w:t>
      </w:r>
      <w:r w:rsidRPr="00B8116F">
        <w:rPr>
          <w:rFonts w:eastAsia="Times New Roman" w:cs="Arial"/>
          <w:i/>
          <w:iCs/>
          <w:color w:val="000000"/>
          <w:lang w:eastAsia="bg-BG"/>
        </w:rPr>
        <w:t>и/или</w:t>
      </w:r>
      <w:r w:rsidRPr="00B8116F">
        <w:rPr>
          <w:rFonts w:eastAsia="Times New Roman" w:cs="Arial"/>
          <w:color w:val="000000"/>
          <w:lang w:eastAsia="bg-BG"/>
        </w:rPr>
        <w:t xml:space="preserve"> рабдомиолиза, когато се прилагат самостоятелно. Трябва да се обмисли временно спиране на симвастатин при пациенти, приемащи дапомицин, освен ако ползите от едновременното приложение не надхвърлят риска. Консултирайте се с информацията за предписване на дапомицин, за да получите допълнителна информация за това потенциално взаимодействие с </w:t>
      </w:r>
      <w:r w:rsidRPr="00B8116F">
        <w:rPr>
          <w:rFonts w:eastAsia="Times New Roman" w:cs="Arial"/>
          <w:color w:val="000000"/>
          <w:lang w:val="en-US"/>
        </w:rPr>
        <w:t xml:space="preserve">HMG-CoA </w:t>
      </w:r>
      <w:r w:rsidRPr="00B8116F">
        <w:rPr>
          <w:rFonts w:eastAsia="Times New Roman" w:cs="Arial"/>
          <w:color w:val="000000"/>
          <w:lang w:eastAsia="bg-BG"/>
        </w:rPr>
        <w:t>редуктазни инхибитори (напр. симвастатин) и за допълнителни указания, свързани с мониторирането. (Вижте точка 4.5.)</w:t>
      </w:r>
    </w:p>
    <w:p w14:paraId="16D51C1B" w14:textId="77777777" w:rsidR="00B8116F" w:rsidRPr="00B8116F" w:rsidRDefault="00B8116F" w:rsidP="00B8116F">
      <w:pPr>
        <w:spacing w:line="240" w:lineRule="auto"/>
        <w:rPr>
          <w:rFonts w:eastAsia="Times New Roman" w:cs="Arial"/>
          <w:i/>
          <w:iCs/>
          <w:color w:val="000000"/>
          <w:u w:val="single"/>
          <w:lang w:eastAsia="bg-BG"/>
        </w:rPr>
      </w:pPr>
    </w:p>
    <w:p w14:paraId="290381A0" w14:textId="15D49141"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Ефекти върху черния дроб</w:t>
      </w:r>
    </w:p>
    <w:p w14:paraId="163F31D5" w14:textId="77777777" w:rsidR="00B8116F" w:rsidRPr="00B8116F" w:rsidRDefault="00B8116F" w:rsidP="00B8116F">
      <w:pPr>
        <w:spacing w:line="240" w:lineRule="auto"/>
        <w:rPr>
          <w:rFonts w:eastAsia="Times New Roman" w:cs="Arial"/>
          <w:color w:val="000000"/>
          <w:lang w:eastAsia="bg-BG"/>
        </w:rPr>
      </w:pPr>
    </w:p>
    <w:p w14:paraId="0690A2E2" w14:textId="08A3FD75"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По време на клиничните изпитвания е наблюдавано персистиращо увеличение (до над 3 х ГРГ) на серумните трансаминази при няколко възрастни пациенти, които са получавали симвастатин. След прекъсване или преустановяване на приложението на симвастатин </w:t>
      </w:r>
      <w:r w:rsidRPr="00B8116F">
        <w:rPr>
          <w:rFonts w:eastAsia="Times New Roman" w:cs="Arial"/>
          <w:color w:val="000000"/>
          <w:lang w:eastAsia="bg-BG"/>
        </w:rPr>
        <w:lastRenderedPageBreak/>
        <w:t>при тези пациенти нивата на трансаминазите обикновено бавно са се връщали към нивата от преди започване на лечението.</w:t>
      </w:r>
    </w:p>
    <w:p w14:paraId="4A26D532" w14:textId="77777777" w:rsidR="00B8116F" w:rsidRPr="00B8116F" w:rsidRDefault="00B8116F" w:rsidP="00B8116F">
      <w:pPr>
        <w:spacing w:line="240" w:lineRule="auto"/>
        <w:rPr>
          <w:rFonts w:eastAsia="Times New Roman" w:cs="Arial"/>
          <w:color w:val="000000"/>
          <w:lang w:eastAsia="bg-BG"/>
        </w:rPr>
      </w:pPr>
    </w:p>
    <w:p w14:paraId="134C9091" w14:textId="77777777" w:rsidR="00B8116F" w:rsidRPr="00B8116F" w:rsidRDefault="00B8116F" w:rsidP="00B8116F">
      <w:pPr>
        <w:rPr>
          <w:rFonts w:eastAsia="Times New Roman" w:cs="Arial"/>
          <w:lang w:eastAsia="bg-BG"/>
        </w:rPr>
      </w:pPr>
      <w:r w:rsidRPr="00B8116F">
        <w:rPr>
          <w:rFonts w:eastAsia="Times New Roman" w:cs="Arial"/>
          <w:color w:val="000000"/>
          <w:lang w:eastAsia="bg-BG"/>
        </w:rPr>
        <w:t xml:space="preserve">Препоръчва се извършване на чернодробните функционални проби преди началото на лечението и след това при наличие на клинични показания. Пациентите, при които дозата се повишава постепенно до 80 </w:t>
      </w:r>
      <w:r w:rsidRPr="00B8116F">
        <w:rPr>
          <w:rFonts w:eastAsia="Times New Roman" w:cs="Arial"/>
          <w:color w:val="000000"/>
          <w:lang w:val="en-US"/>
        </w:rPr>
        <w:t xml:space="preserve">mg, </w:t>
      </w:r>
      <w:r w:rsidRPr="00B8116F">
        <w:rPr>
          <w:rFonts w:eastAsia="Times New Roman" w:cs="Arial"/>
          <w:color w:val="000000"/>
          <w:lang w:eastAsia="bg-BG"/>
        </w:rPr>
        <w:t xml:space="preserve">трябва да се изследват допълнително преди повишаването, 3 месеца след повишаването до доза от 80 </w:t>
      </w:r>
      <w:r w:rsidRPr="00B8116F">
        <w:rPr>
          <w:rFonts w:eastAsia="Times New Roman" w:cs="Arial"/>
          <w:color w:val="000000"/>
          <w:lang w:val="en-US"/>
        </w:rPr>
        <w:t xml:space="preserve">mg </w:t>
      </w:r>
      <w:r w:rsidRPr="00B8116F">
        <w:rPr>
          <w:rFonts w:eastAsia="Times New Roman" w:cs="Arial"/>
          <w:color w:val="000000"/>
          <w:lang w:eastAsia="bg-BG"/>
        </w:rPr>
        <w:t xml:space="preserve">и периодически след това (напр. на 6 месеца) през първата година на лечение. Специално внимание трябва да се обърне на пациенти, при които се получат повишени нива на трансаминазите, като при тези болни изследването трябва незабавно да се повтори и след това да се провежда по-често. Ако нивата на трансаминазите показват данни за увеличение, особено ако се повишат до 3 х ГРГ и увеличението персистира, лечението със симвастатин трябва да се преустанови. Имайте предвид, че </w:t>
      </w:r>
      <w:r w:rsidRPr="00B8116F">
        <w:rPr>
          <w:rFonts w:eastAsia="Times New Roman" w:cs="Arial"/>
          <w:color w:val="000000"/>
          <w:lang w:val="en-US"/>
        </w:rPr>
        <w:t xml:space="preserve">ALT </w:t>
      </w:r>
      <w:r w:rsidRPr="00B8116F">
        <w:rPr>
          <w:rFonts w:eastAsia="Times New Roman" w:cs="Arial"/>
          <w:color w:val="000000"/>
          <w:lang w:eastAsia="bg-BG"/>
        </w:rPr>
        <w:t>може да произтекат от</w:t>
      </w:r>
      <w:r w:rsidRPr="00B8116F">
        <w:rPr>
          <w:rFonts w:eastAsia="Times New Roman" w:cs="Arial"/>
          <w:color w:val="000000"/>
          <w:lang w:eastAsia="bg-BG"/>
        </w:rPr>
        <w:t xml:space="preserve"> </w:t>
      </w:r>
      <w:r w:rsidRPr="00B8116F">
        <w:rPr>
          <w:rFonts w:eastAsia="Times New Roman" w:cs="Arial"/>
          <w:color w:val="000000"/>
          <w:lang w:eastAsia="bg-BG"/>
        </w:rPr>
        <w:t xml:space="preserve">мускулите, следователно настването на </w:t>
      </w:r>
      <w:r w:rsidRPr="00B8116F">
        <w:rPr>
          <w:rFonts w:eastAsia="Times New Roman" w:cs="Arial"/>
          <w:color w:val="000000"/>
          <w:lang w:val="en-US"/>
        </w:rPr>
        <w:t xml:space="preserve">ALT </w:t>
      </w:r>
      <w:r w:rsidRPr="00B8116F">
        <w:rPr>
          <w:rFonts w:eastAsia="Times New Roman" w:cs="Arial"/>
          <w:color w:val="000000"/>
          <w:lang w:eastAsia="bg-BG"/>
        </w:rPr>
        <w:t xml:space="preserve">с СК може да е индикатор за миопатия (вж. по- горе </w:t>
      </w:r>
      <w:r w:rsidRPr="00B8116F">
        <w:rPr>
          <w:rFonts w:eastAsia="Times New Roman" w:cs="Arial"/>
          <w:i/>
          <w:iCs/>
          <w:color w:val="000000"/>
          <w:lang w:eastAsia="bg-BG"/>
        </w:rPr>
        <w:t>Миопатия / Рабдомиолиза).</w:t>
      </w:r>
    </w:p>
    <w:p w14:paraId="37C0E74F" w14:textId="77777777" w:rsidR="00B8116F" w:rsidRPr="00B8116F" w:rsidRDefault="00B8116F" w:rsidP="00B8116F">
      <w:pPr>
        <w:spacing w:line="240" w:lineRule="auto"/>
        <w:rPr>
          <w:rFonts w:eastAsia="Times New Roman" w:cs="Arial"/>
          <w:color w:val="000000"/>
          <w:lang w:eastAsia="bg-BG"/>
        </w:rPr>
      </w:pPr>
    </w:p>
    <w:p w14:paraId="7B52D5C0" w14:textId="6BD7255A"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Има редки постмаркетингови съобщения за фатална и нефатална чернодробна недостатъчност при пациенти, приемащи статини, включително симвастатин. Ако възникне сериозно увреждане на черния дроб с клинични симптоми и / или хипербилирубинемия или жълтеница по време на лечението със симвастатин, лечението трябва да се прекрати незабавно. Ако алтернативна етиологията не е намерена, симвастатин не трябва да се назначава отново.</w:t>
      </w:r>
    </w:p>
    <w:p w14:paraId="23CA3661" w14:textId="77777777" w:rsidR="00B8116F" w:rsidRPr="00B8116F" w:rsidRDefault="00B8116F" w:rsidP="00B8116F">
      <w:pPr>
        <w:spacing w:line="240" w:lineRule="auto"/>
        <w:rPr>
          <w:rFonts w:eastAsia="Times New Roman" w:cs="Arial"/>
          <w:color w:val="000000"/>
          <w:lang w:eastAsia="bg-BG"/>
        </w:rPr>
      </w:pPr>
    </w:p>
    <w:p w14:paraId="33DF271A" w14:textId="7E76849B"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Продуктът трябва да се прилага внимателно при пациенти, които консумират значителни количества алкохол.</w:t>
      </w:r>
    </w:p>
    <w:p w14:paraId="31883740" w14:textId="77777777" w:rsidR="00B8116F" w:rsidRPr="00B8116F" w:rsidRDefault="00B8116F" w:rsidP="00B8116F">
      <w:pPr>
        <w:spacing w:line="240" w:lineRule="auto"/>
        <w:rPr>
          <w:rFonts w:eastAsia="Times New Roman" w:cs="Arial"/>
          <w:color w:val="000000"/>
          <w:lang w:eastAsia="bg-BG"/>
        </w:rPr>
      </w:pPr>
    </w:p>
    <w:p w14:paraId="12EBF022" w14:textId="1F94FBAF"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Както и при другите липидопонижаващи средства, има съобщения за умерено (&lt; 3 х ГРГ) повишение на серумните трансаминази след лечение със симвастатин. Тези промени са се появявали малко след началото на лечението със симвастатин, често са били преходни и не са се придружавали от някакви симптоми, като прекъсване на лечението не е било необходимо.</w:t>
      </w:r>
    </w:p>
    <w:p w14:paraId="42F35264" w14:textId="77777777" w:rsidR="00B8116F" w:rsidRPr="00B8116F" w:rsidRDefault="00B8116F" w:rsidP="00B8116F">
      <w:pPr>
        <w:spacing w:line="240" w:lineRule="auto"/>
        <w:rPr>
          <w:rFonts w:eastAsia="Times New Roman" w:cs="Arial"/>
          <w:color w:val="000000"/>
          <w:u w:val="single"/>
          <w:lang w:eastAsia="bg-BG"/>
        </w:rPr>
      </w:pPr>
    </w:p>
    <w:p w14:paraId="0067FA1C" w14:textId="51BC6173" w:rsidR="00B8116F" w:rsidRPr="00B8116F" w:rsidRDefault="00B8116F" w:rsidP="00B8116F">
      <w:pPr>
        <w:spacing w:line="240" w:lineRule="auto"/>
        <w:rPr>
          <w:rFonts w:eastAsia="Times New Roman" w:cs="Arial"/>
          <w:lang w:eastAsia="bg-BG"/>
        </w:rPr>
      </w:pPr>
      <w:r w:rsidRPr="00B8116F">
        <w:rPr>
          <w:rFonts w:eastAsia="Times New Roman" w:cs="Arial"/>
          <w:color w:val="000000"/>
          <w:u w:val="single"/>
          <w:lang w:eastAsia="bg-BG"/>
        </w:rPr>
        <w:t>Захарен диабет</w:t>
      </w:r>
    </w:p>
    <w:p w14:paraId="2FF2A8AA"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Някои данни показват, че статините са клас лекарства, които повишават кръвната захар и при някои пациенти, изложени на висок риск от развитие на диабет, може да доведат до състояние на хипергликемия, при което се изисква провеждането на подходящи мерки както при диабет. Този риск, обаче, се компенсира от намаляване на съдовия риск при лечението със статини и затова не трябва да бъде причина за спиране на лечението. На пациентите, изложени на риск (глюкоза на гладно 5.6-6.9 </w:t>
      </w:r>
      <w:r w:rsidRPr="00B8116F">
        <w:rPr>
          <w:rFonts w:eastAsia="Times New Roman" w:cs="Arial"/>
          <w:color w:val="000000"/>
          <w:lang w:val="en-US"/>
        </w:rPr>
        <w:t xml:space="preserve">mmol </w:t>
      </w:r>
      <w:r w:rsidRPr="00B8116F">
        <w:rPr>
          <w:rFonts w:eastAsia="Times New Roman" w:cs="Arial"/>
          <w:color w:val="000000"/>
          <w:lang w:eastAsia="bg-BG"/>
        </w:rPr>
        <w:t xml:space="preserve">/ </w:t>
      </w:r>
      <w:r w:rsidRPr="00B8116F">
        <w:rPr>
          <w:rFonts w:eastAsia="Times New Roman" w:cs="Arial"/>
          <w:color w:val="000000"/>
          <w:lang w:val="en-US"/>
        </w:rPr>
        <w:t xml:space="preserve">L, </w:t>
      </w:r>
      <w:r w:rsidRPr="00B8116F">
        <w:rPr>
          <w:rFonts w:eastAsia="Times New Roman" w:cs="Arial"/>
          <w:color w:val="000000"/>
          <w:lang w:eastAsia="bg-BG"/>
        </w:rPr>
        <w:t xml:space="preserve">ИТМ &gt; 30 </w:t>
      </w:r>
      <w:r w:rsidRPr="00B8116F">
        <w:rPr>
          <w:rFonts w:eastAsia="Times New Roman" w:cs="Arial"/>
          <w:color w:val="000000"/>
          <w:lang w:val="en-US"/>
        </w:rPr>
        <w:t>kg/ m</w:t>
      </w:r>
      <w:r w:rsidRPr="00B8116F">
        <w:rPr>
          <w:rFonts w:eastAsia="Times New Roman" w:cs="Arial"/>
          <w:color w:val="000000"/>
          <w:vertAlign w:val="superscript"/>
          <w:lang w:val="en-US"/>
        </w:rPr>
        <w:t>2</w:t>
      </w:r>
      <w:r w:rsidRPr="00B8116F">
        <w:rPr>
          <w:rFonts w:eastAsia="Times New Roman" w:cs="Arial"/>
          <w:color w:val="000000"/>
          <w:lang w:val="en-US"/>
        </w:rPr>
        <w:t xml:space="preserve">, </w:t>
      </w:r>
      <w:r w:rsidRPr="00B8116F">
        <w:rPr>
          <w:rFonts w:eastAsia="Times New Roman" w:cs="Arial"/>
          <w:color w:val="000000"/>
          <w:lang w:eastAsia="bg-BG"/>
        </w:rPr>
        <w:t>повишени триглицериди, хипертония), следва да се назначи провеждане на клинични и биохимични изследвания в съответствие с националните ръководства.</w:t>
      </w:r>
    </w:p>
    <w:p w14:paraId="79EDD341" w14:textId="77777777" w:rsidR="00B8116F" w:rsidRPr="00B8116F" w:rsidRDefault="00B8116F" w:rsidP="00B8116F">
      <w:pPr>
        <w:spacing w:line="240" w:lineRule="auto"/>
        <w:rPr>
          <w:rFonts w:eastAsia="Times New Roman" w:cs="Arial"/>
          <w:color w:val="000000"/>
          <w:u w:val="single"/>
          <w:lang w:eastAsia="bg-BG"/>
        </w:rPr>
      </w:pPr>
    </w:p>
    <w:p w14:paraId="0B3D46D9" w14:textId="0BACA976" w:rsidR="00B8116F" w:rsidRPr="00B8116F" w:rsidRDefault="00B8116F" w:rsidP="00B8116F">
      <w:pPr>
        <w:spacing w:line="240" w:lineRule="auto"/>
        <w:rPr>
          <w:rFonts w:eastAsia="Times New Roman" w:cs="Arial"/>
          <w:lang w:eastAsia="bg-BG"/>
        </w:rPr>
      </w:pPr>
      <w:r w:rsidRPr="00B8116F">
        <w:rPr>
          <w:rFonts w:eastAsia="Times New Roman" w:cs="Arial"/>
          <w:color w:val="000000"/>
          <w:u w:val="single"/>
          <w:lang w:eastAsia="bg-BG"/>
        </w:rPr>
        <w:t>Интерстициално белодробно заболяване</w:t>
      </w:r>
    </w:p>
    <w:p w14:paraId="48D3A077"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Има съобщения за интерстициално белодробно заболяване при употреба на някои статини, включително симвастатин, особено при продължително лечение (вж. точка 4.8). Симптомите могат да включват диспнея, непродуктивна кашлица и влошаване на общото състояние (умора, загуба на тегло, треска). При подозрение за интерстициално белодробно заболяване, терапията със статии трябва да се спре.</w:t>
      </w:r>
    </w:p>
    <w:p w14:paraId="0E15CDA9" w14:textId="77777777" w:rsidR="00B8116F" w:rsidRPr="00B8116F" w:rsidRDefault="00B8116F" w:rsidP="00B8116F">
      <w:pPr>
        <w:spacing w:line="240" w:lineRule="auto"/>
        <w:rPr>
          <w:rFonts w:eastAsia="Times New Roman" w:cs="Arial"/>
          <w:color w:val="000000"/>
          <w:u w:val="single"/>
          <w:lang w:eastAsia="bg-BG"/>
        </w:rPr>
      </w:pPr>
    </w:p>
    <w:p w14:paraId="79BFC075" w14:textId="33CE5814" w:rsidR="00B8116F" w:rsidRPr="00B8116F" w:rsidRDefault="00B8116F" w:rsidP="00B8116F">
      <w:pPr>
        <w:spacing w:line="240" w:lineRule="auto"/>
        <w:rPr>
          <w:rFonts w:eastAsia="Times New Roman" w:cs="Arial"/>
          <w:lang w:eastAsia="bg-BG"/>
        </w:rPr>
      </w:pPr>
      <w:r w:rsidRPr="00B8116F">
        <w:rPr>
          <w:rFonts w:eastAsia="Times New Roman" w:cs="Arial"/>
          <w:color w:val="000000"/>
          <w:u w:val="single"/>
          <w:lang w:eastAsia="bg-BG"/>
        </w:rPr>
        <w:t>Употреба при деца и юноши (0-17-годишна възраст)</w:t>
      </w:r>
    </w:p>
    <w:p w14:paraId="4C47306E"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lastRenderedPageBreak/>
        <w:t>Безопасността и ефикасността на симвастатин при пациенти от 10 до 17 годишна възраст, с хетерозиготна фамилна хиперхолестеролемия, е била оценена в едно контролирано клинично изпитване при младежи II степен по Танер и нагоре и девойки поне една година след първата им менструация. Пациентите, лекувани със симвастатин са имали профил на безопасност, подобен на този при пациентите лекувани с плацебо.</w:t>
      </w:r>
    </w:p>
    <w:p w14:paraId="39D4A31A" w14:textId="77777777" w:rsidR="00B8116F" w:rsidRPr="00B8116F" w:rsidRDefault="00B8116F" w:rsidP="00B8116F">
      <w:pPr>
        <w:spacing w:line="240" w:lineRule="auto"/>
        <w:rPr>
          <w:rFonts w:eastAsia="Times New Roman" w:cs="Arial"/>
          <w:b/>
          <w:bCs/>
          <w:color w:val="000000"/>
          <w:lang w:eastAsia="bg-BG"/>
        </w:rPr>
      </w:pPr>
      <w:bookmarkStart w:id="1" w:name="bookmark0"/>
    </w:p>
    <w:p w14:paraId="6219C367" w14:textId="757F906D" w:rsidR="00B8116F" w:rsidRPr="00B8116F" w:rsidRDefault="00B8116F" w:rsidP="00B8116F">
      <w:pPr>
        <w:spacing w:line="240" w:lineRule="auto"/>
        <w:rPr>
          <w:rFonts w:eastAsia="Times New Roman" w:cs="Arial"/>
          <w:lang w:eastAsia="bg-BG"/>
        </w:rPr>
      </w:pPr>
      <w:r w:rsidRPr="00B8116F">
        <w:rPr>
          <w:rFonts w:eastAsia="Times New Roman" w:cs="Arial"/>
          <w:b/>
          <w:bCs/>
          <w:color w:val="000000"/>
          <w:lang w:eastAsia="bg-BG"/>
        </w:rPr>
        <w:t xml:space="preserve">Дози по-високи от 40 </w:t>
      </w:r>
      <w:r w:rsidRPr="00B8116F">
        <w:rPr>
          <w:rFonts w:eastAsia="Times New Roman" w:cs="Arial"/>
          <w:b/>
          <w:bCs/>
          <w:color w:val="000000"/>
          <w:lang w:val="en-US"/>
        </w:rPr>
        <w:t xml:space="preserve">mg </w:t>
      </w:r>
      <w:r w:rsidRPr="00B8116F">
        <w:rPr>
          <w:rFonts w:eastAsia="Times New Roman" w:cs="Arial"/>
          <w:b/>
          <w:bCs/>
          <w:color w:val="000000"/>
          <w:lang w:eastAsia="bg-BG"/>
        </w:rPr>
        <w:t>не са били изследвани при тази популация.</w:t>
      </w:r>
      <w:bookmarkEnd w:id="1"/>
    </w:p>
    <w:p w14:paraId="116A1F49" w14:textId="7320B3F2"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В това ограничено, контролирано проучване не е установен забележим ефект върху растежа или сексуалното узряване на младежите или девойките или какъвто и да било ефект върху продължителността на менструалния цикъл при момичетата (вж. точки 4.2; 4.8 и 5.1). По време на лечението със симвастатин, на девойките трябва да бъдат предложени подходи за контрацепция (вж. точки 4.3 и 4.6). Ефикасността и безопасността не са били изследвани при пациенти на възраст &lt;18 години за период на лечение с продължителност </w:t>
      </w:r>
      <w:r>
        <w:rPr>
          <w:rFonts w:eastAsia="Times New Roman" w:cs="Arial"/>
          <w:color w:val="000000"/>
          <w:lang w:eastAsia="bg-BG"/>
        </w:rPr>
        <w:t>&gt;</w:t>
      </w:r>
      <w:r w:rsidRPr="00B8116F">
        <w:rPr>
          <w:rFonts w:eastAsia="Times New Roman" w:cs="Arial"/>
          <w:color w:val="000000"/>
          <w:lang w:eastAsia="bg-BG"/>
        </w:rPr>
        <w:t xml:space="preserve"> 48 седмици и е неизвестен дългосрочният ефект върху физическото, интелектуално и сексуално развитие. Симвастатин не е бил проучван при пациенти под 10 годишна възраст, както и при деца преди пубертета и момичета, които не са имали менструация.</w:t>
      </w:r>
    </w:p>
    <w:p w14:paraId="6F420FA3" w14:textId="77777777" w:rsidR="00B8116F" w:rsidRPr="00B8116F" w:rsidRDefault="00B8116F" w:rsidP="00B8116F">
      <w:pPr>
        <w:spacing w:line="240" w:lineRule="auto"/>
        <w:rPr>
          <w:rFonts w:eastAsia="Times New Roman" w:cs="Arial"/>
          <w:color w:val="000000"/>
          <w:u w:val="single"/>
          <w:lang w:eastAsia="bg-BG"/>
        </w:rPr>
      </w:pPr>
    </w:p>
    <w:p w14:paraId="2F3EF755" w14:textId="2D81FFE0" w:rsidR="00B8116F" w:rsidRPr="00B8116F" w:rsidRDefault="00B8116F" w:rsidP="00B8116F">
      <w:pPr>
        <w:spacing w:line="240" w:lineRule="auto"/>
        <w:rPr>
          <w:rFonts w:eastAsia="Times New Roman" w:cs="Arial"/>
          <w:lang w:eastAsia="bg-BG"/>
        </w:rPr>
      </w:pPr>
      <w:r w:rsidRPr="00B8116F">
        <w:rPr>
          <w:rFonts w:eastAsia="Times New Roman" w:cs="Arial"/>
          <w:color w:val="000000"/>
          <w:u w:val="single"/>
          <w:lang w:eastAsia="bg-BG"/>
        </w:rPr>
        <w:t>Помощно вещество</w:t>
      </w:r>
    </w:p>
    <w:p w14:paraId="611F78D9" w14:textId="1DA33A1E"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Този лекарствен продукт съдържа лактоза. Пациенти с редки наследствени проблеми на</w:t>
      </w:r>
      <w:r w:rsidRPr="00B8116F">
        <w:rPr>
          <w:rFonts w:eastAsia="Times New Roman" w:cs="Arial"/>
          <w:i/>
          <w:iCs/>
          <w:color w:val="000000"/>
          <w:lang w:eastAsia="bg-BG"/>
        </w:rPr>
        <w:t xml:space="preserve"> </w:t>
      </w:r>
      <w:r w:rsidRPr="00B8116F">
        <w:rPr>
          <w:rFonts w:eastAsia="Times New Roman" w:cs="Arial"/>
          <w:color w:val="000000"/>
          <w:lang w:eastAsia="bg-BG"/>
        </w:rPr>
        <w:t>непоносимост към галактоза, пълен лактазен дефицит или глюкозно-галактозна малабсорбция не трябва да приемат това лекарство.</w:t>
      </w:r>
    </w:p>
    <w:p w14:paraId="337ED4D6" w14:textId="77777777" w:rsidR="00B8116F" w:rsidRPr="00B8116F" w:rsidRDefault="00B8116F" w:rsidP="00B8116F"/>
    <w:p w14:paraId="7ABEA351" w14:textId="48A43B02"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5F788B60" w14:textId="2E87BEF0" w:rsidR="00B8116F" w:rsidRDefault="00B8116F" w:rsidP="00B8116F"/>
    <w:p w14:paraId="0EDA599D"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Множество механизми могат да допринесат за потенциални взаимодействия с </w:t>
      </w:r>
      <w:r w:rsidRPr="00B8116F">
        <w:rPr>
          <w:rFonts w:eastAsia="Times New Roman" w:cs="Arial"/>
          <w:color w:val="000000"/>
          <w:lang w:val="en-US"/>
        </w:rPr>
        <w:t xml:space="preserve">HMG-CoA </w:t>
      </w:r>
      <w:r w:rsidRPr="00B8116F">
        <w:rPr>
          <w:rFonts w:eastAsia="Times New Roman" w:cs="Arial"/>
          <w:i/>
          <w:iCs/>
          <w:color w:val="000000"/>
          <w:lang w:eastAsia="bg-BG"/>
        </w:rPr>
        <w:t>редуктазни</w:t>
      </w:r>
      <w:r w:rsidRPr="00B8116F">
        <w:rPr>
          <w:rFonts w:eastAsia="Times New Roman" w:cs="Arial"/>
          <w:color w:val="000000"/>
          <w:lang w:eastAsia="bg-BG"/>
        </w:rPr>
        <w:t xml:space="preserve"> инхибитори. Лекарствени или растителни продукти, които инхибират метаболитните пътища на определени ензими (напр. </w:t>
      </w:r>
      <w:r w:rsidRPr="00B8116F">
        <w:rPr>
          <w:rFonts w:eastAsia="Times New Roman" w:cs="Arial"/>
          <w:color w:val="000000"/>
          <w:lang w:val="en-US"/>
        </w:rPr>
        <w:t xml:space="preserve">CYP3A4) </w:t>
      </w:r>
      <w:r w:rsidRPr="00B8116F">
        <w:rPr>
          <w:rFonts w:eastAsia="Times New Roman" w:cs="Arial"/>
          <w:color w:val="000000"/>
          <w:lang w:eastAsia="bg-BG"/>
        </w:rPr>
        <w:t>и/ или транспортери (напр. ОАТР1В), могат да повишат плазмените концентрации на симвастатин и симвастатинова киселина и могат да доведат до повишен риск от миопатия/ рабдомиолиза.</w:t>
      </w:r>
    </w:p>
    <w:p w14:paraId="62F71077" w14:textId="77777777" w:rsidR="00B8116F" w:rsidRPr="00B8116F" w:rsidRDefault="00B8116F" w:rsidP="00B8116F">
      <w:pPr>
        <w:spacing w:line="240" w:lineRule="auto"/>
        <w:rPr>
          <w:rFonts w:eastAsia="Times New Roman" w:cs="Arial"/>
          <w:b/>
          <w:bCs/>
          <w:color w:val="000000"/>
          <w:lang w:eastAsia="bg-BG"/>
        </w:rPr>
      </w:pPr>
    </w:p>
    <w:p w14:paraId="69AC99C6" w14:textId="1EF97480" w:rsidR="00B8116F" w:rsidRPr="00B8116F" w:rsidRDefault="00B8116F" w:rsidP="00B8116F">
      <w:pPr>
        <w:spacing w:line="240" w:lineRule="auto"/>
        <w:rPr>
          <w:rFonts w:eastAsia="Times New Roman" w:cs="Arial"/>
          <w:sz w:val="28"/>
          <w:szCs w:val="28"/>
          <w:lang w:eastAsia="bg-BG"/>
        </w:rPr>
      </w:pPr>
      <w:r w:rsidRPr="00B8116F">
        <w:rPr>
          <w:rFonts w:eastAsia="Times New Roman" w:cs="Arial"/>
          <w:b/>
          <w:bCs/>
          <w:color w:val="000000"/>
          <w:lang w:eastAsia="bg-BG"/>
        </w:rPr>
        <w:t>Консултирайте се с информацията за предписване на всички едновременно приемани лекарства, за да получите допълнителна информация за техните потенциални взаимодействия със симвастатин и/илн потенциала за промени на ензима или транспортера, и за възможно коригиране на дозата или схемата на прилагане.</w:t>
      </w:r>
    </w:p>
    <w:p w14:paraId="0F39B8DC" w14:textId="77777777" w:rsidR="00B8116F" w:rsidRPr="00B8116F" w:rsidRDefault="00B8116F" w:rsidP="00B8116F">
      <w:pPr>
        <w:spacing w:line="240" w:lineRule="auto"/>
        <w:rPr>
          <w:rFonts w:eastAsia="Times New Roman" w:cs="Arial"/>
          <w:color w:val="000000"/>
          <w:lang w:eastAsia="bg-BG"/>
        </w:rPr>
      </w:pPr>
    </w:p>
    <w:p w14:paraId="1D94348C" w14:textId="3B3F8763"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Проучвания за взаимодействие са провеждани само при възрастни</w:t>
      </w:r>
    </w:p>
    <w:p w14:paraId="1B9D8D76" w14:textId="77777777" w:rsidR="00B8116F" w:rsidRPr="00B8116F" w:rsidRDefault="00B8116F" w:rsidP="00B8116F">
      <w:pPr>
        <w:spacing w:line="240" w:lineRule="auto"/>
        <w:rPr>
          <w:rFonts w:eastAsia="Times New Roman" w:cs="Arial"/>
          <w:i/>
          <w:iCs/>
          <w:color w:val="000000"/>
          <w:u w:val="single"/>
          <w:lang w:eastAsia="bg-BG"/>
        </w:rPr>
      </w:pPr>
    </w:p>
    <w:p w14:paraId="59B09CC0" w14:textId="347585DF" w:rsidR="00B8116F" w:rsidRPr="00B8116F" w:rsidRDefault="00B8116F" w:rsidP="00B8116F">
      <w:pPr>
        <w:spacing w:line="240" w:lineRule="auto"/>
        <w:rPr>
          <w:rFonts w:eastAsia="Times New Roman" w:cs="Arial"/>
          <w:sz w:val="28"/>
          <w:szCs w:val="28"/>
          <w:lang w:eastAsia="bg-BG"/>
        </w:rPr>
      </w:pPr>
      <w:r w:rsidRPr="00B8116F">
        <w:rPr>
          <w:rFonts w:eastAsia="Times New Roman" w:cs="Arial"/>
          <w:i/>
          <w:iCs/>
          <w:color w:val="000000"/>
          <w:u w:val="single"/>
          <w:lang w:eastAsia="bg-BG"/>
        </w:rPr>
        <w:t>Фармакодинамични взаимодействия</w:t>
      </w:r>
    </w:p>
    <w:p w14:paraId="2D08D349" w14:textId="77777777" w:rsidR="00B8116F" w:rsidRPr="00B8116F" w:rsidRDefault="00B8116F" w:rsidP="00B8116F">
      <w:pPr>
        <w:spacing w:line="240" w:lineRule="auto"/>
        <w:rPr>
          <w:rFonts w:eastAsia="Times New Roman" w:cs="Arial"/>
          <w:i/>
          <w:iCs/>
          <w:color w:val="000000"/>
          <w:lang w:eastAsia="bg-BG"/>
        </w:rPr>
      </w:pPr>
    </w:p>
    <w:p w14:paraId="677A4CF0" w14:textId="0648AC5B" w:rsidR="00B8116F" w:rsidRPr="00B8116F" w:rsidRDefault="00B8116F" w:rsidP="00B8116F">
      <w:pPr>
        <w:spacing w:line="240" w:lineRule="auto"/>
        <w:rPr>
          <w:rFonts w:eastAsia="Times New Roman" w:cs="Arial"/>
          <w:sz w:val="28"/>
          <w:szCs w:val="28"/>
          <w:lang w:eastAsia="bg-BG"/>
        </w:rPr>
      </w:pPr>
      <w:r w:rsidRPr="00B8116F">
        <w:rPr>
          <w:rFonts w:eastAsia="Times New Roman" w:cs="Arial"/>
          <w:i/>
          <w:iCs/>
          <w:color w:val="000000"/>
          <w:lang w:eastAsia="bg-BG"/>
        </w:rPr>
        <w:t>Взаимодействия с липидопонижаващи лекарствени продукти, които могат да предизвикат миопатия при самостоятелно приложение</w:t>
      </w:r>
    </w:p>
    <w:p w14:paraId="59E66F33"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Рискът от миопатия, включително рабдомиолиза, се увеличава при едновременно приложение с фибрати. Освен това има фармакокинетично взаимодействие с гемфиброзил, водещо до повишаване на плазмените нива на симвастатин (вж. по-долу </w:t>
      </w:r>
      <w:r w:rsidRPr="00B8116F">
        <w:rPr>
          <w:rFonts w:eastAsia="Times New Roman" w:cs="Arial"/>
          <w:i/>
          <w:iCs/>
          <w:color w:val="000000"/>
          <w:lang w:eastAsia="bg-BG"/>
        </w:rPr>
        <w:t>Фармакокинетични взаимодействия</w:t>
      </w:r>
      <w:r w:rsidRPr="00B8116F">
        <w:rPr>
          <w:rFonts w:eastAsia="Times New Roman" w:cs="Arial"/>
          <w:color w:val="000000"/>
          <w:lang w:eastAsia="bg-BG"/>
        </w:rPr>
        <w:t xml:space="preserve"> и точки 4.3 и 4.4). Няма данни, че когато симвастатин и фенофибрат се прилагат едновременно, рискът от миопатия да надхвърля сумата от индивидуалните рискове за всеки продукт. Няма достатъчно фармакокинетични </w:t>
      </w:r>
      <w:r w:rsidRPr="00B8116F">
        <w:rPr>
          <w:rFonts w:eastAsia="Times New Roman" w:cs="Arial"/>
          <w:color w:val="000000"/>
          <w:lang w:eastAsia="bg-BG"/>
        </w:rPr>
        <w:lastRenderedPageBreak/>
        <w:t>данни и наблюдения на лекарствената безопасност за другите фибрати. Редки случаи на миопатия / рабдомиолиза са свързани със симвастатин едновременно с липид-модифициращи дози (≥ 1</w:t>
      </w:r>
      <w:r w:rsidRPr="00B8116F">
        <w:rPr>
          <w:rFonts w:eastAsia="Times New Roman" w:cs="Arial"/>
          <w:color w:val="000000"/>
          <w:lang w:val="en-US"/>
        </w:rPr>
        <w:t xml:space="preserve"> g </w:t>
      </w:r>
      <w:r w:rsidRPr="00B8116F">
        <w:rPr>
          <w:rFonts w:eastAsia="Times New Roman" w:cs="Arial"/>
          <w:color w:val="000000"/>
          <w:lang w:eastAsia="bg-BG"/>
        </w:rPr>
        <w:t>/ ден) ниацин (вж. точка 4.4).</w:t>
      </w:r>
    </w:p>
    <w:p w14:paraId="2125B93D" w14:textId="77777777" w:rsidR="00B8116F" w:rsidRPr="00B8116F" w:rsidRDefault="00B8116F" w:rsidP="00B8116F">
      <w:pPr>
        <w:spacing w:line="240" w:lineRule="auto"/>
        <w:rPr>
          <w:rFonts w:eastAsia="Times New Roman" w:cs="Arial"/>
          <w:i/>
          <w:iCs/>
          <w:color w:val="000000"/>
          <w:u w:val="single"/>
          <w:lang w:eastAsia="bg-BG"/>
        </w:rPr>
      </w:pPr>
    </w:p>
    <w:p w14:paraId="7844D376" w14:textId="2FBA824E" w:rsidR="00B8116F" w:rsidRPr="00B8116F" w:rsidRDefault="00B8116F" w:rsidP="00B8116F">
      <w:pPr>
        <w:spacing w:line="240" w:lineRule="auto"/>
        <w:rPr>
          <w:rFonts w:eastAsia="Times New Roman" w:cs="Arial"/>
          <w:sz w:val="28"/>
          <w:szCs w:val="28"/>
          <w:lang w:eastAsia="bg-BG"/>
        </w:rPr>
      </w:pPr>
      <w:r w:rsidRPr="00B8116F">
        <w:rPr>
          <w:rFonts w:eastAsia="Times New Roman" w:cs="Arial"/>
          <w:i/>
          <w:iCs/>
          <w:color w:val="000000"/>
          <w:u w:val="single"/>
          <w:lang w:eastAsia="bg-BG"/>
        </w:rPr>
        <w:t>Фармакокинетични взаимодействия</w:t>
      </w:r>
    </w:p>
    <w:p w14:paraId="45282259" w14:textId="77777777" w:rsidR="00B8116F" w:rsidRPr="00B8116F" w:rsidRDefault="00B8116F" w:rsidP="00B8116F">
      <w:pPr>
        <w:spacing w:line="240" w:lineRule="auto"/>
        <w:rPr>
          <w:rFonts w:eastAsia="Times New Roman" w:cs="Arial"/>
          <w:color w:val="000000"/>
          <w:lang w:eastAsia="bg-BG"/>
        </w:rPr>
      </w:pPr>
    </w:p>
    <w:p w14:paraId="03715134" w14:textId="469E6226"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Препоръките за предписване за взаимодействащите си агенти, са обобщени в таблицата по- долу (по-нататъшни подробности се съдържат в текста; вж. също точки 4.2,</w:t>
      </w:r>
      <w:r w:rsidRPr="00B8116F">
        <w:rPr>
          <w:rFonts w:eastAsia="Times New Roman" w:cs="Arial"/>
          <w:color w:val="000000"/>
          <w:lang w:val="en-US"/>
        </w:rPr>
        <w:t xml:space="preserve"> </w:t>
      </w:r>
      <w:r w:rsidRPr="00B8116F">
        <w:rPr>
          <w:rFonts w:eastAsia="Times New Roman" w:cs="Arial"/>
          <w:color w:val="000000"/>
          <w:lang w:eastAsia="bg-BG"/>
        </w:rPr>
        <w:t>4.3 и 4.4).</w:t>
      </w:r>
    </w:p>
    <w:p w14:paraId="18BB692C" w14:textId="77777777" w:rsidR="00B8116F" w:rsidRPr="00B8116F" w:rsidRDefault="00B8116F" w:rsidP="00B8116F">
      <w:pPr>
        <w:rPr>
          <w:rFonts w:eastAsia="Times New Roman" w:cs="Arial"/>
          <w:b/>
          <w:bCs/>
          <w:color w:val="000000"/>
          <w:lang w:eastAsia="bg-BG"/>
        </w:rPr>
      </w:pPr>
    </w:p>
    <w:p w14:paraId="28B4C798" w14:textId="1A99184C" w:rsidR="00B8116F" w:rsidRDefault="00B8116F" w:rsidP="00B8116F">
      <w:pPr>
        <w:rPr>
          <w:rFonts w:eastAsia="Times New Roman" w:cs="Arial"/>
          <w:b/>
          <w:bCs/>
          <w:color w:val="000000"/>
          <w:lang w:eastAsia="bg-BG"/>
        </w:rPr>
      </w:pPr>
      <w:r w:rsidRPr="00B8116F">
        <w:rPr>
          <w:rFonts w:eastAsia="Times New Roman" w:cs="Arial"/>
          <w:b/>
          <w:bCs/>
          <w:color w:val="000000"/>
          <w:lang w:eastAsia="bg-BG"/>
        </w:rPr>
        <w:t>Лекарствени взаимодействия, свързани с повишени риск от миопатия / рабдомиолиза</w:t>
      </w:r>
    </w:p>
    <w:tbl>
      <w:tblPr>
        <w:tblStyle w:val="TableGrid"/>
        <w:tblW w:w="0" w:type="auto"/>
        <w:tblLook w:val="04A0" w:firstRow="1" w:lastRow="0" w:firstColumn="1" w:lastColumn="0" w:noHBand="0" w:noVBand="1"/>
      </w:tblPr>
      <w:tblGrid>
        <w:gridCol w:w="4678"/>
        <w:gridCol w:w="4672"/>
      </w:tblGrid>
      <w:tr w:rsidR="00B8116F" w14:paraId="3FA617F9" w14:textId="77777777" w:rsidTr="00A24CFF">
        <w:tc>
          <w:tcPr>
            <w:tcW w:w="4750" w:type="dxa"/>
            <w:vAlign w:val="bottom"/>
          </w:tcPr>
          <w:p w14:paraId="2432468D" w14:textId="25F777B3" w:rsidR="00B8116F" w:rsidRPr="00B8116F" w:rsidRDefault="00B8116F" w:rsidP="00B8116F">
            <w:pPr>
              <w:rPr>
                <w:rFonts w:eastAsia="Times New Roman" w:cs="Arial"/>
                <w:b/>
                <w:bCs/>
                <w:color w:val="000000"/>
                <w:lang w:eastAsia="bg-BG"/>
              </w:rPr>
            </w:pPr>
            <w:r w:rsidRPr="00B8116F">
              <w:rPr>
                <w:b/>
                <w:bCs/>
              </w:rPr>
              <w:t>Взаимодействащи се агенти</w:t>
            </w:r>
          </w:p>
        </w:tc>
        <w:tc>
          <w:tcPr>
            <w:tcW w:w="4750" w:type="dxa"/>
            <w:vAlign w:val="bottom"/>
          </w:tcPr>
          <w:p w14:paraId="37C94698" w14:textId="21B7E432" w:rsidR="00B8116F" w:rsidRPr="00B8116F" w:rsidRDefault="00B8116F" w:rsidP="00B8116F">
            <w:pPr>
              <w:rPr>
                <w:rFonts w:eastAsia="Times New Roman" w:cs="Arial"/>
                <w:b/>
                <w:bCs/>
                <w:color w:val="000000"/>
                <w:lang w:eastAsia="bg-BG"/>
              </w:rPr>
            </w:pPr>
            <w:r w:rsidRPr="00B8116F">
              <w:rPr>
                <w:b/>
                <w:bCs/>
              </w:rPr>
              <w:t>Препоръките за предписване</w:t>
            </w:r>
          </w:p>
        </w:tc>
      </w:tr>
      <w:tr w:rsidR="00B8116F" w14:paraId="76058705" w14:textId="77777777" w:rsidTr="00A24CFF">
        <w:tc>
          <w:tcPr>
            <w:tcW w:w="4750" w:type="dxa"/>
            <w:vAlign w:val="bottom"/>
          </w:tcPr>
          <w:p w14:paraId="26BA27A9" w14:textId="77777777" w:rsidR="00B8116F" w:rsidRPr="00B8116F" w:rsidRDefault="00B8116F" w:rsidP="00B8116F">
            <w:r w:rsidRPr="00B8116F">
              <w:rPr>
                <w:i/>
                <w:iCs/>
              </w:rPr>
              <w:t xml:space="preserve">Мощни </w:t>
            </w:r>
            <w:r w:rsidRPr="00B8116F">
              <w:rPr>
                <w:i/>
                <w:iCs/>
                <w:lang w:val="en-US"/>
              </w:rPr>
              <w:t xml:space="preserve">CYP3A4 </w:t>
            </w:r>
            <w:r w:rsidRPr="00B8116F">
              <w:rPr>
                <w:i/>
                <w:iCs/>
              </w:rPr>
              <w:t>инхибитори:</w:t>
            </w:r>
          </w:p>
          <w:p w14:paraId="453969CB" w14:textId="77777777" w:rsidR="00B8116F" w:rsidRDefault="00B8116F" w:rsidP="00B8116F">
            <w:r w:rsidRPr="00B8116F">
              <w:t xml:space="preserve">Итраконазол </w:t>
            </w:r>
          </w:p>
          <w:p w14:paraId="79BD4DA5" w14:textId="77777777" w:rsidR="00B8116F" w:rsidRDefault="00B8116F" w:rsidP="00B8116F">
            <w:r w:rsidRPr="00B8116F">
              <w:t xml:space="preserve">Кетоконазол </w:t>
            </w:r>
          </w:p>
          <w:p w14:paraId="5953C16A" w14:textId="77777777" w:rsidR="00B8116F" w:rsidRDefault="00B8116F" w:rsidP="00B8116F">
            <w:r w:rsidRPr="00B8116F">
              <w:t xml:space="preserve">Флуконазол </w:t>
            </w:r>
          </w:p>
          <w:p w14:paraId="32471F43" w14:textId="77777777" w:rsidR="00B8116F" w:rsidRDefault="00B8116F" w:rsidP="00B8116F">
            <w:r w:rsidRPr="00B8116F">
              <w:t xml:space="preserve">Позаконазол </w:t>
            </w:r>
          </w:p>
          <w:p w14:paraId="70D510F9" w14:textId="77777777" w:rsidR="00B8116F" w:rsidRDefault="00B8116F" w:rsidP="00B8116F">
            <w:r w:rsidRPr="00B8116F">
              <w:t xml:space="preserve">Еритромицин </w:t>
            </w:r>
          </w:p>
          <w:p w14:paraId="45A964B2" w14:textId="77777777" w:rsidR="00B8116F" w:rsidRDefault="00B8116F" w:rsidP="00B8116F">
            <w:r w:rsidRPr="00B8116F">
              <w:t xml:space="preserve">Кларитромицин </w:t>
            </w:r>
          </w:p>
          <w:p w14:paraId="3563DF51" w14:textId="77777777" w:rsidR="00B8116F" w:rsidRDefault="00B8116F" w:rsidP="00B8116F">
            <w:r w:rsidRPr="00B8116F">
              <w:t xml:space="preserve">Телитромицин </w:t>
            </w:r>
          </w:p>
          <w:p w14:paraId="31025FA9" w14:textId="77777777" w:rsidR="00B8116F" w:rsidRDefault="00B8116F" w:rsidP="00B8116F">
            <w:r w:rsidRPr="00B8116F">
              <w:rPr>
                <w:lang w:val="en-US"/>
              </w:rPr>
              <w:t xml:space="preserve">HIV </w:t>
            </w:r>
            <w:r w:rsidRPr="00B8116F">
              <w:t xml:space="preserve">протеазни инхибитори (напр. Нелфинавир) </w:t>
            </w:r>
          </w:p>
          <w:p w14:paraId="3D17F130" w14:textId="77777777" w:rsidR="00B8116F" w:rsidRDefault="00B8116F" w:rsidP="00B8116F">
            <w:r w:rsidRPr="00B8116F">
              <w:t xml:space="preserve">Боцепревир </w:t>
            </w:r>
          </w:p>
          <w:p w14:paraId="5D08A0FE" w14:textId="77777777" w:rsidR="00B8116F" w:rsidRDefault="00B8116F" w:rsidP="00B8116F">
            <w:r w:rsidRPr="00B8116F">
              <w:t xml:space="preserve">Телапревир </w:t>
            </w:r>
          </w:p>
          <w:p w14:paraId="56655E5E" w14:textId="77777777" w:rsidR="00B8116F" w:rsidRDefault="00B8116F" w:rsidP="00B8116F">
            <w:r w:rsidRPr="00B8116F">
              <w:t xml:space="preserve">Нефазодон </w:t>
            </w:r>
          </w:p>
          <w:p w14:paraId="44499BDD" w14:textId="77777777" w:rsidR="00B8116F" w:rsidRDefault="00B8116F" w:rsidP="00B8116F">
            <w:r w:rsidRPr="00B8116F">
              <w:t xml:space="preserve">Кобицистат </w:t>
            </w:r>
          </w:p>
          <w:p w14:paraId="4E903B89" w14:textId="09E228F3" w:rsidR="00B8116F" w:rsidRPr="00B8116F" w:rsidRDefault="00B8116F" w:rsidP="00B8116F">
            <w:r w:rsidRPr="00B8116F">
              <w:t>Циклоспорин</w:t>
            </w:r>
          </w:p>
          <w:p w14:paraId="66B794D7" w14:textId="77777777" w:rsidR="00B8116F" w:rsidRDefault="00B8116F" w:rsidP="00B8116F">
            <w:r w:rsidRPr="00B8116F">
              <w:t xml:space="preserve">Даназол </w:t>
            </w:r>
          </w:p>
          <w:p w14:paraId="61F294BB" w14:textId="56ED3FDB" w:rsidR="00B8116F" w:rsidRPr="00B8116F" w:rsidRDefault="00B8116F" w:rsidP="00B8116F">
            <w:pPr>
              <w:rPr>
                <w:rFonts w:eastAsia="Times New Roman" w:cs="Arial"/>
                <w:b/>
                <w:bCs/>
                <w:color w:val="000000"/>
                <w:lang w:eastAsia="bg-BG"/>
              </w:rPr>
            </w:pPr>
            <w:r w:rsidRPr="00B8116F">
              <w:t>Гемфиброзил</w:t>
            </w:r>
          </w:p>
        </w:tc>
        <w:tc>
          <w:tcPr>
            <w:tcW w:w="4750" w:type="dxa"/>
          </w:tcPr>
          <w:p w14:paraId="3240ABA4" w14:textId="1BB9B3DD" w:rsidR="00B8116F" w:rsidRPr="00B8116F" w:rsidRDefault="00B8116F" w:rsidP="00B8116F">
            <w:pPr>
              <w:rPr>
                <w:rFonts w:eastAsia="Times New Roman" w:cs="Arial"/>
                <w:b/>
                <w:bCs/>
                <w:color w:val="000000"/>
                <w:lang w:eastAsia="bg-BG"/>
              </w:rPr>
            </w:pPr>
            <w:r w:rsidRPr="00B8116F">
              <w:t>Противопоказани със симвастатин</w:t>
            </w:r>
          </w:p>
        </w:tc>
      </w:tr>
      <w:tr w:rsidR="00B8116F" w14:paraId="4CBCC2D5" w14:textId="77777777" w:rsidTr="00A24CFF">
        <w:tc>
          <w:tcPr>
            <w:tcW w:w="4750" w:type="dxa"/>
            <w:vAlign w:val="center"/>
          </w:tcPr>
          <w:p w14:paraId="4D19BFDB" w14:textId="3E35D71D" w:rsidR="00B8116F" w:rsidRPr="00B8116F" w:rsidRDefault="00B8116F" w:rsidP="00B8116F">
            <w:pPr>
              <w:rPr>
                <w:rFonts w:eastAsia="Times New Roman" w:cs="Arial"/>
                <w:b/>
                <w:bCs/>
                <w:color w:val="000000"/>
                <w:lang w:eastAsia="bg-BG"/>
              </w:rPr>
            </w:pPr>
            <w:r w:rsidRPr="00B8116F">
              <w:t>Други фибрати (освен фенофибрат)</w:t>
            </w:r>
          </w:p>
        </w:tc>
        <w:tc>
          <w:tcPr>
            <w:tcW w:w="4750" w:type="dxa"/>
            <w:vAlign w:val="bottom"/>
          </w:tcPr>
          <w:p w14:paraId="6FE203E8" w14:textId="4D70CDD9" w:rsidR="00B8116F" w:rsidRPr="00B8116F" w:rsidRDefault="00B8116F" w:rsidP="00B8116F">
            <w:pPr>
              <w:rPr>
                <w:rFonts w:eastAsia="Times New Roman" w:cs="Arial"/>
                <w:b/>
                <w:bCs/>
                <w:color w:val="000000"/>
                <w:lang w:eastAsia="bg-BG"/>
              </w:rPr>
            </w:pPr>
            <w:r w:rsidRPr="00B8116F">
              <w:t xml:space="preserve">Да не се превишава дневна доза от 10 </w:t>
            </w:r>
            <w:r w:rsidRPr="00B8116F">
              <w:rPr>
                <w:lang w:val="en-US"/>
              </w:rPr>
              <w:t>mg</w:t>
            </w:r>
            <w:r w:rsidRPr="00B8116F">
              <w:t xml:space="preserve"> </w:t>
            </w:r>
            <w:r w:rsidRPr="00B8116F">
              <w:t>симвастатин.</w:t>
            </w:r>
          </w:p>
        </w:tc>
      </w:tr>
      <w:tr w:rsidR="00B8116F" w14:paraId="38042618" w14:textId="77777777" w:rsidTr="00B8116F">
        <w:tc>
          <w:tcPr>
            <w:tcW w:w="4750" w:type="dxa"/>
          </w:tcPr>
          <w:p w14:paraId="008B406C" w14:textId="1D801B78" w:rsidR="00B8116F" w:rsidRPr="00B8116F" w:rsidRDefault="00B8116F" w:rsidP="00B8116F">
            <w:pPr>
              <w:rPr>
                <w:rFonts w:eastAsia="Times New Roman" w:cs="Arial"/>
                <w:b/>
                <w:bCs/>
                <w:color w:val="000000"/>
                <w:lang w:eastAsia="bg-BG"/>
              </w:rPr>
            </w:pPr>
            <w:r w:rsidRPr="00B8116F">
              <w:t>Фузидова киселина</w:t>
            </w:r>
          </w:p>
        </w:tc>
        <w:tc>
          <w:tcPr>
            <w:tcW w:w="4750" w:type="dxa"/>
          </w:tcPr>
          <w:p w14:paraId="793316F1" w14:textId="56AA96F2" w:rsidR="00B8116F" w:rsidRPr="00B8116F" w:rsidRDefault="00B8116F" w:rsidP="00B8116F">
            <w:pPr>
              <w:rPr>
                <w:rFonts w:eastAsia="Times New Roman" w:cs="Arial"/>
                <w:b/>
                <w:bCs/>
                <w:color w:val="000000"/>
                <w:lang w:eastAsia="bg-BG"/>
              </w:rPr>
            </w:pPr>
            <w:r w:rsidRPr="00B8116F">
              <w:t>Не се препоръчва със симвастатин.</w:t>
            </w:r>
          </w:p>
        </w:tc>
      </w:tr>
      <w:tr w:rsidR="00B8116F" w14:paraId="1BC8E768" w14:textId="77777777" w:rsidTr="00B8116F">
        <w:tc>
          <w:tcPr>
            <w:tcW w:w="4750" w:type="dxa"/>
          </w:tcPr>
          <w:p w14:paraId="1236468E" w14:textId="267E59F0" w:rsidR="00B8116F" w:rsidRPr="00B8116F" w:rsidRDefault="00B8116F" w:rsidP="00B8116F">
            <w:pPr>
              <w:rPr>
                <w:rFonts w:eastAsia="Times New Roman" w:cs="Arial"/>
                <w:b/>
                <w:bCs/>
                <w:color w:val="000000"/>
                <w:lang w:eastAsia="bg-BG"/>
              </w:rPr>
            </w:pPr>
            <w:r w:rsidRPr="00B8116F">
              <w:t>Ниацин (никотинова киселина) (</w:t>
            </w:r>
            <w:r w:rsidRPr="00B8116F">
              <w:t>≥</w:t>
            </w:r>
            <w:r w:rsidRPr="00B8116F">
              <w:t xml:space="preserve"> 1 </w:t>
            </w:r>
            <w:r w:rsidRPr="00B8116F">
              <w:rPr>
                <w:lang w:val="en-US"/>
              </w:rPr>
              <w:t xml:space="preserve">g </w:t>
            </w:r>
            <w:r w:rsidRPr="00B8116F">
              <w:t>/ ден)</w:t>
            </w:r>
          </w:p>
        </w:tc>
        <w:tc>
          <w:tcPr>
            <w:tcW w:w="4750" w:type="dxa"/>
          </w:tcPr>
          <w:p w14:paraId="473D7546" w14:textId="2D8426B5" w:rsidR="00B8116F" w:rsidRPr="00B8116F" w:rsidRDefault="00B8116F" w:rsidP="00B8116F">
            <w:pPr>
              <w:rPr>
                <w:rFonts w:eastAsia="Times New Roman" w:cs="Arial"/>
                <w:b/>
                <w:bCs/>
                <w:color w:val="000000"/>
                <w:lang w:eastAsia="bg-BG"/>
              </w:rPr>
            </w:pPr>
            <w:r w:rsidRPr="00B8116F">
              <w:t>Не се препоръчва със симвастатин при азиатци.</w:t>
            </w:r>
          </w:p>
        </w:tc>
      </w:tr>
      <w:tr w:rsidR="00B8116F" w14:paraId="6125A5E8" w14:textId="77777777" w:rsidTr="00B8116F">
        <w:tc>
          <w:tcPr>
            <w:tcW w:w="4750" w:type="dxa"/>
          </w:tcPr>
          <w:p w14:paraId="0562469E" w14:textId="41CDC545" w:rsidR="00B8116F" w:rsidRPr="00B8116F" w:rsidRDefault="00B8116F" w:rsidP="00B8116F">
            <w:pPr>
              <w:rPr>
                <w:rFonts w:eastAsia="Times New Roman" w:cs="Arial"/>
                <w:b/>
                <w:bCs/>
                <w:color w:val="000000"/>
                <w:lang w:eastAsia="bg-BG"/>
              </w:rPr>
            </w:pPr>
            <w:r w:rsidRPr="00B8116F">
              <w:t>Амиодарон Амлодипин Верапамил Дилтиазем Елбасвир Гразопревир</w:t>
            </w:r>
          </w:p>
        </w:tc>
        <w:tc>
          <w:tcPr>
            <w:tcW w:w="4750" w:type="dxa"/>
          </w:tcPr>
          <w:p w14:paraId="263BD9F7" w14:textId="0E15C7E7" w:rsidR="00B8116F" w:rsidRPr="00B8116F" w:rsidRDefault="00B8116F" w:rsidP="00B8116F">
            <w:pPr>
              <w:rPr>
                <w:rFonts w:eastAsia="Times New Roman" w:cs="Arial"/>
                <w:b/>
                <w:bCs/>
                <w:color w:val="000000"/>
                <w:lang w:eastAsia="bg-BG"/>
              </w:rPr>
            </w:pPr>
            <w:r w:rsidRPr="00B8116F">
              <w:t xml:space="preserve">Да не се превишава дневна доза от 20 </w:t>
            </w:r>
            <w:r w:rsidRPr="00B8116F">
              <w:rPr>
                <w:lang w:val="en-US"/>
              </w:rPr>
              <w:t xml:space="preserve">mg </w:t>
            </w:r>
            <w:r w:rsidRPr="00B8116F">
              <w:t>симвастатин.</w:t>
            </w:r>
          </w:p>
        </w:tc>
      </w:tr>
      <w:tr w:rsidR="00B8116F" w14:paraId="0860D630" w14:textId="77777777" w:rsidTr="00B8116F">
        <w:tc>
          <w:tcPr>
            <w:tcW w:w="4750" w:type="dxa"/>
          </w:tcPr>
          <w:p w14:paraId="7C5A9290" w14:textId="74A2A89B" w:rsidR="00B8116F" w:rsidRPr="00B8116F" w:rsidRDefault="00B8116F" w:rsidP="00B8116F">
            <w:pPr>
              <w:rPr>
                <w:rFonts w:eastAsia="Times New Roman" w:cs="Arial"/>
                <w:b/>
                <w:bCs/>
                <w:color w:val="000000"/>
                <w:lang w:eastAsia="bg-BG"/>
              </w:rPr>
            </w:pPr>
            <w:r w:rsidRPr="00B8116F">
              <w:t>Ломитапид</w:t>
            </w:r>
          </w:p>
        </w:tc>
        <w:tc>
          <w:tcPr>
            <w:tcW w:w="4750" w:type="dxa"/>
          </w:tcPr>
          <w:p w14:paraId="39B5A3FC" w14:textId="1F2B2B49" w:rsidR="00B8116F" w:rsidRPr="00B8116F" w:rsidRDefault="00B8116F" w:rsidP="00B8116F">
            <w:pPr>
              <w:rPr>
                <w:rFonts w:eastAsia="Times New Roman" w:cs="Arial"/>
                <w:b/>
                <w:bCs/>
                <w:color w:val="000000"/>
                <w:lang w:eastAsia="bg-BG"/>
              </w:rPr>
            </w:pPr>
            <w:r w:rsidRPr="00B8116F">
              <w:t xml:space="preserve">Да не се превишава дневна доза от 40 </w:t>
            </w:r>
            <w:r w:rsidRPr="00B8116F">
              <w:rPr>
                <w:lang w:val="en-US"/>
              </w:rPr>
              <w:t xml:space="preserve">mg </w:t>
            </w:r>
            <w:r w:rsidRPr="00B8116F">
              <w:t>симвастатин дневно при пациенти с ХоФХ.</w:t>
            </w:r>
          </w:p>
        </w:tc>
      </w:tr>
      <w:tr w:rsidR="00B8116F" w14:paraId="26BF3E67" w14:textId="77777777" w:rsidTr="00B8116F">
        <w:tc>
          <w:tcPr>
            <w:tcW w:w="4750" w:type="dxa"/>
          </w:tcPr>
          <w:p w14:paraId="0605A889" w14:textId="5628556D" w:rsidR="00B8116F" w:rsidRPr="00B8116F" w:rsidRDefault="00B8116F" w:rsidP="00B8116F">
            <w:pPr>
              <w:rPr>
                <w:rFonts w:eastAsia="Times New Roman" w:cs="Arial"/>
                <w:b/>
                <w:bCs/>
                <w:color w:val="000000"/>
                <w:lang w:eastAsia="bg-BG"/>
              </w:rPr>
            </w:pPr>
            <w:r w:rsidRPr="00B8116F">
              <w:t>Дапомицин</w:t>
            </w:r>
          </w:p>
        </w:tc>
        <w:tc>
          <w:tcPr>
            <w:tcW w:w="4750" w:type="dxa"/>
          </w:tcPr>
          <w:p w14:paraId="221F52FB" w14:textId="6462227E" w:rsidR="00B8116F" w:rsidRPr="00B8116F" w:rsidRDefault="00B8116F" w:rsidP="00B8116F">
            <w:pPr>
              <w:rPr>
                <w:rFonts w:eastAsia="Times New Roman" w:cs="Arial"/>
                <w:b/>
                <w:bCs/>
                <w:color w:val="000000"/>
                <w:lang w:eastAsia="bg-BG"/>
              </w:rPr>
            </w:pPr>
            <w:r w:rsidRPr="00B8116F">
              <w:t>Трябва да се обмисли временно спиране на симвастатин при пациенти, приемащи дапомицин, освен ако ползите от едновременното приложение не надхвърлят риска (вж. точка 4.4.)</w:t>
            </w:r>
          </w:p>
        </w:tc>
      </w:tr>
      <w:tr w:rsidR="00B8116F" w14:paraId="6F39399E" w14:textId="77777777" w:rsidTr="00B8116F">
        <w:tc>
          <w:tcPr>
            <w:tcW w:w="4750" w:type="dxa"/>
          </w:tcPr>
          <w:p w14:paraId="11C9B962" w14:textId="224E5101" w:rsidR="00B8116F" w:rsidRPr="00B8116F" w:rsidRDefault="00B8116F" w:rsidP="00B8116F">
            <w:pPr>
              <w:rPr>
                <w:rFonts w:eastAsia="Times New Roman" w:cs="Arial"/>
                <w:b/>
                <w:bCs/>
                <w:color w:val="000000"/>
                <w:lang w:eastAsia="bg-BG"/>
              </w:rPr>
            </w:pPr>
            <w:r w:rsidRPr="00B8116F">
              <w:t>Сок от грейпфрут</w:t>
            </w:r>
          </w:p>
        </w:tc>
        <w:tc>
          <w:tcPr>
            <w:tcW w:w="4750" w:type="dxa"/>
          </w:tcPr>
          <w:p w14:paraId="02D98E6A" w14:textId="50CFD476" w:rsidR="00B8116F" w:rsidRPr="00B8116F" w:rsidRDefault="00B8116F" w:rsidP="00B8116F">
            <w:pPr>
              <w:rPr>
                <w:rFonts w:eastAsia="Times New Roman" w:cs="Arial"/>
                <w:b/>
                <w:bCs/>
                <w:color w:val="000000"/>
                <w:lang w:eastAsia="bg-BG"/>
              </w:rPr>
            </w:pPr>
            <w:r w:rsidRPr="00B8116F">
              <w:t>Да се избягва приемането на сок от грейпфрут, когато се приема симвастатин</w:t>
            </w:r>
          </w:p>
        </w:tc>
      </w:tr>
    </w:tbl>
    <w:p w14:paraId="7E45D274" w14:textId="77777777" w:rsidR="00B8116F" w:rsidRPr="00B8116F" w:rsidRDefault="00B8116F" w:rsidP="00B8116F">
      <w:pPr>
        <w:rPr>
          <w:rFonts w:eastAsia="Times New Roman" w:cs="Arial"/>
          <w:b/>
          <w:bCs/>
          <w:color w:val="000000"/>
          <w:lang w:eastAsia="bg-BG"/>
        </w:rPr>
      </w:pPr>
    </w:p>
    <w:p w14:paraId="00622209"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Ефекти на другите лекарствени продукти върху симвастатин</w:t>
      </w:r>
    </w:p>
    <w:p w14:paraId="0325B6D9" w14:textId="77777777" w:rsidR="00A970DD" w:rsidRPr="00A970DD" w:rsidRDefault="00A970DD" w:rsidP="00A970DD">
      <w:pPr>
        <w:spacing w:line="240" w:lineRule="auto"/>
        <w:rPr>
          <w:rFonts w:eastAsia="Times New Roman" w:cs="Arial"/>
          <w:i/>
          <w:iCs/>
          <w:color w:val="000000"/>
          <w:lang w:eastAsia="bg-BG"/>
        </w:rPr>
      </w:pPr>
    </w:p>
    <w:p w14:paraId="4FC05E21" w14:textId="682F8C49"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lastRenderedPageBreak/>
        <w:t xml:space="preserve">Взаимодействия, включващи инхибитори на </w:t>
      </w:r>
      <w:r w:rsidRPr="00A970DD">
        <w:rPr>
          <w:rFonts w:eastAsia="Times New Roman" w:cs="Arial"/>
          <w:i/>
          <w:iCs/>
          <w:color w:val="000000"/>
          <w:lang w:val="en-US"/>
        </w:rPr>
        <w:t>CYP3A4</w:t>
      </w:r>
    </w:p>
    <w:p w14:paraId="21E7EDEF"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Симвастатин е субстрат на цитохром Р450 ЗА4. Мощните инхибитори на цитохром Р450 ЗА4 увеличават риска от миопатия и рабдомиолиза чрез увеличаване на концентрацията на инхибиторите на </w:t>
      </w:r>
      <w:r w:rsidRPr="00A970DD">
        <w:rPr>
          <w:rFonts w:eastAsia="Times New Roman" w:cs="Arial"/>
          <w:color w:val="000000"/>
          <w:lang w:val="en-US"/>
        </w:rPr>
        <w:t xml:space="preserve">HMG-CoA </w:t>
      </w:r>
      <w:r w:rsidRPr="00A970DD">
        <w:rPr>
          <w:rFonts w:eastAsia="Times New Roman" w:cs="Arial"/>
          <w:color w:val="000000"/>
          <w:lang w:eastAsia="bg-BG"/>
        </w:rPr>
        <w:t xml:space="preserve">редуктазата в плазмата по време на лечение със симвастатин. Тези инхибитори включват итраконазол, кетоконазол, позаконазол, вориконазол, еритромицин, кларитромицин, телитромицин, </w:t>
      </w:r>
      <w:r w:rsidRPr="00A970DD">
        <w:rPr>
          <w:rFonts w:eastAsia="Times New Roman" w:cs="Arial"/>
          <w:color w:val="000000"/>
          <w:lang w:val="en-US"/>
        </w:rPr>
        <w:t xml:space="preserve">HIV </w:t>
      </w:r>
      <w:r w:rsidRPr="00A970DD">
        <w:rPr>
          <w:rFonts w:eastAsia="Times New Roman" w:cs="Arial"/>
          <w:color w:val="000000"/>
          <w:lang w:eastAsia="bg-BG"/>
        </w:rPr>
        <w:t>протеазни инхибитори (напр. нелфинавир) бокепревир, телапревир, нефазодон и лекарствени продукти, съдържащи кобицистат. Едновременното приложение с итраконазол води до увеличение повече от 10 пъти на експозицията към симвастатинова киселина (активният бета-хидроксикиселинен метаболит). Телитромицин е предизвикал 11 пъти увеличение на експозицията на симвастатинова киселина.</w:t>
      </w:r>
    </w:p>
    <w:p w14:paraId="495D170E" w14:textId="77777777" w:rsidR="00A970DD" w:rsidRPr="00A970DD" w:rsidRDefault="00A970DD" w:rsidP="00A970DD">
      <w:pPr>
        <w:spacing w:line="240" w:lineRule="auto"/>
        <w:rPr>
          <w:rFonts w:eastAsia="Times New Roman" w:cs="Arial"/>
          <w:color w:val="000000"/>
          <w:lang w:eastAsia="bg-BG"/>
        </w:rPr>
      </w:pPr>
    </w:p>
    <w:p w14:paraId="599FB8CC" w14:textId="58E44CA4"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Поради това комбинациите с итраконазол, кетоконазол, позаконазол, вориконазол, </w:t>
      </w:r>
      <w:r w:rsidRPr="00A970DD">
        <w:rPr>
          <w:rFonts w:eastAsia="Times New Roman" w:cs="Arial"/>
          <w:color w:val="000000"/>
          <w:lang w:val="en-US"/>
        </w:rPr>
        <w:t xml:space="preserve">HIV </w:t>
      </w:r>
      <w:r w:rsidRPr="00A970DD">
        <w:rPr>
          <w:rFonts w:eastAsia="Times New Roman" w:cs="Arial"/>
          <w:color w:val="000000"/>
          <w:lang w:eastAsia="bg-BG"/>
        </w:rPr>
        <w:t xml:space="preserve">протеазни инхибитори (напр. нелфинавир), бокепревир, телапревир, еритромицин, кларитромицин, телитромицин, нефазодон и лекарствени продукти, съдържащи кобицистат са противопоказани, както и гемфиброзил, циклоспорин и даназол (вж. точка 4.3). Ако лечението с мощни </w:t>
      </w:r>
      <w:r w:rsidRPr="00A970DD">
        <w:rPr>
          <w:rFonts w:eastAsia="Times New Roman" w:cs="Arial"/>
          <w:color w:val="000000"/>
          <w:lang w:val="en-US"/>
        </w:rPr>
        <w:t xml:space="preserve">CYP3A4 </w:t>
      </w:r>
      <w:r w:rsidRPr="00A970DD">
        <w:rPr>
          <w:rFonts w:eastAsia="Times New Roman" w:cs="Arial"/>
          <w:color w:val="000000"/>
          <w:lang w:eastAsia="bg-BG"/>
        </w:rPr>
        <w:t xml:space="preserve">инхибитори (агенти, които повишават </w:t>
      </w:r>
      <w:r w:rsidRPr="00A970DD">
        <w:rPr>
          <w:rFonts w:eastAsia="Times New Roman" w:cs="Arial"/>
          <w:color w:val="000000"/>
          <w:lang w:val="en-US"/>
        </w:rPr>
        <w:t xml:space="preserve">AUC </w:t>
      </w:r>
      <w:r w:rsidRPr="00A970DD">
        <w:rPr>
          <w:rFonts w:eastAsia="Times New Roman" w:cs="Arial"/>
          <w:color w:val="000000"/>
          <w:lang w:eastAsia="bg-BG"/>
        </w:rPr>
        <w:t xml:space="preserve">приблизително 5 кратно или повече) не може да се избегне, терапията със симвастатин трябва да се преустанови (и трябва да се обсъди употребата на алтернативен статии), докато то продължава. Комбинирането на симвастатин с други известни инхибитори на </w:t>
      </w:r>
      <w:r w:rsidRPr="00A970DD">
        <w:rPr>
          <w:rFonts w:eastAsia="Times New Roman" w:cs="Arial"/>
          <w:color w:val="000000"/>
          <w:lang w:val="en-US"/>
        </w:rPr>
        <w:t xml:space="preserve">CYP3A4 </w:t>
      </w:r>
      <w:r w:rsidRPr="00A970DD">
        <w:rPr>
          <w:rFonts w:eastAsia="Times New Roman" w:cs="Arial"/>
          <w:color w:val="000000"/>
          <w:lang w:eastAsia="bg-BG"/>
        </w:rPr>
        <w:t>с по-малка мощност: флуконазол, верапамил или дилтиазем трябва да става внимателно (вж. точки 4.2 и 4.4).</w:t>
      </w:r>
    </w:p>
    <w:p w14:paraId="272BB149" w14:textId="77777777" w:rsidR="00A970DD" w:rsidRPr="00A970DD" w:rsidRDefault="00A970DD" w:rsidP="00A970DD">
      <w:pPr>
        <w:spacing w:line="240" w:lineRule="auto"/>
        <w:rPr>
          <w:rFonts w:eastAsia="Times New Roman" w:cs="Arial"/>
          <w:i/>
          <w:iCs/>
          <w:color w:val="000000"/>
          <w:lang w:eastAsia="bg-BG"/>
        </w:rPr>
      </w:pPr>
    </w:p>
    <w:p w14:paraId="5F81552E" w14:textId="134A5F03"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Флуконазол</w:t>
      </w:r>
    </w:p>
    <w:p w14:paraId="7FADB533"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Редки случаи на рабдомиолиза, свързана с едновременното приложение на симвастатин и флуконазол са били докладвани (вж. точка 4.4).</w:t>
      </w:r>
    </w:p>
    <w:p w14:paraId="09D05777" w14:textId="77777777" w:rsidR="00A970DD" w:rsidRPr="00A970DD" w:rsidRDefault="00A970DD" w:rsidP="00A970DD">
      <w:pPr>
        <w:spacing w:line="240" w:lineRule="auto"/>
        <w:rPr>
          <w:rFonts w:eastAsia="Times New Roman" w:cs="Arial"/>
          <w:i/>
          <w:iCs/>
          <w:color w:val="000000"/>
          <w:lang w:eastAsia="bg-BG"/>
        </w:rPr>
      </w:pPr>
    </w:p>
    <w:p w14:paraId="460D7085" w14:textId="523D040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Циклоспорин</w:t>
      </w:r>
    </w:p>
    <w:p w14:paraId="114CA136" w14:textId="77777777" w:rsidR="00A970DD" w:rsidRPr="00A970DD" w:rsidRDefault="00A970DD" w:rsidP="00A970DD">
      <w:pPr>
        <w:rPr>
          <w:rFonts w:eastAsia="Times New Roman" w:cs="Arial"/>
          <w:lang w:eastAsia="bg-BG"/>
        </w:rPr>
      </w:pPr>
      <w:r w:rsidRPr="00A970DD">
        <w:rPr>
          <w:rFonts w:eastAsia="Times New Roman" w:cs="Arial"/>
          <w:color w:val="000000"/>
          <w:lang w:eastAsia="bg-BG"/>
        </w:rPr>
        <w:t>Рискът от миопатия/рабдомиолиза се увеличава при едновременно приложение на циклоспорин със симвастатин; затова употребата с циклоспорин е противопоказана (вж. точки 4.3 и 4.4).</w:t>
      </w:r>
      <w:r w:rsidRPr="00A970DD">
        <w:rPr>
          <w:rFonts w:eastAsia="Times New Roman" w:cs="Arial"/>
          <w:smallCaps/>
          <w:color w:val="000000"/>
          <w:lang w:eastAsia="bg-BG"/>
        </w:rPr>
        <w:t xml:space="preserve"> </w:t>
      </w:r>
      <w:r w:rsidRPr="00A970DD">
        <w:rPr>
          <w:rFonts w:eastAsia="Times New Roman" w:cs="Arial"/>
          <w:color w:val="000000"/>
          <w:lang w:eastAsia="bg-BG"/>
        </w:rPr>
        <w:t xml:space="preserve">Въпреки, че механизмът не е напълно ясен, циклоспорин увеличава </w:t>
      </w:r>
      <w:r w:rsidRPr="00A970DD">
        <w:rPr>
          <w:rFonts w:eastAsia="Times New Roman" w:cs="Arial"/>
          <w:color w:val="000000"/>
          <w:lang w:val="en-US"/>
        </w:rPr>
        <w:t xml:space="preserve">AUC </w:t>
      </w:r>
      <w:r w:rsidRPr="00A970DD">
        <w:rPr>
          <w:rFonts w:eastAsia="Times New Roman" w:cs="Arial"/>
          <w:color w:val="000000"/>
          <w:lang w:eastAsia="bg-BG"/>
        </w:rPr>
        <w:t xml:space="preserve">на </w:t>
      </w:r>
      <w:r w:rsidRPr="00A970DD">
        <w:rPr>
          <w:rFonts w:eastAsia="Times New Roman" w:cs="Arial"/>
          <w:color w:val="000000"/>
          <w:lang w:val="en-US"/>
        </w:rPr>
        <w:t>HMG-CoA</w:t>
      </w:r>
      <w:r w:rsidRPr="00A970DD">
        <w:rPr>
          <w:rFonts w:eastAsia="Times New Roman" w:cs="Arial"/>
          <w:color w:val="000000"/>
        </w:rPr>
        <w:t xml:space="preserve"> </w:t>
      </w:r>
      <w:r w:rsidRPr="00A970DD">
        <w:rPr>
          <w:rFonts w:eastAsia="Times New Roman" w:cs="Arial"/>
          <w:color w:val="000000"/>
          <w:lang w:eastAsia="bg-BG"/>
        </w:rPr>
        <w:t xml:space="preserve">редуктазните инхибитори. Това повишаване на </w:t>
      </w:r>
      <w:r w:rsidRPr="00A970DD">
        <w:rPr>
          <w:rFonts w:eastAsia="Times New Roman" w:cs="Arial"/>
          <w:color w:val="000000"/>
          <w:lang w:val="en-US"/>
        </w:rPr>
        <w:t xml:space="preserve">AUC </w:t>
      </w:r>
      <w:r w:rsidRPr="00A970DD">
        <w:rPr>
          <w:rFonts w:eastAsia="Times New Roman" w:cs="Arial"/>
          <w:color w:val="000000"/>
          <w:lang w:eastAsia="bg-BG"/>
        </w:rPr>
        <w:t xml:space="preserve">на симвастатинова киселина вероятно се дължи частично на инхибирането на </w:t>
      </w:r>
      <w:r w:rsidRPr="00A970DD">
        <w:rPr>
          <w:rFonts w:eastAsia="Times New Roman" w:cs="Arial"/>
          <w:color w:val="000000"/>
          <w:lang w:val="en-US"/>
        </w:rPr>
        <w:t xml:space="preserve">CYP3A4 </w:t>
      </w:r>
      <w:r w:rsidRPr="00A970DD">
        <w:rPr>
          <w:rFonts w:eastAsia="Times New Roman" w:cs="Arial"/>
          <w:color w:val="000000"/>
          <w:lang w:eastAsia="bg-BG"/>
        </w:rPr>
        <w:t>и/или ОАТР1В1.</w:t>
      </w:r>
    </w:p>
    <w:p w14:paraId="633D29A1" w14:textId="77777777" w:rsidR="00A970DD" w:rsidRPr="00A970DD" w:rsidRDefault="00A970DD" w:rsidP="00A970DD">
      <w:pPr>
        <w:spacing w:line="240" w:lineRule="auto"/>
        <w:rPr>
          <w:rFonts w:eastAsia="Times New Roman" w:cs="Arial"/>
          <w:i/>
          <w:iCs/>
          <w:color w:val="000000"/>
          <w:lang w:eastAsia="bg-BG"/>
        </w:rPr>
      </w:pPr>
    </w:p>
    <w:p w14:paraId="43D160BF" w14:textId="2B2FC8F5"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Даназол</w:t>
      </w:r>
    </w:p>
    <w:p w14:paraId="527947D7"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Рискът от миопатия и рабдомиолиза се увеличава при едновременна употреба на даназол със симвастатин; затова употребата с даназол е противопоказана (вж. точки 4.3 и 4.4).</w:t>
      </w:r>
    </w:p>
    <w:p w14:paraId="232FAEAA" w14:textId="77777777" w:rsidR="00A970DD" w:rsidRPr="00A970DD" w:rsidRDefault="00A970DD" w:rsidP="00A970DD">
      <w:pPr>
        <w:spacing w:line="240" w:lineRule="auto"/>
        <w:rPr>
          <w:rFonts w:eastAsia="Times New Roman" w:cs="Arial"/>
          <w:i/>
          <w:iCs/>
          <w:color w:val="000000"/>
          <w:lang w:eastAsia="bg-BG"/>
        </w:rPr>
      </w:pPr>
    </w:p>
    <w:p w14:paraId="11C5F5C0" w14:textId="3C730265"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Гемфиброзил</w:t>
      </w:r>
    </w:p>
    <w:p w14:paraId="727176C7"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Гемфиброзил увеличава </w:t>
      </w:r>
      <w:r w:rsidRPr="00A970DD">
        <w:rPr>
          <w:rFonts w:eastAsia="Times New Roman" w:cs="Arial"/>
          <w:color w:val="000000"/>
          <w:lang w:val="en-US"/>
        </w:rPr>
        <w:t xml:space="preserve">AUC </w:t>
      </w:r>
      <w:r w:rsidRPr="00A970DD">
        <w:rPr>
          <w:rFonts w:eastAsia="Times New Roman" w:cs="Arial"/>
          <w:color w:val="000000"/>
          <w:lang w:eastAsia="bg-BG"/>
        </w:rPr>
        <w:t>на симвастатиновата киселина с 1,9 пъти, вероятно поради инхибиране на пътищата на глюкуронидиране и/или ОАТР1В1 (вж. точки 4.3 и 4.4). Едновременното приложение с гемфиброзил е противопоказано.</w:t>
      </w:r>
    </w:p>
    <w:p w14:paraId="4CA3D723" w14:textId="77777777" w:rsidR="00A970DD" w:rsidRPr="00A970DD" w:rsidRDefault="00A970DD" w:rsidP="00A970DD">
      <w:pPr>
        <w:spacing w:line="240" w:lineRule="auto"/>
        <w:rPr>
          <w:rFonts w:eastAsia="Times New Roman" w:cs="Arial"/>
          <w:i/>
          <w:iCs/>
          <w:color w:val="000000"/>
          <w:lang w:eastAsia="bg-BG"/>
        </w:rPr>
      </w:pPr>
    </w:p>
    <w:p w14:paraId="05E69AB2" w14:textId="774C7EA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Фузидовата киселина</w:t>
      </w:r>
    </w:p>
    <w:p w14:paraId="7AC94F70"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включително рабдомиолиза, може да се повиши при едновременно прилагане на системна фузидова киселина със статини. Механизмът на това взаимодействие (независимо дали е фармакодинамично или фармакокинетично, или и двете) е все още неизвестен. Има съобщения за случаи на рабдомиолиза (включително и с летален изход) при пациенти, получаващи тази комбинация. Ако лечението с форми за </w:t>
      </w:r>
      <w:r w:rsidRPr="00A970DD">
        <w:rPr>
          <w:rFonts w:eastAsia="Times New Roman" w:cs="Arial"/>
          <w:color w:val="000000"/>
          <w:lang w:eastAsia="bg-BG"/>
        </w:rPr>
        <w:lastRenderedPageBreak/>
        <w:t>системно приложение на фузидова киселина е необходимо, лечението със симвастатин трябва да се прекрати по време на периода на лечение с фузидова киселина. Вж. също точка 4.4).</w:t>
      </w:r>
    </w:p>
    <w:p w14:paraId="29C0B5FC" w14:textId="77777777" w:rsidR="00A970DD" w:rsidRPr="00A970DD" w:rsidRDefault="00A970DD" w:rsidP="00A970DD">
      <w:pPr>
        <w:spacing w:line="240" w:lineRule="auto"/>
        <w:rPr>
          <w:rFonts w:eastAsia="Times New Roman" w:cs="Arial"/>
          <w:i/>
          <w:iCs/>
          <w:color w:val="000000"/>
          <w:lang w:eastAsia="bg-BG"/>
        </w:rPr>
      </w:pPr>
    </w:p>
    <w:p w14:paraId="17F98569" w14:textId="448126F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Амиодарон</w:t>
      </w:r>
    </w:p>
    <w:p w14:paraId="5A7FBB39"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и рабдомиолиза се увеличава при едновременно приложение на амиодарон със симвастатин (вж. точка 4.4). При клинично изпитване, миопатия е била съобщена при 6% от пациентите, получаващи симвастатин 80 </w:t>
      </w:r>
      <w:r w:rsidRPr="00A970DD">
        <w:rPr>
          <w:rFonts w:eastAsia="Times New Roman" w:cs="Arial"/>
          <w:color w:val="000000"/>
          <w:lang w:val="en-US"/>
        </w:rPr>
        <w:t xml:space="preserve">mg </w:t>
      </w:r>
      <w:r w:rsidRPr="00A970DD">
        <w:rPr>
          <w:rFonts w:eastAsia="Times New Roman" w:cs="Arial"/>
          <w:color w:val="000000"/>
          <w:lang w:eastAsia="bg-BG"/>
        </w:rPr>
        <w:t>и амиодарон.</w:t>
      </w:r>
    </w:p>
    <w:p w14:paraId="713E6EBE"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Поради това при пациенти, лекувани едновременно с амиодарон, дозата на симвастатин не трябва да надхвърля 20 </w:t>
      </w:r>
      <w:r w:rsidRPr="00A970DD">
        <w:rPr>
          <w:rFonts w:eastAsia="Times New Roman" w:cs="Arial"/>
          <w:color w:val="000000"/>
          <w:lang w:val="en-US"/>
        </w:rPr>
        <w:t xml:space="preserve">mg </w:t>
      </w:r>
      <w:r w:rsidRPr="00A970DD">
        <w:rPr>
          <w:rFonts w:eastAsia="Times New Roman" w:cs="Arial"/>
          <w:color w:val="000000"/>
          <w:lang w:eastAsia="bg-BG"/>
        </w:rPr>
        <w:t>дневно.</w:t>
      </w:r>
    </w:p>
    <w:p w14:paraId="18EF8B50" w14:textId="77777777" w:rsidR="00A970DD" w:rsidRPr="00A970DD" w:rsidRDefault="00A970DD" w:rsidP="00A970DD">
      <w:pPr>
        <w:spacing w:line="240" w:lineRule="auto"/>
        <w:rPr>
          <w:rFonts w:eastAsia="Times New Roman" w:cs="Arial"/>
          <w:i/>
          <w:iCs/>
          <w:color w:val="000000"/>
          <w:lang w:eastAsia="bg-BG"/>
        </w:rPr>
      </w:pPr>
    </w:p>
    <w:p w14:paraId="032B6497" w14:textId="61125FBC"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Блокери на калциевите канали</w:t>
      </w:r>
    </w:p>
    <w:p w14:paraId="403D0F2F" w14:textId="77777777" w:rsidR="00A970DD" w:rsidRPr="00A970DD" w:rsidRDefault="00A970DD" w:rsidP="00A970DD">
      <w:pPr>
        <w:spacing w:line="240" w:lineRule="auto"/>
        <w:rPr>
          <w:rFonts w:eastAsia="Times New Roman" w:cs="Arial"/>
          <w:i/>
          <w:iCs/>
          <w:color w:val="000000"/>
          <w:lang w:eastAsia="bg-BG"/>
        </w:rPr>
      </w:pPr>
    </w:p>
    <w:p w14:paraId="32BEA82F" w14:textId="38C031A3"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Верапамил</w:t>
      </w:r>
    </w:p>
    <w:p w14:paraId="5746D6D0"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и рабдомиолиза се повишава при едновременно приложение на верапамил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или 80 </w:t>
      </w:r>
      <w:r w:rsidRPr="00A970DD">
        <w:rPr>
          <w:rFonts w:eastAsia="Times New Roman" w:cs="Arial"/>
          <w:color w:val="000000"/>
          <w:lang w:val="en-US"/>
        </w:rPr>
        <w:t xml:space="preserve">mg </w:t>
      </w:r>
      <w:r w:rsidRPr="00A970DD">
        <w:rPr>
          <w:rFonts w:eastAsia="Times New Roman" w:cs="Arial"/>
          <w:color w:val="000000"/>
          <w:lang w:eastAsia="bg-BG"/>
        </w:rPr>
        <w:t xml:space="preserve">(вж. точка 4.4). Във фармакокинетично проучване, едновременното приложение с верапамил води до 2,3-кратио повишаване на експозицията на симвастатин киселина, което вероятно се дължи, в частност, до инхибиране на </w:t>
      </w:r>
      <w:r w:rsidRPr="00A970DD">
        <w:rPr>
          <w:rFonts w:eastAsia="Times New Roman" w:cs="Arial"/>
          <w:color w:val="000000"/>
          <w:lang w:val="en-US"/>
        </w:rPr>
        <w:t xml:space="preserve">CYP3A4. </w:t>
      </w:r>
      <w:r w:rsidRPr="00A970DD">
        <w:rPr>
          <w:rFonts w:eastAsia="Times New Roman" w:cs="Arial"/>
          <w:color w:val="000000"/>
          <w:lang w:eastAsia="bg-BG"/>
        </w:rPr>
        <w:t xml:space="preserve">Следователно, дозата на симвастатин не трябва да превишава 20 </w:t>
      </w:r>
      <w:r w:rsidRPr="00A970DD">
        <w:rPr>
          <w:rFonts w:eastAsia="Times New Roman" w:cs="Arial"/>
          <w:color w:val="000000"/>
          <w:lang w:val="en-US"/>
        </w:rPr>
        <w:t xml:space="preserve">mg </w:t>
      </w:r>
      <w:r w:rsidRPr="00A970DD">
        <w:rPr>
          <w:rFonts w:eastAsia="Times New Roman" w:cs="Arial"/>
          <w:color w:val="000000"/>
          <w:lang w:eastAsia="bg-BG"/>
        </w:rPr>
        <w:t>дневно при пациенти, получаващи едновременно лечение с верапамил.</w:t>
      </w:r>
    </w:p>
    <w:p w14:paraId="1A28BEFA" w14:textId="77777777" w:rsidR="00A970DD" w:rsidRPr="00A970DD" w:rsidRDefault="00A970DD" w:rsidP="00A970DD">
      <w:pPr>
        <w:spacing w:line="240" w:lineRule="auto"/>
        <w:rPr>
          <w:rFonts w:eastAsia="Times New Roman" w:cs="Arial"/>
          <w:i/>
          <w:iCs/>
          <w:color w:val="000000"/>
          <w:lang w:eastAsia="bg-BG"/>
        </w:rPr>
      </w:pPr>
    </w:p>
    <w:p w14:paraId="53ABBBD5" w14:textId="017C572B"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Дилтиазем</w:t>
      </w:r>
    </w:p>
    <w:p w14:paraId="7E51C526"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и рабдомиолиза се увеличава при едновременното приложение на дилтиазем и симвастатин 80 </w:t>
      </w:r>
      <w:r w:rsidRPr="00A970DD">
        <w:rPr>
          <w:rFonts w:eastAsia="Times New Roman" w:cs="Arial"/>
          <w:color w:val="000000"/>
          <w:lang w:val="en-US"/>
        </w:rPr>
        <w:t xml:space="preserve">mg </w:t>
      </w:r>
      <w:r w:rsidRPr="00A970DD">
        <w:rPr>
          <w:rFonts w:eastAsia="Times New Roman" w:cs="Arial"/>
          <w:color w:val="000000"/>
          <w:lang w:eastAsia="bg-BG"/>
        </w:rPr>
        <w:t xml:space="preserve">(вж. точка 4.4). Във фармакокинетично проучване, едновременното приложение на дилтиазем води до 2,7-кратно повишаване на експозицията на симвастатинова киселина, вероятно поради инхибиране на </w:t>
      </w:r>
      <w:r w:rsidRPr="00A970DD">
        <w:rPr>
          <w:rFonts w:eastAsia="Times New Roman" w:cs="Arial"/>
          <w:color w:val="000000"/>
          <w:lang w:val="en-US"/>
        </w:rPr>
        <w:t xml:space="preserve">CYP3A4. </w:t>
      </w:r>
      <w:r w:rsidRPr="00A970DD">
        <w:rPr>
          <w:rFonts w:eastAsia="Times New Roman" w:cs="Arial"/>
          <w:color w:val="000000"/>
          <w:lang w:eastAsia="bg-BG"/>
        </w:rPr>
        <w:t xml:space="preserve">Следователно, дозата на симвастатин не трябва да превишава 20 </w:t>
      </w:r>
      <w:r w:rsidRPr="00A970DD">
        <w:rPr>
          <w:rFonts w:eastAsia="Times New Roman" w:cs="Arial"/>
          <w:color w:val="000000"/>
          <w:lang w:val="en-US"/>
        </w:rPr>
        <w:t xml:space="preserve">mg </w:t>
      </w:r>
      <w:r w:rsidRPr="00A970DD">
        <w:rPr>
          <w:rFonts w:eastAsia="Times New Roman" w:cs="Arial"/>
          <w:color w:val="000000"/>
          <w:lang w:eastAsia="bg-BG"/>
        </w:rPr>
        <w:t>дневно при пациенти, получаващи съпътстваща терапия с дилтиазем.</w:t>
      </w:r>
    </w:p>
    <w:p w14:paraId="4F2CACA5" w14:textId="77777777" w:rsidR="00A970DD" w:rsidRPr="00A970DD" w:rsidRDefault="00A970DD" w:rsidP="00A970DD">
      <w:pPr>
        <w:spacing w:line="240" w:lineRule="auto"/>
        <w:rPr>
          <w:rFonts w:eastAsia="Times New Roman" w:cs="Arial"/>
          <w:i/>
          <w:iCs/>
          <w:color w:val="000000"/>
          <w:lang w:eastAsia="bg-BG"/>
        </w:rPr>
      </w:pPr>
    </w:p>
    <w:p w14:paraId="22053CCA" w14:textId="283332B2"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Амлодипин</w:t>
      </w:r>
    </w:p>
    <w:p w14:paraId="3DF9E022"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Пациентите на амлодипин, лекувани едновеменно със симвастатин, имат повишен риск от миопатия. Във фармакокинетично проучване, едновременното приложение на амлодипин предизвика 1,6-кратно увеличение на експозицията на симвастатин киселина. Следователно, дозата на симвастатин не трябва да превишава 20 </w:t>
      </w:r>
      <w:r w:rsidRPr="00A970DD">
        <w:rPr>
          <w:rFonts w:eastAsia="Times New Roman" w:cs="Arial"/>
          <w:color w:val="000000"/>
          <w:lang w:val="en-US"/>
        </w:rPr>
        <w:t xml:space="preserve">mg </w:t>
      </w:r>
      <w:r w:rsidRPr="00A970DD">
        <w:rPr>
          <w:rFonts w:eastAsia="Times New Roman" w:cs="Arial"/>
          <w:color w:val="000000"/>
          <w:lang w:eastAsia="bg-BG"/>
        </w:rPr>
        <w:t>дневно при пациенти, получаващи едновременно лечение с амлодипин.</w:t>
      </w:r>
    </w:p>
    <w:p w14:paraId="044F11D5" w14:textId="77777777" w:rsidR="00A970DD" w:rsidRPr="00A970DD" w:rsidRDefault="00A970DD" w:rsidP="00A970DD">
      <w:pPr>
        <w:spacing w:line="240" w:lineRule="auto"/>
        <w:rPr>
          <w:rFonts w:eastAsia="Times New Roman" w:cs="Arial"/>
          <w:i/>
          <w:iCs/>
          <w:color w:val="000000"/>
          <w:lang w:eastAsia="bg-BG"/>
        </w:rPr>
      </w:pPr>
    </w:p>
    <w:p w14:paraId="36184E85" w14:textId="7FE80D31"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Ломитапид</w:t>
      </w:r>
    </w:p>
    <w:p w14:paraId="19EFFB00" w14:textId="77777777" w:rsidR="00A970DD" w:rsidRPr="00A970DD" w:rsidRDefault="00A970DD" w:rsidP="00A970DD">
      <w:pPr>
        <w:rPr>
          <w:rFonts w:eastAsia="Times New Roman" w:cs="Arial"/>
          <w:lang w:eastAsia="bg-BG"/>
        </w:rPr>
      </w:pPr>
      <w:r w:rsidRPr="00A970DD">
        <w:rPr>
          <w:rFonts w:eastAsia="Times New Roman" w:cs="Arial"/>
          <w:color w:val="000000"/>
          <w:lang w:eastAsia="bg-BG"/>
        </w:rPr>
        <w:t>При едновременното приложение на ломитапид със симвастатин, рискът от миопатия и рабдомиолиза може да се повиши (вж. точки 4.3 и 4.4). Следователно при паценти с ХоФХ,</w:t>
      </w:r>
      <w:r w:rsidRPr="00A970DD">
        <w:rPr>
          <w:rFonts w:eastAsia="Times New Roman" w:cs="Arial"/>
          <w:color w:val="000000"/>
          <w:lang w:eastAsia="bg-BG"/>
        </w:rPr>
        <w:t xml:space="preserve"> </w:t>
      </w:r>
      <w:r w:rsidRPr="00A970DD">
        <w:rPr>
          <w:rFonts w:eastAsia="Times New Roman" w:cs="Arial"/>
          <w:color w:val="000000"/>
          <w:lang w:eastAsia="bg-BG"/>
        </w:rPr>
        <w:t xml:space="preserve">дозата на симвастатин не трябва да надвишава 40 </w:t>
      </w:r>
      <w:r w:rsidRPr="00A970DD">
        <w:rPr>
          <w:rFonts w:eastAsia="Times New Roman" w:cs="Arial"/>
          <w:color w:val="000000"/>
          <w:lang w:val="en-US"/>
        </w:rPr>
        <w:t xml:space="preserve">mg </w:t>
      </w:r>
      <w:r w:rsidRPr="00A970DD">
        <w:rPr>
          <w:rFonts w:eastAsia="Times New Roman" w:cs="Arial"/>
          <w:color w:val="000000"/>
          <w:lang w:eastAsia="bg-BG"/>
        </w:rPr>
        <w:t>дневно при съпътстваща терапия с ломитапид.</w:t>
      </w:r>
    </w:p>
    <w:p w14:paraId="733A84D2" w14:textId="77777777" w:rsidR="00A970DD" w:rsidRPr="00A970DD" w:rsidRDefault="00A970DD" w:rsidP="00A970DD">
      <w:pPr>
        <w:spacing w:line="240" w:lineRule="auto"/>
        <w:rPr>
          <w:rFonts w:eastAsia="Times New Roman" w:cs="Arial"/>
          <w:i/>
          <w:iCs/>
          <w:color w:val="000000"/>
          <w:lang w:eastAsia="bg-BG"/>
        </w:rPr>
      </w:pPr>
    </w:p>
    <w:p w14:paraId="267CE9D2" w14:textId="2CB33D11"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Тикагрелор</w:t>
      </w:r>
    </w:p>
    <w:p w14:paraId="2122E752"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Едновременното приложение на тикагрелор със симвастатин води до повишаване на Стах и </w:t>
      </w:r>
      <w:r w:rsidRPr="00A970DD">
        <w:rPr>
          <w:rFonts w:eastAsia="Times New Roman" w:cs="Arial"/>
          <w:color w:val="000000"/>
          <w:lang w:val="en-US"/>
        </w:rPr>
        <w:t xml:space="preserve">AUC </w:t>
      </w:r>
      <w:r w:rsidRPr="00A970DD">
        <w:rPr>
          <w:rFonts w:eastAsia="Times New Roman" w:cs="Arial"/>
          <w:color w:val="000000"/>
          <w:lang w:eastAsia="bg-BG"/>
        </w:rPr>
        <w:t>на симвастатин съответно с 81 % и 56%, както и на повишаване на С</w:t>
      </w:r>
      <w:r w:rsidRPr="00A970DD">
        <w:rPr>
          <w:rFonts w:eastAsia="Times New Roman" w:cs="Arial"/>
          <w:color w:val="000000"/>
          <w:lang w:val="en-US"/>
        </w:rPr>
        <w:t>max</w:t>
      </w:r>
      <w:r w:rsidRPr="00A970DD">
        <w:rPr>
          <w:rFonts w:eastAsia="Times New Roman" w:cs="Arial"/>
          <w:color w:val="000000"/>
          <w:lang w:eastAsia="bg-BG"/>
        </w:rPr>
        <w:t xml:space="preserve"> и </w:t>
      </w:r>
      <w:r w:rsidRPr="00A970DD">
        <w:rPr>
          <w:rFonts w:eastAsia="Times New Roman" w:cs="Arial"/>
          <w:color w:val="000000"/>
          <w:lang w:val="en-US"/>
        </w:rPr>
        <w:t xml:space="preserve">AUC </w:t>
      </w:r>
      <w:r w:rsidRPr="00A970DD">
        <w:rPr>
          <w:rFonts w:eastAsia="Times New Roman" w:cs="Arial"/>
          <w:color w:val="000000"/>
          <w:lang w:eastAsia="bg-BG"/>
        </w:rPr>
        <w:t xml:space="preserve">на симвастатиновата киселина съответно с 64% и 52%, като в отделни случаи се достига 2- до 3- кратно в повишаване. Едновременното приложение на тикагрелор и симвастатин в доза, надвишаваща 40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може да доведе до нежелани реакции на симвастатин и трябва да се прецени спрямо потенциалните ползи. Симвастатин не оказва влияние върху плазмените концентрации на тикагрелор. Тикагрелор може да </w:t>
      </w:r>
      <w:r w:rsidRPr="00A970DD">
        <w:rPr>
          <w:rFonts w:eastAsia="Times New Roman" w:cs="Arial"/>
          <w:color w:val="000000"/>
          <w:lang w:eastAsia="bg-BG"/>
        </w:rPr>
        <w:lastRenderedPageBreak/>
        <w:t xml:space="preserve">оказва сходен ефект върху ловастатин. Не се препоръчва едновременната употреба на тикагрелор със симвастатин или ловастатин в дози, надвишаващи 40 </w:t>
      </w:r>
      <w:r w:rsidRPr="00A970DD">
        <w:rPr>
          <w:rFonts w:eastAsia="Times New Roman" w:cs="Arial"/>
          <w:color w:val="000000"/>
          <w:lang w:val="en-US"/>
        </w:rPr>
        <w:t>mg.</w:t>
      </w:r>
    </w:p>
    <w:p w14:paraId="3CF88A09" w14:textId="77777777" w:rsidR="00A970DD" w:rsidRPr="00A970DD" w:rsidRDefault="00A970DD" w:rsidP="00A970DD">
      <w:pPr>
        <w:spacing w:line="240" w:lineRule="auto"/>
        <w:rPr>
          <w:rFonts w:eastAsia="Times New Roman" w:cs="Arial"/>
          <w:i/>
          <w:iCs/>
          <w:color w:val="000000"/>
          <w:lang w:eastAsia="bg-BG"/>
        </w:rPr>
      </w:pPr>
    </w:p>
    <w:p w14:paraId="5310F9F2" w14:textId="27066FB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 xml:space="preserve">Умерени инхибитори на </w:t>
      </w:r>
      <w:r w:rsidRPr="00A970DD">
        <w:rPr>
          <w:rFonts w:eastAsia="Times New Roman" w:cs="Arial"/>
          <w:i/>
          <w:iCs/>
          <w:color w:val="000000"/>
          <w:lang w:val="en-US"/>
        </w:rPr>
        <w:t>CYP3A4</w:t>
      </w:r>
    </w:p>
    <w:p w14:paraId="4D51ABDB"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Пациентите, приемащи други лекарства, имащи умерено инхибиращ ефект върху </w:t>
      </w:r>
      <w:r w:rsidRPr="00A970DD">
        <w:rPr>
          <w:rFonts w:eastAsia="Times New Roman" w:cs="Arial"/>
          <w:color w:val="000000"/>
          <w:lang w:val="en-US"/>
        </w:rPr>
        <w:t xml:space="preserve">CYP3A4 </w:t>
      </w:r>
      <w:r w:rsidRPr="00A970DD">
        <w:rPr>
          <w:rFonts w:eastAsia="Times New Roman" w:cs="Arial"/>
          <w:color w:val="000000"/>
          <w:lang w:eastAsia="bg-BG"/>
        </w:rPr>
        <w:t>едновременно със симвастатин, по-специално по-високи дози симвастатин, може да имат повишен риск от развитие на миопатия. (вж. точка 4.4).</w:t>
      </w:r>
    </w:p>
    <w:p w14:paraId="5C48168F" w14:textId="77777777" w:rsidR="00A970DD" w:rsidRPr="00A970DD" w:rsidRDefault="00A970DD" w:rsidP="00A970DD">
      <w:pPr>
        <w:spacing w:line="240" w:lineRule="auto"/>
        <w:rPr>
          <w:rFonts w:eastAsia="Times New Roman" w:cs="Arial"/>
          <w:i/>
          <w:iCs/>
          <w:color w:val="000000"/>
          <w:lang w:eastAsia="bg-BG"/>
        </w:rPr>
      </w:pPr>
    </w:p>
    <w:p w14:paraId="513ABC76" w14:textId="25D44AD8"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Инхибитори на транспортния протеин ОАТР1В1</w:t>
      </w:r>
    </w:p>
    <w:p w14:paraId="555CD4C8"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Симвастатиновата киселина е субстрат на транспортния протеин ОАТР1В1. Едновременното приложение на лекарствени продукти, които за инхибитори на транспортния протеин ОАТР1В1, може да доведе до повишаване на плазмените концентрации на симвастатинова киселина и повишен риск от миопатия (вж. точки 4.3 и 4.4).</w:t>
      </w:r>
    </w:p>
    <w:p w14:paraId="280DD95F" w14:textId="77777777" w:rsidR="00A970DD" w:rsidRPr="00A970DD" w:rsidRDefault="00A970DD" w:rsidP="00A970DD">
      <w:pPr>
        <w:spacing w:line="240" w:lineRule="auto"/>
        <w:rPr>
          <w:rFonts w:eastAsia="Times New Roman" w:cs="Arial"/>
          <w:i/>
          <w:iCs/>
          <w:color w:val="000000"/>
          <w:lang w:eastAsia="bg-BG"/>
        </w:rPr>
      </w:pPr>
    </w:p>
    <w:p w14:paraId="655BD54B" w14:textId="549660D6"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 xml:space="preserve">Инхибитори на протеина на резистентност на рака на гърдата </w:t>
      </w:r>
      <w:r w:rsidRPr="00A970DD">
        <w:rPr>
          <w:rFonts w:eastAsia="Times New Roman" w:cs="Arial"/>
          <w:i/>
          <w:iCs/>
          <w:color w:val="000000"/>
          <w:lang w:val="en-US"/>
        </w:rPr>
        <w:t xml:space="preserve">(BCRP) </w:t>
      </w:r>
      <w:r w:rsidRPr="00A970DD">
        <w:rPr>
          <w:rFonts w:eastAsia="Times New Roman" w:cs="Arial"/>
          <w:color w:val="000000"/>
          <w:lang w:eastAsia="bg-BG"/>
        </w:rPr>
        <w:t xml:space="preserve">Едновременното приложение на лекарствени продукти, които са инхибитори на </w:t>
      </w:r>
      <w:r w:rsidRPr="00A970DD">
        <w:rPr>
          <w:rFonts w:eastAsia="Times New Roman" w:cs="Arial"/>
          <w:color w:val="000000"/>
          <w:lang w:val="en-US"/>
        </w:rPr>
        <w:t xml:space="preserve">BCRP, </w:t>
      </w:r>
      <w:r w:rsidRPr="00A970DD">
        <w:rPr>
          <w:rFonts w:eastAsia="Times New Roman" w:cs="Arial"/>
          <w:color w:val="000000"/>
          <w:lang w:eastAsia="bg-BG"/>
        </w:rPr>
        <w:t>включително продукти съдържащи елбасвир или гразопревир може да доведе до повишени плазмени концентрации на симвастатин и повишен риск от миопатия (вж. точки 4.2 и 4.4).</w:t>
      </w:r>
    </w:p>
    <w:p w14:paraId="07BD81BF" w14:textId="77777777" w:rsidR="00A970DD" w:rsidRPr="00A970DD" w:rsidRDefault="00A970DD" w:rsidP="00A970DD">
      <w:pPr>
        <w:spacing w:line="240" w:lineRule="auto"/>
        <w:rPr>
          <w:rFonts w:eastAsia="Times New Roman" w:cs="Arial"/>
          <w:i/>
          <w:iCs/>
          <w:color w:val="000000"/>
          <w:lang w:eastAsia="bg-BG"/>
        </w:rPr>
      </w:pPr>
    </w:p>
    <w:p w14:paraId="0F1299E2" w14:textId="3658CD01"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Ниацин (никотинова киселина)</w:t>
      </w:r>
    </w:p>
    <w:p w14:paraId="57A61B56"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Редки случаи на миопатия/рабдомиолиза са свързани с едновременно приложение на симвастатин с липид-модифициращи дози (≥1 </w:t>
      </w:r>
      <w:r w:rsidRPr="00A970DD">
        <w:rPr>
          <w:rFonts w:eastAsia="Times New Roman" w:cs="Arial"/>
          <w:color w:val="000000"/>
          <w:lang w:val="en-US"/>
        </w:rPr>
        <w:t xml:space="preserve">g </w:t>
      </w:r>
      <w:r w:rsidRPr="00A970DD">
        <w:rPr>
          <w:rFonts w:eastAsia="Times New Roman" w:cs="Arial"/>
          <w:color w:val="000000"/>
          <w:lang w:eastAsia="bg-BG"/>
        </w:rPr>
        <w:t xml:space="preserve">/ ден) ниацин (никотинова киселина). Във фармакокинетично проучване, едновременното прилагане на еднократна доза от никотинова киселина с удължено освобождаване два грама със симвастатин 20 </w:t>
      </w:r>
      <w:r w:rsidRPr="00A970DD">
        <w:rPr>
          <w:rFonts w:eastAsia="Times New Roman" w:cs="Arial"/>
          <w:color w:val="000000"/>
          <w:lang w:val="en-US"/>
        </w:rPr>
        <w:t xml:space="preserve">g </w:t>
      </w:r>
      <w:r w:rsidRPr="00A970DD">
        <w:rPr>
          <w:rFonts w:eastAsia="Times New Roman" w:cs="Arial"/>
          <w:color w:val="000000"/>
          <w:lang w:eastAsia="bg-BG"/>
        </w:rPr>
        <w:t xml:space="preserve">води до слабо повишение на </w:t>
      </w:r>
      <w:r w:rsidRPr="00A970DD">
        <w:rPr>
          <w:rFonts w:eastAsia="Times New Roman" w:cs="Arial"/>
          <w:color w:val="000000"/>
          <w:lang w:val="en-US"/>
        </w:rPr>
        <w:t xml:space="preserve">AUC </w:t>
      </w:r>
      <w:r w:rsidRPr="00A970DD">
        <w:rPr>
          <w:rFonts w:eastAsia="Times New Roman" w:cs="Arial"/>
          <w:color w:val="000000"/>
          <w:lang w:eastAsia="bg-BG"/>
        </w:rPr>
        <w:t>на симвастатин и на симвастатинова киселина и на С</w:t>
      </w:r>
      <w:r w:rsidRPr="00A970DD">
        <w:rPr>
          <w:rFonts w:eastAsia="Times New Roman" w:cs="Arial"/>
          <w:color w:val="000000"/>
          <w:vertAlign w:val="subscript"/>
          <w:lang w:val="en-US"/>
        </w:rPr>
        <w:t>max</w:t>
      </w:r>
      <w:r w:rsidRPr="00A970DD">
        <w:rPr>
          <w:rFonts w:eastAsia="Times New Roman" w:cs="Arial"/>
          <w:color w:val="000000"/>
          <w:lang w:eastAsia="bg-BG"/>
        </w:rPr>
        <w:t xml:space="preserve"> на плазмените концентрациии на симвастатинова киселина.</w:t>
      </w:r>
    </w:p>
    <w:p w14:paraId="593B423D" w14:textId="77777777" w:rsidR="00A970DD" w:rsidRPr="00A970DD" w:rsidRDefault="00A970DD" w:rsidP="00A970DD">
      <w:pPr>
        <w:spacing w:line="240" w:lineRule="auto"/>
        <w:rPr>
          <w:rFonts w:eastAsia="Times New Roman" w:cs="Arial"/>
          <w:i/>
          <w:iCs/>
          <w:color w:val="000000"/>
          <w:lang w:eastAsia="bg-BG"/>
        </w:rPr>
      </w:pPr>
    </w:p>
    <w:p w14:paraId="1A73A0D7" w14:textId="0C2742D3"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Сок от грейпфрут</w:t>
      </w:r>
    </w:p>
    <w:p w14:paraId="60EE0F7A"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Сокът от грейпфрут инхибира цитохром Р450 ЗА4. Едновременният прием на големи количества (над 1 литър дневно) сок от грейпфрут води до 7-кратно увеличение на експозицията на симвастатинова киселина. Прием от 240 </w:t>
      </w:r>
      <w:r w:rsidRPr="00A970DD">
        <w:rPr>
          <w:rFonts w:eastAsia="Times New Roman" w:cs="Arial"/>
          <w:color w:val="000000"/>
          <w:lang w:val="en-US"/>
        </w:rPr>
        <w:t xml:space="preserve">ml </w:t>
      </w:r>
      <w:r w:rsidRPr="00A970DD">
        <w:rPr>
          <w:rFonts w:eastAsia="Times New Roman" w:cs="Arial"/>
          <w:color w:val="000000"/>
          <w:lang w:eastAsia="bg-BG"/>
        </w:rPr>
        <w:t>сок от грейпфрут сутрин и симвастатин вечер, също е довел до увеличение от 1,9 пъти. Поради това консумирането на сок от грейпфрут по време на лечение със симвастатин трябва да се избягва.</w:t>
      </w:r>
    </w:p>
    <w:p w14:paraId="41E81637" w14:textId="77777777" w:rsidR="00A970DD" w:rsidRPr="00A970DD" w:rsidRDefault="00A970DD" w:rsidP="00A970DD">
      <w:pPr>
        <w:spacing w:line="240" w:lineRule="auto"/>
        <w:rPr>
          <w:rFonts w:eastAsia="Times New Roman" w:cs="Arial"/>
          <w:i/>
          <w:iCs/>
          <w:color w:val="000000"/>
          <w:lang w:eastAsia="bg-BG"/>
        </w:rPr>
      </w:pPr>
    </w:p>
    <w:p w14:paraId="27D49E14" w14:textId="5168F0BB"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Колхицин</w:t>
      </w:r>
    </w:p>
    <w:p w14:paraId="22C1282E"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Има съобщения за миопатия и рабдомиолиза при едновременно приложение на колхицин със симвастатин при пациенти с бъбречна недостатъчност. Препоръчително е внимателно клинично проследяване на такива пациенти, приемащи тази комбинация.</w:t>
      </w:r>
    </w:p>
    <w:p w14:paraId="170FAFEF" w14:textId="77777777" w:rsidR="00A970DD" w:rsidRPr="00A970DD" w:rsidRDefault="00A970DD" w:rsidP="00A970DD">
      <w:pPr>
        <w:spacing w:line="240" w:lineRule="auto"/>
        <w:rPr>
          <w:rFonts w:eastAsia="Times New Roman" w:cs="Arial"/>
          <w:i/>
          <w:iCs/>
          <w:color w:val="000000"/>
          <w:lang w:eastAsia="bg-BG"/>
        </w:rPr>
      </w:pPr>
    </w:p>
    <w:p w14:paraId="672F280D" w14:textId="7FA9257A"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Дапомицин</w:t>
      </w:r>
    </w:p>
    <w:p w14:paraId="17207588"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и/или рабдомиолиза може да бъде повишен при едновременно прилагане на </w:t>
      </w:r>
      <w:r w:rsidRPr="00A970DD">
        <w:rPr>
          <w:rFonts w:eastAsia="Times New Roman" w:cs="Arial"/>
          <w:color w:val="000000"/>
          <w:lang w:val="en-US"/>
        </w:rPr>
        <w:t xml:space="preserve">HMG-CoA </w:t>
      </w:r>
      <w:r w:rsidRPr="00A970DD">
        <w:rPr>
          <w:rFonts w:eastAsia="Times New Roman" w:cs="Arial"/>
          <w:color w:val="000000"/>
          <w:lang w:eastAsia="bg-BG"/>
        </w:rPr>
        <w:t>редуктазни инхибитори (напр. симвастатин) и дапомицин (вж.точа 4.4).</w:t>
      </w:r>
    </w:p>
    <w:p w14:paraId="72ED12F3" w14:textId="77777777" w:rsidR="00A970DD" w:rsidRPr="00A970DD" w:rsidRDefault="00A970DD" w:rsidP="00A970DD">
      <w:pPr>
        <w:spacing w:line="240" w:lineRule="auto"/>
        <w:rPr>
          <w:rFonts w:eastAsia="Times New Roman" w:cs="Arial"/>
          <w:i/>
          <w:iCs/>
          <w:color w:val="000000"/>
          <w:lang w:eastAsia="bg-BG"/>
        </w:rPr>
      </w:pPr>
    </w:p>
    <w:p w14:paraId="5349B115" w14:textId="4FDD2BFB"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Рифампицин</w:t>
      </w:r>
    </w:p>
    <w:p w14:paraId="3BEC5602"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Тъй като рифампицин е мощен </w:t>
      </w:r>
      <w:r w:rsidRPr="00A970DD">
        <w:rPr>
          <w:rFonts w:eastAsia="Times New Roman" w:cs="Arial"/>
          <w:color w:val="000000"/>
          <w:lang w:val="en-US"/>
        </w:rPr>
        <w:t>CYP3</w:t>
      </w:r>
      <w:r w:rsidRPr="00A970DD">
        <w:rPr>
          <w:rFonts w:eastAsia="Times New Roman" w:cs="Arial"/>
          <w:color w:val="000000"/>
          <w:lang w:eastAsia="bg-BG"/>
        </w:rPr>
        <w:t xml:space="preserve">А4 индуктор, пациентите, подложени на дългосрочна терапия с рифампицин (напр. лечение на туберкулоза) могат да развият загуба на ефикасност на симвастатин. Във фармакокинетично проучване при нормални </w:t>
      </w:r>
      <w:r w:rsidRPr="00A970DD">
        <w:rPr>
          <w:rFonts w:eastAsia="Times New Roman" w:cs="Arial"/>
          <w:color w:val="000000"/>
          <w:lang w:eastAsia="bg-BG"/>
        </w:rPr>
        <w:lastRenderedPageBreak/>
        <w:t xml:space="preserve">доброволци, площта под кривата на плазмената концентрация </w:t>
      </w:r>
      <w:r w:rsidRPr="00A970DD">
        <w:rPr>
          <w:rFonts w:eastAsia="Times New Roman" w:cs="Arial"/>
          <w:color w:val="000000"/>
          <w:lang w:val="en-US"/>
        </w:rPr>
        <w:t xml:space="preserve">(AUC) </w:t>
      </w:r>
      <w:r w:rsidRPr="00A970DD">
        <w:rPr>
          <w:rFonts w:eastAsia="Times New Roman" w:cs="Arial"/>
          <w:color w:val="000000"/>
          <w:lang w:eastAsia="bg-BG"/>
        </w:rPr>
        <w:t>на симвастатинова киселина се понижава с 93% при съпътстващо приложение с рифампицин.</w:t>
      </w:r>
    </w:p>
    <w:p w14:paraId="2DCC3B3E" w14:textId="77777777" w:rsidR="00A970DD" w:rsidRPr="00A970DD" w:rsidRDefault="00A970DD" w:rsidP="00A970DD">
      <w:pPr>
        <w:spacing w:line="240" w:lineRule="auto"/>
        <w:rPr>
          <w:rFonts w:eastAsia="Times New Roman" w:cs="Arial"/>
          <w:i/>
          <w:iCs/>
          <w:color w:val="000000"/>
          <w:lang w:eastAsia="bg-BG"/>
        </w:rPr>
      </w:pPr>
    </w:p>
    <w:p w14:paraId="74AC5474" w14:textId="02FC8D7A"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 xml:space="preserve">Ефекти на симвастатин върху фармакокинетиката на другите лекарствени продукти </w:t>
      </w:r>
      <w:r w:rsidRPr="00A970DD">
        <w:rPr>
          <w:rFonts w:eastAsia="Times New Roman" w:cs="Arial"/>
          <w:color w:val="000000"/>
          <w:lang w:eastAsia="bg-BG"/>
        </w:rPr>
        <w:t>Симвастатин не инхибира цитохром Р450 ЗА4. Поради това не се очаква симвастатин да повлияе плазмените концентрации на вещества, метаболизиращи се от цитохром Р450 ЗА4.</w:t>
      </w:r>
    </w:p>
    <w:p w14:paraId="7A0046A4" w14:textId="77777777" w:rsidR="00A970DD" w:rsidRPr="00A970DD" w:rsidRDefault="00A970DD" w:rsidP="00A970DD">
      <w:pPr>
        <w:spacing w:line="240" w:lineRule="auto"/>
        <w:rPr>
          <w:rFonts w:eastAsia="Times New Roman" w:cs="Arial"/>
          <w:i/>
          <w:iCs/>
          <w:color w:val="000000"/>
          <w:lang w:eastAsia="bg-BG"/>
        </w:rPr>
      </w:pPr>
    </w:p>
    <w:p w14:paraId="1230DC28" w14:textId="0F097CAA"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Перорални антикоагуланти</w:t>
      </w:r>
    </w:p>
    <w:p w14:paraId="0CA27610" w14:textId="777AA14D"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При две клинични изпитвания, едно върху здрави доброволци и друго при пациенти с хиперхолестеролемия, симвастатин 20-40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умерено е потенцирал ефекта на кумариновите антикоагуланти: протромбиновото време, изразено като </w:t>
      </w:r>
      <w:r w:rsidRPr="00A970DD">
        <w:rPr>
          <w:rFonts w:eastAsia="Times New Roman" w:cs="Arial"/>
          <w:color w:val="000000"/>
          <w:lang w:val="en-US"/>
        </w:rPr>
        <w:t xml:space="preserve">International Normalized Ratio (INR), </w:t>
      </w:r>
      <w:r w:rsidRPr="00A970DD">
        <w:rPr>
          <w:rFonts w:eastAsia="Times New Roman" w:cs="Arial"/>
          <w:color w:val="000000"/>
          <w:lang w:eastAsia="bg-BG"/>
        </w:rPr>
        <w:t xml:space="preserve">се е увеличило в сравнение с изходното ниво от 1,7 до 1,8 и от 2,6 до 3,4 съответно в проучването върху здрави доброволци и пациенти. Много рядко се съобщават случаи на повишен </w:t>
      </w:r>
      <w:r w:rsidRPr="00A970DD">
        <w:rPr>
          <w:rFonts w:eastAsia="Times New Roman" w:cs="Arial"/>
          <w:color w:val="000000"/>
          <w:lang w:val="en-US"/>
        </w:rPr>
        <w:t xml:space="preserve">INR. </w:t>
      </w:r>
      <w:r w:rsidRPr="00A970DD">
        <w:rPr>
          <w:rFonts w:eastAsia="Times New Roman" w:cs="Arial"/>
          <w:color w:val="000000"/>
          <w:lang w:eastAsia="bg-BG"/>
        </w:rPr>
        <w:t>При пациенти, лекувани с кумаринови антикоагуланти, протромбиновото време трябва да се определя преди началото на лечение със симвастатин и достатъчно често по време на ранната терапия, за да може лекарят да е сигурен, че няма значителни промени в него. След като веднъж се постигне стабилно протромбиново време, то може да се мониторира на обичайните интервали, препоръчвани при пациенти, лекувани с кумаринови антикоагуланти. При промяна на дозата на симвастатин или преустановяване на лечението трябва да се повтори същата процедура. Лечението със симвастатин при пациенти, които не се лекуват с антикоагуланти, не е било свързано с кървене или промени в протромбиновото време.</w:t>
      </w:r>
    </w:p>
    <w:p w14:paraId="6E7CBE8F" w14:textId="77777777" w:rsidR="00B8116F" w:rsidRPr="00B8116F" w:rsidRDefault="00B8116F" w:rsidP="00B8116F"/>
    <w:p w14:paraId="15A75A66" w14:textId="1ED7B641" w:rsidR="00A71DCF" w:rsidRDefault="002C50EE" w:rsidP="00A93499">
      <w:pPr>
        <w:pStyle w:val="Heading2"/>
      </w:pPr>
      <w:r>
        <w:t>4.6. Фертилитет, бременност и кърмене</w:t>
      </w:r>
    </w:p>
    <w:p w14:paraId="54778FEA" w14:textId="09D8E3FF" w:rsidR="00A970DD" w:rsidRDefault="00A970DD" w:rsidP="00A970DD"/>
    <w:p w14:paraId="0B78CD4D" w14:textId="77777777" w:rsidR="00A970DD" w:rsidRPr="00A970DD" w:rsidRDefault="00A970DD" w:rsidP="00A970DD">
      <w:pPr>
        <w:pStyle w:val="Heading3"/>
        <w:rPr>
          <w:rFonts w:eastAsia="Times New Roman"/>
          <w:i/>
          <w:iCs/>
          <w:sz w:val="28"/>
          <w:szCs w:val="28"/>
          <w:lang w:eastAsia="bg-BG"/>
        </w:rPr>
      </w:pPr>
      <w:r w:rsidRPr="00A970DD">
        <w:rPr>
          <w:rFonts w:eastAsia="Times New Roman"/>
          <w:i/>
          <w:iCs/>
          <w:lang w:eastAsia="bg-BG"/>
        </w:rPr>
        <w:t>Бременност</w:t>
      </w:r>
    </w:p>
    <w:p w14:paraId="314DFD8A" w14:textId="77777777" w:rsidR="00A970DD" w:rsidRPr="00A970DD" w:rsidRDefault="00A970DD" w:rsidP="00A970DD">
      <w:pPr>
        <w:spacing w:line="240" w:lineRule="auto"/>
        <w:rPr>
          <w:rFonts w:eastAsia="Times New Roman" w:cs="Arial"/>
          <w:color w:val="000000"/>
          <w:lang w:eastAsia="bg-BG"/>
        </w:rPr>
      </w:pPr>
    </w:p>
    <w:p w14:paraId="3468B4BA" w14:textId="5107BF98"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Симвастатин е противопоказан по време на бременност (вж. точка 4.3).</w:t>
      </w:r>
    </w:p>
    <w:p w14:paraId="7D57D329" w14:textId="77777777" w:rsidR="00A970DD" w:rsidRPr="00A970DD" w:rsidRDefault="00A970DD" w:rsidP="00A970DD">
      <w:pPr>
        <w:spacing w:line="240" w:lineRule="auto"/>
        <w:rPr>
          <w:rFonts w:eastAsia="Times New Roman" w:cs="Arial"/>
          <w:color w:val="000000"/>
          <w:lang w:eastAsia="bg-BG"/>
        </w:rPr>
      </w:pPr>
    </w:p>
    <w:p w14:paraId="2FEA19ED" w14:textId="18047060"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Безопасността при бременни жени не е установена. Не са провеждани контролирани клинични изпитвания със симвастатин върху бременни жени. Получени са редки съобщения за вродени малформации след интраутеринна експозиция на инхибитори на </w:t>
      </w:r>
      <w:r w:rsidRPr="00A970DD">
        <w:rPr>
          <w:rFonts w:eastAsia="Times New Roman" w:cs="Arial"/>
          <w:color w:val="000000"/>
          <w:lang w:val="en-US"/>
        </w:rPr>
        <w:t xml:space="preserve">HMG-CoA </w:t>
      </w:r>
      <w:r w:rsidRPr="00A970DD">
        <w:rPr>
          <w:rFonts w:eastAsia="Times New Roman" w:cs="Arial"/>
          <w:color w:val="000000"/>
          <w:lang w:eastAsia="bg-BG"/>
        </w:rPr>
        <w:t xml:space="preserve">редуктазата. При анализ на приблизително 200 проспективно проследени бременности обаче, експонирани по време на първото тримесечие на симвастатин или друг сроден инхибитор на </w:t>
      </w:r>
      <w:r w:rsidRPr="00A970DD">
        <w:rPr>
          <w:rFonts w:eastAsia="Times New Roman" w:cs="Arial"/>
          <w:color w:val="000000"/>
          <w:lang w:val="en-US"/>
        </w:rPr>
        <w:t xml:space="preserve">HMG-CoA </w:t>
      </w:r>
      <w:r w:rsidRPr="00A970DD">
        <w:rPr>
          <w:rFonts w:eastAsia="Times New Roman" w:cs="Arial"/>
          <w:color w:val="000000"/>
          <w:lang w:eastAsia="bg-BG"/>
        </w:rPr>
        <w:t>редуктазата, честотата на вродените малформации е била сравнима с тази, наблюдавана в общата популация. Този брой бременности е бил статистически достатъчен за изключване на увеличение на вродените аномалии 2,5 пъти или повече над изходната честота.</w:t>
      </w:r>
    </w:p>
    <w:p w14:paraId="755E76EA" w14:textId="77777777" w:rsidR="00A970DD" w:rsidRPr="00A970DD" w:rsidRDefault="00A970DD" w:rsidP="00A970DD">
      <w:pPr>
        <w:spacing w:line="240" w:lineRule="auto"/>
        <w:rPr>
          <w:rFonts w:eastAsia="Times New Roman" w:cs="Arial"/>
          <w:color w:val="000000"/>
          <w:lang w:eastAsia="bg-BG"/>
        </w:rPr>
      </w:pPr>
    </w:p>
    <w:p w14:paraId="42F16CD5" w14:textId="2D4CC641"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Въпреки, че няма данни за разлики в честотата на вродените малформации в потомството на пациенти, лекувани със симвастатин или друг сроден инхибитор на </w:t>
      </w:r>
      <w:r w:rsidRPr="00A970DD">
        <w:rPr>
          <w:rFonts w:eastAsia="Times New Roman" w:cs="Arial"/>
          <w:color w:val="000000"/>
          <w:lang w:val="en-US"/>
        </w:rPr>
        <w:t xml:space="preserve">HMG-CoA </w:t>
      </w:r>
      <w:r w:rsidRPr="00A970DD">
        <w:rPr>
          <w:rFonts w:eastAsia="Times New Roman" w:cs="Arial"/>
          <w:color w:val="000000"/>
          <w:lang w:eastAsia="bg-BG"/>
        </w:rPr>
        <w:t xml:space="preserve">редуктазата, в сравнение с честотата, наблюдавана в общата популация, лечението на майката със симвастатин може да намали феталните нива на мевалонат, който е прекурсор на холестероловата биосинтеза. Атеросклерозата е хроничен процес и обикновено преустановяването на липидопонижаващите лекарствени продукти по време на бременност би трябвало да има малко значение за късния риск, свързан с първична хиперхолестеролемия. Поради тези причини симвастатин не трябва да се прилага при жени, които са бременни, опитват се да забременеят или подозират, че са бременни. </w:t>
      </w:r>
      <w:r w:rsidRPr="00A970DD">
        <w:rPr>
          <w:rFonts w:eastAsia="Times New Roman" w:cs="Arial"/>
          <w:color w:val="000000"/>
          <w:lang w:eastAsia="bg-BG"/>
        </w:rPr>
        <w:lastRenderedPageBreak/>
        <w:t>Лечението със симвастатин трябва да се преустанови по време на бременността или докато се определи, че жената не е бременна (вж. точки 4.3 и 5.3).</w:t>
      </w:r>
    </w:p>
    <w:p w14:paraId="09C1BA2B" w14:textId="77777777" w:rsidR="00A970DD" w:rsidRPr="00A970DD" w:rsidRDefault="00A970DD" w:rsidP="00A970DD">
      <w:pPr>
        <w:spacing w:line="240" w:lineRule="auto"/>
        <w:rPr>
          <w:rFonts w:eastAsia="Times New Roman" w:cs="Arial"/>
          <w:i/>
          <w:iCs/>
          <w:color w:val="000000"/>
          <w:lang w:eastAsia="bg-BG"/>
        </w:rPr>
      </w:pPr>
    </w:p>
    <w:p w14:paraId="42E8ED66" w14:textId="4404DDE7" w:rsidR="00A970DD" w:rsidRPr="00A970DD" w:rsidRDefault="00A970DD" w:rsidP="00A970DD">
      <w:pPr>
        <w:pStyle w:val="Heading3"/>
        <w:rPr>
          <w:rFonts w:eastAsia="Times New Roman"/>
          <w:i/>
          <w:iCs/>
          <w:sz w:val="28"/>
          <w:szCs w:val="28"/>
          <w:lang w:eastAsia="bg-BG"/>
        </w:rPr>
      </w:pPr>
      <w:r w:rsidRPr="00A970DD">
        <w:rPr>
          <w:rFonts w:eastAsia="Times New Roman"/>
          <w:i/>
          <w:iCs/>
          <w:lang w:eastAsia="bg-BG"/>
        </w:rPr>
        <w:t>Кърмене</w:t>
      </w:r>
    </w:p>
    <w:p w14:paraId="7CE84542"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Не е известно дали симвастатин или неговите метаболити се екскретират в кърмата при човека.</w:t>
      </w:r>
    </w:p>
    <w:p w14:paraId="478BEB01" w14:textId="77777777" w:rsidR="00A970DD" w:rsidRPr="00A970DD" w:rsidRDefault="00A970DD" w:rsidP="00A970DD">
      <w:pPr>
        <w:rPr>
          <w:rFonts w:eastAsia="Times New Roman" w:cs="Arial"/>
          <w:sz w:val="28"/>
          <w:szCs w:val="28"/>
          <w:lang w:eastAsia="bg-BG"/>
        </w:rPr>
      </w:pPr>
      <w:r w:rsidRPr="00A970DD">
        <w:rPr>
          <w:rFonts w:eastAsia="Times New Roman" w:cs="Arial"/>
          <w:color w:val="000000"/>
          <w:lang w:eastAsia="bg-BG"/>
        </w:rPr>
        <w:t>Тъй като много лекарствени продукти се екскретират в човешката кърма и поради потенциално</w:t>
      </w:r>
      <w:r w:rsidRPr="00A970DD">
        <w:rPr>
          <w:rFonts w:eastAsia="Times New Roman" w:cs="Arial"/>
          <w:color w:val="000000"/>
          <w:lang w:eastAsia="bg-BG"/>
        </w:rPr>
        <w:t xml:space="preserve"> </w:t>
      </w:r>
      <w:r w:rsidRPr="00A970DD">
        <w:rPr>
          <w:rFonts w:eastAsia="Times New Roman" w:cs="Arial"/>
          <w:color w:val="000000"/>
          <w:lang w:eastAsia="bg-BG"/>
        </w:rPr>
        <w:t>сериозните нежелани реакции, жените, лекувани със симвастатин не трябва да кърмят бебетата си (вж. точка 4.3).</w:t>
      </w:r>
    </w:p>
    <w:p w14:paraId="1056E9B7" w14:textId="77777777" w:rsidR="00A970DD" w:rsidRPr="00A970DD" w:rsidRDefault="00A970DD" w:rsidP="00A970DD">
      <w:pPr>
        <w:spacing w:line="240" w:lineRule="auto"/>
        <w:rPr>
          <w:rFonts w:eastAsia="Times New Roman" w:cs="Arial"/>
          <w:i/>
          <w:iCs/>
          <w:color w:val="000000"/>
          <w:lang w:eastAsia="bg-BG"/>
        </w:rPr>
      </w:pPr>
    </w:p>
    <w:p w14:paraId="5DC34DF8" w14:textId="6E2158C2" w:rsidR="00A970DD" w:rsidRPr="00A970DD" w:rsidRDefault="00A970DD" w:rsidP="00A970DD">
      <w:pPr>
        <w:pStyle w:val="Heading3"/>
        <w:rPr>
          <w:rFonts w:eastAsia="Times New Roman"/>
          <w:i/>
          <w:iCs/>
          <w:sz w:val="28"/>
          <w:szCs w:val="28"/>
          <w:lang w:eastAsia="bg-BG"/>
        </w:rPr>
      </w:pPr>
      <w:r w:rsidRPr="00A970DD">
        <w:rPr>
          <w:rFonts w:eastAsia="Times New Roman"/>
          <w:i/>
          <w:iCs/>
          <w:lang w:eastAsia="bg-BG"/>
        </w:rPr>
        <w:t>Фертилитет</w:t>
      </w:r>
    </w:p>
    <w:p w14:paraId="60AF54E6" w14:textId="7150BFDC" w:rsidR="00A970DD" w:rsidRPr="00A970DD" w:rsidRDefault="00A970DD" w:rsidP="00A970DD">
      <w:pPr>
        <w:rPr>
          <w:rFonts w:eastAsia="Times New Roman" w:cs="Arial"/>
          <w:color w:val="000000"/>
          <w:lang w:eastAsia="bg-BG"/>
        </w:rPr>
      </w:pPr>
      <w:r w:rsidRPr="00A970DD">
        <w:rPr>
          <w:rFonts w:eastAsia="Times New Roman" w:cs="Arial"/>
          <w:color w:val="000000"/>
          <w:lang w:eastAsia="bg-BG"/>
        </w:rPr>
        <w:t>Липсват клинични данни относно ефектите на симвастатин върху фертилитета при хора. Симвастатин не е имал ефект върху фертилитета при мъжки и женски плъхове (вж. точка 5.3).</w:t>
      </w:r>
    </w:p>
    <w:p w14:paraId="41DD4578" w14:textId="77777777" w:rsidR="00A970DD" w:rsidRPr="00A970DD" w:rsidRDefault="00A970DD" w:rsidP="00A970DD"/>
    <w:p w14:paraId="6201597D" w14:textId="07AC4E70" w:rsidR="00EE6C97" w:rsidRDefault="002C50EE" w:rsidP="00A93499">
      <w:pPr>
        <w:pStyle w:val="Heading2"/>
      </w:pPr>
      <w:r>
        <w:t>4.7. Ефекти върху способността за шофиране и работа с машини</w:t>
      </w:r>
    </w:p>
    <w:p w14:paraId="7849C8CB" w14:textId="41A91718" w:rsidR="00A970DD" w:rsidRDefault="00A970DD" w:rsidP="00A970DD"/>
    <w:p w14:paraId="0EE7DD99" w14:textId="13031144" w:rsidR="00A970DD" w:rsidRDefault="00A970DD" w:rsidP="00A970DD">
      <w:r>
        <w:t>Симвастатин не повлиява или има незначителен ефект върху способността за шофиране и работа с машини. Когато обаче се шофират моторни превозни средства или се работи с машини, трябва да се има предвид, че по време на постмаркетинговия опит в редки случаи се съобщава за замайване.</w:t>
      </w:r>
    </w:p>
    <w:p w14:paraId="77BA08A2" w14:textId="77777777" w:rsidR="00A970DD" w:rsidRPr="00A970DD" w:rsidRDefault="00A970DD" w:rsidP="00A970DD"/>
    <w:p w14:paraId="389A90F4" w14:textId="6B0E2919" w:rsidR="00BA5B74" w:rsidRDefault="002C50EE" w:rsidP="00A93499">
      <w:pPr>
        <w:pStyle w:val="Heading2"/>
      </w:pPr>
      <w:r>
        <w:t>4.8. Нежелани лекарствени реакции</w:t>
      </w:r>
    </w:p>
    <w:p w14:paraId="194B84D1" w14:textId="01330C96" w:rsidR="00A970DD" w:rsidRDefault="00A970DD" w:rsidP="00A970DD"/>
    <w:p w14:paraId="0EE76E83"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Честотата на следните нежелани лекарствени реакции, които са били съобщени по време на клинични изпитвания и / или след пускане на пазара, се категоризират на базата на оценка на тяхната честота в големи, дългосрочни, плацебо-контролирани клинични проучвания, включително и </w:t>
      </w:r>
      <w:r w:rsidRPr="00A970DD">
        <w:rPr>
          <w:rFonts w:eastAsia="Times New Roman" w:cs="Arial"/>
          <w:color w:val="000000"/>
          <w:lang w:val="en-US"/>
        </w:rPr>
        <w:t xml:space="preserve">HPS </w:t>
      </w:r>
      <w:r w:rsidRPr="00A970DD">
        <w:rPr>
          <w:rFonts w:eastAsia="Times New Roman" w:cs="Arial"/>
          <w:color w:val="000000"/>
          <w:lang w:eastAsia="bg-BG"/>
        </w:rPr>
        <w:t xml:space="preserve">и </w:t>
      </w:r>
      <w:r w:rsidRPr="00A970DD">
        <w:rPr>
          <w:rFonts w:eastAsia="Times New Roman" w:cs="Arial"/>
          <w:color w:val="000000"/>
          <w:lang w:val="en-US"/>
        </w:rPr>
        <w:t xml:space="preserve">4S </w:t>
      </w:r>
      <w:r w:rsidRPr="00A970DD">
        <w:rPr>
          <w:rFonts w:eastAsia="Times New Roman" w:cs="Arial"/>
          <w:color w:val="000000"/>
          <w:lang w:eastAsia="bg-BG"/>
        </w:rPr>
        <w:t xml:space="preserve">с 20 536 и 4444 пациенти съответно (вж. точки 5.1). При </w:t>
      </w:r>
      <w:r w:rsidRPr="00A970DD">
        <w:rPr>
          <w:rFonts w:eastAsia="Times New Roman" w:cs="Arial"/>
          <w:color w:val="000000"/>
          <w:lang w:val="en-US"/>
        </w:rPr>
        <w:t xml:space="preserve">HPS </w:t>
      </w:r>
      <w:r w:rsidRPr="00A970DD">
        <w:rPr>
          <w:rFonts w:eastAsia="Times New Roman" w:cs="Arial"/>
          <w:color w:val="000000"/>
          <w:lang w:eastAsia="bg-BG"/>
        </w:rPr>
        <w:t xml:space="preserve">са отбелязвани само сериозните нежелани събития, като миалгия, повишение на серумните трансаминази и КК. При </w:t>
      </w:r>
      <w:r w:rsidRPr="00A970DD">
        <w:rPr>
          <w:rFonts w:eastAsia="Times New Roman" w:cs="Arial"/>
          <w:color w:val="000000"/>
          <w:lang w:val="en-US"/>
        </w:rPr>
        <w:t xml:space="preserve">4S </w:t>
      </w:r>
      <w:r w:rsidRPr="00A970DD">
        <w:rPr>
          <w:rFonts w:eastAsia="Times New Roman" w:cs="Arial"/>
          <w:color w:val="000000"/>
          <w:lang w:eastAsia="bg-BG"/>
        </w:rPr>
        <w:t>са отбелязвани всички нежелани събития, изброени по-долу. Когато в тези клинични изпитвания честотата в групата със симвастатин е била по-малка или подобна на тази в групата с плацебо и е наблюдавана подобна честота на спонтанни съобщения с възможна причинно-следствена връзка, тези нежелани събития са категоризирани като “редки”.</w:t>
      </w:r>
    </w:p>
    <w:p w14:paraId="7D156E82" w14:textId="77777777" w:rsidR="00A970DD" w:rsidRPr="00A970DD" w:rsidRDefault="00A970DD" w:rsidP="00A970DD">
      <w:pPr>
        <w:spacing w:line="240" w:lineRule="auto"/>
        <w:rPr>
          <w:rFonts w:eastAsia="Times New Roman" w:cs="Arial"/>
          <w:color w:val="000000"/>
          <w:lang w:eastAsia="bg-BG"/>
        </w:rPr>
      </w:pPr>
    </w:p>
    <w:p w14:paraId="5F874AFD" w14:textId="06A82EBB"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При </w:t>
      </w:r>
      <w:r w:rsidRPr="00A970DD">
        <w:rPr>
          <w:rFonts w:eastAsia="Times New Roman" w:cs="Arial"/>
          <w:color w:val="000000"/>
          <w:lang w:val="en-US"/>
        </w:rPr>
        <w:t xml:space="preserve">HPS </w:t>
      </w:r>
      <w:r w:rsidRPr="00A970DD">
        <w:rPr>
          <w:rFonts w:eastAsia="Times New Roman" w:cs="Arial"/>
          <w:color w:val="000000"/>
          <w:lang w:eastAsia="bg-BG"/>
        </w:rPr>
        <w:t xml:space="preserve">(вж. точка 5.1), включващ 20 536 пациенти, лекувани с 40 </w:t>
      </w:r>
      <w:r w:rsidRPr="00A970DD">
        <w:rPr>
          <w:rFonts w:eastAsia="Times New Roman" w:cs="Arial"/>
          <w:color w:val="000000"/>
          <w:lang w:val="en-US"/>
        </w:rPr>
        <w:t xml:space="preserve">mg </w:t>
      </w:r>
      <w:r w:rsidRPr="00A970DD">
        <w:rPr>
          <w:rFonts w:eastAsia="Times New Roman" w:cs="Arial"/>
          <w:color w:val="000000"/>
          <w:lang w:eastAsia="bg-BG"/>
        </w:rPr>
        <w:t>симвастатин дневно (</w:t>
      </w:r>
      <w:r w:rsidRPr="00A970DD">
        <w:rPr>
          <w:rFonts w:eastAsia="Times New Roman" w:cs="Arial"/>
          <w:color w:val="000000"/>
          <w:lang w:val="en-US"/>
        </w:rPr>
        <w:t>n</w:t>
      </w:r>
      <w:r w:rsidRPr="00A970DD">
        <w:rPr>
          <w:rFonts w:eastAsia="Times New Roman" w:cs="Arial"/>
          <w:color w:val="000000"/>
          <w:lang w:eastAsia="bg-BG"/>
        </w:rPr>
        <w:t xml:space="preserve"> = 10 269) или плацебо (</w:t>
      </w:r>
      <w:r w:rsidRPr="00A970DD">
        <w:rPr>
          <w:rFonts w:eastAsia="Times New Roman" w:cs="Arial"/>
          <w:color w:val="000000"/>
          <w:lang w:val="en-US"/>
        </w:rPr>
        <w:t>n</w:t>
      </w:r>
      <w:r w:rsidRPr="00A970DD">
        <w:rPr>
          <w:rFonts w:eastAsia="Times New Roman" w:cs="Arial"/>
          <w:color w:val="000000"/>
          <w:lang w:eastAsia="bg-BG"/>
        </w:rPr>
        <w:t xml:space="preserve"> = 10 267), профилите на безопасност са били сравними между пациентите,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и болните с плацебо през средно 5-те години на изследване. Честотата на преустановяване поради нежелани реакции е била сравнима (4,8% при пациентите,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в сравнение с 5,1% при групата с плацебо). Честотата на миопатия е била под 0,1% при пациентите,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Повишение на трансаминазите (≥3 х ГРГ потвърдено при повторно изследване) е наблюдавано при 0,21% (</w:t>
      </w:r>
      <w:r w:rsidRPr="00A970DD">
        <w:rPr>
          <w:rFonts w:eastAsia="Times New Roman" w:cs="Arial"/>
          <w:color w:val="000000"/>
          <w:lang w:val="en-US"/>
        </w:rPr>
        <w:t>n</w:t>
      </w:r>
      <w:r w:rsidRPr="00A970DD">
        <w:rPr>
          <w:rFonts w:eastAsia="Times New Roman" w:cs="Arial"/>
          <w:color w:val="000000"/>
          <w:lang w:eastAsia="bg-BG"/>
        </w:rPr>
        <w:t xml:space="preserve"> = 21) от пациентите,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в сравнение с 0,09% (</w:t>
      </w:r>
      <w:r w:rsidRPr="00A970DD">
        <w:rPr>
          <w:rFonts w:eastAsia="Times New Roman" w:cs="Arial"/>
          <w:color w:val="000000"/>
          <w:lang w:val="en-US"/>
        </w:rPr>
        <w:t>n</w:t>
      </w:r>
      <w:r w:rsidRPr="00A970DD">
        <w:rPr>
          <w:rFonts w:eastAsia="Times New Roman" w:cs="Arial"/>
          <w:color w:val="000000"/>
          <w:lang w:eastAsia="bg-BG"/>
        </w:rPr>
        <w:t>= 9) от болните с плацебо.</w:t>
      </w:r>
    </w:p>
    <w:p w14:paraId="5FF394C7" w14:textId="77777777" w:rsidR="00A970DD" w:rsidRPr="00A970DD" w:rsidRDefault="00A970DD" w:rsidP="00A970DD">
      <w:pPr>
        <w:spacing w:line="240" w:lineRule="auto"/>
        <w:rPr>
          <w:rFonts w:eastAsia="Times New Roman" w:cs="Arial"/>
          <w:color w:val="000000"/>
          <w:lang w:eastAsia="bg-BG"/>
        </w:rPr>
      </w:pPr>
    </w:p>
    <w:p w14:paraId="6454BCFA" w14:textId="3A3D625E"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Честотата на нежелани събития е класифицирана според следните критерии: Много чести (&gt; 1/10), Чести (≥1/100, &lt; 1/10), Нечести (≥ 1/1000, &lt; 1/100), Редки (≥1/10 000, &lt; </w:t>
      </w:r>
      <w:r w:rsidRPr="00A970DD">
        <w:rPr>
          <w:rFonts w:eastAsia="Times New Roman" w:cs="Arial"/>
          <w:color w:val="000000"/>
          <w:lang w:eastAsia="bg-BG"/>
        </w:rPr>
        <w:lastRenderedPageBreak/>
        <w:t>1/1000), Много редки (&lt; 1/10 000), с неизвестна честота (не може да бъде оценена от наличните данни).</w:t>
      </w:r>
    </w:p>
    <w:p w14:paraId="654A3DC6" w14:textId="77777777" w:rsidR="00A970DD" w:rsidRPr="00A970DD" w:rsidRDefault="00A970DD" w:rsidP="00A970DD">
      <w:pPr>
        <w:spacing w:line="240" w:lineRule="auto"/>
        <w:rPr>
          <w:rFonts w:eastAsia="Times New Roman" w:cs="Arial"/>
          <w:color w:val="000000"/>
          <w:u w:val="single"/>
          <w:lang w:eastAsia="bg-BG"/>
        </w:rPr>
      </w:pPr>
    </w:p>
    <w:p w14:paraId="7048C849" w14:textId="77777777" w:rsidR="00A970DD" w:rsidRPr="00A970DD" w:rsidRDefault="00A970DD" w:rsidP="00A970DD">
      <w:pPr>
        <w:spacing w:line="240" w:lineRule="auto"/>
        <w:rPr>
          <w:rFonts w:eastAsia="Times New Roman" w:cs="Arial"/>
          <w:color w:val="000000"/>
          <w:u w:val="single"/>
          <w:lang w:eastAsia="bg-BG"/>
        </w:rPr>
      </w:pPr>
      <w:r w:rsidRPr="00A970DD">
        <w:rPr>
          <w:rFonts w:eastAsia="Times New Roman" w:cs="Arial"/>
          <w:color w:val="000000"/>
          <w:u w:val="single"/>
          <w:lang w:eastAsia="bg-BG"/>
        </w:rPr>
        <w:t xml:space="preserve">Нарушения на кръвта и лимфната система: </w:t>
      </w:r>
    </w:p>
    <w:p w14:paraId="21E2A055" w14:textId="14DCA8EA"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анемия</w:t>
      </w:r>
    </w:p>
    <w:p w14:paraId="6CE6DB0C" w14:textId="77777777" w:rsidR="00A970DD" w:rsidRPr="00A970DD" w:rsidRDefault="00A970DD" w:rsidP="00A970DD">
      <w:pPr>
        <w:spacing w:line="240" w:lineRule="auto"/>
        <w:rPr>
          <w:rFonts w:eastAsia="Times New Roman" w:cs="Arial"/>
          <w:color w:val="000000"/>
          <w:lang w:eastAsia="bg-BG"/>
        </w:rPr>
      </w:pPr>
    </w:p>
    <w:p w14:paraId="1B117C82" w14:textId="08E24E6A" w:rsidR="00A970DD" w:rsidRPr="00A970DD" w:rsidRDefault="00A970DD" w:rsidP="00A970DD">
      <w:pPr>
        <w:spacing w:line="240" w:lineRule="auto"/>
        <w:rPr>
          <w:rFonts w:eastAsia="Times New Roman" w:cs="Arial"/>
          <w:color w:val="000000"/>
          <w:u w:val="single"/>
          <w:lang w:eastAsia="bg-BG"/>
        </w:rPr>
      </w:pPr>
      <w:r w:rsidRPr="00A970DD">
        <w:rPr>
          <w:rFonts w:eastAsia="Times New Roman" w:cs="Arial"/>
          <w:color w:val="000000"/>
          <w:u w:val="single"/>
          <w:lang w:eastAsia="bg-BG"/>
        </w:rPr>
        <w:t xml:space="preserve">Нарушения на имунната система: </w:t>
      </w:r>
    </w:p>
    <w:p w14:paraId="0E2DAABC" w14:textId="333889F6"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анафилаксия</w:t>
      </w:r>
    </w:p>
    <w:p w14:paraId="2345E663" w14:textId="77777777" w:rsidR="00A970DD" w:rsidRPr="00A970DD" w:rsidRDefault="00A970DD" w:rsidP="00A970DD">
      <w:pPr>
        <w:spacing w:line="240" w:lineRule="auto"/>
        <w:rPr>
          <w:rFonts w:eastAsia="Times New Roman" w:cs="Arial"/>
          <w:color w:val="000000"/>
          <w:u w:val="single"/>
          <w:lang w:eastAsia="bg-BG"/>
        </w:rPr>
      </w:pPr>
    </w:p>
    <w:p w14:paraId="162497B5" w14:textId="77777777" w:rsidR="00A970DD" w:rsidRPr="00A970DD" w:rsidRDefault="00A970DD" w:rsidP="00A970DD">
      <w:pPr>
        <w:spacing w:line="240" w:lineRule="auto"/>
        <w:rPr>
          <w:rFonts w:eastAsia="Times New Roman" w:cs="Arial"/>
          <w:color w:val="000000"/>
          <w:lang w:eastAsia="bg-BG"/>
        </w:rPr>
      </w:pPr>
      <w:r w:rsidRPr="00A970DD">
        <w:rPr>
          <w:rFonts w:eastAsia="Times New Roman" w:cs="Arial"/>
          <w:color w:val="000000"/>
          <w:u w:val="single"/>
          <w:lang w:eastAsia="bg-BG"/>
        </w:rPr>
        <w:t>Психични нарушения</w:t>
      </w:r>
      <w:r w:rsidRPr="00A970DD">
        <w:rPr>
          <w:rFonts w:eastAsia="Times New Roman" w:cs="Arial"/>
          <w:color w:val="000000"/>
          <w:lang w:eastAsia="bg-BG"/>
        </w:rPr>
        <w:t xml:space="preserve">: </w:t>
      </w:r>
    </w:p>
    <w:p w14:paraId="76376671" w14:textId="77777777" w:rsidR="00A970DD" w:rsidRPr="00A970DD" w:rsidRDefault="00A970DD" w:rsidP="00A970DD">
      <w:pPr>
        <w:spacing w:line="240" w:lineRule="auto"/>
        <w:rPr>
          <w:rFonts w:eastAsia="Times New Roman" w:cs="Arial"/>
          <w:color w:val="000000"/>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безсъние </w:t>
      </w:r>
    </w:p>
    <w:p w14:paraId="08FB9736" w14:textId="6F6E5172"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С неизвестна честота:</w:t>
      </w:r>
      <w:r w:rsidRPr="00A970DD">
        <w:rPr>
          <w:rFonts w:eastAsia="Times New Roman" w:cs="Arial"/>
          <w:color w:val="000000"/>
          <w:lang w:eastAsia="bg-BG"/>
        </w:rPr>
        <w:t xml:space="preserve"> депресия</w:t>
      </w:r>
    </w:p>
    <w:p w14:paraId="72D90810" w14:textId="77777777" w:rsidR="00A970DD" w:rsidRPr="00A970DD" w:rsidRDefault="00A970DD" w:rsidP="00A970DD">
      <w:pPr>
        <w:spacing w:line="240" w:lineRule="auto"/>
        <w:rPr>
          <w:rFonts w:eastAsia="Times New Roman" w:cs="Arial"/>
          <w:color w:val="000000"/>
          <w:u w:val="single"/>
          <w:lang w:eastAsia="bg-BG"/>
        </w:rPr>
      </w:pPr>
    </w:p>
    <w:p w14:paraId="36E4ACD6" w14:textId="4BA422D4"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Нарушения на нервната система:</w:t>
      </w:r>
    </w:p>
    <w:p w14:paraId="355219FC" w14:textId="77777777" w:rsidR="00A970DD" w:rsidRPr="00A970DD" w:rsidRDefault="00A970DD" w:rsidP="00A970DD">
      <w:pPr>
        <w:spacing w:line="240" w:lineRule="auto"/>
        <w:rPr>
          <w:rFonts w:eastAsia="Times New Roman" w:cs="Arial"/>
          <w:color w:val="000000"/>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главоболие, парестезии, замайване, периферна невропатия </w:t>
      </w:r>
    </w:p>
    <w:p w14:paraId="7DC76CBF" w14:textId="4661E9C6"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нарушения на паметта</w:t>
      </w:r>
    </w:p>
    <w:p w14:paraId="1E7694FC" w14:textId="29BBB635" w:rsidR="00A970DD" w:rsidRPr="00A970DD" w:rsidRDefault="00A970DD" w:rsidP="00A970DD">
      <w:pPr>
        <w:rPr>
          <w:rFonts w:cs="Arial"/>
        </w:rPr>
      </w:pPr>
    </w:p>
    <w:p w14:paraId="089DFB9A"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Нарушения на очите:</w:t>
      </w:r>
    </w:p>
    <w:p w14:paraId="2FC9EB7C"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замъглено зрение, нарушено зрение</w:t>
      </w:r>
    </w:p>
    <w:p w14:paraId="12C9DF4D" w14:textId="77777777" w:rsidR="00A970DD" w:rsidRPr="00A970DD" w:rsidRDefault="00A970DD" w:rsidP="00A970DD">
      <w:pPr>
        <w:spacing w:line="240" w:lineRule="auto"/>
        <w:rPr>
          <w:rFonts w:eastAsia="Times New Roman" w:cs="Arial"/>
          <w:color w:val="000000"/>
          <w:u w:val="single"/>
          <w:lang w:eastAsia="bg-BG"/>
        </w:rPr>
      </w:pPr>
    </w:p>
    <w:p w14:paraId="705BB1C9" w14:textId="568A4D72"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Респираторни, гръдни и медиастинални нарушения:</w:t>
      </w:r>
    </w:p>
    <w:p w14:paraId="08C05FA3"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С неизвестна честота:</w:t>
      </w:r>
      <w:r w:rsidRPr="00A970DD">
        <w:rPr>
          <w:rFonts w:eastAsia="Times New Roman" w:cs="Arial"/>
          <w:color w:val="000000"/>
          <w:lang w:eastAsia="bg-BG"/>
        </w:rPr>
        <w:t xml:space="preserve"> интерстициално белодробно заболяване (вж. точка 4.4)</w:t>
      </w:r>
    </w:p>
    <w:p w14:paraId="3A73070A" w14:textId="77777777" w:rsidR="00A970DD" w:rsidRPr="00A970DD" w:rsidRDefault="00A970DD" w:rsidP="00A970DD">
      <w:pPr>
        <w:spacing w:line="240" w:lineRule="auto"/>
        <w:rPr>
          <w:rFonts w:eastAsia="Times New Roman" w:cs="Arial"/>
          <w:color w:val="000000"/>
          <w:u w:val="single"/>
          <w:lang w:eastAsia="bg-BG"/>
        </w:rPr>
      </w:pPr>
    </w:p>
    <w:p w14:paraId="5721AE2E" w14:textId="658856B3"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Стомашно-чревни нарушения:</w:t>
      </w:r>
    </w:p>
    <w:p w14:paraId="4223FCDE"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запек, коремна болка, метеоризъм, диспепсия, диария, гадене, повръщане, панкреатит</w:t>
      </w:r>
    </w:p>
    <w:p w14:paraId="1A826212" w14:textId="77777777" w:rsidR="00A970DD" w:rsidRPr="00A970DD" w:rsidRDefault="00A970DD" w:rsidP="00A970DD">
      <w:pPr>
        <w:spacing w:line="240" w:lineRule="auto"/>
        <w:rPr>
          <w:rFonts w:eastAsia="Times New Roman" w:cs="Arial"/>
          <w:color w:val="000000"/>
          <w:u w:val="single"/>
          <w:lang w:eastAsia="bg-BG"/>
        </w:rPr>
      </w:pPr>
    </w:p>
    <w:p w14:paraId="79A8A889" w14:textId="69E1E7B1"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Хепато-билиарни нарушения:</w:t>
      </w:r>
    </w:p>
    <w:p w14:paraId="56569272"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хепатит/жълтеница</w:t>
      </w:r>
    </w:p>
    <w:p w14:paraId="523CF0DC"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фатална и нефатална чернодробна недостатъчност</w:t>
      </w:r>
    </w:p>
    <w:p w14:paraId="6BA1B2AE" w14:textId="77777777" w:rsidR="00A970DD" w:rsidRPr="00A970DD" w:rsidRDefault="00A970DD" w:rsidP="00A970DD">
      <w:pPr>
        <w:spacing w:line="240" w:lineRule="auto"/>
        <w:rPr>
          <w:rFonts w:eastAsia="Times New Roman" w:cs="Arial"/>
          <w:color w:val="000000"/>
          <w:u w:val="single"/>
          <w:lang w:eastAsia="bg-BG"/>
        </w:rPr>
      </w:pPr>
    </w:p>
    <w:p w14:paraId="06F112C6" w14:textId="16F90E2E"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Нарушения на кожата и подкожната тъкан:</w:t>
      </w:r>
    </w:p>
    <w:p w14:paraId="6969EA27"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обрив, сърбеж, алопеция</w:t>
      </w:r>
    </w:p>
    <w:p w14:paraId="1F48CB2A"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лихеноидни лекарствени ерупции</w:t>
      </w:r>
    </w:p>
    <w:p w14:paraId="73B09226" w14:textId="77777777" w:rsidR="00A970DD" w:rsidRPr="00A970DD" w:rsidRDefault="00A970DD" w:rsidP="00A970DD">
      <w:pPr>
        <w:spacing w:line="240" w:lineRule="auto"/>
        <w:rPr>
          <w:rFonts w:eastAsia="Times New Roman" w:cs="Arial"/>
          <w:color w:val="000000"/>
          <w:u w:val="single"/>
          <w:lang w:eastAsia="bg-BG"/>
        </w:rPr>
      </w:pPr>
    </w:p>
    <w:p w14:paraId="46A6BA70" w14:textId="3550B15A"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Мускулно-скелетни, съединително-тъканни и костни нарушения:</w:t>
      </w:r>
    </w:p>
    <w:p w14:paraId="054B2CAA"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миопатия* (включително миозит), рабдомиолиза с или без бъбречна недостатъчност (вж. точка 4.4), миалгия, мускулни спазми, миозит, полимиозит </w:t>
      </w: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мускулна руптура</w:t>
      </w:r>
    </w:p>
    <w:p w14:paraId="0DBF96B9" w14:textId="77777777" w:rsidR="00A970DD" w:rsidRPr="00A970DD" w:rsidRDefault="00A970DD" w:rsidP="00A970DD">
      <w:pPr>
        <w:spacing w:line="240" w:lineRule="auto"/>
        <w:rPr>
          <w:rFonts w:eastAsia="Times New Roman" w:cs="Arial"/>
          <w:color w:val="000000"/>
          <w:lang w:eastAsia="bg-BG"/>
        </w:rPr>
      </w:pPr>
    </w:p>
    <w:p w14:paraId="2FFD1E4C" w14:textId="512B85FA"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*В клинично проучване, миопатия възниква често при пациенти, лекувани със симвастатин 80 </w:t>
      </w:r>
      <w:r w:rsidRPr="00A970DD">
        <w:rPr>
          <w:rFonts w:eastAsia="Times New Roman" w:cs="Arial"/>
          <w:color w:val="000000"/>
          <w:lang w:val="en-US"/>
        </w:rPr>
        <w:t xml:space="preserve">mg </w:t>
      </w:r>
      <w:r w:rsidRPr="00A970DD">
        <w:rPr>
          <w:rFonts w:eastAsia="Times New Roman" w:cs="Arial"/>
          <w:color w:val="000000"/>
          <w:lang w:eastAsia="bg-BG"/>
        </w:rPr>
        <w:t xml:space="preserve">/ ден, в сравнение с пациентите, лекувани с 20 </w:t>
      </w:r>
      <w:r w:rsidRPr="00A970DD">
        <w:rPr>
          <w:rFonts w:eastAsia="Times New Roman" w:cs="Arial"/>
          <w:color w:val="000000"/>
          <w:lang w:val="en-US"/>
        </w:rPr>
        <w:t xml:space="preserve">mg </w:t>
      </w:r>
      <w:r w:rsidRPr="00A970DD">
        <w:rPr>
          <w:rFonts w:eastAsia="Times New Roman" w:cs="Arial"/>
          <w:color w:val="000000"/>
          <w:lang w:eastAsia="bg-BG"/>
        </w:rPr>
        <w:t>/ ден (1,0% срещу 0,02%, съответно) (вж. точки 4.4 и 4.5).</w:t>
      </w:r>
    </w:p>
    <w:p w14:paraId="1C80075A"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С </w:t>
      </w:r>
      <w:r w:rsidRPr="00A970DD">
        <w:rPr>
          <w:rFonts w:eastAsia="Times New Roman" w:cs="Arial"/>
          <w:i/>
          <w:iCs/>
          <w:color w:val="000000"/>
          <w:lang w:eastAsia="bg-BG"/>
        </w:rPr>
        <w:t>неизвестна честота:</w:t>
      </w:r>
      <w:r w:rsidRPr="00A970DD">
        <w:rPr>
          <w:rFonts w:eastAsia="Times New Roman" w:cs="Arial"/>
          <w:color w:val="000000"/>
          <w:lang w:eastAsia="bg-BG"/>
        </w:rPr>
        <w:t xml:space="preserve"> тендинопатия, понякога усложнени с руптура, имуномедиирана некротизираща миопатия (ИМНМ)**</w:t>
      </w:r>
    </w:p>
    <w:p w14:paraId="2192DB88" w14:textId="77777777" w:rsidR="00A970DD" w:rsidRPr="00A970DD" w:rsidRDefault="00A970DD" w:rsidP="00A970DD">
      <w:pPr>
        <w:spacing w:line="240" w:lineRule="auto"/>
        <w:rPr>
          <w:rFonts w:eastAsia="Times New Roman" w:cs="Arial"/>
          <w:color w:val="000000"/>
          <w:lang w:eastAsia="bg-BG"/>
        </w:rPr>
      </w:pPr>
    </w:p>
    <w:p w14:paraId="76A6D4F2" w14:textId="0A05F4F4"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**Много рядко са съобщавани случаи на имуномедиирана некротизираща миопатия (ИМНМ), автоимунна миопатия, по време на и след лечение с някои статини. Клинично ИМНМ се характеризира с: персистираща проксимална мускулна слабост и повишени серумни нива на креатин киназа, които се запазват, въпреки прекратяване на лечението </w:t>
      </w:r>
      <w:r w:rsidRPr="00A970DD">
        <w:rPr>
          <w:rFonts w:eastAsia="Times New Roman" w:cs="Arial"/>
          <w:color w:val="000000"/>
          <w:lang w:eastAsia="bg-BG"/>
        </w:rPr>
        <w:lastRenderedPageBreak/>
        <w:t>със статини, мускулна биопсия, показваща некротизираща миопатия без значимо възпаление, подобрение с имуносупресивни средства (вж. точка 4.4).</w:t>
      </w:r>
    </w:p>
    <w:p w14:paraId="54A821F5" w14:textId="77777777" w:rsidR="00A970DD" w:rsidRPr="00A970DD" w:rsidRDefault="00A970DD" w:rsidP="00A970DD">
      <w:pPr>
        <w:spacing w:line="240" w:lineRule="auto"/>
        <w:rPr>
          <w:rFonts w:eastAsia="Times New Roman" w:cs="Arial"/>
          <w:color w:val="000000"/>
          <w:u w:val="single"/>
          <w:lang w:eastAsia="bg-BG"/>
        </w:rPr>
      </w:pPr>
    </w:p>
    <w:p w14:paraId="79442C2A" w14:textId="57E3AE72"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Нарушения на възпроизводителната система и гърдата:</w:t>
      </w:r>
    </w:p>
    <w:p w14:paraId="475F48F5"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гинекомастия</w:t>
      </w:r>
    </w:p>
    <w:p w14:paraId="2D7EC907"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С неизвестна честота:</w:t>
      </w:r>
      <w:r w:rsidRPr="00A970DD">
        <w:rPr>
          <w:rFonts w:eastAsia="Times New Roman" w:cs="Arial"/>
          <w:color w:val="000000"/>
          <w:lang w:eastAsia="bg-BG"/>
        </w:rPr>
        <w:t xml:space="preserve"> еректилна дисфункция</w:t>
      </w:r>
    </w:p>
    <w:p w14:paraId="0DB774CD" w14:textId="77777777" w:rsidR="00A970DD" w:rsidRPr="00A970DD" w:rsidRDefault="00A970DD" w:rsidP="00A970DD">
      <w:pPr>
        <w:spacing w:line="240" w:lineRule="auto"/>
        <w:rPr>
          <w:rFonts w:eastAsia="Times New Roman" w:cs="Arial"/>
          <w:color w:val="000000"/>
          <w:u w:val="single"/>
          <w:lang w:eastAsia="bg-BG"/>
        </w:rPr>
      </w:pPr>
    </w:p>
    <w:p w14:paraId="73F2EC34" w14:textId="19FCAE4D"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Общи нарушения и състояния на мястото на приложение:</w:t>
      </w:r>
    </w:p>
    <w:p w14:paraId="495C7EDA"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Рядко:</w:t>
      </w:r>
      <w:r w:rsidRPr="00A970DD">
        <w:rPr>
          <w:rFonts w:eastAsia="Times New Roman" w:cs="Arial"/>
          <w:color w:val="000000"/>
          <w:lang w:eastAsia="bg-BG"/>
        </w:rPr>
        <w:t xml:space="preserve"> астения</w:t>
      </w:r>
    </w:p>
    <w:p w14:paraId="56BF4141" w14:textId="77777777" w:rsidR="00A970DD" w:rsidRPr="00A970DD" w:rsidRDefault="00A970DD" w:rsidP="00A970DD">
      <w:pPr>
        <w:spacing w:line="240" w:lineRule="auto"/>
        <w:rPr>
          <w:rFonts w:eastAsia="Times New Roman" w:cs="Arial"/>
          <w:color w:val="000000"/>
          <w:lang w:eastAsia="bg-BG"/>
        </w:rPr>
      </w:pPr>
    </w:p>
    <w:p w14:paraId="7C7B43B0" w14:textId="0B54FECA"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Изявен синдром на свръхчувствителност се съобщава рядко. Той включва някои от следните симптоми: ангиоедем, лупус-подобен синдром, ревматична полимиалгия, дерматомиозит, васкулит, тромбоцитопения, еозинофилия, повишена СУЕ, артрит и артралгия, уртикария, фоточувствителност, фебрилитет, зачервяване на лицето, диспнея и неразположение.</w:t>
      </w:r>
    </w:p>
    <w:p w14:paraId="2DDA8B33" w14:textId="77777777" w:rsidR="00A970DD" w:rsidRPr="00A970DD" w:rsidRDefault="00A970DD" w:rsidP="00A970DD">
      <w:pPr>
        <w:spacing w:line="240" w:lineRule="auto"/>
        <w:rPr>
          <w:rFonts w:eastAsia="Times New Roman" w:cs="Arial"/>
          <w:color w:val="000000"/>
          <w:u w:val="single"/>
          <w:lang w:eastAsia="bg-BG"/>
        </w:rPr>
      </w:pPr>
    </w:p>
    <w:p w14:paraId="1FE0B69E" w14:textId="5208921F"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Лабораторни изследвания:</w:t>
      </w:r>
    </w:p>
    <w:p w14:paraId="0ACA92A9"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повишение на серумните трансаминази (аланин амииотрансфераза, аспатрат аминотрансфераза, γ-глутамил транспептидаза) (вж. точка 4.4 </w:t>
      </w:r>
      <w:r w:rsidRPr="00A970DD">
        <w:rPr>
          <w:rFonts w:eastAsia="Times New Roman" w:cs="Arial"/>
          <w:i/>
          <w:iCs/>
          <w:color w:val="000000"/>
          <w:lang w:eastAsia="bg-BG"/>
        </w:rPr>
        <w:t xml:space="preserve">Ефекти върху черния дроб), </w:t>
      </w:r>
      <w:r w:rsidRPr="00A970DD">
        <w:rPr>
          <w:rFonts w:eastAsia="Times New Roman" w:cs="Arial"/>
          <w:color w:val="000000"/>
          <w:lang w:eastAsia="bg-BG"/>
        </w:rPr>
        <w:t>повишена алкална фосфатаза; повишени серумни нива на КК (вж. точка 4.4).</w:t>
      </w:r>
    </w:p>
    <w:p w14:paraId="186906E8" w14:textId="77777777" w:rsidR="00A970DD" w:rsidRPr="00A970DD" w:rsidRDefault="00A970DD" w:rsidP="00A970DD">
      <w:pPr>
        <w:spacing w:line="240" w:lineRule="auto"/>
        <w:rPr>
          <w:rFonts w:eastAsia="Times New Roman" w:cs="Arial"/>
          <w:lang w:eastAsia="bg-BG"/>
        </w:rPr>
      </w:pPr>
    </w:p>
    <w:p w14:paraId="09BBF93B" w14:textId="77777777" w:rsidR="00A970DD" w:rsidRPr="00A970DD" w:rsidRDefault="00A970DD" w:rsidP="00A970DD">
      <w:pPr>
        <w:rPr>
          <w:rFonts w:eastAsia="Times New Roman" w:cs="Arial"/>
          <w:color w:val="000000"/>
          <w:lang w:eastAsia="bg-BG"/>
        </w:rPr>
      </w:pPr>
    </w:p>
    <w:p w14:paraId="2149EB0B" w14:textId="02374B76" w:rsidR="00A970DD" w:rsidRPr="00A970DD" w:rsidRDefault="00A970DD" w:rsidP="00A970DD">
      <w:pPr>
        <w:rPr>
          <w:rFonts w:eastAsia="Times New Roman" w:cs="Arial"/>
          <w:color w:val="000000"/>
          <w:lang w:eastAsia="bg-BG"/>
        </w:rPr>
      </w:pPr>
      <w:r w:rsidRPr="00A970DD">
        <w:rPr>
          <w:rFonts w:eastAsia="Times New Roman" w:cs="Arial"/>
          <w:color w:val="000000"/>
          <w:lang w:eastAsia="bg-BG"/>
        </w:rPr>
        <w:t xml:space="preserve">Повишаване на </w:t>
      </w:r>
      <w:proofErr w:type="spellStart"/>
      <w:r w:rsidRPr="00A970DD">
        <w:rPr>
          <w:rFonts w:eastAsia="Times New Roman" w:cs="Arial"/>
          <w:color w:val="000000"/>
          <w:lang w:val="en-US"/>
        </w:rPr>
        <w:t>HbAlc</w:t>
      </w:r>
      <w:proofErr w:type="spellEnd"/>
      <w:r w:rsidRPr="00A970DD">
        <w:rPr>
          <w:rFonts w:eastAsia="Times New Roman" w:cs="Arial"/>
          <w:color w:val="000000"/>
          <w:lang w:val="en-US"/>
        </w:rPr>
        <w:t xml:space="preserve"> </w:t>
      </w:r>
      <w:r w:rsidRPr="00A970DD">
        <w:rPr>
          <w:rFonts w:eastAsia="Times New Roman" w:cs="Arial"/>
          <w:color w:val="000000"/>
          <w:lang w:eastAsia="bg-BG"/>
        </w:rPr>
        <w:t>и серумните нива на глюкоза на гладно са съобщавани при статини включително симвастатин.</w:t>
      </w:r>
    </w:p>
    <w:p w14:paraId="1E56901D" w14:textId="79E35C62" w:rsidR="00A970DD" w:rsidRPr="00A970DD" w:rsidRDefault="00A970DD" w:rsidP="00A970DD">
      <w:pPr>
        <w:rPr>
          <w:rFonts w:eastAsia="Times New Roman" w:cs="Arial"/>
          <w:color w:val="000000"/>
          <w:lang w:eastAsia="bg-BG"/>
        </w:rPr>
      </w:pPr>
    </w:p>
    <w:p w14:paraId="342F67AE"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При постмаркетинговия опит рядко са съобщавани случаи на когнитивно увреждане (напр. загуба на паметта, разсеяност, амнезия, увреждане на паметта, объркване), свързани с употребата на статини, включително симвастатин. Съобщенията обикновено не са сериозни и са обратими при прекъсване на лечението със статии, с различно време на поява на симптомите (1 ден до години) и отзвучаване на симптомите (медиана 3 седмици).</w:t>
      </w:r>
    </w:p>
    <w:p w14:paraId="6CEF8B29" w14:textId="77777777" w:rsidR="00A970DD" w:rsidRPr="00A970DD" w:rsidRDefault="00A970DD" w:rsidP="00A970DD">
      <w:pPr>
        <w:spacing w:line="240" w:lineRule="auto"/>
        <w:rPr>
          <w:rFonts w:eastAsia="Times New Roman" w:cs="Arial"/>
          <w:color w:val="000000"/>
          <w:lang w:eastAsia="bg-BG"/>
        </w:rPr>
      </w:pPr>
    </w:p>
    <w:p w14:paraId="19A93C2E" w14:textId="5271A5B9"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Следните допълнителни нежелани реакции са докладвани при някои статини:</w:t>
      </w:r>
    </w:p>
    <w:p w14:paraId="5D71F3F9" w14:textId="77777777" w:rsidR="00A970DD" w:rsidRPr="00A970DD" w:rsidRDefault="00A970DD" w:rsidP="00A970DD">
      <w:pPr>
        <w:pStyle w:val="ListParagraph"/>
        <w:numPr>
          <w:ilvl w:val="0"/>
          <w:numId w:val="42"/>
        </w:numPr>
        <w:spacing w:line="240" w:lineRule="auto"/>
        <w:rPr>
          <w:rFonts w:eastAsia="Times New Roman" w:cs="Arial"/>
          <w:color w:val="000000"/>
          <w:lang w:eastAsia="bg-BG"/>
        </w:rPr>
      </w:pPr>
      <w:r w:rsidRPr="00A970DD">
        <w:rPr>
          <w:rFonts w:eastAsia="Times New Roman" w:cs="Arial"/>
          <w:color w:val="000000"/>
          <w:lang w:eastAsia="bg-BG"/>
        </w:rPr>
        <w:t>Нарушения на съня, включително кошмари</w:t>
      </w:r>
    </w:p>
    <w:p w14:paraId="2713185A" w14:textId="77777777" w:rsidR="00A970DD" w:rsidRPr="00A970DD" w:rsidRDefault="00A970DD" w:rsidP="00A970DD">
      <w:pPr>
        <w:pStyle w:val="ListParagraph"/>
        <w:numPr>
          <w:ilvl w:val="0"/>
          <w:numId w:val="42"/>
        </w:numPr>
        <w:spacing w:line="240" w:lineRule="auto"/>
        <w:rPr>
          <w:rFonts w:eastAsia="Times New Roman" w:cs="Arial"/>
          <w:color w:val="000000"/>
          <w:lang w:eastAsia="bg-BG"/>
        </w:rPr>
      </w:pPr>
      <w:r w:rsidRPr="00A970DD">
        <w:rPr>
          <w:rFonts w:eastAsia="Times New Roman" w:cs="Arial"/>
          <w:color w:val="000000"/>
          <w:lang w:eastAsia="bg-BG"/>
        </w:rPr>
        <w:t>Сексуална дисфункция</w:t>
      </w:r>
    </w:p>
    <w:p w14:paraId="5469770B" w14:textId="152427AF" w:rsidR="00A970DD" w:rsidRPr="00A970DD" w:rsidRDefault="00A970DD" w:rsidP="00A970DD">
      <w:pPr>
        <w:pStyle w:val="ListParagraph"/>
        <w:numPr>
          <w:ilvl w:val="0"/>
          <w:numId w:val="42"/>
        </w:numPr>
        <w:spacing w:line="240" w:lineRule="auto"/>
        <w:rPr>
          <w:rFonts w:eastAsia="Times New Roman" w:cs="Arial"/>
          <w:color w:val="000000"/>
          <w:lang w:eastAsia="bg-BG"/>
        </w:rPr>
      </w:pPr>
      <w:r w:rsidRPr="00A970DD">
        <w:rPr>
          <w:rFonts w:eastAsia="Times New Roman" w:cs="Arial"/>
          <w:color w:val="000000"/>
          <w:lang w:eastAsia="bg-BG"/>
        </w:rPr>
        <w:t xml:space="preserve">Захарен диабет: честота ще зависи от наличието или липсата на рисковите фактори (кръвна захар на гладно ≥ 5,6 </w:t>
      </w:r>
      <w:r w:rsidRPr="00A970DD">
        <w:rPr>
          <w:rFonts w:eastAsia="Times New Roman" w:cs="Arial"/>
          <w:color w:val="000000"/>
          <w:lang w:val="en-US"/>
        </w:rPr>
        <w:t xml:space="preserve">mmol </w:t>
      </w:r>
      <w:r w:rsidRPr="00A970DD">
        <w:rPr>
          <w:rFonts w:eastAsia="Times New Roman" w:cs="Arial"/>
          <w:color w:val="000000"/>
          <w:lang w:eastAsia="bg-BG"/>
        </w:rPr>
        <w:t xml:space="preserve">/ </w:t>
      </w:r>
      <w:r w:rsidRPr="00A970DD">
        <w:rPr>
          <w:rFonts w:eastAsia="Times New Roman" w:cs="Arial"/>
          <w:color w:val="000000"/>
          <w:lang w:val="en-US"/>
        </w:rPr>
        <w:t xml:space="preserve">L, </w:t>
      </w:r>
      <w:r w:rsidRPr="00A970DD">
        <w:rPr>
          <w:rFonts w:eastAsia="Times New Roman" w:cs="Arial"/>
          <w:color w:val="000000"/>
          <w:lang w:eastAsia="bg-BG"/>
        </w:rPr>
        <w:t xml:space="preserve">ИТМ&gt; </w:t>
      </w:r>
      <w:r w:rsidRPr="00A970DD">
        <w:rPr>
          <w:rFonts w:eastAsia="Times New Roman" w:cs="Arial"/>
          <w:color w:val="000000"/>
          <w:lang w:val="en-US"/>
        </w:rPr>
        <w:t xml:space="preserve">30kg/ </w:t>
      </w:r>
      <w:r w:rsidRPr="00A970DD">
        <w:rPr>
          <w:rFonts w:eastAsia="Times New Roman" w:cs="Arial"/>
          <w:color w:val="000000"/>
          <w:lang w:eastAsia="bg-BG"/>
        </w:rPr>
        <w:t>m2, повишени триглицериди, анамнеза за хипертония)</w:t>
      </w:r>
    </w:p>
    <w:p w14:paraId="0860AFA6" w14:textId="77777777" w:rsidR="00A970DD" w:rsidRPr="00A970DD" w:rsidRDefault="00A970DD" w:rsidP="00A970DD">
      <w:pPr>
        <w:spacing w:line="240" w:lineRule="auto"/>
        <w:rPr>
          <w:rFonts w:eastAsia="Times New Roman" w:cs="Arial"/>
          <w:color w:val="000000"/>
          <w:u w:val="single"/>
          <w:lang w:eastAsia="bg-BG"/>
        </w:rPr>
      </w:pPr>
    </w:p>
    <w:p w14:paraId="6D08CBD7" w14:textId="2299FBE1"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Педиатрична популация</w:t>
      </w:r>
    </w:p>
    <w:p w14:paraId="0580F810"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В 48 седмично проучване, включващо деца и юноши (младежи II степен по Танер и нагоре и девойки, които са поне една година след първата им менструация) от 10 -17 годишна възраст, с хетерозиготна фамилна хиперхолестеролемия </w:t>
      </w:r>
      <w:r w:rsidRPr="00A970DD">
        <w:rPr>
          <w:rFonts w:eastAsia="Times New Roman" w:cs="Arial"/>
          <w:color w:val="000000"/>
          <w:lang w:val="en-US"/>
        </w:rPr>
        <w:t xml:space="preserve">(n= </w:t>
      </w:r>
      <w:r w:rsidRPr="00A970DD">
        <w:rPr>
          <w:rFonts w:eastAsia="Times New Roman" w:cs="Arial"/>
          <w:color w:val="000000"/>
          <w:lang w:eastAsia="bg-BG"/>
        </w:rPr>
        <w:t>175), профилът на безопасност и поносимост на групата лекувана със симвастатин е бил подобен на този при групата лекувана с плацебо. В дългосрочен план ефектът върху физическото, интелектуално и сексуално развитие не е известен. В момента няма достатъчно налични данни след една година на лечение (вж. точки 4.2,4.4 и 5.1).</w:t>
      </w:r>
    </w:p>
    <w:p w14:paraId="103B89CA" w14:textId="77777777" w:rsidR="00A970DD" w:rsidRPr="00A970DD" w:rsidRDefault="00A970DD" w:rsidP="00A970DD">
      <w:pPr>
        <w:spacing w:line="240" w:lineRule="auto"/>
        <w:rPr>
          <w:rFonts w:eastAsia="Times New Roman" w:cs="Arial"/>
          <w:color w:val="000000"/>
          <w:u w:val="single"/>
          <w:lang w:eastAsia="bg-BG"/>
        </w:rPr>
      </w:pPr>
    </w:p>
    <w:p w14:paraId="3FB92227" w14:textId="003F1CAB"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Съобщаване на подозирани нежелани реакции</w:t>
      </w:r>
    </w:p>
    <w:p w14:paraId="3C600FAE"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lastRenderedPageBreak/>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4C465410"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Изпълнителна агенция по лекарствата ул. .Дамян Груев” № 8</w:t>
      </w:r>
    </w:p>
    <w:p w14:paraId="4113B916"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1303 София</w:t>
      </w:r>
    </w:p>
    <w:p w14:paraId="2CB06194"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Тел.: +35 928903417</w:t>
      </w:r>
    </w:p>
    <w:p w14:paraId="059C236A"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уебсайт: </w:t>
      </w:r>
      <w:hyperlink r:id="rId5" w:history="1">
        <w:r w:rsidRPr="00A970DD">
          <w:rPr>
            <w:rFonts w:eastAsia="Times New Roman" w:cs="Arial"/>
            <w:color w:val="000000"/>
            <w:lang w:val="en-US"/>
          </w:rPr>
          <w:t>www.bda.bg</w:t>
        </w:r>
      </w:hyperlink>
      <w:r w:rsidRPr="00A970DD">
        <w:rPr>
          <w:rFonts w:eastAsia="Times New Roman" w:cs="Arial"/>
          <w:color w:val="000000"/>
          <w:lang w:val="en-US"/>
        </w:rPr>
        <w:t>.</w:t>
      </w:r>
    </w:p>
    <w:p w14:paraId="225C271F" w14:textId="77777777" w:rsidR="00A970DD" w:rsidRPr="00A970DD" w:rsidRDefault="00A970DD" w:rsidP="00A970DD"/>
    <w:p w14:paraId="4A5904B1" w14:textId="31C4D8EA" w:rsidR="00EE6C97" w:rsidRDefault="002C50EE" w:rsidP="00A93499">
      <w:pPr>
        <w:pStyle w:val="Heading2"/>
      </w:pPr>
      <w:r>
        <w:t>4.9. Предозиране</w:t>
      </w:r>
    </w:p>
    <w:p w14:paraId="67C24BC4" w14:textId="23E19857" w:rsidR="00A970DD" w:rsidRDefault="00A970DD" w:rsidP="00A970DD"/>
    <w:p w14:paraId="209DF7EE" w14:textId="316CA150" w:rsidR="00A970DD" w:rsidRPr="00A970DD" w:rsidRDefault="00A970DD" w:rsidP="00A970DD">
      <w:r>
        <w:t xml:space="preserve">Досега са съобщени няколко случая на предозиране; максималната погълната доза е била 3,6 </w:t>
      </w:r>
      <w:r>
        <w:rPr>
          <w:lang w:val="en-US"/>
        </w:rPr>
        <w:t xml:space="preserve">g. </w:t>
      </w:r>
      <w:r>
        <w:t>Всички пациенти са се възстановили без последствия. Няма специфично лечение при предозиране. В такъв случай се прилага симптоматично и поддържащо лечение.</w:t>
      </w:r>
    </w:p>
    <w:p w14:paraId="02081B24" w14:textId="36FE76F4" w:rsidR="00395555" w:rsidRPr="00395555" w:rsidRDefault="002C50EE" w:rsidP="008A6AF2">
      <w:pPr>
        <w:pStyle w:val="Heading1"/>
      </w:pPr>
      <w:r>
        <w:t>5. ФАРМАКОЛОГИЧНИ СВОЙСТВА</w:t>
      </w:r>
    </w:p>
    <w:p w14:paraId="3B9FA2B5" w14:textId="128EDD45" w:rsidR="00EE6C97" w:rsidRDefault="002C50EE" w:rsidP="00A93499">
      <w:pPr>
        <w:pStyle w:val="Heading2"/>
      </w:pPr>
      <w:r>
        <w:t>5.1. Фармакодинамични свойства</w:t>
      </w:r>
    </w:p>
    <w:p w14:paraId="0DCB55E8" w14:textId="4CAB5918" w:rsidR="00A970DD" w:rsidRDefault="00A970DD" w:rsidP="00A970DD"/>
    <w:p w14:paraId="1CD3DE8D"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Фармакотерапевтична група: инхибитори на </w:t>
      </w:r>
      <w:r w:rsidRPr="00A970DD">
        <w:rPr>
          <w:rFonts w:eastAsia="Times New Roman" w:cs="Arial"/>
          <w:color w:val="000000"/>
          <w:lang w:val="en-US"/>
        </w:rPr>
        <w:t xml:space="preserve">HMG </w:t>
      </w:r>
      <w:r w:rsidRPr="00A970DD">
        <w:rPr>
          <w:rFonts w:eastAsia="Times New Roman" w:cs="Arial"/>
          <w:color w:val="000000"/>
          <w:lang w:eastAsia="bg-BG"/>
        </w:rPr>
        <w:t>СоА редуктазата, АТС код: С10АА01</w:t>
      </w:r>
    </w:p>
    <w:p w14:paraId="1B0471DF" w14:textId="77777777" w:rsidR="00A970DD" w:rsidRPr="00A970DD" w:rsidRDefault="00A970DD" w:rsidP="00A970DD">
      <w:pPr>
        <w:spacing w:line="240" w:lineRule="auto"/>
        <w:rPr>
          <w:rFonts w:eastAsia="Times New Roman" w:cs="Arial"/>
          <w:color w:val="000000"/>
          <w:lang w:eastAsia="bg-BG"/>
        </w:rPr>
      </w:pPr>
    </w:p>
    <w:p w14:paraId="070D9321" w14:textId="13901F10"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Сред перорално приложение, симвастатин, който е неактивен лактон, се хидролизира в черния дроб до съответната активна бета-хидроксикиселинна форма, оказваща мощен инхибиращ ефект върху </w:t>
      </w:r>
      <w:r w:rsidRPr="00A970DD">
        <w:rPr>
          <w:rFonts w:eastAsia="Times New Roman" w:cs="Arial"/>
          <w:color w:val="000000"/>
          <w:lang w:val="en-US"/>
        </w:rPr>
        <w:t xml:space="preserve">HMG-CoA </w:t>
      </w:r>
      <w:r w:rsidRPr="00A970DD">
        <w:rPr>
          <w:rFonts w:eastAsia="Times New Roman" w:cs="Arial"/>
          <w:color w:val="000000"/>
          <w:lang w:eastAsia="bg-BG"/>
        </w:rPr>
        <w:t xml:space="preserve">редуктазата (3 хидрокси - 3 метилглутарил СоА редуктаза). Този ензим катализира превръщането на </w:t>
      </w:r>
      <w:r w:rsidRPr="00A970DD">
        <w:rPr>
          <w:rFonts w:eastAsia="Times New Roman" w:cs="Arial"/>
          <w:color w:val="000000"/>
          <w:lang w:val="en-US"/>
        </w:rPr>
        <w:t xml:space="preserve">HMG-CoA </w:t>
      </w:r>
      <w:r w:rsidRPr="00A970DD">
        <w:rPr>
          <w:rFonts w:eastAsia="Times New Roman" w:cs="Arial"/>
          <w:color w:val="000000"/>
          <w:lang w:eastAsia="bg-BG"/>
        </w:rPr>
        <w:t>в мевалонат, ранно и скорост-определящо стъпало биосинтезата на холестерола.</w:t>
      </w:r>
    </w:p>
    <w:p w14:paraId="2EA53933" w14:textId="77777777" w:rsidR="00A970DD" w:rsidRPr="00A970DD" w:rsidRDefault="00A970DD" w:rsidP="00A970DD">
      <w:pPr>
        <w:rPr>
          <w:rFonts w:eastAsia="Times New Roman" w:cs="Arial"/>
          <w:color w:val="000000"/>
          <w:lang w:eastAsia="bg-BG"/>
        </w:rPr>
      </w:pPr>
    </w:p>
    <w:p w14:paraId="2403D3DD" w14:textId="2E7737D2" w:rsidR="00A970DD" w:rsidRPr="00A970DD" w:rsidRDefault="00A970DD" w:rsidP="00A970DD">
      <w:pPr>
        <w:rPr>
          <w:rFonts w:eastAsia="Times New Roman" w:cs="Arial"/>
          <w:color w:val="000000"/>
          <w:lang w:eastAsia="bg-BG"/>
        </w:rPr>
      </w:pPr>
      <w:r w:rsidRPr="00A970DD">
        <w:rPr>
          <w:rFonts w:eastAsia="Times New Roman" w:cs="Arial"/>
          <w:color w:val="000000"/>
          <w:lang w:eastAsia="bg-BG"/>
        </w:rPr>
        <w:t xml:space="preserve">Симвастатин намалява както нормалните, така и повишените концентрации на </w:t>
      </w:r>
      <w:r w:rsidRPr="00A970DD">
        <w:rPr>
          <w:rFonts w:eastAsia="Times New Roman" w:cs="Arial"/>
          <w:color w:val="000000"/>
          <w:lang w:val="en-US"/>
        </w:rPr>
        <w:t xml:space="preserve">LDL-C, LDL </w:t>
      </w:r>
      <w:r w:rsidRPr="00A970DD">
        <w:rPr>
          <w:rFonts w:eastAsia="Times New Roman" w:cs="Arial"/>
          <w:color w:val="000000"/>
          <w:lang w:eastAsia="bg-BG"/>
        </w:rPr>
        <w:t xml:space="preserve">се формира от протеин с много ниска плътност </w:t>
      </w:r>
      <w:r w:rsidRPr="00A970DD">
        <w:rPr>
          <w:rFonts w:eastAsia="Times New Roman" w:cs="Arial"/>
          <w:color w:val="000000"/>
          <w:lang w:val="en-US"/>
        </w:rPr>
        <w:t xml:space="preserve">(VLDL) </w:t>
      </w:r>
      <w:r w:rsidRPr="00A970DD">
        <w:rPr>
          <w:rFonts w:eastAsia="Times New Roman" w:cs="Arial"/>
          <w:color w:val="000000"/>
          <w:lang w:eastAsia="bg-BG"/>
        </w:rPr>
        <w:t xml:space="preserve">и се катаболизира предимно от </w:t>
      </w:r>
      <w:r w:rsidRPr="00A970DD">
        <w:rPr>
          <w:rFonts w:eastAsia="Times New Roman" w:cs="Arial"/>
          <w:color w:val="000000"/>
          <w:lang w:val="en-US"/>
        </w:rPr>
        <w:t>LDL</w:t>
      </w:r>
      <w:r w:rsidRPr="00A970DD">
        <w:rPr>
          <w:rFonts w:eastAsia="Times New Roman" w:cs="Arial"/>
          <w:color w:val="000000"/>
          <w:lang w:eastAsia="bg-BG"/>
        </w:rPr>
        <w:t xml:space="preserve"> рецептор с висок афинитет. </w:t>
      </w:r>
    </w:p>
    <w:p w14:paraId="57D998DD" w14:textId="77777777" w:rsidR="00A970DD" w:rsidRPr="00A970DD" w:rsidRDefault="00A970DD" w:rsidP="00A970DD">
      <w:pPr>
        <w:rPr>
          <w:rFonts w:eastAsia="Times New Roman" w:cs="Arial"/>
          <w:sz w:val="28"/>
          <w:szCs w:val="28"/>
          <w:lang w:eastAsia="bg-BG"/>
        </w:rPr>
      </w:pPr>
      <w:r w:rsidRPr="00A970DD">
        <w:rPr>
          <w:rFonts w:eastAsia="Times New Roman" w:cs="Arial"/>
          <w:color w:val="000000"/>
          <w:lang w:eastAsia="bg-BG"/>
        </w:rPr>
        <w:t xml:space="preserve">Механизмът на </w:t>
      </w:r>
      <w:r w:rsidRPr="00A970DD">
        <w:rPr>
          <w:rFonts w:eastAsia="Times New Roman" w:cs="Arial"/>
          <w:color w:val="000000"/>
          <w:lang w:val="en-US"/>
        </w:rPr>
        <w:t>LDL</w:t>
      </w:r>
      <w:r w:rsidRPr="00A970DD">
        <w:rPr>
          <w:rFonts w:eastAsia="Times New Roman" w:cs="Arial"/>
          <w:color w:val="000000"/>
          <w:lang w:eastAsia="bg-BG"/>
        </w:rPr>
        <w:t>-понижаващия ефект на симвастатин може да</w:t>
      </w:r>
      <w:r w:rsidRPr="00A970DD">
        <w:rPr>
          <w:rFonts w:eastAsia="Times New Roman" w:cs="Arial"/>
          <w:color w:val="000000"/>
          <w:lang w:eastAsia="bg-BG"/>
        </w:rPr>
        <w:t xml:space="preserve"> </w:t>
      </w:r>
      <w:r w:rsidRPr="00A970DD">
        <w:rPr>
          <w:rFonts w:eastAsia="Times New Roman" w:cs="Arial"/>
          <w:color w:val="000000"/>
          <w:lang w:eastAsia="bg-BG"/>
        </w:rPr>
        <w:t xml:space="preserve">включва намаление на концентрациите на </w:t>
      </w:r>
      <w:r w:rsidRPr="00A970DD">
        <w:rPr>
          <w:rFonts w:eastAsia="Times New Roman" w:cs="Arial"/>
          <w:color w:val="000000"/>
          <w:lang w:val="en-US"/>
        </w:rPr>
        <w:t>VLDL</w:t>
      </w:r>
      <w:r w:rsidRPr="00A970DD">
        <w:rPr>
          <w:rFonts w:eastAsia="Times New Roman" w:cs="Arial"/>
          <w:color w:val="000000"/>
          <w:lang w:eastAsia="bg-BG"/>
        </w:rPr>
        <w:t xml:space="preserve">-холестерола </w:t>
      </w:r>
      <w:r w:rsidRPr="00A970DD">
        <w:rPr>
          <w:rFonts w:eastAsia="Times New Roman" w:cs="Arial"/>
          <w:color w:val="000000"/>
          <w:lang w:val="en-US"/>
        </w:rPr>
        <w:t xml:space="preserve">(VLDL-C) </w:t>
      </w:r>
      <w:r w:rsidRPr="00A970DD">
        <w:rPr>
          <w:rFonts w:eastAsia="Times New Roman" w:cs="Arial"/>
          <w:color w:val="000000"/>
          <w:lang w:eastAsia="bg-BG"/>
        </w:rPr>
        <w:t xml:space="preserve">и индукция на </w:t>
      </w:r>
      <w:r w:rsidRPr="00A970DD">
        <w:rPr>
          <w:rFonts w:eastAsia="Times New Roman" w:cs="Arial"/>
          <w:color w:val="000000"/>
          <w:lang w:val="en-US"/>
        </w:rPr>
        <w:t xml:space="preserve">LDL </w:t>
      </w:r>
      <w:r w:rsidRPr="00A970DD">
        <w:rPr>
          <w:rFonts w:eastAsia="Times New Roman" w:cs="Arial"/>
          <w:color w:val="000000"/>
          <w:lang w:eastAsia="bg-BG"/>
        </w:rPr>
        <w:t xml:space="preserve">рецептор, водещо до намалена продукция и повишен катаболизъм на </w:t>
      </w:r>
      <w:r w:rsidRPr="00A970DD">
        <w:rPr>
          <w:rFonts w:eastAsia="Times New Roman" w:cs="Arial"/>
          <w:color w:val="000000"/>
          <w:lang w:val="en-US"/>
        </w:rPr>
        <w:t>LDL</w:t>
      </w:r>
      <w:r w:rsidRPr="00A970DD">
        <w:rPr>
          <w:rFonts w:eastAsia="Times New Roman" w:cs="Arial"/>
          <w:color w:val="000000"/>
          <w:lang w:eastAsia="bg-BG"/>
        </w:rPr>
        <w:t xml:space="preserve">-С. Концентрациите на аполипопротеин В също намаляват значително по време на лечение със симвастатин. Освен това, симвастатин умерено увеличава </w:t>
      </w:r>
      <w:r w:rsidRPr="00A970DD">
        <w:rPr>
          <w:rFonts w:eastAsia="Times New Roman" w:cs="Arial"/>
          <w:color w:val="000000"/>
          <w:lang w:val="en-US"/>
        </w:rPr>
        <w:t xml:space="preserve">HDL-C </w:t>
      </w:r>
      <w:r w:rsidRPr="00A970DD">
        <w:rPr>
          <w:rFonts w:eastAsia="Times New Roman" w:cs="Arial"/>
          <w:color w:val="000000"/>
          <w:lang w:eastAsia="bg-BG"/>
        </w:rPr>
        <w:t xml:space="preserve">и намалява плазмените триглицерцди </w:t>
      </w:r>
      <w:r w:rsidRPr="00A970DD">
        <w:rPr>
          <w:rFonts w:eastAsia="Times New Roman" w:cs="Arial"/>
          <w:color w:val="000000"/>
          <w:lang w:val="en-US"/>
        </w:rPr>
        <w:t xml:space="preserve">(TG). </w:t>
      </w:r>
      <w:r w:rsidRPr="00A970DD">
        <w:rPr>
          <w:rFonts w:eastAsia="Times New Roman" w:cs="Arial"/>
          <w:color w:val="000000"/>
          <w:lang w:eastAsia="bg-BG"/>
        </w:rPr>
        <w:t xml:space="preserve">В резултат на тези промени съотношението общ холестерол към </w:t>
      </w:r>
      <w:r w:rsidRPr="00A970DD">
        <w:rPr>
          <w:rFonts w:eastAsia="Times New Roman" w:cs="Arial"/>
          <w:color w:val="000000"/>
          <w:lang w:val="en-US"/>
        </w:rPr>
        <w:t xml:space="preserve">HDL-C </w:t>
      </w:r>
      <w:r w:rsidRPr="00A970DD">
        <w:rPr>
          <w:rFonts w:eastAsia="Times New Roman" w:cs="Arial"/>
          <w:color w:val="000000"/>
          <w:lang w:eastAsia="bg-BG"/>
        </w:rPr>
        <w:t xml:space="preserve">и </w:t>
      </w:r>
      <w:r w:rsidRPr="00A970DD">
        <w:rPr>
          <w:rFonts w:eastAsia="Times New Roman" w:cs="Arial"/>
          <w:color w:val="000000"/>
          <w:lang w:val="en-US"/>
        </w:rPr>
        <w:t>LDL</w:t>
      </w:r>
      <w:r w:rsidRPr="00A970DD">
        <w:rPr>
          <w:rFonts w:eastAsia="Times New Roman" w:cs="Arial"/>
          <w:color w:val="000000"/>
          <w:lang w:eastAsia="bg-BG"/>
        </w:rPr>
        <w:t xml:space="preserve">-С към </w:t>
      </w:r>
      <w:r w:rsidRPr="00A970DD">
        <w:rPr>
          <w:rFonts w:eastAsia="Times New Roman" w:cs="Arial"/>
          <w:color w:val="000000"/>
          <w:lang w:val="en-US"/>
        </w:rPr>
        <w:t xml:space="preserve">HDL-C </w:t>
      </w:r>
      <w:r w:rsidRPr="00A970DD">
        <w:rPr>
          <w:rFonts w:eastAsia="Times New Roman" w:cs="Arial"/>
          <w:color w:val="000000"/>
          <w:lang w:eastAsia="bg-BG"/>
        </w:rPr>
        <w:t>се намалява.</w:t>
      </w:r>
    </w:p>
    <w:p w14:paraId="17347D82" w14:textId="77777777" w:rsidR="00A970DD" w:rsidRPr="00A970DD" w:rsidRDefault="00A970DD" w:rsidP="00A970DD">
      <w:pPr>
        <w:spacing w:line="240" w:lineRule="auto"/>
        <w:rPr>
          <w:rFonts w:eastAsia="Times New Roman" w:cs="Arial"/>
          <w:i/>
          <w:iCs/>
          <w:color w:val="000000"/>
          <w:lang w:eastAsia="bg-BG"/>
        </w:rPr>
      </w:pPr>
    </w:p>
    <w:p w14:paraId="51CA49E6" w14:textId="66DF14F9" w:rsidR="00A970DD" w:rsidRPr="00A970DD" w:rsidRDefault="00A970DD" w:rsidP="00A970DD">
      <w:pPr>
        <w:spacing w:line="240" w:lineRule="auto"/>
        <w:rPr>
          <w:rFonts w:eastAsia="Times New Roman" w:cs="Arial"/>
          <w:sz w:val="28"/>
          <w:szCs w:val="28"/>
          <w:lang w:eastAsia="bg-BG"/>
        </w:rPr>
      </w:pPr>
      <w:r w:rsidRPr="00A970DD">
        <w:rPr>
          <w:rFonts w:eastAsia="Times New Roman" w:cs="Arial"/>
          <w:i/>
          <w:iCs/>
          <w:color w:val="000000"/>
          <w:lang w:eastAsia="bg-BG"/>
        </w:rPr>
        <w:t xml:space="preserve">Висок риск от исхемична болест на сърцето (ИБС) или налична исхемична болест на сърцето </w:t>
      </w:r>
      <w:r w:rsidRPr="00A970DD">
        <w:rPr>
          <w:rFonts w:eastAsia="Times New Roman" w:cs="Arial"/>
          <w:color w:val="000000"/>
          <w:lang w:eastAsia="bg-BG"/>
        </w:rPr>
        <w:t xml:space="preserve">При </w:t>
      </w:r>
      <w:r w:rsidRPr="00A970DD">
        <w:rPr>
          <w:rFonts w:eastAsia="Times New Roman" w:cs="Arial"/>
          <w:color w:val="000000"/>
          <w:lang w:val="en-US"/>
        </w:rPr>
        <w:t xml:space="preserve">Heart Protection Study (HPS) </w:t>
      </w:r>
      <w:r w:rsidRPr="00A970DD">
        <w:rPr>
          <w:rFonts w:eastAsia="Times New Roman" w:cs="Arial"/>
          <w:color w:val="000000"/>
          <w:lang w:eastAsia="bg-BG"/>
        </w:rPr>
        <w:t xml:space="preserve">ефектите от лечението със симвастатин са били оценени при 20 536 пациенти (на възраст 40-80 години), с или без хиперлипидемия, и с исхемична болест на сърцето, друго оклузивно артериално заболяване и захарен диабет. По време на това изследване 10 269 пациенти са били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и 10 267 пациенти са получавали плацебо в продължение на средно 5 години. В началото 6793 пациенти (33%) са имали нива на </w:t>
      </w:r>
      <w:r w:rsidRPr="00A970DD">
        <w:rPr>
          <w:rFonts w:eastAsia="Times New Roman" w:cs="Arial"/>
          <w:color w:val="000000"/>
          <w:lang w:val="en-US"/>
        </w:rPr>
        <w:t>LDL</w:t>
      </w:r>
      <w:r w:rsidRPr="00A970DD">
        <w:rPr>
          <w:rFonts w:eastAsia="Times New Roman" w:cs="Arial"/>
          <w:color w:val="000000"/>
          <w:lang w:eastAsia="bg-BG"/>
        </w:rPr>
        <w:t xml:space="preserve">-С под 116 </w:t>
      </w:r>
      <w:r w:rsidRPr="00A970DD">
        <w:rPr>
          <w:rFonts w:eastAsia="Times New Roman" w:cs="Arial"/>
          <w:color w:val="000000"/>
          <w:lang w:val="en-US"/>
        </w:rPr>
        <w:t xml:space="preserve">mg/dL; </w:t>
      </w:r>
      <w:r w:rsidRPr="00A970DD">
        <w:rPr>
          <w:rFonts w:eastAsia="Times New Roman" w:cs="Arial"/>
          <w:color w:val="000000"/>
          <w:lang w:eastAsia="bg-BG"/>
        </w:rPr>
        <w:t xml:space="preserve">5063 пациенти (25%) са имали нива между 116 </w:t>
      </w:r>
      <w:r w:rsidRPr="00A970DD">
        <w:rPr>
          <w:rFonts w:eastAsia="Times New Roman" w:cs="Arial"/>
          <w:color w:val="000000"/>
          <w:lang w:val="en-US"/>
        </w:rPr>
        <w:t xml:space="preserve">mg/dL </w:t>
      </w:r>
      <w:r w:rsidRPr="00A970DD">
        <w:rPr>
          <w:rFonts w:eastAsia="Times New Roman" w:cs="Arial"/>
          <w:color w:val="000000"/>
          <w:lang w:eastAsia="bg-BG"/>
        </w:rPr>
        <w:t xml:space="preserve">и 135 </w:t>
      </w:r>
      <w:r w:rsidRPr="00A970DD">
        <w:rPr>
          <w:rFonts w:eastAsia="Times New Roman" w:cs="Arial"/>
          <w:color w:val="000000"/>
          <w:lang w:val="en-US"/>
        </w:rPr>
        <w:t xml:space="preserve">mg/dL; </w:t>
      </w:r>
      <w:r w:rsidRPr="00A970DD">
        <w:rPr>
          <w:rFonts w:eastAsia="Times New Roman" w:cs="Arial"/>
          <w:color w:val="000000"/>
          <w:lang w:eastAsia="bg-BG"/>
        </w:rPr>
        <w:t xml:space="preserve">и 8680 пациенти (42%) са имали нива над 135 </w:t>
      </w:r>
      <w:r w:rsidRPr="00A970DD">
        <w:rPr>
          <w:rFonts w:eastAsia="Times New Roman" w:cs="Arial"/>
          <w:color w:val="000000"/>
          <w:lang w:val="en-US"/>
        </w:rPr>
        <w:t>mg/dL.</w:t>
      </w:r>
    </w:p>
    <w:p w14:paraId="7BF73A59" w14:textId="77777777" w:rsidR="00A970DD" w:rsidRPr="00A970DD" w:rsidRDefault="00A970DD" w:rsidP="00A970DD">
      <w:pPr>
        <w:spacing w:line="240" w:lineRule="auto"/>
        <w:rPr>
          <w:rFonts w:eastAsia="Times New Roman" w:cs="Arial"/>
          <w:color w:val="000000"/>
          <w:lang w:eastAsia="bg-BG"/>
        </w:rPr>
      </w:pPr>
    </w:p>
    <w:p w14:paraId="5881EF32" w14:textId="53BFB10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lastRenderedPageBreak/>
        <w:t xml:space="preserve">Лечението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дневно е намалило значимо риска от смъртност от всякакви причини в сравнение с плацебо (1328 [12,9%] при пациентите, лекувани със симвастатин срещу 1507 [14,7%] при пациентите с плацебо; р = 0,0003), поради 18% намаление на честотата на смърт поради коронарно заболяване (587 [5,7%] срещу 707 [6.9%]; р = 0,0005; намаление на абсолютния риск 1.2%). Намалението на смъртността по неваскуларни причини не е достигнало статистическа значимост. Симвастатин е намалил и риска от големи коронарни събития (съставна крайна точка, състояща се от нефатални МИ или смърт от ИБС) с 27% (р &lt; 0,0001). Симвастатин е намалил необходимостта от реваскуларизация (включително байпас на коронарна артерия или перкутанна транслуминална коронарна ангиопластика) и периферна или друга некоронарна реваскуларизация с 30% (р &lt; 0,0001) и 16% (р = 0,006) съответно.</w:t>
      </w:r>
    </w:p>
    <w:p w14:paraId="0BC2278F"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е намалил риска от инсулт с 25% (р &lt; 0,0001), което се отдава на намаление на случаите с исхемичен инсулт с 30% (р &lt; 0,0001). Освен това, в подгрупата на пациенти с диабет, симвастатин е намалил риска от развитие на макроваскуларни усложнения, включително и периферна реваскуларизация (операция или ангиопластика), ампутацията на долните крайници или язви на краката с 21% (р = 0.0293). Делът на намаление на честотата на събитията е била подобна във всяка подгрупа от изследваните пациенти, включително тези без исхемична болест, но със заболяване на мозъчните или периферните артерии, мъже и жени, под или над 70-годишна възраст в началото на изпитването, наличие или отсъствие на хипертензия, и особено на тези с </w:t>
      </w:r>
      <w:r w:rsidRPr="00A970DD">
        <w:rPr>
          <w:rFonts w:eastAsia="Times New Roman" w:cs="Arial"/>
          <w:color w:val="000000"/>
          <w:lang w:val="en-US"/>
        </w:rPr>
        <w:t xml:space="preserve">LDL </w:t>
      </w:r>
      <w:r w:rsidRPr="00A970DD">
        <w:rPr>
          <w:rFonts w:eastAsia="Times New Roman" w:cs="Arial"/>
          <w:color w:val="000000"/>
          <w:lang w:eastAsia="bg-BG"/>
        </w:rPr>
        <w:t xml:space="preserve">холестерол под 3.0 </w:t>
      </w:r>
      <w:r w:rsidRPr="00A970DD">
        <w:rPr>
          <w:rFonts w:eastAsia="Times New Roman" w:cs="Arial"/>
          <w:color w:val="000000"/>
          <w:lang w:val="en-US"/>
        </w:rPr>
        <w:t xml:space="preserve">mmol/l </w:t>
      </w:r>
      <w:r w:rsidRPr="00A970DD">
        <w:rPr>
          <w:rFonts w:eastAsia="Times New Roman" w:cs="Arial"/>
          <w:color w:val="000000"/>
          <w:lang w:eastAsia="bg-BG"/>
        </w:rPr>
        <w:t>при включването в изследването.</w:t>
      </w:r>
    </w:p>
    <w:p w14:paraId="7B8DB6B9" w14:textId="77777777" w:rsidR="00A970DD" w:rsidRPr="00A970DD" w:rsidRDefault="00A970DD" w:rsidP="00A970DD">
      <w:pPr>
        <w:spacing w:line="240" w:lineRule="auto"/>
        <w:rPr>
          <w:rFonts w:eastAsia="Times New Roman" w:cs="Arial"/>
          <w:color w:val="000000"/>
          <w:lang w:eastAsia="bg-BG"/>
        </w:rPr>
      </w:pPr>
    </w:p>
    <w:p w14:paraId="32745CFC" w14:textId="56865C3F"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В </w:t>
      </w:r>
      <w:r w:rsidRPr="00A970DD">
        <w:rPr>
          <w:rFonts w:eastAsia="Times New Roman" w:cs="Arial"/>
          <w:color w:val="000000"/>
          <w:lang w:val="en-US"/>
        </w:rPr>
        <w:t xml:space="preserve">Scandinavian </w:t>
      </w:r>
      <w:proofErr w:type="spellStart"/>
      <w:r w:rsidRPr="00A970DD">
        <w:rPr>
          <w:rFonts w:eastAsia="Times New Roman" w:cs="Arial"/>
          <w:color w:val="000000"/>
          <w:lang w:val="en-US"/>
        </w:rPr>
        <w:t>Simvasattin</w:t>
      </w:r>
      <w:proofErr w:type="spellEnd"/>
      <w:r w:rsidRPr="00A970DD">
        <w:rPr>
          <w:rFonts w:eastAsia="Times New Roman" w:cs="Arial"/>
          <w:color w:val="000000"/>
          <w:lang w:val="en-US"/>
        </w:rPr>
        <w:t xml:space="preserve"> Survival Study (4S), </w:t>
      </w:r>
      <w:r w:rsidRPr="00A970DD">
        <w:rPr>
          <w:rFonts w:eastAsia="Times New Roman" w:cs="Arial"/>
          <w:color w:val="000000"/>
          <w:lang w:eastAsia="bg-BG"/>
        </w:rPr>
        <w:t xml:space="preserve">ефектът от лечението със симвастатин върху общата смъртност е оценяван при 4444 пациенти с ИБС и общ холестерол в началото на изследването 212-309 </w:t>
      </w:r>
      <w:r w:rsidRPr="00A970DD">
        <w:rPr>
          <w:rFonts w:eastAsia="Times New Roman" w:cs="Arial"/>
          <w:color w:val="000000"/>
          <w:lang w:val="en-US"/>
        </w:rPr>
        <w:t xml:space="preserve">mg/dL </w:t>
      </w:r>
      <w:r w:rsidRPr="00A970DD">
        <w:rPr>
          <w:rFonts w:eastAsia="Times New Roman" w:cs="Arial"/>
          <w:color w:val="000000"/>
          <w:lang w:eastAsia="bg-BG"/>
        </w:rPr>
        <w:t xml:space="preserve">(5,5-8,0 </w:t>
      </w:r>
      <w:r w:rsidRPr="00A970DD">
        <w:rPr>
          <w:rFonts w:eastAsia="Times New Roman" w:cs="Arial"/>
          <w:color w:val="000000"/>
          <w:lang w:val="en-US"/>
        </w:rPr>
        <w:t xml:space="preserve">mmol/L). </w:t>
      </w:r>
      <w:r w:rsidRPr="00A970DD">
        <w:rPr>
          <w:rFonts w:eastAsia="Times New Roman" w:cs="Arial"/>
          <w:color w:val="000000"/>
          <w:lang w:eastAsia="bg-BG"/>
        </w:rPr>
        <w:t xml:space="preserve">В това мултицентрово, рандомизирано, двойно- сляпо, плацебо-контролирано клинично изпитване пациенти със стенокардия или анамнеза за миокарден инфаркт (МИ) са били лекувани с диета, стандартно лечение или симвастатин 20-40 </w:t>
      </w:r>
      <w:r w:rsidRPr="00A970DD">
        <w:rPr>
          <w:rFonts w:eastAsia="Times New Roman" w:cs="Arial"/>
          <w:color w:val="000000"/>
          <w:lang w:val="en-US"/>
        </w:rPr>
        <w:t xml:space="preserve">mg </w:t>
      </w:r>
      <w:r w:rsidRPr="00A970DD">
        <w:rPr>
          <w:rFonts w:eastAsia="Times New Roman" w:cs="Arial"/>
          <w:color w:val="000000"/>
          <w:lang w:eastAsia="bg-BG"/>
        </w:rPr>
        <w:t>дневно (</w:t>
      </w:r>
      <w:r w:rsidRPr="00A970DD">
        <w:rPr>
          <w:rFonts w:eastAsia="Times New Roman" w:cs="Arial"/>
          <w:color w:val="000000"/>
          <w:lang w:val="en-US"/>
        </w:rPr>
        <w:t>n</w:t>
      </w:r>
      <w:r w:rsidRPr="00A970DD">
        <w:rPr>
          <w:rFonts w:eastAsia="Times New Roman" w:cs="Arial"/>
          <w:color w:val="000000"/>
          <w:lang w:eastAsia="bg-BG"/>
        </w:rPr>
        <w:t>= 2221) или с плацебо (</w:t>
      </w:r>
      <w:r w:rsidRPr="00A970DD">
        <w:rPr>
          <w:rFonts w:eastAsia="Times New Roman" w:cs="Arial"/>
          <w:color w:val="000000"/>
          <w:lang w:val="en-US"/>
        </w:rPr>
        <w:t>n</w:t>
      </w:r>
      <w:r w:rsidRPr="00A970DD">
        <w:rPr>
          <w:rFonts w:eastAsia="Times New Roman" w:cs="Arial"/>
          <w:color w:val="000000"/>
          <w:lang w:eastAsia="bg-BG"/>
        </w:rPr>
        <w:t>= 2223) в продължение на средно 5,4 години. Симвастатин е намалил риска от смърт с 30% (намаление на абсолютния риск с 3,3%). Рискът от смърт от ИБС е бил намален с 42% (намаление на абсолютния риск с 3,5%). Симвастатин е намалил и риска от голямо коронарно събитие (смърт от ИБС плюс доказан в болнични условия безмълвен нефатален МИ) с 34 %. Освен това, симвастатин е намалил значимо риска от летални плюс нелегални мозъчносъдови събития (инсулт и преходни исхемични пристъпи) с 28%. Няма статистически значима разлика между групите по отношение на некардиоваскуларната смъртност.</w:t>
      </w:r>
    </w:p>
    <w:p w14:paraId="6EC6570F" w14:textId="77777777" w:rsidR="00A970DD" w:rsidRPr="00A970DD" w:rsidRDefault="00A970DD" w:rsidP="00A970DD">
      <w:pPr>
        <w:spacing w:line="240" w:lineRule="auto"/>
        <w:rPr>
          <w:rFonts w:eastAsia="Times New Roman" w:cs="Arial"/>
          <w:color w:val="000000"/>
          <w:lang w:eastAsia="bg-BG"/>
        </w:rPr>
      </w:pPr>
    </w:p>
    <w:p w14:paraId="53AF4310" w14:textId="77777777" w:rsidR="00A970DD" w:rsidRPr="00A970DD" w:rsidRDefault="00A970DD" w:rsidP="00A970DD">
      <w:pPr>
        <w:rPr>
          <w:rFonts w:eastAsia="Times New Roman" w:cs="Arial"/>
          <w:sz w:val="28"/>
          <w:szCs w:val="28"/>
          <w:lang w:eastAsia="bg-BG"/>
        </w:rPr>
      </w:pPr>
      <w:r w:rsidRPr="00A970DD">
        <w:rPr>
          <w:rFonts w:eastAsia="Times New Roman" w:cs="Arial"/>
          <w:color w:val="000000"/>
          <w:lang w:eastAsia="bg-BG"/>
        </w:rPr>
        <w:t xml:space="preserve">Проучването </w:t>
      </w:r>
      <w:r w:rsidRPr="00A970DD">
        <w:rPr>
          <w:rFonts w:eastAsia="Times New Roman" w:cs="Arial"/>
          <w:color w:val="000000"/>
          <w:lang w:val="en-US"/>
        </w:rPr>
        <w:t xml:space="preserve">Effectiveness of Additional Reductions in Cholesterol and Homocysteine (SEARCH) </w:t>
      </w:r>
      <w:r w:rsidRPr="00A970DD">
        <w:rPr>
          <w:rFonts w:eastAsia="Times New Roman" w:cs="Arial"/>
          <w:color w:val="000000"/>
          <w:lang w:eastAsia="bg-BG"/>
        </w:rPr>
        <w:t xml:space="preserve">оценява ефекта от лечението със симвастатин 80 </w:t>
      </w:r>
      <w:r w:rsidRPr="00A970DD">
        <w:rPr>
          <w:rFonts w:eastAsia="Times New Roman" w:cs="Arial"/>
          <w:color w:val="000000"/>
          <w:lang w:val="en-US"/>
        </w:rPr>
        <w:t xml:space="preserve">mg </w:t>
      </w:r>
      <w:r w:rsidRPr="00A970DD">
        <w:rPr>
          <w:rFonts w:eastAsia="Times New Roman" w:cs="Arial"/>
          <w:color w:val="000000"/>
          <w:lang w:eastAsia="bg-BG"/>
        </w:rPr>
        <w:t xml:space="preserve">срещу 20 </w:t>
      </w:r>
      <w:r w:rsidRPr="00A970DD">
        <w:rPr>
          <w:rFonts w:eastAsia="Times New Roman" w:cs="Arial"/>
          <w:color w:val="000000"/>
          <w:lang w:val="en-US"/>
        </w:rPr>
        <w:t xml:space="preserve">mg </w:t>
      </w:r>
      <w:r w:rsidRPr="00A970DD">
        <w:rPr>
          <w:rFonts w:eastAsia="Times New Roman" w:cs="Arial"/>
          <w:color w:val="000000"/>
          <w:lang w:eastAsia="bg-BG"/>
        </w:rPr>
        <w:t xml:space="preserve">(средно проследяване 6,7 години) на големи съдови инциденти </w:t>
      </w:r>
      <w:r w:rsidRPr="00A970DD">
        <w:rPr>
          <w:rFonts w:eastAsia="Times New Roman" w:cs="Arial"/>
          <w:color w:val="000000"/>
          <w:lang w:val="en-US"/>
        </w:rPr>
        <w:t xml:space="preserve">(MVEs; </w:t>
      </w:r>
      <w:r w:rsidRPr="00A970DD">
        <w:rPr>
          <w:rFonts w:eastAsia="Times New Roman" w:cs="Arial"/>
          <w:color w:val="000000"/>
          <w:lang w:eastAsia="bg-BG"/>
        </w:rPr>
        <w:t xml:space="preserve">определяни като фатални </w:t>
      </w:r>
      <w:r w:rsidRPr="00A970DD">
        <w:rPr>
          <w:rFonts w:eastAsia="Times New Roman" w:cs="Arial"/>
          <w:color w:val="000000"/>
          <w:lang w:val="en-US"/>
        </w:rPr>
        <w:t>CHD,</w:t>
      </w:r>
      <w:r w:rsidRPr="00A970DD">
        <w:rPr>
          <w:rFonts w:eastAsia="Times New Roman" w:cs="Arial"/>
          <w:color w:val="000000"/>
          <w:lang w:eastAsia="bg-BG"/>
        </w:rPr>
        <w:t xml:space="preserve"> нефатален </w:t>
      </w:r>
      <w:r w:rsidRPr="00A970DD">
        <w:rPr>
          <w:rFonts w:eastAsia="Times New Roman" w:cs="Arial"/>
          <w:color w:val="000000"/>
          <w:lang w:val="en-US"/>
        </w:rPr>
        <w:t>MI,</w:t>
      </w:r>
      <w:r w:rsidRPr="00A970DD">
        <w:rPr>
          <w:rFonts w:eastAsia="Times New Roman" w:cs="Arial"/>
          <w:color w:val="000000"/>
          <w:lang w:eastAsia="bg-BG"/>
        </w:rPr>
        <w:t xml:space="preserve"> процедура на коронарна реваскуларизация, нефатален или фатален инсулт,</w:t>
      </w:r>
      <w:r w:rsidRPr="00A970DD">
        <w:rPr>
          <w:rFonts w:eastAsia="Times New Roman" w:cs="Arial"/>
          <w:color w:val="000000"/>
          <w:lang w:val="en-US"/>
        </w:rPr>
        <w:t xml:space="preserve"> </w:t>
      </w:r>
      <w:r w:rsidRPr="00A970DD">
        <w:rPr>
          <w:rFonts w:eastAsia="Times New Roman" w:cs="Arial"/>
          <w:color w:val="000000"/>
          <w:lang w:eastAsia="bg-BG"/>
        </w:rPr>
        <w:t>или процедура за</w:t>
      </w:r>
      <w:r w:rsidRPr="00A970DD">
        <w:rPr>
          <w:rFonts w:eastAsia="Times New Roman" w:cs="Arial"/>
          <w:sz w:val="28"/>
          <w:szCs w:val="28"/>
          <w:lang w:eastAsia="bg-BG"/>
        </w:rPr>
        <w:t xml:space="preserve"> </w:t>
      </w:r>
      <w:r w:rsidRPr="00A970DD">
        <w:rPr>
          <w:rFonts w:eastAsia="Times New Roman" w:cs="Arial"/>
          <w:color w:val="000000"/>
          <w:lang w:eastAsia="bg-BG"/>
        </w:rPr>
        <w:t>периферна реваскуларизация) при 12 064 пациенти с преживян инфаркт на миокарда. Няма</w:t>
      </w:r>
      <w:r w:rsidRPr="00A970DD">
        <w:rPr>
          <w:rFonts w:eastAsia="Times New Roman" w:cs="Arial"/>
          <w:sz w:val="28"/>
          <w:szCs w:val="28"/>
          <w:lang w:eastAsia="bg-BG"/>
        </w:rPr>
        <w:t xml:space="preserve"> </w:t>
      </w:r>
      <w:r w:rsidRPr="00A970DD">
        <w:rPr>
          <w:rFonts w:eastAsia="Times New Roman" w:cs="Arial"/>
          <w:color w:val="000000"/>
          <w:lang w:eastAsia="bg-BG"/>
        </w:rPr>
        <w:t xml:space="preserve">значима разлика в честотата на </w:t>
      </w:r>
      <w:r w:rsidRPr="00A970DD">
        <w:rPr>
          <w:rFonts w:eastAsia="Times New Roman" w:cs="Arial"/>
          <w:color w:val="000000"/>
          <w:lang w:val="en-US"/>
        </w:rPr>
        <w:t xml:space="preserve">MVEs </w:t>
      </w:r>
      <w:r w:rsidRPr="00A970DD">
        <w:rPr>
          <w:rFonts w:eastAsia="Times New Roman" w:cs="Arial"/>
          <w:color w:val="000000"/>
          <w:lang w:eastAsia="bg-BG"/>
        </w:rPr>
        <w:t xml:space="preserve">между две групи; симвастатин 20 </w:t>
      </w:r>
      <w:r w:rsidRPr="00A970DD">
        <w:rPr>
          <w:rFonts w:eastAsia="Times New Roman" w:cs="Arial"/>
          <w:color w:val="000000"/>
          <w:lang w:val="en-US"/>
        </w:rPr>
        <w:t>mg</w:t>
      </w:r>
      <w:r w:rsidRPr="00A970DD">
        <w:rPr>
          <w:rFonts w:eastAsia="Times New Roman" w:cs="Arial"/>
          <w:color w:val="000000"/>
          <w:lang w:eastAsia="bg-BG"/>
        </w:rPr>
        <w:t xml:space="preserve"> (</w:t>
      </w:r>
      <w:r w:rsidRPr="00A970DD">
        <w:rPr>
          <w:rFonts w:eastAsia="Times New Roman" w:cs="Arial"/>
          <w:color w:val="000000"/>
          <w:lang w:val="en-US"/>
        </w:rPr>
        <w:t>N= 1553; 25,7%)</w:t>
      </w:r>
      <w:r w:rsidRPr="00A970DD">
        <w:rPr>
          <w:rFonts w:eastAsia="Times New Roman" w:cs="Arial"/>
          <w:color w:val="000000"/>
        </w:rPr>
        <w:t xml:space="preserve"> </w:t>
      </w:r>
      <w:r w:rsidRPr="00A970DD">
        <w:rPr>
          <w:rFonts w:eastAsia="Times New Roman" w:cs="Arial"/>
          <w:color w:val="000000"/>
          <w:lang w:eastAsia="bg-BG"/>
        </w:rPr>
        <w:t xml:space="preserve">спрямо симвастатин 80 </w:t>
      </w:r>
      <w:r w:rsidRPr="00A970DD">
        <w:rPr>
          <w:rFonts w:eastAsia="Times New Roman" w:cs="Arial"/>
          <w:color w:val="000000"/>
          <w:lang w:val="en-US"/>
        </w:rPr>
        <w:t xml:space="preserve">mg (N </w:t>
      </w:r>
      <w:r w:rsidRPr="00A970DD">
        <w:rPr>
          <w:rFonts w:eastAsia="Times New Roman" w:cs="Arial"/>
          <w:color w:val="000000"/>
          <w:lang w:eastAsia="bg-BG"/>
        </w:rPr>
        <w:t xml:space="preserve">= 1477; 24.5%), </w:t>
      </w:r>
      <w:r w:rsidRPr="00A970DD">
        <w:rPr>
          <w:rFonts w:eastAsia="Times New Roman" w:cs="Arial"/>
          <w:color w:val="000000"/>
          <w:lang w:val="en-US"/>
        </w:rPr>
        <w:t xml:space="preserve">RR </w:t>
      </w:r>
      <w:r w:rsidRPr="00A970DD">
        <w:rPr>
          <w:rFonts w:eastAsia="Times New Roman" w:cs="Arial"/>
          <w:color w:val="000000"/>
          <w:lang w:eastAsia="bg-BG"/>
        </w:rPr>
        <w:t xml:space="preserve">0.94, 95% </w:t>
      </w:r>
      <w:r w:rsidRPr="00A970DD">
        <w:rPr>
          <w:rFonts w:eastAsia="Times New Roman" w:cs="Arial"/>
          <w:color w:val="000000"/>
          <w:lang w:val="en-US"/>
        </w:rPr>
        <w:t xml:space="preserve">CI: 0,88 </w:t>
      </w:r>
      <w:r w:rsidRPr="00A970DD">
        <w:rPr>
          <w:rFonts w:eastAsia="Times New Roman" w:cs="Arial"/>
          <w:color w:val="000000"/>
          <w:lang w:eastAsia="bg-BG"/>
        </w:rPr>
        <w:t xml:space="preserve">до </w:t>
      </w:r>
      <w:r w:rsidRPr="00A970DD">
        <w:rPr>
          <w:rFonts w:eastAsia="Times New Roman" w:cs="Arial"/>
          <w:color w:val="000000"/>
          <w:lang w:val="en-US"/>
        </w:rPr>
        <w:t xml:space="preserve">1,01 . </w:t>
      </w:r>
      <w:r w:rsidRPr="00A970DD">
        <w:rPr>
          <w:rFonts w:eastAsia="Times New Roman" w:cs="Arial"/>
          <w:color w:val="000000"/>
          <w:lang w:eastAsia="bg-BG"/>
        </w:rPr>
        <w:t xml:space="preserve">Абсолютната разлика в </w:t>
      </w:r>
      <w:r w:rsidRPr="00A970DD">
        <w:rPr>
          <w:rFonts w:eastAsia="Times New Roman" w:cs="Arial"/>
          <w:color w:val="000000"/>
          <w:lang w:val="en-US"/>
        </w:rPr>
        <w:t>LDL</w:t>
      </w:r>
      <w:r w:rsidRPr="00A970DD">
        <w:rPr>
          <w:rFonts w:eastAsia="Times New Roman" w:cs="Arial"/>
          <w:color w:val="000000"/>
          <w:lang w:eastAsia="bg-BG"/>
        </w:rPr>
        <w:t xml:space="preserve">-С между двете групи в хода на проучването е 0,35 ± 0.01 </w:t>
      </w:r>
      <w:r w:rsidRPr="00A970DD">
        <w:rPr>
          <w:rFonts w:eastAsia="Times New Roman" w:cs="Arial"/>
          <w:color w:val="000000"/>
          <w:lang w:val="en-US"/>
        </w:rPr>
        <w:t xml:space="preserve">mmol/L. </w:t>
      </w:r>
      <w:r w:rsidRPr="00A970DD">
        <w:rPr>
          <w:rFonts w:eastAsia="Times New Roman" w:cs="Arial"/>
          <w:color w:val="000000"/>
          <w:lang w:eastAsia="bg-BG"/>
        </w:rPr>
        <w:t xml:space="preserve">Профилът на безопасност е сходен между двете групи на лечение с изключение, че честотата на миопатия е приблизително 1,0% при пациентите на симвастатин 80 </w:t>
      </w:r>
      <w:r w:rsidRPr="00A970DD">
        <w:rPr>
          <w:rFonts w:eastAsia="Times New Roman" w:cs="Arial"/>
          <w:color w:val="000000"/>
          <w:lang w:val="en-US"/>
        </w:rPr>
        <w:t xml:space="preserve">mg </w:t>
      </w:r>
      <w:r w:rsidRPr="00A970DD">
        <w:rPr>
          <w:rFonts w:eastAsia="Times New Roman" w:cs="Arial"/>
          <w:color w:val="000000"/>
          <w:lang w:eastAsia="bg-BG"/>
        </w:rPr>
        <w:t xml:space="preserve">в сравнение с 0,02% при пациенти на 20 </w:t>
      </w:r>
      <w:r w:rsidRPr="00A970DD">
        <w:rPr>
          <w:rFonts w:eastAsia="Times New Roman" w:cs="Arial"/>
          <w:color w:val="000000"/>
          <w:lang w:val="en-US"/>
        </w:rPr>
        <w:t xml:space="preserve">mg. </w:t>
      </w:r>
      <w:r w:rsidRPr="00A970DD">
        <w:rPr>
          <w:rFonts w:eastAsia="Times New Roman" w:cs="Arial"/>
          <w:color w:val="000000"/>
          <w:lang w:eastAsia="bg-BG"/>
        </w:rPr>
        <w:t xml:space="preserve">Приблизително половината от тези случаи на миопатия са възникнали по време на </w:t>
      </w:r>
      <w:r w:rsidRPr="00A970DD">
        <w:rPr>
          <w:rFonts w:eastAsia="Times New Roman" w:cs="Arial"/>
          <w:color w:val="000000"/>
          <w:lang w:eastAsia="bg-BG"/>
        </w:rPr>
        <w:lastRenderedPageBreak/>
        <w:t>първата година от лечението. Честотата на миопатия по време на всяка следваща година от лечението е приблизително 0,1%.</w:t>
      </w:r>
    </w:p>
    <w:p w14:paraId="75C82510" w14:textId="77777777" w:rsidR="00A970DD" w:rsidRPr="00A970DD" w:rsidRDefault="00A970DD" w:rsidP="00A970DD">
      <w:pPr>
        <w:spacing w:line="240" w:lineRule="auto"/>
        <w:rPr>
          <w:rFonts w:eastAsia="Times New Roman" w:cs="Arial"/>
          <w:color w:val="000000"/>
          <w:u w:val="single"/>
          <w:lang w:eastAsia="bg-BG"/>
        </w:rPr>
      </w:pPr>
    </w:p>
    <w:p w14:paraId="05ACAE42" w14:textId="742620E0"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u w:val="single"/>
          <w:lang w:eastAsia="bg-BG"/>
        </w:rPr>
        <w:t>Първична хиперхолестеролемия и смесена хиперлипидемия</w:t>
      </w:r>
    </w:p>
    <w:p w14:paraId="4CA5CD9A"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При клинични изпитвания, сравняващи ефективността и безопасността на симвастатин 10,</w:t>
      </w:r>
      <w:r w:rsidRPr="00A970DD">
        <w:rPr>
          <w:rFonts w:eastAsia="Times New Roman" w:cs="Arial"/>
          <w:color w:val="000000"/>
          <w:lang w:val="en-US"/>
        </w:rPr>
        <w:t xml:space="preserve"> </w:t>
      </w:r>
      <w:r w:rsidRPr="00A970DD">
        <w:rPr>
          <w:rFonts w:eastAsia="Times New Roman" w:cs="Arial"/>
          <w:color w:val="000000"/>
          <w:lang w:eastAsia="bg-BG"/>
        </w:rPr>
        <w:t>20,</w:t>
      </w:r>
      <w:r w:rsidRPr="00A970DD">
        <w:rPr>
          <w:rFonts w:eastAsia="Times New Roman" w:cs="Arial"/>
          <w:color w:val="000000"/>
          <w:lang w:val="en-US"/>
        </w:rPr>
        <w:t xml:space="preserve"> </w:t>
      </w:r>
      <w:r w:rsidRPr="00A970DD">
        <w:rPr>
          <w:rFonts w:eastAsia="Times New Roman" w:cs="Arial"/>
          <w:color w:val="000000"/>
          <w:lang w:eastAsia="bg-BG"/>
        </w:rPr>
        <w:t xml:space="preserve">40 и 80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при пациенти с хиперхолестеролемия, средното намаление на </w:t>
      </w:r>
      <w:r w:rsidRPr="00A970DD">
        <w:rPr>
          <w:rFonts w:eastAsia="Times New Roman" w:cs="Arial"/>
          <w:color w:val="000000"/>
          <w:lang w:val="en-US"/>
        </w:rPr>
        <w:t>LDL</w:t>
      </w:r>
      <w:r w:rsidRPr="00A970DD">
        <w:rPr>
          <w:rFonts w:eastAsia="Times New Roman" w:cs="Arial"/>
          <w:color w:val="000000"/>
          <w:lang w:eastAsia="bg-BG"/>
        </w:rPr>
        <w:t>-С е било 30, 38,</w:t>
      </w:r>
      <w:r w:rsidRPr="00A970DD">
        <w:rPr>
          <w:rFonts w:eastAsia="Times New Roman" w:cs="Arial"/>
          <w:color w:val="000000"/>
          <w:lang w:val="en-US"/>
        </w:rPr>
        <w:t xml:space="preserve"> </w:t>
      </w:r>
      <w:r w:rsidRPr="00A970DD">
        <w:rPr>
          <w:rFonts w:eastAsia="Times New Roman" w:cs="Arial"/>
          <w:color w:val="000000"/>
          <w:lang w:eastAsia="bg-BG"/>
        </w:rPr>
        <w:t xml:space="preserve">41 и 47% съответно. При изследвания на пациенти с комбинирана (смесена) хиперлипидемия,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и 80 </w:t>
      </w:r>
      <w:r w:rsidRPr="00A970DD">
        <w:rPr>
          <w:rFonts w:eastAsia="Times New Roman" w:cs="Arial"/>
          <w:color w:val="000000"/>
          <w:lang w:val="en-US"/>
        </w:rPr>
        <w:t xml:space="preserve">mg, </w:t>
      </w:r>
      <w:r w:rsidRPr="00A970DD">
        <w:rPr>
          <w:rFonts w:eastAsia="Times New Roman" w:cs="Arial"/>
          <w:color w:val="000000"/>
          <w:lang w:eastAsia="bg-BG"/>
        </w:rPr>
        <w:t xml:space="preserve">средното намаление на триглицеридите е било 28 и 33% (плацебо: 2%) съответно, а средното увеличение на </w:t>
      </w:r>
      <w:r w:rsidRPr="00A970DD">
        <w:rPr>
          <w:rFonts w:eastAsia="Times New Roman" w:cs="Arial"/>
          <w:color w:val="000000"/>
          <w:lang w:val="en-US"/>
        </w:rPr>
        <w:t xml:space="preserve">HDL-C </w:t>
      </w:r>
      <w:r w:rsidRPr="00A970DD">
        <w:rPr>
          <w:rFonts w:eastAsia="Times New Roman" w:cs="Arial"/>
          <w:color w:val="000000"/>
          <w:lang w:eastAsia="bg-BG"/>
        </w:rPr>
        <w:t>е било 13 и 16% (плацебо: 3%) съответно.</w:t>
      </w:r>
    </w:p>
    <w:p w14:paraId="0E1AAA6A" w14:textId="77777777" w:rsidR="00A970DD" w:rsidRPr="00A970DD" w:rsidRDefault="00A970DD" w:rsidP="00A970DD">
      <w:pPr>
        <w:spacing w:line="240" w:lineRule="auto"/>
        <w:rPr>
          <w:rFonts w:eastAsia="Times New Roman" w:cs="Arial"/>
          <w:color w:val="000000"/>
          <w:u w:val="single"/>
          <w:lang w:eastAsia="bg-BG"/>
        </w:rPr>
      </w:pPr>
    </w:p>
    <w:p w14:paraId="0FCD6C8F" w14:textId="1A42C20A"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u w:val="single"/>
          <w:lang w:eastAsia="bg-BG"/>
        </w:rPr>
        <w:t>Клинични проучвания при деца и юноши (на възраст 10-17 години)</w:t>
      </w:r>
    </w:p>
    <w:p w14:paraId="56CA54BB"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В едно двойно-сляпо, плацебо-контролирано проучване, 175 пациенти (99 младежи II степен по Танер и нагоре и 76 девойки, които са поне една година след първата им менструация) на възраст от 10 -17 години (средна възраст 14,1 години), с хетерозиготна фамилна хиперхолестеролемия (ХеФХ), са били разпределени да получават симвастатин или плацебо в продължение на 24 седмици (основно проучване). За включване в проучването се е изисквало първоначално ниво на </w:t>
      </w:r>
      <w:r w:rsidRPr="00A970DD">
        <w:rPr>
          <w:rFonts w:eastAsia="Times New Roman" w:cs="Arial"/>
          <w:color w:val="000000"/>
          <w:lang w:val="en-US"/>
        </w:rPr>
        <w:t>LDL</w:t>
      </w:r>
      <w:r w:rsidRPr="00A970DD">
        <w:rPr>
          <w:rFonts w:eastAsia="Times New Roman" w:cs="Arial"/>
          <w:color w:val="000000"/>
          <w:lang w:eastAsia="bg-BG"/>
        </w:rPr>
        <w:t xml:space="preserve">-С между 160 и 400 </w:t>
      </w:r>
      <w:r w:rsidRPr="00A970DD">
        <w:rPr>
          <w:rFonts w:eastAsia="Times New Roman" w:cs="Arial"/>
          <w:color w:val="000000"/>
          <w:lang w:val="en-US"/>
        </w:rPr>
        <w:t xml:space="preserve">mg/dL </w:t>
      </w:r>
      <w:r w:rsidRPr="00A970DD">
        <w:rPr>
          <w:rFonts w:eastAsia="Times New Roman" w:cs="Arial"/>
          <w:color w:val="000000"/>
          <w:lang w:eastAsia="bg-BG"/>
        </w:rPr>
        <w:t xml:space="preserve">и поне един родител с ниво на </w:t>
      </w:r>
      <w:r w:rsidRPr="00A970DD">
        <w:rPr>
          <w:rFonts w:eastAsia="Times New Roman" w:cs="Arial"/>
          <w:color w:val="000000"/>
          <w:lang w:val="en-US"/>
        </w:rPr>
        <w:t xml:space="preserve">LDL-C&gt; </w:t>
      </w:r>
      <w:r w:rsidRPr="00A970DD">
        <w:rPr>
          <w:rFonts w:eastAsia="Times New Roman" w:cs="Arial"/>
          <w:color w:val="000000"/>
          <w:lang w:eastAsia="bg-BG"/>
        </w:rPr>
        <w:t xml:space="preserve">189 </w:t>
      </w:r>
      <w:r w:rsidRPr="00A970DD">
        <w:rPr>
          <w:rFonts w:eastAsia="Times New Roman" w:cs="Arial"/>
          <w:color w:val="000000"/>
          <w:lang w:val="en-US"/>
        </w:rPr>
        <w:t xml:space="preserve">mg/dL. </w:t>
      </w:r>
      <w:r w:rsidRPr="00A970DD">
        <w:rPr>
          <w:rFonts w:eastAsia="Times New Roman" w:cs="Arial"/>
          <w:color w:val="000000"/>
          <w:lang w:eastAsia="bg-BG"/>
        </w:rPr>
        <w:t xml:space="preserve">Дозировката на симвастатин (веднъж дневно, вечер) е била 10 </w:t>
      </w:r>
      <w:r w:rsidRPr="00A970DD">
        <w:rPr>
          <w:rFonts w:eastAsia="Times New Roman" w:cs="Arial"/>
          <w:color w:val="000000"/>
          <w:lang w:val="en-US"/>
        </w:rPr>
        <w:t xml:space="preserve">mg </w:t>
      </w:r>
      <w:r w:rsidRPr="00A970DD">
        <w:rPr>
          <w:rFonts w:eastAsia="Times New Roman" w:cs="Arial"/>
          <w:color w:val="000000"/>
          <w:lang w:eastAsia="bg-BG"/>
        </w:rPr>
        <w:t xml:space="preserve">през първите 8 седмици, 20 </w:t>
      </w:r>
      <w:r w:rsidRPr="00A970DD">
        <w:rPr>
          <w:rFonts w:eastAsia="Times New Roman" w:cs="Arial"/>
          <w:color w:val="000000"/>
          <w:lang w:val="en-US"/>
        </w:rPr>
        <w:t xml:space="preserve">mg </w:t>
      </w:r>
      <w:r w:rsidRPr="00A970DD">
        <w:rPr>
          <w:rFonts w:eastAsia="Times New Roman" w:cs="Arial"/>
          <w:color w:val="000000"/>
          <w:lang w:eastAsia="bg-BG"/>
        </w:rPr>
        <w:t xml:space="preserve">през вторите 8 седмици и 40 </w:t>
      </w:r>
      <w:r w:rsidRPr="00A970DD">
        <w:rPr>
          <w:rFonts w:eastAsia="Times New Roman" w:cs="Arial"/>
          <w:color w:val="000000"/>
          <w:lang w:val="en-US"/>
        </w:rPr>
        <w:t xml:space="preserve">mg </w:t>
      </w:r>
      <w:r w:rsidRPr="00A970DD">
        <w:rPr>
          <w:rFonts w:eastAsia="Times New Roman" w:cs="Arial"/>
          <w:color w:val="000000"/>
          <w:lang w:eastAsia="bg-BG"/>
        </w:rPr>
        <w:t xml:space="preserve">след това. В продължение на 24-те седмици, 144 пациенти са предпочели да продължат терапията и са получавали 40 </w:t>
      </w:r>
      <w:r w:rsidRPr="00A970DD">
        <w:rPr>
          <w:rFonts w:eastAsia="Times New Roman" w:cs="Arial"/>
          <w:color w:val="000000"/>
          <w:lang w:val="en-US"/>
        </w:rPr>
        <w:t xml:space="preserve">mg </w:t>
      </w:r>
      <w:r w:rsidRPr="00A970DD">
        <w:rPr>
          <w:rFonts w:eastAsia="Times New Roman" w:cs="Arial"/>
          <w:color w:val="000000"/>
          <w:lang w:eastAsia="bg-BG"/>
        </w:rPr>
        <w:t>симвастатин или плацебо.</w:t>
      </w:r>
    </w:p>
    <w:p w14:paraId="4C913FCB" w14:textId="77777777" w:rsidR="00A970DD" w:rsidRPr="00A970DD" w:rsidRDefault="00A970DD" w:rsidP="00A970DD">
      <w:pPr>
        <w:spacing w:line="240" w:lineRule="auto"/>
        <w:rPr>
          <w:rFonts w:eastAsia="Times New Roman" w:cs="Arial"/>
          <w:color w:val="000000"/>
          <w:lang w:eastAsia="bg-BG"/>
        </w:rPr>
      </w:pPr>
    </w:p>
    <w:p w14:paraId="2B217F46" w14:textId="30086180"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значително е намалил плазмените нива на </w:t>
      </w:r>
      <w:r w:rsidRPr="00A970DD">
        <w:rPr>
          <w:rFonts w:eastAsia="Times New Roman" w:cs="Arial"/>
          <w:color w:val="000000"/>
          <w:lang w:val="en-US"/>
        </w:rPr>
        <w:t xml:space="preserve">LDL-C, TG, </w:t>
      </w:r>
      <w:r w:rsidRPr="00A970DD">
        <w:rPr>
          <w:rFonts w:eastAsia="Times New Roman" w:cs="Arial"/>
          <w:color w:val="000000"/>
          <w:lang w:eastAsia="bg-BG"/>
        </w:rPr>
        <w:t xml:space="preserve">и апо-В. Резултатите от удължаване на приема до 48 седмици, са били сравними с получените при основното проучване. След 24 седмично лечение се е достигнало средно ниво на </w:t>
      </w:r>
      <w:r w:rsidRPr="00A970DD">
        <w:rPr>
          <w:rFonts w:eastAsia="Times New Roman" w:cs="Arial"/>
          <w:color w:val="000000"/>
          <w:lang w:val="en-US"/>
        </w:rPr>
        <w:t xml:space="preserve">LDL-C </w:t>
      </w:r>
      <w:r w:rsidRPr="00A970DD">
        <w:rPr>
          <w:rFonts w:eastAsia="Times New Roman" w:cs="Arial"/>
          <w:color w:val="000000"/>
          <w:lang w:eastAsia="bg-BG"/>
        </w:rPr>
        <w:t xml:space="preserve">124,9 </w:t>
      </w:r>
      <w:r w:rsidRPr="00A970DD">
        <w:rPr>
          <w:rFonts w:eastAsia="Times New Roman" w:cs="Arial"/>
          <w:color w:val="000000"/>
          <w:lang w:val="en-US"/>
        </w:rPr>
        <w:t xml:space="preserve">mg/dL </w:t>
      </w:r>
      <w:r w:rsidRPr="00A970DD">
        <w:rPr>
          <w:rFonts w:eastAsia="Times New Roman" w:cs="Arial"/>
          <w:color w:val="000000"/>
          <w:lang w:eastAsia="bg-BG"/>
        </w:rPr>
        <w:t xml:space="preserve">(граници: 64,0 - 289,0 </w:t>
      </w:r>
      <w:r w:rsidRPr="00A970DD">
        <w:rPr>
          <w:rFonts w:eastAsia="Times New Roman" w:cs="Arial"/>
          <w:color w:val="000000"/>
          <w:lang w:val="en-US"/>
        </w:rPr>
        <w:t xml:space="preserve">mg/dL) </w:t>
      </w:r>
      <w:r w:rsidRPr="00A970DD">
        <w:rPr>
          <w:rFonts w:eastAsia="Times New Roman" w:cs="Arial"/>
          <w:color w:val="000000"/>
          <w:lang w:eastAsia="bg-BG"/>
        </w:rPr>
        <w:t xml:space="preserve">при групата, лекувана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отнесено към 207,8 </w:t>
      </w:r>
      <w:r w:rsidRPr="00A970DD">
        <w:rPr>
          <w:rFonts w:eastAsia="Times New Roman" w:cs="Arial"/>
          <w:color w:val="000000"/>
          <w:lang w:val="en-US"/>
        </w:rPr>
        <w:t xml:space="preserve">mg/dL </w:t>
      </w:r>
      <w:r w:rsidRPr="00A970DD">
        <w:rPr>
          <w:rFonts w:eastAsia="Times New Roman" w:cs="Arial"/>
          <w:color w:val="000000"/>
          <w:lang w:eastAsia="bg-BG"/>
        </w:rPr>
        <w:t xml:space="preserve">(граници: 128,0-334,0 </w:t>
      </w:r>
      <w:r w:rsidRPr="00A970DD">
        <w:rPr>
          <w:rFonts w:eastAsia="Times New Roman" w:cs="Arial"/>
          <w:color w:val="000000"/>
          <w:lang w:val="en-US"/>
        </w:rPr>
        <w:t xml:space="preserve">mg/dL) </w:t>
      </w:r>
      <w:r w:rsidRPr="00A970DD">
        <w:rPr>
          <w:rFonts w:eastAsia="Times New Roman" w:cs="Arial"/>
          <w:color w:val="000000"/>
          <w:lang w:eastAsia="bg-BG"/>
        </w:rPr>
        <w:t>при групата, лекувана с плацебо.</w:t>
      </w:r>
    </w:p>
    <w:p w14:paraId="42A39D46" w14:textId="77777777" w:rsidR="00A970DD" w:rsidRPr="00A970DD" w:rsidRDefault="00A970DD" w:rsidP="00A970DD">
      <w:pPr>
        <w:spacing w:line="240" w:lineRule="auto"/>
        <w:rPr>
          <w:rFonts w:eastAsia="Times New Roman" w:cs="Arial"/>
          <w:color w:val="000000"/>
          <w:lang w:eastAsia="bg-BG"/>
        </w:rPr>
      </w:pPr>
    </w:p>
    <w:p w14:paraId="3F1C6524" w14:textId="7B4935D8"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След 24 седмично лечение със симвастатин (с нарастващи дози от 10,20 и до 40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при интервал от 8 седмици), симвастатин понижава средното изходно ниво на </w:t>
      </w:r>
      <w:r w:rsidRPr="00A970DD">
        <w:rPr>
          <w:rFonts w:eastAsia="Times New Roman" w:cs="Arial"/>
          <w:color w:val="000000"/>
          <w:lang w:val="en-US"/>
        </w:rPr>
        <w:t>LDL</w:t>
      </w:r>
      <w:r w:rsidRPr="00A970DD">
        <w:rPr>
          <w:rFonts w:eastAsia="Times New Roman" w:cs="Arial"/>
          <w:color w:val="000000"/>
          <w:lang w:eastAsia="bg-BG"/>
        </w:rPr>
        <w:t xml:space="preserve">-С с 36,8 % (плацебо: 1,1 % увеличение от първоначалния), апо В с 32,4 % (плацебо: 0,5 %) и средната стойност на </w:t>
      </w:r>
      <w:r w:rsidRPr="00A970DD">
        <w:rPr>
          <w:rFonts w:eastAsia="Times New Roman" w:cs="Arial"/>
          <w:color w:val="000000"/>
          <w:lang w:val="en-US"/>
        </w:rPr>
        <w:t xml:space="preserve">TG </w:t>
      </w:r>
      <w:r w:rsidRPr="00A970DD">
        <w:rPr>
          <w:rFonts w:eastAsia="Times New Roman" w:cs="Arial"/>
          <w:color w:val="000000"/>
          <w:lang w:eastAsia="bg-BG"/>
        </w:rPr>
        <w:t xml:space="preserve">нивата с 7,9 % (плацебо: 3,2 %), и е увеличил средните </w:t>
      </w:r>
      <w:r w:rsidRPr="00A970DD">
        <w:rPr>
          <w:rFonts w:eastAsia="Times New Roman" w:cs="Arial"/>
          <w:color w:val="000000"/>
          <w:lang w:val="en-US"/>
        </w:rPr>
        <w:t xml:space="preserve">HDL-C </w:t>
      </w:r>
      <w:r w:rsidRPr="00A970DD">
        <w:rPr>
          <w:rFonts w:eastAsia="Times New Roman" w:cs="Arial"/>
          <w:color w:val="000000"/>
          <w:lang w:eastAsia="bg-BG"/>
        </w:rPr>
        <w:t>нива с 8,3 % (плацебо: 3,6 %). В дългосрочен план ползата на симвастатин при сърдечносъдовите случаи при деца с ХФХ е неизвестна.</w:t>
      </w:r>
    </w:p>
    <w:p w14:paraId="29B88A4B" w14:textId="77777777" w:rsidR="00A970DD" w:rsidRPr="00A970DD" w:rsidRDefault="00A970DD" w:rsidP="00A970DD">
      <w:pPr>
        <w:spacing w:line="240" w:lineRule="auto"/>
        <w:rPr>
          <w:rFonts w:eastAsia="Times New Roman" w:cs="Arial"/>
          <w:color w:val="000000"/>
          <w:lang w:eastAsia="bg-BG"/>
        </w:rPr>
      </w:pPr>
    </w:p>
    <w:p w14:paraId="3F60DF35" w14:textId="19D55F5F"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Безопасността и ефикасността на дози, надвишаващи 40 </w:t>
      </w:r>
      <w:r w:rsidRPr="00A970DD">
        <w:rPr>
          <w:rFonts w:eastAsia="Times New Roman" w:cs="Arial"/>
          <w:color w:val="000000"/>
          <w:lang w:val="en-US"/>
        </w:rPr>
        <w:t xml:space="preserve">mg </w:t>
      </w:r>
      <w:r w:rsidRPr="00A970DD">
        <w:rPr>
          <w:rFonts w:eastAsia="Times New Roman" w:cs="Arial"/>
          <w:color w:val="000000"/>
          <w:lang w:eastAsia="bg-BG"/>
        </w:rPr>
        <w:t>дневно, не е проучена при деца с хетерозиготна фамилна хиперхолестеролемия. В дългосрочен план ефикасността от леченение със симвастатин в детска възраст за намаляване заболеваемостта и смъртността в зряла възраст не е била установена.</w:t>
      </w:r>
    </w:p>
    <w:p w14:paraId="6485CB91" w14:textId="025FD8E3" w:rsidR="00A970DD" w:rsidRPr="00A970DD" w:rsidRDefault="00A970DD" w:rsidP="00A970DD">
      <w:pPr>
        <w:spacing w:line="240" w:lineRule="auto"/>
        <w:rPr>
          <w:rFonts w:ascii="Times New Roman" w:eastAsia="Times New Roman" w:hAnsi="Times New Roman" w:cs="Times New Roman"/>
          <w:sz w:val="24"/>
          <w:szCs w:val="24"/>
          <w:lang w:eastAsia="bg-BG"/>
        </w:rPr>
      </w:pPr>
    </w:p>
    <w:p w14:paraId="173D7F1D" w14:textId="0366672E" w:rsidR="00EE6C97" w:rsidRDefault="002C50EE" w:rsidP="00A93499">
      <w:pPr>
        <w:pStyle w:val="Heading2"/>
      </w:pPr>
      <w:r>
        <w:t>5.2. Фармакокинетични свойства</w:t>
      </w:r>
    </w:p>
    <w:p w14:paraId="0A90F1A8" w14:textId="7593785E" w:rsidR="00A970DD" w:rsidRDefault="00A970DD" w:rsidP="00A970DD"/>
    <w:p w14:paraId="60A13C26"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е неактивен лактон, който бързо се хидролизира </w:t>
      </w:r>
      <w:r w:rsidRPr="00A970DD">
        <w:rPr>
          <w:rFonts w:eastAsia="Times New Roman" w:cs="Arial"/>
          <w:i/>
          <w:iCs/>
          <w:color w:val="000000"/>
          <w:lang w:val="en-US"/>
        </w:rPr>
        <w:t>in vivo</w:t>
      </w:r>
      <w:r w:rsidRPr="00A970DD">
        <w:rPr>
          <w:rFonts w:eastAsia="Times New Roman" w:cs="Arial"/>
          <w:color w:val="000000"/>
          <w:lang w:val="en-US"/>
        </w:rPr>
        <w:t xml:space="preserve"> </w:t>
      </w:r>
      <w:r w:rsidRPr="00A970DD">
        <w:rPr>
          <w:rFonts w:eastAsia="Times New Roman" w:cs="Arial"/>
          <w:color w:val="000000"/>
          <w:lang w:eastAsia="bg-BG"/>
        </w:rPr>
        <w:t xml:space="preserve">до съответната бета- хидрокси киселина, мощен инхибитор на </w:t>
      </w:r>
      <w:r w:rsidRPr="00A970DD">
        <w:rPr>
          <w:rFonts w:eastAsia="Times New Roman" w:cs="Arial"/>
          <w:color w:val="000000"/>
          <w:lang w:val="en-US"/>
        </w:rPr>
        <w:t xml:space="preserve">HMG-CoA </w:t>
      </w:r>
      <w:r w:rsidRPr="00A970DD">
        <w:rPr>
          <w:rFonts w:eastAsia="Times New Roman" w:cs="Arial"/>
          <w:color w:val="000000"/>
          <w:lang w:eastAsia="bg-BG"/>
        </w:rPr>
        <w:t>редуктазата. Хидролизата се извършва предимно в черния дроб; скоростта на хидролиза в човешката плазма е много бавна.</w:t>
      </w:r>
    </w:p>
    <w:p w14:paraId="1978277E" w14:textId="77777777" w:rsidR="00A970DD" w:rsidRPr="00A970DD" w:rsidRDefault="00A970DD" w:rsidP="00A970DD">
      <w:pPr>
        <w:spacing w:line="240" w:lineRule="auto"/>
        <w:rPr>
          <w:rFonts w:eastAsia="Times New Roman" w:cs="Arial"/>
          <w:color w:val="000000"/>
          <w:lang w:eastAsia="bg-BG"/>
        </w:rPr>
      </w:pPr>
    </w:p>
    <w:p w14:paraId="248D76BE" w14:textId="5F2B4162"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Фармакокинетичните свойства са били оценени при възрастни. Няма фармакокинетични данни при деца и юноши.</w:t>
      </w:r>
    </w:p>
    <w:p w14:paraId="67CDD9D9" w14:textId="77777777" w:rsidR="00A970DD" w:rsidRPr="00A970DD" w:rsidRDefault="00A970DD" w:rsidP="00A970DD">
      <w:pPr>
        <w:spacing w:line="240" w:lineRule="auto"/>
        <w:rPr>
          <w:rFonts w:eastAsia="Times New Roman" w:cs="Arial"/>
          <w:color w:val="000000"/>
          <w:u w:val="single"/>
          <w:lang w:eastAsia="bg-BG"/>
        </w:rPr>
      </w:pPr>
    </w:p>
    <w:p w14:paraId="621110F1" w14:textId="318FCCEA" w:rsidR="00A970DD" w:rsidRPr="00A970DD" w:rsidRDefault="00A970DD" w:rsidP="00A970DD">
      <w:pPr>
        <w:pStyle w:val="Heading3"/>
        <w:rPr>
          <w:rFonts w:eastAsia="Times New Roman"/>
          <w:u w:val="single"/>
          <w:lang w:eastAsia="bg-BG"/>
        </w:rPr>
      </w:pPr>
      <w:r w:rsidRPr="00A970DD">
        <w:rPr>
          <w:rFonts w:eastAsia="Times New Roman"/>
          <w:u w:val="single"/>
          <w:lang w:eastAsia="bg-BG"/>
        </w:rPr>
        <w:t>Абсорбция</w:t>
      </w:r>
    </w:p>
    <w:p w14:paraId="3F631662"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При човека симвастатин се резорбира добре и се подлага на екстензивна екстракция при първо преминаване през черния дроб. Екстракцията в черния дроб зависи от чернодробния кръвоток. Черният дроб е първичното място на действие на активната форма. Установено е, че бионаличността на бета-хидрокси киселината в системното кръвообращение след перорално приложение на симвастатин е под 5% от дозата. Максимална плазмена концентрация на активните инхибитори се достига приблизително 1-2 часа след приложение на симвастатин. Едновременното приемане на храна не повлиява абсорбцията.</w:t>
      </w:r>
    </w:p>
    <w:p w14:paraId="4B1F94E1" w14:textId="77777777" w:rsidR="00A970DD" w:rsidRPr="00A970DD" w:rsidRDefault="00A970DD" w:rsidP="00A970DD">
      <w:pPr>
        <w:spacing w:line="240" w:lineRule="auto"/>
        <w:rPr>
          <w:rFonts w:eastAsia="Times New Roman" w:cs="Arial"/>
          <w:color w:val="000000"/>
          <w:lang w:eastAsia="bg-BG"/>
        </w:rPr>
      </w:pPr>
    </w:p>
    <w:p w14:paraId="575E7EBF" w14:textId="69D929A5" w:rsidR="00A970DD" w:rsidRPr="00A970DD" w:rsidRDefault="00A970DD" w:rsidP="00A970DD">
      <w:pPr>
        <w:spacing w:line="240" w:lineRule="auto"/>
        <w:rPr>
          <w:rFonts w:eastAsia="Times New Roman" w:cs="Arial"/>
          <w:color w:val="000000"/>
          <w:lang w:eastAsia="bg-BG"/>
        </w:rPr>
      </w:pPr>
      <w:r w:rsidRPr="00A970DD">
        <w:rPr>
          <w:rFonts w:eastAsia="Times New Roman" w:cs="Arial"/>
          <w:color w:val="000000"/>
          <w:lang w:eastAsia="bg-BG"/>
        </w:rPr>
        <w:t>Фармакокинетиката след еднократно и многократно приложение на симвастатин показва, че след многократно приложение не се наблюдава кумулиране на лекарствения продукт.</w:t>
      </w:r>
    </w:p>
    <w:p w14:paraId="1C1326E8" w14:textId="77777777" w:rsidR="00A970DD" w:rsidRPr="00A970DD" w:rsidRDefault="00A970DD" w:rsidP="00A970DD">
      <w:pPr>
        <w:spacing w:line="240" w:lineRule="auto"/>
        <w:rPr>
          <w:rFonts w:eastAsia="Times New Roman" w:cs="Arial"/>
          <w:color w:val="000000"/>
          <w:u w:val="single"/>
          <w:lang w:eastAsia="bg-BG"/>
        </w:rPr>
      </w:pPr>
    </w:p>
    <w:p w14:paraId="5F315AB9" w14:textId="159F51D5" w:rsidR="00A970DD" w:rsidRPr="00A970DD" w:rsidRDefault="00A970DD" w:rsidP="00A970DD">
      <w:pPr>
        <w:pStyle w:val="Heading3"/>
        <w:rPr>
          <w:rFonts w:eastAsia="Times New Roman"/>
          <w:sz w:val="28"/>
          <w:szCs w:val="28"/>
          <w:u w:val="single"/>
          <w:lang w:eastAsia="bg-BG"/>
        </w:rPr>
      </w:pPr>
      <w:r w:rsidRPr="00A970DD">
        <w:rPr>
          <w:rFonts w:eastAsia="Times New Roman"/>
          <w:u w:val="single"/>
          <w:lang w:eastAsia="bg-BG"/>
        </w:rPr>
        <w:t>Разпределение</w:t>
      </w:r>
    </w:p>
    <w:p w14:paraId="03725649"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Свързването на симвастатин и активния му метаболит е &gt; 95%.</w:t>
      </w:r>
    </w:p>
    <w:p w14:paraId="1139DD5B" w14:textId="77777777" w:rsidR="00A970DD" w:rsidRPr="00A970DD" w:rsidRDefault="00A970DD" w:rsidP="00A970DD">
      <w:pPr>
        <w:spacing w:line="240" w:lineRule="auto"/>
        <w:rPr>
          <w:rFonts w:eastAsia="Times New Roman" w:cs="Arial"/>
          <w:color w:val="000000"/>
          <w:u w:val="single"/>
          <w:lang w:eastAsia="bg-BG"/>
        </w:rPr>
      </w:pPr>
    </w:p>
    <w:p w14:paraId="5464D149" w14:textId="25C8538C" w:rsidR="00A970DD" w:rsidRPr="00A970DD" w:rsidRDefault="00A970DD" w:rsidP="00A970DD">
      <w:pPr>
        <w:pStyle w:val="Heading3"/>
        <w:rPr>
          <w:rFonts w:eastAsia="Times New Roman"/>
          <w:sz w:val="28"/>
          <w:szCs w:val="28"/>
          <w:u w:val="single"/>
          <w:lang w:eastAsia="bg-BG"/>
        </w:rPr>
      </w:pPr>
      <w:r w:rsidRPr="00A970DD">
        <w:rPr>
          <w:rFonts w:eastAsia="Times New Roman"/>
          <w:u w:val="single"/>
          <w:lang w:eastAsia="bg-BG"/>
        </w:rPr>
        <w:t>Елиминиране</w:t>
      </w:r>
    </w:p>
    <w:p w14:paraId="3ABDC226"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е субстрат на </w:t>
      </w:r>
      <w:r w:rsidRPr="00A970DD">
        <w:rPr>
          <w:rFonts w:eastAsia="Times New Roman" w:cs="Arial"/>
          <w:color w:val="000000"/>
          <w:lang w:val="en-US"/>
        </w:rPr>
        <w:t xml:space="preserve">CYP3A4 </w:t>
      </w:r>
      <w:r w:rsidRPr="00A970DD">
        <w:rPr>
          <w:rFonts w:eastAsia="Times New Roman" w:cs="Arial"/>
          <w:color w:val="000000"/>
          <w:lang w:eastAsia="bg-BG"/>
        </w:rPr>
        <w:t>(вж. точки 4.3 и 4.5). Основните метаболити на симвастатин в човешката плазма са бета-хидрокси киселина и четири други активни метаболити. След перорално приложение на радиоактивен симвастатин на хора 13% от радиоактивността се екскретира с урината и 60% с фекалиите до 96 часа. Количеството, което се открива във фекалиите, представлява еквивалента на лекарствения продукт, екскретиран в жлъчката, какго и нерезорбираното лекарство. След интравенозно инжектиране на бета- хидрокси киселина, времето на полуелиминиране е средно 1,9 часа. Средно само 0,3% от венозната доза се екскретира в урината като инхибитор. Симвастатин се поема обратно активно от хепатоцитите чрез транспортер ОАТР1В1.</w:t>
      </w:r>
    </w:p>
    <w:p w14:paraId="7F55CDB2" w14:textId="77777777" w:rsidR="00A970DD" w:rsidRPr="00A970DD" w:rsidRDefault="00A970DD" w:rsidP="00A970DD">
      <w:pPr>
        <w:spacing w:line="240" w:lineRule="auto"/>
        <w:rPr>
          <w:rFonts w:eastAsia="Times New Roman" w:cs="Arial"/>
          <w:color w:val="000000"/>
          <w:lang w:eastAsia="bg-BG"/>
        </w:rPr>
      </w:pPr>
    </w:p>
    <w:p w14:paraId="1CCE0379" w14:textId="73EDA813"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е субстрат на ефлуксния транспортер </w:t>
      </w:r>
      <w:r w:rsidRPr="00A970DD">
        <w:rPr>
          <w:rFonts w:eastAsia="Times New Roman" w:cs="Arial"/>
          <w:color w:val="000000"/>
          <w:lang w:val="en-US"/>
        </w:rPr>
        <w:t>BCRP.</w:t>
      </w:r>
    </w:p>
    <w:p w14:paraId="205B1878" w14:textId="77777777" w:rsidR="00A970DD" w:rsidRPr="00A970DD" w:rsidRDefault="00A970DD" w:rsidP="00A970DD">
      <w:pPr>
        <w:spacing w:line="240" w:lineRule="auto"/>
        <w:rPr>
          <w:rFonts w:eastAsia="Times New Roman" w:cs="Arial"/>
          <w:i/>
          <w:iCs/>
          <w:color w:val="000000"/>
          <w:lang w:eastAsia="bg-BG"/>
        </w:rPr>
      </w:pPr>
    </w:p>
    <w:p w14:paraId="2668005E" w14:textId="19C11BFA" w:rsidR="00A970DD" w:rsidRPr="00A970DD" w:rsidRDefault="00A970DD" w:rsidP="00A970DD">
      <w:pPr>
        <w:spacing w:line="240" w:lineRule="auto"/>
        <w:rPr>
          <w:rFonts w:eastAsia="Times New Roman" w:cs="Arial"/>
          <w:sz w:val="28"/>
          <w:szCs w:val="28"/>
          <w:lang w:eastAsia="bg-BG"/>
        </w:rPr>
      </w:pPr>
      <w:r w:rsidRPr="00A970DD">
        <w:rPr>
          <w:rFonts w:eastAsia="Times New Roman" w:cs="Arial"/>
          <w:i/>
          <w:iCs/>
          <w:color w:val="000000"/>
          <w:lang w:eastAsia="bg-BG"/>
        </w:rPr>
        <w:t>Специални популации</w:t>
      </w:r>
    </w:p>
    <w:p w14:paraId="74B4F310" w14:textId="7EE2CD98" w:rsidR="00A970DD" w:rsidRPr="00A970DD" w:rsidRDefault="00A970DD" w:rsidP="00A970DD">
      <w:pPr>
        <w:spacing w:line="240" w:lineRule="auto"/>
        <w:rPr>
          <w:rFonts w:ascii="Times New Roman" w:eastAsia="Times New Roman" w:hAnsi="Times New Roman" w:cs="Times New Roman"/>
          <w:sz w:val="24"/>
          <w:szCs w:val="24"/>
          <w:lang w:eastAsia="bg-BG"/>
        </w:rPr>
      </w:pPr>
      <w:r w:rsidRPr="00A970DD">
        <w:rPr>
          <w:rFonts w:eastAsia="Times New Roman" w:cs="Arial"/>
          <w:color w:val="000000"/>
          <w:lang w:eastAsia="bg-BG"/>
        </w:rPr>
        <w:t xml:space="preserve">Носители на </w:t>
      </w:r>
      <w:r w:rsidRPr="00A970DD">
        <w:rPr>
          <w:rFonts w:eastAsia="Times New Roman" w:cs="Arial"/>
          <w:color w:val="000000"/>
          <w:lang w:val="en-US"/>
        </w:rPr>
        <w:t xml:space="preserve">SLCO1B1 </w:t>
      </w:r>
      <w:r w:rsidRPr="00A970DD">
        <w:rPr>
          <w:rFonts w:eastAsia="Times New Roman" w:cs="Arial"/>
          <w:color w:val="000000"/>
          <w:lang w:eastAsia="bg-BG"/>
        </w:rPr>
        <w:t xml:space="preserve">ген с.5211&gt;С алел имат по-ниско активем ОАТР1В1. Експозицията </w:t>
      </w:r>
      <w:r w:rsidRPr="00A970DD">
        <w:rPr>
          <w:rFonts w:eastAsia="Times New Roman" w:cs="Arial"/>
          <w:color w:val="000000"/>
          <w:lang w:val="en-US"/>
        </w:rPr>
        <w:t xml:space="preserve">(AUC) </w:t>
      </w:r>
      <w:r w:rsidRPr="00A970DD">
        <w:rPr>
          <w:rFonts w:eastAsia="Times New Roman" w:cs="Arial"/>
          <w:color w:val="000000"/>
          <w:lang w:eastAsia="bg-BG"/>
        </w:rPr>
        <w:t xml:space="preserve">на основния активен метаболит, симвастатинова киселина, е 120% при хетерозиготните носители (СТ) на С-алела и 221% при хомозиготните (СС) носители, сравнена с тази на носители на общия генотип (ТТ). С-алелът има честота от 18% при Европейската популация. При пациенти с </w:t>
      </w:r>
      <w:r w:rsidRPr="00A970DD">
        <w:rPr>
          <w:rFonts w:eastAsia="Times New Roman" w:cs="Arial"/>
          <w:color w:val="000000"/>
          <w:lang w:val="en-US"/>
        </w:rPr>
        <w:t xml:space="preserve">SLCO1B1 </w:t>
      </w:r>
      <w:r w:rsidRPr="00A970DD">
        <w:rPr>
          <w:rFonts w:eastAsia="Times New Roman" w:cs="Arial"/>
          <w:color w:val="000000"/>
          <w:lang w:eastAsia="bg-BG"/>
        </w:rPr>
        <w:t>полиморфизъм има риск от завишена експозиция на симвастатин, което може да доведе до повишен риск от рабдомиолиза (вж. точка 4.4).</w:t>
      </w:r>
    </w:p>
    <w:p w14:paraId="357DB326" w14:textId="77777777" w:rsidR="00A970DD" w:rsidRPr="00A970DD" w:rsidRDefault="00A970DD" w:rsidP="00A970DD"/>
    <w:p w14:paraId="0CC65FE3" w14:textId="1258A9D2" w:rsidR="00EE6C97" w:rsidRDefault="002C50EE" w:rsidP="00A93499">
      <w:pPr>
        <w:pStyle w:val="Heading2"/>
      </w:pPr>
      <w:r>
        <w:t>5.3. Предклинични данни за безопасност</w:t>
      </w:r>
    </w:p>
    <w:p w14:paraId="6E7786CC" w14:textId="7A7B3212" w:rsidR="00A970DD" w:rsidRDefault="00A970DD" w:rsidP="00A970DD"/>
    <w:p w14:paraId="633CE761" w14:textId="302BF716" w:rsidR="00A970DD" w:rsidRPr="00A970DD" w:rsidRDefault="00A970DD" w:rsidP="00A970DD">
      <w:pPr>
        <w:rPr>
          <w:sz w:val="24"/>
          <w:szCs w:val="24"/>
          <w:lang w:eastAsia="bg-BG"/>
        </w:rPr>
      </w:pPr>
      <w:r w:rsidRPr="00A970DD">
        <w:rPr>
          <w:lang w:eastAsia="bg-BG"/>
        </w:rPr>
        <w:t>Според обичайните фармакодинамични изследвания върху животни, токсичността след многократно приложение, изследванията за генотоксичност и канцерогенност няма други рискове за пациента, различни от тези, които може да се очакват като се има предвид фармакологичният механизъм на действие. При максимално поносими дози при плъхове и зайци симвастатин не е предизвикал фетални малформации и ефект върху фертилитета, репродуктивната функция или неонаталното развитие.</w:t>
      </w:r>
    </w:p>
    <w:p w14:paraId="357049A8" w14:textId="3BE11578" w:rsidR="00BB22B4" w:rsidRDefault="002C50EE" w:rsidP="00471F10">
      <w:pPr>
        <w:pStyle w:val="Heading1"/>
      </w:pPr>
      <w:r>
        <w:lastRenderedPageBreak/>
        <w:t>7. ПРИТЕЖАТЕЛ НА РАЗРЕШЕНИЕТО ЗА УПОТРЕБА</w:t>
      </w:r>
    </w:p>
    <w:p w14:paraId="45017F33" w14:textId="6579A2DD" w:rsidR="00A970DD" w:rsidRDefault="00A970DD" w:rsidP="00A970DD"/>
    <w:p w14:paraId="0669E23D" w14:textId="0254966C" w:rsidR="00A970DD" w:rsidRPr="00A970DD" w:rsidRDefault="00A970DD" w:rsidP="00A970DD">
      <w:r>
        <w:t xml:space="preserve">KRKA, d.d., Novo mesto, Smarjeska cesta 6, 8501 Novo mesto, </w:t>
      </w:r>
      <w:r>
        <w:rPr>
          <w:lang w:eastAsia="bg-BG"/>
        </w:rPr>
        <w:t>Словения</w:t>
      </w:r>
    </w:p>
    <w:p w14:paraId="0A53321D" w14:textId="1DCA8A47" w:rsidR="00EE6C97" w:rsidRDefault="00936AD0" w:rsidP="00A93499">
      <w:pPr>
        <w:pStyle w:val="Heading1"/>
      </w:pPr>
      <w:r>
        <w:t>8.</w:t>
      </w:r>
      <w:r w:rsidR="002C50EE">
        <w:t>НОМЕР НА РАЗРЕШЕНИЕТО ЗА УПОТРЕБА</w:t>
      </w:r>
    </w:p>
    <w:p w14:paraId="7E279357" w14:textId="4F4C70BB" w:rsidR="00A970DD" w:rsidRDefault="00A970DD" w:rsidP="00A970DD"/>
    <w:p w14:paraId="48CF49D2" w14:textId="77777777" w:rsidR="00A970DD" w:rsidRPr="00A970DD" w:rsidRDefault="00A970DD" w:rsidP="00A970DD">
      <w:pPr>
        <w:rPr>
          <w:sz w:val="24"/>
          <w:szCs w:val="24"/>
          <w:lang w:val="en-US" w:eastAsia="bg-BG"/>
        </w:rPr>
      </w:pPr>
      <w:r w:rsidRPr="00A970DD">
        <w:rPr>
          <w:lang w:val="en-US"/>
        </w:rPr>
        <w:t>20050264</w:t>
      </w:r>
    </w:p>
    <w:p w14:paraId="534FD674" w14:textId="77777777" w:rsidR="00A970DD" w:rsidRPr="00A970DD" w:rsidRDefault="00A970DD" w:rsidP="00A970DD">
      <w:pPr>
        <w:rPr>
          <w:sz w:val="24"/>
          <w:szCs w:val="24"/>
          <w:lang w:val="en-US" w:eastAsia="bg-BG"/>
        </w:rPr>
      </w:pPr>
      <w:r w:rsidRPr="00A970DD">
        <w:rPr>
          <w:lang w:val="en-US"/>
        </w:rPr>
        <w:t>20050265</w:t>
      </w:r>
    </w:p>
    <w:p w14:paraId="428DA727" w14:textId="38E2FFD3" w:rsidR="00A970DD" w:rsidRPr="00A970DD" w:rsidRDefault="00A970DD" w:rsidP="00A970DD">
      <w:r w:rsidRPr="00A970DD">
        <w:rPr>
          <w:lang w:val="en-US"/>
        </w:rPr>
        <w:t>20050266</w:t>
      </w:r>
    </w:p>
    <w:p w14:paraId="3715C10B" w14:textId="0C3DE629" w:rsidR="00BB22B4" w:rsidRDefault="002C50EE" w:rsidP="00471F10">
      <w:pPr>
        <w:pStyle w:val="Heading1"/>
      </w:pPr>
      <w:r>
        <w:t>9. ДАТА НА ПЪРВО РАЗРЕШАВАНЕ/ПОДНОВЯВАНЕ НА РАЗРЕШЕНИЕТО ЗА УПОТРЕБА</w:t>
      </w:r>
    </w:p>
    <w:p w14:paraId="3DB37701" w14:textId="28E93F7A" w:rsidR="00A970DD" w:rsidRDefault="00A970DD" w:rsidP="00A970DD"/>
    <w:p w14:paraId="0B900BB0" w14:textId="77777777" w:rsidR="00A970DD" w:rsidRPr="00A970DD" w:rsidRDefault="00A970DD" w:rsidP="00A970DD">
      <w:pPr>
        <w:rPr>
          <w:sz w:val="24"/>
          <w:szCs w:val="24"/>
          <w:lang w:eastAsia="bg-BG"/>
        </w:rPr>
      </w:pPr>
      <w:r w:rsidRPr="00A970DD">
        <w:rPr>
          <w:lang w:eastAsia="bg-BG"/>
        </w:rPr>
        <w:t>Дата на първо разрешаване: 04.05.2005</w:t>
      </w:r>
    </w:p>
    <w:p w14:paraId="1734E432" w14:textId="301D0886" w:rsidR="00A970DD" w:rsidRPr="00A970DD" w:rsidRDefault="00A970DD" w:rsidP="00A970DD">
      <w:r w:rsidRPr="00A970DD">
        <w:rPr>
          <w:lang w:eastAsia="bg-BG"/>
        </w:rPr>
        <w:t>Дата на последно подновяване: 11.02.2011</w:t>
      </w:r>
    </w:p>
    <w:p w14:paraId="43FB38A2" w14:textId="0C18A683" w:rsidR="007C605B" w:rsidRDefault="002C50EE" w:rsidP="005726E3">
      <w:pPr>
        <w:pStyle w:val="Heading1"/>
      </w:pPr>
      <w:r>
        <w:t>10. ДАТА НА АКТУАЛИЗИРАНЕ НА ТЕКСТА</w:t>
      </w:r>
      <w:bookmarkEnd w:id="0"/>
    </w:p>
    <w:p w14:paraId="472617BD" w14:textId="3BA44A42" w:rsidR="00BB22B4" w:rsidRPr="00BB22B4" w:rsidRDefault="00BB22B4" w:rsidP="00EE6C97"/>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BA50201"/>
    <w:multiLevelType w:val="hybridMultilevel"/>
    <w:tmpl w:val="23B2D9B0"/>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CF38BE"/>
    <w:multiLevelType w:val="hybridMultilevel"/>
    <w:tmpl w:val="4442E750"/>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AEB1944"/>
    <w:multiLevelType w:val="hybridMultilevel"/>
    <w:tmpl w:val="F3663D02"/>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0"/>
  </w:num>
  <w:num w:numId="7" w16cid:durableId="1241988161">
    <w:abstractNumId w:val="12"/>
  </w:num>
  <w:num w:numId="8" w16cid:durableId="2102022361">
    <w:abstractNumId w:val="19"/>
  </w:num>
  <w:num w:numId="9" w16cid:durableId="1154613663">
    <w:abstractNumId w:val="2"/>
  </w:num>
  <w:num w:numId="10" w16cid:durableId="1733848127">
    <w:abstractNumId w:val="4"/>
  </w:num>
  <w:num w:numId="11" w16cid:durableId="1861704680">
    <w:abstractNumId w:val="34"/>
  </w:num>
  <w:num w:numId="12" w16cid:durableId="1434934028">
    <w:abstractNumId w:val="17"/>
  </w:num>
  <w:num w:numId="13" w16cid:durableId="479157895">
    <w:abstractNumId w:val="23"/>
  </w:num>
  <w:num w:numId="14" w16cid:durableId="1670476636">
    <w:abstractNumId w:val="15"/>
  </w:num>
  <w:num w:numId="15" w16cid:durableId="1000155783">
    <w:abstractNumId w:val="33"/>
  </w:num>
  <w:num w:numId="16" w16cid:durableId="2056420707">
    <w:abstractNumId w:val="11"/>
  </w:num>
  <w:num w:numId="17" w16cid:durableId="1787119182">
    <w:abstractNumId w:val="28"/>
  </w:num>
  <w:num w:numId="18" w16cid:durableId="722945139">
    <w:abstractNumId w:val="8"/>
  </w:num>
  <w:num w:numId="19" w16cid:durableId="1678728408">
    <w:abstractNumId w:val="30"/>
  </w:num>
  <w:num w:numId="20" w16cid:durableId="1970816657">
    <w:abstractNumId w:val="27"/>
  </w:num>
  <w:num w:numId="21" w16cid:durableId="1531146514">
    <w:abstractNumId w:val="21"/>
  </w:num>
  <w:num w:numId="22" w16cid:durableId="1276465">
    <w:abstractNumId w:val="29"/>
  </w:num>
  <w:num w:numId="23" w16cid:durableId="1624310558">
    <w:abstractNumId w:val="22"/>
  </w:num>
  <w:num w:numId="24" w16cid:durableId="1692877547">
    <w:abstractNumId w:val="9"/>
  </w:num>
  <w:num w:numId="25" w16cid:durableId="50930855">
    <w:abstractNumId w:val="26"/>
  </w:num>
  <w:num w:numId="26" w16cid:durableId="176701536">
    <w:abstractNumId w:val="25"/>
  </w:num>
  <w:num w:numId="27" w16cid:durableId="2050564750">
    <w:abstractNumId w:val="37"/>
  </w:num>
  <w:num w:numId="28" w16cid:durableId="1820733422">
    <w:abstractNumId w:val="6"/>
  </w:num>
  <w:num w:numId="29" w16cid:durableId="973678124">
    <w:abstractNumId w:val="24"/>
  </w:num>
  <w:num w:numId="30" w16cid:durableId="154884452">
    <w:abstractNumId w:val="41"/>
  </w:num>
  <w:num w:numId="31" w16cid:durableId="1053964910">
    <w:abstractNumId w:val="5"/>
  </w:num>
  <w:num w:numId="32" w16cid:durableId="2073575793">
    <w:abstractNumId w:val="39"/>
  </w:num>
  <w:num w:numId="33" w16cid:durableId="1566643170">
    <w:abstractNumId w:val="32"/>
  </w:num>
  <w:num w:numId="34" w16cid:durableId="2060787732">
    <w:abstractNumId w:val="38"/>
  </w:num>
  <w:num w:numId="35" w16cid:durableId="34161354">
    <w:abstractNumId w:val="7"/>
  </w:num>
  <w:num w:numId="36" w16cid:durableId="1976908676">
    <w:abstractNumId w:val="10"/>
  </w:num>
  <w:num w:numId="37" w16cid:durableId="758528303">
    <w:abstractNumId w:val="18"/>
  </w:num>
  <w:num w:numId="38" w16cid:durableId="178396561">
    <w:abstractNumId w:val="40"/>
  </w:num>
  <w:num w:numId="39" w16cid:durableId="934825996">
    <w:abstractNumId w:val="13"/>
  </w:num>
  <w:num w:numId="40" w16cid:durableId="375740234">
    <w:abstractNumId w:val="36"/>
  </w:num>
  <w:num w:numId="41" w16cid:durableId="699621274">
    <w:abstractNumId w:val="35"/>
  </w:num>
  <w:num w:numId="42" w16cid:durableId="19567112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65A81"/>
    <w:rsid w:val="00A71DCF"/>
    <w:rsid w:val="00A93499"/>
    <w:rsid w:val="00A970DD"/>
    <w:rsid w:val="00AA23EC"/>
    <w:rsid w:val="00AC63CE"/>
    <w:rsid w:val="00AE2107"/>
    <w:rsid w:val="00B275A8"/>
    <w:rsid w:val="00B6672E"/>
    <w:rsid w:val="00B8116F"/>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23</Pages>
  <Words>9002</Words>
  <Characters>51312</Characters>
  <Application>Microsoft Office Word</Application>
  <DocSecurity>0</DocSecurity>
  <Lines>427</Lines>
  <Paragraphs>120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2023-01-05T12:01:00Z</dcterms:created>
  <dcterms:modified xsi:type="dcterms:W3CDTF">2023-01-05T12:01:00Z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