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530FDBD4" w:rsidR="00F53FB7" w:rsidRDefault="00DD466D" w:rsidP="00A93499">
      <w:pPr>
        <w:pStyle w:val="Heading1"/>
      </w:pPr>
      <w:r>
        <w:t>1.ИМЕ НА ЛЕКАРСТВЕНИЯ ПРОДУКТ</w:t>
      </w:r>
    </w:p>
    <w:p w14:paraId="227131D4" w14:textId="6B915560" w:rsidR="005929BB" w:rsidRDefault="005929BB" w:rsidP="005929BB"/>
    <w:p w14:paraId="68C78E8A" w14:textId="77777777" w:rsidR="005929BB" w:rsidRPr="005929BB" w:rsidRDefault="005929BB" w:rsidP="005929BB">
      <w:pPr>
        <w:rPr>
          <w:sz w:val="24"/>
          <w:szCs w:val="24"/>
          <w:lang w:val="en-US" w:eastAsia="bg-BG"/>
        </w:rPr>
      </w:pPr>
      <w:r w:rsidRPr="005929BB">
        <w:rPr>
          <w:lang w:eastAsia="bg-BG"/>
        </w:rPr>
        <w:t xml:space="preserve">Вазопрен 5 </w:t>
      </w:r>
      <w:r w:rsidRPr="005929BB">
        <w:rPr>
          <w:lang w:val="en-US"/>
        </w:rPr>
        <w:t xml:space="preserve">mg </w:t>
      </w:r>
      <w:r w:rsidRPr="005929BB">
        <w:rPr>
          <w:lang w:eastAsia="bg-BG"/>
        </w:rPr>
        <w:t>таблетки</w:t>
      </w:r>
    </w:p>
    <w:p w14:paraId="4AB42457" w14:textId="77777777" w:rsidR="005929BB" w:rsidRPr="005929BB" w:rsidRDefault="005929BB" w:rsidP="005929BB">
      <w:pPr>
        <w:rPr>
          <w:sz w:val="24"/>
          <w:szCs w:val="24"/>
          <w:lang w:val="en-US" w:eastAsia="bg-BG"/>
        </w:rPr>
      </w:pPr>
      <w:proofErr w:type="spellStart"/>
      <w:r w:rsidRPr="005929BB">
        <w:rPr>
          <w:lang w:val="en-US"/>
        </w:rPr>
        <w:t>Vasopren</w:t>
      </w:r>
      <w:proofErr w:type="spellEnd"/>
      <w:r w:rsidRPr="005929BB">
        <w:rPr>
          <w:lang w:val="en-US"/>
        </w:rPr>
        <w:t xml:space="preserve"> </w:t>
      </w:r>
      <w:r w:rsidRPr="005929BB">
        <w:rPr>
          <w:lang w:eastAsia="bg-BG"/>
        </w:rPr>
        <w:t xml:space="preserve">5 </w:t>
      </w:r>
      <w:r w:rsidRPr="005929BB">
        <w:rPr>
          <w:lang w:val="en-US"/>
        </w:rPr>
        <w:t>mg tablets</w:t>
      </w:r>
    </w:p>
    <w:p w14:paraId="7BE30022" w14:textId="77777777" w:rsidR="005929BB" w:rsidRPr="005929BB" w:rsidRDefault="005929BB" w:rsidP="005929BB">
      <w:pPr>
        <w:rPr>
          <w:sz w:val="24"/>
          <w:szCs w:val="24"/>
          <w:lang w:val="en-US" w:eastAsia="bg-BG"/>
        </w:rPr>
      </w:pPr>
      <w:r w:rsidRPr="005929BB">
        <w:rPr>
          <w:lang w:eastAsia="bg-BG"/>
        </w:rPr>
        <w:t xml:space="preserve">Вазопрен 10 </w:t>
      </w:r>
      <w:r w:rsidRPr="005929BB">
        <w:rPr>
          <w:lang w:val="en-US"/>
        </w:rPr>
        <w:t xml:space="preserve">mg </w:t>
      </w:r>
      <w:r w:rsidRPr="005929BB">
        <w:rPr>
          <w:lang w:eastAsia="bg-BG"/>
        </w:rPr>
        <w:t>таблетки</w:t>
      </w:r>
    </w:p>
    <w:p w14:paraId="7690C5E3" w14:textId="77777777" w:rsidR="005929BB" w:rsidRDefault="005929BB" w:rsidP="005929BB">
      <w:pPr>
        <w:rPr>
          <w:lang w:val="en-US"/>
        </w:rPr>
      </w:pPr>
    </w:p>
    <w:p w14:paraId="4E891315" w14:textId="5390D6E4" w:rsidR="005929BB" w:rsidRPr="005929BB" w:rsidRDefault="005929BB" w:rsidP="005929BB">
      <w:pPr>
        <w:rPr>
          <w:sz w:val="24"/>
          <w:szCs w:val="24"/>
          <w:lang w:val="en-US" w:eastAsia="bg-BG"/>
        </w:rPr>
      </w:pPr>
      <w:proofErr w:type="spellStart"/>
      <w:r w:rsidRPr="005929BB">
        <w:rPr>
          <w:lang w:val="en-US"/>
        </w:rPr>
        <w:t>Vasopren</w:t>
      </w:r>
      <w:proofErr w:type="spellEnd"/>
      <w:r w:rsidRPr="005929BB">
        <w:rPr>
          <w:lang w:val="en-US"/>
        </w:rPr>
        <w:t xml:space="preserve"> </w:t>
      </w:r>
      <w:r w:rsidRPr="005929BB">
        <w:rPr>
          <w:lang w:eastAsia="bg-BG"/>
        </w:rPr>
        <w:t xml:space="preserve">10 </w:t>
      </w:r>
      <w:r w:rsidRPr="005929BB">
        <w:rPr>
          <w:lang w:val="en-US"/>
        </w:rPr>
        <w:t>mg tablets</w:t>
      </w:r>
    </w:p>
    <w:p w14:paraId="7BADFAD8" w14:textId="77777777" w:rsidR="005929BB" w:rsidRPr="005929BB" w:rsidRDefault="005929BB" w:rsidP="005929BB">
      <w:pPr>
        <w:rPr>
          <w:sz w:val="24"/>
          <w:szCs w:val="24"/>
          <w:lang w:val="en-US" w:eastAsia="bg-BG"/>
        </w:rPr>
      </w:pPr>
      <w:r w:rsidRPr="005929BB">
        <w:rPr>
          <w:lang w:eastAsia="bg-BG"/>
        </w:rPr>
        <w:t xml:space="preserve">Вазопрен </w:t>
      </w:r>
      <w:r w:rsidRPr="005929BB">
        <w:rPr>
          <w:lang w:val="en-US"/>
        </w:rPr>
        <w:t xml:space="preserve">20 mg </w:t>
      </w:r>
      <w:r w:rsidRPr="005929BB">
        <w:rPr>
          <w:lang w:eastAsia="bg-BG"/>
        </w:rPr>
        <w:t>таблетки</w:t>
      </w:r>
    </w:p>
    <w:p w14:paraId="5C7D3816" w14:textId="77777777" w:rsidR="005929BB" w:rsidRPr="005929BB" w:rsidRDefault="005929BB" w:rsidP="005929BB">
      <w:pPr>
        <w:rPr>
          <w:sz w:val="24"/>
          <w:szCs w:val="24"/>
          <w:lang w:val="en-US" w:eastAsia="bg-BG"/>
        </w:rPr>
      </w:pPr>
      <w:proofErr w:type="spellStart"/>
      <w:r w:rsidRPr="005929BB">
        <w:rPr>
          <w:lang w:val="en-US"/>
        </w:rPr>
        <w:t>Vasopren</w:t>
      </w:r>
      <w:proofErr w:type="spellEnd"/>
      <w:r w:rsidRPr="005929BB">
        <w:rPr>
          <w:lang w:val="en-US"/>
        </w:rPr>
        <w:t xml:space="preserve"> 20 mg tablets</w:t>
      </w:r>
    </w:p>
    <w:p w14:paraId="41852907" w14:textId="77777777" w:rsidR="005929BB" w:rsidRPr="005929BB" w:rsidRDefault="005929BB" w:rsidP="005929BB"/>
    <w:p w14:paraId="0DF202EC" w14:textId="7EAD0B2D" w:rsidR="00F53FB7" w:rsidRDefault="00DD466D" w:rsidP="00A93499">
      <w:pPr>
        <w:pStyle w:val="Heading1"/>
      </w:pPr>
      <w:r>
        <w:t>2. КАЧЕСТВЕН И КОЛИЧЕСТВЕН СЪСТАВ</w:t>
      </w:r>
    </w:p>
    <w:p w14:paraId="4F92C03F" w14:textId="4BE61750" w:rsidR="005929BB" w:rsidRDefault="005929BB" w:rsidP="005929BB"/>
    <w:p w14:paraId="58D2F27A" w14:textId="77777777" w:rsidR="005929BB" w:rsidRPr="005929BB" w:rsidRDefault="005929BB" w:rsidP="005929BB">
      <w:pPr>
        <w:rPr>
          <w:sz w:val="24"/>
          <w:szCs w:val="24"/>
          <w:lang w:eastAsia="bg-BG"/>
        </w:rPr>
      </w:pPr>
      <w:r w:rsidRPr="005929BB">
        <w:rPr>
          <w:lang w:eastAsia="bg-BG"/>
        </w:rPr>
        <w:t xml:space="preserve">Таблетки 5 </w:t>
      </w:r>
      <w:r w:rsidRPr="005929BB">
        <w:rPr>
          <w:lang w:val="en-US"/>
        </w:rPr>
        <w:t>mg</w:t>
      </w:r>
    </w:p>
    <w:p w14:paraId="2FAD2809" w14:textId="77777777" w:rsidR="005929BB" w:rsidRPr="005929BB" w:rsidRDefault="005929BB" w:rsidP="005929BB">
      <w:pPr>
        <w:rPr>
          <w:sz w:val="24"/>
          <w:szCs w:val="24"/>
          <w:lang w:eastAsia="bg-BG"/>
        </w:rPr>
      </w:pPr>
      <w:r w:rsidRPr="005929BB">
        <w:rPr>
          <w:lang w:eastAsia="bg-BG"/>
        </w:rPr>
        <w:t xml:space="preserve">Всяка таблетка съдържа активно вещество еналаприлов малеат </w:t>
      </w:r>
      <w:r w:rsidRPr="005929BB">
        <w:rPr>
          <w:i/>
          <w:iCs/>
          <w:lang w:val="en-US"/>
        </w:rPr>
        <w:t>(enalapril maleate)</w:t>
      </w:r>
      <w:r w:rsidRPr="005929BB">
        <w:rPr>
          <w:lang w:val="en-US"/>
        </w:rPr>
        <w:t xml:space="preserve"> </w:t>
      </w:r>
      <w:r w:rsidRPr="005929BB">
        <w:rPr>
          <w:lang w:eastAsia="bg-BG"/>
        </w:rPr>
        <w:t xml:space="preserve">5 </w:t>
      </w:r>
      <w:r w:rsidRPr="005929BB">
        <w:rPr>
          <w:lang w:val="en-US"/>
        </w:rPr>
        <w:t>mg.</w:t>
      </w:r>
    </w:p>
    <w:p w14:paraId="20E5A276" w14:textId="77777777" w:rsidR="005929BB" w:rsidRPr="005929BB" w:rsidRDefault="005929BB" w:rsidP="005929BB">
      <w:pPr>
        <w:rPr>
          <w:sz w:val="24"/>
          <w:szCs w:val="24"/>
          <w:lang w:eastAsia="bg-BG"/>
        </w:rPr>
      </w:pPr>
      <w:r w:rsidRPr="005929BB">
        <w:rPr>
          <w:lang w:eastAsia="bg-BG"/>
        </w:rPr>
        <w:t>За пълния списък на помощните вещества, вижте точка 6.1.</w:t>
      </w:r>
    </w:p>
    <w:p w14:paraId="24963D65" w14:textId="77777777" w:rsidR="005929BB" w:rsidRPr="005929BB" w:rsidRDefault="005929BB" w:rsidP="005929BB">
      <w:pPr>
        <w:rPr>
          <w:sz w:val="24"/>
          <w:szCs w:val="24"/>
          <w:lang w:eastAsia="bg-BG"/>
        </w:rPr>
      </w:pPr>
      <w:r w:rsidRPr="005929BB">
        <w:rPr>
          <w:lang w:eastAsia="bg-BG"/>
        </w:rPr>
        <w:t xml:space="preserve">Таблетки 10 </w:t>
      </w:r>
      <w:r w:rsidRPr="005929BB">
        <w:rPr>
          <w:lang w:val="en-US"/>
        </w:rPr>
        <w:t>mg</w:t>
      </w:r>
    </w:p>
    <w:p w14:paraId="32BE0BD5" w14:textId="77777777" w:rsidR="005929BB" w:rsidRPr="005929BB" w:rsidRDefault="005929BB" w:rsidP="005929BB">
      <w:pPr>
        <w:rPr>
          <w:sz w:val="24"/>
          <w:szCs w:val="24"/>
          <w:lang w:eastAsia="bg-BG"/>
        </w:rPr>
      </w:pPr>
      <w:r w:rsidRPr="005929BB">
        <w:rPr>
          <w:lang w:eastAsia="bg-BG"/>
        </w:rPr>
        <w:t xml:space="preserve">Всяка таблетка съдържа активно вещество еналаприлов малеат </w:t>
      </w:r>
      <w:r w:rsidRPr="005929BB">
        <w:rPr>
          <w:i/>
          <w:iCs/>
          <w:lang w:val="en-US"/>
        </w:rPr>
        <w:t>(enalapril maleate)</w:t>
      </w:r>
      <w:r w:rsidRPr="005929BB">
        <w:rPr>
          <w:lang w:val="en-US"/>
        </w:rPr>
        <w:t xml:space="preserve"> </w:t>
      </w:r>
      <w:r w:rsidRPr="005929BB">
        <w:rPr>
          <w:lang w:eastAsia="bg-BG"/>
        </w:rPr>
        <w:t xml:space="preserve">10 </w:t>
      </w:r>
      <w:r w:rsidRPr="005929BB">
        <w:rPr>
          <w:lang w:val="en-US"/>
        </w:rPr>
        <w:t>mg.</w:t>
      </w:r>
    </w:p>
    <w:p w14:paraId="3FD8B070" w14:textId="77777777" w:rsidR="005929BB" w:rsidRPr="005929BB" w:rsidRDefault="005929BB" w:rsidP="005929BB">
      <w:pPr>
        <w:rPr>
          <w:sz w:val="24"/>
          <w:szCs w:val="24"/>
          <w:lang w:eastAsia="bg-BG"/>
        </w:rPr>
      </w:pPr>
      <w:r w:rsidRPr="005929BB">
        <w:rPr>
          <w:lang w:eastAsia="bg-BG"/>
        </w:rPr>
        <w:t>За пълния списък на помощните вещества, вижте точка 6.1.</w:t>
      </w:r>
    </w:p>
    <w:p w14:paraId="76F58C28" w14:textId="77777777" w:rsidR="005929BB" w:rsidRPr="005929BB" w:rsidRDefault="005929BB" w:rsidP="005929BB">
      <w:pPr>
        <w:rPr>
          <w:sz w:val="24"/>
          <w:szCs w:val="24"/>
          <w:lang w:eastAsia="bg-BG"/>
        </w:rPr>
      </w:pPr>
      <w:r w:rsidRPr="005929BB">
        <w:rPr>
          <w:lang w:eastAsia="bg-BG"/>
        </w:rPr>
        <w:t xml:space="preserve">Таблетки 20 </w:t>
      </w:r>
      <w:r w:rsidRPr="005929BB">
        <w:rPr>
          <w:lang w:val="en-US"/>
        </w:rPr>
        <w:t>mg</w:t>
      </w:r>
    </w:p>
    <w:p w14:paraId="55193D84" w14:textId="450EC1B5" w:rsidR="005929BB" w:rsidRPr="005929BB" w:rsidRDefault="005929BB" w:rsidP="005929BB">
      <w:r w:rsidRPr="005929BB">
        <w:rPr>
          <w:lang w:eastAsia="bg-BG"/>
        </w:rPr>
        <w:t xml:space="preserve">Всяка таблетка съдържа активно вещество еналаприлов малеат </w:t>
      </w:r>
      <w:r w:rsidRPr="005929BB">
        <w:rPr>
          <w:i/>
          <w:iCs/>
          <w:lang w:val="en-US"/>
        </w:rPr>
        <w:t>(enalapril maleate)</w:t>
      </w:r>
      <w:r w:rsidRPr="005929BB">
        <w:rPr>
          <w:lang w:val="en-US"/>
        </w:rPr>
        <w:t xml:space="preserve"> </w:t>
      </w:r>
      <w:r w:rsidRPr="005929BB">
        <w:rPr>
          <w:lang w:eastAsia="bg-BG"/>
        </w:rPr>
        <w:t xml:space="preserve">20 </w:t>
      </w:r>
      <w:r w:rsidRPr="005929BB">
        <w:rPr>
          <w:lang w:val="en-US"/>
        </w:rPr>
        <w:t>mg.</w:t>
      </w:r>
    </w:p>
    <w:p w14:paraId="4CABB9ED" w14:textId="483F3021" w:rsidR="00F53FB7" w:rsidRDefault="00DD466D" w:rsidP="00A93499">
      <w:pPr>
        <w:pStyle w:val="Heading1"/>
      </w:pPr>
      <w:r>
        <w:t>3. ЛЕКАРСТВЕНА ФОРМА</w:t>
      </w:r>
    </w:p>
    <w:p w14:paraId="3B262DBE" w14:textId="42B59E00" w:rsidR="005929BB" w:rsidRDefault="005929BB" w:rsidP="005929BB"/>
    <w:p w14:paraId="64409BC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Таблетка</w:t>
      </w:r>
    </w:p>
    <w:p w14:paraId="1DA5F386"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 xml:space="preserve">Таблетки 5 </w:t>
      </w:r>
      <w:r w:rsidRPr="005929BB">
        <w:rPr>
          <w:rFonts w:eastAsia="Times New Roman" w:cs="Arial"/>
          <w:color w:val="000000"/>
          <w:u w:val="single"/>
          <w:lang w:val="en-US"/>
        </w:rPr>
        <w:t>nig:</w:t>
      </w:r>
      <w:r w:rsidRPr="005929BB">
        <w:rPr>
          <w:rFonts w:eastAsia="Times New Roman" w:cs="Arial"/>
          <w:color w:val="000000"/>
          <w:lang w:val="en-US"/>
        </w:rPr>
        <w:t xml:space="preserve"> </w:t>
      </w:r>
      <w:r w:rsidRPr="005929BB">
        <w:rPr>
          <w:rFonts w:eastAsia="Times New Roman" w:cs="Arial"/>
          <w:color w:val="000000"/>
          <w:lang w:eastAsia="bg-BG"/>
        </w:rPr>
        <w:t xml:space="preserve">кръгли, плоски таблетки с бял цвят, с двустранна фасета и делителна черта от едната страна, диаметър 7 </w:t>
      </w:r>
      <w:r w:rsidRPr="005929BB">
        <w:rPr>
          <w:rFonts w:eastAsia="Times New Roman" w:cs="Arial"/>
          <w:color w:val="000000"/>
          <w:lang w:val="en-US"/>
        </w:rPr>
        <w:t>mm.</w:t>
      </w:r>
    </w:p>
    <w:p w14:paraId="027C0C5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 xml:space="preserve">Таблетки 10 </w:t>
      </w:r>
      <w:r w:rsidRPr="005929BB">
        <w:rPr>
          <w:rFonts w:eastAsia="Times New Roman" w:cs="Arial"/>
          <w:color w:val="000000"/>
          <w:u w:val="single"/>
          <w:lang w:val="en-US"/>
        </w:rPr>
        <w:t>mg</w:t>
      </w:r>
      <w:r w:rsidRPr="005929BB">
        <w:rPr>
          <w:rFonts w:eastAsia="Times New Roman" w:cs="Arial"/>
          <w:color w:val="000000"/>
          <w:lang w:val="en-US"/>
        </w:rPr>
        <w:t xml:space="preserve">: </w:t>
      </w:r>
      <w:r w:rsidRPr="005929BB">
        <w:rPr>
          <w:rFonts w:eastAsia="Times New Roman" w:cs="Arial"/>
          <w:color w:val="000000"/>
          <w:lang w:eastAsia="bg-BG"/>
        </w:rPr>
        <w:t xml:space="preserve">кръгли, плоски таблетки с розов цвят с лека мозайка, с двустранна фасета и делителна черта от едната страна, диаметър 8 </w:t>
      </w:r>
      <w:r w:rsidRPr="005929BB">
        <w:rPr>
          <w:rFonts w:eastAsia="Times New Roman" w:cs="Arial"/>
          <w:color w:val="000000"/>
          <w:lang w:val="en-US"/>
        </w:rPr>
        <w:t>mm.</w:t>
      </w:r>
    </w:p>
    <w:p w14:paraId="6BF1081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 xml:space="preserve">Таблетки 20 </w:t>
      </w:r>
      <w:r w:rsidRPr="005929BB">
        <w:rPr>
          <w:rFonts w:eastAsia="Times New Roman" w:cs="Arial"/>
          <w:color w:val="000000"/>
          <w:u w:val="single"/>
          <w:lang w:val="en-US"/>
        </w:rPr>
        <w:t>mg</w:t>
      </w:r>
      <w:r w:rsidRPr="005929BB">
        <w:rPr>
          <w:rFonts w:eastAsia="Times New Roman" w:cs="Arial"/>
          <w:color w:val="000000"/>
          <w:lang w:val="en-US"/>
        </w:rPr>
        <w:t xml:space="preserve">: </w:t>
      </w:r>
      <w:r w:rsidRPr="005929BB">
        <w:rPr>
          <w:rFonts w:eastAsia="Times New Roman" w:cs="Arial"/>
          <w:color w:val="000000"/>
          <w:lang w:eastAsia="bg-BG"/>
        </w:rPr>
        <w:t xml:space="preserve">кръгли, плоски таблетки с бежов цвят, с двустранна фасета и делителна черта от едната страна, диаметър 9 </w:t>
      </w:r>
      <w:r w:rsidRPr="005929BB">
        <w:rPr>
          <w:rFonts w:eastAsia="Times New Roman" w:cs="Arial"/>
          <w:color w:val="000000"/>
          <w:lang w:val="en-US"/>
        </w:rPr>
        <w:t>mm.</w:t>
      </w:r>
    </w:p>
    <w:p w14:paraId="18D1437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Таблетката може да бъде разделена на две равни дози.</w:t>
      </w:r>
    </w:p>
    <w:p w14:paraId="4C7B46E2" w14:textId="77777777" w:rsidR="005929BB" w:rsidRPr="005929BB" w:rsidRDefault="005929BB" w:rsidP="005929BB"/>
    <w:p w14:paraId="490FC2C4" w14:textId="6899DE43" w:rsidR="002C50EE" w:rsidRDefault="002C50EE" w:rsidP="002C50EE">
      <w:pPr>
        <w:pStyle w:val="Heading1"/>
      </w:pPr>
      <w:r>
        <w:t>4. КЛИНИЧНИ ДАННИ</w:t>
      </w:r>
    </w:p>
    <w:p w14:paraId="1A37D275" w14:textId="325A3AB9" w:rsidR="00F53FB7" w:rsidRDefault="002C50EE" w:rsidP="00A93499">
      <w:pPr>
        <w:pStyle w:val="Heading2"/>
      </w:pPr>
      <w:r>
        <w:t>4.1. Терапевтични показания</w:t>
      </w:r>
    </w:p>
    <w:p w14:paraId="4A8BA1C0" w14:textId="69C914B8" w:rsidR="005929BB" w:rsidRDefault="005929BB" w:rsidP="005929BB"/>
    <w:p w14:paraId="5A06C3EA" w14:textId="77777777" w:rsidR="005929BB" w:rsidRPr="005929BB" w:rsidRDefault="005929BB" w:rsidP="005929BB">
      <w:pPr>
        <w:pStyle w:val="ListParagraph"/>
        <w:numPr>
          <w:ilvl w:val="0"/>
          <w:numId w:val="40"/>
        </w:numPr>
        <w:spacing w:line="240" w:lineRule="auto"/>
        <w:rPr>
          <w:rFonts w:eastAsia="Times New Roman" w:cs="Arial"/>
          <w:color w:val="000000"/>
          <w:lang w:eastAsia="bg-BG"/>
        </w:rPr>
      </w:pPr>
      <w:r w:rsidRPr="005929BB">
        <w:rPr>
          <w:rFonts w:eastAsia="Times New Roman" w:cs="Arial"/>
          <w:color w:val="000000"/>
          <w:lang w:eastAsia="bg-BG"/>
        </w:rPr>
        <w:t>Артериална хипертония - есенциална и реноваскуларна, самостоятелно или в комбинация с други антихипертензивни продукти (вж. точки 4.3,4.4,4.5 и 5.1).</w:t>
      </w:r>
    </w:p>
    <w:p w14:paraId="725BF3D1" w14:textId="77777777" w:rsidR="005929BB" w:rsidRPr="005929BB" w:rsidRDefault="005929BB" w:rsidP="005929BB">
      <w:pPr>
        <w:pStyle w:val="ListParagraph"/>
        <w:numPr>
          <w:ilvl w:val="0"/>
          <w:numId w:val="40"/>
        </w:numPr>
        <w:spacing w:line="240" w:lineRule="auto"/>
        <w:rPr>
          <w:rFonts w:eastAsia="Times New Roman" w:cs="Arial"/>
          <w:color w:val="000000"/>
          <w:lang w:eastAsia="bg-BG"/>
        </w:rPr>
      </w:pPr>
      <w:r w:rsidRPr="005929BB">
        <w:rPr>
          <w:rFonts w:eastAsia="Times New Roman" w:cs="Arial"/>
          <w:color w:val="000000"/>
          <w:lang w:eastAsia="bg-BG"/>
        </w:rPr>
        <w:t>Хронична застойна сърдечна недостатъчност (обикновено в комбинация с диуретици и когато е необходимо - с дигиталис и бета блокери).</w:t>
      </w:r>
    </w:p>
    <w:p w14:paraId="3F7EFFE5" w14:textId="50D0B927" w:rsidR="005929BB" w:rsidRPr="005929BB" w:rsidRDefault="005929BB" w:rsidP="005929BB">
      <w:pPr>
        <w:pStyle w:val="ListParagraph"/>
        <w:numPr>
          <w:ilvl w:val="0"/>
          <w:numId w:val="40"/>
        </w:numPr>
        <w:spacing w:line="240" w:lineRule="auto"/>
        <w:rPr>
          <w:rFonts w:eastAsia="Times New Roman" w:cs="Arial"/>
          <w:color w:val="000000"/>
          <w:lang w:eastAsia="bg-BG"/>
        </w:rPr>
      </w:pPr>
      <w:r w:rsidRPr="005929BB">
        <w:rPr>
          <w:rFonts w:eastAsia="Times New Roman" w:cs="Arial"/>
          <w:color w:val="000000"/>
          <w:lang w:eastAsia="bg-BG"/>
        </w:rPr>
        <w:t>Профилактика на коронарна исхемия при пациенти с левокамерна дисфункция с или без застойна сърдечна недостатъчност.</w:t>
      </w:r>
    </w:p>
    <w:p w14:paraId="622CCC1B" w14:textId="77777777" w:rsidR="005929BB" w:rsidRPr="005929BB" w:rsidRDefault="005929BB" w:rsidP="005929BB"/>
    <w:p w14:paraId="05D17336" w14:textId="2DA95913" w:rsidR="00F53FB7" w:rsidRDefault="002C50EE" w:rsidP="00A93499">
      <w:pPr>
        <w:pStyle w:val="Heading2"/>
      </w:pPr>
      <w:r>
        <w:t>4.2. Дозировка и начин на приложение</w:t>
      </w:r>
    </w:p>
    <w:p w14:paraId="54CAEF04" w14:textId="08404060" w:rsidR="005929BB" w:rsidRDefault="005929BB" w:rsidP="005929BB"/>
    <w:p w14:paraId="208FD5EE" w14:textId="77777777" w:rsidR="005929BB" w:rsidRPr="005929BB" w:rsidRDefault="005929BB" w:rsidP="005929BB">
      <w:pPr>
        <w:pStyle w:val="Heading3"/>
        <w:rPr>
          <w:rFonts w:eastAsia="Times New Roman"/>
          <w:u w:val="single"/>
          <w:lang w:eastAsia="bg-BG"/>
        </w:rPr>
      </w:pPr>
      <w:r w:rsidRPr="005929BB">
        <w:rPr>
          <w:rFonts w:eastAsia="Times New Roman"/>
          <w:u w:val="single"/>
          <w:lang w:eastAsia="bg-BG"/>
        </w:rPr>
        <w:t>Дозировка</w:t>
      </w:r>
    </w:p>
    <w:p w14:paraId="3AFCD812" w14:textId="77777777" w:rsidR="005929BB" w:rsidRPr="005929BB" w:rsidRDefault="005929BB" w:rsidP="005929BB">
      <w:pPr>
        <w:spacing w:line="240" w:lineRule="auto"/>
        <w:rPr>
          <w:rFonts w:eastAsia="Times New Roman" w:cs="Arial"/>
          <w:i/>
          <w:iCs/>
          <w:color w:val="000000"/>
          <w:u w:val="single"/>
          <w:lang w:eastAsia="bg-BG"/>
        </w:rPr>
      </w:pPr>
    </w:p>
    <w:p w14:paraId="490EDACF" w14:textId="73A278AF"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u w:val="single"/>
          <w:lang w:eastAsia="bg-BG"/>
        </w:rPr>
        <w:t>Възрастни</w:t>
      </w:r>
    </w:p>
    <w:p w14:paraId="59ED1EC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lang w:eastAsia="bg-BG"/>
        </w:rPr>
        <w:t>Артериална хипертония -</w:t>
      </w:r>
      <w:r w:rsidRPr="005929BB">
        <w:rPr>
          <w:rFonts w:eastAsia="Times New Roman" w:cs="Arial"/>
          <w:color w:val="000000"/>
          <w:lang w:eastAsia="bg-BG"/>
        </w:rPr>
        <w:t xml:space="preserve"> самостоятелно или в комбинация с други антихипертензивни продукти (вж. точки 4.3,4.4,4.5 и 5.1).</w:t>
      </w:r>
    </w:p>
    <w:p w14:paraId="62CBCBCE" w14:textId="77777777" w:rsidR="005929BB" w:rsidRPr="005929BB" w:rsidRDefault="005929BB" w:rsidP="005929BB">
      <w:pPr>
        <w:spacing w:line="240" w:lineRule="auto"/>
        <w:rPr>
          <w:rFonts w:eastAsia="Times New Roman" w:cs="Arial"/>
          <w:color w:val="000000"/>
          <w:lang w:eastAsia="bg-BG"/>
        </w:rPr>
      </w:pPr>
    </w:p>
    <w:p w14:paraId="3EC50DDE" w14:textId="4471B7AB"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Началната доза е 10 до 20 </w:t>
      </w:r>
      <w:r w:rsidRPr="005929BB">
        <w:rPr>
          <w:rFonts w:eastAsia="Times New Roman" w:cs="Arial"/>
          <w:color w:val="000000"/>
          <w:lang w:val="en-US"/>
        </w:rPr>
        <w:t xml:space="preserve">mg, </w:t>
      </w:r>
      <w:r w:rsidRPr="005929BB">
        <w:rPr>
          <w:rFonts w:eastAsia="Times New Roman" w:cs="Arial"/>
          <w:color w:val="000000"/>
          <w:lang w:eastAsia="bg-BG"/>
        </w:rPr>
        <w:t>в зависимост от степента на хипертонията. При лека степен на</w:t>
      </w:r>
      <w:r>
        <w:rPr>
          <w:rFonts w:eastAsia="Times New Roman" w:cs="Arial"/>
          <w:sz w:val="24"/>
          <w:szCs w:val="24"/>
          <w:lang w:eastAsia="bg-BG"/>
        </w:rPr>
        <w:t xml:space="preserve"> </w:t>
      </w:r>
      <w:r w:rsidRPr="005929BB">
        <w:rPr>
          <w:rFonts w:eastAsia="Times New Roman" w:cs="Arial"/>
          <w:color w:val="000000"/>
          <w:lang w:eastAsia="bg-BG"/>
        </w:rPr>
        <w:t xml:space="preserve">хипертония препоръчваната начална доза е по 10 </w:t>
      </w:r>
      <w:r w:rsidRPr="005929BB">
        <w:rPr>
          <w:rFonts w:eastAsia="Times New Roman" w:cs="Arial"/>
          <w:color w:val="000000"/>
          <w:lang w:val="en-US"/>
        </w:rPr>
        <w:t xml:space="preserve">mg </w:t>
      </w:r>
      <w:r w:rsidRPr="005929BB">
        <w:rPr>
          <w:rFonts w:eastAsia="Times New Roman" w:cs="Arial"/>
          <w:color w:val="000000"/>
          <w:lang w:eastAsia="bg-BG"/>
        </w:rPr>
        <w:t>1 или 2 пъти дневно. За останалите степени на</w:t>
      </w:r>
      <w:r w:rsidRPr="005929BB">
        <w:rPr>
          <w:rFonts w:eastAsia="Times New Roman" w:cs="Arial"/>
          <w:color w:val="000000"/>
          <w:lang w:eastAsia="bg-BG"/>
        </w:rPr>
        <w:t xml:space="preserve"> </w:t>
      </w:r>
      <w:r w:rsidRPr="005929BB">
        <w:rPr>
          <w:rFonts w:eastAsia="Times New Roman" w:cs="Arial"/>
          <w:color w:val="000000"/>
          <w:lang w:eastAsia="bg-BG"/>
        </w:rPr>
        <w:t xml:space="preserve">хипертония началната доза е 20 </w:t>
      </w:r>
      <w:r w:rsidRPr="005929BB">
        <w:rPr>
          <w:rFonts w:eastAsia="Times New Roman" w:cs="Arial"/>
          <w:color w:val="000000"/>
          <w:lang w:val="en-US"/>
        </w:rPr>
        <w:t xml:space="preserve">mg </w:t>
      </w:r>
      <w:r w:rsidRPr="005929BB">
        <w:rPr>
          <w:rFonts w:eastAsia="Times New Roman" w:cs="Arial"/>
          <w:color w:val="000000"/>
          <w:lang w:eastAsia="bg-BG"/>
        </w:rPr>
        <w:t xml:space="preserve">дневно. Обикновено, поддържащата доза е по 20 </w:t>
      </w:r>
      <w:r w:rsidRPr="005929BB">
        <w:rPr>
          <w:rFonts w:eastAsia="Times New Roman" w:cs="Arial"/>
          <w:color w:val="000000"/>
          <w:lang w:val="en-US"/>
        </w:rPr>
        <w:t xml:space="preserve">mg </w:t>
      </w:r>
      <w:r w:rsidRPr="005929BB">
        <w:rPr>
          <w:rFonts w:eastAsia="Times New Roman" w:cs="Arial"/>
          <w:color w:val="000000"/>
          <w:lang w:eastAsia="bg-BG"/>
        </w:rPr>
        <w:t xml:space="preserve">1 или 2 пъти дневно. Дозата може да бъде повишена при необходимост до максималната - 40 </w:t>
      </w:r>
      <w:r w:rsidRPr="005929BB">
        <w:rPr>
          <w:rFonts w:eastAsia="Times New Roman" w:cs="Arial"/>
          <w:color w:val="000000"/>
          <w:lang w:val="en-US"/>
        </w:rPr>
        <w:t xml:space="preserve">mg </w:t>
      </w:r>
      <w:r w:rsidRPr="005929BB">
        <w:rPr>
          <w:rFonts w:eastAsia="Times New Roman" w:cs="Arial"/>
          <w:color w:val="000000"/>
          <w:lang w:eastAsia="bg-BG"/>
        </w:rPr>
        <w:t>дневно.</w:t>
      </w:r>
    </w:p>
    <w:p w14:paraId="28B1DC36" w14:textId="68ECCE62"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lang w:eastAsia="bg-BG"/>
        </w:rPr>
        <w:t>Реноваскуларна хипертония -</w:t>
      </w:r>
      <w:r w:rsidRPr="005929BB">
        <w:rPr>
          <w:rFonts w:eastAsia="Times New Roman" w:cs="Arial"/>
          <w:color w:val="000000"/>
          <w:lang w:eastAsia="bg-BG"/>
        </w:rPr>
        <w:t xml:space="preserve"> самостоятелно или в комбинация с други</w:t>
      </w:r>
      <w:r>
        <w:rPr>
          <w:rFonts w:eastAsia="Times New Roman" w:cs="Arial"/>
          <w:color w:val="000000"/>
          <w:lang w:eastAsia="bg-BG"/>
        </w:rPr>
        <w:t xml:space="preserve"> </w:t>
      </w:r>
      <w:r w:rsidRPr="005929BB">
        <w:rPr>
          <w:rFonts w:eastAsia="Times New Roman" w:cs="Arial"/>
          <w:color w:val="000000"/>
          <w:lang w:eastAsia="bg-BG"/>
        </w:rPr>
        <w:t>антихипертензивни продукти (вж. точки 4.3,4.4,4.5 и 5.1).</w:t>
      </w:r>
    </w:p>
    <w:p w14:paraId="1976E06C" w14:textId="77777777" w:rsidR="005929BB" w:rsidRPr="005929BB" w:rsidRDefault="005929BB" w:rsidP="005929BB">
      <w:pPr>
        <w:spacing w:line="240" w:lineRule="auto"/>
        <w:rPr>
          <w:rFonts w:eastAsia="Times New Roman" w:cs="Arial"/>
          <w:color w:val="000000"/>
          <w:lang w:eastAsia="bg-BG"/>
        </w:rPr>
      </w:pPr>
    </w:p>
    <w:p w14:paraId="4A59BFEF" w14:textId="42E2FFA9"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Пациентите с реноваскуларна хипертония могат да бъдат особено чувствителни към действието на АСЕ инхибитори, поради което терапията трябва да започне с по-ниски начални дози (5 </w:t>
      </w:r>
      <w:r w:rsidRPr="005929BB">
        <w:rPr>
          <w:rFonts w:eastAsia="Times New Roman" w:cs="Arial"/>
          <w:color w:val="000000"/>
          <w:lang w:val="en-US"/>
        </w:rPr>
        <w:t xml:space="preserve">mg </w:t>
      </w:r>
      <w:r w:rsidRPr="005929BB">
        <w:rPr>
          <w:rFonts w:eastAsia="Times New Roman" w:cs="Arial"/>
          <w:color w:val="000000"/>
          <w:lang w:eastAsia="bg-BG"/>
        </w:rPr>
        <w:t xml:space="preserve">или по- ниски дневни дози), след което дозата трябва да се повишава индивидуално при всеки пациент. Обикновено поддържащата доза е 20 </w:t>
      </w:r>
      <w:r w:rsidRPr="005929BB">
        <w:rPr>
          <w:rFonts w:eastAsia="Times New Roman" w:cs="Arial"/>
          <w:color w:val="000000"/>
          <w:lang w:val="en-US"/>
        </w:rPr>
        <w:t xml:space="preserve">mg </w:t>
      </w:r>
      <w:r w:rsidRPr="005929BB">
        <w:rPr>
          <w:rFonts w:eastAsia="Times New Roman" w:cs="Arial"/>
          <w:color w:val="000000"/>
          <w:lang w:eastAsia="bg-BG"/>
        </w:rPr>
        <w:t>1 или 2 пъти дневно.</w:t>
      </w:r>
    </w:p>
    <w:p w14:paraId="7025162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След приемането на първата доза еналаприл може да се появи симптоматична хипотония, което по- често се случва при пациенти, лекувани с диуретици преди това. Лечението с диуретик трябва да бъде преустановено 2-3 дни преди започване на терапията с еналаприл. Ако това не е възможно, трябва да бъде избрана доза, по-ниска от препоръчваната начална в тези случаи (5 </w:t>
      </w:r>
      <w:r w:rsidRPr="005929BB">
        <w:rPr>
          <w:rFonts w:eastAsia="Times New Roman" w:cs="Arial"/>
          <w:color w:val="000000"/>
          <w:lang w:val="en-US"/>
        </w:rPr>
        <w:t xml:space="preserve">mg </w:t>
      </w:r>
      <w:r w:rsidRPr="005929BB">
        <w:rPr>
          <w:rFonts w:eastAsia="Times New Roman" w:cs="Arial"/>
          <w:color w:val="000000"/>
          <w:lang w:eastAsia="bg-BG"/>
        </w:rPr>
        <w:t>или по-ниска), за да се избегне появата на хипотония.</w:t>
      </w:r>
    </w:p>
    <w:p w14:paraId="59CED5D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lang w:eastAsia="bg-BG"/>
        </w:rPr>
        <w:t>Сърдечна недостатъчност/Асимптомна дисфункция на лявата камера</w:t>
      </w:r>
    </w:p>
    <w:p w14:paraId="6EED871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 се използва за лечение на сърдечна недостатъчност, обикновено заедно с диуретици и когато е необходимо - с дигиталисови глюкозиди.</w:t>
      </w:r>
    </w:p>
    <w:p w14:paraId="296396B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Начална доза от 2,5 </w:t>
      </w:r>
      <w:r w:rsidRPr="005929BB">
        <w:rPr>
          <w:rFonts w:eastAsia="Times New Roman" w:cs="Arial"/>
          <w:color w:val="000000"/>
          <w:lang w:val="en-US"/>
        </w:rPr>
        <w:t xml:space="preserve">mg </w:t>
      </w:r>
      <w:r w:rsidRPr="005929BB">
        <w:rPr>
          <w:rFonts w:eastAsia="Times New Roman" w:cs="Arial"/>
          <w:color w:val="000000"/>
          <w:lang w:eastAsia="bg-BG"/>
        </w:rPr>
        <w:t xml:space="preserve">еднократно дневно се прилага под лекарски контрол за оценка на началния ефект върху кръвното налягане. Дозата трябва да се увеличава постепенно, в зависимост от индивидуалния отговор на пациента, до достигане на обичайната поддържаща доза от 20 </w:t>
      </w:r>
      <w:r w:rsidRPr="005929BB">
        <w:rPr>
          <w:rFonts w:eastAsia="Times New Roman" w:cs="Arial"/>
          <w:color w:val="000000"/>
          <w:lang w:val="en-US"/>
        </w:rPr>
        <w:t xml:space="preserve">mg, </w:t>
      </w:r>
      <w:r w:rsidRPr="005929BB">
        <w:rPr>
          <w:rFonts w:eastAsia="Times New Roman" w:cs="Arial"/>
          <w:color w:val="000000"/>
          <w:lang w:eastAsia="bg-BG"/>
        </w:rPr>
        <w:t>приемана еднократно или разделена на 2 приема. Това уточняване на дозата може да се прави в рамките на 2-4 седмици или за по-кратко време, ако са налице симптоми на сърдечна недостатъчност.</w:t>
      </w:r>
    </w:p>
    <w:p w14:paraId="6C995739"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lang w:eastAsia="bg-BG"/>
        </w:rPr>
        <w:t>Пациенти с нарушена бъбречна функция</w:t>
      </w:r>
    </w:p>
    <w:p w14:paraId="51B40BC2"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бъбречна недостатъчност интервалите между приемите на еналаприл трябва да бъдат удължени и/или дозата намалена в зависимост от степента на бъбречното увреждане.</w:t>
      </w:r>
    </w:p>
    <w:p w14:paraId="335701B8" w14:textId="0333FA9B" w:rsidR="005929BB" w:rsidRPr="005929BB" w:rsidRDefault="005929BB" w:rsidP="005929BB">
      <w:pPr>
        <w:spacing w:line="240" w:lineRule="auto"/>
        <w:rPr>
          <w:rFonts w:ascii="Times New Roman" w:eastAsia="Times New Roman" w:hAnsi="Times New Roman" w:cs="Times New Roman"/>
          <w:sz w:val="24"/>
          <w:szCs w:val="24"/>
          <w:lang w:eastAsia="bg-BG"/>
        </w:rPr>
      </w:pPr>
    </w:p>
    <w:tbl>
      <w:tblPr>
        <w:tblStyle w:val="TableGrid"/>
        <w:tblW w:w="0" w:type="auto"/>
        <w:tblLook w:val="04A0" w:firstRow="1" w:lastRow="0" w:firstColumn="1" w:lastColumn="0" w:noHBand="0" w:noVBand="1"/>
      </w:tblPr>
      <w:tblGrid>
        <w:gridCol w:w="3118"/>
        <w:gridCol w:w="3122"/>
        <w:gridCol w:w="3110"/>
      </w:tblGrid>
      <w:tr w:rsidR="005929BB" w14:paraId="58C106FA" w14:textId="77777777" w:rsidTr="005929BB">
        <w:tc>
          <w:tcPr>
            <w:tcW w:w="3166" w:type="dxa"/>
          </w:tcPr>
          <w:p w14:paraId="58B56A6C" w14:textId="47220AF1" w:rsidR="005929BB" w:rsidRDefault="005929BB" w:rsidP="005929BB">
            <w:r>
              <w:t>Ренален статус</w:t>
            </w:r>
          </w:p>
        </w:tc>
        <w:tc>
          <w:tcPr>
            <w:tcW w:w="3167" w:type="dxa"/>
          </w:tcPr>
          <w:p w14:paraId="42C084C8" w14:textId="000A96FF" w:rsidR="005929BB" w:rsidRDefault="005929BB" w:rsidP="005929BB">
            <w:r>
              <w:t xml:space="preserve">Креатининов клирънс </w:t>
            </w:r>
            <w:r>
              <w:rPr>
                <w:lang w:val="en-US"/>
              </w:rPr>
              <w:t>ml/min</w:t>
            </w:r>
          </w:p>
        </w:tc>
        <w:tc>
          <w:tcPr>
            <w:tcW w:w="3167" w:type="dxa"/>
          </w:tcPr>
          <w:p w14:paraId="6EB2B46F" w14:textId="314F6724" w:rsidR="005929BB" w:rsidRDefault="005929BB" w:rsidP="005929BB">
            <w:r>
              <w:t xml:space="preserve">Начална доза - </w:t>
            </w:r>
            <w:r>
              <w:rPr>
                <w:lang w:val="en-US"/>
              </w:rPr>
              <w:t>mg</w:t>
            </w:r>
            <w:r>
              <w:t>/ден</w:t>
            </w:r>
          </w:p>
        </w:tc>
      </w:tr>
      <w:tr w:rsidR="005929BB" w14:paraId="26FC5EB8" w14:textId="77777777" w:rsidTr="005929BB">
        <w:tc>
          <w:tcPr>
            <w:tcW w:w="3166" w:type="dxa"/>
          </w:tcPr>
          <w:p w14:paraId="00357A05" w14:textId="4E3493E4" w:rsidR="005929BB" w:rsidRDefault="005929BB" w:rsidP="005929BB">
            <w:r>
              <w:t>Леко увреждане</w:t>
            </w:r>
          </w:p>
        </w:tc>
        <w:tc>
          <w:tcPr>
            <w:tcW w:w="3167" w:type="dxa"/>
          </w:tcPr>
          <w:p w14:paraId="1E96B316" w14:textId="521A61B3" w:rsidR="005929BB" w:rsidRDefault="005929BB" w:rsidP="005929BB">
            <w:r>
              <w:t xml:space="preserve">&lt; 80 &gt; 30 </w:t>
            </w:r>
            <w:r>
              <w:rPr>
                <w:lang w:val="en-US"/>
              </w:rPr>
              <w:t>ml/min</w:t>
            </w:r>
          </w:p>
        </w:tc>
        <w:tc>
          <w:tcPr>
            <w:tcW w:w="3167" w:type="dxa"/>
          </w:tcPr>
          <w:p w14:paraId="16611F59" w14:textId="592301FE" w:rsidR="005929BB" w:rsidRDefault="005929BB" w:rsidP="005929BB">
            <w:r>
              <w:t xml:space="preserve">5-10 </w:t>
            </w:r>
            <w:r>
              <w:rPr>
                <w:lang w:val="en-US"/>
              </w:rPr>
              <w:t>mg</w:t>
            </w:r>
            <w:r>
              <w:t>/ден</w:t>
            </w:r>
          </w:p>
        </w:tc>
      </w:tr>
      <w:tr w:rsidR="005929BB" w14:paraId="10BF5DE3" w14:textId="77777777" w:rsidTr="005929BB">
        <w:tc>
          <w:tcPr>
            <w:tcW w:w="3166" w:type="dxa"/>
          </w:tcPr>
          <w:p w14:paraId="3ACA73F6" w14:textId="2F1051AE" w:rsidR="005929BB" w:rsidRDefault="005929BB" w:rsidP="005929BB">
            <w:r>
              <w:t>Умерено увреждане</w:t>
            </w:r>
          </w:p>
        </w:tc>
        <w:tc>
          <w:tcPr>
            <w:tcW w:w="3167" w:type="dxa"/>
          </w:tcPr>
          <w:p w14:paraId="03CF8A46" w14:textId="201A42F9" w:rsidR="005929BB" w:rsidRDefault="005929BB" w:rsidP="005929BB">
            <w:r>
              <w:t xml:space="preserve">≤30&gt; 10 </w:t>
            </w:r>
            <w:r>
              <w:rPr>
                <w:lang w:val="en-US"/>
              </w:rPr>
              <w:t>ml/min</w:t>
            </w:r>
          </w:p>
        </w:tc>
        <w:tc>
          <w:tcPr>
            <w:tcW w:w="3167" w:type="dxa"/>
          </w:tcPr>
          <w:p w14:paraId="4BF8541B" w14:textId="2A881E3A" w:rsidR="005929BB" w:rsidRDefault="005929BB" w:rsidP="005929BB">
            <w:r>
              <w:t xml:space="preserve">2,5-5 </w:t>
            </w:r>
            <w:r>
              <w:rPr>
                <w:lang w:val="en-US"/>
              </w:rPr>
              <w:t>mg</w:t>
            </w:r>
            <w:r>
              <w:t>/ден</w:t>
            </w:r>
          </w:p>
        </w:tc>
      </w:tr>
      <w:tr w:rsidR="005929BB" w14:paraId="5737444A" w14:textId="77777777" w:rsidTr="005929BB">
        <w:tc>
          <w:tcPr>
            <w:tcW w:w="3166" w:type="dxa"/>
          </w:tcPr>
          <w:p w14:paraId="18818B49" w14:textId="42FC73C2" w:rsidR="005929BB" w:rsidRDefault="005929BB" w:rsidP="005929BB">
            <w:r>
              <w:t>Тежко увреждане Обикновено тези пациенти са на диализа</w:t>
            </w:r>
          </w:p>
        </w:tc>
        <w:tc>
          <w:tcPr>
            <w:tcW w:w="3167" w:type="dxa"/>
          </w:tcPr>
          <w:p w14:paraId="3CC91D60" w14:textId="69F1A766" w:rsidR="005929BB" w:rsidRDefault="005929BB" w:rsidP="005929BB">
            <w:r>
              <w:t xml:space="preserve">≤10 </w:t>
            </w:r>
            <w:r>
              <w:rPr>
                <w:lang w:val="en-US"/>
              </w:rPr>
              <w:t>ml/min</w:t>
            </w:r>
          </w:p>
        </w:tc>
        <w:tc>
          <w:tcPr>
            <w:tcW w:w="3167" w:type="dxa"/>
          </w:tcPr>
          <w:p w14:paraId="0A78CC03" w14:textId="76AFF0A8" w:rsidR="005929BB" w:rsidRDefault="005929BB" w:rsidP="005929BB">
            <w:r>
              <w:t xml:space="preserve">2,5 </w:t>
            </w:r>
            <w:r>
              <w:rPr>
                <w:lang w:val="en-US"/>
              </w:rPr>
              <w:t xml:space="preserve">mg </w:t>
            </w:r>
            <w:r>
              <w:t>в дните на диализа</w:t>
            </w:r>
          </w:p>
        </w:tc>
      </w:tr>
    </w:tbl>
    <w:p w14:paraId="23F26723" w14:textId="74D54A1A" w:rsidR="005929BB" w:rsidRDefault="005929BB" w:rsidP="005929BB"/>
    <w:p w14:paraId="7432615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Еналаприлат се отстранява чрез диализа. Пациентите на хемодиализа трябва да приемат дозата си след диализа. Дозата в междудиализния период трябва да се коригира в зависимост от промените в артериалното налягане.</w:t>
      </w:r>
    </w:p>
    <w:p w14:paraId="33A0E227" w14:textId="77777777" w:rsidR="005929BB" w:rsidRPr="005929BB" w:rsidRDefault="005929BB" w:rsidP="005929BB">
      <w:pPr>
        <w:spacing w:line="240" w:lineRule="auto"/>
        <w:rPr>
          <w:rFonts w:eastAsia="Times New Roman" w:cs="Arial"/>
          <w:i/>
          <w:iCs/>
          <w:color w:val="000000"/>
          <w:u w:val="single"/>
          <w:lang w:eastAsia="bg-BG"/>
        </w:rPr>
      </w:pPr>
    </w:p>
    <w:p w14:paraId="4BCC601A" w14:textId="1A5E6DA4"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u w:val="single"/>
          <w:lang w:eastAsia="bg-BG"/>
        </w:rPr>
        <w:t>Педиатрична популация</w:t>
      </w:r>
    </w:p>
    <w:p w14:paraId="7A8FB31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u w:val="single"/>
          <w:lang w:eastAsia="bg-BG"/>
        </w:rPr>
        <w:t>Деца с хипертония</w:t>
      </w:r>
    </w:p>
    <w:p w14:paraId="75D5630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Има ограничен опит от клинични проучвания относно употребата на еналаприл при деца с хипертония (вж. точки 4.4, 5.1 и 5.2).</w:t>
      </w:r>
    </w:p>
    <w:p w14:paraId="1645B57A"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За деца, които могат да поглъщат таблетките, дозата трябва да се определи индивидуално според профила на пациента и отговора на артериалното налягане. Препоръчваната начална доза е 2,5 </w:t>
      </w:r>
      <w:r w:rsidRPr="005929BB">
        <w:rPr>
          <w:rFonts w:eastAsia="Times New Roman" w:cs="Arial"/>
          <w:color w:val="000000"/>
          <w:lang w:val="en-US"/>
        </w:rPr>
        <w:t xml:space="preserve">mg </w:t>
      </w:r>
      <w:r w:rsidRPr="005929BB">
        <w:rPr>
          <w:rFonts w:eastAsia="Times New Roman" w:cs="Arial"/>
          <w:color w:val="000000"/>
          <w:lang w:eastAsia="bg-BG"/>
        </w:rPr>
        <w:t xml:space="preserve">еднократно дневно при пациенти с телесно тегло от 20 до 50 </w:t>
      </w:r>
      <w:r w:rsidRPr="005929BB">
        <w:rPr>
          <w:rFonts w:eastAsia="Times New Roman" w:cs="Arial"/>
          <w:color w:val="000000"/>
          <w:lang w:val="en-US"/>
        </w:rPr>
        <w:t xml:space="preserve">kg </w:t>
      </w:r>
      <w:r w:rsidRPr="005929BB">
        <w:rPr>
          <w:rFonts w:eastAsia="Times New Roman" w:cs="Arial"/>
          <w:color w:val="000000"/>
          <w:lang w:eastAsia="bg-BG"/>
        </w:rPr>
        <w:t xml:space="preserve">и 5 </w:t>
      </w:r>
      <w:r w:rsidRPr="005929BB">
        <w:rPr>
          <w:rFonts w:eastAsia="Times New Roman" w:cs="Arial"/>
          <w:color w:val="000000"/>
          <w:lang w:val="en-US"/>
        </w:rPr>
        <w:t xml:space="preserve">mg </w:t>
      </w:r>
      <w:r w:rsidRPr="005929BB">
        <w:rPr>
          <w:rFonts w:eastAsia="Times New Roman" w:cs="Arial"/>
          <w:color w:val="000000"/>
          <w:lang w:eastAsia="bg-BG"/>
        </w:rPr>
        <w:t xml:space="preserve">еднократно дневно при пациенти с телесно тегло над 50 </w:t>
      </w:r>
      <w:r w:rsidRPr="005929BB">
        <w:rPr>
          <w:rFonts w:eastAsia="Times New Roman" w:cs="Arial"/>
          <w:color w:val="000000"/>
          <w:lang w:val="en-US"/>
        </w:rPr>
        <w:t xml:space="preserve">kg. </w:t>
      </w:r>
      <w:r w:rsidRPr="005929BB">
        <w:rPr>
          <w:rFonts w:eastAsia="Times New Roman" w:cs="Arial"/>
          <w:color w:val="000000"/>
          <w:lang w:eastAsia="bg-BG"/>
        </w:rPr>
        <w:t xml:space="preserve">Дозировката се титрира индивидуално до максимална доза от 20 </w:t>
      </w:r>
      <w:r w:rsidRPr="005929BB">
        <w:rPr>
          <w:rFonts w:eastAsia="Times New Roman" w:cs="Arial"/>
          <w:color w:val="000000"/>
          <w:lang w:val="en-US"/>
        </w:rPr>
        <w:t xml:space="preserve">mg </w:t>
      </w:r>
      <w:r w:rsidRPr="005929BB">
        <w:rPr>
          <w:rFonts w:eastAsia="Times New Roman" w:cs="Arial"/>
          <w:color w:val="000000"/>
          <w:lang w:eastAsia="bg-BG"/>
        </w:rPr>
        <w:t xml:space="preserve">дневно при пациенти с телесно тегло от 20 до 50 </w:t>
      </w:r>
      <w:r w:rsidRPr="005929BB">
        <w:rPr>
          <w:rFonts w:eastAsia="Times New Roman" w:cs="Arial"/>
          <w:color w:val="000000"/>
          <w:lang w:val="en-US"/>
        </w:rPr>
        <w:t xml:space="preserve">kg </w:t>
      </w:r>
      <w:r w:rsidRPr="005929BB">
        <w:rPr>
          <w:rFonts w:eastAsia="Times New Roman" w:cs="Arial"/>
          <w:color w:val="000000"/>
          <w:lang w:eastAsia="bg-BG"/>
        </w:rPr>
        <w:t xml:space="preserve">и до 40 </w:t>
      </w:r>
      <w:r w:rsidRPr="005929BB">
        <w:rPr>
          <w:rFonts w:eastAsia="Times New Roman" w:cs="Arial"/>
          <w:color w:val="000000"/>
          <w:lang w:val="en-US"/>
        </w:rPr>
        <w:t xml:space="preserve">mg </w:t>
      </w:r>
      <w:r w:rsidRPr="005929BB">
        <w:rPr>
          <w:rFonts w:eastAsia="Times New Roman" w:cs="Arial"/>
          <w:color w:val="000000"/>
          <w:lang w:eastAsia="bg-BG"/>
        </w:rPr>
        <w:t xml:space="preserve">дневно при пациенти с телесно тегло над 50 </w:t>
      </w:r>
      <w:r w:rsidRPr="005929BB">
        <w:rPr>
          <w:rFonts w:eastAsia="Times New Roman" w:cs="Arial"/>
          <w:color w:val="000000"/>
          <w:lang w:val="en-US"/>
        </w:rPr>
        <w:t>kg.</w:t>
      </w:r>
    </w:p>
    <w:p w14:paraId="0B4FD56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Дози над 0,58 </w:t>
      </w:r>
      <w:r w:rsidRPr="005929BB">
        <w:rPr>
          <w:rFonts w:eastAsia="Times New Roman" w:cs="Arial"/>
          <w:color w:val="000000"/>
          <w:lang w:val="en-US"/>
        </w:rPr>
        <w:t xml:space="preserve">mg/kg </w:t>
      </w:r>
      <w:r w:rsidRPr="005929BB">
        <w:rPr>
          <w:rFonts w:eastAsia="Times New Roman" w:cs="Arial"/>
          <w:color w:val="000000"/>
          <w:lang w:eastAsia="bg-BG"/>
        </w:rPr>
        <w:t xml:space="preserve">(над 40 </w:t>
      </w:r>
      <w:r w:rsidRPr="005929BB">
        <w:rPr>
          <w:rFonts w:eastAsia="Times New Roman" w:cs="Arial"/>
          <w:color w:val="000000"/>
          <w:lang w:val="en-US"/>
        </w:rPr>
        <w:t xml:space="preserve">mg) </w:t>
      </w:r>
      <w:r w:rsidRPr="005929BB">
        <w:rPr>
          <w:rFonts w:eastAsia="Times New Roman" w:cs="Arial"/>
          <w:color w:val="000000"/>
          <w:lang w:eastAsia="bg-BG"/>
        </w:rPr>
        <w:t xml:space="preserve">еднократно дневно не са проучвани при деца (вж. точка 4.4). Еналаприл не се препоръчва при новородени и при деца с гломерулна филтрация &lt;30 </w:t>
      </w:r>
      <w:r w:rsidRPr="005929BB">
        <w:rPr>
          <w:rFonts w:eastAsia="Times New Roman" w:cs="Arial"/>
          <w:color w:val="000000"/>
          <w:lang w:val="en-US"/>
        </w:rPr>
        <w:t>ml/min/1,73 m</w:t>
      </w:r>
      <w:r w:rsidRPr="005929BB">
        <w:rPr>
          <w:rFonts w:eastAsia="Times New Roman" w:cs="Arial"/>
          <w:color w:val="000000"/>
          <w:vertAlign w:val="superscript"/>
          <w:lang w:val="en-US"/>
        </w:rPr>
        <w:t>2</w:t>
      </w:r>
      <w:r w:rsidRPr="005929BB">
        <w:rPr>
          <w:rFonts w:eastAsia="Times New Roman" w:cs="Arial"/>
          <w:color w:val="000000"/>
          <w:lang w:val="en-US"/>
        </w:rPr>
        <w:t xml:space="preserve">, </w:t>
      </w:r>
      <w:r w:rsidRPr="005929BB">
        <w:rPr>
          <w:rFonts w:eastAsia="Times New Roman" w:cs="Arial"/>
          <w:color w:val="000000"/>
          <w:lang w:eastAsia="bg-BG"/>
        </w:rPr>
        <w:t>поради липса на данни при тези пациенти.</w:t>
      </w:r>
    </w:p>
    <w:p w14:paraId="24B462CE" w14:textId="77777777" w:rsidR="005929BB" w:rsidRPr="005929BB" w:rsidRDefault="005929BB" w:rsidP="005929BB">
      <w:pPr>
        <w:spacing w:line="240" w:lineRule="auto"/>
        <w:rPr>
          <w:rFonts w:eastAsia="Times New Roman" w:cs="Arial"/>
          <w:color w:val="000000"/>
          <w:u w:val="single"/>
          <w:lang w:eastAsia="bg-BG"/>
        </w:rPr>
      </w:pPr>
    </w:p>
    <w:p w14:paraId="10B9855E" w14:textId="3E10C723"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Начин на приложение</w:t>
      </w:r>
    </w:p>
    <w:p w14:paraId="3588C94C" w14:textId="440C4F5B" w:rsidR="005929BB" w:rsidRDefault="005929BB" w:rsidP="005929BB">
      <w:pPr>
        <w:rPr>
          <w:rFonts w:eastAsia="Times New Roman" w:cs="Arial"/>
          <w:color w:val="000000"/>
          <w:lang w:eastAsia="bg-BG"/>
        </w:rPr>
      </w:pPr>
      <w:r w:rsidRPr="005929BB">
        <w:rPr>
          <w:rFonts w:eastAsia="Times New Roman" w:cs="Arial"/>
          <w:color w:val="000000"/>
          <w:lang w:eastAsia="bg-BG"/>
        </w:rPr>
        <w:t>Вазопрен се прилага перорално, еднократно или двукратно дневно, независимо от времето на хранене, тъй като резорбцията му не се повлиява от приема на храна.</w:t>
      </w:r>
    </w:p>
    <w:p w14:paraId="274D3718" w14:textId="77777777" w:rsidR="005929BB" w:rsidRPr="005929BB" w:rsidRDefault="005929BB" w:rsidP="005929BB">
      <w:pPr>
        <w:rPr>
          <w:rFonts w:cs="Arial"/>
        </w:rPr>
      </w:pPr>
    </w:p>
    <w:p w14:paraId="1BF2EFF4" w14:textId="46BE0310" w:rsidR="001A6EBD" w:rsidRDefault="002C50EE" w:rsidP="00471F10">
      <w:pPr>
        <w:pStyle w:val="Heading2"/>
      </w:pPr>
      <w:r>
        <w:t>4.3. Противопоказания</w:t>
      </w:r>
    </w:p>
    <w:p w14:paraId="02885AB4" w14:textId="584766D0" w:rsidR="005929BB" w:rsidRDefault="005929BB" w:rsidP="005929BB"/>
    <w:p w14:paraId="2C396720" w14:textId="77777777"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Свръхчувствителност към активното вещество или към някое от помощните вещества, изброени в точка 6.1;</w:t>
      </w:r>
    </w:p>
    <w:p w14:paraId="390CCD4D" w14:textId="77777777"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Пациенти с анамнеза за ангионевротичен едем при предишно лечение с инхибитори на ангиотензин-конвертиращия ензим;</w:t>
      </w:r>
    </w:p>
    <w:p w14:paraId="1B9E21DC" w14:textId="77777777"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Пациенти с наследствен или идиопатичен ангиоедем;</w:t>
      </w:r>
    </w:p>
    <w:p w14:paraId="73D8AEEB" w14:textId="77777777"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Едновременната употреба на Вазопрен с алискирен-съдържащи продукти е противопоказана при</w:t>
      </w:r>
      <w:r w:rsidRPr="005929BB">
        <w:rPr>
          <w:rFonts w:eastAsia="Times New Roman" w:cs="Arial"/>
          <w:color w:val="000000"/>
          <w:lang w:eastAsia="bg-BG"/>
        </w:rPr>
        <w:t xml:space="preserve"> </w:t>
      </w:r>
      <w:r w:rsidRPr="005929BB">
        <w:rPr>
          <w:rFonts w:eastAsia="Times New Roman" w:cs="Arial"/>
          <w:color w:val="000000"/>
          <w:lang w:eastAsia="bg-BG"/>
        </w:rPr>
        <w:t xml:space="preserve">пациенти със захарен диабет или бъбречно увреждане </w:t>
      </w:r>
      <w:r w:rsidRPr="005929BB">
        <w:rPr>
          <w:rFonts w:eastAsia="Times New Roman" w:cs="Arial"/>
          <w:color w:val="000000"/>
          <w:lang w:val="en-US"/>
        </w:rPr>
        <w:t xml:space="preserve">(GFR </w:t>
      </w:r>
      <w:r w:rsidRPr="005929BB">
        <w:rPr>
          <w:rFonts w:eastAsia="Times New Roman" w:cs="Arial"/>
          <w:color w:val="000000"/>
          <w:lang w:eastAsia="bg-BG"/>
        </w:rPr>
        <w:t xml:space="preserve">&lt; 60 </w:t>
      </w:r>
      <w:r w:rsidRPr="005929BB">
        <w:rPr>
          <w:rFonts w:eastAsia="Times New Roman" w:cs="Arial"/>
          <w:color w:val="000000"/>
          <w:lang w:val="en-US"/>
        </w:rPr>
        <w:t>ml/min/1,73 m</w:t>
      </w:r>
      <w:r w:rsidRPr="005929BB">
        <w:rPr>
          <w:rFonts w:eastAsia="Times New Roman" w:cs="Arial"/>
          <w:color w:val="000000"/>
          <w:vertAlign w:val="superscript"/>
          <w:lang w:val="en-US"/>
        </w:rPr>
        <w:t>2</w:t>
      </w:r>
      <w:r w:rsidRPr="005929BB">
        <w:rPr>
          <w:rFonts w:eastAsia="Times New Roman" w:cs="Arial"/>
          <w:color w:val="000000"/>
          <w:lang w:val="en-US"/>
        </w:rPr>
        <w:t xml:space="preserve"> </w:t>
      </w:r>
      <w:r w:rsidRPr="005929BB">
        <w:rPr>
          <w:rFonts w:eastAsia="Times New Roman" w:cs="Arial"/>
          <w:color w:val="000000"/>
          <w:lang w:eastAsia="bg-BG"/>
        </w:rPr>
        <w:t>) (вж. точки 4.5 и 5.1);</w:t>
      </w:r>
    </w:p>
    <w:p w14:paraId="312B298B" w14:textId="4D5C954E"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Бременност - втори и трети триместър (вж. точки 4.4 и 4.6).</w:t>
      </w:r>
    </w:p>
    <w:p w14:paraId="46402443" w14:textId="77777777" w:rsidR="005929BB" w:rsidRPr="005929BB" w:rsidRDefault="005929BB" w:rsidP="005929BB"/>
    <w:p w14:paraId="0C106098" w14:textId="78567571" w:rsidR="001A6EBD" w:rsidRDefault="002C50EE" w:rsidP="00471F10">
      <w:pPr>
        <w:pStyle w:val="Heading2"/>
      </w:pPr>
      <w:r>
        <w:t>4.4. Специални предупреждения и предпазни мерки при употреба</w:t>
      </w:r>
    </w:p>
    <w:p w14:paraId="27E46072" w14:textId="7F54BA92" w:rsidR="005929BB" w:rsidRDefault="005929BB" w:rsidP="005929BB"/>
    <w:p w14:paraId="19B35A18" w14:textId="77777777" w:rsidR="005929BB" w:rsidRPr="005929BB" w:rsidRDefault="005929BB" w:rsidP="005929BB">
      <w:pPr>
        <w:pStyle w:val="ListParagraph"/>
        <w:numPr>
          <w:ilvl w:val="0"/>
          <w:numId w:val="42"/>
        </w:numPr>
        <w:spacing w:line="240" w:lineRule="auto"/>
        <w:rPr>
          <w:rFonts w:eastAsia="Times New Roman" w:cs="Arial"/>
          <w:color w:val="000000"/>
          <w:lang w:eastAsia="bg-BG"/>
        </w:rPr>
      </w:pPr>
      <w:r w:rsidRPr="005929BB">
        <w:rPr>
          <w:rFonts w:eastAsia="Times New Roman" w:cs="Arial"/>
          <w:color w:val="000000"/>
          <w:lang w:eastAsia="bg-BG"/>
        </w:rPr>
        <w:t>СИМПТОМАТИЧНА ХИПОТОНИЯ</w:t>
      </w:r>
    </w:p>
    <w:p w14:paraId="109405B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Симптоматична хипотония се наблюдава рядко при хипертоници без усложнения. При хипертоници, лекувани с еналаприл, рискът от възникване на хипотония е по-висок при състояния на хиповолемия в резултат на диуретична терапия, ограничаваща солта диета, диария или повръщане. Симптоматична хипотония е наблюдавана при пациенти със сърдечна недостатъчност с или без бъбречна недостатъчност. По-вероятно е тя да се появи при пациенти с по-тежка степен на сърдечна недостатъчност, както и да бъде обусловена от високи дози бримкови диуретици, хипонатриемия или функционално бъбречно увреждане. При такива пациенти терапията трябва да започне под лекарски контрол и той трябва да е особено прецизен при всяка промяна в дозировката на еналаприл и/или диуретика. Същите изисквания важат и за пациенти с исхемична болест на сърцето или мозъчно- съдово заболяване, при които прекомерното понижаване на </w:t>
      </w:r>
      <w:r w:rsidRPr="005929BB">
        <w:rPr>
          <w:rFonts w:eastAsia="Times New Roman" w:cs="Arial"/>
          <w:color w:val="000000"/>
          <w:lang w:eastAsia="bg-BG"/>
        </w:rPr>
        <w:lastRenderedPageBreak/>
        <w:t>артериалното налягане може да причини миокарден инфаркт или мозъчно-съдов инцидент.</w:t>
      </w:r>
    </w:p>
    <w:p w14:paraId="19AB08E8"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Ако при пациента настъпи хипотония, той трябва да се постави в хоризонтално положение; при необходимост може да се назначи интравенозна инфузия с изотоничен солеви разтвор. Появата на преходно хипотензивно състояние не е контраиндикация за по-нататъшно приложение на еналаприл и то може да продължи без затруднения при възстановен обем и съответно повишено в желани граници артериално налягане.</w:t>
      </w:r>
    </w:p>
    <w:p w14:paraId="51816932"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пациенти със сърдечна недостатъчност, които имат нормално или ниско артериално налягане, употребата на еналаприл може да доведе до допълнителен спад на артериалното налягане. Този ефект е очакван и обикновено не е причина за прекъсване на лечението. Ако хипотонията стане симптоматична, може да се наложи редуциране на дозата и/или спиране на диуретика и/или еналаприл.</w:t>
      </w:r>
    </w:p>
    <w:p w14:paraId="6CAD96DA" w14:textId="77777777" w:rsidR="005929BB" w:rsidRPr="005929BB" w:rsidRDefault="005929BB" w:rsidP="005929BB">
      <w:pPr>
        <w:pStyle w:val="ListParagraph"/>
        <w:numPr>
          <w:ilvl w:val="0"/>
          <w:numId w:val="42"/>
        </w:numPr>
        <w:spacing w:line="240" w:lineRule="auto"/>
        <w:rPr>
          <w:rFonts w:eastAsia="Times New Roman" w:cs="Arial"/>
          <w:color w:val="000000"/>
          <w:lang w:eastAsia="bg-BG"/>
        </w:rPr>
      </w:pPr>
      <w:r w:rsidRPr="005929BB">
        <w:rPr>
          <w:rFonts w:eastAsia="Times New Roman" w:cs="Arial"/>
          <w:color w:val="000000"/>
          <w:lang w:eastAsia="bg-BG"/>
        </w:rPr>
        <w:t>ДВОЙНО БЛОКИРАНЕ НА РЕНИН-АНГИОТЕНЗИН-АЛДОСТЕРОНОВАТА СИСТЕМА (РААС)</w:t>
      </w:r>
    </w:p>
    <w:p w14:paraId="5A81146B"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Има данни, че едновременната употреба на АСЕ инхибитори, ангиотензин </w:t>
      </w:r>
      <w:r w:rsidRPr="005929BB">
        <w:rPr>
          <w:rFonts w:eastAsia="Times New Roman" w:cs="Arial"/>
          <w:color w:val="000000"/>
          <w:lang w:val="en-US"/>
        </w:rPr>
        <w:t>II-</w:t>
      </w:r>
      <w:r w:rsidRPr="005929BB">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 или алискирен (вж. точки 4.5 и 5.1).</w:t>
      </w:r>
    </w:p>
    <w:p w14:paraId="24F92404"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6C32C3AB"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АСЕ инхибитори 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3CEB6BB5" w14:textId="2E7F7EDE"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АОРТНА СТЕНОЗА/ХИПЕРТРОФИЧНА КАРДИОМИОПАТИЯ</w:t>
      </w:r>
    </w:p>
    <w:p w14:paraId="090F701A"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АСЕ инхибитори трябва да се назначават с повишено внимание на пациенти с обструкция на изходния тракт на лявата камера и да бъдат избягвани в случаи на кардиогенен шок и хемодинамично значима обструкция.</w:t>
      </w:r>
    </w:p>
    <w:p w14:paraId="6171DA00" w14:textId="60FA9ABF"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НАРУШЕНА БЪБРЕЧНА ФУНКЦИЯ</w:t>
      </w:r>
    </w:p>
    <w:p w14:paraId="1E1A65F3"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болни с нарушена бъбречна функция е необходимо прилагане на по-ниски дози еналаприл и периодично проследяване нивото на уреята, креатинина и калия в плазмата и на количеството белтък в урината.</w:t>
      </w:r>
    </w:p>
    <w:p w14:paraId="75C5E168"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пациенти, след започване на терапия с АСЕ инхибитори, хипотонията може да доведе до по-нататъшно влошаване на бъбречната функция. В такива случаи се съобщава и за настъпване на остра бъбречна недостатъчност, обикновено обратима.</w:t>
      </w:r>
    </w:p>
    <w:p w14:paraId="4365539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пациенти с билатерална стеноза на бъбречните артерии или стеноза на артерията към единствен функциониращ бъбрек, лекувани с АСЕ инхибитори, е наблюдавано преходно увеличение на стойностите на кръвната урея и серумния креатинин, нормализиращи се след прекратяване на терапията. Рискът от такива промени се повишава при съпътстващо лечение с диуретици и при пациенти с предшестваща бъбречна недостатъчност.</w:t>
      </w:r>
    </w:p>
    <w:p w14:paraId="70121889"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пациенти на съпътстваща диуретична терапия и без проявено предшестващо бъбречно заболяване е наблюдавано покачване на кръвната урея и серумния креатинин, обикновено незначително и преходно. В такива случаи може да се наложи редуциране на дозата и/или спиране на приема на диуретика, респективно еналаприл.</w:t>
      </w:r>
    </w:p>
    <w:p w14:paraId="56E0EFBA" w14:textId="4A606BBD"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БЪБРЕЧНО-СЪДОВА ХИПЕРТОНИЯ</w:t>
      </w:r>
    </w:p>
    <w:p w14:paraId="0E59A60A"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При пациенти с билатерална бъбречна артериална стеноза или стеноза на артерията към единствен функциониращ бъбрек, лекувани с АСЕ инхибитори, съществува повишен риск от възникване на хипотония и бъбречна недостатъчност. Загуба на бъбречна функция може да се получи само с леки промени в серумния креатинин. При тези пациенти </w:t>
      </w:r>
      <w:r w:rsidRPr="005929BB">
        <w:rPr>
          <w:rFonts w:eastAsia="Times New Roman" w:cs="Arial"/>
          <w:color w:val="000000"/>
          <w:lang w:eastAsia="bg-BG"/>
        </w:rPr>
        <w:lastRenderedPageBreak/>
        <w:t>лечението трябва да започне под непосредствен лекарски контрол с ниски дози, внимателно титриране и проследяване на бъбречната функция.</w:t>
      </w:r>
    </w:p>
    <w:p w14:paraId="20437D97" w14:textId="66E8A7DB"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БЪБРЕЧНА ТРАНСПЛАНТАЦИЯ</w:t>
      </w:r>
    </w:p>
    <w:p w14:paraId="5835C6E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Няма опит по отношение приложението на еналаприл при пациенти с неотдавнашна бъбречна трансплантация, поради което не се препоръчва лечение с продукта.</w:t>
      </w:r>
    </w:p>
    <w:p w14:paraId="221D2700" w14:textId="7CCC0999"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ЧЕРНОДРОБНА НЕДОСТАТЪЧНОСТ</w:t>
      </w:r>
    </w:p>
    <w:p w14:paraId="536DE79E"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В редки случаи приложението на АСЕ инхибитори е свързвано със синдром, който започва с холестатичен иктер и прогресира до фулминантна чернодробна некроза и (понякога) смърт. Механизмът на този синдром не е изяснен. При поява на иктер или изразено повишение на чернодробните ензими лечението с АСЕ инхибитор трябва да се прекрати и пациентите да бъдат поставени под лекарско наблюдение.</w:t>
      </w:r>
    </w:p>
    <w:p w14:paraId="3A5B7037" w14:textId="6691B2F3"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НЕУТРОПЕНИЯ/АГРАНУЛОЦИТОЗА</w:t>
      </w:r>
    </w:p>
    <w:p w14:paraId="60ECC352"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Има съобщения за поява на неутропения/агранулоцитоза, тромбоцитопения и анемия при пациенти, приемащи АСЕ инхибитори. При пациенти с нормална бъбречна функция и без други усложняващи фактори неутропения се развива рядко. Еналаприл трябва да се прилага изключително внимателно при пациенти със съдова колагеноза, имуносупресивна терапия, лечение с алопуринол или прокаинамид, както и комбинация от тези усложняващи фактори, особено при предшестващо бъбречно увреждане. При такива пациенти е възможно развитие на тежки инфекции, неповлияващи се от интензивно антибиотично лечение. Необходимо е периодично проследяване на броя на левкоцитите и пациентите да бъдат предупредени да съобщават за всяка проява на инфекция.</w:t>
      </w:r>
    </w:p>
    <w:p w14:paraId="760E1CB8" w14:textId="6E6F475F"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СВРЪХЧУВСТВИТЕЛНОСТ/АНГИОЕДЕМ</w:t>
      </w:r>
    </w:p>
    <w:p w14:paraId="690CCBE5" w14:textId="2AD969D4" w:rsidR="005929BB" w:rsidRPr="005929BB" w:rsidRDefault="005929BB" w:rsidP="005929BB">
      <w:pPr>
        <w:rPr>
          <w:rFonts w:eastAsia="Times New Roman" w:cs="Arial"/>
          <w:color w:val="000000"/>
          <w:lang w:eastAsia="bg-BG"/>
        </w:rPr>
      </w:pPr>
      <w:r w:rsidRPr="005929BB">
        <w:rPr>
          <w:rFonts w:eastAsia="Times New Roman" w:cs="Arial"/>
          <w:color w:val="000000"/>
          <w:lang w:eastAsia="bg-BG"/>
        </w:rPr>
        <w:t>Има малък брой съобщения за ангиоедем, като отокът може да обхване лицето, устните, лигавиците, езика, глотиса, ларинкса или крайниците на тялото. Това може да се случи по всяко време на лечението. В този случай еналаприл трябва да бъде спрян незабавно и пациентът подложен на наблюдение до пълно изчезване на симптомите. Дори в случаите, когато отокът обхваща само езика, без развитие на респираторен дистрес-синдром, може да се наложи по-продължително наблюдение на пациента, тъй като лечението с антихистамини и кортикостероиди може да не е достатъчно. Много рядко е съобщавано за смъртни случаи в резултат на ангиоедем, засягащ областта на ларинкса или езика. Пациенти, при които е обхванат езикът, глотисът или ларинксът, е възможно да получат обструкция на дихателните пътища, особено онези, които имат анамнеза за оперативна интервенция в областта на дихателните пътища. Когато са въвлечени езикът, глотисът или ларинксът, е възможно да настъпи остра обструкция на дихателните пътища и трябва да се приложат спешни терапевтични мерки, вкл. прилагане на 1:1 000 разтвор на адреналин и/или мерки за освобождаване на дихателните пътища.</w:t>
      </w:r>
    </w:p>
    <w:p w14:paraId="7F6F3B28"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Докладвана е по-голяма честота на ангиоедем при чернокожи пациенти, лекувани с АСЕ инхибитори, в сравнение с пациенти от бялата раса.</w:t>
      </w:r>
    </w:p>
    <w:p w14:paraId="693D788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Пациенти с анамнеза за ангионевротичен оток, несвързан с приложение на АСЕ инхибитори, могат да бъдат с повишен риск от развитие на ангиоедем при употреба на АСЕ инхибитори.</w:t>
      </w:r>
    </w:p>
    <w:p w14:paraId="7645846B" w14:textId="1CB4C03C"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АНАФИЛАКТОИДНА РЕАКЦИЯ ПРИ ДЕСЕНСИБИЛИЗАЦИЯ С </w:t>
      </w:r>
      <w:r w:rsidRPr="005929BB">
        <w:rPr>
          <w:rFonts w:eastAsia="Times New Roman" w:cs="Arial"/>
          <w:color w:val="000000"/>
          <w:lang w:val="en-US"/>
        </w:rPr>
        <w:t>HYMENOPTERA</w:t>
      </w:r>
    </w:p>
    <w:p w14:paraId="63F5F19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Рядко пациенти, приемащи АСЕ инхибитори по време на десенсибилизация с отрова от </w:t>
      </w:r>
      <w:proofErr w:type="spellStart"/>
      <w:r w:rsidRPr="005929BB">
        <w:rPr>
          <w:rFonts w:eastAsia="Times New Roman" w:cs="Arial"/>
          <w:color w:val="000000"/>
          <w:lang w:val="en-US"/>
        </w:rPr>
        <w:t>hymenoptera</w:t>
      </w:r>
      <w:proofErr w:type="spellEnd"/>
      <w:r w:rsidRPr="005929BB">
        <w:rPr>
          <w:rFonts w:eastAsia="Times New Roman" w:cs="Arial"/>
          <w:color w:val="000000"/>
          <w:lang w:val="en-US"/>
        </w:rPr>
        <w:t xml:space="preserve">, </w:t>
      </w:r>
      <w:r w:rsidRPr="005929BB">
        <w:rPr>
          <w:rFonts w:eastAsia="Times New Roman" w:cs="Arial"/>
          <w:color w:val="000000"/>
          <w:lang w:eastAsia="bg-BG"/>
        </w:rPr>
        <w:t>са развивали животозастрашаващи анафилактоидни реакции. Тези реакции може да се избегнат чрез прекратяване на лечението с АСЕ инхибитор за периода на десенсибилизацията.</w:t>
      </w:r>
    </w:p>
    <w:p w14:paraId="6D42C782" w14:textId="1989C3AE"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АНАФИЛАКТОИДНИ РЕАКЦИИ ПО ВРЕМЕ НА </w:t>
      </w:r>
      <w:r w:rsidRPr="005929BB">
        <w:rPr>
          <w:rFonts w:eastAsia="Times New Roman" w:cs="Arial"/>
          <w:color w:val="000000"/>
          <w:lang w:val="en-US"/>
        </w:rPr>
        <w:t>LDL</w:t>
      </w:r>
      <w:r w:rsidRPr="005929BB">
        <w:rPr>
          <w:rFonts w:eastAsia="Times New Roman" w:cs="Arial"/>
          <w:color w:val="000000"/>
          <w:lang w:eastAsia="bg-BG"/>
        </w:rPr>
        <w:t>-АФЕРЕЗА</w:t>
      </w:r>
    </w:p>
    <w:p w14:paraId="35ECBE43"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lastRenderedPageBreak/>
        <w:t xml:space="preserve">Рядко пациенти, лекувани с АСЕ инхибитори, получават животозастрашаващи анафилактоидни реакции по време на </w:t>
      </w:r>
      <w:r w:rsidRPr="005929BB">
        <w:rPr>
          <w:rFonts w:eastAsia="Times New Roman" w:cs="Arial"/>
          <w:color w:val="000000"/>
          <w:lang w:val="en-US"/>
        </w:rPr>
        <w:t xml:space="preserve">LDL (low density lipoproteins </w:t>
      </w:r>
      <w:r w:rsidRPr="005929BB">
        <w:rPr>
          <w:rFonts w:eastAsia="Times New Roman" w:cs="Arial"/>
          <w:color w:val="000000"/>
          <w:lang w:eastAsia="bg-BG"/>
        </w:rPr>
        <w:t>- липопротеини с ниска плътност) афереза с декстран сулфат. Тези реакции се избягват чрез временно прекъсване на терапията с АСЕ инхибитор преди всяка афереза.</w:t>
      </w:r>
    </w:p>
    <w:p w14:paraId="564BE9E1" w14:textId="7A0A3835"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АНАФИЛАКТОИДНА РЕАКЦИЯ ПРИ ДИАЛИЗА С ХАЙ-ФЛУКС МЕМБРАНИ</w:t>
      </w:r>
    </w:p>
    <w:p w14:paraId="395838E7"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Съществува повишен риск от анафилактоидни реакции при пациенти, провеждащи диализа с хай- флукс мембрани и лекувани същевременно с АСЕ инхибитори. При тези пациенти трябва да се обсъди използването на друг вид диализни мембрани или друг клас антихипертензивни лекарствени продукти.</w:t>
      </w:r>
    </w:p>
    <w:p w14:paraId="088BB96F" w14:textId="69883398"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КАШЛИЦА</w:t>
      </w:r>
    </w:p>
    <w:p w14:paraId="73557DAF"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употреба на АСЕ инхибитор е възможна поява на кашлица, която обикновено е непродуктивна, постоянна и преминава след прекратяване на терапията. Лечението с АСЕ инхибитор трябва да се взема предвид при диференциално-диагностично изясняване на кашлицата.</w:t>
      </w:r>
    </w:p>
    <w:p w14:paraId="31C3A2C7" w14:textId="10CFB36B"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ХИРУРГИЯ/АНЕСТЕЗИЯ</w:t>
      </w:r>
    </w:p>
    <w:p w14:paraId="39487E0A"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 блокира образуването на ангиотензин II, обусловено от компенсаторното освобождаване на ренин. При пациенти на лечение с еналаприл, подложени на голяма хирургична интервенция и при използване на анестетици, предизвикващи хипотония, може да се развие изразена хипотензивна реакция. Нейното коригиране се извършва чрез обемно обременяване със солеви разтвори.</w:t>
      </w:r>
    </w:p>
    <w:p w14:paraId="2D1825FE" w14:textId="61460DA6"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ХИПЕРКАЛИЕМИЯ</w:t>
      </w:r>
    </w:p>
    <w:p w14:paraId="12764B6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болни, лекувани с АСЕ инхибитори, се наблюдава повишаване на серумните стойности на калия. Рискът от развитие на хиперкалиемия се засилва при пациенти с бъбречна недостатъчност, захарен диабет, едновременно лекувани с калий-съхраняващи диуретици, калиеви добавки или калий- съдържащи соли, или други лекарства, свързани с повишаване на серумния калий. Хиперкалиемията може да причини сериозни, понякога фатални аритмии.</w:t>
      </w:r>
    </w:p>
    <w:p w14:paraId="5F36945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Ако се налага едновременно приложение на АСЕ инхибитори и някое от споменатите средства, то те трябва да се използват внимателно и при редовно проследяване на серумните нива на калий.</w:t>
      </w:r>
    </w:p>
    <w:p w14:paraId="4BE6A29B" w14:textId="7BDBEF09"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ХИПОГЛИКЕМИЯ</w:t>
      </w:r>
    </w:p>
    <w:p w14:paraId="69F8E09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пациенти със захарен диабет, лекувани с антидиабетни средства или инсулин, е необходимо да се провежда редовен контрол на кръвната захар за възникване на хипогликемия, особено в началото на лечението.</w:t>
      </w:r>
    </w:p>
    <w:p w14:paraId="0BCCB0E3" w14:textId="1D9AC04F"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ЗЛАТО</w:t>
      </w:r>
    </w:p>
    <w:p w14:paraId="46AAB88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Нитритни реакции (изразени със зачервяване на лицето, гадене, повръщане и хипотония) след инжектиране на продукти, съдържащи злато (напр. </w:t>
      </w:r>
      <w:r w:rsidRPr="005929BB">
        <w:rPr>
          <w:rFonts w:eastAsia="Times New Roman" w:cs="Arial"/>
          <w:color w:val="000000"/>
          <w:lang w:val="en-US"/>
        </w:rPr>
        <w:t xml:space="preserve">Sodium aurothiomalate), </w:t>
      </w:r>
      <w:r w:rsidRPr="005929BB">
        <w:rPr>
          <w:rFonts w:eastAsia="Times New Roman" w:cs="Arial"/>
          <w:color w:val="000000"/>
          <w:lang w:eastAsia="bg-BG"/>
        </w:rPr>
        <w:t>са били рядко докладвани при съпътстваща терапия с АСЕ инхибитори.</w:t>
      </w:r>
    </w:p>
    <w:p w14:paraId="1E74DDA5" w14:textId="4B605423" w:rsidR="005929BB" w:rsidRPr="005929BB" w:rsidRDefault="005929BB" w:rsidP="005929BB">
      <w:pPr>
        <w:pStyle w:val="ListParagraph"/>
        <w:numPr>
          <w:ilvl w:val="0"/>
          <w:numId w:val="42"/>
        </w:numPr>
        <w:spacing w:line="240" w:lineRule="auto"/>
        <w:jc w:val="both"/>
        <w:rPr>
          <w:rFonts w:eastAsia="Times New Roman" w:cs="Arial"/>
          <w:sz w:val="24"/>
          <w:szCs w:val="24"/>
          <w:lang w:eastAsia="bg-BG"/>
        </w:rPr>
      </w:pPr>
      <w:r w:rsidRPr="005929BB">
        <w:rPr>
          <w:rFonts w:eastAsia="Times New Roman" w:cs="Arial"/>
          <w:color w:val="000000"/>
          <w:lang w:eastAsia="bg-BG"/>
        </w:rPr>
        <w:t>УПОТРЕБА ПРИ ДЕЦА</w:t>
      </w:r>
    </w:p>
    <w:p w14:paraId="0467BFF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Има ограничен опит по отношение ефективността и безопасността на еналаприл при деца над 6- годишна възраст с хипертония, но не </w:t>
      </w:r>
      <w:r w:rsidRPr="005929BB">
        <w:rPr>
          <w:rFonts w:eastAsia="Times New Roman" w:cs="Arial"/>
          <w:i/>
          <w:iCs/>
          <w:color w:val="000000"/>
          <w:lang w:eastAsia="bg-BG"/>
        </w:rPr>
        <w:t>и</w:t>
      </w:r>
      <w:r w:rsidRPr="005929BB">
        <w:rPr>
          <w:rFonts w:eastAsia="Times New Roman" w:cs="Arial"/>
          <w:color w:val="000000"/>
          <w:lang w:eastAsia="bg-BG"/>
        </w:rPr>
        <w:t xml:space="preserve"> при други показания. Има ограничени данни по отношение на фармакокинетиката при деца над 2-месечна възраст (вж. точки 4.2, 5.1 и 5.2). Приложението на еналаприл в детската възраст не се препоръчва при показания, различни от хипергония.</w:t>
      </w:r>
    </w:p>
    <w:p w14:paraId="42B34E00" w14:textId="581383C5"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Еналаприл не се препоръчва при новородени и при деца с гломерулна филтрация &lt;30 </w:t>
      </w:r>
      <w:r w:rsidRPr="005929BB">
        <w:rPr>
          <w:rFonts w:eastAsia="Times New Roman" w:cs="Arial"/>
          <w:color w:val="000000"/>
          <w:lang w:val="en-US"/>
        </w:rPr>
        <w:t>ml/min/1,73 m</w:t>
      </w:r>
      <w:r w:rsidRPr="005929BB">
        <w:rPr>
          <w:rFonts w:eastAsia="Times New Roman" w:cs="Arial"/>
          <w:color w:val="000000"/>
          <w:vertAlign w:val="superscript"/>
          <w:lang w:val="en-US"/>
        </w:rPr>
        <w:t>2,</w:t>
      </w:r>
      <w:r w:rsidRPr="005929BB">
        <w:rPr>
          <w:rFonts w:eastAsia="Times New Roman" w:cs="Arial"/>
          <w:sz w:val="24"/>
          <w:szCs w:val="24"/>
          <w:lang w:eastAsia="bg-BG"/>
        </w:rPr>
        <w:t xml:space="preserve"> </w:t>
      </w:r>
      <w:r w:rsidRPr="005929BB">
        <w:rPr>
          <w:rFonts w:eastAsia="Times New Roman" w:cs="Arial"/>
          <w:color w:val="000000"/>
          <w:lang w:eastAsia="bg-BG"/>
        </w:rPr>
        <w:t>поради липса на данни при тези пациенти (вж. точка 4.2).</w:t>
      </w:r>
    </w:p>
    <w:p w14:paraId="73C42D70" w14:textId="0F8426E1"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БРЕМЕННОСТ</w:t>
      </w:r>
    </w:p>
    <w:p w14:paraId="26F6211A" w14:textId="56C0F558" w:rsidR="005929BB" w:rsidRDefault="005929BB" w:rsidP="005929BB">
      <w:pPr>
        <w:rPr>
          <w:rFonts w:cs="Arial"/>
        </w:rPr>
      </w:pPr>
      <w:r w:rsidRPr="005929BB">
        <w:rPr>
          <w:rFonts w:cs="Arial"/>
        </w:rPr>
        <w:t xml:space="preserve">По време на бременност не трябва да се започва лечение с АСЕ инхибитори. Освен ако не е крайно необходимо, при пациентки, планиращи да забременеят, терапията с АСЕ </w:t>
      </w:r>
      <w:r w:rsidRPr="005929BB">
        <w:rPr>
          <w:rFonts w:cs="Arial"/>
        </w:rPr>
        <w:lastRenderedPageBreak/>
        <w:t>инхибитори трябва да бъде заменена с алтернативно антихипертензивно лечение, което има установен профил на безопасност по време на бременност. При установяване на бременност, лечението с АСЕ инхибитори трябва да бъде преустановено незабавно и при необходимост, заменено с алтернативна терапия (вж. точки 4.3 и 4.6).</w:t>
      </w:r>
    </w:p>
    <w:p w14:paraId="43910530" w14:textId="77777777" w:rsidR="005929BB" w:rsidRPr="005929BB" w:rsidRDefault="005929BB" w:rsidP="005929BB">
      <w:pPr>
        <w:rPr>
          <w:rFonts w:cs="Arial"/>
        </w:rPr>
      </w:pPr>
    </w:p>
    <w:p w14:paraId="7ABEA351" w14:textId="2D80E292"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4480D69A" w14:textId="1DB5AA70" w:rsidR="005929BB" w:rsidRDefault="005929BB" w:rsidP="005929BB"/>
    <w:p w14:paraId="05F7143D" w14:textId="2EE9F163" w:rsidR="005929BB" w:rsidRPr="005929BB" w:rsidRDefault="005929BB" w:rsidP="005929BB">
      <w:pPr>
        <w:pStyle w:val="ListParagraph"/>
        <w:numPr>
          <w:ilvl w:val="0"/>
          <w:numId w:val="42"/>
        </w:numPr>
        <w:spacing w:line="240" w:lineRule="auto"/>
        <w:rPr>
          <w:rFonts w:eastAsia="Times New Roman" w:cs="Arial"/>
          <w:color w:val="000000"/>
          <w:lang w:eastAsia="bg-BG"/>
        </w:rPr>
      </w:pPr>
      <w:r w:rsidRPr="005929BB">
        <w:rPr>
          <w:rFonts w:eastAsia="Times New Roman" w:cs="Arial"/>
          <w:color w:val="000000"/>
          <w:lang w:eastAsia="bg-BG"/>
        </w:rPr>
        <w:t>Предшестващо лечение с високи дози диуретици може да доведе до обемен дефицит и до риск от</w:t>
      </w:r>
      <w:r w:rsidRPr="005929BB">
        <w:rPr>
          <w:rFonts w:eastAsia="Times New Roman" w:cs="Arial"/>
          <w:color w:val="000000"/>
          <w:lang w:eastAsia="bg-BG"/>
        </w:rPr>
        <w:t xml:space="preserve"> </w:t>
      </w:r>
      <w:r w:rsidRPr="005929BB">
        <w:rPr>
          <w:rFonts w:eastAsia="Times New Roman" w:cs="Arial"/>
          <w:color w:val="000000"/>
          <w:lang w:eastAsia="bg-BG"/>
        </w:rPr>
        <w:t>хипотония в началото на лечението с еналаприлов малеат (виж точка 4.4). Хипотоничният ефект може да се намали с преустановяване на диуретичното лечение, увеличен прием на течности и соли или чрез започване на лечението с еналаприлов малеат в ниски дози.</w:t>
      </w:r>
    </w:p>
    <w:p w14:paraId="334CA127"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Едновременното приложение на други антихипертензивни средства може да засили хипотензивния ефект на еналаприл. Данни от клинични проучвания показват, че двойното блокиране на ренин-ангиотензин-алдостероновата система (РААС) чрез комбинираната употреба на АСЕ инхибитори,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w:t>
      </w:r>
      <w:r w:rsidRPr="005929BB">
        <w:rPr>
          <w:rFonts w:eastAsia="Times New Roman" w:cs="Arial"/>
          <w:color w:val="000000"/>
          <w:lang w:val="en-US"/>
        </w:rPr>
        <w:t xml:space="preserve"> </w:t>
      </w:r>
      <w:r w:rsidRPr="005929BB">
        <w:rPr>
          <w:rFonts w:eastAsia="Times New Roman" w:cs="Arial"/>
          <w:color w:val="000000"/>
          <w:lang w:eastAsia="bg-BG"/>
        </w:rPr>
        <w:t>4.4 и 5.1).</w:t>
      </w:r>
    </w:p>
    <w:p w14:paraId="7B4C64E9"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Едновременното приложение на нитроглицерин и други нитрати или други вазодилататори също може допълнително да понижи кръвното налягане.</w:t>
      </w:r>
    </w:p>
    <w:p w14:paraId="13014264"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Съвместното приложение с калий-съхраняващи диуретици (спиронолактон, триамтерен, еплеренон, амилорид), калиеви соли или съдържащи калий лекарствени продукти може да доведе до изразена хиперкалиемия, особено при пациенти с бъбречна дисфункция. Ако се налага едновременно приложение на АСЕ инхибитори и някое от споменатите средства, то те трябва да се използват внимателно и при редовно проследяване на серумните нива на калий.</w:t>
      </w:r>
    </w:p>
    <w:p w14:paraId="162AFDCA"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Едновременното приложение на АСЕ инхибитори с антидиабетни лекарствени продукти</w:t>
      </w:r>
      <w:r w:rsidRPr="005929BB">
        <w:rPr>
          <w:rFonts w:eastAsia="Times New Roman" w:cs="Arial"/>
          <w:color w:val="000000"/>
          <w:lang w:eastAsia="bg-BG"/>
        </w:rPr>
        <w:t xml:space="preserve"> </w:t>
      </w:r>
      <w:r w:rsidRPr="005929BB">
        <w:rPr>
          <w:rFonts w:eastAsia="Times New Roman" w:cs="Arial"/>
          <w:color w:val="000000"/>
          <w:lang w:eastAsia="bg-BG"/>
        </w:rPr>
        <w:t>(инсулин, перорални хипогликемични средства) може да усили ефекта на понижаване на гликозата с риск от хипогликемия. Този феномен изглежда се проявява по-често през първите седмици на комбинирано лечение и при пациенти с бъбречно увреждане.</w:t>
      </w:r>
    </w:p>
    <w:p w14:paraId="3612A9B2"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При едновременно приложение с литиеви соли се повишава нивото на лития в кръвта и се появява опасност от литиева интоксикация. Едновременното приложение на литий и еналаприл не се препоръчва, но при необходимост от използване на комбинацията серумните нива на литий трябва да се контролират внимателно.</w:t>
      </w:r>
    </w:p>
    <w:p w14:paraId="167E8683"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Едновременното приложение на трициклични антидепресанти, антипсихотици, някои анестетици с АСЕ инхибитори може да доведе до изразено понижаване на артериалното налягане.</w:t>
      </w:r>
    </w:p>
    <w:p w14:paraId="59C3143C"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Антихипертензивният ефект на АСЕ инхибиторите може да бъде понижен при едновременна употреба с антиревматични и нестероидни противовъзпалителни средства (НСПВС), включително селективните СОХ-2 инхибитори, поради потискане ендогенната синтеза на простагландините. При едновременно приложение на АСЕ инхибитори и НСПВС се наблюдава адитивен ефект върху увеличаване на серумните нива на калий, възможно е и влошаване на бъбречната функция. При някои пациенти с увредена бъбречна функция (възрастни пациенти </w:t>
      </w:r>
      <w:r w:rsidRPr="005929BB">
        <w:rPr>
          <w:rFonts w:eastAsia="Times New Roman" w:cs="Arial"/>
          <w:color w:val="000000"/>
          <w:lang w:eastAsia="bg-BG"/>
        </w:rPr>
        <w:lastRenderedPageBreak/>
        <w:t>или пациенти с намален циркулиращ обем, вкл. и тези на диуретична терапия), лекувани с НСПВС, включително СОХ-2 инхибитори, едновременната употреба с ангиотензин II рецепторни антагонисти или АСЕ инхибитори може да доведе до влошаване на бъбречната функция. Тези ефекти са обикновено обратими.</w:t>
      </w:r>
    </w:p>
    <w:p w14:paraId="1BC360C9"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Симпатикомиметициге могат да понижат антихипертензивния ефект на АСЕ инхибиторите.</w:t>
      </w:r>
    </w:p>
    <w:p w14:paraId="7C8D6544"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При едновременно приложение с алопуринол, цитостатици, имуносупресори, системни коргикостероиди или прокаинамид честотата на неутропения и/или синдром на </w:t>
      </w:r>
      <w:r w:rsidRPr="005929BB">
        <w:rPr>
          <w:rFonts w:eastAsia="Times New Roman" w:cs="Arial"/>
          <w:color w:val="000000"/>
          <w:lang w:val="en-US"/>
        </w:rPr>
        <w:t xml:space="preserve">Stevens-Johnson </w:t>
      </w:r>
      <w:r w:rsidRPr="005929BB">
        <w:rPr>
          <w:rFonts w:eastAsia="Times New Roman" w:cs="Arial"/>
          <w:color w:val="000000"/>
          <w:lang w:eastAsia="bg-BG"/>
        </w:rPr>
        <w:t>се увеличава.</w:t>
      </w:r>
    </w:p>
    <w:p w14:paraId="6166BAF6"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Алкохолът потенцира хипотензивния ефект на АСЕ инхибиторите.</w:t>
      </w:r>
    </w:p>
    <w:p w14:paraId="5D585205" w14:textId="3D1F67C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Еналаприл може да се прилага едновременно с ацетилсалицилова киселина (в кардиологични дози), тромболитици и бета-блокери.</w:t>
      </w:r>
    </w:p>
    <w:p w14:paraId="78DD1328" w14:textId="77777777" w:rsidR="005929BB" w:rsidRPr="005929BB" w:rsidRDefault="005929BB" w:rsidP="005929BB">
      <w:pPr>
        <w:spacing w:line="240" w:lineRule="auto"/>
        <w:rPr>
          <w:rFonts w:ascii="Times New Roman" w:eastAsia="Times New Roman" w:hAnsi="Times New Roman" w:cs="Times New Roman"/>
          <w:sz w:val="24"/>
          <w:szCs w:val="24"/>
          <w:lang w:eastAsia="bg-BG"/>
        </w:rPr>
      </w:pPr>
    </w:p>
    <w:p w14:paraId="15A75A66" w14:textId="6B227302" w:rsidR="00A71DCF" w:rsidRDefault="002C50EE" w:rsidP="00A93499">
      <w:pPr>
        <w:pStyle w:val="Heading2"/>
      </w:pPr>
      <w:r>
        <w:t>4.6. Фертилитет, бременност и кърмене</w:t>
      </w:r>
    </w:p>
    <w:p w14:paraId="23A313A2" w14:textId="4234E3BA" w:rsidR="005929BB" w:rsidRDefault="005929BB" w:rsidP="005929BB"/>
    <w:p w14:paraId="0211210E" w14:textId="70A91FFC" w:rsidR="005929BB" w:rsidRPr="005929BB" w:rsidRDefault="005929BB" w:rsidP="005929BB">
      <w:pPr>
        <w:pStyle w:val="Heading3"/>
        <w:rPr>
          <w:u w:val="single"/>
        </w:rPr>
      </w:pPr>
      <w:r w:rsidRPr="005929BB">
        <w:rPr>
          <w:u w:val="single"/>
        </w:rPr>
        <w:t>Бременност</w:t>
      </w:r>
    </w:p>
    <w:p w14:paraId="5272D736"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Употребата на АСЕ инхибитори не се препоръчва през първия триместьр на бременността (вж. точка 4.4) и е противопоказана през втория и третия триместьр (вж. точка 4.3).</w:t>
      </w:r>
    </w:p>
    <w:p w14:paraId="1AB70F1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Няма категорични епидемиологични доказателства за риска от тератогенност след експозиция на АСЕ инхибитори по време на първия триместьр на бременността. Въпреки това, не може да се изключи слабо увеличение на риска. Освен ако не </w:t>
      </w:r>
      <w:r w:rsidRPr="005929BB">
        <w:rPr>
          <w:rFonts w:eastAsia="Times New Roman" w:cs="Arial"/>
          <w:i/>
          <w:iCs/>
          <w:color w:val="000000"/>
          <w:lang w:eastAsia="bg-BG"/>
        </w:rPr>
        <w:t>е</w:t>
      </w:r>
      <w:r w:rsidRPr="005929BB">
        <w:rPr>
          <w:rFonts w:eastAsia="Times New Roman" w:cs="Arial"/>
          <w:color w:val="000000"/>
          <w:lang w:eastAsia="bg-BG"/>
        </w:rPr>
        <w:t xml:space="preserve"> крайно необходимо, при пациентки, планиращи да забременеят, терапията с АСЕ инхибитори трябва да бъде заменена с алтернативно антихипертензивно лечение, което има установен профил на безопасност по време на бременност. При установяване на бременност лечението с АСЕ инхибитори трябва да бъде преустановено незабавно и при необходимост, заменено с алтернативна терапия.</w:t>
      </w:r>
    </w:p>
    <w:p w14:paraId="7BCA51A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Известно е, че експозицията на терапия с АСЕ инхибитори през втория и третия триместьр индуцира фетотоксичност при хората (олигохидрамнион и намалена бъбречна функция, водещи до конграктури на крайниците, лицево-черепни деформации и хипопластично развитие на белите дробове, забавяне в осификацията на черепа) и неонатална токсичност (бъбречна недостатъчност, хипотония, хиперкалиемия) (вж. точка 5.3). При употреба на АСЕ инхибитор от втория триместьр на бременността се препоръчва ултразвуков контрол на бъбречната функция и черепа на фетуса. Новородени от майки, приемали АСЕ инхибитори, трябва да бъдат стриктно проследявани за поява на хипотония (вж. точки 4.3 и 4.4).</w:t>
      </w:r>
    </w:p>
    <w:p w14:paraId="4BCB8F65" w14:textId="77777777" w:rsidR="005929BB" w:rsidRPr="005929BB" w:rsidRDefault="005929BB" w:rsidP="005929BB">
      <w:pPr>
        <w:spacing w:line="240" w:lineRule="auto"/>
        <w:rPr>
          <w:rFonts w:eastAsia="Times New Roman" w:cs="Arial"/>
          <w:color w:val="000000"/>
          <w:u w:val="single"/>
          <w:lang w:eastAsia="bg-BG"/>
        </w:rPr>
      </w:pPr>
    </w:p>
    <w:p w14:paraId="1BAB2FEA" w14:textId="555227BE" w:rsidR="005929BB" w:rsidRPr="005929BB" w:rsidRDefault="005929BB" w:rsidP="005929BB">
      <w:pPr>
        <w:pStyle w:val="Heading3"/>
        <w:rPr>
          <w:rFonts w:eastAsia="Times New Roman"/>
          <w:u w:val="single"/>
          <w:lang w:eastAsia="bg-BG"/>
        </w:rPr>
      </w:pPr>
      <w:r w:rsidRPr="005929BB">
        <w:rPr>
          <w:rFonts w:eastAsia="Times New Roman"/>
          <w:u w:val="single"/>
          <w:lang w:eastAsia="bg-BG"/>
        </w:rPr>
        <w:t>Кърмене</w:t>
      </w:r>
    </w:p>
    <w:p w14:paraId="1159D8F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Наличните лимитирани фармакокинетични данни демонстрират много ниски концентрации в майчиното мляко (вж. точка 5.2). Въпреки че ниските концентрации в кърмата изглеждат клинично нерелевантни, поради хипотетичен риск от поява на сърдечно-съдови и бъбречни ефекти и поради липса на достатъчен клиничен опит, не се препоръчва употребата на Вазопрен от майки на преждевременно родени кърмачета, както и през първите няколко седмици след раждане.</w:t>
      </w:r>
    </w:p>
    <w:p w14:paraId="3EE5FF22"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по-големи кърмачета употребата на Вазопрен от майката може да се обсъди, когато е необходимо, при проследяване на детето за поява на нежелани реакции.</w:t>
      </w:r>
    </w:p>
    <w:p w14:paraId="233CFD29" w14:textId="77777777" w:rsidR="005929BB" w:rsidRPr="005929BB" w:rsidRDefault="005929BB" w:rsidP="005929BB"/>
    <w:p w14:paraId="6201597D" w14:textId="1ACA9EAF" w:rsidR="00EE6C97" w:rsidRDefault="002C50EE" w:rsidP="00A93499">
      <w:pPr>
        <w:pStyle w:val="Heading2"/>
      </w:pPr>
      <w:r>
        <w:lastRenderedPageBreak/>
        <w:t>4.7. Ефекти върху способността за шофиране и работа с машини</w:t>
      </w:r>
    </w:p>
    <w:p w14:paraId="6A3663AF" w14:textId="439B0EAF" w:rsidR="005929BB" w:rsidRDefault="005929BB" w:rsidP="005929BB"/>
    <w:p w14:paraId="6B491BA1" w14:textId="77777777" w:rsidR="005929BB" w:rsidRPr="005929BB" w:rsidRDefault="005929BB" w:rsidP="005929BB">
      <w:pPr>
        <w:rPr>
          <w:sz w:val="24"/>
          <w:szCs w:val="24"/>
          <w:lang w:eastAsia="bg-BG"/>
        </w:rPr>
      </w:pPr>
      <w:r w:rsidRPr="005929BB">
        <w:rPr>
          <w:lang w:eastAsia="bg-BG"/>
        </w:rPr>
        <w:t>Вазопрен може да предизвика замайване или обща отпадналост при някои пациенти, особено в началото на лечението, което трябва да се има предвид при шофиране и работа с машини.</w:t>
      </w:r>
    </w:p>
    <w:p w14:paraId="2E8F2ECF" w14:textId="77777777" w:rsidR="005929BB" w:rsidRPr="005929BB" w:rsidRDefault="005929BB" w:rsidP="005929BB"/>
    <w:p w14:paraId="389A90F4" w14:textId="38430B68" w:rsidR="00BA5B74" w:rsidRDefault="002C50EE" w:rsidP="00A93499">
      <w:pPr>
        <w:pStyle w:val="Heading2"/>
      </w:pPr>
      <w:r>
        <w:t>4.8. Нежелани лекарствени реакции</w:t>
      </w:r>
    </w:p>
    <w:p w14:paraId="7F196D7E" w14:textId="0D8A7D60" w:rsidR="005929BB" w:rsidRDefault="005929BB" w:rsidP="005929BB"/>
    <w:p w14:paraId="6826C566" w14:textId="77777777" w:rsidR="005929BB" w:rsidRPr="005929BB" w:rsidRDefault="005929BB" w:rsidP="005929BB">
      <w:pPr>
        <w:spacing w:line="240" w:lineRule="auto"/>
        <w:rPr>
          <w:rFonts w:eastAsia="Times New Roman" w:cs="Arial"/>
          <w:lang w:eastAsia="bg-BG"/>
        </w:rPr>
      </w:pPr>
      <w:r w:rsidRPr="005929BB">
        <w:rPr>
          <w:rFonts w:eastAsia="Times New Roman" w:cs="Arial"/>
          <w:color w:val="000000"/>
          <w:lang w:eastAsia="bg-BG"/>
        </w:rPr>
        <w:t xml:space="preserve">Описаните нежелани лекарствени реакции са представени по системо-органна класификацията и по честота съгласно </w:t>
      </w:r>
      <w:r w:rsidRPr="005929BB">
        <w:rPr>
          <w:rFonts w:eastAsia="Times New Roman" w:cs="Arial"/>
          <w:color w:val="000000"/>
          <w:lang w:val="en-US"/>
        </w:rPr>
        <w:t xml:space="preserve">MedDRA </w:t>
      </w:r>
      <w:r w:rsidRPr="005929BB">
        <w:rPr>
          <w:rFonts w:eastAsia="Times New Roman" w:cs="Arial"/>
          <w:color w:val="000000"/>
          <w:lang w:eastAsia="bg-BG"/>
        </w:rPr>
        <w:t>конвенция, както следва: много чести (≥ 1/10), чести (≥1/100 до &lt;1/10), нечести (≥1/1 000 до &lt;1/100), редки (≥1/10 000 до &lt;1/1 000) и много редки (&lt;1/10 000), с неизвестна честота (от наличните данни не може да бъде направена оценка).</w:t>
      </w:r>
    </w:p>
    <w:p w14:paraId="031A5F8A" w14:textId="77777777" w:rsidR="005929BB" w:rsidRPr="005929BB" w:rsidRDefault="005929BB" w:rsidP="005929BB">
      <w:pPr>
        <w:spacing w:line="240" w:lineRule="auto"/>
        <w:rPr>
          <w:rFonts w:eastAsia="Times New Roman" w:cs="Arial"/>
          <w:color w:val="000000"/>
          <w:u w:val="single"/>
          <w:lang w:eastAsia="bg-BG"/>
        </w:rPr>
      </w:pPr>
    </w:p>
    <w:p w14:paraId="41AEFBCC"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Изследвания:</w:t>
      </w:r>
      <w:r w:rsidRPr="005929BB">
        <w:rPr>
          <w:rFonts w:eastAsia="Times New Roman" w:cs="Arial"/>
          <w:color w:val="000000"/>
          <w:lang w:eastAsia="bg-BG"/>
        </w:rPr>
        <w:t xml:space="preserve"> </w:t>
      </w:r>
    </w:p>
    <w:p w14:paraId="326FC6B4" w14:textId="14D4C5A5"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чести</w:t>
      </w:r>
      <w:r w:rsidRPr="005929BB">
        <w:rPr>
          <w:rFonts w:eastAsia="Times New Roman" w:cs="Arial"/>
          <w:color w:val="000000"/>
          <w:lang w:eastAsia="bg-BG"/>
        </w:rPr>
        <w:t xml:space="preserve"> - хиперкалиемия, повишен серумен креатинин; </w:t>
      </w:r>
      <w:r w:rsidRPr="005929BB">
        <w:rPr>
          <w:rFonts w:eastAsia="Times New Roman" w:cs="Arial"/>
          <w:i/>
          <w:iCs/>
          <w:color w:val="000000"/>
          <w:lang w:eastAsia="bg-BG"/>
        </w:rPr>
        <w:t>нечести -</w:t>
      </w:r>
      <w:r w:rsidRPr="005929BB">
        <w:rPr>
          <w:rFonts w:eastAsia="Times New Roman" w:cs="Arial"/>
          <w:color w:val="000000"/>
          <w:lang w:eastAsia="bg-BG"/>
        </w:rPr>
        <w:t xml:space="preserve"> хипонатриемия, повишена кръвна урея; </w:t>
      </w:r>
      <w:r w:rsidRPr="005929BB">
        <w:rPr>
          <w:rFonts w:eastAsia="Times New Roman" w:cs="Arial"/>
          <w:i/>
          <w:iCs/>
          <w:color w:val="000000"/>
          <w:lang w:eastAsia="bg-BG"/>
        </w:rPr>
        <w:t>редки -</w:t>
      </w:r>
      <w:r w:rsidRPr="005929BB">
        <w:rPr>
          <w:rFonts w:eastAsia="Times New Roman" w:cs="Arial"/>
          <w:color w:val="000000"/>
          <w:lang w:eastAsia="bg-BG"/>
        </w:rPr>
        <w:t xml:space="preserve"> повишени стойности на серумния билирубин, повишени стойности на чернодробните ензими.</w:t>
      </w:r>
    </w:p>
    <w:p w14:paraId="04923840" w14:textId="77777777" w:rsidR="005929BB" w:rsidRPr="005929BB" w:rsidRDefault="005929BB" w:rsidP="005929BB">
      <w:pPr>
        <w:spacing w:line="240" w:lineRule="auto"/>
        <w:rPr>
          <w:rFonts w:eastAsia="Times New Roman" w:cs="Arial"/>
          <w:color w:val="000000"/>
          <w:u w:val="single"/>
          <w:lang w:eastAsia="bg-BG"/>
        </w:rPr>
      </w:pPr>
    </w:p>
    <w:p w14:paraId="03314946"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Сърдечни нарушения:</w:t>
      </w:r>
      <w:r w:rsidRPr="005929BB">
        <w:rPr>
          <w:rFonts w:eastAsia="Times New Roman" w:cs="Arial"/>
          <w:color w:val="000000"/>
          <w:lang w:eastAsia="bg-BG"/>
        </w:rPr>
        <w:t xml:space="preserve"> </w:t>
      </w:r>
    </w:p>
    <w:p w14:paraId="6ED5F2CE" w14:textId="0A01D411" w:rsidR="005929BB" w:rsidRPr="005929BB" w:rsidRDefault="005929BB" w:rsidP="005929BB">
      <w:pPr>
        <w:spacing w:line="240" w:lineRule="auto"/>
        <w:rPr>
          <w:rFonts w:eastAsia="Times New Roman" w:cs="Arial"/>
          <w:color w:val="000000"/>
          <w:lang w:eastAsia="bg-BG"/>
        </w:rPr>
      </w:pPr>
      <w:r w:rsidRPr="005929BB">
        <w:rPr>
          <w:rFonts w:eastAsia="Times New Roman" w:cs="Arial"/>
          <w:i/>
          <w:iCs/>
          <w:color w:val="000000"/>
          <w:lang w:eastAsia="bg-BG"/>
        </w:rPr>
        <w:t>чести -</w:t>
      </w:r>
      <w:r w:rsidRPr="005929BB">
        <w:rPr>
          <w:rFonts w:eastAsia="Times New Roman" w:cs="Arial"/>
          <w:color w:val="000000"/>
          <w:lang w:eastAsia="bg-BG"/>
        </w:rPr>
        <w:t xml:space="preserve"> болка в гърдите, ритъмни нарушения, тахикардия, стенокардия; </w:t>
      </w:r>
      <w:r w:rsidRPr="005929BB">
        <w:rPr>
          <w:rFonts w:eastAsia="Times New Roman" w:cs="Arial"/>
          <w:i/>
          <w:iCs/>
          <w:color w:val="000000"/>
          <w:lang w:eastAsia="bg-BG"/>
        </w:rPr>
        <w:t>нечести -</w:t>
      </w:r>
      <w:r w:rsidRPr="005929BB">
        <w:rPr>
          <w:rFonts w:eastAsia="Times New Roman" w:cs="Arial"/>
          <w:color w:val="000000"/>
          <w:lang w:eastAsia="bg-BG"/>
        </w:rPr>
        <w:t xml:space="preserve"> палпитации, инфаркт на миокарда или мозъчно-съдов инцидент (вероятно вторично, в резултат на екстремно понижение на артериалното налягане при високо-рискови пациенти). </w:t>
      </w:r>
    </w:p>
    <w:p w14:paraId="111645C2" w14:textId="77777777" w:rsidR="005929BB" w:rsidRPr="005929BB" w:rsidRDefault="005929BB" w:rsidP="005929BB">
      <w:pPr>
        <w:spacing w:line="240" w:lineRule="auto"/>
        <w:rPr>
          <w:rFonts w:eastAsia="Times New Roman" w:cs="Arial"/>
          <w:color w:val="000000"/>
          <w:u w:val="single"/>
          <w:lang w:eastAsia="bg-BG"/>
        </w:rPr>
      </w:pPr>
    </w:p>
    <w:p w14:paraId="59B4D951" w14:textId="77777777" w:rsidR="005929BB" w:rsidRPr="005929BB" w:rsidRDefault="005929BB" w:rsidP="005929BB">
      <w:pPr>
        <w:spacing w:line="240" w:lineRule="auto"/>
        <w:rPr>
          <w:rFonts w:eastAsia="Times New Roman" w:cs="Arial"/>
          <w:color w:val="000000"/>
          <w:u w:val="single"/>
          <w:lang w:eastAsia="bg-BG"/>
        </w:rPr>
      </w:pPr>
      <w:r w:rsidRPr="005929BB">
        <w:rPr>
          <w:rFonts w:eastAsia="Times New Roman" w:cs="Arial"/>
          <w:color w:val="000000"/>
          <w:u w:val="single"/>
          <w:lang w:eastAsia="bg-BG"/>
        </w:rPr>
        <w:t xml:space="preserve">Нарушения на кръвта и лимфната система: </w:t>
      </w:r>
    </w:p>
    <w:p w14:paraId="0526C069" w14:textId="5B57FDEA" w:rsidR="005929BB" w:rsidRPr="005929BB" w:rsidRDefault="005929BB" w:rsidP="005929BB">
      <w:pPr>
        <w:spacing w:line="240" w:lineRule="auto"/>
        <w:rPr>
          <w:rFonts w:eastAsia="Times New Roman" w:cs="Arial"/>
          <w:lang w:eastAsia="bg-BG"/>
        </w:rPr>
      </w:pPr>
      <w:r w:rsidRPr="005929BB">
        <w:rPr>
          <w:rFonts w:eastAsia="Times New Roman" w:cs="Arial"/>
          <w:i/>
          <w:iCs/>
          <w:color w:val="000000"/>
          <w:u w:val="single"/>
          <w:lang w:eastAsia="bg-BG"/>
        </w:rPr>
        <w:t>н</w:t>
      </w:r>
      <w:r w:rsidRPr="005929BB">
        <w:rPr>
          <w:rFonts w:eastAsia="Times New Roman" w:cs="Arial"/>
          <w:i/>
          <w:iCs/>
          <w:color w:val="000000"/>
          <w:lang w:eastAsia="bg-BG"/>
        </w:rPr>
        <w:t>ечести</w:t>
      </w:r>
      <w:r w:rsidRPr="005929BB">
        <w:rPr>
          <w:rFonts w:eastAsia="Times New Roman" w:cs="Arial"/>
          <w:color w:val="000000"/>
          <w:lang w:eastAsia="bg-BG"/>
        </w:rPr>
        <w:t xml:space="preserve"> - анемия (включително апластична и хемолитична); </w:t>
      </w:r>
      <w:r w:rsidRPr="005929BB">
        <w:rPr>
          <w:rFonts w:eastAsia="Times New Roman" w:cs="Arial"/>
          <w:i/>
          <w:iCs/>
          <w:color w:val="000000"/>
          <w:lang w:eastAsia="bg-BG"/>
        </w:rPr>
        <w:t>редки -</w:t>
      </w:r>
      <w:r w:rsidRPr="005929BB">
        <w:rPr>
          <w:rFonts w:eastAsia="Times New Roman" w:cs="Arial"/>
          <w:color w:val="000000"/>
          <w:lang w:eastAsia="bg-BG"/>
        </w:rPr>
        <w:t xml:space="preserve"> понижени стойности на хемоглобин, хематокрит, левкопения, неутропения, агранулоцитоза, тромбоцитопения, панцитопения, костно-мозъчно потискане, лимфаденопатия, автоимунни заболявания.</w:t>
      </w:r>
    </w:p>
    <w:p w14:paraId="1558DEA1" w14:textId="77777777" w:rsidR="005929BB" w:rsidRPr="005929BB" w:rsidRDefault="005929BB" w:rsidP="005929BB">
      <w:pPr>
        <w:spacing w:line="240" w:lineRule="auto"/>
        <w:rPr>
          <w:rFonts w:eastAsia="Times New Roman" w:cs="Arial"/>
          <w:color w:val="000000"/>
          <w:u w:val="single"/>
          <w:lang w:eastAsia="bg-BG"/>
        </w:rPr>
      </w:pPr>
    </w:p>
    <w:p w14:paraId="43923715"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нервната система</w:t>
      </w:r>
      <w:r w:rsidRPr="005929BB">
        <w:rPr>
          <w:rFonts w:eastAsia="Times New Roman" w:cs="Arial"/>
          <w:color w:val="000000"/>
          <w:lang w:eastAsia="bg-BG"/>
        </w:rPr>
        <w:t xml:space="preserve">: </w:t>
      </w:r>
    </w:p>
    <w:p w14:paraId="357BEF96" w14:textId="728DC382" w:rsidR="005929BB" w:rsidRPr="005929BB" w:rsidRDefault="005929BB" w:rsidP="005929BB">
      <w:pPr>
        <w:spacing w:line="240" w:lineRule="auto"/>
        <w:rPr>
          <w:rFonts w:eastAsia="Times New Roman" w:cs="Arial"/>
          <w:color w:val="000000"/>
          <w:lang w:eastAsia="bg-BG"/>
        </w:rPr>
      </w:pPr>
      <w:r w:rsidRPr="005929BB">
        <w:rPr>
          <w:rFonts w:eastAsia="Times New Roman" w:cs="Arial"/>
          <w:i/>
          <w:iCs/>
          <w:color w:val="000000"/>
          <w:lang w:eastAsia="bg-BG"/>
        </w:rPr>
        <w:t>чести -</w:t>
      </w:r>
      <w:r w:rsidRPr="005929BB">
        <w:rPr>
          <w:rFonts w:eastAsia="Times New Roman" w:cs="Arial"/>
          <w:color w:val="000000"/>
          <w:lang w:eastAsia="bg-BG"/>
        </w:rPr>
        <w:t xml:space="preserve"> главоболие; </w:t>
      </w:r>
      <w:r w:rsidRPr="005929BB">
        <w:rPr>
          <w:rFonts w:eastAsia="Times New Roman" w:cs="Arial"/>
          <w:i/>
          <w:iCs/>
          <w:color w:val="000000"/>
          <w:lang w:eastAsia="bg-BG"/>
        </w:rPr>
        <w:t>нечести -</w:t>
      </w:r>
      <w:r w:rsidRPr="005929BB">
        <w:rPr>
          <w:rFonts w:eastAsia="Times New Roman" w:cs="Arial"/>
          <w:color w:val="000000"/>
          <w:lang w:eastAsia="bg-BG"/>
        </w:rPr>
        <w:t xml:space="preserve"> нервност, парестезии, виене на свят. </w:t>
      </w:r>
    </w:p>
    <w:p w14:paraId="02542EA3" w14:textId="77777777" w:rsidR="005929BB" w:rsidRPr="005929BB" w:rsidRDefault="005929BB" w:rsidP="005929BB">
      <w:pPr>
        <w:spacing w:line="240" w:lineRule="auto"/>
        <w:rPr>
          <w:rFonts w:eastAsia="Times New Roman" w:cs="Arial"/>
          <w:color w:val="000000"/>
          <w:lang w:eastAsia="bg-BG"/>
        </w:rPr>
      </w:pPr>
    </w:p>
    <w:p w14:paraId="3AB02787" w14:textId="6EA31B1E" w:rsidR="005929BB" w:rsidRPr="005929BB" w:rsidRDefault="005929BB" w:rsidP="005929BB">
      <w:pPr>
        <w:spacing w:line="240" w:lineRule="auto"/>
        <w:rPr>
          <w:rFonts w:eastAsia="Times New Roman" w:cs="Arial"/>
          <w:lang w:eastAsia="bg-BG"/>
        </w:rPr>
      </w:pPr>
      <w:r w:rsidRPr="005929BB">
        <w:rPr>
          <w:rFonts w:eastAsia="Times New Roman" w:cs="Arial"/>
          <w:color w:val="000000"/>
          <w:u w:val="single"/>
          <w:lang w:eastAsia="bg-BG"/>
        </w:rPr>
        <w:t>Нарушения на очите</w:t>
      </w:r>
      <w:r w:rsidRPr="005929BB">
        <w:rPr>
          <w:rFonts w:eastAsia="Times New Roman" w:cs="Arial"/>
          <w:color w:val="000000"/>
          <w:lang w:eastAsia="bg-BG"/>
        </w:rPr>
        <w:t xml:space="preserve">: </w:t>
      </w:r>
      <w:r w:rsidRPr="005929BB">
        <w:rPr>
          <w:rFonts w:eastAsia="Times New Roman" w:cs="Arial"/>
          <w:i/>
          <w:iCs/>
          <w:color w:val="000000"/>
          <w:lang w:eastAsia="bg-BG"/>
        </w:rPr>
        <w:t>много чести</w:t>
      </w:r>
      <w:r w:rsidRPr="005929BB">
        <w:rPr>
          <w:rFonts w:eastAsia="Times New Roman" w:cs="Arial"/>
          <w:color w:val="000000"/>
          <w:lang w:eastAsia="bg-BG"/>
        </w:rPr>
        <w:t xml:space="preserve"> - замъглено виждане.</w:t>
      </w:r>
    </w:p>
    <w:p w14:paraId="21675F52" w14:textId="77777777" w:rsidR="005929BB" w:rsidRPr="005929BB" w:rsidRDefault="005929BB" w:rsidP="005929BB">
      <w:pPr>
        <w:spacing w:line="240" w:lineRule="auto"/>
        <w:rPr>
          <w:rFonts w:eastAsia="Times New Roman" w:cs="Arial"/>
          <w:color w:val="000000"/>
          <w:u w:val="single"/>
          <w:lang w:eastAsia="bg-BG"/>
        </w:rPr>
      </w:pPr>
    </w:p>
    <w:p w14:paraId="72B64C02" w14:textId="77777777" w:rsidR="005929BB" w:rsidRPr="005929BB" w:rsidRDefault="005929BB" w:rsidP="005929BB">
      <w:pPr>
        <w:spacing w:line="240" w:lineRule="auto"/>
        <w:rPr>
          <w:rFonts w:eastAsia="Times New Roman" w:cs="Arial"/>
          <w:color w:val="000000"/>
          <w:u w:val="single"/>
          <w:lang w:eastAsia="bg-BG"/>
        </w:rPr>
      </w:pPr>
      <w:r w:rsidRPr="005929BB">
        <w:rPr>
          <w:rFonts w:eastAsia="Times New Roman" w:cs="Arial"/>
          <w:color w:val="000000"/>
          <w:u w:val="single"/>
          <w:lang w:eastAsia="bg-BG"/>
        </w:rPr>
        <w:t xml:space="preserve">Респираторни, гръдни и медиастинални нарушения: </w:t>
      </w:r>
    </w:p>
    <w:p w14:paraId="12E94667" w14:textId="70FE9C12" w:rsidR="005929BB" w:rsidRPr="005929BB" w:rsidRDefault="005929BB" w:rsidP="005929BB">
      <w:pPr>
        <w:spacing w:line="240" w:lineRule="auto"/>
        <w:rPr>
          <w:rFonts w:eastAsia="Times New Roman" w:cs="Arial"/>
          <w:lang w:eastAsia="bg-BG"/>
        </w:rPr>
      </w:pPr>
      <w:r w:rsidRPr="005929BB">
        <w:rPr>
          <w:rFonts w:eastAsia="Times New Roman" w:cs="Arial"/>
          <w:i/>
          <w:iCs/>
          <w:color w:val="000000"/>
          <w:u w:val="single"/>
          <w:lang w:eastAsia="bg-BG"/>
        </w:rPr>
        <w:t>м</w:t>
      </w:r>
      <w:r w:rsidRPr="005929BB">
        <w:rPr>
          <w:rFonts w:eastAsia="Times New Roman" w:cs="Arial"/>
          <w:i/>
          <w:iCs/>
          <w:color w:val="000000"/>
          <w:lang w:eastAsia="bg-BG"/>
        </w:rPr>
        <w:t>ного чести</w:t>
      </w:r>
      <w:r w:rsidRPr="005929BB">
        <w:rPr>
          <w:rFonts w:eastAsia="Times New Roman" w:cs="Arial"/>
          <w:color w:val="000000"/>
          <w:lang w:eastAsia="bg-BG"/>
        </w:rPr>
        <w:t xml:space="preserve"> - кашлица; </w:t>
      </w:r>
      <w:r w:rsidRPr="005929BB">
        <w:rPr>
          <w:rFonts w:eastAsia="Times New Roman" w:cs="Arial"/>
          <w:i/>
          <w:iCs/>
          <w:color w:val="000000"/>
          <w:lang w:eastAsia="bg-BG"/>
        </w:rPr>
        <w:t>чести</w:t>
      </w:r>
      <w:r w:rsidRPr="005929BB">
        <w:rPr>
          <w:rFonts w:eastAsia="Times New Roman" w:cs="Arial"/>
          <w:color w:val="000000"/>
          <w:lang w:eastAsia="bg-BG"/>
        </w:rPr>
        <w:t xml:space="preserve"> - задух; </w:t>
      </w:r>
      <w:r w:rsidRPr="005929BB">
        <w:rPr>
          <w:rFonts w:eastAsia="Times New Roman" w:cs="Arial"/>
          <w:i/>
          <w:iCs/>
          <w:color w:val="000000"/>
          <w:lang w:eastAsia="bg-BG"/>
        </w:rPr>
        <w:t>н</w:t>
      </w:r>
      <w:r w:rsidRPr="005929BB">
        <w:rPr>
          <w:rFonts w:eastAsia="Times New Roman" w:cs="Arial"/>
          <w:i/>
          <w:iCs/>
          <w:color w:val="000000"/>
          <w:u w:val="single"/>
          <w:lang w:eastAsia="bg-BG"/>
        </w:rPr>
        <w:t xml:space="preserve">ечести </w:t>
      </w:r>
      <w:r w:rsidRPr="005929BB">
        <w:rPr>
          <w:rFonts w:eastAsia="Times New Roman" w:cs="Arial"/>
          <w:color w:val="000000"/>
          <w:lang w:eastAsia="bg-BG"/>
        </w:rPr>
        <w:t xml:space="preserve">- назална секреция, болки в гърлото и дрезгав глас, бронхоспазъм; </w:t>
      </w:r>
      <w:r w:rsidRPr="005929BB">
        <w:rPr>
          <w:rFonts w:eastAsia="Times New Roman" w:cs="Arial"/>
          <w:i/>
          <w:iCs/>
          <w:color w:val="000000"/>
          <w:lang w:eastAsia="bg-BG"/>
        </w:rPr>
        <w:t>редки -</w:t>
      </w:r>
      <w:r w:rsidRPr="005929BB">
        <w:rPr>
          <w:rFonts w:eastAsia="Times New Roman" w:cs="Arial"/>
          <w:color w:val="000000"/>
          <w:lang w:eastAsia="bg-BG"/>
        </w:rPr>
        <w:t xml:space="preserve"> белодробни алергичен алвеолит/еозинофилна пневмония.</w:t>
      </w:r>
    </w:p>
    <w:p w14:paraId="506D5064" w14:textId="77777777" w:rsidR="005929BB" w:rsidRPr="005929BB" w:rsidRDefault="005929BB" w:rsidP="005929BB">
      <w:pPr>
        <w:spacing w:line="240" w:lineRule="auto"/>
        <w:rPr>
          <w:rFonts w:eastAsia="Times New Roman" w:cs="Arial"/>
          <w:color w:val="000000"/>
          <w:u w:val="single"/>
          <w:lang w:eastAsia="bg-BG"/>
        </w:rPr>
      </w:pPr>
    </w:p>
    <w:p w14:paraId="3FF8AD55"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Стомашно-чревни нарушения</w:t>
      </w:r>
      <w:r w:rsidRPr="005929BB">
        <w:rPr>
          <w:rFonts w:eastAsia="Times New Roman" w:cs="Arial"/>
          <w:color w:val="000000"/>
          <w:lang w:eastAsia="bg-BG"/>
        </w:rPr>
        <w:t xml:space="preserve">: </w:t>
      </w:r>
    </w:p>
    <w:p w14:paraId="1A3EA786" w14:textId="568ED11A"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много чести</w:t>
      </w:r>
      <w:r w:rsidRPr="005929BB">
        <w:rPr>
          <w:rFonts w:eastAsia="Times New Roman" w:cs="Arial"/>
          <w:color w:val="000000"/>
          <w:lang w:eastAsia="bg-BG"/>
        </w:rPr>
        <w:t xml:space="preserve"> - гадене; </w:t>
      </w:r>
      <w:r w:rsidRPr="005929BB">
        <w:rPr>
          <w:rFonts w:eastAsia="Times New Roman" w:cs="Arial"/>
          <w:i/>
          <w:iCs/>
          <w:color w:val="000000"/>
          <w:lang w:eastAsia="bg-BG"/>
        </w:rPr>
        <w:t>чести -</w:t>
      </w:r>
      <w:r w:rsidRPr="005929BB">
        <w:rPr>
          <w:rFonts w:eastAsia="Times New Roman" w:cs="Arial"/>
          <w:color w:val="000000"/>
          <w:lang w:eastAsia="bg-BG"/>
        </w:rPr>
        <w:t xml:space="preserve"> промени във вкуса, коремна болка, диария; </w:t>
      </w:r>
      <w:r w:rsidRPr="005929BB">
        <w:rPr>
          <w:rFonts w:eastAsia="Times New Roman" w:cs="Arial"/>
          <w:i/>
          <w:iCs/>
          <w:color w:val="000000"/>
          <w:lang w:eastAsia="bg-BG"/>
        </w:rPr>
        <w:t>нечести- сухота в</w:t>
      </w:r>
      <w:r w:rsidRPr="005929BB">
        <w:rPr>
          <w:rFonts w:eastAsia="Times New Roman" w:cs="Arial"/>
          <w:color w:val="000000"/>
          <w:lang w:eastAsia="bg-BG"/>
        </w:rPr>
        <w:t xml:space="preserve"> устата, диспепсия, анорексия, стомашно дразнене, повръщане, запек, панкреатит, остър корем, язва; </w:t>
      </w:r>
      <w:r w:rsidRPr="005929BB">
        <w:rPr>
          <w:rFonts w:eastAsia="Times New Roman" w:cs="Arial"/>
          <w:i/>
          <w:iCs/>
          <w:color w:val="000000"/>
          <w:lang w:eastAsia="bg-BG"/>
        </w:rPr>
        <w:t>редки -</w:t>
      </w:r>
      <w:r w:rsidRPr="005929BB">
        <w:rPr>
          <w:rFonts w:eastAsia="Times New Roman" w:cs="Arial"/>
          <w:color w:val="000000"/>
          <w:lang w:eastAsia="bg-BG"/>
        </w:rPr>
        <w:t xml:space="preserve"> стоматит, глосит; </w:t>
      </w:r>
      <w:r w:rsidRPr="005929BB">
        <w:rPr>
          <w:rFonts w:eastAsia="Times New Roman" w:cs="Arial"/>
          <w:i/>
          <w:iCs/>
          <w:color w:val="000000"/>
          <w:lang w:eastAsia="bg-BG"/>
        </w:rPr>
        <w:t>много редки -</w:t>
      </w:r>
      <w:r w:rsidRPr="005929BB">
        <w:rPr>
          <w:rFonts w:eastAsia="Times New Roman" w:cs="Arial"/>
          <w:color w:val="000000"/>
          <w:lang w:eastAsia="bg-BG"/>
        </w:rPr>
        <w:t xml:space="preserve"> интестинален ангиодем</w:t>
      </w:r>
    </w:p>
    <w:p w14:paraId="14F8966E" w14:textId="421E7C62" w:rsidR="005929BB" w:rsidRPr="005929BB" w:rsidRDefault="005929BB" w:rsidP="005929BB">
      <w:pPr>
        <w:rPr>
          <w:rFonts w:cs="Arial"/>
        </w:rPr>
      </w:pPr>
    </w:p>
    <w:p w14:paraId="518E7160"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 xml:space="preserve">Нарушения на </w:t>
      </w:r>
      <w:r w:rsidRPr="005929BB">
        <w:rPr>
          <w:rFonts w:eastAsia="Times New Roman" w:cs="Arial"/>
          <w:i/>
          <w:iCs/>
          <w:color w:val="000000"/>
          <w:u w:val="single"/>
          <w:lang w:eastAsia="bg-BG"/>
        </w:rPr>
        <w:t>бъбреците и пикочните</w:t>
      </w:r>
      <w:r w:rsidRPr="005929BB">
        <w:rPr>
          <w:rFonts w:eastAsia="Times New Roman" w:cs="Arial"/>
          <w:color w:val="000000"/>
          <w:u w:val="single"/>
          <w:lang w:eastAsia="bg-BG"/>
        </w:rPr>
        <w:t xml:space="preserve"> пътища:</w:t>
      </w:r>
      <w:r w:rsidRPr="005929BB">
        <w:rPr>
          <w:rFonts w:eastAsia="Times New Roman" w:cs="Arial"/>
          <w:color w:val="000000"/>
          <w:lang w:eastAsia="bg-BG"/>
        </w:rPr>
        <w:t xml:space="preserve"> </w:t>
      </w:r>
    </w:p>
    <w:p w14:paraId="60F0E4F5" w14:textId="1D1BE0DE"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нечести -</w:t>
      </w:r>
      <w:r w:rsidRPr="005929BB">
        <w:rPr>
          <w:rFonts w:eastAsia="Times New Roman" w:cs="Arial"/>
          <w:color w:val="000000"/>
          <w:lang w:eastAsia="bg-BG"/>
        </w:rPr>
        <w:t xml:space="preserve"> протеинурия, бъбречна дисфункция, бъбречна недостатъчност; </w:t>
      </w:r>
      <w:r w:rsidRPr="005929BB">
        <w:rPr>
          <w:rFonts w:eastAsia="Times New Roman" w:cs="Arial"/>
          <w:i/>
          <w:iCs/>
          <w:color w:val="000000"/>
          <w:lang w:eastAsia="bg-BG"/>
        </w:rPr>
        <w:t>редки</w:t>
      </w:r>
      <w:r w:rsidRPr="005929BB">
        <w:rPr>
          <w:rFonts w:eastAsia="Times New Roman" w:cs="Arial"/>
          <w:color w:val="000000"/>
          <w:lang w:eastAsia="bg-BG"/>
        </w:rPr>
        <w:t xml:space="preserve"> - олигурия.</w:t>
      </w:r>
    </w:p>
    <w:p w14:paraId="0038C328" w14:textId="77777777" w:rsidR="005929BB" w:rsidRPr="005929BB" w:rsidRDefault="005929BB" w:rsidP="005929BB">
      <w:pPr>
        <w:spacing w:line="240" w:lineRule="auto"/>
        <w:rPr>
          <w:rFonts w:eastAsia="Times New Roman" w:cs="Arial"/>
          <w:color w:val="000000"/>
          <w:u w:val="single"/>
          <w:lang w:eastAsia="bg-BG"/>
        </w:rPr>
      </w:pPr>
    </w:p>
    <w:p w14:paraId="48BAA42D"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lastRenderedPageBreak/>
        <w:t>Нарушения на кожата и подкожната тъкан</w:t>
      </w:r>
      <w:r w:rsidRPr="005929BB">
        <w:rPr>
          <w:rFonts w:eastAsia="Times New Roman" w:cs="Arial"/>
          <w:color w:val="000000"/>
          <w:lang w:eastAsia="bg-BG"/>
        </w:rPr>
        <w:t xml:space="preserve">: </w:t>
      </w:r>
    </w:p>
    <w:p w14:paraId="148C84FD" w14:textId="1CA3888F"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чести</w:t>
      </w:r>
      <w:r w:rsidRPr="005929BB">
        <w:rPr>
          <w:rFonts w:eastAsia="Times New Roman" w:cs="Arial"/>
          <w:color w:val="000000"/>
          <w:lang w:eastAsia="bg-BG"/>
        </w:rPr>
        <w:t xml:space="preserve"> - обрив; </w:t>
      </w:r>
      <w:r w:rsidRPr="005929BB">
        <w:rPr>
          <w:rFonts w:eastAsia="Times New Roman" w:cs="Arial"/>
          <w:i/>
          <w:iCs/>
          <w:color w:val="000000"/>
          <w:lang w:eastAsia="bg-BG"/>
        </w:rPr>
        <w:t>нечести -</w:t>
      </w:r>
      <w:r w:rsidRPr="005929BB">
        <w:rPr>
          <w:rFonts w:eastAsia="Times New Roman" w:cs="Arial"/>
          <w:color w:val="000000"/>
          <w:lang w:eastAsia="bg-BG"/>
        </w:rPr>
        <w:t xml:space="preserve"> диафореза, сърбеж, уртикария, алопеция; </w:t>
      </w:r>
      <w:r w:rsidRPr="005929BB">
        <w:rPr>
          <w:rFonts w:eastAsia="Times New Roman" w:cs="Arial"/>
          <w:i/>
          <w:iCs/>
          <w:color w:val="000000"/>
          <w:lang w:eastAsia="bg-BG"/>
        </w:rPr>
        <w:t>редки -</w:t>
      </w:r>
      <w:r w:rsidRPr="005929BB">
        <w:rPr>
          <w:rFonts w:eastAsia="Times New Roman" w:cs="Arial"/>
          <w:color w:val="000000"/>
          <w:lang w:eastAsia="bg-BG"/>
        </w:rPr>
        <w:t xml:space="preserve"> еритема мултиформе (вкл. синдром на </w:t>
      </w:r>
      <w:r w:rsidRPr="005929BB">
        <w:rPr>
          <w:rFonts w:eastAsia="Times New Roman" w:cs="Arial"/>
          <w:i/>
          <w:iCs/>
          <w:color w:val="000000"/>
          <w:lang w:val="en-US"/>
        </w:rPr>
        <w:t>Stevens-Johnson),</w:t>
      </w:r>
      <w:r w:rsidRPr="005929BB">
        <w:rPr>
          <w:rFonts w:eastAsia="Times New Roman" w:cs="Arial"/>
          <w:color w:val="000000"/>
          <w:lang w:val="en-US"/>
        </w:rPr>
        <w:t xml:space="preserve"> </w:t>
      </w:r>
      <w:r w:rsidRPr="005929BB">
        <w:rPr>
          <w:rFonts w:eastAsia="Times New Roman" w:cs="Arial"/>
          <w:color w:val="000000"/>
          <w:lang w:eastAsia="bg-BG"/>
        </w:rPr>
        <w:t>ексфолиативен дерматит, токсична епидермална некролиза, пурпура, кожен лупус, булозен пемфигус, еритродерма.</w:t>
      </w:r>
    </w:p>
    <w:p w14:paraId="1B6C7E98" w14:textId="77777777" w:rsidR="005929BB" w:rsidRPr="005929BB" w:rsidRDefault="005929BB" w:rsidP="005929BB">
      <w:pPr>
        <w:spacing w:line="240" w:lineRule="auto"/>
        <w:rPr>
          <w:rFonts w:eastAsia="Times New Roman" w:cs="Arial"/>
          <w:color w:val="000000"/>
          <w:u w:val="single"/>
          <w:lang w:eastAsia="bg-BG"/>
        </w:rPr>
      </w:pPr>
    </w:p>
    <w:p w14:paraId="6A01ACEB"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мускулно-скелетната система и съединителната тъкан</w:t>
      </w:r>
      <w:r w:rsidRPr="005929BB">
        <w:rPr>
          <w:rFonts w:eastAsia="Times New Roman" w:cs="Arial"/>
          <w:color w:val="000000"/>
          <w:lang w:eastAsia="bg-BG"/>
        </w:rPr>
        <w:t xml:space="preserve">: </w:t>
      </w:r>
    </w:p>
    <w:p w14:paraId="6191D959" w14:textId="7FB5516D" w:rsidR="005929BB" w:rsidRPr="005929BB" w:rsidRDefault="005929BB" w:rsidP="005929BB">
      <w:pPr>
        <w:spacing w:line="240" w:lineRule="auto"/>
        <w:rPr>
          <w:rFonts w:eastAsia="Times New Roman" w:cs="Arial"/>
          <w:color w:val="000000"/>
          <w:lang w:eastAsia="bg-BG"/>
        </w:rPr>
      </w:pPr>
      <w:r w:rsidRPr="005929BB">
        <w:rPr>
          <w:rFonts w:eastAsia="Times New Roman" w:cs="Arial"/>
          <w:i/>
          <w:iCs/>
          <w:color w:val="000000"/>
          <w:lang w:eastAsia="bg-BG"/>
        </w:rPr>
        <w:t>нечести -</w:t>
      </w:r>
      <w:r w:rsidRPr="005929BB">
        <w:rPr>
          <w:rFonts w:eastAsia="Times New Roman" w:cs="Arial"/>
          <w:color w:val="000000"/>
          <w:lang w:eastAsia="bg-BG"/>
        </w:rPr>
        <w:t xml:space="preserve"> мускулни крампи. </w:t>
      </w:r>
    </w:p>
    <w:p w14:paraId="4E825109" w14:textId="77777777" w:rsidR="005929BB" w:rsidRPr="005929BB" w:rsidRDefault="005929BB" w:rsidP="005929BB">
      <w:pPr>
        <w:spacing w:line="240" w:lineRule="auto"/>
        <w:rPr>
          <w:rFonts w:eastAsia="Times New Roman" w:cs="Arial"/>
          <w:color w:val="000000"/>
          <w:u w:val="single"/>
          <w:lang w:eastAsia="bg-BG"/>
        </w:rPr>
      </w:pPr>
    </w:p>
    <w:p w14:paraId="6BDFB1CF"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ендокринната система:</w:t>
      </w:r>
      <w:r w:rsidRPr="005929BB">
        <w:rPr>
          <w:rFonts w:eastAsia="Times New Roman" w:cs="Arial"/>
          <w:color w:val="000000"/>
          <w:lang w:eastAsia="bg-BG"/>
        </w:rPr>
        <w:t xml:space="preserve"> </w:t>
      </w:r>
    </w:p>
    <w:p w14:paraId="6DD6ACA8" w14:textId="1ACDFFEC"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с неизвестна честота -</w:t>
      </w:r>
      <w:r w:rsidRPr="005929BB">
        <w:rPr>
          <w:rFonts w:eastAsia="Times New Roman" w:cs="Arial"/>
          <w:color w:val="000000"/>
          <w:lang w:eastAsia="bg-BG"/>
        </w:rPr>
        <w:t xml:space="preserve"> синдром на нарушена секреция на антидиуретичен хормон.</w:t>
      </w:r>
    </w:p>
    <w:p w14:paraId="07F62912" w14:textId="77777777" w:rsidR="005929BB" w:rsidRPr="005929BB" w:rsidRDefault="005929BB" w:rsidP="005929BB">
      <w:pPr>
        <w:spacing w:line="240" w:lineRule="auto"/>
        <w:rPr>
          <w:rFonts w:eastAsia="Times New Roman" w:cs="Arial"/>
          <w:color w:val="000000"/>
          <w:u w:val="single"/>
          <w:lang w:eastAsia="bg-BG"/>
        </w:rPr>
      </w:pPr>
    </w:p>
    <w:p w14:paraId="08EA2D06"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метаболизма и храненето:</w:t>
      </w:r>
      <w:r w:rsidRPr="005929BB">
        <w:rPr>
          <w:rFonts w:eastAsia="Times New Roman" w:cs="Arial"/>
          <w:color w:val="000000"/>
          <w:lang w:eastAsia="bg-BG"/>
        </w:rPr>
        <w:t xml:space="preserve"> </w:t>
      </w:r>
    </w:p>
    <w:p w14:paraId="5FAAA58F" w14:textId="03E87C03"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нечести -</w:t>
      </w:r>
      <w:r w:rsidRPr="005929BB">
        <w:rPr>
          <w:rFonts w:eastAsia="Times New Roman" w:cs="Arial"/>
          <w:color w:val="000000"/>
          <w:lang w:eastAsia="bg-BG"/>
        </w:rPr>
        <w:t xml:space="preserve"> хипогликемия.</w:t>
      </w:r>
    </w:p>
    <w:p w14:paraId="54C49A04" w14:textId="77777777" w:rsidR="005929BB" w:rsidRPr="005929BB" w:rsidRDefault="005929BB" w:rsidP="005929BB">
      <w:pPr>
        <w:spacing w:line="240" w:lineRule="auto"/>
        <w:rPr>
          <w:rFonts w:eastAsia="Times New Roman" w:cs="Arial"/>
          <w:color w:val="000000"/>
          <w:u w:val="single"/>
          <w:lang w:eastAsia="bg-BG"/>
        </w:rPr>
      </w:pPr>
    </w:p>
    <w:p w14:paraId="3CB842D3"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Съдови нарушения</w:t>
      </w:r>
      <w:r w:rsidRPr="005929BB">
        <w:rPr>
          <w:rFonts w:eastAsia="Times New Roman" w:cs="Arial"/>
          <w:color w:val="000000"/>
          <w:lang w:eastAsia="bg-BG"/>
        </w:rPr>
        <w:t xml:space="preserve">: </w:t>
      </w:r>
    </w:p>
    <w:p w14:paraId="309E5AF5" w14:textId="16D3217C"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много чести</w:t>
      </w:r>
      <w:r w:rsidRPr="005929BB">
        <w:rPr>
          <w:rFonts w:eastAsia="Times New Roman" w:cs="Arial"/>
          <w:color w:val="000000"/>
          <w:lang w:eastAsia="bg-BG"/>
        </w:rPr>
        <w:t xml:space="preserve"> - замайване; </w:t>
      </w:r>
      <w:r w:rsidRPr="005929BB">
        <w:rPr>
          <w:rFonts w:eastAsia="Times New Roman" w:cs="Arial"/>
          <w:i/>
          <w:iCs/>
          <w:color w:val="000000"/>
          <w:lang w:eastAsia="bg-BG"/>
        </w:rPr>
        <w:t>чести -</w:t>
      </w:r>
      <w:r w:rsidRPr="005929BB">
        <w:rPr>
          <w:rFonts w:eastAsia="Times New Roman" w:cs="Arial"/>
          <w:color w:val="000000"/>
          <w:lang w:eastAsia="bg-BG"/>
        </w:rPr>
        <w:t xml:space="preserve"> хипотония, ортостатична хипотония, синкоп; </w:t>
      </w:r>
      <w:r w:rsidRPr="005929BB">
        <w:rPr>
          <w:rFonts w:eastAsia="Times New Roman" w:cs="Arial"/>
          <w:i/>
          <w:iCs/>
          <w:color w:val="000000"/>
          <w:lang w:eastAsia="bg-BG"/>
        </w:rPr>
        <w:t>редки -</w:t>
      </w:r>
      <w:r w:rsidRPr="005929BB">
        <w:rPr>
          <w:rFonts w:eastAsia="Times New Roman" w:cs="Arial"/>
          <w:color w:val="000000"/>
          <w:lang w:eastAsia="bg-BG"/>
        </w:rPr>
        <w:t xml:space="preserve"> синдром на </w:t>
      </w:r>
      <w:r w:rsidRPr="005929BB">
        <w:rPr>
          <w:rFonts w:eastAsia="Times New Roman" w:cs="Arial"/>
          <w:color w:val="000000"/>
          <w:lang w:val="en-US"/>
        </w:rPr>
        <w:t>Raynaud.</w:t>
      </w:r>
    </w:p>
    <w:p w14:paraId="071ECB4D" w14:textId="77777777" w:rsidR="005929BB" w:rsidRPr="005929BB" w:rsidRDefault="005929BB" w:rsidP="005929BB">
      <w:pPr>
        <w:spacing w:line="240" w:lineRule="auto"/>
        <w:rPr>
          <w:rFonts w:eastAsia="Times New Roman" w:cs="Arial"/>
          <w:color w:val="000000"/>
          <w:u w:val="single"/>
          <w:lang w:eastAsia="bg-BG"/>
        </w:rPr>
      </w:pPr>
    </w:p>
    <w:p w14:paraId="4AB4D819"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Общи нарушения:</w:t>
      </w:r>
      <w:r w:rsidRPr="005929BB">
        <w:rPr>
          <w:rFonts w:eastAsia="Times New Roman" w:cs="Arial"/>
          <w:color w:val="000000"/>
          <w:lang w:eastAsia="bg-BG"/>
        </w:rPr>
        <w:t xml:space="preserve"> </w:t>
      </w:r>
    </w:p>
    <w:p w14:paraId="46143415" w14:textId="5457E339"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много чести</w:t>
      </w:r>
      <w:r w:rsidRPr="005929BB">
        <w:rPr>
          <w:rFonts w:eastAsia="Times New Roman" w:cs="Arial"/>
          <w:color w:val="000000"/>
          <w:lang w:eastAsia="bg-BG"/>
        </w:rPr>
        <w:t xml:space="preserve"> - астения; </w:t>
      </w:r>
      <w:r w:rsidRPr="005929BB">
        <w:rPr>
          <w:rFonts w:eastAsia="Times New Roman" w:cs="Arial"/>
          <w:i/>
          <w:iCs/>
          <w:color w:val="000000"/>
          <w:lang w:eastAsia="bg-BG"/>
        </w:rPr>
        <w:t>чести-</w:t>
      </w:r>
      <w:r w:rsidRPr="005929BB">
        <w:rPr>
          <w:rFonts w:eastAsia="Times New Roman" w:cs="Arial"/>
          <w:color w:val="000000"/>
          <w:lang w:eastAsia="bg-BG"/>
        </w:rPr>
        <w:t xml:space="preserve">умора; </w:t>
      </w:r>
      <w:r w:rsidRPr="005929BB">
        <w:rPr>
          <w:rFonts w:eastAsia="Times New Roman" w:cs="Arial"/>
          <w:i/>
          <w:iCs/>
          <w:color w:val="000000"/>
          <w:lang w:eastAsia="bg-BG"/>
        </w:rPr>
        <w:t>нечести —</w:t>
      </w:r>
      <w:r w:rsidRPr="005929BB">
        <w:rPr>
          <w:rFonts w:eastAsia="Times New Roman" w:cs="Arial"/>
          <w:color w:val="000000"/>
          <w:lang w:eastAsia="bg-BG"/>
        </w:rPr>
        <w:t xml:space="preserve"> зачервяване на лицето, шум в ушите, общо неразположение, повишение на телесната температура, миалгия.</w:t>
      </w:r>
    </w:p>
    <w:p w14:paraId="56903C38" w14:textId="77777777" w:rsidR="005929BB" w:rsidRPr="005929BB" w:rsidRDefault="005929BB" w:rsidP="005929BB">
      <w:pPr>
        <w:spacing w:line="240" w:lineRule="auto"/>
        <w:rPr>
          <w:rFonts w:eastAsia="Times New Roman" w:cs="Arial"/>
          <w:color w:val="000000"/>
          <w:u w:val="single"/>
          <w:lang w:eastAsia="bg-BG"/>
        </w:rPr>
      </w:pPr>
    </w:p>
    <w:p w14:paraId="485DDF9A"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имунната система:</w:t>
      </w:r>
      <w:r w:rsidRPr="005929BB">
        <w:rPr>
          <w:rFonts w:eastAsia="Times New Roman" w:cs="Arial"/>
          <w:color w:val="000000"/>
          <w:lang w:eastAsia="bg-BG"/>
        </w:rPr>
        <w:t xml:space="preserve"> </w:t>
      </w:r>
    </w:p>
    <w:p w14:paraId="101EE39F" w14:textId="361B1769"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чести-</w:t>
      </w:r>
      <w:r w:rsidRPr="005929BB">
        <w:rPr>
          <w:rFonts w:eastAsia="Times New Roman" w:cs="Arial"/>
          <w:color w:val="000000"/>
          <w:lang w:eastAsia="bg-BG"/>
        </w:rPr>
        <w:t xml:space="preserve"> алергични обриви, реакции на повишена свръхчувствителност/ангионевротичен оток: докладвани са ангиоедем на лицето, крайниците, устните, езика, глотиса и/или ларинкса.</w:t>
      </w:r>
    </w:p>
    <w:p w14:paraId="54A0CFAC" w14:textId="77777777" w:rsidR="005929BB" w:rsidRPr="005929BB" w:rsidRDefault="005929BB" w:rsidP="005929BB">
      <w:pPr>
        <w:spacing w:line="240" w:lineRule="auto"/>
        <w:rPr>
          <w:rFonts w:eastAsia="Times New Roman" w:cs="Arial"/>
          <w:color w:val="000000"/>
          <w:u w:val="single"/>
          <w:lang w:eastAsia="bg-BG"/>
        </w:rPr>
      </w:pPr>
    </w:p>
    <w:p w14:paraId="779F5209" w14:textId="77777777" w:rsidR="005929BB" w:rsidRPr="005929BB" w:rsidRDefault="005929BB" w:rsidP="005929BB">
      <w:pPr>
        <w:spacing w:line="240" w:lineRule="auto"/>
        <w:rPr>
          <w:rFonts w:eastAsia="Times New Roman" w:cs="Arial"/>
          <w:color w:val="000000"/>
          <w:u w:val="single"/>
          <w:lang w:eastAsia="bg-BG"/>
        </w:rPr>
      </w:pPr>
      <w:r w:rsidRPr="005929BB">
        <w:rPr>
          <w:rFonts w:eastAsia="Times New Roman" w:cs="Arial"/>
          <w:color w:val="000000"/>
          <w:u w:val="single"/>
          <w:lang w:eastAsia="bg-BG"/>
        </w:rPr>
        <w:t xml:space="preserve">Хепато-билиарни нарушения: </w:t>
      </w:r>
    </w:p>
    <w:p w14:paraId="4F55F011" w14:textId="133F1F45" w:rsidR="005929BB" w:rsidRPr="005929BB" w:rsidRDefault="005929BB" w:rsidP="005929BB">
      <w:pPr>
        <w:spacing w:line="240" w:lineRule="auto"/>
        <w:rPr>
          <w:rFonts w:eastAsia="Times New Roman" w:cs="Arial"/>
          <w:color w:val="000000"/>
          <w:lang w:eastAsia="bg-BG"/>
        </w:rPr>
      </w:pPr>
      <w:r w:rsidRPr="005929BB">
        <w:rPr>
          <w:rFonts w:eastAsia="Times New Roman" w:cs="Arial"/>
          <w:i/>
          <w:iCs/>
          <w:color w:val="000000"/>
          <w:u w:val="single"/>
          <w:lang w:eastAsia="bg-BG"/>
        </w:rPr>
        <w:t>р</w:t>
      </w:r>
      <w:r w:rsidRPr="005929BB">
        <w:rPr>
          <w:rFonts w:eastAsia="Times New Roman" w:cs="Arial"/>
          <w:i/>
          <w:iCs/>
          <w:color w:val="000000"/>
          <w:lang w:eastAsia="bg-BG"/>
        </w:rPr>
        <w:t>едки -</w:t>
      </w:r>
      <w:r w:rsidRPr="005929BB">
        <w:rPr>
          <w:rFonts w:eastAsia="Times New Roman" w:cs="Arial"/>
          <w:color w:val="000000"/>
          <w:lang w:eastAsia="bg-BG"/>
        </w:rPr>
        <w:t xml:space="preserve"> чернодробна недостатъчност, жълтеница, хепатит. </w:t>
      </w:r>
    </w:p>
    <w:p w14:paraId="0578A8DF" w14:textId="77777777" w:rsidR="005929BB" w:rsidRPr="005929BB" w:rsidRDefault="005929BB" w:rsidP="005929BB">
      <w:pPr>
        <w:spacing w:line="240" w:lineRule="auto"/>
        <w:rPr>
          <w:rFonts w:eastAsia="Times New Roman" w:cs="Arial"/>
          <w:color w:val="000000"/>
          <w:u w:val="single"/>
          <w:lang w:eastAsia="bg-BG"/>
        </w:rPr>
      </w:pPr>
    </w:p>
    <w:p w14:paraId="6EF39F9C"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възпроизводителната система и гърдата:</w:t>
      </w:r>
      <w:r w:rsidRPr="005929BB">
        <w:rPr>
          <w:rFonts w:eastAsia="Times New Roman" w:cs="Arial"/>
          <w:color w:val="000000"/>
          <w:lang w:eastAsia="bg-BG"/>
        </w:rPr>
        <w:t xml:space="preserve"> </w:t>
      </w:r>
    </w:p>
    <w:p w14:paraId="0C0F0403" w14:textId="2B802AB8"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нечести -</w:t>
      </w:r>
      <w:r w:rsidRPr="005929BB">
        <w:rPr>
          <w:rFonts w:eastAsia="Times New Roman" w:cs="Arial"/>
          <w:color w:val="000000"/>
          <w:lang w:eastAsia="bg-BG"/>
        </w:rPr>
        <w:t xml:space="preserve"> импотентност; </w:t>
      </w:r>
      <w:r w:rsidRPr="005929BB">
        <w:rPr>
          <w:rFonts w:eastAsia="Times New Roman" w:cs="Arial"/>
          <w:i/>
          <w:iCs/>
          <w:color w:val="000000"/>
          <w:lang w:eastAsia="bg-BG"/>
        </w:rPr>
        <w:t xml:space="preserve">редки - </w:t>
      </w:r>
      <w:r w:rsidRPr="005929BB">
        <w:rPr>
          <w:rFonts w:eastAsia="Times New Roman" w:cs="Arial"/>
          <w:color w:val="000000"/>
          <w:lang w:eastAsia="bg-BG"/>
        </w:rPr>
        <w:t>гинекомастия.</w:t>
      </w:r>
    </w:p>
    <w:p w14:paraId="09CAEA16" w14:textId="77777777" w:rsidR="005929BB" w:rsidRPr="005929BB" w:rsidRDefault="005929BB" w:rsidP="005929BB">
      <w:pPr>
        <w:spacing w:line="240" w:lineRule="auto"/>
        <w:rPr>
          <w:rFonts w:eastAsia="Times New Roman" w:cs="Arial"/>
          <w:color w:val="000000"/>
          <w:u w:val="single"/>
          <w:lang w:eastAsia="bg-BG"/>
        </w:rPr>
      </w:pPr>
    </w:p>
    <w:p w14:paraId="05911FDE"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Психични нарушения:</w:t>
      </w:r>
      <w:r w:rsidRPr="005929BB">
        <w:rPr>
          <w:rFonts w:eastAsia="Times New Roman" w:cs="Arial"/>
          <w:color w:val="000000"/>
          <w:lang w:eastAsia="bg-BG"/>
        </w:rPr>
        <w:t xml:space="preserve"> </w:t>
      </w:r>
    </w:p>
    <w:p w14:paraId="371991E0" w14:textId="024AAB0F"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чести -</w:t>
      </w:r>
      <w:r w:rsidRPr="005929BB">
        <w:rPr>
          <w:rFonts w:eastAsia="Times New Roman" w:cs="Arial"/>
          <w:color w:val="000000"/>
          <w:lang w:eastAsia="bg-BG"/>
        </w:rPr>
        <w:t xml:space="preserve"> депресия; </w:t>
      </w:r>
      <w:r w:rsidRPr="005929BB">
        <w:rPr>
          <w:rFonts w:eastAsia="Times New Roman" w:cs="Arial"/>
          <w:i/>
          <w:iCs/>
          <w:color w:val="000000"/>
          <w:lang w:eastAsia="bg-BG"/>
        </w:rPr>
        <w:t>нечести</w:t>
      </w:r>
      <w:r w:rsidRPr="005929BB">
        <w:rPr>
          <w:rFonts w:eastAsia="Times New Roman" w:cs="Arial"/>
          <w:color w:val="000000"/>
          <w:lang w:eastAsia="bg-BG"/>
        </w:rPr>
        <w:t xml:space="preserve"> - объркване, сънливост, безсъние; </w:t>
      </w:r>
      <w:r w:rsidRPr="005929BB">
        <w:rPr>
          <w:rFonts w:eastAsia="Times New Roman" w:cs="Arial"/>
          <w:i/>
          <w:iCs/>
          <w:color w:val="000000"/>
          <w:lang w:eastAsia="bg-BG"/>
        </w:rPr>
        <w:t xml:space="preserve">редки - </w:t>
      </w:r>
      <w:r w:rsidRPr="005929BB">
        <w:rPr>
          <w:rFonts w:eastAsia="Times New Roman" w:cs="Arial"/>
          <w:color w:val="000000"/>
          <w:lang w:eastAsia="bg-BG"/>
        </w:rPr>
        <w:t>нарушение на съня, необичайни сънища.</w:t>
      </w:r>
    </w:p>
    <w:p w14:paraId="67715805" w14:textId="77777777" w:rsidR="005929BB" w:rsidRPr="005929BB" w:rsidRDefault="005929BB" w:rsidP="005929BB">
      <w:pPr>
        <w:spacing w:line="240" w:lineRule="auto"/>
        <w:rPr>
          <w:rFonts w:eastAsia="Times New Roman" w:cs="Arial"/>
          <w:color w:val="000000"/>
          <w:u w:val="single"/>
          <w:lang w:eastAsia="bg-BG"/>
        </w:rPr>
      </w:pPr>
    </w:p>
    <w:p w14:paraId="6AFE0D59" w14:textId="488312B4" w:rsidR="005929BB" w:rsidRPr="005929BB" w:rsidRDefault="005929BB" w:rsidP="005929BB">
      <w:pPr>
        <w:spacing w:line="240" w:lineRule="auto"/>
        <w:rPr>
          <w:rFonts w:eastAsia="Times New Roman" w:cs="Arial"/>
          <w:lang w:eastAsia="bg-BG"/>
        </w:rPr>
      </w:pPr>
      <w:r w:rsidRPr="005929BB">
        <w:rPr>
          <w:rFonts w:eastAsia="Times New Roman" w:cs="Arial"/>
          <w:color w:val="000000"/>
          <w:u w:val="single"/>
          <w:lang w:eastAsia="bg-BG"/>
        </w:rPr>
        <w:t>Съобщаване на подозирани нежелани реакции</w:t>
      </w:r>
    </w:p>
    <w:p w14:paraId="2F52FA68" w14:textId="77777777" w:rsidR="005929BB" w:rsidRPr="005929BB" w:rsidRDefault="005929BB" w:rsidP="005929BB">
      <w:pPr>
        <w:spacing w:line="240" w:lineRule="auto"/>
        <w:rPr>
          <w:rFonts w:eastAsia="Times New Roman" w:cs="Arial"/>
          <w:lang w:eastAsia="bg-BG"/>
        </w:rPr>
      </w:pPr>
      <w:r w:rsidRPr="005929BB">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 2 8903417; уебсайт: </w:t>
      </w:r>
      <w:hyperlink r:id="rId5" w:history="1">
        <w:r w:rsidRPr="005929BB">
          <w:rPr>
            <w:rFonts w:eastAsia="Times New Roman" w:cs="Arial"/>
            <w:color w:val="000000"/>
            <w:u w:val="single"/>
            <w:lang w:val="en-US"/>
          </w:rPr>
          <w:t>www.bda.bg</w:t>
        </w:r>
      </w:hyperlink>
      <w:r w:rsidRPr="005929BB">
        <w:rPr>
          <w:rFonts w:eastAsia="Times New Roman" w:cs="Arial"/>
          <w:color w:val="000000"/>
          <w:u w:val="single"/>
          <w:lang w:val="en-US"/>
        </w:rPr>
        <w:t>.</w:t>
      </w:r>
    </w:p>
    <w:p w14:paraId="269681A9" w14:textId="77777777" w:rsidR="005929BB" w:rsidRPr="005929BB" w:rsidRDefault="005929BB" w:rsidP="005929BB"/>
    <w:p w14:paraId="4A5904B1" w14:textId="74D7615C" w:rsidR="00EE6C97" w:rsidRDefault="002C50EE" w:rsidP="00A93499">
      <w:pPr>
        <w:pStyle w:val="Heading2"/>
      </w:pPr>
      <w:r>
        <w:t>4.9. Предозиране</w:t>
      </w:r>
    </w:p>
    <w:p w14:paraId="05BEFFF6" w14:textId="0B6E2576" w:rsidR="005929BB" w:rsidRDefault="005929BB" w:rsidP="005929BB"/>
    <w:p w14:paraId="2985BC43" w14:textId="77777777" w:rsidR="005929BB" w:rsidRPr="005929BB" w:rsidRDefault="005929BB" w:rsidP="005929BB">
      <w:pPr>
        <w:pStyle w:val="Heading3"/>
        <w:rPr>
          <w:rFonts w:eastAsia="Times New Roman"/>
          <w:u w:val="single"/>
          <w:lang w:eastAsia="bg-BG"/>
        </w:rPr>
      </w:pPr>
      <w:r w:rsidRPr="005929BB">
        <w:rPr>
          <w:rFonts w:eastAsia="Times New Roman"/>
          <w:u w:val="single"/>
          <w:lang w:eastAsia="bg-BG"/>
        </w:rPr>
        <w:t>Симптоми</w:t>
      </w:r>
    </w:p>
    <w:p w14:paraId="6EEBEBDB"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lang w:eastAsia="bg-BG"/>
        </w:rPr>
        <w:t xml:space="preserve">Изразена хипотония, брадикардия, циркулаторни нарушения до шок, електролитни нарушения. </w:t>
      </w:r>
    </w:p>
    <w:p w14:paraId="60A0B9CF" w14:textId="77777777" w:rsidR="005929BB" w:rsidRPr="005929BB" w:rsidRDefault="005929BB" w:rsidP="005929BB">
      <w:pPr>
        <w:spacing w:line="240" w:lineRule="auto"/>
        <w:rPr>
          <w:rFonts w:eastAsia="Times New Roman" w:cs="Arial"/>
          <w:color w:val="000000"/>
          <w:lang w:eastAsia="bg-BG"/>
        </w:rPr>
      </w:pPr>
    </w:p>
    <w:p w14:paraId="0A941176" w14:textId="6BC43135" w:rsidR="005929BB" w:rsidRPr="005929BB" w:rsidRDefault="005929BB" w:rsidP="005929BB">
      <w:pPr>
        <w:pStyle w:val="Heading3"/>
        <w:rPr>
          <w:rFonts w:eastAsia="Times New Roman"/>
          <w:u w:val="single"/>
          <w:lang w:eastAsia="bg-BG"/>
        </w:rPr>
      </w:pPr>
      <w:r w:rsidRPr="005929BB">
        <w:rPr>
          <w:rFonts w:eastAsia="Times New Roman"/>
          <w:u w:val="single"/>
          <w:lang w:eastAsia="bg-BG"/>
        </w:rPr>
        <w:t>Лечение</w:t>
      </w:r>
    </w:p>
    <w:p w14:paraId="6D6E9B67"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Лечението е симптоматично. Предприемат се мерки за бързо отстраняване на нерезорбираното лекарство от организма. В случаи на изразена хипотония се възстановява обемът на течностите чрез вливане на солеви разтвори.</w:t>
      </w:r>
    </w:p>
    <w:p w14:paraId="1FC95713" w14:textId="77777777" w:rsidR="005929BB" w:rsidRDefault="005929BB" w:rsidP="005929BB">
      <w:pPr>
        <w:spacing w:line="240" w:lineRule="auto"/>
        <w:rPr>
          <w:rFonts w:eastAsia="Times New Roman" w:cs="Arial"/>
          <w:color w:val="000000"/>
          <w:lang w:eastAsia="bg-BG"/>
        </w:rPr>
      </w:pPr>
    </w:p>
    <w:p w14:paraId="474CBFD2" w14:textId="77695AB2"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Еналаприлов малеат и еналаприлат могат да бъдат отстранени от общата циркулация с диализа.</w:t>
      </w:r>
    </w:p>
    <w:p w14:paraId="1B9FCFF9" w14:textId="77777777" w:rsidR="005929BB" w:rsidRPr="005929BB" w:rsidRDefault="005929BB" w:rsidP="005929BB"/>
    <w:p w14:paraId="02081B24" w14:textId="36FE76F4" w:rsidR="00395555" w:rsidRPr="00395555" w:rsidRDefault="002C50EE" w:rsidP="008A6AF2">
      <w:pPr>
        <w:pStyle w:val="Heading1"/>
      </w:pPr>
      <w:r>
        <w:t>5. ФАРМАКОЛОГИЧНИ СВОЙСТВА</w:t>
      </w:r>
    </w:p>
    <w:p w14:paraId="3B9FA2B5" w14:textId="286C4283" w:rsidR="00EE6C97" w:rsidRDefault="002C50EE" w:rsidP="00A93499">
      <w:pPr>
        <w:pStyle w:val="Heading2"/>
      </w:pPr>
      <w:r>
        <w:t>5.1. Фармакодинамични свойства</w:t>
      </w:r>
    </w:p>
    <w:p w14:paraId="5C405715" w14:textId="2B59A303" w:rsidR="005929BB" w:rsidRDefault="005929BB" w:rsidP="005929BB"/>
    <w:p w14:paraId="2F56B97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Фармакотерапевтична група: АСЕ-инхибитори, самостоятелно, АТС код: С09АА02</w:t>
      </w:r>
    </w:p>
    <w:p w14:paraId="6B0F1419" w14:textId="77777777" w:rsidR="005929BB" w:rsidRPr="005929BB" w:rsidRDefault="005929BB" w:rsidP="005929BB">
      <w:pPr>
        <w:spacing w:line="240" w:lineRule="auto"/>
        <w:rPr>
          <w:rFonts w:eastAsia="Times New Roman" w:cs="Arial"/>
          <w:color w:val="000000"/>
          <w:lang w:eastAsia="bg-BG"/>
        </w:rPr>
      </w:pPr>
    </w:p>
    <w:p w14:paraId="2D16BD37" w14:textId="10D589AB"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Еналаприлов малеат се хидролизира в черния дроб до еналаприлат, който е високоспецифичен, дългодействащ компетитивен инхибитор на ангиотензин-конвертиращия ензим (АСЕ). Потиска превръщането на неактивния ангиотензин I в ангиотензин II, който е мощен ендогенен вазоконстриктор и стимулатор на биосинтеза на алдостерон. Установено е, че повлиява и каликреин- кинин-простагландиновата система.</w:t>
      </w:r>
    </w:p>
    <w:p w14:paraId="5C65A16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Еналаприлов малеат потиска ренин-ангиотензиновата система, като по този начин понижава периферното съдово съпротивление, в резултат на което се понижава артериалното налягане и се подобрява перфузията на сърцето, мозъка, бъбреците. При по-продължително лечение се потиска и тьканната ренин-ангиотензинова система, което от своя страна обезпечава кардио-и</w:t>
      </w:r>
    </w:p>
    <w:p w14:paraId="72C2180E" w14:textId="77777777" w:rsidR="005929BB" w:rsidRPr="005929BB" w:rsidRDefault="005929BB" w:rsidP="005929BB">
      <w:pPr>
        <w:rPr>
          <w:rFonts w:eastAsia="Times New Roman" w:cs="Arial"/>
          <w:sz w:val="24"/>
          <w:szCs w:val="24"/>
          <w:lang w:eastAsia="bg-BG"/>
        </w:rPr>
      </w:pPr>
      <w:r w:rsidRPr="005929BB">
        <w:rPr>
          <w:rFonts w:eastAsia="Times New Roman" w:cs="Arial"/>
          <w:color w:val="000000"/>
          <w:lang w:eastAsia="bg-BG"/>
        </w:rPr>
        <w:t>вазопротективния му ефект. Хемодинамичното му действие при застойна сърдечна недостатъчност се изразява в понижаване на артериалното налягане, периферното съдово съпротивление, налягането в</w:t>
      </w:r>
      <w:r w:rsidRPr="005929BB">
        <w:rPr>
          <w:rFonts w:eastAsia="Times New Roman" w:cs="Arial"/>
          <w:color w:val="000000"/>
          <w:lang w:eastAsia="bg-BG"/>
        </w:rPr>
        <w:t xml:space="preserve"> </w:t>
      </w:r>
      <w:r w:rsidRPr="005929BB">
        <w:rPr>
          <w:rFonts w:eastAsia="Times New Roman" w:cs="Arial"/>
          <w:color w:val="000000"/>
          <w:lang w:eastAsia="bg-BG"/>
        </w:rPr>
        <w:t xml:space="preserve">лявото предсърдие и налягането и пълненето на лявата камера. Увеличава се изтласкващата фракция на лявата камера, подобрява се перфузията на паренхимните органи, засилва се бъбречният кръвоток. В клинично проучване върху 115 педиатрични пациенти с хипертония на възраст 6-16 години, деца с телесно тегло под 50 </w:t>
      </w:r>
      <w:r w:rsidRPr="005929BB">
        <w:rPr>
          <w:rFonts w:eastAsia="Times New Roman" w:cs="Arial"/>
          <w:color w:val="000000"/>
          <w:lang w:val="en-US"/>
        </w:rPr>
        <w:t xml:space="preserve">kg </w:t>
      </w:r>
      <w:r w:rsidRPr="005929BB">
        <w:rPr>
          <w:rFonts w:eastAsia="Times New Roman" w:cs="Arial"/>
          <w:color w:val="000000"/>
          <w:lang w:eastAsia="bg-BG"/>
        </w:rPr>
        <w:t xml:space="preserve">са приемали 0,625,2,5 или 20 </w:t>
      </w:r>
      <w:r w:rsidRPr="005929BB">
        <w:rPr>
          <w:rFonts w:eastAsia="Times New Roman" w:cs="Arial"/>
          <w:color w:val="000000"/>
          <w:lang w:val="en-US"/>
        </w:rPr>
        <w:t xml:space="preserve">mg </w:t>
      </w:r>
      <w:r w:rsidRPr="005929BB">
        <w:rPr>
          <w:rFonts w:eastAsia="Times New Roman" w:cs="Arial"/>
          <w:color w:val="000000"/>
          <w:lang w:eastAsia="bg-BG"/>
        </w:rPr>
        <w:t xml:space="preserve">еналаприл дневно, а деца с телесно тегло над 50 </w:t>
      </w:r>
      <w:r w:rsidRPr="005929BB">
        <w:rPr>
          <w:rFonts w:eastAsia="Times New Roman" w:cs="Arial"/>
          <w:color w:val="000000"/>
          <w:lang w:val="en-US"/>
        </w:rPr>
        <w:t xml:space="preserve">kg </w:t>
      </w:r>
      <w:r w:rsidRPr="005929BB">
        <w:rPr>
          <w:rFonts w:eastAsia="Times New Roman" w:cs="Arial"/>
          <w:color w:val="000000"/>
          <w:lang w:eastAsia="bg-BG"/>
        </w:rPr>
        <w:t xml:space="preserve">- 1,25, 5 или 40 </w:t>
      </w:r>
      <w:r w:rsidRPr="005929BB">
        <w:rPr>
          <w:rFonts w:eastAsia="Times New Roman" w:cs="Arial"/>
          <w:color w:val="000000"/>
          <w:lang w:val="en-US"/>
        </w:rPr>
        <w:t xml:space="preserve">mg </w:t>
      </w:r>
      <w:r w:rsidRPr="005929BB">
        <w:rPr>
          <w:rFonts w:eastAsia="Times New Roman" w:cs="Arial"/>
          <w:color w:val="000000"/>
          <w:lang w:eastAsia="bg-BG"/>
        </w:rPr>
        <w:t>еналаприл дневно. След две седмици е установено, че приемът на еналаприл веднъж дневно е довел до дозо-зависимо понижение на артериалното налягане. Дозо- зависимият ефект на еналаприл е наблюдаван при различни демографски, възрастови, расови под</w:t>
      </w:r>
      <w:r w:rsidRPr="005929BB">
        <w:rPr>
          <w:rFonts w:eastAsia="Times New Roman" w:cs="Arial"/>
          <w:color w:val="000000"/>
          <w:lang w:eastAsia="bg-BG"/>
        </w:rPr>
        <w:softHyphen/>
        <w:t xml:space="preserve">групи, както и при деца с различна степен на физическо развитие. Но най-ниските изследвани дози (0,625 и 1,25 </w:t>
      </w:r>
      <w:r w:rsidRPr="005929BB">
        <w:rPr>
          <w:rFonts w:eastAsia="Times New Roman" w:cs="Arial"/>
          <w:color w:val="000000"/>
          <w:lang w:val="en-US"/>
        </w:rPr>
        <w:t xml:space="preserve">mg), </w:t>
      </w:r>
      <w:r w:rsidRPr="005929BB">
        <w:rPr>
          <w:rFonts w:eastAsia="Times New Roman" w:cs="Arial"/>
          <w:color w:val="000000"/>
          <w:lang w:eastAsia="bg-BG"/>
        </w:rPr>
        <w:t xml:space="preserve">съответстващи приблизително на 0,02 </w:t>
      </w:r>
      <w:r w:rsidRPr="005929BB">
        <w:rPr>
          <w:rFonts w:eastAsia="Times New Roman" w:cs="Arial"/>
          <w:color w:val="000000"/>
          <w:lang w:val="en-US"/>
        </w:rPr>
        <w:t xml:space="preserve">mg/kg </w:t>
      </w:r>
      <w:r w:rsidRPr="005929BB">
        <w:rPr>
          <w:rFonts w:eastAsia="Times New Roman" w:cs="Arial"/>
          <w:color w:val="000000"/>
          <w:lang w:eastAsia="bg-BG"/>
        </w:rPr>
        <w:t xml:space="preserve">еднократно дневно, не са показали съществена антихипертензивна активност. Максималната проучвана доза е била 0,58 </w:t>
      </w:r>
      <w:r w:rsidRPr="005929BB">
        <w:rPr>
          <w:rFonts w:eastAsia="Times New Roman" w:cs="Arial"/>
          <w:color w:val="000000"/>
          <w:lang w:val="en-US"/>
        </w:rPr>
        <w:t xml:space="preserve">mg/kg </w:t>
      </w:r>
      <w:r w:rsidRPr="005929BB">
        <w:rPr>
          <w:rFonts w:eastAsia="Times New Roman" w:cs="Arial"/>
          <w:color w:val="000000"/>
          <w:lang w:eastAsia="bg-BG"/>
        </w:rPr>
        <w:t xml:space="preserve">(до 40 </w:t>
      </w:r>
      <w:r w:rsidRPr="005929BB">
        <w:rPr>
          <w:rFonts w:eastAsia="Times New Roman" w:cs="Arial"/>
          <w:color w:val="000000"/>
          <w:lang w:val="en-US"/>
        </w:rPr>
        <w:t xml:space="preserve">mg) </w:t>
      </w:r>
      <w:r w:rsidRPr="005929BB">
        <w:rPr>
          <w:rFonts w:eastAsia="Times New Roman" w:cs="Arial"/>
          <w:color w:val="000000"/>
          <w:lang w:eastAsia="bg-BG"/>
        </w:rPr>
        <w:t>еднократно дневно. Профилът на безопасност при деца не се различава от този при възрастни.</w:t>
      </w:r>
    </w:p>
    <w:p w14:paraId="21554485" w14:textId="77777777" w:rsidR="005929BB" w:rsidRPr="005929BB" w:rsidRDefault="005929BB" w:rsidP="005929BB">
      <w:pPr>
        <w:spacing w:line="240" w:lineRule="auto"/>
        <w:rPr>
          <w:rFonts w:eastAsia="Times New Roman" w:cs="Arial"/>
          <w:color w:val="000000"/>
          <w:lang w:eastAsia="bg-BG"/>
        </w:rPr>
      </w:pPr>
    </w:p>
    <w:p w14:paraId="1B21B844" w14:textId="4DBB310B"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Две големи рандомизирани контролирани проучвания - </w:t>
      </w:r>
      <w:r w:rsidRPr="005929BB">
        <w:rPr>
          <w:rFonts w:eastAsia="Times New Roman" w:cs="Arial"/>
          <w:color w:val="000000"/>
          <w:lang w:val="en-US"/>
        </w:rPr>
        <w:t>ONTARGET (</w:t>
      </w:r>
      <w:proofErr w:type="spellStart"/>
      <w:r w:rsidRPr="005929BB">
        <w:rPr>
          <w:rFonts w:eastAsia="Times New Roman" w:cs="Arial"/>
          <w:color w:val="000000"/>
          <w:lang w:val="en-US"/>
        </w:rPr>
        <w:t>ONgoing</w:t>
      </w:r>
      <w:proofErr w:type="spellEnd"/>
      <w:r w:rsidRPr="005929BB">
        <w:rPr>
          <w:rFonts w:eastAsia="Times New Roman" w:cs="Arial"/>
          <w:color w:val="000000"/>
          <w:lang w:val="en-US"/>
        </w:rPr>
        <w:t xml:space="preserve"> Telmisartan Alone and in combination with Ramipril Global Endpoint Trial - </w:t>
      </w:r>
      <w:r w:rsidRPr="005929BB">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5929BB">
        <w:rPr>
          <w:rFonts w:eastAsia="Times New Roman" w:cs="Arial"/>
          <w:color w:val="000000"/>
          <w:lang w:val="en-US"/>
        </w:rPr>
        <w:t xml:space="preserve">VA NEPHRON-D </w:t>
      </w:r>
      <w:r w:rsidRPr="005929BB">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5929BB">
        <w:rPr>
          <w:rFonts w:eastAsia="Times New Roman" w:cs="Arial"/>
          <w:color w:val="000000"/>
          <w:lang w:val="en-US"/>
        </w:rPr>
        <w:t>II</w:t>
      </w:r>
      <w:r w:rsidRPr="005929BB">
        <w:rPr>
          <w:rFonts w:eastAsia="Times New Roman" w:cs="Arial"/>
          <w:color w:val="000000"/>
          <w:lang w:eastAsia="bg-BG"/>
        </w:rPr>
        <w:t>-рецепторен блокер.</w:t>
      </w:r>
    </w:p>
    <w:p w14:paraId="2CA9F509" w14:textId="77777777" w:rsidR="005929BB" w:rsidRPr="005929BB" w:rsidRDefault="005929BB" w:rsidP="005929BB">
      <w:pPr>
        <w:spacing w:line="240" w:lineRule="auto"/>
        <w:rPr>
          <w:rFonts w:eastAsia="Times New Roman" w:cs="Arial"/>
          <w:color w:val="000000"/>
          <w:lang w:val="en-US"/>
        </w:rPr>
      </w:pPr>
    </w:p>
    <w:p w14:paraId="77A6C0D2" w14:textId="5F326DC5"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val="en-US"/>
        </w:rPr>
        <w:t xml:space="preserve">ONTARGET </w:t>
      </w:r>
      <w:r w:rsidRPr="005929BB">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5929BB">
        <w:rPr>
          <w:rFonts w:eastAsia="Times New Roman" w:cs="Arial"/>
          <w:color w:val="000000"/>
          <w:lang w:val="en-US"/>
        </w:rPr>
        <w:t xml:space="preserve">VA NEPHRON-D </w:t>
      </w:r>
      <w:r w:rsidRPr="005929BB">
        <w:rPr>
          <w:rFonts w:eastAsia="Times New Roman" w:cs="Arial"/>
          <w:color w:val="000000"/>
          <w:lang w:eastAsia="bg-BG"/>
        </w:rPr>
        <w:t>е проучване при пациенти със захарен диабет тип 2 и диабетна нефропатия.</w:t>
      </w:r>
    </w:p>
    <w:p w14:paraId="53403A5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Тези проучвания не показват значим благоприятен ефект върху бъбречните и/или сърдечно-съдовите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фармакодинамични свойства, тези резултати са приложими и за други АСЕ инхибитори 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w:t>
      </w:r>
    </w:p>
    <w:p w14:paraId="620BE836"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АСЕ инхибитори 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5EE4C173" w14:textId="77777777" w:rsidR="005929BB" w:rsidRPr="005929BB" w:rsidRDefault="005929BB" w:rsidP="005929BB">
      <w:pPr>
        <w:spacing w:line="240" w:lineRule="auto"/>
        <w:rPr>
          <w:rFonts w:eastAsia="Times New Roman" w:cs="Arial"/>
          <w:color w:val="000000"/>
          <w:lang w:val="en-US"/>
        </w:rPr>
      </w:pPr>
    </w:p>
    <w:p w14:paraId="7DD84511" w14:textId="0F2A2547" w:rsidR="005929BB" w:rsidRPr="005929BB" w:rsidRDefault="005929BB" w:rsidP="005929BB">
      <w:pPr>
        <w:spacing w:line="240" w:lineRule="auto"/>
        <w:rPr>
          <w:rFonts w:ascii="Times New Roman" w:eastAsia="Times New Roman" w:hAnsi="Times New Roman" w:cs="Times New Roman"/>
          <w:sz w:val="24"/>
          <w:szCs w:val="24"/>
          <w:lang w:eastAsia="bg-BG"/>
        </w:rPr>
      </w:pPr>
      <w:r w:rsidRPr="005929BB">
        <w:rPr>
          <w:rFonts w:eastAsia="Times New Roman" w:cs="Arial"/>
          <w:color w:val="000000"/>
          <w:lang w:val="en-US"/>
        </w:rPr>
        <w:t xml:space="preserve">ALTITUDE </w:t>
      </w:r>
      <w:r w:rsidRPr="005929BB">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заболявалия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5929BB">
        <w:rPr>
          <w:rFonts w:eastAsia="Times New Roman" w:cs="Arial"/>
          <w:color w:val="000000"/>
          <w:lang w:val="en-US"/>
        </w:rPr>
        <w:t>II</w:t>
      </w:r>
      <w:r w:rsidRPr="005929BB">
        <w:rPr>
          <w:rFonts w:eastAsia="Times New Roman" w:cs="Arial"/>
          <w:color w:val="00000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28CF7086" w14:textId="77777777" w:rsidR="005929BB" w:rsidRPr="005929BB" w:rsidRDefault="005929BB" w:rsidP="005929BB"/>
    <w:p w14:paraId="173D7F1D" w14:textId="71769129" w:rsidR="00EE6C97" w:rsidRDefault="002C50EE" w:rsidP="00A93499">
      <w:pPr>
        <w:pStyle w:val="Heading2"/>
      </w:pPr>
      <w:r>
        <w:t>5.2. Фармакокинетични свойства</w:t>
      </w:r>
    </w:p>
    <w:p w14:paraId="6CABC6C8" w14:textId="14F5CE49" w:rsidR="005929BB" w:rsidRDefault="005929BB" w:rsidP="005929BB"/>
    <w:p w14:paraId="38E99209"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Абсорбция</w:t>
      </w:r>
      <w:r w:rsidRPr="005929BB">
        <w:rPr>
          <w:rFonts w:eastAsia="Times New Roman" w:cs="Arial"/>
          <w:color w:val="000000"/>
          <w:lang w:eastAsia="bg-BG"/>
        </w:rPr>
        <w:t xml:space="preserve">: Еналаприлов малеат е неактивен </w:t>
      </w:r>
      <w:proofErr w:type="spellStart"/>
      <w:r w:rsidRPr="005929BB">
        <w:rPr>
          <w:rFonts w:eastAsia="Times New Roman" w:cs="Arial"/>
          <w:i/>
          <w:iCs/>
          <w:color w:val="000000"/>
          <w:vertAlign w:val="superscript"/>
          <w:lang w:val="en-US"/>
        </w:rPr>
        <w:t>n</w:t>
      </w:r>
      <w:r w:rsidRPr="005929BB">
        <w:rPr>
          <w:rFonts w:eastAsia="Times New Roman" w:cs="Arial"/>
          <w:i/>
          <w:iCs/>
          <w:color w:val="000000"/>
          <w:lang w:val="en-US"/>
        </w:rPr>
        <w:t>pro</w:t>
      </w:r>
      <w:proofErr w:type="spellEnd"/>
      <w:r w:rsidRPr="005929BB">
        <w:rPr>
          <w:rFonts w:eastAsia="Times New Roman" w:cs="Arial"/>
          <w:i/>
          <w:iCs/>
          <w:color w:val="000000"/>
          <w:lang w:val="en-US"/>
        </w:rPr>
        <w:t xml:space="preserve"> drug”,</w:t>
      </w:r>
      <w:r w:rsidRPr="005929BB">
        <w:rPr>
          <w:rFonts w:eastAsia="Times New Roman" w:cs="Arial"/>
          <w:color w:val="000000"/>
          <w:lang w:val="en-US"/>
        </w:rPr>
        <w:t xml:space="preserve"> </w:t>
      </w:r>
      <w:r w:rsidRPr="005929BB">
        <w:rPr>
          <w:rFonts w:eastAsia="Times New Roman" w:cs="Arial"/>
          <w:color w:val="000000"/>
          <w:lang w:eastAsia="bg-BG"/>
        </w:rPr>
        <w:t>който се подлага на хидролиза след резорбция и образува активното съединение еналаприлат. Последният се резорбира непълно в гастроинтестиналния тракт, докато като малеатна сол постига 60% резорбция - стойност 20 пъти по- голяма, отколкото за еналаприлат. Резорбцията не се влияе от храненето.</w:t>
      </w:r>
    </w:p>
    <w:p w14:paraId="5F1F3FCE" w14:textId="77777777" w:rsidR="005929BB" w:rsidRPr="005929BB" w:rsidRDefault="005929BB" w:rsidP="005929BB">
      <w:pPr>
        <w:spacing w:line="240" w:lineRule="auto"/>
        <w:rPr>
          <w:rFonts w:eastAsia="Times New Roman" w:cs="Arial"/>
          <w:color w:val="000000"/>
          <w:u w:val="single"/>
          <w:lang w:eastAsia="bg-BG"/>
        </w:rPr>
      </w:pPr>
    </w:p>
    <w:p w14:paraId="73944426" w14:textId="03654546"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Разпределение:</w:t>
      </w:r>
      <w:r w:rsidRPr="005929BB">
        <w:rPr>
          <w:rFonts w:eastAsia="Times New Roman" w:cs="Arial"/>
          <w:color w:val="000000"/>
          <w:lang w:eastAsia="bg-BG"/>
        </w:rPr>
        <w:t xml:space="preserve"> След перорален прием максимална плазмена концентрация на еналаприл се достига след около 3-4 часа. Профилът на плазмената му концентрация е полифазен по типа на двукомпаргиментния модел на разпределение - централен, съдов и периферен (локален-ть</w:t>
      </w:r>
      <w:r w:rsidRPr="005929BB">
        <w:rPr>
          <w:rFonts w:eastAsia="Times New Roman" w:cs="Arial"/>
          <w:color w:val="000000"/>
          <w:u w:val="single"/>
          <w:lang w:eastAsia="bg-BG"/>
        </w:rPr>
        <w:t>канен)</w:t>
      </w:r>
      <w:r w:rsidRPr="005929BB">
        <w:rPr>
          <w:rFonts w:eastAsia="Times New Roman" w:cs="Arial"/>
          <w:color w:val="000000"/>
          <w:lang w:eastAsia="bg-BG"/>
        </w:rPr>
        <w:t>. Еналаприлат се свързва около 50% с плазмените протеини.</w:t>
      </w:r>
    </w:p>
    <w:p w14:paraId="3D6BFF18" w14:textId="77777777" w:rsidR="005929BB" w:rsidRPr="005929BB" w:rsidRDefault="005929BB" w:rsidP="005929BB">
      <w:pPr>
        <w:spacing w:line="240" w:lineRule="auto"/>
        <w:rPr>
          <w:rFonts w:eastAsia="Times New Roman" w:cs="Arial"/>
          <w:color w:val="000000"/>
          <w:u w:val="single"/>
          <w:lang w:eastAsia="bg-BG"/>
        </w:rPr>
      </w:pPr>
    </w:p>
    <w:p w14:paraId="1A0760B1" w14:textId="4CDFB693"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Биотрансформация</w:t>
      </w:r>
      <w:r w:rsidRPr="005929BB">
        <w:rPr>
          <w:rFonts w:eastAsia="Times New Roman" w:cs="Arial"/>
          <w:color w:val="000000"/>
          <w:lang w:eastAsia="bg-BG"/>
        </w:rPr>
        <w:t>: Еналаприлов малеат се конвертира в еналаприлат.</w:t>
      </w:r>
    </w:p>
    <w:p w14:paraId="34F78217" w14:textId="7325FF73" w:rsidR="005929BB" w:rsidRPr="005929BB" w:rsidRDefault="005929BB" w:rsidP="005929BB">
      <w:pPr>
        <w:rPr>
          <w:rFonts w:cs="Arial"/>
        </w:rPr>
      </w:pPr>
    </w:p>
    <w:p w14:paraId="357387E7"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Елиминиране:</w:t>
      </w:r>
      <w:r w:rsidRPr="005929BB">
        <w:rPr>
          <w:rFonts w:eastAsia="Times New Roman" w:cs="Arial"/>
          <w:color w:val="000000"/>
          <w:lang w:eastAsia="bg-BG"/>
        </w:rPr>
        <w:t xml:space="preserve"> Елиминира се предимно чрез бъбреците. Елиминационният полуживот на еналаприлат е 35 часа. Тоталната уринарна екскреция на еналаприл и еналаприлат се изчислява на 61% от приложената доза.</w:t>
      </w:r>
    </w:p>
    <w:p w14:paraId="6BAFD17D" w14:textId="77777777" w:rsidR="005929BB" w:rsidRPr="005929BB" w:rsidRDefault="005929BB" w:rsidP="005929BB">
      <w:pPr>
        <w:spacing w:line="240" w:lineRule="auto"/>
        <w:rPr>
          <w:rFonts w:eastAsia="Times New Roman" w:cs="Arial"/>
          <w:color w:val="000000"/>
          <w:u w:val="single"/>
          <w:lang w:eastAsia="bg-BG"/>
        </w:rPr>
      </w:pPr>
    </w:p>
    <w:p w14:paraId="2C31745F" w14:textId="13EFA594"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Фармакокинетика при пациенти с бъбречни увреждания</w:t>
      </w:r>
    </w:p>
    <w:p w14:paraId="004A36F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пациенти с нарушена бъбречна функция елиминирането на еналаприлат е понижено в зависимост от степента на увреждане на функцията. Еналаприлат може да се елиминира чрез диализа.</w:t>
      </w:r>
    </w:p>
    <w:p w14:paraId="749A42A5" w14:textId="77777777" w:rsidR="005929BB" w:rsidRPr="005929BB" w:rsidRDefault="005929BB" w:rsidP="005929BB">
      <w:pPr>
        <w:spacing w:line="240" w:lineRule="auto"/>
        <w:rPr>
          <w:rFonts w:eastAsia="Times New Roman" w:cs="Arial"/>
          <w:color w:val="000000"/>
          <w:u w:val="single"/>
          <w:lang w:eastAsia="bg-BG"/>
        </w:rPr>
      </w:pPr>
    </w:p>
    <w:p w14:paraId="3A2C0630" w14:textId="5304A77D"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Педиатрична популация</w:t>
      </w:r>
    </w:p>
    <w:p w14:paraId="45F63276"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Проведено е фармакокинетично проучване при 40 хипертензивни деца на възраст от 2 месеца до 16 години с многократно перорално приложение на еналаприлов малеат от 0,07 до 0,14 </w:t>
      </w:r>
      <w:r w:rsidRPr="005929BB">
        <w:rPr>
          <w:rFonts w:eastAsia="Times New Roman" w:cs="Arial"/>
          <w:color w:val="000000"/>
          <w:lang w:val="en-US"/>
        </w:rPr>
        <w:t xml:space="preserve">mg/kg. </w:t>
      </w:r>
      <w:r w:rsidRPr="005929BB">
        <w:rPr>
          <w:rFonts w:eastAsia="Times New Roman" w:cs="Arial"/>
          <w:color w:val="000000"/>
          <w:lang w:eastAsia="bg-BG"/>
        </w:rPr>
        <w:t xml:space="preserve">Не са установени съществени разлики във фармакокинетиката на еналаприлат при деца в сравнение с исторически данни при възрастни. В </w:t>
      </w:r>
      <w:r w:rsidRPr="005929BB">
        <w:rPr>
          <w:rFonts w:eastAsia="Times New Roman" w:cs="Arial"/>
          <w:i/>
          <w:iCs/>
          <w:color w:val="000000"/>
          <w:lang w:val="en-US"/>
        </w:rPr>
        <w:t>steady state,</w:t>
      </w:r>
      <w:r w:rsidRPr="005929BB">
        <w:rPr>
          <w:rFonts w:eastAsia="Times New Roman" w:cs="Arial"/>
          <w:color w:val="000000"/>
          <w:lang w:val="en-US"/>
        </w:rPr>
        <w:t xml:space="preserve"> </w:t>
      </w:r>
      <w:r w:rsidRPr="005929BB">
        <w:rPr>
          <w:rFonts w:eastAsia="Times New Roman" w:cs="Arial"/>
          <w:color w:val="000000"/>
          <w:lang w:eastAsia="bg-BG"/>
        </w:rPr>
        <w:t>стойността на времето на полунатрупване на еналаприлат е 14 часа.</w:t>
      </w:r>
    </w:p>
    <w:p w14:paraId="3CED7BC7" w14:textId="77777777" w:rsidR="005929BB" w:rsidRPr="005929BB" w:rsidRDefault="005929BB" w:rsidP="005929BB">
      <w:pPr>
        <w:spacing w:line="240" w:lineRule="auto"/>
        <w:rPr>
          <w:rFonts w:eastAsia="Times New Roman" w:cs="Arial"/>
          <w:color w:val="000000"/>
          <w:u w:val="single"/>
          <w:lang w:eastAsia="bg-BG"/>
        </w:rPr>
      </w:pPr>
    </w:p>
    <w:p w14:paraId="10FAA49F" w14:textId="5CFBA4C8"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Кърмене</w:t>
      </w:r>
    </w:p>
    <w:p w14:paraId="7A8A33B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След еднократен перорален прием на 20 </w:t>
      </w:r>
      <w:r w:rsidRPr="005929BB">
        <w:rPr>
          <w:rFonts w:eastAsia="Times New Roman" w:cs="Arial"/>
          <w:color w:val="000000"/>
          <w:lang w:val="en-US"/>
        </w:rPr>
        <w:t xml:space="preserve">mg </w:t>
      </w:r>
      <w:r w:rsidRPr="005929BB">
        <w:rPr>
          <w:rFonts w:eastAsia="Times New Roman" w:cs="Arial"/>
          <w:color w:val="000000"/>
          <w:lang w:eastAsia="bg-BG"/>
        </w:rPr>
        <w:t>еналаприл от 5 родилки е установено средно максимално ниво на еналаприл в майчиното мляко 1,7 μ</w:t>
      </w:r>
      <w:r w:rsidRPr="005929BB">
        <w:rPr>
          <w:rFonts w:eastAsia="Times New Roman" w:cs="Arial"/>
          <w:color w:val="000000"/>
          <w:lang w:val="en-US"/>
        </w:rPr>
        <w:t xml:space="preserve">g/l </w:t>
      </w:r>
      <w:r w:rsidRPr="005929BB">
        <w:rPr>
          <w:rFonts w:eastAsia="Times New Roman" w:cs="Arial"/>
          <w:color w:val="000000"/>
          <w:lang w:eastAsia="bg-BG"/>
        </w:rPr>
        <w:t>(между 0,54 и 5,9 μ</w:t>
      </w:r>
      <w:r w:rsidRPr="005929BB">
        <w:rPr>
          <w:rFonts w:eastAsia="Times New Roman" w:cs="Arial"/>
          <w:color w:val="000000"/>
          <w:lang w:val="en-US"/>
        </w:rPr>
        <w:t xml:space="preserve">g/l) </w:t>
      </w:r>
      <w:r w:rsidRPr="005929BB">
        <w:rPr>
          <w:rFonts w:eastAsia="Times New Roman" w:cs="Arial"/>
          <w:color w:val="000000"/>
          <w:lang w:eastAsia="bg-BG"/>
        </w:rPr>
        <w:t>4 до 6 часа след приема.</w:t>
      </w:r>
    </w:p>
    <w:p w14:paraId="13C5E6C6" w14:textId="16396DBE"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lang w:eastAsia="bg-BG"/>
        </w:rPr>
        <w:t>Установеното средно максимално ниво на еналаприлат в майчиното мляко е 1,7 μ</w:t>
      </w:r>
      <w:r w:rsidRPr="005929BB">
        <w:rPr>
          <w:rFonts w:eastAsia="Times New Roman" w:cs="Arial"/>
          <w:color w:val="000000"/>
          <w:lang w:val="en-US"/>
        </w:rPr>
        <w:t xml:space="preserve">g/l </w:t>
      </w:r>
      <w:r w:rsidRPr="005929BB">
        <w:rPr>
          <w:rFonts w:eastAsia="Times New Roman" w:cs="Arial"/>
          <w:color w:val="000000"/>
          <w:lang w:eastAsia="bg-BG"/>
        </w:rPr>
        <w:t>(между 1,2 и 2,3</w:t>
      </w:r>
      <w:r w:rsidRPr="005929BB">
        <w:rPr>
          <w:rFonts w:eastAsia="Times New Roman" w:cs="Arial"/>
          <w:sz w:val="24"/>
          <w:szCs w:val="24"/>
          <w:lang w:eastAsia="bg-BG"/>
        </w:rPr>
        <w:t xml:space="preserve"> </w:t>
      </w:r>
      <w:r w:rsidRPr="005929BB">
        <w:rPr>
          <w:rFonts w:eastAsia="Times New Roman" w:cs="Arial"/>
          <w:color w:val="000000"/>
          <w:lang w:eastAsia="bg-BG"/>
        </w:rPr>
        <w:t>μ</w:t>
      </w:r>
      <w:r w:rsidRPr="005929BB">
        <w:rPr>
          <w:rFonts w:eastAsia="Times New Roman" w:cs="Arial"/>
          <w:color w:val="000000"/>
          <w:lang w:val="en-US"/>
        </w:rPr>
        <w:t xml:space="preserve">g/l), </w:t>
      </w:r>
      <w:r w:rsidRPr="005929BB">
        <w:rPr>
          <w:rFonts w:eastAsia="Times New Roman" w:cs="Arial"/>
          <w:color w:val="000000"/>
          <w:lang w:eastAsia="bg-BG"/>
        </w:rPr>
        <w:t xml:space="preserve">максимумът е регистриран по различно време на 24-часовия период. Въз основа на данните от максималните стойности в майчиното мляко, максималният прием от кърмаче, хранено основно с майчина кърма, е оценен на около 0,16% от майчината доза, преизчислена към телесното тегло. При жена, приемала перорално 10 </w:t>
      </w:r>
      <w:r w:rsidRPr="005929BB">
        <w:rPr>
          <w:rFonts w:eastAsia="Times New Roman" w:cs="Arial"/>
          <w:color w:val="000000"/>
          <w:lang w:val="en-US"/>
        </w:rPr>
        <w:t xml:space="preserve">mg </w:t>
      </w:r>
      <w:r w:rsidRPr="005929BB">
        <w:rPr>
          <w:rFonts w:eastAsia="Times New Roman" w:cs="Arial"/>
          <w:color w:val="000000"/>
          <w:lang w:eastAsia="bg-BG"/>
        </w:rPr>
        <w:t>дневно еналаприл в продължение на 11 месеца, е установено максимално ниво на еналаприл в майчиното мляко 2 μ</w:t>
      </w:r>
      <w:r w:rsidRPr="005929BB">
        <w:rPr>
          <w:rFonts w:eastAsia="Times New Roman" w:cs="Arial"/>
          <w:color w:val="000000"/>
          <w:lang w:val="en-US"/>
        </w:rPr>
        <w:t>g/l 4</w:t>
      </w:r>
      <w:r w:rsidRPr="005929BB">
        <w:rPr>
          <w:rFonts w:eastAsia="Times New Roman" w:cs="Arial"/>
          <w:color w:val="000000"/>
          <w:lang w:eastAsia="bg-BG"/>
        </w:rPr>
        <w:t xml:space="preserve"> часа след приема и максимално ниво на еналаприлат 0,75 μ</w:t>
      </w:r>
      <w:r w:rsidRPr="005929BB">
        <w:rPr>
          <w:rFonts w:eastAsia="Times New Roman" w:cs="Arial"/>
          <w:color w:val="000000"/>
          <w:lang w:val="en-US"/>
        </w:rPr>
        <w:t xml:space="preserve">g/l </w:t>
      </w:r>
      <w:r w:rsidRPr="005929BB">
        <w:rPr>
          <w:rFonts w:eastAsia="Times New Roman" w:cs="Arial"/>
          <w:color w:val="000000"/>
          <w:lang w:eastAsia="bg-BG"/>
        </w:rPr>
        <w:t>около 9 часа след приема. Общото количество еналаприл и еналаприлат, измерени в майчиното мляко през 24-часовия период, е било съответно 1,44 μ</w:t>
      </w:r>
      <w:r w:rsidRPr="005929BB">
        <w:rPr>
          <w:rFonts w:eastAsia="Times New Roman" w:cs="Arial"/>
          <w:color w:val="000000"/>
          <w:lang w:val="en-US"/>
        </w:rPr>
        <w:t xml:space="preserve">g/l </w:t>
      </w:r>
      <w:r w:rsidRPr="005929BB">
        <w:rPr>
          <w:rFonts w:eastAsia="Times New Roman" w:cs="Arial"/>
          <w:color w:val="000000"/>
          <w:lang w:eastAsia="bg-BG"/>
        </w:rPr>
        <w:t>и 0,63 μ</w:t>
      </w:r>
      <w:r w:rsidRPr="005929BB">
        <w:rPr>
          <w:rFonts w:eastAsia="Times New Roman" w:cs="Arial"/>
          <w:color w:val="000000"/>
          <w:lang w:val="en-US"/>
        </w:rPr>
        <w:t xml:space="preserve">g/l. </w:t>
      </w:r>
      <w:r w:rsidRPr="005929BB">
        <w:rPr>
          <w:rFonts w:eastAsia="Times New Roman" w:cs="Arial"/>
          <w:color w:val="000000"/>
          <w:lang w:eastAsia="bg-BG"/>
        </w:rPr>
        <w:t>Нивата на еналаприлат в млякото са били неизмерими (&lt;0,2 μ</w:t>
      </w:r>
      <w:r w:rsidRPr="005929BB">
        <w:rPr>
          <w:rFonts w:eastAsia="Times New Roman" w:cs="Arial"/>
          <w:color w:val="000000"/>
          <w:lang w:val="en-US"/>
        </w:rPr>
        <w:t xml:space="preserve">g/l) </w:t>
      </w:r>
      <w:r w:rsidRPr="005929BB">
        <w:rPr>
          <w:rFonts w:eastAsia="Times New Roman" w:cs="Arial"/>
          <w:color w:val="000000"/>
          <w:lang w:eastAsia="bg-BG"/>
        </w:rPr>
        <w:t xml:space="preserve">4 часа след прием на единична доза еналаприл 5 </w:t>
      </w:r>
      <w:r w:rsidRPr="005929BB">
        <w:rPr>
          <w:rFonts w:eastAsia="Times New Roman" w:cs="Arial"/>
          <w:color w:val="000000"/>
          <w:lang w:val="en-US"/>
        </w:rPr>
        <w:t xml:space="preserve">mg </w:t>
      </w:r>
      <w:r w:rsidRPr="005929BB">
        <w:rPr>
          <w:rFonts w:eastAsia="Times New Roman" w:cs="Arial"/>
          <w:color w:val="000000"/>
          <w:lang w:eastAsia="bg-BG"/>
        </w:rPr>
        <w:t xml:space="preserve">при една майка и на 10 </w:t>
      </w:r>
      <w:r w:rsidRPr="005929BB">
        <w:rPr>
          <w:rFonts w:eastAsia="Times New Roman" w:cs="Arial"/>
          <w:color w:val="000000"/>
          <w:lang w:val="en-US"/>
        </w:rPr>
        <w:t xml:space="preserve">mg </w:t>
      </w:r>
      <w:r w:rsidRPr="005929BB">
        <w:rPr>
          <w:rFonts w:eastAsia="Times New Roman" w:cs="Arial"/>
          <w:color w:val="000000"/>
          <w:lang w:eastAsia="bg-BG"/>
        </w:rPr>
        <w:t>при две майки; нивото на еналаприл не е било определяно.</w:t>
      </w:r>
    </w:p>
    <w:p w14:paraId="3433E20C" w14:textId="77777777" w:rsidR="005929BB" w:rsidRPr="005929BB" w:rsidRDefault="005929BB" w:rsidP="005929BB">
      <w:pPr>
        <w:spacing w:line="240" w:lineRule="auto"/>
        <w:rPr>
          <w:rFonts w:ascii="Times New Roman" w:eastAsia="Times New Roman" w:hAnsi="Times New Roman" w:cs="Times New Roman"/>
          <w:sz w:val="24"/>
          <w:szCs w:val="24"/>
          <w:lang w:eastAsia="bg-BG"/>
        </w:rPr>
      </w:pPr>
    </w:p>
    <w:p w14:paraId="0CC65FE3" w14:textId="0DFB9715" w:rsidR="00EE6C97" w:rsidRDefault="002C50EE" w:rsidP="00A93499">
      <w:pPr>
        <w:pStyle w:val="Heading2"/>
      </w:pPr>
      <w:r>
        <w:t>5.3. Предклинични данни за безопасност</w:t>
      </w:r>
    </w:p>
    <w:p w14:paraId="07DFBF59" w14:textId="2DBC6E15" w:rsidR="005929BB" w:rsidRDefault="005929BB" w:rsidP="005929BB"/>
    <w:p w14:paraId="440FE4B8" w14:textId="77777777" w:rsidR="005929BB" w:rsidRPr="005929BB" w:rsidRDefault="005929BB" w:rsidP="005929BB">
      <w:pPr>
        <w:rPr>
          <w:sz w:val="24"/>
          <w:szCs w:val="24"/>
          <w:lang w:eastAsia="bg-BG"/>
        </w:rPr>
      </w:pPr>
      <w:r w:rsidRPr="005929BB">
        <w:rPr>
          <w:lang w:eastAsia="bg-BG"/>
        </w:rPr>
        <w:t>Изследванията върху опитни животни за остра тоскичност на еналаприлов малеат показват, че той е слабо токсичен.</w:t>
      </w:r>
    </w:p>
    <w:p w14:paraId="30C6518B" w14:textId="77777777" w:rsidR="005929BB" w:rsidRPr="005929BB" w:rsidRDefault="005929BB" w:rsidP="005929BB">
      <w:pPr>
        <w:rPr>
          <w:sz w:val="24"/>
          <w:szCs w:val="24"/>
          <w:lang w:eastAsia="bg-BG"/>
        </w:rPr>
      </w:pPr>
      <w:r w:rsidRPr="005929BB">
        <w:rPr>
          <w:lang w:eastAsia="bg-BG"/>
        </w:rPr>
        <w:t>Не е наблюдавана значителна разлика в токсикологичния профил на еналаприлов малеат при различните животински видове (мишки, плъхове и кучета), а така също и по отношение на пола на животните.</w:t>
      </w:r>
    </w:p>
    <w:p w14:paraId="30D7F0AC" w14:textId="6949F141" w:rsidR="005929BB" w:rsidRDefault="005929BB" w:rsidP="005929BB">
      <w:pPr>
        <w:rPr>
          <w:sz w:val="24"/>
          <w:szCs w:val="24"/>
          <w:lang w:eastAsia="bg-BG"/>
        </w:rPr>
      </w:pPr>
      <w:r w:rsidRPr="005929BB">
        <w:rPr>
          <w:lang w:eastAsia="bg-BG"/>
        </w:rPr>
        <w:t xml:space="preserve">Приблизителната стойност на </w:t>
      </w:r>
      <w:r w:rsidRPr="005929BB">
        <w:rPr>
          <w:lang w:val="en-US"/>
        </w:rPr>
        <w:t xml:space="preserve">LD50 </w:t>
      </w:r>
      <w:r w:rsidRPr="005929BB">
        <w:rPr>
          <w:lang w:eastAsia="bg-BG"/>
        </w:rPr>
        <w:t xml:space="preserve">при мишки и плъхове при перорално приложение е 2 000 </w:t>
      </w:r>
      <w:r w:rsidRPr="005929BB">
        <w:rPr>
          <w:lang w:val="en-US"/>
        </w:rPr>
        <w:t xml:space="preserve">mg/kg. </w:t>
      </w:r>
      <w:r w:rsidRPr="005929BB">
        <w:rPr>
          <w:lang w:eastAsia="bg-BG"/>
        </w:rPr>
        <w:t>Няма данни за тератогенен ефект, както и за неблагоприятни ефекти върху репродуктивната способност на мъжки и женски плъхове. Липсват данни за канцерогенен и мутагенен ефект. АСЕ инхибиторите (като клас) са демонстрирали фетотоксичност (чрез увреждане и/или смърт на плода) при употреба през втори или трети триместър на бременността.</w:t>
      </w:r>
    </w:p>
    <w:p w14:paraId="54B93071" w14:textId="77777777" w:rsidR="005929BB" w:rsidRPr="005929BB" w:rsidRDefault="005929BB" w:rsidP="005929BB">
      <w:pPr>
        <w:spacing w:line="240" w:lineRule="auto"/>
        <w:rPr>
          <w:rFonts w:ascii="Times New Roman" w:eastAsia="Times New Roman" w:hAnsi="Times New Roman" w:cs="Times New Roman"/>
          <w:sz w:val="24"/>
          <w:szCs w:val="24"/>
          <w:lang w:eastAsia="bg-BG"/>
        </w:rPr>
      </w:pPr>
    </w:p>
    <w:p w14:paraId="357049A8" w14:textId="062B5AA2" w:rsidR="00BB22B4" w:rsidRDefault="002C50EE" w:rsidP="00471F10">
      <w:pPr>
        <w:pStyle w:val="Heading1"/>
      </w:pPr>
      <w:r>
        <w:t>7. ПРИТЕЖАТЕЛ НА РАЗРЕШЕНИЕТО ЗА УПОТРЕБА</w:t>
      </w:r>
    </w:p>
    <w:p w14:paraId="48409998" w14:textId="71514484" w:rsidR="005929BB" w:rsidRDefault="005929BB" w:rsidP="005929BB"/>
    <w:p w14:paraId="11562DEC" w14:textId="77777777" w:rsidR="005929BB" w:rsidRPr="005929BB" w:rsidRDefault="005929BB" w:rsidP="005929BB">
      <w:pPr>
        <w:rPr>
          <w:sz w:val="24"/>
          <w:szCs w:val="24"/>
          <w:lang w:eastAsia="bg-BG"/>
        </w:rPr>
      </w:pPr>
      <w:r w:rsidRPr="005929BB">
        <w:rPr>
          <w:lang w:eastAsia="bg-BG"/>
        </w:rPr>
        <w:t>СОФАРМА АД</w:t>
      </w:r>
    </w:p>
    <w:p w14:paraId="55BE7629" w14:textId="0D29AB04" w:rsidR="005929BB" w:rsidRPr="005929BB" w:rsidRDefault="005929BB" w:rsidP="005929BB">
      <w:pPr>
        <w:rPr>
          <w:sz w:val="24"/>
          <w:szCs w:val="24"/>
          <w:lang w:eastAsia="bg-BG"/>
        </w:rPr>
      </w:pPr>
      <w:r w:rsidRPr="005929BB">
        <w:rPr>
          <w:lang w:eastAsia="bg-BG"/>
        </w:rPr>
        <w:t>ул. Илиенско шосе 16,1220 София, България</w:t>
      </w:r>
    </w:p>
    <w:p w14:paraId="0A53321D" w14:textId="1F7FE1C0" w:rsidR="00EE6C97" w:rsidRDefault="00936AD0" w:rsidP="00A93499">
      <w:pPr>
        <w:pStyle w:val="Heading1"/>
      </w:pPr>
      <w:r>
        <w:t>8.</w:t>
      </w:r>
      <w:r w:rsidR="002C50EE">
        <w:t>НОМЕР НА РАЗРЕШЕНИЕТО ЗА УПОТРЕБА</w:t>
      </w:r>
    </w:p>
    <w:p w14:paraId="080439FA" w14:textId="2530DA47" w:rsidR="005929BB" w:rsidRDefault="005929BB" w:rsidP="005929BB"/>
    <w:p w14:paraId="699A2CD4" w14:textId="77777777" w:rsidR="005929BB" w:rsidRPr="005929BB" w:rsidRDefault="005929BB" w:rsidP="005929BB">
      <w:pPr>
        <w:rPr>
          <w:sz w:val="24"/>
          <w:szCs w:val="24"/>
          <w:lang w:eastAsia="bg-BG"/>
        </w:rPr>
      </w:pPr>
      <w:r w:rsidRPr="005929BB">
        <w:rPr>
          <w:lang w:eastAsia="bg-BG"/>
        </w:rPr>
        <w:t xml:space="preserve">Вазопрен 5 </w:t>
      </w:r>
      <w:r w:rsidRPr="005929BB">
        <w:rPr>
          <w:lang w:val="en-US"/>
        </w:rPr>
        <w:t xml:space="preserve">mg </w:t>
      </w:r>
      <w:r w:rsidRPr="005929BB">
        <w:rPr>
          <w:lang w:eastAsia="bg-BG"/>
        </w:rPr>
        <w:t>таблетки - 20020264</w:t>
      </w:r>
    </w:p>
    <w:p w14:paraId="5AB6BEF8" w14:textId="77777777" w:rsidR="005929BB" w:rsidRPr="005929BB" w:rsidRDefault="005929BB" w:rsidP="005929BB">
      <w:pPr>
        <w:rPr>
          <w:sz w:val="24"/>
          <w:szCs w:val="24"/>
          <w:lang w:eastAsia="bg-BG"/>
        </w:rPr>
      </w:pPr>
      <w:r w:rsidRPr="005929BB">
        <w:rPr>
          <w:lang w:eastAsia="bg-BG"/>
        </w:rPr>
        <w:lastRenderedPageBreak/>
        <w:t xml:space="preserve">Вазопрен 10 </w:t>
      </w:r>
      <w:r w:rsidRPr="005929BB">
        <w:rPr>
          <w:lang w:val="en-US"/>
        </w:rPr>
        <w:t xml:space="preserve">mg </w:t>
      </w:r>
      <w:r w:rsidRPr="005929BB">
        <w:rPr>
          <w:lang w:eastAsia="bg-BG"/>
        </w:rPr>
        <w:t>таблетки - 20020265</w:t>
      </w:r>
    </w:p>
    <w:p w14:paraId="2FC916E6" w14:textId="77777777" w:rsidR="005929BB" w:rsidRPr="005929BB" w:rsidRDefault="005929BB" w:rsidP="005929BB">
      <w:pPr>
        <w:rPr>
          <w:sz w:val="24"/>
          <w:szCs w:val="24"/>
          <w:lang w:eastAsia="bg-BG"/>
        </w:rPr>
      </w:pPr>
      <w:r w:rsidRPr="005929BB">
        <w:rPr>
          <w:lang w:eastAsia="bg-BG"/>
        </w:rPr>
        <w:t xml:space="preserve">Вазопрен 20 </w:t>
      </w:r>
      <w:r w:rsidRPr="005929BB">
        <w:rPr>
          <w:lang w:val="en-US"/>
        </w:rPr>
        <w:t xml:space="preserve">mg </w:t>
      </w:r>
      <w:r w:rsidRPr="005929BB">
        <w:rPr>
          <w:lang w:eastAsia="bg-BG"/>
        </w:rPr>
        <w:t>таблетки - 20020266</w:t>
      </w:r>
    </w:p>
    <w:p w14:paraId="5E32A0F2" w14:textId="77777777" w:rsidR="005929BB" w:rsidRPr="005929BB" w:rsidRDefault="005929BB" w:rsidP="005929BB"/>
    <w:p w14:paraId="3715C10B" w14:textId="12446C28" w:rsidR="00BB22B4" w:rsidRDefault="002C50EE" w:rsidP="00471F10">
      <w:pPr>
        <w:pStyle w:val="Heading1"/>
      </w:pPr>
      <w:r>
        <w:t>9. ДАТА НА ПЪРВО РАЗРЕШАВАНЕ/ПОДНОВЯВАНЕ НА РАЗРЕШЕНИЕТО ЗА УПОТРЕБА</w:t>
      </w:r>
    </w:p>
    <w:p w14:paraId="65F5FCD7" w14:textId="28F1BACB" w:rsidR="005929BB" w:rsidRDefault="005929BB" w:rsidP="005929BB"/>
    <w:p w14:paraId="64F06CFB" w14:textId="77777777" w:rsidR="005929BB" w:rsidRPr="005929BB" w:rsidRDefault="005929BB" w:rsidP="005929BB">
      <w:pPr>
        <w:rPr>
          <w:sz w:val="24"/>
          <w:szCs w:val="24"/>
          <w:lang w:eastAsia="bg-BG"/>
        </w:rPr>
      </w:pPr>
      <w:r w:rsidRPr="005929BB">
        <w:rPr>
          <w:lang w:eastAsia="bg-BG"/>
        </w:rPr>
        <w:t>Дата на първо разрешаване: 21.03.2002</w:t>
      </w:r>
    </w:p>
    <w:p w14:paraId="5C97CCCB" w14:textId="17A01B10" w:rsidR="005929BB" w:rsidRPr="005929BB" w:rsidRDefault="005929BB" w:rsidP="005929BB">
      <w:pPr>
        <w:rPr>
          <w:sz w:val="24"/>
          <w:szCs w:val="24"/>
          <w:lang w:eastAsia="bg-BG"/>
        </w:rPr>
      </w:pPr>
      <w:r w:rsidRPr="005929BB">
        <w:rPr>
          <w:lang w:eastAsia="bg-BG"/>
        </w:rPr>
        <w:t>Дата на последно подновяване: 19.11.2007</w:t>
      </w:r>
    </w:p>
    <w:p w14:paraId="43FB38A2" w14:textId="0C18A683" w:rsidR="007C605B" w:rsidRDefault="002C50EE" w:rsidP="005726E3">
      <w:pPr>
        <w:pStyle w:val="Heading1"/>
      </w:pPr>
      <w:r>
        <w:t>10. ДАТА НА АКТУАЛИЗИРАНЕ НА ТЕКСТА</w:t>
      </w:r>
      <w:bookmarkEnd w:id="0"/>
    </w:p>
    <w:p w14:paraId="472617BD" w14:textId="0F560FAD" w:rsidR="00BB22B4" w:rsidRPr="00BB22B4" w:rsidRDefault="005929BB" w:rsidP="005929BB">
      <w:r>
        <w:t>Януари 2021</w:t>
      </w:r>
    </w:p>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7E5CC4"/>
    <w:multiLevelType w:val="hybridMultilevel"/>
    <w:tmpl w:val="27DA3F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4818B1"/>
    <w:multiLevelType w:val="hybridMultilevel"/>
    <w:tmpl w:val="7E0C0B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1373D9"/>
    <w:multiLevelType w:val="hybridMultilevel"/>
    <w:tmpl w:val="487C0A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2"/>
  </w:num>
  <w:num w:numId="2" w16cid:durableId="1612932146">
    <w:abstractNumId w:val="0"/>
  </w:num>
  <w:num w:numId="3" w16cid:durableId="1810323821">
    <w:abstractNumId w:val="15"/>
  </w:num>
  <w:num w:numId="4" w16cid:durableId="2135319613">
    <w:abstractNumId w:val="3"/>
  </w:num>
  <w:num w:numId="5" w16cid:durableId="740105516">
    <w:abstractNumId w:val="1"/>
  </w:num>
  <w:num w:numId="6" w16cid:durableId="1668363208">
    <w:abstractNumId w:val="20"/>
  </w:num>
  <w:num w:numId="7" w16cid:durableId="1241988161">
    <w:abstractNumId w:val="12"/>
  </w:num>
  <w:num w:numId="8" w16cid:durableId="2102022361">
    <w:abstractNumId w:val="19"/>
  </w:num>
  <w:num w:numId="9" w16cid:durableId="1154613663">
    <w:abstractNumId w:val="2"/>
  </w:num>
  <w:num w:numId="10" w16cid:durableId="1733848127">
    <w:abstractNumId w:val="4"/>
  </w:num>
  <w:num w:numId="11" w16cid:durableId="1861704680">
    <w:abstractNumId w:val="36"/>
  </w:num>
  <w:num w:numId="12" w16cid:durableId="1434934028">
    <w:abstractNumId w:val="17"/>
  </w:num>
  <w:num w:numId="13" w16cid:durableId="479157895">
    <w:abstractNumId w:val="23"/>
  </w:num>
  <w:num w:numId="14" w16cid:durableId="1670476636">
    <w:abstractNumId w:val="14"/>
  </w:num>
  <w:num w:numId="15" w16cid:durableId="1000155783">
    <w:abstractNumId w:val="35"/>
  </w:num>
  <w:num w:numId="16" w16cid:durableId="2056420707">
    <w:abstractNumId w:val="11"/>
  </w:num>
  <w:num w:numId="17" w16cid:durableId="1787119182">
    <w:abstractNumId w:val="29"/>
  </w:num>
  <w:num w:numId="18" w16cid:durableId="722945139">
    <w:abstractNumId w:val="8"/>
  </w:num>
  <w:num w:numId="19" w16cid:durableId="1678728408">
    <w:abstractNumId w:val="31"/>
  </w:num>
  <w:num w:numId="20" w16cid:durableId="1970816657">
    <w:abstractNumId w:val="28"/>
  </w:num>
  <w:num w:numId="21" w16cid:durableId="1531146514">
    <w:abstractNumId w:val="21"/>
  </w:num>
  <w:num w:numId="22" w16cid:durableId="1276465">
    <w:abstractNumId w:val="30"/>
  </w:num>
  <w:num w:numId="23" w16cid:durableId="1624310558">
    <w:abstractNumId w:val="22"/>
  </w:num>
  <w:num w:numId="24" w16cid:durableId="1692877547">
    <w:abstractNumId w:val="9"/>
  </w:num>
  <w:num w:numId="25" w16cid:durableId="50930855">
    <w:abstractNumId w:val="27"/>
  </w:num>
  <w:num w:numId="26" w16cid:durableId="176701536">
    <w:abstractNumId w:val="25"/>
  </w:num>
  <w:num w:numId="27" w16cid:durableId="2050564750">
    <w:abstractNumId w:val="37"/>
  </w:num>
  <w:num w:numId="28" w16cid:durableId="1820733422">
    <w:abstractNumId w:val="6"/>
  </w:num>
  <w:num w:numId="29" w16cid:durableId="973678124">
    <w:abstractNumId w:val="24"/>
  </w:num>
  <w:num w:numId="30" w16cid:durableId="154884452">
    <w:abstractNumId w:val="41"/>
  </w:num>
  <w:num w:numId="31" w16cid:durableId="1053964910">
    <w:abstractNumId w:val="5"/>
  </w:num>
  <w:num w:numId="32" w16cid:durableId="2073575793">
    <w:abstractNumId w:val="39"/>
  </w:num>
  <w:num w:numId="33" w16cid:durableId="1566643170">
    <w:abstractNumId w:val="33"/>
  </w:num>
  <w:num w:numId="34" w16cid:durableId="2060787732">
    <w:abstractNumId w:val="38"/>
  </w:num>
  <w:num w:numId="35" w16cid:durableId="34161354">
    <w:abstractNumId w:val="7"/>
  </w:num>
  <w:num w:numId="36" w16cid:durableId="1976908676">
    <w:abstractNumId w:val="10"/>
  </w:num>
  <w:num w:numId="37" w16cid:durableId="758528303">
    <w:abstractNumId w:val="18"/>
  </w:num>
  <w:num w:numId="38" w16cid:durableId="178396561">
    <w:abstractNumId w:val="40"/>
  </w:num>
  <w:num w:numId="39" w16cid:durableId="934825996">
    <w:abstractNumId w:val="13"/>
  </w:num>
  <w:num w:numId="40" w16cid:durableId="1922644043">
    <w:abstractNumId w:val="34"/>
  </w:num>
  <w:num w:numId="41" w16cid:durableId="80565104">
    <w:abstractNumId w:val="16"/>
  </w:num>
  <w:num w:numId="42" w16cid:durableId="65379985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726E3"/>
    <w:rsid w:val="005929BB"/>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5293</Words>
  <Characters>30175</Characters>
  <Application>Microsoft Office Word</Application>
  <DocSecurity>0</DocSecurity>
  <Lines>251</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2023-01-05T12:39:00Z</dcterms:created>
  <dcterms:modified xsi:type="dcterms:W3CDTF">2023-01-05T12:39:00Z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