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1F92DB8A" w14:textId="77777777" w:rsidR="00B7728D" w:rsidRDefault="00B7728D" w:rsidP="00B7728D"/>
    <w:p w14:paraId="20BB19B3" w14:textId="77777777" w:rsidR="00B7728D" w:rsidRPr="00B7728D" w:rsidRDefault="00B7728D" w:rsidP="00B7728D">
      <w:pPr>
        <w:rPr>
          <w:sz w:val="24"/>
          <w:szCs w:val="24"/>
          <w:lang w:val="en-US" w:eastAsia="bg-BG"/>
        </w:rPr>
      </w:pPr>
      <w:r w:rsidRPr="00B7728D">
        <w:rPr>
          <w:lang w:eastAsia="bg-BG"/>
        </w:rPr>
        <w:t xml:space="preserve">Вертимед 8 </w:t>
      </w:r>
      <w:r w:rsidRPr="00B7728D">
        <w:rPr>
          <w:lang w:val="en-US"/>
        </w:rPr>
        <w:t xml:space="preserve">mg </w:t>
      </w:r>
      <w:r w:rsidRPr="00B7728D">
        <w:rPr>
          <w:lang w:eastAsia="bg-BG"/>
        </w:rPr>
        <w:t>таблетки</w:t>
      </w:r>
    </w:p>
    <w:p w14:paraId="44D5AEE9" w14:textId="77777777" w:rsidR="00B7728D" w:rsidRPr="00B7728D" w:rsidRDefault="00B7728D" w:rsidP="00B7728D">
      <w:pPr>
        <w:rPr>
          <w:sz w:val="24"/>
          <w:szCs w:val="24"/>
          <w:lang w:val="en-US" w:eastAsia="bg-BG"/>
        </w:rPr>
      </w:pPr>
      <w:proofErr w:type="spellStart"/>
      <w:r w:rsidRPr="00B7728D">
        <w:rPr>
          <w:lang w:val="en-US"/>
        </w:rPr>
        <w:t>Vertimed</w:t>
      </w:r>
      <w:proofErr w:type="spellEnd"/>
      <w:r w:rsidRPr="00B7728D">
        <w:rPr>
          <w:lang w:val="en-US"/>
        </w:rPr>
        <w:t xml:space="preserve"> </w:t>
      </w:r>
      <w:r w:rsidRPr="00B7728D">
        <w:rPr>
          <w:lang w:eastAsia="bg-BG"/>
        </w:rPr>
        <w:t xml:space="preserve">8 </w:t>
      </w:r>
      <w:r w:rsidRPr="00B7728D">
        <w:rPr>
          <w:lang w:val="en-US"/>
        </w:rPr>
        <w:t>mg tablets</w:t>
      </w:r>
    </w:p>
    <w:p w14:paraId="4B2864B3" w14:textId="77777777" w:rsidR="00B7728D" w:rsidRDefault="00B7728D" w:rsidP="00B7728D">
      <w:pPr>
        <w:rPr>
          <w:lang w:eastAsia="bg-BG"/>
        </w:rPr>
      </w:pPr>
    </w:p>
    <w:p w14:paraId="54A3F40A" w14:textId="4139380F" w:rsidR="00B7728D" w:rsidRPr="00B7728D" w:rsidRDefault="00B7728D" w:rsidP="00B7728D">
      <w:pPr>
        <w:rPr>
          <w:sz w:val="24"/>
          <w:szCs w:val="24"/>
          <w:lang w:val="en-US" w:eastAsia="bg-BG"/>
        </w:rPr>
      </w:pPr>
      <w:r w:rsidRPr="00B7728D">
        <w:rPr>
          <w:lang w:eastAsia="bg-BG"/>
        </w:rPr>
        <w:t xml:space="preserve">Вертимед 16 </w:t>
      </w:r>
      <w:r w:rsidRPr="00B7728D">
        <w:rPr>
          <w:lang w:val="en-US"/>
        </w:rPr>
        <w:t xml:space="preserve">mg </w:t>
      </w:r>
      <w:r w:rsidRPr="00B7728D">
        <w:rPr>
          <w:lang w:eastAsia="bg-BG"/>
        </w:rPr>
        <w:t>таблетки</w:t>
      </w:r>
    </w:p>
    <w:p w14:paraId="30D603D8" w14:textId="77777777" w:rsidR="00B7728D" w:rsidRPr="00B7728D" w:rsidRDefault="00B7728D" w:rsidP="00B7728D">
      <w:pPr>
        <w:rPr>
          <w:sz w:val="24"/>
          <w:szCs w:val="24"/>
          <w:lang w:val="en-US" w:eastAsia="bg-BG"/>
        </w:rPr>
      </w:pPr>
      <w:proofErr w:type="spellStart"/>
      <w:r w:rsidRPr="00B7728D">
        <w:rPr>
          <w:lang w:val="en-US"/>
        </w:rPr>
        <w:t>Vertimed</w:t>
      </w:r>
      <w:proofErr w:type="spellEnd"/>
      <w:r w:rsidRPr="00B7728D">
        <w:rPr>
          <w:lang w:val="en-US"/>
        </w:rPr>
        <w:t xml:space="preserve"> </w:t>
      </w:r>
      <w:r w:rsidRPr="00B7728D">
        <w:rPr>
          <w:lang w:eastAsia="bg-BG"/>
        </w:rPr>
        <w:t xml:space="preserve">16 </w:t>
      </w:r>
      <w:r w:rsidRPr="00B7728D">
        <w:rPr>
          <w:lang w:val="en-US"/>
        </w:rPr>
        <w:t>mg tablets</w:t>
      </w:r>
    </w:p>
    <w:p w14:paraId="6C061AA6" w14:textId="77777777" w:rsidR="00B7728D" w:rsidRDefault="00B7728D" w:rsidP="00B7728D">
      <w:pPr>
        <w:rPr>
          <w:lang w:eastAsia="bg-BG"/>
        </w:rPr>
      </w:pPr>
    </w:p>
    <w:p w14:paraId="1D5E31A3" w14:textId="0E54F34A" w:rsidR="00B7728D" w:rsidRPr="00B7728D" w:rsidRDefault="00B7728D" w:rsidP="00B7728D">
      <w:pPr>
        <w:rPr>
          <w:sz w:val="24"/>
          <w:szCs w:val="24"/>
          <w:lang w:val="en-US" w:eastAsia="bg-BG"/>
        </w:rPr>
      </w:pPr>
      <w:r w:rsidRPr="00B7728D">
        <w:rPr>
          <w:lang w:eastAsia="bg-BG"/>
        </w:rPr>
        <w:t xml:space="preserve">Вертимед </w:t>
      </w:r>
      <w:r w:rsidRPr="00B7728D">
        <w:rPr>
          <w:lang w:val="en-US"/>
        </w:rPr>
        <w:t xml:space="preserve">24 mg </w:t>
      </w:r>
      <w:r w:rsidRPr="00B7728D">
        <w:rPr>
          <w:lang w:eastAsia="bg-BG"/>
        </w:rPr>
        <w:t>таблетки</w:t>
      </w:r>
    </w:p>
    <w:p w14:paraId="41A30E96" w14:textId="77777777" w:rsidR="00B7728D" w:rsidRPr="00B7728D" w:rsidRDefault="00B7728D" w:rsidP="00B7728D">
      <w:pPr>
        <w:rPr>
          <w:sz w:val="24"/>
          <w:szCs w:val="24"/>
          <w:lang w:val="en-US" w:eastAsia="bg-BG"/>
        </w:rPr>
      </w:pPr>
      <w:proofErr w:type="spellStart"/>
      <w:r w:rsidRPr="00B7728D">
        <w:rPr>
          <w:lang w:val="en-US"/>
        </w:rPr>
        <w:t>Vertimed</w:t>
      </w:r>
      <w:proofErr w:type="spellEnd"/>
      <w:r w:rsidRPr="00B7728D">
        <w:rPr>
          <w:lang w:val="en-US"/>
        </w:rPr>
        <w:t xml:space="preserve"> 24 mg tablets</w:t>
      </w:r>
    </w:p>
    <w:p w14:paraId="05DB2005" w14:textId="77777777" w:rsidR="00B7728D" w:rsidRPr="00B7728D" w:rsidRDefault="00B7728D" w:rsidP="00B7728D"/>
    <w:p w14:paraId="0DF202EC" w14:textId="10882A08" w:rsidR="00F53FB7" w:rsidRDefault="00DD466D" w:rsidP="00A93499">
      <w:pPr>
        <w:pStyle w:val="Heading1"/>
      </w:pPr>
      <w:r>
        <w:t>2. КАЧЕСТВЕН И КОЛИЧЕСТВЕН СЪСТАВ</w:t>
      </w:r>
    </w:p>
    <w:p w14:paraId="335B5ED0" w14:textId="77777777" w:rsidR="00B7728D" w:rsidRDefault="00B7728D" w:rsidP="00B7728D"/>
    <w:p w14:paraId="31BEA729"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8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 В</w:t>
      </w:r>
      <w:r w:rsidRPr="00B7728D">
        <w:rPr>
          <w:rFonts w:eastAsia="Times New Roman" w:cs="Arial"/>
          <w:color w:val="000000"/>
          <w:lang w:eastAsia="bg-BG"/>
        </w:rPr>
        <w:t xml:space="preserve">сяка таблетка съдържа 8 </w:t>
      </w:r>
      <w:r w:rsidRPr="00B7728D">
        <w:rPr>
          <w:rFonts w:eastAsia="Times New Roman" w:cs="Arial"/>
          <w:color w:val="000000"/>
          <w:lang w:val="en-US"/>
        </w:rPr>
        <w:t xml:space="preserve">mg </w:t>
      </w:r>
      <w:r w:rsidRPr="00B7728D">
        <w:rPr>
          <w:rFonts w:eastAsia="Times New Roman" w:cs="Arial"/>
          <w:color w:val="000000"/>
          <w:lang w:eastAsia="bg-BG"/>
        </w:rPr>
        <w:t xml:space="preserve">бетахистинов дихидрохлорид </w:t>
      </w:r>
      <w:r w:rsidRPr="00B7728D">
        <w:rPr>
          <w:rFonts w:eastAsia="Times New Roman" w:cs="Arial"/>
          <w:color w:val="000000"/>
          <w:lang w:val="en-US"/>
        </w:rPr>
        <w:t>/</w:t>
      </w:r>
      <w:proofErr w:type="spellStart"/>
      <w:r w:rsidRPr="00B7728D">
        <w:rPr>
          <w:rFonts w:eastAsia="Times New Roman" w:cs="Arial"/>
          <w:color w:val="000000"/>
          <w:lang w:val="en-US"/>
        </w:rPr>
        <w:t>betahistine</w:t>
      </w:r>
      <w:proofErr w:type="spellEnd"/>
      <w:r w:rsidRPr="00B7728D">
        <w:rPr>
          <w:rFonts w:eastAsia="Times New Roman" w:cs="Arial"/>
          <w:color w:val="000000"/>
          <w:lang w:val="en-US"/>
        </w:rPr>
        <w:t xml:space="preserve"> dihydrochloride/.</w:t>
      </w:r>
    </w:p>
    <w:p w14:paraId="768D30C3" w14:textId="77777777" w:rsidR="00B7728D" w:rsidRDefault="00B7728D" w:rsidP="00B7728D">
      <w:pPr>
        <w:spacing w:line="240" w:lineRule="auto"/>
        <w:rPr>
          <w:rFonts w:eastAsia="Times New Roman" w:cs="Arial"/>
          <w:color w:val="000000"/>
          <w:u w:val="single"/>
          <w:lang w:eastAsia="bg-BG"/>
        </w:rPr>
      </w:pPr>
    </w:p>
    <w:p w14:paraId="7A1FAF20" w14:textId="175D6F8D"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16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 В</w:t>
      </w:r>
      <w:r w:rsidRPr="00B7728D">
        <w:rPr>
          <w:rFonts w:eastAsia="Times New Roman" w:cs="Arial"/>
          <w:color w:val="000000"/>
          <w:lang w:eastAsia="bg-BG"/>
        </w:rPr>
        <w:t xml:space="preserve">сяка таблетка съдържа 16 </w:t>
      </w:r>
      <w:r w:rsidRPr="00B7728D">
        <w:rPr>
          <w:rFonts w:eastAsia="Times New Roman" w:cs="Arial"/>
          <w:color w:val="000000"/>
          <w:lang w:val="en-US"/>
        </w:rPr>
        <w:t xml:space="preserve">mg </w:t>
      </w:r>
      <w:r w:rsidRPr="00B7728D">
        <w:rPr>
          <w:rFonts w:eastAsia="Times New Roman" w:cs="Arial"/>
          <w:color w:val="000000"/>
          <w:lang w:eastAsia="bg-BG"/>
        </w:rPr>
        <w:t xml:space="preserve">бетахистинов дихидрохлорид </w:t>
      </w:r>
      <w:r w:rsidRPr="00B7728D">
        <w:rPr>
          <w:rFonts w:eastAsia="Times New Roman" w:cs="Arial"/>
          <w:color w:val="000000"/>
          <w:lang w:val="en-US"/>
        </w:rPr>
        <w:t>/</w:t>
      </w:r>
      <w:proofErr w:type="spellStart"/>
      <w:r w:rsidRPr="00B7728D">
        <w:rPr>
          <w:rFonts w:eastAsia="Times New Roman" w:cs="Arial"/>
          <w:color w:val="000000"/>
          <w:lang w:val="en-US"/>
        </w:rPr>
        <w:t>betahistine</w:t>
      </w:r>
      <w:proofErr w:type="spellEnd"/>
      <w:r w:rsidRPr="00B7728D">
        <w:rPr>
          <w:rFonts w:eastAsia="Times New Roman" w:cs="Arial"/>
          <w:color w:val="000000"/>
          <w:lang w:val="en-US"/>
        </w:rPr>
        <w:t xml:space="preserve"> dihydrochloride/.</w:t>
      </w:r>
    </w:p>
    <w:p w14:paraId="651FFDEE" w14:textId="77777777" w:rsidR="00B7728D" w:rsidRDefault="00B7728D" w:rsidP="00B7728D">
      <w:pPr>
        <w:spacing w:line="240" w:lineRule="auto"/>
        <w:rPr>
          <w:rFonts w:eastAsia="Times New Roman" w:cs="Arial"/>
          <w:color w:val="000000"/>
          <w:u w:val="single"/>
          <w:lang w:eastAsia="bg-BG"/>
        </w:rPr>
      </w:pPr>
    </w:p>
    <w:p w14:paraId="2C8E59A9" w14:textId="2F7636C5"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24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 В</w:t>
      </w:r>
      <w:r w:rsidRPr="00B7728D">
        <w:rPr>
          <w:rFonts w:eastAsia="Times New Roman" w:cs="Arial"/>
          <w:color w:val="000000"/>
          <w:lang w:eastAsia="bg-BG"/>
        </w:rPr>
        <w:t xml:space="preserve">сяка таблетка съдържа 24 </w:t>
      </w:r>
      <w:r w:rsidRPr="00B7728D">
        <w:rPr>
          <w:rFonts w:eastAsia="Times New Roman" w:cs="Arial"/>
          <w:color w:val="000000"/>
          <w:lang w:val="en-US"/>
        </w:rPr>
        <w:t xml:space="preserve">mg </w:t>
      </w:r>
      <w:r w:rsidRPr="00B7728D">
        <w:rPr>
          <w:rFonts w:eastAsia="Times New Roman" w:cs="Arial"/>
          <w:color w:val="000000"/>
          <w:lang w:eastAsia="bg-BG"/>
        </w:rPr>
        <w:t xml:space="preserve">бетахистинов дихидрохлорид </w:t>
      </w:r>
      <w:r w:rsidRPr="00B7728D">
        <w:rPr>
          <w:rFonts w:eastAsia="Times New Roman" w:cs="Arial"/>
          <w:color w:val="000000"/>
          <w:lang w:val="en-US"/>
        </w:rPr>
        <w:t>/</w:t>
      </w:r>
      <w:proofErr w:type="spellStart"/>
      <w:r w:rsidRPr="00B7728D">
        <w:rPr>
          <w:rFonts w:eastAsia="Times New Roman" w:cs="Arial"/>
          <w:color w:val="000000"/>
          <w:lang w:val="en-US"/>
        </w:rPr>
        <w:t>betahistine</w:t>
      </w:r>
      <w:proofErr w:type="spellEnd"/>
      <w:r w:rsidRPr="00B7728D">
        <w:rPr>
          <w:rFonts w:eastAsia="Times New Roman" w:cs="Arial"/>
          <w:color w:val="000000"/>
          <w:lang w:val="en-US"/>
        </w:rPr>
        <w:t xml:space="preserve"> dihydrochloride/.</w:t>
      </w:r>
    </w:p>
    <w:p w14:paraId="443E9210" w14:textId="77777777" w:rsidR="00B7728D" w:rsidRDefault="00B7728D" w:rsidP="00B7728D">
      <w:pPr>
        <w:spacing w:line="240" w:lineRule="auto"/>
        <w:rPr>
          <w:rFonts w:eastAsia="Times New Roman" w:cs="Arial"/>
          <w:color w:val="000000"/>
          <w:lang w:eastAsia="bg-BG"/>
        </w:rPr>
      </w:pPr>
    </w:p>
    <w:p w14:paraId="6C1265C2" w14:textId="1949EE10"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Помощно вещество с известно действие: лактоза монохидрат.</w:t>
      </w:r>
    </w:p>
    <w:p w14:paraId="18D6BA9E"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8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Всяка таблетка съдържа 50 </w:t>
      </w:r>
      <w:r w:rsidRPr="00B7728D">
        <w:rPr>
          <w:rFonts w:eastAsia="Times New Roman" w:cs="Arial"/>
          <w:color w:val="000000"/>
          <w:lang w:val="en-US"/>
        </w:rPr>
        <w:t xml:space="preserve">mg </w:t>
      </w:r>
      <w:r w:rsidRPr="00B7728D">
        <w:rPr>
          <w:rFonts w:eastAsia="Times New Roman" w:cs="Arial"/>
          <w:color w:val="000000"/>
          <w:lang w:eastAsia="bg-BG"/>
        </w:rPr>
        <w:t>лактоза монохидрат.</w:t>
      </w:r>
    </w:p>
    <w:p w14:paraId="00C1EBA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16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Всяка таблетка съдържа 100 </w:t>
      </w:r>
      <w:r w:rsidRPr="00B7728D">
        <w:rPr>
          <w:rFonts w:eastAsia="Times New Roman" w:cs="Arial"/>
          <w:color w:val="000000"/>
          <w:lang w:val="en-US"/>
        </w:rPr>
        <w:t xml:space="preserve">mg </w:t>
      </w:r>
      <w:r w:rsidRPr="00B7728D">
        <w:rPr>
          <w:rFonts w:eastAsia="Times New Roman" w:cs="Arial"/>
          <w:color w:val="000000"/>
          <w:lang w:eastAsia="bg-BG"/>
        </w:rPr>
        <w:t>лактоза монохидрат.</w:t>
      </w:r>
    </w:p>
    <w:p w14:paraId="2A7B5977" w14:textId="77777777" w:rsidR="00B7728D" w:rsidRPr="00B7728D" w:rsidRDefault="00B7728D" w:rsidP="00B7728D">
      <w:pPr>
        <w:spacing w:line="240" w:lineRule="auto"/>
        <w:rPr>
          <w:rFonts w:ascii="Times New Roman" w:eastAsia="Times New Roman" w:hAnsi="Times New Roman" w:cs="Times New Roman"/>
          <w:sz w:val="24"/>
          <w:szCs w:val="24"/>
          <w:lang w:eastAsia="bg-BG"/>
        </w:rPr>
      </w:pPr>
      <w:r w:rsidRPr="00B7728D">
        <w:rPr>
          <w:rFonts w:eastAsia="Times New Roman" w:cs="Arial"/>
          <w:color w:val="000000"/>
          <w:u w:val="single"/>
          <w:lang w:eastAsia="bg-BG"/>
        </w:rPr>
        <w:t xml:space="preserve">Вертимед 24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Всяка таблетка съдържа 150 </w:t>
      </w:r>
      <w:r w:rsidRPr="00B7728D">
        <w:rPr>
          <w:rFonts w:eastAsia="Times New Roman" w:cs="Arial"/>
          <w:color w:val="000000"/>
          <w:lang w:val="en-US"/>
        </w:rPr>
        <w:t xml:space="preserve">mg </w:t>
      </w:r>
      <w:r w:rsidRPr="00B7728D">
        <w:rPr>
          <w:rFonts w:eastAsia="Times New Roman" w:cs="Arial"/>
          <w:color w:val="000000"/>
          <w:lang w:eastAsia="bg-BG"/>
        </w:rPr>
        <w:t>лактоза монохидрат.</w:t>
      </w:r>
    </w:p>
    <w:p w14:paraId="6934E008" w14:textId="77777777" w:rsidR="00B7728D" w:rsidRPr="00B7728D" w:rsidRDefault="00B7728D" w:rsidP="00B7728D"/>
    <w:p w14:paraId="4CABB9ED" w14:textId="2740FB4D" w:rsidR="00F53FB7" w:rsidRDefault="00DD466D" w:rsidP="00A93499">
      <w:pPr>
        <w:pStyle w:val="Heading1"/>
      </w:pPr>
      <w:r>
        <w:t>3. ЛЕКАРСТВЕНА ФОРМА</w:t>
      </w:r>
    </w:p>
    <w:p w14:paraId="5DCCEC43" w14:textId="77777777" w:rsidR="00B7728D" w:rsidRDefault="00B7728D" w:rsidP="00B7728D"/>
    <w:p w14:paraId="7BBBC62C"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Таблетка.</w:t>
      </w:r>
    </w:p>
    <w:p w14:paraId="58375C5E" w14:textId="77777777" w:rsidR="00B7728D" w:rsidRDefault="00B7728D" w:rsidP="00B7728D">
      <w:pPr>
        <w:spacing w:line="240" w:lineRule="auto"/>
        <w:rPr>
          <w:rFonts w:eastAsia="Times New Roman" w:cs="Arial"/>
          <w:color w:val="000000"/>
          <w:u w:val="single"/>
          <w:lang w:eastAsia="bg-BG"/>
        </w:rPr>
      </w:pPr>
    </w:p>
    <w:p w14:paraId="6DAE7DB8" w14:textId="423DCEE7"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8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Бяла, кръгла, плоска, скосена таблетка, с делителна черта от едната страна, с диаметър 6.6 </w:t>
      </w:r>
      <w:r w:rsidRPr="00B7728D">
        <w:rPr>
          <w:rFonts w:eastAsia="Times New Roman" w:cs="Arial"/>
          <w:color w:val="000000"/>
          <w:lang w:val="en-US"/>
        </w:rPr>
        <w:t>mm.</w:t>
      </w:r>
    </w:p>
    <w:p w14:paraId="5A19DFD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Делителната черта е предназначена единствено за разделяне на таблетката с цел по-лесното й преглъщане, а не с цел разделяне на две равни дози.</w:t>
      </w:r>
    </w:p>
    <w:p w14:paraId="3B097CE0" w14:textId="77777777" w:rsidR="00B7728D" w:rsidRDefault="00B7728D" w:rsidP="00B7728D">
      <w:pPr>
        <w:spacing w:line="240" w:lineRule="auto"/>
        <w:rPr>
          <w:rFonts w:eastAsia="Times New Roman" w:cs="Arial"/>
          <w:color w:val="000000"/>
          <w:u w:val="single"/>
          <w:lang w:eastAsia="bg-BG"/>
        </w:rPr>
      </w:pPr>
    </w:p>
    <w:p w14:paraId="2DAE5ABC" w14:textId="5EDF63EE"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 xml:space="preserve">Вертимед 16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Бяла, кръгла, плоска, скосена таблетка, с делителна черта от едната страна, с диаметър 9.0 </w:t>
      </w:r>
      <w:r w:rsidRPr="00B7728D">
        <w:rPr>
          <w:rFonts w:eastAsia="Times New Roman" w:cs="Arial"/>
          <w:color w:val="000000"/>
          <w:lang w:val="en-US"/>
        </w:rPr>
        <w:t xml:space="preserve">mm. </w:t>
      </w:r>
      <w:r w:rsidRPr="00B7728D">
        <w:rPr>
          <w:rFonts w:eastAsia="Times New Roman" w:cs="Arial"/>
          <w:color w:val="000000"/>
          <w:lang w:eastAsia="bg-BG"/>
        </w:rPr>
        <w:t>Таблетката може да бъде разделена на две равни дози.</w:t>
      </w:r>
    </w:p>
    <w:p w14:paraId="3B87E509" w14:textId="77777777" w:rsidR="00B7728D" w:rsidRDefault="00B7728D" w:rsidP="00B7728D">
      <w:pPr>
        <w:spacing w:line="240" w:lineRule="auto"/>
        <w:rPr>
          <w:rFonts w:eastAsia="Times New Roman" w:cs="Arial"/>
          <w:color w:val="000000"/>
          <w:u w:val="single"/>
          <w:lang w:eastAsia="bg-BG"/>
        </w:rPr>
      </w:pPr>
    </w:p>
    <w:p w14:paraId="14DBA748" w14:textId="760867ED" w:rsidR="00B7728D" w:rsidRPr="00B7728D" w:rsidRDefault="00B7728D" w:rsidP="00B7728D">
      <w:pPr>
        <w:spacing w:line="240" w:lineRule="auto"/>
        <w:rPr>
          <w:rFonts w:ascii="Times New Roman" w:eastAsia="Times New Roman" w:hAnsi="Times New Roman" w:cs="Times New Roman"/>
          <w:sz w:val="24"/>
          <w:szCs w:val="24"/>
          <w:lang w:eastAsia="bg-BG"/>
        </w:rPr>
      </w:pPr>
      <w:r w:rsidRPr="00B7728D">
        <w:rPr>
          <w:rFonts w:eastAsia="Times New Roman" w:cs="Arial"/>
          <w:color w:val="000000"/>
          <w:u w:val="single"/>
          <w:lang w:eastAsia="bg-BG"/>
        </w:rPr>
        <w:t xml:space="preserve">Вертимед 24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таблетки</w:t>
      </w:r>
      <w:r w:rsidRPr="00B7728D">
        <w:rPr>
          <w:rFonts w:eastAsia="Times New Roman" w:cs="Arial"/>
          <w:color w:val="000000"/>
          <w:lang w:eastAsia="bg-BG"/>
        </w:rPr>
        <w:t xml:space="preserve">: Бяла, кръгла, плоска, скосена таблетка, с делителна черта от едната страна, с диаметър 10.0 </w:t>
      </w:r>
      <w:r w:rsidRPr="00B7728D">
        <w:rPr>
          <w:rFonts w:eastAsia="Times New Roman" w:cs="Arial"/>
          <w:color w:val="000000"/>
          <w:lang w:val="en-US"/>
        </w:rPr>
        <w:t xml:space="preserve">mm. </w:t>
      </w:r>
      <w:r w:rsidRPr="00B7728D">
        <w:rPr>
          <w:rFonts w:eastAsia="Times New Roman" w:cs="Arial"/>
          <w:color w:val="000000"/>
          <w:lang w:eastAsia="bg-BG"/>
        </w:rPr>
        <w:t>Таблетката може да бъде разделена на две равни дози.</w:t>
      </w:r>
    </w:p>
    <w:p w14:paraId="5CB6F25F" w14:textId="77777777" w:rsidR="00B7728D" w:rsidRPr="00B7728D" w:rsidRDefault="00B7728D" w:rsidP="00B7728D"/>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77055E0C" w14:textId="77777777" w:rsidR="00B7728D" w:rsidRDefault="00B7728D" w:rsidP="00B7728D"/>
    <w:p w14:paraId="17F0481B" w14:textId="77777777" w:rsidR="00B7728D" w:rsidRPr="00B7728D" w:rsidRDefault="00B7728D" w:rsidP="00B7728D">
      <w:pPr>
        <w:pStyle w:val="ListParagraph"/>
        <w:numPr>
          <w:ilvl w:val="0"/>
          <w:numId w:val="40"/>
        </w:numPr>
        <w:spacing w:line="240" w:lineRule="auto"/>
        <w:rPr>
          <w:rFonts w:eastAsia="Times New Roman" w:cs="Arial"/>
          <w:lang w:eastAsia="bg-BG"/>
        </w:rPr>
      </w:pPr>
      <w:r w:rsidRPr="00B7728D">
        <w:rPr>
          <w:rFonts w:eastAsia="Times New Roman" w:cs="Arial"/>
          <w:color w:val="000000"/>
          <w:lang w:eastAsia="bg-BG"/>
        </w:rPr>
        <w:t xml:space="preserve">Симптоматично лечение на Болестта на Мениер </w:t>
      </w:r>
      <w:r w:rsidRPr="00B7728D">
        <w:rPr>
          <w:rFonts w:eastAsia="Times New Roman" w:cs="Arial"/>
          <w:color w:val="000000"/>
          <w:lang w:val="en-US"/>
        </w:rPr>
        <w:t>(Meniere’s disease).</w:t>
      </w:r>
    </w:p>
    <w:p w14:paraId="600BB552" w14:textId="0A346AC2" w:rsidR="00B7728D" w:rsidRPr="00B7728D" w:rsidRDefault="00B7728D" w:rsidP="00B7728D">
      <w:pPr>
        <w:pStyle w:val="ListParagraph"/>
        <w:numPr>
          <w:ilvl w:val="0"/>
          <w:numId w:val="40"/>
        </w:numPr>
        <w:spacing w:line="240" w:lineRule="auto"/>
        <w:rPr>
          <w:rFonts w:eastAsia="Times New Roman" w:cs="Arial"/>
          <w:lang w:eastAsia="bg-BG"/>
        </w:rPr>
      </w:pPr>
      <w:r w:rsidRPr="00B7728D">
        <w:rPr>
          <w:rFonts w:eastAsia="Times New Roman" w:cs="Arial"/>
          <w:color w:val="000000"/>
          <w:lang w:eastAsia="bg-BG"/>
        </w:rPr>
        <w:t>Симптоматично лечение на вестибуларно вертиго.</w:t>
      </w:r>
    </w:p>
    <w:p w14:paraId="2E3C067E" w14:textId="77777777" w:rsidR="00B7728D" w:rsidRPr="00B7728D" w:rsidRDefault="00B7728D" w:rsidP="00B7728D"/>
    <w:p w14:paraId="31744E5A" w14:textId="29FBB145" w:rsidR="009F77A4" w:rsidRDefault="002C50EE" w:rsidP="00387A66">
      <w:pPr>
        <w:pStyle w:val="Heading2"/>
      </w:pPr>
      <w:r>
        <w:t>4.2. Дозировка и начин на приложение</w:t>
      </w:r>
    </w:p>
    <w:p w14:paraId="6792343E" w14:textId="77777777" w:rsidR="00B7728D" w:rsidRDefault="00B7728D" w:rsidP="00B7728D"/>
    <w:p w14:paraId="43A51762" w14:textId="77777777" w:rsidR="00B7728D" w:rsidRPr="00B7728D" w:rsidRDefault="00B7728D" w:rsidP="00B7728D">
      <w:pPr>
        <w:pStyle w:val="Heading3"/>
        <w:rPr>
          <w:rFonts w:eastAsia="Times New Roman"/>
          <w:sz w:val="12"/>
          <w:szCs w:val="12"/>
          <w:u w:val="single"/>
          <w:lang w:eastAsia="bg-BG"/>
        </w:rPr>
      </w:pPr>
      <w:r w:rsidRPr="00B7728D">
        <w:rPr>
          <w:rFonts w:eastAsia="Times New Roman"/>
          <w:u w:val="single"/>
          <w:lang w:eastAsia="bg-BG"/>
        </w:rPr>
        <w:t>Дозировка</w:t>
      </w:r>
    </w:p>
    <w:p w14:paraId="02EE3A31" w14:textId="77777777" w:rsidR="00B7728D" w:rsidRPr="00B7728D" w:rsidRDefault="00B7728D" w:rsidP="00B7728D">
      <w:pPr>
        <w:spacing w:line="240" w:lineRule="auto"/>
        <w:rPr>
          <w:rFonts w:eastAsia="Times New Roman" w:cs="Arial"/>
          <w:i/>
          <w:iCs/>
          <w:color w:val="000000"/>
          <w:lang w:eastAsia="bg-BG"/>
        </w:rPr>
      </w:pPr>
    </w:p>
    <w:p w14:paraId="2F7EE08C" w14:textId="6F1E92AF" w:rsidR="00B7728D" w:rsidRPr="00B7728D" w:rsidRDefault="00B7728D" w:rsidP="00B7728D">
      <w:pPr>
        <w:spacing w:line="240" w:lineRule="auto"/>
        <w:rPr>
          <w:rFonts w:eastAsia="Times New Roman" w:cs="Arial"/>
          <w:sz w:val="12"/>
          <w:szCs w:val="12"/>
          <w:lang w:eastAsia="bg-BG"/>
        </w:rPr>
      </w:pPr>
      <w:r w:rsidRPr="00B7728D">
        <w:rPr>
          <w:rFonts w:eastAsia="Times New Roman" w:cs="Arial"/>
          <w:i/>
          <w:iCs/>
          <w:color w:val="000000"/>
          <w:lang w:eastAsia="bg-BG"/>
        </w:rPr>
        <w:t>Възрастни</w:t>
      </w:r>
    </w:p>
    <w:p w14:paraId="31791B73" w14:textId="77777777" w:rsidR="00B7728D" w:rsidRPr="00B7728D" w:rsidRDefault="00B7728D" w:rsidP="00B7728D">
      <w:pPr>
        <w:spacing w:line="240" w:lineRule="auto"/>
        <w:rPr>
          <w:rFonts w:eastAsia="Times New Roman" w:cs="Arial"/>
          <w:sz w:val="12"/>
          <w:szCs w:val="12"/>
          <w:lang w:eastAsia="bg-BG"/>
        </w:rPr>
      </w:pPr>
      <w:r w:rsidRPr="00B7728D">
        <w:rPr>
          <w:rFonts w:eastAsia="Times New Roman" w:cs="Arial"/>
          <w:color w:val="000000"/>
          <w:u w:val="single"/>
          <w:lang w:eastAsia="bg-BG"/>
        </w:rPr>
        <w:t xml:space="preserve">24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 xml:space="preserve">- 48 </w:t>
      </w:r>
      <w:r w:rsidRPr="00B7728D">
        <w:rPr>
          <w:rFonts w:eastAsia="Times New Roman" w:cs="Arial"/>
          <w:color w:val="000000"/>
          <w:u w:val="single"/>
          <w:lang w:val="en-US"/>
        </w:rPr>
        <w:t xml:space="preserve">mg </w:t>
      </w:r>
      <w:r w:rsidRPr="00B7728D">
        <w:rPr>
          <w:rFonts w:eastAsia="Times New Roman" w:cs="Arial"/>
          <w:color w:val="000000"/>
          <w:u w:val="single"/>
          <w:lang w:eastAsia="bg-BG"/>
        </w:rPr>
        <w:t>бетахистинов дихидрохлорид дневно, разделен на дози.</w:t>
      </w:r>
    </w:p>
    <w:tbl>
      <w:tblPr>
        <w:tblStyle w:val="TableGrid"/>
        <w:tblW w:w="0" w:type="auto"/>
        <w:tblLook w:val="04A0" w:firstRow="1" w:lastRow="0" w:firstColumn="1" w:lastColumn="0" w:noHBand="0" w:noVBand="1"/>
      </w:tblPr>
      <w:tblGrid>
        <w:gridCol w:w="3116"/>
        <w:gridCol w:w="3117"/>
        <w:gridCol w:w="3117"/>
      </w:tblGrid>
      <w:tr w:rsidR="00B7728D" w14:paraId="03B300BD" w14:textId="77777777" w:rsidTr="00A61254">
        <w:tc>
          <w:tcPr>
            <w:tcW w:w="3166" w:type="dxa"/>
            <w:vAlign w:val="bottom"/>
          </w:tcPr>
          <w:p w14:paraId="2CF660B1" w14:textId="43CC0A06" w:rsidR="00B7728D" w:rsidRDefault="00B7728D" w:rsidP="00B7728D">
            <w:r>
              <w:t xml:space="preserve">8 </w:t>
            </w:r>
            <w:r>
              <w:rPr>
                <w:lang w:val="en-US"/>
              </w:rPr>
              <w:t xml:space="preserve">mg </w:t>
            </w:r>
            <w:r>
              <w:t>таблетки</w:t>
            </w:r>
          </w:p>
        </w:tc>
        <w:tc>
          <w:tcPr>
            <w:tcW w:w="3167" w:type="dxa"/>
            <w:vAlign w:val="bottom"/>
          </w:tcPr>
          <w:p w14:paraId="02E820E6" w14:textId="05A96B0D" w:rsidR="00B7728D" w:rsidRDefault="00B7728D" w:rsidP="00B7728D">
            <w:r>
              <w:t xml:space="preserve">16 </w:t>
            </w:r>
            <w:r>
              <w:rPr>
                <w:lang w:val="en-US"/>
              </w:rPr>
              <w:t xml:space="preserve">mg </w:t>
            </w:r>
            <w:r>
              <w:t>таблетки</w:t>
            </w:r>
          </w:p>
        </w:tc>
        <w:tc>
          <w:tcPr>
            <w:tcW w:w="3167" w:type="dxa"/>
            <w:vAlign w:val="bottom"/>
          </w:tcPr>
          <w:p w14:paraId="1E42CCAE" w14:textId="4F7C8BDE" w:rsidR="00B7728D" w:rsidRDefault="00B7728D" w:rsidP="00B7728D">
            <w:r>
              <w:t xml:space="preserve">24 </w:t>
            </w:r>
            <w:r>
              <w:rPr>
                <w:lang w:val="en-US"/>
              </w:rPr>
              <w:t xml:space="preserve">mg </w:t>
            </w:r>
            <w:r>
              <w:t>таблетки</w:t>
            </w:r>
          </w:p>
        </w:tc>
      </w:tr>
      <w:tr w:rsidR="00B7728D" w14:paraId="2309B99B" w14:textId="77777777" w:rsidTr="00A61254">
        <w:tc>
          <w:tcPr>
            <w:tcW w:w="3166" w:type="dxa"/>
            <w:vAlign w:val="bottom"/>
          </w:tcPr>
          <w:p w14:paraId="05300EC2" w14:textId="780E9BB0" w:rsidR="00B7728D" w:rsidRDefault="00B7728D" w:rsidP="00B7728D">
            <w:r>
              <w:rPr>
                <w:lang w:val="en-US"/>
              </w:rPr>
              <w:t xml:space="preserve">1-2 </w:t>
            </w:r>
            <w:r>
              <w:t>таблетки 3 пъти дневно</w:t>
            </w:r>
          </w:p>
        </w:tc>
        <w:tc>
          <w:tcPr>
            <w:tcW w:w="3167" w:type="dxa"/>
            <w:vAlign w:val="bottom"/>
          </w:tcPr>
          <w:p w14:paraId="1FB2CF84" w14:textId="6377992F" w:rsidR="00B7728D" w:rsidRDefault="00B7728D" w:rsidP="00B7728D">
            <w:r>
              <w:t>1/2-1 таблетка 3 пъти дневно</w:t>
            </w:r>
          </w:p>
        </w:tc>
        <w:tc>
          <w:tcPr>
            <w:tcW w:w="3167" w:type="dxa"/>
            <w:vAlign w:val="bottom"/>
          </w:tcPr>
          <w:p w14:paraId="29CFC6C8" w14:textId="7E3C8FCA" w:rsidR="00B7728D" w:rsidRDefault="00B7728D" w:rsidP="00B7728D">
            <w:r>
              <w:t>1 таблетка 2 пъти дневно</w:t>
            </w:r>
          </w:p>
        </w:tc>
      </w:tr>
    </w:tbl>
    <w:p w14:paraId="69DD92F4"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Дозата се индивидуализира. Понякога може да се наблюдава подобрение в състоянието след няколко седмици лечение.</w:t>
      </w:r>
    </w:p>
    <w:p w14:paraId="745B8842"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Най-добър резултат от лечението се постига след няколко месеца.</w:t>
      </w:r>
    </w:p>
    <w:p w14:paraId="76874236"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Своевременното започване на лечението в ранните стадии може да предотврати прогресирането на заболяването и/ или загубата на слуха в късните стадии на заболяването.</w:t>
      </w:r>
    </w:p>
    <w:p w14:paraId="1D057BE4" w14:textId="77777777" w:rsidR="00B7728D" w:rsidRDefault="00B7728D" w:rsidP="00B7728D">
      <w:pPr>
        <w:spacing w:line="240" w:lineRule="auto"/>
        <w:rPr>
          <w:rFonts w:eastAsia="Times New Roman" w:cs="Arial"/>
          <w:i/>
          <w:iCs/>
          <w:color w:val="000000"/>
          <w:lang w:eastAsia="bg-BG"/>
        </w:rPr>
      </w:pPr>
    </w:p>
    <w:p w14:paraId="3E0403BC" w14:textId="695FD89A"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Педиатрична популация</w:t>
      </w:r>
    </w:p>
    <w:p w14:paraId="3B100F5A"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Вертимед не се препоръчва за употреба при деца под 18-годишна възраст поради липса на достатъчно данни за безопасност и ефективност.</w:t>
      </w:r>
    </w:p>
    <w:p w14:paraId="0C51E270" w14:textId="77777777" w:rsidR="00B7728D" w:rsidRDefault="00B7728D" w:rsidP="00B7728D">
      <w:pPr>
        <w:spacing w:line="240" w:lineRule="auto"/>
        <w:rPr>
          <w:rFonts w:eastAsia="Times New Roman" w:cs="Arial"/>
          <w:i/>
          <w:iCs/>
          <w:color w:val="000000"/>
          <w:lang w:eastAsia="bg-BG"/>
        </w:rPr>
      </w:pPr>
    </w:p>
    <w:p w14:paraId="7229B12E" w14:textId="766E9B8A"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Пациенти в старческа възраст</w:t>
      </w:r>
    </w:p>
    <w:p w14:paraId="447F2879"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Данните от клиничните проучвания при тази група пациенти са ограничени. Въз основа на постмаркетинговия опит не е необходимо адаптиране на дозата.</w:t>
      </w:r>
    </w:p>
    <w:p w14:paraId="16A874A7" w14:textId="77777777" w:rsidR="00B7728D" w:rsidRDefault="00B7728D" w:rsidP="00B7728D">
      <w:pPr>
        <w:spacing w:line="240" w:lineRule="auto"/>
        <w:rPr>
          <w:rFonts w:eastAsia="Times New Roman" w:cs="Arial"/>
          <w:i/>
          <w:iCs/>
          <w:color w:val="000000"/>
          <w:lang w:eastAsia="bg-BG"/>
        </w:rPr>
      </w:pPr>
    </w:p>
    <w:p w14:paraId="5D40800C" w14:textId="3C68AC58"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Бъбречно увреждане</w:t>
      </w:r>
    </w:p>
    <w:p w14:paraId="0E7D4140"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Не са провеждани специфични проучвания при тази група пациенти. Въз основа на постмаркетинговия опит не е необходимо адаптиране на дозата.</w:t>
      </w:r>
    </w:p>
    <w:p w14:paraId="4663B670" w14:textId="77777777" w:rsidR="00B7728D" w:rsidRDefault="00B7728D" w:rsidP="00B7728D">
      <w:pPr>
        <w:spacing w:line="240" w:lineRule="auto"/>
        <w:rPr>
          <w:rFonts w:eastAsia="Times New Roman" w:cs="Arial"/>
          <w:i/>
          <w:iCs/>
          <w:color w:val="000000"/>
          <w:lang w:eastAsia="bg-BG"/>
        </w:rPr>
      </w:pPr>
    </w:p>
    <w:p w14:paraId="763CF582" w14:textId="578FE57C"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Чернодробно увреждане</w:t>
      </w:r>
    </w:p>
    <w:p w14:paraId="1BA38473"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Не са провеждани специфични проучвания при тази трупа пациенти. Въз основа на постмаркетинговия опит не е необходимо адаптиране на дозата.</w:t>
      </w:r>
    </w:p>
    <w:p w14:paraId="093F2E33" w14:textId="77777777" w:rsidR="00B7728D" w:rsidRDefault="00B7728D" w:rsidP="00B7728D">
      <w:pPr>
        <w:spacing w:line="240" w:lineRule="auto"/>
        <w:rPr>
          <w:rFonts w:eastAsia="Times New Roman" w:cs="Arial"/>
          <w:color w:val="000000"/>
          <w:u w:val="single"/>
          <w:lang w:eastAsia="bg-BG"/>
        </w:rPr>
      </w:pPr>
    </w:p>
    <w:p w14:paraId="6B1CEBF1" w14:textId="7A5AD235" w:rsidR="00B7728D" w:rsidRPr="00B7728D" w:rsidRDefault="00B7728D" w:rsidP="00B7728D">
      <w:pPr>
        <w:pStyle w:val="Heading3"/>
        <w:rPr>
          <w:rFonts w:eastAsia="Times New Roman"/>
          <w:u w:val="single"/>
          <w:lang w:eastAsia="bg-BG"/>
        </w:rPr>
      </w:pPr>
      <w:r w:rsidRPr="00B7728D">
        <w:rPr>
          <w:rFonts w:eastAsia="Times New Roman"/>
          <w:u w:val="single"/>
          <w:lang w:eastAsia="bg-BG"/>
        </w:rPr>
        <w:t>Начин на приложение</w:t>
      </w:r>
    </w:p>
    <w:p w14:paraId="4F947748"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Таблетките трябва да бъдат поглъщани цели с достатъчно количество течност по време на или след хранене.</w:t>
      </w:r>
    </w:p>
    <w:p w14:paraId="0DB0F361"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Продължителността на лечението зависи от структурата и развитието на заболяването. Обикновено се прилага лечение за продължителен период от време.</w:t>
      </w:r>
    </w:p>
    <w:p w14:paraId="4E80B1D9" w14:textId="77777777" w:rsidR="00B7728D" w:rsidRDefault="00B7728D" w:rsidP="00B7728D"/>
    <w:p w14:paraId="25B70AD0" w14:textId="77777777" w:rsidR="00B7728D" w:rsidRPr="00B7728D" w:rsidRDefault="00B7728D" w:rsidP="00B7728D"/>
    <w:p w14:paraId="5D9E65DA" w14:textId="37CC7594" w:rsidR="009F77A4" w:rsidRDefault="002C50EE" w:rsidP="00387A66">
      <w:pPr>
        <w:pStyle w:val="Heading2"/>
      </w:pPr>
      <w:r>
        <w:lastRenderedPageBreak/>
        <w:t>4.3. Противопоказания</w:t>
      </w:r>
    </w:p>
    <w:p w14:paraId="3F237F86" w14:textId="77777777" w:rsidR="00B7728D" w:rsidRDefault="00B7728D" w:rsidP="00B7728D"/>
    <w:p w14:paraId="19EFB2C8" w14:textId="77777777" w:rsidR="00B7728D" w:rsidRPr="00B7728D" w:rsidRDefault="00B7728D" w:rsidP="00B7728D">
      <w:pPr>
        <w:pStyle w:val="ListParagraph"/>
        <w:numPr>
          <w:ilvl w:val="0"/>
          <w:numId w:val="41"/>
        </w:numPr>
        <w:spacing w:line="240" w:lineRule="auto"/>
        <w:rPr>
          <w:rFonts w:eastAsia="Times New Roman" w:cs="Arial"/>
          <w:color w:val="000000"/>
          <w:lang w:eastAsia="bg-BG"/>
        </w:rPr>
      </w:pPr>
      <w:r w:rsidRPr="00B7728D">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0008374F" w14:textId="2B55E99B" w:rsidR="00B7728D" w:rsidRPr="00B7728D" w:rsidRDefault="00B7728D" w:rsidP="00B7728D">
      <w:pPr>
        <w:pStyle w:val="ListParagraph"/>
        <w:numPr>
          <w:ilvl w:val="0"/>
          <w:numId w:val="41"/>
        </w:numPr>
        <w:spacing w:line="240" w:lineRule="auto"/>
        <w:rPr>
          <w:rFonts w:eastAsia="Times New Roman" w:cs="Arial"/>
          <w:color w:val="000000"/>
          <w:lang w:eastAsia="bg-BG"/>
        </w:rPr>
      </w:pPr>
      <w:r w:rsidRPr="00B7728D">
        <w:rPr>
          <w:rFonts w:eastAsia="Times New Roman" w:cs="Arial"/>
          <w:color w:val="000000"/>
          <w:lang w:eastAsia="bg-BG"/>
        </w:rPr>
        <w:t>Феохромоцитом.</w:t>
      </w:r>
    </w:p>
    <w:p w14:paraId="611E57B8" w14:textId="77777777" w:rsidR="00B7728D" w:rsidRPr="00B7728D" w:rsidRDefault="00B7728D" w:rsidP="00B7728D"/>
    <w:p w14:paraId="1C27CE53" w14:textId="39C79156" w:rsidR="009F77A4" w:rsidRDefault="002C50EE" w:rsidP="00387A66">
      <w:pPr>
        <w:pStyle w:val="Heading2"/>
      </w:pPr>
      <w:r>
        <w:t>4.4. Специални предупреждения и предпазни мерки при употреба</w:t>
      </w:r>
    </w:p>
    <w:p w14:paraId="71FAC18A" w14:textId="77777777" w:rsidR="00B7728D" w:rsidRDefault="00B7728D" w:rsidP="00B7728D"/>
    <w:p w14:paraId="6A14F94E"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Пациентите с анамнеза за бронхиална астма и пептична язва трябва да бъдат внимателно проследявани по време на лечението.</w:t>
      </w:r>
    </w:p>
    <w:p w14:paraId="13D8F05F" w14:textId="77777777" w:rsidR="00B7728D" w:rsidRPr="00B7728D" w:rsidRDefault="00B7728D" w:rsidP="00B7728D">
      <w:pPr>
        <w:rPr>
          <w:rFonts w:cs="Arial"/>
        </w:rPr>
      </w:pPr>
    </w:p>
    <w:p w14:paraId="6254D2B6"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Вертимед съдържа лактоза. Пациентите с редки наследствени проблеми като галактозна непоносимост, </w:t>
      </w:r>
      <w:r w:rsidRPr="00B7728D">
        <w:rPr>
          <w:rFonts w:eastAsia="Times New Roman" w:cs="Arial"/>
          <w:color w:val="000000"/>
          <w:lang w:val="en-US"/>
        </w:rPr>
        <w:t>Lapp</w:t>
      </w:r>
      <w:r w:rsidRPr="00B7728D">
        <w:rPr>
          <w:rFonts w:eastAsia="Times New Roman" w:cs="Arial"/>
          <w:color w:val="000000"/>
          <w:lang w:eastAsia="bg-BG"/>
        </w:rPr>
        <w:t>-лактазен дефицит или глюкозно-галактозна малабсорбция не трябва да приемат този лекарствен продукт.</w:t>
      </w:r>
    </w:p>
    <w:p w14:paraId="600CEB1C" w14:textId="77777777" w:rsidR="00B7728D" w:rsidRPr="00B7728D" w:rsidRDefault="00B7728D" w:rsidP="00B7728D"/>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084EDC95" w14:textId="77777777" w:rsidR="00B7728D" w:rsidRDefault="00B7728D" w:rsidP="00B7728D"/>
    <w:p w14:paraId="65B08182"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Не са провеждани </w:t>
      </w:r>
      <w:r w:rsidRPr="00B7728D">
        <w:rPr>
          <w:rFonts w:eastAsia="Times New Roman" w:cs="Arial"/>
          <w:i/>
          <w:iCs/>
          <w:color w:val="000000"/>
          <w:lang w:val="en-US"/>
        </w:rPr>
        <w:t>in vivo</w:t>
      </w:r>
      <w:r w:rsidRPr="00B7728D">
        <w:rPr>
          <w:rFonts w:eastAsia="Times New Roman" w:cs="Arial"/>
          <w:color w:val="000000"/>
          <w:lang w:val="en-US"/>
        </w:rPr>
        <w:t xml:space="preserve"> </w:t>
      </w:r>
      <w:r w:rsidRPr="00B7728D">
        <w:rPr>
          <w:rFonts w:eastAsia="Times New Roman" w:cs="Arial"/>
          <w:color w:val="000000"/>
          <w:lang w:eastAsia="bg-BG"/>
        </w:rPr>
        <w:t>проучвания за взаимодействие.</w:t>
      </w:r>
    </w:p>
    <w:p w14:paraId="3F653E81"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Въз основа на данните от </w:t>
      </w:r>
      <w:r w:rsidRPr="00B7728D">
        <w:rPr>
          <w:rFonts w:eastAsia="Times New Roman" w:cs="Arial"/>
          <w:i/>
          <w:iCs/>
          <w:color w:val="000000"/>
          <w:lang w:val="en-US"/>
        </w:rPr>
        <w:t>in vitro</w:t>
      </w:r>
      <w:r w:rsidRPr="00B7728D">
        <w:rPr>
          <w:rFonts w:eastAsia="Times New Roman" w:cs="Arial"/>
          <w:color w:val="000000"/>
          <w:lang w:val="en-US"/>
        </w:rPr>
        <w:t xml:space="preserve"> </w:t>
      </w:r>
      <w:r w:rsidRPr="00B7728D">
        <w:rPr>
          <w:rFonts w:eastAsia="Times New Roman" w:cs="Arial"/>
          <w:color w:val="000000"/>
          <w:lang w:eastAsia="bg-BG"/>
        </w:rPr>
        <w:t>проучванията не се очаква бетахистин да инхибира цитохром Р450 ензимите.</w:t>
      </w:r>
    </w:p>
    <w:p w14:paraId="08CF23BB" w14:textId="77777777" w:rsidR="00B7728D" w:rsidRDefault="00B7728D" w:rsidP="00B7728D">
      <w:pPr>
        <w:spacing w:line="240" w:lineRule="auto"/>
        <w:rPr>
          <w:rFonts w:eastAsia="Times New Roman" w:cs="Arial"/>
          <w:i/>
          <w:iCs/>
          <w:color w:val="000000"/>
          <w:lang w:val="en-US"/>
        </w:rPr>
      </w:pPr>
    </w:p>
    <w:p w14:paraId="2A1BB262" w14:textId="1BB4F95D"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val="en-US"/>
        </w:rPr>
        <w:t>In vitro</w:t>
      </w:r>
      <w:r w:rsidRPr="00B7728D">
        <w:rPr>
          <w:rFonts w:eastAsia="Times New Roman" w:cs="Arial"/>
          <w:color w:val="000000"/>
          <w:lang w:val="en-US"/>
        </w:rPr>
        <w:t xml:space="preserve"> </w:t>
      </w:r>
      <w:r w:rsidRPr="00B7728D">
        <w:rPr>
          <w:rFonts w:eastAsia="Times New Roman" w:cs="Arial"/>
          <w:color w:val="000000"/>
          <w:lang w:eastAsia="bg-BG"/>
        </w:rPr>
        <w:t>данните показват потискане на метаболизма на бетахистин от лекарства, които инхибират моноаминооксидазата (МАО), включително МАО субтип В (например селегилин). Препоръчва се внимание, когато бетахистин се прилага съвместно с МАО инхибитори (включително МАО-В селективни).</w:t>
      </w:r>
    </w:p>
    <w:p w14:paraId="13ED8FDE" w14:textId="77777777" w:rsidR="00B7728D" w:rsidRDefault="00B7728D" w:rsidP="00B7728D">
      <w:pPr>
        <w:spacing w:line="240" w:lineRule="auto"/>
        <w:rPr>
          <w:rFonts w:eastAsia="Times New Roman" w:cs="Arial"/>
          <w:color w:val="000000"/>
          <w:lang w:eastAsia="bg-BG"/>
        </w:rPr>
      </w:pPr>
    </w:p>
    <w:p w14:paraId="03971313" w14:textId="2B73C8DD"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Бетахистин е хистаминов аналог, поради което съвместното приложение на бетахистин и антихистамини може теоретично да повлияе ефекта на всяко от лекарствата.</w:t>
      </w:r>
    </w:p>
    <w:p w14:paraId="0DDF203B" w14:textId="77777777" w:rsidR="00B7728D" w:rsidRPr="00B7728D" w:rsidRDefault="00B7728D" w:rsidP="00B7728D"/>
    <w:p w14:paraId="48846BBA" w14:textId="2507FDE7" w:rsidR="009F77A4" w:rsidRDefault="002C50EE" w:rsidP="00387A66">
      <w:pPr>
        <w:pStyle w:val="Heading2"/>
      </w:pPr>
      <w:r>
        <w:t>4.6. Фертилитет, бременност и кърмене</w:t>
      </w:r>
    </w:p>
    <w:p w14:paraId="766A59BF" w14:textId="77777777" w:rsidR="00B7728D" w:rsidRDefault="00B7728D" w:rsidP="00B7728D"/>
    <w:p w14:paraId="175B20F9" w14:textId="77777777" w:rsidR="00B7728D" w:rsidRPr="00B7728D" w:rsidRDefault="00B7728D" w:rsidP="00B7728D">
      <w:pPr>
        <w:pStyle w:val="Heading3"/>
        <w:rPr>
          <w:rFonts w:eastAsia="Times New Roman"/>
          <w:u w:val="single"/>
          <w:lang w:eastAsia="bg-BG"/>
        </w:rPr>
      </w:pPr>
      <w:r w:rsidRPr="00B7728D">
        <w:rPr>
          <w:rFonts w:eastAsia="Times New Roman"/>
          <w:u w:val="single"/>
          <w:lang w:eastAsia="bg-BG"/>
        </w:rPr>
        <w:t>Бременност</w:t>
      </w:r>
    </w:p>
    <w:p w14:paraId="1E0CA3DC"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Няма достатъчно информация за употребата на бетахистин при бременност.</w:t>
      </w:r>
    </w:p>
    <w:p w14:paraId="65F6F9A0"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Проучванията при животни не показват преки или непреки вредни ефекти по отношение на ембрионалната токсичност при клинично значимата терапевтична експозиция (вижте точка 5.3). Като предпазна мярка се препоръчва бетахистин да не се прилага по време на бременността.</w:t>
      </w:r>
    </w:p>
    <w:p w14:paraId="5E3F2470" w14:textId="77777777" w:rsidR="00B7728D" w:rsidRDefault="00B7728D" w:rsidP="00B7728D">
      <w:pPr>
        <w:spacing w:line="240" w:lineRule="auto"/>
        <w:rPr>
          <w:rFonts w:eastAsia="Times New Roman" w:cs="Arial"/>
          <w:color w:val="000000"/>
          <w:u w:val="single"/>
          <w:lang w:eastAsia="bg-BG"/>
        </w:rPr>
      </w:pPr>
    </w:p>
    <w:p w14:paraId="4ED34CA3" w14:textId="26B73A2A" w:rsidR="00B7728D" w:rsidRPr="00B7728D" w:rsidRDefault="00B7728D" w:rsidP="00B7728D">
      <w:pPr>
        <w:pStyle w:val="Heading3"/>
        <w:rPr>
          <w:rFonts w:eastAsia="Times New Roman"/>
          <w:u w:val="single"/>
          <w:lang w:eastAsia="bg-BG"/>
        </w:rPr>
      </w:pPr>
      <w:r w:rsidRPr="00B7728D">
        <w:rPr>
          <w:rFonts w:eastAsia="Times New Roman"/>
          <w:u w:val="single"/>
          <w:lang w:eastAsia="bg-BG"/>
        </w:rPr>
        <w:t>Кърмене</w:t>
      </w:r>
    </w:p>
    <w:p w14:paraId="1B2FD711"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Не е известно дали бетахистин се екскретира в кърмата при хора. Бетахистин се екскретира в млякото при плъхове. Ефектите, наблюдавани след раждането при проучванията при животни са ограничени до много високи дози (вижте точка 5.3). Важността на лекарството за майката трябва да бъде съпоставена с ползите от кърменето и потенциалния риск за детето.</w:t>
      </w:r>
    </w:p>
    <w:p w14:paraId="163913BF" w14:textId="77777777" w:rsidR="00B7728D" w:rsidRDefault="00B7728D" w:rsidP="00B7728D">
      <w:pPr>
        <w:spacing w:line="240" w:lineRule="auto"/>
        <w:rPr>
          <w:rFonts w:eastAsia="Times New Roman" w:cs="Arial"/>
          <w:color w:val="000000"/>
          <w:u w:val="single"/>
          <w:lang w:eastAsia="bg-BG"/>
        </w:rPr>
      </w:pPr>
    </w:p>
    <w:p w14:paraId="155A7674" w14:textId="5DDA2E8F" w:rsidR="00B7728D" w:rsidRPr="00B7728D" w:rsidRDefault="00B7728D" w:rsidP="00B7728D">
      <w:pPr>
        <w:pStyle w:val="Heading3"/>
        <w:rPr>
          <w:rFonts w:eastAsia="Times New Roman"/>
          <w:u w:val="single"/>
          <w:lang w:eastAsia="bg-BG"/>
        </w:rPr>
      </w:pPr>
      <w:r w:rsidRPr="00B7728D">
        <w:rPr>
          <w:rFonts w:eastAsia="Times New Roman"/>
          <w:u w:val="single"/>
          <w:lang w:eastAsia="bg-BG"/>
        </w:rPr>
        <w:lastRenderedPageBreak/>
        <w:t>Фертилитет</w:t>
      </w:r>
    </w:p>
    <w:p w14:paraId="4A7EFA5C" w14:textId="77777777" w:rsidR="00B7728D" w:rsidRPr="00B7728D" w:rsidRDefault="00B7728D" w:rsidP="00B7728D">
      <w:pPr>
        <w:spacing w:line="240" w:lineRule="auto"/>
        <w:rPr>
          <w:rFonts w:ascii="Times New Roman" w:eastAsia="Times New Roman" w:hAnsi="Times New Roman" w:cs="Times New Roman"/>
          <w:sz w:val="24"/>
          <w:szCs w:val="24"/>
          <w:lang w:eastAsia="bg-BG"/>
        </w:rPr>
      </w:pPr>
      <w:r w:rsidRPr="00B7728D">
        <w:rPr>
          <w:rFonts w:eastAsia="Times New Roman" w:cs="Arial"/>
          <w:color w:val="000000"/>
          <w:lang w:eastAsia="bg-BG"/>
        </w:rPr>
        <w:t>Проучванията при животни не са показали ефекти върху фертилитета при плъхове.</w:t>
      </w:r>
    </w:p>
    <w:p w14:paraId="0C2AC9EF" w14:textId="77777777" w:rsidR="00B7728D" w:rsidRPr="00B7728D" w:rsidRDefault="00B7728D" w:rsidP="00B7728D"/>
    <w:p w14:paraId="321AAB00" w14:textId="3EA4494E" w:rsidR="009F77A4" w:rsidRDefault="002C50EE" w:rsidP="00387A66">
      <w:pPr>
        <w:pStyle w:val="Heading2"/>
      </w:pPr>
      <w:r>
        <w:t>4.7. Ефекти върху способността за шофиране и работа с машини</w:t>
      </w:r>
    </w:p>
    <w:p w14:paraId="2BFFED60" w14:textId="77777777" w:rsidR="00B7728D" w:rsidRDefault="00B7728D" w:rsidP="00B7728D"/>
    <w:p w14:paraId="6D821DC3" w14:textId="77777777" w:rsidR="00B7728D" w:rsidRPr="00B7728D" w:rsidRDefault="00B7728D" w:rsidP="00B7728D">
      <w:pPr>
        <w:rPr>
          <w:sz w:val="24"/>
          <w:szCs w:val="24"/>
          <w:lang w:eastAsia="bg-BG"/>
        </w:rPr>
      </w:pPr>
      <w:r w:rsidRPr="00B7728D">
        <w:rPr>
          <w:lang w:eastAsia="bg-BG"/>
        </w:rPr>
        <w:t>Бетахистин е показан за симптоматично лечение на Болестта на Мениер и вестибуларно вертиго. И двете заболявания могат да повлияят негативно способността за шофиране и работа с машини.</w:t>
      </w:r>
    </w:p>
    <w:p w14:paraId="33BCA160" w14:textId="77777777" w:rsidR="00B7728D" w:rsidRPr="00B7728D" w:rsidRDefault="00B7728D" w:rsidP="00B7728D">
      <w:pPr>
        <w:rPr>
          <w:sz w:val="24"/>
          <w:szCs w:val="24"/>
          <w:lang w:eastAsia="bg-BG"/>
        </w:rPr>
      </w:pPr>
      <w:r w:rsidRPr="00B7728D">
        <w:rPr>
          <w:lang w:eastAsia="bg-BG"/>
        </w:rPr>
        <w:t>Въз основа на клиничните данни бетахистин не повлиява или повлиява пренебрежимо способността за шофиране или работа с машини.</w:t>
      </w:r>
    </w:p>
    <w:p w14:paraId="4B95108E" w14:textId="77777777" w:rsidR="00B7728D" w:rsidRPr="00B7728D" w:rsidRDefault="00B7728D" w:rsidP="00B7728D"/>
    <w:p w14:paraId="136C86B8" w14:textId="3F9D0CA1" w:rsidR="009F77A4" w:rsidRDefault="002C50EE" w:rsidP="00387A66">
      <w:pPr>
        <w:pStyle w:val="Heading2"/>
      </w:pPr>
      <w:r>
        <w:t>4.8. Нежелани лекарствени реакции</w:t>
      </w:r>
    </w:p>
    <w:p w14:paraId="3D2CC4FF" w14:textId="77777777" w:rsidR="00B7728D" w:rsidRDefault="00B7728D" w:rsidP="00B7728D"/>
    <w:p w14:paraId="77D605BA"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При плацебо контролираните клинични проучвания при пациенти, които приемат бетахистин, са съобщавани следните нежелани лекарствени реакции, чиято честота е определена както следва:</w:t>
      </w:r>
    </w:p>
    <w:p w14:paraId="2B1C7DE1" w14:textId="77777777"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Много чести (≥1/10)</w:t>
      </w:r>
    </w:p>
    <w:p w14:paraId="4605B603" w14:textId="77777777"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Чести (≥1 / 100 до &lt; 1 /10)</w:t>
      </w:r>
    </w:p>
    <w:p w14:paraId="7E5C8807" w14:textId="77777777"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Нечести (≥1 / 1 000 до &lt; 1 /100)</w:t>
      </w:r>
    </w:p>
    <w:p w14:paraId="126D070B" w14:textId="77777777"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Редки (≥ 1 / 10 000 до &lt; 1 / 1</w:t>
      </w:r>
      <w:r>
        <w:rPr>
          <w:rFonts w:eastAsia="Times New Roman" w:cs="Arial"/>
          <w:color w:val="000000"/>
          <w:lang w:eastAsia="bg-BG"/>
        </w:rPr>
        <w:t> </w:t>
      </w:r>
      <w:r w:rsidRPr="00B7728D">
        <w:rPr>
          <w:rFonts w:eastAsia="Times New Roman" w:cs="Arial"/>
          <w:color w:val="000000"/>
          <w:lang w:eastAsia="bg-BG"/>
        </w:rPr>
        <w:t>000)</w:t>
      </w:r>
    </w:p>
    <w:p w14:paraId="44C0E3EC" w14:textId="77777777"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Много редки (&lt;1/10 000)</w:t>
      </w:r>
    </w:p>
    <w:p w14:paraId="6E99D528" w14:textId="545B11A6" w:rsidR="00B7728D" w:rsidRPr="00B7728D" w:rsidRDefault="00B7728D" w:rsidP="00B7728D">
      <w:pPr>
        <w:pStyle w:val="ListParagraph"/>
        <w:numPr>
          <w:ilvl w:val="0"/>
          <w:numId w:val="42"/>
        </w:numPr>
        <w:spacing w:line="240" w:lineRule="auto"/>
        <w:rPr>
          <w:rFonts w:eastAsia="Times New Roman" w:cs="Arial"/>
          <w:lang w:eastAsia="bg-BG"/>
        </w:rPr>
      </w:pPr>
      <w:r w:rsidRPr="00B7728D">
        <w:rPr>
          <w:rFonts w:eastAsia="Times New Roman" w:cs="Arial"/>
          <w:color w:val="000000"/>
          <w:lang w:eastAsia="bg-BG"/>
        </w:rPr>
        <w:t>С неизвестна честота (от наличните данни не може да бъде направена оценка)</w:t>
      </w:r>
    </w:p>
    <w:p w14:paraId="63B790A0" w14:textId="77777777" w:rsidR="00B7728D" w:rsidRDefault="00B7728D" w:rsidP="00B7728D">
      <w:pPr>
        <w:spacing w:line="240" w:lineRule="auto"/>
        <w:rPr>
          <w:rFonts w:eastAsia="Times New Roman" w:cs="Arial"/>
          <w:i/>
          <w:iCs/>
          <w:color w:val="000000"/>
          <w:lang w:eastAsia="bg-BG"/>
        </w:rPr>
      </w:pPr>
    </w:p>
    <w:p w14:paraId="04346439" w14:textId="77777777" w:rsidR="00B7728D" w:rsidRDefault="00B7728D" w:rsidP="00B7728D">
      <w:pPr>
        <w:spacing w:line="240" w:lineRule="auto"/>
        <w:rPr>
          <w:rFonts w:eastAsia="Times New Roman" w:cs="Arial"/>
          <w:i/>
          <w:iCs/>
          <w:color w:val="000000"/>
          <w:lang w:eastAsia="bg-BG"/>
        </w:rPr>
      </w:pPr>
      <w:r w:rsidRPr="00B7728D">
        <w:rPr>
          <w:rFonts w:eastAsia="Times New Roman" w:cs="Arial"/>
          <w:i/>
          <w:iCs/>
          <w:color w:val="000000"/>
          <w:lang w:eastAsia="bg-BG"/>
        </w:rPr>
        <w:t xml:space="preserve">Нарушения на нервната система </w:t>
      </w:r>
    </w:p>
    <w:p w14:paraId="1E934357" w14:textId="04A9E149"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Чести: главоболие</w:t>
      </w:r>
    </w:p>
    <w:p w14:paraId="30ECBA0A" w14:textId="77777777" w:rsidR="00B7728D" w:rsidRDefault="00B7728D" w:rsidP="00B7728D">
      <w:pPr>
        <w:spacing w:line="240" w:lineRule="auto"/>
        <w:rPr>
          <w:rFonts w:eastAsia="Times New Roman" w:cs="Arial"/>
          <w:i/>
          <w:iCs/>
          <w:color w:val="000000"/>
          <w:lang w:eastAsia="bg-BG"/>
        </w:rPr>
      </w:pPr>
    </w:p>
    <w:p w14:paraId="2DA5C163" w14:textId="77777777" w:rsidR="00B7728D" w:rsidRDefault="00B7728D" w:rsidP="00B7728D">
      <w:pPr>
        <w:spacing w:line="240" w:lineRule="auto"/>
        <w:rPr>
          <w:rFonts w:eastAsia="Times New Roman" w:cs="Arial"/>
          <w:i/>
          <w:iCs/>
          <w:color w:val="000000"/>
          <w:lang w:eastAsia="bg-BG"/>
        </w:rPr>
      </w:pPr>
      <w:r w:rsidRPr="00B7728D">
        <w:rPr>
          <w:rFonts w:eastAsia="Times New Roman" w:cs="Arial"/>
          <w:i/>
          <w:iCs/>
          <w:color w:val="000000"/>
          <w:lang w:eastAsia="bg-BG"/>
        </w:rPr>
        <w:t xml:space="preserve">Стомашно-чревни нарушения </w:t>
      </w:r>
    </w:p>
    <w:p w14:paraId="128B11FC" w14:textId="68F582BF"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Чести: гадене и диспепсия</w:t>
      </w:r>
    </w:p>
    <w:p w14:paraId="68B6F7CA" w14:textId="77777777" w:rsidR="00B7728D" w:rsidRDefault="00B7728D" w:rsidP="00B7728D">
      <w:pPr>
        <w:spacing w:line="240" w:lineRule="auto"/>
        <w:rPr>
          <w:rFonts w:eastAsia="Times New Roman" w:cs="Arial"/>
          <w:color w:val="000000"/>
          <w:lang w:eastAsia="bg-BG"/>
        </w:rPr>
      </w:pPr>
    </w:p>
    <w:p w14:paraId="7C3DBEEB" w14:textId="0E94420F"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В допълнение при постмаркетинговите клинични проучвания и научната литература са съобщавани следните нежелани реакции. Честотата на тези реакции не може да бъде установена от наличните данни, поради което те са класифицирани като нежелани реакции „с неизвестна честота“.</w:t>
      </w:r>
    </w:p>
    <w:p w14:paraId="468244C0" w14:textId="77777777" w:rsidR="00B7728D" w:rsidRDefault="00B7728D" w:rsidP="00B7728D">
      <w:pPr>
        <w:spacing w:line="240" w:lineRule="auto"/>
        <w:rPr>
          <w:rFonts w:eastAsia="Times New Roman" w:cs="Arial"/>
          <w:i/>
          <w:iCs/>
          <w:color w:val="000000"/>
          <w:lang w:eastAsia="bg-BG"/>
        </w:rPr>
      </w:pPr>
    </w:p>
    <w:p w14:paraId="67D23D6C" w14:textId="4AF8D14D"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Нарушения на имунната система</w:t>
      </w:r>
    </w:p>
    <w:p w14:paraId="078B4269"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 неизвестна честота: реакции на свръхчувствителност като анафилактичен шок.</w:t>
      </w:r>
    </w:p>
    <w:p w14:paraId="76148619" w14:textId="77777777" w:rsidR="00B7728D" w:rsidRDefault="00B7728D" w:rsidP="00B7728D">
      <w:pPr>
        <w:spacing w:line="240" w:lineRule="auto"/>
        <w:rPr>
          <w:rFonts w:eastAsia="Times New Roman" w:cs="Arial"/>
          <w:i/>
          <w:iCs/>
          <w:color w:val="000000"/>
          <w:lang w:eastAsia="bg-BG"/>
        </w:rPr>
      </w:pPr>
    </w:p>
    <w:p w14:paraId="047F7863" w14:textId="4E4CDF04"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Стомашно-чревни нарушения</w:t>
      </w:r>
    </w:p>
    <w:p w14:paraId="293A10F5" w14:textId="77777777"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С</w:t>
      </w:r>
      <w:r w:rsidRPr="00B7728D">
        <w:rPr>
          <w:rFonts w:eastAsia="Times New Roman" w:cs="Arial"/>
          <w:color w:val="000000"/>
          <w:lang w:eastAsia="bg-BG"/>
        </w:rPr>
        <w:t xml:space="preserve"> неизвестна честота: леки стомашно-чревни нарушения (например повръщане, болка в корема, газове). Те могат да бъдат избегнати чрез прием на бетахистин по време на или след хранене, или с понижаване на дозата.</w:t>
      </w:r>
    </w:p>
    <w:p w14:paraId="443913C4" w14:textId="77777777" w:rsidR="00B7728D" w:rsidRDefault="00B7728D" w:rsidP="00B7728D">
      <w:pPr>
        <w:spacing w:line="240" w:lineRule="auto"/>
        <w:rPr>
          <w:rFonts w:eastAsia="Times New Roman" w:cs="Arial"/>
          <w:i/>
          <w:iCs/>
          <w:color w:val="000000"/>
          <w:lang w:eastAsia="bg-BG"/>
        </w:rPr>
      </w:pPr>
    </w:p>
    <w:p w14:paraId="33A95A2D" w14:textId="0C6971A2" w:rsidR="00B7728D" w:rsidRPr="00B7728D" w:rsidRDefault="00B7728D" w:rsidP="00B7728D">
      <w:pPr>
        <w:spacing w:line="240" w:lineRule="auto"/>
        <w:rPr>
          <w:rFonts w:eastAsia="Times New Roman" w:cs="Arial"/>
          <w:lang w:eastAsia="bg-BG"/>
        </w:rPr>
      </w:pPr>
      <w:r w:rsidRPr="00B7728D">
        <w:rPr>
          <w:rFonts w:eastAsia="Times New Roman" w:cs="Arial"/>
          <w:i/>
          <w:iCs/>
          <w:color w:val="000000"/>
          <w:lang w:eastAsia="bg-BG"/>
        </w:rPr>
        <w:t>Нарушения на кожата и подкожната тъкан</w:t>
      </w:r>
    </w:p>
    <w:p w14:paraId="02F53BA8"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Реакции на свръхчувствителност на кожата или подкожната тъкан, и по-специално ангионевротичен оток, уртикария, обрив и пруритус.</w:t>
      </w:r>
    </w:p>
    <w:p w14:paraId="1E58FBAE" w14:textId="77777777" w:rsidR="00B7728D" w:rsidRDefault="00B7728D" w:rsidP="00B7728D">
      <w:pPr>
        <w:spacing w:line="240" w:lineRule="auto"/>
        <w:rPr>
          <w:rFonts w:eastAsia="Times New Roman" w:cs="Arial"/>
          <w:color w:val="000000"/>
          <w:u w:val="single"/>
          <w:lang w:eastAsia="bg-BG"/>
        </w:rPr>
      </w:pPr>
    </w:p>
    <w:p w14:paraId="14FE3E34" w14:textId="5CB81DB8"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Съобщаване на подозирани нежелани реакции</w:t>
      </w:r>
    </w:p>
    <w:p w14:paraId="78A4FDC6"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B7728D">
        <w:rPr>
          <w:rFonts w:eastAsia="Times New Roman" w:cs="Arial"/>
          <w:color w:val="000000"/>
          <w:lang w:eastAsia="bg-BG"/>
        </w:rPr>
        <w:lastRenderedPageBreak/>
        <w:t>съотношението полза/ 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6CA87E34"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Изпълнителна агенция по лекарствата ул. «Дамян Груев» № 8, 1303 София, тел.:+359 2 8903417 уебсайт: </w:t>
      </w:r>
      <w:hyperlink r:id="rId5" w:history="1">
        <w:r w:rsidRPr="00B7728D">
          <w:rPr>
            <w:rFonts w:eastAsia="Times New Roman" w:cs="Arial"/>
            <w:color w:val="000000"/>
            <w:u w:val="single"/>
            <w:lang w:val="en-US"/>
          </w:rPr>
          <w:t>www.bda.bg</w:t>
        </w:r>
      </w:hyperlink>
    </w:p>
    <w:p w14:paraId="2358FE97" w14:textId="77777777" w:rsidR="00B7728D" w:rsidRPr="00B7728D" w:rsidRDefault="00B7728D" w:rsidP="00B7728D"/>
    <w:p w14:paraId="378A0F20" w14:textId="65582394" w:rsidR="001D095A" w:rsidRDefault="002C50EE" w:rsidP="00340E8D">
      <w:pPr>
        <w:pStyle w:val="Heading2"/>
      </w:pPr>
      <w:r>
        <w:t>4.9. Предозиране</w:t>
      </w:r>
    </w:p>
    <w:p w14:paraId="05A1BD88" w14:textId="77777777" w:rsidR="00B7728D" w:rsidRDefault="00B7728D" w:rsidP="00B7728D"/>
    <w:p w14:paraId="74FEF89E" w14:textId="77777777" w:rsidR="00B7728D" w:rsidRPr="00B7728D" w:rsidRDefault="00B7728D" w:rsidP="00B7728D">
      <w:pPr>
        <w:rPr>
          <w:sz w:val="24"/>
          <w:szCs w:val="24"/>
          <w:lang w:eastAsia="bg-BG"/>
        </w:rPr>
      </w:pPr>
      <w:r w:rsidRPr="00B7728D">
        <w:rPr>
          <w:lang w:eastAsia="bg-BG"/>
        </w:rPr>
        <w:t>Симптоми</w:t>
      </w:r>
    </w:p>
    <w:p w14:paraId="7494C8E6" w14:textId="77777777" w:rsidR="00B7728D" w:rsidRPr="00B7728D" w:rsidRDefault="00B7728D" w:rsidP="00B7728D">
      <w:pPr>
        <w:rPr>
          <w:sz w:val="24"/>
          <w:szCs w:val="24"/>
          <w:lang w:eastAsia="bg-BG"/>
        </w:rPr>
      </w:pPr>
      <w:r w:rsidRPr="00B7728D">
        <w:rPr>
          <w:lang w:eastAsia="bg-BG"/>
        </w:rPr>
        <w:t xml:space="preserve">Случаи на предозиране са съобщавани рядко. При някои пациенти, приели до 640 </w:t>
      </w:r>
      <w:r w:rsidRPr="00B7728D">
        <w:rPr>
          <w:lang w:val="en-US"/>
        </w:rPr>
        <w:t xml:space="preserve">mg </w:t>
      </w:r>
      <w:r w:rsidRPr="00B7728D">
        <w:rPr>
          <w:lang w:eastAsia="bg-BG"/>
        </w:rPr>
        <w:t>бетахистин, са съобщавани леки до умерени симптоми (например гадене, сънливост, болка в стомаха). По- сериозни усложнения (например гърчове, белодробни или сърдечни усложнения) са съобщавани при целенасочено предозиране на бетахистин, особено в комбинация с предозиране с други лекарства.</w:t>
      </w:r>
    </w:p>
    <w:p w14:paraId="2B69C4E4" w14:textId="77777777" w:rsidR="00B7728D" w:rsidRDefault="00B7728D" w:rsidP="00B7728D">
      <w:pPr>
        <w:rPr>
          <w:lang w:eastAsia="bg-BG"/>
        </w:rPr>
      </w:pPr>
    </w:p>
    <w:p w14:paraId="0AEC07EF" w14:textId="538188CB" w:rsidR="00B7728D" w:rsidRPr="00B7728D" w:rsidRDefault="00B7728D" w:rsidP="00B7728D">
      <w:pPr>
        <w:rPr>
          <w:sz w:val="24"/>
          <w:szCs w:val="24"/>
          <w:lang w:eastAsia="bg-BG"/>
        </w:rPr>
      </w:pPr>
      <w:r w:rsidRPr="00B7728D">
        <w:rPr>
          <w:lang w:eastAsia="bg-BG"/>
        </w:rPr>
        <w:t>Овладяване</w:t>
      </w:r>
    </w:p>
    <w:p w14:paraId="39719917" w14:textId="1BF9105A" w:rsidR="00B7728D" w:rsidRDefault="00B7728D" w:rsidP="00B7728D">
      <w:pPr>
        <w:rPr>
          <w:lang w:eastAsia="bg-BG"/>
        </w:rPr>
      </w:pPr>
      <w:r w:rsidRPr="00B7728D">
        <w:rPr>
          <w:lang w:eastAsia="bg-BG"/>
        </w:rPr>
        <w:t>Лечението трябва да бъде проведено чрез стандартни поддържащи мерки.</w:t>
      </w:r>
    </w:p>
    <w:p w14:paraId="596A39A4" w14:textId="77777777" w:rsidR="00B7728D" w:rsidRPr="00B7728D" w:rsidRDefault="00B7728D" w:rsidP="00B7728D"/>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76E6472D" w14:textId="77777777" w:rsidR="00B7728D" w:rsidRDefault="00B7728D" w:rsidP="00B7728D"/>
    <w:p w14:paraId="144A525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Фармакотерапевтична група: препарати за лечение на вертиго, АТС код: </w:t>
      </w:r>
      <w:r w:rsidRPr="00B7728D">
        <w:rPr>
          <w:rFonts w:eastAsia="Times New Roman" w:cs="Arial"/>
          <w:color w:val="000000"/>
          <w:lang w:val="en-US"/>
        </w:rPr>
        <w:t>N07CA01</w:t>
      </w:r>
    </w:p>
    <w:p w14:paraId="0246D09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Механизмът на действие на бетахистин е само частично известен.</w:t>
      </w:r>
    </w:p>
    <w:p w14:paraId="71BE0986"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Съществуват няколко хипотези, които са подкрепени от проучванията при животни и клиничните данни:</w:t>
      </w:r>
    </w:p>
    <w:p w14:paraId="3E80D7F9" w14:textId="77777777" w:rsidR="00B7728D" w:rsidRPr="00B7728D" w:rsidRDefault="00B7728D" w:rsidP="00B7728D">
      <w:pPr>
        <w:pStyle w:val="ListParagraph"/>
        <w:numPr>
          <w:ilvl w:val="0"/>
          <w:numId w:val="43"/>
        </w:numPr>
        <w:spacing w:line="240" w:lineRule="auto"/>
        <w:rPr>
          <w:rFonts w:eastAsia="Times New Roman" w:cs="Arial"/>
          <w:lang w:eastAsia="bg-BG"/>
        </w:rPr>
      </w:pPr>
      <w:r w:rsidRPr="00B7728D">
        <w:rPr>
          <w:rFonts w:eastAsia="Times New Roman" w:cs="Arial"/>
          <w:color w:val="000000"/>
          <w:lang w:eastAsia="bg-BG"/>
        </w:rPr>
        <w:t xml:space="preserve">Бетахистин повлиява хистаминергичната система: Бетахистин действа като частичен хистамин Н1-рецепторен агонист, както и като хистамин НЗ-рецепторен антагонист и няма значителна активност в невроналните тъкани на Н2 рецепторите. Бетахистин повишава освобождаването и циркулацията на хистамин чрез блокиране на пресинаптичните НЗ рецептори, предизвиквайки </w:t>
      </w:r>
      <w:r w:rsidRPr="00B7728D">
        <w:rPr>
          <w:rFonts w:eastAsia="Times New Roman" w:cs="Arial"/>
          <w:color w:val="000000"/>
          <w:lang w:val="en-US"/>
        </w:rPr>
        <w:t>H3</w:t>
      </w:r>
      <w:r w:rsidRPr="00B7728D">
        <w:rPr>
          <w:rFonts w:eastAsia="Times New Roman" w:cs="Arial"/>
          <w:color w:val="000000"/>
          <w:lang w:eastAsia="bg-BG"/>
        </w:rPr>
        <w:t>-рецепторна обратна регулация.</w:t>
      </w:r>
    </w:p>
    <w:p w14:paraId="60D660F4" w14:textId="77777777" w:rsidR="00B7728D" w:rsidRPr="00B7728D" w:rsidRDefault="00B7728D" w:rsidP="00B7728D">
      <w:pPr>
        <w:pStyle w:val="ListParagraph"/>
        <w:numPr>
          <w:ilvl w:val="0"/>
          <w:numId w:val="43"/>
        </w:numPr>
        <w:spacing w:line="240" w:lineRule="auto"/>
        <w:rPr>
          <w:rFonts w:eastAsia="Times New Roman" w:cs="Arial"/>
          <w:lang w:eastAsia="bg-BG"/>
        </w:rPr>
      </w:pPr>
      <w:r w:rsidRPr="00B7728D">
        <w:rPr>
          <w:rFonts w:eastAsia="Times New Roman" w:cs="Arial"/>
          <w:color w:val="000000"/>
          <w:lang w:eastAsia="bg-BG"/>
        </w:rPr>
        <w:t xml:space="preserve">Бетахистин може да повиши крьвотока към мозъка и кохлеарната област: фармакологичните проучвания при животни показват, че кръвната циркулация в ангиоидните ивици </w:t>
      </w:r>
      <w:r w:rsidRPr="00B7728D">
        <w:rPr>
          <w:rFonts w:eastAsia="Times New Roman" w:cs="Arial"/>
          <w:color w:val="000000"/>
          <w:lang w:val="en-US"/>
        </w:rPr>
        <w:t xml:space="preserve">(striae vascularis) </w:t>
      </w:r>
      <w:r w:rsidRPr="00B7728D">
        <w:rPr>
          <w:rFonts w:eastAsia="Times New Roman" w:cs="Arial"/>
          <w:color w:val="000000"/>
          <w:lang w:eastAsia="bg-BG"/>
        </w:rPr>
        <w:t>на вътрешното ухо се подобрява, вероятно поради микроциркулацията на вътрешното ухо и релаксацията на пре-капилярния сфинктер. Той също повишава церебралния кръвоток при хора.</w:t>
      </w:r>
    </w:p>
    <w:p w14:paraId="34B95F0C" w14:textId="77777777" w:rsidR="00B7728D" w:rsidRPr="00B7728D" w:rsidRDefault="00B7728D" w:rsidP="00B7728D">
      <w:pPr>
        <w:pStyle w:val="ListParagraph"/>
        <w:numPr>
          <w:ilvl w:val="0"/>
          <w:numId w:val="43"/>
        </w:numPr>
        <w:spacing w:line="240" w:lineRule="auto"/>
        <w:rPr>
          <w:rFonts w:eastAsia="Times New Roman" w:cs="Arial"/>
          <w:lang w:eastAsia="bg-BG"/>
        </w:rPr>
      </w:pPr>
      <w:r w:rsidRPr="00B7728D">
        <w:rPr>
          <w:rFonts w:eastAsia="Times New Roman" w:cs="Arial"/>
          <w:color w:val="000000"/>
          <w:lang w:eastAsia="bg-BG"/>
        </w:rPr>
        <w:t>Бетахистин подпомага вестибуларната компенсация: Бетахистин засилва вестибуларното възстановяване след унилатерална невректомия при животни чрез подобряване и подпомагане на централната вестибуларна компенсация; този ефект се характеризира с освобождаване на хистамин и повишена регулация на циркулацията чрез НЗ-рецепторен антагонизъм. Това също се проявява при хора с намалено време на възстановяване след вестибуларна невректомия.</w:t>
      </w:r>
    </w:p>
    <w:p w14:paraId="3775DA68" w14:textId="316CC474" w:rsidR="00B7728D" w:rsidRPr="00B7728D" w:rsidRDefault="00B7728D" w:rsidP="00B7728D">
      <w:pPr>
        <w:pStyle w:val="ListParagraph"/>
        <w:numPr>
          <w:ilvl w:val="0"/>
          <w:numId w:val="43"/>
        </w:numPr>
        <w:spacing w:line="240" w:lineRule="auto"/>
        <w:rPr>
          <w:rFonts w:eastAsia="Times New Roman" w:cs="Arial"/>
          <w:lang w:eastAsia="bg-BG"/>
        </w:rPr>
      </w:pPr>
      <w:r w:rsidRPr="00B7728D">
        <w:rPr>
          <w:rFonts w:eastAsia="Times New Roman" w:cs="Arial"/>
          <w:color w:val="000000"/>
          <w:lang w:eastAsia="bg-BG"/>
        </w:rPr>
        <w:t>Бетахистин променя вестибуларната невронна активност: Установено е също, че бетахистин притежава дозо-зависим инхибиторен ефект върху образуването на израстъците на невроните в латералното и медиалното вестибуларни ядра.</w:t>
      </w:r>
    </w:p>
    <w:p w14:paraId="3C354CA9" w14:textId="77777777" w:rsidR="00B7728D" w:rsidRDefault="00B7728D" w:rsidP="00B7728D">
      <w:pPr>
        <w:spacing w:line="240" w:lineRule="auto"/>
        <w:rPr>
          <w:rFonts w:eastAsia="Times New Roman" w:cs="Arial"/>
          <w:color w:val="000000"/>
          <w:lang w:eastAsia="bg-BG"/>
        </w:rPr>
      </w:pPr>
    </w:p>
    <w:p w14:paraId="3F489ED9" w14:textId="46801F15"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lastRenderedPageBreak/>
        <w:t>Проучванията при животни показват, че фармакодинамичните свойства на бетахистин могат да допринесат за терапевтичния му ефект върху вестибуларната система.</w:t>
      </w:r>
    </w:p>
    <w:p w14:paraId="6002C738"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При клиничните проучвания бетахистин има доказана ефикасност, която включва пациенти с вестибуларно вертиго и Болестта на Мениер, при които е наблюдавано понижение на честотата и тежестта на вертижните пристъпи.</w:t>
      </w:r>
    </w:p>
    <w:p w14:paraId="366CEFF4" w14:textId="77777777" w:rsidR="00B7728D" w:rsidRPr="00B7728D" w:rsidRDefault="00B7728D" w:rsidP="00B7728D"/>
    <w:p w14:paraId="544FFDAF" w14:textId="64206E42" w:rsidR="00F62E44" w:rsidRDefault="002C50EE" w:rsidP="00387A66">
      <w:pPr>
        <w:pStyle w:val="Heading2"/>
      </w:pPr>
      <w:r>
        <w:t>5.2. Фармакокинетични свойства</w:t>
      </w:r>
    </w:p>
    <w:p w14:paraId="72A89638" w14:textId="77777777" w:rsidR="00B7728D" w:rsidRDefault="00B7728D" w:rsidP="00B7728D"/>
    <w:p w14:paraId="6136A94E" w14:textId="77777777" w:rsidR="00B7728D" w:rsidRPr="00B7728D" w:rsidRDefault="00B7728D" w:rsidP="00B7728D">
      <w:pPr>
        <w:pStyle w:val="Heading3"/>
        <w:rPr>
          <w:rFonts w:eastAsia="Times New Roman"/>
          <w:u w:val="single"/>
          <w:lang w:eastAsia="bg-BG"/>
        </w:rPr>
      </w:pPr>
      <w:r w:rsidRPr="00B7728D">
        <w:rPr>
          <w:rFonts w:eastAsia="Times New Roman"/>
          <w:u w:val="single"/>
          <w:lang w:eastAsia="bg-BG"/>
        </w:rPr>
        <w:t>Абсорбция</w:t>
      </w:r>
    </w:p>
    <w:p w14:paraId="090A043C"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След перорален прием бетахистин се резорбира бързо и почти изцяло. След това бързо и почти изцяло се метаболизира до 2-пиридилоцетна киселина (2-РАА). Плазмените нива на бетахистин са много ниски. Поради това, фармакокинетичният анализ се основава на измерването на 2-РАА в урината и плазмата.</w:t>
      </w:r>
    </w:p>
    <w:p w14:paraId="60511EAD"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В условия на хранене С</w:t>
      </w:r>
      <w:r w:rsidRPr="00B7728D">
        <w:rPr>
          <w:rFonts w:eastAsia="Times New Roman" w:cs="Arial"/>
          <w:color w:val="000000"/>
          <w:lang w:val="en-US"/>
        </w:rPr>
        <w:t>max</w:t>
      </w:r>
      <w:r w:rsidRPr="00B7728D">
        <w:rPr>
          <w:rFonts w:eastAsia="Times New Roman" w:cs="Arial"/>
          <w:color w:val="000000"/>
          <w:lang w:eastAsia="bg-BG"/>
        </w:rPr>
        <w:t xml:space="preserve"> е по-ниска в сравнение с условията на гладно. Въпреки това, общата абсорбция на бетахистин е сходна при двете условия, което показва, че приемът на храна само забавя абсорбцията на бетахистин.</w:t>
      </w:r>
    </w:p>
    <w:p w14:paraId="54F171C6" w14:textId="77777777" w:rsidR="00B7728D" w:rsidRDefault="00B7728D" w:rsidP="00B7728D">
      <w:pPr>
        <w:spacing w:line="240" w:lineRule="auto"/>
        <w:rPr>
          <w:rFonts w:eastAsia="Times New Roman" w:cs="Arial"/>
          <w:color w:val="000000"/>
          <w:u w:val="single"/>
          <w:lang w:eastAsia="bg-BG"/>
        </w:rPr>
      </w:pPr>
    </w:p>
    <w:p w14:paraId="2312CB7C" w14:textId="5E07310C" w:rsidR="00B7728D" w:rsidRPr="00B7728D" w:rsidRDefault="00B7728D" w:rsidP="00B7728D">
      <w:pPr>
        <w:pStyle w:val="Heading3"/>
        <w:rPr>
          <w:rFonts w:eastAsia="Times New Roman"/>
          <w:u w:val="single"/>
          <w:lang w:eastAsia="bg-BG"/>
        </w:rPr>
      </w:pPr>
      <w:r w:rsidRPr="00B7728D">
        <w:rPr>
          <w:rFonts w:eastAsia="Times New Roman"/>
          <w:u w:val="single"/>
          <w:lang w:eastAsia="bg-BG"/>
        </w:rPr>
        <w:t>Разпределение</w:t>
      </w:r>
    </w:p>
    <w:p w14:paraId="23151875"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Процентът бетахистин, който се свързва с плазмените протеини в кръвта е по-нисък от 5%.</w:t>
      </w:r>
    </w:p>
    <w:p w14:paraId="0C47CAFF" w14:textId="77777777" w:rsidR="00B7728D" w:rsidRDefault="00B7728D" w:rsidP="00B7728D">
      <w:pPr>
        <w:spacing w:line="240" w:lineRule="auto"/>
        <w:rPr>
          <w:rFonts w:eastAsia="Times New Roman" w:cs="Arial"/>
          <w:color w:val="000000"/>
          <w:u w:val="single"/>
          <w:lang w:eastAsia="bg-BG"/>
        </w:rPr>
      </w:pPr>
    </w:p>
    <w:p w14:paraId="7B58141F" w14:textId="4DA69FA8" w:rsidR="00B7728D" w:rsidRPr="00B7728D" w:rsidRDefault="00B7728D" w:rsidP="00B7728D">
      <w:pPr>
        <w:pStyle w:val="Heading3"/>
        <w:rPr>
          <w:rFonts w:eastAsia="Times New Roman"/>
          <w:u w:val="single"/>
          <w:lang w:eastAsia="bg-BG"/>
        </w:rPr>
      </w:pPr>
      <w:r w:rsidRPr="00B7728D">
        <w:rPr>
          <w:rFonts w:eastAsia="Times New Roman"/>
          <w:u w:val="single"/>
          <w:lang w:eastAsia="bg-BG"/>
        </w:rPr>
        <w:t>Биотрансформация</w:t>
      </w:r>
    </w:p>
    <w:p w14:paraId="7D08DE5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След абсорбция бетахистин бързо и почти изцяло се метаболизира до</w:t>
      </w:r>
      <w:r w:rsidRPr="00B7728D">
        <w:rPr>
          <w:rFonts w:eastAsia="Times New Roman" w:cs="Arial"/>
          <w:color w:val="000000"/>
          <w:lang w:val="en-US"/>
        </w:rPr>
        <w:t xml:space="preserve"> 2-PAA (</w:t>
      </w:r>
      <w:r w:rsidRPr="00B7728D">
        <w:rPr>
          <w:rFonts w:eastAsia="Times New Roman" w:cs="Arial"/>
          <w:color w:val="000000"/>
          <w:lang w:eastAsia="bg-BG"/>
        </w:rPr>
        <w:t>която няма</w:t>
      </w:r>
    </w:p>
    <w:p w14:paraId="5847DF1E"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фармакологична активност).</w:t>
      </w:r>
    </w:p>
    <w:p w14:paraId="060044DB" w14:textId="68BCE452"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След перорално приложение на бетахистин плазмените (и в урината) концентарции на 2-</w:t>
      </w:r>
      <w:r w:rsidRPr="00B7728D">
        <w:rPr>
          <w:rFonts w:eastAsia="Times New Roman" w:cs="Arial"/>
          <w:color w:val="000000"/>
          <w:lang w:val="en-US"/>
        </w:rPr>
        <w:t>PPA</w:t>
      </w:r>
      <w:r>
        <w:rPr>
          <w:rFonts w:eastAsia="Times New Roman" w:cs="Arial"/>
          <w:lang w:eastAsia="bg-BG"/>
        </w:rPr>
        <w:t xml:space="preserve"> </w:t>
      </w:r>
      <w:r w:rsidRPr="00B7728D">
        <w:rPr>
          <w:rFonts w:eastAsia="Times New Roman" w:cs="Arial"/>
          <w:color w:val="000000"/>
          <w:lang w:eastAsia="bg-BG"/>
        </w:rPr>
        <w:t>достигат максимални стойности 1 час след прием и намаляват с полуживот от около 5,5 часа.</w:t>
      </w:r>
    </w:p>
    <w:p w14:paraId="449F7047" w14:textId="77777777" w:rsidR="00B7728D" w:rsidRPr="00B7728D" w:rsidRDefault="00B7728D" w:rsidP="00B7728D">
      <w:pPr>
        <w:rPr>
          <w:rFonts w:eastAsia="Times New Roman" w:cs="Arial"/>
          <w:color w:val="000000"/>
          <w:lang w:eastAsia="bg-BG"/>
        </w:rPr>
      </w:pPr>
    </w:p>
    <w:p w14:paraId="04866A1B" w14:textId="77777777" w:rsidR="00B7728D" w:rsidRPr="00B7728D" w:rsidRDefault="00B7728D" w:rsidP="00B7728D">
      <w:pPr>
        <w:pStyle w:val="Heading3"/>
        <w:rPr>
          <w:rFonts w:eastAsia="Times New Roman"/>
          <w:u w:val="single"/>
          <w:lang w:eastAsia="bg-BG"/>
        </w:rPr>
      </w:pPr>
      <w:r w:rsidRPr="00B7728D">
        <w:rPr>
          <w:rFonts w:eastAsia="Times New Roman"/>
          <w:u w:val="single"/>
          <w:lang w:eastAsia="bg-BG"/>
        </w:rPr>
        <w:t>Елиминиране</w:t>
      </w:r>
    </w:p>
    <w:p w14:paraId="33A14DA6"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2-РАА се екскретира в урината. В дозовия диапазон 8 </w:t>
      </w:r>
      <w:r w:rsidRPr="00B7728D">
        <w:rPr>
          <w:rFonts w:eastAsia="Times New Roman" w:cs="Arial"/>
          <w:color w:val="000000"/>
          <w:lang w:val="en-US"/>
        </w:rPr>
        <w:t xml:space="preserve">mg </w:t>
      </w:r>
      <w:r w:rsidRPr="00B7728D">
        <w:rPr>
          <w:rFonts w:eastAsia="Times New Roman" w:cs="Arial"/>
          <w:color w:val="000000"/>
          <w:lang w:eastAsia="bg-BG"/>
        </w:rPr>
        <w:t xml:space="preserve">- 48 </w:t>
      </w:r>
      <w:r w:rsidRPr="00B7728D">
        <w:rPr>
          <w:rFonts w:eastAsia="Times New Roman" w:cs="Arial"/>
          <w:color w:val="000000"/>
          <w:lang w:val="en-US"/>
        </w:rPr>
        <w:t xml:space="preserve">mg </w:t>
      </w:r>
      <w:r w:rsidRPr="00B7728D">
        <w:rPr>
          <w:rFonts w:eastAsia="Times New Roman" w:cs="Arial"/>
          <w:color w:val="000000"/>
          <w:lang w:eastAsia="bg-BG"/>
        </w:rPr>
        <w:t>около 85% от приетата доза се откриват в урината. Екскрецията чрез бъбреците и изпражненията не е от съществено значение.</w:t>
      </w:r>
    </w:p>
    <w:p w14:paraId="5FC1E43F" w14:textId="77777777" w:rsidR="00B7728D" w:rsidRPr="00B7728D" w:rsidRDefault="00B7728D" w:rsidP="00B7728D">
      <w:pPr>
        <w:spacing w:line="240" w:lineRule="auto"/>
        <w:rPr>
          <w:rFonts w:eastAsia="Times New Roman" w:cs="Arial"/>
          <w:color w:val="000000"/>
          <w:u w:val="single"/>
          <w:lang w:eastAsia="bg-BG"/>
        </w:rPr>
      </w:pPr>
    </w:p>
    <w:p w14:paraId="4E2CA9DA" w14:textId="3437E7BC" w:rsidR="00B7728D" w:rsidRPr="00B7728D" w:rsidRDefault="00B7728D" w:rsidP="00B7728D">
      <w:pPr>
        <w:pStyle w:val="Heading3"/>
        <w:rPr>
          <w:rFonts w:eastAsia="Times New Roman"/>
          <w:u w:val="single"/>
          <w:lang w:eastAsia="bg-BG"/>
        </w:rPr>
      </w:pPr>
      <w:r w:rsidRPr="00B7728D">
        <w:rPr>
          <w:rFonts w:eastAsia="Times New Roman"/>
          <w:u w:val="single"/>
          <w:lang w:eastAsia="bg-BG"/>
        </w:rPr>
        <w:t>Линейност</w:t>
      </w:r>
    </w:p>
    <w:p w14:paraId="174843F2" w14:textId="227CF427" w:rsidR="00B7728D" w:rsidRPr="00B7728D" w:rsidRDefault="00B7728D" w:rsidP="00B7728D">
      <w:pPr>
        <w:rPr>
          <w:rFonts w:eastAsia="Times New Roman" w:cs="Arial"/>
          <w:color w:val="000000"/>
          <w:lang w:eastAsia="bg-BG"/>
        </w:rPr>
      </w:pPr>
      <w:r w:rsidRPr="00B7728D">
        <w:rPr>
          <w:rFonts w:eastAsia="Times New Roman" w:cs="Arial"/>
          <w:color w:val="000000"/>
          <w:lang w:eastAsia="bg-BG"/>
        </w:rPr>
        <w:t xml:space="preserve">Степента на елиминиране е постоянна в дозовия диапазон 8 </w:t>
      </w:r>
      <w:r w:rsidRPr="00B7728D">
        <w:rPr>
          <w:rFonts w:eastAsia="Times New Roman" w:cs="Arial"/>
          <w:color w:val="000000"/>
          <w:lang w:val="en-US"/>
        </w:rPr>
        <w:t xml:space="preserve">mg </w:t>
      </w:r>
      <w:r w:rsidRPr="00B7728D">
        <w:rPr>
          <w:rFonts w:eastAsia="Times New Roman" w:cs="Arial"/>
          <w:color w:val="000000"/>
          <w:lang w:eastAsia="bg-BG"/>
        </w:rPr>
        <w:t xml:space="preserve">- 48 </w:t>
      </w:r>
      <w:r w:rsidRPr="00B7728D">
        <w:rPr>
          <w:rFonts w:eastAsia="Times New Roman" w:cs="Arial"/>
          <w:color w:val="000000"/>
          <w:lang w:val="en-US"/>
        </w:rPr>
        <w:t xml:space="preserve">mg, </w:t>
      </w:r>
      <w:r w:rsidRPr="00B7728D">
        <w:rPr>
          <w:rFonts w:eastAsia="Times New Roman" w:cs="Arial"/>
          <w:color w:val="000000"/>
          <w:lang w:eastAsia="bg-BG"/>
        </w:rPr>
        <w:t>което показва, че фармакокинетиката на бетахистин е линейна и се предполага, че метаболитният път не е наситен.</w:t>
      </w:r>
    </w:p>
    <w:p w14:paraId="34EF9329" w14:textId="77777777" w:rsidR="00B7728D" w:rsidRPr="00B7728D" w:rsidRDefault="00B7728D" w:rsidP="00B7728D"/>
    <w:p w14:paraId="6925FEB0" w14:textId="4B32C19A" w:rsidR="00F62E44" w:rsidRDefault="002C50EE" w:rsidP="00387A66">
      <w:pPr>
        <w:pStyle w:val="Heading2"/>
      </w:pPr>
      <w:r>
        <w:t>5.3. Предклинични данни за безопасност</w:t>
      </w:r>
    </w:p>
    <w:p w14:paraId="7FE66D3D" w14:textId="77777777" w:rsidR="00B7728D" w:rsidRDefault="00B7728D" w:rsidP="00B7728D"/>
    <w:p w14:paraId="2FF4B5EF"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Хронична токсичност</w:t>
      </w:r>
    </w:p>
    <w:p w14:paraId="59F46D03"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Наблюдавани са нежелани реакции от страна на нервната система при кучета и павиани след интравенозно приложение на дози от и над 120 </w:t>
      </w:r>
      <w:r w:rsidRPr="00B7728D">
        <w:rPr>
          <w:rFonts w:eastAsia="Times New Roman" w:cs="Arial"/>
          <w:color w:val="000000"/>
          <w:lang w:val="en-US"/>
        </w:rPr>
        <w:t>mg/ kg.</w:t>
      </w:r>
    </w:p>
    <w:p w14:paraId="1106E81B"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Проучванията на хронична токсичност при перорално приложение, проведени за период от 18 месеца при плъхове при дози 500 </w:t>
      </w:r>
      <w:r w:rsidRPr="00B7728D">
        <w:rPr>
          <w:rFonts w:eastAsia="Times New Roman" w:cs="Arial"/>
          <w:color w:val="000000"/>
          <w:lang w:val="en-US"/>
        </w:rPr>
        <w:t xml:space="preserve">mg/kg </w:t>
      </w:r>
      <w:r w:rsidRPr="00B7728D">
        <w:rPr>
          <w:rFonts w:eastAsia="Times New Roman" w:cs="Arial"/>
          <w:i/>
          <w:iCs/>
          <w:color w:val="000000"/>
          <w:lang w:eastAsia="bg-BG"/>
        </w:rPr>
        <w:t>и за</w:t>
      </w:r>
      <w:r w:rsidRPr="00B7728D">
        <w:rPr>
          <w:rFonts w:eastAsia="Times New Roman" w:cs="Arial"/>
          <w:color w:val="000000"/>
          <w:lang w:eastAsia="bg-BG"/>
        </w:rPr>
        <w:t xml:space="preserve"> период от 6 месеца при кучета при дози 25 </w:t>
      </w:r>
      <w:r w:rsidRPr="00B7728D">
        <w:rPr>
          <w:rFonts w:eastAsia="Times New Roman" w:cs="Arial"/>
          <w:color w:val="000000"/>
          <w:lang w:val="en-US"/>
        </w:rPr>
        <w:t xml:space="preserve">mg/kg, </w:t>
      </w:r>
      <w:r w:rsidRPr="00B7728D">
        <w:rPr>
          <w:rFonts w:eastAsia="Times New Roman" w:cs="Arial"/>
          <w:color w:val="000000"/>
          <w:lang w:eastAsia="bg-BG"/>
        </w:rPr>
        <w:t>показват добра поносимост на бетахистин без категорична токсичност.</w:t>
      </w:r>
    </w:p>
    <w:p w14:paraId="1379FFEB" w14:textId="77777777" w:rsidR="00B7728D" w:rsidRDefault="00B7728D" w:rsidP="00B7728D">
      <w:pPr>
        <w:spacing w:line="240" w:lineRule="auto"/>
        <w:rPr>
          <w:rFonts w:eastAsia="Times New Roman" w:cs="Arial"/>
          <w:color w:val="000000"/>
          <w:u w:val="single"/>
          <w:lang w:eastAsia="bg-BG"/>
        </w:rPr>
      </w:pPr>
    </w:p>
    <w:p w14:paraId="51030962" w14:textId="536CE42A"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Мутагенен и карциногенен потенциал</w:t>
      </w:r>
    </w:p>
    <w:p w14:paraId="7C8BC991"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lastRenderedPageBreak/>
        <w:t>Бетахистин няма мутагенен потенциал.</w:t>
      </w:r>
    </w:p>
    <w:p w14:paraId="19C0BF22"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 xml:space="preserve">При 18-месечно проучване на хронична токсичност при плъхове бетахистин при дози до 500 </w:t>
      </w:r>
      <w:r w:rsidRPr="00B7728D">
        <w:rPr>
          <w:rFonts w:eastAsia="Times New Roman" w:cs="Arial"/>
          <w:color w:val="000000"/>
          <w:lang w:val="en-US"/>
        </w:rPr>
        <w:t xml:space="preserve">mg/kg </w:t>
      </w:r>
      <w:r w:rsidRPr="00B7728D">
        <w:rPr>
          <w:rFonts w:eastAsia="Times New Roman" w:cs="Arial"/>
          <w:color w:val="000000"/>
          <w:lang w:eastAsia="bg-BG"/>
        </w:rPr>
        <w:t>не показва никакви доказателства за карциногенен потенциал.</w:t>
      </w:r>
    </w:p>
    <w:p w14:paraId="372F3A8E" w14:textId="77777777" w:rsidR="00B7728D" w:rsidRDefault="00B7728D" w:rsidP="00B7728D">
      <w:pPr>
        <w:spacing w:line="240" w:lineRule="auto"/>
        <w:rPr>
          <w:rFonts w:eastAsia="Times New Roman" w:cs="Arial"/>
          <w:color w:val="000000"/>
          <w:u w:val="single"/>
          <w:lang w:eastAsia="bg-BG"/>
        </w:rPr>
      </w:pPr>
    </w:p>
    <w:p w14:paraId="12712DC8" w14:textId="4A5B99FC" w:rsidR="00B7728D" w:rsidRPr="00B7728D" w:rsidRDefault="00B7728D" w:rsidP="00B7728D">
      <w:pPr>
        <w:spacing w:line="240" w:lineRule="auto"/>
        <w:rPr>
          <w:rFonts w:eastAsia="Times New Roman" w:cs="Arial"/>
          <w:lang w:eastAsia="bg-BG"/>
        </w:rPr>
      </w:pPr>
      <w:r w:rsidRPr="00B7728D">
        <w:rPr>
          <w:rFonts w:eastAsia="Times New Roman" w:cs="Arial"/>
          <w:color w:val="000000"/>
          <w:u w:val="single"/>
          <w:lang w:eastAsia="bg-BG"/>
        </w:rPr>
        <w:t>Репродуктивна токсичност</w:t>
      </w:r>
    </w:p>
    <w:p w14:paraId="1AF60E80" w14:textId="77777777" w:rsidR="00B7728D" w:rsidRPr="00B7728D" w:rsidRDefault="00B7728D" w:rsidP="00B7728D">
      <w:pPr>
        <w:spacing w:line="240" w:lineRule="auto"/>
        <w:rPr>
          <w:rFonts w:eastAsia="Times New Roman" w:cs="Arial"/>
          <w:lang w:eastAsia="bg-BG"/>
        </w:rPr>
      </w:pPr>
      <w:r w:rsidRPr="00B7728D">
        <w:rPr>
          <w:rFonts w:eastAsia="Times New Roman" w:cs="Arial"/>
          <w:color w:val="000000"/>
          <w:lang w:eastAsia="bg-BG"/>
        </w:rPr>
        <w:t>Ефекти при проучванията за репродуктивна токсичност са наблюдавани само при експозиции, за които се счита, че значимо превишават максималната експозиция при хора, което показва малко значение за клиничната употреба.</w:t>
      </w:r>
    </w:p>
    <w:p w14:paraId="179AB947" w14:textId="77777777" w:rsidR="00B7728D" w:rsidRPr="00B7728D" w:rsidRDefault="00B7728D" w:rsidP="00B7728D"/>
    <w:p w14:paraId="357049A8" w14:textId="6CD46E4B" w:rsidR="00BB22B4" w:rsidRDefault="002C50EE" w:rsidP="00471F10">
      <w:pPr>
        <w:pStyle w:val="Heading1"/>
      </w:pPr>
      <w:r>
        <w:t>7. ПРИТЕЖАТЕЛ НА РАЗРЕШЕНИЕТО ЗА УПОТРЕБА</w:t>
      </w:r>
    </w:p>
    <w:p w14:paraId="7CEE49AF" w14:textId="77777777" w:rsidR="00B7728D" w:rsidRDefault="00B7728D" w:rsidP="00B7728D"/>
    <w:p w14:paraId="6EEBD004" w14:textId="4FA8F094" w:rsidR="00B7728D" w:rsidRDefault="00B7728D" w:rsidP="00B7728D">
      <w:r>
        <w:t xml:space="preserve">Medochemie Ltd., </w:t>
      </w:r>
      <w:r>
        <w:rPr>
          <w:lang w:eastAsia="bg-BG"/>
        </w:rPr>
        <w:t xml:space="preserve">1-10 </w:t>
      </w:r>
      <w:r>
        <w:t xml:space="preserve">Constantinoupoleos str., P.O. Box 51409, CY-3505, Limassol, </w:t>
      </w:r>
      <w:r>
        <w:rPr>
          <w:lang w:eastAsia="bg-BG"/>
        </w:rPr>
        <w:t>Кипър</w:t>
      </w:r>
    </w:p>
    <w:p w14:paraId="0A53321D" w14:textId="74FBD4FB" w:rsidR="00EE6C97" w:rsidRDefault="00936AD0" w:rsidP="00A93499">
      <w:pPr>
        <w:pStyle w:val="Heading1"/>
      </w:pPr>
      <w:r>
        <w:t>8.</w:t>
      </w:r>
      <w:r w:rsidR="002C50EE">
        <w:t>НОМЕР НА РАЗРЕШЕНИЕТО ЗА УПОТРЕБА</w:t>
      </w:r>
    </w:p>
    <w:p w14:paraId="20D7D8BB" w14:textId="77777777" w:rsidR="00B7728D" w:rsidRDefault="00B7728D" w:rsidP="00B7728D"/>
    <w:p w14:paraId="432E81F8" w14:textId="77777777" w:rsidR="00B7728D" w:rsidRPr="00B7728D" w:rsidRDefault="00B7728D" w:rsidP="00B7728D">
      <w:pPr>
        <w:spacing w:line="240" w:lineRule="auto"/>
        <w:rPr>
          <w:rFonts w:eastAsia="Times New Roman" w:cs="Arial"/>
          <w:color w:val="000000"/>
          <w:u w:val="single"/>
          <w:lang w:val="en-US"/>
        </w:rPr>
      </w:pPr>
      <w:r w:rsidRPr="00B7728D">
        <w:rPr>
          <w:rFonts w:eastAsia="Times New Roman" w:cs="Arial"/>
          <w:color w:val="000000"/>
          <w:u w:val="single"/>
          <w:lang w:eastAsia="bg-BG"/>
        </w:rPr>
        <w:t xml:space="preserve">Вертимед 8 </w:t>
      </w:r>
      <w:r w:rsidRPr="00B7728D">
        <w:rPr>
          <w:rFonts w:eastAsia="Times New Roman" w:cs="Arial"/>
          <w:color w:val="000000"/>
          <w:u w:val="single"/>
          <w:lang w:val="en-US"/>
        </w:rPr>
        <w:t xml:space="preserve">mg: </w:t>
      </w:r>
    </w:p>
    <w:p w14:paraId="6A3CD026" w14:textId="77777777" w:rsidR="00B7728D" w:rsidRPr="00B7728D" w:rsidRDefault="00B7728D" w:rsidP="00B7728D">
      <w:pPr>
        <w:spacing w:line="240" w:lineRule="auto"/>
        <w:rPr>
          <w:rFonts w:eastAsia="Times New Roman" w:cs="Arial"/>
          <w:lang w:val="en-US" w:eastAsia="bg-BG"/>
        </w:rPr>
      </w:pPr>
      <w:r w:rsidRPr="00B7728D">
        <w:rPr>
          <w:rFonts w:eastAsia="Times New Roman" w:cs="Arial"/>
          <w:color w:val="000000"/>
          <w:lang w:val="en-US"/>
        </w:rPr>
        <w:t>Pe</w:t>
      </w:r>
      <w:r>
        <w:rPr>
          <w:rFonts w:eastAsia="Times New Roman" w:cs="Arial"/>
          <w:color w:val="000000"/>
        </w:rPr>
        <w:t>р.</w:t>
      </w:r>
      <w:r w:rsidRPr="00B7728D">
        <w:rPr>
          <w:rFonts w:eastAsia="Times New Roman" w:cs="Arial"/>
          <w:color w:val="000000"/>
          <w:lang w:val="en-US"/>
        </w:rPr>
        <w:t xml:space="preserve"> №20110547</w:t>
      </w:r>
    </w:p>
    <w:p w14:paraId="3A0A1F77" w14:textId="77777777" w:rsidR="00B7728D" w:rsidRPr="00B7728D" w:rsidRDefault="00B7728D" w:rsidP="00B7728D">
      <w:pPr>
        <w:spacing w:line="240" w:lineRule="auto"/>
        <w:rPr>
          <w:rFonts w:eastAsia="Times New Roman" w:cs="Arial"/>
          <w:color w:val="000000"/>
          <w:u w:val="single"/>
          <w:lang w:eastAsia="bg-BG"/>
        </w:rPr>
      </w:pPr>
    </w:p>
    <w:p w14:paraId="3165F405" w14:textId="77777777" w:rsidR="00B7728D" w:rsidRPr="00B7728D" w:rsidRDefault="00B7728D" w:rsidP="00B7728D">
      <w:pPr>
        <w:spacing w:line="240" w:lineRule="auto"/>
        <w:rPr>
          <w:rFonts w:eastAsia="Times New Roman" w:cs="Arial"/>
          <w:color w:val="000000"/>
          <w:u w:val="single"/>
          <w:lang w:val="en-US"/>
        </w:rPr>
      </w:pPr>
      <w:r w:rsidRPr="00B7728D">
        <w:rPr>
          <w:rFonts w:eastAsia="Times New Roman" w:cs="Arial"/>
          <w:color w:val="000000"/>
          <w:u w:val="single"/>
          <w:lang w:eastAsia="bg-BG"/>
        </w:rPr>
        <w:t xml:space="preserve">Вертимед </w:t>
      </w:r>
      <w:r w:rsidRPr="00B7728D">
        <w:rPr>
          <w:rFonts w:eastAsia="Times New Roman" w:cs="Arial"/>
          <w:color w:val="000000"/>
          <w:u w:val="single"/>
          <w:lang w:val="en-US"/>
        </w:rPr>
        <w:t xml:space="preserve">16 mg: </w:t>
      </w:r>
    </w:p>
    <w:p w14:paraId="2F4F2ADA" w14:textId="77777777" w:rsidR="00B7728D" w:rsidRPr="00B7728D" w:rsidRDefault="00B7728D" w:rsidP="00B7728D">
      <w:pPr>
        <w:spacing w:line="240" w:lineRule="auto"/>
        <w:rPr>
          <w:rFonts w:eastAsia="Times New Roman" w:cs="Arial"/>
          <w:lang w:val="en-US" w:eastAsia="bg-BG"/>
        </w:rPr>
      </w:pPr>
      <w:r w:rsidRPr="00B7728D">
        <w:rPr>
          <w:rFonts w:eastAsia="Times New Roman" w:cs="Arial"/>
          <w:color w:val="000000"/>
          <w:lang w:val="en-US"/>
        </w:rPr>
        <w:t>Pe</w:t>
      </w:r>
      <w:r>
        <w:rPr>
          <w:rFonts w:eastAsia="Times New Roman" w:cs="Arial"/>
          <w:color w:val="000000"/>
        </w:rPr>
        <w:t>р</w:t>
      </w:r>
      <w:r w:rsidRPr="00B7728D">
        <w:rPr>
          <w:rFonts w:eastAsia="Times New Roman" w:cs="Arial"/>
          <w:color w:val="000000"/>
          <w:lang w:val="en-US"/>
        </w:rPr>
        <w:t>. №20110548</w:t>
      </w:r>
    </w:p>
    <w:p w14:paraId="0B2BA82B" w14:textId="77777777" w:rsidR="00B7728D" w:rsidRPr="00B7728D" w:rsidRDefault="00B7728D" w:rsidP="00B7728D">
      <w:pPr>
        <w:spacing w:line="240" w:lineRule="auto"/>
        <w:rPr>
          <w:rFonts w:eastAsia="Times New Roman" w:cs="Arial"/>
          <w:color w:val="000000"/>
          <w:u w:val="single"/>
          <w:lang w:eastAsia="bg-BG"/>
        </w:rPr>
      </w:pPr>
    </w:p>
    <w:p w14:paraId="24DF2B3A" w14:textId="77777777" w:rsidR="00B7728D" w:rsidRPr="00B7728D" w:rsidRDefault="00B7728D" w:rsidP="00B7728D">
      <w:pPr>
        <w:spacing w:line="240" w:lineRule="auto"/>
        <w:rPr>
          <w:rFonts w:eastAsia="Times New Roman" w:cs="Arial"/>
          <w:lang w:val="en-US" w:eastAsia="bg-BG"/>
        </w:rPr>
      </w:pPr>
      <w:r w:rsidRPr="00B7728D">
        <w:rPr>
          <w:rFonts w:eastAsia="Times New Roman" w:cs="Arial"/>
          <w:color w:val="000000"/>
          <w:u w:val="single"/>
          <w:lang w:eastAsia="bg-BG"/>
        </w:rPr>
        <w:t xml:space="preserve">Вертимед </w:t>
      </w:r>
      <w:r w:rsidRPr="00B7728D">
        <w:rPr>
          <w:rFonts w:eastAsia="Times New Roman" w:cs="Arial"/>
          <w:color w:val="000000"/>
          <w:u w:val="single"/>
          <w:lang w:val="en-US"/>
        </w:rPr>
        <w:t>24 mg:</w:t>
      </w:r>
    </w:p>
    <w:p w14:paraId="208A0CFD" w14:textId="77777777" w:rsidR="00B7728D" w:rsidRPr="00B7728D" w:rsidRDefault="00B7728D" w:rsidP="00B7728D">
      <w:pPr>
        <w:rPr>
          <w:rFonts w:cs="Arial"/>
        </w:rPr>
      </w:pPr>
      <w:r w:rsidRPr="00B7728D">
        <w:rPr>
          <w:rFonts w:eastAsia="Times New Roman" w:cs="Arial"/>
          <w:color w:val="000000"/>
          <w:lang w:val="en-US"/>
        </w:rPr>
        <w:t>Pe</w:t>
      </w:r>
      <w:r>
        <w:rPr>
          <w:rFonts w:eastAsia="Times New Roman" w:cs="Arial"/>
          <w:color w:val="000000"/>
        </w:rPr>
        <w:t>р</w:t>
      </w:r>
      <w:r w:rsidRPr="00B7728D">
        <w:rPr>
          <w:rFonts w:eastAsia="Times New Roman" w:cs="Arial"/>
          <w:color w:val="000000"/>
          <w:lang w:val="en-US"/>
        </w:rPr>
        <w:t>. № 20110549</w:t>
      </w:r>
    </w:p>
    <w:p w14:paraId="7C2688F5" w14:textId="6D610EDF" w:rsidR="00F62E44" w:rsidRDefault="00F62E44" w:rsidP="00F62E44"/>
    <w:p w14:paraId="00481C21" w14:textId="6C82CF1C" w:rsidR="00F62E44" w:rsidRDefault="002C50EE" w:rsidP="00387A66">
      <w:pPr>
        <w:pStyle w:val="Heading1"/>
      </w:pPr>
      <w:r>
        <w:t>9. ДАТА НА ПЪРВО РАЗРЕШАВАНЕ/ПОДНОВЯВАНЕ НА РАЗРЕШЕНИЕТО ЗА УПОТРЕБА</w:t>
      </w:r>
    </w:p>
    <w:p w14:paraId="335C707C" w14:textId="77777777" w:rsidR="00B7728D" w:rsidRDefault="00B7728D" w:rsidP="00B7728D"/>
    <w:p w14:paraId="13EF681A" w14:textId="77777777" w:rsidR="00B7728D" w:rsidRPr="00B7728D" w:rsidRDefault="00B7728D" w:rsidP="00B7728D">
      <w:pPr>
        <w:rPr>
          <w:sz w:val="24"/>
          <w:szCs w:val="24"/>
          <w:lang w:eastAsia="bg-BG"/>
        </w:rPr>
      </w:pPr>
      <w:r w:rsidRPr="00B7728D">
        <w:rPr>
          <w:lang w:eastAsia="bg-BG"/>
        </w:rPr>
        <w:t>Дата на първо разрешаване: 19 септември 2011 г.</w:t>
      </w:r>
    </w:p>
    <w:p w14:paraId="62795980" w14:textId="77777777" w:rsidR="00B7728D" w:rsidRPr="00B7728D" w:rsidRDefault="00B7728D" w:rsidP="00B7728D">
      <w:pPr>
        <w:rPr>
          <w:sz w:val="24"/>
          <w:szCs w:val="24"/>
          <w:lang w:eastAsia="bg-BG"/>
        </w:rPr>
      </w:pPr>
      <w:r w:rsidRPr="00B7728D">
        <w:rPr>
          <w:lang w:eastAsia="bg-BG"/>
        </w:rPr>
        <w:t>Дата на последно подновяване: 24 октомври 2016 г.</w:t>
      </w:r>
    </w:p>
    <w:p w14:paraId="43512F34" w14:textId="77777777" w:rsidR="00B7728D" w:rsidRPr="00B7728D" w:rsidRDefault="00B7728D" w:rsidP="00B7728D"/>
    <w:p w14:paraId="43FB38A2" w14:textId="0C18A683" w:rsidR="007C605B" w:rsidRDefault="002C50EE" w:rsidP="005726E3">
      <w:pPr>
        <w:pStyle w:val="Heading1"/>
      </w:pPr>
      <w:r>
        <w:t>10. ДАТА НА АКТУАЛИЗИРАНЕ НА ТЕКСТА</w:t>
      </w:r>
      <w:bookmarkEnd w:id="0"/>
    </w:p>
    <w:p w14:paraId="472617BD" w14:textId="5B7239D2" w:rsidR="00BB22B4" w:rsidRPr="00BB22B4" w:rsidRDefault="00B7728D" w:rsidP="00B7728D">
      <w:r>
        <w:t>01/2018</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60477F2"/>
    <w:multiLevelType w:val="hybridMultilevel"/>
    <w:tmpl w:val="C2DE4D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8560BFA"/>
    <w:multiLevelType w:val="hybridMultilevel"/>
    <w:tmpl w:val="5CC2D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1694A"/>
    <w:multiLevelType w:val="hybridMultilevel"/>
    <w:tmpl w:val="F4FA9B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0"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D2847"/>
    <w:multiLevelType w:val="hybridMultilevel"/>
    <w:tmpl w:val="E42ACF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4"/>
  </w:num>
  <w:num w:numId="2" w16cid:durableId="1612932146">
    <w:abstractNumId w:val="0"/>
  </w:num>
  <w:num w:numId="3" w16cid:durableId="1810323821">
    <w:abstractNumId w:val="18"/>
  </w:num>
  <w:num w:numId="4" w16cid:durableId="2135319613">
    <w:abstractNumId w:val="3"/>
  </w:num>
  <w:num w:numId="5" w16cid:durableId="740105516">
    <w:abstractNumId w:val="1"/>
  </w:num>
  <w:num w:numId="6" w16cid:durableId="1668363208">
    <w:abstractNumId w:val="23"/>
  </w:num>
  <w:num w:numId="7" w16cid:durableId="1241988161">
    <w:abstractNumId w:val="15"/>
  </w:num>
  <w:num w:numId="8" w16cid:durableId="2102022361">
    <w:abstractNumId w:val="22"/>
  </w:num>
  <w:num w:numId="9" w16cid:durableId="1154613663">
    <w:abstractNumId w:val="2"/>
  </w:num>
  <w:num w:numId="10" w16cid:durableId="1733848127">
    <w:abstractNumId w:val="4"/>
  </w:num>
  <w:num w:numId="11" w16cid:durableId="1861704680">
    <w:abstractNumId w:val="37"/>
  </w:num>
  <w:num w:numId="12" w16cid:durableId="1434934028">
    <w:abstractNumId w:val="20"/>
  </w:num>
  <w:num w:numId="13" w16cid:durableId="479157895">
    <w:abstractNumId w:val="26"/>
  </w:num>
  <w:num w:numId="14" w16cid:durableId="1670476636">
    <w:abstractNumId w:val="17"/>
  </w:num>
  <w:num w:numId="15" w16cid:durableId="1000155783">
    <w:abstractNumId w:val="36"/>
  </w:num>
  <w:num w:numId="16" w16cid:durableId="2056420707">
    <w:abstractNumId w:val="14"/>
  </w:num>
  <w:num w:numId="17" w16cid:durableId="1787119182">
    <w:abstractNumId w:val="31"/>
  </w:num>
  <w:num w:numId="18" w16cid:durableId="722945139">
    <w:abstractNumId w:val="11"/>
  </w:num>
  <w:num w:numId="19" w16cid:durableId="1678728408">
    <w:abstractNumId w:val="33"/>
  </w:num>
  <w:num w:numId="20" w16cid:durableId="1970816657">
    <w:abstractNumId w:val="30"/>
  </w:num>
  <w:num w:numId="21" w16cid:durableId="1531146514">
    <w:abstractNumId w:val="24"/>
  </w:num>
  <w:num w:numId="22" w16cid:durableId="1276465">
    <w:abstractNumId w:val="32"/>
  </w:num>
  <w:num w:numId="23" w16cid:durableId="1624310558">
    <w:abstractNumId w:val="25"/>
  </w:num>
  <w:num w:numId="24" w16cid:durableId="1692877547">
    <w:abstractNumId w:val="12"/>
  </w:num>
  <w:num w:numId="25" w16cid:durableId="50930855">
    <w:abstractNumId w:val="29"/>
  </w:num>
  <w:num w:numId="26" w16cid:durableId="176701536">
    <w:abstractNumId w:val="28"/>
  </w:num>
  <w:num w:numId="27" w16cid:durableId="2050564750">
    <w:abstractNumId w:val="38"/>
  </w:num>
  <w:num w:numId="28" w16cid:durableId="1820733422">
    <w:abstractNumId w:val="9"/>
  </w:num>
  <w:num w:numId="29" w16cid:durableId="973678124">
    <w:abstractNumId w:val="27"/>
  </w:num>
  <w:num w:numId="30" w16cid:durableId="154884452">
    <w:abstractNumId w:val="42"/>
  </w:num>
  <w:num w:numId="31" w16cid:durableId="1053964910">
    <w:abstractNumId w:val="7"/>
  </w:num>
  <w:num w:numId="32" w16cid:durableId="2073575793">
    <w:abstractNumId w:val="40"/>
  </w:num>
  <w:num w:numId="33" w16cid:durableId="1566643170">
    <w:abstractNumId w:val="35"/>
  </w:num>
  <w:num w:numId="34" w16cid:durableId="2060787732">
    <w:abstractNumId w:val="39"/>
  </w:num>
  <w:num w:numId="35" w16cid:durableId="34161354">
    <w:abstractNumId w:val="10"/>
  </w:num>
  <w:num w:numId="36" w16cid:durableId="1976908676">
    <w:abstractNumId w:val="13"/>
  </w:num>
  <w:num w:numId="37" w16cid:durableId="758528303">
    <w:abstractNumId w:val="21"/>
  </w:num>
  <w:num w:numId="38" w16cid:durableId="178396561">
    <w:abstractNumId w:val="41"/>
  </w:num>
  <w:num w:numId="39" w16cid:durableId="934825996">
    <w:abstractNumId w:val="16"/>
  </w:num>
  <w:num w:numId="40" w16cid:durableId="553201014">
    <w:abstractNumId w:val="19"/>
  </w:num>
  <w:num w:numId="41" w16cid:durableId="511534460">
    <w:abstractNumId w:val="8"/>
  </w:num>
  <w:num w:numId="42" w16cid:durableId="1526283090">
    <w:abstractNumId w:val="5"/>
  </w:num>
  <w:num w:numId="43" w16cid:durableId="72823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7728D"/>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1902</Words>
  <Characters>10843</Characters>
  <Application>Microsoft Office Word</Application>
  <DocSecurity>0</DocSecurity>
  <Lines>90</Lines>
  <Paragraphs>25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2023-05-14T21:01:00Z</dcterms:created>
  <dcterms:modified xsi:type="dcterms:W3CDTF">2023-05-14T21:01:00Z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