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482ED0D3" w14:textId="358F4A18" w:rsidR="00F53FB7" w:rsidRDefault="00DD466D" w:rsidP="00A93499">
      <w:pPr>
        <w:pStyle w:val="Heading1"/>
      </w:pPr>
      <w:r>
        <w:t>1.ИМЕ НА ЛЕКАРСТВЕНИЯ ПРОДУКТ</w:t>
      </w:r>
    </w:p>
    <w:p w14:paraId="2CA72834" w14:textId="6F32046A" w:rsidR="000D1B49" w:rsidRDefault="000D1B49" w:rsidP="000D1B49"/>
    <w:p w14:paraId="60549C60" w14:textId="77777777" w:rsidR="00323AB7" w:rsidRPr="00323AB7" w:rsidRDefault="00323AB7" w:rsidP="00323AB7">
      <w:pPr>
        <w:rPr>
          <w:sz w:val="24"/>
          <w:szCs w:val="24"/>
          <w:lang w:val="en-US" w:eastAsia="bg-BG"/>
        </w:rPr>
      </w:pPr>
      <w:r w:rsidRPr="00323AB7">
        <w:rPr>
          <w:lang w:eastAsia="bg-BG"/>
        </w:rPr>
        <w:t xml:space="preserve">ВЕЗИМЕД 5 </w:t>
      </w:r>
      <w:r w:rsidRPr="00323AB7">
        <w:rPr>
          <w:lang w:val="en-US"/>
        </w:rPr>
        <w:t xml:space="preserve">mg </w:t>
      </w:r>
      <w:r w:rsidRPr="00323AB7">
        <w:rPr>
          <w:lang w:eastAsia="bg-BG"/>
        </w:rPr>
        <w:t>филмирани таблетки</w:t>
      </w:r>
    </w:p>
    <w:p w14:paraId="28FFEF4F" w14:textId="77777777" w:rsidR="00323AB7" w:rsidRPr="00323AB7" w:rsidRDefault="00323AB7" w:rsidP="00323AB7">
      <w:pPr>
        <w:rPr>
          <w:sz w:val="24"/>
          <w:szCs w:val="24"/>
          <w:lang w:val="en-US" w:eastAsia="bg-BG"/>
        </w:rPr>
      </w:pPr>
      <w:r w:rsidRPr="00323AB7">
        <w:rPr>
          <w:lang w:val="en-US"/>
        </w:rPr>
        <w:t xml:space="preserve">VESIMED </w:t>
      </w:r>
      <w:r w:rsidRPr="00323AB7">
        <w:rPr>
          <w:lang w:eastAsia="bg-BG"/>
        </w:rPr>
        <w:t xml:space="preserve">5 </w:t>
      </w:r>
      <w:r w:rsidRPr="00323AB7">
        <w:rPr>
          <w:lang w:val="en-US"/>
        </w:rPr>
        <w:t>mg film-coated tablets</w:t>
      </w:r>
    </w:p>
    <w:p w14:paraId="6CE051B0" w14:textId="77777777" w:rsidR="00323AB7" w:rsidRPr="00323AB7" w:rsidRDefault="00323AB7" w:rsidP="000D1B49">
      <w:pPr>
        <w:rPr>
          <w:lang w:val="en-US"/>
        </w:rPr>
      </w:pPr>
    </w:p>
    <w:p w14:paraId="0DF202EC" w14:textId="01DB3D98" w:rsidR="00F53FB7" w:rsidRDefault="00DD466D" w:rsidP="00A93499">
      <w:pPr>
        <w:pStyle w:val="Heading1"/>
      </w:pPr>
      <w:r>
        <w:t>2. КАЧЕСТВЕН И КОЛИЧЕСТВЕН СЪСТАВ</w:t>
      </w:r>
    </w:p>
    <w:p w14:paraId="52D68E9A" w14:textId="0C2989BF" w:rsidR="00323AB7" w:rsidRDefault="00323AB7" w:rsidP="00323AB7"/>
    <w:p w14:paraId="024052F2" w14:textId="77777777" w:rsidR="00323AB7" w:rsidRPr="00323AB7" w:rsidRDefault="00323AB7" w:rsidP="00323AB7">
      <w:pPr>
        <w:rPr>
          <w:sz w:val="24"/>
          <w:szCs w:val="24"/>
          <w:lang w:eastAsia="bg-BG"/>
        </w:rPr>
      </w:pPr>
      <w:r w:rsidRPr="00323AB7">
        <w:rPr>
          <w:lang w:eastAsia="bg-BG"/>
        </w:rPr>
        <w:t xml:space="preserve">Всяка таблетка съдържа 5 </w:t>
      </w:r>
      <w:r w:rsidRPr="00323AB7">
        <w:rPr>
          <w:lang w:val="en-US"/>
        </w:rPr>
        <w:t xml:space="preserve">mg </w:t>
      </w:r>
      <w:r w:rsidRPr="00323AB7">
        <w:rPr>
          <w:lang w:eastAsia="bg-BG"/>
        </w:rPr>
        <w:t>солифенацинов сукци</w:t>
      </w:r>
      <w:r w:rsidRPr="00323AB7">
        <w:rPr>
          <w:u w:val="single"/>
          <w:lang w:eastAsia="bg-BG"/>
        </w:rPr>
        <w:t xml:space="preserve">нат </w:t>
      </w:r>
      <w:r w:rsidRPr="00323AB7">
        <w:rPr>
          <w:u w:val="single"/>
          <w:lang w:val="en-US"/>
        </w:rPr>
        <w:t>(</w:t>
      </w:r>
      <w:proofErr w:type="spellStart"/>
      <w:r w:rsidRPr="00323AB7">
        <w:rPr>
          <w:u w:val="single"/>
          <w:lang w:val="en-US"/>
        </w:rPr>
        <w:t>solifenacin</w:t>
      </w:r>
      <w:proofErr w:type="spellEnd"/>
      <w:r w:rsidRPr="00323AB7">
        <w:rPr>
          <w:u w:val="single"/>
          <w:lang w:val="en-US"/>
        </w:rPr>
        <w:t xml:space="preserve"> succ</w:t>
      </w:r>
      <w:r w:rsidRPr="00323AB7">
        <w:rPr>
          <w:lang w:val="en-US"/>
        </w:rPr>
        <w:t xml:space="preserve">inate) </w:t>
      </w:r>
      <w:r w:rsidRPr="00323AB7">
        <w:rPr>
          <w:lang w:eastAsia="bg-BG"/>
        </w:rPr>
        <w:t xml:space="preserve">еквивалентно на 3,8 </w:t>
      </w:r>
      <w:r w:rsidRPr="00323AB7">
        <w:rPr>
          <w:lang w:val="en-US"/>
        </w:rPr>
        <w:t xml:space="preserve">mg </w:t>
      </w:r>
      <w:r w:rsidRPr="00323AB7">
        <w:rPr>
          <w:lang w:eastAsia="bg-BG"/>
        </w:rPr>
        <w:t xml:space="preserve">солифенацин </w:t>
      </w:r>
      <w:r w:rsidRPr="00323AB7">
        <w:rPr>
          <w:lang w:val="en-US"/>
        </w:rPr>
        <w:t>(</w:t>
      </w:r>
      <w:proofErr w:type="spellStart"/>
      <w:r w:rsidRPr="00323AB7">
        <w:rPr>
          <w:lang w:val="en-US"/>
        </w:rPr>
        <w:t>solifenacin</w:t>
      </w:r>
      <w:proofErr w:type="spellEnd"/>
      <w:r w:rsidRPr="00323AB7">
        <w:rPr>
          <w:lang w:val="en-US"/>
        </w:rPr>
        <w:t>).</w:t>
      </w:r>
    </w:p>
    <w:p w14:paraId="30962460" w14:textId="77777777" w:rsidR="00323AB7" w:rsidRPr="00323AB7" w:rsidRDefault="00323AB7" w:rsidP="00323AB7"/>
    <w:p w14:paraId="4CABB9ED" w14:textId="6346B25E" w:rsidR="00F53FB7" w:rsidRDefault="00DD466D" w:rsidP="00A93499">
      <w:pPr>
        <w:pStyle w:val="Heading1"/>
      </w:pPr>
      <w:r>
        <w:t>3. ЛЕКАРСТВЕНА ФОРМА</w:t>
      </w:r>
    </w:p>
    <w:p w14:paraId="2A35BC3B" w14:textId="6A82F57A" w:rsidR="00323AB7" w:rsidRDefault="00323AB7" w:rsidP="00323AB7"/>
    <w:p w14:paraId="01F3E93D" w14:textId="77777777" w:rsidR="00323AB7" w:rsidRPr="00323AB7" w:rsidRDefault="00323AB7" w:rsidP="00323AB7">
      <w:pPr>
        <w:rPr>
          <w:sz w:val="24"/>
          <w:szCs w:val="24"/>
          <w:lang w:eastAsia="bg-BG"/>
        </w:rPr>
      </w:pPr>
      <w:r w:rsidRPr="00323AB7">
        <w:rPr>
          <w:lang w:eastAsia="bg-BG"/>
        </w:rPr>
        <w:t>Филмирана таблетка.</w:t>
      </w:r>
    </w:p>
    <w:p w14:paraId="054783E8" w14:textId="77777777" w:rsidR="00323AB7" w:rsidRPr="00323AB7" w:rsidRDefault="00323AB7" w:rsidP="00323AB7">
      <w:pPr>
        <w:rPr>
          <w:sz w:val="24"/>
          <w:szCs w:val="24"/>
          <w:lang w:eastAsia="bg-BG"/>
        </w:rPr>
      </w:pPr>
      <w:r w:rsidRPr="00323AB7">
        <w:rPr>
          <w:lang w:eastAsia="bg-BG"/>
        </w:rPr>
        <w:t xml:space="preserve">Жълта, кръгла, двойно изпъкнала филмирана таблетка с диаметър 6 </w:t>
      </w:r>
      <w:r w:rsidRPr="00323AB7">
        <w:rPr>
          <w:lang w:val="en-US"/>
        </w:rPr>
        <w:t>mm.</w:t>
      </w:r>
    </w:p>
    <w:p w14:paraId="3D10458D" w14:textId="77777777" w:rsidR="00323AB7" w:rsidRPr="00323AB7" w:rsidRDefault="00323AB7" w:rsidP="00323AB7"/>
    <w:p w14:paraId="490FC2C4" w14:textId="6899DE43" w:rsidR="002C50EE" w:rsidRDefault="002C50EE" w:rsidP="002C50EE">
      <w:pPr>
        <w:pStyle w:val="Heading1"/>
      </w:pPr>
      <w:r>
        <w:t>4. КЛИНИЧНИ ДАННИ</w:t>
      </w:r>
    </w:p>
    <w:p w14:paraId="1A37D275" w14:textId="76EB731B" w:rsidR="00F53FB7" w:rsidRDefault="002C50EE" w:rsidP="00A93499">
      <w:pPr>
        <w:pStyle w:val="Heading2"/>
      </w:pPr>
      <w:r>
        <w:t>4.1. Терапевтични показания</w:t>
      </w:r>
    </w:p>
    <w:p w14:paraId="41ABCE84" w14:textId="771E7398" w:rsidR="00323AB7" w:rsidRDefault="00323AB7" w:rsidP="00323AB7"/>
    <w:p w14:paraId="66457FA8" w14:textId="1101FB18" w:rsidR="00323AB7" w:rsidRDefault="00323AB7" w:rsidP="00323AB7">
      <w:r>
        <w:t>Симптоматично лечение на инконтиненция и/ или повишена честота на уриниране и неудържими позиви за уриниране при пациенти със синдром на свръхактивен пикочен мехур.</w:t>
      </w:r>
    </w:p>
    <w:p w14:paraId="140A7CC5" w14:textId="77777777" w:rsidR="00323AB7" w:rsidRPr="00323AB7" w:rsidRDefault="00323AB7" w:rsidP="00323AB7"/>
    <w:p w14:paraId="05D17336" w14:textId="111B0D49" w:rsidR="00F53FB7" w:rsidRDefault="002C50EE" w:rsidP="00A93499">
      <w:pPr>
        <w:pStyle w:val="Heading2"/>
      </w:pPr>
      <w:r>
        <w:t>4.2. Дозировка и начин на приложение</w:t>
      </w:r>
    </w:p>
    <w:p w14:paraId="55D96B9B" w14:textId="71615C1E" w:rsidR="00323AB7" w:rsidRDefault="00323AB7" w:rsidP="00323AB7"/>
    <w:p w14:paraId="419C210F" w14:textId="77777777" w:rsidR="00323AB7" w:rsidRPr="00323AB7" w:rsidRDefault="00323AB7" w:rsidP="00323AB7">
      <w:pPr>
        <w:pStyle w:val="Heading3"/>
        <w:rPr>
          <w:rFonts w:eastAsia="Times New Roman"/>
          <w:sz w:val="12"/>
          <w:szCs w:val="12"/>
          <w:u w:val="single"/>
          <w:lang w:eastAsia="bg-BG"/>
        </w:rPr>
      </w:pPr>
      <w:r w:rsidRPr="00323AB7">
        <w:rPr>
          <w:rFonts w:eastAsia="Times New Roman"/>
          <w:u w:val="single"/>
          <w:lang w:eastAsia="bg-BG"/>
        </w:rPr>
        <w:t>Дозировка</w:t>
      </w:r>
    </w:p>
    <w:p w14:paraId="1DAD182A" w14:textId="77777777" w:rsidR="00323AB7" w:rsidRPr="00323AB7" w:rsidRDefault="00323AB7" w:rsidP="00323AB7">
      <w:pPr>
        <w:spacing w:line="240" w:lineRule="auto"/>
        <w:rPr>
          <w:rFonts w:eastAsia="Times New Roman" w:cs="Arial"/>
          <w:sz w:val="12"/>
          <w:szCs w:val="12"/>
          <w:lang w:eastAsia="bg-BG"/>
        </w:rPr>
      </w:pPr>
      <w:r w:rsidRPr="00323AB7">
        <w:rPr>
          <w:rFonts w:eastAsia="Times New Roman" w:cs="Arial"/>
          <w:i/>
          <w:iCs/>
          <w:color w:val="000000"/>
          <w:lang w:eastAsia="bg-BG"/>
        </w:rPr>
        <w:t>Възрастни, включително пациенти в старческа възраст</w:t>
      </w:r>
    </w:p>
    <w:p w14:paraId="1484C353" w14:textId="77777777" w:rsidR="00323AB7" w:rsidRPr="00323AB7" w:rsidRDefault="00323AB7" w:rsidP="00323AB7">
      <w:pPr>
        <w:spacing w:line="240" w:lineRule="auto"/>
        <w:rPr>
          <w:rFonts w:eastAsia="Times New Roman" w:cs="Arial"/>
          <w:sz w:val="12"/>
          <w:szCs w:val="12"/>
          <w:lang w:eastAsia="bg-BG"/>
        </w:rPr>
      </w:pPr>
      <w:r w:rsidRPr="00323AB7">
        <w:rPr>
          <w:rFonts w:eastAsia="Times New Roman" w:cs="Arial"/>
          <w:color w:val="000000"/>
          <w:lang w:eastAsia="bg-BG"/>
        </w:rPr>
        <w:t xml:space="preserve">Препоръчителната доза е 5 </w:t>
      </w:r>
      <w:r w:rsidRPr="00323AB7">
        <w:rPr>
          <w:rFonts w:eastAsia="Times New Roman" w:cs="Arial"/>
          <w:color w:val="000000"/>
          <w:lang w:val="en-US"/>
        </w:rPr>
        <w:t xml:space="preserve">mg </w:t>
      </w:r>
      <w:r w:rsidRPr="00323AB7">
        <w:rPr>
          <w:rFonts w:eastAsia="Times New Roman" w:cs="Arial"/>
          <w:color w:val="000000"/>
          <w:lang w:eastAsia="bg-BG"/>
        </w:rPr>
        <w:t xml:space="preserve">солифенацинов сукцинат веднъж дневно. Ако е необходимо, дозата може да бъде повишена до 10 </w:t>
      </w:r>
      <w:r w:rsidRPr="00323AB7">
        <w:rPr>
          <w:rFonts w:eastAsia="Times New Roman" w:cs="Arial"/>
          <w:color w:val="000000"/>
          <w:lang w:val="en-US"/>
        </w:rPr>
        <w:t xml:space="preserve">mg </w:t>
      </w:r>
      <w:r w:rsidRPr="00323AB7">
        <w:rPr>
          <w:rFonts w:eastAsia="Times New Roman" w:cs="Arial"/>
          <w:color w:val="000000"/>
          <w:lang w:eastAsia="bg-BG"/>
        </w:rPr>
        <w:t>солифенацинов сукцинат веднъж дневно.</w:t>
      </w:r>
    </w:p>
    <w:p w14:paraId="60E19155" w14:textId="77777777" w:rsidR="00323AB7" w:rsidRDefault="00323AB7" w:rsidP="00323AB7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446063E" w14:textId="7FC26D21" w:rsidR="00323AB7" w:rsidRPr="00323AB7" w:rsidRDefault="00323AB7" w:rsidP="00323AB7">
      <w:pPr>
        <w:spacing w:line="240" w:lineRule="auto"/>
        <w:rPr>
          <w:rFonts w:eastAsia="Times New Roman" w:cs="Arial"/>
          <w:sz w:val="12"/>
          <w:szCs w:val="12"/>
          <w:lang w:eastAsia="bg-BG"/>
        </w:rPr>
      </w:pPr>
      <w:r w:rsidRPr="00323AB7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4D6A501D" w14:textId="77777777" w:rsidR="00323AB7" w:rsidRPr="00323AB7" w:rsidRDefault="00323AB7" w:rsidP="00323AB7">
      <w:pPr>
        <w:spacing w:line="240" w:lineRule="auto"/>
        <w:rPr>
          <w:rFonts w:eastAsia="Times New Roman" w:cs="Arial"/>
          <w:sz w:val="12"/>
          <w:szCs w:val="12"/>
          <w:lang w:eastAsia="bg-BG"/>
        </w:rPr>
      </w:pPr>
      <w:r w:rsidRPr="00323AB7">
        <w:rPr>
          <w:rFonts w:eastAsia="Times New Roman" w:cs="Arial"/>
          <w:color w:val="000000"/>
          <w:lang w:eastAsia="bg-BG"/>
        </w:rPr>
        <w:t>Безопасността и ефикасността на солифенацин при деца не са установени. Поради това</w:t>
      </w:r>
    </w:p>
    <w:p w14:paraId="02904F57" w14:textId="77777777" w:rsidR="00323AB7" w:rsidRPr="00323AB7" w:rsidRDefault="00323AB7" w:rsidP="00323AB7">
      <w:pPr>
        <w:spacing w:line="240" w:lineRule="auto"/>
        <w:rPr>
          <w:rFonts w:eastAsia="Times New Roman" w:cs="Arial"/>
          <w:sz w:val="12"/>
          <w:szCs w:val="12"/>
          <w:lang w:eastAsia="bg-BG"/>
        </w:rPr>
      </w:pPr>
      <w:r w:rsidRPr="00323AB7">
        <w:rPr>
          <w:rFonts w:eastAsia="Times New Roman" w:cs="Arial"/>
          <w:color w:val="000000"/>
          <w:lang w:eastAsia="bg-BG"/>
        </w:rPr>
        <w:t>ВЕЗИМЕД не трябва да се прилага при деца.</w:t>
      </w:r>
    </w:p>
    <w:p w14:paraId="0BCDCE41" w14:textId="77777777" w:rsidR="00323AB7" w:rsidRDefault="00323AB7" w:rsidP="00323AB7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540782C" w14:textId="48915DF1" w:rsidR="00323AB7" w:rsidRPr="00323AB7" w:rsidRDefault="00323AB7" w:rsidP="00323AB7">
      <w:pPr>
        <w:spacing w:line="240" w:lineRule="auto"/>
        <w:rPr>
          <w:rFonts w:eastAsia="Times New Roman" w:cs="Arial"/>
          <w:sz w:val="12"/>
          <w:szCs w:val="12"/>
          <w:lang w:eastAsia="bg-BG"/>
        </w:rPr>
      </w:pPr>
      <w:r w:rsidRPr="00323AB7">
        <w:rPr>
          <w:rFonts w:eastAsia="Times New Roman" w:cs="Arial"/>
          <w:i/>
          <w:iCs/>
          <w:color w:val="000000"/>
          <w:lang w:eastAsia="bg-BG"/>
        </w:rPr>
        <w:t>Пациенти с бъбречно увреждане</w:t>
      </w:r>
    </w:p>
    <w:p w14:paraId="3F17E0D6" w14:textId="716E5612" w:rsidR="00323AB7" w:rsidRDefault="00323AB7" w:rsidP="00323AB7">
      <w:pPr>
        <w:rPr>
          <w:rFonts w:eastAsia="Times New Roman" w:cs="Arial"/>
          <w:color w:val="000000"/>
          <w:lang w:eastAsia="bg-BG"/>
        </w:rPr>
      </w:pPr>
      <w:r w:rsidRPr="00323AB7">
        <w:rPr>
          <w:rFonts w:eastAsia="Times New Roman" w:cs="Arial"/>
          <w:color w:val="000000"/>
          <w:lang w:eastAsia="bg-BG"/>
        </w:rPr>
        <w:t>Не е необходимо адаптиране на дозата при пациенти с леко до умерено</w:t>
      </w:r>
      <w:r w:rsidRPr="00323AB7">
        <w:rPr>
          <w:rFonts w:eastAsia="Times New Roman" w:cs="Arial"/>
          <w:color w:val="000000"/>
          <w:lang w:val="en-US"/>
        </w:rPr>
        <w:t xml:space="preserve"> </w:t>
      </w:r>
      <w:r w:rsidRPr="00323AB7">
        <w:rPr>
          <w:rFonts w:eastAsia="Times New Roman" w:cs="Arial"/>
          <w:color w:val="000000"/>
          <w:lang w:eastAsia="bg-BG"/>
        </w:rPr>
        <w:t xml:space="preserve">бъбречно увреждане (креатининов клирънс &gt; 30 </w:t>
      </w:r>
      <w:r w:rsidRPr="00323AB7">
        <w:rPr>
          <w:rFonts w:eastAsia="Times New Roman" w:cs="Arial"/>
          <w:color w:val="000000"/>
          <w:lang w:val="en-US"/>
        </w:rPr>
        <w:t xml:space="preserve">ml/min). </w:t>
      </w:r>
      <w:r w:rsidRPr="00323AB7">
        <w:rPr>
          <w:rFonts w:eastAsia="Times New Roman" w:cs="Arial"/>
          <w:color w:val="000000"/>
          <w:lang w:eastAsia="bg-BG"/>
        </w:rPr>
        <w:t xml:space="preserve">Пациенти с тежко бъбречно увреждане (креатининов клирънс ≤30 </w:t>
      </w:r>
      <w:r w:rsidRPr="00323AB7">
        <w:rPr>
          <w:rFonts w:eastAsia="Times New Roman" w:cs="Arial"/>
          <w:color w:val="000000"/>
          <w:lang w:val="en-US"/>
        </w:rPr>
        <w:t xml:space="preserve">ml/min) </w:t>
      </w:r>
      <w:r w:rsidRPr="00323AB7">
        <w:rPr>
          <w:rFonts w:eastAsia="Times New Roman" w:cs="Arial"/>
          <w:color w:val="000000"/>
          <w:lang w:eastAsia="bg-BG"/>
        </w:rPr>
        <w:t xml:space="preserve">трябва да бъдат лекувани с внимание и да приемат не повече от 5 </w:t>
      </w:r>
      <w:r w:rsidRPr="00323AB7">
        <w:rPr>
          <w:rFonts w:eastAsia="Times New Roman" w:cs="Arial"/>
          <w:color w:val="000000"/>
          <w:lang w:val="en-US"/>
        </w:rPr>
        <w:t>mg</w:t>
      </w:r>
      <w:r w:rsidRPr="00323AB7">
        <w:rPr>
          <w:rFonts w:eastAsia="Times New Roman" w:cs="Arial"/>
          <w:color w:val="000000"/>
          <w:lang w:eastAsia="bg-BG"/>
        </w:rPr>
        <w:t xml:space="preserve"> веднъж дневно (вижте точка 5.2).</w:t>
      </w:r>
    </w:p>
    <w:p w14:paraId="30E8F52A" w14:textId="74121336" w:rsidR="00323AB7" w:rsidRDefault="00323AB7" w:rsidP="00323AB7">
      <w:pPr>
        <w:rPr>
          <w:rFonts w:eastAsia="Times New Roman" w:cs="Arial"/>
          <w:color w:val="000000"/>
          <w:lang w:eastAsia="bg-BG"/>
        </w:rPr>
      </w:pPr>
    </w:p>
    <w:p w14:paraId="4C13B437" w14:textId="77777777" w:rsidR="00323AB7" w:rsidRPr="00323AB7" w:rsidRDefault="00323AB7" w:rsidP="00323AB7">
      <w:pPr>
        <w:spacing w:line="240" w:lineRule="auto"/>
        <w:rPr>
          <w:rFonts w:eastAsia="Times New Roman" w:cs="Arial"/>
          <w:lang w:eastAsia="bg-BG"/>
        </w:rPr>
      </w:pPr>
      <w:r w:rsidRPr="00323AB7">
        <w:rPr>
          <w:rFonts w:eastAsia="Times New Roman" w:cs="Arial"/>
          <w:i/>
          <w:iCs/>
          <w:color w:val="000000"/>
          <w:lang w:eastAsia="bg-BG"/>
        </w:rPr>
        <w:t>Пациенти с чернодробно увреждане</w:t>
      </w:r>
    </w:p>
    <w:p w14:paraId="2AF57454" w14:textId="77777777" w:rsidR="00323AB7" w:rsidRPr="00323AB7" w:rsidRDefault="00323AB7" w:rsidP="00323AB7">
      <w:pPr>
        <w:spacing w:line="240" w:lineRule="auto"/>
        <w:rPr>
          <w:rFonts w:eastAsia="Times New Roman" w:cs="Arial"/>
          <w:lang w:eastAsia="bg-BG"/>
        </w:rPr>
      </w:pPr>
      <w:r w:rsidRPr="00323AB7">
        <w:rPr>
          <w:rFonts w:eastAsia="Times New Roman" w:cs="Arial"/>
          <w:color w:val="000000"/>
          <w:lang w:eastAsia="bg-BG"/>
        </w:rPr>
        <w:t xml:space="preserve">Не е необходимо адаптиране на дозата при пациенти с леко чернодробно увреждане. Пациенти с умерено чернодробно увреждане (7 до 9 точки по скалата </w:t>
      </w:r>
      <w:r w:rsidRPr="00323AB7">
        <w:rPr>
          <w:rFonts w:eastAsia="Times New Roman" w:cs="Arial"/>
          <w:color w:val="000000"/>
          <w:lang w:val="en-US"/>
        </w:rPr>
        <w:t xml:space="preserve">Child-Pugh) </w:t>
      </w:r>
      <w:r w:rsidRPr="00323AB7">
        <w:rPr>
          <w:rFonts w:eastAsia="Times New Roman" w:cs="Arial"/>
          <w:color w:val="000000"/>
          <w:lang w:eastAsia="bg-BG"/>
        </w:rPr>
        <w:t xml:space="preserve">трябва да бъдат лекувани с внимание и да приемат не повече от 5 </w:t>
      </w:r>
      <w:r w:rsidRPr="00323AB7">
        <w:rPr>
          <w:rFonts w:eastAsia="Times New Roman" w:cs="Arial"/>
          <w:color w:val="000000"/>
          <w:lang w:val="en-US"/>
        </w:rPr>
        <w:t xml:space="preserve">mg </w:t>
      </w:r>
      <w:r w:rsidRPr="00323AB7">
        <w:rPr>
          <w:rFonts w:eastAsia="Times New Roman" w:cs="Arial"/>
          <w:color w:val="000000"/>
          <w:lang w:eastAsia="bg-BG"/>
        </w:rPr>
        <w:t>веднъж дневно (вижте точка 5.2).</w:t>
      </w:r>
    </w:p>
    <w:p w14:paraId="4793D071" w14:textId="77777777" w:rsidR="00323AB7" w:rsidRDefault="00323AB7" w:rsidP="00323AB7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57C85E5" w14:textId="6A227949" w:rsidR="00323AB7" w:rsidRPr="00323AB7" w:rsidRDefault="00323AB7" w:rsidP="00323AB7">
      <w:pPr>
        <w:spacing w:line="240" w:lineRule="auto"/>
        <w:rPr>
          <w:rFonts w:eastAsia="Times New Roman" w:cs="Arial"/>
          <w:lang w:eastAsia="bg-BG"/>
        </w:rPr>
      </w:pPr>
      <w:r w:rsidRPr="00323AB7">
        <w:rPr>
          <w:rFonts w:eastAsia="Times New Roman" w:cs="Arial"/>
          <w:i/>
          <w:iCs/>
          <w:color w:val="000000"/>
          <w:lang w:eastAsia="bg-BG"/>
        </w:rPr>
        <w:t>Мощни инхибитори на цитохром Р450 ЗА4</w:t>
      </w:r>
    </w:p>
    <w:p w14:paraId="352971B1" w14:textId="77777777" w:rsidR="00323AB7" w:rsidRPr="00323AB7" w:rsidRDefault="00323AB7" w:rsidP="00323AB7">
      <w:pPr>
        <w:spacing w:line="240" w:lineRule="auto"/>
        <w:rPr>
          <w:rFonts w:eastAsia="Times New Roman" w:cs="Arial"/>
          <w:lang w:eastAsia="bg-BG"/>
        </w:rPr>
      </w:pPr>
      <w:r w:rsidRPr="00323AB7">
        <w:rPr>
          <w:rFonts w:eastAsia="Times New Roman" w:cs="Arial"/>
          <w:color w:val="000000"/>
          <w:lang w:eastAsia="bg-BG"/>
        </w:rPr>
        <w:t xml:space="preserve">Максималната доза ВЕЗИМЕД трябва да бъде ограничена до 5 </w:t>
      </w:r>
      <w:r w:rsidRPr="00323AB7">
        <w:rPr>
          <w:rFonts w:eastAsia="Times New Roman" w:cs="Arial"/>
          <w:color w:val="000000"/>
          <w:lang w:val="en-US"/>
        </w:rPr>
        <w:t xml:space="preserve">mg, </w:t>
      </w:r>
      <w:r w:rsidRPr="00323AB7">
        <w:rPr>
          <w:rFonts w:eastAsia="Times New Roman" w:cs="Arial"/>
          <w:color w:val="000000"/>
          <w:lang w:eastAsia="bg-BG"/>
        </w:rPr>
        <w:t xml:space="preserve">когато е приеман съвместно с кетоконазол или терапевтични дози на други мощни </w:t>
      </w:r>
      <w:r w:rsidRPr="00323AB7">
        <w:rPr>
          <w:rFonts w:eastAsia="Times New Roman" w:cs="Arial"/>
          <w:color w:val="000000"/>
          <w:lang w:val="en-US"/>
        </w:rPr>
        <w:t xml:space="preserve">CYP3A4 </w:t>
      </w:r>
      <w:r w:rsidRPr="00323AB7">
        <w:rPr>
          <w:rFonts w:eastAsia="Times New Roman" w:cs="Arial"/>
          <w:color w:val="000000"/>
          <w:lang w:eastAsia="bg-BG"/>
        </w:rPr>
        <w:t>инхибитори, като ритонавир, нелфинавир, итраконазол (вижте точка 4.5).</w:t>
      </w:r>
    </w:p>
    <w:p w14:paraId="776B4AD3" w14:textId="77777777" w:rsidR="00323AB7" w:rsidRDefault="00323AB7" w:rsidP="00323AB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1FB626E" w14:textId="5C991298" w:rsidR="00323AB7" w:rsidRPr="00323AB7" w:rsidRDefault="00323AB7" w:rsidP="00323AB7">
      <w:pPr>
        <w:pStyle w:val="Heading3"/>
        <w:rPr>
          <w:rFonts w:eastAsia="Times New Roman"/>
          <w:u w:val="single"/>
          <w:lang w:eastAsia="bg-BG"/>
        </w:rPr>
      </w:pPr>
      <w:r w:rsidRPr="00323AB7">
        <w:rPr>
          <w:rFonts w:eastAsia="Times New Roman"/>
          <w:u w:val="single"/>
          <w:lang w:eastAsia="bg-BG"/>
        </w:rPr>
        <w:t>Начин на приложение</w:t>
      </w:r>
    </w:p>
    <w:p w14:paraId="7477FF57" w14:textId="0CB0609C" w:rsidR="00323AB7" w:rsidRDefault="00323AB7" w:rsidP="00323AB7">
      <w:pPr>
        <w:rPr>
          <w:rFonts w:eastAsia="Times New Roman" w:cs="Arial"/>
          <w:color w:val="000000"/>
          <w:lang w:eastAsia="bg-BG"/>
        </w:rPr>
      </w:pPr>
      <w:r w:rsidRPr="00323AB7">
        <w:rPr>
          <w:rFonts w:eastAsia="Times New Roman" w:cs="Arial"/>
          <w:color w:val="000000"/>
          <w:lang w:eastAsia="bg-BG"/>
        </w:rPr>
        <w:t>ВЕЗИМЕД трябва да бъде приеман перорално и таблетките трябва да бъдат поглъщани цели с течност. Може да бъде приеман с или без храна.</w:t>
      </w:r>
    </w:p>
    <w:p w14:paraId="6577072D" w14:textId="77777777" w:rsidR="00323AB7" w:rsidRPr="00323AB7" w:rsidRDefault="00323AB7" w:rsidP="00323AB7">
      <w:pPr>
        <w:rPr>
          <w:rFonts w:cs="Arial"/>
        </w:rPr>
      </w:pPr>
    </w:p>
    <w:p w14:paraId="1BF2EFF4" w14:textId="4FB6C28E" w:rsidR="001A6EBD" w:rsidRDefault="002C50EE" w:rsidP="00471F10">
      <w:pPr>
        <w:pStyle w:val="Heading2"/>
      </w:pPr>
      <w:r>
        <w:t>4.3. Противопоказания</w:t>
      </w:r>
    </w:p>
    <w:p w14:paraId="3152920F" w14:textId="47BA266F" w:rsidR="00BD3FB9" w:rsidRDefault="00BD3FB9" w:rsidP="00BD3FB9"/>
    <w:p w14:paraId="11AC8151" w14:textId="77777777" w:rsidR="00BD3FB9" w:rsidRPr="00BD3FB9" w:rsidRDefault="00BD3FB9" w:rsidP="00BD3FB9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lang w:eastAsia="bg-BG"/>
        </w:rPr>
      </w:pPr>
      <w:r w:rsidRPr="00BD3FB9">
        <w:rPr>
          <w:rFonts w:eastAsia="Times New Roman" w:cs="Arial"/>
          <w:color w:val="000000"/>
          <w:lang w:eastAsia="bg-BG"/>
        </w:rPr>
        <w:t>Свръхчувствителност към активното вещество или към някое от помощните вещества, изброени в точка 6.1</w:t>
      </w:r>
    </w:p>
    <w:p w14:paraId="164B64B3" w14:textId="77777777" w:rsidR="00BD3FB9" w:rsidRPr="00BD3FB9" w:rsidRDefault="00BD3FB9" w:rsidP="00BD3FB9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lang w:eastAsia="bg-BG"/>
        </w:rPr>
      </w:pPr>
      <w:r w:rsidRPr="00BD3FB9">
        <w:rPr>
          <w:rFonts w:eastAsia="Times New Roman" w:cs="Arial"/>
          <w:color w:val="000000"/>
          <w:lang w:eastAsia="bg-BG"/>
        </w:rPr>
        <w:t>Пациенти със задръжка на урина, тежко стомашно-чревно състояние (включително токсичен мегаколон), миастения гравис или тясноъгьлна глаукома и пациенти с риск за тези състояния.</w:t>
      </w:r>
    </w:p>
    <w:p w14:paraId="281D5439" w14:textId="77777777" w:rsidR="00BD3FB9" w:rsidRPr="00BD3FB9" w:rsidRDefault="00BD3FB9" w:rsidP="00BD3FB9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lang w:eastAsia="bg-BG"/>
        </w:rPr>
      </w:pPr>
      <w:r w:rsidRPr="00BD3FB9">
        <w:rPr>
          <w:rFonts w:eastAsia="Times New Roman" w:cs="Arial"/>
          <w:color w:val="000000"/>
          <w:lang w:eastAsia="bg-BG"/>
        </w:rPr>
        <w:t>Пациенти на хемодиализа (вижте точка 5.2).</w:t>
      </w:r>
    </w:p>
    <w:p w14:paraId="0F32CC07" w14:textId="77777777" w:rsidR="00BD3FB9" w:rsidRPr="00BD3FB9" w:rsidRDefault="00BD3FB9" w:rsidP="00BD3FB9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lang w:eastAsia="bg-BG"/>
        </w:rPr>
      </w:pPr>
      <w:r w:rsidRPr="00BD3FB9">
        <w:rPr>
          <w:rFonts w:eastAsia="Times New Roman" w:cs="Arial"/>
          <w:color w:val="000000"/>
          <w:lang w:eastAsia="bg-BG"/>
        </w:rPr>
        <w:t>Пациенти с тежко чернодробно уверждане (вижте точка 5.2).</w:t>
      </w:r>
    </w:p>
    <w:p w14:paraId="4B615A1F" w14:textId="2F4CB497" w:rsidR="00BD3FB9" w:rsidRPr="000D27AA" w:rsidRDefault="00BD3FB9" w:rsidP="00BD3FB9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lang w:eastAsia="bg-BG"/>
        </w:rPr>
      </w:pPr>
      <w:r w:rsidRPr="00BD3FB9">
        <w:rPr>
          <w:rFonts w:eastAsia="Times New Roman" w:cs="Arial"/>
          <w:color w:val="000000"/>
          <w:lang w:eastAsia="bg-BG"/>
        </w:rPr>
        <w:t xml:space="preserve">Пациенти с тежко бъбречно увреждане или умерено чернодробно увреждане и такива на лечение с мощни </w:t>
      </w:r>
      <w:r w:rsidRPr="00BD3FB9">
        <w:rPr>
          <w:rFonts w:eastAsia="Times New Roman" w:cs="Arial"/>
          <w:color w:val="000000"/>
          <w:lang w:val="en-US"/>
        </w:rPr>
        <w:t xml:space="preserve">CYP3A4 </w:t>
      </w:r>
      <w:r w:rsidRPr="00BD3FB9">
        <w:rPr>
          <w:rFonts w:eastAsia="Times New Roman" w:cs="Arial"/>
          <w:color w:val="000000"/>
          <w:lang w:eastAsia="bg-BG"/>
        </w:rPr>
        <w:t>инхибитори, напр. кетоконазол (вижте точка 4.5).</w:t>
      </w:r>
    </w:p>
    <w:p w14:paraId="2CB8DA6D" w14:textId="77777777" w:rsidR="000D27AA" w:rsidRPr="000D27AA" w:rsidRDefault="000D27AA" w:rsidP="000D27AA">
      <w:pPr>
        <w:spacing w:line="240" w:lineRule="auto"/>
        <w:rPr>
          <w:rFonts w:eastAsia="Times New Roman" w:cs="Arial"/>
          <w:lang w:eastAsia="bg-BG"/>
        </w:rPr>
      </w:pPr>
    </w:p>
    <w:p w14:paraId="0C106098" w14:textId="4BB578F0" w:rsidR="001A6EBD" w:rsidRDefault="002C50EE" w:rsidP="00471F10">
      <w:pPr>
        <w:pStyle w:val="Heading2"/>
      </w:pPr>
      <w:r>
        <w:t>4.4. Специални предупреждения и предпазни мерки при употреба</w:t>
      </w:r>
    </w:p>
    <w:p w14:paraId="0BED6A74" w14:textId="2E19A0C2" w:rsidR="000D27AA" w:rsidRDefault="000D27AA" w:rsidP="000D27AA"/>
    <w:p w14:paraId="03962ADE" w14:textId="77777777" w:rsidR="000D27AA" w:rsidRPr="000D27AA" w:rsidRDefault="000D27AA" w:rsidP="000D27AA">
      <w:pPr>
        <w:spacing w:line="240" w:lineRule="auto"/>
        <w:rPr>
          <w:rFonts w:eastAsia="Times New Roman" w:cs="Arial"/>
          <w:lang w:eastAsia="bg-BG"/>
        </w:rPr>
      </w:pPr>
      <w:r w:rsidRPr="000D27AA">
        <w:rPr>
          <w:rFonts w:eastAsia="Times New Roman" w:cs="Arial"/>
          <w:color w:val="000000"/>
          <w:lang w:eastAsia="bg-BG"/>
        </w:rPr>
        <w:t>Преди започване на лечение с ВЕЗИМЕД трябва да се установи дали честото уриниране не се дължи на други причини (сърдечна недостатъчност или бъбречно заболяване). Ако е налична инфекция на уринарния тракт, трябва да се започне подходящо антибактериално лечение.</w:t>
      </w:r>
    </w:p>
    <w:p w14:paraId="32F7267E" w14:textId="77777777" w:rsidR="000D27AA" w:rsidRPr="000D27AA" w:rsidRDefault="000D27AA" w:rsidP="000D27AA">
      <w:pPr>
        <w:spacing w:line="240" w:lineRule="auto"/>
        <w:rPr>
          <w:rFonts w:eastAsia="Times New Roman" w:cs="Arial"/>
          <w:lang w:eastAsia="bg-BG"/>
        </w:rPr>
      </w:pPr>
      <w:r w:rsidRPr="000D27AA">
        <w:rPr>
          <w:rFonts w:eastAsia="Times New Roman" w:cs="Arial"/>
          <w:color w:val="000000"/>
          <w:lang w:eastAsia="bg-BG"/>
        </w:rPr>
        <w:t>ВЕЗИМЕД трябва да се прилага с внимание при пациенти с:</w:t>
      </w:r>
    </w:p>
    <w:p w14:paraId="6D31FDB4" w14:textId="77777777" w:rsidR="00F7394A" w:rsidRPr="00F7394A" w:rsidRDefault="000D27AA" w:rsidP="000D27A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клинично значима обструкция на отока на пикочния мехур с риск за задържане на урина.</w:t>
      </w:r>
    </w:p>
    <w:p w14:paraId="2481397A" w14:textId="77777777" w:rsidR="00F7394A" w:rsidRPr="00F7394A" w:rsidRDefault="000D27AA" w:rsidP="000D27A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стомашно-чревни обструктивни нарушения.</w:t>
      </w:r>
    </w:p>
    <w:p w14:paraId="45D51D39" w14:textId="77777777" w:rsidR="00F7394A" w:rsidRPr="00F7394A" w:rsidRDefault="000D27AA" w:rsidP="00F7394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риск от намален стомашно-чревен мотилитет.</w:t>
      </w:r>
    </w:p>
    <w:p w14:paraId="7D0A5033" w14:textId="77777777" w:rsidR="00F7394A" w:rsidRPr="00F7394A" w:rsidRDefault="000D27AA" w:rsidP="00F7394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 xml:space="preserve">тежко бъбречно увреждане (креатининов клирънс ≤ 30 </w:t>
      </w:r>
      <w:r w:rsidRPr="00F7394A">
        <w:rPr>
          <w:rFonts w:eastAsia="Times New Roman" w:cs="Arial"/>
          <w:color w:val="000000"/>
          <w:lang w:val="en-US"/>
        </w:rPr>
        <w:t xml:space="preserve">ml/min; </w:t>
      </w:r>
      <w:r w:rsidRPr="00F7394A">
        <w:rPr>
          <w:rFonts w:eastAsia="Times New Roman" w:cs="Arial"/>
          <w:color w:val="000000"/>
          <w:lang w:eastAsia="bg-BG"/>
        </w:rPr>
        <w:t xml:space="preserve">вижте точка 4.2 и точка 5.2) и дозите не трябва да надвишават 5 </w:t>
      </w:r>
      <w:r w:rsidRPr="00F7394A">
        <w:rPr>
          <w:rFonts w:eastAsia="Times New Roman" w:cs="Arial"/>
          <w:color w:val="000000"/>
          <w:lang w:val="en-US"/>
        </w:rPr>
        <w:t xml:space="preserve">mg </w:t>
      </w:r>
      <w:r w:rsidRPr="00F7394A">
        <w:rPr>
          <w:rFonts w:eastAsia="Times New Roman" w:cs="Arial"/>
          <w:color w:val="000000"/>
          <w:lang w:eastAsia="bg-BG"/>
        </w:rPr>
        <w:t>при тези пациенти,</w:t>
      </w:r>
    </w:p>
    <w:p w14:paraId="797B2110" w14:textId="77777777" w:rsidR="00F7394A" w:rsidRPr="00F7394A" w:rsidRDefault="000D27AA" w:rsidP="00F7394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 xml:space="preserve">умерено чернодробно увреждане (7 до 9 точки по скалата </w:t>
      </w:r>
      <w:r w:rsidRPr="00F7394A">
        <w:rPr>
          <w:rFonts w:eastAsia="Times New Roman" w:cs="Arial"/>
          <w:color w:val="000000"/>
          <w:lang w:val="en-US"/>
        </w:rPr>
        <w:t xml:space="preserve">Child-Pugh; </w:t>
      </w:r>
      <w:r w:rsidRPr="00F7394A">
        <w:rPr>
          <w:rFonts w:eastAsia="Times New Roman" w:cs="Arial"/>
          <w:color w:val="000000"/>
          <w:lang w:eastAsia="bg-BG"/>
        </w:rPr>
        <w:t xml:space="preserve">вижте точка 4.2 и точка 5.2) и дозите не трябва да надвишават 5 </w:t>
      </w:r>
      <w:r w:rsidRPr="00F7394A">
        <w:rPr>
          <w:rFonts w:eastAsia="Times New Roman" w:cs="Arial"/>
          <w:color w:val="000000"/>
          <w:lang w:val="en-US"/>
        </w:rPr>
        <w:t xml:space="preserve">mg </w:t>
      </w:r>
      <w:r w:rsidRPr="00F7394A">
        <w:rPr>
          <w:rFonts w:eastAsia="Times New Roman" w:cs="Arial"/>
          <w:color w:val="000000"/>
          <w:lang w:eastAsia="bg-BG"/>
        </w:rPr>
        <w:t>при тези пациенти.</w:t>
      </w:r>
    </w:p>
    <w:p w14:paraId="5C6941F6" w14:textId="77777777" w:rsidR="00F7394A" w:rsidRPr="00F7394A" w:rsidRDefault="000D27AA" w:rsidP="00F7394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 xml:space="preserve">съвместно приложение на мощен </w:t>
      </w:r>
      <w:r w:rsidRPr="00F7394A">
        <w:rPr>
          <w:rFonts w:eastAsia="Times New Roman" w:cs="Arial"/>
          <w:color w:val="000000"/>
          <w:lang w:val="en-US"/>
        </w:rPr>
        <w:t xml:space="preserve">CYP3A4 </w:t>
      </w:r>
      <w:r w:rsidRPr="00F7394A">
        <w:rPr>
          <w:rFonts w:eastAsia="Times New Roman" w:cs="Arial"/>
          <w:color w:val="000000"/>
          <w:lang w:eastAsia="bg-BG"/>
        </w:rPr>
        <w:t>инхибитор, напр. кетоконазол (вижте точка 4.2 и точка 4.5).</w:t>
      </w:r>
    </w:p>
    <w:p w14:paraId="30BEE025" w14:textId="77777777" w:rsidR="00F7394A" w:rsidRPr="00F7394A" w:rsidRDefault="000D27AA" w:rsidP="00F7394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lastRenderedPageBreak/>
        <w:t>хиатусна херния/ гастро-езофагиален рефлукс и/ или при такива, които приемат съвместно лекарствени продукти (като бифосфонати), които могат да предизвикат или обострят езофагит.</w:t>
      </w:r>
    </w:p>
    <w:p w14:paraId="57D7EDBA" w14:textId="4BE524BA" w:rsidR="000D27AA" w:rsidRPr="00F7394A" w:rsidRDefault="000D27AA" w:rsidP="00F7394A">
      <w:pPr>
        <w:pStyle w:val="ListParagraph"/>
        <w:numPr>
          <w:ilvl w:val="0"/>
          <w:numId w:val="41"/>
        </w:num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автономна невропатия.</w:t>
      </w:r>
    </w:p>
    <w:p w14:paraId="09307CA7" w14:textId="77777777" w:rsidR="000D27AA" w:rsidRDefault="000D27AA" w:rsidP="000D27A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EC578DB" w14:textId="321FCE0C" w:rsidR="000D27AA" w:rsidRDefault="000D27AA" w:rsidP="000D27AA">
      <w:pPr>
        <w:spacing w:line="240" w:lineRule="auto"/>
        <w:rPr>
          <w:rFonts w:eastAsia="Times New Roman" w:cs="Arial"/>
          <w:color w:val="000000"/>
          <w:lang w:val="en-US"/>
        </w:rPr>
      </w:pPr>
      <w:r w:rsidRPr="000D27AA">
        <w:rPr>
          <w:rFonts w:eastAsia="Times New Roman" w:cs="Arial"/>
          <w:color w:val="000000"/>
          <w:lang w:eastAsia="bg-BG"/>
        </w:rPr>
        <w:t xml:space="preserve">При пациенти с рискови фактори като удължен </w:t>
      </w:r>
      <w:r w:rsidRPr="000D27AA">
        <w:rPr>
          <w:rFonts w:eastAsia="Times New Roman" w:cs="Arial"/>
          <w:color w:val="000000"/>
          <w:lang w:val="en-US"/>
        </w:rPr>
        <w:t xml:space="preserve">QT </w:t>
      </w:r>
      <w:r w:rsidRPr="000D27AA">
        <w:rPr>
          <w:rFonts w:eastAsia="Times New Roman" w:cs="Arial"/>
          <w:color w:val="000000"/>
          <w:lang w:eastAsia="bg-BG"/>
        </w:rPr>
        <w:t xml:space="preserve">интервал и хипокалиемия са наблюдавани удължаване на </w:t>
      </w:r>
      <w:r w:rsidRPr="000D27AA">
        <w:rPr>
          <w:rFonts w:eastAsia="Times New Roman" w:cs="Arial"/>
          <w:color w:val="000000"/>
          <w:lang w:val="en-US"/>
        </w:rPr>
        <w:t xml:space="preserve">QT </w:t>
      </w:r>
      <w:r w:rsidRPr="000D27AA">
        <w:rPr>
          <w:rFonts w:eastAsia="Times New Roman" w:cs="Arial"/>
          <w:color w:val="000000"/>
          <w:lang w:eastAsia="bg-BG"/>
        </w:rPr>
        <w:t xml:space="preserve">интервала и полиморфна камерна тахикардия </w:t>
      </w:r>
      <w:r w:rsidRPr="000D27AA">
        <w:rPr>
          <w:rFonts w:eastAsia="Times New Roman" w:cs="Arial"/>
          <w:color w:val="000000"/>
          <w:lang w:val="en-US"/>
        </w:rPr>
        <w:t xml:space="preserve">(Torsade </w:t>
      </w:r>
    </w:p>
    <w:p w14:paraId="11C7CD3E" w14:textId="162A45D3" w:rsidR="000D27AA" w:rsidRPr="000D27AA" w:rsidRDefault="000D27AA" w:rsidP="000D27AA">
      <w:pPr>
        <w:spacing w:line="240" w:lineRule="auto"/>
        <w:rPr>
          <w:rFonts w:eastAsia="Times New Roman" w:cs="Arial"/>
          <w:lang w:eastAsia="bg-BG"/>
        </w:rPr>
      </w:pPr>
      <w:r w:rsidRPr="000D27AA">
        <w:rPr>
          <w:rFonts w:eastAsia="Times New Roman" w:cs="Arial"/>
          <w:color w:val="000000"/>
          <w:lang w:val="en-US"/>
        </w:rPr>
        <w:t>de Pointes).</w:t>
      </w:r>
    </w:p>
    <w:p w14:paraId="0F61B314" w14:textId="77777777" w:rsidR="000D27AA" w:rsidRDefault="000D27AA" w:rsidP="000D27A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91980BE" w14:textId="28BA5528" w:rsidR="000D27AA" w:rsidRPr="000D27AA" w:rsidRDefault="000D27AA" w:rsidP="000D27AA">
      <w:pPr>
        <w:spacing w:line="240" w:lineRule="auto"/>
        <w:rPr>
          <w:rFonts w:eastAsia="Times New Roman" w:cs="Arial"/>
          <w:lang w:eastAsia="bg-BG"/>
        </w:rPr>
      </w:pPr>
      <w:r w:rsidRPr="000D27AA">
        <w:rPr>
          <w:rFonts w:eastAsia="Times New Roman" w:cs="Arial"/>
          <w:color w:val="000000"/>
          <w:lang w:eastAsia="bg-BG"/>
        </w:rPr>
        <w:t>Безопасността и ефикасността не са установени при пациенти с неврогенна причина за свръхактивностга на детрузора.</w:t>
      </w:r>
    </w:p>
    <w:p w14:paraId="50598AAF" w14:textId="77777777" w:rsidR="000D27AA" w:rsidRDefault="000D27AA" w:rsidP="000D27A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26CBBDD" w14:textId="3AA468E9" w:rsidR="000D27AA" w:rsidRPr="000D27AA" w:rsidRDefault="000D27AA" w:rsidP="000D27AA">
      <w:pPr>
        <w:spacing w:line="240" w:lineRule="auto"/>
        <w:rPr>
          <w:rFonts w:eastAsia="Times New Roman" w:cs="Arial"/>
          <w:lang w:eastAsia="bg-BG"/>
        </w:rPr>
      </w:pPr>
      <w:r w:rsidRPr="000D27AA">
        <w:rPr>
          <w:rFonts w:eastAsia="Times New Roman" w:cs="Arial"/>
          <w:color w:val="000000"/>
          <w:lang w:eastAsia="bg-BG"/>
        </w:rPr>
        <w:t>При някои пациенти на лечение със солифенацинов сукцинат е съобщаван ангиодем с обструкция на дихателните пътища. При поява на ангиоедем, лечението със солифенацинов сукцинат трябва да бъде преустановено и трябва да се предприеме подходящо лечение и/ или мерки.</w:t>
      </w:r>
    </w:p>
    <w:p w14:paraId="544D7593" w14:textId="77777777" w:rsidR="000D27AA" w:rsidRDefault="000D27AA" w:rsidP="000D27A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06FC1A9" w14:textId="17F2AFC2" w:rsidR="000D27AA" w:rsidRPr="000D27AA" w:rsidRDefault="000D27AA" w:rsidP="000D27AA">
      <w:pPr>
        <w:spacing w:line="240" w:lineRule="auto"/>
        <w:rPr>
          <w:rFonts w:eastAsia="Times New Roman" w:cs="Arial"/>
          <w:lang w:eastAsia="bg-BG"/>
        </w:rPr>
      </w:pPr>
      <w:r w:rsidRPr="000D27AA">
        <w:rPr>
          <w:rFonts w:eastAsia="Times New Roman" w:cs="Arial"/>
          <w:color w:val="000000"/>
          <w:lang w:eastAsia="bg-BG"/>
        </w:rPr>
        <w:t>При някои пациенти на лечение със солифенацинов сукцинат е съобщавана анафилактична реакция. При пациенти, които развият анафилактични реакции, лечението със солифенацинов сукцинат трябва да бъде преустановено и трябва да се предприеме подходящо лечение и/ или мерки.</w:t>
      </w:r>
    </w:p>
    <w:p w14:paraId="43BBD54C" w14:textId="77777777" w:rsidR="000D27AA" w:rsidRDefault="000D27AA" w:rsidP="000D27A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A6548F6" w14:textId="2313A55E" w:rsidR="000D27AA" w:rsidRPr="000D27AA" w:rsidRDefault="000D27AA" w:rsidP="000D27AA">
      <w:pPr>
        <w:spacing w:line="240" w:lineRule="auto"/>
        <w:rPr>
          <w:rFonts w:eastAsia="Times New Roman" w:cs="Arial"/>
          <w:lang w:eastAsia="bg-BG"/>
        </w:rPr>
      </w:pPr>
      <w:r w:rsidRPr="000D27AA">
        <w:rPr>
          <w:rFonts w:eastAsia="Times New Roman" w:cs="Arial"/>
          <w:color w:val="000000"/>
          <w:lang w:eastAsia="bg-BG"/>
        </w:rPr>
        <w:t>Максималният ефект на солифенацин може да бъде установен най-рано 4 седмици след започване на лечението.</w:t>
      </w:r>
    </w:p>
    <w:p w14:paraId="28390A4B" w14:textId="77777777" w:rsidR="000D27AA" w:rsidRPr="000D27AA" w:rsidRDefault="000D27AA" w:rsidP="000D27AA"/>
    <w:p w14:paraId="7ABEA351" w14:textId="1004DAE1" w:rsidR="00A71DCF" w:rsidRDefault="002C50EE" w:rsidP="00A93499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</w:p>
    <w:p w14:paraId="254D9A25" w14:textId="2D1F3DF5" w:rsidR="00F7394A" w:rsidRDefault="00F7394A" w:rsidP="00F7394A"/>
    <w:p w14:paraId="4093ED5E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u w:val="single"/>
          <w:lang w:eastAsia="bg-BG"/>
        </w:rPr>
        <w:t>Фармакологични взаимодействия</w:t>
      </w:r>
    </w:p>
    <w:p w14:paraId="2AAFB905" w14:textId="77777777" w:rsidR="00F7394A" w:rsidRPr="00F7394A" w:rsidRDefault="00F7394A" w:rsidP="00F7394A">
      <w:pPr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Съвместното приложение с други лекарства с антихолинергични свойства може да доведе до засилен терапевтичен ефект и нежелани лекарствени реакции. Трябва да мине приблизително една седмица след преустановяване приема на солифенацин преди да се започне друго</w:t>
      </w:r>
      <w:r w:rsidRPr="00F7394A">
        <w:rPr>
          <w:rFonts w:eastAsia="Times New Roman" w:cs="Arial"/>
          <w:color w:val="000000"/>
          <w:lang w:val="en-US" w:eastAsia="bg-BG"/>
        </w:rPr>
        <w:t xml:space="preserve"> </w:t>
      </w:r>
      <w:r w:rsidRPr="00F7394A">
        <w:rPr>
          <w:rFonts w:eastAsia="Times New Roman" w:cs="Arial"/>
          <w:color w:val="000000"/>
          <w:lang w:eastAsia="bg-BG"/>
        </w:rPr>
        <w:t>антихолинергично лечение. Терапевтичният ефект на солифенацин може да бъде намален от съвместно приемани антагонисти на холинергичните рецептори.</w:t>
      </w:r>
    </w:p>
    <w:p w14:paraId="3259CCB5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Солифенацин може да понижи ефекта на лекарствените продукти, които стимулират стомашно-чревния мотилитет, като метоклопрамид и цизаприд.</w:t>
      </w:r>
    </w:p>
    <w:p w14:paraId="23D3FEBA" w14:textId="77777777" w:rsidR="00F7394A" w:rsidRDefault="00F7394A" w:rsidP="00F7394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A0F1811" w14:textId="1F41367C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u w:val="single"/>
          <w:lang w:eastAsia="bg-BG"/>
        </w:rPr>
        <w:t>Фармакокинетични взаимодействия</w:t>
      </w:r>
    </w:p>
    <w:p w14:paraId="701B159F" w14:textId="21573108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i/>
          <w:iCs/>
          <w:color w:val="000000"/>
          <w:lang w:val="en-US"/>
        </w:rPr>
        <w:t>In vitro</w:t>
      </w:r>
      <w:r w:rsidRPr="00F7394A">
        <w:rPr>
          <w:rFonts w:eastAsia="Times New Roman" w:cs="Arial"/>
          <w:color w:val="000000"/>
          <w:lang w:val="en-US"/>
        </w:rPr>
        <w:t xml:space="preserve"> </w:t>
      </w:r>
      <w:r w:rsidRPr="00F7394A">
        <w:rPr>
          <w:rFonts w:eastAsia="Times New Roman" w:cs="Arial"/>
          <w:color w:val="000000"/>
          <w:lang w:eastAsia="bg-BG"/>
        </w:rPr>
        <w:t xml:space="preserve">проучванията показват, че при терапевтични концентрации солифенацин не инхибира </w:t>
      </w:r>
      <w:r w:rsidRPr="00F7394A">
        <w:rPr>
          <w:rFonts w:eastAsia="Times New Roman" w:cs="Arial"/>
          <w:color w:val="000000"/>
          <w:lang w:val="en-US"/>
        </w:rPr>
        <w:t xml:space="preserve">CYP1A1/2, </w:t>
      </w:r>
      <w:r w:rsidRPr="00F7394A">
        <w:rPr>
          <w:rFonts w:eastAsia="Times New Roman" w:cs="Arial"/>
          <w:color w:val="000000"/>
          <w:lang w:eastAsia="bg-BG"/>
        </w:rPr>
        <w:t xml:space="preserve">2С9, 2С19, </w:t>
      </w:r>
      <w:r w:rsidRPr="00F7394A">
        <w:rPr>
          <w:rFonts w:eastAsia="Times New Roman" w:cs="Arial"/>
          <w:color w:val="000000"/>
          <w:lang w:val="en-US"/>
        </w:rPr>
        <w:t xml:space="preserve">2D6 </w:t>
      </w:r>
      <w:r w:rsidRPr="00F7394A">
        <w:rPr>
          <w:rFonts w:eastAsia="Times New Roman" w:cs="Arial"/>
          <w:color w:val="000000"/>
          <w:lang w:eastAsia="bg-BG"/>
        </w:rPr>
        <w:t xml:space="preserve">или ЗА4, получени от човешки чернодробни микрозоми. Поради това не се очаква солифенацин да промени клирънса на лекарствата, метаболизирани от тези </w:t>
      </w:r>
      <w:r w:rsidRPr="00F7394A">
        <w:rPr>
          <w:rFonts w:eastAsia="Times New Roman" w:cs="Arial"/>
          <w:color w:val="000000"/>
          <w:lang w:val="en-US"/>
        </w:rPr>
        <w:t xml:space="preserve">CYP </w:t>
      </w:r>
      <w:r w:rsidRPr="00F7394A">
        <w:rPr>
          <w:rFonts w:eastAsia="Times New Roman" w:cs="Arial"/>
          <w:color w:val="000000"/>
          <w:lang w:eastAsia="bg-BG"/>
        </w:rPr>
        <w:t>ензими.</w:t>
      </w:r>
    </w:p>
    <w:p w14:paraId="273714C5" w14:textId="77777777" w:rsidR="00F7394A" w:rsidRDefault="00F7394A" w:rsidP="00F7394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A195F9C" w14:textId="16DFEA95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u w:val="single"/>
          <w:lang w:eastAsia="bg-BG"/>
        </w:rPr>
        <w:t xml:space="preserve">Ефекти на други лекарствени продукти върху фармакокинетиката на солифенацин </w:t>
      </w:r>
      <w:r w:rsidRPr="00F7394A">
        <w:rPr>
          <w:rFonts w:eastAsia="Times New Roman" w:cs="Arial"/>
          <w:color w:val="000000"/>
          <w:lang w:eastAsia="bg-BG"/>
        </w:rPr>
        <w:t xml:space="preserve">Солифенацин се метаболизира от </w:t>
      </w:r>
      <w:r w:rsidRPr="00F7394A">
        <w:rPr>
          <w:rFonts w:eastAsia="Times New Roman" w:cs="Arial"/>
          <w:color w:val="000000"/>
          <w:lang w:val="en-US"/>
        </w:rPr>
        <w:t xml:space="preserve">CYP3A4. </w:t>
      </w:r>
      <w:r w:rsidRPr="00F7394A">
        <w:rPr>
          <w:rFonts w:eastAsia="Times New Roman" w:cs="Arial"/>
          <w:color w:val="000000"/>
          <w:lang w:eastAsia="bg-BG"/>
        </w:rPr>
        <w:t xml:space="preserve">Съвместното приложение на кетоконазол (200 </w:t>
      </w:r>
      <w:r w:rsidRPr="00F7394A">
        <w:rPr>
          <w:rFonts w:eastAsia="Times New Roman" w:cs="Arial"/>
          <w:color w:val="000000"/>
          <w:lang w:val="en-US"/>
        </w:rPr>
        <w:t xml:space="preserve">mg </w:t>
      </w:r>
      <w:r w:rsidRPr="00F7394A">
        <w:rPr>
          <w:rFonts w:eastAsia="Times New Roman" w:cs="Arial"/>
          <w:color w:val="000000"/>
          <w:lang w:eastAsia="bg-BG"/>
        </w:rPr>
        <w:t xml:space="preserve">дневно), мощен </w:t>
      </w:r>
      <w:r w:rsidRPr="00F7394A">
        <w:rPr>
          <w:rFonts w:eastAsia="Times New Roman" w:cs="Arial"/>
          <w:color w:val="000000"/>
          <w:lang w:val="en-US"/>
        </w:rPr>
        <w:t xml:space="preserve">CYP3A4 </w:t>
      </w:r>
      <w:r w:rsidRPr="00F7394A">
        <w:rPr>
          <w:rFonts w:eastAsia="Times New Roman" w:cs="Arial"/>
          <w:color w:val="000000"/>
          <w:lang w:eastAsia="bg-BG"/>
        </w:rPr>
        <w:t xml:space="preserve">инхибитор води до двукратно повишение на </w:t>
      </w:r>
      <w:r w:rsidRPr="00F7394A">
        <w:rPr>
          <w:rFonts w:eastAsia="Times New Roman" w:cs="Arial"/>
          <w:color w:val="000000"/>
          <w:lang w:val="en-US"/>
        </w:rPr>
        <w:t xml:space="preserve">AUC </w:t>
      </w:r>
      <w:r w:rsidRPr="00F7394A">
        <w:rPr>
          <w:rFonts w:eastAsia="Times New Roman" w:cs="Arial"/>
          <w:color w:val="000000"/>
          <w:lang w:eastAsia="bg-BG"/>
        </w:rPr>
        <w:t xml:space="preserve">на солифенацин, докато кетоконазол в доза 400 </w:t>
      </w:r>
      <w:r w:rsidRPr="00F7394A">
        <w:rPr>
          <w:rFonts w:eastAsia="Times New Roman" w:cs="Arial"/>
          <w:color w:val="000000"/>
          <w:lang w:val="en-US"/>
        </w:rPr>
        <w:t xml:space="preserve">mg </w:t>
      </w:r>
      <w:r w:rsidRPr="00F7394A">
        <w:rPr>
          <w:rFonts w:eastAsia="Times New Roman" w:cs="Arial"/>
          <w:color w:val="000000"/>
          <w:lang w:eastAsia="bg-BG"/>
        </w:rPr>
        <w:t xml:space="preserve">дневно води до трикратно повишение на </w:t>
      </w:r>
      <w:r w:rsidRPr="00F7394A">
        <w:rPr>
          <w:rFonts w:eastAsia="Times New Roman" w:cs="Arial"/>
          <w:color w:val="000000"/>
          <w:lang w:val="en-US"/>
        </w:rPr>
        <w:t xml:space="preserve">AUC </w:t>
      </w:r>
      <w:r w:rsidRPr="00F7394A">
        <w:rPr>
          <w:rFonts w:eastAsia="Times New Roman" w:cs="Arial"/>
          <w:color w:val="000000"/>
          <w:lang w:eastAsia="bg-BG"/>
        </w:rPr>
        <w:t xml:space="preserve">на солифенацин. Поради това, максималната доза солифенацин трябва да бъде ограничена до 5 </w:t>
      </w:r>
      <w:r w:rsidRPr="00F7394A">
        <w:rPr>
          <w:rFonts w:eastAsia="Times New Roman" w:cs="Arial"/>
          <w:color w:val="000000"/>
          <w:lang w:val="en-US"/>
        </w:rPr>
        <w:t xml:space="preserve">mg, </w:t>
      </w:r>
      <w:r w:rsidRPr="00F7394A">
        <w:rPr>
          <w:rFonts w:eastAsia="Times New Roman" w:cs="Arial"/>
          <w:color w:val="000000"/>
          <w:lang w:eastAsia="bg-BG"/>
        </w:rPr>
        <w:t xml:space="preserve">когато се прилага съвместно с кетоконазол или терапевтични дози </w:t>
      </w:r>
      <w:r w:rsidRPr="00F7394A">
        <w:rPr>
          <w:rFonts w:eastAsia="Times New Roman" w:cs="Arial"/>
          <w:color w:val="000000"/>
          <w:lang w:eastAsia="bg-BG"/>
        </w:rPr>
        <w:lastRenderedPageBreak/>
        <w:t xml:space="preserve">на други мощни </w:t>
      </w:r>
      <w:r w:rsidRPr="00F7394A">
        <w:rPr>
          <w:rFonts w:eastAsia="Times New Roman" w:cs="Arial"/>
          <w:color w:val="000000"/>
          <w:lang w:val="en-US"/>
        </w:rPr>
        <w:t xml:space="preserve">CYP3A4 </w:t>
      </w:r>
      <w:r w:rsidRPr="00F7394A">
        <w:rPr>
          <w:rFonts w:eastAsia="Times New Roman" w:cs="Arial"/>
          <w:color w:val="000000"/>
          <w:lang w:eastAsia="bg-BG"/>
        </w:rPr>
        <w:t>инхибитори (например ритонавир, нелфинавир, итраконазол) (вижте точка 4.2).</w:t>
      </w:r>
    </w:p>
    <w:p w14:paraId="1A75BE6A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 xml:space="preserve">Съвместното приложение на солифенацин и мощни </w:t>
      </w:r>
      <w:r w:rsidRPr="00F7394A">
        <w:rPr>
          <w:rFonts w:eastAsia="Times New Roman" w:cs="Arial"/>
          <w:color w:val="000000"/>
          <w:lang w:val="en-US"/>
        </w:rPr>
        <w:t xml:space="preserve">CYP3A4 </w:t>
      </w:r>
      <w:r w:rsidRPr="00F7394A">
        <w:rPr>
          <w:rFonts w:eastAsia="Times New Roman" w:cs="Arial"/>
          <w:color w:val="000000"/>
          <w:lang w:eastAsia="bg-BG"/>
        </w:rPr>
        <w:t>инхибитори е противопоказано при пациенти с тежко бъбречно увреждане или умерено чернодробно увреждане.</w:t>
      </w:r>
    </w:p>
    <w:p w14:paraId="32169AB6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 xml:space="preserve">Ефектите на ензимна индукция върху фармакокинетиката на солифенацин и неговите метаболити не са проучени толкова добре колкото ефектът на субстратите с висок афинитет СУРЗА4 върху експозицията на солифенацин. Тъй като солифенацин се метаболизира от СУРЗА4 са възможни взаимодействия с други субстрати на </w:t>
      </w:r>
      <w:r w:rsidRPr="00F7394A">
        <w:rPr>
          <w:rFonts w:eastAsia="Times New Roman" w:cs="Arial"/>
          <w:color w:val="000000"/>
          <w:lang w:val="en-US"/>
        </w:rPr>
        <w:t xml:space="preserve">CYP3A4 </w:t>
      </w:r>
      <w:r w:rsidRPr="00F7394A">
        <w:rPr>
          <w:rFonts w:eastAsia="Times New Roman" w:cs="Arial"/>
          <w:color w:val="000000"/>
          <w:lang w:eastAsia="bg-BG"/>
        </w:rPr>
        <w:t xml:space="preserve">с висок афинитет (например верапамил, дилтиазем) и </w:t>
      </w:r>
      <w:r w:rsidRPr="00F7394A">
        <w:rPr>
          <w:rFonts w:eastAsia="Times New Roman" w:cs="Arial"/>
          <w:color w:val="000000"/>
          <w:lang w:val="en-US"/>
        </w:rPr>
        <w:t xml:space="preserve">CYP3A4 </w:t>
      </w:r>
      <w:r w:rsidRPr="00F7394A">
        <w:rPr>
          <w:rFonts w:eastAsia="Times New Roman" w:cs="Arial"/>
          <w:color w:val="000000"/>
          <w:lang w:eastAsia="bg-BG"/>
        </w:rPr>
        <w:t>индуктори (например рифампицин, фенитоин, карбамазепин).</w:t>
      </w:r>
    </w:p>
    <w:p w14:paraId="22C32849" w14:textId="77777777" w:rsidR="00F7394A" w:rsidRDefault="00F7394A" w:rsidP="00F7394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83A066B" w14:textId="07249DB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u w:val="single"/>
          <w:lang w:eastAsia="bg-BG"/>
        </w:rPr>
        <w:t>Ефекти на солифенацин върху фармакокинетиката на други лекарствени продукти</w:t>
      </w:r>
    </w:p>
    <w:p w14:paraId="55150997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i/>
          <w:iCs/>
          <w:color w:val="000000"/>
          <w:lang w:eastAsia="bg-BG"/>
        </w:rPr>
        <w:t>Пероралки кошпрацептиви</w:t>
      </w:r>
    </w:p>
    <w:p w14:paraId="231DD414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Приемът на солифенацин не показва фармакокинетични взаимодействия на солифенацин и комбинираните перорални контрацептиви (етинилестрадиол/ левоноргестрел).</w:t>
      </w:r>
    </w:p>
    <w:p w14:paraId="4A5DBE29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i/>
          <w:iCs/>
          <w:color w:val="000000"/>
          <w:lang w:eastAsia="bg-BG"/>
        </w:rPr>
        <w:t>Варфарин</w:t>
      </w:r>
    </w:p>
    <w:p w14:paraId="1C50413B" w14:textId="2573A71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 xml:space="preserve">Приемът на солифенацин не променя фармакокинетиката на </w:t>
      </w:r>
      <w:r w:rsidRPr="00F7394A">
        <w:rPr>
          <w:rFonts w:eastAsia="Times New Roman" w:cs="Arial"/>
          <w:color w:val="000000"/>
          <w:lang w:val="en-US"/>
        </w:rPr>
        <w:t>R</w:t>
      </w:r>
      <w:r w:rsidRPr="00F7394A">
        <w:rPr>
          <w:rFonts w:eastAsia="Times New Roman" w:cs="Arial"/>
          <w:color w:val="000000"/>
          <w:lang w:eastAsia="bg-BG"/>
        </w:rPr>
        <w:t>-варфарин</w:t>
      </w:r>
      <w:r w:rsidRPr="00F7394A">
        <w:rPr>
          <w:rFonts w:eastAsia="Times New Roman" w:cs="Arial"/>
          <w:color w:val="000000"/>
          <w:lang w:val="en-US"/>
        </w:rPr>
        <w:t xml:space="preserve"> </w:t>
      </w:r>
      <w:r w:rsidRPr="00F7394A">
        <w:rPr>
          <w:rFonts w:eastAsia="Times New Roman" w:cs="Arial"/>
          <w:color w:val="000000"/>
          <w:lang w:eastAsia="bg-BG"/>
        </w:rPr>
        <w:t xml:space="preserve">или </w:t>
      </w:r>
      <w:r w:rsidRPr="00F7394A">
        <w:rPr>
          <w:rFonts w:eastAsia="Times New Roman" w:cs="Arial"/>
          <w:color w:val="000000"/>
          <w:lang w:val="en-US"/>
        </w:rPr>
        <w:t>S-</w:t>
      </w:r>
      <w:r w:rsidRPr="00F7394A">
        <w:rPr>
          <w:rFonts w:eastAsia="Times New Roman" w:cs="Arial"/>
          <w:color w:val="000000"/>
          <w:lang w:eastAsia="bg-BG"/>
        </w:rPr>
        <w:t>варфарин или</w:t>
      </w:r>
      <w:r>
        <w:rPr>
          <w:rFonts w:eastAsia="Times New Roman" w:cs="Arial"/>
          <w:lang w:val="en-US" w:eastAsia="bg-BG"/>
        </w:rPr>
        <w:t xml:space="preserve"> </w:t>
      </w:r>
      <w:r w:rsidRPr="00F7394A">
        <w:rPr>
          <w:rFonts w:eastAsia="Times New Roman" w:cs="Arial"/>
          <w:color w:val="000000"/>
          <w:lang w:eastAsia="bg-BG"/>
        </w:rPr>
        <w:t>техния ефект върху протромбиновото време.</w:t>
      </w:r>
    </w:p>
    <w:p w14:paraId="4DE34162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i/>
          <w:iCs/>
          <w:color w:val="000000"/>
          <w:lang w:eastAsia="bg-BG"/>
        </w:rPr>
        <w:t>Дигоксин</w:t>
      </w:r>
    </w:p>
    <w:p w14:paraId="22503B59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Приемът на солифенацин не показва ефекти върху фармакокинетиката на дигоксин.</w:t>
      </w:r>
    </w:p>
    <w:p w14:paraId="2298A28B" w14:textId="61B5B3DC" w:rsidR="00F7394A" w:rsidRDefault="00F7394A" w:rsidP="00F7394A">
      <w:pPr>
        <w:rPr>
          <w:lang w:val="en-US"/>
        </w:rPr>
      </w:pPr>
    </w:p>
    <w:p w14:paraId="12C1F2B0" w14:textId="77777777" w:rsidR="00F7394A" w:rsidRPr="00F7394A" w:rsidRDefault="00F7394A" w:rsidP="00F7394A">
      <w:pPr>
        <w:rPr>
          <w:lang w:val="en-US"/>
        </w:rPr>
      </w:pPr>
    </w:p>
    <w:p w14:paraId="15A75A66" w14:textId="60DDE8CE" w:rsidR="00A71DCF" w:rsidRDefault="002C50EE" w:rsidP="00A93499">
      <w:pPr>
        <w:pStyle w:val="Heading2"/>
      </w:pPr>
      <w:r>
        <w:t>4.6. Фертилитет, бременност и кърмене</w:t>
      </w:r>
    </w:p>
    <w:p w14:paraId="3C3923AB" w14:textId="771A221F" w:rsidR="00F7394A" w:rsidRDefault="00F7394A" w:rsidP="00F7394A"/>
    <w:p w14:paraId="6070DB04" w14:textId="77777777" w:rsidR="00F7394A" w:rsidRPr="00F7394A" w:rsidRDefault="00F7394A" w:rsidP="00F7394A">
      <w:pPr>
        <w:pStyle w:val="Heading3"/>
        <w:rPr>
          <w:rFonts w:eastAsia="Times New Roman"/>
          <w:u w:val="single"/>
          <w:lang w:eastAsia="bg-BG"/>
        </w:rPr>
      </w:pPr>
      <w:r w:rsidRPr="00F7394A">
        <w:rPr>
          <w:rFonts w:eastAsia="Times New Roman"/>
          <w:u w:val="single"/>
          <w:lang w:eastAsia="bg-BG"/>
        </w:rPr>
        <w:t>Бременност</w:t>
      </w:r>
    </w:p>
    <w:p w14:paraId="648F0942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Няма налични клинични данни при жени, които са забременяли докато са приемали солифенацин. Проучванията при животни не показват преки вредни ефекти върху фертилитета, ембрионалното/ феталното развитие или раждането (вижте точка 5.3). Потенциалният риск при хора не е известен. Необходимо е внимание, когато продуктът е предписван на бременни жени.</w:t>
      </w:r>
    </w:p>
    <w:p w14:paraId="79340221" w14:textId="77777777" w:rsidR="00F7394A" w:rsidRPr="00F7394A" w:rsidRDefault="00F7394A" w:rsidP="00F7394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E631CE4" w14:textId="5DC211DC" w:rsidR="00F7394A" w:rsidRPr="00F7394A" w:rsidRDefault="00F7394A" w:rsidP="00F7394A">
      <w:pPr>
        <w:pStyle w:val="Heading3"/>
        <w:rPr>
          <w:rFonts w:eastAsia="Times New Roman"/>
          <w:u w:val="single"/>
          <w:lang w:eastAsia="bg-BG"/>
        </w:rPr>
      </w:pPr>
      <w:r w:rsidRPr="00F7394A">
        <w:rPr>
          <w:rFonts w:eastAsia="Times New Roman"/>
          <w:u w:val="single"/>
          <w:lang w:eastAsia="bg-BG"/>
        </w:rPr>
        <w:t>Кърмене</w:t>
      </w:r>
    </w:p>
    <w:p w14:paraId="1B583098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Няма налични данни за екскреция на солифенацин в кърмата при хора. При мишки солифенацин и/ или неговите метаболити се екскретират в кърмата и предизвикват дозозависимо забавяне на растежа на новородени мишки (вижте точка 5.3). Поради това употребата на солифенацин трябва да се избягва при кърмене.</w:t>
      </w:r>
    </w:p>
    <w:p w14:paraId="409BF8A5" w14:textId="77777777" w:rsidR="00F7394A" w:rsidRPr="00F7394A" w:rsidRDefault="00F7394A" w:rsidP="00F7394A"/>
    <w:p w14:paraId="6201597D" w14:textId="62A54BC4" w:rsidR="00EE6C97" w:rsidRDefault="002C50EE" w:rsidP="00A93499">
      <w:pPr>
        <w:pStyle w:val="Heading2"/>
      </w:pPr>
      <w:r>
        <w:t>4.7. Ефекти върху способността за шофиране и работа с машини</w:t>
      </w:r>
    </w:p>
    <w:p w14:paraId="7A589231" w14:textId="32ED4E00" w:rsidR="00F7394A" w:rsidRDefault="00F7394A" w:rsidP="00F7394A"/>
    <w:p w14:paraId="228E6062" w14:textId="77777777" w:rsidR="00F7394A" w:rsidRPr="00F7394A" w:rsidRDefault="00F7394A" w:rsidP="00F7394A">
      <w:pPr>
        <w:rPr>
          <w:sz w:val="24"/>
          <w:szCs w:val="24"/>
          <w:lang w:eastAsia="bg-BG"/>
        </w:rPr>
      </w:pPr>
      <w:r w:rsidRPr="00F7394A">
        <w:rPr>
          <w:lang w:eastAsia="bg-BG"/>
        </w:rPr>
        <w:t>Тъй като солифенацин, подобно на другите антихолинергици, може да причини замъглено зрение, а нечесто и сънливост и умора (вижте точка 4.8), способността за шофиране и работа с машини може да бъде повлияна негативно.</w:t>
      </w:r>
    </w:p>
    <w:p w14:paraId="54D61490" w14:textId="77777777" w:rsidR="00F7394A" w:rsidRPr="00F7394A" w:rsidRDefault="00F7394A" w:rsidP="00F7394A"/>
    <w:p w14:paraId="389A90F4" w14:textId="60CC9CAA" w:rsidR="00BA5B74" w:rsidRDefault="002C50EE" w:rsidP="00A93499">
      <w:pPr>
        <w:pStyle w:val="Heading2"/>
      </w:pPr>
      <w:r>
        <w:t>4.8. Нежелани лекарствени реакции</w:t>
      </w:r>
    </w:p>
    <w:p w14:paraId="24A2FD20" w14:textId="1BD58686" w:rsidR="00F7394A" w:rsidRDefault="00F7394A" w:rsidP="00F7394A"/>
    <w:p w14:paraId="597709B2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u w:val="single"/>
          <w:lang w:eastAsia="bg-BG"/>
        </w:rPr>
        <w:t>Резюме на профила на безопасност</w:t>
      </w:r>
    </w:p>
    <w:p w14:paraId="46BBE91A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lastRenderedPageBreak/>
        <w:t>Поради фармакологичния ефект, солифенацин може да причини антихолинергични нежелани лекарствени реакции с (общо) лека или умерена тежест. Честотата на антихолинергичните нежелани реакции е свързана с дозата.</w:t>
      </w:r>
    </w:p>
    <w:p w14:paraId="31EA5274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 xml:space="preserve">Най-често съобщаваната нежелана реакция при солифенацин е сухота в устата. Тя се е проявила при 11% от пациентите, лекувани с 5 </w:t>
      </w:r>
      <w:r w:rsidRPr="00F7394A">
        <w:rPr>
          <w:rFonts w:eastAsia="Times New Roman" w:cs="Arial"/>
          <w:color w:val="000000"/>
          <w:lang w:val="en-US"/>
        </w:rPr>
        <w:t xml:space="preserve">mg </w:t>
      </w:r>
      <w:r w:rsidRPr="00F7394A">
        <w:rPr>
          <w:rFonts w:eastAsia="Times New Roman" w:cs="Arial"/>
          <w:color w:val="000000"/>
          <w:lang w:eastAsia="bg-BG"/>
        </w:rPr>
        <w:t xml:space="preserve">дневно, 22% от пациентите, лекувани с 10 </w:t>
      </w:r>
      <w:r w:rsidRPr="00F7394A">
        <w:rPr>
          <w:rFonts w:eastAsia="Times New Roman" w:cs="Arial"/>
          <w:color w:val="000000"/>
          <w:lang w:val="en-US"/>
        </w:rPr>
        <w:t xml:space="preserve">mg </w:t>
      </w:r>
      <w:r w:rsidRPr="00F7394A">
        <w:rPr>
          <w:rFonts w:eastAsia="Times New Roman" w:cs="Arial"/>
          <w:color w:val="000000"/>
          <w:lang w:eastAsia="bg-BG"/>
        </w:rPr>
        <w:t>дневно и при 4% от пациентите, приемали плацебо. Тежестта на сухотата в устата най- общо е била лека и само в редки случаи е довела до преустановяване на лечението. Най-общо лекарственият продукт се приема добре (приблизително 99%) и приблизително 90% от пациентите, лекувани със солифенацин са провели пълния период от 12-седмично лечение при клиничните проучвания.</w:t>
      </w:r>
    </w:p>
    <w:p w14:paraId="6A4E1D8E" w14:textId="77777777" w:rsidR="00F7394A" w:rsidRPr="00F7394A" w:rsidRDefault="00F7394A" w:rsidP="00F7394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569F4FA" w14:textId="3E6041D6" w:rsidR="00F7394A" w:rsidRDefault="00F7394A" w:rsidP="00F7394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  <w:r w:rsidRPr="00F7394A">
        <w:rPr>
          <w:rFonts w:eastAsia="Times New Roman" w:cs="Arial"/>
          <w:color w:val="000000"/>
          <w:u w:val="single"/>
          <w:lang w:eastAsia="bg-BG"/>
        </w:rPr>
        <w:t>Списък на нежеланите лекарствени реакции в табличен вид</w:t>
      </w:r>
    </w:p>
    <w:p w14:paraId="0DCA8477" w14:textId="2D4874EA" w:rsidR="00F7394A" w:rsidRDefault="00F7394A" w:rsidP="00F7394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5"/>
        <w:gridCol w:w="830"/>
        <w:gridCol w:w="1164"/>
        <w:gridCol w:w="1357"/>
        <w:gridCol w:w="1331"/>
        <w:gridCol w:w="1401"/>
        <w:gridCol w:w="1592"/>
      </w:tblGrid>
      <w:tr w:rsidR="00F7394A" w14:paraId="4FB186B3" w14:textId="77777777" w:rsidTr="00F7394A">
        <w:tc>
          <w:tcPr>
            <w:tcW w:w="1717" w:type="dxa"/>
            <w:vAlign w:val="bottom"/>
          </w:tcPr>
          <w:p w14:paraId="0675A093" w14:textId="77777777" w:rsidR="00F7394A" w:rsidRPr="00F7394A" w:rsidRDefault="00F7394A" w:rsidP="00F7394A">
            <w:r w:rsidRPr="00F7394A">
              <w:rPr>
                <w:b/>
                <w:bCs/>
              </w:rPr>
              <w:t>Системо</w:t>
            </w:r>
          </w:p>
          <w:p w14:paraId="699DD1A9" w14:textId="77777777" w:rsidR="00F7394A" w:rsidRPr="00F7394A" w:rsidRDefault="00F7394A" w:rsidP="00F7394A">
            <w:r w:rsidRPr="00F7394A">
              <w:rPr>
                <w:b/>
                <w:bCs/>
              </w:rPr>
              <w:t>органии класове</w:t>
            </w:r>
            <w:r w:rsidRPr="00F7394A">
              <w:rPr>
                <w:b/>
                <w:bCs/>
              </w:rPr>
              <w:tab/>
              <w:t>по</w:t>
            </w:r>
          </w:p>
          <w:p w14:paraId="66812B51" w14:textId="77777777" w:rsidR="00F7394A" w:rsidRPr="00F7394A" w:rsidRDefault="00F7394A" w:rsidP="00F7394A">
            <w:r w:rsidRPr="00F7394A">
              <w:rPr>
                <w:b/>
                <w:bCs/>
                <w:lang w:val="en-US"/>
              </w:rPr>
              <w:t>MedDRA</w:t>
            </w:r>
          </w:p>
          <w:p w14:paraId="7A635704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848" w:type="dxa"/>
          </w:tcPr>
          <w:p w14:paraId="500E3E78" w14:textId="0467A3FD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b/>
                <w:bCs/>
              </w:rPr>
              <w:t>Много чести ≥1/10</w:t>
            </w:r>
          </w:p>
        </w:tc>
        <w:tc>
          <w:tcPr>
            <w:tcW w:w="1191" w:type="dxa"/>
          </w:tcPr>
          <w:p w14:paraId="170AC10F" w14:textId="77777777" w:rsidR="00F7394A" w:rsidRPr="00F7394A" w:rsidRDefault="00F7394A" w:rsidP="00F7394A">
            <w:r w:rsidRPr="00F7394A">
              <w:rPr>
                <w:b/>
                <w:bCs/>
              </w:rPr>
              <w:t>Чести</w:t>
            </w:r>
          </w:p>
          <w:p w14:paraId="4D7F71E9" w14:textId="129D0D01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b/>
                <w:bCs/>
              </w:rPr>
              <w:t>≥1/100, &lt;1/10</w:t>
            </w:r>
          </w:p>
        </w:tc>
        <w:tc>
          <w:tcPr>
            <w:tcW w:w="1390" w:type="dxa"/>
          </w:tcPr>
          <w:p w14:paraId="2E08ADD1" w14:textId="77777777" w:rsidR="00F7394A" w:rsidRPr="00F7394A" w:rsidRDefault="00F7394A" w:rsidP="00F7394A">
            <w:r w:rsidRPr="00F7394A">
              <w:rPr>
                <w:b/>
                <w:bCs/>
              </w:rPr>
              <w:t>Нечести</w:t>
            </w:r>
          </w:p>
          <w:p w14:paraId="2D41DC33" w14:textId="1E00E539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b/>
                <w:bCs/>
              </w:rPr>
              <w:t>≥1/1000, &lt;1/100</w:t>
            </w:r>
          </w:p>
        </w:tc>
        <w:tc>
          <w:tcPr>
            <w:tcW w:w="1364" w:type="dxa"/>
          </w:tcPr>
          <w:p w14:paraId="23667B53" w14:textId="77777777" w:rsidR="00F7394A" w:rsidRPr="00F7394A" w:rsidRDefault="00F7394A" w:rsidP="00F7394A">
            <w:r w:rsidRPr="00F7394A">
              <w:rPr>
                <w:b/>
                <w:bCs/>
              </w:rPr>
              <w:t>Редки</w:t>
            </w:r>
          </w:p>
          <w:p w14:paraId="2D95DACC" w14:textId="77777777" w:rsidR="00F7394A" w:rsidRPr="00F7394A" w:rsidRDefault="00F7394A" w:rsidP="00F7394A">
            <w:r w:rsidRPr="00F7394A">
              <w:rPr>
                <w:b/>
                <w:bCs/>
              </w:rPr>
              <w:t>≥1/10000,</w:t>
            </w:r>
          </w:p>
          <w:p w14:paraId="52A96139" w14:textId="68F78E10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b/>
                <w:bCs/>
              </w:rPr>
              <w:t>&lt;1/1000</w:t>
            </w:r>
          </w:p>
        </w:tc>
        <w:tc>
          <w:tcPr>
            <w:tcW w:w="1435" w:type="dxa"/>
          </w:tcPr>
          <w:p w14:paraId="7C11E05D" w14:textId="77777777" w:rsidR="00F7394A" w:rsidRPr="00F7394A" w:rsidRDefault="00F7394A" w:rsidP="00F7394A">
            <w:r w:rsidRPr="00F7394A">
              <w:rPr>
                <w:b/>
                <w:bCs/>
              </w:rPr>
              <w:t>Много редки</w:t>
            </w:r>
          </w:p>
          <w:p w14:paraId="4703B999" w14:textId="54D946D8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b/>
                <w:bCs/>
              </w:rPr>
              <w:t>&lt;1/10 000</w:t>
            </w:r>
          </w:p>
        </w:tc>
        <w:tc>
          <w:tcPr>
            <w:tcW w:w="1631" w:type="dxa"/>
          </w:tcPr>
          <w:p w14:paraId="2E7FBE70" w14:textId="77777777" w:rsidR="00F7394A" w:rsidRPr="00F7394A" w:rsidRDefault="00F7394A" w:rsidP="00F7394A">
            <w:r w:rsidRPr="00F7394A">
              <w:rPr>
                <w:b/>
                <w:bCs/>
              </w:rPr>
              <w:t>С неизвестна</w:t>
            </w:r>
          </w:p>
          <w:p w14:paraId="75B98CBA" w14:textId="77777777" w:rsidR="00F7394A" w:rsidRPr="00F7394A" w:rsidRDefault="00F7394A" w:rsidP="00F7394A">
            <w:r w:rsidRPr="00F7394A">
              <w:rPr>
                <w:b/>
                <w:bCs/>
              </w:rPr>
              <w:t>честота</w:t>
            </w:r>
          </w:p>
          <w:p w14:paraId="6A58A4B1" w14:textId="77777777" w:rsidR="00F7394A" w:rsidRPr="00F7394A" w:rsidRDefault="00F7394A" w:rsidP="00F7394A">
            <w:r w:rsidRPr="00F7394A">
              <w:rPr>
                <w:b/>
                <w:bCs/>
              </w:rPr>
              <w:t>(честотата не</w:t>
            </w:r>
          </w:p>
          <w:p w14:paraId="65B31482" w14:textId="77777777" w:rsidR="00F7394A" w:rsidRPr="00F7394A" w:rsidRDefault="00F7394A" w:rsidP="00F7394A">
            <w:r w:rsidRPr="00F7394A">
              <w:rPr>
                <w:b/>
                <w:bCs/>
              </w:rPr>
              <w:t>може да бъде</w:t>
            </w:r>
          </w:p>
          <w:p w14:paraId="2226A2E2" w14:textId="77777777" w:rsidR="00F7394A" w:rsidRPr="00F7394A" w:rsidRDefault="00F7394A" w:rsidP="00F7394A">
            <w:r w:rsidRPr="00F7394A">
              <w:rPr>
                <w:b/>
                <w:bCs/>
              </w:rPr>
              <w:t>установена от наличните</w:t>
            </w:r>
          </w:p>
          <w:p w14:paraId="3F4381E8" w14:textId="77777777" w:rsidR="00F7394A" w:rsidRPr="00F7394A" w:rsidRDefault="00F7394A" w:rsidP="00F7394A">
            <w:r w:rsidRPr="00F7394A">
              <w:rPr>
                <w:b/>
                <w:bCs/>
              </w:rPr>
              <w:t>данни</w:t>
            </w:r>
          </w:p>
          <w:p w14:paraId="74F40004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</w:tr>
      <w:tr w:rsidR="00F7394A" w14:paraId="32BB3D72" w14:textId="77777777" w:rsidTr="00F7394A">
        <w:tc>
          <w:tcPr>
            <w:tcW w:w="1717" w:type="dxa"/>
          </w:tcPr>
          <w:p w14:paraId="39D91AF7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Инфекции</w:t>
            </w:r>
            <w:r w:rsidRPr="00F7394A">
              <w:rPr>
                <w:rFonts w:cs="Arial"/>
              </w:rPr>
              <w:tab/>
              <w:t>и</w:t>
            </w:r>
          </w:p>
          <w:p w14:paraId="58EC4CF2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инфестации</w:t>
            </w:r>
          </w:p>
          <w:p w14:paraId="68895492" w14:textId="7C50CA3C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  <w:b/>
                <w:bCs/>
                <w:lang w:val="en-US"/>
              </w:rPr>
              <w:t>b</w:t>
            </w:r>
          </w:p>
        </w:tc>
        <w:tc>
          <w:tcPr>
            <w:tcW w:w="848" w:type="dxa"/>
          </w:tcPr>
          <w:p w14:paraId="777E532E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191" w:type="dxa"/>
          </w:tcPr>
          <w:p w14:paraId="444A0C5D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390" w:type="dxa"/>
          </w:tcPr>
          <w:p w14:paraId="67C920FA" w14:textId="426B5655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Инфекции на пикочните пътища Цистит</w:t>
            </w:r>
          </w:p>
        </w:tc>
        <w:tc>
          <w:tcPr>
            <w:tcW w:w="1364" w:type="dxa"/>
          </w:tcPr>
          <w:p w14:paraId="2A0304D1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435" w:type="dxa"/>
          </w:tcPr>
          <w:p w14:paraId="50DC9247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631" w:type="dxa"/>
          </w:tcPr>
          <w:p w14:paraId="38E48B28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</w:tr>
      <w:tr w:rsidR="00F7394A" w14:paraId="44DBCBCA" w14:textId="77777777" w:rsidTr="00F7394A">
        <w:tc>
          <w:tcPr>
            <w:tcW w:w="1717" w:type="dxa"/>
          </w:tcPr>
          <w:p w14:paraId="2ADBE282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Нарушения на имунната</w:t>
            </w:r>
          </w:p>
          <w:p w14:paraId="543115EE" w14:textId="508D50B8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система</w:t>
            </w:r>
          </w:p>
        </w:tc>
        <w:tc>
          <w:tcPr>
            <w:tcW w:w="848" w:type="dxa"/>
          </w:tcPr>
          <w:p w14:paraId="7A232B4A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191" w:type="dxa"/>
          </w:tcPr>
          <w:p w14:paraId="3240C24D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390" w:type="dxa"/>
          </w:tcPr>
          <w:p w14:paraId="796AC6BB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364" w:type="dxa"/>
          </w:tcPr>
          <w:p w14:paraId="1056EE12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435" w:type="dxa"/>
          </w:tcPr>
          <w:p w14:paraId="71F7DF02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631" w:type="dxa"/>
          </w:tcPr>
          <w:p w14:paraId="4D3351F4" w14:textId="585E8539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Анафилактична реакция*</w:t>
            </w:r>
          </w:p>
        </w:tc>
      </w:tr>
      <w:tr w:rsidR="00F7394A" w14:paraId="0CD0DC41" w14:textId="77777777" w:rsidTr="00F7394A">
        <w:tc>
          <w:tcPr>
            <w:tcW w:w="1717" w:type="dxa"/>
          </w:tcPr>
          <w:p w14:paraId="3F25EF88" w14:textId="3D29C881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Нарушения на метаболизма и храненето</w:t>
            </w:r>
          </w:p>
        </w:tc>
        <w:tc>
          <w:tcPr>
            <w:tcW w:w="848" w:type="dxa"/>
          </w:tcPr>
          <w:p w14:paraId="2D630482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191" w:type="dxa"/>
          </w:tcPr>
          <w:p w14:paraId="4AB0A95F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390" w:type="dxa"/>
          </w:tcPr>
          <w:p w14:paraId="765E798D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364" w:type="dxa"/>
          </w:tcPr>
          <w:p w14:paraId="216A0079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435" w:type="dxa"/>
          </w:tcPr>
          <w:p w14:paraId="7AA0EB4F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631" w:type="dxa"/>
          </w:tcPr>
          <w:p w14:paraId="06FDCCD1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Понижен</w:t>
            </w:r>
          </w:p>
          <w:p w14:paraId="51A71A22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апетит*</w:t>
            </w:r>
          </w:p>
          <w:p w14:paraId="0A702F3D" w14:textId="12A26AA3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Хиперкалиемия *</w:t>
            </w:r>
          </w:p>
        </w:tc>
      </w:tr>
      <w:tr w:rsidR="00F7394A" w14:paraId="4D6683C1" w14:textId="77777777" w:rsidTr="00F7394A">
        <w:tc>
          <w:tcPr>
            <w:tcW w:w="1717" w:type="dxa"/>
          </w:tcPr>
          <w:p w14:paraId="439E59B8" w14:textId="7BE1B259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Психични нарушения</w:t>
            </w:r>
          </w:p>
        </w:tc>
        <w:tc>
          <w:tcPr>
            <w:tcW w:w="848" w:type="dxa"/>
          </w:tcPr>
          <w:p w14:paraId="2CE4B2D9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191" w:type="dxa"/>
          </w:tcPr>
          <w:p w14:paraId="5CAE01DA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390" w:type="dxa"/>
          </w:tcPr>
          <w:p w14:paraId="1A89EBED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364" w:type="dxa"/>
          </w:tcPr>
          <w:p w14:paraId="382CB3DF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435" w:type="dxa"/>
          </w:tcPr>
          <w:p w14:paraId="1C83F6F2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Халюцинаци и*</w:t>
            </w:r>
          </w:p>
          <w:p w14:paraId="25FD4482" w14:textId="0DA56A13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Състояние на обърканост*</w:t>
            </w:r>
          </w:p>
        </w:tc>
        <w:tc>
          <w:tcPr>
            <w:tcW w:w="1631" w:type="dxa"/>
          </w:tcPr>
          <w:p w14:paraId="003A088C" w14:textId="1DE30B4F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Делириум*</w:t>
            </w:r>
          </w:p>
        </w:tc>
      </w:tr>
      <w:tr w:rsidR="00F7394A" w14:paraId="5645A349" w14:textId="77777777" w:rsidTr="00F7394A">
        <w:tc>
          <w:tcPr>
            <w:tcW w:w="1717" w:type="dxa"/>
            <w:vAlign w:val="bottom"/>
          </w:tcPr>
          <w:p w14:paraId="70D952FC" w14:textId="2A35963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Нарушения на нервната система</w:t>
            </w:r>
          </w:p>
        </w:tc>
        <w:tc>
          <w:tcPr>
            <w:tcW w:w="848" w:type="dxa"/>
          </w:tcPr>
          <w:p w14:paraId="5C518DE6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191" w:type="dxa"/>
          </w:tcPr>
          <w:p w14:paraId="3FBD903D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390" w:type="dxa"/>
          </w:tcPr>
          <w:p w14:paraId="64D07E84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Сънливост</w:t>
            </w:r>
          </w:p>
          <w:p w14:paraId="66534C46" w14:textId="2D92732F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Дисгеузия</w:t>
            </w:r>
          </w:p>
        </w:tc>
        <w:tc>
          <w:tcPr>
            <w:tcW w:w="1364" w:type="dxa"/>
          </w:tcPr>
          <w:p w14:paraId="665994C2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Замаяност*</w:t>
            </w:r>
          </w:p>
          <w:p w14:paraId="24A20AA6" w14:textId="15ACC9A5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Главоболие*</w:t>
            </w:r>
          </w:p>
        </w:tc>
        <w:tc>
          <w:tcPr>
            <w:tcW w:w="1435" w:type="dxa"/>
          </w:tcPr>
          <w:p w14:paraId="777F4763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631" w:type="dxa"/>
          </w:tcPr>
          <w:p w14:paraId="68E28CEF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</w:tr>
      <w:tr w:rsidR="00F7394A" w14:paraId="1B1CCC1D" w14:textId="77777777" w:rsidTr="00F7394A">
        <w:tc>
          <w:tcPr>
            <w:tcW w:w="1717" w:type="dxa"/>
          </w:tcPr>
          <w:p w14:paraId="48960807" w14:textId="20C07963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Очни нарушения</w:t>
            </w:r>
          </w:p>
        </w:tc>
        <w:tc>
          <w:tcPr>
            <w:tcW w:w="848" w:type="dxa"/>
          </w:tcPr>
          <w:p w14:paraId="3EBECC96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191" w:type="dxa"/>
          </w:tcPr>
          <w:p w14:paraId="12FD9885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Замъглено</w:t>
            </w:r>
          </w:p>
          <w:p w14:paraId="38BB5A61" w14:textId="25D0D9B8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lastRenderedPageBreak/>
              <w:t>зрение</w:t>
            </w:r>
          </w:p>
        </w:tc>
        <w:tc>
          <w:tcPr>
            <w:tcW w:w="1390" w:type="dxa"/>
          </w:tcPr>
          <w:p w14:paraId="583D328C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lastRenderedPageBreak/>
              <w:t>Сухота</w:t>
            </w:r>
            <w:r w:rsidRPr="00F7394A">
              <w:rPr>
                <w:rFonts w:cs="Arial"/>
              </w:rPr>
              <w:tab/>
              <w:t>в</w:t>
            </w:r>
          </w:p>
          <w:p w14:paraId="06870472" w14:textId="3EC9025F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lastRenderedPageBreak/>
              <w:t>очите</w:t>
            </w:r>
          </w:p>
        </w:tc>
        <w:tc>
          <w:tcPr>
            <w:tcW w:w="1364" w:type="dxa"/>
          </w:tcPr>
          <w:p w14:paraId="04C24EA7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435" w:type="dxa"/>
          </w:tcPr>
          <w:p w14:paraId="2D5009DA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631" w:type="dxa"/>
          </w:tcPr>
          <w:p w14:paraId="7296B7F9" w14:textId="406CC45D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Глаукома*</w:t>
            </w:r>
          </w:p>
        </w:tc>
      </w:tr>
      <w:tr w:rsidR="00F7394A" w14:paraId="68FB816B" w14:textId="77777777" w:rsidTr="00F7394A">
        <w:tc>
          <w:tcPr>
            <w:tcW w:w="1717" w:type="dxa"/>
          </w:tcPr>
          <w:p w14:paraId="27B5F310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Сърдечни</w:t>
            </w:r>
          </w:p>
          <w:p w14:paraId="3ACF235E" w14:textId="0A3A6709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нарушения</w:t>
            </w:r>
          </w:p>
        </w:tc>
        <w:tc>
          <w:tcPr>
            <w:tcW w:w="848" w:type="dxa"/>
          </w:tcPr>
          <w:p w14:paraId="378C94C8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191" w:type="dxa"/>
          </w:tcPr>
          <w:p w14:paraId="27348903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390" w:type="dxa"/>
          </w:tcPr>
          <w:p w14:paraId="2578EF17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364" w:type="dxa"/>
          </w:tcPr>
          <w:p w14:paraId="2B790545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435" w:type="dxa"/>
            <w:vAlign w:val="bottom"/>
          </w:tcPr>
          <w:p w14:paraId="5CCBFF95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631" w:type="dxa"/>
            <w:vAlign w:val="bottom"/>
          </w:tcPr>
          <w:p w14:paraId="7D8F7CE9" w14:textId="784E8BC3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 xml:space="preserve">Полимофиа камерна тахикардия </w:t>
            </w:r>
            <w:r w:rsidRPr="00F7394A">
              <w:rPr>
                <w:rFonts w:cs="Arial"/>
                <w:lang w:val="en-US"/>
              </w:rPr>
              <w:t>(Torsade</w:t>
            </w:r>
            <w:r>
              <w:rPr>
                <w:rFonts w:cs="Arial"/>
                <w:lang w:val="en-US"/>
              </w:rPr>
              <w:t xml:space="preserve"> </w:t>
            </w:r>
            <w:r w:rsidRPr="00F7394A">
              <w:rPr>
                <w:rFonts w:cs="Arial"/>
                <w:lang w:val="en-US"/>
              </w:rPr>
              <w:t>de</w:t>
            </w:r>
          </w:p>
          <w:p w14:paraId="04B80324" w14:textId="77777777" w:rsidR="00F7394A" w:rsidRPr="00F7394A" w:rsidRDefault="00F7394A" w:rsidP="00F7394A">
            <w:pPr>
              <w:rPr>
                <w:rFonts w:cs="Arial"/>
              </w:rPr>
            </w:pPr>
            <w:proofErr w:type="gramStart"/>
            <w:r w:rsidRPr="00F7394A">
              <w:rPr>
                <w:rFonts w:cs="Arial"/>
                <w:lang w:val="en-US"/>
              </w:rPr>
              <w:t>Pointes)*</w:t>
            </w:r>
            <w:proofErr w:type="gramEnd"/>
            <w:r w:rsidRPr="00F7394A">
              <w:rPr>
                <w:rFonts w:cs="Arial"/>
                <w:lang w:val="en-US"/>
              </w:rPr>
              <w:t xml:space="preserve"> </w:t>
            </w:r>
            <w:r w:rsidRPr="00F7394A">
              <w:rPr>
                <w:rFonts w:cs="Arial"/>
              </w:rPr>
              <w:t xml:space="preserve">Удължаване на </w:t>
            </w:r>
            <w:r w:rsidRPr="00F7394A">
              <w:rPr>
                <w:rFonts w:cs="Arial"/>
                <w:lang w:val="en-US"/>
              </w:rPr>
              <w:t>QT</w:t>
            </w:r>
            <w:r w:rsidRPr="00F7394A">
              <w:rPr>
                <w:rFonts w:cs="Arial"/>
                <w:lang w:val="en-US"/>
              </w:rPr>
              <w:tab/>
            </w:r>
            <w:r w:rsidRPr="00F7394A">
              <w:rPr>
                <w:rFonts w:cs="Arial"/>
              </w:rPr>
              <w:t>в</w:t>
            </w:r>
          </w:p>
          <w:p w14:paraId="225D1F5F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кардиограмата* Предсърдно мъждене*</w:t>
            </w:r>
          </w:p>
          <w:p w14:paraId="1918D6F7" w14:textId="69894831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Палпитации* Тахикардия*</w:t>
            </w:r>
          </w:p>
        </w:tc>
      </w:tr>
      <w:tr w:rsidR="00F7394A" w14:paraId="3AF0CD90" w14:textId="77777777" w:rsidTr="00F7394A">
        <w:tc>
          <w:tcPr>
            <w:tcW w:w="1717" w:type="dxa"/>
          </w:tcPr>
          <w:p w14:paraId="4452B932" w14:textId="2FE69ED1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Респираторни, гръдни</w:t>
            </w:r>
            <w:r>
              <w:rPr>
                <w:rFonts w:cs="Arial"/>
                <w:lang w:val="en-US"/>
              </w:rPr>
              <w:t xml:space="preserve"> </w:t>
            </w:r>
            <w:r w:rsidRPr="00F7394A">
              <w:rPr>
                <w:rFonts w:cs="Arial"/>
              </w:rPr>
              <w:t>и</w:t>
            </w:r>
          </w:p>
          <w:p w14:paraId="13A0CED9" w14:textId="34977F24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медиастинални нарушения</w:t>
            </w:r>
          </w:p>
        </w:tc>
        <w:tc>
          <w:tcPr>
            <w:tcW w:w="848" w:type="dxa"/>
          </w:tcPr>
          <w:p w14:paraId="1B2C20AB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191" w:type="dxa"/>
          </w:tcPr>
          <w:p w14:paraId="06EDFEB1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390" w:type="dxa"/>
          </w:tcPr>
          <w:p w14:paraId="7350731C" w14:textId="32F568F6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Сухота в носа</w:t>
            </w:r>
          </w:p>
        </w:tc>
        <w:tc>
          <w:tcPr>
            <w:tcW w:w="1364" w:type="dxa"/>
          </w:tcPr>
          <w:p w14:paraId="705CFCD1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435" w:type="dxa"/>
          </w:tcPr>
          <w:p w14:paraId="3A5BE3AC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631" w:type="dxa"/>
          </w:tcPr>
          <w:p w14:paraId="723A202A" w14:textId="0BC879E4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Дисфония*</w:t>
            </w:r>
          </w:p>
        </w:tc>
      </w:tr>
      <w:tr w:rsidR="00F7394A" w14:paraId="7376404C" w14:textId="77777777" w:rsidTr="00F7394A">
        <w:tc>
          <w:tcPr>
            <w:tcW w:w="1717" w:type="dxa"/>
          </w:tcPr>
          <w:p w14:paraId="24F8CF1C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Стомашно-</w:t>
            </w:r>
          </w:p>
          <w:p w14:paraId="430AF324" w14:textId="782E303F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чревни нарушения</w:t>
            </w:r>
          </w:p>
        </w:tc>
        <w:tc>
          <w:tcPr>
            <w:tcW w:w="848" w:type="dxa"/>
          </w:tcPr>
          <w:p w14:paraId="161E8027" w14:textId="1EFDE13E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Сухота в устата</w:t>
            </w:r>
          </w:p>
        </w:tc>
        <w:tc>
          <w:tcPr>
            <w:tcW w:w="1191" w:type="dxa"/>
          </w:tcPr>
          <w:p w14:paraId="0CB6C0D9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Запек</w:t>
            </w:r>
          </w:p>
          <w:p w14:paraId="5A10F695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Гадене Диспепсия</w:t>
            </w:r>
          </w:p>
          <w:p w14:paraId="57D0A358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Болки</w:t>
            </w:r>
            <w:r w:rsidRPr="00F7394A">
              <w:rPr>
                <w:rFonts w:cs="Arial"/>
              </w:rPr>
              <w:tab/>
              <w:t>в</w:t>
            </w:r>
          </w:p>
          <w:p w14:paraId="2B270401" w14:textId="7A17526A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корема</w:t>
            </w:r>
          </w:p>
        </w:tc>
        <w:tc>
          <w:tcPr>
            <w:tcW w:w="1390" w:type="dxa"/>
          </w:tcPr>
          <w:p w14:paraId="6BC1987A" w14:textId="4A0215DB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Г астро- езофагиална рефлуксна болест Сухота</w:t>
            </w:r>
            <w:r>
              <w:rPr>
                <w:rFonts w:cs="Arial"/>
                <w:lang w:val="en-US"/>
              </w:rPr>
              <w:t xml:space="preserve"> </w:t>
            </w:r>
            <w:r w:rsidRPr="00F7394A">
              <w:rPr>
                <w:rFonts w:cs="Arial"/>
              </w:rPr>
              <w:t>в</w:t>
            </w:r>
          </w:p>
          <w:p w14:paraId="12D157CF" w14:textId="7D0376C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гърлото</w:t>
            </w:r>
          </w:p>
        </w:tc>
        <w:tc>
          <w:tcPr>
            <w:tcW w:w="1364" w:type="dxa"/>
          </w:tcPr>
          <w:p w14:paraId="04225195" w14:textId="08F0B73E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Запушване на дебелото черво Фекално здръстване Повръщане*</w:t>
            </w:r>
          </w:p>
        </w:tc>
        <w:tc>
          <w:tcPr>
            <w:tcW w:w="1435" w:type="dxa"/>
          </w:tcPr>
          <w:p w14:paraId="33A06924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631" w:type="dxa"/>
          </w:tcPr>
          <w:p w14:paraId="2BEE63C5" w14:textId="15B27E3F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Илеус* Стомашен дискомфорт*</w:t>
            </w:r>
          </w:p>
        </w:tc>
      </w:tr>
      <w:tr w:rsidR="00F7394A" w14:paraId="6E8ECD9F" w14:textId="77777777" w:rsidTr="00F7394A">
        <w:tc>
          <w:tcPr>
            <w:tcW w:w="1717" w:type="dxa"/>
          </w:tcPr>
          <w:p w14:paraId="7BA1FD9E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Хепатобилиарни нарушения</w:t>
            </w:r>
          </w:p>
          <w:p w14:paraId="1A8DAB9B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848" w:type="dxa"/>
            <w:vAlign w:val="bottom"/>
          </w:tcPr>
          <w:p w14:paraId="47FD26DC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191" w:type="dxa"/>
          </w:tcPr>
          <w:p w14:paraId="55C89FAF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390" w:type="dxa"/>
          </w:tcPr>
          <w:p w14:paraId="0CA2EDA5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364" w:type="dxa"/>
          </w:tcPr>
          <w:p w14:paraId="61838A16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435" w:type="dxa"/>
          </w:tcPr>
          <w:p w14:paraId="0E556236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631" w:type="dxa"/>
          </w:tcPr>
          <w:p w14:paraId="108B8239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Чернодробен дискомфорт*</w:t>
            </w:r>
          </w:p>
          <w:p w14:paraId="530F86DE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Отклонения в</w:t>
            </w:r>
          </w:p>
          <w:p w14:paraId="7CA55A86" w14:textId="15B5DB6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изследванията на чернодробната функция*</w:t>
            </w:r>
          </w:p>
        </w:tc>
      </w:tr>
      <w:tr w:rsidR="00F7394A" w14:paraId="0F6A026D" w14:textId="77777777" w:rsidTr="00F7394A">
        <w:tc>
          <w:tcPr>
            <w:tcW w:w="1717" w:type="dxa"/>
          </w:tcPr>
          <w:p w14:paraId="7CAEAF58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Нарушения на</w:t>
            </w:r>
          </w:p>
          <w:p w14:paraId="5489B442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кожата</w:t>
            </w:r>
            <w:r w:rsidRPr="00F7394A">
              <w:rPr>
                <w:rFonts w:cs="Arial"/>
              </w:rPr>
              <w:tab/>
              <w:t>и</w:t>
            </w:r>
          </w:p>
          <w:p w14:paraId="77735235" w14:textId="41D53A64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подкожната тъкан</w:t>
            </w:r>
          </w:p>
        </w:tc>
        <w:tc>
          <w:tcPr>
            <w:tcW w:w="848" w:type="dxa"/>
          </w:tcPr>
          <w:p w14:paraId="1E25A86D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191" w:type="dxa"/>
          </w:tcPr>
          <w:p w14:paraId="25BB2A1A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390" w:type="dxa"/>
          </w:tcPr>
          <w:p w14:paraId="184AEC62" w14:textId="2C2DF62E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Сухота на кожата</w:t>
            </w:r>
          </w:p>
        </w:tc>
        <w:tc>
          <w:tcPr>
            <w:tcW w:w="1364" w:type="dxa"/>
          </w:tcPr>
          <w:p w14:paraId="0D5B2347" w14:textId="7A4A131B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Сърбеж* Обрив*</w:t>
            </w:r>
          </w:p>
        </w:tc>
        <w:tc>
          <w:tcPr>
            <w:tcW w:w="1435" w:type="dxa"/>
          </w:tcPr>
          <w:p w14:paraId="7C650CB1" w14:textId="06CBEF32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Еритема мултиформе* , Уртикария*, Ангиоедем*</w:t>
            </w:r>
          </w:p>
        </w:tc>
        <w:tc>
          <w:tcPr>
            <w:tcW w:w="1631" w:type="dxa"/>
          </w:tcPr>
          <w:p w14:paraId="4BA4E174" w14:textId="58A3F25B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Ексфолиативен дерматит*</w:t>
            </w:r>
          </w:p>
        </w:tc>
      </w:tr>
      <w:tr w:rsidR="00F7394A" w14:paraId="44267FB6" w14:textId="77777777" w:rsidTr="00F7394A">
        <w:tc>
          <w:tcPr>
            <w:tcW w:w="1717" w:type="dxa"/>
            <w:vAlign w:val="bottom"/>
          </w:tcPr>
          <w:p w14:paraId="249578CF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Нарушения на мускулно- скелетната система</w:t>
            </w:r>
            <w:r w:rsidRPr="00F7394A">
              <w:rPr>
                <w:rFonts w:cs="Arial"/>
              </w:rPr>
              <w:tab/>
              <w:t>и</w:t>
            </w:r>
          </w:p>
          <w:p w14:paraId="70EBB68F" w14:textId="15485852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  <w:lang w:val="en-US"/>
              </w:rPr>
              <w:lastRenderedPageBreak/>
              <w:t xml:space="preserve">j </w:t>
            </w:r>
            <w:r w:rsidRPr="00F7394A">
              <w:rPr>
                <w:rFonts w:cs="Arial"/>
              </w:rPr>
              <w:t xml:space="preserve">съединителната тъкан </w:t>
            </w:r>
            <w:proofErr w:type="spellStart"/>
            <w:r w:rsidRPr="00F7394A">
              <w:rPr>
                <w:rFonts w:cs="Arial"/>
                <w:lang w:val="en-US"/>
              </w:rPr>
              <w:t>i</w:t>
            </w:r>
            <w:proofErr w:type="spellEnd"/>
          </w:p>
        </w:tc>
        <w:tc>
          <w:tcPr>
            <w:tcW w:w="848" w:type="dxa"/>
          </w:tcPr>
          <w:p w14:paraId="1DC7772D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191" w:type="dxa"/>
          </w:tcPr>
          <w:p w14:paraId="0833AA21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390" w:type="dxa"/>
          </w:tcPr>
          <w:p w14:paraId="411270FB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364" w:type="dxa"/>
          </w:tcPr>
          <w:p w14:paraId="7B85217A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435" w:type="dxa"/>
          </w:tcPr>
          <w:p w14:paraId="3D622C6C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631" w:type="dxa"/>
          </w:tcPr>
          <w:p w14:paraId="13710155" w14:textId="141BA101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Слабост</w:t>
            </w:r>
            <w:r>
              <w:rPr>
                <w:rFonts w:cs="Arial"/>
                <w:lang w:val="en-US"/>
              </w:rPr>
              <w:t xml:space="preserve"> </w:t>
            </w:r>
            <w:r w:rsidRPr="00F7394A">
              <w:rPr>
                <w:rFonts w:cs="Arial"/>
              </w:rPr>
              <w:t>в</w:t>
            </w:r>
          </w:p>
          <w:p w14:paraId="7A4F02AC" w14:textId="714CCE8D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мускулите*</w:t>
            </w:r>
          </w:p>
        </w:tc>
      </w:tr>
      <w:tr w:rsidR="00F7394A" w14:paraId="2D6DE196" w14:textId="77777777" w:rsidTr="00F7394A">
        <w:tc>
          <w:tcPr>
            <w:tcW w:w="1717" w:type="dxa"/>
          </w:tcPr>
          <w:p w14:paraId="2A9CEBAA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Нарушения на</w:t>
            </w:r>
          </w:p>
          <w:p w14:paraId="610996B9" w14:textId="77777777" w:rsidR="00F7394A" w:rsidRPr="00F7394A" w:rsidRDefault="00F7394A" w:rsidP="00F7394A">
            <w:pPr>
              <w:rPr>
                <w:rFonts w:cs="Arial"/>
              </w:rPr>
            </w:pPr>
          </w:p>
          <w:p w14:paraId="47E8195D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бъбреците</w:t>
            </w:r>
            <w:r w:rsidRPr="00F7394A">
              <w:rPr>
                <w:rFonts w:cs="Arial"/>
              </w:rPr>
              <w:tab/>
              <w:t>и</w:t>
            </w:r>
          </w:p>
          <w:p w14:paraId="2E21DCAD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пикочните</w:t>
            </w:r>
          </w:p>
          <w:p w14:paraId="641BB528" w14:textId="77777777" w:rsidR="00F7394A" w:rsidRPr="00F7394A" w:rsidRDefault="00F7394A" w:rsidP="00F7394A">
            <w:pPr>
              <w:rPr>
                <w:rFonts w:cs="Arial"/>
              </w:rPr>
            </w:pPr>
          </w:p>
          <w:p w14:paraId="13FE5372" w14:textId="1601B758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пътища</w:t>
            </w:r>
          </w:p>
        </w:tc>
        <w:tc>
          <w:tcPr>
            <w:tcW w:w="848" w:type="dxa"/>
          </w:tcPr>
          <w:p w14:paraId="1ED3E63A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191" w:type="dxa"/>
          </w:tcPr>
          <w:p w14:paraId="4234002F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390" w:type="dxa"/>
          </w:tcPr>
          <w:p w14:paraId="5FF7DEFE" w14:textId="5AE36F74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Затруднено уриниране</w:t>
            </w:r>
          </w:p>
        </w:tc>
        <w:tc>
          <w:tcPr>
            <w:tcW w:w="1364" w:type="dxa"/>
          </w:tcPr>
          <w:p w14:paraId="4332A0E6" w14:textId="62378FBA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Задържане на урина</w:t>
            </w:r>
          </w:p>
        </w:tc>
        <w:tc>
          <w:tcPr>
            <w:tcW w:w="1435" w:type="dxa"/>
          </w:tcPr>
          <w:p w14:paraId="08535D3E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631" w:type="dxa"/>
          </w:tcPr>
          <w:p w14:paraId="012CC428" w14:textId="0891C391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Бъбречно увреждне*</w:t>
            </w:r>
          </w:p>
        </w:tc>
      </w:tr>
      <w:tr w:rsidR="00F7394A" w14:paraId="30EDE8AA" w14:textId="77777777" w:rsidTr="00F7394A">
        <w:tc>
          <w:tcPr>
            <w:tcW w:w="1717" w:type="dxa"/>
          </w:tcPr>
          <w:p w14:paraId="66D34087" w14:textId="0B3A0DF8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Общи</w:t>
            </w:r>
          </w:p>
          <w:p w14:paraId="515F704E" w14:textId="76CEDCDB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Нарушения</w:t>
            </w:r>
            <w:r>
              <w:rPr>
                <w:rFonts w:cs="Arial"/>
                <w:lang w:val="en-US"/>
              </w:rPr>
              <w:t xml:space="preserve"> </w:t>
            </w:r>
            <w:r w:rsidRPr="00F7394A">
              <w:rPr>
                <w:rFonts w:cs="Arial"/>
              </w:rPr>
              <w:t>и</w:t>
            </w:r>
          </w:p>
          <w:p w14:paraId="55644470" w14:textId="374A38FE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Ефекти</w:t>
            </w:r>
            <w:r>
              <w:rPr>
                <w:rFonts w:cs="Arial"/>
                <w:lang w:val="en-US"/>
              </w:rPr>
              <w:t xml:space="preserve"> </w:t>
            </w:r>
            <w:r w:rsidRPr="00F7394A">
              <w:rPr>
                <w:rFonts w:cs="Arial"/>
              </w:rPr>
              <w:t>на</w:t>
            </w:r>
          </w:p>
          <w:p w14:paraId="02A2704E" w14:textId="26DC7226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</w:rPr>
              <w:t>Мястото</w:t>
            </w:r>
            <w:r>
              <w:rPr>
                <w:rFonts w:cs="Arial"/>
                <w:lang w:val="en-US"/>
              </w:rPr>
              <w:t xml:space="preserve"> </w:t>
            </w:r>
            <w:r w:rsidRPr="00F7394A">
              <w:rPr>
                <w:rFonts w:cs="Arial"/>
              </w:rPr>
              <w:t>на</w:t>
            </w:r>
          </w:p>
          <w:p w14:paraId="6B741407" w14:textId="2CBB1E3A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приложение</w:t>
            </w:r>
          </w:p>
        </w:tc>
        <w:tc>
          <w:tcPr>
            <w:tcW w:w="848" w:type="dxa"/>
          </w:tcPr>
          <w:p w14:paraId="5F314265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191" w:type="dxa"/>
          </w:tcPr>
          <w:p w14:paraId="7FCD09DC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390" w:type="dxa"/>
          </w:tcPr>
          <w:p w14:paraId="78002FB5" w14:textId="21837243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F7394A">
              <w:rPr>
                <w:rFonts w:cs="Arial"/>
              </w:rPr>
              <w:t>Умора Периферен оток</w:t>
            </w:r>
          </w:p>
        </w:tc>
        <w:tc>
          <w:tcPr>
            <w:tcW w:w="1364" w:type="dxa"/>
          </w:tcPr>
          <w:p w14:paraId="3A333D72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435" w:type="dxa"/>
            <w:textDirection w:val="btLr"/>
          </w:tcPr>
          <w:p w14:paraId="5AC920A5" w14:textId="77777777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631" w:type="dxa"/>
            <w:textDirection w:val="tbRl"/>
          </w:tcPr>
          <w:p w14:paraId="70F638CC" w14:textId="02FC5498" w:rsidR="00F7394A" w:rsidRPr="00F7394A" w:rsidRDefault="00F7394A" w:rsidP="00F7394A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</w:tr>
    </w:tbl>
    <w:p w14:paraId="1C312BEF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*наблюдавани след пускане на пазара</w:t>
      </w:r>
    </w:p>
    <w:p w14:paraId="16A2CA18" w14:textId="77777777" w:rsidR="00F7394A" w:rsidRPr="00F7394A" w:rsidRDefault="00F7394A" w:rsidP="00F7394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56F40F9" w14:textId="7BCD8636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381C5F6F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 риск за лекарствения продукт. От медицинските специалисти се изисква да съобщават всяка подозирана нежелана реакция чрез националната система за съобщаване:</w:t>
      </w:r>
    </w:p>
    <w:p w14:paraId="3385EA09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b/>
          <w:bCs/>
          <w:color w:val="000000"/>
          <w:lang w:eastAsia="bg-BG"/>
        </w:rPr>
        <w:t>Изпълнителна агенция по лекарствата</w:t>
      </w:r>
    </w:p>
    <w:p w14:paraId="33702467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ул. „Дамян Груев” № 8</w:t>
      </w:r>
    </w:p>
    <w:p w14:paraId="703141AE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1303 София</w:t>
      </w:r>
    </w:p>
    <w:p w14:paraId="2CB1AE3E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Тел.:+359 2 890 3417</w:t>
      </w:r>
    </w:p>
    <w:p w14:paraId="37764815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 xml:space="preserve">уебсайт: </w:t>
      </w:r>
      <w:hyperlink r:id="rId5" w:history="1">
        <w:r w:rsidRPr="00F7394A">
          <w:rPr>
            <w:rFonts w:eastAsia="Times New Roman" w:cs="Arial"/>
            <w:color w:val="000000"/>
            <w:u w:val="single"/>
            <w:lang w:val="en-US"/>
          </w:rPr>
          <w:t>www.bda.bg</w:t>
        </w:r>
      </w:hyperlink>
    </w:p>
    <w:p w14:paraId="69968A9C" w14:textId="77777777" w:rsidR="00F7394A" w:rsidRPr="00F7394A" w:rsidRDefault="00F7394A" w:rsidP="00F7394A"/>
    <w:p w14:paraId="4A5904B1" w14:textId="7665DA71" w:rsidR="00EE6C97" w:rsidRDefault="002C50EE" w:rsidP="00A93499">
      <w:pPr>
        <w:pStyle w:val="Heading2"/>
      </w:pPr>
      <w:r>
        <w:t>4.9. Предозиране</w:t>
      </w:r>
    </w:p>
    <w:p w14:paraId="3C7A1591" w14:textId="329A2089" w:rsidR="00F7394A" w:rsidRDefault="00F7394A" w:rsidP="00F7394A"/>
    <w:p w14:paraId="33D5CBC7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u w:val="single"/>
          <w:lang w:eastAsia="bg-BG"/>
        </w:rPr>
        <w:t>Симптоми</w:t>
      </w:r>
    </w:p>
    <w:p w14:paraId="2BF771F4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 xml:space="preserve">Предозирането със солифенацинов сукцинат може потенциално да доведе до тежки антихолинергични ефекти. Най-високата доза солифенацинов сукцинат, приложена инцидентно на един пациент е била 280 </w:t>
      </w:r>
      <w:r w:rsidRPr="00F7394A">
        <w:rPr>
          <w:rFonts w:eastAsia="Times New Roman" w:cs="Arial"/>
          <w:color w:val="000000"/>
          <w:lang w:val="en-US"/>
        </w:rPr>
        <w:t xml:space="preserve">mg </w:t>
      </w:r>
      <w:r w:rsidRPr="00F7394A">
        <w:rPr>
          <w:rFonts w:eastAsia="Times New Roman" w:cs="Arial"/>
          <w:color w:val="000000"/>
          <w:lang w:eastAsia="bg-BG"/>
        </w:rPr>
        <w:t>в период от 5 часа и е довела до промени в умственото състояние, които не са изисквали хоспитализация.</w:t>
      </w:r>
    </w:p>
    <w:p w14:paraId="502C8BE9" w14:textId="77777777" w:rsidR="00F7394A" w:rsidRDefault="00F7394A" w:rsidP="00F7394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EDB5D41" w14:textId="5A56D4BF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u w:val="single"/>
          <w:lang w:eastAsia="bg-BG"/>
        </w:rPr>
        <w:t>Овладяване на симптомите</w:t>
      </w:r>
    </w:p>
    <w:p w14:paraId="5095689E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В случай на предозиране със солифенацинов сукцинат пациентът трябва да бъде лекуван с активен въглен. Стомашният лаваж е от полза, ако се приложи в рамките на 1 час, но не трябва да се предизвиква повръщане.</w:t>
      </w:r>
    </w:p>
    <w:p w14:paraId="0EDB65B8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Както и при другите антихолинергици, симптомите могат да бъдат лекувани по следния начин:</w:t>
      </w:r>
    </w:p>
    <w:p w14:paraId="23AC3FC9" w14:textId="77777777" w:rsidR="00F7394A" w:rsidRPr="00F7394A" w:rsidRDefault="00F7394A" w:rsidP="00F7394A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Тежки централни антихолинергични ефекти като халюцинации или изразена превъзбуда: лечение с физостигмин или карбакол.</w:t>
      </w:r>
    </w:p>
    <w:p w14:paraId="40CFF77A" w14:textId="77777777" w:rsidR="00F7394A" w:rsidRPr="00F7394A" w:rsidRDefault="00F7394A" w:rsidP="00F7394A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Гърчове или изразена превъзбуда: лечение с бензодиазепини.</w:t>
      </w:r>
    </w:p>
    <w:p w14:paraId="42ADC85F" w14:textId="77777777" w:rsidR="00F7394A" w:rsidRPr="00F7394A" w:rsidRDefault="00F7394A" w:rsidP="00F7394A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Дихателна недостатъчност: изкуствено дишане.</w:t>
      </w:r>
    </w:p>
    <w:p w14:paraId="65869292" w14:textId="77777777" w:rsidR="00F7394A" w:rsidRPr="00F7394A" w:rsidRDefault="00F7394A" w:rsidP="00F7394A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Тахикардия: лечение с бета-блокери.</w:t>
      </w:r>
    </w:p>
    <w:p w14:paraId="431FD505" w14:textId="77777777" w:rsidR="00F7394A" w:rsidRPr="00F7394A" w:rsidRDefault="00F7394A" w:rsidP="00F7394A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lastRenderedPageBreak/>
        <w:t>Задържане на урина: катетеризация.</w:t>
      </w:r>
    </w:p>
    <w:p w14:paraId="52A46369" w14:textId="42EE181C" w:rsidR="00F7394A" w:rsidRPr="00F7394A" w:rsidRDefault="00F7394A" w:rsidP="00F7394A">
      <w:pPr>
        <w:pStyle w:val="ListParagraph"/>
        <w:numPr>
          <w:ilvl w:val="0"/>
          <w:numId w:val="42"/>
        </w:num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Мидриаза: лечение с пилокарпин капки за очи и/ или поставяне на пациента в тъмна стая</w:t>
      </w:r>
    </w:p>
    <w:p w14:paraId="460CB929" w14:textId="77777777" w:rsidR="00F7394A" w:rsidRPr="00F7394A" w:rsidRDefault="00F7394A" w:rsidP="00F7394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Както и при другите антимускаринови продукти, в случаи на предозиране трябва да се обърне</w:t>
      </w:r>
      <w:r>
        <w:rPr>
          <w:rFonts w:eastAsia="Times New Roman" w:cs="Arial"/>
          <w:lang w:val="en-US" w:eastAsia="bg-BG"/>
        </w:rPr>
        <w:t xml:space="preserve"> </w:t>
      </w:r>
      <w:r w:rsidRPr="00F7394A">
        <w:rPr>
          <w:rFonts w:eastAsia="Times New Roman" w:cs="Arial"/>
          <w:color w:val="000000"/>
          <w:lang w:eastAsia="bg-BG"/>
        </w:rPr>
        <w:t xml:space="preserve">специално внимание на пациентите с известен риск от удължаване на </w:t>
      </w:r>
      <w:r w:rsidRPr="00F7394A">
        <w:rPr>
          <w:rFonts w:eastAsia="Times New Roman" w:cs="Arial"/>
          <w:color w:val="000000"/>
          <w:lang w:val="en-US"/>
        </w:rPr>
        <w:t>QT</w:t>
      </w:r>
      <w:r w:rsidRPr="00F7394A">
        <w:rPr>
          <w:rFonts w:eastAsia="Times New Roman" w:cs="Arial"/>
          <w:color w:val="000000"/>
          <w:lang w:eastAsia="bg-BG"/>
        </w:rPr>
        <w:t xml:space="preserve"> интервала (например</w:t>
      </w:r>
      <w:r>
        <w:rPr>
          <w:rFonts w:eastAsia="Times New Roman" w:cs="Arial"/>
          <w:color w:val="000000"/>
          <w:lang w:val="en-US" w:eastAsia="bg-BG"/>
        </w:rPr>
        <w:t xml:space="preserve"> </w:t>
      </w:r>
      <w:r w:rsidRPr="00F7394A">
        <w:rPr>
          <w:rFonts w:eastAsia="Times New Roman" w:cs="Arial"/>
          <w:color w:val="000000"/>
          <w:lang w:eastAsia="bg-BG"/>
        </w:rPr>
        <w:t xml:space="preserve">хипокалиемия, брадикардия и съвместно приложение на лекарствени продукти, за които е известно, че удължават </w:t>
      </w:r>
      <w:r w:rsidRPr="00F7394A">
        <w:rPr>
          <w:rFonts w:eastAsia="Times New Roman" w:cs="Arial"/>
          <w:color w:val="000000"/>
          <w:lang w:val="en-US"/>
        </w:rPr>
        <w:t xml:space="preserve">QT </w:t>
      </w:r>
      <w:r w:rsidRPr="00F7394A">
        <w:rPr>
          <w:rFonts w:eastAsia="Times New Roman" w:cs="Arial"/>
          <w:color w:val="000000"/>
          <w:lang w:eastAsia="bg-BG"/>
        </w:rPr>
        <w:t>интервала) и съответните съпътстващи сърдечни заболявания (например исхемия на миокарда, аритмия, конгестивна сърдечна недостатъчност).</w:t>
      </w:r>
    </w:p>
    <w:p w14:paraId="5DDEFED6" w14:textId="71284078" w:rsidR="00F7394A" w:rsidRPr="00F7394A" w:rsidRDefault="00F7394A" w:rsidP="00F7394A">
      <w:pPr>
        <w:spacing w:line="240" w:lineRule="auto"/>
        <w:rPr>
          <w:rFonts w:eastAsia="Times New Roman" w:cs="Arial"/>
          <w:lang w:val="en-US" w:eastAsia="bg-BG"/>
        </w:rPr>
      </w:pPr>
    </w:p>
    <w:p w14:paraId="02081B24" w14:textId="36FE76F4" w:rsidR="00395555" w:rsidRPr="00395555" w:rsidRDefault="002C50EE" w:rsidP="008A6AF2">
      <w:pPr>
        <w:pStyle w:val="Heading1"/>
      </w:pPr>
      <w:r>
        <w:t>5. ФАРМАКОЛОГИЧНИ СВОЙСТВА</w:t>
      </w:r>
    </w:p>
    <w:p w14:paraId="3B9FA2B5" w14:textId="51E8287A" w:rsidR="00EE6C97" w:rsidRDefault="002C50EE" w:rsidP="00A93499">
      <w:pPr>
        <w:pStyle w:val="Heading2"/>
      </w:pPr>
      <w:r>
        <w:t>5.1. Фармакодинамични свойства</w:t>
      </w:r>
    </w:p>
    <w:p w14:paraId="5265AC08" w14:textId="21859556" w:rsidR="00F7394A" w:rsidRDefault="00F7394A" w:rsidP="00F7394A"/>
    <w:p w14:paraId="5FB78DE2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 xml:space="preserve">Фармакотерапевтична група: Урологични лекарства, лекарства за често уриниране и инконтинеция, АТС код: </w:t>
      </w:r>
      <w:r w:rsidRPr="00F7394A">
        <w:rPr>
          <w:rFonts w:eastAsia="Times New Roman" w:cs="Arial"/>
          <w:color w:val="000000"/>
          <w:lang w:val="en-US"/>
        </w:rPr>
        <w:t>G04B D08.</w:t>
      </w:r>
    </w:p>
    <w:p w14:paraId="4DC1BA62" w14:textId="77777777" w:rsidR="00F7394A" w:rsidRDefault="00F7394A" w:rsidP="00F7394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FCB0DB7" w14:textId="21E0F272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4BD9ED90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Солифенацин е компетитивен специфичен антагонист на холинергичните рецептори.</w:t>
      </w:r>
    </w:p>
    <w:p w14:paraId="027B7D1D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>Пикочният мехур се инервира от парасимпатиковите холинергични нерви. Ацетилколинът предизвиква свиване на гладкия мускул на детрузора чрез мускариновите рецептори, преимуществено от подтип M</w:t>
      </w:r>
      <w:r w:rsidRPr="00F7394A">
        <w:rPr>
          <w:rFonts w:eastAsia="Times New Roman" w:cs="Arial"/>
          <w:color w:val="000000"/>
          <w:vertAlign w:val="subscript"/>
          <w:lang w:eastAsia="bg-BG"/>
        </w:rPr>
        <w:t>3</w:t>
      </w:r>
      <w:r w:rsidRPr="00F7394A">
        <w:rPr>
          <w:rFonts w:eastAsia="Times New Roman" w:cs="Arial"/>
          <w:color w:val="000000"/>
          <w:lang w:eastAsia="bg-BG"/>
        </w:rPr>
        <w:t xml:space="preserve">. </w:t>
      </w:r>
      <w:r w:rsidRPr="00F7394A">
        <w:rPr>
          <w:rFonts w:eastAsia="Times New Roman" w:cs="Arial"/>
          <w:i/>
          <w:iCs/>
          <w:color w:val="000000"/>
          <w:lang w:val="en-US"/>
        </w:rPr>
        <w:t>In vitro</w:t>
      </w:r>
      <w:r w:rsidRPr="00F7394A">
        <w:rPr>
          <w:rFonts w:eastAsia="Times New Roman" w:cs="Arial"/>
          <w:color w:val="000000"/>
          <w:lang w:val="en-US"/>
        </w:rPr>
        <w:t xml:space="preserve"> </w:t>
      </w:r>
      <w:r w:rsidRPr="00F7394A">
        <w:rPr>
          <w:rFonts w:eastAsia="Times New Roman" w:cs="Arial"/>
          <w:color w:val="000000"/>
          <w:lang w:eastAsia="bg-BG"/>
        </w:rPr>
        <w:t xml:space="preserve">и </w:t>
      </w:r>
      <w:r w:rsidRPr="00F7394A">
        <w:rPr>
          <w:rFonts w:eastAsia="Times New Roman" w:cs="Arial"/>
          <w:i/>
          <w:iCs/>
          <w:color w:val="000000"/>
          <w:lang w:val="en-US"/>
        </w:rPr>
        <w:t>in vivo</w:t>
      </w:r>
      <w:r w:rsidRPr="00F7394A">
        <w:rPr>
          <w:rFonts w:eastAsia="Times New Roman" w:cs="Arial"/>
          <w:color w:val="000000"/>
          <w:lang w:val="en-US"/>
        </w:rPr>
        <w:t xml:space="preserve"> </w:t>
      </w:r>
      <w:r w:rsidRPr="00F7394A">
        <w:rPr>
          <w:rFonts w:eastAsia="Times New Roman" w:cs="Arial"/>
          <w:color w:val="000000"/>
          <w:lang w:eastAsia="bg-BG"/>
        </w:rPr>
        <w:t>фармакологичните проучвания показват, че солифенацин е компетитивен инхибитор на мускариновия рецептор подтип M</w:t>
      </w:r>
      <w:r w:rsidRPr="00F7394A">
        <w:rPr>
          <w:rFonts w:eastAsia="Times New Roman" w:cs="Arial"/>
          <w:color w:val="000000"/>
          <w:vertAlign w:val="subscript"/>
          <w:lang w:eastAsia="bg-BG"/>
        </w:rPr>
        <w:t>3</w:t>
      </w:r>
      <w:r w:rsidRPr="00F7394A">
        <w:rPr>
          <w:rFonts w:eastAsia="Times New Roman" w:cs="Arial"/>
          <w:color w:val="000000"/>
          <w:lang w:eastAsia="bg-BG"/>
        </w:rPr>
        <w:t>. В допълнение, солифенацин доказано е специфичен антагонист на мускариновите рецептори, като показва малък или липсващ афинитет към другите рецептори и йонни канали, които са изследвани.</w:t>
      </w:r>
    </w:p>
    <w:p w14:paraId="6399B2F4" w14:textId="77777777" w:rsidR="00F7394A" w:rsidRDefault="00F7394A" w:rsidP="00F7394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67B862B" w14:textId="1C181992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u w:val="single"/>
          <w:lang w:eastAsia="bg-BG"/>
        </w:rPr>
        <w:t>Фармакодинамични ефекти</w:t>
      </w:r>
    </w:p>
    <w:p w14:paraId="5BD70826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 xml:space="preserve">Лечението със солифенацин в дози 5 </w:t>
      </w:r>
      <w:r w:rsidRPr="00F7394A">
        <w:rPr>
          <w:rFonts w:eastAsia="Times New Roman" w:cs="Arial"/>
          <w:color w:val="000000"/>
          <w:lang w:val="en-US"/>
        </w:rPr>
        <w:t xml:space="preserve">mg </w:t>
      </w:r>
      <w:r w:rsidRPr="00F7394A">
        <w:rPr>
          <w:rFonts w:eastAsia="Times New Roman" w:cs="Arial"/>
          <w:color w:val="000000"/>
          <w:lang w:eastAsia="bg-BG"/>
        </w:rPr>
        <w:t xml:space="preserve">и 10 </w:t>
      </w:r>
      <w:r w:rsidRPr="00F7394A">
        <w:rPr>
          <w:rFonts w:eastAsia="Times New Roman" w:cs="Arial"/>
          <w:color w:val="000000"/>
          <w:lang w:val="en-US"/>
        </w:rPr>
        <w:t xml:space="preserve">mg </w:t>
      </w:r>
      <w:r w:rsidRPr="00F7394A">
        <w:rPr>
          <w:rFonts w:eastAsia="Times New Roman" w:cs="Arial"/>
          <w:color w:val="000000"/>
          <w:lang w:eastAsia="bg-BG"/>
        </w:rPr>
        <w:t>е проучено при няколко двойнослепи, рандомизирани клинични изпитвания при мъже и жени със свръхактивен пикочен мехур.</w:t>
      </w:r>
    </w:p>
    <w:p w14:paraId="63607331" w14:textId="77777777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color w:val="000000"/>
          <w:lang w:eastAsia="bg-BG"/>
        </w:rPr>
        <w:t xml:space="preserve">Както е показано в таблицата по-долу, дозите солифенацин както от 5 </w:t>
      </w:r>
      <w:r w:rsidRPr="00F7394A">
        <w:rPr>
          <w:rFonts w:eastAsia="Times New Roman" w:cs="Arial"/>
          <w:color w:val="000000"/>
          <w:lang w:val="en-US"/>
        </w:rPr>
        <w:t xml:space="preserve">mg, </w:t>
      </w:r>
      <w:r w:rsidRPr="00F7394A">
        <w:rPr>
          <w:rFonts w:eastAsia="Times New Roman" w:cs="Arial"/>
          <w:color w:val="000000"/>
          <w:lang w:eastAsia="bg-BG"/>
        </w:rPr>
        <w:t xml:space="preserve">така и от 10 </w:t>
      </w:r>
      <w:r w:rsidRPr="00F7394A">
        <w:rPr>
          <w:rFonts w:eastAsia="Times New Roman" w:cs="Arial"/>
          <w:color w:val="000000"/>
          <w:lang w:val="en-US"/>
        </w:rPr>
        <w:t xml:space="preserve">mg </w:t>
      </w:r>
      <w:r w:rsidRPr="00F7394A">
        <w:rPr>
          <w:rFonts w:eastAsia="Times New Roman" w:cs="Arial"/>
          <w:color w:val="000000"/>
          <w:lang w:eastAsia="bg-BG"/>
        </w:rPr>
        <w:t>предизвикват статистически значимо подобрение в първичните и вторичните крайни точки в сравнение с плацебо. Ефикасност е наблюдавана една седмица след започване на лечението и се стабилизира за период от 12 седмици. Дългосрочно отворено проучване показва, че ефикасността може да се поддържа поне 12 месеца. След 12-седмично лечение при приблизително 50% от пациентите, страдащи от инконтиненция преди лечението, не се наблюдава инконтиненция, а допълнителни 35% от пациентите постигат честотата на уриниране по-малко от 8 пъти дневно. Лечението на симптомите на свръхактивен пикочен мехур се отразява благоприятно и върху няколко измерителя на качеството на живот като общо усещане за добро здраве с намаляване епизодите на инконтинеция, социалните и физически ограничения, неприятните емоции, тежестта на симптомите, стриктните ограничения и нарушеннието на съня/ жизнеността.</w:t>
      </w:r>
    </w:p>
    <w:p w14:paraId="4FC537BD" w14:textId="77777777" w:rsidR="00F7394A" w:rsidRDefault="00F7394A" w:rsidP="00F7394A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6301365" w14:textId="1A732E55" w:rsidR="00F7394A" w:rsidRPr="00F7394A" w:rsidRDefault="00F7394A" w:rsidP="00F7394A">
      <w:pPr>
        <w:spacing w:line="240" w:lineRule="auto"/>
        <w:rPr>
          <w:rFonts w:eastAsia="Times New Roman" w:cs="Arial"/>
          <w:lang w:eastAsia="bg-BG"/>
        </w:rPr>
      </w:pPr>
      <w:r w:rsidRPr="00F7394A">
        <w:rPr>
          <w:rFonts w:eastAsia="Times New Roman" w:cs="Arial"/>
          <w:i/>
          <w:iCs/>
          <w:color w:val="000000"/>
          <w:lang w:eastAsia="bg-BG"/>
        </w:rPr>
        <w:t>Резултати (обобщени данни) от четири контролирани проучвания. Фаза 3 с</w:t>
      </w:r>
    </w:p>
    <w:p w14:paraId="1CBEC356" w14:textId="5BF824BA" w:rsidR="00F7394A" w:rsidRDefault="00F7394A" w:rsidP="00F7394A">
      <w:pPr>
        <w:rPr>
          <w:rFonts w:eastAsia="Times New Roman" w:cs="Arial"/>
          <w:i/>
          <w:iCs/>
          <w:color w:val="000000"/>
          <w:lang w:eastAsia="bg-BG"/>
        </w:rPr>
      </w:pPr>
      <w:r w:rsidRPr="00F7394A">
        <w:rPr>
          <w:rFonts w:eastAsia="Times New Roman" w:cs="Arial"/>
          <w:i/>
          <w:iCs/>
          <w:color w:val="000000"/>
          <w:lang w:eastAsia="bg-BG"/>
        </w:rPr>
        <w:t>продължителност 12 седмици</w:t>
      </w:r>
    </w:p>
    <w:p w14:paraId="59A5CFF5" w14:textId="4927C26B" w:rsidR="00F7394A" w:rsidRDefault="00F7394A" w:rsidP="00F7394A">
      <w:pPr>
        <w:rPr>
          <w:rFonts w:eastAsia="Times New Roman" w:cs="Arial"/>
          <w:i/>
          <w:iCs/>
          <w:color w:val="000000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7"/>
        <w:gridCol w:w="1165"/>
        <w:gridCol w:w="2028"/>
        <w:gridCol w:w="2028"/>
        <w:gridCol w:w="1532"/>
      </w:tblGrid>
      <w:tr w:rsidR="00F7394A" w14:paraId="2EC55F70" w14:textId="77777777" w:rsidTr="00765D99">
        <w:tc>
          <w:tcPr>
            <w:tcW w:w="2823" w:type="dxa"/>
            <w:vAlign w:val="bottom"/>
          </w:tcPr>
          <w:p w14:paraId="49ADA3D9" w14:textId="77777777" w:rsidR="00F7394A" w:rsidRPr="00F7394A" w:rsidRDefault="00F7394A" w:rsidP="00F7394A">
            <w:pPr>
              <w:rPr>
                <w:rFonts w:cs="Arial"/>
              </w:rPr>
            </w:pPr>
          </w:p>
        </w:tc>
        <w:tc>
          <w:tcPr>
            <w:tcW w:w="1165" w:type="dxa"/>
          </w:tcPr>
          <w:p w14:paraId="2573A0B0" w14:textId="1949B939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  <w:b/>
                <w:bCs/>
              </w:rPr>
              <w:t>Плацебо</w:t>
            </w:r>
          </w:p>
        </w:tc>
        <w:tc>
          <w:tcPr>
            <w:tcW w:w="2028" w:type="dxa"/>
          </w:tcPr>
          <w:p w14:paraId="5FE84625" w14:textId="3C537C53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  <w:b/>
                <w:bCs/>
              </w:rPr>
              <w:t xml:space="preserve">Солифенацинов сукцинат 5 </w:t>
            </w:r>
            <w:r w:rsidRPr="00F7394A">
              <w:rPr>
                <w:rFonts w:cs="Arial"/>
                <w:b/>
                <w:bCs/>
                <w:lang w:val="en-US"/>
              </w:rPr>
              <w:t xml:space="preserve">mg </w:t>
            </w:r>
            <w:r w:rsidRPr="00F7394A">
              <w:rPr>
                <w:rFonts w:cs="Arial"/>
                <w:b/>
                <w:bCs/>
              </w:rPr>
              <w:t>дневно</w:t>
            </w:r>
          </w:p>
        </w:tc>
        <w:tc>
          <w:tcPr>
            <w:tcW w:w="2028" w:type="dxa"/>
          </w:tcPr>
          <w:p w14:paraId="38032670" w14:textId="7777777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  <w:b/>
                <w:bCs/>
              </w:rPr>
              <w:t xml:space="preserve">Солифенацинов сукцинат 10 </w:t>
            </w:r>
            <w:r w:rsidRPr="00F7394A">
              <w:rPr>
                <w:rFonts w:cs="Arial"/>
                <w:b/>
                <w:bCs/>
                <w:lang w:val="en-US"/>
              </w:rPr>
              <w:t>mg</w:t>
            </w:r>
          </w:p>
          <w:p w14:paraId="6CD7DAD9" w14:textId="6BE66C41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  <w:b/>
                <w:bCs/>
              </w:rPr>
              <w:t>дневно</w:t>
            </w:r>
          </w:p>
        </w:tc>
        <w:tc>
          <w:tcPr>
            <w:tcW w:w="1532" w:type="dxa"/>
          </w:tcPr>
          <w:p w14:paraId="2FF395C4" w14:textId="01D3E417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rFonts w:cs="Arial"/>
                <w:b/>
                <w:bCs/>
              </w:rPr>
              <w:t xml:space="preserve">Толтеродин 2 </w:t>
            </w:r>
            <w:r w:rsidRPr="00F7394A">
              <w:rPr>
                <w:rFonts w:cs="Arial"/>
                <w:b/>
                <w:bCs/>
                <w:lang w:val="en-US"/>
              </w:rPr>
              <w:t xml:space="preserve">mg </w:t>
            </w:r>
            <w:r w:rsidRPr="00F7394A">
              <w:rPr>
                <w:rFonts w:cs="Arial"/>
                <w:b/>
                <w:bCs/>
              </w:rPr>
              <w:t xml:space="preserve">два </w:t>
            </w:r>
            <w:r w:rsidRPr="00F7394A">
              <w:rPr>
                <w:rFonts w:cs="Arial"/>
                <w:b/>
                <w:bCs/>
              </w:rPr>
              <w:lastRenderedPageBreak/>
              <w:t>пъти дневно</w:t>
            </w:r>
          </w:p>
        </w:tc>
      </w:tr>
      <w:tr w:rsidR="00F7394A" w14:paraId="3FCECE71" w14:textId="77777777" w:rsidTr="00494893">
        <w:tc>
          <w:tcPr>
            <w:tcW w:w="9576" w:type="dxa"/>
            <w:gridSpan w:val="5"/>
          </w:tcPr>
          <w:p w14:paraId="736D3673" w14:textId="02F163D7" w:rsidR="00F7394A" w:rsidRPr="00F7394A" w:rsidRDefault="00F7394A" w:rsidP="00F7394A">
            <w:pPr>
              <w:rPr>
                <w:rFonts w:cs="Arial"/>
                <w:b/>
                <w:bCs/>
              </w:rPr>
            </w:pPr>
            <w:r w:rsidRPr="00F7394A">
              <w:rPr>
                <w:b/>
                <w:bCs/>
                <w:lang w:eastAsia="bg-BG"/>
              </w:rPr>
              <w:lastRenderedPageBreak/>
              <w:t xml:space="preserve">Брой </w:t>
            </w:r>
            <w:r w:rsidRPr="00F7394A">
              <w:rPr>
                <w:b/>
                <w:bCs/>
                <w:i/>
                <w:iCs/>
                <w:lang w:eastAsia="bg-BG"/>
              </w:rPr>
              <w:t>на</w:t>
            </w:r>
            <w:r w:rsidRPr="00F7394A">
              <w:rPr>
                <w:b/>
                <w:bCs/>
                <w:lang w:eastAsia="bg-BG"/>
              </w:rPr>
              <w:t xml:space="preserve"> уриниранията за 24 часа</w:t>
            </w:r>
          </w:p>
        </w:tc>
      </w:tr>
      <w:tr w:rsidR="00F7394A" w14:paraId="7973ECE0" w14:textId="77777777" w:rsidTr="00765D99">
        <w:tc>
          <w:tcPr>
            <w:tcW w:w="2823" w:type="dxa"/>
            <w:vAlign w:val="bottom"/>
          </w:tcPr>
          <w:p w14:paraId="1D902F35" w14:textId="77777777" w:rsidR="00F7394A" w:rsidRPr="00F7394A" w:rsidRDefault="00F7394A" w:rsidP="00F7394A">
            <w:r w:rsidRPr="00F7394A">
              <w:t>Средно изходно ниво</w:t>
            </w:r>
          </w:p>
          <w:p w14:paraId="3F6FCD9C" w14:textId="77777777" w:rsidR="00F7394A" w:rsidRPr="00F7394A" w:rsidRDefault="00F7394A" w:rsidP="00F7394A"/>
          <w:p w14:paraId="3F2FACD8" w14:textId="73D6CF1D" w:rsidR="00F7394A" w:rsidRPr="00F7394A" w:rsidRDefault="00F7394A" w:rsidP="00F7394A">
            <w:r w:rsidRPr="00F7394A">
              <w:t>Средно</w:t>
            </w:r>
            <w:r>
              <w:t xml:space="preserve"> </w:t>
            </w:r>
            <w:r w:rsidRPr="00F7394A">
              <w:t>намаление</w:t>
            </w:r>
          </w:p>
          <w:p w14:paraId="18A2FB0F" w14:textId="77777777" w:rsidR="00F7394A" w:rsidRDefault="00F7394A" w:rsidP="00F7394A"/>
          <w:p w14:paraId="51126576" w14:textId="6ABABAF3" w:rsidR="00F7394A" w:rsidRPr="00F7394A" w:rsidRDefault="00F7394A" w:rsidP="00F7394A">
            <w:r w:rsidRPr="00F7394A">
              <w:t>Спрямо</w:t>
            </w:r>
            <w:r>
              <w:t xml:space="preserve"> </w:t>
            </w:r>
            <w:r w:rsidRPr="00F7394A">
              <w:t>изходното</w:t>
            </w:r>
          </w:p>
          <w:p w14:paraId="49CB331D" w14:textId="77777777" w:rsidR="00F7394A" w:rsidRPr="00F7394A" w:rsidRDefault="00F7394A" w:rsidP="00F7394A">
            <w:r w:rsidRPr="00F7394A">
              <w:t>ниво</w:t>
            </w:r>
          </w:p>
          <w:p w14:paraId="07E594D3" w14:textId="77777777" w:rsidR="00F7394A" w:rsidRDefault="00F7394A" w:rsidP="00F7394A"/>
          <w:p w14:paraId="1374B1CF" w14:textId="251DEBA3" w:rsidR="00F7394A" w:rsidRPr="00F7394A" w:rsidRDefault="00F7394A" w:rsidP="00F7394A">
            <w:r w:rsidRPr="00F7394A">
              <w:t>% промяна спрямо</w:t>
            </w:r>
          </w:p>
          <w:p w14:paraId="31919294" w14:textId="77777777" w:rsidR="00F7394A" w:rsidRDefault="00F7394A" w:rsidP="00F7394A">
            <w:r w:rsidRPr="00F7394A">
              <w:t xml:space="preserve">изходното ниво </w:t>
            </w:r>
          </w:p>
          <w:p w14:paraId="7C679431" w14:textId="77777777" w:rsidR="00F7394A" w:rsidRDefault="00F7394A" w:rsidP="00F7394A"/>
          <w:p w14:paraId="7ED6169B" w14:textId="38B11461" w:rsidR="00F7394A" w:rsidRPr="00F7394A" w:rsidRDefault="00F7394A" w:rsidP="00F7394A">
            <w:r w:rsidRPr="00F7394A">
              <w:rPr>
                <w:lang w:val="en-US"/>
              </w:rPr>
              <w:t>n</w:t>
            </w:r>
          </w:p>
          <w:p w14:paraId="082C4349" w14:textId="77777777" w:rsidR="00F7394A" w:rsidRDefault="00F7394A" w:rsidP="00F7394A"/>
          <w:p w14:paraId="7BD297D8" w14:textId="2CAD1C87" w:rsidR="00F7394A" w:rsidRPr="00F7394A" w:rsidRDefault="00F7394A" w:rsidP="00F7394A">
            <w:r w:rsidRPr="00F7394A">
              <w:t>р-стойност*</w:t>
            </w:r>
          </w:p>
        </w:tc>
        <w:tc>
          <w:tcPr>
            <w:tcW w:w="1165" w:type="dxa"/>
          </w:tcPr>
          <w:p w14:paraId="37C04DE1" w14:textId="77777777" w:rsidR="00F7394A" w:rsidRPr="00F7394A" w:rsidRDefault="00F7394A" w:rsidP="00F7394A">
            <w:r w:rsidRPr="00F7394A">
              <w:t>11.9</w:t>
            </w:r>
          </w:p>
          <w:p w14:paraId="67788D33" w14:textId="77777777" w:rsidR="00F7394A" w:rsidRPr="00F7394A" w:rsidRDefault="00F7394A" w:rsidP="00F7394A">
            <w:r w:rsidRPr="00F7394A">
              <w:t>1.4</w:t>
            </w:r>
          </w:p>
          <w:p w14:paraId="59182EA8" w14:textId="16CDBCEA" w:rsidR="00F7394A" w:rsidRPr="00F7394A" w:rsidRDefault="00F7394A" w:rsidP="00F7394A">
            <w:pPr>
              <w:rPr>
                <w:rFonts w:cs="Arial"/>
              </w:rPr>
            </w:pPr>
            <w:r w:rsidRPr="00F7394A">
              <w:t>(12%) 1138</w:t>
            </w:r>
          </w:p>
        </w:tc>
        <w:tc>
          <w:tcPr>
            <w:tcW w:w="2028" w:type="dxa"/>
          </w:tcPr>
          <w:p w14:paraId="6DD5193F" w14:textId="77777777" w:rsidR="00F7394A" w:rsidRPr="00F7394A" w:rsidRDefault="00F7394A" w:rsidP="00F7394A">
            <w:r w:rsidRPr="00F7394A">
              <w:t>12.1</w:t>
            </w:r>
          </w:p>
          <w:p w14:paraId="23368797" w14:textId="77777777" w:rsidR="00F7394A" w:rsidRPr="00F7394A" w:rsidRDefault="00F7394A" w:rsidP="00F7394A">
            <w:r w:rsidRPr="00F7394A">
              <w:t>2.3</w:t>
            </w:r>
          </w:p>
          <w:p w14:paraId="60CFDBF5" w14:textId="77777777" w:rsidR="00F7394A" w:rsidRDefault="00F7394A" w:rsidP="00F7394A">
            <w:r w:rsidRPr="00F7394A">
              <w:t xml:space="preserve">(19%) </w:t>
            </w:r>
          </w:p>
          <w:p w14:paraId="7DFC6F83" w14:textId="328CDB8F" w:rsidR="00F7394A" w:rsidRPr="00F7394A" w:rsidRDefault="00F7394A" w:rsidP="00F7394A">
            <w:r w:rsidRPr="00F7394A">
              <w:t>552</w:t>
            </w:r>
          </w:p>
          <w:p w14:paraId="0FC2C02C" w14:textId="584EF59D" w:rsidR="00F7394A" w:rsidRPr="00F7394A" w:rsidRDefault="00F7394A" w:rsidP="00F7394A">
            <w:pPr>
              <w:rPr>
                <w:rFonts w:cs="Arial"/>
              </w:rPr>
            </w:pPr>
            <w:r w:rsidRPr="00F7394A">
              <w:t>&lt;0.001</w:t>
            </w:r>
          </w:p>
        </w:tc>
        <w:tc>
          <w:tcPr>
            <w:tcW w:w="2028" w:type="dxa"/>
          </w:tcPr>
          <w:p w14:paraId="68318025" w14:textId="77777777" w:rsidR="00F7394A" w:rsidRPr="00F7394A" w:rsidRDefault="00F7394A" w:rsidP="00F7394A">
            <w:r w:rsidRPr="00F7394A">
              <w:t>11.9</w:t>
            </w:r>
          </w:p>
          <w:p w14:paraId="4E0DEBCC" w14:textId="77777777" w:rsidR="00F7394A" w:rsidRPr="00F7394A" w:rsidRDefault="00F7394A" w:rsidP="00F7394A">
            <w:r w:rsidRPr="00F7394A">
              <w:t>2.7</w:t>
            </w:r>
          </w:p>
          <w:p w14:paraId="1CDF0343" w14:textId="77777777" w:rsidR="00F7394A" w:rsidRDefault="00F7394A" w:rsidP="00F7394A">
            <w:r w:rsidRPr="00F7394A">
              <w:t xml:space="preserve">(23%) </w:t>
            </w:r>
          </w:p>
          <w:p w14:paraId="071BE195" w14:textId="765E5B3C" w:rsidR="00F7394A" w:rsidRPr="00F7394A" w:rsidRDefault="00F7394A" w:rsidP="00F7394A">
            <w:r w:rsidRPr="00F7394A">
              <w:t>1158</w:t>
            </w:r>
          </w:p>
          <w:p w14:paraId="3D5302FE" w14:textId="53A9B6E4" w:rsidR="00F7394A" w:rsidRPr="00F7394A" w:rsidRDefault="00F7394A" w:rsidP="00F7394A">
            <w:pPr>
              <w:rPr>
                <w:rFonts w:cs="Arial"/>
              </w:rPr>
            </w:pPr>
            <w:r w:rsidRPr="00F7394A">
              <w:t>&lt;0.001</w:t>
            </w:r>
          </w:p>
        </w:tc>
        <w:tc>
          <w:tcPr>
            <w:tcW w:w="1532" w:type="dxa"/>
          </w:tcPr>
          <w:p w14:paraId="30DA37A6" w14:textId="77777777" w:rsidR="00F7394A" w:rsidRPr="00F7394A" w:rsidRDefault="00F7394A" w:rsidP="00F7394A">
            <w:r w:rsidRPr="00F7394A">
              <w:t>12.1</w:t>
            </w:r>
          </w:p>
          <w:p w14:paraId="3E95A795" w14:textId="77777777" w:rsidR="00F7394A" w:rsidRPr="00F7394A" w:rsidRDefault="00F7394A" w:rsidP="00F7394A">
            <w:r w:rsidRPr="00F7394A">
              <w:t>1.9</w:t>
            </w:r>
          </w:p>
          <w:p w14:paraId="2BEB2104" w14:textId="77777777" w:rsidR="00F7394A" w:rsidRDefault="00F7394A" w:rsidP="00F7394A">
            <w:r w:rsidRPr="00F7394A">
              <w:t xml:space="preserve">(16%) </w:t>
            </w:r>
          </w:p>
          <w:p w14:paraId="0E4AD586" w14:textId="0D8B1682" w:rsidR="00F7394A" w:rsidRPr="00F7394A" w:rsidRDefault="00F7394A" w:rsidP="00F7394A">
            <w:r w:rsidRPr="00F7394A">
              <w:t>250</w:t>
            </w:r>
          </w:p>
          <w:p w14:paraId="34A6AE27" w14:textId="67EE39B6" w:rsidR="00F7394A" w:rsidRPr="00F7394A" w:rsidRDefault="00F7394A" w:rsidP="00F7394A">
            <w:pPr>
              <w:rPr>
                <w:rFonts w:cs="Arial"/>
              </w:rPr>
            </w:pPr>
            <w:r w:rsidRPr="00F7394A">
              <w:t>0.004</w:t>
            </w:r>
          </w:p>
        </w:tc>
      </w:tr>
      <w:tr w:rsidR="00F7394A" w14:paraId="1FE2420E" w14:textId="77777777" w:rsidTr="00AB05DD">
        <w:tc>
          <w:tcPr>
            <w:tcW w:w="9576" w:type="dxa"/>
            <w:gridSpan w:val="5"/>
          </w:tcPr>
          <w:p w14:paraId="72F0EDDE" w14:textId="14CDD906" w:rsidR="00F7394A" w:rsidRPr="00F7394A" w:rsidRDefault="00F7394A" w:rsidP="00F7394A">
            <w:pPr>
              <w:rPr>
                <w:rFonts w:cs="Arial"/>
                <w:b/>
                <w:bCs/>
              </w:rPr>
            </w:pPr>
            <w:r w:rsidRPr="00F7394A">
              <w:rPr>
                <w:b/>
                <w:bCs/>
              </w:rPr>
              <w:t>Брой на неудържими позиви за 24 часа</w:t>
            </w:r>
          </w:p>
        </w:tc>
      </w:tr>
      <w:tr w:rsidR="00F7394A" w14:paraId="3EA5431F" w14:textId="77777777" w:rsidTr="00765D99">
        <w:tc>
          <w:tcPr>
            <w:tcW w:w="2823" w:type="dxa"/>
          </w:tcPr>
          <w:p w14:paraId="14A9C544" w14:textId="77777777" w:rsidR="00F7394A" w:rsidRPr="00F7394A" w:rsidRDefault="00F7394A" w:rsidP="00F7394A">
            <w:r w:rsidRPr="00F7394A">
              <w:t>Средно изходно ниво</w:t>
            </w:r>
          </w:p>
          <w:p w14:paraId="4FAE3F2F" w14:textId="77777777" w:rsidR="00F7394A" w:rsidRDefault="00F7394A" w:rsidP="00F7394A"/>
          <w:p w14:paraId="50016C1D" w14:textId="02CEB97A" w:rsidR="00F7394A" w:rsidRPr="00F7394A" w:rsidRDefault="00F7394A" w:rsidP="00F7394A">
            <w:r w:rsidRPr="00F7394A">
              <w:t>Средно</w:t>
            </w:r>
            <w:r>
              <w:t xml:space="preserve"> </w:t>
            </w:r>
            <w:r w:rsidRPr="00F7394A">
              <w:t>намаление</w:t>
            </w:r>
          </w:p>
          <w:p w14:paraId="64C8072E" w14:textId="77777777" w:rsidR="00F7394A" w:rsidRDefault="00F7394A" w:rsidP="00F7394A"/>
          <w:p w14:paraId="619D6708" w14:textId="551A15ED" w:rsidR="00F7394A" w:rsidRPr="00F7394A" w:rsidRDefault="00F7394A" w:rsidP="00F7394A">
            <w:r w:rsidRPr="00F7394A">
              <w:t>Спрямо</w:t>
            </w:r>
            <w:r>
              <w:t xml:space="preserve"> </w:t>
            </w:r>
            <w:r w:rsidRPr="00F7394A">
              <w:t>изходното</w:t>
            </w:r>
          </w:p>
          <w:p w14:paraId="6E867738" w14:textId="77777777" w:rsidR="00F7394A" w:rsidRPr="00F7394A" w:rsidRDefault="00F7394A" w:rsidP="00F7394A">
            <w:r w:rsidRPr="00F7394A">
              <w:t>ниво</w:t>
            </w:r>
          </w:p>
          <w:p w14:paraId="0ED1F604" w14:textId="77777777" w:rsidR="00F7394A" w:rsidRDefault="00F7394A" w:rsidP="00F7394A"/>
          <w:p w14:paraId="18A2942D" w14:textId="77777777" w:rsidR="00F7394A" w:rsidRDefault="00F7394A" w:rsidP="00F7394A">
            <w:r w:rsidRPr="00F7394A">
              <w:t xml:space="preserve">% промяна спрямо изходното ниво </w:t>
            </w:r>
          </w:p>
          <w:p w14:paraId="5517A802" w14:textId="77777777" w:rsidR="00F7394A" w:rsidRDefault="00F7394A" w:rsidP="00F7394A">
            <w:pPr>
              <w:rPr>
                <w:lang w:val="en-US"/>
              </w:rPr>
            </w:pPr>
          </w:p>
          <w:p w14:paraId="230BA1DD" w14:textId="45A7E562" w:rsidR="00F7394A" w:rsidRDefault="00F7394A" w:rsidP="00F7394A">
            <w:r w:rsidRPr="00F7394A">
              <w:rPr>
                <w:lang w:val="en-US"/>
              </w:rPr>
              <w:t>n</w:t>
            </w:r>
            <w:r w:rsidRPr="00F7394A">
              <w:t xml:space="preserve"> </w:t>
            </w:r>
          </w:p>
          <w:p w14:paraId="04121B24" w14:textId="77777777" w:rsidR="00F7394A" w:rsidRDefault="00F7394A" w:rsidP="00F7394A"/>
          <w:p w14:paraId="460CD5D9" w14:textId="104D646B" w:rsidR="00F7394A" w:rsidRPr="00F7394A" w:rsidRDefault="00F7394A" w:rsidP="00F7394A">
            <w:pPr>
              <w:rPr>
                <w:rFonts w:cs="Arial"/>
              </w:rPr>
            </w:pPr>
            <w:r w:rsidRPr="00F7394A">
              <w:t>р-стойност*</w:t>
            </w:r>
          </w:p>
        </w:tc>
        <w:tc>
          <w:tcPr>
            <w:tcW w:w="1165" w:type="dxa"/>
          </w:tcPr>
          <w:p w14:paraId="7264AFAD" w14:textId="77777777" w:rsidR="00F7394A" w:rsidRPr="00F7394A" w:rsidRDefault="00F7394A" w:rsidP="00F7394A">
            <w:r w:rsidRPr="00F7394A">
              <w:t>6.3</w:t>
            </w:r>
          </w:p>
          <w:p w14:paraId="1BB478C9" w14:textId="77777777" w:rsidR="00F7394A" w:rsidRPr="00F7394A" w:rsidRDefault="00F7394A" w:rsidP="00F7394A">
            <w:r w:rsidRPr="00F7394A">
              <w:t>2.0</w:t>
            </w:r>
          </w:p>
          <w:p w14:paraId="758A7116" w14:textId="77777777" w:rsidR="00F7394A" w:rsidRPr="00F7394A" w:rsidRDefault="00F7394A" w:rsidP="00F7394A">
            <w:r w:rsidRPr="00F7394A">
              <w:t>(32%)</w:t>
            </w:r>
          </w:p>
          <w:p w14:paraId="7574B999" w14:textId="5B21506D" w:rsidR="00F7394A" w:rsidRPr="00F7394A" w:rsidRDefault="00F7394A" w:rsidP="00F7394A">
            <w:pPr>
              <w:rPr>
                <w:rFonts w:cs="Arial"/>
              </w:rPr>
            </w:pPr>
            <w:r w:rsidRPr="00F7394A">
              <w:t>1124</w:t>
            </w:r>
          </w:p>
        </w:tc>
        <w:tc>
          <w:tcPr>
            <w:tcW w:w="2028" w:type="dxa"/>
          </w:tcPr>
          <w:p w14:paraId="2817541E" w14:textId="77777777" w:rsidR="00F7394A" w:rsidRPr="00F7394A" w:rsidRDefault="00F7394A" w:rsidP="00F7394A">
            <w:r w:rsidRPr="00F7394A">
              <w:t>5.9</w:t>
            </w:r>
          </w:p>
          <w:p w14:paraId="2202D9AB" w14:textId="77777777" w:rsidR="00F7394A" w:rsidRPr="00F7394A" w:rsidRDefault="00F7394A" w:rsidP="00F7394A">
            <w:r w:rsidRPr="00F7394A">
              <w:t>2.9</w:t>
            </w:r>
          </w:p>
          <w:p w14:paraId="626535A2" w14:textId="77777777" w:rsidR="00F7394A" w:rsidRPr="00F7394A" w:rsidRDefault="00F7394A" w:rsidP="00F7394A">
            <w:r w:rsidRPr="00F7394A">
              <w:t>(49%)</w:t>
            </w:r>
          </w:p>
          <w:p w14:paraId="5FC770C0" w14:textId="77777777" w:rsidR="00F7394A" w:rsidRPr="00F7394A" w:rsidRDefault="00F7394A" w:rsidP="00F7394A">
            <w:r w:rsidRPr="00F7394A">
              <w:t>548</w:t>
            </w:r>
          </w:p>
          <w:p w14:paraId="1A0125A2" w14:textId="013D5AFB" w:rsidR="00F7394A" w:rsidRPr="00F7394A" w:rsidRDefault="00F7394A" w:rsidP="00F7394A">
            <w:pPr>
              <w:rPr>
                <w:rFonts w:cs="Arial"/>
              </w:rPr>
            </w:pPr>
            <w:r w:rsidRPr="00F7394A">
              <w:t>&lt;0.001</w:t>
            </w:r>
          </w:p>
        </w:tc>
        <w:tc>
          <w:tcPr>
            <w:tcW w:w="2028" w:type="dxa"/>
          </w:tcPr>
          <w:p w14:paraId="29D811DF" w14:textId="77777777" w:rsidR="00F7394A" w:rsidRPr="00F7394A" w:rsidRDefault="00F7394A" w:rsidP="00F7394A">
            <w:r w:rsidRPr="00F7394A">
              <w:t>6.2</w:t>
            </w:r>
          </w:p>
          <w:p w14:paraId="613264D0" w14:textId="77777777" w:rsidR="00F7394A" w:rsidRPr="00F7394A" w:rsidRDefault="00F7394A" w:rsidP="00F7394A">
            <w:r w:rsidRPr="00F7394A">
              <w:t>3.4</w:t>
            </w:r>
          </w:p>
          <w:p w14:paraId="65526BDF" w14:textId="77777777" w:rsidR="00F7394A" w:rsidRPr="00F7394A" w:rsidRDefault="00F7394A" w:rsidP="00F7394A">
            <w:r w:rsidRPr="00F7394A">
              <w:t>(55%)</w:t>
            </w:r>
          </w:p>
          <w:p w14:paraId="2601262D" w14:textId="77777777" w:rsidR="00F7394A" w:rsidRPr="00F7394A" w:rsidRDefault="00F7394A" w:rsidP="00F7394A">
            <w:r w:rsidRPr="00F7394A">
              <w:t>1151</w:t>
            </w:r>
          </w:p>
          <w:p w14:paraId="390D85DA" w14:textId="15224FDC" w:rsidR="00F7394A" w:rsidRPr="00F7394A" w:rsidRDefault="00F7394A" w:rsidP="00F7394A">
            <w:pPr>
              <w:rPr>
                <w:rFonts w:cs="Arial"/>
              </w:rPr>
            </w:pPr>
            <w:r w:rsidRPr="00F7394A">
              <w:t>&lt;0.001</w:t>
            </w:r>
          </w:p>
        </w:tc>
        <w:tc>
          <w:tcPr>
            <w:tcW w:w="1532" w:type="dxa"/>
          </w:tcPr>
          <w:p w14:paraId="605E77A6" w14:textId="77777777" w:rsidR="00F7394A" w:rsidRPr="00F7394A" w:rsidRDefault="00F7394A" w:rsidP="00F7394A">
            <w:r w:rsidRPr="00F7394A">
              <w:t>5.4</w:t>
            </w:r>
          </w:p>
          <w:p w14:paraId="2320F525" w14:textId="77777777" w:rsidR="00F7394A" w:rsidRPr="00F7394A" w:rsidRDefault="00F7394A" w:rsidP="00F7394A">
            <w:r w:rsidRPr="00F7394A">
              <w:t>2.1</w:t>
            </w:r>
          </w:p>
          <w:p w14:paraId="01C09B7F" w14:textId="77777777" w:rsidR="00F7394A" w:rsidRDefault="00F7394A" w:rsidP="00F7394A">
            <w:r w:rsidRPr="00F7394A">
              <w:t xml:space="preserve">(39%) </w:t>
            </w:r>
          </w:p>
          <w:p w14:paraId="42695E1D" w14:textId="0795328A" w:rsidR="00F7394A" w:rsidRPr="00F7394A" w:rsidRDefault="00F7394A" w:rsidP="00F7394A">
            <w:r w:rsidRPr="00F7394A">
              <w:t>250</w:t>
            </w:r>
          </w:p>
          <w:p w14:paraId="56D4D968" w14:textId="5F4C57EC" w:rsidR="00F7394A" w:rsidRPr="00F7394A" w:rsidRDefault="00F7394A" w:rsidP="00F7394A">
            <w:pPr>
              <w:rPr>
                <w:rFonts w:cs="Arial"/>
              </w:rPr>
            </w:pPr>
            <w:r w:rsidRPr="00F7394A">
              <w:t>0.031</w:t>
            </w:r>
          </w:p>
        </w:tc>
      </w:tr>
      <w:tr w:rsidR="00F7394A" w14:paraId="4EB6C88E" w14:textId="77777777" w:rsidTr="001D734E">
        <w:tc>
          <w:tcPr>
            <w:tcW w:w="9576" w:type="dxa"/>
            <w:gridSpan w:val="5"/>
          </w:tcPr>
          <w:p w14:paraId="15D60627" w14:textId="465FAEE8" w:rsidR="00F7394A" w:rsidRPr="00F7394A" w:rsidRDefault="00F7394A" w:rsidP="00F7394A">
            <w:pPr>
              <w:rPr>
                <w:rFonts w:cs="Arial"/>
                <w:b/>
                <w:bCs/>
              </w:rPr>
            </w:pPr>
            <w:r w:rsidRPr="00F7394A">
              <w:rPr>
                <w:b/>
                <w:bCs/>
              </w:rPr>
              <w:t>Брой на епизодите на ннконтинетция за 24 часа</w:t>
            </w:r>
          </w:p>
        </w:tc>
      </w:tr>
      <w:tr w:rsidR="00F7394A" w14:paraId="5CA4E1DB" w14:textId="77777777" w:rsidTr="00765D99">
        <w:tc>
          <w:tcPr>
            <w:tcW w:w="2823" w:type="dxa"/>
          </w:tcPr>
          <w:p w14:paraId="1FB47491" w14:textId="77777777" w:rsidR="00F7394A" w:rsidRPr="00F7394A" w:rsidRDefault="00F7394A" w:rsidP="00F7394A">
            <w:r w:rsidRPr="00F7394A">
              <w:t>Средно изходно ниво</w:t>
            </w:r>
          </w:p>
          <w:p w14:paraId="68E89393" w14:textId="349F9BAA" w:rsidR="00F7394A" w:rsidRPr="00F7394A" w:rsidRDefault="00F7394A" w:rsidP="00F7394A">
            <w:r w:rsidRPr="00F7394A">
              <w:t>Средно</w:t>
            </w:r>
            <w:r>
              <w:t xml:space="preserve"> </w:t>
            </w:r>
            <w:r w:rsidRPr="00F7394A">
              <w:t>намаление</w:t>
            </w:r>
          </w:p>
          <w:p w14:paraId="5BDF5CC5" w14:textId="77777777" w:rsidR="00F7394A" w:rsidRDefault="00F7394A" w:rsidP="00F7394A"/>
          <w:p w14:paraId="3D725162" w14:textId="52C14776" w:rsidR="00F7394A" w:rsidRPr="00F7394A" w:rsidRDefault="00F7394A" w:rsidP="00F7394A">
            <w:r w:rsidRPr="00F7394A">
              <w:t>Спрямо</w:t>
            </w:r>
            <w:r>
              <w:t xml:space="preserve"> </w:t>
            </w:r>
            <w:r w:rsidRPr="00F7394A">
              <w:t>изходното</w:t>
            </w:r>
          </w:p>
          <w:p w14:paraId="65A8F46A" w14:textId="77777777" w:rsidR="00F7394A" w:rsidRPr="00F7394A" w:rsidRDefault="00F7394A" w:rsidP="00F7394A">
            <w:r w:rsidRPr="00F7394A">
              <w:t>ниво</w:t>
            </w:r>
          </w:p>
          <w:p w14:paraId="1DB58238" w14:textId="77777777" w:rsidR="00F7394A" w:rsidRPr="00F7394A" w:rsidRDefault="00F7394A" w:rsidP="00F7394A"/>
          <w:p w14:paraId="57514D8C" w14:textId="77777777" w:rsidR="00F7394A" w:rsidRPr="00F7394A" w:rsidRDefault="00F7394A" w:rsidP="00F7394A">
            <w:r w:rsidRPr="00F7394A">
              <w:t>% промяна спрямо</w:t>
            </w:r>
          </w:p>
          <w:p w14:paraId="754CF3C1" w14:textId="77777777" w:rsidR="00F7394A" w:rsidRDefault="00F7394A" w:rsidP="00F7394A">
            <w:r w:rsidRPr="00F7394A">
              <w:t xml:space="preserve">изходното ниво </w:t>
            </w:r>
          </w:p>
          <w:p w14:paraId="677B4430" w14:textId="77777777" w:rsidR="00F7394A" w:rsidRDefault="00F7394A" w:rsidP="00F7394A"/>
          <w:p w14:paraId="6518DE55" w14:textId="24302EAC" w:rsidR="00F7394A" w:rsidRPr="00F7394A" w:rsidRDefault="00F7394A" w:rsidP="00F7394A">
            <w:r w:rsidRPr="00F7394A">
              <w:rPr>
                <w:lang w:val="en-US"/>
              </w:rPr>
              <w:t>n</w:t>
            </w:r>
          </w:p>
          <w:p w14:paraId="6CC38180" w14:textId="77777777" w:rsidR="00F7394A" w:rsidRDefault="00F7394A" w:rsidP="00F7394A"/>
          <w:p w14:paraId="5538C6E0" w14:textId="7EF3DF1E" w:rsidR="00F7394A" w:rsidRPr="00F7394A" w:rsidRDefault="00F7394A" w:rsidP="00F7394A">
            <w:pPr>
              <w:rPr>
                <w:rFonts w:cs="Arial"/>
              </w:rPr>
            </w:pPr>
            <w:r w:rsidRPr="00F7394A">
              <w:t>р-стойност*</w:t>
            </w:r>
          </w:p>
        </w:tc>
        <w:tc>
          <w:tcPr>
            <w:tcW w:w="1165" w:type="dxa"/>
          </w:tcPr>
          <w:p w14:paraId="1EC80925" w14:textId="77777777" w:rsidR="00F7394A" w:rsidRPr="00F7394A" w:rsidRDefault="00F7394A" w:rsidP="00F7394A">
            <w:r w:rsidRPr="00F7394A">
              <w:t>2.9</w:t>
            </w:r>
          </w:p>
          <w:p w14:paraId="7B13A51B" w14:textId="77777777" w:rsidR="00F7394A" w:rsidRPr="00F7394A" w:rsidRDefault="00F7394A" w:rsidP="00F7394A">
            <w:r w:rsidRPr="00F7394A">
              <w:t>1,1</w:t>
            </w:r>
          </w:p>
          <w:p w14:paraId="3BB206C1" w14:textId="77777777" w:rsidR="00F7394A" w:rsidRPr="00F7394A" w:rsidRDefault="00F7394A" w:rsidP="00F7394A">
            <w:r w:rsidRPr="00F7394A">
              <w:t>(38%)</w:t>
            </w:r>
          </w:p>
          <w:p w14:paraId="7E3270AA" w14:textId="37B9DD06" w:rsidR="00F7394A" w:rsidRPr="00F7394A" w:rsidRDefault="00F7394A" w:rsidP="00F7394A">
            <w:pPr>
              <w:rPr>
                <w:rFonts w:cs="Arial"/>
              </w:rPr>
            </w:pPr>
            <w:r w:rsidRPr="00F7394A">
              <w:t>781</w:t>
            </w:r>
          </w:p>
        </w:tc>
        <w:tc>
          <w:tcPr>
            <w:tcW w:w="2028" w:type="dxa"/>
          </w:tcPr>
          <w:p w14:paraId="706110E2" w14:textId="77777777" w:rsidR="00F7394A" w:rsidRPr="00F7394A" w:rsidRDefault="00F7394A" w:rsidP="00F7394A">
            <w:r w:rsidRPr="00F7394A">
              <w:t>2.6</w:t>
            </w:r>
          </w:p>
          <w:p w14:paraId="56D1A8E8" w14:textId="77777777" w:rsidR="00F7394A" w:rsidRPr="00F7394A" w:rsidRDefault="00F7394A" w:rsidP="00F7394A">
            <w:r w:rsidRPr="00F7394A">
              <w:t>1.5</w:t>
            </w:r>
          </w:p>
          <w:p w14:paraId="4449C165" w14:textId="77777777" w:rsidR="00F7394A" w:rsidRPr="00F7394A" w:rsidRDefault="00F7394A" w:rsidP="00F7394A">
            <w:r w:rsidRPr="00F7394A">
              <w:t>(58%)</w:t>
            </w:r>
          </w:p>
          <w:p w14:paraId="5C8D15DC" w14:textId="77777777" w:rsidR="00F7394A" w:rsidRPr="00F7394A" w:rsidRDefault="00F7394A" w:rsidP="00F7394A">
            <w:r w:rsidRPr="00F7394A">
              <w:t>314</w:t>
            </w:r>
          </w:p>
          <w:p w14:paraId="70191C2C" w14:textId="2B8C6E6B" w:rsidR="00F7394A" w:rsidRPr="00F7394A" w:rsidRDefault="00F7394A" w:rsidP="00F7394A">
            <w:pPr>
              <w:rPr>
                <w:rFonts w:cs="Arial"/>
              </w:rPr>
            </w:pPr>
            <w:r w:rsidRPr="00F7394A">
              <w:t>&lt;0.001</w:t>
            </w:r>
          </w:p>
        </w:tc>
        <w:tc>
          <w:tcPr>
            <w:tcW w:w="2028" w:type="dxa"/>
          </w:tcPr>
          <w:p w14:paraId="4574BC03" w14:textId="77777777" w:rsidR="00F7394A" w:rsidRPr="00F7394A" w:rsidRDefault="00F7394A" w:rsidP="00F7394A">
            <w:r w:rsidRPr="00F7394A">
              <w:t>2.9</w:t>
            </w:r>
          </w:p>
          <w:p w14:paraId="2A5DA153" w14:textId="77777777" w:rsidR="00F7394A" w:rsidRPr="00F7394A" w:rsidRDefault="00F7394A" w:rsidP="00F7394A">
            <w:r w:rsidRPr="00F7394A">
              <w:t>1.8</w:t>
            </w:r>
          </w:p>
          <w:p w14:paraId="3398761C" w14:textId="77777777" w:rsidR="00F7394A" w:rsidRDefault="00F7394A" w:rsidP="00F7394A">
            <w:r w:rsidRPr="00F7394A">
              <w:t xml:space="preserve">(62%) </w:t>
            </w:r>
          </w:p>
          <w:p w14:paraId="6502A5A5" w14:textId="234BF23B" w:rsidR="00F7394A" w:rsidRPr="00F7394A" w:rsidRDefault="00F7394A" w:rsidP="00F7394A">
            <w:r w:rsidRPr="00F7394A">
              <w:t>778</w:t>
            </w:r>
          </w:p>
          <w:p w14:paraId="0E5AABEA" w14:textId="3199A97F" w:rsidR="00F7394A" w:rsidRPr="00F7394A" w:rsidRDefault="00F7394A" w:rsidP="00F7394A">
            <w:pPr>
              <w:rPr>
                <w:rFonts w:cs="Arial"/>
              </w:rPr>
            </w:pPr>
            <w:r w:rsidRPr="00F7394A">
              <w:t>&lt;0.001</w:t>
            </w:r>
          </w:p>
        </w:tc>
        <w:tc>
          <w:tcPr>
            <w:tcW w:w="1532" w:type="dxa"/>
          </w:tcPr>
          <w:p w14:paraId="6F083EF5" w14:textId="77777777" w:rsidR="00F7394A" w:rsidRPr="00F7394A" w:rsidRDefault="00F7394A" w:rsidP="00F7394A">
            <w:r w:rsidRPr="00F7394A">
              <w:t>2.3</w:t>
            </w:r>
          </w:p>
          <w:p w14:paraId="2A642455" w14:textId="77777777" w:rsidR="00F7394A" w:rsidRPr="00F7394A" w:rsidRDefault="00F7394A" w:rsidP="00F7394A">
            <w:r w:rsidRPr="00F7394A">
              <w:t>1.1</w:t>
            </w:r>
          </w:p>
          <w:p w14:paraId="1215FB12" w14:textId="77777777" w:rsidR="00F7394A" w:rsidRDefault="00F7394A" w:rsidP="00F7394A">
            <w:r w:rsidRPr="00F7394A">
              <w:t xml:space="preserve">(48%) </w:t>
            </w:r>
          </w:p>
          <w:p w14:paraId="5ED296EF" w14:textId="7AF7DE3E" w:rsidR="00F7394A" w:rsidRPr="00F7394A" w:rsidRDefault="00F7394A" w:rsidP="00F7394A">
            <w:r w:rsidRPr="00F7394A">
              <w:t>157</w:t>
            </w:r>
          </w:p>
          <w:p w14:paraId="4781E116" w14:textId="4FF548A8" w:rsidR="00F7394A" w:rsidRPr="00F7394A" w:rsidRDefault="00F7394A" w:rsidP="00F7394A">
            <w:pPr>
              <w:rPr>
                <w:rFonts w:cs="Arial"/>
              </w:rPr>
            </w:pPr>
            <w:r w:rsidRPr="00F7394A">
              <w:t>0.009</w:t>
            </w:r>
          </w:p>
        </w:tc>
      </w:tr>
      <w:tr w:rsidR="00F7394A" w14:paraId="04D57D0B" w14:textId="77777777" w:rsidTr="005E7C2C">
        <w:tc>
          <w:tcPr>
            <w:tcW w:w="9576" w:type="dxa"/>
            <w:gridSpan w:val="5"/>
          </w:tcPr>
          <w:p w14:paraId="4D2AFA69" w14:textId="02B16A28" w:rsidR="00F7394A" w:rsidRPr="00F7394A" w:rsidRDefault="00F7394A" w:rsidP="00F7394A">
            <w:pPr>
              <w:rPr>
                <w:rFonts w:cs="Arial"/>
                <w:b/>
                <w:bCs/>
              </w:rPr>
            </w:pPr>
            <w:r w:rsidRPr="00F7394A">
              <w:rPr>
                <w:b/>
                <w:bCs/>
              </w:rPr>
              <w:t>Брой на епизодите на никтурия за 24 часа</w:t>
            </w:r>
          </w:p>
        </w:tc>
      </w:tr>
      <w:tr w:rsidR="00F7394A" w14:paraId="3DF7D7F1" w14:textId="77777777" w:rsidTr="00765D99">
        <w:tc>
          <w:tcPr>
            <w:tcW w:w="2823" w:type="dxa"/>
            <w:vAlign w:val="bottom"/>
          </w:tcPr>
          <w:p w14:paraId="5039C75D" w14:textId="77777777" w:rsidR="00F7394A" w:rsidRPr="00F7394A" w:rsidRDefault="00F7394A" w:rsidP="00F7394A">
            <w:r w:rsidRPr="00F7394A">
              <w:t>Средно изходно ниво</w:t>
            </w:r>
          </w:p>
          <w:p w14:paraId="76014BE3" w14:textId="77777777" w:rsidR="00F7394A" w:rsidRDefault="00F7394A" w:rsidP="00F7394A"/>
          <w:p w14:paraId="53A20EB5" w14:textId="544BAB8E" w:rsidR="00F7394A" w:rsidRPr="00F7394A" w:rsidRDefault="00F7394A" w:rsidP="00F7394A">
            <w:r w:rsidRPr="00F7394A">
              <w:t>Средно</w:t>
            </w:r>
            <w:r>
              <w:t xml:space="preserve"> </w:t>
            </w:r>
            <w:r w:rsidRPr="00F7394A">
              <w:t>намаление</w:t>
            </w:r>
          </w:p>
          <w:p w14:paraId="39823C2F" w14:textId="77777777" w:rsidR="00F7394A" w:rsidRDefault="00F7394A" w:rsidP="00F7394A"/>
          <w:p w14:paraId="0B1B057B" w14:textId="1A39E13A" w:rsidR="00F7394A" w:rsidRPr="00F7394A" w:rsidRDefault="00F7394A" w:rsidP="00F7394A">
            <w:r w:rsidRPr="00F7394A">
              <w:t>Спрямо</w:t>
            </w:r>
            <w:r>
              <w:t xml:space="preserve"> </w:t>
            </w:r>
            <w:r w:rsidRPr="00F7394A">
              <w:t>изходното</w:t>
            </w:r>
          </w:p>
          <w:p w14:paraId="26ADFD5A" w14:textId="77777777" w:rsidR="00F7394A" w:rsidRPr="00F7394A" w:rsidRDefault="00F7394A" w:rsidP="00F7394A">
            <w:r w:rsidRPr="00F7394A">
              <w:t>ниво</w:t>
            </w:r>
          </w:p>
          <w:p w14:paraId="03C8E4CE" w14:textId="77777777" w:rsidR="00F7394A" w:rsidRDefault="00F7394A" w:rsidP="00F7394A"/>
          <w:p w14:paraId="58CCE408" w14:textId="77777777" w:rsidR="00F7394A" w:rsidRDefault="00F7394A" w:rsidP="00F7394A">
            <w:r w:rsidRPr="00F7394A">
              <w:t xml:space="preserve">% промяна спрямо изходното ниво </w:t>
            </w:r>
          </w:p>
          <w:p w14:paraId="20F391E5" w14:textId="77777777" w:rsidR="00F7394A" w:rsidRDefault="00F7394A" w:rsidP="00F7394A"/>
          <w:p w14:paraId="7BDD2BFA" w14:textId="4754F2CE" w:rsidR="00F7394A" w:rsidRPr="00F7394A" w:rsidRDefault="00F7394A" w:rsidP="00F7394A">
            <w:r w:rsidRPr="00F7394A">
              <w:rPr>
                <w:lang w:val="en-US"/>
              </w:rPr>
              <w:t>n</w:t>
            </w:r>
          </w:p>
          <w:p w14:paraId="6EECFE31" w14:textId="77777777" w:rsidR="00F7394A" w:rsidRPr="00F7394A" w:rsidRDefault="00F7394A" w:rsidP="00F7394A"/>
          <w:p w14:paraId="0D2AC758" w14:textId="3B30B57D" w:rsidR="00F7394A" w:rsidRPr="00F7394A" w:rsidRDefault="00F7394A" w:rsidP="00F7394A">
            <w:r w:rsidRPr="00F7394A">
              <w:t>р-стойност*</w:t>
            </w:r>
          </w:p>
        </w:tc>
        <w:tc>
          <w:tcPr>
            <w:tcW w:w="1165" w:type="dxa"/>
          </w:tcPr>
          <w:p w14:paraId="08429C4E" w14:textId="77777777" w:rsidR="00F7394A" w:rsidRPr="00F7394A" w:rsidRDefault="00F7394A" w:rsidP="00F7394A">
            <w:r w:rsidRPr="00F7394A">
              <w:lastRenderedPageBreak/>
              <w:t>1.8</w:t>
            </w:r>
          </w:p>
          <w:p w14:paraId="7E7302FF" w14:textId="77777777" w:rsidR="00F7394A" w:rsidRPr="00F7394A" w:rsidRDefault="00F7394A" w:rsidP="00F7394A">
            <w:r w:rsidRPr="00F7394A">
              <w:t>0.4</w:t>
            </w:r>
          </w:p>
          <w:p w14:paraId="1D46E65A" w14:textId="77777777" w:rsidR="00F7394A" w:rsidRPr="00F7394A" w:rsidRDefault="00F7394A" w:rsidP="00F7394A">
            <w:r w:rsidRPr="00F7394A">
              <w:t>(22%)</w:t>
            </w:r>
          </w:p>
          <w:p w14:paraId="3D2E4539" w14:textId="43FFCBF5" w:rsidR="00F7394A" w:rsidRPr="00F7394A" w:rsidRDefault="00F7394A" w:rsidP="00F7394A">
            <w:pPr>
              <w:rPr>
                <w:rFonts w:cs="Arial"/>
              </w:rPr>
            </w:pPr>
            <w:r w:rsidRPr="00F7394A">
              <w:lastRenderedPageBreak/>
              <w:t>1005</w:t>
            </w:r>
          </w:p>
        </w:tc>
        <w:tc>
          <w:tcPr>
            <w:tcW w:w="2028" w:type="dxa"/>
          </w:tcPr>
          <w:p w14:paraId="474057DC" w14:textId="77777777" w:rsidR="00F7394A" w:rsidRPr="00F7394A" w:rsidRDefault="00F7394A" w:rsidP="00F7394A">
            <w:r w:rsidRPr="00F7394A">
              <w:lastRenderedPageBreak/>
              <w:t>2.0</w:t>
            </w:r>
          </w:p>
          <w:p w14:paraId="0A77754E" w14:textId="77777777" w:rsidR="00F7394A" w:rsidRPr="00F7394A" w:rsidRDefault="00F7394A" w:rsidP="00F7394A">
            <w:r w:rsidRPr="00F7394A">
              <w:t>0.6</w:t>
            </w:r>
          </w:p>
          <w:p w14:paraId="23DBF7C5" w14:textId="77777777" w:rsidR="00F7394A" w:rsidRPr="00F7394A" w:rsidRDefault="00F7394A" w:rsidP="00F7394A">
            <w:r w:rsidRPr="00F7394A">
              <w:t>(30%)</w:t>
            </w:r>
          </w:p>
          <w:p w14:paraId="48BD1084" w14:textId="77777777" w:rsidR="00F7394A" w:rsidRPr="00F7394A" w:rsidRDefault="00F7394A" w:rsidP="00F7394A">
            <w:r w:rsidRPr="00F7394A">
              <w:lastRenderedPageBreak/>
              <w:t>494</w:t>
            </w:r>
          </w:p>
          <w:p w14:paraId="332275C6" w14:textId="182F6A87" w:rsidR="00F7394A" w:rsidRPr="00F7394A" w:rsidRDefault="00F7394A" w:rsidP="00F7394A">
            <w:pPr>
              <w:rPr>
                <w:rFonts w:cs="Arial"/>
              </w:rPr>
            </w:pPr>
            <w:r w:rsidRPr="00F7394A">
              <w:t>0.025</w:t>
            </w:r>
          </w:p>
        </w:tc>
        <w:tc>
          <w:tcPr>
            <w:tcW w:w="2028" w:type="dxa"/>
          </w:tcPr>
          <w:p w14:paraId="6E1676F6" w14:textId="77777777" w:rsidR="00F7394A" w:rsidRPr="00F7394A" w:rsidRDefault="00F7394A" w:rsidP="00F7394A">
            <w:r w:rsidRPr="00F7394A">
              <w:lastRenderedPageBreak/>
              <w:t>1.8</w:t>
            </w:r>
          </w:p>
          <w:p w14:paraId="6EDEA4DD" w14:textId="77777777" w:rsidR="00F7394A" w:rsidRPr="00F7394A" w:rsidRDefault="00F7394A" w:rsidP="00F7394A">
            <w:r w:rsidRPr="00F7394A">
              <w:t>0.6</w:t>
            </w:r>
          </w:p>
          <w:p w14:paraId="6E67A8E5" w14:textId="77777777" w:rsidR="00F7394A" w:rsidRPr="00F7394A" w:rsidRDefault="00F7394A" w:rsidP="00F7394A">
            <w:r w:rsidRPr="00F7394A">
              <w:t>(33%)</w:t>
            </w:r>
          </w:p>
          <w:p w14:paraId="19C747B7" w14:textId="77777777" w:rsidR="00F7394A" w:rsidRPr="00F7394A" w:rsidRDefault="00F7394A" w:rsidP="00F7394A">
            <w:r w:rsidRPr="00F7394A">
              <w:lastRenderedPageBreak/>
              <w:t>1035</w:t>
            </w:r>
          </w:p>
          <w:p w14:paraId="4C0CED25" w14:textId="0D16E7F6" w:rsidR="00F7394A" w:rsidRPr="00F7394A" w:rsidRDefault="00F7394A" w:rsidP="00F7394A">
            <w:pPr>
              <w:rPr>
                <w:rFonts w:cs="Arial"/>
              </w:rPr>
            </w:pPr>
            <w:r w:rsidRPr="00F7394A">
              <w:t>&lt;0.001</w:t>
            </w:r>
          </w:p>
        </w:tc>
        <w:tc>
          <w:tcPr>
            <w:tcW w:w="1532" w:type="dxa"/>
            <w:vAlign w:val="bottom"/>
          </w:tcPr>
          <w:p w14:paraId="42CD8FD9" w14:textId="77777777" w:rsidR="00F7394A" w:rsidRPr="00F7394A" w:rsidRDefault="00F7394A" w:rsidP="00F7394A">
            <w:r w:rsidRPr="00F7394A">
              <w:lastRenderedPageBreak/>
              <w:t>1.9</w:t>
            </w:r>
          </w:p>
          <w:p w14:paraId="63145C9C" w14:textId="77777777" w:rsidR="00F7394A" w:rsidRPr="00F7394A" w:rsidRDefault="00F7394A" w:rsidP="00F7394A">
            <w:r w:rsidRPr="00F7394A">
              <w:t>0.5</w:t>
            </w:r>
          </w:p>
          <w:p w14:paraId="1F31B247" w14:textId="77777777" w:rsidR="00F7394A" w:rsidRPr="00F7394A" w:rsidRDefault="00F7394A" w:rsidP="00F7394A">
            <w:r w:rsidRPr="00F7394A">
              <w:rPr>
                <w:lang w:val="en-US"/>
              </w:rPr>
              <w:t>(26%)</w:t>
            </w:r>
          </w:p>
          <w:p w14:paraId="50910CF5" w14:textId="77777777" w:rsidR="00F7394A" w:rsidRPr="00F7394A" w:rsidRDefault="00F7394A" w:rsidP="00F7394A">
            <w:r w:rsidRPr="00F7394A">
              <w:rPr>
                <w:lang w:val="en-US"/>
              </w:rPr>
              <w:lastRenderedPageBreak/>
              <w:t>232</w:t>
            </w:r>
          </w:p>
          <w:p w14:paraId="26F27178" w14:textId="67AAF190" w:rsidR="00F7394A" w:rsidRPr="00F7394A" w:rsidRDefault="00F7394A" w:rsidP="00F7394A">
            <w:pPr>
              <w:rPr>
                <w:rFonts w:cs="Arial"/>
              </w:rPr>
            </w:pPr>
            <w:r w:rsidRPr="00F7394A">
              <w:rPr>
                <w:lang w:val="en-US"/>
              </w:rPr>
              <w:t>0,199</w:t>
            </w:r>
          </w:p>
        </w:tc>
      </w:tr>
      <w:tr w:rsidR="00765D99" w14:paraId="69543F76" w14:textId="77777777" w:rsidTr="005A466E">
        <w:tc>
          <w:tcPr>
            <w:tcW w:w="9576" w:type="dxa"/>
            <w:gridSpan w:val="5"/>
          </w:tcPr>
          <w:p w14:paraId="44A782DD" w14:textId="367C021F" w:rsidR="00765D99" w:rsidRPr="00765D99" w:rsidRDefault="00765D99" w:rsidP="00765D99">
            <w:pPr>
              <w:rPr>
                <w:rFonts w:cs="Arial"/>
                <w:b/>
                <w:bCs/>
              </w:rPr>
            </w:pPr>
            <w:r w:rsidRPr="00765D99">
              <w:rPr>
                <w:b/>
                <w:bCs/>
              </w:rPr>
              <w:t>Обем на отделената урина</w:t>
            </w:r>
          </w:p>
        </w:tc>
      </w:tr>
      <w:tr w:rsidR="00765D99" w14:paraId="7CD388DC" w14:textId="77777777" w:rsidTr="00765D99">
        <w:tc>
          <w:tcPr>
            <w:tcW w:w="2823" w:type="dxa"/>
          </w:tcPr>
          <w:p w14:paraId="6B73F754" w14:textId="77777777" w:rsidR="00765D99" w:rsidRPr="00765D99" w:rsidRDefault="00765D99" w:rsidP="00765D99">
            <w:r w:rsidRPr="00765D99">
              <w:t>Средно изходно ниво</w:t>
            </w:r>
          </w:p>
          <w:p w14:paraId="1C220B2A" w14:textId="77777777" w:rsidR="00765D99" w:rsidRDefault="00765D99" w:rsidP="00765D99"/>
          <w:p w14:paraId="5AE43C5D" w14:textId="2E5208A2" w:rsidR="00765D99" w:rsidRPr="00765D99" w:rsidRDefault="00765D99" w:rsidP="00765D99">
            <w:r w:rsidRPr="00765D99">
              <w:t>Средно</w:t>
            </w:r>
            <w:r>
              <w:t xml:space="preserve"> </w:t>
            </w:r>
            <w:r w:rsidRPr="00765D99">
              <w:t>намаление</w:t>
            </w:r>
          </w:p>
          <w:p w14:paraId="1D49ABD7" w14:textId="77777777" w:rsidR="00765D99" w:rsidRDefault="00765D99" w:rsidP="00765D99"/>
          <w:p w14:paraId="00EC9687" w14:textId="4A363986" w:rsidR="00765D99" w:rsidRPr="00765D99" w:rsidRDefault="00765D99" w:rsidP="00765D99">
            <w:r w:rsidRPr="00765D99">
              <w:t>Спрямо</w:t>
            </w:r>
            <w:r>
              <w:t xml:space="preserve"> </w:t>
            </w:r>
            <w:r w:rsidRPr="00765D99">
              <w:t>изходното</w:t>
            </w:r>
          </w:p>
          <w:p w14:paraId="0F576B40" w14:textId="77777777" w:rsidR="00765D99" w:rsidRPr="00765D99" w:rsidRDefault="00765D99" w:rsidP="00765D99">
            <w:r w:rsidRPr="00765D99">
              <w:t>ниво</w:t>
            </w:r>
          </w:p>
          <w:p w14:paraId="388070CA" w14:textId="77777777" w:rsidR="00765D99" w:rsidRDefault="00765D99" w:rsidP="00765D99"/>
          <w:p w14:paraId="27BA1E31" w14:textId="3D81D2CA" w:rsidR="00765D99" w:rsidRPr="00765D99" w:rsidRDefault="00765D99" w:rsidP="00765D99">
            <w:r w:rsidRPr="00765D99">
              <w:t>% промяна спрямо</w:t>
            </w:r>
          </w:p>
          <w:p w14:paraId="20A50696" w14:textId="77777777" w:rsidR="00765D99" w:rsidRDefault="00765D99" w:rsidP="00765D99">
            <w:r w:rsidRPr="00765D99">
              <w:t xml:space="preserve">изходното ниво </w:t>
            </w:r>
          </w:p>
          <w:p w14:paraId="680CB2DA" w14:textId="77777777" w:rsidR="00765D99" w:rsidRDefault="00765D99" w:rsidP="00765D99">
            <w:pPr>
              <w:rPr>
                <w:lang w:val="en-US"/>
              </w:rPr>
            </w:pPr>
          </w:p>
          <w:p w14:paraId="24951D81" w14:textId="77A09F50" w:rsidR="00765D99" w:rsidRDefault="00765D99" w:rsidP="00765D99">
            <w:r w:rsidRPr="00765D99">
              <w:rPr>
                <w:lang w:val="en-US"/>
              </w:rPr>
              <w:t>n</w:t>
            </w:r>
            <w:r w:rsidRPr="00765D99">
              <w:t xml:space="preserve"> </w:t>
            </w:r>
          </w:p>
          <w:p w14:paraId="2BA86E6A" w14:textId="77777777" w:rsidR="00765D99" w:rsidRDefault="00765D99" w:rsidP="00765D99"/>
          <w:p w14:paraId="60137046" w14:textId="0799A054" w:rsidR="00765D99" w:rsidRPr="00765D99" w:rsidRDefault="00765D99" w:rsidP="00765D99">
            <w:pPr>
              <w:rPr>
                <w:rFonts w:cs="Arial"/>
              </w:rPr>
            </w:pPr>
            <w:r w:rsidRPr="00765D99">
              <w:t>р-стойност*</w:t>
            </w:r>
          </w:p>
        </w:tc>
        <w:tc>
          <w:tcPr>
            <w:tcW w:w="1165" w:type="dxa"/>
          </w:tcPr>
          <w:p w14:paraId="66F12AE6" w14:textId="77777777" w:rsidR="00765D99" w:rsidRPr="00765D99" w:rsidRDefault="00765D99" w:rsidP="00765D99">
            <w:r w:rsidRPr="00765D99">
              <w:t xml:space="preserve">166 </w:t>
            </w:r>
            <w:r w:rsidRPr="00765D99">
              <w:rPr>
                <w:lang w:val="en-US"/>
              </w:rPr>
              <w:t>ml</w:t>
            </w:r>
          </w:p>
          <w:p w14:paraId="4D079B39" w14:textId="77777777" w:rsidR="00765D99" w:rsidRPr="00765D99" w:rsidRDefault="00765D99" w:rsidP="00765D99">
            <w:r w:rsidRPr="00765D99">
              <w:t xml:space="preserve">9 </w:t>
            </w:r>
            <w:r w:rsidRPr="00765D99">
              <w:rPr>
                <w:lang w:val="en-US"/>
              </w:rPr>
              <w:t>ml</w:t>
            </w:r>
          </w:p>
          <w:p w14:paraId="37DABDD0" w14:textId="77777777" w:rsidR="00765D99" w:rsidRPr="00765D99" w:rsidRDefault="00765D99" w:rsidP="00765D99">
            <w:r w:rsidRPr="00765D99">
              <w:t>(5%)</w:t>
            </w:r>
          </w:p>
          <w:p w14:paraId="64C72889" w14:textId="5DB0A1D0" w:rsidR="00765D99" w:rsidRPr="00765D99" w:rsidRDefault="00765D99" w:rsidP="00765D99">
            <w:pPr>
              <w:rPr>
                <w:rFonts w:cs="Arial"/>
              </w:rPr>
            </w:pPr>
            <w:r w:rsidRPr="00765D99">
              <w:t>1135</w:t>
            </w:r>
          </w:p>
        </w:tc>
        <w:tc>
          <w:tcPr>
            <w:tcW w:w="2028" w:type="dxa"/>
          </w:tcPr>
          <w:p w14:paraId="5C3C8CD1" w14:textId="77777777" w:rsidR="00765D99" w:rsidRPr="00765D99" w:rsidRDefault="00765D99" w:rsidP="00765D99">
            <w:r w:rsidRPr="00765D99">
              <w:rPr>
                <w:lang w:val="en-US"/>
              </w:rPr>
              <w:t>146 ml</w:t>
            </w:r>
          </w:p>
          <w:p w14:paraId="19F3091E" w14:textId="77777777" w:rsidR="00765D99" w:rsidRPr="00765D99" w:rsidRDefault="00765D99" w:rsidP="00765D99">
            <w:r w:rsidRPr="00765D99">
              <w:t xml:space="preserve">32 </w:t>
            </w:r>
            <w:r w:rsidRPr="00765D99">
              <w:rPr>
                <w:lang w:val="en-US"/>
              </w:rPr>
              <w:t>ml</w:t>
            </w:r>
          </w:p>
          <w:p w14:paraId="1BB1798D" w14:textId="77777777" w:rsidR="00765D99" w:rsidRPr="00765D99" w:rsidRDefault="00765D99" w:rsidP="00765D99">
            <w:r w:rsidRPr="00765D99">
              <w:t>(21%) 552</w:t>
            </w:r>
          </w:p>
          <w:p w14:paraId="476AFA51" w14:textId="0290CBCD" w:rsidR="00765D99" w:rsidRPr="00765D99" w:rsidRDefault="00765D99" w:rsidP="00765D99">
            <w:pPr>
              <w:rPr>
                <w:rFonts w:cs="Arial"/>
              </w:rPr>
            </w:pPr>
            <w:r w:rsidRPr="00765D99">
              <w:t>&lt;0.001</w:t>
            </w:r>
          </w:p>
        </w:tc>
        <w:tc>
          <w:tcPr>
            <w:tcW w:w="2028" w:type="dxa"/>
          </w:tcPr>
          <w:p w14:paraId="07E72615" w14:textId="77777777" w:rsidR="00765D99" w:rsidRPr="00765D99" w:rsidRDefault="00765D99" w:rsidP="00765D99">
            <w:r w:rsidRPr="00765D99">
              <w:t xml:space="preserve">163 </w:t>
            </w:r>
            <w:r w:rsidRPr="00765D99">
              <w:rPr>
                <w:lang w:val="en-US"/>
              </w:rPr>
              <w:t>ml</w:t>
            </w:r>
          </w:p>
          <w:p w14:paraId="49ACA65C" w14:textId="77777777" w:rsidR="00765D99" w:rsidRPr="00765D99" w:rsidRDefault="00765D99" w:rsidP="00765D99">
            <w:r w:rsidRPr="00765D99">
              <w:t xml:space="preserve">43 </w:t>
            </w:r>
            <w:r w:rsidRPr="00765D99">
              <w:rPr>
                <w:lang w:val="en-US"/>
              </w:rPr>
              <w:t>ml</w:t>
            </w:r>
          </w:p>
          <w:p w14:paraId="351AB33D" w14:textId="77777777" w:rsidR="00765D99" w:rsidRDefault="00765D99" w:rsidP="00765D99">
            <w:r w:rsidRPr="00765D99">
              <w:t xml:space="preserve">(26%) </w:t>
            </w:r>
          </w:p>
          <w:p w14:paraId="7F76E0C4" w14:textId="61131BB4" w:rsidR="00765D99" w:rsidRPr="00765D99" w:rsidRDefault="00765D99" w:rsidP="00765D99">
            <w:r w:rsidRPr="00765D99">
              <w:t>1156</w:t>
            </w:r>
          </w:p>
          <w:p w14:paraId="6E11DA80" w14:textId="0E99A974" w:rsidR="00765D99" w:rsidRPr="00765D99" w:rsidRDefault="00765D99" w:rsidP="00765D99">
            <w:pPr>
              <w:rPr>
                <w:rFonts w:cs="Arial"/>
              </w:rPr>
            </w:pPr>
            <w:r w:rsidRPr="00765D99">
              <w:t>&lt;0.001</w:t>
            </w:r>
          </w:p>
        </w:tc>
        <w:tc>
          <w:tcPr>
            <w:tcW w:w="1532" w:type="dxa"/>
          </w:tcPr>
          <w:p w14:paraId="3806907F" w14:textId="77777777" w:rsidR="00765D99" w:rsidRPr="00765D99" w:rsidRDefault="00765D99" w:rsidP="00765D99">
            <w:r w:rsidRPr="00765D99">
              <w:t xml:space="preserve">147 </w:t>
            </w:r>
            <w:r w:rsidRPr="00765D99">
              <w:rPr>
                <w:lang w:val="en-US"/>
              </w:rPr>
              <w:t>ml</w:t>
            </w:r>
          </w:p>
          <w:p w14:paraId="6EE22B4E" w14:textId="77777777" w:rsidR="00765D99" w:rsidRPr="00765D99" w:rsidRDefault="00765D99" w:rsidP="00765D99">
            <w:r w:rsidRPr="00765D99">
              <w:t xml:space="preserve">24 </w:t>
            </w:r>
            <w:r w:rsidRPr="00765D99">
              <w:rPr>
                <w:lang w:val="en-US"/>
              </w:rPr>
              <w:t>ml</w:t>
            </w:r>
          </w:p>
          <w:p w14:paraId="2AF86161" w14:textId="77777777" w:rsidR="00765D99" w:rsidRDefault="00765D99" w:rsidP="00765D99">
            <w:r w:rsidRPr="00765D99">
              <w:t xml:space="preserve">(16%) </w:t>
            </w:r>
          </w:p>
          <w:p w14:paraId="75A44100" w14:textId="5C5B05BF" w:rsidR="00765D99" w:rsidRPr="00765D99" w:rsidRDefault="00765D99" w:rsidP="00765D99">
            <w:r w:rsidRPr="00765D99">
              <w:t>250</w:t>
            </w:r>
          </w:p>
          <w:p w14:paraId="3DF861FA" w14:textId="395E8BF8" w:rsidR="00765D99" w:rsidRPr="00765D99" w:rsidRDefault="00765D99" w:rsidP="00765D99">
            <w:pPr>
              <w:rPr>
                <w:rFonts w:cs="Arial"/>
              </w:rPr>
            </w:pPr>
            <w:r w:rsidRPr="00765D99">
              <w:t>&lt;0.001</w:t>
            </w:r>
          </w:p>
        </w:tc>
      </w:tr>
      <w:tr w:rsidR="00765D99" w14:paraId="2900A663" w14:textId="77777777" w:rsidTr="00486A43">
        <w:tc>
          <w:tcPr>
            <w:tcW w:w="9576" w:type="dxa"/>
            <w:gridSpan w:val="5"/>
          </w:tcPr>
          <w:p w14:paraId="6829DC98" w14:textId="4E88CF1E" w:rsidR="00765D99" w:rsidRPr="00765D99" w:rsidRDefault="00765D99" w:rsidP="00765D99">
            <w:pPr>
              <w:rPr>
                <w:rFonts w:cs="Arial"/>
                <w:b/>
                <w:bCs/>
              </w:rPr>
            </w:pPr>
            <w:r w:rsidRPr="00765D99">
              <w:rPr>
                <w:b/>
                <w:bCs/>
              </w:rPr>
              <w:t>Брой на поставените памперси за 24 часа</w:t>
            </w:r>
          </w:p>
        </w:tc>
      </w:tr>
      <w:tr w:rsidR="00765D99" w14:paraId="5DADB2EA" w14:textId="77777777" w:rsidTr="00765D99">
        <w:tc>
          <w:tcPr>
            <w:tcW w:w="2823" w:type="dxa"/>
          </w:tcPr>
          <w:p w14:paraId="355E63D4" w14:textId="77777777" w:rsidR="00765D99" w:rsidRDefault="00765D99" w:rsidP="00765D99">
            <w:r w:rsidRPr="00765D99">
              <w:t xml:space="preserve">Средно изходно ниво </w:t>
            </w:r>
          </w:p>
          <w:p w14:paraId="0946CF8F" w14:textId="77777777" w:rsidR="00765D99" w:rsidRDefault="00765D99" w:rsidP="00765D99"/>
          <w:p w14:paraId="06B99F6E" w14:textId="01287CC2" w:rsidR="00765D99" w:rsidRPr="00765D99" w:rsidRDefault="00765D99" w:rsidP="00765D99">
            <w:r w:rsidRPr="00765D99">
              <w:t>Средно</w:t>
            </w:r>
            <w:r>
              <w:t xml:space="preserve"> </w:t>
            </w:r>
            <w:r w:rsidRPr="00765D99">
              <w:t>намаление</w:t>
            </w:r>
          </w:p>
          <w:p w14:paraId="01988688" w14:textId="77777777" w:rsidR="00765D99" w:rsidRDefault="00765D99" w:rsidP="00765D99"/>
          <w:p w14:paraId="1A25FAAE" w14:textId="58D51521" w:rsidR="00765D99" w:rsidRPr="00765D99" w:rsidRDefault="00765D99" w:rsidP="00765D99">
            <w:r w:rsidRPr="00765D99">
              <w:t>Спрямо</w:t>
            </w:r>
            <w:r>
              <w:t xml:space="preserve"> </w:t>
            </w:r>
            <w:r w:rsidRPr="00765D99">
              <w:t>изходното</w:t>
            </w:r>
          </w:p>
          <w:p w14:paraId="38875027" w14:textId="77777777" w:rsidR="00765D99" w:rsidRDefault="00765D99" w:rsidP="00765D99">
            <w:r w:rsidRPr="00765D99">
              <w:t xml:space="preserve">ниво </w:t>
            </w:r>
          </w:p>
          <w:p w14:paraId="2E8C042B" w14:textId="77777777" w:rsidR="00765D99" w:rsidRDefault="00765D99" w:rsidP="00765D99"/>
          <w:p w14:paraId="16D6763A" w14:textId="3A1ABB30" w:rsidR="00765D99" w:rsidRDefault="00765D99" w:rsidP="00765D99">
            <w:r w:rsidRPr="00765D99">
              <w:t xml:space="preserve">% промяна спрямо изходното ниво </w:t>
            </w:r>
          </w:p>
          <w:p w14:paraId="6E732D2E" w14:textId="77777777" w:rsidR="00765D99" w:rsidRDefault="00765D99" w:rsidP="00765D99"/>
          <w:p w14:paraId="6CE12B23" w14:textId="3C82513C" w:rsidR="00765D99" w:rsidRDefault="00765D99" w:rsidP="00765D99">
            <w:r w:rsidRPr="00765D99">
              <w:rPr>
                <w:lang w:val="en-US"/>
              </w:rPr>
              <w:t>n</w:t>
            </w:r>
            <w:r w:rsidRPr="00765D99">
              <w:t xml:space="preserve"> </w:t>
            </w:r>
          </w:p>
          <w:p w14:paraId="70D6DCD9" w14:textId="77777777" w:rsidR="00765D99" w:rsidRDefault="00765D99" w:rsidP="00765D99"/>
          <w:p w14:paraId="18FBDE69" w14:textId="1540C51E" w:rsidR="00765D99" w:rsidRPr="00765D99" w:rsidRDefault="00765D99" w:rsidP="00765D99">
            <w:pPr>
              <w:rPr>
                <w:rFonts w:cs="Arial"/>
              </w:rPr>
            </w:pPr>
            <w:r w:rsidRPr="00765D99">
              <w:t>р-стойност*</w:t>
            </w:r>
          </w:p>
        </w:tc>
        <w:tc>
          <w:tcPr>
            <w:tcW w:w="1165" w:type="dxa"/>
          </w:tcPr>
          <w:p w14:paraId="556E16C9" w14:textId="77777777" w:rsidR="00765D99" w:rsidRPr="00765D99" w:rsidRDefault="00765D99" w:rsidP="00765D99">
            <w:r w:rsidRPr="00765D99">
              <w:t>3.0</w:t>
            </w:r>
          </w:p>
          <w:p w14:paraId="7B6CEE17" w14:textId="77777777" w:rsidR="00765D99" w:rsidRPr="00765D99" w:rsidRDefault="00765D99" w:rsidP="00765D99">
            <w:r w:rsidRPr="00765D99">
              <w:t>0.8</w:t>
            </w:r>
          </w:p>
          <w:p w14:paraId="1CF6D6BA" w14:textId="77777777" w:rsidR="00765D99" w:rsidRPr="00765D99" w:rsidRDefault="00765D99" w:rsidP="00765D99">
            <w:r w:rsidRPr="00765D99">
              <w:t>(27%)</w:t>
            </w:r>
          </w:p>
          <w:p w14:paraId="11902FB3" w14:textId="4498667A" w:rsidR="00765D99" w:rsidRPr="00765D99" w:rsidRDefault="00765D99" w:rsidP="00765D99">
            <w:pPr>
              <w:rPr>
                <w:rFonts w:cs="Arial"/>
              </w:rPr>
            </w:pPr>
            <w:r w:rsidRPr="00765D99">
              <w:t>238</w:t>
            </w:r>
          </w:p>
        </w:tc>
        <w:tc>
          <w:tcPr>
            <w:tcW w:w="2028" w:type="dxa"/>
          </w:tcPr>
          <w:p w14:paraId="25A0260C" w14:textId="77777777" w:rsidR="00765D99" w:rsidRPr="00765D99" w:rsidRDefault="00765D99" w:rsidP="00765D99">
            <w:r w:rsidRPr="00765D99">
              <w:t>2.8</w:t>
            </w:r>
          </w:p>
          <w:p w14:paraId="0BE05807" w14:textId="77777777" w:rsidR="00765D99" w:rsidRPr="00765D99" w:rsidRDefault="00765D99" w:rsidP="00765D99">
            <w:r w:rsidRPr="00765D99">
              <w:t>1.3</w:t>
            </w:r>
          </w:p>
          <w:p w14:paraId="389DCAD4" w14:textId="77777777" w:rsidR="00765D99" w:rsidRPr="00765D99" w:rsidRDefault="00765D99" w:rsidP="00765D99">
            <w:r w:rsidRPr="00765D99">
              <w:t>(46%)</w:t>
            </w:r>
          </w:p>
          <w:p w14:paraId="187AE908" w14:textId="77777777" w:rsidR="00765D99" w:rsidRPr="00765D99" w:rsidRDefault="00765D99" w:rsidP="00765D99">
            <w:r w:rsidRPr="00765D99">
              <w:t>236</w:t>
            </w:r>
          </w:p>
          <w:p w14:paraId="6382996D" w14:textId="3E4A8C5B" w:rsidR="00765D99" w:rsidRPr="00765D99" w:rsidRDefault="00765D99" w:rsidP="00765D99">
            <w:pPr>
              <w:rPr>
                <w:rFonts w:cs="Arial"/>
              </w:rPr>
            </w:pPr>
            <w:r w:rsidRPr="00765D99">
              <w:t>&lt;0.001</w:t>
            </w:r>
          </w:p>
        </w:tc>
        <w:tc>
          <w:tcPr>
            <w:tcW w:w="2028" w:type="dxa"/>
          </w:tcPr>
          <w:p w14:paraId="4CF75E97" w14:textId="77777777" w:rsidR="00765D99" w:rsidRPr="00765D99" w:rsidRDefault="00765D99" w:rsidP="00765D99">
            <w:r w:rsidRPr="00765D99">
              <w:t>2.7</w:t>
            </w:r>
          </w:p>
          <w:p w14:paraId="48F4B766" w14:textId="77777777" w:rsidR="00765D99" w:rsidRPr="00765D99" w:rsidRDefault="00765D99" w:rsidP="00765D99">
            <w:r w:rsidRPr="00765D99">
              <w:t>1.3</w:t>
            </w:r>
          </w:p>
          <w:p w14:paraId="6F2C9726" w14:textId="77777777" w:rsidR="00765D99" w:rsidRPr="00765D99" w:rsidRDefault="00765D99" w:rsidP="00765D99">
            <w:r w:rsidRPr="00765D99">
              <w:t>(48%)</w:t>
            </w:r>
          </w:p>
          <w:p w14:paraId="1CAF7781" w14:textId="77777777" w:rsidR="00765D99" w:rsidRPr="00765D99" w:rsidRDefault="00765D99" w:rsidP="00765D99">
            <w:r w:rsidRPr="00765D99">
              <w:t>242</w:t>
            </w:r>
          </w:p>
          <w:p w14:paraId="2444DBAB" w14:textId="12885C85" w:rsidR="00765D99" w:rsidRPr="00765D99" w:rsidRDefault="00765D99" w:rsidP="00765D99">
            <w:pPr>
              <w:rPr>
                <w:rFonts w:cs="Arial"/>
              </w:rPr>
            </w:pPr>
            <w:r w:rsidRPr="00765D99">
              <w:t>&lt;0.001</w:t>
            </w:r>
          </w:p>
        </w:tc>
        <w:tc>
          <w:tcPr>
            <w:tcW w:w="1532" w:type="dxa"/>
          </w:tcPr>
          <w:p w14:paraId="145206D4" w14:textId="77777777" w:rsidR="00765D99" w:rsidRPr="00765D99" w:rsidRDefault="00765D99" w:rsidP="00765D99">
            <w:r w:rsidRPr="00765D99">
              <w:t>2.7</w:t>
            </w:r>
          </w:p>
          <w:p w14:paraId="29DCA272" w14:textId="77777777" w:rsidR="00765D99" w:rsidRPr="00765D99" w:rsidRDefault="00765D99" w:rsidP="00765D99">
            <w:r w:rsidRPr="00765D99">
              <w:t>1.0</w:t>
            </w:r>
          </w:p>
          <w:p w14:paraId="1050C86F" w14:textId="77777777" w:rsidR="00765D99" w:rsidRPr="00765D99" w:rsidRDefault="00765D99" w:rsidP="00765D99">
            <w:r w:rsidRPr="00765D99">
              <w:t>(37%)</w:t>
            </w:r>
          </w:p>
          <w:p w14:paraId="0625F5B6" w14:textId="77777777" w:rsidR="00765D99" w:rsidRPr="00765D99" w:rsidRDefault="00765D99" w:rsidP="00765D99">
            <w:r w:rsidRPr="00765D99">
              <w:t>250</w:t>
            </w:r>
          </w:p>
          <w:p w14:paraId="00ABE646" w14:textId="7950011C" w:rsidR="00765D99" w:rsidRPr="00765D99" w:rsidRDefault="00765D99" w:rsidP="00765D99">
            <w:pPr>
              <w:rPr>
                <w:rFonts w:cs="Arial"/>
              </w:rPr>
            </w:pPr>
            <w:r w:rsidRPr="00765D99">
              <w:t>0.010</w:t>
            </w:r>
          </w:p>
        </w:tc>
      </w:tr>
    </w:tbl>
    <w:p w14:paraId="243067E7" w14:textId="77777777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color w:val="000000"/>
          <w:u w:val="single"/>
          <w:lang w:eastAsia="bg-BG"/>
        </w:rPr>
        <w:t>Забележка:</w:t>
      </w:r>
      <w:r w:rsidRPr="00765D99">
        <w:rPr>
          <w:rFonts w:eastAsia="Times New Roman" w:cs="Arial"/>
          <w:color w:val="000000"/>
          <w:lang w:eastAsia="bg-BG"/>
        </w:rPr>
        <w:t xml:space="preserve"> При четири от основните проучвания са използвани солифенацинов сукцинат 10 </w:t>
      </w:r>
      <w:r w:rsidRPr="00765D99">
        <w:rPr>
          <w:rFonts w:eastAsia="Times New Roman" w:cs="Arial"/>
          <w:color w:val="000000"/>
          <w:lang w:val="en-US"/>
        </w:rPr>
        <w:t xml:space="preserve">mg </w:t>
      </w:r>
      <w:r w:rsidRPr="00765D99">
        <w:rPr>
          <w:rFonts w:eastAsia="Times New Roman" w:cs="Arial"/>
          <w:color w:val="000000"/>
          <w:lang w:eastAsia="bg-BG"/>
        </w:rPr>
        <w:t xml:space="preserve">и плацебо. При 2 от 4 проучвания е използван и солифенацинов сукцинат 5 </w:t>
      </w:r>
      <w:r w:rsidRPr="00765D99">
        <w:rPr>
          <w:rFonts w:eastAsia="Times New Roman" w:cs="Arial"/>
          <w:color w:val="000000"/>
          <w:lang w:val="en-US"/>
        </w:rPr>
        <w:t xml:space="preserve">mg, </w:t>
      </w:r>
      <w:r w:rsidRPr="00765D99">
        <w:rPr>
          <w:rFonts w:eastAsia="Times New Roman" w:cs="Arial"/>
          <w:color w:val="000000"/>
          <w:lang w:eastAsia="bg-BG"/>
        </w:rPr>
        <w:t xml:space="preserve">а едно от проучванията включва толтеродин 2 </w:t>
      </w:r>
      <w:r w:rsidRPr="00765D99">
        <w:rPr>
          <w:rFonts w:eastAsia="Times New Roman" w:cs="Arial"/>
          <w:color w:val="000000"/>
          <w:lang w:val="en-US"/>
        </w:rPr>
        <w:t xml:space="preserve">mg </w:t>
      </w:r>
      <w:r w:rsidRPr="00765D99">
        <w:rPr>
          <w:rFonts w:eastAsia="Times New Roman" w:cs="Arial"/>
          <w:color w:val="000000"/>
          <w:lang w:eastAsia="bg-BG"/>
        </w:rPr>
        <w:t>два пъти дневно.</w:t>
      </w:r>
    </w:p>
    <w:p w14:paraId="700EBC9E" w14:textId="77777777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color w:val="000000"/>
          <w:lang w:eastAsia="bg-BG"/>
        </w:rPr>
        <w:t>Не всички показатели и групи на лечение са оценявани във всяко отделно проучване. Поради това, броят на посочените пациенти може да се различава по отношение на показателя и групата на лечение.</w:t>
      </w:r>
    </w:p>
    <w:p w14:paraId="0066DFFB" w14:textId="77777777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color w:val="000000"/>
          <w:lang w:eastAsia="bg-BG"/>
        </w:rPr>
        <w:t xml:space="preserve">* Р-стойността е за </w:t>
      </w:r>
      <w:r w:rsidRPr="00765D99">
        <w:rPr>
          <w:rFonts w:eastAsia="Times New Roman" w:cs="Arial"/>
          <w:color w:val="000000"/>
          <w:lang w:val="en-US"/>
        </w:rPr>
        <w:t xml:space="preserve">pair wise </w:t>
      </w:r>
      <w:r w:rsidRPr="00765D99">
        <w:rPr>
          <w:rFonts w:eastAsia="Times New Roman" w:cs="Arial"/>
          <w:color w:val="000000"/>
          <w:lang w:eastAsia="bg-BG"/>
        </w:rPr>
        <w:t>сравнение с плацебо.</w:t>
      </w:r>
    </w:p>
    <w:p w14:paraId="64D0307C" w14:textId="77777777" w:rsidR="00F7394A" w:rsidRDefault="00F7394A" w:rsidP="00765D99"/>
    <w:p w14:paraId="173D7F1D" w14:textId="3E7812BE" w:rsidR="00EE6C97" w:rsidRDefault="002C50EE" w:rsidP="00A93499">
      <w:pPr>
        <w:pStyle w:val="Heading2"/>
      </w:pPr>
      <w:r>
        <w:lastRenderedPageBreak/>
        <w:t>5.2. Фармакокинетични свойства</w:t>
      </w:r>
    </w:p>
    <w:p w14:paraId="1F73C663" w14:textId="378E82C1" w:rsidR="00765D99" w:rsidRDefault="00765D99" w:rsidP="00765D99"/>
    <w:p w14:paraId="316C58B2" w14:textId="77777777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color w:val="000000"/>
          <w:u w:val="single"/>
          <w:lang w:eastAsia="bg-BG"/>
        </w:rPr>
        <w:t>Абсорбция</w:t>
      </w:r>
    </w:p>
    <w:p w14:paraId="46720EAD" w14:textId="32C09A8A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color w:val="000000"/>
          <w:lang w:eastAsia="bg-BG"/>
        </w:rPr>
        <w:t>След прием на солифенацин максималните плазмени концентрации (С</w:t>
      </w:r>
      <w:r w:rsidRPr="00765D99">
        <w:rPr>
          <w:rFonts w:eastAsia="Times New Roman" w:cs="Arial"/>
          <w:color w:val="000000"/>
          <w:vertAlign w:val="subscript"/>
          <w:lang w:val="en-US"/>
        </w:rPr>
        <w:t>max</w:t>
      </w:r>
      <w:r w:rsidRPr="00765D99">
        <w:rPr>
          <w:rFonts w:eastAsia="Times New Roman" w:cs="Arial"/>
          <w:color w:val="000000"/>
          <w:lang w:eastAsia="bg-BG"/>
        </w:rPr>
        <w:t>) се до</w:t>
      </w:r>
      <w:r w:rsidRPr="00765D99">
        <w:rPr>
          <w:rFonts w:eastAsia="Times New Roman" w:cs="Arial"/>
          <w:color w:val="000000"/>
          <w:u w:val="single"/>
          <w:lang w:eastAsia="bg-BG"/>
        </w:rPr>
        <w:t>стигат с</w:t>
      </w:r>
      <w:r w:rsidRPr="00765D99">
        <w:rPr>
          <w:rFonts w:eastAsia="Times New Roman" w:cs="Arial"/>
          <w:color w:val="000000"/>
          <w:lang w:eastAsia="bg-BG"/>
        </w:rPr>
        <w:t>лед 3 до</w:t>
      </w:r>
      <w:r w:rsidRPr="00765D99">
        <w:rPr>
          <w:rFonts w:eastAsia="Times New Roman" w:cs="Arial"/>
          <w:lang w:eastAsia="bg-BG"/>
        </w:rPr>
        <w:t xml:space="preserve"> </w:t>
      </w:r>
      <w:r w:rsidRPr="00765D99">
        <w:rPr>
          <w:rFonts w:eastAsia="Times New Roman" w:cs="Arial"/>
          <w:color w:val="000000"/>
          <w:lang w:eastAsia="bg-BG"/>
        </w:rPr>
        <w:t xml:space="preserve">8 часа. </w:t>
      </w:r>
      <w:proofErr w:type="spellStart"/>
      <w:r w:rsidRPr="00765D99">
        <w:rPr>
          <w:rFonts w:eastAsia="Times New Roman" w:cs="Arial"/>
          <w:color w:val="000000"/>
          <w:lang w:val="en-US"/>
        </w:rPr>
        <w:t>t</w:t>
      </w:r>
      <w:r w:rsidRPr="00765D99">
        <w:rPr>
          <w:rFonts w:eastAsia="Times New Roman" w:cs="Arial"/>
          <w:color w:val="000000"/>
          <w:vertAlign w:val="subscript"/>
          <w:lang w:val="en-US"/>
        </w:rPr>
        <w:t>max</w:t>
      </w:r>
      <w:proofErr w:type="spellEnd"/>
      <w:r w:rsidRPr="00765D99">
        <w:rPr>
          <w:rFonts w:eastAsia="Times New Roman" w:cs="Arial"/>
          <w:color w:val="000000"/>
          <w:lang w:val="en-US"/>
        </w:rPr>
        <w:t xml:space="preserve"> </w:t>
      </w:r>
      <w:r w:rsidRPr="00765D99">
        <w:rPr>
          <w:rFonts w:eastAsia="Times New Roman" w:cs="Arial"/>
          <w:color w:val="000000"/>
          <w:lang w:eastAsia="bg-BG"/>
        </w:rPr>
        <w:t>не зависи от дозата. С</w:t>
      </w:r>
      <w:r w:rsidRPr="00765D99">
        <w:rPr>
          <w:rFonts w:eastAsia="Times New Roman" w:cs="Arial"/>
          <w:color w:val="000000"/>
          <w:vertAlign w:val="subscript"/>
          <w:lang w:val="en-US"/>
        </w:rPr>
        <w:t>max</w:t>
      </w:r>
      <w:r w:rsidRPr="00765D99">
        <w:rPr>
          <w:rFonts w:eastAsia="Times New Roman" w:cs="Arial"/>
          <w:color w:val="000000"/>
          <w:lang w:eastAsia="bg-BG"/>
        </w:rPr>
        <w:t xml:space="preserve"> и площта под кривата</w:t>
      </w:r>
      <w:r w:rsidRPr="00765D99">
        <w:rPr>
          <w:rFonts w:eastAsia="Times New Roman" w:cs="Arial"/>
          <w:color w:val="000000"/>
          <w:lang w:val="en-US"/>
        </w:rPr>
        <w:t xml:space="preserve"> (AUC) </w:t>
      </w:r>
      <w:r w:rsidRPr="00765D99">
        <w:rPr>
          <w:rFonts w:eastAsia="Times New Roman" w:cs="Arial"/>
          <w:color w:val="000000"/>
          <w:lang w:eastAsia="bg-BG"/>
        </w:rPr>
        <w:t>се  повишават</w:t>
      </w:r>
    </w:p>
    <w:p w14:paraId="713B0831" w14:textId="3ED7889B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color w:val="000000"/>
          <w:lang w:eastAsia="bg-BG"/>
        </w:rPr>
        <w:t xml:space="preserve">пропорционално при дози между 5 </w:t>
      </w:r>
      <w:r w:rsidRPr="00765D99">
        <w:rPr>
          <w:rFonts w:eastAsia="Times New Roman" w:cs="Arial"/>
          <w:color w:val="000000"/>
          <w:lang w:val="en-US"/>
        </w:rPr>
        <w:t xml:space="preserve">mg </w:t>
      </w:r>
      <w:r w:rsidRPr="00765D99">
        <w:rPr>
          <w:rFonts w:eastAsia="Times New Roman" w:cs="Arial"/>
          <w:color w:val="000000"/>
          <w:lang w:eastAsia="bg-BG"/>
        </w:rPr>
        <w:t xml:space="preserve">и 40 </w:t>
      </w:r>
      <w:r w:rsidRPr="00765D99">
        <w:rPr>
          <w:rFonts w:eastAsia="Times New Roman" w:cs="Arial"/>
          <w:color w:val="000000"/>
          <w:lang w:val="en-US"/>
        </w:rPr>
        <w:t xml:space="preserve">mg. </w:t>
      </w:r>
      <w:r w:rsidRPr="00765D99">
        <w:rPr>
          <w:rFonts w:eastAsia="Times New Roman" w:cs="Arial"/>
          <w:color w:val="000000"/>
          <w:lang w:eastAsia="bg-BG"/>
        </w:rPr>
        <w:t>Абсолютната бионаличност е приблизително</w:t>
      </w:r>
      <w:r>
        <w:rPr>
          <w:rFonts w:eastAsia="Times New Roman" w:cs="Arial"/>
          <w:lang w:eastAsia="bg-BG"/>
        </w:rPr>
        <w:t xml:space="preserve"> </w:t>
      </w:r>
      <w:r w:rsidRPr="00765D99">
        <w:rPr>
          <w:rFonts w:eastAsia="Times New Roman" w:cs="Arial"/>
          <w:color w:val="000000"/>
          <w:lang w:eastAsia="bg-BG"/>
        </w:rPr>
        <w:t>90%.</w:t>
      </w:r>
    </w:p>
    <w:p w14:paraId="5EB75543" w14:textId="3A4EC5DB" w:rsidR="00765D99" w:rsidRPr="00765D99" w:rsidRDefault="00765D99" w:rsidP="00765D99">
      <w:pPr>
        <w:rPr>
          <w:rFonts w:eastAsia="Times New Roman" w:cs="Arial"/>
          <w:color w:val="000000"/>
          <w:lang w:eastAsia="bg-BG"/>
        </w:rPr>
      </w:pPr>
    </w:p>
    <w:p w14:paraId="18D5EEAF" w14:textId="77777777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color w:val="000000"/>
          <w:lang w:eastAsia="bg-BG"/>
        </w:rPr>
        <w:t>Приемът на храна не променя С</w:t>
      </w:r>
      <w:r w:rsidRPr="00765D99">
        <w:rPr>
          <w:rFonts w:eastAsia="Times New Roman" w:cs="Arial"/>
          <w:color w:val="000000"/>
          <w:vertAlign w:val="subscript"/>
          <w:lang w:val="en-US"/>
        </w:rPr>
        <w:t>max</w:t>
      </w:r>
      <w:r w:rsidRPr="00765D99">
        <w:rPr>
          <w:rFonts w:eastAsia="Times New Roman" w:cs="Arial"/>
          <w:color w:val="000000"/>
          <w:lang w:eastAsia="bg-BG"/>
        </w:rPr>
        <w:t xml:space="preserve"> и </w:t>
      </w:r>
      <w:r w:rsidRPr="00765D99">
        <w:rPr>
          <w:rFonts w:eastAsia="Times New Roman" w:cs="Arial"/>
          <w:color w:val="000000"/>
          <w:lang w:val="en-US"/>
        </w:rPr>
        <w:t xml:space="preserve">AUC </w:t>
      </w:r>
      <w:r w:rsidRPr="00765D99">
        <w:rPr>
          <w:rFonts w:eastAsia="Times New Roman" w:cs="Arial"/>
          <w:color w:val="000000"/>
          <w:lang w:eastAsia="bg-BG"/>
        </w:rPr>
        <w:t>на солифенацин.</w:t>
      </w:r>
    </w:p>
    <w:p w14:paraId="06573888" w14:textId="77777777" w:rsidR="00765D99" w:rsidRDefault="00765D99" w:rsidP="00765D9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2326C30" w14:textId="2EDA435E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color w:val="000000"/>
          <w:u w:val="single"/>
          <w:lang w:eastAsia="bg-BG"/>
        </w:rPr>
        <w:t>Разпределение</w:t>
      </w:r>
    </w:p>
    <w:p w14:paraId="436D6B9E" w14:textId="77777777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color w:val="000000"/>
          <w:lang w:eastAsia="bg-BG"/>
        </w:rPr>
        <w:t xml:space="preserve">Привидният обем на разпределение на солифенацин след интравенозно приложение е около 600 </w:t>
      </w:r>
      <w:r w:rsidRPr="00765D99">
        <w:rPr>
          <w:rFonts w:eastAsia="Times New Roman" w:cs="Arial"/>
          <w:color w:val="000000"/>
          <w:lang w:val="en-US"/>
        </w:rPr>
        <w:t xml:space="preserve">L. </w:t>
      </w:r>
      <w:r w:rsidRPr="00765D99">
        <w:rPr>
          <w:rFonts w:eastAsia="Times New Roman" w:cs="Arial"/>
          <w:color w:val="000000"/>
          <w:lang w:eastAsia="bg-BG"/>
        </w:rPr>
        <w:t>Солифенацин се свързва с плазмените протеини в голяма степен (приблизително 98%), основно с α</w:t>
      </w:r>
      <w:r w:rsidRPr="00765D99">
        <w:rPr>
          <w:rFonts w:eastAsia="Times New Roman" w:cs="Arial"/>
          <w:color w:val="000000"/>
          <w:vertAlign w:val="subscript"/>
          <w:lang w:eastAsia="bg-BG"/>
        </w:rPr>
        <w:t>1</w:t>
      </w:r>
      <w:r w:rsidRPr="00765D99">
        <w:rPr>
          <w:rFonts w:eastAsia="Times New Roman" w:cs="Arial"/>
          <w:color w:val="000000"/>
          <w:lang w:eastAsia="bg-BG"/>
        </w:rPr>
        <w:t>-кисел гликопротеин.</w:t>
      </w:r>
    </w:p>
    <w:p w14:paraId="42937AC9" w14:textId="77777777" w:rsidR="00765D99" w:rsidRDefault="00765D99" w:rsidP="00765D9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7C661BE" w14:textId="6DA08822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color w:val="000000"/>
          <w:u w:val="single"/>
          <w:lang w:eastAsia="bg-BG"/>
        </w:rPr>
        <w:t>Биотрансформация</w:t>
      </w:r>
    </w:p>
    <w:p w14:paraId="70A08B97" w14:textId="77777777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color w:val="000000"/>
          <w:lang w:eastAsia="bg-BG"/>
        </w:rPr>
        <w:t xml:space="preserve">Солифенацин се метаболизира основно в черния дроб, главно чрез цитохром Р450 ЗА4 </w:t>
      </w:r>
      <w:r w:rsidRPr="00765D99">
        <w:rPr>
          <w:rFonts w:eastAsia="Times New Roman" w:cs="Arial"/>
          <w:color w:val="000000"/>
          <w:lang w:val="en-US"/>
        </w:rPr>
        <w:t xml:space="preserve">(CYP3A4). </w:t>
      </w:r>
      <w:r w:rsidRPr="00765D99">
        <w:rPr>
          <w:rFonts w:eastAsia="Times New Roman" w:cs="Arial"/>
          <w:color w:val="000000"/>
          <w:lang w:eastAsia="bg-BG"/>
        </w:rPr>
        <w:t xml:space="preserve">Въпреки това съществуват и алтернативни пътища на метаболизиране, които могат да допринесат към метаболизма на солифенацин. Системният клирънс на солифенацин е около 9.5 </w:t>
      </w:r>
      <w:r w:rsidRPr="00765D99">
        <w:rPr>
          <w:rFonts w:eastAsia="Times New Roman" w:cs="Arial"/>
          <w:color w:val="000000"/>
          <w:lang w:val="en-US"/>
        </w:rPr>
        <w:t xml:space="preserve">L/h, </w:t>
      </w:r>
      <w:r w:rsidRPr="00765D99">
        <w:rPr>
          <w:rFonts w:eastAsia="Times New Roman" w:cs="Arial"/>
          <w:color w:val="000000"/>
          <w:lang w:eastAsia="bg-BG"/>
        </w:rPr>
        <w:t>а терминалният полуживот на солифенацин е 45 - 68 часа. След перорално приложение в плазмата в допълнение към солифенацин се идентифицират един фармакологично активен (4</w:t>
      </w:r>
      <w:r w:rsidRPr="00765D99">
        <w:rPr>
          <w:rFonts w:eastAsia="Times New Roman" w:cs="Arial"/>
          <w:color w:val="000000"/>
          <w:lang w:val="en-US"/>
        </w:rPr>
        <w:t>R</w:t>
      </w:r>
      <w:r w:rsidRPr="00765D99">
        <w:rPr>
          <w:rFonts w:eastAsia="Times New Roman" w:cs="Arial"/>
          <w:color w:val="000000"/>
          <w:lang w:eastAsia="bg-BG"/>
        </w:rPr>
        <w:t xml:space="preserve">-хидрокси солифенацин) и три неактивни метаболити </w:t>
      </w:r>
      <w:r w:rsidRPr="00765D99">
        <w:rPr>
          <w:rFonts w:eastAsia="Times New Roman" w:cs="Arial"/>
          <w:color w:val="000000"/>
          <w:lang w:val="en-US"/>
        </w:rPr>
        <w:t>(N</w:t>
      </w:r>
      <w:r w:rsidRPr="00765D99">
        <w:rPr>
          <w:rFonts w:eastAsia="Times New Roman" w:cs="Arial"/>
          <w:color w:val="000000"/>
          <w:lang w:eastAsia="bg-BG"/>
        </w:rPr>
        <w:t xml:space="preserve">-глюкоронид, </w:t>
      </w:r>
      <w:r w:rsidRPr="00765D99">
        <w:rPr>
          <w:rFonts w:eastAsia="Times New Roman" w:cs="Arial"/>
          <w:color w:val="000000"/>
          <w:lang w:val="en-US"/>
        </w:rPr>
        <w:t>N</w:t>
      </w:r>
      <w:r w:rsidRPr="00765D99">
        <w:rPr>
          <w:rFonts w:eastAsia="Times New Roman" w:cs="Arial"/>
          <w:color w:val="000000"/>
          <w:lang w:eastAsia="bg-BG"/>
        </w:rPr>
        <w:t xml:space="preserve">-оксид и </w:t>
      </w:r>
      <w:r w:rsidRPr="00765D99">
        <w:rPr>
          <w:rFonts w:eastAsia="Times New Roman" w:cs="Arial"/>
          <w:color w:val="000000"/>
          <w:lang w:val="en-US"/>
        </w:rPr>
        <w:t xml:space="preserve">4R- </w:t>
      </w:r>
      <w:r w:rsidRPr="00765D99">
        <w:rPr>
          <w:rFonts w:eastAsia="Times New Roman" w:cs="Arial"/>
          <w:color w:val="000000"/>
          <w:lang w:eastAsia="bg-BG"/>
        </w:rPr>
        <w:t>хидрокси</w:t>
      </w:r>
      <w:r w:rsidRPr="00765D99">
        <w:rPr>
          <w:rFonts w:eastAsia="Times New Roman" w:cs="Arial"/>
          <w:color w:val="000000"/>
          <w:lang w:val="en-US"/>
        </w:rPr>
        <w:t>-N</w:t>
      </w:r>
      <w:r w:rsidRPr="00765D99">
        <w:rPr>
          <w:rFonts w:eastAsia="Times New Roman" w:cs="Arial"/>
          <w:color w:val="000000"/>
          <w:lang w:eastAsia="bg-BG"/>
        </w:rPr>
        <w:t>-оксид на солифенацин).</w:t>
      </w:r>
    </w:p>
    <w:p w14:paraId="04713DA0" w14:textId="77777777" w:rsidR="00765D99" w:rsidRDefault="00765D99" w:rsidP="00765D9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A180A54" w14:textId="5B20628A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color w:val="000000"/>
          <w:u w:val="single"/>
          <w:lang w:eastAsia="bg-BG"/>
        </w:rPr>
        <w:t>Елиминиране</w:t>
      </w:r>
    </w:p>
    <w:p w14:paraId="675116B3" w14:textId="77777777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color w:val="000000"/>
          <w:lang w:eastAsia="bg-BG"/>
        </w:rPr>
        <w:t xml:space="preserve">След еднократна доза от 10 </w:t>
      </w:r>
      <w:r w:rsidRPr="00765D99">
        <w:rPr>
          <w:rFonts w:eastAsia="Times New Roman" w:cs="Arial"/>
          <w:color w:val="000000"/>
          <w:lang w:val="en-US"/>
        </w:rPr>
        <w:t xml:space="preserve">mg </w:t>
      </w:r>
      <w:r w:rsidRPr="00765D99">
        <w:rPr>
          <w:rFonts w:eastAsia="Times New Roman" w:cs="Arial"/>
          <w:color w:val="000000"/>
          <w:lang w:eastAsia="bg-BG"/>
        </w:rPr>
        <w:t>[</w:t>
      </w:r>
      <w:r w:rsidRPr="00765D99">
        <w:rPr>
          <w:rFonts w:eastAsia="Times New Roman" w:cs="Arial"/>
          <w:color w:val="000000"/>
          <w:vertAlign w:val="superscript"/>
          <w:lang w:eastAsia="bg-BG"/>
        </w:rPr>
        <w:t>14</w:t>
      </w:r>
      <w:r w:rsidRPr="00765D99">
        <w:rPr>
          <w:rFonts w:eastAsia="Times New Roman" w:cs="Arial"/>
          <w:color w:val="000000"/>
          <w:lang w:eastAsia="bg-BG"/>
        </w:rPr>
        <w:t xml:space="preserve">С -маркиран] -солифенацин около 70% от радиоактивността се открива в урината, а 23% в изпражненията след 26 дни. В урината около 11% от радиоактивността се открива като непроменено активно вещество; около 18% като </w:t>
      </w:r>
      <w:r w:rsidRPr="00765D99">
        <w:rPr>
          <w:rFonts w:eastAsia="Times New Roman" w:cs="Arial"/>
          <w:color w:val="000000"/>
          <w:lang w:val="en-US"/>
        </w:rPr>
        <w:t>N</w:t>
      </w:r>
      <w:r w:rsidRPr="00765D99">
        <w:rPr>
          <w:rFonts w:eastAsia="Times New Roman" w:cs="Arial"/>
          <w:color w:val="000000"/>
          <w:lang w:eastAsia="bg-BG"/>
        </w:rPr>
        <w:t>-оксид метаболит, 9% като 4</w:t>
      </w:r>
      <w:r w:rsidRPr="00765D99">
        <w:rPr>
          <w:rFonts w:eastAsia="Times New Roman" w:cs="Arial"/>
          <w:color w:val="000000"/>
          <w:lang w:val="en-US"/>
        </w:rPr>
        <w:t>R</w:t>
      </w:r>
      <w:r w:rsidRPr="00765D99">
        <w:rPr>
          <w:rFonts w:eastAsia="Times New Roman" w:cs="Arial"/>
          <w:color w:val="000000"/>
          <w:lang w:eastAsia="bg-BG"/>
        </w:rPr>
        <w:t>-хидрокси</w:t>
      </w:r>
      <w:r w:rsidRPr="00765D99">
        <w:rPr>
          <w:rFonts w:eastAsia="Times New Roman" w:cs="Arial"/>
          <w:smallCaps/>
          <w:color w:val="000000"/>
          <w:lang w:val="en-US"/>
        </w:rPr>
        <w:t>-N</w:t>
      </w:r>
      <w:r w:rsidRPr="00765D99">
        <w:rPr>
          <w:rFonts w:eastAsia="Times New Roman" w:cs="Arial"/>
          <w:smallCaps/>
          <w:color w:val="000000"/>
          <w:lang w:eastAsia="bg-BG"/>
        </w:rPr>
        <w:t>-оксид</w:t>
      </w:r>
      <w:r w:rsidRPr="00765D99">
        <w:rPr>
          <w:rFonts w:eastAsia="Times New Roman" w:cs="Arial"/>
          <w:color w:val="000000"/>
          <w:lang w:eastAsia="bg-BG"/>
        </w:rPr>
        <w:t xml:space="preserve"> метаболит и 8% като 4</w:t>
      </w:r>
      <w:r w:rsidRPr="00765D99">
        <w:rPr>
          <w:rFonts w:eastAsia="Times New Roman" w:cs="Arial"/>
          <w:color w:val="000000"/>
          <w:lang w:val="en-US"/>
        </w:rPr>
        <w:t>R</w:t>
      </w:r>
      <w:r w:rsidRPr="00765D99">
        <w:rPr>
          <w:rFonts w:eastAsia="Times New Roman" w:cs="Arial"/>
          <w:color w:val="000000"/>
          <w:lang w:eastAsia="bg-BG"/>
        </w:rPr>
        <w:t>-хидрокси метаболит (активен метаболит).</w:t>
      </w:r>
    </w:p>
    <w:p w14:paraId="0202B009" w14:textId="77777777" w:rsidR="00765D99" w:rsidRDefault="00765D99" w:rsidP="00765D9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CE0B73B" w14:textId="0755CF69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color w:val="000000"/>
          <w:u w:val="single"/>
          <w:lang w:eastAsia="bg-BG"/>
        </w:rPr>
        <w:t>Линейност/ нелинейност</w:t>
      </w:r>
    </w:p>
    <w:p w14:paraId="43E222FB" w14:textId="77777777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color w:val="000000"/>
          <w:lang w:eastAsia="bg-BG"/>
        </w:rPr>
        <w:t>Фармакокинетиката е линейна при терапевтичен дозов интервал.</w:t>
      </w:r>
    </w:p>
    <w:p w14:paraId="66D2A925" w14:textId="77777777" w:rsidR="00765D99" w:rsidRDefault="00765D99" w:rsidP="00765D9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564DB23" w14:textId="3C280849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color w:val="000000"/>
          <w:u w:val="single"/>
          <w:lang w:eastAsia="bg-BG"/>
        </w:rPr>
        <w:t xml:space="preserve">Други специални </w:t>
      </w:r>
      <w:r w:rsidRPr="00765D99">
        <w:rPr>
          <w:rFonts w:eastAsia="Times New Roman" w:cs="Arial"/>
          <w:i/>
          <w:iCs/>
          <w:color w:val="000000"/>
          <w:u w:val="single"/>
          <w:lang w:eastAsia="bg-BG"/>
        </w:rPr>
        <w:t>популации</w:t>
      </w:r>
    </w:p>
    <w:p w14:paraId="1937B365" w14:textId="77777777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i/>
          <w:iCs/>
          <w:color w:val="000000"/>
          <w:lang w:eastAsia="bg-BG"/>
        </w:rPr>
        <w:t>Пациенти в старческа възраст</w:t>
      </w:r>
    </w:p>
    <w:p w14:paraId="11A24C18" w14:textId="05321ADC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color w:val="000000"/>
          <w:lang w:eastAsia="bg-BG"/>
        </w:rPr>
        <w:t xml:space="preserve">Не е необходимо адаптиране на дозата въз основа на възрастта. Проучванията при пациенти в старческа възраст показват, че експозицията на солифенацин, изразена чрез </w:t>
      </w:r>
      <w:r w:rsidRPr="00765D99">
        <w:rPr>
          <w:rFonts w:eastAsia="Times New Roman" w:cs="Arial"/>
          <w:color w:val="000000"/>
          <w:lang w:val="en-US"/>
        </w:rPr>
        <w:t xml:space="preserve">AUC, </w:t>
      </w:r>
      <w:r w:rsidRPr="00765D99">
        <w:rPr>
          <w:rFonts w:eastAsia="Times New Roman" w:cs="Arial"/>
          <w:color w:val="000000"/>
          <w:lang w:eastAsia="bg-BG"/>
        </w:rPr>
        <w:t xml:space="preserve">след приложение на солифенацинов сукцинат (5 </w:t>
      </w:r>
      <w:r w:rsidRPr="00765D99">
        <w:rPr>
          <w:rFonts w:eastAsia="Times New Roman" w:cs="Arial"/>
          <w:color w:val="000000"/>
          <w:lang w:val="en-US"/>
        </w:rPr>
        <w:t xml:space="preserve">mg </w:t>
      </w:r>
      <w:r w:rsidRPr="00765D99">
        <w:rPr>
          <w:rFonts w:eastAsia="Times New Roman" w:cs="Arial"/>
          <w:color w:val="000000"/>
          <w:lang w:eastAsia="bg-BG"/>
        </w:rPr>
        <w:t xml:space="preserve">и 10 </w:t>
      </w:r>
      <w:r w:rsidRPr="00765D99">
        <w:rPr>
          <w:rFonts w:eastAsia="Times New Roman" w:cs="Arial"/>
          <w:color w:val="000000"/>
          <w:lang w:val="en-US"/>
        </w:rPr>
        <w:t xml:space="preserve">mg </w:t>
      </w:r>
      <w:r w:rsidRPr="00765D99">
        <w:rPr>
          <w:rFonts w:eastAsia="Times New Roman" w:cs="Arial"/>
          <w:color w:val="000000"/>
          <w:lang w:eastAsia="bg-BG"/>
        </w:rPr>
        <w:t xml:space="preserve">веднъж дневно) е сходна при здрави субекти в старческа възраст (на възраст 65 до 70 години) и здрави по-млади субекти (на възраст под 55 години). Средната скорост на резорбция, изразена чрез </w:t>
      </w:r>
      <w:proofErr w:type="spellStart"/>
      <w:r w:rsidRPr="00765D99">
        <w:rPr>
          <w:rFonts w:eastAsia="Times New Roman" w:cs="Arial"/>
          <w:color w:val="000000"/>
          <w:lang w:val="en-US"/>
        </w:rPr>
        <w:t>t</w:t>
      </w:r>
      <w:r w:rsidRPr="00765D99">
        <w:rPr>
          <w:rFonts w:eastAsia="Times New Roman" w:cs="Arial"/>
          <w:color w:val="000000"/>
          <w:vertAlign w:val="subscript"/>
          <w:lang w:val="en-US"/>
        </w:rPr>
        <w:t>max</w:t>
      </w:r>
      <w:proofErr w:type="spellEnd"/>
      <w:r w:rsidRPr="00765D99">
        <w:rPr>
          <w:rFonts w:eastAsia="Times New Roman" w:cs="Arial"/>
          <w:color w:val="000000"/>
          <w:lang w:val="en-US"/>
        </w:rPr>
        <w:t xml:space="preserve"> </w:t>
      </w:r>
      <w:r w:rsidRPr="00765D99">
        <w:rPr>
          <w:rFonts w:eastAsia="Times New Roman" w:cs="Arial"/>
          <w:color w:val="000000"/>
          <w:lang w:eastAsia="bg-BG"/>
        </w:rPr>
        <w:t xml:space="preserve">е била </w:t>
      </w:r>
      <w:r w:rsidRPr="00765D99">
        <w:rPr>
          <w:rFonts w:eastAsia="Times New Roman" w:cs="Arial"/>
          <w:color w:val="000000"/>
          <w:u w:val="single"/>
          <w:lang w:eastAsia="bg-BG"/>
        </w:rPr>
        <w:t>малко</w:t>
      </w:r>
      <w:r w:rsidRPr="00765D99">
        <w:rPr>
          <w:rFonts w:eastAsia="Times New Roman" w:cs="Arial"/>
          <w:color w:val="000000"/>
          <w:lang w:eastAsia="bg-BG"/>
        </w:rPr>
        <w:t xml:space="preserve"> по- бавна при пациенти в старческа възраст, а терминалният полуживот е бил приблизително 20%</w:t>
      </w:r>
      <w:r>
        <w:rPr>
          <w:rFonts w:eastAsia="Times New Roman" w:cs="Arial"/>
          <w:lang w:eastAsia="bg-BG"/>
        </w:rPr>
        <w:t xml:space="preserve"> </w:t>
      </w:r>
      <w:r w:rsidRPr="00765D99">
        <w:rPr>
          <w:rFonts w:eastAsia="Times New Roman" w:cs="Arial"/>
          <w:color w:val="000000"/>
          <w:lang w:eastAsia="bg-BG"/>
        </w:rPr>
        <w:t>по-дълъг при пациенти в старческа възраст. Тези леки разлики не се считат за клинично значими.</w:t>
      </w:r>
    </w:p>
    <w:p w14:paraId="7B092637" w14:textId="6E3D0AE3" w:rsidR="00765D99" w:rsidRDefault="00765D99" w:rsidP="00765D99">
      <w:pPr>
        <w:rPr>
          <w:rFonts w:eastAsia="Times New Roman" w:cs="Arial"/>
          <w:color w:val="000000"/>
          <w:lang w:eastAsia="bg-BG"/>
        </w:rPr>
      </w:pPr>
      <w:r w:rsidRPr="00765D99">
        <w:rPr>
          <w:rFonts w:eastAsia="Times New Roman" w:cs="Arial"/>
          <w:color w:val="000000"/>
          <w:lang w:eastAsia="bg-BG"/>
        </w:rPr>
        <w:t>Фармакокинетиката на солифенацин при деца и юноши не е установена.</w:t>
      </w:r>
    </w:p>
    <w:p w14:paraId="36D7A3AC" w14:textId="09AEC50B" w:rsidR="00765D99" w:rsidRDefault="00765D99" w:rsidP="00765D99">
      <w:pPr>
        <w:rPr>
          <w:rFonts w:eastAsia="Times New Roman" w:cs="Arial"/>
          <w:color w:val="000000"/>
          <w:lang w:eastAsia="bg-BG"/>
        </w:rPr>
      </w:pPr>
    </w:p>
    <w:p w14:paraId="4A4FB967" w14:textId="77777777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i/>
          <w:iCs/>
          <w:color w:val="000000"/>
          <w:lang w:eastAsia="bg-BG"/>
        </w:rPr>
        <w:t>Пол</w:t>
      </w:r>
    </w:p>
    <w:p w14:paraId="6F888752" w14:textId="77777777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color w:val="000000"/>
          <w:lang w:eastAsia="bg-BG"/>
        </w:rPr>
        <w:t>Фармакокинетиката на солифенацин не се повлиява от пола.</w:t>
      </w:r>
    </w:p>
    <w:p w14:paraId="63BC4C00" w14:textId="77777777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i/>
          <w:iCs/>
          <w:color w:val="000000"/>
          <w:lang w:eastAsia="bg-BG"/>
        </w:rPr>
        <w:t>Раса</w:t>
      </w:r>
    </w:p>
    <w:p w14:paraId="49BC758A" w14:textId="77777777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color w:val="000000"/>
          <w:lang w:eastAsia="bg-BG"/>
        </w:rPr>
        <w:t>Фармакокинетиката на солифенацин не се повлиява от расата.</w:t>
      </w:r>
    </w:p>
    <w:p w14:paraId="5DF60B4B" w14:textId="77777777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i/>
          <w:iCs/>
          <w:color w:val="000000"/>
          <w:lang w:eastAsia="bg-BG"/>
        </w:rPr>
        <w:lastRenderedPageBreak/>
        <w:t>Бъбречно увреждане</w:t>
      </w:r>
    </w:p>
    <w:p w14:paraId="431C261F" w14:textId="77777777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i/>
          <w:iCs/>
          <w:color w:val="000000"/>
          <w:lang w:val="en-US"/>
        </w:rPr>
        <w:t>AUC</w:t>
      </w:r>
      <w:r w:rsidRPr="00765D99">
        <w:rPr>
          <w:rFonts w:eastAsia="Times New Roman" w:cs="Arial"/>
          <w:color w:val="000000"/>
          <w:lang w:val="en-US"/>
        </w:rPr>
        <w:t xml:space="preserve"> </w:t>
      </w:r>
      <w:r w:rsidRPr="00765D99">
        <w:rPr>
          <w:rFonts w:eastAsia="Times New Roman" w:cs="Arial"/>
          <w:color w:val="000000"/>
          <w:lang w:eastAsia="bg-BG"/>
        </w:rPr>
        <w:t>и С</w:t>
      </w:r>
      <w:r w:rsidRPr="00765D99">
        <w:rPr>
          <w:rFonts w:eastAsia="Times New Roman" w:cs="Arial"/>
          <w:color w:val="000000"/>
          <w:vertAlign w:val="subscript"/>
          <w:lang w:val="en-US"/>
        </w:rPr>
        <w:t>max</w:t>
      </w:r>
      <w:r w:rsidRPr="00765D99">
        <w:rPr>
          <w:rFonts w:eastAsia="Times New Roman" w:cs="Arial"/>
          <w:color w:val="000000"/>
          <w:lang w:eastAsia="bg-BG"/>
        </w:rPr>
        <w:t xml:space="preserve"> на солифенацин при пациенти с леко до умерено бъбречно увреждане не се различава съществено от тези при здрави доброволци. При пациенти с тежко бъбречно увреждане (креатининов клирънс ≤30 </w:t>
      </w:r>
      <w:r w:rsidRPr="00765D99">
        <w:rPr>
          <w:rFonts w:eastAsia="Times New Roman" w:cs="Arial"/>
          <w:color w:val="000000"/>
          <w:lang w:val="en-US"/>
        </w:rPr>
        <w:t xml:space="preserve">ml/min) </w:t>
      </w:r>
      <w:r w:rsidRPr="00765D99">
        <w:rPr>
          <w:rFonts w:eastAsia="Times New Roman" w:cs="Arial"/>
          <w:color w:val="000000"/>
          <w:lang w:eastAsia="bg-BG"/>
        </w:rPr>
        <w:t>експозицията на солифенацин е съществено по- висока отколкото при контролите, като повишението в С</w:t>
      </w:r>
      <w:r w:rsidRPr="00765D99">
        <w:rPr>
          <w:rFonts w:eastAsia="Times New Roman" w:cs="Arial"/>
          <w:color w:val="000000"/>
          <w:vertAlign w:val="subscript"/>
          <w:lang w:val="en-US"/>
        </w:rPr>
        <w:t>max</w:t>
      </w:r>
      <w:r w:rsidRPr="00765D99">
        <w:rPr>
          <w:rFonts w:eastAsia="Times New Roman" w:cs="Arial"/>
          <w:color w:val="000000"/>
          <w:lang w:eastAsia="bg-BG"/>
        </w:rPr>
        <w:t xml:space="preserve"> е около 30%, </w:t>
      </w:r>
      <w:r w:rsidRPr="00765D99">
        <w:rPr>
          <w:rFonts w:eastAsia="Times New Roman" w:cs="Arial"/>
          <w:color w:val="000000"/>
          <w:lang w:val="en-US"/>
        </w:rPr>
        <w:t xml:space="preserve">AUC </w:t>
      </w:r>
      <w:r w:rsidRPr="00765D99">
        <w:rPr>
          <w:rFonts w:eastAsia="Times New Roman" w:cs="Arial"/>
          <w:color w:val="000000"/>
          <w:lang w:eastAsia="bg-BG"/>
        </w:rPr>
        <w:t xml:space="preserve">не повече от 100% и </w:t>
      </w:r>
      <w:r w:rsidRPr="00765D99">
        <w:rPr>
          <w:rFonts w:eastAsia="Times New Roman" w:cs="Arial"/>
          <w:i/>
          <w:iCs/>
          <w:color w:val="000000"/>
          <w:lang w:eastAsia="bg-BG"/>
        </w:rPr>
        <w:t>Ь/,</w:t>
      </w:r>
      <w:r w:rsidRPr="00765D99">
        <w:rPr>
          <w:rFonts w:eastAsia="Times New Roman" w:cs="Arial"/>
          <w:color w:val="000000"/>
          <w:lang w:eastAsia="bg-BG"/>
        </w:rPr>
        <w:t xml:space="preserve"> не повече от 60%. Статистически значима връзка е наблюдавана между креатининовия клирънс и клирънса на солифенацин..</w:t>
      </w:r>
    </w:p>
    <w:p w14:paraId="29EF3FFD" w14:textId="77777777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color w:val="000000"/>
          <w:lang w:eastAsia="bg-BG"/>
        </w:rPr>
        <w:t>Фармакокинетиката при пациенти на хемодиализа не е проучвана.</w:t>
      </w:r>
    </w:p>
    <w:p w14:paraId="5A76A6BF" w14:textId="77777777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i/>
          <w:iCs/>
          <w:color w:val="000000"/>
          <w:lang w:eastAsia="bg-BG"/>
        </w:rPr>
        <w:t>Чернодробно увреждане</w:t>
      </w:r>
    </w:p>
    <w:p w14:paraId="14E7E56D" w14:textId="77777777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color w:val="000000"/>
          <w:lang w:eastAsia="bg-BG"/>
        </w:rPr>
        <w:t xml:space="preserve">При пациенти с умерено чернодробно увреждане (точки по </w:t>
      </w:r>
      <w:r w:rsidRPr="00765D99">
        <w:rPr>
          <w:rFonts w:eastAsia="Times New Roman" w:cs="Arial"/>
          <w:color w:val="000000"/>
          <w:lang w:val="en-US"/>
        </w:rPr>
        <w:t xml:space="preserve">Child-Pugh </w:t>
      </w:r>
      <w:r w:rsidRPr="00765D99">
        <w:rPr>
          <w:rFonts w:eastAsia="Times New Roman" w:cs="Arial"/>
          <w:color w:val="000000"/>
          <w:lang w:eastAsia="bg-BG"/>
        </w:rPr>
        <w:t>от 7 до 9) С</w:t>
      </w:r>
      <w:r w:rsidRPr="00765D99">
        <w:rPr>
          <w:rFonts w:eastAsia="Times New Roman" w:cs="Arial"/>
          <w:color w:val="000000"/>
          <w:vertAlign w:val="subscript"/>
          <w:lang w:val="en-US"/>
        </w:rPr>
        <w:t>max</w:t>
      </w:r>
      <w:r w:rsidRPr="00765D99">
        <w:rPr>
          <w:rFonts w:eastAsia="Times New Roman" w:cs="Arial"/>
          <w:color w:val="000000"/>
          <w:lang w:eastAsia="bg-BG"/>
        </w:rPr>
        <w:t xml:space="preserve"> не се променя, </w:t>
      </w:r>
      <w:r w:rsidRPr="00765D99">
        <w:rPr>
          <w:rFonts w:eastAsia="Times New Roman" w:cs="Arial"/>
          <w:color w:val="000000"/>
          <w:lang w:val="en-US"/>
        </w:rPr>
        <w:t xml:space="preserve">AUC </w:t>
      </w:r>
      <w:r w:rsidRPr="00765D99">
        <w:rPr>
          <w:rFonts w:eastAsia="Times New Roman" w:cs="Arial"/>
          <w:color w:val="000000"/>
          <w:lang w:eastAsia="bg-BG"/>
        </w:rPr>
        <w:t xml:space="preserve">се повишава с 60%, </w:t>
      </w:r>
      <w:r w:rsidRPr="00765D99">
        <w:rPr>
          <w:rFonts w:eastAsia="Times New Roman" w:cs="Arial"/>
          <w:color w:val="000000"/>
          <w:lang w:val="en-US"/>
        </w:rPr>
        <w:t xml:space="preserve">a </w:t>
      </w:r>
      <w:r w:rsidRPr="00765D99">
        <w:rPr>
          <w:rFonts w:eastAsia="Times New Roman" w:cs="Arial"/>
          <w:color w:val="000000"/>
          <w:lang w:eastAsia="bg-BG"/>
        </w:rPr>
        <w:t>се удвоява. Фармакокинетиката на солифенацин при пациенти с тежко чернодробно увреждане не е проучвана.</w:t>
      </w:r>
    </w:p>
    <w:p w14:paraId="10C9FC62" w14:textId="77777777" w:rsidR="00765D99" w:rsidRPr="00765D99" w:rsidRDefault="00765D99" w:rsidP="00765D99">
      <w:pPr>
        <w:rPr>
          <w:rFonts w:cs="Arial"/>
        </w:rPr>
      </w:pPr>
    </w:p>
    <w:p w14:paraId="0CC65FE3" w14:textId="1439B607" w:rsidR="00EE6C97" w:rsidRDefault="002C50EE" w:rsidP="00A93499">
      <w:pPr>
        <w:pStyle w:val="Heading2"/>
      </w:pPr>
      <w:r>
        <w:t>5.3. Предклинични данни за безопасност</w:t>
      </w:r>
    </w:p>
    <w:p w14:paraId="0508F819" w14:textId="44228A7C" w:rsidR="00765D99" w:rsidRDefault="00765D99" w:rsidP="00765D99"/>
    <w:p w14:paraId="581E1B33" w14:textId="77777777" w:rsidR="00765D99" w:rsidRPr="00765D99" w:rsidRDefault="00765D99" w:rsidP="00765D99">
      <w:pPr>
        <w:spacing w:line="240" w:lineRule="auto"/>
        <w:rPr>
          <w:rFonts w:eastAsia="Times New Roman" w:cs="Arial"/>
          <w:lang w:eastAsia="bg-BG"/>
        </w:rPr>
      </w:pPr>
      <w:r w:rsidRPr="00765D99">
        <w:rPr>
          <w:rFonts w:eastAsia="Times New Roman" w:cs="Arial"/>
          <w:color w:val="000000"/>
          <w:lang w:eastAsia="bg-BG"/>
        </w:rPr>
        <w:t>Предклиничните данни не показват особен риск за хората въз основа на конвенционалните фармакологични проучвания за безопасност, токсичност при многократно дозиране, фертилитет, ембрио-фетално развитие, генотоксичност и карциногенен потенциал. При проучване на пре- и постнаталното развитие при мишки, лечение със солифенацин на майката по време на кърмене предизвиква дозозависимо понижение на преживяемостта след раждане, понижено тегло на малките и по-бавни клинично значими нива на развитие. Свързана с дозата повишена смъртност без предхождащи клинични признаци настъпва при млади мишки, лекувани от ден 10 или ден 21 след раждането с дози, с които е постигнат фармакологичен ефект, като и при двете групи смъртността е по-висока в сравнение с тази при възрастни мишки. При младите мишки, лекувани от ден 10 след раждането, плазмената експозиция е била по-висока от тази при възрастни мишки; при лекуваните от ден 21 след раждането, системната експозиция е сравнима с тази при възрастни мишки. Не са известни клиничните последствия от повишената смъртност при млади мишки.</w:t>
      </w:r>
    </w:p>
    <w:p w14:paraId="7C2781BF" w14:textId="77777777" w:rsidR="00765D99" w:rsidRPr="00765D99" w:rsidRDefault="00765D99" w:rsidP="00765D99"/>
    <w:p w14:paraId="357049A8" w14:textId="0CCC7DED" w:rsidR="00BB22B4" w:rsidRDefault="002C50EE" w:rsidP="00471F10">
      <w:pPr>
        <w:pStyle w:val="Heading1"/>
      </w:pPr>
      <w:r>
        <w:t>7. ПРИТЕЖАТЕЛ НА РАЗРЕШЕНИЕТО ЗА УПОТРЕБА</w:t>
      </w:r>
    </w:p>
    <w:p w14:paraId="1C07A153" w14:textId="6BC4B7C7" w:rsidR="00765D99" w:rsidRDefault="00765D99" w:rsidP="00765D99"/>
    <w:p w14:paraId="74CB4A32" w14:textId="0D3BFB26" w:rsidR="00765D99" w:rsidRPr="00765D99" w:rsidRDefault="00765D99" w:rsidP="00765D99">
      <w:pPr>
        <w:rPr>
          <w:sz w:val="24"/>
          <w:szCs w:val="24"/>
          <w:lang w:val="en-US" w:eastAsia="bg-BG"/>
        </w:rPr>
      </w:pPr>
      <w:proofErr w:type="spellStart"/>
      <w:r w:rsidRPr="00765D99">
        <w:rPr>
          <w:lang w:val="en-US"/>
        </w:rPr>
        <w:t>Medochemie</w:t>
      </w:r>
      <w:proofErr w:type="spellEnd"/>
      <w:r w:rsidRPr="00765D99">
        <w:rPr>
          <w:lang w:val="en-US"/>
        </w:rPr>
        <w:t xml:space="preserve"> Ltd., Central Factory, 1-10 </w:t>
      </w:r>
      <w:proofErr w:type="spellStart"/>
      <w:r w:rsidRPr="00765D99">
        <w:rPr>
          <w:lang w:val="en-US"/>
        </w:rPr>
        <w:t>Constantinoupoleos</w:t>
      </w:r>
      <w:proofErr w:type="spellEnd"/>
      <w:r w:rsidRPr="00765D99">
        <w:rPr>
          <w:lang w:val="en-US"/>
        </w:rPr>
        <w:t xml:space="preserve"> Street, 3011, Limassol, </w:t>
      </w:r>
      <w:r w:rsidRPr="00765D99">
        <w:rPr>
          <w:lang w:eastAsia="bg-BG"/>
        </w:rPr>
        <w:t>Кипър</w:t>
      </w:r>
    </w:p>
    <w:p w14:paraId="0A53321D" w14:textId="2AB823B1" w:rsidR="00EE6C97" w:rsidRDefault="00936AD0" w:rsidP="00A93499">
      <w:pPr>
        <w:pStyle w:val="Heading1"/>
      </w:pPr>
      <w:r>
        <w:t>8.</w:t>
      </w:r>
      <w:r w:rsidR="002C50EE">
        <w:t>НОМЕР НА РАЗРЕШЕНИЕТО ЗА УПОТРЕБА</w:t>
      </w:r>
    </w:p>
    <w:p w14:paraId="753E0035" w14:textId="669AF952" w:rsidR="00765D99" w:rsidRDefault="00765D99" w:rsidP="00765D99"/>
    <w:p w14:paraId="625BB998" w14:textId="46890A67" w:rsidR="00765D99" w:rsidRPr="00765D99" w:rsidRDefault="00765D99" w:rsidP="00765D99">
      <w:r>
        <w:t>Per. №: 20170103</w:t>
      </w:r>
    </w:p>
    <w:p w14:paraId="3715C10B" w14:textId="663C766D" w:rsidR="00BB22B4" w:rsidRDefault="002C50EE" w:rsidP="00471F10">
      <w:pPr>
        <w:pStyle w:val="Heading1"/>
      </w:pPr>
      <w:r>
        <w:t>9. ДАТА НА ПЪРВО РАЗРЕШАВАНЕ/ПОДНОВЯВАНЕ НА РАЗРЕШЕНИЕТО ЗА УПОТРЕБА</w:t>
      </w:r>
    </w:p>
    <w:p w14:paraId="38981CDF" w14:textId="3E9878B8" w:rsidR="00765D99" w:rsidRDefault="00765D99" w:rsidP="00765D99"/>
    <w:p w14:paraId="31DD8A15" w14:textId="77777777" w:rsidR="00765D99" w:rsidRPr="00765D99" w:rsidRDefault="00765D99" w:rsidP="00765D99">
      <w:pPr>
        <w:rPr>
          <w:sz w:val="24"/>
          <w:szCs w:val="24"/>
          <w:lang w:eastAsia="bg-BG"/>
        </w:rPr>
      </w:pPr>
      <w:r w:rsidRPr="00765D99">
        <w:rPr>
          <w:lang w:eastAsia="bg-BG"/>
        </w:rPr>
        <w:t>Дата на първо разрешаване: 13 март 2017 г.</w:t>
      </w:r>
    </w:p>
    <w:p w14:paraId="1B071E66" w14:textId="77777777" w:rsidR="00765D99" w:rsidRPr="00765D99" w:rsidRDefault="00765D99" w:rsidP="00765D99">
      <w:pPr>
        <w:rPr>
          <w:sz w:val="24"/>
          <w:szCs w:val="24"/>
          <w:lang w:eastAsia="bg-BG"/>
        </w:rPr>
      </w:pPr>
      <w:r w:rsidRPr="00765D99">
        <w:rPr>
          <w:lang w:eastAsia="bg-BG"/>
        </w:rPr>
        <w:t>Дата на последно подновяване:</w:t>
      </w:r>
    </w:p>
    <w:p w14:paraId="7A5BFF49" w14:textId="77777777" w:rsidR="00765D99" w:rsidRPr="00765D99" w:rsidRDefault="00765D99" w:rsidP="00765D99"/>
    <w:p w14:paraId="43FB38A2" w14:textId="0C18A683" w:rsidR="007C605B" w:rsidRDefault="002C50EE" w:rsidP="005726E3">
      <w:pPr>
        <w:pStyle w:val="Heading1"/>
      </w:pPr>
      <w:r>
        <w:lastRenderedPageBreak/>
        <w:t>10. ДАТА НА АКТУАЛИЗИРАНЕ НА ТЕКСТА</w:t>
      </w:r>
      <w:bookmarkEnd w:id="0"/>
    </w:p>
    <w:p w14:paraId="472617BD" w14:textId="766DA703" w:rsidR="00BB22B4" w:rsidRPr="00BB22B4" w:rsidRDefault="00765D99" w:rsidP="00765D99">
      <w:r>
        <w:t>03/2021</w:t>
      </w:r>
    </w:p>
    <w:sectPr w:rsidR="00BB22B4" w:rsidRPr="00B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4CA3AEF"/>
    <w:multiLevelType w:val="hybridMultilevel"/>
    <w:tmpl w:val="2B5270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9304D31"/>
    <w:multiLevelType w:val="hybridMultilevel"/>
    <w:tmpl w:val="558E9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D37A7"/>
    <w:multiLevelType w:val="hybridMultilevel"/>
    <w:tmpl w:val="46CC86F0"/>
    <w:lvl w:ilvl="0" w:tplc="D1263D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769C6"/>
    <w:multiLevelType w:val="hybridMultilevel"/>
    <w:tmpl w:val="1BC23C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3647B"/>
    <w:multiLevelType w:val="hybridMultilevel"/>
    <w:tmpl w:val="0CFC9E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06251"/>
    <w:multiLevelType w:val="hybridMultilevel"/>
    <w:tmpl w:val="1090AE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 w16cid:durableId="1574118384">
    <w:abstractNumId w:val="32"/>
  </w:num>
  <w:num w:numId="2" w16cid:durableId="1612932146">
    <w:abstractNumId w:val="0"/>
  </w:num>
  <w:num w:numId="3" w16cid:durableId="1810323821">
    <w:abstractNumId w:val="16"/>
  </w:num>
  <w:num w:numId="4" w16cid:durableId="2135319613">
    <w:abstractNumId w:val="3"/>
  </w:num>
  <w:num w:numId="5" w16cid:durableId="740105516">
    <w:abstractNumId w:val="1"/>
  </w:num>
  <w:num w:numId="6" w16cid:durableId="1668363208">
    <w:abstractNumId w:val="20"/>
  </w:num>
  <w:num w:numId="7" w16cid:durableId="1241988161">
    <w:abstractNumId w:val="13"/>
  </w:num>
  <w:num w:numId="8" w16cid:durableId="2102022361">
    <w:abstractNumId w:val="19"/>
  </w:num>
  <w:num w:numId="9" w16cid:durableId="1154613663">
    <w:abstractNumId w:val="2"/>
  </w:num>
  <w:num w:numId="10" w16cid:durableId="1733848127">
    <w:abstractNumId w:val="4"/>
  </w:num>
  <w:num w:numId="11" w16cid:durableId="1861704680">
    <w:abstractNumId w:val="35"/>
  </w:num>
  <w:num w:numId="12" w16cid:durableId="1434934028">
    <w:abstractNumId w:val="17"/>
  </w:num>
  <w:num w:numId="13" w16cid:durableId="479157895">
    <w:abstractNumId w:val="24"/>
  </w:num>
  <w:num w:numId="14" w16cid:durableId="1670476636">
    <w:abstractNumId w:val="15"/>
  </w:num>
  <w:num w:numId="15" w16cid:durableId="1000155783">
    <w:abstractNumId w:val="34"/>
  </w:num>
  <w:num w:numId="16" w16cid:durableId="2056420707">
    <w:abstractNumId w:val="12"/>
  </w:num>
  <w:num w:numId="17" w16cid:durableId="1787119182">
    <w:abstractNumId w:val="29"/>
  </w:num>
  <w:num w:numId="18" w16cid:durableId="722945139">
    <w:abstractNumId w:val="9"/>
  </w:num>
  <w:num w:numId="19" w16cid:durableId="1678728408">
    <w:abstractNumId w:val="31"/>
  </w:num>
  <w:num w:numId="20" w16cid:durableId="1970816657">
    <w:abstractNumId w:val="28"/>
  </w:num>
  <w:num w:numId="21" w16cid:durableId="1531146514">
    <w:abstractNumId w:val="21"/>
  </w:num>
  <w:num w:numId="22" w16cid:durableId="1276465">
    <w:abstractNumId w:val="30"/>
  </w:num>
  <w:num w:numId="23" w16cid:durableId="1624310558">
    <w:abstractNumId w:val="22"/>
  </w:num>
  <w:num w:numId="24" w16cid:durableId="1692877547">
    <w:abstractNumId w:val="10"/>
  </w:num>
  <w:num w:numId="25" w16cid:durableId="50930855">
    <w:abstractNumId w:val="27"/>
  </w:num>
  <w:num w:numId="26" w16cid:durableId="176701536">
    <w:abstractNumId w:val="26"/>
  </w:num>
  <w:num w:numId="27" w16cid:durableId="2050564750">
    <w:abstractNumId w:val="37"/>
  </w:num>
  <w:num w:numId="28" w16cid:durableId="1820733422">
    <w:abstractNumId w:val="6"/>
  </w:num>
  <w:num w:numId="29" w16cid:durableId="973678124">
    <w:abstractNumId w:val="25"/>
  </w:num>
  <w:num w:numId="30" w16cid:durableId="154884452">
    <w:abstractNumId w:val="41"/>
  </w:num>
  <w:num w:numId="31" w16cid:durableId="1053964910">
    <w:abstractNumId w:val="5"/>
  </w:num>
  <w:num w:numId="32" w16cid:durableId="2073575793">
    <w:abstractNumId w:val="39"/>
  </w:num>
  <w:num w:numId="33" w16cid:durableId="1566643170">
    <w:abstractNumId w:val="33"/>
  </w:num>
  <w:num w:numId="34" w16cid:durableId="2060787732">
    <w:abstractNumId w:val="38"/>
  </w:num>
  <w:num w:numId="35" w16cid:durableId="34161354">
    <w:abstractNumId w:val="8"/>
  </w:num>
  <w:num w:numId="36" w16cid:durableId="1976908676">
    <w:abstractNumId w:val="11"/>
  </w:num>
  <w:num w:numId="37" w16cid:durableId="758528303">
    <w:abstractNumId w:val="18"/>
  </w:num>
  <w:num w:numId="38" w16cid:durableId="178396561">
    <w:abstractNumId w:val="40"/>
  </w:num>
  <w:num w:numId="39" w16cid:durableId="934825996">
    <w:abstractNumId w:val="14"/>
  </w:num>
  <w:num w:numId="40" w16cid:durableId="1774200480">
    <w:abstractNumId w:val="36"/>
  </w:num>
  <w:num w:numId="41" w16cid:durableId="1209417078">
    <w:abstractNumId w:val="7"/>
  </w:num>
  <w:num w:numId="42" w16cid:durableId="11965792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0D1B49"/>
    <w:rsid w:val="000D27AA"/>
    <w:rsid w:val="00185A46"/>
    <w:rsid w:val="001915B6"/>
    <w:rsid w:val="001A6EBD"/>
    <w:rsid w:val="001D1B23"/>
    <w:rsid w:val="002B3C38"/>
    <w:rsid w:val="002B4DBB"/>
    <w:rsid w:val="002C50EE"/>
    <w:rsid w:val="00323AB7"/>
    <w:rsid w:val="00340A0A"/>
    <w:rsid w:val="003765DC"/>
    <w:rsid w:val="00395555"/>
    <w:rsid w:val="003E3126"/>
    <w:rsid w:val="00426E5F"/>
    <w:rsid w:val="00471F10"/>
    <w:rsid w:val="004A448E"/>
    <w:rsid w:val="004D4D6B"/>
    <w:rsid w:val="004F1CE7"/>
    <w:rsid w:val="004F498A"/>
    <w:rsid w:val="00517A5B"/>
    <w:rsid w:val="005726E3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65D99"/>
    <w:rsid w:val="007C605B"/>
    <w:rsid w:val="008134C8"/>
    <w:rsid w:val="00814073"/>
    <w:rsid w:val="00826F0D"/>
    <w:rsid w:val="00875EEC"/>
    <w:rsid w:val="00893B92"/>
    <w:rsid w:val="008A6AF2"/>
    <w:rsid w:val="008C70A2"/>
    <w:rsid w:val="00936AD0"/>
    <w:rsid w:val="00954129"/>
    <w:rsid w:val="009773E4"/>
    <w:rsid w:val="009B171C"/>
    <w:rsid w:val="009F1313"/>
    <w:rsid w:val="00A20351"/>
    <w:rsid w:val="00A65A81"/>
    <w:rsid w:val="00A71DCF"/>
    <w:rsid w:val="00A93499"/>
    <w:rsid w:val="00AA23EC"/>
    <w:rsid w:val="00AC63CE"/>
    <w:rsid w:val="00AE2107"/>
    <w:rsid w:val="00B275A8"/>
    <w:rsid w:val="00B6672E"/>
    <w:rsid w:val="00BA5B74"/>
    <w:rsid w:val="00BB22B4"/>
    <w:rsid w:val="00BD3FB9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B32D3"/>
    <w:rsid w:val="00DD466D"/>
    <w:rsid w:val="00EB6364"/>
    <w:rsid w:val="00EE6C97"/>
    <w:rsid w:val="00F37B64"/>
    <w:rsid w:val="00F53FB7"/>
    <w:rsid w:val="00F7394A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3230</Words>
  <Characters>18417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ВАСИЛЕВ</cp:lastModifiedBy>
  <cp:revision>2</cp:revision>
  <dcterms:created xsi:type="dcterms:W3CDTF">2023-01-06T21:51:00Z</dcterms:created>
  <dcterms:modified xsi:type="dcterms:W3CDTF">2023-01-06T21:51:00Z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