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5952DF89" w:rsidR="00AA23EC" w:rsidRDefault="00DD466D" w:rsidP="00DD466D">
      <w:pPr>
        <w:pStyle w:val="Heading1"/>
      </w:pPr>
      <w:r>
        <w:t>1.ИМЕ НА ЛЕКАРСТВЕНИЯ ПРОДУКТ</w:t>
      </w:r>
    </w:p>
    <w:p w14:paraId="5B567910" w14:textId="1F6F430A" w:rsidR="00CC2027" w:rsidRDefault="00CC2027" w:rsidP="00CC2027"/>
    <w:p w14:paraId="32B75A68" w14:textId="7E18693A" w:rsidR="00CC2027" w:rsidRPr="00CC2027" w:rsidRDefault="00CC2027" w:rsidP="00CC2027">
      <w:pPr>
        <w:rPr>
          <w:sz w:val="24"/>
          <w:szCs w:val="24"/>
          <w:lang w:val="ru-RU"/>
        </w:rPr>
      </w:pPr>
      <w:r w:rsidRPr="00CC2027">
        <w:rPr>
          <w:lang w:eastAsia="bg-BG"/>
        </w:rPr>
        <w:t xml:space="preserve">Везомни 6 </w:t>
      </w:r>
      <w:r w:rsidRPr="00CC2027">
        <w:rPr>
          <w:lang w:val="en-US"/>
        </w:rPr>
        <w:t>mg</w:t>
      </w:r>
      <w:r>
        <w:rPr>
          <w:lang w:val="ru-RU"/>
        </w:rPr>
        <w:t>/0,4</w:t>
      </w:r>
      <w:r w:rsidRPr="00CC2027">
        <w:rPr>
          <w:lang w:val="en-US"/>
        </w:rPr>
        <w:t>mg</w:t>
      </w:r>
      <w:r w:rsidRPr="00CC2027">
        <w:rPr>
          <w:lang w:val="ru-RU"/>
        </w:rPr>
        <w:t xml:space="preserve"> </w:t>
      </w:r>
      <w:r w:rsidRPr="00CC2027">
        <w:rPr>
          <w:lang w:eastAsia="bg-BG"/>
        </w:rPr>
        <w:t>таблетки с изменено освобождаване</w:t>
      </w:r>
    </w:p>
    <w:p w14:paraId="0A6BA383" w14:textId="6EA018BA" w:rsidR="00CC2027" w:rsidRPr="00CC2027" w:rsidRDefault="00CC2027" w:rsidP="00CC2027">
      <w:proofErr w:type="spellStart"/>
      <w:r w:rsidRPr="00CC2027">
        <w:rPr>
          <w:lang w:val="en-US"/>
        </w:rPr>
        <w:t>Vesomni</w:t>
      </w:r>
      <w:proofErr w:type="spellEnd"/>
      <w:r w:rsidRPr="00CC2027">
        <w:rPr>
          <w:lang w:val="en-US"/>
        </w:rPr>
        <w:t xml:space="preserve"> </w:t>
      </w:r>
      <w:r w:rsidRPr="00CC2027">
        <w:rPr>
          <w:lang w:eastAsia="bg-BG"/>
        </w:rPr>
        <w:t xml:space="preserve">6 </w:t>
      </w:r>
      <w:r>
        <w:rPr>
          <w:lang w:val="en-US"/>
        </w:rPr>
        <w:t>mg/0,4</w:t>
      </w:r>
      <w:r w:rsidRPr="00CC2027">
        <w:rPr>
          <w:lang w:val="en-US"/>
        </w:rPr>
        <w:t>mg modified release tablets</w:t>
      </w:r>
    </w:p>
    <w:p w14:paraId="0A368469" w14:textId="7EBD0C13" w:rsidR="00C0049F" w:rsidRDefault="00DD466D" w:rsidP="009F1313">
      <w:pPr>
        <w:pStyle w:val="Heading1"/>
      </w:pPr>
      <w:r>
        <w:t>2. КАЧЕСТВЕН И КОЛИЧЕСТВЕН СЪСТАВ</w:t>
      </w:r>
    </w:p>
    <w:p w14:paraId="358524EC" w14:textId="4FE63A7D" w:rsidR="00CC2027" w:rsidRDefault="00CC2027" w:rsidP="00CC2027"/>
    <w:p w14:paraId="4E5EB58F" w14:textId="60E0E9FB" w:rsidR="00CC2027" w:rsidRPr="00CC2027" w:rsidRDefault="00CC2027" w:rsidP="00CC2027">
      <w:r>
        <w:t xml:space="preserve">Всяка таблетка съдържа слой от 6 </w:t>
      </w:r>
      <w:r>
        <w:rPr>
          <w:lang w:val="en-US"/>
        </w:rPr>
        <w:t>mg</w:t>
      </w:r>
      <w:r w:rsidRPr="00CC2027">
        <w:t xml:space="preserve"> </w:t>
      </w:r>
      <w:r>
        <w:t xml:space="preserve">солифенацинов сукцинат </w:t>
      </w:r>
      <w:r w:rsidRPr="00CC2027">
        <w:t>(</w:t>
      </w:r>
      <w:proofErr w:type="spellStart"/>
      <w:r>
        <w:rPr>
          <w:lang w:val="en-US"/>
        </w:rPr>
        <w:t>solifenacin</w:t>
      </w:r>
      <w:proofErr w:type="spellEnd"/>
      <w:r w:rsidRPr="00CC2027">
        <w:t xml:space="preserve"> </w:t>
      </w:r>
      <w:r>
        <w:rPr>
          <w:lang w:val="en-US"/>
        </w:rPr>
        <w:t>succinate</w:t>
      </w:r>
      <w:r w:rsidRPr="00CC2027">
        <w:t xml:space="preserve">), </w:t>
      </w:r>
      <w:r>
        <w:t xml:space="preserve">съответстващ на 4.5 </w:t>
      </w:r>
      <w:r>
        <w:rPr>
          <w:lang w:val="en-US"/>
        </w:rPr>
        <w:t>mg</w:t>
      </w:r>
      <w:r w:rsidRPr="00CC2027">
        <w:t xml:space="preserve"> </w:t>
      </w:r>
      <w:r>
        <w:t xml:space="preserve">солифенацин (свободна база) и слой от 0,4 </w:t>
      </w:r>
      <w:r>
        <w:rPr>
          <w:lang w:val="en-US"/>
        </w:rPr>
        <w:t>mg</w:t>
      </w:r>
      <w:r w:rsidRPr="00CC2027">
        <w:t xml:space="preserve"> </w:t>
      </w:r>
      <w:r>
        <w:t xml:space="preserve">тамсулозинов хидрохлорид </w:t>
      </w:r>
      <w:r w:rsidRPr="00CC2027">
        <w:t>(</w:t>
      </w:r>
      <w:proofErr w:type="spellStart"/>
      <w:r>
        <w:rPr>
          <w:lang w:val="en-US"/>
        </w:rPr>
        <w:t>tamsulosin</w:t>
      </w:r>
      <w:proofErr w:type="spellEnd"/>
      <w:r w:rsidRPr="00CC2027">
        <w:t xml:space="preserve"> </w:t>
      </w:r>
      <w:r>
        <w:rPr>
          <w:lang w:val="en-US"/>
        </w:rPr>
        <w:t>hydrochloride</w:t>
      </w:r>
      <w:r w:rsidRPr="00CC2027">
        <w:t xml:space="preserve">), </w:t>
      </w:r>
      <w:r>
        <w:t xml:space="preserve">съответстващ на 0,37 </w:t>
      </w:r>
      <w:r>
        <w:rPr>
          <w:lang w:val="en-US"/>
        </w:rPr>
        <w:t>mg</w:t>
      </w:r>
      <w:r w:rsidRPr="00CC2027">
        <w:t xml:space="preserve"> </w:t>
      </w:r>
      <w:r>
        <w:t>тамсулозин (свободна база).</w:t>
      </w:r>
    </w:p>
    <w:p w14:paraId="614984C4" w14:textId="0989D334" w:rsidR="008A6AF2" w:rsidRDefault="00DD466D" w:rsidP="002C50EE">
      <w:pPr>
        <w:pStyle w:val="Heading1"/>
      </w:pPr>
      <w:r>
        <w:t>3. ЛЕКАРСТВЕНА ФОРМА</w:t>
      </w:r>
    </w:p>
    <w:p w14:paraId="0778328F" w14:textId="29384210" w:rsidR="00CC2027" w:rsidRDefault="00CC2027" w:rsidP="00CC2027"/>
    <w:p w14:paraId="0DA5D1C0" w14:textId="77777777" w:rsidR="00CC2027" w:rsidRPr="00CC2027" w:rsidRDefault="00CC2027" w:rsidP="00CC2027">
      <w:pPr>
        <w:rPr>
          <w:sz w:val="24"/>
          <w:szCs w:val="24"/>
        </w:rPr>
      </w:pPr>
      <w:r w:rsidRPr="00CC2027">
        <w:rPr>
          <w:lang w:eastAsia="bg-BG"/>
        </w:rPr>
        <w:t>Таблетка с изменено освобождаване.</w:t>
      </w:r>
    </w:p>
    <w:p w14:paraId="491757EB" w14:textId="77777777" w:rsidR="00CC2027" w:rsidRDefault="00CC2027" w:rsidP="00CC2027">
      <w:pPr>
        <w:rPr>
          <w:lang w:eastAsia="bg-BG"/>
        </w:rPr>
      </w:pPr>
    </w:p>
    <w:p w14:paraId="2D6C6D6C" w14:textId="33AE8454" w:rsidR="00CC2027" w:rsidRPr="00CC2027" w:rsidRDefault="00CC2027" w:rsidP="00CC2027">
      <w:pPr>
        <w:rPr>
          <w:sz w:val="24"/>
          <w:szCs w:val="24"/>
        </w:rPr>
      </w:pPr>
      <w:r w:rsidRPr="00CC2027">
        <w:rPr>
          <w:lang w:eastAsia="bg-BG"/>
        </w:rPr>
        <w:t xml:space="preserve">Всяка таблетка е кръгла, червена, филмирана, с диаметър приблизително 9 </w:t>
      </w:r>
      <w:r w:rsidRPr="00CC2027">
        <w:rPr>
          <w:lang w:val="en-US"/>
        </w:rPr>
        <w:t>mm</w:t>
      </w:r>
      <w:r w:rsidRPr="00CC2027">
        <w:rPr>
          <w:lang w:val="ru-RU"/>
        </w:rPr>
        <w:t xml:space="preserve"> </w:t>
      </w:r>
      <w:r w:rsidRPr="00CC2027">
        <w:rPr>
          <w:lang w:eastAsia="bg-BG"/>
        </w:rPr>
        <w:t>и с вдлъбнато релефно означение „6/0,4”.</w:t>
      </w:r>
    </w:p>
    <w:p w14:paraId="6E4B166F" w14:textId="77777777" w:rsidR="00CC2027" w:rsidRPr="00CC2027" w:rsidRDefault="00CC2027" w:rsidP="00CC2027"/>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1F949E33" w:rsidR="00395555" w:rsidRDefault="00395555" w:rsidP="00395555"/>
    <w:p w14:paraId="7FFE91C4" w14:textId="77777777" w:rsidR="00CC2027" w:rsidRPr="00CC2027" w:rsidRDefault="00CC2027" w:rsidP="00CC2027">
      <w:pPr>
        <w:rPr>
          <w:sz w:val="24"/>
          <w:szCs w:val="24"/>
        </w:rPr>
      </w:pPr>
      <w:r w:rsidRPr="00CC2027">
        <w:rPr>
          <w:lang w:eastAsia="bg-BG"/>
        </w:rPr>
        <w:t>Лечение на умерени до тежки симптоми на съхранение (неотложност, повишена честота на уриниране) и симптоми на изпразване, свързани с доброкачествена простатна хиперплазия (ДПХ) при мъже, които отговарят неадекватно на лечение с монотерапия.</w:t>
      </w:r>
    </w:p>
    <w:p w14:paraId="2385DD7A" w14:textId="77777777" w:rsidR="00CC2027" w:rsidRPr="00395555" w:rsidRDefault="00CC2027" w:rsidP="00395555"/>
    <w:p w14:paraId="7C0CA5EB" w14:textId="642B02E3" w:rsidR="00C0049F" w:rsidRDefault="002C50EE" w:rsidP="009F1313">
      <w:pPr>
        <w:pStyle w:val="Heading2"/>
      </w:pPr>
      <w:r>
        <w:t>4.2. Дозировка и начин на приложение</w:t>
      </w:r>
    </w:p>
    <w:p w14:paraId="611AB3E0" w14:textId="58738A6A" w:rsidR="00CC2027" w:rsidRDefault="00CC2027" w:rsidP="00CC2027"/>
    <w:p w14:paraId="0C3D91D5" w14:textId="77777777" w:rsidR="00CC2027" w:rsidRPr="00CC2027" w:rsidRDefault="00CC2027" w:rsidP="00CC2027">
      <w:pPr>
        <w:spacing w:line="240" w:lineRule="auto"/>
        <w:rPr>
          <w:rFonts w:eastAsia="Times New Roman" w:cs="Arial"/>
          <w:sz w:val="28"/>
          <w:szCs w:val="24"/>
        </w:rPr>
      </w:pPr>
      <w:r w:rsidRPr="00CC2027">
        <w:rPr>
          <w:rFonts w:eastAsia="Times New Roman" w:cs="Arial"/>
          <w:i/>
          <w:iCs/>
          <w:color w:val="000000"/>
          <w:szCs w:val="20"/>
          <w:lang w:eastAsia="bg-BG"/>
        </w:rPr>
        <w:t>Възрастни мъже, включително хора в старческа възраст</w:t>
      </w:r>
    </w:p>
    <w:p w14:paraId="31104244"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 xml:space="preserve">Една таблетка (6 </w:t>
      </w:r>
      <w:r w:rsidRPr="00CC2027">
        <w:rPr>
          <w:rFonts w:eastAsia="Times New Roman" w:cs="Arial"/>
          <w:color w:val="000000"/>
          <w:szCs w:val="20"/>
          <w:lang w:val="en-US"/>
        </w:rPr>
        <w:t>mg</w:t>
      </w:r>
      <w:r w:rsidRPr="00CC2027">
        <w:rPr>
          <w:rFonts w:eastAsia="Times New Roman" w:cs="Arial"/>
          <w:color w:val="000000"/>
          <w:szCs w:val="20"/>
          <w:lang w:val="ru-RU"/>
        </w:rPr>
        <w:t xml:space="preserve">/0,4 </w:t>
      </w:r>
      <w:r w:rsidRPr="00CC2027">
        <w:rPr>
          <w:rFonts w:eastAsia="Times New Roman" w:cs="Arial"/>
          <w:color w:val="000000"/>
          <w:szCs w:val="20"/>
          <w:lang w:val="en-US"/>
        </w:rPr>
        <w:t>mg</w:t>
      </w:r>
      <w:r w:rsidRPr="00CC2027">
        <w:rPr>
          <w:rFonts w:eastAsia="Times New Roman" w:cs="Arial"/>
          <w:color w:val="000000"/>
          <w:szCs w:val="20"/>
          <w:lang w:val="ru-RU"/>
        </w:rPr>
        <w:t xml:space="preserve">) </w:t>
      </w:r>
      <w:r w:rsidRPr="00CC2027">
        <w:rPr>
          <w:rFonts w:eastAsia="Times New Roman" w:cs="Arial"/>
          <w:color w:val="000000"/>
          <w:szCs w:val="20"/>
          <w:lang w:eastAsia="bg-BG"/>
        </w:rPr>
        <w:t>Везомни приемана перорално веднъж дневно, със или без храна.</w:t>
      </w:r>
    </w:p>
    <w:p w14:paraId="57CB09C7"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 xml:space="preserve">Максималната дневна доза е една таблетка Везомни (6 </w:t>
      </w:r>
      <w:r w:rsidRPr="00CC2027">
        <w:rPr>
          <w:rFonts w:eastAsia="Times New Roman" w:cs="Arial"/>
          <w:color w:val="000000"/>
          <w:szCs w:val="20"/>
          <w:lang w:val="en-US"/>
        </w:rPr>
        <w:t>mg</w:t>
      </w:r>
      <w:r w:rsidRPr="00CC2027">
        <w:rPr>
          <w:rFonts w:eastAsia="Times New Roman" w:cs="Arial"/>
          <w:color w:val="000000"/>
          <w:szCs w:val="20"/>
          <w:lang w:val="ru-RU"/>
        </w:rPr>
        <w:t xml:space="preserve">/0,4 </w:t>
      </w:r>
      <w:r w:rsidRPr="00CC2027">
        <w:rPr>
          <w:rFonts w:eastAsia="Times New Roman" w:cs="Arial"/>
          <w:color w:val="000000"/>
          <w:szCs w:val="20"/>
          <w:lang w:val="en-US"/>
        </w:rPr>
        <w:t>mg</w:t>
      </w:r>
      <w:r w:rsidRPr="00CC2027">
        <w:rPr>
          <w:rFonts w:eastAsia="Times New Roman" w:cs="Arial"/>
          <w:color w:val="000000"/>
          <w:szCs w:val="20"/>
          <w:lang w:val="ru-RU"/>
        </w:rPr>
        <w:t>).</w:t>
      </w:r>
    </w:p>
    <w:p w14:paraId="2342F525"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Таблетката трябва да се погълне цяла, интактна без отхапване или дъвчене. Таблетката не трябва да се натрошава.</w:t>
      </w:r>
    </w:p>
    <w:p w14:paraId="172876A9" w14:textId="77777777" w:rsidR="00CC2027" w:rsidRPr="00CC2027" w:rsidRDefault="00CC2027" w:rsidP="00CC2027">
      <w:pPr>
        <w:spacing w:line="240" w:lineRule="auto"/>
        <w:rPr>
          <w:rFonts w:eastAsia="Times New Roman" w:cs="Arial"/>
          <w:i/>
          <w:iCs/>
          <w:color w:val="000000"/>
          <w:szCs w:val="20"/>
          <w:lang w:eastAsia="bg-BG"/>
        </w:rPr>
      </w:pPr>
    </w:p>
    <w:p w14:paraId="5AC34024" w14:textId="3CFB7E48" w:rsidR="00CC2027" w:rsidRPr="00CC2027" w:rsidRDefault="00CC2027" w:rsidP="00CC2027">
      <w:pPr>
        <w:spacing w:line="240" w:lineRule="auto"/>
        <w:rPr>
          <w:rFonts w:eastAsia="Times New Roman" w:cs="Arial"/>
          <w:sz w:val="28"/>
          <w:szCs w:val="24"/>
        </w:rPr>
      </w:pPr>
      <w:r w:rsidRPr="00CC2027">
        <w:rPr>
          <w:rFonts w:eastAsia="Times New Roman" w:cs="Arial"/>
          <w:i/>
          <w:iCs/>
          <w:color w:val="000000"/>
          <w:szCs w:val="20"/>
          <w:lang w:eastAsia="bg-BG"/>
        </w:rPr>
        <w:t>Пациенти с бъбречна недостатъчност</w:t>
      </w:r>
    </w:p>
    <w:p w14:paraId="0F808BA9"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Ефектът на бъбречната недостатъчност върху фармакокинетиката на Везомни не е проучван.</w:t>
      </w:r>
    </w:p>
    <w:p w14:paraId="517A790F"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 xml:space="preserve">Въпреки това, ефектът върху фармакокинетиката на отделните активни вещества е добре известен (вж. точка 5.2). Везомни може да се използва при пациенти с лека до умерена бъбречна недостатъчност (креатининов клирънс &gt; 30 </w:t>
      </w:r>
      <w:r w:rsidRPr="00CC2027">
        <w:rPr>
          <w:rFonts w:eastAsia="Times New Roman" w:cs="Arial"/>
          <w:color w:val="000000"/>
          <w:szCs w:val="20"/>
          <w:lang w:val="en-US"/>
        </w:rPr>
        <w:t>ml</w:t>
      </w:r>
      <w:r w:rsidRPr="00CC2027">
        <w:rPr>
          <w:rFonts w:eastAsia="Times New Roman" w:cs="Arial"/>
          <w:color w:val="000000"/>
          <w:szCs w:val="20"/>
          <w:lang w:val="ru-RU"/>
        </w:rPr>
        <w:t>/</w:t>
      </w:r>
      <w:r w:rsidRPr="00CC2027">
        <w:rPr>
          <w:rFonts w:eastAsia="Times New Roman" w:cs="Arial"/>
          <w:color w:val="000000"/>
          <w:szCs w:val="20"/>
          <w:lang w:val="en-US"/>
        </w:rPr>
        <w:t>min</w:t>
      </w:r>
      <w:r w:rsidRPr="00CC2027">
        <w:rPr>
          <w:rFonts w:eastAsia="Times New Roman" w:cs="Arial"/>
          <w:color w:val="000000"/>
          <w:szCs w:val="20"/>
          <w:lang w:val="ru-RU"/>
        </w:rPr>
        <w:t xml:space="preserve">). </w:t>
      </w:r>
      <w:r w:rsidRPr="00CC2027">
        <w:rPr>
          <w:rFonts w:eastAsia="Times New Roman" w:cs="Arial"/>
          <w:color w:val="000000"/>
          <w:szCs w:val="20"/>
          <w:lang w:eastAsia="bg-BG"/>
        </w:rPr>
        <w:t xml:space="preserve">Пациенти с тежка бъбречна недостатъчност (креатининов клирънс ≤ 30 </w:t>
      </w:r>
      <w:r w:rsidRPr="00CC2027">
        <w:rPr>
          <w:rFonts w:eastAsia="Times New Roman" w:cs="Arial"/>
          <w:color w:val="000000"/>
          <w:szCs w:val="20"/>
          <w:lang w:val="en-US"/>
        </w:rPr>
        <w:t>ml</w:t>
      </w:r>
      <w:r w:rsidRPr="00CC2027">
        <w:rPr>
          <w:rFonts w:eastAsia="Times New Roman" w:cs="Arial"/>
          <w:color w:val="000000"/>
          <w:szCs w:val="20"/>
          <w:lang w:val="ru-RU"/>
        </w:rPr>
        <w:t>/</w:t>
      </w:r>
      <w:r w:rsidRPr="00CC2027">
        <w:rPr>
          <w:rFonts w:eastAsia="Times New Roman" w:cs="Arial"/>
          <w:color w:val="000000"/>
          <w:szCs w:val="20"/>
          <w:lang w:val="en-US"/>
        </w:rPr>
        <w:t>min</w:t>
      </w:r>
      <w:r w:rsidRPr="00CC2027">
        <w:rPr>
          <w:rFonts w:eastAsia="Times New Roman" w:cs="Arial"/>
          <w:color w:val="000000"/>
          <w:szCs w:val="20"/>
          <w:lang w:val="ru-RU"/>
        </w:rPr>
        <w:t xml:space="preserve">) </w:t>
      </w:r>
      <w:r w:rsidRPr="00CC2027">
        <w:rPr>
          <w:rFonts w:eastAsia="Times New Roman" w:cs="Arial"/>
          <w:color w:val="000000"/>
          <w:szCs w:val="20"/>
          <w:lang w:eastAsia="bg-BG"/>
        </w:rPr>
        <w:t xml:space="preserve">трябва да се лекуват с внимание, а </w:t>
      </w:r>
      <w:r w:rsidRPr="00CC2027">
        <w:rPr>
          <w:rFonts w:eastAsia="Times New Roman" w:cs="Arial"/>
          <w:color w:val="000000"/>
          <w:szCs w:val="20"/>
          <w:lang w:eastAsia="bg-BG"/>
        </w:rPr>
        <w:lastRenderedPageBreak/>
        <w:t xml:space="preserve">максималната дневна доза при тези пациенти е една таблетка Везомни (6 </w:t>
      </w:r>
      <w:r w:rsidRPr="00CC2027">
        <w:rPr>
          <w:rFonts w:eastAsia="Times New Roman" w:cs="Arial"/>
          <w:color w:val="000000"/>
          <w:szCs w:val="20"/>
          <w:lang w:val="en-US"/>
        </w:rPr>
        <w:t>mg</w:t>
      </w:r>
      <w:r w:rsidRPr="00CC2027">
        <w:rPr>
          <w:rFonts w:eastAsia="Times New Roman" w:cs="Arial"/>
          <w:color w:val="000000"/>
          <w:szCs w:val="20"/>
          <w:lang w:val="ru-RU"/>
        </w:rPr>
        <w:t xml:space="preserve">/0,4 </w:t>
      </w:r>
      <w:r w:rsidRPr="00CC2027">
        <w:rPr>
          <w:rFonts w:eastAsia="Times New Roman" w:cs="Arial"/>
          <w:color w:val="000000"/>
          <w:szCs w:val="20"/>
          <w:lang w:val="en-US"/>
        </w:rPr>
        <w:t>mg</w:t>
      </w:r>
      <w:r w:rsidRPr="00CC2027">
        <w:rPr>
          <w:rFonts w:eastAsia="Times New Roman" w:cs="Arial"/>
          <w:color w:val="000000"/>
          <w:szCs w:val="20"/>
          <w:lang w:val="ru-RU"/>
        </w:rPr>
        <w:t xml:space="preserve">) </w:t>
      </w:r>
      <w:r w:rsidRPr="00CC2027">
        <w:rPr>
          <w:rFonts w:eastAsia="Times New Roman" w:cs="Arial"/>
          <w:color w:val="000000"/>
          <w:szCs w:val="20"/>
          <w:lang w:eastAsia="bg-BG"/>
        </w:rPr>
        <w:t>(вж. точка 4.4).</w:t>
      </w:r>
    </w:p>
    <w:p w14:paraId="378DF09D" w14:textId="77777777" w:rsidR="00CC2027" w:rsidRPr="00CC2027" w:rsidRDefault="00CC2027" w:rsidP="00CC2027">
      <w:pPr>
        <w:spacing w:line="240" w:lineRule="auto"/>
        <w:rPr>
          <w:rFonts w:eastAsia="Times New Roman" w:cs="Arial"/>
          <w:i/>
          <w:iCs/>
          <w:color w:val="000000"/>
          <w:szCs w:val="20"/>
          <w:lang w:eastAsia="bg-BG"/>
        </w:rPr>
      </w:pPr>
    </w:p>
    <w:p w14:paraId="628303CC" w14:textId="065CF775" w:rsidR="00CC2027" w:rsidRPr="00CC2027" w:rsidRDefault="00CC2027" w:rsidP="00CC2027">
      <w:pPr>
        <w:spacing w:line="240" w:lineRule="auto"/>
        <w:rPr>
          <w:rFonts w:eastAsia="Times New Roman" w:cs="Arial"/>
          <w:sz w:val="28"/>
          <w:szCs w:val="24"/>
        </w:rPr>
      </w:pPr>
      <w:r w:rsidRPr="00CC2027">
        <w:rPr>
          <w:rFonts w:eastAsia="Times New Roman" w:cs="Arial"/>
          <w:i/>
          <w:iCs/>
          <w:color w:val="000000"/>
          <w:szCs w:val="20"/>
          <w:lang w:eastAsia="bg-BG"/>
        </w:rPr>
        <w:t>Пациенти с чернодробна недостатъчност</w:t>
      </w:r>
    </w:p>
    <w:p w14:paraId="6391EFE1" w14:textId="5B5477D9" w:rsidR="00CC2027" w:rsidRPr="00CC2027" w:rsidRDefault="00CC2027" w:rsidP="00CC2027">
      <w:pPr>
        <w:rPr>
          <w:rFonts w:eastAsia="Times New Roman" w:cs="Arial"/>
          <w:color w:val="000000"/>
          <w:szCs w:val="20"/>
          <w:lang w:eastAsia="bg-BG"/>
        </w:rPr>
      </w:pPr>
      <w:r w:rsidRPr="00CC2027">
        <w:rPr>
          <w:rFonts w:eastAsia="Times New Roman" w:cs="Arial"/>
          <w:color w:val="000000"/>
          <w:szCs w:val="20"/>
          <w:lang w:eastAsia="bg-BG"/>
        </w:rPr>
        <w:t xml:space="preserve">Ефектът на чернодробната недостатъчност върху фармакокинетиката на Везомни не е проучван. Въпреки това, ефектът върху фармакокинетиката на отделните активни вещества е добре известен (вж. точка 5.2). Везомни може да се използва при пациенти с лека чернодробна недостатъчност </w:t>
      </w:r>
      <w:r w:rsidRPr="00CC2027">
        <w:rPr>
          <w:rFonts w:eastAsia="Times New Roman" w:cs="Arial"/>
          <w:color w:val="000000"/>
          <w:szCs w:val="20"/>
          <w:lang w:val="ru-RU"/>
        </w:rPr>
        <w:t>(</w:t>
      </w:r>
      <w:r w:rsidRPr="00CC2027">
        <w:rPr>
          <w:rFonts w:eastAsia="Times New Roman" w:cs="Arial"/>
          <w:color w:val="000000"/>
          <w:szCs w:val="20"/>
          <w:lang w:val="en-US"/>
        </w:rPr>
        <w:t>Child</w:t>
      </w:r>
      <w:r w:rsidRPr="00CC2027">
        <w:rPr>
          <w:rFonts w:eastAsia="Times New Roman" w:cs="Arial"/>
          <w:color w:val="000000"/>
          <w:szCs w:val="20"/>
          <w:lang w:val="ru-RU"/>
        </w:rPr>
        <w:t>-</w:t>
      </w:r>
      <w:r w:rsidRPr="00CC2027">
        <w:rPr>
          <w:rFonts w:eastAsia="Times New Roman" w:cs="Arial"/>
          <w:color w:val="000000"/>
          <w:szCs w:val="20"/>
          <w:lang w:val="en-US"/>
        </w:rPr>
        <w:t>Pugh</w:t>
      </w:r>
      <w:r w:rsidRPr="00CC2027">
        <w:rPr>
          <w:rFonts w:eastAsia="Times New Roman" w:cs="Arial"/>
          <w:color w:val="000000"/>
          <w:szCs w:val="20"/>
          <w:lang w:val="ru-RU"/>
        </w:rPr>
        <w:t xml:space="preserve"> </w:t>
      </w:r>
      <w:r w:rsidRPr="00CC2027">
        <w:rPr>
          <w:rFonts w:eastAsia="Times New Roman" w:cs="Arial"/>
          <w:color w:val="000000"/>
          <w:szCs w:val="20"/>
          <w:lang w:eastAsia="bg-BG"/>
        </w:rPr>
        <w:t>скор ≤ 7). Пациенти с умерена чернодробна недостатъчност (</w:t>
      </w:r>
      <w:r w:rsidRPr="00CC2027">
        <w:rPr>
          <w:rFonts w:eastAsia="Times New Roman" w:cs="Arial"/>
          <w:color w:val="000000"/>
          <w:szCs w:val="20"/>
          <w:lang w:val="en-US"/>
        </w:rPr>
        <w:t>Child</w:t>
      </w:r>
      <w:r w:rsidRPr="00CC2027">
        <w:rPr>
          <w:rFonts w:eastAsia="Times New Roman" w:cs="Arial"/>
          <w:color w:val="000000"/>
          <w:szCs w:val="20"/>
          <w:lang w:val="ru-RU"/>
        </w:rPr>
        <w:t xml:space="preserve">- </w:t>
      </w:r>
      <w:r w:rsidRPr="00CC2027">
        <w:rPr>
          <w:rFonts w:eastAsia="Times New Roman" w:cs="Arial"/>
          <w:color w:val="000000"/>
          <w:szCs w:val="20"/>
          <w:lang w:val="en-US"/>
        </w:rPr>
        <w:t>Pugh</w:t>
      </w:r>
      <w:r w:rsidRPr="00CC2027">
        <w:rPr>
          <w:rFonts w:eastAsia="Times New Roman" w:cs="Arial"/>
          <w:color w:val="000000"/>
          <w:szCs w:val="20"/>
          <w:lang w:val="ru-RU"/>
        </w:rPr>
        <w:t xml:space="preserve"> </w:t>
      </w:r>
      <w:r w:rsidRPr="00CC2027">
        <w:rPr>
          <w:rFonts w:eastAsia="Times New Roman" w:cs="Arial"/>
          <w:color w:val="000000"/>
          <w:szCs w:val="20"/>
          <w:lang w:eastAsia="bg-BG"/>
        </w:rPr>
        <w:t xml:space="preserve">скор 7-9) трябва да се лекуват с внимание, а максималната дневна доза при тези пациенти е една таблетка Везомни (6 </w:t>
      </w:r>
      <w:r w:rsidRPr="00CC2027">
        <w:rPr>
          <w:rFonts w:eastAsia="Times New Roman" w:cs="Arial"/>
          <w:color w:val="000000"/>
          <w:szCs w:val="20"/>
          <w:lang w:val="en-US"/>
        </w:rPr>
        <w:t>mg</w:t>
      </w:r>
      <w:r w:rsidRPr="00CC2027">
        <w:rPr>
          <w:rFonts w:eastAsia="Times New Roman" w:cs="Arial"/>
          <w:color w:val="000000"/>
          <w:szCs w:val="20"/>
          <w:lang w:val="ru-RU"/>
        </w:rPr>
        <w:t xml:space="preserve">/0,4 </w:t>
      </w:r>
      <w:r w:rsidRPr="00CC2027">
        <w:rPr>
          <w:rFonts w:eastAsia="Times New Roman" w:cs="Arial"/>
          <w:color w:val="000000"/>
          <w:szCs w:val="20"/>
          <w:lang w:val="en-US"/>
        </w:rPr>
        <w:t>mg</w:t>
      </w:r>
      <w:r w:rsidRPr="00CC2027">
        <w:rPr>
          <w:rFonts w:eastAsia="Times New Roman" w:cs="Arial"/>
          <w:color w:val="000000"/>
          <w:szCs w:val="20"/>
          <w:lang w:val="ru-RU"/>
        </w:rPr>
        <w:t xml:space="preserve">). </w:t>
      </w:r>
      <w:r w:rsidRPr="00CC2027">
        <w:rPr>
          <w:rFonts w:eastAsia="Times New Roman" w:cs="Arial"/>
          <w:color w:val="000000"/>
          <w:szCs w:val="20"/>
          <w:lang w:eastAsia="bg-BG"/>
        </w:rPr>
        <w:t xml:space="preserve">При пациенти с тежка чернодробна недостатъчност </w:t>
      </w:r>
      <w:r w:rsidRPr="00CC2027">
        <w:rPr>
          <w:rFonts w:eastAsia="Times New Roman" w:cs="Arial"/>
          <w:color w:val="000000"/>
          <w:szCs w:val="20"/>
          <w:lang w:val="ru-RU"/>
        </w:rPr>
        <w:t>(</w:t>
      </w:r>
      <w:r w:rsidRPr="00CC2027">
        <w:rPr>
          <w:rFonts w:eastAsia="Times New Roman" w:cs="Arial"/>
          <w:color w:val="000000"/>
          <w:szCs w:val="20"/>
          <w:lang w:val="en-US"/>
        </w:rPr>
        <w:t>Child</w:t>
      </w:r>
      <w:r w:rsidRPr="00CC2027">
        <w:rPr>
          <w:rFonts w:eastAsia="Times New Roman" w:cs="Arial"/>
          <w:color w:val="000000"/>
          <w:szCs w:val="20"/>
          <w:lang w:val="ru-RU"/>
        </w:rPr>
        <w:t>-</w:t>
      </w:r>
      <w:r w:rsidRPr="00CC2027">
        <w:rPr>
          <w:rFonts w:eastAsia="Times New Roman" w:cs="Arial"/>
          <w:color w:val="000000"/>
          <w:szCs w:val="20"/>
          <w:lang w:val="en-US"/>
        </w:rPr>
        <w:t>Pugh</w:t>
      </w:r>
      <w:r w:rsidRPr="00CC2027">
        <w:rPr>
          <w:rFonts w:eastAsia="Times New Roman" w:cs="Arial"/>
          <w:color w:val="000000"/>
          <w:szCs w:val="20"/>
          <w:lang w:val="ru-RU"/>
        </w:rPr>
        <w:t xml:space="preserve"> </w:t>
      </w:r>
      <w:r w:rsidRPr="00CC2027">
        <w:rPr>
          <w:rFonts w:eastAsia="Times New Roman" w:cs="Arial"/>
          <w:color w:val="000000"/>
          <w:szCs w:val="20"/>
          <w:lang w:eastAsia="bg-BG"/>
        </w:rPr>
        <w:t>скор &gt; 9), приложението на Везомни е противопоказано (вж. точка 4.5).</w:t>
      </w:r>
    </w:p>
    <w:p w14:paraId="52869E3E" w14:textId="11718545" w:rsidR="00CC2027" w:rsidRPr="00CC2027" w:rsidRDefault="00CC2027" w:rsidP="00CC2027">
      <w:pPr>
        <w:rPr>
          <w:rFonts w:eastAsia="Times New Roman" w:cs="Arial"/>
          <w:color w:val="000000"/>
          <w:szCs w:val="20"/>
          <w:lang w:eastAsia="bg-BG"/>
        </w:rPr>
      </w:pPr>
    </w:p>
    <w:p w14:paraId="2644720F" w14:textId="77777777" w:rsidR="00CC2027" w:rsidRPr="00CC2027" w:rsidRDefault="00CC2027" w:rsidP="00CC2027">
      <w:pPr>
        <w:spacing w:line="240" w:lineRule="auto"/>
        <w:rPr>
          <w:rFonts w:eastAsia="Times New Roman" w:cs="Arial"/>
          <w:sz w:val="28"/>
          <w:szCs w:val="24"/>
        </w:rPr>
      </w:pPr>
      <w:r w:rsidRPr="00CC2027">
        <w:rPr>
          <w:rFonts w:eastAsia="Times New Roman" w:cs="Arial"/>
          <w:i/>
          <w:iCs/>
          <w:color w:val="000000"/>
          <w:szCs w:val="20"/>
          <w:lang w:eastAsia="bg-BG"/>
        </w:rPr>
        <w:t>Умерени и мощни инхибитори на цитохром Р450 ЗА4</w:t>
      </w:r>
    </w:p>
    <w:p w14:paraId="2AD86BB0"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 xml:space="preserve">Максималната дневна доза на Везомни трябва да се ограничи до една таблетка (6 </w:t>
      </w:r>
      <w:r w:rsidRPr="00CC2027">
        <w:rPr>
          <w:rFonts w:eastAsia="Times New Roman" w:cs="Arial"/>
          <w:color w:val="000000"/>
          <w:szCs w:val="20"/>
          <w:lang w:val="en-US"/>
        </w:rPr>
        <w:t>mg</w:t>
      </w:r>
      <w:r w:rsidRPr="00CC2027">
        <w:rPr>
          <w:rFonts w:eastAsia="Times New Roman" w:cs="Arial"/>
          <w:color w:val="000000"/>
          <w:szCs w:val="20"/>
          <w:lang w:val="ru-RU"/>
        </w:rPr>
        <w:t xml:space="preserve">/0,4 </w:t>
      </w:r>
      <w:r w:rsidRPr="00CC2027">
        <w:rPr>
          <w:rFonts w:eastAsia="Times New Roman" w:cs="Arial"/>
          <w:color w:val="000000"/>
          <w:szCs w:val="20"/>
          <w:lang w:val="en-US"/>
        </w:rPr>
        <w:t>mg</w:t>
      </w:r>
      <w:r w:rsidRPr="00CC2027">
        <w:rPr>
          <w:rFonts w:eastAsia="Times New Roman" w:cs="Arial"/>
          <w:color w:val="000000"/>
          <w:szCs w:val="20"/>
          <w:lang w:val="ru-RU"/>
        </w:rPr>
        <w:t xml:space="preserve">). </w:t>
      </w:r>
      <w:r w:rsidRPr="00CC2027">
        <w:rPr>
          <w:rFonts w:eastAsia="Times New Roman" w:cs="Arial"/>
          <w:color w:val="000000"/>
          <w:szCs w:val="20"/>
          <w:lang w:eastAsia="bg-BG"/>
        </w:rPr>
        <w:t xml:space="preserve">Везомни трябва да се използва с внимание при пациенти лекувани едновременно с умерени или мощни инхибитори на </w:t>
      </w:r>
      <w:r w:rsidRPr="00CC2027">
        <w:rPr>
          <w:rFonts w:eastAsia="Times New Roman" w:cs="Arial"/>
          <w:color w:val="000000"/>
          <w:szCs w:val="20"/>
          <w:lang w:val="en-US"/>
        </w:rPr>
        <w:t>CYP</w:t>
      </w:r>
      <w:r w:rsidRPr="00CC2027">
        <w:rPr>
          <w:rFonts w:eastAsia="Times New Roman" w:cs="Arial"/>
          <w:color w:val="000000"/>
          <w:szCs w:val="20"/>
          <w:lang w:val="ru-RU"/>
        </w:rPr>
        <w:t xml:space="preserve">3 </w:t>
      </w:r>
      <w:r w:rsidRPr="00CC2027">
        <w:rPr>
          <w:rFonts w:eastAsia="Times New Roman" w:cs="Arial"/>
          <w:color w:val="000000"/>
          <w:szCs w:val="20"/>
          <w:lang w:eastAsia="bg-BG"/>
        </w:rPr>
        <w:t>А4, напр. верапамил, кетоконазол, ритонавир, нелфинавир, итраконазол (вж. точка 4.5).</w:t>
      </w:r>
    </w:p>
    <w:p w14:paraId="0E4142E2" w14:textId="77777777" w:rsidR="00CC2027" w:rsidRPr="00CC2027" w:rsidRDefault="00CC2027" w:rsidP="00CC2027">
      <w:pPr>
        <w:spacing w:line="240" w:lineRule="auto"/>
        <w:rPr>
          <w:rFonts w:eastAsia="Times New Roman" w:cs="Arial"/>
          <w:i/>
          <w:iCs/>
          <w:color w:val="000000"/>
          <w:szCs w:val="20"/>
          <w:lang w:eastAsia="bg-BG"/>
        </w:rPr>
      </w:pPr>
    </w:p>
    <w:p w14:paraId="4BA8084B" w14:textId="7210EC2C" w:rsidR="00CC2027" w:rsidRPr="00CC2027" w:rsidRDefault="00CC2027" w:rsidP="00CC2027">
      <w:pPr>
        <w:spacing w:line="240" w:lineRule="auto"/>
        <w:rPr>
          <w:rFonts w:eastAsia="Times New Roman" w:cs="Arial"/>
          <w:sz w:val="28"/>
          <w:szCs w:val="24"/>
        </w:rPr>
      </w:pPr>
      <w:r w:rsidRPr="00CC2027">
        <w:rPr>
          <w:rFonts w:eastAsia="Times New Roman" w:cs="Arial"/>
          <w:i/>
          <w:iCs/>
          <w:color w:val="000000"/>
          <w:szCs w:val="20"/>
          <w:lang w:eastAsia="bg-BG"/>
        </w:rPr>
        <w:t>Педиатрична популация</w:t>
      </w:r>
    </w:p>
    <w:p w14:paraId="4B126C40" w14:textId="3078D431" w:rsidR="00CC2027" w:rsidRDefault="00CC2027" w:rsidP="00CC2027">
      <w:pPr>
        <w:rPr>
          <w:rFonts w:eastAsia="Times New Roman" w:cs="Arial"/>
          <w:color w:val="000000"/>
          <w:szCs w:val="20"/>
          <w:lang w:eastAsia="bg-BG"/>
        </w:rPr>
      </w:pPr>
      <w:r w:rsidRPr="00CC2027">
        <w:rPr>
          <w:rFonts w:eastAsia="Times New Roman" w:cs="Arial"/>
          <w:color w:val="000000"/>
          <w:szCs w:val="20"/>
          <w:lang w:eastAsia="bg-BG"/>
        </w:rPr>
        <w:t>Няма съответни показания за приложение на Везомни при деца и юноши.</w:t>
      </w:r>
    </w:p>
    <w:p w14:paraId="26713006" w14:textId="77777777" w:rsidR="00CC2027" w:rsidRPr="00CC2027" w:rsidRDefault="00CC2027" w:rsidP="00CC2027"/>
    <w:p w14:paraId="62B13D0B" w14:textId="7A90A54C" w:rsidR="00395555" w:rsidRDefault="002C50EE" w:rsidP="008A6AF2">
      <w:pPr>
        <w:pStyle w:val="Heading2"/>
      </w:pPr>
      <w:r>
        <w:t>4.3. Противопоказания</w:t>
      </w:r>
    </w:p>
    <w:p w14:paraId="1A2249E0" w14:textId="5F4C0FF3" w:rsidR="00CC2027" w:rsidRDefault="00CC2027" w:rsidP="00CC2027"/>
    <w:p w14:paraId="588DD634" w14:textId="77777777" w:rsidR="00CC2027" w:rsidRPr="00CC2027" w:rsidRDefault="00CC2027" w:rsidP="00CC2027">
      <w:pPr>
        <w:pStyle w:val="ListParagraph"/>
        <w:numPr>
          <w:ilvl w:val="0"/>
          <w:numId w:val="32"/>
        </w:numPr>
        <w:rPr>
          <w:sz w:val="24"/>
          <w:szCs w:val="24"/>
        </w:rPr>
      </w:pPr>
      <w:r w:rsidRPr="00CC2027">
        <w:rPr>
          <w:lang w:eastAsia="bg-BG"/>
        </w:rPr>
        <w:t xml:space="preserve">Пациенти със свръхчувствителност към активното(ите) вещество(а) или към някое от помощните вещества, изброени в точка 6.1, </w:t>
      </w:r>
    </w:p>
    <w:p w14:paraId="6A9AAEC2" w14:textId="77777777" w:rsidR="00CC2027" w:rsidRPr="00CC2027" w:rsidRDefault="00CC2027" w:rsidP="00CC2027">
      <w:pPr>
        <w:pStyle w:val="ListParagraph"/>
        <w:numPr>
          <w:ilvl w:val="0"/>
          <w:numId w:val="32"/>
        </w:numPr>
        <w:rPr>
          <w:sz w:val="24"/>
          <w:szCs w:val="24"/>
        </w:rPr>
      </w:pPr>
      <w:r w:rsidRPr="00CC2027">
        <w:rPr>
          <w:lang w:eastAsia="bg-BG"/>
        </w:rPr>
        <w:t xml:space="preserve">Пациенти, подлежащи на хемодиализа (вж. точка 5.2), </w:t>
      </w:r>
    </w:p>
    <w:p w14:paraId="355BFC79" w14:textId="545F6461" w:rsidR="00CC2027" w:rsidRPr="00CC2027" w:rsidRDefault="00CC2027" w:rsidP="00CC2027">
      <w:pPr>
        <w:pStyle w:val="ListParagraph"/>
        <w:numPr>
          <w:ilvl w:val="0"/>
          <w:numId w:val="32"/>
        </w:numPr>
        <w:rPr>
          <w:sz w:val="24"/>
          <w:szCs w:val="24"/>
        </w:rPr>
      </w:pPr>
      <w:r w:rsidRPr="00CC2027">
        <w:rPr>
          <w:lang w:eastAsia="bg-BG"/>
        </w:rPr>
        <w:t>Пациенти с тежко чернодробно увреждане (вж. точка 5.2),</w:t>
      </w:r>
    </w:p>
    <w:p w14:paraId="24F1707F" w14:textId="77777777" w:rsidR="00CC2027" w:rsidRPr="00CC2027" w:rsidRDefault="00CC2027" w:rsidP="00CC2027">
      <w:pPr>
        <w:pStyle w:val="ListParagraph"/>
        <w:numPr>
          <w:ilvl w:val="0"/>
          <w:numId w:val="32"/>
        </w:numPr>
        <w:rPr>
          <w:sz w:val="24"/>
          <w:szCs w:val="24"/>
        </w:rPr>
      </w:pPr>
      <w:r w:rsidRPr="00CC2027">
        <w:rPr>
          <w:lang w:eastAsia="bg-BG"/>
        </w:rPr>
        <w:t xml:space="preserve">Пациенти с тежко бъбречно увреждане, които са лекувани също с мощен инхибитор на цитохром Р450 </w:t>
      </w:r>
      <w:r w:rsidRPr="00CC2027">
        <w:rPr>
          <w:lang w:val="ru-RU"/>
        </w:rPr>
        <w:t>(</w:t>
      </w:r>
      <w:r w:rsidRPr="00CC2027">
        <w:rPr>
          <w:lang w:val="en-US"/>
        </w:rPr>
        <w:t>CYP</w:t>
      </w:r>
      <w:r w:rsidRPr="00CC2027">
        <w:rPr>
          <w:lang w:val="ru-RU"/>
        </w:rPr>
        <w:t xml:space="preserve">) </w:t>
      </w:r>
      <w:r w:rsidRPr="00CC2027">
        <w:rPr>
          <w:lang w:eastAsia="bg-BG"/>
        </w:rPr>
        <w:t>ЗА4, напр. кетоконазол (вж. точка 4.5),</w:t>
      </w:r>
    </w:p>
    <w:p w14:paraId="6DDC25B6" w14:textId="77777777" w:rsidR="00CC2027" w:rsidRDefault="00CC2027" w:rsidP="00CC2027">
      <w:pPr>
        <w:pStyle w:val="ListParagraph"/>
        <w:numPr>
          <w:ilvl w:val="0"/>
          <w:numId w:val="32"/>
        </w:numPr>
      </w:pPr>
      <w:r w:rsidRPr="00CC2027">
        <w:rPr>
          <w:lang w:eastAsia="bg-BG"/>
        </w:rPr>
        <w:t xml:space="preserve">Пациенти с умерено чернодробно увреждане, които са лекувани също с мощен </w:t>
      </w:r>
      <w:r w:rsidRPr="00CC2027">
        <w:rPr>
          <w:lang w:val="en-US"/>
        </w:rPr>
        <w:t>CYP</w:t>
      </w:r>
      <w:r w:rsidRPr="00CC2027">
        <w:rPr>
          <w:lang w:val="ru-RU"/>
        </w:rPr>
        <w:t>3</w:t>
      </w:r>
      <w:r w:rsidRPr="00CC2027">
        <w:rPr>
          <w:lang w:val="en-US"/>
        </w:rPr>
        <w:t>A</w:t>
      </w:r>
      <w:r w:rsidRPr="00CC2027">
        <w:rPr>
          <w:lang w:val="ru-RU"/>
        </w:rPr>
        <w:t xml:space="preserve">4 </w:t>
      </w:r>
      <w:r w:rsidRPr="00CC2027">
        <w:rPr>
          <w:lang w:eastAsia="bg-BG"/>
        </w:rPr>
        <w:t xml:space="preserve">инхибитор, напр. кетоконазол (вж. точка 4.5), </w:t>
      </w:r>
    </w:p>
    <w:p w14:paraId="550F7024" w14:textId="77777777" w:rsidR="00CC2027" w:rsidRDefault="00CC2027" w:rsidP="00CC2027">
      <w:pPr>
        <w:pStyle w:val="ListParagraph"/>
        <w:numPr>
          <w:ilvl w:val="0"/>
          <w:numId w:val="32"/>
        </w:numPr>
      </w:pPr>
      <w:r w:rsidRPr="00CC2027">
        <w:rPr>
          <w:lang w:eastAsia="bg-BG"/>
        </w:rPr>
        <w:t xml:space="preserve">Пациенти с тежко стомашно-чревно заболяване (включително токсичен мегаколон), миастения гравис или тясноъгьлна глаукома и пациенти с риск от такива заболявания, </w:t>
      </w:r>
    </w:p>
    <w:p w14:paraId="040CB8D8" w14:textId="75523393" w:rsidR="00CC2027" w:rsidRDefault="00CC2027" w:rsidP="00CC2027">
      <w:pPr>
        <w:pStyle w:val="ListParagraph"/>
        <w:numPr>
          <w:ilvl w:val="0"/>
          <w:numId w:val="32"/>
        </w:numPr>
      </w:pPr>
      <w:r w:rsidRPr="00CC2027">
        <w:rPr>
          <w:lang w:eastAsia="bg-BG"/>
        </w:rPr>
        <w:t>Пациенти с анамнеза за ортостатична хипотония.</w:t>
      </w:r>
    </w:p>
    <w:p w14:paraId="6FC7D2AE" w14:textId="5FEA46DC" w:rsidR="00CC2027" w:rsidRPr="00CC2027" w:rsidRDefault="00CC2027" w:rsidP="00CC2027"/>
    <w:p w14:paraId="5A4AC413" w14:textId="4C4DFFC7" w:rsidR="00395555" w:rsidRDefault="002C50EE" w:rsidP="008A6AF2">
      <w:pPr>
        <w:pStyle w:val="Heading2"/>
      </w:pPr>
      <w:r>
        <w:t>4.4. Специални предупреждения и предпазни мерки при употреба</w:t>
      </w:r>
    </w:p>
    <w:p w14:paraId="675A41F1" w14:textId="0CA0B3CA" w:rsidR="00CC2027" w:rsidRDefault="00CC2027" w:rsidP="00CC2027"/>
    <w:p w14:paraId="6CFA8BEC" w14:textId="77777777" w:rsidR="00CC2027" w:rsidRPr="00CC2027" w:rsidRDefault="00CC2027" w:rsidP="00CC2027">
      <w:pPr>
        <w:rPr>
          <w:rFonts w:cs="Arial"/>
          <w:sz w:val="24"/>
        </w:rPr>
      </w:pPr>
      <w:r w:rsidRPr="00CC2027">
        <w:rPr>
          <w:rFonts w:cs="Arial"/>
          <w:szCs w:val="20"/>
        </w:rPr>
        <w:t>Везомни трябва да се използва с внимние при пациенти с:</w:t>
      </w:r>
    </w:p>
    <w:p w14:paraId="62D6C149" w14:textId="77777777" w:rsidR="00CC2027" w:rsidRPr="00CC2027" w:rsidRDefault="00CC2027" w:rsidP="00CC2027">
      <w:pPr>
        <w:pStyle w:val="ListParagraph"/>
        <w:numPr>
          <w:ilvl w:val="0"/>
          <w:numId w:val="33"/>
        </w:numPr>
        <w:rPr>
          <w:rFonts w:cs="Arial"/>
          <w:sz w:val="24"/>
        </w:rPr>
      </w:pPr>
      <w:r w:rsidRPr="00CC2027">
        <w:rPr>
          <w:rFonts w:cs="Arial"/>
          <w:szCs w:val="20"/>
        </w:rPr>
        <w:t>тежко бъбречно увреждане,</w:t>
      </w:r>
    </w:p>
    <w:p w14:paraId="63C204BB" w14:textId="77777777" w:rsidR="00CC2027" w:rsidRPr="00CC2027" w:rsidRDefault="00CC2027" w:rsidP="00CC2027">
      <w:pPr>
        <w:pStyle w:val="ListParagraph"/>
        <w:numPr>
          <w:ilvl w:val="0"/>
          <w:numId w:val="33"/>
        </w:numPr>
        <w:rPr>
          <w:rFonts w:cs="Arial"/>
          <w:sz w:val="24"/>
        </w:rPr>
      </w:pPr>
      <w:r w:rsidRPr="00CC2027">
        <w:rPr>
          <w:rFonts w:cs="Arial"/>
          <w:szCs w:val="20"/>
        </w:rPr>
        <w:t>риск от задържане на урина,</w:t>
      </w:r>
    </w:p>
    <w:p w14:paraId="253C5366" w14:textId="77777777" w:rsidR="00CC2027" w:rsidRPr="00CC2027" w:rsidRDefault="00CC2027" w:rsidP="00CC2027">
      <w:pPr>
        <w:pStyle w:val="ListParagraph"/>
        <w:numPr>
          <w:ilvl w:val="0"/>
          <w:numId w:val="33"/>
        </w:numPr>
        <w:rPr>
          <w:rFonts w:cs="Arial"/>
          <w:sz w:val="24"/>
        </w:rPr>
      </w:pPr>
      <w:r w:rsidRPr="00CC2027">
        <w:rPr>
          <w:rFonts w:cs="Arial"/>
          <w:szCs w:val="20"/>
        </w:rPr>
        <w:t>стомашно-чревно обструктивно заболяване,</w:t>
      </w:r>
    </w:p>
    <w:p w14:paraId="16584540" w14:textId="77777777" w:rsidR="00CC2027" w:rsidRPr="00CC2027" w:rsidRDefault="00CC2027" w:rsidP="00CC2027">
      <w:pPr>
        <w:pStyle w:val="ListParagraph"/>
        <w:numPr>
          <w:ilvl w:val="0"/>
          <w:numId w:val="33"/>
        </w:numPr>
        <w:rPr>
          <w:rFonts w:cs="Arial"/>
          <w:sz w:val="24"/>
        </w:rPr>
      </w:pPr>
      <w:r w:rsidRPr="00CC2027">
        <w:rPr>
          <w:rFonts w:cs="Arial"/>
          <w:szCs w:val="20"/>
        </w:rPr>
        <w:t>риск от намален мотилитет на стомашно-чревния тракт,</w:t>
      </w:r>
    </w:p>
    <w:p w14:paraId="53656FE1" w14:textId="77777777" w:rsidR="00CC2027" w:rsidRPr="00CC2027" w:rsidRDefault="00CC2027" w:rsidP="00CC2027">
      <w:pPr>
        <w:pStyle w:val="ListParagraph"/>
        <w:numPr>
          <w:ilvl w:val="0"/>
          <w:numId w:val="33"/>
        </w:numPr>
        <w:rPr>
          <w:rFonts w:cs="Arial"/>
          <w:sz w:val="24"/>
        </w:rPr>
      </w:pPr>
      <w:r w:rsidRPr="00CC2027">
        <w:rPr>
          <w:rFonts w:cs="Arial"/>
          <w:szCs w:val="20"/>
        </w:rPr>
        <w:t>хиатална херния / гастроезофагеален рефлукс и/или такива пациенти, които приемат едновременно лекарствени продукти (като например бифосфонати), които могат да предзивикат или обострят езофагит,</w:t>
      </w:r>
    </w:p>
    <w:p w14:paraId="7581FD73" w14:textId="77777777" w:rsidR="00CC2027" w:rsidRPr="00CC2027" w:rsidRDefault="00CC2027" w:rsidP="00CC2027">
      <w:pPr>
        <w:pStyle w:val="ListParagraph"/>
        <w:numPr>
          <w:ilvl w:val="0"/>
          <w:numId w:val="33"/>
        </w:numPr>
        <w:rPr>
          <w:rFonts w:cs="Arial"/>
          <w:sz w:val="24"/>
        </w:rPr>
      </w:pPr>
      <w:r w:rsidRPr="00CC2027">
        <w:rPr>
          <w:rFonts w:cs="Arial"/>
          <w:szCs w:val="20"/>
        </w:rPr>
        <w:lastRenderedPageBreak/>
        <w:t>вегетативна невропатия.</w:t>
      </w:r>
    </w:p>
    <w:p w14:paraId="4E14EC5F" w14:textId="77777777" w:rsidR="00CC2027" w:rsidRPr="00CC2027" w:rsidRDefault="00CC2027" w:rsidP="00CC2027">
      <w:pPr>
        <w:rPr>
          <w:rFonts w:cs="Arial"/>
          <w:szCs w:val="20"/>
        </w:rPr>
      </w:pPr>
    </w:p>
    <w:p w14:paraId="16E52881" w14:textId="209D500E" w:rsidR="00CC2027" w:rsidRPr="00CC2027" w:rsidRDefault="00CC2027" w:rsidP="00CC2027">
      <w:pPr>
        <w:rPr>
          <w:rFonts w:cs="Arial"/>
          <w:sz w:val="24"/>
        </w:rPr>
      </w:pPr>
      <w:r w:rsidRPr="00CC2027">
        <w:rPr>
          <w:rFonts w:cs="Arial"/>
          <w:szCs w:val="20"/>
        </w:rPr>
        <w:t>Пациентът трябва да бъде прегледан, за да се изключи наличието на други състояния, които може да причинят подобни симптоми като доброкачествената простатна хиперплазия.</w:t>
      </w:r>
    </w:p>
    <w:p w14:paraId="704F9CED" w14:textId="77777777" w:rsidR="00CC2027" w:rsidRPr="00CC2027" w:rsidRDefault="00CC2027" w:rsidP="00CC2027">
      <w:pPr>
        <w:rPr>
          <w:rFonts w:cs="Arial"/>
          <w:sz w:val="24"/>
        </w:rPr>
      </w:pPr>
      <w:r w:rsidRPr="00CC2027">
        <w:rPr>
          <w:rFonts w:cs="Arial"/>
          <w:szCs w:val="20"/>
        </w:rPr>
        <w:t>Преди да се започне лечение с Везомни трябва да се преценят други причини за често уриниране (сърдечна недостатъчност или бъбречно заболяване). Ако е налична инфекция на уринарния тракт трябва да се започне съответно антибактериално лечение.</w:t>
      </w:r>
    </w:p>
    <w:p w14:paraId="3944158D" w14:textId="77777777" w:rsidR="00CC2027" w:rsidRPr="00CC2027" w:rsidRDefault="00CC2027" w:rsidP="00CC2027">
      <w:pPr>
        <w:rPr>
          <w:rFonts w:cs="Arial"/>
          <w:sz w:val="24"/>
        </w:rPr>
      </w:pPr>
      <w:r w:rsidRPr="00CC2027">
        <w:rPr>
          <w:rFonts w:cs="Arial"/>
          <w:szCs w:val="20"/>
        </w:rPr>
        <w:t xml:space="preserve">Наблюдавани са удължаване на </w:t>
      </w:r>
      <w:r w:rsidRPr="00CC2027">
        <w:rPr>
          <w:rFonts w:cs="Arial"/>
          <w:szCs w:val="20"/>
          <w:lang w:val="en-US"/>
        </w:rPr>
        <w:t>QT</w:t>
      </w:r>
      <w:r w:rsidRPr="00CC2027">
        <w:rPr>
          <w:rFonts w:cs="Arial"/>
          <w:szCs w:val="20"/>
          <w:lang w:val="ru-RU"/>
        </w:rPr>
        <w:t xml:space="preserve"> </w:t>
      </w:r>
      <w:r w:rsidRPr="00CC2027">
        <w:rPr>
          <w:rFonts w:cs="Arial"/>
          <w:szCs w:val="20"/>
        </w:rPr>
        <w:t xml:space="preserve">и </w:t>
      </w:r>
      <w:r w:rsidRPr="00CC2027">
        <w:rPr>
          <w:rFonts w:cs="Arial"/>
          <w:szCs w:val="20"/>
          <w:lang w:val="en-US"/>
        </w:rPr>
        <w:t>Torsade</w:t>
      </w:r>
      <w:r w:rsidRPr="00CC2027">
        <w:rPr>
          <w:rFonts w:cs="Arial"/>
          <w:szCs w:val="20"/>
          <w:lang w:val="ru-RU"/>
        </w:rPr>
        <w:t xml:space="preserve"> </w:t>
      </w:r>
      <w:r w:rsidRPr="00CC2027">
        <w:rPr>
          <w:rFonts w:cs="Arial"/>
          <w:szCs w:val="20"/>
          <w:lang w:val="en-US"/>
        </w:rPr>
        <w:t>de</w:t>
      </w:r>
      <w:r w:rsidRPr="00CC2027">
        <w:rPr>
          <w:rFonts w:cs="Arial"/>
          <w:szCs w:val="20"/>
          <w:lang w:val="ru-RU"/>
        </w:rPr>
        <w:t xml:space="preserve"> </w:t>
      </w:r>
      <w:r w:rsidRPr="00CC2027">
        <w:rPr>
          <w:rFonts w:cs="Arial"/>
          <w:szCs w:val="20"/>
          <w:lang w:val="en-US"/>
        </w:rPr>
        <w:t>Pointes</w:t>
      </w:r>
      <w:r w:rsidRPr="00CC2027">
        <w:rPr>
          <w:rFonts w:cs="Arial"/>
          <w:szCs w:val="20"/>
          <w:lang w:val="ru-RU"/>
        </w:rPr>
        <w:t xml:space="preserve"> </w:t>
      </w:r>
      <w:r w:rsidRPr="00CC2027">
        <w:rPr>
          <w:rFonts w:cs="Arial"/>
          <w:szCs w:val="20"/>
        </w:rPr>
        <w:t xml:space="preserve">при пациенти с рискови фактори като вече наличен синдром на удължен </w:t>
      </w:r>
      <w:r w:rsidRPr="00CC2027">
        <w:rPr>
          <w:rFonts w:cs="Arial"/>
          <w:szCs w:val="20"/>
          <w:lang w:val="en-US"/>
        </w:rPr>
        <w:t>QT</w:t>
      </w:r>
      <w:r w:rsidRPr="00CC2027">
        <w:rPr>
          <w:rFonts w:cs="Arial"/>
          <w:szCs w:val="20"/>
          <w:lang w:val="ru-RU"/>
        </w:rPr>
        <w:t xml:space="preserve"> </w:t>
      </w:r>
      <w:r w:rsidRPr="00CC2027">
        <w:rPr>
          <w:rFonts w:cs="Arial"/>
          <w:szCs w:val="20"/>
        </w:rPr>
        <w:t>и хипокалиемия, които са лекувани със солифенацинов сукцинат.</w:t>
      </w:r>
    </w:p>
    <w:p w14:paraId="6530EA67" w14:textId="77777777" w:rsidR="00CC2027" w:rsidRPr="00CC2027" w:rsidRDefault="00CC2027" w:rsidP="00CC2027">
      <w:pPr>
        <w:rPr>
          <w:rFonts w:cs="Arial"/>
          <w:szCs w:val="20"/>
        </w:rPr>
      </w:pPr>
    </w:p>
    <w:p w14:paraId="03FB99F8" w14:textId="18B7FB50" w:rsidR="00CC2027" w:rsidRPr="00CC2027" w:rsidRDefault="00CC2027" w:rsidP="00CC2027">
      <w:pPr>
        <w:rPr>
          <w:rFonts w:cs="Arial"/>
          <w:sz w:val="24"/>
        </w:rPr>
      </w:pPr>
      <w:r w:rsidRPr="00CC2027">
        <w:rPr>
          <w:rFonts w:cs="Arial"/>
          <w:szCs w:val="20"/>
        </w:rPr>
        <w:t>За някои пациенти на солифенацинов сукцинат и тамсулозин е съобщен ангиоедем с обструкция на дихателните пътища. Везомни трябва да се спре, ако настъпи ангиоедем, и да не се започва отново. Трябва да се назначи подходящо лечение и/или мерки.</w:t>
      </w:r>
    </w:p>
    <w:p w14:paraId="36C0ACF5" w14:textId="77777777" w:rsidR="00CC2027" w:rsidRPr="00CC2027" w:rsidRDefault="00CC2027" w:rsidP="00CC2027">
      <w:pPr>
        <w:rPr>
          <w:rFonts w:cs="Arial"/>
          <w:szCs w:val="20"/>
        </w:rPr>
      </w:pPr>
    </w:p>
    <w:p w14:paraId="664E671A" w14:textId="5C3D4D05" w:rsidR="00CC2027" w:rsidRPr="00CC2027" w:rsidRDefault="00CC2027" w:rsidP="00CC2027">
      <w:pPr>
        <w:rPr>
          <w:rFonts w:cs="Arial"/>
          <w:sz w:val="24"/>
        </w:rPr>
      </w:pPr>
      <w:r w:rsidRPr="00CC2027">
        <w:rPr>
          <w:rFonts w:cs="Arial"/>
          <w:szCs w:val="20"/>
        </w:rPr>
        <w:t>При някои пациенти на лечение със солифенацинов сукцинат са докладвани анафилактични реакции. При пациенти, които проявят анафилактични реакции, лечението със Везомни трябва да се спре и да се назначи подходящо лечение и/или мерки.</w:t>
      </w:r>
    </w:p>
    <w:p w14:paraId="0B97DE71" w14:textId="77777777" w:rsidR="00CC2027" w:rsidRPr="00CC2027" w:rsidRDefault="00CC2027" w:rsidP="00CC2027">
      <w:pPr>
        <w:rPr>
          <w:rFonts w:cs="Arial"/>
          <w:szCs w:val="20"/>
        </w:rPr>
      </w:pPr>
    </w:p>
    <w:p w14:paraId="68D6507F" w14:textId="6CF1996D" w:rsidR="00CC2027" w:rsidRPr="00CC2027" w:rsidRDefault="00CC2027" w:rsidP="00CC2027">
      <w:pPr>
        <w:rPr>
          <w:rFonts w:cs="Arial"/>
          <w:sz w:val="24"/>
        </w:rPr>
      </w:pPr>
      <w:r w:rsidRPr="00CC2027">
        <w:rPr>
          <w:rFonts w:cs="Arial"/>
          <w:szCs w:val="20"/>
        </w:rPr>
        <w:t>Както и при другите α-1 адренорецепторни антагонисти, в отделни случаи може да се появи</w:t>
      </w:r>
      <w:r w:rsidRPr="00CC2027">
        <w:rPr>
          <w:rFonts w:cs="Arial"/>
          <w:szCs w:val="20"/>
          <w:u w:val="single"/>
        </w:rPr>
        <w:t xml:space="preserve"> </w:t>
      </w:r>
      <w:r w:rsidRPr="00CC2027">
        <w:rPr>
          <w:rFonts w:cs="Arial"/>
          <w:szCs w:val="20"/>
        </w:rPr>
        <w:t>понижение на кръвното налягане по време на лечението с тамсулозин, в следствие на което още по-рядко може да се получи синкоп. При първите признаци на ортостатична хипотония</w:t>
      </w:r>
    </w:p>
    <w:p w14:paraId="0C1DFBD1" w14:textId="0F100B47" w:rsidR="00CC2027" w:rsidRPr="00CC2027" w:rsidRDefault="00CC2027" w:rsidP="00CC2027">
      <w:pPr>
        <w:rPr>
          <w:rFonts w:cs="Arial"/>
          <w:szCs w:val="20"/>
        </w:rPr>
      </w:pPr>
      <w:r w:rsidRPr="00CC2027">
        <w:rPr>
          <w:rFonts w:cs="Arial"/>
          <w:szCs w:val="20"/>
        </w:rPr>
        <w:t>(световъртеж, слабост) пациентите, започващи лечение с Везомни трябва да бъдат предупредени да седнат или да легнат, докато отзвучат симптомите.</w:t>
      </w:r>
    </w:p>
    <w:p w14:paraId="758D5BBC" w14:textId="4B053D4C" w:rsidR="00CC2027" w:rsidRPr="00CC2027" w:rsidRDefault="00CC2027" w:rsidP="00CC2027">
      <w:pPr>
        <w:rPr>
          <w:rFonts w:cs="Arial"/>
          <w:szCs w:val="20"/>
        </w:rPr>
      </w:pPr>
    </w:p>
    <w:p w14:paraId="4035B97E"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По време на операции за катаракта и глаукома при някои пациенти на, или били на лечение с тамсулозинов хидрохлорид, е наблюдаван „Интраоперативен Флопи Ирис Синдром” (ИФИС, вариант на синдрома на малката зеница). ИФИС може да повиши риска от очни усложнения по време и след операцията. Следователно, не се препоръчва започване на лечение с Везомни при пациенти, за които е запланувана операция на катаракта или глаукома. Счита се, че прекратяване на лечението с Везомни 1-2 седмици преди операция за катаракта или глаукома би могло да помогне, но ползата от спиране на терапията все още не са установени. По време на предоперативната оценка хирурзите и офталмологичните екипи трябва да обсъдят дали пациентите, подлежащи на операция за катаракта или глаукома, са или са били лекувани с Везомни, за да осигурят съответни мерки, които да се предприемат за справяне с ИФИС по време на операцията.</w:t>
      </w:r>
    </w:p>
    <w:p w14:paraId="50FF6250" w14:textId="77777777" w:rsidR="00CC2027" w:rsidRPr="00CC2027" w:rsidRDefault="00CC2027" w:rsidP="00CC2027">
      <w:pPr>
        <w:rPr>
          <w:rFonts w:eastAsia="Times New Roman" w:cs="Arial"/>
          <w:color w:val="000000"/>
          <w:szCs w:val="20"/>
          <w:lang w:eastAsia="bg-BG"/>
        </w:rPr>
      </w:pPr>
    </w:p>
    <w:p w14:paraId="230D6C25" w14:textId="328829E4" w:rsidR="00CC2027" w:rsidRDefault="00CC2027" w:rsidP="00CC2027">
      <w:pPr>
        <w:rPr>
          <w:rFonts w:eastAsia="Times New Roman" w:cs="Arial"/>
          <w:color w:val="000000"/>
          <w:szCs w:val="20"/>
          <w:lang w:eastAsia="bg-BG"/>
        </w:rPr>
      </w:pPr>
      <w:r w:rsidRPr="00CC2027">
        <w:rPr>
          <w:rFonts w:eastAsia="Times New Roman" w:cs="Arial"/>
          <w:color w:val="000000"/>
          <w:szCs w:val="20"/>
          <w:lang w:eastAsia="bg-BG"/>
        </w:rPr>
        <w:t xml:space="preserve">Везомни трябва да се използва с внимание в комбинация с умерени и силни инхибитори на </w:t>
      </w:r>
      <w:r w:rsidRPr="00CC2027">
        <w:rPr>
          <w:rFonts w:eastAsia="Times New Roman" w:cs="Arial"/>
          <w:color w:val="000000"/>
          <w:szCs w:val="20"/>
          <w:lang w:val="en-US"/>
        </w:rPr>
        <w:t>CYP</w:t>
      </w:r>
      <w:r w:rsidRPr="00CC2027">
        <w:rPr>
          <w:rFonts w:eastAsia="Times New Roman" w:cs="Arial"/>
          <w:color w:val="000000"/>
          <w:szCs w:val="20"/>
          <w:lang w:val="ru-RU"/>
        </w:rPr>
        <w:t>3</w:t>
      </w:r>
      <w:r w:rsidRPr="00CC2027">
        <w:rPr>
          <w:rFonts w:eastAsia="Times New Roman" w:cs="Arial"/>
          <w:color w:val="000000"/>
          <w:szCs w:val="20"/>
          <w:lang w:val="en-US"/>
        </w:rPr>
        <w:t>A</w:t>
      </w:r>
      <w:r w:rsidRPr="00CC2027">
        <w:rPr>
          <w:rFonts w:eastAsia="Times New Roman" w:cs="Arial"/>
          <w:color w:val="000000"/>
          <w:szCs w:val="20"/>
          <w:lang w:val="ru-RU"/>
        </w:rPr>
        <w:t xml:space="preserve">4 </w:t>
      </w:r>
      <w:r w:rsidRPr="00CC2027">
        <w:rPr>
          <w:rFonts w:eastAsia="Times New Roman" w:cs="Arial"/>
          <w:color w:val="000000"/>
          <w:szCs w:val="20"/>
          <w:lang w:eastAsia="bg-BG"/>
        </w:rPr>
        <w:t xml:space="preserve">(виж точка 4.5) и той не трябва да се прилага в комбинация с мощни инхибитори на </w:t>
      </w:r>
      <w:r w:rsidRPr="00CC2027">
        <w:rPr>
          <w:rFonts w:eastAsia="Times New Roman" w:cs="Arial"/>
          <w:color w:val="000000"/>
          <w:szCs w:val="20"/>
          <w:lang w:val="en-US"/>
        </w:rPr>
        <w:t>CYP</w:t>
      </w:r>
      <w:r w:rsidRPr="00CC2027">
        <w:rPr>
          <w:rFonts w:eastAsia="Times New Roman" w:cs="Arial"/>
          <w:color w:val="000000"/>
          <w:szCs w:val="20"/>
          <w:lang w:val="ru-RU"/>
        </w:rPr>
        <w:t>3</w:t>
      </w:r>
      <w:r w:rsidRPr="00CC2027">
        <w:rPr>
          <w:rFonts w:eastAsia="Times New Roman" w:cs="Arial"/>
          <w:color w:val="000000"/>
          <w:szCs w:val="20"/>
          <w:lang w:val="en-US"/>
        </w:rPr>
        <w:t>A</w:t>
      </w:r>
      <w:r w:rsidRPr="00CC2027">
        <w:rPr>
          <w:rFonts w:eastAsia="Times New Roman" w:cs="Arial"/>
          <w:color w:val="000000"/>
          <w:szCs w:val="20"/>
          <w:lang w:val="ru-RU"/>
        </w:rPr>
        <w:t xml:space="preserve">4, </w:t>
      </w:r>
      <w:r w:rsidRPr="00CC2027">
        <w:rPr>
          <w:rFonts w:eastAsia="Times New Roman" w:cs="Arial"/>
          <w:color w:val="000000"/>
          <w:szCs w:val="20"/>
          <w:lang w:eastAsia="bg-BG"/>
        </w:rPr>
        <w:t xml:space="preserve">напр. кетоконазол, при пациенти, които са с </w:t>
      </w:r>
      <w:r w:rsidRPr="00CC2027">
        <w:rPr>
          <w:rFonts w:eastAsia="Times New Roman" w:cs="Arial"/>
          <w:color w:val="000000"/>
          <w:szCs w:val="20"/>
          <w:lang w:val="en-US"/>
        </w:rPr>
        <w:t>CYP</w:t>
      </w:r>
      <w:r w:rsidRPr="00CC2027">
        <w:rPr>
          <w:rFonts w:eastAsia="Times New Roman" w:cs="Arial"/>
          <w:color w:val="000000"/>
          <w:szCs w:val="20"/>
          <w:lang w:val="ru-RU"/>
        </w:rPr>
        <w:t>2</w:t>
      </w:r>
      <w:r w:rsidRPr="00CC2027">
        <w:rPr>
          <w:rFonts w:eastAsia="Times New Roman" w:cs="Arial"/>
          <w:color w:val="000000"/>
          <w:szCs w:val="20"/>
          <w:lang w:val="en-US"/>
        </w:rPr>
        <w:t>D</w:t>
      </w:r>
      <w:r w:rsidRPr="00CC2027">
        <w:rPr>
          <w:rFonts w:eastAsia="Times New Roman" w:cs="Arial"/>
          <w:color w:val="000000"/>
          <w:szCs w:val="20"/>
          <w:lang w:val="ru-RU"/>
        </w:rPr>
        <w:t xml:space="preserve">6 </w:t>
      </w:r>
      <w:r w:rsidRPr="00CC2027">
        <w:rPr>
          <w:rFonts w:eastAsia="Times New Roman" w:cs="Arial"/>
          <w:color w:val="000000"/>
          <w:szCs w:val="20"/>
          <w:lang w:eastAsia="bg-BG"/>
        </w:rPr>
        <w:t xml:space="preserve">фенотип на слаби метаболизатори или използват мощни инхибитори на </w:t>
      </w:r>
      <w:r w:rsidRPr="00CC2027">
        <w:rPr>
          <w:rFonts w:eastAsia="Times New Roman" w:cs="Arial"/>
          <w:color w:val="000000"/>
          <w:szCs w:val="20"/>
          <w:lang w:val="en-US"/>
        </w:rPr>
        <w:t>CYP</w:t>
      </w:r>
      <w:r w:rsidRPr="00CC2027">
        <w:rPr>
          <w:rFonts w:eastAsia="Times New Roman" w:cs="Arial"/>
          <w:color w:val="000000"/>
          <w:szCs w:val="20"/>
          <w:lang w:val="ru-RU"/>
        </w:rPr>
        <w:t>2</w:t>
      </w:r>
      <w:r w:rsidRPr="00CC2027">
        <w:rPr>
          <w:rFonts w:eastAsia="Times New Roman" w:cs="Arial"/>
          <w:color w:val="000000"/>
          <w:szCs w:val="20"/>
          <w:lang w:val="en-US"/>
        </w:rPr>
        <w:t>D</w:t>
      </w:r>
      <w:r w:rsidRPr="00CC2027">
        <w:rPr>
          <w:rFonts w:eastAsia="Times New Roman" w:cs="Arial"/>
          <w:color w:val="000000"/>
          <w:szCs w:val="20"/>
          <w:lang w:val="ru-RU"/>
        </w:rPr>
        <w:t xml:space="preserve">6, </w:t>
      </w:r>
      <w:r w:rsidRPr="00CC2027">
        <w:rPr>
          <w:rFonts w:eastAsia="Times New Roman" w:cs="Arial"/>
          <w:color w:val="000000"/>
          <w:szCs w:val="20"/>
          <w:lang w:eastAsia="bg-BG"/>
        </w:rPr>
        <w:t>напр. пароксетин.</w:t>
      </w:r>
    </w:p>
    <w:p w14:paraId="2CBBD1FE" w14:textId="77777777" w:rsidR="00CC2027" w:rsidRPr="00CC2027" w:rsidRDefault="00CC2027" w:rsidP="00CC2027">
      <w:pPr>
        <w:rPr>
          <w:rFonts w:cs="Arial"/>
          <w:sz w:val="24"/>
        </w:rPr>
      </w:pPr>
    </w:p>
    <w:p w14:paraId="1244F76A" w14:textId="34979A72" w:rsidR="00395555" w:rsidRDefault="002C50EE" w:rsidP="008A6AF2">
      <w:pPr>
        <w:pStyle w:val="Heading2"/>
      </w:pPr>
      <w:r>
        <w:t>4.5. Взаимодействие с други лекарствени продукти и други форми на взаимодействие</w:t>
      </w:r>
    </w:p>
    <w:p w14:paraId="370CE72C" w14:textId="3C73BFA9" w:rsidR="00CC2027" w:rsidRDefault="00CC2027" w:rsidP="00CC2027"/>
    <w:p w14:paraId="44F8F5A2"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lastRenderedPageBreak/>
        <w:t>Едновременното приложение с други лекарствени продукти с антихолинергични свойства може да доведе до засилени терапевтични ефекти и нежеланите реакции. Трябва да мине интервал от около една седмица след спиране на лечението с Везомни преди да се започне приема на друго антихолинергично средство. Лечебният ефект на солифенацин може да се понижи при едновременно прилагане на агонисти на холинергичните рецептори.</w:t>
      </w:r>
    </w:p>
    <w:p w14:paraId="6B1D457E" w14:textId="77777777" w:rsidR="00CC2027" w:rsidRPr="00CC2027" w:rsidRDefault="00CC2027" w:rsidP="00CC2027">
      <w:pPr>
        <w:spacing w:line="240" w:lineRule="auto"/>
        <w:rPr>
          <w:rFonts w:eastAsia="Times New Roman" w:cs="Arial"/>
          <w:i/>
          <w:iCs/>
          <w:color w:val="000000"/>
          <w:szCs w:val="20"/>
          <w:lang w:eastAsia="bg-BG"/>
        </w:rPr>
      </w:pPr>
    </w:p>
    <w:p w14:paraId="1DF42D62" w14:textId="50F53C75" w:rsidR="00CC2027" w:rsidRPr="00CC2027" w:rsidRDefault="00CC2027" w:rsidP="00CC2027">
      <w:pPr>
        <w:spacing w:line="240" w:lineRule="auto"/>
        <w:rPr>
          <w:rFonts w:eastAsia="Times New Roman" w:cs="Arial"/>
          <w:sz w:val="28"/>
          <w:szCs w:val="24"/>
        </w:rPr>
      </w:pPr>
      <w:r w:rsidRPr="00CC2027">
        <w:rPr>
          <w:rFonts w:eastAsia="Times New Roman" w:cs="Arial"/>
          <w:i/>
          <w:iCs/>
          <w:color w:val="000000"/>
          <w:szCs w:val="20"/>
          <w:lang w:eastAsia="bg-BG"/>
        </w:rPr>
        <w:t xml:space="preserve">Взаимодействия с </w:t>
      </w:r>
      <w:r w:rsidRPr="00CC2027">
        <w:rPr>
          <w:rFonts w:eastAsia="Times New Roman" w:cs="Arial"/>
          <w:i/>
          <w:iCs/>
          <w:color w:val="000000"/>
          <w:szCs w:val="20"/>
          <w:lang w:val="en-US"/>
        </w:rPr>
        <w:t>CYP</w:t>
      </w:r>
      <w:r w:rsidRPr="00CC2027">
        <w:rPr>
          <w:rFonts w:eastAsia="Times New Roman" w:cs="Arial"/>
          <w:i/>
          <w:iCs/>
          <w:color w:val="000000"/>
          <w:szCs w:val="20"/>
          <w:lang w:val="ru-RU"/>
        </w:rPr>
        <w:t>3</w:t>
      </w:r>
      <w:r w:rsidRPr="00CC2027">
        <w:rPr>
          <w:rFonts w:eastAsia="Times New Roman" w:cs="Arial"/>
          <w:i/>
          <w:iCs/>
          <w:color w:val="000000"/>
          <w:szCs w:val="20"/>
          <w:lang w:val="en-US"/>
        </w:rPr>
        <w:t>A</w:t>
      </w:r>
      <w:r w:rsidRPr="00CC2027">
        <w:rPr>
          <w:rFonts w:eastAsia="Times New Roman" w:cs="Arial"/>
          <w:i/>
          <w:iCs/>
          <w:color w:val="000000"/>
          <w:szCs w:val="20"/>
          <w:lang w:val="ru-RU"/>
        </w:rPr>
        <w:t xml:space="preserve">4 </w:t>
      </w:r>
      <w:r w:rsidRPr="00CC2027">
        <w:rPr>
          <w:rFonts w:eastAsia="Times New Roman" w:cs="Arial"/>
          <w:i/>
          <w:iCs/>
          <w:color w:val="000000"/>
          <w:szCs w:val="20"/>
          <w:lang w:eastAsia="bg-BG"/>
        </w:rPr>
        <w:t xml:space="preserve">и </w:t>
      </w:r>
      <w:r w:rsidRPr="00CC2027">
        <w:rPr>
          <w:rFonts w:eastAsia="Times New Roman" w:cs="Arial"/>
          <w:i/>
          <w:iCs/>
          <w:color w:val="000000"/>
          <w:szCs w:val="20"/>
          <w:lang w:val="en-US"/>
        </w:rPr>
        <w:t>CYP</w:t>
      </w:r>
      <w:r w:rsidRPr="00CC2027">
        <w:rPr>
          <w:rFonts w:eastAsia="Times New Roman" w:cs="Arial"/>
          <w:i/>
          <w:iCs/>
          <w:color w:val="000000"/>
          <w:szCs w:val="20"/>
          <w:lang w:val="ru-RU"/>
        </w:rPr>
        <w:t>2</w:t>
      </w:r>
      <w:r w:rsidRPr="00CC2027">
        <w:rPr>
          <w:rFonts w:eastAsia="Times New Roman" w:cs="Arial"/>
          <w:i/>
          <w:iCs/>
          <w:color w:val="000000"/>
          <w:szCs w:val="20"/>
          <w:lang w:val="en-US"/>
        </w:rPr>
        <w:t>D</w:t>
      </w:r>
      <w:r w:rsidRPr="00CC2027">
        <w:rPr>
          <w:rFonts w:eastAsia="Times New Roman" w:cs="Arial"/>
          <w:i/>
          <w:iCs/>
          <w:color w:val="000000"/>
          <w:szCs w:val="20"/>
          <w:lang w:val="ru-RU"/>
        </w:rPr>
        <w:t xml:space="preserve">6 </w:t>
      </w:r>
      <w:r w:rsidRPr="00CC2027">
        <w:rPr>
          <w:rFonts w:eastAsia="Times New Roman" w:cs="Arial"/>
          <w:i/>
          <w:iCs/>
          <w:color w:val="000000"/>
          <w:szCs w:val="20"/>
          <w:lang w:eastAsia="bg-BG"/>
        </w:rPr>
        <w:t>инхибитори</w:t>
      </w:r>
    </w:p>
    <w:p w14:paraId="05E22D6C" w14:textId="77777777" w:rsidR="00CC2027" w:rsidRPr="00CC2027" w:rsidRDefault="00CC2027" w:rsidP="00CC2027">
      <w:pPr>
        <w:spacing w:line="240" w:lineRule="auto"/>
        <w:rPr>
          <w:rFonts w:eastAsia="Times New Roman" w:cs="Arial"/>
          <w:color w:val="000000"/>
          <w:szCs w:val="20"/>
          <w:lang w:eastAsia="bg-BG"/>
        </w:rPr>
      </w:pPr>
    </w:p>
    <w:p w14:paraId="3B7DC0CC" w14:textId="30E2BFBB"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 xml:space="preserve">Едновременното приложение на солифенацин с кетоконазол (мощен </w:t>
      </w:r>
      <w:r w:rsidRPr="00CC2027">
        <w:rPr>
          <w:rFonts w:eastAsia="Times New Roman" w:cs="Arial"/>
          <w:color w:val="000000"/>
          <w:szCs w:val="20"/>
          <w:lang w:val="en-US"/>
        </w:rPr>
        <w:t>CYP</w:t>
      </w:r>
      <w:r w:rsidRPr="00CC2027">
        <w:rPr>
          <w:rFonts w:eastAsia="Times New Roman" w:cs="Arial"/>
          <w:color w:val="000000"/>
          <w:szCs w:val="20"/>
          <w:lang w:val="ru-RU"/>
        </w:rPr>
        <w:t xml:space="preserve">3 </w:t>
      </w:r>
      <w:r w:rsidRPr="00CC2027">
        <w:rPr>
          <w:rFonts w:eastAsia="Times New Roman" w:cs="Arial"/>
          <w:color w:val="000000"/>
          <w:szCs w:val="20"/>
          <w:lang w:eastAsia="bg-BG"/>
        </w:rPr>
        <w:t xml:space="preserve">А4 инхибитор) (200 </w:t>
      </w:r>
      <w:r w:rsidRPr="00CC2027">
        <w:rPr>
          <w:rFonts w:eastAsia="Times New Roman" w:cs="Arial"/>
          <w:color w:val="000000"/>
          <w:szCs w:val="20"/>
          <w:lang w:val="en-US"/>
        </w:rPr>
        <w:t>mg</w:t>
      </w:r>
      <w:r w:rsidRPr="00CC2027">
        <w:rPr>
          <w:rFonts w:eastAsia="Times New Roman" w:cs="Arial"/>
          <w:color w:val="000000"/>
          <w:szCs w:val="20"/>
          <w:lang w:eastAsia="bg-BG"/>
        </w:rPr>
        <w:t>/дневно) води до 1,4- и 2,0-кратно повишение на С</w:t>
      </w:r>
      <w:r w:rsidRPr="00CC2027">
        <w:rPr>
          <w:rFonts w:eastAsia="Times New Roman" w:cs="Arial"/>
          <w:color w:val="000000"/>
          <w:szCs w:val="20"/>
          <w:vertAlign w:val="subscript"/>
          <w:lang w:val="en-US"/>
        </w:rPr>
        <w:t>max</w:t>
      </w:r>
      <w:r w:rsidRPr="00CC2027">
        <w:rPr>
          <w:rFonts w:eastAsia="Times New Roman" w:cs="Arial"/>
          <w:color w:val="000000"/>
          <w:szCs w:val="20"/>
          <w:lang w:eastAsia="bg-BG"/>
        </w:rPr>
        <w:t xml:space="preserve"> и на площта под кривата </w:t>
      </w:r>
      <w:r w:rsidRPr="00CC2027">
        <w:rPr>
          <w:rFonts w:eastAsia="Times New Roman" w:cs="Arial"/>
          <w:color w:val="000000"/>
          <w:szCs w:val="20"/>
          <w:lang w:val="ru-RU"/>
        </w:rPr>
        <w:t>(</w:t>
      </w:r>
      <w:r w:rsidRPr="00CC2027">
        <w:rPr>
          <w:rFonts w:eastAsia="Times New Roman" w:cs="Arial"/>
          <w:color w:val="000000"/>
          <w:szCs w:val="20"/>
          <w:lang w:val="en-US"/>
        </w:rPr>
        <w:t>AUC</w:t>
      </w:r>
      <w:r w:rsidRPr="00CC2027">
        <w:rPr>
          <w:rFonts w:eastAsia="Times New Roman" w:cs="Arial"/>
          <w:color w:val="000000"/>
          <w:szCs w:val="20"/>
          <w:lang w:val="ru-RU"/>
        </w:rPr>
        <w:t xml:space="preserve">) </w:t>
      </w:r>
      <w:r w:rsidRPr="00CC2027">
        <w:rPr>
          <w:rFonts w:eastAsia="Times New Roman" w:cs="Arial"/>
          <w:color w:val="000000"/>
          <w:szCs w:val="20"/>
          <w:lang w:eastAsia="bg-BG"/>
        </w:rPr>
        <w:t xml:space="preserve">на солифенацин, докато кетоконазол в доза 400 </w:t>
      </w:r>
      <w:r w:rsidRPr="00CC2027">
        <w:rPr>
          <w:rFonts w:eastAsia="Times New Roman" w:cs="Arial"/>
          <w:color w:val="000000"/>
          <w:szCs w:val="20"/>
          <w:lang w:val="en-US"/>
        </w:rPr>
        <w:t>mg</w:t>
      </w:r>
      <w:r w:rsidRPr="00CC2027">
        <w:rPr>
          <w:rFonts w:eastAsia="Times New Roman" w:cs="Arial"/>
          <w:color w:val="000000"/>
          <w:szCs w:val="20"/>
          <w:lang w:eastAsia="bg-BG"/>
        </w:rPr>
        <w:t>/дневно води до 1,5- и 2,8-кратно повишение на С</w:t>
      </w:r>
      <w:r w:rsidRPr="00CC2027">
        <w:rPr>
          <w:rFonts w:eastAsia="Times New Roman" w:cs="Arial"/>
          <w:color w:val="000000"/>
          <w:szCs w:val="20"/>
          <w:vertAlign w:val="subscript"/>
          <w:lang w:val="en-US"/>
        </w:rPr>
        <w:t>max</w:t>
      </w:r>
      <w:r w:rsidRPr="00CC2027">
        <w:rPr>
          <w:rFonts w:eastAsia="Times New Roman" w:cs="Arial"/>
          <w:color w:val="000000"/>
          <w:szCs w:val="20"/>
          <w:vertAlign w:val="subscript"/>
          <w:lang w:eastAsia="bg-BG"/>
        </w:rPr>
        <w:t xml:space="preserve"> </w:t>
      </w:r>
      <w:r w:rsidRPr="00CC2027">
        <w:rPr>
          <w:rFonts w:eastAsia="Times New Roman" w:cs="Arial"/>
          <w:color w:val="000000"/>
          <w:szCs w:val="20"/>
          <w:lang w:eastAsia="bg-BG"/>
        </w:rPr>
        <w:t xml:space="preserve">и на </w:t>
      </w:r>
      <w:r w:rsidRPr="00CC2027">
        <w:rPr>
          <w:rFonts w:eastAsia="Times New Roman" w:cs="Arial"/>
          <w:color w:val="000000"/>
          <w:szCs w:val="20"/>
          <w:lang w:val="en-US"/>
        </w:rPr>
        <w:t>AUC</w:t>
      </w:r>
      <w:r w:rsidRPr="00CC2027">
        <w:rPr>
          <w:rFonts w:eastAsia="Times New Roman" w:cs="Arial"/>
          <w:color w:val="000000"/>
          <w:szCs w:val="20"/>
          <w:lang w:val="ru-RU"/>
        </w:rPr>
        <w:t xml:space="preserve"> </w:t>
      </w:r>
      <w:r w:rsidRPr="00CC2027">
        <w:rPr>
          <w:rFonts w:eastAsia="Times New Roman" w:cs="Arial"/>
          <w:color w:val="000000"/>
          <w:szCs w:val="20"/>
          <w:lang w:eastAsia="bg-BG"/>
        </w:rPr>
        <w:t>на солифенацин.</w:t>
      </w:r>
    </w:p>
    <w:p w14:paraId="59B932E7" w14:textId="77777777" w:rsidR="00CC2027" w:rsidRPr="00CC2027" w:rsidRDefault="00CC2027" w:rsidP="00CC2027">
      <w:pPr>
        <w:spacing w:line="240" w:lineRule="auto"/>
        <w:rPr>
          <w:rFonts w:eastAsia="Times New Roman" w:cs="Arial"/>
          <w:color w:val="000000"/>
          <w:szCs w:val="20"/>
          <w:lang w:eastAsia="bg-BG"/>
        </w:rPr>
      </w:pPr>
    </w:p>
    <w:p w14:paraId="625A34CA" w14:textId="25481779"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 xml:space="preserve">Едновременното приложение на тамсулозин с кетоконазол в доза 400 </w:t>
      </w:r>
      <w:r w:rsidRPr="00CC2027">
        <w:rPr>
          <w:rFonts w:eastAsia="Times New Roman" w:cs="Arial"/>
          <w:color w:val="000000"/>
          <w:szCs w:val="20"/>
          <w:lang w:val="en-US"/>
        </w:rPr>
        <w:t>mg</w:t>
      </w:r>
      <w:r w:rsidRPr="00CC2027">
        <w:rPr>
          <w:rFonts w:eastAsia="Times New Roman" w:cs="Arial"/>
          <w:color w:val="000000"/>
          <w:szCs w:val="20"/>
          <w:lang w:eastAsia="bg-BG"/>
        </w:rPr>
        <w:t>/дневно води до 2,2- и 2,8-кратно повишение на С</w:t>
      </w:r>
      <w:r w:rsidRPr="00CC2027">
        <w:rPr>
          <w:rFonts w:eastAsia="Times New Roman" w:cs="Arial"/>
          <w:color w:val="000000"/>
          <w:szCs w:val="20"/>
          <w:vertAlign w:val="subscript"/>
          <w:lang w:val="en-US"/>
        </w:rPr>
        <w:t>max</w:t>
      </w:r>
      <w:r w:rsidRPr="00CC2027">
        <w:rPr>
          <w:rFonts w:eastAsia="Times New Roman" w:cs="Arial"/>
          <w:color w:val="000000"/>
          <w:szCs w:val="20"/>
          <w:lang w:eastAsia="bg-BG"/>
        </w:rPr>
        <w:t xml:space="preserve"> и на </w:t>
      </w:r>
      <w:r w:rsidRPr="00CC2027">
        <w:rPr>
          <w:rFonts w:eastAsia="Times New Roman" w:cs="Arial"/>
          <w:color w:val="000000"/>
          <w:szCs w:val="20"/>
          <w:lang w:val="en-US"/>
        </w:rPr>
        <w:t>AUC</w:t>
      </w:r>
      <w:r w:rsidRPr="00CC2027">
        <w:rPr>
          <w:rFonts w:eastAsia="Times New Roman" w:cs="Arial"/>
          <w:color w:val="000000"/>
          <w:szCs w:val="20"/>
          <w:lang w:val="ru-RU"/>
        </w:rPr>
        <w:t xml:space="preserve"> </w:t>
      </w:r>
      <w:r w:rsidRPr="00CC2027">
        <w:rPr>
          <w:rFonts w:eastAsia="Times New Roman" w:cs="Arial"/>
          <w:color w:val="000000"/>
          <w:szCs w:val="20"/>
          <w:lang w:eastAsia="bg-BG"/>
        </w:rPr>
        <w:t>на тамсулозин, съответно.</w:t>
      </w:r>
    </w:p>
    <w:p w14:paraId="4DAA9CA4" w14:textId="77777777" w:rsidR="00CC2027" w:rsidRPr="00CC2027" w:rsidRDefault="00CC2027" w:rsidP="00CC2027">
      <w:pPr>
        <w:spacing w:line="240" w:lineRule="auto"/>
        <w:rPr>
          <w:rFonts w:eastAsia="Times New Roman" w:cs="Arial"/>
          <w:color w:val="000000"/>
          <w:szCs w:val="20"/>
          <w:lang w:eastAsia="bg-BG"/>
        </w:rPr>
      </w:pPr>
    </w:p>
    <w:p w14:paraId="39A80BB0" w14:textId="35EC84AC"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 xml:space="preserve">Тъй като едновременното приложение с мощни инхибитори на </w:t>
      </w:r>
      <w:r w:rsidRPr="00CC2027">
        <w:rPr>
          <w:rFonts w:eastAsia="Times New Roman" w:cs="Arial"/>
          <w:color w:val="000000"/>
          <w:szCs w:val="20"/>
          <w:lang w:val="en-US"/>
        </w:rPr>
        <w:t>CYP</w:t>
      </w:r>
      <w:r w:rsidRPr="00CC2027">
        <w:rPr>
          <w:rFonts w:eastAsia="Times New Roman" w:cs="Arial"/>
          <w:color w:val="000000"/>
          <w:szCs w:val="20"/>
          <w:lang w:val="ru-RU"/>
        </w:rPr>
        <w:t>3</w:t>
      </w:r>
      <w:r w:rsidRPr="00CC2027">
        <w:rPr>
          <w:rFonts w:eastAsia="Times New Roman" w:cs="Arial"/>
          <w:color w:val="000000"/>
          <w:szCs w:val="20"/>
          <w:lang w:val="en-US"/>
        </w:rPr>
        <w:t>A</w:t>
      </w:r>
      <w:r w:rsidRPr="00CC2027">
        <w:rPr>
          <w:rFonts w:eastAsia="Times New Roman" w:cs="Arial"/>
          <w:color w:val="000000"/>
          <w:szCs w:val="20"/>
          <w:lang w:val="ru-RU"/>
        </w:rPr>
        <w:t xml:space="preserve">4, </w:t>
      </w:r>
      <w:r w:rsidRPr="00CC2027">
        <w:rPr>
          <w:rFonts w:eastAsia="Times New Roman" w:cs="Arial"/>
          <w:color w:val="000000"/>
          <w:szCs w:val="20"/>
          <w:lang w:eastAsia="bg-BG"/>
        </w:rPr>
        <w:t xml:space="preserve">като кетоконазол, ритонавир, нелфинавир и итраконазол може да доведе до повишена експозиция както на солифенацин, така и на тамсулозин, Везомни трябва да се използва с внимание в комбинация с мощни </w:t>
      </w:r>
      <w:r w:rsidRPr="00CC2027">
        <w:rPr>
          <w:rFonts w:eastAsia="Times New Roman" w:cs="Arial"/>
          <w:color w:val="000000"/>
          <w:szCs w:val="20"/>
          <w:lang w:val="en-US"/>
        </w:rPr>
        <w:t>CYP</w:t>
      </w:r>
      <w:r w:rsidRPr="00CC2027">
        <w:rPr>
          <w:rFonts w:eastAsia="Times New Roman" w:cs="Arial"/>
          <w:color w:val="000000"/>
          <w:szCs w:val="20"/>
          <w:lang w:val="ru-RU"/>
        </w:rPr>
        <w:t>3</w:t>
      </w:r>
      <w:r w:rsidRPr="00CC2027">
        <w:rPr>
          <w:rFonts w:eastAsia="Times New Roman" w:cs="Arial"/>
          <w:color w:val="000000"/>
          <w:szCs w:val="20"/>
          <w:lang w:val="en-US"/>
        </w:rPr>
        <w:t>A</w:t>
      </w:r>
      <w:r w:rsidRPr="00CC2027">
        <w:rPr>
          <w:rFonts w:eastAsia="Times New Roman" w:cs="Arial"/>
          <w:color w:val="000000"/>
          <w:szCs w:val="20"/>
          <w:lang w:val="ru-RU"/>
        </w:rPr>
        <w:t xml:space="preserve">4 </w:t>
      </w:r>
      <w:r w:rsidRPr="00CC2027">
        <w:rPr>
          <w:rFonts w:eastAsia="Times New Roman" w:cs="Arial"/>
          <w:color w:val="000000"/>
          <w:szCs w:val="20"/>
          <w:lang w:eastAsia="bg-BG"/>
        </w:rPr>
        <w:t xml:space="preserve">инхибитори. Везомни не трябва да се прилага заедно с мощни </w:t>
      </w:r>
      <w:r w:rsidRPr="00CC2027">
        <w:rPr>
          <w:rFonts w:eastAsia="Times New Roman" w:cs="Arial"/>
          <w:color w:val="000000"/>
          <w:szCs w:val="20"/>
          <w:lang w:val="en-US"/>
        </w:rPr>
        <w:t>CYP</w:t>
      </w:r>
      <w:r w:rsidRPr="00CC2027">
        <w:rPr>
          <w:rFonts w:eastAsia="Times New Roman" w:cs="Arial"/>
          <w:color w:val="000000"/>
          <w:szCs w:val="20"/>
          <w:lang w:val="ru-RU"/>
        </w:rPr>
        <w:t>3</w:t>
      </w:r>
      <w:r w:rsidRPr="00CC2027">
        <w:rPr>
          <w:rFonts w:eastAsia="Times New Roman" w:cs="Arial"/>
          <w:color w:val="000000"/>
          <w:szCs w:val="20"/>
          <w:lang w:val="en-US"/>
        </w:rPr>
        <w:t>A</w:t>
      </w:r>
      <w:r w:rsidRPr="00CC2027">
        <w:rPr>
          <w:rFonts w:eastAsia="Times New Roman" w:cs="Arial"/>
          <w:color w:val="000000"/>
          <w:szCs w:val="20"/>
          <w:lang w:val="ru-RU"/>
        </w:rPr>
        <w:t xml:space="preserve">4 </w:t>
      </w:r>
      <w:r w:rsidRPr="00CC2027">
        <w:rPr>
          <w:rFonts w:eastAsia="Times New Roman" w:cs="Arial"/>
          <w:color w:val="000000"/>
          <w:szCs w:val="20"/>
          <w:lang w:eastAsia="bg-BG"/>
        </w:rPr>
        <w:t xml:space="preserve">инхибитори на пациенти, които са също с финогип на слаби </w:t>
      </w:r>
      <w:r w:rsidRPr="00CC2027">
        <w:rPr>
          <w:rFonts w:eastAsia="Times New Roman" w:cs="Arial"/>
          <w:color w:val="000000"/>
          <w:szCs w:val="20"/>
          <w:lang w:val="en-US"/>
        </w:rPr>
        <w:t>CYP</w:t>
      </w:r>
      <w:r w:rsidRPr="00CC2027">
        <w:rPr>
          <w:rFonts w:eastAsia="Times New Roman" w:cs="Arial"/>
          <w:color w:val="000000"/>
          <w:szCs w:val="20"/>
          <w:lang w:val="ru-RU"/>
        </w:rPr>
        <w:t>2</w:t>
      </w:r>
      <w:r w:rsidRPr="00CC2027">
        <w:rPr>
          <w:rFonts w:eastAsia="Times New Roman" w:cs="Arial"/>
          <w:color w:val="000000"/>
          <w:szCs w:val="20"/>
          <w:lang w:val="en-US"/>
        </w:rPr>
        <w:t>D</w:t>
      </w:r>
      <w:r w:rsidRPr="00CC2027">
        <w:rPr>
          <w:rFonts w:eastAsia="Times New Roman" w:cs="Arial"/>
          <w:color w:val="000000"/>
          <w:szCs w:val="20"/>
          <w:lang w:val="ru-RU"/>
        </w:rPr>
        <w:t xml:space="preserve">6 </w:t>
      </w:r>
      <w:r w:rsidRPr="00CC2027">
        <w:rPr>
          <w:rFonts w:eastAsia="Times New Roman" w:cs="Arial"/>
          <w:color w:val="000000"/>
          <w:szCs w:val="20"/>
          <w:lang w:eastAsia="bg-BG"/>
        </w:rPr>
        <w:t xml:space="preserve">метаболизатори или вече използват мощни </w:t>
      </w:r>
      <w:r w:rsidRPr="00CC2027">
        <w:rPr>
          <w:rFonts w:eastAsia="Times New Roman" w:cs="Arial"/>
          <w:color w:val="000000"/>
          <w:szCs w:val="20"/>
          <w:lang w:val="en-US"/>
        </w:rPr>
        <w:t>CYP</w:t>
      </w:r>
      <w:r w:rsidRPr="00CC2027">
        <w:rPr>
          <w:rFonts w:eastAsia="Times New Roman" w:cs="Arial"/>
          <w:color w:val="000000"/>
          <w:szCs w:val="20"/>
          <w:lang w:val="ru-RU"/>
        </w:rPr>
        <w:t>2</w:t>
      </w:r>
      <w:r w:rsidRPr="00CC2027">
        <w:rPr>
          <w:rFonts w:eastAsia="Times New Roman" w:cs="Arial"/>
          <w:color w:val="000000"/>
          <w:szCs w:val="20"/>
          <w:lang w:val="en-US"/>
        </w:rPr>
        <w:t>D</w:t>
      </w:r>
      <w:r w:rsidRPr="00CC2027">
        <w:rPr>
          <w:rFonts w:eastAsia="Times New Roman" w:cs="Arial"/>
          <w:color w:val="000000"/>
          <w:szCs w:val="20"/>
          <w:lang w:val="ru-RU"/>
        </w:rPr>
        <w:t xml:space="preserve">6 </w:t>
      </w:r>
      <w:r w:rsidRPr="00CC2027">
        <w:rPr>
          <w:rFonts w:eastAsia="Times New Roman" w:cs="Arial"/>
          <w:color w:val="000000"/>
          <w:szCs w:val="20"/>
          <w:lang w:eastAsia="bg-BG"/>
        </w:rPr>
        <w:t>инхибитори.</w:t>
      </w:r>
    </w:p>
    <w:p w14:paraId="3AC86C38" w14:textId="77777777" w:rsidR="00CC2027" w:rsidRPr="00CC2027" w:rsidRDefault="00CC2027" w:rsidP="00CC2027">
      <w:pPr>
        <w:spacing w:line="240" w:lineRule="auto"/>
        <w:rPr>
          <w:rFonts w:eastAsia="Times New Roman" w:cs="Arial"/>
          <w:color w:val="000000"/>
          <w:szCs w:val="20"/>
          <w:lang w:eastAsia="bg-BG"/>
        </w:rPr>
      </w:pPr>
    </w:p>
    <w:p w14:paraId="7ED544C3" w14:textId="19ED2C4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 xml:space="preserve">Едновременното приложение на Везомни с верапамил (умерен </w:t>
      </w:r>
      <w:r w:rsidRPr="00CC2027">
        <w:rPr>
          <w:rFonts w:eastAsia="Times New Roman" w:cs="Arial"/>
          <w:color w:val="000000"/>
          <w:szCs w:val="20"/>
          <w:lang w:val="en-US"/>
        </w:rPr>
        <w:t>CYP</w:t>
      </w:r>
      <w:r w:rsidRPr="00CC2027">
        <w:rPr>
          <w:rFonts w:eastAsia="Times New Roman" w:cs="Arial"/>
          <w:color w:val="000000"/>
          <w:szCs w:val="20"/>
          <w:lang w:val="ru-RU"/>
        </w:rPr>
        <w:t>3</w:t>
      </w:r>
      <w:r w:rsidRPr="00CC2027">
        <w:rPr>
          <w:rFonts w:eastAsia="Times New Roman" w:cs="Arial"/>
          <w:color w:val="000000"/>
          <w:szCs w:val="20"/>
          <w:lang w:val="en-US"/>
        </w:rPr>
        <w:t>A</w:t>
      </w:r>
      <w:r w:rsidRPr="00CC2027">
        <w:rPr>
          <w:rFonts w:eastAsia="Times New Roman" w:cs="Arial"/>
          <w:color w:val="000000"/>
          <w:szCs w:val="20"/>
          <w:lang w:val="ru-RU"/>
        </w:rPr>
        <w:t xml:space="preserve">4 </w:t>
      </w:r>
      <w:r w:rsidRPr="00CC2027">
        <w:rPr>
          <w:rFonts w:eastAsia="Times New Roman" w:cs="Arial"/>
          <w:color w:val="000000"/>
          <w:szCs w:val="20"/>
          <w:lang w:eastAsia="bg-BG"/>
        </w:rPr>
        <w:t>инхибитор) води до приблизително 2,2-кратно повишение на С</w:t>
      </w:r>
      <w:r w:rsidRPr="00CC2027">
        <w:rPr>
          <w:rFonts w:eastAsia="Times New Roman" w:cs="Arial"/>
          <w:color w:val="000000"/>
          <w:szCs w:val="20"/>
          <w:vertAlign w:val="subscript"/>
          <w:lang w:val="en-US"/>
        </w:rPr>
        <w:t>max</w:t>
      </w:r>
      <w:r w:rsidRPr="00CC2027">
        <w:rPr>
          <w:rFonts w:eastAsia="Times New Roman" w:cs="Arial"/>
          <w:color w:val="000000"/>
          <w:szCs w:val="20"/>
          <w:lang w:eastAsia="bg-BG"/>
        </w:rPr>
        <w:t xml:space="preserve"> и </w:t>
      </w:r>
      <w:r w:rsidRPr="00CC2027">
        <w:rPr>
          <w:rFonts w:eastAsia="Times New Roman" w:cs="Arial"/>
          <w:color w:val="000000"/>
          <w:szCs w:val="20"/>
          <w:lang w:val="en-US"/>
        </w:rPr>
        <w:t>AUC</w:t>
      </w:r>
      <w:r w:rsidRPr="00CC2027">
        <w:rPr>
          <w:rFonts w:eastAsia="Times New Roman" w:cs="Arial"/>
          <w:color w:val="000000"/>
          <w:szCs w:val="20"/>
          <w:lang w:val="ru-RU"/>
        </w:rPr>
        <w:t xml:space="preserve"> </w:t>
      </w:r>
      <w:r w:rsidRPr="00CC2027">
        <w:rPr>
          <w:rFonts w:eastAsia="Times New Roman" w:cs="Arial"/>
          <w:color w:val="000000"/>
          <w:szCs w:val="20"/>
          <w:lang w:eastAsia="bg-BG"/>
        </w:rPr>
        <w:t>на тамсулозин и приблизително 1,6-кратно повишение на С</w:t>
      </w:r>
      <w:r w:rsidRPr="00CC2027">
        <w:rPr>
          <w:rFonts w:eastAsia="Times New Roman" w:cs="Arial"/>
          <w:color w:val="000000"/>
          <w:szCs w:val="20"/>
          <w:vertAlign w:val="subscript"/>
          <w:lang w:val="en-US"/>
        </w:rPr>
        <w:t>max</w:t>
      </w:r>
      <w:r w:rsidRPr="00CC2027">
        <w:rPr>
          <w:rFonts w:eastAsia="Times New Roman" w:cs="Arial"/>
          <w:color w:val="000000"/>
          <w:szCs w:val="20"/>
          <w:lang w:eastAsia="bg-BG"/>
        </w:rPr>
        <w:t xml:space="preserve"> и </w:t>
      </w:r>
      <w:r w:rsidRPr="00CC2027">
        <w:rPr>
          <w:rFonts w:eastAsia="Times New Roman" w:cs="Arial"/>
          <w:color w:val="000000"/>
          <w:szCs w:val="20"/>
          <w:lang w:val="en-US"/>
        </w:rPr>
        <w:t>AUC</w:t>
      </w:r>
      <w:r w:rsidRPr="00CC2027">
        <w:rPr>
          <w:rFonts w:eastAsia="Times New Roman" w:cs="Arial"/>
          <w:color w:val="000000"/>
          <w:szCs w:val="20"/>
          <w:lang w:val="ru-RU"/>
        </w:rPr>
        <w:t xml:space="preserve"> </w:t>
      </w:r>
      <w:r w:rsidRPr="00CC2027">
        <w:rPr>
          <w:rFonts w:eastAsia="Times New Roman" w:cs="Arial"/>
          <w:color w:val="000000"/>
          <w:szCs w:val="20"/>
          <w:lang w:eastAsia="bg-BG"/>
        </w:rPr>
        <w:t xml:space="preserve">на солифенацин. Везомни трябва да се използва с внимание в комбинация с умерени инхибитори на </w:t>
      </w:r>
      <w:r w:rsidRPr="00CC2027">
        <w:rPr>
          <w:rFonts w:eastAsia="Times New Roman" w:cs="Arial"/>
          <w:color w:val="000000"/>
          <w:szCs w:val="20"/>
          <w:lang w:val="en-US"/>
        </w:rPr>
        <w:t>CYP</w:t>
      </w:r>
      <w:r w:rsidRPr="00CC2027">
        <w:rPr>
          <w:rFonts w:eastAsia="Times New Roman" w:cs="Arial"/>
          <w:color w:val="000000"/>
          <w:szCs w:val="20"/>
          <w:lang w:val="ru-RU"/>
        </w:rPr>
        <w:t>3</w:t>
      </w:r>
      <w:r w:rsidRPr="00CC2027">
        <w:rPr>
          <w:rFonts w:eastAsia="Times New Roman" w:cs="Arial"/>
          <w:color w:val="000000"/>
          <w:szCs w:val="20"/>
          <w:lang w:val="en-US"/>
        </w:rPr>
        <w:t>A</w:t>
      </w:r>
      <w:r w:rsidRPr="00CC2027">
        <w:rPr>
          <w:rFonts w:eastAsia="Times New Roman" w:cs="Arial"/>
          <w:color w:val="000000"/>
          <w:szCs w:val="20"/>
          <w:lang w:val="ru-RU"/>
        </w:rPr>
        <w:t>4.</w:t>
      </w:r>
    </w:p>
    <w:p w14:paraId="6A44567E" w14:textId="77777777" w:rsidR="00CC2027" w:rsidRPr="00CC2027" w:rsidRDefault="00CC2027" w:rsidP="00CC2027">
      <w:pPr>
        <w:spacing w:line="240" w:lineRule="auto"/>
        <w:rPr>
          <w:rFonts w:eastAsia="Times New Roman" w:cs="Arial"/>
          <w:color w:val="000000"/>
          <w:szCs w:val="20"/>
          <w:lang w:eastAsia="bg-BG"/>
        </w:rPr>
      </w:pPr>
    </w:p>
    <w:p w14:paraId="56BBE746" w14:textId="5C1D474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 xml:space="preserve">Едновременното приложение на тамсулозин със слабия </w:t>
      </w:r>
      <w:r w:rsidRPr="00CC2027">
        <w:rPr>
          <w:rFonts w:eastAsia="Times New Roman" w:cs="Arial"/>
          <w:color w:val="000000"/>
          <w:szCs w:val="20"/>
          <w:lang w:val="en-US"/>
        </w:rPr>
        <w:t>CYP</w:t>
      </w:r>
      <w:r w:rsidRPr="00CC2027">
        <w:rPr>
          <w:rFonts w:eastAsia="Times New Roman" w:cs="Arial"/>
          <w:color w:val="000000"/>
          <w:szCs w:val="20"/>
          <w:lang w:val="ru-RU"/>
        </w:rPr>
        <w:t>3</w:t>
      </w:r>
      <w:r w:rsidRPr="00CC2027">
        <w:rPr>
          <w:rFonts w:eastAsia="Times New Roman" w:cs="Arial"/>
          <w:color w:val="000000"/>
          <w:szCs w:val="20"/>
          <w:lang w:val="en-US"/>
        </w:rPr>
        <w:t>A</w:t>
      </w:r>
      <w:r w:rsidRPr="00CC2027">
        <w:rPr>
          <w:rFonts w:eastAsia="Times New Roman" w:cs="Arial"/>
          <w:color w:val="000000"/>
          <w:szCs w:val="20"/>
          <w:lang w:val="ru-RU"/>
        </w:rPr>
        <w:t xml:space="preserve">4 </w:t>
      </w:r>
      <w:r w:rsidRPr="00CC2027">
        <w:rPr>
          <w:rFonts w:eastAsia="Times New Roman" w:cs="Arial"/>
          <w:color w:val="000000"/>
          <w:szCs w:val="20"/>
          <w:lang w:eastAsia="bg-BG"/>
        </w:rPr>
        <w:t xml:space="preserve">инхибитор циметидин (400 мг на всеки 6 часа) води до 1,44-кратно повишение в </w:t>
      </w:r>
      <w:r w:rsidRPr="00CC2027">
        <w:rPr>
          <w:rFonts w:eastAsia="Times New Roman" w:cs="Arial"/>
          <w:color w:val="000000"/>
          <w:szCs w:val="20"/>
          <w:lang w:val="en-US"/>
        </w:rPr>
        <w:t>AUC</w:t>
      </w:r>
      <w:r w:rsidRPr="00CC2027">
        <w:rPr>
          <w:rFonts w:eastAsia="Times New Roman" w:cs="Arial"/>
          <w:color w:val="000000"/>
          <w:szCs w:val="20"/>
          <w:lang w:val="ru-RU"/>
        </w:rPr>
        <w:t xml:space="preserve"> </w:t>
      </w:r>
      <w:r w:rsidRPr="00CC2027">
        <w:rPr>
          <w:rFonts w:eastAsia="Times New Roman" w:cs="Arial"/>
          <w:color w:val="000000"/>
          <w:szCs w:val="20"/>
          <w:lang w:eastAsia="bg-BG"/>
        </w:rPr>
        <w:t>на тамсулозин, докато С</w:t>
      </w:r>
      <w:r w:rsidRPr="00CC2027">
        <w:rPr>
          <w:rFonts w:eastAsia="Times New Roman" w:cs="Arial"/>
          <w:color w:val="000000"/>
          <w:szCs w:val="20"/>
          <w:vertAlign w:val="subscript"/>
          <w:lang w:val="en-US"/>
        </w:rPr>
        <w:t>max</w:t>
      </w:r>
      <w:r w:rsidRPr="00CC2027">
        <w:rPr>
          <w:rFonts w:eastAsia="Times New Roman" w:cs="Arial"/>
          <w:color w:val="000000"/>
          <w:szCs w:val="20"/>
          <w:lang w:eastAsia="bg-BG"/>
        </w:rPr>
        <w:t xml:space="preserve"> не се променя значимо. Везомни може да се използва със слаби </w:t>
      </w:r>
      <w:r w:rsidRPr="00CC2027">
        <w:rPr>
          <w:rFonts w:eastAsia="Times New Roman" w:cs="Arial"/>
          <w:color w:val="000000"/>
          <w:szCs w:val="20"/>
          <w:lang w:val="en-US"/>
        </w:rPr>
        <w:t>CYP</w:t>
      </w:r>
      <w:r w:rsidRPr="00CC2027">
        <w:rPr>
          <w:rFonts w:eastAsia="Times New Roman" w:cs="Arial"/>
          <w:color w:val="000000"/>
          <w:szCs w:val="20"/>
          <w:lang w:val="ru-RU"/>
        </w:rPr>
        <w:t>3</w:t>
      </w:r>
      <w:r w:rsidRPr="00CC2027">
        <w:rPr>
          <w:rFonts w:eastAsia="Times New Roman" w:cs="Arial"/>
          <w:color w:val="000000"/>
          <w:szCs w:val="20"/>
          <w:lang w:val="en-US"/>
        </w:rPr>
        <w:t>A</w:t>
      </w:r>
      <w:r w:rsidRPr="00CC2027">
        <w:rPr>
          <w:rFonts w:eastAsia="Times New Roman" w:cs="Arial"/>
          <w:color w:val="000000"/>
          <w:szCs w:val="20"/>
          <w:lang w:val="ru-RU"/>
        </w:rPr>
        <w:t xml:space="preserve">4 </w:t>
      </w:r>
      <w:r w:rsidRPr="00CC2027">
        <w:rPr>
          <w:rFonts w:eastAsia="Times New Roman" w:cs="Arial"/>
          <w:color w:val="000000"/>
          <w:szCs w:val="20"/>
          <w:lang w:eastAsia="bg-BG"/>
        </w:rPr>
        <w:t>инхибитори.</w:t>
      </w:r>
    </w:p>
    <w:p w14:paraId="3AD1B3D8" w14:textId="77777777" w:rsidR="00CC2027" w:rsidRPr="00CC2027" w:rsidRDefault="00CC2027" w:rsidP="00CC2027">
      <w:pPr>
        <w:spacing w:line="240" w:lineRule="auto"/>
        <w:rPr>
          <w:rFonts w:eastAsia="Times New Roman" w:cs="Arial"/>
          <w:color w:val="000000"/>
          <w:szCs w:val="20"/>
          <w:lang w:eastAsia="bg-BG"/>
        </w:rPr>
      </w:pPr>
    </w:p>
    <w:p w14:paraId="01A43AC8" w14:textId="5AB70899"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 xml:space="preserve">Едновременното приложение на тамсулозин с мощния </w:t>
      </w:r>
      <w:r w:rsidRPr="00CC2027">
        <w:rPr>
          <w:rFonts w:eastAsia="Times New Roman" w:cs="Arial"/>
          <w:color w:val="000000"/>
          <w:szCs w:val="20"/>
          <w:lang w:val="en-US"/>
        </w:rPr>
        <w:t>CYP</w:t>
      </w:r>
      <w:r w:rsidRPr="00CC2027">
        <w:rPr>
          <w:rFonts w:eastAsia="Times New Roman" w:cs="Arial"/>
          <w:color w:val="000000"/>
          <w:szCs w:val="20"/>
          <w:lang w:val="ru-RU"/>
        </w:rPr>
        <w:t>2</w:t>
      </w:r>
      <w:r w:rsidRPr="00CC2027">
        <w:rPr>
          <w:rFonts w:eastAsia="Times New Roman" w:cs="Arial"/>
          <w:color w:val="000000"/>
          <w:szCs w:val="20"/>
          <w:lang w:val="en-US"/>
        </w:rPr>
        <w:t>D</w:t>
      </w:r>
      <w:r w:rsidRPr="00CC2027">
        <w:rPr>
          <w:rFonts w:eastAsia="Times New Roman" w:cs="Arial"/>
          <w:color w:val="000000"/>
          <w:szCs w:val="20"/>
          <w:lang w:val="ru-RU"/>
        </w:rPr>
        <w:t xml:space="preserve">6 </w:t>
      </w:r>
      <w:r w:rsidRPr="00CC2027">
        <w:rPr>
          <w:rFonts w:eastAsia="Times New Roman" w:cs="Arial"/>
          <w:color w:val="000000"/>
          <w:szCs w:val="20"/>
          <w:lang w:eastAsia="bg-BG"/>
        </w:rPr>
        <w:t>инхибитор пароксети</w:t>
      </w:r>
      <w:r w:rsidRPr="00CC2027">
        <w:rPr>
          <w:rFonts w:eastAsia="Times New Roman" w:cs="Arial"/>
          <w:color w:val="000000"/>
          <w:szCs w:val="20"/>
          <w:u w:val="single"/>
          <w:lang w:eastAsia="bg-BG"/>
        </w:rPr>
        <w:t xml:space="preserve">н (20 </w:t>
      </w:r>
      <w:r w:rsidRPr="00CC2027">
        <w:rPr>
          <w:rFonts w:eastAsia="Times New Roman" w:cs="Arial"/>
          <w:color w:val="000000"/>
          <w:szCs w:val="20"/>
          <w:lang w:val="en-US"/>
        </w:rPr>
        <w:t>mg</w:t>
      </w:r>
      <w:r w:rsidRPr="00CC2027">
        <w:rPr>
          <w:rFonts w:eastAsia="Times New Roman" w:cs="Arial"/>
          <w:color w:val="000000"/>
          <w:szCs w:val="20"/>
          <w:lang w:eastAsia="bg-BG"/>
        </w:rPr>
        <w:t>/дневно) води до повишение на С</w:t>
      </w:r>
      <w:r w:rsidRPr="00CC2027">
        <w:rPr>
          <w:rFonts w:eastAsia="Times New Roman" w:cs="Arial"/>
          <w:color w:val="000000"/>
          <w:szCs w:val="20"/>
          <w:vertAlign w:val="subscript"/>
          <w:lang w:val="en-US"/>
        </w:rPr>
        <w:t>max</w:t>
      </w:r>
      <w:r w:rsidRPr="00CC2027">
        <w:rPr>
          <w:rFonts w:eastAsia="Times New Roman" w:cs="Arial"/>
          <w:color w:val="000000"/>
          <w:szCs w:val="20"/>
          <w:lang w:eastAsia="bg-BG"/>
        </w:rPr>
        <w:t xml:space="preserve"> и </w:t>
      </w:r>
      <w:r w:rsidRPr="00CC2027">
        <w:rPr>
          <w:rFonts w:eastAsia="Times New Roman" w:cs="Arial"/>
          <w:color w:val="000000"/>
          <w:szCs w:val="20"/>
          <w:lang w:val="en-US"/>
        </w:rPr>
        <w:t>AUC</w:t>
      </w:r>
      <w:r w:rsidRPr="00CC2027">
        <w:rPr>
          <w:rFonts w:eastAsia="Times New Roman" w:cs="Arial"/>
          <w:color w:val="000000"/>
          <w:szCs w:val="20"/>
          <w:lang w:val="ru-RU"/>
        </w:rPr>
        <w:t xml:space="preserve"> </w:t>
      </w:r>
      <w:r w:rsidRPr="00CC2027">
        <w:rPr>
          <w:rFonts w:eastAsia="Times New Roman" w:cs="Arial"/>
          <w:color w:val="000000"/>
          <w:szCs w:val="20"/>
          <w:lang w:eastAsia="bg-BG"/>
        </w:rPr>
        <w:t>на тамсулозин, с фактор 1.3 и 1.6,</w:t>
      </w:r>
      <w:r w:rsidRPr="00CC2027">
        <w:rPr>
          <w:rFonts w:eastAsia="Times New Roman" w:cs="Arial"/>
          <w:color w:val="000000"/>
          <w:szCs w:val="20"/>
          <w:lang w:val="ru-RU"/>
        </w:rPr>
        <w:t xml:space="preserve"> </w:t>
      </w:r>
      <w:r w:rsidRPr="00CC2027">
        <w:rPr>
          <w:rFonts w:eastAsia="Times New Roman" w:cs="Arial"/>
          <w:color w:val="000000"/>
          <w:szCs w:val="20"/>
          <w:lang w:eastAsia="bg-BG"/>
        </w:rPr>
        <w:t xml:space="preserve">съответно. Везомни може да се използва с </w:t>
      </w:r>
      <w:r w:rsidRPr="00CC2027">
        <w:rPr>
          <w:rFonts w:eastAsia="Times New Roman" w:cs="Arial"/>
          <w:color w:val="000000"/>
          <w:szCs w:val="20"/>
          <w:lang w:val="en-US"/>
        </w:rPr>
        <w:t>CYP</w:t>
      </w:r>
      <w:r w:rsidRPr="00CC2027">
        <w:rPr>
          <w:rFonts w:eastAsia="Times New Roman" w:cs="Arial"/>
          <w:color w:val="000000"/>
          <w:szCs w:val="20"/>
          <w:lang w:val="ru-RU"/>
        </w:rPr>
        <w:t>2</w:t>
      </w:r>
      <w:r w:rsidRPr="00CC2027">
        <w:rPr>
          <w:rFonts w:eastAsia="Times New Roman" w:cs="Arial"/>
          <w:color w:val="000000"/>
          <w:szCs w:val="20"/>
          <w:lang w:val="en-US"/>
        </w:rPr>
        <w:t>D</w:t>
      </w:r>
      <w:r w:rsidRPr="00CC2027">
        <w:rPr>
          <w:rFonts w:eastAsia="Times New Roman" w:cs="Arial"/>
          <w:color w:val="000000"/>
          <w:szCs w:val="20"/>
          <w:lang w:val="ru-RU"/>
        </w:rPr>
        <w:t xml:space="preserve">6 </w:t>
      </w:r>
      <w:r w:rsidRPr="00CC2027">
        <w:rPr>
          <w:rFonts w:eastAsia="Times New Roman" w:cs="Arial"/>
          <w:color w:val="000000"/>
          <w:szCs w:val="20"/>
          <w:lang w:eastAsia="bg-BG"/>
        </w:rPr>
        <w:t>инхибитори.</w:t>
      </w:r>
    </w:p>
    <w:p w14:paraId="146FAFAC" w14:textId="77777777" w:rsidR="00CC2027" w:rsidRPr="00CC2027" w:rsidRDefault="00CC2027" w:rsidP="00CC2027">
      <w:pPr>
        <w:spacing w:line="240" w:lineRule="auto"/>
        <w:rPr>
          <w:rFonts w:eastAsia="Times New Roman" w:cs="Arial"/>
          <w:sz w:val="28"/>
          <w:szCs w:val="24"/>
        </w:rPr>
      </w:pPr>
    </w:p>
    <w:p w14:paraId="1BB328FD"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Ефектът от ензимна индукция върху фармакокинетиката на солифенацин тамсулозин не се</w:t>
      </w:r>
    </w:p>
    <w:p w14:paraId="653D28A1" w14:textId="77777777" w:rsidR="00CC2027" w:rsidRPr="00CC2027" w:rsidRDefault="00CC2027" w:rsidP="00CC2027">
      <w:pPr>
        <w:rPr>
          <w:rFonts w:eastAsia="Times New Roman" w:cs="Arial"/>
          <w:sz w:val="28"/>
          <w:szCs w:val="24"/>
        </w:rPr>
      </w:pPr>
      <w:r w:rsidRPr="00CC2027">
        <w:rPr>
          <w:rFonts w:eastAsia="Times New Roman" w:cs="Arial"/>
          <w:color w:val="000000"/>
          <w:szCs w:val="20"/>
          <w:lang w:eastAsia="bg-BG"/>
        </w:rPr>
        <w:t xml:space="preserve">проучвани. Тъй като солифенацин и тамсулозин се метаболизират от </w:t>
      </w:r>
      <w:r w:rsidRPr="00CC2027">
        <w:rPr>
          <w:rFonts w:eastAsia="Times New Roman" w:cs="Arial"/>
          <w:color w:val="000000"/>
          <w:szCs w:val="20"/>
          <w:lang w:val="en-US"/>
        </w:rPr>
        <w:t>CYP</w:t>
      </w:r>
      <w:r w:rsidRPr="00CC2027">
        <w:rPr>
          <w:rFonts w:eastAsia="Times New Roman" w:cs="Arial"/>
          <w:color w:val="000000"/>
          <w:szCs w:val="20"/>
          <w:lang w:val="ru-RU"/>
        </w:rPr>
        <w:t>3</w:t>
      </w:r>
      <w:r w:rsidRPr="00CC2027">
        <w:rPr>
          <w:rFonts w:eastAsia="Times New Roman" w:cs="Arial"/>
          <w:color w:val="000000"/>
          <w:szCs w:val="20"/>
          <w:lang w:val="en-US"/>
        </w:rPr>
        <w:t>A</w:t>
      </w:r>
      <w:r w:rsidRPr="00CC2027">
        <w:rPr>
          <w:rFonts w:eastAsia="Times New Roman" w:cs="Arial"/>
          <w:color w:val="000000"/>
          <w:szCs w:val="20"/>
          <w:lang w:val="ru-RU"/>
        </w:rPr>
        <w:t>4,</w:t>
      </w:r>
      <w:r w:rsidRPr="00CC2027">
        <w:rPr>
          <w:rFonts w:eastAsia="Times New Roman" w:cs="Arial"/>
          <w:color w:val="000000"/>
          <w:szCs w:val="20"/>
          <w:lang w:eastAsia="bg-BG"/>
        </w:rPr>
        <w:t xml:space="preserve"> възможни са</w:t>
      </w:r>
      <w:r w:rsidRPr="00CC2027">
        <w:rPr>
          <w:rFonts w:eastAsia="Times New Roman" w:cs="Arial"/>
          <w:color w:val="000000"/>
          <w:szCs w:val="20"/>
          <w:lang w:val="ru-RU" w:eastAsia="bg-BG"/>
        </w:rPr>
        <w:t xml:space="preserve"> </w:t>
      </w:r>
      <w:r w:rsidRPr="00CC2027">
        <w:rPr>
          <w:rFonts w:eastAsia="Times New Roman" w:cs="Arial"/>
          <w:color w:val="000000"/>
          <w:szCs w:val="20"/>
          <w:lang w:eastAsia="bg-BG"/>
        </w:rPr>
        <w:t xml:space="preserve">фармакокинетични взаимодействия с </w:t>
      </w:r>
      <w:r w:rsidRPr="00CC2027">
        <w:rPr>
          <w:rFonts w:eastAsia="Times New Roman" w:cs="Arial"/>
          <w:color w:val="000000"/>
          <w:szCs w:val="20"/>
          <w:lang w:val="en-US"/>
        </w:rPr>
        <w:t>CYP</w:t>
      </w:r>
      <w:r w:rsidRPr="00CC2027">
        <w:rPr>
          <w:rFonts w:eastAsia="Times New Roman" w:cs="Arial"/>
          <w:color w:val="000000"/>
          <w:szCs w:val="20"/>
          <w:lang w:val="ru-RU"/>
        </w:rPr>
        <w:t>3</w:t>
      </w:r>
      <w:r w:rsidRPr="00CC2027">
        <w:rPr>
          <w:rFonts w:eastAsia="Times New Roman" w:cs="Arial"/>
          <w:color w:val="000000"/>
          <w:szCs w:val="20"/>
          <w:lang w:val="en-US"/>
        </w:rPr>
        <w:t>A</w:t>
      </w:r>
      <w:r w:rsidRPr="00CC2027">
        <w:rPr>
          <w:rFonts w:eastAsia="Times New Roman" w:cs="Arial"/>
          <w:color w:val="000000"/>
          <w:szCs w:val="20"/>
          <w:lang w:val="ru-RU"/>
        </w:rPr>
        <w:t xml:space="preserve">4 </w:t>
      </w:r>
      <w:r w:rsidRPr="00CC2027">
        <w:rPr>
          <w:rFonts w:eastAsia="Times New Roman" w:cs="Arial"/>
          <w:color w:val="000000"/>
          <w:szCs w:val="20"/>
          <w:lang w:eastAsia="bg-BG"/>
        </w:rPr>
        <w:t>индуктори (напр. рифампицин), което може да намали плазмената концентрация на солифенацин и тамсулозин.</w:t>
      </w:r>
    </w:p>
    <w:p w14:paraId="7C43868F" w14:textId="77777777" w:rsidR="00CC2027" w:rsidRPr="00CC2027" w:rsidRDefault="00CC2027" w:rsidP="00CC2027">
      <w:pPr>
        <w:spacing w:line="240" w:lineRule="auto"/>
        <w:rPr>
          <w:rFonts w:eastAsia="Times New Roman" w:cs="Arial"/>
          <w:i/>
          <w:iCs/>
          <w:color w:val="000000"/>
          <w:szCs w:val="20"/>
          <w:lang w:eastAsia="bg-BG"/>
        </w:rPr>
      </w:pPr>
    </w:p>
    <w:p w14:paraId="764CA5FD" w14:textId="6C72696E" w:rsidR="00CC2027" w:rsidRPr="00CC2027" w:rsidRDefault="00CC2027" w:rsidP="00CC2027">
      <w:pPr>
        <w:spacing w:line="240" w:lineRule="auto"/>
        <w:rPr>
          <w:rFonts w:eastAsia="Times New Roman" w:cs="Arial"/>
          <w:sz w:val="28"/>
          <w:szCs w:val="24"/>
        </w:rPr>
      </w:pPr>
      <w:r w:rsidRPr="00CC2027">
        <w:rPr>
          <w:rFonts w:eastAsia="Times New Roman" w:cs="Arial"/>
          <w:i/>
          <w:iCs/>
          <w:color w:val="000000"/>
          <w:szCs w:val="20"/>
          <w:lang w:eastAsia="bg-BG"/>
        </w:rPr>
        <w:t>Други взаимодействия</w:t>
      </w:r>
    </w:p>
    <w:p w14:paraId="7588E4A0"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Следните твърдения отразяват информацията, налична за отделните активни вещества.</w:t>
      </w:r>
    </w:p>
    <w:p w14:paraId="45731ED3" w14:textId="77777777" w:rsidR="00CC2027" w:rsidRPr="00CC2027" w:rsidRDefault="00CC2027" w:rsidP="00CC2027">
      <w:pPr>
        <w:spacing w:line="240" w:lineRule="auto"/>
        <w:rPr>
          <w:rFonts w:eastAsia="Times New Roman" w:cs="Arial"/>
          <w:color w:val="000000"/>
          <w:szCs w:val="20"/>
          <w:u w:val="single"/>
          <w:lang w:eastAsia="bg-BG"/>
        </w:rPr>
      </w:pPr>
    </w:p>
    <w:p w14:paraId="1FB7C8EF" w14:textId="39B08F38"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u w:val="single"/>
          <w:lang w:eastAsia="bg-BG"/>
        </w:rPr>
        <w:t>Солифенацин</w:t>
      </w:r>
    </w:p>
    <w:p w14:paraId="68A44792" w14:textId="4B329C39" w:rsidR="00CC2027" w:rsidRPr="00CC2027" w:rsidRDefault="00CC2027" w:rsidP="00CC2027">
      <w:pPr>
        <w:pStyle w:val="ListParagraph"/>
        <w:numPr>
          <w:ilvl w:val="0"/>
          <w:numId w:val="33"/>
        </w:numPr>
        <w:spacing w:line="240" w:lineRule="auto"/>
        <w:rPr>
          <w:rFonts w:eastAsia="Times New Roman" w:cs="Arial"/>
          <w:sz w:val="28"/>
          <w:szCs w:val="24"/>
        </w:rPr>
      </w:pPr>
      <w:r w:rsidRPr="00CC2027">
        <w:rPr>
          <w:rFonts w:eastAsia="Times New Roman" w:cs="Arial"/>
          <w:color w:val="000000"/>
          <w:szCs w:val="20"/>
          <w:lang w:eastAsia="bg-BG"/>
        </w:rPr>
        <w:t>Солифенацин може да редуцира ефекта на лекарствени продукти, които стимулират моториката на стомашно-чревния тракт, като метоклопрамид и цизаприд.</w:t>
      </w:r>
    </w:p>
    <w:p w14:paraId="015AA893" w14:textId="5C7EB6B7" w:rsidR="00CC2027" w:rsidRPr="00CC2027" w:rsidRDefault="00CC2027" w:rsidP="00CC2027">
      <w:pPr>
        <w:pStyle w:val="ListParagraph"/>
        <w:numPr>
          <w:ilvl w:val="0"/>
          <w:numId w:val="33"/>
        </w:numPr>
        <w:spacing w:line="240" w:lineRule="auto"/>
        <w:rPr>
          <w:rFonts w:eastAsia="Times New Roman" w:cs="Arial"/>
          <w:sz w:val="28"/>
          <w:szCs w:val="24"/>
        </w:rPr>
      </w:pPr>
      <w:r w:rsidRPr="00CC2027">
        <w:rPr>
          <w:rFonts w:eastAsia="Times New Roman" w:cs="Arial"/>
          <w:color w:val="000000"/>
          <w:szCs w:val="20"/>
          <w:lang w:val="en-US"/>
        </w:rPr>
        <w:lastRenderedPageBreak/>
        <w:t>In</w:t>
      </w:r>
      <w:r w:rsidRPr="00CC2027">
        <w:rPr>
          <w:rFonts w:eastAsia="Times New Roman" w:cs="Arial"/>
          <w:color w:val="000000"/>
          <w:szCs w:val="20"/>
          <w:lang w:val="ru-RU"/>
        </w:rPr>
        <w:t xml:space="preserve"> </w:t>
      </w:r>
      <w:r w:rsidRPr="00CC2027">
        <w:rPr>
          <w:rFonts w:eastAsia="Times New Roman" w:cs="Arial"/>
          <w:color w:val="000000"/>
          <w:szCs w:val="20"/>
          <w:lang w:val="en-US"/>
        </w:rPr>
        <w:t>vitro</w:t>
      </w:r>
      <w:r w:rsidRPr="00CC2027">
        <w:rPr>
          <w:rFonts w:eastAsia="Times New Roman" w:cs="Arial"/>
          <w:color w:val="000000"/>
          <w:szCs w:val="20"/>
          <w:lang w:val="ru-RU"/>
        </w:rPr>
        <w:t xml:space="preserve"> </w:t>
      </w:r>
      <w:r w:rsidRPr="00CC2027">
        <w:rPr>
          <w:rFonts w:eastAsia="Times New Roman" w:cs="Arial"/>
          <w:color w:val="000000"/>
          <w:szCs w:val="20"/>
          <w:lang w:eastAsia="bg-BG"/>
        </w:rPr>
        <w:t xml:space="preserve">проучвания със солифенацин показват, че при терапевтични концентрации, солифенацин не инхибира </w:t>
      </w:r>
      <w:r w:rsidRPr="00CC2027">
        <w:rPr>
          <w:rFonts w:eastAsia="Times New Roman" w:cs="Arial"/>
          <w:color w:val="000000"/>
          <w:szCs w:val="20"/>
          <w:lang w:val="en-US"/>
        </w:rPr>
        <w:t>CYP</w:t>
      </w:r>
      <w:r w:rsidRPr="00CC2027">
        <w:rPr>
          <w:rFonts w:eastAsia="Times New Roman" w:cs="Arial"/>
          <w:color w:val="000000"/>
          <w:szCs w:val="20"/>
          <w:lang w:val="ru-RU"/>
        </w:rPr>
        <w:t>1</w:t>
      </w:r>
      <w:r w:rsidRPr="00CC2027">
        <w:rPr>
          <w:rFonts w:eastAsia="Times New Roman" w:cs="Arial"/>
          <w:color w:val="000000"/>
          <w:szCs w:val="20"/>
          <w:lang w:val="en-US"/>
        </w:rPr>
        <w:t>A</w:t>
      </w:r>
      <w:r w:rsidRPr="00CC2027">
        <w:rPr>
          <w:rFonts w:eastAsia="Times New Roman" w:cs="Arial"/>
          <w:color w:val="000000"/>
          <w:szCs w:val="20"/>
          <w:lang w:val="ru-RU"/>
        </w:rPr>
        <w:t xml:space="preserve">1/2, </w:t>
      </w:r>
      <w:r w:rsidRPr="00CC2027">
        <w:rPr>
          <w:rFonts w:eastAsia="Times New Roman" w:cs="Arial"/>
          <w:color w:val="000000"/>
          <w:szCs w:val="20"/>
          <w:lang w:eastAsia="bg-BG"/>
        </w:rPr>
        <w:t xml:space="preserve">2В6, 2С8, 2С9, 2С19, </w:t>
      </w:r>
      <w:r w:rsidRPr="00CC2027">
        <w:rPr>
          <w:rFonts w:eastAsia="Times New Roman" w:cs="Arial"/>
          <w:color w:val="000000"/>
          <w:szCs w:val="20"/>
          <w:lang w:val="ru-RU"/>
        </w:rPr>
        <w:t>2</w:t>
      </w:r>
      <w:r w:rsidRPr="00CC2027">
        <w:rPr>
          <w:rFonts w:eastAsia="Times New Roman" w:cs="Arial"/>
          <w:color w:val="000000"/>
          <w:szCs w:val="20"/>
          <w:lang w:val="en-US"/>
        </w:rPr>
        <w:t>D</w:t>
      </w:r>
      <w:r w:rsidRPr="00CC2027">
        <w:rPr>
          <w:rFonts w:eastAsia="Times New Roman" w:cs="Arial"/>
          <w:color w:val="000000"/>
          <w:szCs w:val="20"/>
          <w:lang w:val="ru-RU"/>
        </w:rPr>
        <w:t xml:space="preserve">6, </w:t>
      </w:r>
      <w:r w:rsidRPr="00CC2027">
        <w:rPr>
          <w:rFonts w:eastAsia="Times New Roman" w:cs="Arial"/>
          <w:color w:val="000000"/>
          <w:szCs w:val="20"/>
          <w:lang w:eastAsia="bg-BG"/>
        </w:rPr>
        <w:t xml:space="preserve">2Е1 или ЗА4. Затова не се очакват взаимодействия между солифенацин и лекарства, метаболизирани от тези </w:t>
      </w:r>
      <w:r w:rsidRPr="00CC2027">
        <w:rPr>
          <w:rFonts w:eastAsia="Times New Roman" w:cs="Arial"/>
          <w:color w:val="000000"/>
          <w:szCs w:val="20"/>
          <w:lang w:val="en-US"/>
        </w:rPr>
        <w:t>CYP</w:t>
      </w:r>
      <w:r w:rsidRPr="00CC2027">
        <w:rPr>
          <w:rFonts w:eastAsia="Times New Roman" w:cs="Arial"/>
          <w:color w:val="000000"/>
          <w:szCs w:val="20"/>
          <w:lang w:val="ru-RU"/>
        </w:rPr>
        <w:t xml:space="preserve"> </w:t>
      </w:r>
      <w:r w:rsidRPr="00CC2027">
        <w:rPr>
          <w:rFonts w:eastAsia="Times New Roman" w:cs="Arial"/>
          <w:color w:val="000000"/>
          <w:szCs w:val="20"/>
          <w:lang w:eastAsia="bg-BG"/>
        </w:rPr>
        <w:t>ензими.</w:t>
      </w:r>
    </w:p>
    <w:p w14:paraId="0E01BE89" w14:textId="34B9BC88" w:rsidR="00CC2027" w:rsidRPr="00CC2027" w:rsidRDefault="00CC2027" w:rsidP="00CC2027">
      <w:pPr>
        <w:pStyle w:val="ListParagraph"/>
        <w:numPr>
          <w:ilvl w:val="0"/>
          <w:numId w:val="33"/>
        </w:numPr>
        <w:spacing w:line="240" w:lineRule="auto"/>
        <w:rPr>
          <w:rFonts w:eastAsia="Times New Roman" w:cs="Arial"/>
          <w:sz w:val="28"/>
          <w:szCs w:val="24"/>
        </w:rPr>
      </w:pPr>
      <w:r w:rsidRPr="00CC2027">
        <w:rPr>
          <w:rFonts w:eastAsia="Times New Roman" w:cs="Arial"/>
          <w:color w:val="000000"/>
          <w:szCs w:val="20"/>
          <w:lang w:eastAsia="bg-BG"/>
        </w:rPr>
        <w:t xml:space="preserve">Приемът на солифенацин не изменя фармакокинетиката на </w:t>
      </w:r>
      <w:r w:rsidRPr="00CC2027">
        <w:rPr>
          <w:rFonts w:eastAsia="Times New Roman" w:cs="Arial"/>
          <w:color w:val="000000"/>
          <w:szCs w:val="20"/>
          <w:lang w:val="en-US"/>
        </w:rPr>
        <w:t>R</w:t>
      </w:r>
      <w:r w:rsidRPr="00CC2027">
        <w:rPr>
          <w:rFonts w:eastAsia="Times New Roman" w:cs="Arial"/>
          <w:color w:val="000000"/>
          <w:szCs w:val="20"/>
          <w:lang w:eastAsia="bg-BG"/>
        </w:rPr>
        <w:t xml:space="preserve">-варфарин или </w:t>
      </w:r>
      <w:r w:rsidRPr="00CC2027">
        <w:rPr>
          <w:rFonts w:eastAsia="Times New Roman" w:cs="Arial"/>
          <w:color w:val="000000"/>
          <w:szCs w:val="20"/>
          <w:lang w:val="en-US"/>
        </w:rPr>
        <w:t>S</w:t>
      </w:r>
      <w:r w:rsidRPr="00CC2027">
        <w:rPr>
          <w:rFonts w:eastAsia="Times New Roman" w:cs="Arial"/>
          <w:color w:val="000000"/>
          <w:szCs w:val="20"/>
          <w:lang w:eastAsia="bg-BG"/>
        </w:rPr>
        <w:t>-варфарин, или техните ефекти по отношение на протромбиновото време.</w:t>
      </w:r>
    </w:p>
    <w:p w14:paraId="73F74AE9" w14:textId="29C70FCD" w:rsidR="00CC2027" w:rsidRPr="00CC2027" w:rsidRDefault="00CC2027" w:rsidP="00CC2027">
      <w:pPr>
        <w:pStyle w:val="ListParagraph"/>
        <w:numPr>
          <w:ilvl w:val="0"/>
          <w:numId w:val="33"/>
        </w:numPr>
        <w:spacing w:line="240" w:lineRule="auto"/>
        <w:rPr>
          <w:rFonts w:eastAsia="Times New Roman" w:cs="Arial"/>
          <w:sz w:val="28"/>
          <w:szCs w:val="24"/>
        </w:rPr>
      </w:pPr>
      <w:r w:rsidRPr="00CC2027">
        <w:rPr>
          <w:rFonts w:eastAsia="Times New Roman" w:cs="Arial"/>
          <w:color w:val="000000"/>
          <w:szCs w:val="20"/>
          <w:lang w:eastAsia="bg-BG"/>
        </w:rPr>
        <w:t>Приемът на солифенацин не влияе върху фармакокинетиката на дигоксин.</w:t>
      </w:r>
    </w:p>
    <w:p w14:paraId="553A53E0" w14:textId="77777777" w:rsidR="00CC2027" w:rsidRPr="00CC2027" w:rsidRDefault="00CC2027" w:rsidP="00CC2027">
      <w:pPr>
        <w:spacing w:line="240" w:lineRule="auto"/>
        <w:rPr>
          <w:rFonts w:eastAsia="Times New Roman" w:cs="Arial"/>
          <w:color w:val="000000"/>
          <w:szCs w:val="20"/>
          <w:u w:val="single"/>
          <w:lang w:eastAsia="bg-BG"/>
        </w:rPr>
      </w:pPr>
    </w:p>
    <w:p w14:paraId="7101BA60" w14:textId="73EC8F1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u w:val="single"/>
          <w:lang w:eastAsia="bg-BG"/>
        </w:rPr>
        <w:t>Тамсулозин</w:t>
      </w:r>
    </w:p>
    <w:p w14:paraId="6A57E27E" w14:textId="4730C1EE" w:rsidR="00CC2027" w:rsidRPr="00CC2027" w:rsidRDefault="00CC2027" w:rsidP="00CC2027">
      <w:pPr>
        <w:pStyle w:val="ListParagraph"/>
        <w:numPr>
          <w:ilvl w:val="0"/>
          <w:numId w:val="33"/>
        </w:numPr>
        <w:spacing w:line="240" w:lineRule="auto"/>
        <w:rPr>
          <w:rFonts w:eastAsia="Times New Roman" w:cs="Arial"/>
          <w:sz w:val="28"/>
          <w:szCs w:val="24"/>
        </w:rPr>
      </w:pPr>
      <w:r w:rsidRPr="00CC2027">
        <w:rPr>
          <w:rFonts w:eastAsia="Times New Roman" w:cs="Arial"/>
          <w:color w:val="000000"/>
          <w:szCs w:val="20"/>
          <w:lang w:eastAsia="bg-BG"/>
        </w:rPr>
        <w:t>Едновременното приложение с други а-1 адреиорецепторни антагонисти може да доведе до хипотензивни ефекти.</w:t>
      </w:r>
    </w:p>
    <w:p w14:paraId="4898F216" w14:textId="52A0EB1B" w:rsidR="00CC2027" w:rsidRPr="00CC2027" w:rsidRDefault="00CC2027" w:rsidP="00CC2027">
      <w:pPr>
        <w:pStyle w:val="ListParagraph"/>
        <w:numPr>
          <w:ilvl w:val="0"/>
          <w:numId w:val="33"/>
        </w:numPr>
        <w:spacing w:line="240" w:lineRule="auto"/>
        <w:rPr>
          <w:rFonts w:eastAsia="Times New Roman" w:cs="Arial"/>
          <w:sz w:val="28"/>
          <w:szCs w:val="24"/>
        </w:rPr>
      </w:pPr>
      <w:r w:rsidRPr="00CC2027">
        <w:rPr>
          <w:rFonts w:eastAsia="Times New Roman" w:cs="Arial"/>
          <w:color w:val="000000"/>
          <w:szCs w:val="20"/>
          <w:lang w:val="en-US"/>
        </w:rPr>
        <w:t>In</w:t>
      </w:r>
      <w:r w:rsidRPr="00CC2027">
        <w:rPr>
          <w:rFonts w:eastAsia="Times New Roman" w:cs="Arial"/>
          <w:color w:val="000000"/>
          <w:szCs w:val="20"/>
          <w:lang w:val="ru-RU"/>
        </w:rPr>
        <w:t xml:space="preserve"> </w:t>
      </w:r>
      <w:r w:rsidRPr="00CC2027">
        <w:rPr>
          <w:rFonts w:eastAsia="Times New Roman" w:cs="Arial"/>
          <w:color w:val="000000"/>
          <w:szCs w:val="20"/>
          <w:lang w:val="en-US"/>
        </w:rPr>
        <w:t>vitro</w:t>
      </w:r>
      <w:r w:rsidRPr="00CC2027">
        <w:rPr>
          <w:rFonts w:eastAsia="Times New Roman" w:cs="Arial"/>
          <w:color w:val="000000"/>
          <w:szCs w:val="20"/>
          <w:lang w:val="ru-RU"/>
        </w:rPr>
        <w:t xml:space="preserve">, </w:t>
      </w:r>
      <w:r w:rsidRPr="00CC2027">
        <w:rPr>
          <w:rFonts w:eastAsia="Times New Roman" w:cs="Arial"/>
          <w:color w:val="000000"/>
          <w:szCs w:val="20"/>
          <w:lang w:eastAsia="bg-BG"/>
        </w:rPr>
        <w:t>свободната фракция на тамсулозин в плазмата при хора не се променя от диазепам, пропранолол, трихлорметиазид, хлормадинон, амитриптилин, диклофенак, глибенкламид, симвастатин или варфарин. Тамсулозин не променя свобобната фракция на диазепам, пропранолол, трихлорметиазид или хлормадинон. Диклофенак и варфарин все пак може да засилят степента на елиминиране на тамсулозин.</w:t>
      </w:r>
    </w:p>
    <w:p w14:paraId="2E8C0891" w14:textId="2E30D74D" w:rsidR="00CC2027" w:rsidRPr="00CC2027" w:rsidRDefault="00CC2027" w:rsidP="00CC2027">
      <w:pPr>
        <w:pStyle w:val="ListParagraph"/>
        <w:numPr>
          <w:ilvl w:val="0"/>
          <w:numId w:val="33"/>
        </w:numPr>
        <w:spacing w:line="240" w:lineRule="auto"/>
        <w:rPr>
          <w:rFonts w:eastAsia="Times New Roman" w:cs="Arial"/>
          <w:sz w:val="28"/>
          <w:szCs w:val="24"/>
        </w:rPr>
      </w:pPr>
      <w:r w:rsidRPr="00CC2027">
        <w:rPr>
          <w:rFonts w:eastAsia="Times New Roman" w:cs="Arial"/>
          <w:color w:val="000000"/>
          <w:szCs w:val="20"/>
          <w:lang w:eastAsia="bg-BG"/>
        </w:rPr>
        <w:t>Едновременното приложение с фуроземид води до спадане на плазмените нива на тамсулозин но, тъй като нивата остават в нормалните граници, съвместното приложение е приемливо.</w:t>
      </w:r>
    </w:p>
    <w:p w14:paraId="4D315C98" w14:textId="07FEAFAA" w:rsidR="00CC2027" w:rsidRPr="00CC2027" w:rsidRDefault="00CC2027" w:rsidP="00CC2027">
      <w:pPr>
        <w:pStyle w:val="ListParagraph"/>
        <w:numPr>
          <w:ilvl w:val="0"/>
          <w:numId w:val="33"/>
        </w:numPr>
        <w:spacing w:line="240" w:lineRule="auto"/>
        <w:rPr>
          <w:rFonts w:eastAsia="Times New Roman" w:cs="Arial"/>
          <w:sz w:val="28"/>
          <w:szCs w:val="24"/>
        </w:rPr>
      </w:pPr>
      <w:r w:rsidRPr="00CC2027">
        <w:rPr>
          <w:rFonts w:eastAsia="Times New Roman" w:cs="Arial"/>
          <w:color w:val="000000"/>
          <w:szCs w:val="20"/>
          <w:lang w:val="en-US"/>
        </w:rPr>
        <w:t>In</w:t>
      </w:r>
      <w:r w:rsidRPr="00CC2027">
        <w:rPr>
          <w:rFonts w:eastAsia="Times New Roman" w:cs="Arial"/>
          <w:color w:val="000000"/>
          <w:szCs w:val="20"/>
          <w:lang w:val="ru-RU"/>
        </w:rPr>
        <w:t xml:space="preserve"> </w:t>
      </w:r>
      <w:r w:rsidRPr="00CC2027">
        <w:rPr>
          <w:rFonts w:eastAsia="Times New Roman" w:cs="Arial"/>
          <w:color w:val="000000"/>
          <w:szCs w:val="20"/>
          <w:lang w:val="en-US"/>
        </w:rPr>
        <w:t>vitro</w:t>
      </w:r>
      <w:r w:rsidRPr="00CC2027">
        <w:rPr>
          <w:rFonts w:eastAsia="Times New Roman" w:cs="Arial"/>
          <w:color w:val="000000"/>
          <w:szCs w:val="20"/>
          <w:lang w:val="ru-RU"/>
        </w:rPr>
        <w:t xml:space="preserve"> </w:t>
      </w:r>
      <w:r w:rsidRPr="00CC2027">
        <w:rPr>
          <w:rFonts w:eastAsia="Times New Roman" w:cs="Arial"/>
          <w:color w:val="000000"/>
          <w:szCs w:val="20"/>
          <w:lang w:eastAsia="bg-BG"/>
        </w:rPr>
        <w:t xml:space="preserve">проучвания с тамсулозин показват, че при терапевтични концентрации, тамсулозин не инхибира </w:t>
      </w:r>
      <w:r w:rsidRPr="00CC2027">
        <w:rPr>
          <w:rFonts w:eastAsia="Times New Roman" w:cs="Arial"/>
          <w:color w:val="000000"/>
          <w:szCs w:val="20"/>
          <w:lang w:val="en-US"/>
        </w:rPr>
        <w:t>CYP</w:t>
      </w:r>
      <w:r w:rsidRPr="00CC2027">
        <w:rPr>
          <w:rFonts w:eastAsia="Times New Roman" w:cs="Arial"/>
          <w:color w:val="000000"/>
          <w:szCs w:val="20"/>
          <w:lang w:val="ru-RU"/>
        </w:rPr>
        <w:t>1</w:t>
      </w:r>
      <w:r w:rsidRPr="00CC2027">
        <w:rPr>
          <w:rFonts w:eastAsia="Times New Roman" w:cs="Arial"/>
          <w:color w:val="000000"/>
          <w:szCs w:val="20"/>
          <w:lang w:val="en-US"/>
        </w:rPr>
        <w:t>A</w:t>
      </w:r>
      <w:r w:rsidRPr="00CC2027">
        <w:rPr>
          <w:rFonts w:eastAsia="Times New Roman" w:cs="Arial"/>
          <w:color w:val="000000"/>
          <w:szCs w:val="20"/>
          <w:lang w:val="ru-RU"/>
        </w:rPr>
        <w:t>2</w:t>
      </w:r>
      <w:proofErr w:type="gramStart"/>
      <w:r w:rsidRPr="00CC2027">
        <w:rPr>
          <w:rFonts w:eastAsia="Times New Roman" w:cs="Arial"/>
          <w:color w:val="000000"/>
          <w:szCs w:val="20"/>
          <w:lang w:val="ru-RU"/>
        </w:rPr>
        <w:t>,</w:t>
      </w:r>
      <w:r w:rsidRPr="00CC2027">
        <w:rPr>
          <w:rFonts w:eastAsia="Times New Roman" w:cs="Arial"/>
          <w:color w:val="000000"/>
          <w:szCs w:val="20"/>
          <w:lang w:eastAsia="bg-BG"/>
        </w:rPr>
        <w:t>2С9,2С19</w:t>
      </w:r>
      <w:proofErr w:type="gramEnd"/>
      <w:r w:rsidRPr="00CC2027">
        <w:rPr>
          <w:rFonts w:eastAsia="Times New Roman" w:cs="Arial"/>
          <w:color w:val="000000"/>
          <w:szCs w:val="20"/>
          <w:lang w:eastAsia="bg-BG"/>
        </w:rPr>
        <w:t xml:space="preserve">, </w:t>
      </w:r>
      <w:r w:rsidRPr="00CC2027">
        <w:rPr>
          <w:rFonts w:eastAsia="Times New Roman" w:cs="Arial"/>
          <w:color w:val="000000"/>
          <w:szCs w:val="20"/>
          <w:lang w:val="ru-RU"/>
        </w:rPr>
        <w:t>2</w:t>
      </w:r>
      <w:r w:rsidRPr="00CC2027">
        <w:rPr>
          <w:rFonts w:eastAsia="Times New Roman" w:cs="Arial"/>
          <w:color w:val="000000"/>
          <w:szCs w:val="20"/>
          <w:lang w:val="en-US"/>
        </w:rPr>
        <w:t>D</w:t>
      </w:r>
      <w:r w:rsidRPr="00CC2027">
        <w:rPr>
          <w:rFonts w:eastAsia="Times New Roman" w:cs="Arial"/>
          <w:color w:val="000000"/>
          <w:szCs w:val="20"/>
          <w:lang w:val="ru-RU"/>
        </w:rPr>
        <w:t>6,</w:t>
      </w:r>
      <w:r w:rsidRPr="00CC2027">
        <w:rPr>
          <w:rFonts w:eastAsia="Times New Roman" w:cs="Arial"/>
          <w:color w:val="000000"/>
          <w:szCs w:val="20"/>
          <w:lang w:eastAsia="bg-BG"/>
        </w:rPr>
        <w:t xml:space="preserve">2Е1 или ЗА4. Затова не се очакват взаимодействия между тамсулозин и лекарства, метаболизирани от тези </w:t>
      </w:r>
      <w:r w:rsidRPr="00CC2027">
        <w:rPr>
          <w:rFonts w:eastAsia="Times New Roman" w:cs="Arial"/>
          <w:color w:val="000000"/>
          <w:szCs w:val="20"/>
          <w:lang w:val="en-US"/>
        </w:rPr>
        <w:t>CYP</w:t>
      </w:r>
      <w:r w:rsidRPr="00CC2027">
        <w:rPr>
          <w:rFonts w:eastAsia="Times New Roman" w:cs="Arial"/>
          <w:color w:val="000000"/>
          <w:szCs w:val="20"/>
          <w:lang w:val="ru-RU"/>
        </w:rPr>
        <w:t xml:space="preserve"> </w:t>
      </w:r>
      <w:r w:rsidRPr="00CC2027">
        <w:rPr>
          <w:rFonts w:eastAsia="Times New Roman" w:cs="Arial"/>
          <w:color w:val="000000"/>
          <w:szCs w:val="20"/>
          <w:lang w:eastAsia="bg-BG"/>
        </w:rPr>
        <w:t>ензими.</w:t>
      </w:r>
    </w:p>
    <w:p w14:paraId="3F8C8DB0" w14:textId="3F3F4A43" w:rsidR="00CC2027" w:rsidRPr="00CC2027" w:rsidRDefault="00CC2027" w:rsidP="00CC2027">
      <w:pPr>
        <w:pStyle w:val="ListParagraph"/>
        <w:numPr>
          <w:ilvl w:val="0"/>
          <w:numId w:val="33"/>
        </w:numPr>
        <w:rPr>
          <w:rFonts w:cs="Arial"/>
          <w:sz w:val="24"/>
          <w:lang w:val="ru-RU"/>
        </w:rPr>
      </w:pPr>
      <w:r w:rsidRPr="00CC2027">
        <w:rPr>
          <w:rFonts w:eastAsia="Times New Roman" w:cs="Arial"/>
          <w:color w:val="000000"/>
          <w:szCs w:val="20"/>
          <w:lang w:eastAsia="bg-BG"/>
        </w:rPr>
        <w:t>Не са наблюдавани взаимодействия, когато тамсулозин се прилага едновременно с атенолол, еналаприл или теофилин.</w:t>
      </w:r>
    </w:p>
    <w:p w14:paraId="6D781345" w14:textId="77777777" w:rsidR="00CC2027" w:rsidRPr="00CC2027" w:rsidRDefault="00CC2027" w:rsidP="00CC2027"/>
    <w:p w14:paraId="6EADE4D6" w14:textId="741782FF" w:rsidR="00395555" w:rsidRDefault="002C50EE" w:rsidP="008A6AF2">
      <w:pPr>
        <w:pStyle w:val="Heading2"/>
      </w:pPr>
      <w:r>
        <w:t>4.6. Фертилитет, бременност и кърмене</w:t>
      </w:r>
    </w:p>
    <w:p w14:paraId="45096F6A" w14:textId="16041C3D" w:rsidR="00CC2027" w:rsidRDefault="00CC2027" w:rsidP="00CC2027"/>
    <w:p w14:paraId="2B9AF951" w14:textId="77777777" w:rsidR="00CC2027" w:rsidRPr="00CC2027" w:rsidRDefault="00CC2027" w:rsidP="00CC2027">
      <w:pPr>
        <w:pStyle w:val="Heading3"/>
        <w:rPr>
          <w:rFonts w:eastAsia="Times New Roman"/>
          <w:i/>
        </w:rPr>
      </w:pPr>
      <w:r w:rsidRPr="00CC2027">
        <w:rPr>
          <w:rFonts w:eastAsia="Times New Roman"/>
          <w:i/>
          <w:lang w:eastAsia="bg-BG"/>
        </w:rPr>
        <w:t>Фертилитет</w:t>
      </w:r>
    </w:p>
    <w:p w14:paraId="735B6E84" w14:textId="77777777" w:rsidR="00CC2027" w:rsidRPr="00CC2027" w:rsidRDefault="00CC2027" w:rsidP="00CC2027">
      <w:pPr>
        <w:rPr>
          <w:sz w:val="24"/>
          <w:szCs w:val="24"/>
        </w:rPr>
      </w:pPr>
      <w:r w:rsidRPr="00CC2027">
        <w:rPr>
          <w:lang w:eastAsia="bg-BG"/>
        </w:rPr>
        <w:t>Ефектът на Везомни върху фертилитета не е установен. Проучвания върху животни със солифенацин или тамсулозин не показват вредни ефекти върху фертилитета и ранното ембрионално развитие (вж. точка 5.3).</w:t>
      </w:r>
    </w:p>
    <w:p w14:paraId="6C3C633B" w14:textId="77777777" w:rsidR="00CC2027" w:rsidRDefault="00CC2027" w:rsidP="00CC2027">
      <w:pPr>
        <w:rPr>
          <w:lang w:eastAsia="bg-BG"/>
        </w:rPr>
      </w:pPr>
    </w:p>
    <w:p w14:paraId="15ABB2D8" w14:textId="1C6BBCF2" w:rsidR="00CC2027" w:rsidRPr="00CC2027" w:rsidRDefault="00CC2027" w:rsidP="00CC2027">
      <w:pPr>
        <w:rPr>
          <w:sz w:val="24"/>
          <w:szCs w:val="24"/>
        </w:rPr>
      </w:pPr>
      <w:r w:rsidRPr="00CC2027">
        <w:rPr>
          <w:lang w:eastAsia="bg-BG"/>
        </w:rPr>
        <w:t>В краткосрочни и дългосрочни клинични проучвания с тамсулозин са наблюдавани нарушения в еякулацията. През периода след разрешаването за употреба са съобщавани случаи на нарушения в еякулацията, ретроградна еякулация и невъзможност за еякулация.</w:t>
      </w:r>
    </w:p>
    <w:p w14:paraId="1B335C61" w14:textId="77777777" w:rsidR="00CC2027" w:rsidRDefault="00CC2027" w:rsidP="00CC2027">
      <w:pPr>
        <w:rPr>
          <w:lang w:eastAsia="bg-BG"/>
        </w:rPr>
      </w:pPr>
    </w:p>
    <w:p w14:paraId="76F8C9BA" w14:textId="180BE3EB" w:rsidR="00CC2027" w:rsidRPr="00CC2027" w:rsidRDefault="00CC2027" w:rsidP="00CC2027">
      <w:pPr>
        <w:pStyle w:val="Heading3"/>
        <w:rPr>
          <w:rFonts w:eastAsia="Times New Roman"/>
          <w:i/>
        </w:rPr>
      </w:pPr>
      <w:r w:rsidRPr="00CC2027">
        <w:rPr>
          <w:rFonts w:eastAsia="Times New Roman"/>
          <w:i/>
          <w:lang w:eastAsia="bg-BG"/>
        </w:rPr>
        <w:t>Бременност и кърмене</w:t>
      </w:r>
    </w:p>
    <w:p w14:paraId="415FECCA" w14:textId="77777777" w:rsidR="00CC2027" w:rsidRPr="00CC2027" w:rsidRDefault="00CC2027" w:rsidP="00CC2027">
      <w:pPr>
        <w:rPr>
          <w:sz w:val="24"/>
          <w:szCs w:val="24"/>
        </w:rPr>
      </w:pPr>
      <w:r w:rsidRPr="00CC2027">
        <w:rPr>
          <w:lang w:eastAsia="bg-BG"/>
        </w:rPr>
        <w:t>Везомни не е показан за приложение при жени.</w:t>
      </w:r>
    </w:p>
    <w:p w14:paraId="36BC04C3" w14:textId="77777777" w:rsidR="00CC2027" w:rsidRPr="00CC2027" w:rsidRDefault="00CC2027" w:rsidP="00CC2027"/>
    <w:p w14:paraId="5766770B" w14:textId="63B7CE09" w:rsidR="00395555" w:rsidRDefault="002C50EE" w:rsidP="008A6AF2">
      <w:pPr>
        <w:pStyle w:val="Heading2"/>
      </w:pPr>
      <w:r>
        <w:t>4.7. Ефекти върху способността за шофиране и работа с машини</w:t>
      </w:r>
    </w:p>
    <w:p w14:paraId="1D681600" w14:textId="3D20B29A" w:rsidR="00CC2027" w:rsidRDefault="00CC2027" w:rsidP="00CC2027"/>
    <w:p w14:paraId="2A70850E" w14:textId="220A18E8" w:rsidR="00CC2027" w:rsidRPr="00CC2027" w:rsidRDefault="00CC2027" w:rsidP="00CC2027">
      <w:r>
        <w:t>Не са провеждани проучвания за ефектите на Везомни върху способността за шофиране и</w:t>
      </w:r>
      <w:r>
        <w:rPr>
          <w:u w:val="single"/>
        </w:rPr>
        <w:t xml:space="preserve"> </w:t>
      </w:r>
      <w:r>
        <w:t>работа с машини. Все пак, пациентите трябва да бъдат информирани за възможната поява на замайване, замъглено зрение, умора и нечесто сомнолентност, които може негативно да повлияят на способността за шофиране и работа с машини (вж. точка 4.8).</w:t>
      </w:r>
    </w:p>
    <w:p w14:paraId="4FE16E21" w14:textId="786A38AC" w:rsidR="00395555" w:rsidRDefault="002C50EE" w:rsidP="008A6AF2">
      <w:pPr>
        <w:pStyle w:val="Heading2"/>
      </w:pPr>
      <w:r>
        <w:lastRenderedPageBreak/>
        <w:t>4.8. Нежелани лекарствени реакции</w:t>
      </w:r>
    </w:p>
    <w:p w14:paraId="1E0D07C3" w14:textId="74EF7F41" w:rsidR="00CC2027" w:rsidRDefault="00CC2027" w:rsidP="00CC2027"/>
    <w:p w14:paraId="09166B8F" w14:textId="77777777" w:rsidR="00CC2027" w:rsidRPr="00CC2027" w:rsidRDefault="00CC2027" w:rsidP="00CC2027">
      <w:pPr>
        <w:spacing w:line="240" w:lineRule="auto"/>
        <w:rPr>
          <w:rFonts w:eastAsia="Times New Roman" w:cs="Arial"/>
          <w:sz w:val="28"/>
          <w:szCs w:val="24"/>
        </w:rPr>
      </w:pPr>
      <w:r w:rsidRPr="00CC2027">
        <w:rPr>
          <w:rFonts w:eastAsia="Times New Roman" w:cs="Arial"/>
          <w:i/>
          <w:iCs/>
          <w:color w:val="000000"/>
          <w:szCs w:val="20"/>
          <w:lang w:eastAsia="bg-BG"/>
        </w:rPr>
        <w:t>Резюме на профила на безопасност</w:t>
      </w:r>
    </w:p>
    <w:p w14:paraId="3C28F004"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Везомни може да причини антихолинергични нежелани реакции, като цяло с лека до умерена тежест. Най-често докладваната нежелана реакция по време на клиничните проучвания, проведени за разработване на Везомни са сухота в устата (9,5%), последвана от запек (3,2%) и диспепсия (включително коремна болка: 2,4%). Други чести нежелани реакции са замаяност (включително световъртеж: 1,4%), замъглено зрение (1,2%), умора (1,2%) и нарушения в еякулацията (включително ретроградна еякулация; 1,5%). Най-сериозната нежелана реакция, която е наблюдавана по време на лечение с Везомни в клинични проучвания е остра ретенция на урина (0,3%, нечесто).</w:t>
      </w:r>
    </w:p>
    <w:p w14:paraId="12BB8A5B" w14:textId="77777777" w:rsidR="00CC2027" w:rsidRPr="00CC2027" w:rsidRDefault="00CC2027" w:rsidP="00CC2027">
      <w:pPr>
        <w:spacing w:line="240" w:lineRule="auto"/>
        <w:rPr>
          <w:rFonts w:eastAsia="Times New Roman" w:cs="Arial"/>
          <w:i/>
          <w:iCs/>
          <w:color w:val="000000"/>
          <w:szCs w:val="20"/>
          <w:lang w:eastAsia="bg-BG"/>
        </w:rPr>
      </w:pPr>
    </w:p>
    <w:p w14:paraId="098CA398" w14:textId="1D3198B1" w:rsidR="00CC2027" w:rsidRPr="00CC2027" w:rsidRDefault="00CC2027" w:rsidP="00CC2027">
      <w:pPr>
        <w:spacing w:line="240" w:lineRule="auto"/>
        <w:rPr>
          <w:rFonts w:eastAsia="Times New Roman" w:cs="Arial"/>
          <w:sz w:val="28"/>
          <w:szCs w:val="24"/>
        </w:rPr>
      </w:pPr>
      <w:r w:rsidRPr="00CC2027">
        <w:rPr>
          <w:rFonts w:eastAsia="Times New Roman" w:cs="Arial"/>
          <w:i/>
          <w:iCs/>
          <w:color w:val="000000"/>
          <w:szCs w:val="20"/>
          <w:lang w:eastAsia="bg-BG"/>
        </w:rPr>
        <w:t>Списък на нежеланите реакции в табличен вид</w:t>
      </w:r>
    </w:p>
    <w:p w14:paraId="736CC566"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Колона „Честота за Везомни” на таблицата по-долу отразява нежеланите лекарствени реакции, които са наблюдавани по време на двойно слепи клинични проучвания, провеждани за разработване на Везомни (основани на съобщения за свързани с лечението нежелани реакции, които са съобщени от поне двама пациента и настъпили с честота по-висока от тази за плацебо в двойно слепите проучвания).</w:t>
      </w:r>
    </w:p>
    <w:p w14:paraId="643D429E" w14:textId="77777777" w:rsidR="00CC2027" w:rsidRPr="00CC2027" w:rsidRDefault="00CC2027" w:rsidP="00CC2027">
      <w:pPr>
        <w:spacing w:line="240" w:lineRule="auto"/>
        <w:rPr>
          <w:rFonts w:eastAsia="Times New Roman" w:cs="Arial"/>
          <w:color w:val="000000"/>
          <w:szCs w:val="20"/>
          <w:lang w:eastAsia="bg-BG"/>
        </w:rPr>
      </w:pPr>
    </w:p>
    <w:p w14:paraId="2EDDC953" w14:textId="68D23B63"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 xml:space="preserve">Колоните „честота за солифенацин” и „честота за тамсулозин” отразяват нежеланите лекарствени реакции (НЛР) докладвани преди това с един от отделните компоненти (както са описани в кратката характеристика на продукта (КХП) на солифенацин 5 и 10 </w:t>
      </w:r>
      <w:r w:rsidRPr="00CC2027">
        <w:rPr>
          <w:rFonts w:eastAsia="Times New Roman" w:cs="Arial"/>
          <w:color w:val="000000"/>
          <w:szCs w:val="20"/>
          <w:lang w:val="en-US"/>
        </w:rPr>
        <w:t>mg</w:t>
      </w:r>
      <w:r w:rsidRPr="00CC2027">
        <w:rPr>
          <w:rFonts w:eastAsia="Times New Roman" w:cs="Arial"/>
          <w:color w:val="000000"/>
          <w:szCs w:val="20"/>
          <w:lang w:val="ru-RU"/>
        </w:rPr>
        <w:t xml:space="preserve"> </w:t>
      </w:r>
      <w:r w:rsidRPr="00CC2027">
        <w:rPr>
          <w:rFonts w:eastAsia="Times New Roman" w:cs="Arial"/>
          <w:color w:val="000000"/>
          <w:szCs w:val="20"/>
          <w:lang w:eastAsia="bg-BG"/>
        </w:rPr>
        <w:t xml:space="preserve">и тамсулозин 0,4 </w:t>
      </w:r>
      <w:r w:rsidRPr="00CC2027">
        <w:rPr>
          <w:rFonts w:eastAsia="Times New Roman" w:cs="Arial"/>
          <w:color w:val="000000"/>
          <w:szCs w:val="20"/>
          <w:lang w:val="en-US"/>
        </w:rPr>
        <w:t>mg</w:t>
      </w:r>
      <w:r w:rsidRPr="00CC2027">
        <w:rPr>
          <w:rFonts w:eastAsia="Times New Roman" w:cs="Arial"/>
          <w:color w:val="000000"/>
          <w:szCs w:val="20"/>
          <w:lang w:val="ru-RU"/>
        </w:rPr>
        <w:t xml:space="preserve">, </w:t>
      </w:r>
      <w:r w:rsidRPr="00CC2027">
        <w:rPr>
          <w:rFonts w:eastAsia="Times New Roman" w:cs="Arial"/>
          <w:color w:val="000000"/>
          <w:szCs w:val="20"/>
          <w:lang w:eastAsia="bg-BG"/>
        </w:rPr>
        <w:t>съответно), които може също да настъпят, когато се получава Везомни (някои от тях не са наблюдавани по време на програмата за клинично разработване на Везомни).</w:t>
      </w:r>
    </w:p>
    <w:p w14:paraId="1453AAF5" w14:textId="77777777" w:rsidR="00CC2027" w:rsidRPr="00CC2027" w:rsidRDefault="00CC2027" w:rsidP="00CC2027">
      <w:pPr>
        <w:rPr>
          <w:rFonts w:eastAsia="Times New Roman" w:cs="Arial"/>
          <w:color w:val="000000"/>
          <w:szCs w:val="20"/>
          <w:lang w:eastAsia="bg-BG"/>
        </w:rPr>
      </w:pPr>
    </w:p>
    <w:p w14:paraId="22F1E264" w14:textId="3FB7868C" w:rsidR="00CC2027" w:rsidRPr="00CC2027" w:rsidRDefault="00CC2027" w:rsidP="00CC2027">
      <w:pPr>
        <w:rPr>
          <w:rFonts w:eastAsia="Times New Roman" w:cs="Arial"/>
          <w:color w:val="000000"/>
          <w:szCs w:val="20"/>
          <w:lang w:eastAsia="bg-BG"/>
        </w:rPr>
      </w:pPr>
      <w:r w:rsidRPr="00CC2027">
        <w:rPr>
          <w:rFonts w:eastAsia="Times New Roman" w:cs="Arial"/>
          <w:color w:val="000000"/>
          <w:szCs w:val="20"/>
          <w:lang w:eastAsia="bg-BG"/>
        </w:rPr>
        <w:t>Честотата на нежеланите реакции се дефинира както следва: много чести (≥1/10); чести (≥1/100 до &lt;1/10); нечести (≥1/1 000 до &lt;1/100), редки (≥1/10 000 до &lt;1/1 000); много редки (&lt;1/10 000), с неизвестна честота (от наличните данни не може да бъде направена оценка).</w:t>
      </w:r>
    </w:p>
    <w:p w14:paraId="7EB17941" w14:textId="7BBA279F" w:rsidR="00CC2027" w:rsidRDefault="00CC2027" w:rsidP="00CC2027"/>
    <w:tbl>
      <w:tblPr>
        <w:tblStyle w:val="TableGrid"/>
        <w:tblW w:w="0" w:type="auto"/>
        <w:tblLook w:val="04A0" w:firstRow="1" w:lastRow="0" w:firstColumn="1" w:lastColumn="0" w:noHBand="0" w:noVBand="1"/>
      </w:tblPr>
      <w:tblGrid>
        <w:gridCol w:w="2568"/>
        <w:gridCol w:w="2271"/>
        <w:gridCol w:w="2276"/>
        <w:gridCol w:w="2235"/>
      </w:tblGrid>
      <w:tr w:rsidR="00CC2027" w14:paraId="44C0F41E" w14:textId="77777777" w:rsidTr="00CC2027">
        <w:tc>
          <w:tcPr>
            <w:tcW w:w="2568" w:type="dxa"/>
          </w:tcPr>
          <w:p w14:paraId="517E3911" w14:textId="78861E1E" w:rsidR="00CC2027" w:rsidRDefault="00CC2027" w:rsidP="00CC2027">
            <w:r w:rsidRPr="00CC2027">
              <w:rPr>
                <w:b/>
                <w:bCs/>
                <w:szCs w:val="20"/>
              </w:rPr>
              <w:t>Система Орган Клас (СОК) / предпочитан термин (ПТ)</w:t>
            </w:r>
          </w:p>
        </w:tc>
        <w:tc>
          <w:tcPr>
            <w:tcW w:w="2340" w:type="dxa"/>
            <w:vMerge w:val="restart"/>
          </w:tcPr>
          <w:p w14:paraId="72603337" w14:textId="3C74B252" w:rsidR="00CC2027" w:rsidRPr="00CC2027" w:rsidRDefault="00CC2027" w:rsidP="00CC2027">
            <w:pPr>
              <w:spacing w:line="240" w:lineRule="auto"/>
              <w:rPr>
                <w:rFonts w:eastAsia="Times New Roman" w:cs="Arial"/>
                <w:sz w:val="24"/>
                <w:szCs w:val="24"/>
              </w:rPr>
            </w:pPr>
            <w:r w:rsidRPr="00CC2027">
              <w:rPr>
                <w:rFonts w:eastAsia="Times New Roman" w:cs="Arial"/>
                <w:b/>
                <w:bCs/>
                <w:color w:val="000000"/>
                <w:szCs w:val="20"/>
                <w:lang w:eastAsia="bg-BG"/>
              </w:rPr>
              <w:t>Честота на НЛР, наблюдавана по време на разработване на Везомни</w:t>
            </w:r>
          </w:p>
        </w:tc>
        <w:tc>
          <w:tcPr>
            <w:tcW w:w="4668" w:type="dxa"/>
            <w:gridSpan w:val="2"/>
          </w:tcPr>
          <w:p w14:paraId="760F51C5" w14:textId="34B8EFD9" w:rsidR="00CC2027" w:rsidRPr="00CC2027" w:rsidRDefault="00CC2027" w:rsidP="00CC2027">
            <w:pPr>
              <w:rPr>
                <w:b/>
                <w:sz w:val="24"/>
                <w:szCs w:val="24"/>
              </w:rPr>
            </w:pPr>
            <w:r w:rsidRPr="00CC2027">
              <w:rPr>
                <w:b/>
                <w:lang w:eastAsia="bg-BG"/>
              </w:rPr>
              <w:t>Честота на НЛР, наблюдавана с отделните вещества</w:t>
            </w:r>
          </w:p>
        </w:tc>
      </w:tr>
      <w:tr w:rsidR="00CC2027" w14:paraId="5AFFCCF0" w14:textId="77777777" w:rsidTr="00CC2027">
        <w:tc>
          <w:tcPr>
            <w:tcW w:w="2568" w:type="dxa"/>
          </w:tcPr>
          <w:p w14:paraId="3961FEFC" w14:textId="77777777" w:rsidR="00CC2027" w:rsidRDefault="00CC2027" w:rsidP="00CC2027"/>
        </w:tc>
        <w:tc>
          <w:tcPr>
            <w:tcW w:w="2340" w:type="dxa"/>
            <w:vMerge/>
          </w:tcPr>
          <w:p w14:paraId="7F7FEC73" w14:textId="77777777" w:rsidR="00CC2027" w:rsidRDefault="00CC2027" w:rsidP="00CC2027"/>
        </w:tc>
        <w:tc>
          <w:tcPr>
            <w:tcW w:w="2343" w:type="dxa"/>
          </w:tcPr>
          <w:p w14:paraId="699EEEFC" w14:textId="64325E22" w:rsidR="00CC2027" w:rsidRPr="00CC2027" w:rsidRDefault="00CC2027" w:rsidP="00CC2027">
            <w:pPr>
              <w:rPr>
                <w:b/>
              </w:rPr>
            </w:pPr>
            <w:r w:rsidRPr="00CC2027">
              <w:rPr>
                <w:b/>
              </w:rPr>
              <w:t xml:space="preserve">Солифенацин 5 </w:t>
            </w:r>
            <w:r w:rsidRPr="00CC2027">
              <w:rPr>
                <w:b/>
                <w:lang w:val="en-US"/>
              </w:rPr>
              <w:t xml:space="preserve">mg </w:t>
            </w:r>
            <w:r w:rsidRPr="00CC2027">
              <w:rPr>
                <w:b/>
              </w:rPr>
              <w:t xml:space="preserve">и 10 </w:t>
            </w:r>
            <w:r>
              <w:rPr>
                <w:b/>
                <w:lang w:val="en-US"/>
              </w:rPr>
              <w:t>mg</w:t>
            </w:r>
            <w:r w:rsidRPr="00CC2027">
              <w:rPr>
                <w:b/>
                <w:vertAlign w:val="superscript"/>
                <w:lang w:val="en-US"/>
              </w:rPr>
              <w:t>#</w:t>
            </w:r>
          </w:p>
        </w:tc>
        <w:tc>
          <w:tcPr>
            <w:tcW w:w="2325" w:type="dxa"/>
          </w:tcPr>
          <w:p w14:paraId="11433974" w14:textId="342156A4" w:rsidR="00CC2027" w:rsidRPr="00CC2027" w:rsidRDefault="00CC2027" w:rsidP="00CC2027">
            <w:pPr>
              <w:rPr>
                <w:b/>
              </w:rPr>
            </w:pPr>
            <w:r w:rsidRPr="00CC2027">
              <w:rPr>
                <w:b/>
              </w:rPr>
              <w:t xml:space="preserve">Тамсулозин 0,4 </w:t>
            </w:r>
            <w:r>
              <w:rPr>
                <w:b/>
                <w:lang w:val="en-US"/>
              </w:rPr>
              <w:t>mg</w:t>
            </w:r>
            <w:r w:rsidRPr="00CC2027">
              <w:rPr>
                <w:b/>
                <w:vertAlign w:val="superscript"/>
                <w:lang w:val="en-US"/>
              </w:rPr>
              <w:t>#</w:t>
            </w:r>
          </w:p>
        </w:tc>
      </w:tr>
      <w:tr w:rsidR="00CC2027" w14:paraId="0EBCAB62" w14:textId="77777777" w:rsidTr="00CC2027">
        <w:tc>
          <w:tcPr>
            <w:tcW w:w="9576" w:type="dxa"/>
            <w:gridSpan w:val="4"/>
          </w:tcPr>
          <w:p w14:paraId="15E86022" w14:textId="7D909E71" w:rsidR="00CC2027" w:rsidRPr="00CC2027" w:rsidRDefault="00CC2027" w:rsidP="00CC2027">
            <w:pPr>
              <w:rPr>
                <w:b/>
                <w:sz w:val="24"/>
                <w:szCs w:val="24"/>
              </w:rPr>
            </w:pPr>
            <w:r w:rsidRPr="00CC2027">
              <w:rPr>
                <w:b/>
                <w:lang w:eastAsia="bg-BG"/>
              </w:rPr>
              <w:t>Инфекции и инфестации</w:t>
            </w:r>
          </w:p>
        </w:tc>
      </w:tr>
      <w:tr w:rsidR="00CC2027" w14:paraId="6A327098" w14:textId="77777777" w:rsidTr="00CC2027">
        <w:tc>
          <w:tcPr>
            <w:tcW w:w="2568" w:type="dxa"/>
          </w:tcPr>
          <w:p w14:paraId="77077676" w14:textId="0B4D551F" w:rsidR="00CC2027" w:rsidRPr="00CC2027" w:rsidRDefault="00CC2027" w:rsidP="00CC2027">
            <w:r w:rsidRPr="00CC2027">
              <w:rPr>
                <w:szCs w:val="20"/>
              </w:rPr>
              <w:t>Инфекции на уринарния тракт</w:t>
            </w:r>
          </w:p>
        </w:tc>
        <w:tc>
          <w:tcPr>
            <w:tcW w:w="2340" w:type="dxa"/>
          </w:tcPr>
          <w:p w14:paraId="74587EFB" w14:textId="77777777" w:rsidR="00CC2027" w:rsidRPr="00CC2027" w:rsidRDefault="00CC2027" w:rsidP="00CC2027"/>
        </w:tc>
        <w:tc>
          <w:tcPr>
            <w:tcW w:w="2343" w:type="dxa"/>
          </w:tcPr>
          <w:p w14:paraId="020C559A" w14:textId="30C7420E" w:rsidR="00CC2027" w:rsidRPr="00CC2027" w:rsidRDefault="00CC2027" w:rsidP="00CC2027">
            <w:r w:rsidRPr="00CC2027">
              <w:rPr>
                <w:szCs w:val="20"/>
              </w:rPr>
              <w:t>Нечесто</w:t>
            </w:r>
          </w:p>
        </w:tc>
        <w:tc>
          <w:tcPr>
            <w:tcW w:w="2325" w:type="dxa"/>
          </w:tcPr>
          <w:p w14:paraId="2E3CB682" w14:textId="77777777" w:rsidR="00CC2027" w:rsidRPr="00CC2027" w:rsidRDefault="00CC2027" w:rsidP="00CC2027"/>
        </w:tc>
      </w:tr>
      <w:tr w:rsidR="00CC2027" w14:paraId="5ED85DDA" w14:textId="77777777" w:rsidTr="00CC2027">
        <w:tc>
          <w:tcPr>
            <w:tcW w:w="2568" w:type="dxa"/>
          </w:tcPr>
          <w:p w14:paraId="2C16601F" w14:textId="673DEAFA" w:rsidR="00CC2027" w:rsidRPr="00CC2027" w:rsidRDefault="00CC2027" w:rsidP="00CC2027">
            <w:r w:rsidRPr="00CC2027">
              <w:rPr>
                <w:szCs w:val="20"/>
              </w:rPr>
              <w:t>Цистит</w:t>
            </w:r>
          </w:p>
        </w:tc>
        <w:tc>
          <w:tcPr>
            <w:tcW w:w="2340" w:type="dxa"/>
          </w:tcPr>
          <w:p w14:paraId="71724420" w14:textId="77777777" w:rsidR="00CC2027" w:rsidRPr="00CC2027" w:rsidRDefault="00CC2027" w:rsidP="00CC2027"/>
        </w:tc>
        <w:tc>
          <w:tcPr>
            <w:tcW w:w="2343" w:type="dxa"/>
          </w:tcPr>
          <w:p w14:paraId="47AC68AD" w14:textId="4D6C5522" w:rsidR="00CC2027" w:rsidRPr="00CC2027" w:rsidRDefault="00CC2027" w:rsidP="00CC2027">
            <w:r w:rsidRPr="00CC2027">
              <w:rPr>
                <w:szCs w:val="20"/>
              </w:rPr>
              <w:t>Нечесто</w:t>
            </w:r>
          </w:p>
        </w:tc>
        <w:tc>
          <w:tcPr>
            <w:tcW w:w="2325" w:type="dxa"/>
          </w:tcPr>
          <w:p w14:paraId="3C3881CD" w14:textId="77777777" w:rsidR="00CC2027" w:rsidRPr="00CC2027" w:rsidRDefault="00CC2027" w:rsidP="00CC2027"/>
        </w:tc>
      </w:tr>
      <w:tr w:rsidR="00CC2027" w14:paraId="30C6DCDE" w14:textId="77777777" w:rsidTr="00CC2027">
        <w:tc>
          <w:tcPr>
            <w:tcW w:w="9576" w:type="dxa"/>
            <w:gridSpan w:val="4"/>
          </w:tcPr>
          <w:p w14:paraId="2D6C5A09" w14:textId="453CD34C" w:rsidR="00CC2027" w:rsidRPr="00CC2027" w:rsidRDefault="00CC2027" w:rsidP="00CC2027">
            <w:pPr>
              <w:rPr>
                <w:b/>
                <w:sz w:val="24"/>
                <w:szCs w:val="24"/>
              </w:rPr>
            </w:pPr>
            <w:r w:rsidRPr="00CC2027">
              <w:rPr>
                <w:b/>
                <w:lang w:eastAsia="bg-BG"/>
              </w:rPr>
              <w:t>Нарушения на имунната система</w:t>
            </w:r>
          </w:p>
        </w:tc>
      </w:tr>
      <w:tr w:rsidR="00CC2027" w14:paraId="4ED5E038" w14:textId="77777777" w:rsidTr="00CC2027">
        <w:tc>
          <w:tcPr>
            <w:tcW w:w="2568" w:type="dxa"/>
          </w:tcPr>
          <w:p w14:paraId="58140312" w14:textId="71555AB9" w:rsidR="00CC2027" w:rsidRDefault="00CC2027" w:rsidP="00CC2027">
            <w:r>
              <w:t>Анафилактични реакции</w:t>
            </w:r>
          </w:p>
        </w:tc>
        <w:tc>
          <w:tcPr>
            <w:tcW w:w="2340" w:type="dxa"/>
          </w:tcPr>
          <w:p w14:paraId="12C69BE3" w14:textId="77777777" w:rsidR="00CC2027" w:rsidRDefault="00CC2027" w:rsidP="00CC2027"/>
        </w:tc>
        <w:tc>
          <w:tcPr>
            <w:tcW w:w="2343" w:type="dxa"/>
          </w:tcPr>
          <w:p w14:paraId="68571ED7" w14:textId="728653CE" w:rsidR="00CC2027" w:rsidRDefault="00CC2027" w:rsidP="00CC2027">
            <w:r>
              <w:t>С неизвестна честота*</w:t>
            </w:r>
          </w:p>
        </w:tc>
        <w:tc>
          <w:tcPr>
            <w:tcW w:w="2325" w:type="dxa"/>
          </w:tcPr>
          <w:p w14:paraId="714713F7" w14:textId="77777777" w:rsidR="00CC2027" w:rsidRDefault="00CC2027" w:rsidP="00CC2027"/>
        </w:tc>
      </w:tr>
      <w:tr w:rsidR="00CC2027" w14:paraId="3ACD6C94" w14:textId="77777777" w:rsidTr="00CC2027">
        <w:tc>
          <w:tcPr>
            <w:tcW w:w="9576" w:type="dxa"/>
            <w:gridSpan w:val="4"/>
          </w:tcPr>
          <w:p w14:paraId="180CB6CC" w14:textId="6E218FA4" w:rsidR="00CC2027" w:rsidRPr="00CC2027" w:rsidRDefault="00CC2027" w:rsidP="00CC2027">
            <w:pPr>
              <w:rPr>
                <w:b/>
                <w:sz w:val="24"/>
                <w:szCs w:val="24"/>
              </w:rPr>
            </w:pPr>
            <w:r w:rsidRPr="00CC2027">
              <w:rPr>
                <w:b/>
                <w:lang w:eastAsia="bg-BG"/>
              </w:rPr>
              <w:t>Нарушения на метаболизма и храненето</w:t>
            </w:r>
          </w:p>
        </w:tc>
      </w:tr>
      <w:tr w:rsidR="00CC2027" w14:paraId="46CD1589" w14:textId="77777777" w:rsidTr="00CC2027">
        <w:tc>
          <w:tcPr>
            <w:tcW w:w="2568" w:type="dxa"/>
          </w:tcPr>
          <w:p w14:paraId="75CB33A4" w14:textId="58A7667D" w:rsidR="00CC2027" w:rsidRDefault="00CC2027" w:rsidP="00CC2027">
            <w:r>
              <w:t>Понижен апетит</w:t>
            </w:r>
          </w:p>
        </w:tc>
        <w:tc>
          <w:tcPr>
            <w:tcW w:w="2340" w:type="dxa"/>
          </w:tcPr>
          <w:p w14:paraId="0F891E88" w14:textId="77777777" w:rsidR="00CC2027" w:rsidRDefault="00CC2027" w:rsidP="00CC2027"/>
        </w:tc>
        <w:tc>
          <w:tcPr>
            <w:tcW w:w="2343" w:type="dxa"/>
          </w:tcPr>
          <w:p w14:paraId="1A64F5F0" w14:textId="2913B994" w:rsidR="00CC2027" w:rsidRDefault="00CC2027" w:rsidP="00CC2027">
            <w:r>
              <w:t>С неизвестна честота*</w:t>
            </w:r>
          </w:p>
        </w:tc>
        <w:tc>
          <w:tcPr>
            <w:tcW w:w="2325" w:type="dxa"/>
          </w:tcPr>
          <w:p w14:paraId="2E3BCA4F" w14:textId="77777777" w:rsidR="00CC2027" w:rsidRDefault="00CC2027" w:rsidP="00CC2027"/>
        </w:tc>
      </w:tr>
      <w:tr w:rsidR="00CC2027" w14:paraId="7699EB04" w14:textId="77777777" w:rsidTr="00CC2027">
        <w:tc>
          <w:tcPr>
            <w:tcW w:w="2568" w:type="dxa"/>
          </w:tcPr>
          <w:p w14:paraId="44C004A2" w14:textId="74C33961" w:rsidR="00CC2027" w:rsidRDefault="00CC2027" w:rsidP="00CC2027">
            <w:r>
              <w:t>Хиперкалиемия</w:t>
            </w:r>
          </w:p>
        </w:tc>
        <w:tc>
          <w:tcPr>
            <w:tcW w:w="2340" w:type="dxa"/>
          </w:tcPr>
          <w:p w14:paraId="157E88DB" w14:textId="77777777" w:rsidR="00CC2027" w:rsidRDefault="00CC2027" w:rsidP="00CC2027"/>
        </w:tc>
        <w:tc>
          <w:tcPr>
            <w:tcW w:w="2343" w:type="dxa"/>
          </w:tcPr>
          <w:p w14:paraId="3254F068" w14:textId="007D3D8C" w:rsidR="00CC2027" w:rsidRDefault="00CC2027" w:rsidP="00CC2027">
            <w:r>
              <w:t>С неизвестна честота*</w:t>
            </w:r>
          </w:p>
        </w:tc>
        <w:tc>
          <w:tcPr>
            <w:tcW w:w="2325" w:type="dxa"/>
          </w:tcPr>
          <w:p w14:paraId="7F979E1E" w14:textId="77777777" w:rsidR="00CC2027" w:rsidRDefault="00CC2027" w:rsidP="00CC2027"/>
        </w:tc>
      </w:tr>
      <w:tr w:rsidR="00CC2027" w14:paraId="67DCCA9F" w14:textId="77777777" w:rsidTr="00CC2027">
        <w:tc>
          <w:tcPr>
            <w:tcW w:w="9576" w:type="dxa"/>
            <w:gridSpan w:val="4"/>
          </w:tcPr>
          <w:p w14:paraId="7FE74F5E" w14:textId="47411229" w:rsidR="00CC2027" w:rsidRPr="00CC2027" w:rsidRDefault="00CC2027" w:rsidP="00CC2027">
            <w:pPr>
              <w:rPr>
                <w:b/>
                <w:sz w:val="24"/>
                <w:szCs w:val="24"/>
              </w:rPr>
            </w:pPr>
            <w:r w:rsidRPr="00CC2027">
              <w:rPr>
                <w:b/>
                <w:lang w:eastAsia="bg-BG"/>
              </w:rPr>
              <w:lastRenderedPageBreak/>
              <w:t>Психични нарушения</w:t>
            </w:r>
          </w:p>
        </w:tc>
      </w:tr>
      <w:tr w:rsidR="00CC2027" w14:paraId="2C96E6BC" w14:textId="77777777" w:rsidTr="00CC2027">
        <w:tc>
          <w:tcPr>
            <w:tcW w:w="2568" w:type="dxa"/>
          </w:tcPr>
          <w:p w14:paraId="1C56312C" w14:textId="7DBB3CC2" w:rsidR="00CC2027" w:rsidRDefault="00CC2027" w:rsidP="00CC2027">
            <w:r>
              <w:t>Халюцинации</w:t>
            </w:r>
          </w:p>
        </w:tc>
        <w:tc>
          <w:tcPr>
            <w:tcW w:w="2340" w:type="dxa"/>
          </w:tcPr>
          <w:p w14:paraId="31A91EAE" w14:textId="77777777" w:rsidR="00CC2027" w:rsidRDefault="00CC2027" w:rsidP="00CC2027"/>
        </w:tc>
        <w:tc>
          <w:tcPr>
            <w:tcW w:w="2343" w:type="dxa"/>
          </w:tcPr>
          <w:p w14:paraId="400ACDCE" w14:textId="1316CC40" w:rsidR="00CC2027" w:rsidRDefault="00CC2027" w:rsidP="00CC2027">
            <w:r>
              <w:t>Много рядко*</w:t>
            </w:r>
          </w:p>
        </w:tc>
        <w:tc>
          <w:tcPr>
            <w:tcW w:w="2325" w:type="dxa"/>
          </w:tcPr>
          <w:p w14:paraId="79863472" w14:textId="77777777" w:rsidR="00CC2027" w:rsidRDefault="00CC2027" w:rsidP="00CC2027"/>
        </w:tc>
      </w:tr>
      <w:tr w:rsidR="00CC2027" w14:paraId="0DCC0F3A" w14:textId="77777777" w:rsidTr="00CC2027">
        <w:tc>
          <w:tcPr>
            <w:tcW w:w="2568" w:type="dxa"/>
          </w:tcPr>
          <w:p w14:paraId="341E94BD" w14:textId="6CA66AC5" w:rsidR="00CC2027" w:rsidRDefault="00CC2027" w:rsidP="00CC2027">
            <w:r>
              <w:t>Състояние на обърканост</w:t>
            </w:r>
          </w:p>
        </w:tc>
        <w:tc>
          <w:tcPr>
            <w:tcW w:w="2340" w:type="dxa"/>
          </w:tcPr>
          <w:p w14:paraId="143CD35B" w14:textId="77777777" w:rsidR="00CC2027" w:rsidRDefault="00CC2027" w:rsidP="00CC2027"/>
        </w:tc>
        <w:tc>
          <w:tcPr>
            <w:tcW w:w="2343" w:type="dxa"/>
          </w:tcPr>
          <w:p w14:paraId="7C85027A" w14:textId="475AF842" w:rsidR="00CC2027" w:rsidRDefault="00CC2027" w:rsidP="00CC2027">
            <w:r>
              <w:t>Много рядко*</w:t>
            </w:r>
          </w:p>
        </w:tc>
        <w:tc>
          <w:tcPr>
            <w:tcW w:w="2325" w:type="dxa"/>
          </w:tcPr>
          <w:p w14:paraId="15BCF9E9" w14:textId="77777777" w:rsidR="00CC2027" w:rsidRDefault="00CC2027" w:rsidP="00CC2027"/>
        </w:tc>
      </w:tr>
      <w:tr w:rsidR="00CC2027" w14:paraId="2AA0D592" w14:textId="77777777" w:rsidTr="00CC2027">
        <w:tc>
          <w:tcPr>
            <w:tcW w:w="2568" w:type="dxa"/>
          </w:tcPr>
          <w:p w14:paraId="6870E4A8" w14:textId="07F2DD03" w:rsidR="00CC2027" w:rsidRDefault="00CC2027" w:rsidP="00CC2027">
            <w:r>
              <w:t>Делириум</w:t>
            </w:r>
          </w:p>
        </w:tc>
        <w:tc>
          <w:tcPr>
            <w:tcW w:w="2340" w:type="dxa"/>
          </w:tcPr>
          <w:p w14:paraId="4E00F0E6" w14:textId="77777777" w:rsidR="00CC2027" w:rsidRDefault="00CC2027" w:rsidP="00CC2027"/>
        </w:tc>
        <w:tc>
          <w:tcPr>
            <w:tcW w:w="2343" w:type="dxa"/>
          </w:tcPr>
          <w:p w14:paraId="152688AA" w14:textId="0B157830" w:rsidR="00CC2027" w:rsidRDefault="00CC2027" w:rsidP="00CC2027">
            <w:r>
              <w:t>С неизвестна честота*</w:t>
            </w:r>
          </w:p>
        </w:tc>
        <w:tc>
          <w:tcPr>
            <w:tcW w:w="2325" w:type="dxa"/>
          </w:tcPr>
          <w:p w14:paraId="0255A4D3" w14:textId="77777777" w:rsidR="00CC2027" w:rsidRDefault="00CC2027" w:rsidP="00CC2027"/>
        </w:tc>
      </w:tr>
      <w:tr w:rsidR="00CC2027" w14:paraId="2B421360" w14:textId="77777777" w:rsidTr="00CC2027">
        <w:tc>
          <w:tcPr>
            <w:tcW w:w="9576" w:type="dxa"/>
            <w:gridSpan w:val="4"/>
          </w:tcPr>
          <w:p w14:paraId="1C816666" w14:textId="7E92E06C" w:rsidR="00CC2027" w:rsidRPr="00CC2027" w:rsidRDefault="00CC2027" w:rsidP="00CC2027">
            <w:pPr>
              <w:rPr>
                <w:b/>
              </w:rPr>
            </w:pPr>
            <w:r w:rsidRPr="00CC2027">
              <w:rPr>
                <w:b/>
              </w:rPr>
              <w:t>Нарушения на нервната система</w:t>
            </w:r>
          </w:p>
        </w:tc>
      </w:tr>
      <w:tr w:rsidR="00CC2027" w14:paraId="78CE6BDE" w14:textId="77777777" w:rsidTr="00CC2027">
        <w:tc>
          <w:tcPr>
            <w:tcW w:w="2568" w:type="dxa"/>
          </w:tcPr>
          <w:p w14:paraId="20EE05D2" w14:textId="2B41ACC2" w:rsidR="00CC2027" w:rsidRDefault="00CC2027" w:rsidP="00CC2027">
            <w:r>
              <w:t>Замаяност</w:t>
            </w:r>
          </w:p>
        </w:tc>
        <w:tc>
          <w:tcPr>
            <w:tcW w:w="2340" w:type="dxa"/>
          </w:tcPr>
          <w:p w14:paraId="666208C0" w14:textId="118D6ADE" w:rsidR="00CC2027" w:rsidRDefault="00CC2027" w:rsidP="00CC2027">
            <w:r>
              <w:t>Често</w:t>
            </w:r>
          </w:p>
        </w:tc>
        <w:tc>
          <w:tcPr>
            <w:tcW w:w="2343" w:type="dxa"/>
          </w:tcPr>
          <w:p w14:paraId="59F6A82E" w14:textId="794978B3" w:rsidR="00CC2027" w:rsidRDefault="00CC2027" w:rsidP="00CC2027">
            <w:r>
              <w:t>Рядко*</w:t>
            </w:r>
          </w:p>
        </w:tc>
        <w:tc>
          <w:tcPr>
            <w:tcW w:w="2325" w:type="dxa"/>
          </w:tcPr>
          <w:p w14:paraId="669EE545" w14:textId="12A851C2" w:rsidR="00CC2027" w:rsidRPr="00CC2027" w:rsidRDefault="00CC2027" w:rsidP="00CC2027">
            <w:r w:rsidRPr="00CC2027">
              <w:rPr>
                <w:bCs/>
              </w:rPr>
              <w:t>често</w:t>
            </w:r>
          </w:p>
        </w:tc>
      </w:tr>
      <w:tr w:rsidR="00CC2027" w14:paraId="5875CB49" w14:textId="77777777" w:rsidTr="00CC2027">
        <w:tc>
          <w:tcPr>
            <w:tcW w:w="2568" w:type="dxa"/>
          </w:tcPr>
          <w:p w14:paraId="220D21C1" w14:textId="5E553426" w:rsidR="00CC2027" w:rsidRDefault="00CC2027" w:rsidP="00CC2027">
            <w:r>
              <w:t>Сомнолентност</w:t>
            </w:r>
          </w:p>
        </w:tc>
        <w:tc>
          <w:tcPr>
            <w:tcW w:w="2340" w:type="dxa"/>
          </w:tcPr>
          <w:p w14:paraId="6CD4B790" w14:textId="77777777" w:rsidR="00CC2027" w:rsidRDefault="00CC2027" w:rsidP="00CC2027"/>
        </w:tc>
        <w:tc>
          <w:tcPr>
            <w:tcW w:w="2343" w:type="dxa"/>
          </w:tcPr>
          <w:p w14:paraId="3792EFF9" w14:textId="05BE8A3F" w:rsidR="00CC2027" w:rsidRDefault="00CC2027" w:rsidP="00CC2027">
            <w:r>
              <w:t>Нечесто</w:t>
            </w:r>
          </w:p>
        </w:tc>
        <w:tc>
          <w:tcPr>
            <w:tcW w:w="2325" w:type="dxa"/>
          </w:tcPr>
          <w:p w14:paraId="1B0CE339" w14:textId="77777777" w:rsidR="00CC2027" w:rsidRPr="00CC2027" w:rsidRDefault="00CC2027" w:rsidP="00CC2027"/>
        </w:tc>
      </w:tr>
      <w:tr w:rsidR="00CC2027" w14:paraId="362C4EEB" w14:textId="77777777" w:rsidTr="00CC2027">
        <w:tc>
          <w:tcPr>
            <w:tcW w:w="2568" w:type="dxa"/>
          </w:tcPr>
          <w:p w14:paraId="3A049798" w14:textId="79CA50B3" w:rsidR="00CC2027" w:rsidRDefault="00CC2027" w:rsidP="00CC2027">
            <w:r>
              <w:t>Дисгезия</w:t>
            </w:r>
          </w:p>
        </w:tc>
        <w:tc>
          <w:tcPr>
            <w:tcW w:w="2340" w:type="dxa"/>
          </w:tcPr>
          <w:p w14:paraId="5D388785" w14:textId="77777777" w:rsidR="00CC2027" w:rsidRDefault="00CC2027" w:rsidP="00CC2027"/>
        </w:tc>
        <w:tc>
          <w:tcPr>
            <w:tcW w:w="2343" w:type="dxa"/>
          </w:tcPr>
          <w:p w14:paraId="5CB3E955" w14:textId="6186DD9C" w:rsidR="00CC2027" w:rsidRDefault="00CC2027" w:rsidP="00CC2027">
            <w:r>
              <w:t>Нечесто</w:t>
            </w:r>
          </w:p>
        </w:tc>
        <w:tc>
          <w:tcPr>
            <w:tcW w:w="2325" w:type="dxa"/>
          </w:tcPr>
          <w:p w14:paraId="7D0B50EB" w14:textId="77777777" w:rsidR="00CC2027" w:rsidRPr="00CC2027" w:rsidRDefault="00CC2027" w:rsidP="00CC2027"/>
        </w:tc>
      </w:tr>
      <w:tr w:rsidR="00CC2027" w14:paraId="3F9AA04C" w14:textId="77777777" w:rsidTr="00CC2027">
        <w:tc>
          <w:tcPr>
            <w:tcW w:w="2568" w:type="dxa"/>
          </w:tcPr>
          <w:p w14:paraId="5CDC5779" w14:textId="0DF089CF" w:rsidR="00CC2027" w:rsidRDefault="00CC2027" w:rsidP="00CC2027">
            <w:r>
              <w:t>Главоболие</w:t>
            </w:r>
          </w:p>
        </w:tc>
        <w:tc>
          <w:tcPr>
            <w:tcW w:w="2340" w:type="dxa"/>
          </w:tcPr>
          <w:p w14:paraId="0C14AF73" w14:textId="77777777" w:rsidR="00CC2027" w:rsidRDefault="00CC2027" w:rsidP="00CC2027"/>
        </w:tc>
        <w:tc>
          <w:tcPr>
            <w:tcW w:w="2343" w:type="dxa"/>
          </w:tcPr>
          <w:p w14:paraId="109B973C" w14:textId="5FE37F66" w:rsidR="00CC2027" w:rsidRDefault="00CC2027" w:rsidP="00CC2027">
            <w:r>
              <w:t>Рядко*</w:t>
            </w:r>
          </w:p>
        </w:tc>
        <w:tc>
          <w:tcPr>
            <w:tcW w:w="2325" w:type="dxa"/>
          </w:tcPr>
          <w:p w14:paraId="3C05A513" w14:textId="359B448C" w:rsidR="00CC2027" w:rsidRPr="00CC2027" w:rsidRDefault="00CC2027" w:rsidP="00CC2027">
            <w:r w:rsidRPr="00CC2027">
              <w:rPr>
                <w:bCs/>
              </w:rPr>
              <w:t>Нечесто</w:t>
            </w:r>
          </w:p>
        </w:tc>
      </w:tr>
      <w:tr w:rsidR="00CC2027" w14:paraId="568919B5" w14:textId="77777777" w:rsidTr="00CC2027">
        <w:tc>
          <w:tcPr>
            <w:tcW w:w="2568" w:type="dxa"/>
            <w:vAlign w:val="bottom"/>
          </w:tcPr>
          <w:p w14:paraId="2A0447A5" w14:textId="09D89066" w:rsidR="00CC2027" w:rsidRDefault="00CC2027" w:rsidP="00CC2027">
            <w:r>
              <w:t>Синкоп</w:t>
            </w:r>
          </w:p>
        </w:tc>
        <w:tc>
          <w:tcPr>
            <w:tcW w:w="2340" w:type="dxa"/>
          </w:tcPr>
          <w:p w14:paraId="013D5C16" w14:textId="77777777" w:rsidR="00CC2027" w:rsidRDefault="00CC2027" w:rsidP="00CC2027"/>
        </w:tc>
        <w:tc>
          <w:tcPr>
            <w:tcW w:w="2343" w:type="dxa"/>
          </w:tcPr>
          <w:p w14:paraId="2A0274FC" w14:textId="77777777" w:rsidR="00CC2027" w:rsidRDefault="00CC2027" w:rsidP="00CC2027"/>
        </w:tc>
        <w:tc>
          <w:tcPr>
            <w:tcW w:w="2325" w:type="dxa"/>
            <w:vAlign w:val="bottom"/>
          </w:tcPr>
          <w:p w14:paraId="3B4EBBD8" w14:textId="54284ABB" w:rsidR="00CC2027" w:rsidRDefault="00CC2027" w:rsidP="00CC2027">
            <w:r>
              <w:t>Рядко</w:t>
            </w:r>
          </w:p>
        </w:tc>
      </w:tr>
      <w:tr w:rsidR="00CC2027" w14:paraId="22148204" w14:textId="77777777" w:rsidTr="00CC2027">
        <w:tc>
          <w:tcPr>
            <w:tcW w:w="9576" w:type="dxa"/>
            <w:gridSpan w:val="4"/>
          </w:tcPr>
          <w:p w14:paraId="79CF559E" w14:textId="3825C4F8" w:rsidR="00CC2027" w:rsidRPr="00CC2027" w:rsidRDefault="00CC2027" w:rsidP="00CC2027">
            <w:pPr>
              <w:rPr>
                <w:b/>
              </w:rPr>
            </w:pPr>
            <w:r w:rsidRPr="00CC2027">
              <w:rPr>
                <w:b/>
              </w:rPr>
              <w:t>Нарушения на очите</w:t>
            </w:r>
          </w:p>
        </w:tc>
      </w:tr>
      <w:tr w:rsidR="00CC2027" w14:paraId="0D4E00AA" w14:textId="77777777" w:rsidTr="00CC2027">
        <w:tc>
          <w:tcPr>
            <w:tcW w:w="2568" w:type="dxa"/>
          </w:tcPr>
          <w:p w14:paraId="07CC916C" w14:textId="0052A44F" w:rsidR="00CC2027" w:rsidRDefault="00CC2027" w:rsidP="00CC2027">
            <w:r>
              <w:t>Замъглено зрение</w:t>
            </w:r>
          </w:p>
        </w:tc>
        <w:tc>
          <w:tcPr>
            <w:tcW w:w="2340" w:type="dxa"/>
          </w:tcPr>
          <w:p w14:paraId="4DF39807" w14:textId="7D7626B7" w:rsidR="00CC2027" w:rsidRDefault="00CC2027" w:rsidP="00CC2027">
            <w:r>
              <w:t>Често</w:t>
            </w:r>
          </w:p>
        </w:tc>
        <w:tc>
          <w:tcPr>
            <w:tcW w:w="2343" w:type="dxa"/>
          </w:tcPr>
          <w:p w14:paraId="151C1C70" w14:textId="38B82747" w:rsidR="00CC2027" w:rsidRDefault="00CC2027" w:rsidP="00CC2027">
            <w:r>
              <w:t>Често</w:t>
            </w:r>
          </w:p>
        </w:tc>
        <w:tc>
          <w:tcPr>
            <w:tcW w:w="2325" w:type="dxa"/>
            <w:vAlign w:val="bottom"/>
          </w:tcPr>
          <w:p w14:paraId="727BAAA2" w14:textId="0BC7AD22" w:rsidR="00CC2027" w:rsidRDefault="00CC2027" w:rsidP="00CC2027">
            <w:r>
              <w:t>С неизвестна честота*</w:t>
            </w:r>
          </w:p>
        </w:tc>
      </w:tr>
      <w:tr w:rsidR="00CC2027" w14:paraId="0CA830D1" w14:textId="77777777" w:rsidTr="00CC2027">
        <w:tc>
          <w:tcPr>
            <w:tcW w:w="2568" w:type="dxa"/>
            <w:vAlign w:val="bottom"/>
          </w:tcPr>
          <w:p w14:paraId="047C3E52" w14:textId="064998C5" w:rsidR="00CC2027" w:rsidRDefault="00CC2027" w:rsidP="00CC2027">
            <w:r>
              <w:t>Интраоперативен Флопи Ирис Синдром (ИФИС)</w:t>
            </w:r>
          </w:p>
        </w:tc>
        <w:tc>
          <w:tcPr>
            <w:tcW w:w="2340" w:type="dxa"/>
          </w:tcPr>
          <w:p w14:paraId="2D6F8AFC" w14:textId="77777777" w:rsidR="00CC2027" w:rsidRDefault="00CC2027" w:rsidP="00CC2027"/>
        </w:tc>
        <w:tc>
          <w:tcPr>
            <w:tcW w:w="2343" w:type="dxa"/>
          </w:tcPr>
          <w:p w14:paraId="2B33AC0E" w14:textId="77777777" w:rsidR="00CC2027" w:rsidRDefault="00CC2027" w:rsidP="00CC2027"/>
        </w:tc>
        <w:tc>
          <w:tcPr>
            <w:tcW w:w="2325" w:type="dxa"/>
            <w:vAlign w:val="bottom"/>
          </w:tcPr>
          <w:p w14:paraId="785C6C00" w14:textId="50765F82" w:rsidR="00CC2027" w:rsidRDefault="00CC2027" w:rsidP="00CC2027">
            <w:r>
              <w:t>С неизвестна честота**</w:t>
            </w:r>
          </w:p>
        </w:tc>
      </w:tr>
      <w:tr w:rsidR="00CC2027" w14:paraId="4A95DE9B" w14:textId="77777777" w:rsidTr="00CC2027">
        <w:tc>
          <w:tcPr>
            <w:tcW w:w="2568" w:type="dxa"/>
            <w:vAlign w:val="bottom"/>
          </w:tcPr>
          <w:p w14:paraId="2B657C4C" w14:textId="683AE2EE" w:rsidR="00CC2027" w:rsidRDefault="00CC2027" w:rsidP="00CC2027">
            <w:r>
              <w:t>Сухота в очите</w:t>
            </w:r>
          </w:p>
        </w:tc>
        <w:tc>
          <w:tcPr>
            <w:tcW w:w="2340" w:type="dxa"/>
          </w:tcPr>
          <w:p w14:paraId="6F5E3630" w14:textId="77777777" w:rsidR="00CC2027" w:rsidRDefault="00CC2027" w:rsidP="00CC2027"/>
        </w:tc>
        <w:tc>
          <w:tcPr>
            <w:tcW w:w="2343" w:type="dxa"/>
            <w:vAlign w:val="bottom"/>
          </w:tcPr>
          <w:p w14:paraId="0C51D3B0" w14:textId="3620A319" w:rsidR="00CC2027" w:rsidRDefault="00CC2027" w:rsidP="00CC2027">
            <w:r>
              <w:t>Нечесто</w:t>
            </w:r>
          </w:p>
        </w:tc>
        <w:tc>
          <w:tcPr>
            <w:tcW w:w="2325" w:type="dxa"/>
          </w:tcPr>
          <w:p w14:paraId="3A32D158" w14:textId="77777777" w:rsidR="00CC2027" w:rsidRDefault="00CC2027" w:rsidP="00CC2027"/>
        </w:tc>
      </w:tr>
      <w:tr w:rsidR="00CC2027" w14:paraId="5EA9DFCA" w14:textId="77777777" w:rsidTr="00CC2027">
        <w:tc>
          <w:tcPr>
            <w:tcW w:w="2568" w:type="dxa"/>
          </w:tcPr>
          <w:p w14:paraId="7289BEA4" w14:textId="1D1DB95F" w:rsidR="00CC2027" w:rsidRDefault="00CC2027" w:rsidP="00CC2027">
            <w:r>
              <w:t>Глаукома</w:t>
            </w:r>
          </w:p>
        </w:tc>
        <w:tc>
          <w:tcPr>
            <w:tcW w:w="2340" w:type="dxa"/>
          </w:tcPr>
          <w:p w14:paraId="29638DB8" w14:textId="77777777" w:rsidR="00CC2027" w:rsidRDefault="00CC2027" w:rsidP="00CC2027"/>
        </w:tc>
        <w:tc>
          <w:tcPr>
            <w:tcW w:w="2343" w:type="dxa"/>
            <w:vAlign w:val="bottom"/>
          </w:tcPr>
          <w:p w14:paraId="6B40944C" w14:textId="185D2956" w:rsidR="00CC2027" w:rsidRDefault="00CC2027" w:rsidP="00CC2027">
            <w:r>
              <w:t>С неизвестна честота*</w:t>
            </w:r>
          </w:p>
        </w:tc>
        <w:tc>
          <w:tcPr>
            <w:tcW w:w="2325" w:type="dxa"/>
          </w:tcPr>
          <w:p w14:paraId="27861A40" w14:textId="77777777" w:rsidR="00CC2027" w:rsidRDefault="00CC2027" w:rsidP="00CC2027"/>
        </w:tc>
      </w:tr>
      <w:tr w:rsidR="00CC2027" w14:paraId="0276AC6C" w14:textId="77777777" w:rsidTr="00CC2027">
        <w:tc>
          <w:tcPr>
            <w:tcW w:w="2568" w:type="dxa"/>
          </w:tcPr>
          <w:p w14:paraId="35FB40B8" w14:textId="49078815" w:rsidR="00CC2027" w:rsidRDefault="00CC2027" w:rsidP="00CC2027">
            <w:r>
              <w:t>Зрителни нарушения</w:t>
            </w:r>
          </w:p>
        </w:tc>
        <w:tc>
          <w:tcPr>
            <w:tcW w:w="2340" w:type="dxa"/>
          </w:tcPr>
          <w:p w14:paraId="02EEA1BF" w14:textId="77777777" w:rsidR="00CC2027" w:rsidRDefault="00CC2027" w:rsidP="00CC2027"/>
        </w:tc>
        <w:tc>
          <w:tcPr>
            <w:tcW w:w="2343" w:type="dxa"/>
          </w:tcPr>
          <w:p w14:paraId="17BFDA21" w14:textId="77777777" w:rsidR="00CC2027" w:rsidRDefault="00CC2027" w:rsidP="00CC2027"/>
        </w:tc>
        <w:tc>
          <w:tcPr>
            <w:tcW w:w="2325" w:type="dxa"/>
            <w:vAlign w:val="bottom"/>
          </w:tcPr>
          <w:p w14:paraId="361FF13E" w14:textId="40FC5E2D" w:rsidR="00CC2027" w:rsidRDefault="00CC2027" w:rsidP="00CC2027">
            <w:r>
              <w:t>С неизвестна честота*</w:t>
            </w:r>
          </w:p>
        </w:tc>
      </w:tr>
      <w:tr w:rsidR="00CC2027" w14:paraId="0DC830B7" w14:textId="77777777" w:rsidTr="00CC2027">
        <w:tc>
          <w:tcPr>
            <w:tcW w:w="9576" w:type="dxa"/>
            <w:gridSpan w:val="4"/>
          </w:tcPr>
          <w:p w14:paraId="44B27891" w14:textId="3A50A117" w:rsidR="00CC2027" w:rsidRPr="00CC2027" w:rsidRDefault="00CC2027" w:rsidP="00CC2027">
            <w:pPr>
              <w:rPr>
                <w:b/>
              </w:rPr>
            </w:pPr>
            <w:r w:rsidRPr="00CC2027">
              <w:rPr>
                <w:b/>
              </w:rPr>
              <w:t>Сърдечни нарушения</w:t>
            </w:r>
          </w:p>
        </w:tc>
      </w:tr>
      <w:tr w:rsidR="00CC2027" w14:paraId="3C74BDF8" w14:textId="77777777" w:rsidTr="00CC2027">
        <w:tc>
          <w:tcPr>
            <w:tcW w:w="2568" w:type="dxa"/>
          </w:tcPr>
          <w:p w14:paraId="54018E62" w14:textId="79754A1D" w:rsidR="00CC2027" w:rsidRDefault="00CC2027" w:rsidP="00CC2027">
            <w:r>
              <w:t>Палпитации</w:t>
            </w:r>
          </w:p>
        </w:tc>
        <w:tc>
          <w:tcPr>
            <w:tcW w:w="2340" w:type="dxa"/>
          </w:tcPr>
          <w:p w14:paraId="5AC01E64" w14:textId="77777777" w:rsidR="00CC2027" w:rsidRDefault="00CC2027" w:rsidP="00CC2027"/>
        </w:tc>
        <w:tc>
          <w:tcPr>
            <w:tcW w:w="2343" w:type="dxa"/>
            <w:vAlign w:val="bottom"/>
          </w:tcPr>
          <w:p w14:paraId="175AC589" w14:textId="23A94621" w:rsidR="00CC2027" w:rsidRDefault="00CC2027" w:rsidP="00CC2027">
            <w:r>
              <w:t>С неизвестна честота*</w:t>
            </w:r>
          </w:p>
        </w:tc>
        <w:tc>
          <w:tcPr>
            <w:tcW w:w="2325" w:type="dxa"/>
          </w:tcPr>
          <w:p w14:paraId="1058DF21" w14:textId="2FF422C0" w:rsidR="00CC2027" w:rsidRDefault="00CC2027" w:rsidP="00CC2027">
            <w:r>
              <w:t>Нечесто</w:t>
            </w:r>
          </w:p>
        </w:tc>
      </w:tr>
      <w:tr w:rsidR="00CC2027" w14:paraId="639A5152" w14:textId="77777777" w:rsidTr="00CC2027">
        <w:tc>
          <w:tcPr>
            <w:tcW w:w="2568" w:type="dxa"/>
          </w:tcPr>
          <w:p w14:paraId="65A8A9C9" w14:textId="43E5F385" w:rsidR="00CC2027" w:rsidRDefault="00CC2027" w:rsidP="00CC2027">
            <w:r>
              <w:rPr>
                <w:lang w:val="en-US"/>
              </w:rPr>
              <w:t>Torsade de Pointes</w:t>
            </w:r>
          </w:p>
        </w:tc>
        <w:tc>
          <w:tcPr>
            <w:tcW w:w="2340" w:type="dxa"/>
          </w:tcPr>
          <w:p w14:paraId="128663EE" w14:textId="77777777" w:rsidR="00CC2027" w:rsidRDefault="00CC2027" w:rsidP="00CC2027"/>
        </w:tc>
        <w:tc>
          <w:tcPr>
            <w:tcW w:w="2343" w:type="dxa"/>
            <w:vAlign w:val="bottom"/>
          </w:tcPr>
          <w:p w14:paraId="48B4681E" w14:textId="67BC1200" w:rsidR="00CC2027" w:rsidRDefault="00CC2027" w:rsidP="00CC2027">
            <w:r>
              <w:t>С неизвестна честота*</w:t>
            </w:r>
          </w:p>
        </w:tc>
        <w:tc>
          <w:tcPr>
            <w:tcW w:w="2325" w:type="dxa"/>
          </w:tcPr>
          <w:p w14:paraId="4C0B2BC0" w14:textId="77777777" w:rsidR="00CC2027" w:rsidRDefault="00CC2027" w:rsidP="00CC2027"/>
        </w:tc>
      </w:tr>
      <w:tr w:rsidR="00CC2027" w14:paraId="6E9E2168" w14:textId="77777777" w:rsidTr="00CC2027">
        <w:tc>
          <w:tcPr>
            <w:tcW w:w="2568" w:type="dxa"/>
            <w:vAlign w:val="bottom"/>
          </w:tcPr>
          <w:p w14:paraId="322E9832" w14:textId="350B7E4A" w:rsidR="00CC2027" w:rsidRDefault="00CC2027" w:rsidP="00CC2027">
            <w:r>
              <w:rPr>
                <w:lang w:val="en-US"/>
              </w:rPr>
              <w:t xml:space="preserve">QT </w:t>
            </w:r>
            <w:r>
              <w:t>удължаване в електрокардиограмата</w:t>
            </w:r>
          </w:p>
        </w:tc>
        <w:tc>
          <w:tcPr>
            <w:tcW w:w="2340" w:type="dxa"/>
          </w:tcPr>
          <w:p w14:paraId="40919519" w14:textId="77777777" w:rsidR="00CC2027" w:rsidRDefault="00CC2027" w:rsidP="00CC2027"/>
        </w:tc>
        <w:tc>
          <w:tcPr>
            <w:tcW w:w="2343" w:type="dxa"/>
            <w:vAlign w:val="bottom"/>
          </w:tcPr>
          <w:p w14:paraId="2C11BF3E" w14:textId="14F8B321" w:rsidR="00CC2027" w:rsidRDefault="00CC2027" w:rsidP="00CC2027">
            <w:r>
              <w:t>С неизвестна честота*</w:t>
            </w:r>
          </w:p>
        </w:tc>
        <w:tc>
          <w:tcPr>
            <w:tcW w:w="2325" w:type="dxa"/>
          </w:tcPr>
          <w:p w14:paraId="3FE27B39" w14:textId="77777777" w:rsidR="00CC2027" w:rsidRDefault="00CC2027" w:rsidP="00CC2027"/>
        </w:tc>
      </w:tr>
      <w:tr w:rsidR="00CC2027" w14:paraId="06698783" w14:textId="77777777" w:rsidTr="00CC2027">
        <w:tc>
          <w:tcPr>
            <w:tcW w:w="2568" w:type="dxa"/>
          </w:tcPr>
          <w:p w14:paraId="43747B9B" w14:textId="23FCAF17" w:rsidR="00CC2027" w:rsidRDefault="00CC2027" w:rsidP="00CC2027">
            <w:r>
              <w:t>Предсърдно мъждене</w:t>
            </w:r>
          </w:p>
        </w:tc>
        <w:tc>
          <w:tcPr>
            <w:tcW w:w="2340" w:type="dxa"/>
          </w:tcPr>
          <w:p w14:paraId="66B6C7A4" w14:textId="77777777" w:rsidR="00CC2027" w:rsidRDefault="00CC2027" w:rsidP="00CC2027"/>
        </w:tc>
        <w:tc>
          <w:tcPr>
            <w:tcW w:w="2343" w:type="dxa"/>
            <w:vAlign w:val="bottom"/>
          </w:tcPr>
          <w:p w14:paraId="0D15D2B8" w14:textId="2FD5BE61" w:rsidR="00CC2027" w:rsidRDefault="00CC2027" w:rsidP="00CC2027">
            <w:r>
              <w:t>С неизвестна честота*</w:t>
            </w:r>
          </w:p>
        </w:tc>
        <w:tc>
          <w:tcPr>
            <w:tcW w:w="2325" w:type="dxa"/>
            <w:vAlign w:val="bottom"/>
          </w:tcPr>
          <w:p w14:paraId="1941A527" w14:textId="35F54B7B" w:rsidR="00CC2027" w:rsidRDefault="00CC2027" w:rsidP="00CC2027">
            <w:r>
              <w:t>С неизвестна честота*</w:t>
            </w:r>
          </w:p>
        </w:tc>
      </w:tr>
      <w:tr w:rsidR="00CC2027" w14:paraId="63A24B10" w14:textId="77777777" w:rsidTr="00CC2027">
        <w:tc>
          <w:tcPr>
            <w:tcW w:w="2568" w:type="dxa"/>
          </w:tcPr>
          <w:p w14:paraId="198064DD" w14:textId="1E5D8906" w:rsidR="00CC2027" w:rsidRDefault="00CC2027" w:rsidP="00CC2027">
            <w:r>
              <w:t>Аритмия</w:t>
            </w:r>
          </w:p>
        </w:tc>
        <w:tc>
          <w:tcPr>
            <w:tcW w:w="2340" w:type="dxa"/>
          </w:tcPr>
          <w:p w14:paraId="6DAA3591" w14:textId="77777777" w:rsidR="00CC2027" w:rsidRDefault="00CC2027" w:rsidP="00CC2027"/>
        </w:tc>
        <w:tc>
          <w:tcPr>
            <w:tcW w:w="2343" w:type="dxa"/>
          </w:tcPr>
          <w:p w14:paraId="35D6003A" w14:textId="77777777" w:rsidR="00CC2027" w:rsidRDefault="00CC2027" w:rsidP="00CC2027"/>
        </w:tc>
        <w:tc>
          <w:tcPr>
            <w:tcW w:w="2325" w:type="dxa"/>
            <w:vAlign w:val="bottom"/>
          </w:tcPr>
          <w:p w14:paraId="6DD370FB" w14:textId="055E6EC5" w:rsidR="00CC2027" w:rsidRDefault="00CC2027" w:rsidP="00CC2027">
            <w:r>
              <w:t>С неизвестна честота*</w:t>
            </w:r>
          </w:p>
        </w:tc>
      </w:tr>
      <w:tr w:rsidR="00CC2027" w14:paraId="435A338F" w14:textId="77777777" w:rsidTr="00CC2027">
        <w:tc>
          <w:tcPr>
            <w:tcW w:w="2568" w:type="dxa"/>
          </w:tcPr>
          <w:p w14:paraId="642684A5" w14:textId="12CC28E7" w:rsidR="00CC2027" w:rsidRDefault="00CC2027" w:rsidP="00CC2027">
            <w:r>
              <w:t>Тахикардия</w:t>
            </w:r>
          </w:p>
        </w:tc>
        <w:tc>
          <w:tcPr>
            <w:tcW w:w="2340" w:type="dxa"/>
          </w:tcPr>
          <w:p w14:paraId="34BB93FF" w14:textId="77777777" w:rsidR="00CC2027" w:rsidRDefault="00CC2027" w:rsidP="00CC2027"/>
        </w:tc>
        <w:tc>
          <w:tcPr>
            <w:tcW w:w="2343" w:type="dxa"/>
            <w:vAlign w:val="bottom"/>
          </w:tcPr>
          <w:p w14:paraId="1B296040" w14:textId="3D49D546" w:rsidR="00CC2027" w:rsidRDefault="00CC2027" w:rsidP="00CC2027">
            <w:r>
              <w:t>С неизвестна честота*</w:t>
            </w:r>
          </w:p>
        </w:tc>
        <w:tc>
          <w:tcPr>
            <w:tcW w:w="2325" w:type="dxa"/>
            <w:vAlign w:val="bottom"/>
          </w:tcPr>
          <w:p w14:paraId="1D5E3D16" w14:textId="5487B07A" w:rsidR="00CC2027" w:rsidRDefault="00CC2027" w:rsidP="00CC2027">
            <w:r>
              <w:t>С неизвестна честота*</w:t>
            </w:r>
          </w:p>
        </w:tc>
      </w:tr>
      <w:tr w:rsidR="00CC2027" w14:paraId="3080A425" w14:textId="77777777" w:rsidTr="00CC2027">
        <w:tc>
          <w:tcPr>
            <w:tcW w:w="9576" w:type="dxa"/>
            <w:gridSpan w:val="4"/>
          </w:tcPr>
          <w:p w14:paraId="43370326" w14:textId="1927A3E1" w:rsidR="00CC2027" w:rsidRPr="00CC2027" w:rsidRDefault="00CC2027" w:rsidP="00CC2027">
            <w:pPr>
              <w:rPr>
                <w:b/>
              </w:rPr>
            </w:pPr>
            <w:r w:rsidRPr="00CC2027">
              <w:rPr>
                <w:b/>
              </w:rPr>
              <w:t>Съдови нарушения</w:t>
            </w:r>
          </w:p>
        </w:tc>
      </w:tr>
      <w:tr w:rsidR="00CC2027" w14:paraId="5506EDE3" w14:textId="77777777" w:rsidTr="00CC2027">
        <w:tc>
          <w:tcPr>
            <w:tcW w:w="2568" w:type="dxa"/>
            <w:vAlign w:val="bottom"/>
          </w:tcPr>
          <w:p w14:paraId="5225E307" w14:textId="269B85CB" w:rsidR="00CC2027" w:rsidRDefault="00CC2027" w:rsidP="00CC2027">
            <w:r>
              <w:t>Ортостатична хипотония</w:t>
            </w:r>
          </w:p>
        </w:tc>
        <w:tc>
          <w:tcPr>
            <w:tcW w:w="2340" w:type="dxa"/>
          </w:tcPr>
          <w:p w14:paraId="1283573E" w14:textId="77777777" w:rsidR="00CC2027" w:rsidRDefault="00CC2027" w:rsidP="00CC2027"/>
        </w:tc>
        <w:tc>
          <w:tcPr>
            <w:tcW w:w="2343" w:type="dxa"/>
          </w:tcPr>
          <w:p w14:paraId="53B694E1" w14:textId="77777777" w:rsidR="00CC2027" w:rsidRDefault="00CC2027" w:rsidP="00CC2027"/>
        </w:tc>
        <w:tc>
          <w:tcPr>
            <w:tcW w:w="2325" w:type="dxa"/>
            <w:vAlign w:val="bottom"/>
          </w:tcPr>
          <w:p w14:paraId="1E7A4DCA" w14:textId="37688534" w:rsidR="00CC2027" w:rsidRDefault="00CC2027" w:rsidP="00CC2027">
            <w:r>
              <w:t>Нечесто</w:t>
            </w:r>
          </w:p>
        </w:tc>
      </w:tr>
      <w:tr w:rsidR="00CC2027" w14:paraId="70C393A2" w14:textId="77777777" w:rsidTr="00CC2027">
        <w:tc>
          <w:tcPr>
            <w:tcW w:w="9576" w:type="dxa"/>
            <w:gridSpan w:val="4"/>
          </w:tcPr>
          <w:p w14:paraId="4082B0C0" w14:textId="760FAECE" w:rsidR="00CC2027" w:rsidRPr="00CC2027" w:rsidRDefault="00CC2027" w:rsidP="00CC2027">
            <w:pPr>
              <w:rPr>
                <w:b/>
              </w:rPr>
            </w:pPr>
            <w:r w:rsidRPr="00CC2027">
              <w:rPr>
                <w:b/>
              </w:rPr>
              <w:t>Респираторни, гръдни и медиастинални нарушения</w:t>
            </w:r>
          </w:p>
        </w:tc>
      </w:tr>
      <w:tr w:rsidR="00CC2027" w14:paraId="150EE4D3" w14:textId="77777777" w:rsidTr="00CC2027">
        <w:tc>
          <w:tcPr>
            <w:tcW w:w="2568" w:type="dxa"/>
            <w:vAlign w:val="bottom"/>
          </w:tcPr>
          <w:p w14:paraId="1A039E8C" w14:textId="23137A2C" w:rsidR="00CC2027" w:rsidRDefault="00CC2027" w:rsidP="00CC2027">
            <w:r>
              <w:t>Ринит</w:t>
            </w:r>
          </w:p>
        </w:tc>
        <w:tc>
          <w:tcPr>
            <w:tcW w:w="2340" w:type="dxa"/>
          </w:tcPr>
          <w:p w14:paraId="17E61B88" w14:textId="77777777" w:rsidR="00CC2027" w:rsidRDefault="00CC2027" w:rsidP="00CC2027"/>
        </w:tc>
        <w:tc>
          <w:tcPr>
            <w:tcW w:w="2343" w:type="dxa"/>
          </w:tcPr>
          <w:p w14:paraId="71BAEC7F" w14:textId="77777777" w:rsidR="00CC2027" w:rsidRDefault="00CC2027" w:rsidP="00CC2027"/>
        </w:tc>
        <w:tc>
          <w:tcPr>
            <w:tcW w:w="2325" w:type="dxa"/>
            <w:vAlign w:val="bottom"/>
          </w:tcPr>
          <w:p w14:paraId="2B0FB7E7" w14:textId="3D42ADB8" w:rsidR="00CC2027" w:rsidRDefault="00CC2027" w:rsidP="00CC2027">
            <w:r>
              <w:t>Нечесто</w:t>
            </w:r>
          </w:p>
        </w:tc>
      </w:tr>
      <w:tr w:rsidR="00CC2027" w14:paraId="6C4EF7E6" w14:textId="77777777" w:rsidTr="00CC2027">
        <w:tc>
          <w:tcPr>
            <w:tcW w:w="2568" w:type="dxa"/>
            <w:vAlign w:val="bottom"/>
          </w:tcPr>
          <w:p w14:paraId="776D2633" w14:textId="420F4D7A" w:rsidR="00CC2027" w:rsidRDefault="00CC2027" w:rsidP="00CC2027">
            <w:r>
              <w:t>Сухота в носа</w:t>
            </w:r>
          </w:p>
        </w:tc>
        <w:tc>
          <w:tcPr>
            <w:tcW w:w="2340" w:type="dxa"/>
          </w:tcPr>
          <w:p w14:paraId="315F7188" w14:textId="77777777" w:rsidR="00CC2027" w:rsidRDefault="00CC2027" w:rsidP="00CC2027"/>
        </w:tc>
        <w:tc>
          <w:tcPr>
            <w:tcW w:w="2343" w:type="dxa"/>
            <w:vAlign w:val="bottom"/>
          </w:tcPr>
          <w:p w14:paraId="359343C0" w14:textId="601C0ECB" w:rsidR="00CC2027" w:rsidRDefault="00CC2027" w:rsidP="00CC2027">
            <w:r>
              <w:t>Нечесто</w:t>
            </w:r>
          </w:p>
        </w:tc>
        <w:tc>
          <w:tcPr>
            <w:tcW w:w="2325" w:type="dxa"/>
          </w:tcPr>
          <w:p w14:paraId="6D9AF251" w14:textId="77777777" w:rsidR="00CC2027" w:rsidRDefault="00CC2027" w:rsidP="00CC2027"/>
        </w:tc>
      </w:tr>
      <w:tr w:rsidR="00CC2027" w14:paraId="5B112BC2" w14:textId="77777777" w:rsidTr="00CC2027">
        <w:tc>
          <w:tcPr>
            <w:tcW w:w="2568" w:type="dxa"/>
          </w:tcPr>
          <w:p w14:paraId="2C8910BE" w14:textId="2F707AE8" w:rsidR="00CC2027" w:rsidRDefault="00CC2027" w:rsidP="00CC2027">
            <w:r>
              <w:t>Диспнея</w:t>
            </w:r>
          </w:p>
        </w:tc>
        <w:tc>
          <w:tcPr>
            <w:tcW w:w="2340" w:type="dxa"/>
          </w:tcPr>
          <w:p w14:paraId="215408F1" w14:textId="77777777" w:rsidR="00CC2027" w:rsidRDefault="00CC2027" w:rsidP="00CC2027"/>
        </w:tc>
        <w:tc>
          <w:tcPr>
            <w:tcW w:w="2343" w:type="dxa"/>
          </w:tcPr>
          <w:p w14:paraId="2FE7B6B4" w14:textId="77777777" w:rsidR="00CC2027" w:rsidRDefault="00CC2027" w:rsidP="00CC2027"/>
        </w:tc>
        <w:tc>
          <w:tcPr>
            <w:tcW w:w="2325" w:type="dxa"/>
            <w:vAlign w:val="bottom"/>
          </w:tcPr>
          <w:p w14:paraId="6758F739" w14:textId="0927E51C" w:rsidR="00CC2027" w:rsidRDefault="00CC2027" w:rsidP="00CC2027">
            <w:r>
              <w:t>С неизвестна честота*</w:t>
            </w:r>
          </w:p>
        </w:tc>
      </w:tr>
      <w:tr w:rsidR="00CC2027" w14:paraId="55A8733C" w14:textId="77777777" w:rsidTr="00CC2027">
        <w:tc>
          <w:tcPr>
            <w:tcW w:w="2568" w:type="dxa"/>
          </w:tcPr>
          <w:p w14:paraId="3CC89A74" w14:textId="5A8D19F1" w:rsidR="00CC2027" w:rsidRDefault="00CC2027" w:rsidP="00CC2027">
            <w:r>
              <w:rPr>
                <w:b/>
                <w:bCs/>
              </w:rPr>
              <w:t>Дисфония</w:t>
            </w:r>
          </w:p>
        </w:tc>
        <w:tc>
          <w:tcPr>
            <w:tcW w:w="2340" w:type="dxa"/>
          </w:tcPr>
          <w:p w14:paraId="76DA19F9" w14:textId="77777777" w:rsidR="00CC2027" w:rsidRDefault="00CC2027" w:rsidP="00CC2027"/>
        </w:tc>
        <w:tc>
          <w:tcPr>
            <w:tcW w:w="2343" w:type="dxa"/>
            <w:vAlign w:val="bottom"/>
          </w:tcPr>
          <w:p w14:paraId="28234A63" w14:textId="72292A49" w:rsidR="00CC2027" w:rsidRDefault="00CC2027" w:rsidP="00CC2027">
            <w:r>
              <w:t>С неизвестна честота*</w:t>
            </w:r>
          </w:p>
        </w:tc>
        <w:tc>
          <w:tcPr>
            <w:tcW w:w="2325" w:type="dxa"/>
          </w:tcPr>
          <w:p w14:paraId="6CE98537" w14:textId="77777777" w:rsidR="00CC2027" w:rsidRDefault="00CC2027" w:rsidP="00CC2027"/>
        </w:tc>
      </w:tr>
      <w:tr w:rsidR="00CC2027" w14:paraId="44C33A27" w14:textId="77777777" w:rsidTr="00CC2027">
        <w:tc>
          <w:tcPr>
            <w:tcW w:w="2568" w:type="dxa"/>
          </w:tcPr>
          <w:p w14:paraId="3A59A023" w14:textId="30481666" w:rsidR="00CC2027" w:rsidRDefault="00CC2027" w:rsidP="00CC2027">
            <w:r>
              <w:lastRenderedPageBreak/>
              <w:t>Епистаксис</w:t>
            </w:r>
          </w:p>
        </w:tc>
        <w:tc>
          <w:tcPr>
            <w:tcW w:w="2340" w:type="dxa"/>
          </w:tcPr>
          <w:p w14:paraId="1B61224D" w14:textId="77777777" w:rsidR="00CC2027" w:rsidRDefault="00CC2027" w:rsidP="00CC2027"/>
        </w:tc>
        <w:tc>
          <w:tcPr>
            <w:tcW w:w="2343" w:type="dxa"/>
          </w:tcPr>
          <w:p w14:paraId="786DB7AA" w14:textId="77777777" w:rsidR="00CC2027" w:rsidRDefault="00CC2027" w:rsidP="00CC2027"/>
        </w:tc>
        <w:tc>
          <w:tcPr>
            <w:tcW w:w="2325" w:type="dxa"/>
            <w:vAlign w:val="bottom"/>
          </w:tcPr>
          <w:p w14:paraId="242BF0D7" w14:textId="589025D6" w:rsidR="00CC2027" w:rsidRDefault="00CC2027" w:rsidP="00CC2027">
            <w:r>
              <w:t>С неизвестна честота*</w:t>
            </w:r>
          </w:p>
        </w:tc>
      </w:tr>
      <w:tr w:rsidR="00CC2027" w14:paraId="457E8BC6" w14:textId="77777777" w:rsidTr="00CC2027">
        <w:tc>
          <w:tcPr>
            <w:tcW w:w="9576" w:type="dxa"/>
            <w:gridSpan w:val="4"/>
          </w:tcPr>
          <w:p w14:paraId="092E04E5" w14:textId="23BB46CB" w:rsidR="00CC2027" w:rsidRPr="00CC2027" w:rsidRDefault="00CC2027" w:rsidP="00CC2027">
            <w:pPr>
              <w:rPr>
                <w:b/>
              </w:rPr>
            </w:pPr>
            <w:r w:rsidRPr="00CC2027">
              <w:rPr>
                <w:b/>
              </w:rPr>
              <w:t>Стомашно-чревни нарушения</w:t>
            </w:r>
          </w:p>
        </w:tc>
      </w:tr>
      <w:tr w:rsidR="00CC2027" w14:paraId="2128C454" w14:textId="77777777" w:rsidTr="00CC2027">
        <w:tc>
          <w:tcPr>
            <w:tcW w:w="2568" w:type="dxa"/>
            <w:vAlign w:val="bottom"/>
          </w:tcPr>
          <w:p w14:paraId="22C508D1" w14:textId="7983A165" w:rsidR="00CC2027" w:rsidRDefault="00CC2027" w:rsidP="00CC2027">
            <w:r>
              <w:t>Сухота в устата</w:t>
            </w:r>
          </w:p>
        </w:tc>
        <w:tc>
          <w:tcPr>
            <w:tcW w:w="2340" w:type="dxa"/>
            <w:vAlign w:val="bottom"/>
          </w:tcPr>
          <w:p w14:paraId="7BF00440" w14:textId="49D39867" w:rsidR="00CC2027" w:rsidRDefault="00CC2027" w:rsidP="00CC2027">
            <w:r>
              <w:t>Често</w:t>
            </w:r>
          </w:p>
        </w:tc>
        <w:tc>
          <w:tcPr>
            <w:tcW w:w="2343" w:type="dxa"/>
            <w:vAlign w:val="bottom"/>
          </w:tcPr>
          <w:p w14:paraId="41E012A5" w14:textId="558A72DF" w:rsidR="00CC2027" w:rsidRDefault="00CC2027" w:rsidP="00CC2027">
            <w:r>
              <w:t>Много често</w:t>
            </w:r>
          </w:p>
        </w:tc>
        <w:tc>
          <w:tcPr>
            <w:tcW w:w="2325" w:type="dxa"/>
          </w:tcPr>
          <w:p w14:paraId="4C382679" w14:textId="77777777" w:rsidR="00CC2027" w:rsidRDefault="00CC2027" w:rsidP="00CC2027"/>
        </w:tc>
      </w:tr>
      <w:tr w:rsidR="00CC2027" w14:paraId="53CF82B1" w14:textId="77777777" w:rsidTr="00CC2027">
        <w:tc>
          <w:tcPr>
            <w:tcW w:w="2568" w:type="dxa"/>
            <w:vAlign w:val="bottom"/>
          </w:tcPr>
          <w:p w14:paraId="34009239" w14:textId="3B65AB7B" w:rsidR="00CC2027" w:rsidRDefault="00CC2027" w:rsidP="00CC2027">
            <w:r>
              <w:t>Диспепсия</w:t>
            </w:r>
          </w:p>
        </w:tc>
        <w:tc>
          <w:tcPr>
            <w:tcW w:w="2340" w:type="dxa"/>
            <w:vAlign w:val="bottom"/>
          </w:tcPr>
          <w:p w14:paraId="14F66808" w14:textId="467058B0" w:rsidR="00CC2027" w:rsidRDefault="00CC2027" w:rsidP="00CC2027">
            <w:r>
              <w:t>Често</w:t>
            </w:r>
          </w:p>
        </w:tc>
        <w:tc>
          <w:tcPr>
            <w:tcW w:w="2343" w:type="dxa"/>
            <w:vAlign w:val="bottom"/>
          </w:tcPr>
          <w:p w14:paraId="4C01ADC8" w14:textId="5F072AF5" w:rsidR="00CC2027" w:rsidRDefault="00CC2027" w:rsidP="00CC2027">
            <w:r>
              <w:t>Често</w:t>
            </w:r>
          </w:p>
        </w:tc>
        <w:tc>
          <w:tcPr>
            <w:tcW w:w="2325" w:type="dxa"/>
          </w:tcPr>
          <w:p w14:paraId="7774B84E" w14:textId="77777777" w:rsidR="00CC2027" w:rsidRDefault="00CC2027" w:rsidP="00CC2027"/>
        </w:tc>
      </w:tr>
      <w:tr w:rsidR="00CC2027" w14:paraId="2C07296E" w14:textId="77777777" w:rsidTr="00CC2027">
        <w:tc>
          <w:tcPr>
            <w:tcW w:w="2568" w:type="dxa"/>
            <w:vAlign w:val="bottom"/>
          </w:tcPr>
          <w:p w14:paraId="5AD5B1F7" w14:textId="3107DCBC" w:rsidR="00CC2027" w:rsidRDefault="00CC2027" w:rsidP="00CC2027">
            <w:r>
              <w:t>Запек</w:t>
            </w:r>
          </w:p>
        </w:tc>
        <w:tc>
          <w:tcPr>
            <w:tcW w:w="2340" w:type="dxa"/>
            <w:vAlign w:val="bottom"/>
          </w:tcPr>
          <w:p w14:paraId="53193FA0" w14:textId="15ABE913" w:rsidR="00CC2027" w:rsidRDefault="00CC2027" w:rsidP="00CC2027">
            <w:r>
              <w:t>Често</w:t>
            </w:r>
          </w:p>
        </w:tc>
        <w:tc>
          <w:tcPr>
            <w:tcW w:w="2343" w:type="dxa"/>
            <w:vAlign w:val="bottom"/>
          </w:tcPr>
          <w:p w14:paraId="0AAAB060" w14:textId="7F192A08" w:rsidR="00CC2027" w:rsidRDefault="00CC2027" w:rsidP="00CC2027">
            <w:r>
              <w:t>Често</w:t>
            </w:r>
          </w:p>
        </w:tc>
        <w:tc>
          <w:tcPr>
            <w:tcW w:w="2325" w:type="dxa"/>
            <w:vAlign w:val="bottom"/>
          </w:tcPr>
          <w:p w14:paraId="513CFEC8" w14:textId="036E7497" w:rsidR="00CC2027" w:rsidRDefault="00CC2027" w:rsidP="00CC2027">
            <w:r>
              <w:t>Нечесто</w:t>
            </w:r>
          </w:p>
        </w:tc>
      </w:tr>
      <w:tr w:rsidR="00CC2027" w14:paraId="2583F770" w14:textId="77777777" w:rsidTr="00CC2027">
        <w:tc>
          <w:tcPr>
            <w:tcW w:w="2568" w:type="dxa"/>
            <w:vAlign w:val="bottom"/>
          </w:tcPr>
          <w:p w14:paraId="29CD3495" w14:textId="3F7B65C0" w:rsidR="00CC2027" w:rsidRDefault="00CC2027" w:rsidP="00CC2027">
            <w:r>
              <w:t>Гадене</w:t>
            </w:r>
          </w:p>
        </w:tc>
        <w:tc>
          <w:tcPr>
            <w:tcW w:w="2340" w:type="dxa"/>
          </w:tcPr>
          <w:p w14:paraId="406706E1" w14:textId="77777777" w:rsidR="00CC2027" w:rsidRDefault="00CC2027" w:rsidP="00CC2027"/>
        </w:tc>
        <w:tc>
          <w:tcPr>
            <w:tcW w:w="2343" w:type="dxa"/>
            <w:vAlign w:val="bottom"/>
          </w:tcPr>
          <w:p w14:paraId="4B7FBBE8" w14:textId="7BFB469F" w:rsidR="00CC2027" w:rsidRDefault="00CC2027" w:rsidP="00CC2027">
            <w:r>
              <w:t>Често</w:t>
            </w:r>
          </w:p>
        </w:tc>
        <w:tc>
          <w:tcPr>
            <w:tcW w:w="2325" w:type="dxa"/>
            <w:vAlign w:val="bottom"/>
          </w:tcPr>
          <w:p w14:paraId="7E5888C5" w14:textId="71D133BA" w:rsidR="00CC2027" w:rsidRDefault="00CC2027" w:rsidP="00CC2027">
            <w:r>
              <w:t>Нечесто</w:t>
            </w:r>
          </w:p>
        </w:tc>
      </w:tr>
      <w:tr w:rsidR="00CC2027" w14:paraId="178982D1" w14:textId="77777777" w:rsidTr="00CC2027">
        <w:tc>
          <w:tcPr>
            <w:tcW w:w="2568" w:type="dxa"/>
            <w:vAlign w:val="bottom"/>
          </w:tcPr>
          <w:p w14:paraId="52B83F8E" w14:textId="01BA4B0E" w:rsidR="00CC2027" w:rsidRDefault="00CC2027" w:rsidP="00CC2027">
            <w:r>
              <w:t>Коремна болка</w:t>
            </w:r>
          </w:p>
        </w:tc>
        <w:tc>
          <w:tcPr>
            <w:tcW w:w="2340" w:type="dxa"/>
          </w:tcPr>
          <w:p w14:paraId="016B0973" w14:textId="77777777" w:rsidR="00CC2027" w:rsidRDefault="00CC2027" w:rsidP="00CC2027"/>
        </w:tc>
        <w:tc>
          <w:tcPr>
            <w:tcW w:w="2343" w:type="dxa"/>
            <w:vAlign w:val="bottom"/>
          </w:tcPr>
          <w:p w14:paraId="0256329C" w14:textId="62DDFB86" w:rsidR="00CC2027" w:rsidRDefault="00CC2027" w:rsidP="00CC2027">
            <w:r>
              <w:t>Често</w:t>
            </w:r>
          </w:p>
        </w:tc>
        <w:tc>
          <w:tcPr>
            <w:tcW w:w="2325" w:type="dxa"/>
          </w:tcPr>
          <w:p w14:paraId="3FE03622" w14:textId="77777777" w:rsidR="00CC2027" w:rsidRDefault="00CC2027" w:rsidP="00CC2027"/>
        </w:tc>
      </w:tr>
      <w:tr w:rsidR="00CC2027" w14:paraId="350903FA" w14:textId="77777777" w:rsidTr="00CC2027">
        <w:tc>
          <w:tcPr>
            <w:tcW w:w="2568" w:type="dxa"/>
            <w:vAlign w:val="bottom"/>
          </w:tcPr>
          <w:p w14:paraId="116C4998" w14:textId="790740A9" w:rsidR="00CC2027" w:rsidRDefault="00CC2027" w:rsidP="00CC2027">
            <w:r>
              <w:t>Гастроезофагеална рефлуксна болест</w:t>
            </w:r>
          </w:p>
        </w:tc>
        <w:tc>
          <w:tcPr>
            <w:tcW w:w="2340" w:type="dxa"/>
          </w:tcPr>
          <w:p w14:paraId="02501281" w14:textId="77777777" w:rsidR="00CC2027" w:rsidRDefault="00CC2027" w:rsidP="00CC2027"/>
        </w:tc>
        <w:tc>
          <w:tcPr>
            <w:tcW w:w="2343" w:type="dxa"/>
          </w:tcPr>
          <w:p w14:paraId="54E2A0E0" w14:textId="26488357" w:rsidR="00CC2027" w:rsidRDefault="00CC2027" w:rsidP="00CC2027">
            <w:r>
              <w:t>Нечесто</w:t>
            </w:r>
          </w:p>
        </w:tc>
        <w:tc>
          <w:tcPr>
            <w:tcW w:w="2325" w:type="dxa"/>
          </w:tcPr>
          <w:p w14:paraId="15428C32" w14:textId="77777777" w:rsidR="00CC2027" w:rsidRDefault="00CC2027" w:rsidP="00CC2027"/>
        </w:tc>
      </w:tr>
      <w:tr w:rsidR="00CC2027" w14:paraId="0AB52EC7" w14:textId="77777777" w:rsidTr="00CC2027">
        <w:tc>
          <w:tcPr>
            <w:tcW w:w="2568" w:type="dxa"/>
            <w:vAlign w:val="bottom"/>
          </w:tcPr>
          <w:p w14:paraId="35EA4EEF" w14:textId="46E36278" w:rsidR="00CC2027" w:rsidRDefault="00CC2027" w:rsidP="00CC2027">
            <w:r>
              <w:t>Диария</w:t>
            </w:r>
          </w:p>
        </w:tc>
        <w:tc>
          <w:tcPr>
            <w:tcW w:w="2340" w:type="dxa"/>
          </w:tcPr>
          <w:p w14:paraId="78E2FABE" w14:textId="77777777" w:rsidR="00CC2027" w:rsidRDefault="00CC2027" w:rsidP="00CC2027"/>
        </w:tc>
        <w:tc>
          <w:tcPr>
            <w:tcW w:w="2343" w:type="dxa"/>
          </w:tcPr>
          <w:p w14:paraId="36BA35A6" w14:textId="77777777" w:rsidR="00CC2027" w:rsidRDefault="00CC2027" w:rsidP="00CC2027"/>
        </w:tc>
        <w:tc>
          <w:tcPr>
            <w:tcW w:w="2325" w:type="dxa"/>
            <w:vAlign w:val="bottom"/>
          </w:tcPr>
          <w:p w14:paraId="20A8E711" w14:textId="1C456279" w:rsidR="00CC2027" w:rsidRDefault="00CC2027" w:rsidP="00CC2027">
            <w:r>
              <w:t>Нечесто</w:t>
            </w:r>
          </w:p>
        </w:tc>
      </w:tr>
      <w:tr w:rsidR="00CC2027" w14:paraId="44E17577" w14:textId="77777777" w:rsidTr="00CC2027">
        <w:tc>
          <w:tcPr>
            <w:tcW w:w="2568" w:type="dxa"/>
            <w:vAlign w:val="bottom"/>
          </w:tcPr>
          <w:p w14:paraId="63D0333A" w14:textId="2CDF7D5F" w:rsidR="00CC2027" w:rsidRDefault="00CC2027" w:rsidP="00CC2027">
            <w:r>
              <w:t>Сухота в гърлото</w:t>
            </w:r>
          </w:p>
        </w:tc>
        <w:tc>
          <w:tcPr>
            <w:tcW w:w="2340" w:type="dxa"/>
          </w:tcPr>
          <w:p w14:paraId="454A14FB" w14:textId="77777777" w:rsidR="00CC2027" w:rsidRDefault="00CC2027" w:rsidP="00CC2027"/>
        </w:tc>
        <w:tc>
          <w:tcPr>
            <w:tcW w:w="2343" w:type="dxa"/>
            <w:vAlign w:val="bottom"/>
          </w:tcPr>
          <w:p w14:paraId="4613C404" w14:textId="14D96EF2" w:rsidR="00CC2027" w:rsidRDefault="00CC2027" w:rsidP="00CC2027">
            <w:r>
              <w:t>Нечесто</w:t>
            </w:r>
          </w:p>
        </w:tc>
        <w:tc>
          <w:tcPr>
            <w:tcW w:w="2325" w:type="dxa"/>
          </w:tcPr>
          <w:p w14:paraId="7F539754" w14:textId="77777777" w:rsidR="00CC2027" w:rsidRDefault="00CC2027" w:rsidP="00CC2027"/>
        </w:tc>
      </w:tr>
      <w:tr w:rsidR="00CC2027" w14:paraId="5F3F450A" w14:textId="77777777" w:rsidTr="00CC2027">
        <w:tc>
          <w:tcPr>
            <w:tcW w:w="2568" w:type="dxa"/>
            <w:vAlign w:val="bottom"/>
          </w:tcPr>
          <w:p w14:paraId="18642B21" w14:textId="7481EDB0" w:rsidR="00CC2027" w:rsidRDefault="00CC2027" w:rsidP="00CC2027">
            <w:r>
              <w:t>Повръщане</w:t>
            </w:r>
          </w:p>
        </w:tc>
        <w:tc>
          <w:tcPr>
            <w:tcW w:w="2340" w:type="dxa"/>
          </w:tcPr>
          <w:p w14:paraId="55D73CBF" w14:textId="77777777" w:rsidR="00CC2027" w:rsidRDefault="00CC2027" w:rsidP="00CC2027"/>
        </w:tc>
        <w:tc>
          <w:tcPr>
            <w:tcW w:w="2343" w:type="dxa"/>
            <w:vAlign w:val="bottom"/>
          </w:tcPr>
          <w:p w14:paraId="3D424839" w14:textId="3788667C" w:rsidR="00CC2027" w:rsidRDefault="00CC2027" w:rsidP="00CC2027">
            <w:r>
              <w:t>Рядко*</w:t>
            </w:r>
          </w:p>
        </w:tc>
        <w:tc>
          <w:tcPr>
            <w:tcW w:w="2325" w:type="dxa"/>
            <w:vAlign w:val="bottom"/>
          </w:tcPr>
          <w:p w14:paraId="32D98E92" w14:textId="06D06C1B" w:rsidR="00CC2027" w:rsidRDefault="00CC2027" w:rsidP="00CC2027">
            <w:r>
              <w:t>Нечесто</w:t>
            </w:r>
          </w:p>
        </w:tc>
      </w:tr>
      <w:tr w:rsidR="00CC2027" w14:paraId="752FC616" w14:textId="77777777" w:rsidTr="00CC2027">
        <w:tc>
          <w:tcPr>
            <w:tcW w:w="2568" w:type="dxa"/>
            <w:vAlign w:val="bottom"/>
          </w:tcPr>
          <w:p w14:paraId="19486DD9" w14:textId="04CFFF1C" w:rsidR="00CC2027" w:rsidRDefault="00CC2027" w:rsidP="00CC2027">
            <w:r>
              <w:t>Обструкция на колона</w:t>
            </w:r>
          </w:p>
        </w:tc>
        <w:tc>
          <w:tcPr>
            <w:tcW w:w="2340" w:type="dxa"/>
          </w:tcPr>
          <w:p w14:paraId="0AAACFD0" w14:textId="77777777" w:rsidR="00CC2027" w:rsidRDefault="00CC2027" w:rsidP="00CC2027"/>
        </w:tc>
        <w:tc>
          <w:tcPr>
            <w:tcW w:w="2343" w:type="dxa"/>
            <w:vAlign w:val="bottom"/>
          </w:tcPr>
          <w:p w14:paraId="55F317F5" w14:textId="3A7A8A99" w:rsidR="00CC2027" w:rsidRDefault="00CC2027" w:rsidP="00CC2027">
            <w:r>
              <w:t>Рядко</w:t>
            </w:r>
          </w:p>
        </w:tc>
        <w:tc>
          <w:tcPr>
            <w:tcW w:w="2325" w:type="dxa"/>
          </w:tcPr>
          <w:p w14:paraId="69EAF116" w14:textId="77777777" w:rsidR="00CC2027" w:rsidRDefault="00CC2027" w:rsidP="00CC2027"/>
        </w:tc>
      </w:tr>
      <w:tr w:rsidR="00CC2027" w14:paraId="35946B5B" w14:textId="77777777" w:rsidTr="00CC2027">
        <w:tc>
          <w:tcPr>
            <w:tcW w:w="2568" w:type="dxa"/>
            <w:vAlign w:val="bottom"/>
          </w:tcPr>
          <w:p w14:paraId="44CF25D0" w14:textId="0A23D69E" w:rsidR="00CC2027" w:rsidRPr="00CC2027" w:rsidRDefault="00CC2027" w:rsidP="00CC2027">
            <w:r w:rsidRPr="00CC2027">
              <w:rPr>
                <w:bCs/>
              </w:rPr>
              <w:t>Задръстване с фекалии</w:t>
            </w:r>
          </w:p>
        </w:tc>
        <w:tc>
          <w:tcPr>
            <w:tcW w:w="2340" w:type="dxa"/>
          </w:tcPr>
          <w:p w14:paraId="59EA8516" w14:textId="77777777" w:rsidR="00CC2027" w:rsidRPr="00CC2027" w:rsidRDefault="00CC2027" w:rsidP="00CC2027"/>
        </w:tc>
        <w:tc>
          <w:tcPr>
            <w:tcW w:w="2343" w:type="dxa"/>
            <w:vAlign w:val="bottom"/>
          </w:tcPr>
          <w:p w14:paraId="150085BF" w14:textId="1BED265F" w:rsidR="00CC2027" w:rsidRPr="00CC2027" w:rsidRDefault="00CC2027" w:rsidP="00CC2027">
            <w:r w:rsidRPr="00CC2027">
              <w:rPr>
                <w:bCs/>
              </w:rPr>
              <w:t>Рядко</w:t>
            </w:r>
          </w:p>
        </w:tc>
        <w:tc>
          <w:tcPr>
            <w:tcW w:w="2325" w:type="dxa"/>
          </w:tcPr>
          <w:p w14:paraId="5017A150" w14:textId="77777777" w:rsidR="00CC2027" w:rsidRDefault="00CC2027" w:rsidP="00CC2027"/>
        </w:tc>
      </w:tr>
      <w:tr w:rsidR="00CC2027" w14:paraId="18551394" w14:textId="77777777" w:rsidTr="00CC2027">
        <w:tc>
          <w:tcPr>
            <w:tcW w:w="2568" w:type="dxa"/>
          </w:tcPr>
          <w:p w14:paraId="19E74E1D" w14:textId="73E5BC1D" w:rsidR="00CC2027" w:rsidRDefault="00CC2027" w:rsidP="00CC2027">
            <w:r>
              <w:t>Илеус</w:t>
            </w:r>
          </w:p>
        </w:tc>
        <w:tc>
          <w:tcPr>
            <w:tcW w:w="2340" w:type="dxa"/>
          </w:tcPr>
          <w:p w14:paraId="59AC7005" w14:textId="77777777" w:rsidR="00CC2027" w:rsidRDefault="00CC2027" w:rsidP="00CC2027"/>
        </w:tc>
        <w:tc>
          <w:tcPr>
            <w:tcW w:w="2343" w:type="dxa"/>
            <w:vAlign w:val="bottom"/>
          </w:tcPr>
          <w:p w14:paraId="47526694" w14:textId="4F6E87D1" w:rsidR="00CC2027" w:rsidRDefault="00CC2027" w:rsidP="00CC2027">
            <w:r>
              <w:t>С неизвестна честота*</w:t>
            </w:r>
          </w:p>
        </w:tc>
        <w:tc>
          <w:tcPr>
            <w:tcW w:w="2325" w:type="dxa"/>
          </w:tcPr>
          <w:p w14:paraId="3F3611C9" w14:textId="77777777" w:rsidR="00CC2027" w:rsidRDefault="00CC2027" w:rsidP="00CC2027"/>
        </w:tc>
      </w:tr>
      <w:tr w:rsidR="00CC2027" w14:paraId="020DCC82" w14:textId="77777777" w:rsidTr="00CC2027">
        <w:tc>
          <w:tcPr>
            <w:tcW w:w="2568" w:type="dxa"/>
          </w:tcPr>
          <w:p w14:paraId="12DCDA27" w14:textId="5E5D2A53" w:rsidR="00CC2027" w:rsidRDefault="00CC2027" w:rsidP="00CC2027">
            <w:r>
              <w:t>Коремен дискомфорт</w:t>
            </w:r>
          </w:p>
        </w:tc>
        <w:tc>
          <w:tcPr>
            <w:tcW w:w="2340" w:type="dxa"/>
          </w:tcPr>
          <w:p w14:paraId="3DA9C549" w14:textId="77777777" w:rsidR="00CC2027" w:rsidRDefault="00CC2027" w:rsidP="00CC2027"/>
        </w:tc>
        <w:tc>
          <w:tcPr>
            <w:tcW w:w="2343" w:type="dxa"/>
            <w:vAlign w:val="bottom"/>
          </w:tcPr>
          <w:p w14:paraId="3502676C" w14:textId="372DA458" w:rsidR="00CC2027" w:rsidRDefault="00CC2027" w:rsidP="00CC2027">
            <w:r>
              <w:t>С неизвестна честота*</w:t>
            </w:r>
          </w:p>
        </w:tc>
        <w:tc>
          <w:tcPr>
            <w:tcW w:w="2325" w:type="dxa"/>
            <w:vAlign w:val="bottom"/>
          </w:tcPr>
          <w:p w14:paraId="38467546" w14:textId="77777777" w:rsidR="00CC2027" w:rsidRDefault="00CC2027" w:rsidP="00CC2027"/>
        </w:tc>
      </w:tr>
      <w:tr w:rsidR="00CC2027" w14:paraId="4A9FCD01" w14:textId="77777777" w:rsidTr="00CC2027">
        <w:tc>
          <w:tcPr>
            <w:tcW w:w="9576" w:type="dxa"/>
            <w:gridSpan w:val="4"/>
          </w:tcPr>
          <w:p w14:paraId="75940564" w14:textId="1EAB9AD1" w:rsidR="00CC2027" w:rsidRPr="00CC2027" w:rsidRDefault="00CC2027" w:rsidP="00CC2027">
            <w:pPr>
              <w:rPr>
                <w:b/>
              </w:rPr>
            </w:pPr>
            <w:r w:rsidRPr="00CC2027">
              <w:rPr>
                <w:b/>
              </w:rPr>
              <w:t>Хепатобилиарни нарушения</w:t>
            </w:r>
          </w:p>
        </w:tc>
      </w:tr>
      <w:tr w:rsidR="00CC2027" w14:paraId="6A6E1B58" w14:textId="77777777" w:rsidTr="00CC2027">
        <w:tc>
          <w:tcPr>
            <w:tcW w:w="2568" w:type="dxa"/>
          </w:tcPr>
          <w:p w14:paraId="6F888CFB" w14:textId="4BFB25B4" w:rsidR="00CC2027" w:rsidRDefault="00CC2027" w:rsidP="00CC2027">
            <w:r>
              <w:t>Чернодробно нарушение</w:t>
            </w:r>
          </w:p>
        </w:tc>
        <w:tc>
          <w:tcPr>
            <w:tcW w:w="2340" w:type="dxa"/>
          </w:tcPr>
          <w:p w14:paraId="64956F6B" w14:textId="77777777" w:rsidR="00CC2027" w:rsidRDefault="00CC2027" w:rsidP="00CC2027"/>
        </w:tc>
        <w:tc>
          <w:tcPr>
            <w:tcW w:w="2343" w:type="dxa"/>
            <w:vAlign w:val="bottom"/>
          </w:tcPr>
          <w:p w14:paraId="53E04DFC" w14:textId="7CE2492C" w:rsidR="00CC2027" w:rsidRDefault="00CC2027" w:rsidP="00CC2027">
            <w:r>
              <w:t>С неизвестна честота*</w:t>
            </w:r>
          </w:p>
        </w:tc>
        <w:tc>
          <w:tcPr>
            <w:tcW w:w="2325" w:type="dxa"/>
            <w:vAlign w:val="bottom"/>
          </w:tcPr>
          <w:p w14:paraId="5F1CAEE3" w14:textId="77777777" w:rsidR="00CC2027" w:rsidRDefault="00CC2027" w:rsidP="00CC2027"/>
        </w:tc>
      </w:tr>
      <w:tr w:rsidR="00CC2027" w14:paraId="6CBE9A6B" w14:textId="77777777" w:rsidTr="00CC2027">
        <w:tc>
          <w:tcPr>
            <w:tcW w:w="2568" w:type="dxa"/>
          </w:tcPr>
          <w:p w14:paraId="1D1BF9DB" w14:textId="737A72AA" w:rsidR="00CC2027" w:rsidRDefault="00CC2027" w:rsidP="00CC2027">
            <w:r>
              <w:t>Абнормни изследвания на чернодробната функция</w:t>
            </w:r>
          </w:p>
        </w:tc>
        <w:tc>
          <w:tcPr>
            <w:tcW w:w="2340" w:type="dxa"/>
          </w:tcPr>
          <w:p w14:paraId="554CF5D6" w14:textId="77777777" w:rsidR="00CC2027" w:rsidRDefault="00CC2027" w:rsidP="00CC2027"/>
        </w:tc>
        <w:tc>
          <w:tcPr>
            <w:tcW w:w="2343" w:type="dxa"/>
          </w:tcPr>
          <w:p w14:paraId="04800430" w14:textId="3B8DE2C3" w:rsidR="00CC2027" w:rsidRDefault="00CC2027" w:rsidP="00CC2027">
            <w:r>
              <w:t>С неизвестна честота*</w:t>
            </w:r>
          </w:p>
        </w:tc>
        <w:tc>
          <w:tcPr>
            <w:tcW w:w="2325" w:type="dxa"/>
          </w:tcPr>
          <w:p w14:paraId="3E2D5910" w14:textId="77777777" w:rsidR="00CC2027" w:rsidRDefault="00CC2027" w:rsidP="00CC2027"/>
        </w:tc>
      </w:tr>
      <w:tr w:rsidR="00CC2027" w14:paraId="3986A79C" w14:textId="77777777" w:rsidTr="00CC2027">
        <w:tc>
          <w:tcPr>
            <w:tcW w:w="9576" w:type="dxa"/>
            <w:gridSpan w:val="4"/>
          </w:tcPr>
          <w:p w14:paraId="12C20D58" w14:textId="527CAA95" w:rsidR="00CC2027" w:rsidRPr="00CC2027" w:rsidRDefault="00CC2027" w:rsidP="00CC2027">
            <w:pPr>
              <w:rPr>
                <w:b/>
              </w:rPr>
            </w:pPr>
            <w:r w:rsidRPr="00CC2027">
              <w:rPr>
                <w:b/>
              </w:rPr>
              <w:t>Нарушения на кожата и подкожната тъкан</w:t>
            </w:r>
          </w:p>
        </w:tc>
      </w:tr>
      <w:tr w:rsidR="00CC2027" w14:paraId="416C4763" w14:textId="77777777" w:rsidTr="00CC2027">
        <w:tc>
          <w:tcPr>
            <w:tcW w:w="2568" w:type="dxa"/>
          </w:tcPr>
          <w:p w14:paraId="7DD8DFD0" w14:textId="6F203373" w:rsidR="00CC2027" w:rsidRDefault="00CC2027" w:rsidP="00CC2027">
            <w:r>
              <w:t>Сърбеж</w:t>
            </w:r>
          </w:p>
        </w:tc>
        <w:tc>
          <w:tcPr>
            <w:tcW w:w="2340" w:type="dxa"/>
          </w:tcPr>
          <w:p w14:paraId="040F2E18" w14:textId="4162B62B" w:rsidR="00CC2027" w:rsidRDefault="00CC2027" w:rsidP="00CC2027">
            <w:r>
              <w:t>Нечесто</w:t>
            </w:r>
          </w:p>
        </w:tc>
        <w:tc>
          <w:tcPr>
            <w:tcW w:w="2343" w:type="dxa"/>
          </w:tcPr>
          <w:p w14:paraId="55680830" w14:textId="02F35EF9" w:rsidR="00CC2027" w:rsidRDefault="00CC2027" w:rsidP="00CC2027">
            <w:r>
              <w:t>Рядко*</w:t>
            </w:r>
          </w:p>
        </w:tc>
        <w:tc>
          <w:tcPr>
            <w:tcW w:w="2325" w:type="dxa"/>
          </w:tcPr>
          <w:p w14:paraId="130EFF7E" w14:textId="4D8F37A5" w:rsidR="00CC2027" w:rsidRDefault="00CC2027" w:rsidP="00CC2027">
            <w:r>
              <w:t>Нечесто</w:t>
            </w:r>
          </w:p>
        </w:tc>
      </w:tr>
      <w:tr w:rsidR="00CC2027" w14:paraId="72523D3E" w14:textId="77777777" w:rsidTr="00CC2027">
        <w:tc>
          <w:tcPr>
            <w:tcW w:w="2568" w:type="dxa"/>
          </w:tcPr>
          <w:p w14:paraId="71FB66CC" w14:textId="0A568FD6" w:rsidR="00CC2027" w:rsidRDefault="00CC2027" w:rsidP="00CC2027">
            <w:r>
              <w:t>Суха кожа</w:t>
            </w:r>
          </w:p>
        </w:tc>
        <w:tc>
          <w:tcPr>
            <w:tcW w:w="2340" w:type="dxa"/>
          </w:tcPr>
          <w:p w14:paraId="54A38509" w14:textId="77777777" w:rsidR="00CC2027" w:rsidRDefault="00CC2027" w:rsidP="00CC2027"/>
        </w:tc>
        <w:tc>
          <w:tcPr>
            <w:tcW w:w="2343" w:type="dxa"/>
          </w:tcPr>
          <w:p w14:paraId="20339DE3" w14:textId="35D8B585" w:rsidR="00CC2027" w:rsidRDefault="00CC2027" w:rsidP="00CC2027">
            <w:r>
              <w:t>Нечесто</w:t>
            </w:r>
          </w:p>
        </w:tc>
        <w:tc>
          <w:tcPr>
            <w:tcW w:w="2325" w:type="dxa"/>
          </w:tcPr>
          <w:p w14:paraId="773CCB5A" w14:textId="77777777" w:rsidR="00CC2027" w:rsidRDefault="00CC2027" w:rsidP="00CC2027"/>
        </w:tc>
      </w:tr>
      <w:tr w:rsidR="00CC2027" w14:paraId="54EC2CD2" w14:textId="77777777" w:rsidTr="00CC2027">
        <w:tc>
          <w:tcPr>
            <w:tcW w:w="2568" w:type="dxa"/>
          </w:tcPr>
          <w:p w14:paraId="580475F9" w14:textId="55B892AC" w:rsidR="00CC2027" w:rsidRDefault="00CC2027" w:rsidP="00CC2027">
            <w:r>
              <w:t>Обрив</w:t>
            </w:r>
          </w:p>
        </w:tc>
        <w:tc>
          <w:tcPr>
            <w:tcW w:w="2340" w:type="dxa"/>
          </w:tcPr>
          <w:p w14:paraId="3E2EB470" w14:textId="77777777" w:rsidR="00CC2027" w:rsidRDefault="00CC2027" w:rsidP="00CC2027"/>
        </w:tc>
        <w:tc>
          <w:tcPr>
            <w:tcW w:w="2343" w:type="dxa"/>
          </w:tcPr>
          <w:p w14:paraId="20CD0481" w14:textId="24DFA4C8" w:rsidR="00CC2027" w:rsidRDefault="00CC2027" w:rsidP="00CC2027">
            <w:r>
              <w:t>Рядко*</w:t>
            </w:r>
          </w:p>
        </w:tc>
        <w:tc>
          <w:tcPr>
            <w:tcW w:w="2325" w:type="dxa"/>
          </w:tcPr>
          <w:p w14:paraId="74329E34" w14:textId="32C14D65" w:rsidR="00CC2027" w:rsidRDefault="00CC2027" w:rsidP="00CC2027">
            <w:r>
              <w:t>Нечесто</w:t>
            </w:r>
          </w:p>
        </w:tc>
      </w:tr>
      <w:tr w:rsidR="00CC2027" w14:paraId="54E2B12A" w14:textId="77777777" w:rsidTr="00CC2027">
        <w:tc>
          <w:tcPr>
            <w:tcW w:w="2568" w:type="dxa"/>
          </w:tcPr>
          <w:p w14:paraId="03805EEB" w14:textId="3CC2F322" w:rsidR="00CC2027" w:rsidRDefault="00CC2027" w:rsidP="00CC2027">
            <w:r>
              <w:t>Уртикария</w:t>
            </w:r>
          </w:p>
        </w:tc>
        <w:tc>
          <w:tcPr>
            <w:tcW w:w="2340" w:type="dxa"/>
          </w:tcPr>
          <w:p w14:paraId="6EC5FCB0" w14:textId="77777777" w:rsidR="00CC2027" w:rsidRDefault="00CC2027" w:rsidP="00CC2027"/>
        </w:tc>
        <w:tc>
          <w:tcPr>
            <w:tcW w:w="2343" w:type="dxa"/>
          </w:tcPr>
          <w:p w14:paraId="3C7BE94B" w14:textId="1DF63838" w:rsidR="00CC2027" w:rsidRDefault="00CC2027" w:rsidP="00CC2027">
            <w:r>
              <w:t>Много рядко*</w:t>
            </w:r>
          </w:p>
        </w:tc>
        <w:tc>
          <w:tcPr>
            <w:tcW w:w="2325" w:type="dxa"/>
          </w:tcPr>
          <w:p w14:paraId="78B1B7BC" w14:textId="09D78028" w:rsidR="00CC2027" w:rsidRDefault="00CC2027" w:rsidP="00CC2027">
            <w:r>
              <w:t>Нечесто</w:t>
            </w:r>
          </w:p>
        </w:tc>
      </w:tr>
      <w:tr w:rsidR="00CC2027" w14:paraId="3ABABD70" w14:textId="77777777" w:rsidTr="00CC2027">
        <w:tc>
          <w:tcPr>
            <w:tcW w:w="2568" w:type="dxa"/>
          </w:tcPr>
          <w:p w14:paraId="17B37A7E" w14:textId="2B5C40C5" w:rsidR="00CC2027" w:rsidRDefault="00CC2027" w:rsidP="00CC2027">
            <w:r>
              <w:t>Ангиоедем</w:t>
            </w:r>
          </w:p>
        </w:tc>
        <w:tc>
          <w:tcPr>
            <w:tcW w:w="2340" w:type="dxa"/>
          </w:tcPr>
          <w:p w14:paraId="5B6EEC45" w14:textId="77777777" w:rsidR="00CC2027" w:rsidRDefault="00CC2027" w:rsidP="00CC2027"/>
        </w:tc>
        <w:tc>
          <w:tcPr>
            <w:tcW w:w="2343" w:type="dxa"/>
          </w:tcPr>
          <w:p w14:paraId="496AEB42" w14:textId="0D2D8EED" w:rsidR="00CC2027" w:rsidRDefault="00CC2027" w:rsidP="00CC2027">
            <w:r>
              <w:t>Много рядко*</w:t>
            </w:r>
          </w:p>
        </w:tc>
        <w:tc>
          <w:tcPr>
            <w:tcW w:w="2325" w:type="dxa"/>
          </w:tcPr>
          <w:p w14:paraId="25D014CD" w14:textId="27D0C6E8" w:rsidR="00CC2027" w:rsidRDefault="00CC2027" w:rsidP="00CC2027">
            <w:r>
              <w:t>Рядко</w:t>
            </w:r>
          </w:p>
        </w:tc>
      </w:tr>
      <w:tr w:rsidR="00CC2027" w14:paraId="07785822" w14:textId="77777777" w:rsidTr="00CC2027">
        <w:tc>
          <w:tcPr>
            <w:tcW w:w="2568" w:type="dxa"/>
          </w:tcPr>
          <w:p w14:paraId="290237AC" w14:textId="0F6B7D96" w:rsidR="00CC2027" w:rsidRDefault="00CC2027" w:rsidP="00CC2027">
            <w:r>
              <w:t xml:space="preserve">Синдром на </w:t>
            </w:r>
            <w:r>
              <w:rPr>
                <w:lang w:val="en-US"/>
              </w:rPr>
              <w:t>Stevens-Johnson</w:t>
            </w:r>
          </w:p>
        </w:tc>
        <w:tc>
          <w:tcPr>
            <w:tcW w:w="2340" w:type="dxa"/>
          </w:tcPr>
          <w:p w14:paraId="551E8DFC" w14:textId="77777777" w:rsidR="00CC2027" w:rsidRDefault="00CC2027" w:rsidP="00CC2027"/>
        </w:tc>
        <w:tc>
          <w:tcPr>
            <w:tcW w:w="2343" w:type="dxa"/>
          </w:tcPr>
          <w:p w14:paraId="1039E7D9" w14:textId="77777777" w:rsidR="00CC2027" w:rsidRDefault="00CC2027" w:rsidP="00CC2027"/>
        </w:tc>
        <w:tc>
          <w:tcPr>
            <w:tcW w:w="2325" w:type="dxa"/>
          </w:tcPr>
          <w:p w14:paraId="18802782" w14:textId="29BDAC06" w:rsidR="00CC2027" w:rsidRDefault="00CC2027" w:rsidP="00CC2027">
            <w:r>
              <w:t>Много рядко</w:t>
            </w:r>
          </w:p>
        </w:tc>
      </w:tr>
      <w:tr w:rsidR="00CC2027" w14:paraId="659E937B" w14:textId="77777777" w:rsidTr="00CC2027">
        <w:tc>
          <w:tcPr>
            <w:tcW w:w="2568" w:type="dxa"/>
          </w:tcPr>
          <w:p w14:paraId="2ED9C2C8" w14:textId="6C7D356C" w:rsidR="00CC2027" w:rsidRDefault="00CC2027" w:rsidP="00CC2027">
            <w:r>
              <w:t>Еритема мултиформе</w:t>
            </w:r>
          </w:p>
        </w:tc>
        <w:tc>
          <w:tcPr>
            <w:tcW w:w="2340" w:type="dxa"/>
          </w:tcPr>
          <w:p w14:paraId="73122F7F" w14:textId="77777777" w:rsidR="00CC2027" w:rsidRDefault="00CC2027" w:rsidP="00CC2027"/>
        </w:tc>
        <w:tc>
          <w:tcPr>
            <w:tcW w:w="2343" w:type="dxa"/>
          </w:tcPr>
          <w:p w14:paraId="1BB507DC" w14:textId="1A7768DF" w:rsidR="00CC2027" w:rsidRDefault="00CC2027" w:rsidP="00CC2027">
            <w:r>
              <w:t>Много рядко*</w:t>
            </w:r>
          </w:p>
        </w:tc>
        <w:tc>
          <w:tcPr>
            <w:tcW w:w="2325" w:type="dxa"/>
          </w:tcPr>
          <w:p w14:paraId="0AFB4BFB" w14:textId="71FEF792" w:rsidR="00CC2027" w:rsidRDefault="00CC2027" w:rsidP="00CC2027">
            <w:r>
              <w:t>С неизвестна честота*</w:t>
            </w:r>
          </w:p>
        </w:tc>
      </w:tr>
      <w:tr w:rsidR="00CC2027" w14:paraId="5CE464B0" w14:textId="77777777" w:rsidTr="00CC2027">
        <w:tc>
          <w:tcPr>
            <w:tcW w:w="2568" w:type="dxa"/>
          </w:tcPr>
          <w:p w14:paraId="0F8CB179" w14:textId="5D6C7D98" w:rsidR="00CC2027" w:rsidRDefault="00CC2027" w:rsidP="00CC2027">
            <w:r>
              <w:t>Ексфолиативен дерматит</w:t>
            </w:r>
          </w:p>
        </w:tc>
        <w:tc>
          <w:tcPr>
            <w:tcW w:w="2340" w:type="dxa"/>
          </w:tcPr>
          <w:p w14:paraId="238135FE" w14:textId="77777777" w:rsidR="00CC2027" w:rsidRDefault="00CC2027" w:rsidP="00CC2027"/>
        </w:tc>
        <w:tc>
          <w:tcPr>
            <w:tcW w:w="2343" w:type="dxa"/>
          </w:tcPr>
          <w:p w14:paraId="2F010C3E" w14:textId="261B1D3E" w:rsidR="00CC2027" w:rsidRDefault="00CC2027" w:rsidP="00CC2027">
            <w:r>
              <w:t>С неизвестна честота*</w:t>
            </w:r>
          </w:p>
        </w:tc>
        <w:tc>
          <w:tcPr>
            <w:tcW w:w="2325" w:type="dxa"/>
          </w:tcPr>
          <w:p w14:paraId="563F7E7D" w14:textId="793D9203" w:rsidR="00CC2027" w:rsidRDefault="00CC2027" w:rsidP="00CC2027">
            <w:r>
              <w:t>С неизвестна честота*</w:t>
            </w:r>
          </w:p>
        </w:tc>
      </w:tr>
      <w:tr w:rsidR="00CC2027" w14:paraId="77A21D34" w14:textId="77777777" w:rsidTr="00CC2027">
        <w:tc>
          <w:tcPr>
            <w:tcW w:w="9576" w:type="dxa"/>
            <w:gridSpan w:val="4"/>
          </w:tcPr>
          <w:p w14:paraId="22A38E98" w14:textId="43A6FE93" w:rsidR="00CC2027" w:rsidRPr="00CC2027" w:rsidRDefault="00CC2027" w:rsidP="00CC2027">
            <w:pPr>
              <w:rPr>
                <w:b/>
              </w:rPr>
            </w:pPr>
            <w:r w:rsidRPr="00CC2027">
              <w:rPr>
                <w:b/>
              </w:rPr>
              <w:t>Нарушения на мускулно-скелетната система и съединителната тъкан</w:t>
            </w:r>
          </w:p>
        </w:tc>
      </w:tr>
      <w:tr w:rsidR="00CC2027" w14:paraId="6BA6175F" w14:textId="77777777" w:rsidTr="00CC2027">
        <w:tc>
          <w:tcPr>
            <w:tcW w:w="2568" w:type="dxa"/>
          </w:tcPr>
          <w:p w14:paraId="214758BE" w14:textId="7FD09BEE" w:rsidR="00CC2027" w:rsidRDefault="00CC2027" w:rsidP="00CC2027">
            <w:r>
              <w:t>Мускулна слабост</w:t>
            </w:r>
          </w:p>
        </w:tc>
        <w:tc>
          <w:tcPr>
            <w:tcW w:w="2340" w:type="dxa"/>
          </w:tcPr>
          <w:p w14:paraId="49242672" w14:textId="77777777" w:rsidR="00CC2027" w:rsidRDefault="00CC2027" w:rsidP="00CC2027"/>
        </w:tc>
        <w:tc>
          <w:tcPr>
            <w:tcW w:w="2343" w:type="dxa"/>
          </w:tcPr>
          <w:p w14:paraId="0AE3D0D0" w14:textId="00FAEDE7" w:rsidR="00CC2027" w:rsidRDefault="00CC2027" w:rsidP="00CC2027">
            <w:r>
              <w:t>С неизвестна честота*</w:t>
            </w:r>
          </w:p>
        </w:tc>
        <w:tc>
          <w:tcPr>
            <w:tcW w:w="2325" w:type="dxa"/>
          </w:tcPr>
          <w:p w14:paraId="60CE7688" w14:textId="77777777" w:rsidR="00CC2027" w:rsidRDefault="00CC2027" w:rsidP="00CC2027"/>
        </w:tc>
      </w:tr>
      <w:tr w:rsidR="00CC2027" w14:paraId="19CD5FE0" w14:textId="77777777" w:rsidTr="00CC2027">
        <w:tc>
          <w:tcPr>
            <w:tcW w:w="9576" w:type="dxa"/>
            <w:gridSpan w:val="4"/>
          </w:tcPr>
          <w:p w14:paraId="4F08A5CC" w14:textId="124853F0" w:rsidR="00CC2027" w:rsidRPr="00CC2027" w:rsidRDefault="00CC2027" w:rsidP="00CC2027">
            <w:pPr>
              <w:rPr>
                <w:b/>
              </w:rPr>
            </w:pPr>
            <w:r w:rsidRPr="00CC2027">
              <w:rPr>
                <w:b/>
              </w:rPr>
              <w:t>Нарушения на бъбреците и пикочните пътища</w:t>
            </w:r>
          </w:p>
        </w:tc>
      </w:tr>
      <w:tr w:rsidR="00CC2027" w14:paraId="787BA751" w14:textId="77777777" w:rsidTr="00CC2027">
        <w:tc>
          <w:tcPr>
            <w:tcW w:w="2568" w:type="dxa"/>
          </w:tcPr>
          <w:p w14:paraId="76E3C2E7" w14:textId="079DE290" w:rsidR="00CC2027" w:rsidRDefault="00CC2027" w:rsidP="00CC2027">
            <w:r>
              <w:t>Уринарна ретенция***</w:t>
            </w:r>
          </w:p>
        </w:tc>
        <w:tc>
          <w:tcPr>
            <w:tcW w:w="2340" w:type="dxa"/>
          </w:tcPr>
          <w:p w14:paraId="1AB91068" w14:textId="4F095460" w:rsidR="00CC2027" w:rsidRDefault="00CC2027" w:rsidP="00CC2027">
            <w:r>
              <w:t>Нечесто</w:t>
            </w:r>
          </w:p>
        </w:tc>
        <w:tc>
          <w:tcPr>
            <w:tcW w:w="2343" w:type="dxa"/>
          </w:tcPr>
          <w:p w14:paraId="48B71C41" w14:textId="33F6CB34" w:rsidR="00CC2027" w:rsidRDefault="00CC2027" w:rsidP="00CC2027">
            <w:r>
              <w:t>Рядко</w:t>
            </w:r>
          </w:p>
        </w:tc>
        <w:tc>
          <w:tcPr>
            <w:tcW w:w="2325" w:type="dxa"/>
          </w:tcPr>
          <w:p w14:paraId="33C3C57A" w14:textId="77777777" w:rsidR="00CC2027" w:rsidRDefault="00CC2027" w:rsidP="00CC2027"/>
        </w:tc>
      </w:tr>
      <w:tr w:rsidR="00CC2027" w14:paraId="3F33A2BF" w14:textId="77777777" w:rsidTr="00CC2027">
        <w:tc>
          <w:tcPr>
            <w:tcW w:w="2568" w:type="dxa"/>
          </w:tcPr>
          <w:p w14:paraId="3ACED200" w14:textId="1DDE6C0D" w:rsidR="00CC2027" w:rsidRDefault="00CC2027" w:rsidP="00CC2027">
            <w:r>
              <w:t>Затруднения при уриниране</w:t>
            </w:r>
          </w:p>
        </w:tc>
        <w:tc>
          <w:tcPr>
            <w:tcW w:w="2340" w:type="dxa"/>
          </w:tcPr>
          <w:p w14:paraId="2B5B2258" w14:textId="77777777" w:rsidR="00CC2027" w:rsidRDefault="00CC2027" w:rsidP="00CC2027"/>
        </w:tc>
        <w:tc>
          <w:tcPr>
            <w:tcW w:w="2343" w:type="dxa"/>
          </w:tcPr>
          <w:p w14:paraId="6241435D" w14:textId="78E3E03F" w:rsidR="00CC2027" w:rsidRDefault="00CC2027" w:rsidP="00CC2027">
            <w:r>
              <w:t>Нечесто</w:t>
            </w:r>
          </w:p>
        </w:tc>
        <w:tc>
          <w:tcPr>
            <w:tcW w:w="2325" w:type="dxa"/>
          </w:tcPr>
          <w:p w14:paraId="7CC225DE" w14:textId="77777777" w:rsidR="00CC2027" w:rsidRDefault="00CC2027" w:rsidP="00CC2027"/>
        </w:tc>
      </w:tr>
      <w:tr w:rsidR="00CC2027" w14:paraId="3016C2AF" w14:textId="77777777" w:rsidTr="00CC2027">
        <w:tc>
          <w:tcPr>
            <w:tcW w:w="2568" w:type="dxa"/>
          </w:tcPr>
          <w:p w14:paraId="3AF73ED9" w14:textId="591ED38F" w:rsidR="00CC2027" w:rsidRDefault="00CC2027" w:rsidP="00CC2027">
            <w:r>
              <w:lastRenderedPageBreak/>
              <w:t>Бъбречно увреждане</w:t>
            </w:r>
          </w:p>
        </w:tc>
        <w:tc>
          <w:tcPr>
            <w:tcW w:w="2340" w:type="dxa"/>
          </w:tcPr>
          <w:p w14:paraId="3A32CCEB" w14:textId="77777777" w:rsidR="00CC2027" w:rsidRDefault="00CC2027" w:rsidP="00CC2027"/>
        </w:tc>
        <w:tc>
          <w:tcPr>
            <w:tcW w:w="2343" w:type="dxa"/>
          </w:tcPr>
          <w:p w14:paraId="49EC3527" w14:textId="0EA70CC3" w:rsidR="00CC2027" w:rsidRDefault="00CC2027" w:rsidP="00CC2027">
            <w:r>
              <w:t>С неизвестна честота*</w:t>
            </w:r>
          </w:p>
        </w:tc>
        <w:tc>
          <w:tcPr>
            <w:tcW w:w="2325" w:type="dxa"/>
          </w:tcPr>
          <w:p w14:paraId="05BFF496" w14:textId="77777777" w:rsidR="00CC2027" w:rsidRDefault="00CC2027" w:rsidP="00CC2027"/>
        </w:tc>
      </w:tr>
      <w:tr w:rsidR="00CC2027" w14:paraId="10079094" w14:textId="77777777" w:rsidTr="00CC2027">
        <w:tc>
          <w:tcPr>
            <w:tcW w:w="9576" w:type="dxa"/>
            <w:gridSpan w:val="4"/>
          </w:tcPr>
          <w:p w14:paraId="4447C2C3" w14:textId="142DA372" w:rsidR="00CC2027" w:rsidRPr="00CC2027" w:rsidRDefault="00CC2027" w:rsidP="00CC2027">
            <w:pPr>
              <w:rPr>
                <w:b/>
              </w:rPr>
            </w:pPr>
            <w:r w:rsidRPr="00CC2027">
              <w:rPr>
                <w:b/>
              </w:rPr>
              <w:t>Нарушения на възпроизводителната система в гърдата</w:t>
            </w:r>
          </w:p>
        </w:tc>
      </w:tr>
      <w:tr w:rsidR="00CC2027" w14:paraId="40B2913A" w14:textId="77777777" w:rsidTr="00CC2027">
        <w:tc>
          <w:tcPr>
            <w:tcW w:w="2568" w:type="dxa"/>
          </w:tcPr>
          <w:p w14:paraId="0D423A29" w14:textId="3A186A74" w:rsidR="00CC2027" w:rsidRDefault="00CC2027" w:rsidP="00CC2027">
            <w:r>
              <w:t>Нарушения в еякулацията, включително ретроградна еякулация и невъзможност за еякулация</w:t>
            </w:r>
          </w:p>
        </w:tc>
        <w:tc>
          <w:tcPr>
            <w:tcW w:w="2340" w:type="dxa"/>
          </w:tcPr>
          <w:p w14:paraId="40BDF9CE" w14:textId="55B8A913" w:rsidR="00CC2027" w:rsidRDefault="00CC2027" w:rsidP="00CC2027">
            <w:r>
              <w:t>Често</w:t>
            </w:r>
          </w:p>
        </w:tc>
        <w:tc>
          <w:tcPr>
            <w:tcW w:w="2343" w:type="dxa"/>
          </w:tcPr>
          <w:p w14:paraId="5325358B" w14:textId="77777777" w:rsidR="00CC2027" w:rsidRDefault="00CC2027" w:rsidP="00CC2027"/>
        </w:tc>
        <w:tc>
          <w:tcPr>
            <w:tcW w:w="2325" w:type="dxa"/>
          </w:tcPr>
          <w:p w14:paraId="5583E9F0" w14:textId="283B1BF0" w:rsidR="00CC2027" w:rsidRDefault="00CC2027" w:rsidP="00CC2027">
            <w:r>
              <w:t>Често</w:t>
            </w:r>
          </w:p>
        </w:tc>
      </w:tr>
      <w:tr w:rsidR="00CC2027" w14:paraId="7A061C64" w14:textId="77777777" w:rsidTr="00CC2027">
        <w:tc>
          <w:tcPr>
            <w:tcW w:w="2568" w:type="dxa"/>
          </w:tcPr>
          <w:p w14:paraId="1D7A2D46" w14:textId="7EAB9E73" w:rsidR="00CC2027" w:rsidRDefault="00CC2027" w:rsidP="00CC2027">
            <w:r>
              <w:t>Приапизъм</w:t>
            </w:r>
          </w:p>
        </w:tc>
        <w:tc>
          <w:tcPr>
            <w:tcW w:w="2340" w:type="dxa"/>
          </w:tcPr>
          <w:p w14:paraId="732789AE" w14:textId="77777777" w:rsidR="00CC2027" w:rsidRDefault="00CC2027" w:rsidP="00CC2027"/>
        </w:tc>
        <w:tc>
          <w:tcPr>
            <w:tcW w:w="2343" w:type="dxa"/>
          </w:tcPr>
          <w:p w14:paraId="4ED9BB57" w14:textId="77777777" w:rsidR="00CC2027" w:rsidRDefault="00CC2027" w:rsidP="00CC2027"/>
        </w:tc>
        <w:tc>
          <w:tcPr>
            <w:tcW w:w="2325" w:type="dxa"/>
          </w:tcPr>
          <w:p w14:paraId="11F4DE70" w14:textId="18EAA0EF" w:rsidR="00CC2027" w:rsidRDefault="00CC2027" w:rsidP="00CC2027">
            <w:r>
              <w:t>Много рядко</w:t>
            </w:r>
          </w:p>
        </w:tc>
      </w:tr>
      <w:tr w:rsidR="00CC2027" w14:paraId="75369E4B" w14:textId="77777777" w:rsidTr="00CC2027">
        <w:tc>
          <w:tcPr>
            <w:tcW w:w="9576" w:type="dxa"/>
            <w:gridSpan w:val="4"/>
          </w:tcPr>
          <w:p w14:paraId="713ABB76" w14:textId="200FF49F" w:rsidR="00CC2027" w:rsidRPr="00CC2027" w:rsidRDefault="00CC2027" w:rsidP="00CC2027">
            <w:pPr>
              <w:rPr>
                <w:b/>
              </w:rPr>
            </w:pPr>
            <w:r w:rsidRPr="00CC2027">
              <w:rPr>
                <w:b/>
              </w:rPr>
              <w:t>Общи нарушения н ефекти на мястото на приложение</w:t>
            </w:r>
          </w:p>
        </w:tc>
      </w:tr>
      <w:tr w:rsidR="00CC2027" w14:paraId="68FE4B54" w14:textId="77777777" w:rsidTr="00CC2027">
        <w:tc>
          <w:tcPr>
            <w:tcW w:w="2568" w:type="dxa"/>
          </w:tcPr>
          <w:p w14:paraId="4B6389F9" w14:textId="4DA35E7B" w:rsidR="00CC2027" w:rsidRDefault="00CC2027" w:rsidP="00CC2027">
            <w:r>
              <w:t>Умора</w:t>
            </w:r>
          </w:p>
        </w:tc>
        <w:tc>
          <w:tcPr>
            <w:tcW w:w="2340" w:type="dxa"/>
          </w:tcPr>
          <w:p w14:paraId="44B0F07F" w14:textId="0F6C6323" w:rsidR="00CC2027" w:rsidRDefault="00CC2027" w:rsidP="00CC2027">
            <w:r>
              <w:t>Често</w:t>
            </w:r>
          </w:p>
        </w:tc>
        <w:tc>
          <w:tcPr>
            <w:tcW w:w="2343" w:type="dxa"/>
          </w:tcPr>
          <w:p w14:paraId="53070636" w14:textId="4C23F002" w:rsidR="00CC2027" w:rsidRDefault="00CC2027" w:rsidP="00CC2027">
            <w:r>
              <w:t>Нечесто</w:t>
            </w:r>
          </w:p>
        </w:tc>
        <w:tc>
          <w:tcPr>
            <w:tcW w:w="2325" w:type="dxa"/>
          </w:tcPr>
          <w:p w14:paraId="4F8629CC" w14:textId="77777777" w:rsidR="00CC2027" w:rsidRDefault="00CC2027" w:rsidP="00CC2027"/>
        </w:tc>
      </w:tr>
      <w:tr w:rsidR="00CC2027" w14:paraId="330093C5" w14:textId="77777777" w:rsidTr="00CC2027">
        <w:tc>
          <w:tcPr>
            <w:tcW w:w="2568" w:type="dxa"/>
          </w:tcPr>
          <w:p w14:paraId="7E9CB5A5" w14:textId="19BB62B5" w:rsidR="00CC2027" w:rsidRDefault="00CC2027" w:rsidP="00CC2027">
            <w:r>
              <w:t>Периферни отоци</w:t>
            </w:r>
          </w:p>
        </w:tc>
        <w:tc>
          <w:tcPr>
            <w:tcW w:w="2340" w:type="dxa"/>
          </w:tcPr>
          <w:p w14:paraId="5CF17CDE" w14:textId="77777777" w:rsidR="00CC2027" w:rsidRDefault="00CC2027" w:rsidP="00CC2027"/>
        </w:tc>
        <w:tc>
          <w:tcPr>
            <w:tcW w:w="2343" w:type="dxa"/>
          </w:tcPr>
          <w:p w14:paraId="3750294A" w14:textId="44C67566" w:rsidR="00CC2027" w:rsidRDefault="00CC2027" w:rsidP="00CC2027">
            <w:r>
              <w:t>Нечесто</w:t>
            </w:r>
          </w:p>
        </w:tc>
        <w:tc>
          <w:tcPr>
            <w:tcW w:w="2325" w:type="dxa"/>
          </w:tcPr>
          <w:p w14:paraId="194CD127" w14:textId="77777777" w:rsidR="00CC2027" w:rsidRDefault="00CC2027" w:rsidP="00CC2027"/>
        </w:tc>
      </w:tr>
      <w:tr w:rsidR="00CC2027" w14:paraId="33256DE4" w14:textId="77777777" w:rsidTr="00CC2027">
        <w:tc>
          <w:tcPr>
            <w:tcW w:w="2568" w:type="dxa"/>
          </w:tcPr>
          <w:p w14:paraId="3831B4CC" w14:textId="0C929403" w:rsidR="00CC2027" w:rsidRDefault="00CC2027" w:rsidP="00CC2027">
            <w:r>
              <w:t>Астения</w:t>
            </w:r>
          </w:p>
        </w:tc>
        <w:tc>
          <w:tcPr>
            <w:tcW w:w="2340" w:type="dxa"/>
          </w:tcPr>
          <w:p w14:paraId="65F1D3D8" w14:textId="77777777" w:rsidR="00CC2027" w:rsidRDefault="00CC2027" w:rsidP="00CC2027"/>
        </w:tc>
        <w:tc>
          <w:tcPr>
            <w:tcW w:w="2343" w:type="dxa"/>
          </w:tcPr>
          <w:p w14:paraId="0958E83A" w14:textId="77777777" w:rsidR="00CC2027" w:rsidRDefault="00CC2027" w:rsidP="00CC2027"/>
        </w:tc>
        <w:tc>
          <w:tcPr>
            <w:tcW w:w="2325" w:type="dxa"/>
          </w:tcPr>
          <w:p w14:paraId="32D1BBFB" w14:textId="6E44F547" w:rsidR="00CC2027" w:rsidRDefault="00CC2027" w:rsidP="00CC2027">
            <w:r>
              <w:t>Нечесто</w:t>
            </w:r>
          </w:p>
        </w:tc>
      </w:tr>
    </w:tbl>
    <w:p w14:paraId="37532A0D" w14:textId="1A315F90" w:rsidR="00CC2027" w:rsidRPr="00CC2027" w:rsidRDefault="00CC2027" w:rsidP="00CC2027">
      <w:pPr>
        <w:rPr>
          <w:rFonts w:cs="Arial"/>
        </w:rPr>
      </w:pPr>
      <w:proofErr w:type="gramStart"/>
      <w:r w:rsidRPr="00CC2027">
        <w:rPr>
          <w:rFonts w:cs="Arial"/>
          <w:lang w:val="ru-RU" w:eastAsia="bg-BG"/>
        </w:rPr>
        <w:t>#:</w:t>
      </w:r>
      <w:r w:rsidRPr="00CC2027">
        <w:rPr>
          <w:rFonts w:cs="Arial"/>
          <w:lang w:eastAsia="bg-BG"/>
        </w:rPr>
        <w:t>НЛР</w:t>
      </w:r>
      <w:proofErr w:type="gramEnd"/>
      <w:r w:rsidRPr="00CC2027">
        <w:rPr>
          <w:rFonts w:cs="Arial"/>
          <w:lang w:eastAsia="bg-BG"/>
        </w:rPr>
        <w:t xml:space="preserve"> от солифенацин и тамсулозин, включени в тази таблица, са НЛР, посочени в кратката характеристика на продукта за двата продукта.</w:t>
      </w:r>
    </w:p>
    <w:p w14:paraId="0C810353" w14:textId="77777777" w:rsidR="00CC2027" w:rsidRPr="00CC2027" w:rsidRDefault="00CC2027" w:rsidP="00CC2027">
      <w:pPr>
        <w:rPr>
          <w:rFonts w:cs="Arial"/>
        </w:rPr>
      </w:pPr>
      <w:r w:rsidRPr="00CC2027">
        <w:rPr>
          <w:rFonts w:cs="Arial"/>
          <w:lang w:eastAsia="bg-BG"/>
        </w:rPr>
        <w:t>*: от докладите от постмаркетинговия период. Тъй като тези спонтанно съобщени реакции са от постмаркетинговия опит в световен мащаб, честотата на реакциите и ролята на солифенацин или тамсулозин и техния произход не може надежно да се определят,</w:t>
      </w:r>
    </w:p>
    <w:p w14:paraId="4C694F62" w14:textId="77777777" w:rsidR="00CC2027" w:rsidRPr="00CC2027" w:rsidRDefault="00CC2027" w:rsidP="00CC2027">
      <w:pPr>
        <w:rPr>
          <w:rFonts w:cs="Arial"/>
        </w:rPr>
      </w:pPr>
      <w:r w:rsidRPr="00CC2027">
        <w:rPr>
          <w:rFonts w:cs="Arial"/>
          <w:lang w:eastAsia="bg-BG"/>
        </w:rPr>
        <w:t>**: от постмаркетинговия период, наблюдавани по време на операция на катаракта и глаукома.</w:t>
      </w:r>
    </w:p>
    <w:p w14:paraId="7F174055" w14:textId="77777777" w:rsidR="00CC2027" w:rsidRPr="00CC2027" w:rsidRDefault="00CC2027" w:rsidP="00CC2027">
      <w:pPr>
        <w:rPr>
          <w:rFonts w:cs="Arial"/>
        </w:rPr>
      </w:pPr>
      <w:r w:rsidRPr="00CC2027">
        <w:rPr>
          <w:rFonts w:cs="Arial"/>
          <w:lang w:eastAsia="bg-BG"/>
        </w:rPr>
        <w:t xml:space="preserve">***: вижте точка 4.4. Специални предупреждения и предпазни мерки </w:t>
      </w:r>
      <w:r w:rsidRPr="00CC2027">
        <w:rPr>
          <w:rFonts w:cs="Arial"/>
          <w:i/>
          <w:iCs/>
          <w:lang w:eastAsia="bg-BG"/>
        </w:rPr>
        <w:t>при употреба</w:t>
      </w:r>
    </w:p>
    <w:p w14:paraId="07E6B0C1" w14:textId="77777777" w:rsidR="00CC2027" w:rsidRPr="00CC2027" w:rsidRDefault="00CC2027" w:rsidP="00CC2027">
      <w:pPr>
        <w:rPr>
          <w:rFonts w:cs="Arial"/>
          <w:i/>
          <w:iCs/>
          <w:lang w:eastAsia="bg-BG"/>
        </w:rPr>
      </w:pPr>
    </w:p>
    <w:p w14:paraId="3A0C0600" w14:textId="6AF659FA" w:rsidR="00CC2027" w:rsidRPr="00CC2027" w:rsidRDefault="00CC2027" w:rsidP="00CC2027">
      <w:pPr>
        <w:rPr>
          <w:rFonts w:cs="Arial"/>
        </w:rPr>
      </w:pPr>
      <w:r w:rsidRPr="00CC2027">
        <w:rPr>
          <w:rFonts w:cs="Arial"/>
          <w:i/>
          <w:iCs/>
          <w:lang w:eastAsia="bg-BG"/>
        </w:rPr>
        <w:t>Дългосрочна безопасност на Везомни</w:t>
      </w:r>
    </w:p>
    <w:p w14:paraId="7A4EF10F" w14:textId="77777777" w:rsidR="00CC2027" w:rsidRPr="00CC2027" w:rsidRDefault="00CC2027" w:rsidP="00CC2027">
      <w:pPr>
        <w:rPr>
          <w:rFonts w:cs="Arial"/>
        </w:rPr>
      </w:pPr>
      <w:r w:rsidRPr="00CC2027">
        <w:rPr>
          <w:rFonts w:cs="Arial"/>
          <w:lang w:eastAsia="bg-BG"/>
        </w:rPr>
        <w:t>Профилът на нежелани реакции, наблюдаван с лечение до 1 година, е подобен на този, наблюдаван при 12-седмичните проучвания. Продуктът се понася добре и продължителната му употреба не се свързва с специфични нежелани реакции.</w:t>
      </w:r>
    </w:p>
    <w:p w14:paraId="52F3B868" w14:textId="77777777" w:rsidR="00CC2027" w:rsidRPr="00CC2027" w:rsidRDefault="00CC2027" w:rsidP="00CC2027">
      <w:pPr>
        <w:rPr>
          <w:rFonts w:cs="Arial"/>
          <w:i/>
          <w:iCs/>
          <w:lang w:eastAsia="bg-BG"/>
        </w:rPr>
      </w:pPr>
    </w:p>
    <w:p w14:paraId="4182BC18" w14:textId="0E86583C" w:rsidR="00CC2027" w:rsidRPr="00CC2027" w:rsidRDefault="00CC2027" w:rsidP="00CC2027">
      <w:pPr>
        <w:rPr>
          <w:rFonts w:cs="Arial"/>
        </w:rPr>
      </w:pPr>
      <w:r w:rsidRPr="00CC2027">
        <w:rPr>
          <w:rFonts w:cs="Arial"/>
          <w:i/>
          <w:iCs/>
          <w:lang w:eastAsia="bg-BG"/>
        </w:rPr>
        <w:t>Описание на определени нежелани реакции</w:t>
      </w:r>
    </w:p>
    <w:p w14:paraId="4F76B112" w14:textId="77777777" w:rsidR="00CC2027" w:rsidRPr="00CC2027" w:rsidRDefault="00CC2027" w:rsidP="00CC2027">
      <w:pPr>
        <w:rPr>
          <w:rFonts w:cs="Arial"/>
        </w:rPr>
      </w:pPr>
      <w:r w:rsidRPr="00CC2027">
        <w:rPr>
          <w:rFonts w:cs="Arial"/>
          <w:lang w:eastAsia="bg-BG"/>
        </w:rPr>
        <w:t>За задръжка на урина вижте точка 4.4. Специални предупреждения и предпазни мерки при употреба.</w:t>
      </w:r>
    </w:p>
    <w:p w14:paraId="1F39FC07" w14:textId="77777777" w:rsidR="00CC2027" w:rsidRPr="00CC2027" w:rsidRDefault="00CC2027" w:rsidP="00CC2027">
      <w:pPr>
        <w:rPr>
          <w:rFonts w:cs="Arial"/>
          <w:i/>
          <w:iCs/>
          <w:lang w:eastAsia="bg-BG"/>
        </w:rPr>
      </w:pPr>
    </w:p>
    <w:p w14:paraId="1773DCE7" w14:textId="1A9347E6" w:rsidR="00CC2027" w:rsidRPr="00CC2027" w:rsidRDefault="00CC2027" w:rsidP="00CC2027">
      <w:pPr>
        <w:rPr>
          <w:rFonts w:cs="Arial"/>
        </w:rPr>
      </w:pPr>
      <w:r w:rsidRPr="00CC2027">
        <w:rPr>
          <w:rFonts w:cs="Arial"/>
          <w:i/>
          <w:iCs/>
          <w:lang w:eastAsia="bg-BG"/>
        </w:rPr>
        <w:t>Старческа възраст</w:t>
      </w:r>
    </w:p>
    <w:p w14:paraId="2F8EE737" w14:textId="7E0598C2" w:rsidR="00CC2027" w:rsidRPr="00CC2027" w:rsidRDefault="00CC2027" w:rsidP="00CC2027">
      <w:pPr>
        <w:rPr>
          <w:rFonts w:cs="Arial"/>
          <w:lang w:eastAsia="bg-BG"/>
        </w:rPr>
      </w:pPr>
      <w:r w:rsidRPr="00CC2027">
        <w:rPr>
          <w:rFonts w:cs="Arial"/>
          <w:lang w:eastAsia="bg-BG"/>
        </w:rPr>
        <w:t xml:space="preserve">Терапевтичните показания на Везомни, умерени до тежки симптоми на съхранение (неотложност, повишена честота на уриниране) и симптоми на изпразване, свързани с доброкачествена простатна хиперплазия (ДПХ) са заболяване засягащо мъже в старческа възраст. Клиничното разработване на Везомни е направено при пациенти от 45 до 91 години възраст, на средна възраст от 65 години. Нежеланите реакции в популацията в старческа възраст са подобни </w:t>
      </w:r>
      <w:r w:rsidRPr="00CC2027">
        <w:rPr>
          <w:rFonts w:cs="Arial"/>
          <w:i/>
          <w:iCs/>
          <w:lang w:eastAsia="bg-BG"/>
        </w:rPr>
        <w:t>на</w:t>
      </w:r>
      <w:r w:rsidRPr="00CC2027">
        <w:rPr>
          <w:rFonts w:cs="Arial"/>
          <w:lang w:eastAsia="bg-BG"/>
        </w:rPr>
        <w:t xml:space="preserve"> по-младата популация.</w:t>
      </w:r>
    </w:p>
    <w:p w14:paraId="37C239BF" w14:textId="312E2430" w:rsidR="00CC2027" w:rsidRPr="00CC2027" w:rsidRDefault="00CC2027" w:rsidP="00CC2027">
      <w:pPr>
        <w:rPr>
          <w:rFonts w:cs="Arial"/>
          <w:lang w:eastAsia="bg-BG"/>
        </w:rPr>
      </w:pPr>
    </w:p>
    <w:p w14:paraId="531C9913" w14:textId="77777777" w:rsidR="00CC2027" w:rsidRPr="00CC2027" w:rsidRDefault="00CC2027" w:rsidP="00CC2027">
      <w:pPr>
        <w:spacing w:line="240" w:lineRule="auto"/>
        <w:rPr>
          <w:rFonts w:eastAsia="Times New Roman" w:cs="Arial"/>
        </w:rPr>
      </w:pPr>
      <w:r w:rsidRPr="00CC2027">
        <w:rPr>
          <w:rFonts w:eastAsia="Times New Roman" w:cs="Arial"/>
          <w:color w:val="000000"/>
          <w:u w:val="single"/>
          <w:lang w:eastAsia="bg-BG"/>
        </w:rPr>
        <w:t>Съобщаване на подозирани нежелани реакции</w:t>
      </w:r>
    </w:p>
    <w:p w14:paraId="522F0A12" w14:textId="72FBDDF1" w:rsidR="00CC2027" w:rsidRDefault="00CC2027" w:rsidP="00CC2027">
      <w:pPr>
        <w:rPr>
          <w:rFonts w:eastAsia="Times New Roman" w:cs="Arial"/>
          <w:color w:val="000000"/>
          <w:lang w:val="en-US"/>
        </w:rPr>
      </w:pPr>
      <w:r w:rsidRPr="00CC2027">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w:t>
      </w:r>
      <w:r w:rsidRPr="00CC2027">
        <w:rPr>
          <w:rFonts w:eastAsia="Times New Roman" w:cs="Arial"/>
          <w:color w:val="000000"/>
          <w:lang w:eastAsia="bg-BG"/>
        </w:rPr>
        <w:lastRenderedPageBreak/>
        <w:t xml:space="preserve">съобщаване, Изпълнителна агенция по лекарствата ул. .Дамян Груев” № 8, 1303 София, Тел.: +35 928903417, уебсайт: </w:t>
      </w:r>
      <w:r w:rsidRPr="00CC2027">
        <w:rPr>
          <w:rFonts w:eastAsia="Times New Roman" w:cs="Arial"/>
        </w:rPr>
        <w:fldChar w:fldCharType="begin"/>
      </w:r>
      <w:r w:rsidRPr="00CC2027">
        <w:rPr>
          <w:rFonts w:eastAsia="Times New Roman" w:cs="Arial"/>
        </w:rPr>
        <w:instrText xml:space="preserve"> HYPERLINK "http://www.bda.bg" </w:instrText>
      </w:r>
      <w:r w:rsidRPr="00CC2027">
        <w:rPr>
          <w:rFonts w:eastAsia="Times New Roman" w:cs="Arial"/>
        </w:rPr>
      </w:r>
      <w:r w:rsidRPr="00CC2027">
        <w:rPr>
          <w:rFonts w:eastAsia="Times New Roman" w:cs="Arial"/>
        </w:rPr>
        <w:fldChar w:fldCharType="separate"/>
      </w:r>
      <w:r w:rsidRPr="00CC2027">
        <w:rPr>
          <w:rFonts w:eastAsia="Times New Roman" w:cs="Arial"/>
          <w:color w:val="000000"/>
          <w:lang w:val="en-US"/>
        </w:rPr>
        <w:t>www.bda.bg</w:t>
      </w:r>
      <w:r w:rsidRPr="00CC2027">
        <w:rPr>
          <w:rFonts w:eastAsia="Times New Roman" w:cs="Arial"/>
        </w:rPr>
        <w:fldChar w:fldCharType="end"/>
      </w:r>
      <w:r w:rsidRPr="00CC2027">
        <w:rPr>
          <w:rFonts w:eastAsia="Times New Roman" w:cs="Arial"/>
          <w:color w:val="000000"/>
          <w:lang w:val="en-US"/>
        </w:rPr>
        <w:t>.</w:t>
      </w:r>
    </w:p>
    <w:p w14:paraId="437E512D" w14:textId="77777777" w:rsidR="00CC2027" w:rsidRPr="00CC2027" w:rsidRDefault="00CC2027" w:rsidP="00CC2027">
      <w:pPr>
        <w:rPr>
          <w:rFonts w:cs="Arial"/>
        </w:rPr>
      </w:pPr>
    </w:p>
    <w:p w14:paraId="4ED30546" w14:textId="5FFCF11B" w:rsidR="007C605B" w:rsidRDefault="002C50EE" w:rsidP="009F1313">
      <w:pPr>
        <w:pStyle w:val="Heading2"/>
      </w:pPr>
      <w:r>
        <w:t>4.9. Предозиране</w:t>
      </w:r>
    </w:p>
    <w:p w14:paraId="05BA76C6" w14:textId="5D6B34DD" w:rsidR="00CC2027" w:rsidRDefault="00CC2027" w:rsidP="00CC2027"/>
    <w:p w14:paraId="3109D408" w14:textId="77777777" w:rsidR="00CC2027" w:rsidRPr="00CC2027" w:rsidRDefault="00CC2027" w:rsidP="00CC2027">
      <w:pPr>
        <w:spacing w:line="240" w:lineRule="auto"/>
        <w:rPr>
          <w:rFonts w:eastAsia="Times New Roman" w:cs="Arial"/>
          <w:sz w:val="28"/>
          <w:szCs w:val="24"/>
        </w:rPr>
      </w:pPr>
      <w:r w:rsidRPr="00CC2027">
        <w:rPr>
          <w:rFonts w:eastAsia="Times New Roman" w:cs="Arial"/>
          <w:i/>
          <w:iCs/>
          <w:color w:val="000000"/>
          <w:szCs w:val="20"/>
          <w:lang w:eastAsia="bg-BG"/>
        </w:rPr>
        <w:t>Симптоми</w:t>
      </w:r>
    </w:p>
    <w:p w14:paraId="6117F399"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 xml:space="preserve">Предозирането с комбинацията от солифенацин и тамсулозин може потенциално да доведе до тежки антихолинергични ефекти плюс остра хипотония. Най-високата доза приета случайно по време на клинично проучване, съответства на 126 </w:t>
      </w:r>
      <w:r w:rsidRPr="00CC2027">
        <w:rPr>
          <w:rFonts w:eastAsia="Times New Roman" w:cs="Arial"/>
          <w:color w:val="000000"/>
          <w:szCs w:val="20"/>
          <w:lang w:val="en-US"/>
        </w:rPr>
        <w:t>mg</w:t>
      </w:r>
      <w:r w:rsidRPr="00CC2027">
        <w:rPr>
          <w:rFonts w:eastAsia="Times New Roman" w:cs="Arial"/>
          <w:color w:val="000000"/>
          <w:szCs w:val="20"/>
          <w:lang w:val="ru-RU"/>
        </w:rPr>
        <w:t xml:space="preserve"> </w:t>
      </w:r>
      <w:r w:rsidRPr="00CC2027">
        <w:rPr>
          <w:rFonts w:eastAsia="Times New Roman" w:cs="Arial"/>
          <w:color w:val="000000"/>
          <w:szCs w:val="20"/>
          <w:lang w:eastAsia="bg-BG"/>
        </w:rPr>
        <w:t xml:space="preserve">солифенацинов сукцинат и 5,6 </w:t>
      </w:r>
      <w:r w:rsidRPr="00CC2027">
        <w:rPr>
          <w:rFonts w:eastAsia="Times New Roman" w:cs="Arial"/>
          <w:color w:val="000000"/>
          <w:szCs w:val="20"/>
          <w:lang w:val="en-US"/>
        </w:rPr>
        <w:t>mg</w:t>
      </w:r>
      <w:r w:rsidRPr="00CC2027">
        <w:rPr>
          <w:rFonts w:eastAsia="Times New Roman" w:cs="Arial"/>
          <w:color w:val="000000"/>
          <w:szCs w:val="20"/>
          <w:lang w:val="ru-RU"/>
        </w:rPr>
        <w:t xml:space="preserve"> </w:t>
      </w:r>
      <w:r w:rsidRPr="00CC2027">
        <w:rPr>
          <w:rFonts w:eastAsia="Times New Roman" w:cs="Arial"/>
          <w:color w:val="000000"/>
          <w:szCs w:val="20"/>
          <w:lang w:eastAsia="bg-BG"/>
        </w:rPr>
        <w:t>тамсулозинов хидрохлорид. Тази доза се понася добре, с лека сухота в устата за 16 дни като единствена докладвана нежелана реакция.</w:t>
      </w:r>
    </w:p>
    <w:p w14:paraId="571B2988" w14:textId="77777777" w:rsidR="00CC2027" w:rsidRPr="00CC2027" w:rsidRDefault="00CC2027" w:rsidP="00CC2027">
      <w:pPr>
        <w:spacing w:line="240" w:lineRule="auto"/>
        <w:rPr>
          <w:rFonts w:eastAsia="Times New Roman" w:cs="Arial"/>
          <w:i/>
          <w:iCs/>
          <w:color w:val="000000"/>
          <w:szCs w:val="20"/>
          <w:lang w:eastAsia="bg-BG"/>
        </w:rPr>
      </w:pPr>
    </w:p>
    <w:p w14:paraId="6EE9135D" w14:textId="257D6868" w:rsidR="00CC2027" w:rsidRPr="00CC2027" w:rsidRDefault="00CC2027" w:rsidP="00CC2027">
      <w:pPr>
        <w:spacing w:line="240" w:lineRule="auto"/>
        <w:rPr>
          <w:rFonts w:eastAsia="Times New Roman" w:cs="Arial"/>
          <w:sz w:val="28"/>
          <w:szCs w:val="24"/>
        </w:rPr>
      </w:pPr>
      <w:r w:rsidRPr="00CC2027">
        <w:rPr>
          <w:rFonts w:eastAsia="Times New Roman" w:cs="Arial"/>
          <w:i/>
          <w:iCs/>
          <w:color w:val="000000"/>
          <w:szCs w:val="20"/>
          <w:lang w:eastAsia="bg-BG"/>
        </w:rPr>
        <w:t>Лечение</w:t>
      </w:r>
    </w:p>
    <w:p w14:paraId="7E98CE5E" w14:textId="77777777"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В случай на предозиране с солифенацин и тамсулозин на пациента трябва да се даде активен въглен. Стомашна промивка е целесъобразна ако се направи до 1 час, но не трябва да се предизвиква повръщане.</w:t>
      </w:r>
    </w:p>
    <w:p w14:paraId="1F4B4406" w14:textId="77777777" w:rsidR="00CC2027" w:rsidRPr="00CC2027" w:rsidRDefault="00CC2027" w:rsidP="00CC2027">
      <w:pPr>
        <w:spacing w:line="240" w:lineRule="auto"/>
        <w:rPr>
          <w:rFonts w:eastAsia="Times New Roman" w:cs="Arial"/>
          <w:color w:val="000000"/>
          <w:szCs w:val="20"/>
          <w:lang w:eastAsia="bg-BG"/>
        </w:rPr>
      </w:pPr>
    </w:p>
    <w:p w14:paraId="4731E874" w14:textId="302BE70A"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Както и при другите антихолинергични средства, симптомите на предозиране породени от компонентата солифенацин може да се лекуват по следния начин:</w:t>
      </w:r>
    </w:p>
    <w:p w14:paraId="05559DEE" w14:textId="77777777" w:rsidR="00CC2027" w:rsidRDefault="00CC2027" w:rsidP="00CC2027">
      <w:pPr>
        <w:pStyle w:val="ListParagraph"/>
        <w:numPr>
          <w:ilvl w:val="0"/>
          <w:numId w:val="2"/>
        </w:numPr>
        <w:spacing w:line="240" w:lineRule="auto"/>
        <w:rPr>
          <w:rFonts w:eastAsia="Times New Roman" w:cs="Arial"/>
          <w:color w:val="000000"/>
          <w:szCs w:val="20"/>
          <w:lang w:eastAsia="bg-BG"/>
        </w:rPr>
      </w:pPr>
      <w:r w:rsidRPr="00CC2027">
        <w:rPr>
          <w:rFonts w:eastAsia="Times New Roman" w:cs="Arial"/>
          <w:color w:val="000000"/>
          <w:szCs w:val="20"/>
          <w:lang w:eastAsia="bg-BG"/>
        </w:rPr>
        <w:t>Тежките централни антихолинергични ефекти, като халюцинации или силно изразено възбуждане: прилага се физостигмин или карбахол.</w:t>
      </w:r>
    </w:p>
    <w:p w14:paraId="3203A55B" w14:textId="77777777" w:rsidR="00CC2027" w:rsidRDefault="00CC2027" w:rsidP="00CC2027">
      <w:pPr>
        <w:pStyle w:val="ListParagraph"/>
        <w:numPr>
          <w:ilvl w:val="0"/>
          <w:numId w:val="2"/>
        </w:numPr>
        <w:spacing w:line="240" w:lineRule="auto"/>
        <w:rPr>
          <w:rFonts w:eastAsia="Times New Roman" w:cs="Arial"/>
          <w:color w:val="000000"/>
          <w:szCs w:val="20"/>
          <w:lang w:eastAsia="bg-BG"/>
        </w:rPr>
      </w:pPr>
      <w:r w:rsidRPr="00CC2027">
        <w:rPr>
          <w:rFonts w:eastAsia="Times New Roman" w:cs="Arial"/>
          <w:color w:val="000000"/>
          <w:szCs w:val="20"/>
          <w:lang w:eastAsia="bg-BG"/>
        </w:rPr>
        <w:t>Конвулсии или силно изразено възбуждане: лечение с бензодиазепин.</w:t>
      </w:r>
    </w:p>
    <w:p w14:paraId="74E4BE07" w14:textId="77777777" w:rsidR="00CC2027" w:rsidRDefault="00CC2027" w:rsidP="00CC2027">
      <w:pPr>
        <w:pStyle w:val="ListParagraph"/>
        <w:numPr>
          <w:ilvl w:val="0"/>
          <w:numId w:val="2"/>
        </w:numPr>
        <w:spacing w:line="240" w:lineRule="auto"/>
        <w:rPr>
          <w:rFonts w:eastAsia="Times New Roman" w:cs="Arial"/>
          <w:color w:val="000000"/>
          <w:szCs w:val="20"/>
          <w:lang w:eastAsia="bg-BG"/>
        </w:rPr>
      </w:pPr>
      <w:r w:rsidRPr="00CC2027">
        <w:rPr>
          <w:rFonts w:eastAsia="Times New Roman" w:cs="Arial"/>
          <w:color w:val="000000"/>
          <w:szCs w:val="20"/>
          <w:lang w:eastAsia="bg-BG"/>
        </w:rPr>
        <w:t>Дихателна недостатъчност: прави се изкуствено дишане.</w:t>
      </w:r>
    </w:p>
    <w:p w14:paraId="1200EA64" w14:textId="77777777" w:rsidR="00CC2027" w:rsidRDefault="00CC2027" w:rsidP="00CC2027">
      <w:pPr>
        <w:pStyle w:val="ListParagraph"/>
        <w:numPr>
          <w:ilvl w:val="0"/>
          <w:numId w:val="2"/>
        </w:numPr>
        <w:spacing w:line="240" w:lineRule="auto"/>
        <w:rPr>
          <w:rFonts w:eastAsia="Times New Roman" w:cs="Arial"/>
          <w:color w:val="000000"/>
          <w:szCs w:val="20"/>
          <w:lang w:eastAsia="bg-BG"/>
        </w:rPr>
      </w:pPr>
      <w:r w:rsidRPr="00CC2027">
        <w:rPr>
          <w:rFonts w:eastAsia="Times New Roman" w:cs="Arial"/>
          <w:color w:val="000000"/>
          <w:szCs w:val="20"/>
          <w:lang w:eastAsia="bg-BG"/>
        </w:rPr>
        <w:t>Тахикардия: лекува се симптоматично, ако е необходимо. Бета-блокерите трябва да се използват с внимание, тъй като едновременното предозиране с тамсулозин може да предизвика тежка хипотония.</w:t>
      </w:r>
    </w:p>
    <w:p w14:paraId="412D1C8F" w14:textId="1677EE62" w:rsidR="00CC2027" w:rsidRPr="00CC2027" w:rsidRDefault="00CC2027" w:rsidP="00CC2027">
      <w:pPr>
        <w:pStyle w:val="ListParagraph"/>
        <w:numPr>
          <w:ilvl w:val="0"/>
          <w:numId w:val="2"/>
        </w:numPr>
        <w:spacing w:line="240" w:lineRule="auto"/>
        <w:rPr>
          <w:rFonts w:eastAsia="Times New Roman" w:cs="Arial"/>
          <w:color w:val="000000"/>
          <w:szCs w:val="20"/>
          <w:lang w:eastAsia="bg-BG"/>
        </w:rPr>
      </w:pPr>
      <w:r w:rsidRPr="00CC2027">
        <w:rPr>
          <w:rFonts w:eastAsia="Times New Roman" w:cs="Arial"/>
          <w:color w:val="000000"/>
          <w:szCs w:val="20"/>
          <w:lang w:eastAsia="bg-BG"/>
        </w:rPr>
        <w:t>При задържане на урина: прави се катетеризация.</w:t>
      </w:r>
    </w:p>
    <w:p w14:paraId="4DCF98F6" w14:textId="77777777" w:rsidR="00CC2027" w:rsidRPr="00CC2027" w:rsidRDefault="00CC2027" w:rsidP="00CC2027">
      <w:pPr>
        <w:spacing w:line="240" w:lineRule="auto"/>
        <w:rPr>
          <w:rFonts w:eastAsia="Times New Roman" w:cs="Arial"/>
          <w:color w:val="000000"/>
          <w:szCs w:val="20"/>
          <w:lang w:eastAsia="bg-BG"/>
        </w:rPr>
      </w:pPr>
    </w:p>
    <w:p w14:paraId="7AAD77E8" w14:textId="3A9DABAB" w:rsidR="00CC2027" w:rsidRPr="00CC2027" w:rsidRDefault="00CC2027" w:rsidP="00CC2027">
      <w:pPr>
        <w:spacing w:line="240" w:lineRule="auto"/>
        <w:rPr>
          <w:rFonts w:eastAsia="Times New Roman" w:cs="Arial"/>
          <w:sz w:val="28"/>
          <w:szCs w:val="24"/>
        </w:rPr>
      </w:pPr>
      <w:r w:rsidRPr="00CC2027">
        <w:rPr>
          <w:rFonts w:eastAsia="Times New Roman" w:cs="Arial"/>
          <w:color w:val="000000"/>
          <w:szCs w:val="20"/>
          <w:lang w:eastAsia="bg-BG"/>
        </w:rPr>
        <w:t xml:space="preserve">Както и при другите антимускаринови средства, в случай на предозиране, трябва да се обърне специално внимание на пациенти с известен риск от удължаване на </w:t>
      </w:r>
      <w:r w:rsidRPr="00CC2027">
        <w:rPr>
          <w:rFonts w:eastAsia="Times New Roman" w:cs="Arial"/>
          <w:color w:val="000000"/>
          <w:szCs w:val="20"/>
          <w:lang w:val="en-US"/>
        </w:rPr>
        <w:t>QT</w:t>
      </w:r>
      <w:r w:rsidRPr="00CC2027">
        <w:rPr>
          <w:rFonts w:eastAsia="Times New Roman" w:cs="Arial"/>
          <w:color w:val="000000"/>
          <w:szCs w:val="20"/>
          <w:lang w:eastAsia="bg-BG"/>
        </w:rPr>
        <w:t xml:space="preserve">-интервала (напр. хипокалиемия, брадикардия и едновременно прилагане на лекарствени продукти, за които е известно, че удължават </w:t>
      </w:r>
      <w:r w:rsidRPr="00CC2027">
        <w:rPr>
          <w:rFonts w:eastAsia="Times New Roman" w:cs="Arial"/>
          <w:color w:val="000000"/>
          <w:szCs w:val="20"/>
          <w:lang w:val="en-US"/>
        </w:rPr>
        <w:t>QT</w:t>
      </w:r>
      <w:r w:rsidRPr="00CC2027">
        <w:rPr>
          <w:rFonts w:eastAsia="Times New Roman" w:cs="Arial"/>
          <w:color w:val="000000"/>
          <w:szCs w:val="20"/>
          <w:lang w:eastAsia="bg-BG"/>
        </w:rPr>
        <w:t>-интервала) и при такива със съпътстващи сърдечни заболявания (напр. исхемия на миокарда, аритмия, конгестивна сърдечна недостатъчност).</w:t>
      </w:r>
    </w:p>
    <w:p w14:paraId="5AEC69A4" w14:textId="77777777" w:rsidR="00CC2027" w:rsidRPr="00CC2027" w:rsidRDefault="00CC2027" w:rsidP="00CC2027">
      <w:pPr>
        <w:rPr>
          <w:rFonts w:eastAsia="Times New Roman" w:cs="Arial"/>
          <w:color w:val="000000"/>
          <w:szCs w:val="20"/>
          <w:lang w:eastAsia="bg-BG"/>
        </w:rPr>
      </w:pPr>
    </w:p>
    <w:p w14:paraId="348CA1A9" w14:textId="0934D256" w:rsidR="002C7437" w:rsidRPr="002C7437" w:rsidRDefault="00CC2027" w:rsidP="00CC2027">
      <w:pPr>
        <w:rPr>
          <w:rFonts w:eastAsia="Times New Roman" w:cs="Arial"/>
          <w:color w:val="000000"/>
          <w:szCs w:val="20"/>
          <w:lang w:eastAsia="bg-BG"/>
        </w:rPr>
      </w:pPr>
      <w:r w:rsidRPr="00CC2027">
        <w:rPr>
          <w:rFonts w:eastAsia="Times New Roman" w:cs="Arial"/>
          <w:color w:val="000000"/>
          <w:szCs w:val="20"/>
          <w:lang w:eastAsia="bg-BG"/>
        </w:rPr>
        <w:t>Острата хипотония, която може да настъпи след предозиране поради съставката тамсулозин, трябва да се третира симптоматично. Малко вероятно е хемодиализа да бъде полезна, тъй като тамсулозин е свързан във висока степен с плазмените протеини.</w:t>
      </w:r>
    </w:p>
    <w:p w14:paraId="02081B24" w14:textId="1F46E296" w:rsidR="00395555" w:rsidRPr="00395555" w:rsidRDefault="002C50EE" w:rsidP="008A6AF2">
      <w:pPr>
        <w:pStyle w:val="Heading1"/>
      </w:pPr>
      <w:r>
        <w:t>5. ФАРМАКОЛОГИЧНИ СВОЙСТВА</w:t>
      </w:r>
    </w:p>
    <w:p w14:paraId="5350637D" w14:textId="2F2177D5" w:rsidR="00395555" w:rsidRDefault="002C50EE" w:rsidP="008A6AF2">
      <w:pPr>
        <w:pStyle w:val="Heading2"/>
      </w:pPr>
      <w:r>
        <w:t>5.1. Фармакодинамични свойства</w:t>
      </w:r>
    </w:p>
    <w:p w14:paraId="31FEEA57" w14:textId="1B70DBC8" w:rsidR="002C7437" w:rsidRDefault="002C7437" w:rsidP="002C7437"/>
    <w:p w14:paraId="71F4B1D2"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 xml:space="preserve">Фармакогерапевтична група: алфа- адренорецепторни антагонисти, АТС код: </w:t>
      </w:r>
      <w:r w:rsidRPr="002C7437">
        <w:rPr>
          <w:rFonts w:eastAsia="Times New Roman" w:cs="Arial"/>
          <w:color w:val="000000"/>
          <w:lang w:val="en-US"/>
        </w:rPr>
        <w:t>G</w:t>
      </w:r>
      <w:r w:rsidRPr="002C7437">
        <w:rPr>
          <w:rFonts w:eastAsia="Times New Roman" w:cs="Arial"/>
          <w:color w:val="000000"/>
          <w:lang w:val="ru-RU"/>
        </w:rPr>
        <w:t>04</w:t>
      </w:r>
      <w:r w:rsidRPr="002C7437">
        <w:rPr>
          <w:rFonts w:eastAsia="Times New Roman" w:cs="Arial"/>
          <w:color w:val="000000"/>
          <w:lang w:val="en-US"/>
        </w:rPr>
        <w:t>CA</w:t>
      </w:r>
      <w:r w:rsidRPr="002C7437">
        <w:rPr>
          <w:rFonts w:eastAsia="Times New Roman" w:cs="Arial"/>
          <w:color w:val="000000"/>
          <w:lang w:val="ru-RU"/>
        </w:rPr>
        <w:t>53</w:t>
      </w:r>
    </w:p>
    <w:p w14:paraId="2934ADC2" w14:textId="77777777" w:rsidR="002C7437" w:rsidRPr="002C7437" w:rsidRDefault="002C7437" w:rsidP="002C7437">
      <w:pPr>
        <w:spacing w:line="240" w:lineRule="auto"/>
        <w:rPr>
          <w:rFonts w:eastAsia="Times New Roman" w:cs="Arial"/>
          <w:color w:val="000000"/>
          <w:u w:val="single"/>
          <w:lang w:eastAsia="bg-BG"/>
        </w:rPr>
      </w:pPr>
    </w:p>
    <w:p w14:paraId="5356B143" w14:textId="4A75EDE8"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Механизъм на действие</w:t>
      </w:r>
    </w:p>
    <w:p w14:paraId="3FDB2770" w14:textId="77777777"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Везомни</w:t>
      </w:r>
      <w:r w:rsidRPr="002C7437">
        <w:rPr>
          <w:rFonts w:eastAsia="Times New Roman" w:cs="Arial"/>
          <w:color w:val="000000"/>
          <w:lang w:eastAsia="bg-BG"/>
        </w:rPr>
        <w:t xml:space="preserve"> е комбинирана таблетка с фиксирани дози, съдържаща две активни вещества солифенацин и тамсулозин. Тези продукти са независими и с допълващ се механизъм на </w:t>
      </w:r>
      <w:r w:rsidRPr="002C7437">
        <w:rPr>
          <w:rFonts w:eastAsia="Times New Roman" w:cs="Arial"/>
          <w:color w:val="000000"/>
          <w:lang w:eastAsia="bg-BG"/>
        </w:rPr>
        <w:lastRenderedPageBreak/>
        <w:t>действие за лечение на симптоми на долния уринарент ракт (СДУТ), свързани с ДПХ със симптоми на съхранение.</w:t>
      </w:r>
      <w:bookmarkStart w:id="1" w:name="bookmark0"/>
      <w:bookmarkEnd w:id="1"/>
    </w:p>
    <w:p w14:paraId="5584D432" w14:textId="77777777" w:rsidR="002C7437" w:rsidRPr="002C7437" w:rsidRDefault="002C7437" w:rsidP="002C7437">
      <w:pPr>
        <w:spacing w:line="240" w:lineRule="auto"/>
        <w:rPr>
          <w:rFonts w:eastAsia="Times New Roman" w:cs="Arial"/>
        </w:rPr>
      </w:pPr>
    </w:p>
    <w:p w14:paraId="7E2982E1" w14:textId="77777777" w:rsidR="002C7437" w:rsidRPr="002C7437" w:rsidRDefault="002C7437" w:rsidP="002C7437">
      <w:pPr>
        <w:rPr>
          <w:rFonts w:eastAsia="Times New Roman" w:cs="Arial"/>
          <w:color w:val="000000"/>
          <w:u w:val="single"/>
          <w:lang w:eastAsia="bg-BG"/>
        </w:rPr>
      </w:pPr>
    </w:p>
    <w:p w14:paraId="53AC48C5" w14:textId="18E21EF6" w:rsidR="002C7437" w:rsidRPr="002C7437" w:rsidRDefault="002C7437" w:rsidP="002C7437">
      <w:pPr>
        <w:rPr>
          <w:rFonts w:eastAsia="Times New Roman" w:cs="Arial"/>
          <w:color w:val="000000"/>
          <w:lang w:val="ru-RU" w:eastAsia="bg-BG"/>
        </w:rPr>
      </w:pPr>
      <w:r w:rsidRPr="002C7437">
        <w:rPr>
          <w:rFonts w:eastAsia="Times New Roman" w:cs="Arial"/>
          <w:color w:val="000000"/>
          <w:u w:val="single"/>
          <w:lang w:eastAsia="bg-BG"/>
        </w:rPr>
        <w:t>Солифенацин</w:t>
      </w:r>
      <w:r w:rsidRPr="002C7437">
        <w:rPr>
          <w:rFonts w:eastAsia="Times New Roman" w:cs="Arial"/>
          <w:color w:val="000000"/>
          <w:lang w:eastAsia="bg-BG"/>
        </w:rPr>
        <w:t xml:space="preserve"> е компетитивен и селективен антагонист на мускариновите рецептори и няма значим афинитет за изпитвани различни други рецептори, ензими и йонни канали</w:t>
      </w:r>
      <w:r w:rsidRPr="002C7437">
        <w:rPr>
          <w:rFonts w:eastAsia="Times New Roman" w:cs="Arial"/>
          <w:color w:val="000000"/>
          <w:lang w:val="ru-RU" w:eastAsia="bg-BG"/>
        </w:rPr>
        <w:t>.</w:t>
      </w:r>
    </w:p>
    <w:p w14:paraId="35CA7545" w14:textId="3301B0DC" w:rsidR="002C7437" w:rsidRPr="002C7437" w:rsidRDefault="002C7437" w:rsidP="002C7437">
      <w:pPr>
        <w:rPr>
          <w:rFonts w:eastAsia="Times New Roman" w:cs="Arial"/>
          <w:color w:val="000000"/>
          <w:lang w:val="ru-RU" w:eastAsia="bg-BG"/>
        </w:rPr>
      </w:pPr>
    </w:p>
    <w:p w14:paraId="52EB6E6B"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 xml:space="preserve">Солифенацин има най-гол ям афинитет към мускариновите Мз-рецептори, последвани от мускариновите </w:t>
      </w:r>
      <w:r w:rsidRPr="002C7437">
        <w:rPr>
          <w:rFonts w:eastAsia="Times New Roman" w:cs="Arial"/>
          <w:color w:val="000000"/>
          <w:lang w:val="en-US"/>
        </w:rPr>
        <w:t>M</w:t>
      </w:r>
      <w:r w:rsidRPr="002C7437">
        <w:rPr>
          <w:rFonts w:eastAsia="Times New Roman" w:cs="Arial"/>
          <w:color w:val="000000"/>
          <w:vertAlign w:val="subscript"/>
          <w:lang w:val="ru-RU"/>
        </w:rPr>
        <w:t>1</w:t>
      </w:r>
      <w:r w:rsidRPr="002C7437">
        <w:rPr>
          <w:rFonts w:eastAsia="Times New Roman" w:cs="Arial"/>
          <w:color w:val="000000"/>
          <w:lang w:val="ru-RU"/>
        </w:rPr>
        <w:t xml:space="preserve">- </w:t>
      </w:r>
      <w:r w:rsidRPr="002C7437">
        <w:rPr>
          <w:rFonts w:eastAsia="Times New Roman" w:cs="Arial"/>
          <w:color w:val="000000"/>
          <w:lang w:eastAsia="bg-BG"/>
        </w:rPr>
        <w:t>и М</w:t>
      </w:r>
      <w:r w:rsidRPr="002C7437">
        <w:rPr>
          <w:rFonts w:eastAsia="Times New Roman" w:cs="Arial"/>
          <w:color w:val="000000"/>
          <w:vertAlign w:val="subscript"/>
          <w:lang w:eastAsia="bg-BG"/>
        </w:rPr>
        <w:t>2</w:t>
      </w:r>
      <w:r w:rsidRPr="002C7437">
        <w:rPr>
          <w:rFonts w:eastAsia="Times New Roman" w:cs="Arial"/>
          <w:color w:val="000000"/>
          <w:lang w:eastAsia="bg-BG"/>
        </w:rPr>
        <w:t>-рецептори.</w:t>
      </w:r>
    </w:p>
    <w:p w14:paraId="7F96A0C8" w14:textId="77777777" w:rsidR="002C7437" w:rsidRPr="002C7437" w:rsidRDefault="002C7437" w:rsidP="002C7437">
      <w:pPr>
        <w:spacing w:line="240" w:lineRule="auto"/>
        <w:rPr>
          <w:rFonts w:eastAsia="Times New Roman" w:cs="Arial"/>
          <w:color w:val="000000"/>
          <w:u w:val="single"/>
          <w:lang w:eastAsia="bg-BG"/>
        </w:rPr>
      </w:pPr>
    </w:p>
    <w:p w14:paraId="2CF7F2F0" w14:textId="423ED5A3"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Тамсулозин</w:t>
      </w:r>
      <w:r w:rsidRPr="002C7437">
        <w:rPr>
          <w:rFonts w:eastAsia="Times New Roman" w:cs="Arial"/>
          <w:color w:val="000000"/>
          <w:lang w:eastAsia="bg-BG"/>
        </w:rPr>
        <w:t xml:space="preserve"> е алфа</w:t>
      </w:r>
      <w:r w:rsidRPr="002C7437">
        <w:rPr>
          <w:rFonts w:eastAsia="Times New Roman" w:cs="Arial"/>
          <w:color w:val="000000"/>
          <w:vertAlign w:val="subscript"/>
          <w:lang w:eastAsia="bg-BG"/>
        </w:rPr>
        <w:t>1</w:t>
      </w:r>
      <w:r w:rsidRPr="002C7437">
        <w:rPr>
          <w:rFonts w:eastAsia="Times New Roman" w:cs="Arial"/>
          <w:color w:val="000000"/>
          <w:lang w:eastAsia="bg-BG"/>
        </w:rPr>
        <w:t xml:space="preserve">-адренорецепторен (АР) антагонист. Той се свързва селективно и компетитивно с постсинаптичните алфа </w:t>
      </w:r>
      <w:r w:rsidRPr="002C7437">
        <w:rPr>
          <w:rFonts w:eastAsia="Times New Roman" w:cs="Arial"/>
          <w:color w:val="000000"/>
          <w:vertAlign w:val="subscript"/>
          <w:lang w:eastAsia="bg-BG"/>
        </w:rPr>
        <w:t>1</w:t>
      </w:r>
      <w:r w:rsidRPr="002C7437">
        <w:rPr>
          <w:rFonts w:eastAsia="Times New Roman" w:cs="Arial"/>
          <w:color w:val="000000"/>
          <w:lang w:eastAsia="bg-BG"/>
        </w:rPr>
        <w:t xml:space="preserve">-адренорецептори, по-специално с подтип алфа </w:t>
      </w:r>
      <w:r w:rsidRPr="002C7437">
        <w:rPr>
          <w:rFonts w:eastAsia="Times New Roman" w:cs="Arial"/>
          <w:color w:val="000000"/>
          <w:vertAlign w:val="subscript"/>
          <w:lang w:eastAsia="bg-BG"/>
        </w:rPr>
        <w:t>1</w:t>
      </w:r>
      <w:r w:rsidRPr="002C7437">
        <w:rPr>
          <w:rFonts w:eastAsia="Times New Roman" w:cs="Arial"/>
          <w:smallCaps/>
          <w:color w:val="000000"/>
          <w:vertAlign w:val="subscript"/>
          <w:lang w:val="en-US"/>
        </w:rPr>
        <w:t>a</w:t>
      </w:r>
      <w:r w:rsidRPr="002C7437">
        <w:rPr>
          <w:rFonts w:eastAsia="Times New Roman" w:cs="Arial"/>
          <w:smallCaps/>
          <w:color w:val="000000"/>
          <w:lang w:eastAsia="bg-BG"/>
        </w:rPr>
        <w:t xml:space="preserve">и </w:t>
      </w:r>
      <w:r w:rsidRPr="002C7437">
        <w:rPr>
          <w:rFonts w:eastAsia="Times New Roman" w:cs="Arial"/>
          <w:color w:val="000000"/>
          <w:lang w:eastAsia="bg-BG"/>
        </w:rPr>
        <w:t xml:space="preserve">алфа </w:t>
      </w:r>
      <w:r w:rsidRPr="002C7437">
        <w:rPr>
          <w:rFonts w:eastAsia="Times New Roman" w:cs="Arial"/>
          <w:color w:val="000000"/>
          <w:vertAlign w:val="subscript"/>
          <w:lang w:eastAsia="bg-BG"/>
        </w:rPr>
        <w:t>1</w:t>
      </w:r>
      <w:r w:rsidRPr="002C7437">
        <w:rPr>
          <w:rFonts w:eastAsia="Times New Roman" w:cs="Arial"/>
          <w:smallCaps/>
          <w:color w:val="000000"/>
          <w:vertAlign w:val="subscript"/>
          <w:lang w:val="en-US"/>
        </w:rPr>
        <w:t>d</w:t>
      </w:r>
      <w:r w:rsidRPr="002C7437">
        <w:rPr>
          <w:rFonts w:eastAsia="Times New Roman" w:cs="Arial"/>
          <w:color w:val="000000"/>
          <w:vertAlign w:val="subscript"/>
          <w:lang w:val="ru-RU"/>
        </w:rPr>
        <w:t xml:space="preserve"> </w:t>
      </w:r>
      <w:r w:rsidRPr="002C7437">
        <w:rPr>
          <w:rFonts w:eastAsia="Times New Roman" w:cs="Arial"/>
          <w:color w:val="000000"/>
          <w:lang w:eastAsia="bg-BG"/>
        </w:rPr>
        <w:t>и е мощен антагонист в тъканите на долния уринарен тракт.</w:t>
      </w:r>
    </w:p>
    <w:p w14:paraId="41786170" w14:textId="77777777" w:rsidR="002C7437" w:rsidRPr="002C7437" w:rsidRDefault="002C7437" w:rsidP="002C7437">
      <w:pPr>
        <w:spacing w:line="240" w:lineRule="auto"/>
        <w:rPr>
          <w:rFonts w:eastAsia="Times New Roman" w:cs="Arial"/>
          <w:color w:val="000000"/>
          <w:u w:val="single"/>
          <w:lang w:eastAsia="bg-BG"/>
        </w:rPr>
      </w:pPr>
    </w:p>
    <w:p w14:paraId="3F2FA286" w14:textId="38AC34F5"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Фармакодинамични ефекти</w:t>
      </w:r>
    </w:p>
    <w:p w14:paraId="217AD782"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Таблетките Везомни се състоят от две активни вещества с независим и допълващи се ефекти при СДПП, свързвани с ДПХ със симптоми на съхранение: Солифенацин подобрява функционалните проблеми в съхранението, свързани с не-невронно освободен ацетилхолин, активиращ М</w:t>
      </w:r>
      <w:r w:rsidRPr="002C7437">
        <w:rPr>
          <w:rFonts w:eastAsia="Times New Roman" w:cs="Arial"/>
          <w:color w:val="000000"/>
          <w:vertAlign w:val="subscript"/>
          <w:lang w:eastAsia="bg-BG"/>
        </w:rPr>
        <w:t>3</w:t>
      </w:r>
      <w:r w:rsidRPr="002C7437">
        <w:rPr>
          <w:rFonts w:eastAsia="Times New Roman" w:cs="Arial"/>
          <w:color w:val="000000"/>
          <w:lang w:eastAsia="bg-BG"/>
        </w:rPr>
        <w:t xml:space="preserve"> рецепторите в пикочния мехур. Не-невронно освободеният ацетилхолин изостря сензорните функции на епитела на уринарния тракт и се проявява като неотложност и често уриниране.</w:t>
      </w:r>
    </w:p>
    <w:p w14:paraId="00AA4E21"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Тамсулозин подобрява симптомите на изпразване (повишава максималната скорост на уриниране) чрез облекчаване на обструкцията посредством отпускане на гладките мускули в простатата, шийката на мехура и уретрата. Той също подобрява и симптомите на съхранение.</w:t>
      </w:r>
    </w:p>
    <w:p w14:paraId="1FF5EDB0" w14:textId="77777777" w:rsidR="002C7437" w:rsidRPr="002C7437" w:rsidRDefault="002C7437" w:rsidP="002C7437">
      <w:pPr>
        <w:spacing w:line="240" w:lineRule="auto"/>
        <w:rPr>
          <w:rFonts w:eastAsia="Times New Roman" w:cs="Arial"/>
          <w:color w:val="000000"/>
          <w:u w:val="single"/>
          <w:lang w:eastAsia="bg-BG"/>
        </w:rPr>
      </w:pPr>
    </w:p>
    <w:p w14:paraId="2083E86F" w14:textId="039255E5"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Клинична ефикасност и безопасност</w:t>
      </w:r>
    </w:p>
    <w:p w14:paraId="24489A26" w14:textId="77777777" w:rsidR="002C7437" w:rsidRPr="002C7437" w:rsidRDefault="002C7437" w:rsidP="002C7437">
      <w:pPr>
        <w:spacing w:line="240" w:lineRule="auto"/>
        <w:rPr>
          <w:rFonts w:eastAsia="Times New Roman" w:cs="Arial"/>
          <w:color w:val="000000"/>
          <w:lang w:eastAsia="bg-BG"/>
        </w:rPr>
      </w:pPr>
      <w:r w:rsidRPr="002C7437">
        <w:rPr>
          <w:rFonts w:eastAsia="Times New Roman" w:cs="Arial"/>
          <w:color w:val="000000"/>
          <w:lang w:eastAsia="bg-BG"/>
        </w:rPr>
        <w:t xml:space="preserve">Ефикасност е показана в пилотно фаза 3 проучване при пациенти със СДПП, свързани с ДПХ със симптоми на изпразване (обструктивни) и поне следното ниво на симптоми на съхранение (иритативни): ≥8 </w:t>
      </w:r>
    </w:p>
    <w:p w14:paraId="7F78B6C0" w14:textId="284CC5AF" w:rsidR="002C7437" w:rsidRPr="002C7437" w:rsidRDefault="002C7437" w:rsidP="002C7437">
      <w:pPr>
        <w:spacing w:line="240" w:lineRule="auto"/>
        <w:rPr>
          <w:rFonts w:eastAsia="Times New Roman" w:cs="Arial"/>
        </w:rPr>
      </w:pPr>
      <w:r w:rsidRPr="002C7437">
        <w:rPr>
          <w:rFonts w:eastAsia="Times New Roman" w:cs="Arial"/>
          <w:color w:val="000000"/>
          <w:lang w:eastAsia="bg-BG"/>
        </w:rPr>
        <w:t>уринирания/24 часа и ≥ 2 епизода на неотложност/24 часа.</w:t>
      </w:r>
    </w:p>
    <w:p w14:paraId="2DA73B15" w14:textId="77777777" w:rsidR="002C7437" w:rsidRPr="002C7437" w:rsidRDefault="002C7437" w:rsidP="002C7437">
      <w:pPr>
        <w:rPr>
          <w:rFonts w:eastAsia="Times New Roman" w:cs="Arial"/>
          <w:color w:val="000000"/>
          <w:lang w:eastAsia="bg-BG"/>
        </w:rPr>
      </w:pPr>
    </w:p>
    <w:p w14:paraId="62EAA4C3" w14:textId="104E79E7" w:rsidR="002C7437" w:rsidRPr="002C7437" w:rsidRDefault="002C7437" w:rsidP="002C7437">
      <w:pPr>
        <w:rPr>
          <w:rFonts w:cs="Arial"/>
          <w:lang w:val="ru-RU"/>
        </w:rPr>
      </w:pPr>
      <w:r w:rsidRPr="002C7437">
        <w:rPr>
          <w:rFonts w:eastAsia="Times New Roman" w:cs="Arial"/>
          <w:color w:val="000000"/>
          <w:lang w:eastAsia="bg-BG"/>
        </w:rPr>
        <w:t xml:space="preserve">Везомни показва статистически значимо подобрение от изходно ниво до края на проучването в сравнение с плацебо по отношение и на двете първични крайни точки, общия </w:t>
      </w:r>
      <w:r w:rsidRPr="002C7437">
        <w:rPr>
          <w:rFonts w:eastAsia="Times New Roman" w:cs="Arial"/>
          <w:color w:val="000000"/>
          <w:lang w:val="en-US"/>
        </w:rPr>
        <w:t>International</w:t>
      </w:r>
      <w:r w:rsidRPr="002C7437">
        <w:rPr>
          <w:rFonts w:eastAsia="Times New Roman" w:cs="Arial"/>
          <w:color w:val="000000"/>
        </w:rPr>
        <w:t xml:space="preserve"> </w:t>
      </w:r>
      <w:r w:rsidRPr="002C7437">
        <w:rPr>
          <w:rFonts w:eastAsia="Times New Roman" w:cs="Arial"/>
          <w:color w:val="000000"/>
          <w:lang w:val="en-US"/>
        </w:rPr>
        <w:t>Prostate</w:t>
      </w:r>
      <w:r w:rsidRPr="002C7437">
        <w:rPr>
          <w:rFonts w:eastAsia="Times New Roman" w:cs="Arial"/>
          <w:color w:val="000000"/>
        </w:rPr>
        <w:t xml:space="preserve"> </w:t>
      </w:r>
      <w:r w:rsidRPr="002C7437">
        <w:rPr>
          <w:rFonts w:eastAsia="Times New Roman" w:cs="Arial"/>
          <w:color w:val="000000"/>
          <w:lang w:val="en-US"/>
        </w:rPr>
        <w:t>Symptom</w:t>
      </w:r>
      <w:r w:rsidRPr="002C7437">
        <w:rPr>
          <w:rFonts w:eastAsia="Times New Roman" w:cs="Arial"/>
          <w:color w:val="000000"/>
        </w:rPr>
        <w:t xml:space="preserve"> </w:t>
      </w:r>
      <w:r w:rsidRPr="002C7437">
        <w:rPr>
          <w:rFonts w:eastAsia="Times New Roman" w:cs="Arial"/>
          <w:color w:val="000000"/>
          <w:lang w:val="en-US"/>
        </w:rPr>
        <w:t>Score</w:t>
      </w:r>
      <w:r w:rsidRPr="002C7437">
        <w:rPr>
          <w:rFonts w:eastAsia="Times New Roman" w:cs="Arial"/>
          <w:color w:val="000000"/>
        </w:rPr>
        <w:t xml:space="preserve"> (</w:t>
      </w:r>
      <w:r w:rsidRPr="002C7437">
        <w:rPr>
          <w:rFonts w:eastAsia="Times New Roman" w:cs="Arial"/>
          <w:color w:val="000000"/>
          <w:lang w:val="en-US"/>
        </w:rPr>
        <w:t>IPSS</w:t>
      </w:r>
      <w:r w:rsidRPr="002C7437">
        <w:rPr>
          <w:rFonts w:eastAsia="Times New Roman" w:cs="Arial"/>
          <w:color w:val="000000"/>
        </w:rPr>
        <w:t xml:space="preserve">) </w:t>
      </w:r>
      <w:r w:rsidRPr="002C7437">
        <w:rPr>
          <w:rFonts w:eastAsia="Times New Roman" w:cs="Arial"/>
          <w:color w:val="000000"/>
          <w:lang w:eastAsia="bg-BG"/>
        </w:rPr>
        <w:t xml:space="preserve">и </w:t>
      </w:r>
      <w:r w:rsidRPr="002C7437">
        <w:rPr>
          <w:rFonts w:eastAsia="Times New Roman" w:cs="Arial"/>
          <w:color w:val="000000"/>
          <w:lang w:val="en-US"/>
        </w:rPr>
        <w:t>Total</w:t>
      </w:r>
      <w:r w:rsidRPr="002C7437">
        <w:rPr>
          <w:rFonts w:eastAsia="Times New Roman" w:cs="Arial"/>
          <w:color w:val="000000"/>
        </w:rPr>
        <w:t xml:space="preserve"> </w:t>
      </w:r>
      <w:r w:rsidRPr="002C7437">
        <w:rPr>
          <w:rFonts w:eastAsia="Times New Roman" w:cs="Arial"/>
          <w:color w:val="000000"/>
          <w:lang w:val="en-US"/>
        </w:rPr>
        <w:t>Urgency</w:t>
      </w:r>
      <w:r w:rsidRPr="002C7437">
        <w:rPr>
          <w:rFonts w:eastAsia="Times New Roman" w:cs="Arial"/>
          <w:color w:val="000000"/>
        </w:rPr>
        <w:t xml:space="preserve"> </w:t>
      </w:r>
      <w:r w:rsidRPr="002C7437">
        <w:rPr>
          <w:rFonts w:eastAsia="Times New Roman" w:cs="Arial"/>
          <w:color w:val="000000"/>
          <w:lang w:val="en-US"/>
        </w:rPr>
        <w:t>and</w:t>
      </w:r>
      <w:r w:rsidRPr="002C7437">
        <w:rPr>
          <w:rFonts w:eastAsia="Times New Roman" w:cs="Arial"/>
          <w:color w:val="000000"/>
        </w:rPr>
        <w:t xml:space="preserve"> </w:t>
      </w:r>
      <w:r w:rsidRPr="002C7437">
        <w:rPr>
          <w:rFonts w:eastAsia="Times New Roman" w:cs="Arial"/>
          <w:color w:val="000000"/>
          <w:lang w:val="en-US"/>
        </w:rPr>
        <w:t>Frequency</w:t>
      </w:r>
      <w:r w:rsidRPr="002C7437">
        <w:rPr>
          <w:rFonts w:eastAsia="Times New Roman" w:cs="Arial"/>
          <w:color w:val="000000"/>
        </w:rPr>
        <w:t xml:space="preserve"> </w:t>
      </w:r>
      <w:r w:rsidRPr="002C7437">
        <w:rPr>
          <w:rFonts w:eastAsia="Times New Roman" w:cs="Arial"/>
          <w:color w:val="000000"/>
          <w:lang w:val="en-US"/>
        </w:rPr>
        <w:t>Score</w:t>
      </w:r>
      <w:r w:rsidRPr="002C7437">
        <w:rPr>
          <w:rFonts w:eastAsia="Times New Roman" w:cs="Arial"/>
          <w:color w:val="000000"/>
        </w:rPr>
        <w:t xml:space="preserve"> (</w:t>
      </w:r>
      <w:r w:rsidRPr="002C7437">
        <w:rPr>
          <w:rFonts w:eastAsia="Times New Roman" w:cs="Arial"/>
          <w:color w:val="000000"/>
          <w:lang w:val="en-US"/>
        </w:rPr>
        <w:t>TUFS</w:t>
      </w:r>
      <w:r w:rsidRPr="002C7437">
        <w:rPr>
          <w:rFonts w:eastAsia="Times New Roman" w:cs="Arial"/>
          <w:color w:val="000000"/>
        </w:rPr>
        <w:t xml:space="preserve">) </w:t>
      </w:r>
      <w:r w:rsidRPr="002C7437">
        <w:rPr>
          <w:rFonts w:eastAsia="Times New Roman" w:cs="Arial"/>
          <w:color w:val="000000"/>
          <w:lang w:eastAsia="bg-BG"/>
        </w:rPr>
        <w:t xml:space="preserve">и по отношение на вторичните крайни точки неотложност, честота на уриниране, среден отделен обем за уриниране, никтурия, </w:t>
      </w:r>
      <w:r w:rsidRPr="002C7437">
        <w:rPr>
          <w:rFonts w:eastAsia="Times New Roman" w:cs="Arial"/>
          <w:color w:val="000000"/>
          <w:lang w:val="en-US"/>
        </w:rPr>
        <w:t>IPSS</w:t>
      </w:r>
      <w:r w:rsidRPr="002C7437">
        <w:rPr>
          <w:rFonts w:eastAsia="Times New Roman" w:cs="Arial"/>
          <w:color w:val="000000"/>
        </w:rPr>
        <w:t xml:space="preserve"> </w:t>
      </w:r>
      <w:r w:rsidRPr="002C7437">
        <w:rPr>
          <w:rFonts w:eastAsia="Times New Roman" w:cs="Arial"/>
          <w:color w:val="000000"/>
          <w:lang w:eastAsia="bg-BG"/>
        </w:rPr>
        <w:t xml:space="preserve">субскор за изпразване </w:t>
      </w:r>
      <w:r w:rsidRPr="002C7437">
        <w:rPr>
          <w:rFonts w:eastAsia="Times New Roman" w:cs="Arial"/>
          <w:color w:val="000000"/>
        </w:rPr>
        <w:t>(</w:t>
      </w:r>
      <w:r w:rsidRPr="002C7437">
        <w:rPr>
          <w:rFonts w:eastAsia="Times New Roman" w:cs="Arial"/>
          <w:color w:val="000000"/>
          <w:lang w:val="en-US"/>
        </w:rPr>
        <w:t>IPSS</w:t>
      </w:r>
      <w:r w:rsidRPr="002C7437">
        <w:rPr>
          <w:rFonts w:eastAsia="Times New Roman" w:cs="Arial"/>
          <w:color w:val="000000"/>
        </w:rPr>
        <w:t xml:space="preserve"> </w:t>
      </w:r>
      <w:r w:rsidRPr="002C7437">
        <w:rPr>
          <w:rFonts w:eastAsia="Times New Roman" w:cs="Arial"/>
          <w:color w:val="000000"/>
          <w:lang w:val="en-US"/>
        </w:rPr>
        <w:t>voiding</w:t>
      </w:r>
      <w:r w:rsidRPr="002C7437">
        <w:rPr>
          <w:rFonts w:eastAsia="Times New Roman" w:cs="Arial"/>
          <w:color w:val="000000"/>
        </w:rPr>
        <w:t xml:space="preserve"> </w:t>
      </w:r>
      <w:r w:rsidRPr="002C7437">
        <w:rPr>
          <w:rFonts w:eastAsia="Times New Roman" w:cs="Arial"/>
          <w:color w:val="000000"/>
          <w:lang w:val="en-US"/>
        </w:rPr>
        <w:t>sub</w:t>
      </w:r>
      <w:r w:rsidRPr="002C7437">
        <w:rPr>
          <w:rFonts w:eastAsia="Times New Roman" w:cs="Arial"/>
          <w:color w:val="000000"/>
        </w:rPr>
        <w:t>-</w:t>
      </w:r>
      <w:r w:rsidRPr="002C7437">
        <w:rPr>
          <w:rFonts w:eastAsia="Times New Roman" w:cs="Arial"/>
          <w:color w:val="000000"/>
          <w:lang w:val="en-US"/>
        </w:rPr>
        <w:t>score</w:t>
      </w:r>
      <w:r w:rsidRPr="002C7437">
        <w:rPr>
          <w:rFonts w:eastAsia="Times New Roman" w:cs="Arial"/>
          <w:color w:val="000000"/>
        </w:rPr>
        <w:t xml:space="preserve">), </w:t>
      </w:r>
      <w:r w:rsidRPr="002C7437">
        <w:rPr>
          <w:rFonts w:eastAsia="Times New Roman" w:cs="Arial"/>
          <w:color w:val="000000"/>
          <w:lang w:val="en-US"/>
        </w:rPr>
        <w:t>IPSS</w:t>
      </w:r>
      <w:r w:rsidRPr="002C7437">
        <w:rPr>
          <w:rFonts w:eastAsia="Times New Roman" w:cs="Arial"/>
          <w:color w:val="000000"/>
        </w:rPr>
        <w:t xml:space="preserve"> </w:t>
      </w:r>
      <w:r w:rsidRPr="002C7437">
        <w:rPr>
          <w:rFonts w:eastAsia="Times New Roman" w:cs="Arial"/>
          <w:color w:val="000000"/>
          <w:lang w:eastAsia="bg-BG"/>
        </w:rPr>
        <w:t xml:space="preserve">субскор за съхранение </w:t>
      </w:r>
      <w:r w:rsidRPr="002C7437">
        <w:rPr>
          <w:rFonts w:eastAsia="Times New Roman" w:cs="Arial"/>
          <w:color w:val="000000"/>
        </w:rPr>
        <w:t>(</w:t>
      </w:r>
      <w:r w:rsidRPr="002C7437">
        <w:rPr>
          <w:rFonts w:eastAsia="Times New Roman" w:cs="Arial"/>
          <w:color w:val="000000"/>
          <w:lang w:val="en-US"/>
        </w:rPr>
        <w:t>IPSS</w:t>
      </w:r>
      <w:r w:rsidRPr="002C7437">
        <w:rPr>
          <w:rFonts w:eastAsia="Times New Roman" w:cs="Arial"/>
          <w:color w:val="000000"/>
        </w:rPr>
        <w:t xml:space="preserve"> </w:t>
      </w:r>
      <w:r w:rsidRPr="002C7437">
        <w:rPr>
          <w:rFonts w:eastAsia="Times New Roman" w:cs="Arial"/>
          <w:color w:val="000000"/>
          <w:lang w:val="en-US"/>
        </w:rPr>
        <w:t>storage</w:t>
      </w:r>
      <w:r w:rsidRPr="002C7437">
        <w:rPr>
          <w:rFonts w:eastAsia="Times New Roman" w:cs="Arial"/>
          <w:color w:val="000000"/>
        </w:rPr>
        <w:t xml:space="preserve"> </w:t>
      </w:r>
      <w:r w:rsidRPr="002C7437">
        <w:rPr>
          <w:rFonts w:eastAsia="Times New Roman" w:cs="Arial"/>
          <w:color w:val="000000"/>
          <w:lang w:val="en-US"/>
        </w:rPr>
        <w:t>sub</w:t>
      </w:r>
      <w:r w:rsidRPr="002C7437">
        <w:rPr>
          <w:rFonts w:eastAsia="Times New Roman" w:cs="Arial"/>
          <w:color w:val="000000"/>
        </w:rPr>
        <w:t>-</w:t>
      </w:r>
      <w:r w:rsidRPr="002C7437">
        <w:rPr>
          <w:rFonts w:eastAsia="Times New Roman" w:cs="Arial"/>
          <w:color w:val="000000"/>
          <w:lang w:val="en-US"/>
        </w:rPr>
        <w:t>score</w:t>
      </w:r>
      <w:r w:rsidRPr="002C7437">
        <w:rPr>
          <w:rFonts w:eastAsia="Times New Roman" w:cs="Arial"/>
          <w:color w:val="000000"/>
        </w:rPr>
        <w:t xml:space="preserve">), </w:t>
      </w:r>
      <w:r w:rsidRPr="002C7437">
        <w:rPr>
          <w:rFonts w:eastAsia="Times New Roman" w:cs="Arial"/>
          <w:color w:val="000000"/>
          <w:lang w:val="en-US"/>
        </w:rPr>
        <w:t>IPSS</w:t>
      </w:r>
      <w:r w:rsidRPr="002C7437">
        <w:rPr>
          <w:rFonts w:eastAsia="Times New Roman" w:cs="Arial"/>
          <w:color w:val="000000"/>
        </w:rPr>
        <w:t xml:space="preserve"> </w:t>
      </w:r>
      <w:r w:rsidRPr="002C7437">
        <w:rPr>
          <w:rFonts w:eastAsia="Times New Roman" w:cs="Arial"/>
          <w:color w:val="000000"/>
          <w:lang w:eastAsia="bg-BG"/>
        </w:rPr>
        <w:t xml:space="preserve">за качество на живот </w:t>
      </w:r>
      <w:r w:rsidRPr="002C7437">
        <w:rPr>
          <w:rFonts w:eastAsia="Times New Roman" w:cs="Arial"/>
          <w:color w:val="000000"/>
        </w:rPr>
        <w:t>(</w:t>
      </w:r>
      <w:r w:rsidRPr="002C7437">
        <w:rPr>
          <w:rFonts w:eastAsia="Times New Roman" w:cs="Arial"/>
          <w:color w:val="000000"/>
          <w:lang w:val="en-US"/>
        </w:rPr>
        <w:t>IPSS</w:t>
      </w:r>
      <w:r w:rsidRPr="002C7437">
        <w:rPr>
          <w:rFonts w:eastAsia="Times New Roman" w:cs="Arial"/>
          <w:color w:val="000000"/>
        </w:rPr>
        <w:t xml:space="preserve"> </w:t>
      </w:r>
      <w:r w:rsidRPr="002C7437">
        <w:rPr>
          <w:rFonts w:eastAsia="Times New Roman" w:cs="Arial"/>
          <w:color w:val="000000"/>
          <w:lang w:val="en-US"/>
        </w:rPr>
        <w:t>quality</w:t>
      </w:r>
      <w:r w:rsidRPr="002C7437">
        <w:rPr>
          <w:rFonts w:eastAsia="Times New Roman" w:cs="Arial"/>
          <w:color w:val="000000"/>
        </w:rPr>
        <w:t xml:space="preserve"> </w:t>
      </w:r>
      <w:r w:rsidRPr="002C7437">
        <w:rPr>
          <w:rFonts w:eastAsia="Times New Roman" w:cs="Arial"/>
          <w:color w:val="000000"/>
          <w:lang w:val="en-US"/>
        </w:rPr>
        <w:t>of</w:t>
      </w:r>
      <w:r w:rsidRPr="002C7437">
        <w:rPr>
          <w:rFonts w:eastAsia="Times New Roman" w:cs="Arial"/>
          <w:color w:val="000000"/>
        </w:rPr>
        <w:t xml:space="preserve"> </w:t>
      </w:r>
      <w:r w:rsidRPr="002C7437">
        <w:rPr>
          <w:rFonts w:eastAsia="Times New Roman" w:cs="Arial"/>
          <w:color w:val="000000"/>
          <w:lang w:val="en-US"/>
        </w:rPr>
        <w:t>life</w:t>
      </w:r>
      <w:r w:rsidRPr="002C7437">
        <w:rPr>
          <w:rFonts w:eastAsia="Times New Roman" w:cs="Arial"/>
          <w:color w:val="000000"/>
        </w:rPr>
        <w:t xml:space="preserve"> (</w:t>
      </w:r>
      <w:proofErr w:type="spellStart"/>
      <w:r w:rsidRPr="002C7437">
        <w:rPr>
          <w:rFonts w:eastAsia="Times New Roman" w:cs="Arial"/>
          <w:color w:val="000000"/>
          <w:lang w:val="en-US"/>
        </w:rPr>
        <w:t>QoL</w:t>
      </w:r>
      <w:proofErr w:type="spellEnd"/>
      <w:r w:rsidRPr="002C7437">
        <w:rPr>
          <w:rFonts w:eastAsia="Times New Roman" w:cs="Arial"/>
          <w:color w:val="000000"/>
        </w:rPr>
        <w:t xml:space="preserve">)), </w:t>
      </w:r>
      <w:r w:rsidRPr="002C7437">
        <w:rPr>
          <w:rFonts w:eastAsia="Times New Roman" w:cs="Arial"/>
          <w:color w:val="000000"/>
          <w:lang w:eastAsia="bg-BG"/>
        </w:rPr>
        <w:t xml:space="preserve">скор на проблемите във въпосника за свръхактивен пикочен мехур </w:t>
      </w:r>
      <w:r w:rsidRPr="002C7437">
        <w:rPr>
          <w:rFonts w:eastAsia="Times New Roman" w:cs="Arial"/>
          <w:color w:val="000000"/>
        </w:rPr>
        <w:t>(</w:t>
      </w:r>
      <w:r w:rsidRPr="002C7437">
        <w:rPr>
          <w:rFonts w:eastAsia="Times New Roman" w:cs="Arial"/>
          <w:color w:val="000000"/>
          <w:lang w:val="en-US"/>
        </w:rPr>
        <w:t>Overactive</w:t>
      </w:r>
      <w:r w:rsidRPr="002C7437">
        <w:rPr>
          <w:rFonts w:eastAsia="Times New Roman" w:cs="Arial"/>
          <w:color w:val="000000"/>
        </w:rPr>
        <w:t xml:space="preserve"> </w:t>
      </w:r>
      <w:r w:rsidRPr="002C7437">
        <w:rPr>
          <w:rFonts w:eastAsia="Times New Roman" w:cs="Arial"/>
          <w:color w:val="000000"/>
          <w:lang w:val="en-US"/>
        </w:rPr>
        <w:t>Bladder</w:t>
      </w:r>
      <w:r w:rsidRPr="002C7437">
        <w:rPr>
          <w:rFonts w:eastAsia="Times New Roman" w:cs="Arial"/>
          <w:color w:val="000000"/>
        </w:rPr>
        <w:t xml:space="preserve"> </w:t>
      </w:r>
      <w:r w:rsidRPr="002C7437">
        <w:rPr>
          <w:rFonts w:eastAsia="Times New Roman" w:cs="Arial"/>
          <w:color w:val="000000"/>
          <w:lang w:val="en-US"/>
        </w:rPr>
        <w:t>questionnaire</w:t>
      </w:r>
      <w:r w:rsidRPr="002C7437">
        <w:rPr>
          <w:rFonts w:eastAsia="Times New Roman" w:cs="Arial"/>
          <w:color w:val="000000"/>
        </w:rPr>
        <w:t xml:space="preserve"> (</w:t>
      </w:r>
      <w:r w:rsidRPr="002C7437">
        <w:rPr>
          <w:rFonts w:eastAsia="Times New Roman" w:cs="Arial"/>
          <w:color w:val="000000"/>
          <w:lang w:val="en-US"/>
        </w:rPr>
        <w:t>OAB</w:t>
      </w:r>
      <w:r w:rsidRPr="002C7437">
        <w:rPr>
          <w:rFonts w:eastAsia="Times New Roman" w:cs="Arial"/>
          <w:color w:val="000000"/>
        </w:rPr>
        <w:t>-</w:t>
      </w:r>
      <w:r w:rsidRPr="002C7437">
        <w:rPr>
          <w:rFonts w:eastAsia="Times New Roman" w:cs="Arial"/>
          <w:color w:val="000000"/>
          <w:lang w:val="en-US"/>
        </w:rPr>
        <w:t>q</w:t>
      </w:r>
      <w:r w:rsidRPr="002C7437">
        <w:rPr>
          <w:rFonts w:eastAsia="Times New Roman" w:cs="Arial"/>
          <w:color w:val="000000"/>
        </w:rPr>
        <w:t xml:space="preserve">) </w:t>
      </w:r>
      <w:r w:rsidRPr="002C7437">
        <w:rPr>
          <w:rFonts w:eastAsia="Times New Roman" w:cs="Arial"/>
          <w:color w:val="000000"/>
          <w:lang w:val="en-US"/>
        </w:rPr>
        <w:t>Bother</w:t>
      </w:r>
      <w:r w:rsidRPr="002C7437">
        <w:rPr>
          <w:rFonts w:eastAsia="Times New Roman" w:cs="Arial"/>
          <w:color w:val="000000"/>
        </w:rPr>
        <w:t xml:space="preserve"> </w:t>
      </w:r>
      <w:r w:rsidRPr="002C7437">
        <w:rPr>
          <w:rFonts w:eastAsia="Times New Roman" w:cs="Arial"/>
          <w:color w:val="000000"/>
          <w:lang w:val="en-US"/>
        </w:rPr>
        <w:t>score</w:t>
      </w:r>
      <w:r w:rsidRPr="002C7437">
        <w:rPr>
          <w:rFonts w:eastAsia="Times New Roman" w:cs="Arial"/>
          <w:color w:val="000000"/>
        </w:rPr>
        <w:t xml:space="preserve">) </w:t>
      </w:r>
      <w:r w:rsidRPr="002C7437">
        <w:rPr>
          <w:rFonts w:eastAsia="Times New Roman" w:cs="Arial"/>
          <w:color w:val="000000"/>
          <w:lang w:eastAsia="bg-BG"/>
        </w:rPr>
        <w:t xml:space="preserve">и </w:t>
      </w:r>
      <w:r w:rsidRPr="002C7437">
        <w:rPr>
          <w:rFonts w:eastAsia="Times New Roman" w:cs="Arial"/>
          <w:color w:val="000000"/>
          <w:lang w:val="en-US"/>
        </w:rPr>
        <w:t>OAB</w:t>
      </w:r>
      <w:r w:rsidRPr="002C7437">
        <w:rPr>
          <w:rFonts w:eastAsia="Times New Roman" w:cs="Arial"/>
          <w:color w:val="000000"/>
        </w:rPr>
        <w:t>-</w:t>
      </w:r>
      <w:r w:rsidRPr="002C7437">
        <w:rPr>
          <w:rFonts w:eastAsia="Times New Roman" w:cs="Arial"/>
          <w:color w:val="000000"/>
          <w:lang w:val="en-US"/>
        </w:rPr>
        <w:t>q</w:t>
      </w:r>
      <w:r w:rsidRPr="002C7437">
        <w:rPr>
          <w:rFonts w:eastAsia="Times New Roman" w:cs="Arial"/>
          <w:color w:val="000000"/>
        </w:rPr>
        <w:t xml:space="preserve"> </w:t>
      </w:r>
      <w:r w:rsidRPr="002C7437">
        <w:rPr>
          <w:rFonts w:eastAsia="Times New Roman" w:cs="Arial"/>
          <w:color w:val="000000"/>
          <w:lang w:eastAsia="bg-BG"/>
        </w:rPr>
        <w:t xml:space="preserve">скор за свързано със здравето качество на живот </w:t>
      </w:r>
      <w:r w:rsidRPr="002C7437">
        <w:rPr>
          <w:rFonts w:eastAsia="Times New Roman" w:cs="Arial"/>
          <w:color w:val="000000"/>
        </w:rPr>
        <w:t>(</w:t>
      </w:r>
      <w:r w:rsidRPr="002C7437">
        <w:rPr>
          <w:rFonts w:eastAsia="Times New Roman" w:cs="Arial"/>
          <w:color w:val="000000"/>
          <w:lang w:val="en-US"/>
        </w:rPr>
        <w:t>OAB</w:t>
      </w:r>
      <w:r w:rsidRPr="002C7437">
        <w:rPr>
          <w:rFonts w:eastAsia="Times New Roman" w:cs="Arial"/>
          <w:color w:val="000000"/>
        </w:rPr>
        <w:t>-</w:t>
      </w:r>
      <w:r w:rsidRPr="002C7437">
        <w:rPr>
          <w:rFonts w:eastAsia="Times New Roman" w:cs="Arial"/>
          <w:color w:val="000000"/>
          <w:lang w:val="en-US"/>
        </w:rPr>
        <w:t>q</w:t>
      </w:r>
      <w:r w:rsidRPr="002C7437">
        <w:rPr>
          <w:rFonts w:eastAsia="Times New Roman" w:cs="Arial"/>
          <w:color w:val="000000"/>
        </w:rPr>
        <w:t xml:space="preserve"> </w:t>
      </w:r>
      <w:r w:rsidRPr="002C7437">
        <w:rPr>
          <w:rFonts w:eastAsia="Times New Roman" w:cs="Arial"/>
          <w:color w:val="000000"/>
          <w:lang w:val="en-US"/>
        </w:rPr>
        <w:t>Health</w:t>
      </w:r>
      <w:r w:rsidRPr="002C7437">
        <w:rPr>
          <w:rFonts w:eastAsia="Times New Roman" w:cs="Arial"/>
          <w:color w:val="000000"/>
        </w:rPr>
        <w:t xml:space="preserve"> </w:t>
      </w:r>
      <w:r w:rsidRPr="002C7437">
        <w:rPr>
          <w:rFonts w:eastAsia="Times New Roman" w:cs="Arial"/>
          <w:color w:val="000000"/>
          <w:lang w:val="en-US"/>
        </w:rPr>
        <w:t>Related</w:t>
      </w:r>
      <w:r w:rsidRPr="002C7437">
        <w:rPr>
          <w:rFonts w:eastAsia="Times New Roman" w:cs="Arial"/>
          <w:color w:val="000000"/>
        </w:rPr>
        <w:t xml:space="preserve"> </w:t>
      </w:r>
      <w:r w:rsidRPr="002C7437">
        <w:rPr>
          <w:rFonts w:eastAsia="Times New Roman" w:cs="Arial"/>
          <w:color w:val="000000"/>
          <w:lang w:val="en-US"/>
        </w:rPr>
        <w:t>Quality</w:t>
      </w:r>
      <w:r w:rsidRPr="002C7437">
        <w:rPr>
          <w:rFonts w:eastAsia="Times New Roman" w:cs="Arial"/>
          <w:color w:val="000000"/>
        </w:rPr>
        <w:t xml:space="preserve"> </w:t>
      </w:r>
      <w:r w:rsidRPr="002C7437">
        <w:rPr>
          <w:rFonts w:eastAsia="Times New Roman" w:cs="Arial"/>
          <w:color w:val="000000"/>
          <w:lang w:val="en-US"/>
        </w:rPr>
        <w:t>of</w:t>
      </w:r>
      <w:r w:rsidRPr="002C7437">
        <w:rPr>
          <w:rFonts w:eastAsia="Times New Roman" w:cs="Arial"/>
          <w:color w:val="000000"/>
        </w:rPr>
        <w:t xml:space="preserve"> </w:t>
      </w:r>
      <w:r w:rsidRPr="002C7437">
        <w:rPr>
          <w:rFonts w:eastAsia="Times New Roman" w:cs="Arial"/>
          <w:color w:val="000000"/>
          <w:lang w:val="en-US"/>
        </w:rPr>
        <w:t>Life</w:t>
      </w:r>
      <w:r w:rsidRPr="002C7437">
        <w:rPr>
          <w:rFonts w:eastAsia="Times New Roman" w:cs="Arial"/>
          <w:color w:val="000000"/>
        </w:rPr>
        <w:t xml:space="preserve"> (</w:t>
      </w:r>
      <w:proofErr w:type="spellStart"/>
      <w:r w:rsidRPr="002C7437">
        <w:rPr>
          <w:rFonts w:eastAsia="Times New Roman" w:cs="Arial"/>
          <w:color w:val="000000"/>
          <w:lang w:val="en-US"/>
        </w:rPr>
        <w:t>HRQoL</w:t>
      </w:r>
      <w:proofErr w:type="spellEnd"/>
      <w:r w:rsidRPr="002C7437">
        <w:rPr>
          <w:rFonts w:eastAsia="Times New Roman" w:cs="Arial"/>
          <w:color w:val="000000"/>
        </w:rPr>
        <w:t xml:space="preserve">) </w:t>
      </w:r>
      <w:r w:rsidRPr="002C7437">
        <w:rPr>
          <w:rFonts w:eastAsia="Times New Roman" w:cs="Arial"/>
          <w:color w:val="000000"/>
          <w:lang w:val="en-US"/>
        </w:rPr>
        <w:t>score</w:t>
      </w:r>
      <w:r w:rsidRPr="002C7437">
        <w:rPr>
          <w:rFonts w:eastAsia="Times New Roman" w:cs="Arial"/>
          <w:color w:val="000000"/>
        </w:rPr>
        <w:t xml:space="preserve">), </w:t>
      </w:r>
      <w:r w:rsidRPr="002C7437">
        <w:rPr>
          <w:rFonts w:eastAsia="Times New Roman" w:cs="Arial"/>
          <w:color w:val="000000"/>
          <w:lang w:eastAsia="bg-BG"/>
        </w:rPr>
        <w:t xml:space="preserve">включително всички видове субскор (за преодоляване на трудности, тревога, сън и социален). Везомни показва по-добро в сравнение с тамсулозин </w:t>
      </w:r>
      <w:r w:rsidRPr="002C7437">
        <w:rPr>
          <w:rFonts w:eastAsia="Times New Roman" w:cs="Arial"/>
          <w:color w:val="000000"/>
          <w:lang w:val="en-US"/>
        </w:rPr>
        <w:t>TOCAS</w:t>
      </w:r>
      <w:r w:rsidRPr="002C7437">
        <w:rPr>
          <w:rFonts w:eastAsia="Times New Roman" w:cs="Arial"/>
          <w:color w:val="000000"/>
          <w:lang w:val="ru-RU"/>
        </w:rPr>
        <w:t xml:space="preserve"> </w:t>
      </w:r>
      <w:r w:rsidRPr="002C7437">
        <w:rPr>
          <w:rFonts w:eastAsia="Times New Roman" w:cs="Arial"/>
          <w:color w:val="000000"/>
          <w:lang w:eastAsia="bg-BG"/>
        </w:rPr>
        <w:t xml:space="preserve">подобрение на </w:t>
      </w:r>
      <w:r w:rsidRPr="002C7437">
        <w:rPr>
          <w:rFonts w:eastAsia="Times New Roman" w:cs="Arial"/>
          <w:color w:val="000000"/>
          <w:lang w:val="en-US"/>
        </w:rPr>
        <w:t>Total</w:t>
      </w:r>
      <w:r w:rsidRPr="002C7437">
        <w:rPr>
          <w:rFonts w:eastAsia="Times New Roman" w:cs="Arial"/>
          <w:color w:val="000000"/>
          <w:lang w:val="ru-RU"/>
        </w:rPr>
        <w:t xml:space="preserve"> </w:t>
      </w:r>
      <w:r w:rsidRPr="002C7437">
        <w:rPr>
          <w:rFonts w:eastAsia="Times New Roman" w:cs="Arial"/>
          <w:color w:val="000000"/>
          <w:lang w:val="en-US"/>
        </w:rPr>
        <w:t>Urgency</w:t>
      </w:r>
      <w:r w:rsidRPr="002C7437">
        <w:rPr>
          <w:rFonts w:eastAsia="Times New Roman" w:cs="Arial"/>
          <w:color w:val="000000"/>
          <w:lang w:val="ru-RU"/>
        </w:rPr>
        <w:t xml:space="preserve"> </w:t>
      </w:r>
      <w:r w:rsidRPr="002C7437">
        <w:rPr>
          <w:rFonts w:eastAsia="Times New Roman" w:cs="Arial"/>
          <w:color w:val="000000"/>
          <w:lang w:val="en-US"/>
        </w:rPr>
        <w:t>and</w:t>
      </w:r>
      <w:r w:rsidRPr="002C7437">
        <w:rPr>
          <w:rFonts w:eastAsia="Times New Roman" w:cs="Arial"/>
          <w:color w:val="000000"/>
          <w:lang w:val="ru-RU"/>
        </w:rPr>
        <w:t xml:space="preserve"> </w:t>
      </w:r>
      <w:r w:rsidRPr="002C7437">
        <w:rPr>
          <w:rFonts w:eastAsia="Times New Roman" w:cs="Arial"/>
          <w:color w:val="000000"/>
          <w:lang w:val="en-US"/>
        </w:rPr>
        <w:t>Frequency</w:t>
      </w:r>
      <w:r w:rsidRPr="002C7437">
        <w:rPr>
          <w:rFonts w:eastAsia="Times New Roman" w:cs="Arial"/>
          <w:color w:val="000000"/>
          <w:lang w:val="ru-RU"/>
        </w:rPr>
        <w:t xml:space="preserve"> </w:t>
      </w:r>
      <w:r w:rsidRPr="002C7437">
        <w:rPr>
          <w:rFonts w:eastAsia="Times New Roman" w:cs="Arial"/>
          <w:color w:val="000000"/>
          <w:lang w:val="en-US"/>
        </w:rPr>
        <w:t>Score</w:t>
      </w:r>
      <w:r w:rsidRPr="002C7437">
        <w:rPr>
          <w:rFonts w:eastAsia="Times New Roman" w:cs="Arial"/>
          <w:color w:val="000000"/>
          <w:lang w:val="ru-RU"/>
        </w:rPr>
        <w:t xml:space="preserve">, </w:t>
      </w:r>
      <w:r w:rsidRPr="002C7437">
        <w:rPr>
          <w:rFonts w:eastAsia="Times New Roman" w:cs="Arial"/>
          <w:color w:val="000000"/>
          <w:lang w:eastAsia="bg-BG"/>
        </w:rPr>
        <w:t xml:space="preserve">както и по отношение на честотата на уриниране, среден отделен обем за едно уриниране и по отношение на </w:t>
      </w:r>
      <w:r w:rsidRPr="002C7437">
        <w:rPr>
          <w:rFonts w:eastAsia="Times New Roman" w:cs="Arial"/>
          <w:color w:val="000000"/>
          <w:lang w:val="en-US"/>
        </w:rPr>
        <w:t>IPSS</w:t>
      </w:r>
      <w:r w:rsidRPr="002C7437">
        <w:rPr>
          <w:rFonts w:eastAsia="Times New Roman" w:cs="Arial"/>
          <w:color w:val="000000"/>
          <w:lang w:val="ru-RU"/>
        </w:rPr>
        <w:t xml:space="preserve"> </w:t>
      </w:r>
      <w:r w:rsidRPr="002C7437">
        <w:rPr>
          <w:rFonts w:eastAsia="Times New Roman" w:cs="Arial"/>
          <w:color w:val="000000"/>
          <w:lang w:eastAsia="bg-BG"/>
        </w:rPr>
        <w:t xml:space="preserve">субскора за съхранение. Това се придружава от значими подобрения в общия скор на </w:t>
      </w:r>
      <w:r w:rsidRPr="002C7437">
        <w:rPr>
          <w:rFonts w:eastAsia="Times New Roman" w:cs="Arial"/>
          <w:color w:val="000000"/>
          <w:lang w:val="en-US"/>
        </w:rPr>
        <w:t>IPSS</w:t>
      </w:r>
      <w:r w:rsidRPr="002C7437">
        <w:rPr>
          <w:rFonts w:eastAsia="Times New Roman" w:cs="Arial"/>
          <w:color w:val="000000"/>
          <w:lang w:val="ru-RU"/>
        </w:rPr>
        <w:t xml:space="preserve"> </w:t>
      </w:r>
      <w:proofErr w:type="spellStart"/>
      <w:r w:rsidRPr="002C7437">
        <w:rPr>
          <w:rFonts w:eastAsia="Times New Roman" w:cs="Arial"/>
          <w:color w:val="000000"/>
          <w:lang w:val="en-US"/>
        </w:rPr>
        <w:t>QoL</w:t>
      </w:r>
      <w:proofErr w:type="spellEnd"/>
      <w:r w:rsidRPr="002C7437">
        <w:rPr>
          <w:rFonts w:eastAsia="Times New Roman" w:cs="Arial"/>
          <w:color w:val="000000"/>
          <w:lang w:val="ru-RU"/>
        </w:rPr>
        <w:t xml:space="preserve"> </w:t>
      </w:r>
      <w:r w:rsidRPr="002C7437">
        <w:rPr>
          <w:rFonts w:eastAsia="Times New Roman" w:cs="Arial"/>
          <w:color w:val="000000"/>
          <w:lang w:eastAsia="bg-BG"/>
        </w:rPr>
        <w:t xml:space="preserve">и в общия скор на </w:t>
      </w:r>
      <w:r w:rsidRPr="002C7437">
        <w:rPr>
          <w:rFonts w:eastAsia="Times New Roman" w:cs="Arial"/>
          <w:color w:val="000000"/>
          <w:lang w:val="en-US"/>
        </w:rPr>
        <w:t>OAB</w:t>
      </w:r>
      <w:r w:rsidRPr="002C7437">
        <w:rPr>
          <w:rFonts w:eastAsia="Times New Roman" w:cs="Arial"/>
          <w:color w:val="000000"/>
          <w:lang w:val="ru-RU"/>
        </w:rPr>
        <w:t>-</w:t>
      </w:r>
      <w:r w:rsidRPr="002C7437">
        <w:rPr>
          <w:rFonts w:eastAsia="Times New Roman" w:cs="Arial"/>
          <w:color w:val="000000"/>
          <w:lang w:val="en-US"/>
        </w:rPr>
        <w:t>Q</w:t>
      </w:r>
      <w:r w:rsidRPr="002C7437">
        <w:rPr>
          <w:rFonts w:eastAsia="Times New Roman" w:cs="Arial"/>
          <w:color w:val="000000"/>
          <w:lang w:val="ru-RU"/>
        </w:rPr>
        <w:t xml:space="preserve"> </w:t>
      </w:r>
      <w:proofErr w:type="spellStart"/>
      <w:r w:rsidRPr="002C7437">
        <w:rPr>
          <w:rFonts w:eastAsia="Times New Roman" w:cs="Arial"/>
          <w:color w:val="000000"/>
          <w:lang w:val="en-US"/>
        </w:rPr>
        <w:t>HRQoL</w:t>
      </w:r>
      <w:proofErr w:type="spellEnd"/>
      <w:r w:rsidRPr="002C7437">
        <w:rPr>
          <w:rFonts w:eastAsia="Times New Roman" w:cs="Arial"/>
          <w:color w:val="000000"/>
          <w:lang w:val="ru-RU"/>
        </w:rPr>
        <w:t xml:space="preserve">, </w:t>
      </w:r>
      <w:r w:rsidRPr="002C7437">
        <w:rPr>
          <w:rFonts w:eastAsia="Times New Roman" w:cs="Arial"/>
          <w:color w:val="000000"/>
          <w:lang w:eastAsia="bg-BG"/>
        </w:rPr>
        <w:t xml:space="preserve">включително всички видове субскор. Освен това, Везомни, както се очаква, е не по-малко ефикасен от тамсулозин </w:t>
      </w:r>
      <w:r w:rsidRPr="002C7437">
        <w:rPr>
          <w:rFonts w:eastAsia="Times New Roman" w:cs="Arial"/>
          <w:color w:val="000000"/>
          <w:lang w:val="en-US"/>
        </w:rPr>
        <w:t>TOCAS</w:t>
      </w:r>
      <w:r w:rsidRPr="002C7437">
        <w:rPr>
          <w:rFonts w:eastAsia="Times New Roman" w:cs="Arial"/>
          <w:color w:val="000000"/>
          <w:lang w:val="ru-RU"/>
        </w:rPr>
        <w:t xml:space="preserve"> </w:t>
      </w:r>
      <w:r w:rsidRPr="002C7437">
        <w:rPr>
          <w:rFonts w:eastAsia="Times New Roman" w:cs="Arial"/>
          <w:color w:val="000000"/>
          <w:lang w:eastAsia="bg-BG"/>
        </w:rPr>
        <w:t xml:space="preserve">по отношение на общия </w:t>
      </w:r>
      <w:r w:rsidRPr="002C7437">
        <w:rPr>
          <w:rFonts w:eastAsia="Times New Roman" w:cs="Arial"/>
          <w:color w:val="000000"/>
          <w:lang w:val="en-US"/>
        </w:rPr>
        <w:t>IPSS</w:t>
      </w:r>
      <w:r w:rsidRPr="002C7437">
        <w:rPr>
          <w:rFonts w:eastAsia="Times New Roman" w:cs="Arial"/>
          <w:color w:val="000000"/>
          <w:lang w:val="ru-RU"/>
        </w:rPr>
        <w:t xml:space="preserve"> </w:t>
      </w:r>
      <w:r w:rsidRPr="002C7437">
        <w:rPr>
          <w:rFonts w:eastAsia="Times New Roman" w:cs="Arial"/>
          <w:color w:val="000000"/>
          <w:lang w:eastAsia="bg-BG"/>
        </w:rPr>
        <w:t>(р &lt;0.001).</w:t>
      </w:r>
    </w:p>
    <w:p w14:paraId="26535098" w14:textId="67859178" w:rsidR="00395555" w:rsidRDefault="002C50EE" w:rsidP="008A6AF2">
      <w:pPr>
        <w:pStyle w:val="Heading2"/>
      </w:pPr>
      <w:r>
        <w:lastRenderedPageBreak/>
        <w:t>5.2. Фармакокинетични свойства</w:t>
      </w:r>
    </w:p>
    <w:p w14:paraId="0A2A9219" w14:textId="1E3372F8" w:rsidR="002C7437" w:rsidRDefault="002C7437" w:rsidP="002C7437"/>
    <w:p w14:paraId="3DAC6CB1" w14:textId="77777777"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Везомни</w:t>
      </w:r>
    </w:p>
    <w:p w14:paraId="1AD28537"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 xml:space="preserve">Информацията по-долу представя фармакокинетичните параметри след многократно дозиране на Везомни. Проучване за относителна бионаличност с многокрано дозиране показва, че приложението на Везомни води до сравнима експозиция на тази след едновременно приложение на отделни таблетки солифенацин и тамсулозин </w:t>
      </w:r>
      <w:r w:rsidRPr="002C7437">
        <w:rPr>
          <w:rFonts w:eastAsia="Times New Roman" w:cs="Arial"/>
          <w:color w:val="000000"/>
          <w:lang w:val="en-US"/>
        </w:rPr>
        <w:t>TOCAS</w:t>
      </w:r>
      <w:r w:rsidRPr="002C7437">
        <w:rPr>
          <w:rFonts w:eastAsia="Times New Roman" w:cs="Arial"/>
          <w:color w:val="000000"/>
          <w:lang w:val="ru-RU"/>
        </w:rPr>
        <w:t xml:space="preserve"> </w:t>
      </w:r>
      <w:r w:rsidRPr="002C7437">
        <w:rPr>
          <w:rFonts w:eastAsia="Times New Roman" w:cs="Arial"/>
          <w:color w:val="000000"/>
          <w:lang w:eastAsia="bg-BG"/>
        </w:rPr>
        <w:t>в същата доза.</w:t>
      </w:r>
    </w:p>
    <w:p w14:paraId="1927D880" w14:textId="77777777" w:rsidR="002C7437" w:rsidRPr="002C7437" w:rsidRDefault="002C7437" w:rsidP="002C7437">
      <w:pPr>
        <w:spacing w:line="240" w:lineRule="auto"/>
        <w:rPr>
          <w:rFonts w:eastAsia="Times New Roman" w:cs="Arial"/>
          <w:i/>
          <w:iCs/>
          <w:color w:val="000000"/>
          <w:lang w:eastAsia="bg-BG"/>
        </w:rPr>
      </w:pPr>
    </w:p>
    <w:p w14:paraId="194D4A54" w14:textId="173CF8F7" w:rsidR="002C7437" w:rsidRPr="002C7437" w:rsidRDefault="002C7437" w:rsidP="002C7437">
      <w:pPr>
        <w:spacing w:line="240" w:lineRule="auto"/>
        <w:rPr>
          <w:rFonts w:eastAsia="Times New Roman" w:cs="Arial"/>
        </w:rPr>
      </w:pPr>
      <w:r w:rsidRPr="002C7437">
        <w:rPr>
          <w:rFonts w:eastAsia="Times New Roman" w:cs="Arial"/>
          <w:i/>
          <w:iCs/>
          <w:color w:val="000000"/>
          <w:lang w:eastAsia="bg-BG"/>
        </w:rPr>
        <w:t>Абсорбция</w:t>
      </w:r>
    </w:p>
    <w:p w14:paraId="45292699"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 xml:space="preserve">След многократно дозиране на Везомни </w:t>
      </w:r>
      <w:proofErr w:type="spellStart"/>
      <w:r w:rsidRPr="002C7437">
        <w:rPr>
          <w:rFonts w:eastAsia="Times New Roman" w:cs="Arial"/>
          <w:color w:val="000000"/>
          <w:lang w:val="en-US"/>
        </w:rPr>
        <w:t>t</w:t>
      </w:r>
      <w:r w:rsidRPr="002C7437">
        <w:rPr>
          <w:rFonts w:eastAsia="Times New Roman" w:cs="Arial"/>
          <w:color w:val="000000"/>
          <w:vertAlign w:val="subscript"/>
          <w:lang w:val="en-US"/>
        </w:rPr>
        <w:t>max</w:t>
      </w:r>
      <w:proofErr w:type="spellEnd"/>
      <w:r w:rsidRPr="002C7437">
        <w:rPr>
          <w:rFonts w:eastAsia="Times New Roman" w:cs="Arial"/>
          <w:color w:val="000000"/>
          <w:lang w:val="ru-RU"/>
        </w:rPr>
        <w:t xml:space="preserve"> </w:t>
      </w:r>
      <w:r w:rsidRPr="002C7437">
        <w:rPr>
          <w:rFonts w:eastAsia="Times New Roman" w:cs="Arial"/>
          <w:color w:val="000000"/>
          <w:lang w:eastAsia="bg-BG"/>
        </w:rPr>
        <w:t xml:space="preserve">на солифенацин варира между 4,27 часа и 4,76 часа в различните проучвания; </w:t>
      </w:r>
      <w:proofErr w:type="spellStart"/>
      <w:r w:rsidRPr="002C7437">
        <w:rPr>
          <w:rFonts w:eastAsia="Times New Roman" w:cs="Arial"/>
          <w:color w:val="000000"/>
          <w:lang w:val="en-US"/>
        </w:rPr>
        <w:t>tmax</w:t>
      </w:r>
      <w:proofErr w:type="spellEnd"/>
      <w:r w:rsidRPr="002C7437">
        <w:rPr>
          <w:rFonts w:eastAsia="Times New Roman" w:cs="Arial"/>
          <w:color w:val="000000"/>
          <w:lang w:val="ru-RU"/>
        </w:rPr>
        <w:t xml:space="preserve"> </w:t>
      </w:r>
      <w:r w:rsidRPr="002C7437">
        <w:rPr>
          <w:rFonts w:eastAsia="Times New Roman" w:cs="Arial"/>
          <w:color w:val="000000"/>
          <w:lang w:eastAsia="bg-BG"/>
        </w:rPr>
        <w:t>на тамсулозин варира между 3,47 часа и 5,65 часа.</w:t>
      </w:r>
    </w:p>
    <w:p w14:paraId="56BA8A41"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Съответстващите стойности на С</w:t>
      </w:r>
      <w:r w:rsidRPr="002C7437">
        <w:rPr>
          <w:rFonts w:eastAsia="Times New Roman" w:cs="Arial"/>
          <w:color w:val="000000"/>
          <w:vertAlign w:val="subscript"/>
          <w:lang w:val="en-US"/>
        </w:rPr>
        <w:t>max</w:t>
      </w:r>
      <w:r w:rsidRPr="002C7437">
        <w:rPr>
          <w:rFonts w:eastAsia="Times New Roman" w:cs="Arial"/>
          <w:color w:val="000000"/>
          <w:lang w:eastAsia="bg-BG"/>
        </w:rPr>
        <w:t xml:space="preserve"> за солифенацин варират между 26,5 </w:t>
      </w:r>
      <w:r w:rsidRPr="002C7437">
        <w:rPr>
          <w:rFonts w:eastAsia="Times New Roman" w:cs="Arial"/>
          <w:color w:val="000000"/>
          <w:lang w:val="en-US"/>
        </w:rPr>
        <w:t>ng</w:t>
      </w:r>
      <w:r w:rsidRPr="002C7437">
        <w:rPr>
          <w:rFonts w:eastAsia="Times New Roman" w:cs="Arial"/>
          <w:color w:val="000000"/>
          <w:lang w:val="ru-RU"/>
        </w:rPr>
        <w:t>/</w:t>
      </w:r>
      <w:r w:rsidRPr="002C7437">
        <w:rPr>
          <w:rFonts w:eastAsia="Times New Roman" w:cs="Arial"/>
          <w:color w:val="000000"/>
          <w:lang w:val="en-US"/>
        </w:rPr>
        <w:t>ml</w:t>
      </w:r>
      <w:r w:rsidRPr="002C7437">
        <w:rPr>
          <w:rFonts w:eastAsia="Times New Roman" w:cs="Arial"/>
          <w:color w:val="000000"/>
          <w:lang w:val="ru-RU"/>
        </w:rPr>
        <w:t xml:space="preserve"> </w:t>
      </w:r>
      <w:r w:rsidRPr="002C7437">
        <w:rPr>
          <w:rFonts w:eastAsia="Times New Roman" w:cs="Arial"/>
          <w:color w:val="000000"/>
          <w:lang w:eastAsia="bg-BG"/>
        </w:rPr>
        <w:t xml:space="preserve">и 32,0 </w:t>
      </w:r>
      <w:r w:rsidRPr="002C7437">
        <w:rPr>
          <w:rFonts w:eastAsia="Times New Roman" w:cs="Arial"/>
          <w:color w:val="000000"/>
          <w:lang w:val="en-US"/>
        </w:rPr>
        <w:t>ng</w:t>
      </w:r>
      <w:r w:rsidRPr="002C7437">
        <w:rPr>
          <w:rFonts w:eastAsia="Times New Roman" w:cs="Arial"/>
          <w:color w:val="000000"/>
          <w:lang w:val="ru-RU"/>
        </w:rPr>
        <w:t>/</w:t>
      </w:r>
      <w:r w:rsidRPr="002C7437">
        <w:rPr>
          <w:rFonts w:eastAsia="Times New Roman" w:cs="Arial"/>
          <w:color w:val="000000"/>
          <w:lang w:val="en-US"/>
        </w:rPr>
        <w:t>ml</w:t>
      </w:r>
      <w:r w:rsidRPr="002C7437">
        <w:rPr>
          <w:rFonts w:eastAsia="Times New Roman" w:cs="Arial"/>
          <w:color w:val="000000"/>
          <w:lang w:val="ru-RU"/>
        </w:rPr>
        <w:t xml:space="preserve">, </w:t>
      </w:r>
      <w:r w:rsidRPr="002C7437">
        <w:rPr>
          <w:rFonts w:eastAsia="Times New Roman" w:cs="Arial"/>
          <w:color w:val="000000"/>
          <w:lang w:eastAsia="bg-BG"/>
        </w:rPr>
        <w:t>докато С</w:t>
      </w:r>
      <w:r w:rsidRPr="002C7437">
        <w:rPr>
          <w:rFonts w:eastAsia="Times New Roman" w:cs="Arial"/>
          <w:color w:val="000000"/>
          <w:vertAlign w:val="subscript"/>
          <w:lang w:val="en-US"/>
        </w:rPr>
        <w:t>max</w:t>
      </w:r>
      <w:r w:rsidRPr="002C7437">
        <w:rPr>
          <w:rFonts w:eastAsia="Times New Roman" w:cs="Arial"/>
          <w:color w:val="000000"/>
          <w:lang w:eastAsia="bg-BG"/>
        </w:rPr>
        <w:t xml:space="preserve"> за тамсулозин варира между 6,56 </w:t>
      </w:r>
      <w:r w:rsidRPr="002C7437">
        <w:rPr>
          <w:rFonts w:eastAsia="Times New Roman" w:cs="Arial"/>
          <w:color w:val="000000"/>
          <w:lang w:val="en-US"/>
        </w:rPr>
        <w:t>ng</w:t>
      </w:r>
      <w:r w:rsidRPr="002C7437">
        <w:rPr>
          <w:rFonts w:eastAsia="Times New Roman" w:cs="Arial"/>
          <w:color w:val="000000"/>
          <w:lang w:val="ru-RU"/>
        </w:rPr>
        <w:t>/</w:t>
      </w:r>
      <w:r w:rsidRPr="002C7437">
        <w:rPr>
          <w:rFonts w:eastAsia="Times New Roman" w:cs="Arial"/>
          <w:color w:val="000000"/>
          <w:lang w:val="en-US"/>
        </w:rPr>
        <w:t>ml</w:t>
      </w:r>
      <w:r w:rsidRPr="002C7437">
        <w:rPr>
          <w:rFonts w:eastAsia="Times New Roman" w:cs="Arial"/>
          <w:color w:val="000000"/>
          <w:lang w:val="ru-RU"/>
        </w:rPr>
        <w:t xml:space="preserve"> </w:t>
      </w:r>
      <w:r w:rsidRPr="002C7437">
        <w:rPr>
          <w:rFonts w:eastAsia="Times New Roman" w:cs="Arial"/>
          <w:color w:val="000000"/>
          <w:lang w:eastAsia="bg-BG"/>
        </w:rPr>
        <w:t xml:space="preserve">и 13,3 </w:t>
      </w:r>
      <w:r w:rsidRPr="002C7437">
        <w:rPr>
          <w:rFonts w:eastAsia="Times New Roman" w:cs="Arial"/>
          <w:color w:val="000000"/>
          <w:lang w:val="en-US"/>
        </w:rPr>
        <w:t>ng</w:t>
      </w:r>
      <w:r w:rsidRPr="002C7437">
        <w:rPr>
          <w:rFonts w:eastAsia="Times New Roman" w:cs="Arial"/>
          <w:color w:val="000000"/>
          <w:lang w:val="ru-RU"/>
        </w:rPr>
        <w:t>/</w:t>
      </w:r>
      <w:r w:rsidRPr="002C7437">
        <w:rPr>
          <w:rFonts w:eastAsia="Times New Roman" w:cs="Arial"/>
          <w:color w:val="000000"/>
          <w:lang w:val="en-US"/>
        </w:rPr>
        <w:t>ml</w:t>
      </w:r>
      <w:r w:rsidRPr="002C7437">
        <w:rPr>
          <w:rFonts w:eastAsia="Times New Roman" w:cs="Arial"/>
          <w:color w:val="000000"/>
          <w:lang w:val="ru-RU"/>
        </w:rPr>
        <w:t xml:space="preserve">. </w:t>
      </w:r>
      <w:r w:rsidRPr="002C7437">
        <w:rPr>
          <w:rFonts w:eastAsia="Times New Roman" w:cs="Arial"/>
          <w:color w:val="000000"/>
          <w:lang w:eastAsia="bg-BG"/>
        </w:rPr>
        <w:t xml:space="preserve">Стойностите на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 xml:space="preserve">за солифенацин варират между 528 </w:t>
      </w:r>
      <w:r w:rsidRPr="002C7437">
        <w:rPr>
          <w:rFonts w:eastAsia="Times New Roman" w:cs="Arial"/>
          <w:color w:val="000000"/>
          <w:lang w:val="en-US"/>
        </w:rPr>
        <w:t>ng</w:t>
      </w:r>
      <w:r w:rsidRPr="002C7437">
        <w:rPr>
          <w:rFonts w:eastAsia="Times New Roman" w:cs="Arial"/>
          <w:color w:val="000000"/>
          <w:lang w:val="ru-RU"/>
        </w:rPr>
        <w:t>.</w:t>
      </w:r>
      <w:r w:rsidRPr="002C7437">
        <w:rPr>
          <w:rFonts w:eastAsia="Times New Roman" w:cs="Arial"/>
          <w:color w:val="000000"/>
          <w:lang w:val="en-US"/>
        </w:rPr>
        <w:t>h</w:t>
      </w:r>
      <w:r w:rsidRPr="002C7437">
        <w:rPr>
          <w:rFonts w:eastAsia="Times New Roman" w:cs="Arial"/>
          <w:color w:val="000000"/>
          <w:lang w:val="ru-RU"/>
        </w:rPr>
        <w:t>/</w:t>
      </w:r>
      <w:r w:rsidRPr="002C7437">
        <w:rPr>
          <w:rFonts w:eastAsia="Times New Roman" w:cs="Arial"/>
          <w:color w:val="000000"/>
          <w:lang w:val="en-US"/>
        </w:rPr>
        <w:t>ml</w:t>
      </w:r>
      <w:r w:rsidRPr="002C7437">
        <w:rPr>
          <w:rFonts w:eastAsia="Times New Roman" w:cs="Arial"/>
          <w:color w:val="000000"/>
          <w:lang w:val="ru-RU"/>
        </w:rPr>
        <w:t xml:space="preserve"> </w:t>
      </w:r>
      <w:r w:rsidRPr="002C7437">
        <w:rPr>
          <w:rFonts w:eastAsia="Times New Roman" w:cs="Arial"/>
          <w:color w:val="000000"/>
          <w:lang w:eastAsia="bg-BG"/>
        </w:rPr>
        <w:t xml:space="preserve">и 601 </w:t>
      </w:r>
      <w:r w:rsidRPr="002C7437">
        <w:rPr>
          <w:rFonts w:eastAsia="Times New Roman" w:cs="Arial"/>
          <w:color w:val="000000"/>
          <w:lang w:val="en-US"/>
        </w:rPr>
        <w:t>ng</w:t>
      </w:r>
      <w:r w:rsidRPr="002C7437">
        <w:rPr>
          <w:rFonts w:eastAsia="Times New Roman" w:cs="Arial"/>
          <w:color w:val="000000"/>
          <w:lang w:val="ru-RU"/>
        </w:rPr>
        <w:t>.</w:t>
      </w:r>
      <w:r w:rsidRPr="002C7437">
        <w:rPr>
          <w:rFonts w:eastAsia="Times New Roman" w:cs="Arial"/>
          <w:color w:val="000000"/>
          <w:lang w:val="en-US"/>
        </w:rPr>
        <w:t>h</w:t>
      </w:r>
      <w:r w:rsidRPr="002C7437">
        <w:rPr>
          <w:rFonts w:eastAsia="Times New Roman" w:cs="Arial"/>
          <w:color w:val="000000"/>
          <w:lang w:val="ru-RU"/>
        </w:rPr>
        <w:t>/</w:t>
      </w:r>
      <w:r w:rsidRPr="002C7437">
        <w:rPr>
          <w:rFonts w:eastAsia="Times New Roman" w:cs="Arial"/>
          <w:color w:val="000000"/>
          <w:lang w:val="en-US"/>
        </w:rPr>
        <w:t>ml</w:t>
      </w:r>
      <w:r w:rsidRPr="002C7437">
        <w:rPr>
          <w:rFonts w:eastAsia="Times New Roman" w:cs="Arial"/>
          <w:color w:val="000000"/>
          <w:lang w:val="ru-RU"/>
        </w:rPr>
        <w:t xml:space="preserve">, </w:t>
      </w:r>
      <w:r w:rsidRPr="002C7437">
        <w:rPr>
          <w:rFonts w:eastAsia="Times New Roman" w:cs="Arial"/>
          <w:color w:val="000000"/>
          <w:lang w:eastAsia="bg-BG"/>
        </w:rPr>
        <w:t xml:space="preserve">а за тамсулозин между 97,1 </w:t>
      </w:r>
      <w:r w:rsidRPr="002C7437">
        <w:rPr>
          <w:rFonts w:eastAsia="Times New Roman" w:cs="Arial"/>
          <w:color w:val="000000"/>
          <w:lang w:val="en-US"/>
        </w:rPr>
        <w:t>ng</w:t>
      </w:r>
      <w:r w:rsidRPr="002C7437">
        <w:rPr>
          <w:rFonts w:eastAsia="Times New Roman" w:cs="Arial"/>
          <w:color w:val="000000"/>
          <w:lang w:val="ru-RU"/>
        </w:rPr>
        <w:t>.</w:t>
      </w:r>
      <w:r w:rsidRPr="002C7437">
        <w:rPr>
          <w:rFonts w:eastAsia="Times New Roman" w:cs="Arial"/>
          <w:color w:val="000000"/>
          <w:lang w:val="en-US"/>
        </w:rPr>
        <w:t>h</w:t>
      </w:r>
      <w:r w:rsidRPr="002C7437">
        <w:rPr>
          <w:rFonts w:eastAsia="Times New Roman" w:cs="Arial"/>
          <w:color w:val="000000"/>
          <w:lang w:val="ru-RU"/>
        </w:rPr>
        <w:t>/</w:t>
      </w:r>
      <w:r w:rsidRPr="002C7437">
        <w:rPr>
          <w:rFonts w:eastAsia="Times New Roman" w:cs="Arial"/>
          <w:color w:val="000000"/>
          <w:lang w:val="en-US"/>
        </w:rPr>
        <w:t>ml</w:t>
      </w:r>
      <w:r w:rsidRPr="002C7437">
        <w:rPr>
          <w:rFonts w:eastAsia="Times New Roman" w:cs="Arial"/>
          <w:color w:val="000000"/>
          <w:lang w:val="ru-RU"/>
        </w:rPr>
        <w:t xml:space="preserve"> </w:t>
      </w:r>
      <w:r w:rsidRPr="002C7437">
        <w:rPr>
          <w:rFonts w:eastAsia="Times New Roman" w:cs="Arial"/>
          <w:color w:val="000000"/>
          <w:lang w:eastAsia="bg-BG"/>
        </w:rPr>
        <w:t>и</w:t>
      </w:r>
    </w:p>
    <w:p w14:paraId="36CE5C2D" w14:textId="28A965E4" w:rsidR="002C7437" w:rsidRPr="002C7437" w:rsidRDefault="002C7437" w:rsidP="002C7437">
      <w:pPr>
        <w:rPr>
          <w:rFonts w:eastAsia="Times New Roman" w:cs="Arial"/>
          <w:color w:val="000000"/>
          <w:lang w:eastAsia="bg-BG"/>
        </w:rPr>
      </w:pPr>
      <w:r w:rsidRPr="002C7437">
        <w:rPr>
          <w:rFonts w:eastAsia="Times New Roman" w:cs="Arial"/>
          <w:color w:val="000000"/>
          <w:lang w:eastAsia="bg-BG"/>
        </w:rPr>
        <w:t xml:space="preserve">222 </w:t>
      </w:r>
      <w:r w:rsidRPr="002C7437">
        <w:rPr>
          <w:rFonts w:eastAsia="Times New Roman" w:cs="Arial"/>
          <w:color w:val="000000"/>
          <w:lang w:val="en-US"/>
        </w:rPr>
        <w:t>ng</w:t>
      </w:r>
      <w:r w:rsidRPr="002C7437">
        <w:rPr>
          <w:rFonts w:eastAsia="Times New Roman" w:cs="Arial"/>
          <w:color w:val="000000"/>
          <w:lang w:val="ru-RU"/>
        </w:rPr>
        <w:t>.</w:t>
      </w:r>
      <w:r w:rsidRPr="002C7437">
        <w:rPr>
          <w:rFonts w:eastAsia="Times New Roman" w:cs="Arial"/>
          <w:color w:val="000000"/>
          <w:lang w:val="en-US"/>
        </w:rPr>
        <w:t>h</w:t>
      </w:r>
      <w:r w:rsidRPr="002C7437">
        <w:rPr>
          <w:rFonts w:eastAsia="Times New Roman" w:cs="Arial"/>
          <w:color w:val="000000"/>
          <w:lang w:val="ru-RU"/>
        </w:rPr>
        <w:t>/</w:t>
      </w:r>
      <w:r w:rsidRPr="002C7437">
        <w:rPr>
          <w:rFonts w:eastAsia="Times New Roman" w:cs="Arial"/>
          <w:color w:val="000000"/>
          <w:lang w:val="en-US"/>
        </w:rPr>
        <w:t>ml</w:t>
      </w:r>
      <w:r w:rsidRPr="002C7437">
        <w:rPr>
          <w:rFonts w:eastAsia="Times New Roman" w:cs="Arial"/>
          <w:color w:val="000000"/>
          <w:lang w:val="ru-RU"/>
        </w:rPr>
        <w:t xml:space="preserve">. </w:t>
      </w:r>
      <w:r w:rsidRPr="002C7437">
        <w:rPr>
          <w:rFonts w:eastAsia="Times New Roman" w:cs="Arial"/>
          <w:color w:val="000000"/>
          <w:lang w:eastAsia="bg-BG"/>
        </w:rPr>
        <w:t>Абсолютната бионаличност на солифенацин е приблизително 90%</w:t>
      </w:r>
      <w:r w:rsidRPr="002C7437">
        <w:rPr>
          <w:rFonts w:eastAsia="Times New Roman" w:cs="Arial"/>
          <w:color w:val="000000"/>
          <w:lang w:val="ru-RU"/>
        </w:rPr>
        <w:t xml:space="preserve"> </w:t>
      </w:r>
      <w:r w:rsidRPr="002C7437">
        <w:rPr>
          <w:rFonts w:eastAsia="Times New Roman" w:cs="Arial"/>
          <w:color w:val="000000"/>
          <w:lang w:eastAsia="bg-BG"/>
        </w:rPr>
        <w:t>докато за тамсулозин се очаква да се абсорбират 70% до 79%.</w:t>
      </w:r>
    </w:p>
    <w:p w14:paraId="05B6A8EF" w14:textId="4B7B88C7" w:rsidR="002C7437" w:rsidRPr="002C7437" w:rsidRDefault="002C7437" w:rsidP="002C7437">
      <w:pPr>
        <w:rPr>
          <w:rFonts w:eastAsia="Times New Roman" w:cs="Arial"/>
          <w:color w:val="000000"/>
          <w:lang w:eastAsia="bg-BG"/>
        </w:rPr>
      </w:pPr>
    </w:p>
    <w:p w14:paraId="5E282DC3"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С Везомни е направено проучване с еднократна доза за ефект на храната, с дозиране на гладно, след бедна на мазнини ниско калорийна закуска и след богата на мазнини високо калорийна закуска. Наблюдавано е 54% повишение в С</w:t>
      </w:r>
      <w:r w:rsidRPr="002C7437">
        <w:rPr>
          <w:rFonts w:eastAsia="Times New Roman" w:cs="Arial"/>
          <w:color w:val="000000"/>
          <w:vertAlign w:val="subscript"/>
          <w:lang w:val="en-US"/>
        </w:rPr>
        <w:t>max</w:t>
      </w:r>
      <w:r w:rsidRPr="002C7437">
        <w:rPr>
          <w:rFonts w:eastAsia="Times New Roman" w:cs="Arial"/>
          <w:color w:val="000000"/>
          <w:lang w:eastAsia="bg-BG"/>
        </w:rPr>
        <w:t xml:space="preserve"> за компонентата на Везомни тамсулозин след богата на мазнини високо калорийна закуска в сравнение с дозиране на гладно, докато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се увеличава до 33%. Ниско калорийна, бедна на мазнини закуска не повлиява фармакокинетиката на тамсулозин. Фармакокинетиката на компонентата солифенацин не се повлиява нито от бедна на мазнини ниско калорийна закуска, нито от богата на мазнини високо калорийна закуска.</w:t>
      </w:r>
    </w:p>
    <w:p w14:paraId="7CBF65D9" w14:textId="77777777" w:rsidR="002C7437" w:rsidRPr="002C7437" w:rsidRDefault="002C7437" w:rsidP="002C7437">
      <w:pPr>
        <w:spacing w:line="240" w:lineRule="auto"/>
        <w:rPr>
          <w:rFonts w:eastAsia="Times New Roman" w:cs="Arial"/>
          <w:color w:val="000000"/>
          <w:lang w:eastAsia="bg-BG"/>
        </w:rPr>
      </w:pPr>
    </w:p>
    <w:p w14:paraId="46708CF2" w14:textId="7A8FE133" w:rsidR="002C7437" w:rsidRPr="002C7437" w:rsidRDefault="002C7437" w:rsidP="002C7437">
      <w:pPr>
        <w:spacing w:line="240" w:lineRule="auto"/>
        <w:rPr>
          <w:rFonts w:eastAsia="Times New Roman" w:cs="Arial"/>
        </w:rPr>
      </w:pPr>
      <w:r w:rsidRPr="002C7437">
        <w:rPr>
          <w:rFonts w:eastAsia="Times New Roman" w:cs="Arial"/>
          <w:color w:val="000000"/>
          <w:lang w:eastAsia="bg-BG"/>
        </w:rPr>
        <w:t xml:space="preserve">Едновременното приложение на солифенацин и тамсулозин </w:t>
      </w:r>
      <w:r w:rsidRPr="002C7437">
        <w:rPr>
          <w:rFonts w:eastAsia="Times New Roman" w:cs="Arial"/>
          <w:color w:val="000000"/>
          <w:lang w:val="en-US"/>
        </w:rPr>
        <w:t>TOCAS</w:t>
      </w:r>
      <w:r w:rsidRPr="002C7437">
        <w:rPr>
          <w:rFonts w:eastAsia="Times New Roman" w:cs="Arial"/>
          <w:color w:val="000000"/>
          <w:lang w:val="ru-RU"/>
        </w:rPr>
        <w:t xml:space="preserve"> </w:t>
      </w:r>
      <w:r w:rsidRPr="002C7437">
        <w:rPr>
          <w:rFonts w:eastAsia="Times New Roman" w:cs="Arial"/>
          <w:color w:val="000000"/>
          <w:lang w:eastAsia="bg-BG"/>
        </w:rPr>
        <w:t>води до 1,19-кратно повишение в С</w:t>
      </w:r>
      <w:r w:rsidRPr="002C7437">
        <w:rPr>
          <w:rFonts w:eastAsia="Times New Roman" w:cs="Arial"/>
          <w:color w:val="000000"/>
          <w:vertAlign w:val="subscript"/>
          <w:lang w:val="en-US"/>
        </w:rPr>
        <w:t>max</w:t>
      </w:r>
      <w:r w:rsidRPr="002C7437">
        <w:rPr>
          <w:rFonts w:eastAsia="Times New Roman" w:cs="Arial"/>
          <w:color w:val="000000"/>
          <w:lang w:eastAsia="bg-BG"/>
        </w:rPr>
        <w:t xml:space="preserve"> на тамсулозин и 1,24-кратно повишение в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 xml:space="preserve">на тамсулозин в сравнение с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 xml:space="preserve">на таблетката тамсулозин </w:t>
      </w:r>
      <w:r w:rsidRPr="002C7437">
        <w:rPr>
          <w:rFonts w:eastAsia="Times New Roman" w:cs="Arial"/>
          <w:color w:val="000000"/>
          <w:lang w:val="en-US"/>
        </w:rPr>
        <w:t>TOCAS</w:t>
      </w:r>
      <w:r w:rsidRPr="002C7437">
        <w:rPr>
          <w:rFonts w:eastAsia="Times New Roman" w:cs="Arial"/>
          <w:color w:val="000000"/>
          <w:lang w:val="ru-RU"/>
        </w:rPr>
        <w:t xml:space="preserve"> </w:t>
      </w:r>
      <w:r w:rsidRPr="002C7437">
        <w:rPr>
          <w:rFonts w:eastAsia="Times New Roman" w:cs="Arial"/>
          <w:color w:val="000000"/>
          <w:lang w:eastAsia="bg-BG"/>
        </w:rPr>
        <w:t>приложена самостоятелно. Няма индикации за ефект на тамсулозин по отношение на фармакокинетиката на солифенацин.</w:t>
      </w:r>
    </w:p>
    <w:p w14:paraId="2C5CAE1A" w14:textId="77777777" w:rsidR="002C7437" w:rsidRPr="002C7437" w:rsidRDefault="002C7437" w:rsidP="002C7437">
      <w:pPr>
        <w:spacing w:line="240" w:lineRule="auto"/>
        <w:rPr>
          <w:rFonts w:eastAsia="Times New Roman" w:cs="Arial"/>
          <w:i/>
          <w:iCs/>
          <w:color w:val="000000"/>
          <w:lang w:eastAsia="bg-BG"/>
        </w:rPr>
      </w:pPr>
    </w:p>
    <w:p w14:paraId="66DC0A76" w14:textId="6C7A56B1" w:rsidR="002C7437" w:rsidRPr="002C7437" w:rsidRDefault="002C7437" w:rsidP="002C7437">
      <w:pPr>
        <w:spacing w:line="240" w:lineRule="auto"/>
        <w:rPr>
          <w:rFonts w:eastAsia="Times New Roman" w:cs="Arial"/>
        </w:rPr>
      </w:pPr>
      <w:r w:rsidRPr="002C7437">
        <w:rPr>
          <w:rFonts w:eastAsia="Times New Roman" w:cs="Arial"/>
          <w:i/>
          <w:iCs/>
          <w:color w:val="000000"/>
          <w:lang w:eastAsia="bg-BG"/>
        </w:rPr>
        <w:t>Елиминиране</w:t>
      </w:r>
    </w:p>
    <w:p w14:paraId="228A35F3"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 xml:space="preserve">След еднократно приложение на Везомни, </w:t>
      </w:r>
      <w:r w:rsidRPr="002C7437">
        <w:rPr>
          <w:rFonts w:eastAsia="Times New Roman" w:cs="Arial"/>
          <w:color w:val="000000"/>
          <w:lang w:val="en-US"/>
        </w:rPr>
        <w:t>t</w:t>
      </w:r>
      <w:r w:rsidRPr="002C7437">
        <w:rPr>
          <w:rFonts w:eastAsia="Times New Roman" w:cs="Arial"/>
          <w:color w:val="000000"/>
          <w:vertAlign w:val="subscript"/>
          <w:lang w:val="ru-RU"/>
        </w:rPr>
        <w:t>1</w:t>
      </w:r>
      <w:r w:rsidRPr="002C7437">
        <w:rPr>
          <w:rFonts w:eastAsia="Times New Roman" w:cs="Arial"/>
          <w:color w:val="000000"/>
          <w:vertAlign w:val="subscript"/>
          <w:lang w:eastAsia="bg-BG"/>
        </w:rPr>
        <w:t>/2</w:t>
      </w:r>
      <w:r w:rsidRPr="002C7437">
        <w:rPr>
          <w:rFonts w:eastAsia="Times New Roman" w:cs="Arial"/>
          <w:color w:val="000000"/>
          <w:lang w:eastAsia="bg-BG"/>
        </w:rPr>
        <w:t xml:space="preserve"> на солифенацин е в обхвата от 49,5 часа до 53,0 часа, а на тамсулозин е от 12,8 часа до 14,0 часа.</w:t>
      </w:r>
    </w:p>
    <w:p w14:paraId="16EBBB3A" w14:textId="77777777" w:rsidR="002C7437" w:rsidRPr="002C7437" w:rsidRDefault="002C7437" w:rsidP="002C7437">
      <w:pPr>
        <w:spacing w:line="240" w:lineRule="auto"/>
        <w:rPr>
          <w:rFonts w:eastAsia="Times New Roman" w:cs="Arial"/>
          <w:color w:val="000000"/>
          <w:lang w:eastAsia="bg-BG"/>
        </w:rPr>
      </w:pPr>
    </w:p>
    <w:p w14:paraId="2B446007" w14:textId="6C9478D0" w:rsidR="002C7437" w:rsidRPr="002C7437" w:rsidRDefault="002C7437" w:rsidP="002C7437">
      <w:pPr>
        <w:spacing w:line="240" w:lineRule="auto"/>
        <w:rPr>
          <w:rFonts w:eastAsia="Times New Roman" w:cs="Arial"/>
        </w:rPr>
      </w:pPr>
      <w:r w:rsidRPr="002C7437">
        <w:rPr>
          <w:rFonts w:eastAsia="Times New Roman" w:cs="Arial"/>
          <w:color w:val="000000"/>
          <w:lang w:eastAsia="bg-BG"/>
        </w:rPr>
        <w:t xml:space="preserve">Многократно дозиране на верапамил 240 </w:t>
      </w:r>
      <w:r w:rsidRPr="002C7437">
        <w:rPr>
          <w:rFonts w:eastAsia="Times New Roman" w:cs="Arial"/>
          <w:color w:val="000000"/>
          <w:lang w:val="en-US"/>
        </w:rPr>
        <w:t>mg</w:t>
      </w:r>
      <w:r w:rsidRPr="002C7437">
        <w:rPr>
          <w:rFonts w:eastAsia="Times New Roman" w:cs="Arial"/>
          <w:color w:val="000000"/>
          <w:lang w:val="ru-RU"/>
        </w:rPr>
        <w:t xml:space="preserve"> </w:t>
      </w:r>
      <w:r w:rsidRPr="002C7437">
        <w:rPr>
          <w:rFonts w:eastAsia="Times New Roman" w:cs="Arial"/>
          <w:color w:val="000000"/>
          <w:lang w:eastAsia="bg-BG"/>
        </w:rPr>
        <w:t>веднъж дневно приложен едновременно с Везомни води до 60% повишение в С</w:t>
      </w:r>
      <w:r w:rsidRPr="002C7437">
        <w:rPr>
          <w:rFonts w:eastAsia="Times New Roman" w:cs="Arial"/>
          <w:color w:val="000000"/>
          <w:vertAlign w:val="subscript"/>
          <w:lang w:val="en-US"/>
        </w:rPr>
        <w:t>max</w:t>
      </w:r>
      <w:r w:rsidRPr="002C7437">
        <w:rPr>
          <w:rFonts w:eastAsia="Times New Roman" w:cs="Arial"/>
          <w:color w:val="000000"/>
          <w:lang w:eastAsia="bg-BG"/>
        </w:rPr>
        <w:t xml:space="preserve"> и до 63% повишение в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за солифенацин, докато С</w:t>
      </w:r>
      <w:r w:rsidRPr="002C7437">
        <w:rPr>
          <w:rFonts w:eastAsia="Times New Roman" w:cs="Arial"/>
          <w:color w:val="000000"/>
          <w:vertAlign w:val="subscript"/>
          <w:lang w:val="en-US"/>
        </w:rPr>
        <w:t>max</w:t>
      </w:r>
      <w:r w:rsidRPr="002C7437">
        <w:rPr>
          <w:rFonts w:eastAsia="Times New Roman" w:cs="Arial"/>
          <w:color w:val="000000"/>
          <w:lang w:eastAsia="bg-BG"/>
        </w:rPr>
        <w:t xml:space="preserve"> на тамсулозин се повишава до 115%, </w:t>
      </w:r>
      <w:r w:rsidRPr="002C7437">
        <w:rPr>
          <w:rFonts w:eastAsia="Times New Roman" w:cs="Arial"/>
          <w:color w:val="000000"/>
          <w:lang w:val="en-US"/>
        </w:rPr>
        <w:t>a</w:t>
      </w:r>
      <w:r w:rsidRPr="002C7437">
        <w:rPr>
          <w:rFonts w:eastAsia="Times New Roman" w:cs="Arial"/>
          <w:color w:val="000000"/>
          <w:lang w:val="ru-RU"/>
        </w:rPr>
        <w:t xml:space="preserve">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до 122%. Тези промени в С</w:t>
      </w:r>
      <w:r w:rsidRPr="002C7437">
        <w:rPr>
          <w:rFonts w:eastAsia="Times New Roman" w:cs="Arial"/>
          <w:color w:val="000000"/>
          <w:vertAlign w:val="subscript"/>
          <w:lang w:val="en-US"/>
        </w:rPr>
        <w:t>max</w:t>
      </w:r>
      <w:r w:rsidRPr="002C7437">
        <w:rPr>
          <w:rFonts w:eastAsia="Times New Roman" w:cs="Arial"/>
          <w:color w:val="000000"/>
          <w:lang w:eastAsia="bg-BG"/>
        </w:rPr>
        <w:t xml:space="preserve"> и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не се считат за клинично значими.</w:t>
      </w:r>
    </w:p>
    <w:p w14:paraId="32F14297" w14:textId="77777777" w:rsidR="002C7437" w:rsidRPr="002C7437" w:rsidRDefault="002C7437" w:rsidP="002C7437">
      <w:pPr>
        <w:spacing w:line="240" w:lineRule="auto"/>
        <w:rPr>
          <w:rFonts w:eastAsia="Times New Roman" w:cs="Arial"/>
          <w:color w:val="000000"/>
          <w:lang w:eastAsia="bg-BG"/>
        </w:rPr>
      </w:pPr>
    </w:p>
    <w:p w14:paraId="7924C195" w14:textId="63A458D8" w:rsidR="002C7437" w:rsidRPr="002C7437" w:rsidRDefault="002C7437" w:rsidP="002C7437">
      <w:pPr>
        <w:spacing w:line="240" w:lineRule="auto"/>
        <w:rPr>
          <w:rFonts w:eastAsia="Times New Roman" w:cs="Arial"/>
        </w:rPr>
      </w:pPr>
      <w:r w:rsidRPr="002C7437">
        <w:rPr>
          <w:rFonts w:eastAsia="Times New Roman" w:cs="Arial"/>
          <w:color w:val="000000"/>
          <w:lang w:eastAsia="bg-BG"/>
        </w:rPr>
        <w:t>Популационен фармакокинетичен анализ на данните от фаза 3 показва, че интраиндивидуалната вариабилност на фармакокинетиката на тамсулозин е свързана с разлики във възраст, ръст и плазмените концентрации на α</w:t>
      </w:r>
      <w:r w:rsidRPr="002C7437">
        <w:rPr>
          <w:rFonts w:eastAsia="Times New Roman" w:cs="Arial"/>
          <w:color w:val="000000"/>
          <w:vertAlign w:val="subscript"/>
          <w:lang w:eastAsia="bg-BG"/>
        </w:rPr>
        <w:t>1</w:t>
      </w:r>
      <w:r w:rsidRPr="002C7437">
        <w:rPr>
          <w:rFonts w:eastAsia="Times New Roman" w:cs="Arial"/>
          <w:color w:val="000000"/>
          <w:lang w:eastAsia="bg-BG"/>
        </w:rPr>
        <w:t>-кисел гликопротеин. Покачването на възраст и на α</w:t>
      </w:r>
      <w:r w:rsidRPr="002C7437">
        <w:rPr>
          <w:rFonts w:eastAsia="Times New Roman" w:cs="Arial"/>
          <w:color w:val="000000"/>
          <w:vertAlign w:val="subscript"/>
          <w:lang w:eastAsia="bg-BG"/>
        </w:rPr>
        <w:t>1</w:t>
      </w:r>
      <w:r w:rsidRPr="002C7437">
        <w:rPr>
          <w:rFonts w:eastAsia="Times New Roman" w:cs="Arial"/>
          <w:color w:val="000000"/>
          <w:lang w:eastAsia="bg-BG"/>
        </w:rPr>
        <w:t xml:space="preserve"> -кисел гликопротеин се свързва с повишение на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 xml:space="preserve">докато повишението в ръста се свързва с понижение в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 xml:space="preserve">Същият фактор води до подобни промени във фармакокинетиката на солифенацин. В допълнение, покачването </w:t>
      </w:r>
      <w:r w:rsidRPr="002C7437">
        <w:rPr>
          <w:rFonts w:eastAsia="Times New Roman" w:cs="Arial"/>
          <w:color w:val="000000"/>
          <w:lang w:eastAsia="bg-BG"/>
        </w:rPr>
        <w:lastRenderedPageBreak/>
        <w:t xml:space="preserve">на гама-глутамин транспептидазата се свързва с по-високи стойности на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 xml:space="preserve">Тези промени в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не се считат за клинично значими.</w:t>
      </w:r>
    </w:p>
    <w:p w14:paraId="6B02C09E" w14:textId="77777777" w:rsidR="002C7437" w:rsidRPr="002C7437" w:rsidRDefault="002C7437" w:rsidP="002C7437">
      <w:pPr>
        <w:spacing w:line="240" w:lineRule="auto"/>
        <w:rPr>
          <w:rFonts w:eastAsia="Times New Roman" w:cs="Arial"/>
          <w:color w:val="000000"/>
          <w:lang w:eastAsia="bg-BG"/>
        </w:rPr>
      </w:pPr>
    </w:p>
    <w:p w14:paraId="1223778E" w14:textId="68D26893" w:rsidR="002C7437" w:rsidRPr="002C7437" w:rsidRDefault="002C7437" w:rsidP="002C7437">
      <w:pPr>
        <w:spacing w:line="240" w:lineRule="auto"/>
        <w:rPr>
          <w:rFonts w:eastAsia="Times New Roman" w:cs="Arial"/>
        </w:rPr>
      </w:pPr>
      <w:r w:rsidRPr="002C7437">
        <w:rPr>
          <w:rFonts w:eastAsia="Times New Roman" w:cs="Arial"/>
          <w:color w:val="000000"/>
          <w:lang w:eastAsia="bg-BG"/>
        </w:rPr>
        <w:t>Информация за отделните активни вещества, използвани в продукти с едно вещество, завършва фармакокинетичните свойства на Везомни.</w:t>
      </w:r>
    </w:p>
    <w:p w14:paraId="4287CF5F" w14:textId="77777777" w:rsidR="002C7437" w:rsidRPr="002C7437" w:rsidRDefault="002C7437" w:rsidP="002C7437">
      <w:pPr>
        <w:spacing w:line="240" w:lineRule="auto"/>
        <w:rPr>
          <w:rFonts w:eastAsia="Times New Roman" w:cs="Arial"/>
          <w:color w:val="000000"/>
          <w:u w:val="single"/>
          <w:lang w:eastAsia="bg-BG"/>
        </w:rPr>
      </w:pPr>
    </w:p>
    <w:p w14:paraId="75AE30F7" w14:textId="7ED4BDF1"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Солифенацин</w:t>
      </w:r>
    </w:p>
    <w:p w14:paraId="36995E48" w14:textId="6F2B3D0F" w:rsidR="002C7437" w:rsidRPr="002C7437" w:rsidRDefault="002C7437" w:rsidP="002C7437">
      <w:pPr>
        <w:spacing w:line="240" w:lineRule="auto"/>
        <w:rPr>
          <w:rFonts w:eastAsia="Times New Roman" w:cs="Arial"/>
        </w:rPr>
      </w:pPr>
      <w:r w:rsidRPr="002C7437">
        <w:rPr>
          <w:rFonts w:eastAsia="Times New Roman" w:cs="Arial"/>
          <w:i/>
          <w:iCs/>
          <w:color w:val="000000"/>
          <w:lang w:eastAsia="bg-BG"/>
        </w:rPr>
        <w:t>Абсорбция</w:t>
      </w:r>
    </w:p>
    <w:p w14:paraId="34C2AF06"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За солифенацин таблетки не зависи от дозата и настъпва 3 до 8 часа след многократно дозиране. С</w:t>
      </w:r>
      <w:r w:rsidRPr="002C7437">
        <w:rPr>
          <w:rFonts w:eastAsia="Times New Roman" w:cs="Arial"/>
          <w:color w:val="000000"/>
          <w:vertAlign w:val="subscript"/>
          <w:lang w:val="en-US"/>
        </w:rPr>
        <w:t>max</w:t>
      </w:r>
      <w:r w:rsidRPr="002C7437">
        <w:rPr>
          <w:rFonts w:eastAsia="Times New Roman" w:cs="Arial"/>
          <w:color w:val="000000"/>
          <w:lang w:eastAsia="bg-BG"/>
        </w:rPr>
        <w:t xml:space="preserve"> и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 xml:space="preserve">нарастват пропорционално на дозата между 5 </w:t>
      </w:r>
      <w:r w:rsidRPr="002C7437">
        <w:rPr>
          <w:rFonts w:eastAsia="Times New Roman" w:cs="Arial"/>
          <w:color w:val="000000"/>
          <w:lang w:val="en-US"/>
        </w:rPr>
        <w:t>mg</w:t>
      </w:r>
      <w:r w:rsidRPr="002C7437">
        <w:rPr>
          <w:rFonts w:eastAsia="Times New Roman" w:cs="Arial"/>
          <w:color w:val="000000"/>
          <w:lang w:val="ru-RU"/>
        </w:rPr>
        <w:t xml:space="preserve"> </w:t>
      </w:r>
      <w:r w:rsidRPr="002C7437">
        <w:rPr>
          <w:rFonts w:eastAsia="Times New Roman" w:cs="Arial"/>
          <w:color w:val="000000"/>
          <w:lang w:eastAsia="bg-BG"/>
        </w:rPr>
        <w:t xml:space="preserve">и 40 </w:t>
      </w:r>
      <w:r w:rsidRPr="002C7437">
        <w:rPr>
          <w:rFonts w:eastAsia="Times New Roman" w:cs="Arial"/>
          <w:color w:val="000000"/>
          <w:lang w:val="en-US"/>
        </w:rPr>
        <w:t>mg</w:t>
      </w:r>
      <w:r w:rsidRPr="002C7437">
        <w:rPr>
          <w:rFonts w:eastAsia="Times New Roman" w:cs="Arial"/>
          <w:color w:val="000000"/>
          <w:lang w:val="ru-RU"/>
        </w:rPr>
        <w:t xml:space="preserve">. </w:t>
      </w:r>
      <w:r w:rsidRPr="002C7437">
        <w:rPr>
          <w:rFonts w:eastAsia="Times New Roman" w:cs="Arial"/>
          <w:color w:val="000000"/>
          <w:lang w:eastAsia="bg-BG"/>
        </w:rPr>
        <w:t>Абсолютната бионаличност е приблизително около 90%.</w:t>
      </w:r>
    </w:p>
    <w:p w14:paraId="0E8E3CEF" w14:textId="77777777" w:rsidR="002C7437" w:rsidRPr="002C7437" w:rsidRDefault="002C7437" w:rsidP="002C7437">
      <w:pPr>
        <w:spacing w:line="240" w:lineRule="auto"/>
        <w:rPr>
          <w:rFonts w:eastAsia="Times New Roman" w:cs="Arial"/>
          <w:i/>
          <w:iCs/>
          <w:color w:val="000000"/>
          <w:lang w:eastAsia="bg-BG"/>
        </w:rPr>
      </w:pPr>
    </w:p>
    <w:p w14:paraId="2BC13BDE" w14:textId="4F01AE72" w:rsidR="002C7437" w:rsidRPr="002C7437" w:rsidRDefault="002C7437" w:rsidP="002C7437">
      <w:pPr>
        <w:spacing w:line="240" w:lineRule="auto"/>
        <w:rPr>
          <w:rFonts w:eastAsia="Times New Roman" w:cs="Arial"/>
        </w:rPr>
      </w:pPr>
      <w:r w:rsidRPr="002C7437">
        <w:rPr>
          <w:rFonts w:eastAsia="Times New Roman" w:cs="Arial"/>
          <w:i/>
          <w:iCs/>
          <w:color w:val="000000"/>
          <w:lang w:eastAsia="bg-BG"/>
        </w:rPr>
        <w:t>Разпределение</w:t>
      </w:r>
    </w:p>
    <w:p w14:paraId="2F228074"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Привидният обем на разпределение на солифенацин след интравенозно приложение е приблизително 6001. Приблизително 98% от солифенацин е свързан с плазмените протеини, главно ар кисел гликопротеин.</w:t>
      </w:r>
    </w:p>
    <w:p w14:paraId="12B54416" w14:textId="77777777" w:rsidR="002C7437" w:rsidRPr="002C7437" w:rsidRDefault="002C7437" w:rsidP="002C7437">
      <w:pPr>
        <w:spacing w:line="240" w:lineRule="auto"/>
        <w:rPr>
          <w:rFonts w:eastAsia="Times New Roman" w:cs="Arial"/>
          <w:i/>
          <w:iCs/>
          <w:color w:val="000000"/>
          <w:lang w:eastAsia="bg-BG"/>
        </w:rPr>
      </w:pPr>
    </w:p>
    <w:p w14:paraId="59A69C95" w14:textId="2744BA8C" w:rsidR="002C7437" w:rsidRPr="002C7437" w:rsidRDefault="002C7437" w:rsidP="002C7437">
      <w:pPr>
        <w:spacing w:line="240" w:lineRule="auto"/>
        <w:rPr>
          <w:rFonts w:eastAsia="Times New Roman" w:cs="Arial"/>
        </w:rPr>
      </w:pPr>
      <w:r w:rsidRPr="002C7437">
        <w:rPr>
          <w:rFonts w:eastAsia="Times New Roman" w:cs="Arial"/>
          <w:i/>
          <w:iCs/>
          <w:color w:val="000000"/>
          <w:lang w:eastAsia="bg-BG"/>
        </w:rPr>
        <w:t>Биотрансформация</w:t>
      </w:r>
    </w:p>
    <w:p w14:paraId="67D1F40A"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Солифенацин има малък ефект на първо преминаване, като се метаболизира бавно.</w:t>
      </w:r>
    </w:p>
    <w:p w14:paraId="7C8C23C2" w14:textId="55B32DA4" w:rsidR="002C7437" w:rsidRPr="002C7437" w:rsidRDefault="002C7437" w:rsidP="002C7437">
      <w:pPr>
        <w:spacing w:line="240" w:lineRule="auto"/>
        <w:rPr>
          <w:rFonts w:eastAsia="Times New Roman" w:cs="Arial"/>
          <w:color w:val="000000"/>
          <w:lang w:eastAsia="bg-BG"/>
        </w:rPr>
      </w:pPr>
      <w:r w:rsidRPr="002C7437">
        <w:rPr>
          <w:rFonts w:eastAsia="Times New Roman" w:cs="Arial"/>
          <w:color w:val="000000"/>
          <w:lang w:eastAsia="bg-BG"/>
        </w:rPr>
        <w:t xml:space="preserve">Солифенацин се метаболизира основно в черния дроб, главно чрез цитохром СУРЗА4. Освен това съществуват и алтернативни пътища на метаболизъм, които може да допринесат за метаболизирането на солифенацин. Системният клирънс на солифенацин е около 9.5 </w:t>
      </w:r>
      <w:r w:rsidRPr="002C7437">
        <w:rPr>
          <w:rFonts w:eastAsia="Times New Roman" w:cs="Arial"/>
          <w:color w:val="000000"/>
          <w:lang w:val="ru-RU"/>
        </w:rPr>
        <w:t>1/</w:t>
      </w:r>
      <w:r w:rsidRPr="002C7437">
        <w:rPr>
          <w:rFonts w:eastAsia="Times New Roman" w:cs="Arial"/>
          <w:color w:val="000000"/>
          <w:lang w:val="en-US"/>
        </w:rPr>
        <w:t>h</w:t>
      </w:r>
      <w:r w:rsidRPr="002C7437">
        <w:rPr>
          <w:rFonts w:eastAsia="Times New Roman" w:cs="Arial"/>
          <w:color w:val="000000"/>
          <w:lang w:val="ru-RU"/>
        </w:rPr>
        <w:t xml:space="preserve">. </w:t>
      </w:r>
      <w:r w:rsidRPr="002C7437">
        <w:rPr>
          <w:rFonts w:eastAsia="Times New Roman" w:cs="Arial"/>
          <w:color w:val="000000"/>
          <w:lang w:eastAsia="bg-BG"/>
        </w:rPr>
        <w:t>След перорален прием в плазмата са идентифицирани един фармакологично активен (4А-хидрокси солифенацин) и три неактивни метаболита (</w:t>
      </w:r>
      <w:r w:rsidRPr="002C7437">
        <w:rPr>
          <w:rFonts w:eastAsia="Times New Roman" w:cs="Arial"/>
          <w:color w:val="000000"/>
          <w:lang w:val="en-US"/>
        </w:rPr>
        <w:t>N</w:t>
      </w:r>
      <w:r w:rsidRPr="002C7437">
        <w:rPr>
          <w:rFonts w:eastAsia="Times New Roman" w:cs="Arial"/>
          <w:color w:val="000000"/>
          <w:lang w:eastAsia="bg-BG"/>
        </w:rPr>
        <w:t xml:space="preserve">-глюкуронид, </w:t>
      </w:r>
      <w:r w:rsidRPr="002C7437">
        <w:rPr>
          <w:rFonts w:eastAsia="Times New Roman" w:cs="Arial"/>
          <w:color w:val="000000"/>
          <w:lang w:val="en-US"/>
        </w:rPr>
        <w:t>N</w:t>
      </w:r>
      <w:r w:rsidRPr="002C7437">
        <w:rPr>
          <w:rFonts w:eastAsia="Times New Roman" w:cs="Arial"/>
          <w:color w:val="000000"/>
          <w:lang w:eastAsia="bg-BG"/>
        </w:rPr>
        <w:t>оксид и 4</w:t>
      </w:r>
      <w:r w:rsidRPr="002C7437">
        <w:rPr>
          <w:rFonts w:eastAsia="Times New Roman" w:cs="Arial"/>
          <w:color w:val="000000"/>
          <w:lang w:val="en-US"/>
        </w:rPr>
        <w:t>R</w:t>
      </w:r>
      <w:r w:rsidRPr="002C7437">
        <w:rPr>
          <w:rFonts w:eastAsia="Times New Roman" w:cs="Arial"/>
          <w:color w:val="000000"/>
          <w:lang w:eastAsia="bg-BG"/>
        </w:rPr>
        <w:t>-хидрокси-</w:t>
      </w:r>
      <w:r w:rsidRPr="002C7437">
        <w:rPr>
          <w:rFonts w:eastAsia="Times New Roman" w:cs="Arial"/>
          <w:color w:val="000000"/>
          <w:lang w:val="en-US"/>
        </w:rPr>
        <w:t>N</w:t>
      </w:r>
      <w:r w:rsidRPr="002C7437">
        <w:rPr>
          <w:rFonts w:eastAsia="Times New Roman" w:cs="Arial"/>
          <w:color w:val="000000"/>
          <w:lang w:val="ru-RU"/>
        </w:rPr>
        <w:t>-</w:t>
      </w:r>
      <w:r w:rsidRPr="002C7437">
        <w:rPr>
          <w:rFonts w:eastAsia="Times New Roman" w:cs="Arial"/>
          <w:color w:val="000000"/>
          <w:lang w:eastAsia="bg-BG"/>
        </w:rPr>
        <w:t>оксид на солифенацин) в допълнение към солифенацин.</w:t>
      </w:r>
    </w:p>
    <w:p w14:paraId="55EAD780" w14:textId="2D5A2B0F" w:rsidR="002C7437" w:rsidRPr="002C7437" w:rsidRDefault="002C7437" w:rsidP="002C7437">
      <w:pPr>
        <w:spacing w:line="240" w:lineRule="auto"/>
        <w:rPr>
          <w:rFonts w:eastAsia="Times New Roman" w:cs="Arial"/>
          <w:color w:val="000000"/>
          <w:lang w:eastAsia="bg-BG"/>
        </w:rPr>
      </w:pPr>
    </w:p>
    <w:p w14:paraId="000DCFF9" w14:textId="77777777" w:rsidR="002C7437" w:rsidRPr="002C7437" w:rsidRDefault="002C7437" w:rsidP="002C7437">
      <w:pPr>
        <w:spacing w:line="240" w:lineRule="auto"/>
        <w:rPr>
          <w:rFonts w:eastAsia="Times New Roman" w:cs="Arial"/>
        </w:rPr>
      </w:pPr>
      <w:r w:rsidRPr="002C7437">
        <w:rPr>
          <w:rFonts w:eastAsia="Times New Roman" w:cs="Arial"/>
          <w:i/>
          <w:iCs/>
          <w:color w:val="000000"/>
          <w:lang w:eastAsia="bg-BG"/>
        </w:rPr>
        <w:t>Елиминиране</w:t>
      </w:r>
    </w:p>
    <w:p w14:paraId="2CF03E5A"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 xml:space="preserve">След еднократно прилагане на 10 </w:t>
      </w:r>
      <w:r w:rsidRPr="002C7437">
        <w:rPr>
          <w:rFonts w:eastAsia="Times New Roman" w:cs="Arial"/>
          <w:color w:val="000000"/>
          <w:lang w:val="en-US"/>
        </w:rPr>
        <w:t>mg</w:t>
      </w:r>
      <w:r w:rsidRPr="002C7437">
        <w:rPr>
          <w:rFonts w:eastAsia="Times New Roman" w:cs="Arial"/>
          <w:color w:val="000000"/>
          <w:lang w:val="ru-RU"/>
        </w:rPr>
        <w:t xml:space="preserve"> </w:t>
      </w:r>
      <w:r w:rsidRPr="002C7437">
        <w:rPr>
          <w:rFonts w:eastAsia="Times New Roman" w:cs="Arial"/>
          <w:color w:val="000000"/>
          <w:lang w:eastAsia="bg-BG"/>
        </w:rPr>
        <w:t>(белязан с С</w:t>
      </w:r>
      <w:r w:rsidRPr="002C7437">
        <w:rPr>
          <w:rFonts w:eastAsia="Times New Roman" w:cs="Arial"/>
          <w:color w:val="000000"/>
          <w:vertAlign w:val="superscript"/>
          <w:lang w:eastAsia="bg-BG"/>
        </w:rPr>
        <w:t>14</w:t>
      </w:r>
      <w:r w:rsidRPr="002C7437">
        <w:rPr>
          <w:rFonts w:eastAsia="Times New Roman" w:cs="Arial"/>
          <w:color w:val="000000"/>
          <w:lang w:eastAsia="bg-BG"/>
        </w:rPr>
        <w:t xml:space="preserve">) солифенацин около 70% от радиоактивността се наблюдава в урината, а 23% във фекалиите след 26 дни. В урината около 11% от радиоактивността се открива като непроменено активно вещество; около 18% като </w:t>
      </w:r>
      <w:r w:rsidRPr="002C7437">
        <w:rPr>
          <w:rFonts w:eastAsia="Times New Roman" w:cs="Arial"/>
          <w:i/>
          <w:iCs/>
          <w:color w:val="000000"/>
          <w:lang w:val="en-US"/>
        </w:rPr>
        <w:t>N</w:t>
      </w:r>
      <w:r w:rsidRPr="002C7437">
        <w:rPr>
          <w:rFonts w:eastAsia="Times New Roman" w:cs="Arial"/>
          <w:i/>
          <w:iCs/>
          <w:color w:val="000000"/>
          <w:lang w:val="ru-RU"/>
        </w:rPr>
        <w:t xml:space="preserve">- </w:t>
      </w:r>
      <w:r w:rsidRPr="002C7437">
        <w:rPr>
          <w:rFonts w:eastAsia="Times New Roman" w:cs="Arial"/>
          <w:color w:val="000000"/>
          <w:lang w:eastAsia="bg-BG"/>
        </w:rPr>
        <w:t>оксид метаболит, 9% като 4</w:t>
      </w:r>
      <w:r w:rsidRPr="002C7437">
        <w:rPr>
          <w:rFonts w:eastAsia="Times New Roman" w:cs="Arial"/>
          <w:color w:val="000000"/>
          <w:lang w:val="en-US"/>
        </w:rPr>
        <w:t>R</w:t>
      </w:r>
      <w:r w:rsidRPr="002C7437">
        <w:rPr>
          <w:rFonts w:eastAsia="Times New Roman" w:cs="Arial"/>
          <w:color w:val="000000"/>
          <w:lang w:eastAsia="bg-BG"/>
        </w:rPr>
        <w:t>-хидрокси-</w:t>
      </w:r>
      <w:r w:rsidRPr="002C7437">
        <w:rPr>
          <w:rFonts w:eastAsia="Times New Roman" w:cs="Arial"/>
          <w:color w:val="000000"/>
          <w:lang w:val="en-US"/>
        </w:rPr>
        <w:t>N</w:t>
      </w:r>
      <w:r w:rsidRPr="002C7437">
        <w:rPr>
          <w:rFonts w:eastAsia="Times New Roman" w:cs="Arial"/>
          <w:color w:val="000000"/>
          <w:lang w:eastAsia="bg-BG"/>
        </w:rPr>
        <w:t>-оксид метаболит и 8% като 4</w:t>
      </w:r>
      <w:r w:rsidRPr="002C7437">
        <w:rPr>
          <w:rFonts w:eastAsia="Times New Roman" w:cs="Arial"/>
          <w:color w:val="000000"/>
          <w:lang w:val="en-US"/>
        </w:rPr>
        <w:t>R</w:t>
      </w:r>
      <w:r w:rsidRPr="002C7437">
        <w:rPr>
          <w:rFonts w:eastAsia="Times New Roman" w:cs="Arial"/>
          <w:color w:val="000000"/>
          <w:lang w:eastAsia="bg-BG"/>
        </w:rPr>
        <w:t>-хидрокси метаболит (активен метаболит).</w:t>
      </w:r>
    </w:p>
    <w:p w14:paraId="784F083E" w14:textId="77777777" w:rsidR="002C7437" w:rsidRPr="002C7437" w:rsidRDefault="002C7437" w:rsidP="002C7437">
      <w:pPr>
        <w:spacing w:line="240" w:lineRule="auto"/>
        <w:rPr>
          <w:rFonts w:eastAsia="Times New Roman" w:cs="Arial"/>
          <w:color w:val="000000"/>
          <w:u w:val="single"/>
          <w:lang w:eastAsia="bg-BG"/>
        </w:rPr>
      </w:pPr>
    </w:p>
    <w:p w14:paraId="1794D3B2" w14:textId="4FEAA880"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Тамсулозин</w:t>
      </w:r>
    </w:p>
    <w:p w14:paraId="438A2257" w14:textId="77777777" w:rsidR="002C7437" w:rsidRPr="002C7437" w:rsidRDefault="002C7437" w:rsidP="002C7437">
      <w:pPr>
        <w:spacing w:line="240" w:lineRule="auto"/>
        <w:rPr>
          <w:rFonts w:eastAsia="Times New Roman" w:cs="Arial"/>
        </w:rPr>
      </w:pPr>
      <w:r w:rsidRPr="002C7437">
        <w:rPr>
          <w:rFonts w:eastAsia="Times New Roman" w:cs="Arial"/>
          <w:i/>
          <w:iCs/>
          <w:color w:val="000000"/>
          <w:lang w:eastAsia="bg-BG"/>
        </w:rPr>
        <w:t>Абсорбция</w:t>
      </w:r>
    </w:p>
    <w:p w14:paraId="255432CE"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 xml:space="preserve">За тамсулозин </w:t>
      </w:r>
      <w:r w:rsidRPr="002C7437">
        <w:rPr>
          <w:rFonts w:eastAsia="Times New Roman" w:cs="Arial"/>
          <w:color w:val="000000"/>
          <w:lang w:val="en-US"/>
        </w:rPr>
        <w:t>TOCAS</w:t>
      </w:r>
      <w:r w:rsidRPr="002C7437">
        <w:rPr>
          <w:rFonts w:eastAsia="Times New Roman" w:cs="Arial"/>
          <w:color w:val="000000"/>
          <w:lang w:val="ru-RU"/>
        </w:rPr>
        <w:t xml:space="preserve"> </w:t>
      </w:r>
      <w:proofErr w:type="spellStart"/>
      <w:r w:rsidRPr="002C7437">
        <w:rPr>
          <w:rFonts w:eastAsia="Times New Roman" w:cs="Arial"/>
          <w:color w:val="000000"/>
          <w:lang w:val="en-US"/>
        </w:rPr>
        <w:t>t</w:t>
      </w:r>
      <w:r w:rsidRPr="002C7437">
        <w:rPr>
          <w:rFonts w:eastAsia="Times New Roman" w:cs="Arial"/>
          <w:color w:val="000000"/>
          <w:vertAlign w:val="subscript"/>
          <w:lang w:val="en-US"/>
        </w:rPr>
        <w:t>max</w:t>
      </w:r>
      <w:proofErr w:type="spellEnd"/>
      <w:r w:rsidRPr="002C7437">
        <w:rPr>
          <w:rFonts w:eastAsia="Times New Roman" w:cs="Arial"/>
          <w:color w:val="000000"/>
          <w:lang w:val="ru-RU"/>
        </w:rPr>
        <w:t xml:space="preserve"> </w:t>
      </w:r>
      <w:r w:rsidRPr="002C7437">
        <w:rPr>
          <w:rFonts w:eastAsia="Times New Roman" w:cs="Arial"/>
          <w:color w:val="000000"/>
          <w:lang w:eastAsia="bg-BG"/>
        </w:rPr>
        <w:t xml:space="preserve">настъпва 4 до 6 часа след многократно дозиране на 0,4 </w:t>
      </w:r>
      <w:r w:rsidRPr="002C7437">
        <w:rPr>
          <w:rFonts w:eastAsia="Times New Roman" w:cs="Arial"/>
          <w:color w:val="000000"/>
          <w:lang w:val="en-US"/>
        </w:rPr>
        <w:t>mg</w:t>
      </w:r>
      <w:r w:rsidRPr="002C7437">
        <w:rPr>
          <w:rFonts w:eastAsia="Times New Roman" w:cs="Arial"/>
          <w:color w:val="000000"/>
          <w:lang w:eastAsia="bg-BG"/>
        </w:rPr>
        <w:t>/дневно. С</w:t>
      </w:r>
      <w:r w:rsidRPr="002C7437">
        <w:rPr>
          <w:rFonts w:eastAsia="Times New Roman" w:cs="Arial"/>
          <w:color w:val="000000"/>
          <w:vertAlign w:val="subscript"/>
          <w:lang w:val="en-US"/>
        </w:rPr>
        <w:t>max</w:t>
      </w:r>
      <w:r w:rsidRPr="002C7437">
        <w:rPr>
          <w:rFonts w:eastAsia="Times New Roman" w:cs="Arial"/>
          <w:color w:val="000000"/>
          <w:lang w:eastAsia="bg-BG"/>
        </w:rPr>
        <w:t xml:space="preserve"> и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 xml:space="preserve">нарастват пропорционално на дозата между 0,4 </w:t>
      </w:r>
      <w:r w:rsidRPr="002C7437">
        <w:rPr>
          <w:rFonts w:eastAsia="Times New Roman" w:cs="Arial"/>
          <w:color w:val="000000"/>
          <w:lang w:val="en-US"/>
        </w:rPr>
        <w:t>mg</w:t>
      </w:r>
      <w:r w:rsidRPr="002C7437">
        <w:rPr>
          <w:rFonts w:eastAsia="Times New Roman" w:cs="Arial"/>
          <w:color w:val="000000"/>
          <w:lang w:val="ru-RU"/>
        </w:rPr>
        <w:t xml:space="preserve"> </w:t>
      </w:r>
      <w:r w:rsidRPr="002C7437">
        <w:rPr>
          <w:rFonts w:eastAsia="Times New Roman" w:cs="Arial"/>
          <w:color w:val="000000"/>
          <w:lang w:eastAsia="bg-BG"/>
        </w:rPr>
        <w:t xml:space="preserve">и 1,2 </w:t>
      </w:r>
      <w:r w:rsidRPr="002C7437">
        <w:rPr>
          <w:rFonts w:eastAsia="Times New Roman" w:cs="Arial"/>
          <w:color w:val="000000"/>
          <w:lang w:val="en-US"/>
        </w:rPr>
        <w:t>mg</w:t>
      </w:r>
      <w:r w:rsidRPr="002C7437">
        <w:rPr>
          <w:rFonts w:eastAsia="Times New Roman" w:cs="Arial"/>
          <w:color w:val="000000"/>
          <w:lang w:val="ru-RU"/>
        </w:rPr>
        <w:t xml:space="preserve">. </w:t>
      </w:r>
      <w:r w:rsidRPr="002C7437">
        <w:rPr>
          <w:rFonts w:eastAsia="Times New Roman" w:cs="Arial"/>
          <w:color w:val="000000"/>
          <w:lang w:eastAsia="bg-BG"/>
        </w:rPr>
        <w:t>Абсолютната бионаличност се изичислява приблизително около 57%.</w:t>
      </w:r>
    </w:p>
    <w:p w14:paraId="24619DAC" w14:textId="77777777" w:rsidR="002C7437" w:rsidRPr="002C7437" w:rsidRDefault="002C7437" w:rsidP="002C7437">
      <w:pPr>
        <w:spacing w:line="240" w:lineRule="auto"/>
        <w:rPr>
          <w:rFonts w:eastAsia="Times New Roman" w:cs="Arial"/>
          <w:i/>
          <w:iCs/>
          <w:color w:val="000000"/>
          <w:lang w:eastAsia="bg-BG"/>
        </w:rPr>
      </w:pPr>
    </w:p>
    <w:p w14:paraId="2A2DE274" w14:textId="3E718755" w:rsidR="002C7437" w:rsidRPr="002C7437" w:rsidRDefault="002C7437" w:rsidP="002C7437">
      <w:pPr>
        <w:spacing w:line="240" w:lineRule="auto"/>
        <w:rPr>
          <w:rFonts w:eastAsia="Times New Roman" w:cs="Arial"/>
        </w:rPr>
      </w:pPr>
      <w:r w:rsidRPr="002C7437">
        <w:rPr>
          <w:rFonts w:eastAsia="Times New Roman" w:cs="Arial"/>
          <w:i/>
          <w:iCs/>
          <w:color w:val="000000"/>
          <w:lang w:eastAsia="bg-BG"/>
        </w:rPr>
        <w:t>Разпределение</w:t>
      </w:r>
    </w:p>
    <w:p w14:paraId="3D5538E8"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Обемът на разпределение на тамсулозин след интравенознно приложение в около 161. Приблизително 99% от тамсулозин се свързва с плазмените протеини главно α</w:t>
      </w:r>
      <w:r w:rsidRPr="002C7437">
        <w:rPr>
          <w:rFonts w:eastAsia="Times New Roman" w:cs="Arial"/>
          <w:color w:val="000000"/>
          <w:vertAlign w:val="subscript"/>
          <w:lang w:eastAsia="bg-BG"/>
        </w:rPr>
        <w:t>1</w:t>
      </w:r>
      <w:r w:rsidRPr="002C7437">
        <w:rPr>
          <w:rFonts w:eastAsia="Times New Roman" w:cs="Arial"/>
          <w:color w:val="000000"/>
          <w:lang w:val="ru-RU"/>
        </w:rPr>
        <w:t xml:space="preserve">- </w:t>
      </w:r>
      <w:r w:rsidRPr="002C7437">
        <w:rPr>
          <w:rFonts w:eastAsia="Times New Roman" w:cs="Arial"/>
          <w:color w:val="000000"/>
          <w:lang w:eastAsia="bg-BG"/>
        </w:rPr>
        <w:t>кисел гликопротеин.</w:t>
      </w:r>
    </w:p>
    <w:p w14:paraId="2CE092EE" w14:textId="77777777" w:rsidR="002C7437" w:rsidRPr="002C7437" w:rsidRDefault="002C7437" w:rsidP="002C7437">
      <w:pPr>
        <w:spacing w:line="240" w:lineRule="auto"/>
        <w:rPr>
          <w:rFonts w:eastAsia="Times New Roman" w:cs="Arial"/>
          <w:i/>
          <w:iCs/>
          <w:color w:val="000000"/>
          <w:lang w:eastAsia="bg-BG"/>
        </w:rPr>
      </w:pPr>
    </w:p>
    <w:p w14:paraId="0975020A" w14:textId="2B3F0CF3" w:rsidR="002C7437" w:rsidRPr="002C7437" w:rsidRDefault="002C7437" w:rsidP="002C7437">
      <w:pPr>
        <w:spacing w:line="240" w:lineRule="auto"/>
        <w:rPr>
          <w:rFonts w:eastAsia="Times New Roman" w:cs="Arial"/>
        </w:rPr>
      </w:pPr>
      <w:r w:rsidRPr="002C7437">
        <w:rPr>
          <w:rFonts w:eastAsia="Times New Roman" w:cs="Arial"/>
          <w:i/>
          <w:iCs/>
          <w:color w:val="000000"/>
          <w:lang w:eastAsia="bg-BG"/>
        </w:rPr>
        <w:t>Метаболизъм</w:t>
      </w:r>
    </w:p>
    <w:p w14:paraId="68DBE05E"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 xml:space="preserve">Тамсулозин има слаб ефект на първо преминаване, тъй като бавно се метаболизира. Тамсулозин екстензивно се метаболизира в черния дроб, главно от </w:t>
      </w:r>
      <w:r w:rsidRPr="002C7437">
        <w:rPr>
          <w:rFonts w:eastAsia="Times New Roman" w:cs="Arial"/>
          <w:color w:val="000000"/>
          <w:lang w:val="en-US"/>
        </w:rPr>
        <w:t>CYP</w:t>
      </w:r>
      <w:r w:rsidRPr="002C7437">
        <w:rPr>
          <w:rFonts w:eastAsia="Times New Roman" w:cs="Arial"/>
          <w:color w:val="000000"/>
          <w:lang w:val="ru-RU"/>
        </w:rPr>
        <w:t>3</w:t>
      </w:r>
      <w:r w:rsidRPr="002C7437">
        <w:rPr>
          <w:rFonts w:eastAsia="Times New Roman" w:cs="Arial"/>
          <w:color w:val="000000"/>
          <w:lang w:val="en-US"/>
        </w:rPr>
        <w:t>A</w:t>
      </w:r>
      <w:r w:rsidRPr="002C7437">
        <w:rPr>
          <w:rFonts w:eastAsia="Times New Roman" w:cs="Arial"/>
          <w:color w:val="000000"/>
          <w:lang w:val="ru-RU"/>
        </w:rPr>
        <w:t xml:space="preserve">4 </w:t>
      </w:r>
      <w:r w:rsidRPr="002C7437">
        <w:rPr>
          <w:rFonts w:eastAsia="Times New Roman" w:cs="Arial"/>
          <w:color w:val="000000"/>
          <w:lang w:eastAsia="bg-BG"/>
        </w:rPr>
        <w:t xml:space="preserve">и </w:t>
      </w:r>
      <w:r w:rsidRPr="002C7437">
        <w:rPr>
          <w:rFonts w:eastAsia="Times New Roman" w:cs="Arial"/>
          <w:color w:val="000000"/>
          <w:lang w:val="en-US"/>
        </w:rPr>
        <w:t>CYP</w:t>
      </w:r>
      <w:r w:rsidRPr="002C7437">
        <w:rPr>
          <w:rFonts w:eastAsia="Times New Roman" w:cs="Arial"/>
          <w:color w:val="000000"/>
          <w:lang w:val="ru-RU"/>
        </w:rPr>
        <w:t>2</w:t>
      </w:r>
      <w:r w:rsidRPr="002C7437">
        <w:rPr>
          <w:rFonts w:eastAsia="Times New Roman" w:cs="Arial"/>
          <w:color w:val="000000"/>
          <w:lang w:val="en-US"/>
        </w:rPr>
        <w:t>D</w:t>
      </w:r>
      <w:r w:rsidRPr="002C7437">
        <w:rPr>
          <w:rFonts w:eastAsia="Times New Roman" w:cs="Arial"/>
          <w:color w:val="000000"/>
          <w:lang w:val="ru-RU"/>
        </w:rPr>
        <w:t xml:space="preserve">6. </w:t>
      </w:r>
      <w:r w:rsidRPr="002C7437">
        <w:rPr>
          <w:rFonts w:eastAsia="Times New Roman" w:cs="Arial"/>
          <w:color w:val="000000"/>
          <w:lang w:eastAsia="bg-BG"/>
        </w:rPr>
        <w:t>Системният клирънс на тамсулозин е около 2,9</w:t>
      </w:r>
      <w:r w:rsidRPr="002C7437">
        <w:rPr>
          <w:rFonts w:eastAsia="Times New Roman" w:cs="Arial"/>
          <w:color w:val="000000"/>
          <w:lang w:val="ru-RU"/>
        </w:rPr>
        <w:t>1/</w:t>
      </w:r>
      <w:r w:rsidRPr="002C7437">
        <w:rPr>
          <w:rFonts w:eastAsia="Times New Roman" w:cs="Arial"/>
          <w:color w:val="000000"/>
          <w:lang w:val="en-US"/>
        </w:rPr>
        <w:t>h</w:t>
      </w:r>
      <w:r w:rsidRPr="002C7437">
        <w:rPr>
          <w:rFonts w:eastAsia="Times New Roman" w:cs="Arial"/>
          <w:color w:val="000000"/>
          <w:lang w:val="ru-RU"/>
        </w:rPr>
        <w:t xml:space="preserve">. </w:t>
      </w:r>
      <w:r w:rsidRPr="002C7437">
        <w:rPr>
          <w:rFonts w:eastAsia="Times New Roman" w:cs="Arial"/>
          <w:color w:val="000000"/>
          <w:lang w:eastAsia="bg-BG"/>
        </w:rPr>
        <w:t>Повечето тамсулозин е наличен в плазмата под формата на непроменено активно вещество. Нито един от метаболитите не е по-активен от изходното съединение.</w:t>
      </w:r>
    </w:p>
    <w:p w14:paraId="7EA21651" w14:textId="77777777" w:rsidR="002C7437" w:rsidRPr="002C7437" w:rsidRDefault="002C7437" w:rsidP="002C7437">
      <w:pPr>
        <w:spacing w:line="240" w:lineRule="auto"/>
        <w:rPr>
          <w:rFonts w:eastAsia="Times New Roman" w:cs="Arial"/>
          <w:i/>
          <w:iCs/>
          <w:color w:val="000000"/>
          <w:lang w:eastAsia="bg-BG"/>
        </w:rPr>
      </w:pPr>
    </w:p>
    <w:p w14:paraId="563B72D4" w14:textId="3BC7E4D2" w:rsidR="002C7437" w:rsidRPr="002C7437" w:rsidRDefault="002C7437" w:rsidP="002C7437">
      <w:pPr>
        <w:spacing w:line="240" w:lineRule="auto"/>
        <w:rPr>
          <w:rFonts w:eastAsia="Times New Roman" w:cs="Arial"/>
        </w:rPr>
      </w:pPr>
      <w:r w:rsidRPr="002C7437">
        <w:rPr>
          <w:rFonts w:eastAsia="Times New Roman" w:cs="Arial"/>
          <w:i/>
          <w:iCs/>
          <w:color w:val="000000"/>
          <w:lang w:eastAsia="bg-BG"/>
        </w:rPr>
        <w:t>Елиминиране</w:t>
      </w:r>
    </w:p>
    <w:p w14:paraId="41B11272"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 xml:space="preserve">След прием на единична доза от 0,2 </w:t>
      </w:r>
      <w:r w:rsidRPr="002C7437">
        <w:rPr>
          <w:rFonts w:eastAsia="Times New Roman" w:cs="Arial"/>
          <w:color w:val="000000"/>
          <w:lang w:val="en-US"/>
        </w:rPr>
        <w:t>mg</w:t>
      </w:r>
      <w:r w:rsidRPr="002C7437">
        <w:rPr>
          <w:rFonts w:eastAsia="Times New Roman" w:cs="Arial"/>
          <w:color w:val="000000"/>
          <w:lang w:val="ru-RU"/>
        </w:rPr>
        <w:t xml:space="preserve"> </w:t>
      </w:r>
      <w:r w:rsidRPr="002C7437">
        <w:rPr>
          <w:rFonts w:eastAsia="Times New Roman" w:cs="Arial"/>
          <w:color w:val="000000"/>
          <w:lang w:eastAsia="bg-BG"/>
        </w:rPr>
        <w:t>(белязан с С</w:t>
      </w:r>
      <w:r w:rsidRPr="002C7437">
        <w:rPr>
          <w:rFonts w:eastAsia="Times New Roman" w:cs="Arial"/>
          <w:color w:val="000000"/>
          <w:vertAlign w:val="superscript"/>
          <w:lang w:eastAsia="bg-BG"/>
        </w:rPr>
        <w:t>14</w:t>
      </w:r>
      <w:r w:rsidRPr="002C7437">
        <w:rPr>
          <w:rFonts w:eastAsia="Times New Roman" w:cs="Arial"/>
          <w:color w:val="000000"/>
          <w:lang w:eastAsia="bg-BG"/>
        </w:rPr>
        <w:t>) тамсулозин, след 1 седмица около 76% от радиоактивността се наблюдава в урината, а 21% във фекалиите. В урината, приблизително 9% от радиоактивността се възстановява като непроменен тамсулозин, около 16% като сулфат на о-диетилиран тамсулозин, а 8% като о-етоксифенокси оцетна киселина.</w:t>
      </w:r>
    </w:p>
    <w:p w14:paraId="506131FF" w14:textId="77777777" w:rsidR="002C7437" w:rsidRPr="002C7437" w:rsidRDefault="002C7437" w:rsidP="002C7437">
      <w:pPr>
        <w:spacing w:line="240" w:lineRule="auto"/>
        <w:rPr>
          <w:rFonts w:eastAsia="Times New Roman" w:cs="Arial"/>
          <w:b/>
          <w:bCs/>
          <w:color w:val="000000"/>
          <w:lang w:eastAsia="bg-BG"/>
        </w:rPr>
      </w:pPr>
    </w:p>
    <w:p w14:paraId="411D7AAD" w14:textId="3BE4B785" w:rsidR="002C7437" w:rsidRPr="002C7437" w:rsidRDefault="002C7437" w:rsidP="002C7437">
      <w:pPr>
        <w:spacing w:line="240" w:lineRule="auto"/>
        <w:rPr>
          <w:rFonts w:eastAsia="Times New Roman" w:cs="Arial"/>
        </w:rPr>
      </w:pPr>
      <w:r w:rsidRPr="002C7437">
        <w:rPr>
          <w:rFonts w:eastAsia="Times New Roman" w:cs="Arial"/>
          <w:b/>
          <w:bCs/>
          <w:color w:val="000000"/>
          <w:lang w:eastAsia="bg-BG"/>
        </w:rPr>
        <w:t>Характеристики при специфични групи пациенти</w:t>
      </w:r>
    </w:p>
    <w:p w14:paraId="0D3B6D81" w14:textId="77777777" w:rsidR="002C7437" w:rsidRPr="002C7437" w:rsidRDefault="002C7437" w:rsidP="002C7437">
      <w:pPr>
        <w:spacing w:line="240" w:lineRule="auto"/>
        <w:rPr>
          <w:rFonts w:eastAsia="Times New Roman" w:cs="Arial"/>
          <w:i/>
          <w:iCs/>
          <w:color w:val="000000"/>
          <w:lang w:eastAsia="bg-BG"/>
        </w:rPr>
      </w:pPr>
    </w:p>
    <w:p w14:paraId="22F821D4" w14:textId="7B307668" w:rsidR="002C7437" w:rsidRPr="002C7437" w:rsidRDefault="002C7437" w:rsidP="002C7437">
      <w:pPr>
        <w:spacing w:line="240" w:lineRule="auto"/>
        <w:rPr>
          <w:rFonts w:eastAsia="Times New Roman" w:cs="Arial"/>
        </w:rPr>
      </w:pPr>
      <w:r w:rsidRPr="002C7437">
        <w:rPr>
          <w:rFonts w:eastAsia="Times New Roman" w:cs="Arial"/>
          <w:i/>
          <w:iCs/>
          <w:color w:val="000000"/>
          <w:lang w:eastAsia="bg-BG"/>
        </w:rPr>
        <w:t>Старческа възраст</w:t>
      </w:r>
    </w:p>
    <w:p w14:paraId="243699D5"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При клиникофармакологичните и биофармацевтичните проучвания, възрастта на лицата варира между 19 и 79 години. След приложение на Везомни, най-високите стойности за средна експозиция са открити при лица в старческа възраст, въпреки че има почти цялостно припрокриване с индививидуалните стойности, намерения при по-млади лица. Това се потвърждава от популационния фармакокинетичен анализ на фаза 2 и 3 данните. Везомни може да се използва от пациенти в старческа възраст.</w:t>
      </w:r>
    </w:p>
    <w:p w14:paraId="341A9770" w14:textId="77777777" w:rsidR="002C7437" w:rsidRPr="002C7437" w:rsidRDefault="002C7437" w:rsidP="002C7437">
      <w:pPr>
        <w:spacing w:line="240" w:lineRule="auto"/>
        <w:rPr>
          <w:rFonts w:eastAsia="Times New Roman" w:cs="Arial"/>
          <w:i/>
          <w:iCs/>
          <w:color w:val="000000"/>
          <w:lang w:eastAsia="bg-BG"/>
        </w:rPr>
      </w:pPr>
    </w:p>
    <w:p w14:paraId="5DB855B9" w14:textId="0197B580" w:rsidR="002C7437" w:rsidRPr="002C7437" w:rsidRDefault="002C7437" w:rsidP="002C7437">
      <w:pPr>
        <w:spacing w:line="240" w:lineRule="auto"/>
        <w:rPr>
          <w:rFonts w:eastAsia="Times New Roman" w:cs="Arial"/>
        </w:rPr>
      </w:pPr>
      <w:r w:rsidRPr="002C7437">
        <w:rPr>
          <w:rFonts w:eastAsia="Times New Roman" w:cs="Arial"/>
          <w:i/>
          <w:iCs/>
          <w:color w:val="000000"/>
          <w:lang w:eastAsia="bg-BG"/>
        </w:rPr>
        <w:t>Бъбречно увреждане</w:t>
      </w:r>
    </w:p>
    <w:p w14:paraId="03BD6FC7" w14:textId="77777777"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Везомни</w:t>
      </w:r>
    </w:p>
    <w:p w14:paraId="1575E968"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Везомни може да се използва от пациенти с лека до умерена бъбречна недостатъчност, но трябва да се прилага с внимание на пациенти с тежка бъбречна недостатъчност.</w:t>
      </w:r>
    </w:p>
    <w:p w14:paraId="6787F287"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Фармакокинетиката на Везомни не е проучвана при пациенти с бъбречна недостатъчност. Тези твърдения отразяват наличната информация за отделните компоненти по отношение на бъбречната недостатъчност.</w:t>
      </w:r>
    </w:p>
    <w:p w14:paraId="5ACCE5C6" w14:textId="77777777" w:rsidR="002C7437" w:rsidRPr="002C7437" w:rsidRDefault="002C7437" w:rsidP="002C7437">
      <w:pPr>
        <w:spacing w:line="240" w:lineRule="auto"/>
        <w:rPr>
          <w:rFonts w:eastAsia="Times New Roman" w:cs="Arial"/>
          <w:color w:val="000000"/>
          <w:u w:val="single"/>
          <w:lang w:eastAsia="bg-BG"/>
        </w:rPr>
      </w:pPr>
    </w:p>
    <w:p w14:paraId="65700446" w14:textId="6A3A549C"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Солифенацин</w:t>
      </w:r>
    </w:p>
    <w:p w14:paraId="1560EC77" w14:textId="77777777" w:rsidR="002C7437" w:rsidRPr="002C7437" w:rsidRDefault="002C7437" w:rsidP="002C7437">
      <w:pPr>
        <w:spacing w:line="240" w:lineRule="auto"/>
        <w:rPr>
          <w:rFonts w:eastAsia="Times New Roman" w:cs="Arial"/>
        </w:rPr>
      </w:pP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и С</w:t>
      </w:r>
      <w:r w:rsidRPr="002C7437">
        <w:rPr>
          <w:rFonts w:eastAsia="Times New Roman" w:cs="Arial"/>
          <w:color w:val="000000"/>
          <w:vertAlign w:val="subscript"/>
          <w:lang w:val="en-US"/>
        </w:rPr>
        <w:t>max</w:t>
      </w:r>
      <w:r w:rsidRPr="002C7437">
        <w:rPr>
          <w:rFonts w:eastAsia="Times New Roman" w:cs="Arial"/>
          <w:color w:val="000000"/>
          <w:lang w:eastAsia="bg-BG"/>
        </w:rPr>
        <w:t xml:space="preserve"> на солифенацин при пациенти с лека до умерена бъбречна недостатъчност не са значимо различни от тези установени при здрави доброволци. При пациенти с тежка бъбречна недостатъчност (креатининов клирънс ≤ 30 </w:t>
      </w:r>
      <w:r w:rsidRPr="002C7437">
        <w:rPr>
          <w:rFonts w:eastAsia="Times New Roman" w:cs="Arial"/>
          <w:color w:val="000000"/>
          <w:lang w:val="en-US"/>
        </w:rPr>
        <w:t>ml</w:t>
      </w:r>
      <w:r w:rsidRPr="002C7437">
        <w:rPr>
          <w:rFonts w:eastAsia="Times New Roman" w:cs="Arial"/>
          <w:color w:val="000000"/>
          <w:lang w:val="ru-RU"/>
        </w:rPr>
        <w:t>/</w:t>
      </w:r>
      <w:r w:rsidRPr="002C7437">
        <w:rPr>
          <w:rFonts w:eastAsia="Times New Roman" w:cs="Arial"/>
          <w:color w:val="000000"/>
          <w:lang w:val="en-US"/>
        </w:rPr>
        <w:t>min</w:t>
      </w:r>
      <w:r w:rsidRPr="002C7437">
        <w:rPr>
          <w:rFonts w:eastAsia="Times New Roman" w:cs="Arial"/>
          <w:color w:val="000000"/>
          <w:lang w:val="ru-RU"/>
        </w:rPr>
        <w:t xml:space="preserve">), </w:t>
      </w:r>
      <w:r w:rsidRPr="002C7437">
        <w:rPr>
          <w:rFonts w:eastAsia="Times New Roman" w:cs="Arial"/>
          <w:color w:val="000000"/>
          <w:lang w:eastAsia="bg-BG"/>
        </w:rPr>
        <w:t>експозицията на солифенацин е знчимо</w:t>
      </w:r>
    </w:p>
    <w:p w14:paraId="7732A4F4" w14:textId="0AFC3940" w:rsidR="002C7437" w:rsidRPr="002C7437" w:rsidRDefault="002C7437" w:rsidP="002C7437">
      <w:pPr>
        <w:spacing w:line="240" w:lineRule="auto"/>
        <w:rPr>
          <w:rFonts w:eastAsia="Times New Roman" w:cs="Arial"/>
          <w:color w:val="000000"/>
          <w:lang w:eastAsia="bg-BG"/>
        </w:rPr>
      </w:pPr>
      <w:r w:rsidRPr="002C7437">
        <w:rPr>
          <w:rFonts w:eastAsia="Times New Roman" w:cs="Arial"/>
          <w:color w:val="000000"/>
          <w:lang w:eastAsia="bg-BG"/>
        </w:rPr>
        <w:t>по-голяма от тази при контролите, с увеличение в С</w:t>
      </w:r>
      <w:r w:rsidRPr="002C7437">
        <w:rPr>
          <w:rFonts w:eastAsia="Times New Roman" w:cs="Arial"/>
          <w:color w:val="000000"/>
          <w:vertAlign w:val="subscript"/>
          <w:lang w:val="en-US"/>
        </w:rPr>
        <w:t>max</w:t>
      </w:r>
      <w:r w:rsidRPr="002C7437">
        <w:rPr>
          <w:rFonts w:eastAsia="Times New Roman" w:cs="Arial"/>
          <w:color w:val="000000"/>
          <w:lang w:eastAsia="bg-BG"/>
        </w:rPr>
        <w:t xml:space="preserve"> от около 30%, в </w:t>
      </w:r>
      <w:r w:rsidRPr="002C7437">
        <w:rPr>
          <w:rFonts w:eastAsia="Times New Roman" w:cs="Arial"/>
          <w:color w:val="000000"/>
          <w:lang w:val="en-US"/>
        </w:rPr>
        <w:t>AUC</w:t>
      </w:r>
      <w:r w:rsidRPr="002C7437">
        <w:rPr>
          <w:rFonts w:eastAsia="Times New Roman" w:cs="Arial"/>
          <w:color w:val="000000"/>
          <w:lang w:eastAsia="bg-BG"/>
        </w:rPr>
        <w:t xml:space="preserve"> с повече от 100% и в </w:t>
      </w:r>
      <w:r w:rsidRPr="002C7437">
        <w:rPr>
          <w:rFonts w:eastAsia="Times New Roman" w:cs="Arial"/>
          <w:color w:val="000000"/>
          <w:lang w:val="en-US"/>
        </w:rPr>
        <w:t>t</w:t>
      </w:r>
      <w:r w:rsidRPr="002C7437">
        <w:rPr>
          <w:rFonts w:eastAsia="Times New Roman" w:cs="Arial"/>
          <w:color w:val="000000"/>
          <w:vertAlign w:val="subscript"/>
          <w:lang w:val="ru-RU"/>
        </w:rPr>
        <w:t>1/2</w:t>
      </w:r>
      <w:r w:rsidRPr="002C7437">
        <w:rPr>
          <w:rFonts w:eastAsia="Times New Roman" w:cs="Arial"/>
          <w:color w:val="000000"/>
          <w:lang w:val="ru-RU"/>
        </w:rPr>
        <w:t xml:space="preserve"> </w:t>
      </w:r>
      <w:r w:rsidRPr="002C7437">
        <w:rPr>
          <w:rFonts w:eastAsia="Times New Roman" w:cs="Arial"/>
          <w:color w:val="000000"/>
          <w:lang w:eastAsia="bg-BG"/>
        </w:rPr>
        <w:t>с повече от 60%. Наблюдавана е статистически значима връзка между креатининовия клирънс и клърънса на солифенацин.</w:t>
      </w:r>
    </w:p>
    <w:p w14:paraId="092CF025" w14:textId="1C056F25" w:rsidR="002C7437" w:rsidRPr="002C7437" w:rsidRDefault="002C7437" w:rsidP="002C7437">
      <w:pPr>
        <w:spacing w:line="240" w:lineRule="auto"/>
        <w:rPr>
          <w:rFonts w:eastAsia="Times New Roman" w:cs="Arial"/>
          <w:color w:val="000000"/>
          <w:lang w:eastAsia="bg-BG"/>
        </w:rPr>
      </w:pPr>
    </w:p>
    <w:p w14:paraId="61736539"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Не е поучвана фармакокинетиката при пациенти, подлежащи на хемодиализа.</w:t>
      </w:r>
    </w:p>
    <w:p w14:paraId="4ABA8DF0" w14:textId="77777777" w:rsidR="002C7437" w:rsidRPr="002C7437" w:rsidRDefault="002C7437" w:rsidP="002C7437">
      <w:pPr>
        <w:spacing w:line="240" w:lineRule="auto"/>
        <w:rPr>
          <w:rFonts w:eastAsia="Times New Roman" w:cs="Arial"/>
          <w:color w:val="000000"/>
          <w:u w:val="single"/>
          <w:lang w:eastAsia="bg-BG"/>
        </w:rPr>
      </w:pPr>
    </w:p>
    <w:p w14:paraId="22FF2535" w14:textId="18107739"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Тамсулозин</w:t>
      </w:r>
    </w:p>
    <w:p w14:paraId="31433281"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Сравнена е фармакокинетиката на тамсулозин при 6 лица с лека до умерена (30 ≤ С</w:t>
      </w:r>
      <w:r w:rsidRPr="002C7437">
        <w:rPr>
          <w:rFonts w:eastAsia="Times New Roman" w:cs="Arial"/>
          <w:color w:val="000000"/>
          <w:lang w:val="en-US"/>
        </w:rPr>
        <w:t>r</w:t>
      </w:r>
      <w:r w:rsidRPr="002C7437">
        <w:rPr>
          <w:rFonts w:eastAsia="Times New Roman" w:cs="Arial"/>
          <w:color w:val="000000"/>
          <w:lang w:eastAsia="bg-BG"/>
        </w:rPr>
        <w:t xml:space="preserve">С1 &lt;70 </w:t>
      </w:r>
      <w:r w:rsidRPr="002C7437">
        <w:rPr>
          <w:rFonts w:eastAsia="Times New Roman" w:cs="Arial"/>
          <w:color w:val="000000"/>
          <w:lang w:val="en-US"/>
        </w:rPr>
        <w:t>mL</w:t>
      </w:r>
      <w:r w:rsidRPr="002C7437">
        <w:rPr>
          <w:rFonts w:eastAsia="Times New Roman" w:cs="Arial"/>
          <w:color w:val="000000"/>
          <w:lang w:val="ru-RU"/>
        </w:rPr>
        <w:t>/</w:t>
      </w:r>
      <w:r w:rsidRPr="002C7437">
        <w:rPr>
          <w:rFonts w:eastAsia="Times New Roman" w:cs="Arial"/>
          <w:color w:val="000000"/>
          <w:lang w:val="en-US"/>
        </w:rPr>
        <w:t>min</w:t>
      </w:r>
      <w:r w:rsidRPr="002C7437">
        <w:rPr>
          <w:rFonts w:eastAsia="Times New Roman" w:cs="Arial"/>
          <w:color w:val="000000"/>
          <w:lang w:val="ru-RU"/>
        </w:rPr>
        <w:t xml:space="preserve">/1.73 </w:t>
      </w:r>
      <w:r w:rsidRPr="002C7437">
        <w:rPr>
          <w:rFonts w:eastAsia="Times New Roman" w:cs="Arial"/>
          <w:color w:val="000000"/>
          <w:lang w:eastAsia="bg-BG"/>
        </w:rPr>
        <w:t xml:space="preserve">m2) или тежка (&lt; 30 </w:t>
      </w:r>
      <w:r w:rsidRPr="002C7437">
        <w:rPr>
          <w:rFonts w:eastAsia="Times New Roman" w:cs="Arial"/>
          <w:color w:val="000000"/>
          <w:lang w:val="en-US"/>
        </w:rPr>
        <w:t>mL</w:t>
      </w:r>
      <w:r w:rsidRPr="002C7437">
        <w:rPr>
          <w:rFonts w:eastAsia="Times New Roman" w:cs="Arial"/>
          <w:color w:val="000000"/>
          <w:lang w:val="ru-RU"/>
        </w:rPr>
        <w:t>/</w:t>
      </w:r>
      <w:r w:rsidRPr="002C7437">
        <w:rPr>
          <w:rFonts w:eastAsia="Times New Roman" w:cs="Arial"/>
          <w:color w:val="000000"/>
          <w:lang w:val="en-US"/>
        </w:rPr>
        <w:t>min</w:t>
      </w:r>
      <w:r w:rsidRPr="002C7437">
        <w:rPr>
          <w:rFonts w:eastAsia="Times New Roman" w:cs="Arial"/>
          <w:color w:val="000000"/>
          <w:lang w:val="ru-RU"/>
        </w:rPr>
        <w:t xml:space="preserve">/1.73 </w:t>
      </w:r>
      <w:r w:rsidRPr="002C7437">
        <w:rPr>
          <w:rFonts w:eastAsia="Times New Roman" w:cs="Arial"/>
          <w:color w:val="000000"/>
          <w:lang w:eastAsia="bg-BG"/>
        </w:rPr>
        <w:t>m2) бъбречна недостатъчност и 6 здрави лица (С</w:t>
      </w:r>
      <w:r w:rsidRPr="002C7437">
        <w:rPr>
          <w:rFonts w:eastAsia="Times New Roman" w:cs="Arial"/>
          <w:color w:val="000000"/>
          <w:lang w:val="en-US"/>
        </w:rPr>
        <w:t>r</w:t>
      </w:r>
      <w:r w:rsidRPr="002C7437">
        <w:rPr>
          <w:rFonts w:eastAsia="Times New Roman" w:cs="Arial"/>
          <w:color w:val="000000"/>
          <w:lang w:eastAsia="bg-BG"/>
        </w:rPr>
        <w:t xml:space="preserve">С1 &gt; 90 </w:t>
      </w:r>
      <w:r w:rsidRPr="002C7437">
        <w:rPr>
          <w:rFonts w:eastAsia="Times New Roman" w:cs="Arial"/>
          <w:color w:val="000000"/>
          <w:lang w:val="en-US"/>
        </w:rPr>
        <w:t>mL</w:t>
      </w:r>
      <w:r w:rsidRPr="002C7437">
        <w:rPr>
          <w:rFonts w:eastAsia="Times New Roman" w:cs="Arial"/>
          <w:color w:val="000000"/>
          <w:lang w:val="ru-RU"/>
        </w:rPr>
        <w:t>/</w:t>
      </w:r>
      <w:r w:rsidRPr="002C7437">
        <w:rPr>
          <w:rFonts w:eastAsia="Times New Roman" w:cs="Arial"/>
          <w:color w:val="000000"/>
          <w:lang w:val="en-US"/>
        </w:rPr>
        <w:t>min</w:t>
      </w:r>
      <w:r w:rsidRPr="002C7437">
        <w:rPr>
          <w:rFonts w:eastAsia="Times New Roman" w:cs="Arial"/>
          <w:color w:val="000000"/>
          <w:lang w:val="ru-RU"/>
        </w:rPr>
        <w:t xml:space="preserve">/1.73 </w:t>
      </w:r>
      <w:r w:rsidRPr="002C7437">
        <w:rPr>
          <w:rFonts w:eastAsia="Times New Roman" w:cs="Arial"/>
          <w:color w:val="000000"/>
          <w:lang w:val="en-US"/>
        </w:rPr>
        <w:t>m</w:t>
      </w:r>
      <w:r w:rsidRPr="002C7437">
        <w:rPr>
          <w:rFonts w:eastAsia="Times New Roman" w:cs="Arial"/>
          <w:color w:val="000000"/>
          <w:vertAlign w:val="superscript"/>
          <w:lang w:val="ru-RU"/>
        </w:rPr>
        <w:t>2</w:t>
      </w:r>
      <w:r w:rsidRPr="002C7437">
        <w:rPr>
          <w:rFonts w:eastAsia="Times New Roman" w:cs="Arial"/>
          <w:color w:val="000000"/>
          <w:lang w:val="ru-RU"/>
        </w:rPr>
        <w:t xml:space="preserve">). </w:t>
      </w:r>
      <w:r w:rsidRPr="002C7437">
        <w:rPr>
          <w:rFonts w:eastAsia="Times New Roman" w:cs="Arial"/>
          <w:color w:val="000000"/>
          <w:lang w:eastAsia="bg-BG"/>
        </w:rPr>
        <w:t>Докато промяна в общата плазмена концентрация на тамсулозин е наблюдавана в резултат на нарушено свързване с си -кисел гликопротеин, несвъзаната (активна) концентрация на тамсилозинов хидрохлорид, както и интринзик клирънсът остават относително постоянни. Не са проучвани пациенти с бъбречно заболяване в терминална фаза (С</w:t>
      </w:r>
      <w:r w:rsidRPr="002C7437">
        <w:rPr>
          <w:rFonts w:eastAsia="Times New Roman" w:cs="Arial"/>
          <w:color w:val="000000"/>
          <w:lang w:val="en-US"/>
        </w:rPr>
        <w:t>r</w:t>
      </w:r>
      <w:r w:rsidRPr="002C7437">
        <w:rPr>
          <w:rFonts w:eastAsia="Times New Roman" w:cs="Arial"/>
          <w:color w:val="000000"/>
          <w:lang w:eastAsia="bg-BG"/>
        </w:rPr>
        <w:t xml:space="preserve">С1 &lt; 10 </w:t>
      </w:r>
      <w:r w:rsidRPr="002C7437">
        <w:rPr>
          <w:rFonts w:eastAsia="Times New Roman" w:cs="Arial"/>
          <w:color w:val="000000"/>
          <w:lang w:val="en-US"/>
        </w:rPr>
        <w:t>mL</w:t>
      </w:r>
      <w:r w:rsidRPr="002C7437">
        <w:rPr>
          <w:rFonts w:eastAsia="Times New Roman" w:cs="Arial"/>
          <w:color w:val="000000"/>
          <w:lang w:val="ru-RU"/>
        </w:rPr>
        <w:t>/</w:t>
      </w:r>
      <w:r w:rsidRPr="002C7437">
        <w:rPr>
          <w:rFonts w:eastAsia="Times New Roman" w:cs="Arial"/>
          <w:color w:val="000000"/>
          <w:lang w:val="en-US"/>
        </w:rPr>
        <w:t>min</w:t>
      </w:r>
      <w:r w:rsidRPr="002C7437">
        <w:rPr>
          <w:rFonts w:eastAsia="Times New Roman" w:cs="Arial"/>
          <w:color w:val="000000"/>
          <w:lang w:val="ru-RU"/>
        </w:rPr>
        <w:t xml:space="preserve">/1.73 </w:t>
      </w:r>
      <w:r w:rsidRPr="002C7437">
        <w:rPr>
          <w:rFonts w:eastAsia="Times New Roman" w:cs="Arial"/>
          <w:color w:val="000000"/>
          <w:lang w:val="en-US"/>
        </w:rPr>
        <w:t>m</w:t>
      </w:r>
      <w:r w:rsidRPr="002C7437">
        <w:rPr>
          <w:rFonts w:eastAsia="Times New Roman" w:cs="Arial"/>
          <w:color w:val="000000"/>
          <w:vertAlign w:val="superscript"/>
          <w:lang w:val="ru-RU"/>
        </w:rPr>
        <w:t>2</w:t>
      </w:r>
      <w:r w:rsidRPr="002C7437">
        <w:rPr>
          <w:rFonts w:eastAsia="Times New Roman" w:cs="Arial"/>
          <w:color w:val="000000"/>
          <w:lang w:val="ru-RU"/>
        </w:rPr>
        <w:t>).</w:t>
      </w:r>
    </w:p>
    <w:p w14:paraId="654370C1" w14:textId="77777777" w:rsidR="002C7437" w:rsidRPr="002C7437" w:rsidRDefault="002C7437" w:rsidP="002C7437">
      <w:pPr>
        <w:spacing w:line="240" w:lineRule="auto"/>
        <w:rPr>
          <w:rFonts w:eastAsia="Times New Roman" w:cs="Arial"/>
          <w:i/>
          <w:iCs/>
          <w:color w:val="000000"/>
          <w:lang w:eastAsia="bg-BG"/>
        </w:rPr>
      </w:pPr>
    </w:p>
    <w:p w14:paraId="79F546F1" w14:textId="424ED4B8" w:rsidR="002C7437" w:rsidRPr="002C7437" w:rsidRDefault="002C7437" w:rsidP="002C7437">
      <w:pPr>
        <w:spacing w:line="240" w:lineRule="auto"/>
        <w:rPr>
          <w:rFonts w:eastAsia="Times New Roman" w:cs="Arial"/>
        </w:rPr>
      </w:pPr>
      <w:r w:rsidRPr="002C7437">
        <w:rPr>
          <w:rFonts w:eastAsia="Times New Roman" w:cs="Arial"/>
          <w:i/>
          <w:iCs/>
          <w:color w:val="000000"/>
          <w:lang w:eastAsia="bg-BG"/>
        </w:rPr>
        <w:t>Чернодробна недостатъчност</w:t>
      </w:r>
    </w:p>
    <w:p w14:paraId="51AF81B6" w14:textId="77777777"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Везомни</w:t>
      </w:r>
    </w:p>
    <w:p w14:paraId="55100E30"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Везомни може да се използва при пациенти с лека до умерена чернодробна недостатъчност, но е противопоказан при пациенти с тежка чернодробна недостатъчност,</w:t>
      </w:r>
    </w:p>
    <w:p w14:paraId="0DD0A32C" w14:textId="77777777" w:rsidR="002C7437" w:rsidRPr="002C7437" w:rsidRDefault="002C7437" w:rsidP="002C7437">
      <w:pPr>
        <w:spacing w:line="240" w:lineRule="auto"/>
        <w:rPr>
          <w:rFonts w:eastAsia="Times New Roman" w:cs="Arial"/>
          <w:color w:val="000000"/>
          <w:lang w:eastAsia="bg-BG"/>
        </w:rPr>
      </w:pPr>
    </w:p>
    <w:p w14:paraId="63FD36EE" w14:textId="67499B1D" w:rsidR="002C7437" w:rsidRPr="002C7437" w:rsidRDefault="002C7437" w:rsidP="002C7437">
      <w:pPr>
        <w:spacing w:line="240" w:lineRule="auto"/>
        <w:rPr>
          <w:rFonts w:eastAsia="Times New Roman" w:cs="Arial"/>
        </w:rPr>
      </w:pPr>
      <w:r w:rsidRPr="002C7437">
        <w:rPr>
          <w:rFonts w:eastAsia="Times New Roman" w:cs="Arial"/>
          <w:color w:val="000000"/>
          <w:lang w:eastAsia="bg-BG"/>
        </w:rPr>
        <w:lastRenderedPageBreak/>
        <w:t>Фармакокинетиката на Везомни не е проучвана при пациенти с чернодробна недостатъчност. Следващите твърдения отразяват наличната информация за отделните съставки по отношение на чернодробната недостатъчност.</w:t>
      </w:r>
    </w:p>
    <w:p w14:paraId="167FDD05" w14:textId="77777777" w:rsidR="002C7437" w:rsidRPr="002C7437" w:rsidRDefault="002C7437" w:rsidP="002C7437">
      <w:pPr>
        <w:spacing w:line="240" w:lineRule="auto"/>
        <w:rPr>
          <w:rFonts w:eastAsia="Times New Roman" w:cs="Arial"/>
          <w:color w:val="000000"/>
          <w:u w:val="single"/>
          <w:lang w:eastAsia="bg-BG"/>
        </w:rPr>
      </w:pPr>
    </w:p>
    <w:p w14:paraId="04312D18" w14:textId="6D775835"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Солифенацин</w:t>
      </w:r>
    </w:p>
    <w:p w14:paraId="6D9BA305" w14:textId="77777777" w:rsidR="002C7437" w:rsidRPr="002C7437" w:rsidRDefault="002C7437" w:rsidP="002C7437">
      <w:pPr>
        <w:spacing w:line="240" w:lineRule="auto"/>
        <w:rPr>
          <w:rFonts w:eastAsia="Times New Roman" w:cs="Arial"/>
        </w:rPr>
      </w:pPr>
      <w:r w:rsidRPr="002C7437">
        <w:rPr>
          <w:rFonts w:eastAsia="Times New Roman" w:cs="Arial"/>
          <w:color w:val="000000"/>
          <w:lang w:eastAsia="bg-BG"/>
        </w:rPr>
        <w:t xml:space="preserve">При пациенти с умерена чернодробна недостатъчност </w:t>
      </w:r>
      <w:r w:rsidRPr="002C7437">
        <w:rPr>
          <w:rFonts w:eastAsia="Times New Roman" w:cs="Arial"/>
          <w:color w:val="000000"/>
          <w:lang w:val="ru-RU"/>
        </w:rPr>
        <w:t>(</w:t>
      </w:r>
      <w:r w:rsidRPr="002C7437">
        <w:rPr>
          <w:rFonts w:eastAsia="Times New Roman" w:cs="Arial"/>
          <w:color w:val="000000"/>
          <w:lang w:val="en-US"/>
        </w:rPr>
        <w:t>Child</w:t>
      </w:r>
      <w:r w:rsidRPr="002C7437">
        <w:rPr>
          <w:rFonts w:eastAsia="Times New Roman" w:cs="Arial"/>
          <w:color w:val="000000"/>
          <w:lang w:val="ru-RU"/>
        </w:rPr>
        <w:t>-</w:t>
      </w:r>
      <w:r w:rsidRPr="002C7437">
        <w:rPr>
          <w:rFonts w:eastAsia="Times New Roman" w:cs="Arial"/>
          <w:color w:val="000000"/>
          <w:lang w:val="en-US"/>
        </w:rPr>
        <w:t>Pugh</w:t>
      </w:r>
      <w:r w:rsidRPr="002C7437">
        <w:rPr>
          <w:rFonts w:eastAsia="Times New Roman" w:cs="Arial"/>
          <w:color w:val="000000"/>
          <w:lang w:val="ru-RU"/>
        </w:rPr>
        <w:t xml:space="preserve"> </w:t>
      </w:r>
      <w:r w:rsidRPr="002C7437">
        <w:rPr>
          <w:rFonts w:eastAsia="Times New Roman" w:cs="Arial"/>
          <w:color w:val="000000"/>
          <w:lang w:eastAsia="bg-BG"/>
        </w:rPr>
        <w:t>скор от 7 до 9), С</w:t>
      </w:r>
      <w:r w:rsidRPr="002C7437">
        <w:rPr>
          <w:rFonts w:eastAsia="Times New Roman" w:cs="Arial"/>
          <w:color w:val="000000"/>
          <w:vertAlign w:val="subscript"/>
          <w:lang w:val="en-US"/>
        </w:rPr>
        <w:t>max</w:t>
      </w:r>
      <w:r w:rsidRPr="002C7437">
        <w:rPr>
          <w:rFonts w:eastAsia="Times New Roman" w:cs="Arial"/>
          <w:color w:val="000000"/>
          <w:lang w:eastAsia="bg-BG"/>
        </w:rPr>
        <w:t xml:space="preserve"> не се повлиява, </w:t>
      </w:r>
      <w:r w:rsidRPr="002C7437">
        <w:rPr>
          <w:rFonts w:eastAsia="Times New Roman" w:cs="Arial"/>
          <w:color w:val="000000"/>
          <w:lang w:val="en-US"/>
        </w:rPr>
        <w:t>AUC</w:t>
      </w:r>
      <w:r w:rsidRPr="002C7437">
        <w:rPr>
          <w:rFonts w:eastAsia="Times New Roman" w:cs="Arial"/>
          <w:color w:val="000000"/>
          <w:lang w:val="ru-RU"/>
        </w:rPr>
        <w:t xml:space="preserve"> </w:t>
      </w:r>
      <w:r w:rsidRPr="002C7437">
        <w:rPr>
          <w:rFonts w:eastAsia="Times New Roman" w:cs="Arial"/>
          <w:color w:val="000000"/>
          <w:lang w:eastAsia="bg-BG"/>
        </w:rPr>
        <w:t xml:space="preserve">се повишава с 60%, </w:t>
      </w:r>
      <w:r w:rsidRPr="002C7437">
        <w:rPr>
          <w:rFonts w:eastAsia="Times New Roman" w:cs="Arial"/>
          <w:color w:val="000000"/>
          <w:lang w:val="en-US"/>
        </w:rPr>
        <w:t>a</w:t>
      </w:r>
      <w:r w:rsidRPr="002C7437">
        <w:rPr>
          <w:rFonts w:eastAsia="Times New Roman" w:cs="Arial"/>
          <w:color w:val="000000"/>
          <w:lang w:val="ru-RU"/>
        </w:rPr>
        <w:t xml:space="preserve"> </w:t>
      </w:r>
      <w:r w:rsidRPr="002C7437">
        <w:rPr>
          <w:rFonts w:eastAsia="Times New Roman" w:cs="Arial"/>
          <w:color w:val="000000"/>
          <w:lang w:val="en-US"/>
        </w:rPr>
        <w:t>t</w:t>
      </w:r>
      <w:r w:rsidRPr="002C7437">
        <w:rPr>
          <w:rFonts w:eastAsia="Times New Roman" w:cs="Arial"/>
          <w:color w:val="000000"/>
          <w:vertAlign w:val="subscript"/>
          <w:lang w:val="ru-RU"/>
        </w:rPr>
        <w:t>1/2</w:t>
      </w:r>
      <w:r w:rsidRPr="002C7437">
        <w:rPr>
          <w:rFonts w:eastAsia="Times New Roman" w:cs="Arial"/>
          <w:color w:val="000000"/>
          <w:lang w:val="ru-RU"/>
        </w:rPr>
        <w:t xml:space="preserve"> </w:t>
      </w:r>
      <w:r w:rsidRPr="002C7437">
        <w:rPr>
          <w:rFonts w:eastAsia="Times New Roman" w:cs="Arial"/>
          <w:color w:val="000000"/>
          <w:lang w:eastAsia="bg-BG"/>
        </w:rPr>
        <w:t>се удвоява. Фармакокинетиката на солифенацин при пациенти с тежка чернодробна недостатъчност не е проучвана.</w:t>
      </w:r>
    </w:p>
    <w:p w14:paraId="592B4EB5" w14:textId="77777777" w:rsidR="002C7437" w:rsidRPr="002C7437" w:rsidRDefault="002C7437" w:rsidP="002C7437">
      <w:pPr>
        <w:spacing w:line="240" w:lineRule="auto"/>
        <w:rPr>
          <w:rFonts w:eastAsia="Times New Roman" w:cs="Arial"/>
          <w:color w:val="000000"/>
          <w:u w:val="single"/>
          <w:lang w:eastAsia="bg-BG"/>
        </w:rPr>
      </w:pPr>
    </w:p>
    <w:p w14:paraId="06C9E497" w14:textId="33DA4F91" w:rsidR="002C7437" w:rsidRPr="002C7437" w:rsidRDefault="002C7437" w:rsidP="002C7437">
      <w:pPr>
        <w:spacing w:line="240" w:lineRule="auto"/>
        <w:rPr>
          <w:rFonts w:eastAsia="Times New Roman" w:cs="Arial"/>
        </w:rPr>
      </w:pPr>
      <w:r w:rsidRPr="002C7437">
        <w:rPr>
          <w:rFonts w:eastAsia="Times New Roman" w:cs="Arial"/>
          <w:color w:val="000000"/>
          <w:u w:val="single"/>
          <w:lang w:eastAsia="bg-BG"/>
        </w:rPr>
        <w:t>Тамсулозин</w:t>
      </w:r>
    </w:p>
    <w:p w14:paraId="17859EA8" w14:textId="0A532C62" w:rsidR="002C7437" w:rsidRPr="002C7437" w:rsidRDefault="002C7437" w:rsidP="002C7437">
      <w:pPr>
        <w:spacing w:line="240" w:lineRule="auto"/>
        <w:rPr>
          <w:rFonts w:eastAsia="Times New Roman" w:cs="Arial"/>
        </w:rPr>
      </w:pPr>
      <w:r w:rsidRPr="002C7437">
        <w:rPr>
          <w:rFonts w:eastAsia="Times New Roman" w:cs="Arial"/>
          <w:color w:val="000000"/>
          <w:lang w:eastAsia="bg-BG"/>
        </w:rPr>
        <w:t xml:space="preserve">Сравнявана е фармакокинетиката на тамсулозин при 8 лица с умерена чернодробна недостатъчност </w:t>
      </w:r>
      <w:r w:rsidRPr="002C7437">
        <w:rPr>
          <w:rFonts w:eastAsia="Times New Roman" w:cs="Arial"/>
          <w:color w:val="000000"/>
          <w:lang w:val="ru-RU"/>
        </w:rPr>
        <w:t>(</w:t>
      </w:r>
      <w:r w:rsidRPr="002C7437">
        <w:rPr>
          <w:rFonts w:eastAsia="Times New Roman" w:cs="Arial"/>
          <w:color w:val="000000"/>
          <w:lang w:val="en-US"/>
        </w:rPr>
        <w:t>Child</w:t>
      </w:r>
      <w:r w:rsidRPr="002C7437">
        <w:rPr>
          <w:rFonts w:eastAsia="Times New Roman" w:cs="Arial"/>
          <w:color w:val="000000"/>
          <w:lang w:val="ru-RU"/>
        </w:rPr>
        <w:t>-</w:t>
      </w:r>
      <w:r w:rsidRPr="002C7437">
        <w:rPr>
          <w:rFonts w:eastAsia="Times New Roman" w:cs="Arial"/>
          <w:color w:val="000000"/>
          <w:lang w:val="en-US"/>
        </w:rPr>
        <w:t>Pugh</w:t>
      </w:r>
      <w:r w:rsidRPr="002C7437">
        <w:rPr>
          <w:rFonts w:eastAsia="Times New Roman" w:cs="Arial"/>
          <w:color w:val="000000"/>
          <w:lang w:val="ru-RU"/>
        </w:rPr>
        <w:t xml:space="preserve"> </w:t>
      </w:r>
      <w:r w:rsidRPr="002C7437">
        <w:rPr>
          <w:rFonts w:eastAsia="Times New Roman" w:cs="Arial"/>
          <w:color w:val="000000"/>
          <w:lang w:eastAsia="bg-BG"/>
        </w:rPr>
        <w:t>скор от 7 до 9) и 8 здрави лица. Докато промяна в общата плазмена концентрация на тамсулозин е наблюдавана в резултат на нарушено свързване с α</w:t>
      </w:r>
      <w:r w:rsidRPr="002C7437">
        <w:rPr>
          <w:rFonts w:eastAsia="Times New Roman" w:cs="Arial"/>
          <w:color w:val="000000"/>
          <w:vertAlign w:val="subscript"/>
          <w:lang w:eastAsia="bg-BG"/>
        </w:rPr>
        <w:t>1</w:t>
      </w:r>
      <w:r w:rsidRPr="002C7437">
        <w:rPr>
          <w:rFonts w:eastAsia="Times New Roman" w:cs="Arial"/>
          <w:color w:val="000000"/>
          <w:lang w:eastAsia="bg-BG"/>
        </w:rPr>
        <w:t xml:space="preserve"> -кисел гликопротеин, несвъзаната (активна) концентрация на тамсилозин не се повлиява значимо, с умерена (32%) промяна в интринзик клирънса на несвързан тамсулозин. Тамсулозин не е проучван при пациенти с тежка чернодробна недостатъчност.</w:t>
      </w:r>
    </w:p>
    <w:p w14:paraId="5D3B1DB9" w14:textId="77777777" w:rsidR="002C7437" w:rsidRPr="002C7437" w:rsidRDefault="002C7437" w:rsidP="002C7437"/>
    <w:p w14:paraId="028E658A" w14:textId="26F4E2B8" w:rsidR="00395555" w:rsidRDefault="002C50EE" w:rsidP="008A6AF2">
      <w:pPr>
        <w:pStyle w:val="Heading2"/>
      </w:pPr>
      <w:r>
        <w:t>5.3. Предклинични данни за безопасност</w:t>
      </w:r>
    </w:p>
    <w:p w14:paraId="1BAA6C50" w14:textId="7409E6C4" w:rsidR="002C7437" w:rsidRDefault="002C7437" w:rsidP="002C7437"/>
    <w:p w14:paraId="3AE6E5C3" w14:textId="63F60D39" w:rsidR="002C7437" w:rsidRPr="002C7437" w:rsidRDefault="002C7437" w:rsidP="002C7437">
      <w:r>
        <w:t>С Везомни не са провеждани неклинични проучвания. Солифенацин и тамсулозин се оценявани екстензивно като отделни съставки в токсикологични проучвания с животни и данните са консистентни с известните фармакологични действия. 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репродуктивна токсичност, токсичност за развитието, генотоксичност и карциногенен потенциал или синергизъм по отношение на нежеланите реакции, когато се комбинира солифенацин и тамсулозин.</w:t>
      </w:r>
    </w:p>
    <w:p w14:paraId="6A7820AB" w14:textId="71663BF7" w:rsidR="008A6AF2" w:rsidRDefault="002C50EE" w:rsidP="00395555">
      <w:pPr>
        <w:pStyle w:val="Heading1"/>
      </w:pPr>
      <w:r>
        <w:t>7. ПРИТЕЖАТЕЛ НА РАЗРЕШЕНИЕТО ЗА УПОТРЕБА</w:t>
      </w:r>
    </w:p>
    <w:p w14:paraId="7A176106" w14:textId="6DF20B67" w:rsidR="002C7437" w:rsidRDefault="002C7437" w:rsidP="002C7437"/>
    <w:p w14:paraId="27A8BF2D" w14:textId="77777777" w:rsidR="002C7437" w:rsidRPr="002C7437" w:rsidRDefault="002C7437" w:rsidP="002C7437">
      <w:pPr>
        <w:rPr>
          <w:sz w:val="24"/>
          <w:szCs w:val="24"/>
          <w:lang w:val="en-US"/>
        </w:rPr>
      </w:pPr>
      <w:proofErr w:type="spellStart"/>
      <w:r w:rsidRPr="002C7437">
        <w:rPr>
          <w:lang w:val="en-US"/>
        </w:rPr>
        <w:t>Astellas</w:t>
      </w:r>
      <w:proofErr w:type="spellEnd"/>
      <w:r w:rsidRPr="002C7437">
        <w:rPr>
          <w:lang w:val="en-US"/>
        </w:rPr>
        <w:t xml:space="preserve"> Pharma Europe B.V.</w:t>
      </w:r>
    </w:p>
    <w:p w14:paraId="0FBAF485" w14:textId="77777777" w:rsidR="002C7437" w:rsidRPr="002C7437" w:rsidRDefault="002C7437" w:rsidP="002C7437">
      <w:pPr>
        <w:rPr>
          <w:sz w:val="24"/>
          <w:szCs w:val="24"/>
          <w:lang w:val="ru-RU"/>
        </w:rPr>
      </w:pPr>
      <w:proofErr w:type="spellStart"/>
      <w:r w:rsidRPr="002C7437">
        <w:rPr>
          <w:lang w:val="en-US"/>
        </w:rPr>
        <w:t>Sylviusweg</w:t>
      </w:r>
      <w:proofErr w:type="spellEnd"/>
      <w:r w:rsidRPr="002C7437">
        <w:rPr>
          <w:lang w:val="ru-RU"/>
        </w:rPr>
        <w:t xml:space="preserve"> 62</w:t>
      </w:r>
    </w:p>
    <w:p w14:paraId="12435D9F" w14:textId="77777777" w:rsidR="002C7437" w:rsidRPr="002C7437" w:rsidRDefault="002C7437" w:rsidP="002C7437">
      <w:pPr>
        <w:rPr>
          <w:sz w:val="24"/>
          <w:szCs w:val="24"/>
          <w:lang w:val="ru-RU"/>
        </w:rPr>
      </w:pPr>
      <w:r w:rsidRPr="002C7437">
        <w:rPr>
          <w:lang w:val="ru-RU"/>
        </w:rPr>
        <w:t xml:space="preserve">2333 </w:t>
      </w:r>
      <w:r w:rsidRPr="002C7437">
        <w:rPr>
          <w:lang w:val="en-US"/>
        </w:rPr>
        <w:t>BE</w:t>
      </w:r>
      <w:r w:rsidRPr="002C7437">
        <w:rPr>
          <w:lang w:val="ru-RU"/>
        </w:rPr>
        <w:t xml:space="preserve"> </w:t>
      </w:r>
      <w:r w:rsidRPr="002C7437">
        <w:rPr>
          <w:lang w:val="en-US"/>
        </w:rPr>
        <w:t>Leiden</w:t>
      </w:r>
    </w:p>
    <w:p w14:paraId="79AC61BB" w14:textId="3D6B654B" w:rsidR="002C7437" w:rsidRPr="002C7437" w:rsidRDefault="002C7437" w:rsidP="002C7437">
      <w:r w:rsidRPr="002C7437">
        <w:rPr>
          <w:lang w:eastAsia="bg-BG"/>
        </w:rPr>
        <w:t>Нидерландия</w:t>
      </w:r>
    </w:p>
    <w:p w14:paraId="04840D59" w14:textId="5C19C17D" w:rsidR="002C50EE" w:rsidRDefault="002C50EE" w:rsidP="00395555">
      <w:pPr>
        <w:pStyle w:val="Heading1"/>
      </w:pPr>
      <w:r>
        <w:t>8. НОМЕР НА РАЗРЕШЕНИЕТО ЗА УПОТРЕБА</w:t>
      </w:r>
    </w:p>
    <w:p w14:paraId="6320D10B" w14:textId="7D007DC4" w:rsidR="002C7437" w:rsidRDefault="002C7437" w:rsidP="002C7437"/>
    <w:p w14:paraId="16E5C230" w14:textId="1F49B369" w:rsidR="002C7437" w:rsidRPr="002C7437" w:rsidRDefault="002C7437" w:rsidP="002C7437">
      <w:r>
        <w:t>20140211</w:t>
      </w:r>
    </w:p>
    <w:p w14:paraId="2CCB5832" w14:textId="69748082" w:rsidR="007C605B" w:rsidRDefault="002C50EE" w:rsidP="007C605B">
      <w:pPr>
        <w:pStyle w:val="Heading1"/>
      </w:pPr>
      <w:r>
        <w:t>9. ДАТА НА ПЪРВО РАЗРЕШАВАНЕ/ПОДНОВЯВАНЕ НА РАЗРЕШЕНИЕТО ЗА УПОТРЕБА</w:t>
      </w:r>
    </w:p>
    <w:p w14:paraId="3572F25D" w14:textId="15C8AC49" w:rsidR="002C7437" w:rsidRDefault="002C7437" w:rsidP="002C7437"/>
    <w:p w14:paraId="586AB1C2" w14:textId="77777777" w:rsidR="002C7437" w:rsidRPr="002C7437" w:rsidRDefault="002C7437" w:rsidP="002C7437">
      <w:pPr>
        <w:rPr>
          <w:sz w:val="24"/>
          <w:szCs w:val="24"/>
        </w:rPr>
      </w:pPr>
      <w:r w:rsidRPr="002C7437">
        <w:rPr>
          <w:lang w:eastAsia="bg-BG"/>
        </w:rPr>
        <w:t>Дата на първо разрешаване: 07-Юли-2014</w:t>
      </w:r>
    </w:p>
    <w:p w14:paraId="4E861F78" w14:textId="1032484E" w:rsidR="002C7437" w:rsidRPr="002C7437" w:rsidRDefault="002C7437" w:rsidP="002C7437">
      <w:r w:rsidRPr="002C7437">
        <w:rPr>
          <w:lang w:eastAsia="bg-BG"/>
        </w:rPr>
        <w:t>Дата на последно подновяване: 02-Юли-2018</w:t>
      </w:r>
    </w:p>
    <w:p w14:paraId="0E9D0119" w14:textId="0245C6D7" w:rsidR="002C50EE" w:rsidRDefault="002C50EE" w:rsidP="002C50EE">
      <w:pPr>
        <w:pStyle w:val="Heading1"/>
      </w:pPr>
      <w:r>
        <w:lastRenderedPageBreak/>
        <w:t>10. ДАТА НА АКТУАЛИЗИРАНЕ НА ТЕКСТА</w:t>
      </w:r>
    </w:p>
    <w:p w14:paraId="43FB38A2" w14:textId="1D8A3B61" w:rsidR="007C605B" w:rsidRPr="003E3126" w:rsidRDefault="007C605B" w:rsidP="00395555">
      <w:bookmarkStart w:id="2" w:name="_GoBack"/>
      <w:bookmarkEnd w:id="0"/>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3BC4E84"/>
    <w:multiLevelType w:val="hybridMultilevel"/>
    <w:tmpl w:val="D6F62956"/>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06C3C3B"/>
    <w:multiLevelType w:val="hybridMultilevel"/>
    <w:tmpl w:val="ACF22C4A"/>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20"/>
  </w:num>
  <w:num w:numId="14">
    <w:abstractNumId w:val="12"/>
  </w:num>
  <w:num w:numId="15">
    <w:abstractNumId w:val="29"/>
  </w:num>
  <w:num w:numId="16">
    <w:abstractNumId w:val="10"/>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1"/>
  </w:num>
  <w:num w:numId="28">
    <w:abstractNumId w:val="6"/>
  </w:num>
  <w:num w:numId="29">
    <w:abstractNumId w:val="21"/>
  </w:num>
  <w:num w:numId="30">
    <w:abstractNumId w:val="32"/>
  </w:num>
  <w:num w:numId="31">
    <w:abstractNumId w:val="5"/>
  </w:num>
  <w:num w:numId="32">
    <w:abstractNumId w:val="1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2C7437"/>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CC202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5059</Words>
  <Characters>28841</Characters>
  <Application>Microsoft Office Word</Application>
  <DocSecurity>0</DocSecurity>
  <Lines>240</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2022-01-17T00:41:00Z</dcterms:created>
  <dcterms:modified xsi:type="dcterms:W3CDTF">2022-01-17T00:41:00Z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