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  <w:rPr>
          <w:lang w:val="bg-BG"/>
        </w:rPr>
      </w:pPr>
      <w:bookmarkStart w:id="0" w:name="_Hlk63124480"/>
      <w:r>
        <w:rPr>
          <w:lang w:val="bg-BG"/>
        </w:rPr>
        <w:t>КРАТКА ХАРАКТЕРИСТИКА НА ПРОДУКТА</w:t>
      </w:r>
    </w:p>
    <w:p w14:paraId="1BBB3756" w14:textId="5084161B" w:rsidR="00C07B84" w:rsidRDefault="00DD466D" w:rsidP="00DD466D">
      <w:pPr>
        <w:pStyle w:val="Heading1"/>
        <w:rPr>
          <w:lang w:val="bg-BG"/>
        </w:rPr>
      </w:pPr>
      <w:r>
        <w:rPr>
          <w:lang w:val="bg-BG"/>
        </w:rPr>
        <w:t>1.ИМЕ НА ЛЕКАРСТВЕНИЯ ПРОДУКТ</w:t>
      </w:r>
    </w:p>
    <w:p w14:paraId="0F889D72" w14:textId="77777777" w:rsidR="00B42FB9" w:rsidRPr="00B42FB9" w:rsidRDefault="00B42FB9" w:rsidP="00B42FB9">
      <w:pPr>
        <w:rPr>
          <w:sz w:val="24"/>
          <w:szCs w:val="24"/>
          <w:lang w:val="bg-BG"/>
        </w:rPr>
      </w:pP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20 000 </w:t>
      </w:r>
      <w:r w:rsidRPr="00B42FB9">
        <w:t xml:space="preserve">IU/ml </w:t>
      </w:r>
      <w:r w:rsidRPr="00B42FB9">
        <w:rPr>
          <w:lang w:val="bg-BG" w:eastAsia="bg-BG"/>
        </w:rPr>
        <w:t>перорални капки, разтвор</w:t>
      </w:r>
    </w:p>
    <w:p w14:paraId="070CD7E3" w14:textId="77777777" w:rsidR="00B42FB9" w:rsidRPr="00B42FB9" w:rsidRDefault="00B42FB9" w:rsidP="00B42FB9">
      <w:pPr>
        <w:rPr>
          <w:sz w:val="24"/>
          <w:szCs w:val="24"/>
          <w:lang w:val="bg-BG"/>
        </w:rPr>
      </w:pPr>
      <w:proofErr w:type="spellStart"/>
      <w:r w:rsidRPr="00B42FB9">
        <w:t>Vigantol</w:t>
      </w:r>
      <w:proofErr w:type="spellEnd"/>
      <w:r w:rsidRPr="00B42FB9">
        <w:t xml:space="preserve"> </w:t>
      </w:r>
      <w:r w:rsidRPr="00B42FB9">
        <w:rPr>
          <w:lang w:val="bg-BG" w:eastAsia="bg-BG"/>
        </w:rPr>
        <w:t xml:space="preserve">20 000 </w:t>
      </w:r>
      <w:r w:rsidRPr="00B42FB9">
        <w:t>IU/ml oral drops, solution</w:t>
      </w:r>
    </w:p>
    <w:p w14:paraId="7650E61E" w14:textId="77777777" w:rsidR="00B42FB9" w:rsidRPr="00B42FB9" w:rsidRDefault="00B42FB9" w:rsidP="00B42FB9">
      <w:pPr>
        <w:rPr>
          <w:lang w:val="bg-BG"/>
        </w:rPr>
      </w:pPr>
    </w:p>
    <w:p w14:paraId="3A916BC0" w14:textId="342C8547" w:rsidR="00DD466D" w:rsidRDefault="00DD466D" w:rsidP="00DD466D">
      <w:pPr>
        <w:pStyle w:val="Heading1"/>
        <w:rPr>
          <w:lang w:val="bg-BG"/>
        </w:rPr>
      </w:pPr>
      <w:r>
        <w:rPr>
          <w:lang w:val="bg-BG"/>
        </w:rPr>
        <w:t>2. КАЧЕСТВЕН И КОЛИЧЕСТВЕН СЪСТАВ</w:t>
      </w:r>
    </w:p>
    <w:p w14:paraId="2B01B35C" w14:textId="51871BA4" w:rsidR="00B42FB9" w:rsidRPr="00B42FB9" w:rsidRDefault="00B42FB9" w:rsidP="00B42FB9">
      <w:pPr>
        <w:rPr>
          <w:lang w:val="bg-BG"/>
        </w:rPr>
      </w:pPr>
      <w:r>
        <w:t xml:space="preserve">1 ml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разтвора</w:t>
      </w:r>
      <w:proofErr w:type="spellEnd"/>
      <w:r>
        <w:t xml:space="preserve"> (40 </w:t>
      </w:r>
      <w:proofErr w:type="spellStart"/>
      <w:r>
        <w:t>капки</w:t>
      </w:r>
      <w:proofErr w:type="spellEnd"/>
      <w:r>
        <w:t xml:space="preserve">) </w:t>
      </w:r>
      <w:proofErr w:type="spellStart"/>
      <w:r>
        <w:t>съдържа</w:t>
      </w:r>
      <w:proofErr w:type="spellEnd"/>
      <w:r>
        <w:t xml:space="preserve"> 0,5 mg </w:t>
      </w:r>
      <w:proofErr w:type="spellStart"/>
      <w:r>
        <w:t>холекалциферол</w:t>
      </w:r>
      <w:proofErr w:type="spellEnd"/>
      <w:r>
        <w:t xml:space="preserve"> (cholecalciferol), </w:t>
      </w:r>
      <w:proofErr w:type="spellStart"/>
      <w:r>
        <w:t>еквивалентен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20 000 IU </w:t>
      </w:r>
      <w:proofErr w:type="spellStart"/>
      <w:r>
        <w:t>витамин</w:t>
      </w:r>
      <w:proofErr w:type="spellEnd"/>
      <w:r>
        <w:t xml:space="preserve"> D</w:t>
      </w:r>
      <w:r>
        <w:rPr>
          <w:vertAlign w:val="subscript"/>
        </w:rPr>
        <w:t>3</w:t>
      </w:r>
    </w:p>
    <w:p w14:paraId="74A1D0A0" w14:textId="473C49D4" w:rsidR="002B4DBB" w:rsidRDefault="00DD466D" w:rsidP="00C07B84">
      <w:pPr>
        <w:pStyle w:val="Heading1"/>
        <w:rPr>
          <w:lang w:val="bg-BG"/>
        </w:rPr>
      </w:pPr>
      <w:r>
        <w:rPr>
          <w:lang w:val="bg-BG"/>
        </w:rPr>
        <w:t>3. ЛЕКАРСТВЕНА ФОРМА</w:t>
      </w:r>
    </w:p>
    <w:p w14:paraId="6EE92F64" w14:textId="38DFC428" w:rsidR="00B42FB9" w:rsidRPr="00B42FB9" w:rsidRDefault="00B42FB9" w:rsidP="00B42FB9">
      <w:pPr>
        <w:rPr>
          <w:lang w:val="bg-BG"/>
        </w:rPr>
      </w:pPr>
      <w:proofErr w:type="spellStart"/>
      <w:r>
        <w:t>Перорални</w:t>
      </w:r>
      <w:proofErr w:type="spellEnd"/>
      <w:r>
        <w:t xml:space="preserve"> </w:t>
      </w:r>
      <w:proofErr w:type="spellStart"/>
      <w:r>
        <w:t>капки</w:t>
      </w:r>
      <w:proofErr w:type="spellEnd"/>
      <w:r>
        <w:t xml:space="preserve">, </w:t>
      </w:r>
      <w:proofErr w:type="spellStart"/>
      <w:r>
        <w:t>разтвор</w:t>
      </w:r>
      <w:proofErr w:type="spellEnd"/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03298BB" w14:textId="7B74FECE" w:rsidR="002B4DBB" w:rsidRDefault="002C50EE" w:rsidP="00C07B84">
      <w:pPr>
        <w:pStyle w:val="Heading2"/>
      </w:pPr>
      <w:r>
        <w:t xml:space="preserve">4.1. </w:t>
      </w:r>
      <w:proofErr w:type="spellStart"/>
      <w:r>
        <w:t>Терапевтични</w:t>
      </w:r>
      <w:proofErr w:type="spellEnd"/>
      <w:r>
        <w:t xml:space="preserve"> </w:t>
      </w:r>
      <w:proofErr w:type="spellStart"/>
      <w:r>
        <w:t>показания</w:t>
      </w:r>
      <w:proofErr w:type="spellEnd"/>
    </w:p>
    <w:p w14:paraId="15E60B71" w14:textId="77777777" w:rsidR="00B42FB9" w:rsidRDefault="00B42FB9" w:rsidP="00B42FB9">
      <w:pPr>
        <w:rPr>
          <w:lang w:val="bg-BG" w:eastAsia="bg-BG"/>
        </w:rPr>
      </w:pPr>
    </w:p>
    <w:p w14:paraId="249BE00D" w14:textId="3F258E01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Профилактика на рахит и </w:t>
      </w:r>
      <w:proofErr w:type="spellStart"/>
      <w:r w:rsidRPr="00B42FB9">
        <w:rPr>
          <w:lang w:val="bg-BG" w:eastAsia="bg-BG"/>
        </w:rPr>
        <w:t>остеомалация</w:t>
      </w:r>
      <w:proofErr w:type="spellEnd"/>
      <w:r w:rsidRPr="00B42FB9">
        <w:rPr>
          <w:lang w:val="bg-BG" w:eastAsia="bg-BG"/>
        </w:rPr>
        <w:t xml:space="preserve"> при деца и възрастни</w:t>
      </w:r>
    </w:p>
    <w:p w14:paraId="0AEF1124" w14:textId="4FE31A71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>Профилактика на рахит при преждевременно родени бебета</w:t>
      </w:r>
    </w:p>
    <w:p w14:paraId="10715152" w14:textId="280E66CD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Профилактика на недостиг на витамин </w:t>
      </w:r>
      <w:r w:rsidRPr="00B42FB9">
        <w:t xml:space="preserve">D </w:t>
      </w:r>
      <w:r w:rsidRPr="00B42FB9">
        <w:rPr>
          <w:lang w:val="bg-BG" w:eastAsia="bg-BG"/>
        </w:rPr>
        <w:t>при деца и възрастни с идентифициран риск</w:t>
      </w:r>
    </w:p>
    <w:p w14:paraId="664975F4" w14:textId="595EE358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Профилактика на недостиг на витамин </w:t>
      </w:r>
      <w:r w:rsidRPr="00B42FB9">
        <w:t xml:space="preserve">D </w:t>
      </w:r>
      <w:r w:rsidRPr="00B42FB9">
        <w:rPr>
          <w:lang w:val="bg-BG" w:eastAsia="bg-BG"/>
        </w:rPr>
        <w:t xml:space="preserve">при деца и възрастни с малабсорбция, напр. дължаща се на хронични чревни заболявания, цироза на черния дроб, обширна </w:t>
      </w:r>
      <w:proofErr w:type="spellStart"/>
      <w:r w:rsidRPr="00B42FB9">
        <w:rPr>
          <w:lang w:val="bg-BG" w:eastAsia="bg-BG"/>
        </w:rPr>
        <w:t>резекция</w:t>
      </w:r>
      <w:proofErr w:type="spellEnd"/>
      <w:r w:rsidRPr="00B42FB9">
        <w:rPr>
          <w:lang w:val="bg-BG" w:eastAsia="bg-BG"/>
        </w:rPr>
        <w:t xml:space="preserve"> на гастроинтестиналния тракт</w:t>
      </w:r>
    </w:p>
    <w:p w14:paraId="2B3EF034" w14:textId="395BE629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Лечение на рахит и </w:t>
      </w:r>
      <w:proofErr w:type="spellStart"/>
      <w:r w:rsidRPr="00B42FB9">
        <w:rPr>
          <w:lang w:val="bg-BG" w:eastAsia="bg-BG"/>
        </w:rPr>
        <w:t>остеомалация</w:t>
      </w:r>
      <w:proofErr w:type="spellEnd"/>
      <w:r w:rsidRPr="00B42FB9">
        <w:rPr>
          <w:lang w:val="bg-BG" w:eastAsia="bg-BG"/>
        </w:rPr>
        <w:t xml:space="preserve">, индуцирани от дефицит на витамин </w:t>
      </w:r>
      <w:r w:rsidRPr="00B42FB9">
        <w:t xml:space="preserve">D </w:t>
      </w:r>
      <w:r w:rsidRPr="00B42FB9">
        <w:rPr>
          <w:lang w:val="bg-BG" w:eastAsia="bg-BG"/>
        </w:rPr>
        <w:t>при деца и възрастни</w:t>
      </w:r>
    </w:p>
    <w:p w14:paraId="2891B736" w14:textId="5B0359C7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Лечение на </w:t>
      </w:r>
      <w:proofErr w:type="spellStart"/>
      <w:r w:rsidRPr="00B42FB9">
        <w:rPr>
          <w:lang w:val="bg-BG" w:eastAsia="bg-BG"/>
        </w:rPr>
        <w:t>хипопаратиреоидизъм</w:t>
      </w:r>
      <w:proofErr w:type="spellEnd"/>
      <w:r w:rsidRPr="00B42FB9">
        <w:rPr>
          <w:lang w:val="bg-BG" w:eastAsia="bg-BG"/>
        </w:rPr>
        <w:t xml:space="preserve"> и </w:t>
      </w:r>
      <w:proofErr w:type="spellStart"/>
      <w:r w:rsidRPr="00B42FB9">
        <w:rPr>
          <w:lang w:val="bg-BG" w:eastAsia="bg-BG"/>
        </w:rPr>
        <w:t>псевдохипопаратиреоидизъм</w:t>
      </w:r>
      <w:proofErr w:type="spellEnd"/>
      <w:r w:rsidRPr="00B42FB9">
        <w:rPr>
          <w:lang w:val="bg-BG" w:eastAsia="bg-BG"/>
        </w:rPr>
        <w:t xml:space="preserve"> при възрастни</w:t>
      </w:r>
    </w:p>
    <w:p w14:paraId="792E4E8F" w14:textId="07B253E9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>Поддържащо лечение на остеопороза при възрастни</w:t>
      </w:r>
    </w:p>
    <w:p w14:paraId="52602197" w14:textId="77777777" w:rsidR="00B42FB9" w:rsidRPr="00B42FB9" w:rsidRDefault="00B42FB9" w:rsidP="00B42FB9"/>
    <w:p w14:paraId="71891A7D" w14:textId="428124D1" w:rsidR="001915B6" w:rsidRDefault="002C50EE" w:rsidP="00C07B84">
      <w:pPr>
        <w:pStyle w:val="Heading2"/>
      </w:pPr>
      <w:r>
        <w:t xml:space="preserve">4.2. </w:t>
      </w:r>
      <w:proofErr w:type="spellStart"/>
      <w:r>
        <w:t>Дозировка</w:t>
      </w:r>
      <w:proofErr w:type="spellEnd"/>
      <w:r>
        <w:t xml:space="preserve"> и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</w:p>
    <w:p w14:paraId="07ED96C8" w14:textId="77777777" w:rsidR="00B42FB9" w:rsidRDefault="00B42FB9" w:rsidP="00B42FB9"/>
    <w:p w14:paraId="6F6E3DE4" w14:textId="2F5167C3" w:rsidR="00B42FB9" w:rsidRDefault="00B42FB9" w:rsidP="00B42FB9">
      <w:proofErr w:type="spellStart"/>
      <w:r>
        <w:t>Профилактика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рахит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кърмачета</w:t>
      </w:r>
      <w:proofErr w:type="spellEnd"/>
      <w:r>
        <w:t xml:space="preserve">: 1 </w:t>
      </w:r>
      <w:proofErr w:type="spellStart"/>
      <w:r>
        <w:t>капка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Вигантол</w:t>
      </w:r>
      <w:proofErr w:type="spellEnd"/>
      <w:r>
        <w:t xml:space="preserve"> (</w:t>
      </w:r>
      <w:proofErr w:type="spellStart"/>
      <w:r>
        <w:t>приблизително</w:t>
      </w:r>
      <w:proofErr w:type="spellEnd"/>
      <w:r>
        <w:t xml:space="preserve"> 500 IU </w:t>
      </w:r>
      <w:proofErr w:type="spellStart"/>
      <w:r>
        <w:t>витамин</w:t>
      </w:r>
      <w:proofErr w:type="spellEnd"/>
      <w:r>
        <w:t xml:space="preserve"> D</w:t>
      </w:r>
      <w:r>
        <w:rPr>
          <w:vertAlign w:val="subscript"/>
        </w:rPr>
        <w:t>3</w:t>
      </w:r>
      <w:r>
        <w:t xml:space="preserve">), </w:t>
      </w:r>
      <w:proofErr w:type="spellStart"/>
      <w:r>
        <w:t>недоносени</w:t>
      </w:r>
      <w:proofErr w:type="spellEnd"/>
      <w:r>
        <w:t xml:space="preserve"> </w:t>
      </w:r>
      <w:proofErr w:type="spellStart"/>
      <w:r>
        <w:t>кърмачета</w:t>
      </w:r>
      <w:proofErr w:type="spellEnd"/>
      <w:r>
        <w:t xml:space="preserve">: 2 </w:t>
      </w:r>
      <w:proofErr w:type="spellStart"/>
      <w:r>
        <w:t>капки</w:t>
      </w:r>
      <w:proofErr w:type="spellEnd"/>
      <w:r>
        <w:t xml:space="preserve"> </w:t>
      </w:r>
      <w:proofErr w:type="spellStart"/>
      <w:r>
        <w:t>дневно</w:t>
      </w:r>
      <w:proofErr w:type="spellEnd"/>
      <w:r>
        <w:t xml:space="preserve"> </w:t>
      </w:r>
      <w:proofErr w:type="spellStart"/>
      <w:r>
        <w:t>Вигантол</w:t>
      </w:r>
      <w:proofErr w:type="spellEnd"/>
      <w:r>
        <w:t xml:space="preserve"> (</w:t>
      </w:r>
      <w:proofErr w:type="spellStart"/>
      <w:r>
        <w:t>приблизително</w:t>
      </w:r>
      <w:proofErr w:type="spellEnd"/>
      <w:r>
        <w:t xml:space="preserve"> 1000 IU </w:t>
      </w:r>
      <w:proofErr w:type="spellStart"/>
      <w:r>
        <w:t>витамин</w:t>
      </w:r>
      <w:proofErr w:type="spellEnd"/>
      <w:r>
        <w:t xml:space="preserve"> D</w:t>
      </w:r>
      <w:r>
        <w:rPr>
          <w:vertAlign w:val="subscript"/>
        </w:rPr>
        <w:t>3</w:t>
      </w:r>
      <w:r>
        <w:t xml:space="preserve">). </w:t>
      </w:r>
      <w:proofErr w:type="spellStart"/>
      <w:r>
        <w:t>Употребата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новородени</w:t>
      </w:r>
      <w:proofErr w:type="spellEnd"/>
      <w:r>
        <w:t xml:space="preserve"> и </w:t>
      </w:r>
      <w:proofErr w:type="spellStart"/>
      <w:r>
        <w:t>кърмачета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наблюдението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лекар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превишавайте</w:t>
      </w:r>
      <w:proofErr w:type="spellEnd"/>
      <w:r>
        <w:t xml:space="preserve">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доза</w:t>
      </w:r>
      <w:proofErr w:type="spellEnd"/>
      <w:r>
        <w:t>.</w:t>
      </w:r>
    </w:p>
    <w:p w14:paraId="61067429" w14:textId="4FA33E4E" w:rsidR="00B42FB9" w:rsidRDefault="00B42FB9" w:rsidP="00B42FB9"/>
    <w:p w14:paraId="0F43792E" w14:textId="500A9CED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Кърмачетата получават </w:t>
      </w: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от втората седмица след раждането им до края на първата им година. Препоръчителни са допълнителни дози </w:t>
      </w: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през втората година от раждането им, особено през зимните месеци. Капките се дават с лъжица мляко или храна. Ако капките се добавят в шише или лъжица храна, трябва да се внимава храната да се консумира изцяло, тъй като в противен случай няма да се приеме цялата доза. Лечение на рахит и </w:t>
      </w:r>
      <w:proofErr w:type="spellStart"/>
      <w:r w:rsidRPr="00B42FB9">
        <w:rPr>
          <w:lang w:val="bg-BG" w:eastAsia="bg-BG"/>
        </w:rPr>
        <w:t>остеомалация</w:t>
      </w:r>
      <w:proofErr w:type="spellEnd"/>
      <w:r w:rsidRPr="00B42FB9">
        <w:rPr>
          <w:lang w:val="bg-BG" w:eastAsia="bg-BG"/>
        </w:rPr>
        <w:t xml:space="preserve">, индуцирани от дефицит на витамин </w:t>
      </w:r>
      <w:r w:rsidRPr="00B42FB9">
        <w:t>D:</w:t>
      </w:r>
    </w:p>
    <w:p w14:paraId="2A8C9BF3" w14:textId="7777777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lastRenderedPageBreak/>
        <w:t xml:space="preserve">2-10 капки дневно </w:t>
      </w: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(приблизително 1000-5000</w:t>
      </w:r>
      <w:r w:rsidRPr="00B42FB9">
        <w:t>IU</w:t>
      </w:r>
      <w:r w:rsidRPr="00B42FB9">
        <w:rPr>
          <w:lang w:val="bg-BG" w:eastAsia="bg-BG"/>
        </w:rPr>
        <w:t xml:space="preserve"> витамин </w:t>
      </w:r>
      <w:r w:rsidRPr="00B42FB9">
        <w:t>D</w:t>
      </w:r>
      <w:r w:rsidRPr="00B42FB9">
        <w:rPr>
          <w:lang w:val="bg-BG" w:eastAsia="bg-BG"/>
        </w:rPr>
        <w:t>з ). Лечението трябва да продължи една година.</w:t>
      </w:r>
    </w:p>
    <w:p w14:paraId="6F4782A1" w14:textId="31C884DD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Поддържащо лечение на остеопороза: 2-6 капки дневно </w:t>
      </w: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(приблизително 1000-3000</w:t>
      </w:r>
      <w:r w:rsidRPr="00B42FB9">
        <w:t>IU</w:t>
      </w:r>
      <w:r w:rsidRPr="00B42FB9">
        <w:rPr>
          <w:lang w:val="bg-BG" w:eastAsia="bg-BG"/>
        </w:rPr>
        <w:t xml:space="preserve"> витамин </w:t>
      </w:r>
      <w:r w:rsidRPr="00B42FB9">
        <w:t>D3</w:t>
      </w:r>
      <w:r w:rsidRPr="00B42FB9">
        <w:rPr>
          <w:lang w:val="bg-BG" w:eastAsia="bg-BG"/>
        </w:rPr>
        <w:t>).</w:t>
      </w:r>
    </w:p>
    <w:p w14:paraId="256B5406" w14:textId="521AE369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Профилактика при предполагаем риск от витамин </w:t>
      </w:r>
      <w:r w:rsidRPr="00B42FB9">
        <w:t xml:space="preserve">D </w:t>
      </w:r>
      <w:r w:rsidRPr="00B42FB9">
        <w:rPr>
          <w:lang w:val="bg-BG" w:eastAsia="bg-BG"/>
        </w:rPr>
        <w:t xml:space="preserve">дефицитно заболяване: 1-2 капки дневно </w:t>
      </w: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( приблизително 500-1000 </w:t>
      </w:r>
      <w:r w:rsidRPr="00B42FB9">
        <w:t xml:space="preserve">IU </w:t>
      </w:r>
      <w:r w:rsidRPr="00B42FB9">
        <w:rPr>
          <w:lang w:val="bg-BG" w:eastAsia="bg-BG"/>
        </w:rPr>
        <w:t xml:space="preserve">витамин </w:t>
      </w:r>
      <w:r w:rsidRPr="00B42FB9">
        <w:t>D</w:t>
      </w:r>
      <w:r w:rsidRPr="00B42FB9">
        <w:rPr>
          <w:lang w:val="bg-BG" w:eastAsia="bg-BG"/>
        </w:rPr>
        <w:t>з ).</w:t>
      </w:r>
    </w:p>
    <w:p w14:paraId="218335A2" w14:textId="6084D8A8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Профилактика на малабсорбция: 6-10 капки дневно </w:t>
      </w: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(еквивалентен на 3000-5000</w:t>
      </w:r>
      <w:r w:rsidRPr="00B42FB9">
        <w:t>IU</w:t>
      </w:r>
      <w:r w:rsidRPr="00B42FB9">
        <w:rPr>
          <w:lang w:val="bg-BG" w:eastAsia="bg-BG"/>
        </w:rPr>
        <w:t xml:space="preserve"> витамин </w:t>
      </w:r>
      <w:r w:rsidRPr="00B42FB9">
        <w:t>D</w:t>
      </w:r>
      <w:r w:rsidRPr="00B42FB9">
        <w:rPr>
          <w:lang w:val="bg-BG" w:eastAsia="bg-BG"/>
        </w:rPr>
        <w:t>з)</w:t>
      </w:r>
    </w:p>
    <w:p w14:paraId="41AD5E52" w14:textId="647C87B4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42FB9">
        <w:rPr>
          <w:lang w:val="bg-BG" w:eastAsia="bg-BG"/>
        </w:rPr>
        <w:t>Педиатрична популация</w:t>
      </w:r>
    </w:p>
    <w:p w14:paraId="33083ACB" w14:textId="3E9F1717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При кърмачета трябва да се избягва едновременната употреба на храни и други продукти или медикаменти, съдържащи витамин </w:t>
      </w:r>
      <w:r w:rsidRPr="00B42FB9">
        <w:t xml:space="preserve">D. </w:t>
      </w:r>
      <w:r w:rsidRPr="00B42FB9">
        <w:rPr>
          <w:lang w:val="bg-BG" w:eastAsia="bg-BG"/>
        </w:rPr>
        <w:t xml:space="preserve">При съмнение да се прецени дали е удачна допълнителна употреба на храни, обогатени с витамини, или на храни и допълнителни медикаменти съдържащи витамин </w:t>
      </w:r>
      <w:r w:rsidRPr="00B42FB9">
        <w:t>D.</w:t>
      </w:r>
    </w:p>
    <w:p w14:paraId="5DC450C4" w14:textId="00DC1FEC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42FB9">
        <w:rPr>
          <w:lang w:val="bg-BG" w:eastAsia="bg-BG"/>
        </w:rPr>
        <w:t xml:space="preserve">Терапията с много високи дози витамин </w:t>
      </w:r>
      <w:r w:rsidRPr="00B42FB9">
        <w:t xml:space="preserve">D, </w:t>
      </w:r>
      <w:r w:rsidRPr="00B42FB9">
        <w:rPr>
          <w:lang w:val="bg-BG" w:eastAsia="bg-BG"/>
        </w:rPr>
        <w:t xml:space="preserve">като </w:t>
      </w:r>
      <w:proofErr w:type="spellStart"/>
      <w:r w:rsidRPr="00B42FB9">
        <w:rPr>
          <w:lang w:val="bg-BG" w:eastAsia="bg-BG"/>
        </w:rPr>
        <w:t>интермитентна</w:t>
      </w:r>
      <w:proofErr w:type="spellEnd"/>
      <w:r w:rsidRPr="00B42FB9">
        <w:rPr>
          <w:lang w:val="bg-BG" w:eastAsia="bg-BG"/>
        </w:rPr>
        <w:t xml:space="preserve"> импулсна терапия, не се препоръчва без предварително да са установени серумните нива на </w:t>
      </w:r>
      <w:r w:rsidRPr="00B42FB9">
        <w:t xml:space="preserve">25-OHD </w:t>
      </w:r>
      <w:r w:rsidRPr="00B42FB9">
        <w:rPr>
          <w:lang w:val="bg-BG" w:eastAsia="bg-BG"/>
        </w:rPr>
        <w:t xml:space="preserve">(25-хидроксивитамин </w:t>
      </w:r>
      <w:r w:rsidRPr="00B42FB9">
        <w:t>D</w:t>
      </w:r>
      <w:r w:rsidRPr="00B42FB9">
        <w:rPr>
          <w:lang w:val="bg-BG" w:eastAsia="bg-BG"/>
        </w:rPr>
        <w:t xml:space="preserve">).Препоръчва се мониториране на серумните нива на </w:t>
      </w:r>
      <w:r w:rsidRPr="00B42FB9">
        <w:t xml:space="preserve">25- OHD </w:t>
      </w:r>
      <w:r w:rsidRPr="00B42FB9">
        <w:rPr>
          <w:lang w:val="bg-BG" w:eastAsia="bg-BG"/>
        </w:rPr>
        <w:t>и калций.</w:t>
      </w:r>
    </w:p>
    <w:p w14:paraId="45227A9D" w14:textId="77777777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Лечение на </w:t>
      </w:r>
      <w:proofErr w:type="spellStart"/>
      <w:r w:rsidRPr="00B42FB9">
        <w:rPr>
          <w:lang w:val="bg-BG" w:eastAsia="bg-BG"/>
        </w:rPr>
        <w:t>хипопаратиреоидизъм</w:t>
      </w:r>
      <w:proofErr w:type="spellEnd"/>
      <w:r w:rsidRPr="00B42FB9">
        <w:rPr>
          <w:lang w:val="bg-BG" w:eastAsia="bg-BG"/>
        </w:rPr>
        <w:t xml:space="preserve"> и </w:t>
      </w:r>
      <w:proofErr w:type="spellStart"/>
      <w:r w:rsidRPr="00B42FB9">
        <w:rPr>
          <w:lang w:val="bg-BG" w:eastAsia="bg-BG"/>
        </w:rPr>
        <w:t>псевдохипопаратиреоидизъм</w:t>
      </w:r>
      <w:proofErr w:type="spellEnd"/>
      <w:r w:rsidRPr="00B42FB9">
        <w:rPr>
          <w:lang w:val="bg-BG" w:eastAsia="bg-BG"/>
        </w:rPr>
        <w:t xml:space="preserve">: </w:t>
      </w:r>
    </w:p>
    <w:p w14:paraId="7D896B98" w14:textId="1371965F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>препоръчителните дози са от 10 000 до 200 000</w:t>
      </w:r>
      <w:r w:rsidRPr="00B42FB9">
        <w:t>IU</w:t>
      </w:r>
      <w:r w:rsidRPr="00B42FB9">
        <w:rPr>
          <w:lang w:val="bg-BG" w:eastAsia="bg-BG"/>
        </w:rPr>
        <w:t xml:space="preserve"> витамин </w:t>
      </w:r>
      <w:r w:rsidRPr="00B42FB9">
        <w:t xml:space="preserve">D </w:t>
      </w:r>
      <w:r w:rsidRPr="00B42FB9">
        <w:rPr>
          <w:lang w:val="bg-BG" w:eastAsia="bg-BG"/>
        </w:rPr>
        <w:t>дневно. В зависимост от нивата на серумния калций дневната доза е 20-40 капки (еквивалентна на 10 000 - 20 000</w:t>
      </w:r>
      <w:r w:rsidRPr="00B42FB9">
        <w:t>IU</w:t>
      </w:r>
      <w:r>
        <w:rPr>
          <w:sz w:val="24"/>
          <w:szCs w:val="24"/>
          <w:lang w:val="bg-BG"/>
        </w:rPr>
        <w:t xml:space="preserve"> </w:t>
      </w:r>
      <w:r w:rsidRPr="00B42FB9">
        <w:rPr>
          <w:lang w:val="bg-BG" w:eastAsia="bg-BG"/>
        </w:rPr>
        <w:t xml:space="preserve">витамин </w:t>
      </w:r>
      <w:r w:rsidRPr="00B42FB9">
        <w:t xml:space="preserve">D3). </w:t>
      </w:r>
      <w:r w:rsidRPr="00B42FB9">
        <w:rPr>
          <w:lang w:val="bg-BG" w:eastAsia="bg-BG"/>
        </w:rPr>
        <w:t>Ако се изискват по-високи дози, е препоръчително да се приложат форми с по-високи дози. Калциевите нива в урината и серума трябва да бъдат проверявани първоначално на всеки 4-6 седмици и след това на всеки 3-6 месеца, като дозата се адаптира към тези нива.</w:t>
      </w:r>
    </w:p>
    <w:p w14:paraId="449A2860" w14:textId="77777777" w:rsidR="00B42FB9" w:rsidRPr="00B42FB9" w:rsidRDefault="00B42FB9" w:rsidP="00B42FB9"/>
    <w:p w14:paraId="3194B1C9" w14:textId="07A28645" w:rsidR="001915B6" w:rsidRDefault="002C50EE" w:rsidP="00C07B84">
      <w:pPr>
        <w:pStyle w:val="Heading2"/>
      </w:pPr>
      <w:r>
        <w:t xml:space="preserve">4.3. </w:t>
      </w:r>
      <w:proofErr w:type="spellStart"/>
      <w:r>
        <w:t>Противопоказания</w:t>
      </w:r>
      <w:proofErr w:type="spellEnd"/>
    </w:p>
    <w:p w14:paraId="7E50B0B8" w14:textId="77777777" w:rsidR="00B42FB9" w:rsidRDefault="00B42FB9" w:rsidP="00B42FB9">
      <w:pPr>
        <w:rPr>
          <w:lang w:val="bg-BG" w:eastAsia="bg-BG"/>
        </w:rPr>
      </w:pPr>
    </w:p>
    <w:p w14:paraId="26533C04" w14:textId="249469CC" w:rsidR="00B42FB9" w:rsidRPr="00B42FB9" w:rsidRDefault="00B42FB9" w:rsidP="00B42FB9">
      <w:pPr>
        <w:rPr>
          <w:sz w:val="24"/>
          <w:szCs w:val="24"/>
          <w:lang w:val="bg-BG"/>
        </w:rPr>
      </w:pPr>
      <w:proofErr w:type="spellStart"/>
      <w:r w:rsidRPr="00B42FB9">
        <w:rPr>
          <w:lang w:val="bg-BG" w:eastAsia="bg-BG"/>
        </w:rPr>
        <w:t>Вигантол</w:t>
      </w:r>
      <w:proofErr w:type="spellEnd"/>
      <w:r w:rsidRPr="00B42FB9">
        <w:rPr>
          <w:lang w:val="bg-BG" w:eastAsia="bg-BG"/>
        </w:rPr>
        <w:t xml:space="preserve"> не трябва да се използва при:</w:t>
      </w:r>
    </w:p>
    <w:p w14:paraId="623223F1" w14:textId="1A687EEC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>свръхчувствителност към активното вещество или към някое от помощните вещества</w:t>
      </w:r>
    </w:p>
    <w:p w14:paraId="3899C11F" w14:textId="19E0859E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B42FB9">
        <w:rPr>
          <w:lang w:val="bg-BG" w:eastAsia="bg-BG"/>
        </w:rPr>
        <w:t>хиперкалциемия</w:t>
      </w:r>
      <w:proofErr w:type="spellEnd"/>
    </w:p>
    <w:p w14:paraId="0105AAAF" w14:textId="77777777" w:rsidR="00B42FB9" w:rsidRPr="00B42FB9" w:rsidRDefault="00B42FB9" w:rsidP="00B42FB9"/>
    <w:p w14:paraId="4B2B2AB1" w14:textId="15A3A390" w:rsidR="00605BCA" w:rsidRDefault="002C50EE" w:rsidP="00C07B84">
      <w:pPr>
        <w:pStyle w:val="Heading2"/>
      </w:pPr>
      <w:r>
        <w:t xml:space="preserve">4.4. </w:t>
      </w:r>
      <w:proofErr w:type="spellStart"/>
      <w:r>
        <w:t>Специални</w:t>
      </w:r>
      <w:proofErr w:type="spellEnd"/>
      <w:r>
        <w:t xml:space="preserve"> </w:t>
      </w:r>
      <w:proofErr w:type="spellStart"/>
      <w:r>
        <w:t>предупреждения</w:t>
      </w:r>
      <w:proofErr w:type="spellEnd"/>
      <w:r>
        <w:t xml:space="preserve"> и </w:t>
      </w:r>
      <w:proofErr w:type="spellStart"/>
      <w:r>
        <w:t>предпазни</w:t>
      </w:r>
      <w:proofErr w:type="spellEnd"/>
      <w:r>
        <w:t xml:space="preserve"> </w:t>
      </w:r>
      <w:proofErr w:type="spellStart"/>
      <w:r>
        <w:t>мерки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употреба</w:t>
      </w:r>
      <w:proofErr w:type="spellEnd"/>
    </w:p>
    <w:p w14:paraId="5B6A7205" w14:textId="77777777" w:rsidR="00B42FB9" w:rsidRDefault="00B42FB9" w:rsidP="00B42FB9">
      <w:pPr>
        <w:rPr>
          <w:lang w:val="bg-BG" w:eastAsia="bg-BG"/>
        </w:rPr>
      </w:pPr>
    </w:p>
    <w:p w14:paraId="7095FEE3" w14:textId="390DA472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>При продължителна употреба на дневни дози, надвишаващи 1000</w:t>
      </w:r>
      <w:r w:rsidRPr="00B42FB9">
        <w:t>IU</w:t>
      </w:r>
      <w:r w:rsidRPr="00B42FB9">
        <w:rPr>
          <w:lang w:val="bg-BG" w:eastAsia="bg-BG"/>
        </w:rPr>
        <w:t xml:space="preserve"> витамин </w:t>
      </w:r>
      <w:r w:rsidRPr="00B42FB9">
        <w:t xml:space="preserve">D, </w:t>
      </w:r>
      <w:r w:rsidRPr="00B42FB9">
        <w:rPr>
          <w:lang w:val="bg-BG" w:eastAsia="bg-BG"/>
        </w:rPr>
        <w:t xml:space="preserve">нивата на серумния калций трябва да бъдат </w:t>
      </w:r>
      <w:proofErr w:type="spellStart"/>
      <w:r w:rsidRPr="00B42FB9">
        <w:rPr>
          <w:lang w:val="bg-BG" w:eastAsia="bg-BG"/>
        </w:rPr>
        <w:t>мониторирани</w:t>
      </w:r>
      <w:proofErr w:type="spellEnd"/>
      <w:r w:rsidRPr="00B42FB9">
        <w:rPr>
          <w:lang w:val="bg-BG" w:eastAsia="bg-BG"/>
        </w:rPr>
        <w:t>, особено при новородени и кърмачета, които могат да реагират по-чувствително на високи дози</w:t>
      </w:r>
    </w:p>
    <w:p w14:paraId="45604A5E" w14:textId="7777777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>Особено внимание трябва да се обърне при пациенти:</w:t>
      </w:r>
    </w:p>
    <w:p w14:paraId="41C699FD" w14:textId="61F7BE02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42FB9">
        <w:rPr>
          <w:lang w:val="bg-BG" w:eastAsia="bg-BG"/>
        </w:rPr>
        <w:t xml:space="preserve">лекувани с </w:t>
      </w:r>
      <w:proofErr w:type="spellStart"/>
      <w:r w:rsidRPr="00B42FB9">
        <w:rPr>
          <w:lang w:val="bg-BG" w:eastAsia="bg-BG"/>
        </w:rPr>
        <w:t>бензотиадиазинови</w:t>
      </w:r>
      <w:proofErr w:type="spellEnd"/>
      <w:r w:rsidRPr="00B42FB9">
        <w:rPr>
          <w:lang w:val="bg-BG" w:eastAsia="bg-BG"/>
        </w:rPr>
        <w:t xml:space="preserve"> производни ( виж т.4.5 )</w:t>
      </w:r>
    </w:p>
    <w:p w14:paraId="216A08C1" w14:textId="7249C583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t xml:space="preserve">c </w:t>
      </w:r>
      <w:r w:rsidRPr="00B42FB9">
        <w:rPr>
          <w:lang w:val="bg-BG" w:eastAsia="bg-BG"/>
        </w:rPr>
        <w:t>анамнеза за бъбречни камъни</w:t>
      </w:r>
    </w:p>
    <w:p w14:paraId="7BDE96CC" w14:textId="098617CD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>със саркоидоза</w:t>
      </w:r>
    </w:p>
    <w:p w14:paraId="62B5A16B" w14:textId="77777777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>по време на бременност ( виж т. 4.6)</w:t>
      </w:r>
    </w:p>
    <w:p w14:paraId="7659F2E6" w14:textId="77777777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когато се приемат допълнителни дози витамин </w:t>
      </w:r>
      <w:r w:rsidRPr="00B42FB9">
        <w:t xml:space="preserve">D </w:t>
      </w:r>
      <w:r w:rsidRPr="00B42FB9">
        <w:rPr>
          <w:lang w:val="bg-BG" w:eastAsia="bg-BG"/>
        </w:rPr>
        <w:t xml:space="preserve">с други лекарствени продукти </w:t>
      </w:r>
    </w:p>
    <w:p w14:paraId="4FA216EE" w14:textId="6CFE644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При </w:t>
      </w:r>
      <w:proofErr w:type="spellStart"/>
      <w:r w:rsidRPr="00B42FB9">
        <w:rPr>
          <w:lang w:val="bg-BG" w:eastAsia="bg-BG"/>
        </w:rPr>
        <w:t>псевдохипопаратиреодизъм</w:t>
      </w:r>
      <w:proofErr w:type="spellEnd"/>
      <w:r w:rsidRPr="00B42FB9">
        <w:rPr>
          <w:lang w:val="bg-BG" w:eastAsia="bg-BG"/>
        </w:rPr>
        <w:t xml:space="preserve"> трябва да се обърне особено внимание на признаците на интоксикация и да се има предвид, че са възможни фази на нормална чувствителност към витамин </w:t>
      </w:r>
      <w:r w:rsidRPr="00B42FB9">
        <w:t xml:space="preserve">D, </w:t>
      </w:r>
      <w:r w:rsidRPr="00B42FB9">
        <w:rPr>
          <w:lang w:val="bg-BG" w:eastAsia="bg-BG"/>
        </w:rPr>
        <w:t>така че изискването съответно се редуцира.</w:t>
      </w:r>
    </w:p>
    <w:p w14:paraId="78BEBB3D" w14:textId="0066D021" w:rsidR="002C50EE" w:rsidRDefault="002C50EE" w:rsidP="002C50EE">
      <w:pPr>
        <w:pStyle w:val="Heading2"/>
      </w:pPr>
      <w:r>
        <w:lastRenderedPageBreak/>
        <w:t xml:space="preserve">4.5.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продукти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взаимодействие</w:t>
      </w:r>
      <w:proofErr w:type="spellEnd"/>
    </w:p>
    <w:p w14:paraId="7EC73E3F" w14:textId="77777777" w:rsidR="00B42FB9" w:rsidRDefault="00B42FB9" w:rsidP="00B42FB9">
      <w:pPr>
        <w:rPr>
          <w:lang w:val="bg-BG" w:eastAsia="bg-BG"/>
        </w:rPr>
      </w:pPr>
    </w:p>
    <w:p w14:paraId="76757CC5" w14:textId="556220B4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proofErr w:type="spellStart"/>
      <w:r w:rsidRPr="00B42FB9">
        <w:rPr>
          <w:lang w:val="bg-BG" w:eastAsia="bg-BG"/>
        </w:rPr>
        <w:t>Фенитоин</w:t>
      </w:r>
      <w:proofErr w:type="spellEnd"/>
      <w:r w:rsidRPr="00B42FB9">
        <w:rPr>
          <w:lang w:val="bg-BG" w:eastAsia="bg-BG"/>
        </w:rPr>
        <w:t xml:space="preserve"> и </w:t>
      </w:r>
      <w:proofErr w:type="spellStart"/>
      <w:r w:rsidRPr="00B42FB9">
        <w:rPr>
          <w:lang w:val="bg-BG" w:eastAsia="bg-BG"/>
        </w:rPr>
        <w:t>барбитурати</w:t>
      </w:r>
      <w:proofErr w:type="spellEnd"/>
      <w:r w:rsidRPr="00B42FB9">
        <w:rPr>
          <w:lang w:val="bg-BG" w:eastAsia="bg-BG"/>
        </w:rPr>
        <w:t xml:space="preserve"> могат да намаляват ефекта на вит. </w:t>
      </w:r>
      <w:r w:rsidRPr="00B42FB9">
        <w:t>D</w:t>
      </w:r>
      <w:r w:rsidRPr="00B42FB9">
        <w:rPr>
          <w:vertAlign w:val="subscript"/>
        </w:rPr>
        <w:t>3</w:t>
      </w:r>
    </w:p>
    <w:p w14:paraId="14408BC7" w14:textId="66B8FDA0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42FB9">
        <w:rPr>
          <w:lang w:val="bg-BG" w:eastAsia="bg-BG"/>
        </w:rPr>
        <w:t xml:space="preserve">Съпътстващото приложение на </w:t>
      </w:r>
      <w:proofErr w:type="spellStart"/>
      <w:r w:rsidRPr="00B42FB9">
        <w:rPr>
          <w:lang w:val="bg-BG" w:eastAsia="bg-BG"/>
        </w:rPr>
        <w:t>глюкокортикостероиди</w:t>
      </w:r>
      <w:proofErr w:type="spellEnd"/>
      <w:r w:rsidRPr="00B42FB9">
        <w:rPr>
          <w:lang w:val="bg-BG" w:eastAsia="bg-BG"/>
        </w:rPr>
        <w:t xml:space="preserve"> може на редуцира ефекта на вит. </w:t>
      </w:r>
      <w:r w:rsidRPr="00B42FB9">
        <w:t>D</w:t>
      </w:r>
      <w:r w:rsidRPr="00B42FB9">
        <w:rPr>
          <w:vertAlign w:val="subscript"/>
        </w:rPr>
        <w:t>3</w:t>
      </w:r>
    </w:p>
    <w:p w14:paraId="0B3F0EAA" w14:textId="26EF8452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42FB9">
        <w:rPr>
          <w:lang w:val="bg-BG" w:eastAsia="bg-BG"/>
        </w:rPr>
        <w:t xml:space="preserve">Съпътстващото приложение със сърдечни </w:t>
      </w:r>
      <w:proofErr w:type="spellStart"/>
      <w:r w:rsidRPr="00B42FB9">
        <w:rPr>
          <w:lang w:val="bg-BG" w:eastAsia="bg-BG"/>
        </w:rPr>
        <w:t>гликозиди</w:t>
      </w:r>
      <w:proofErr w:type="spellEnd"/>
      <w:r w:rsidRPr="00B42FB9">
        <w:rPr>
          <w:lang w:val="bg-BG" w:eastAsia="bg-BG"/>
        </w:rPr>
        <w:t xml:space="preserve"> може да повиши техния токсичен потенциал. При тези пациенти трябва да се извършва ЕКГ и мониторинг на калциевите нива.</w:t>
      </w:r>
    </w:p>
    <w:p w14:paraId="0D223A2C" w14:textId="251DCDD5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42FB9">
        <w:rPr>
          <w:lang w:val="bg-BG" w:eastAsia="bg-BG"/>
        </w:rPr>
        <w:t xml:space="preserve">Едновременната употреба на </w:t>
      </w:r>
      <w:proofErr w:type="spellStart"/>
      <w:r w:rsidRPr="00B42FB9">
        <w:rPr>
          <w:lang w:val="bg-BG" w:eastAsia="bg-BG"/>
        </w:rPr>
        <w:t>бензотиадиазинови</w:t>
      </w:r>
      <w:proofErr w:type="spellEnd"/>
      <w:r w:rsidRPr="00B42FB9">
        <w:rPr>
          <w:lang w:val="bg-BG" w:eastAsia="bg-BG"/>
        </w:rPr>
        <w:t xml:space="preserve"> производни може да повиши риска от </w:t>
      </w:r>
      <w:proofErr w:type="spellStart"/>
      <w:r w:rsidRPr="00B42FB9">
        <w:rPr>
          <w:lang w:val="bg-BG" w:eastAsia="bg-BG"/>
        </w:rPr>
        <w:t>хиперкалциемия</w:t>
      </w:r>
      <w:proofErr w:type="spellEnd"/>
    </w:p>
    <w:p w14:paraId="751E561D" w14:textId="55A66D5F" w:rsidR="00B42FB9" w:rsidRPr="00B42FB9" w:rsidRDefault="00B42FB9" w:rsidP="00B42FB9">
      <w:pPr>
        <w:pStyle w:val="ListParagraph"/>
        <w:numPr>
          <w:ilvl w:val="0"/>
          <w:numId w:val="18"/>
        </w:numPr>
        <w:rPr>
          <w:lang w:val="bg-BG" w:eastAsia="bg-BG"/>
        </w:rPr>
      </w:pPr>
      <w:r w:rsidRPr="00B42FB9">
        <w:rPr>
          <w:lang w:val="bg-BG" w:eastAsia="bg-BG"/>
        </w:rPr>
        <w:t xml:space="preserve">Вит. </w:t>
      </w:r>
      <w:r w:rsidRPr="00B42FB9">
        <w:t>D</w:t>
      </w:r>
      <w:r w:rsidRPr="00B42FB9">
        <w:rPr>
          <w:vertAlign w:val="subscript"/>
        </w:rPr>
        <w:t>3</w:t>
      </w:r>
      <w:r w:rsidRPr="00B42FB9">
        <w:t xml:space="preserve"> </w:t>
      </w:r>
      <w:r w:rsidRPr="00B42FB9">
        <w:rPr>
          <w:lang w:val="bg-BG" w:eastAsia="bg-BG"/>
        </w:rPr>
        <w:t xml:space="preserve">трябва да се комбинира с метаболити или аналози на вит. </w:t>
      </w:r>
      <w:r w:rsidRPr="00B42FB9">
        <w:t xml:space="preserve">D </w:t>
      </w:r>
      <w:r w:rsidRPr="00B42FB9">
        <w:rPr>
          <w:lang w:val="bg-BG" w:eastAsia="bg-BG"/>
        </w:rPr>
        <w:t xml:space="preserve">само в изключителни случаи и при наблюдение на нивата на серумния калций. </w:t>
      </w:r>
      <w:proofErr w:type="spellStart"/>
      <w:r w:rsidRPr="00B42FB9">
        <w:rPr>
          <w:lang w:val="bg-BG" w:eastAsia="bg-BG"/>
        </w:rPr>
        <w:t>Рифампицин</w:t>
      </w:r>
      <w:proofErr w:type="spellEnd"/>
      <w:r w:rsidRPr="00B42FB9">
        <w:rPr>
          <w:lang w:val="bg-BG" w:eastAsia="bg-BG"/>
        </w:rPr>
        <w:t xml:space="preserve"> и </w:t>
      </w:r>
      <w:proofErr w:type="spellStart"/>
      <w:r w:rsidRPr="00B42FB9">
        <w:rPr>
          <w:lang w:val="bg-BG" w:eastAsia="bg-BG"/>
        </w:rPr>
        <w:t>изониазид</w:t>
      </w:r>
      <w:proofErr w:type="spellEnd"/>
      <w:r w:rsidRPr="00B42FB9">
        <w:rPr>
          <w:lang w:val="bg-BG" w:eastAsia="bg-BG"/>
        </w:rPr>
        <w:t xml:space="preserve">: може да увеличат метаболизма на витамин </w:t>
      </w:r>
      <w:r w:rsidRPr="00B42FB9">
        <w:t xml:space="preserve">D </w:t>
      </w:r>
      <w:r w:rsidRPr="00B42FB9">
        <w:rPr>
          <w:lang w:val="bg-BG" w:eastAsia="bg-BG"/>
        </w:rPr>
        <w:t>и да намалят неговата ефективност.</w:t>
      </w:r>
    </w:p>
    <w:p w14:paraId="034B21FD" w14:textId="77777777" w:rsidR="00B42FB9" w:rsidRPr="00B42FB9" w:rsidRDefault="00B42FB9" w:rsidP="00B42FB9"/>
    <w:p w14:paraId="48221AB5" w14:textId="1010E571" w:rsidR="002C50EE" w:rsidRDefault="002C50EE" w:rsidP="002C50EE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 xml:space="preserve">, </w:t>
      </w:r>
      <w:proofErr w:type="spellStart"/>
      <w:r>
        <w:t>бременност</w:t>
      </w:r>
      <w:proofErr w:type="spellEnd"/>
      <w:r>
        <w:t xml:space="preserve"> и </w:t>
      </w:r>
      <w:proofErr w:type="spellStart"/>
      <w:r>
        <w:t>кърмене</w:t>
      </w:r>
      <w:proofErr w:type="spellEnd"/>
    </w:p>
    <w:p w14:paraId="23C7445E" w14:textId="77777777" w:rsidR="00B42FB9" w:rsidRDefault="00B42FB9" w:rsidP="00B42FB9">
      <w:pPr>
        <w:rPr>
          <w:lang w:val="bg-BG" w:eastAsia="bg-BG"/>
        </w:rPr>
      </w:pPr>
    </w:p>
    <w:p w14:paraId="0C8BC323" w14:textId="5899EA88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По време на бременност е необходим достатъчен прием на витамин </w:t>
      </w:r>
      <w:r w:rsidRPr="00B42FB9">
        <w:t>D</w:t>
      </w:r>
    </w:p>
    <w:p w14:paraId="4366C4D5" w14:textId="77777777" w:rsidR="00B42FB9" w:rsidRDefault="00B42FB9" w:rsidP="00B42FB9">
      <w:pPr>
        <w:rPr>
          <w:lang w:val="bg-BG" w:eastAsia="bg-BG"/>
        </w:rPr>
      </w:pPr>
    </w:p>
    <w:p w14:paraId="68C9CC43" w14:textId="5E9D71F3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>След предозиране (</w:t>
      </w:r>
      <w:proofErr w:type="spellStart"/>
      <w:r w:rsidRPr="00B42FB9">
        <w:rPr>
          <w:lang w:val="bg-BG" w:eastAsia="bg-BG"/>
        </w:rPr>
        <w:t>хиперкалциемия</w:t>
      </w:r>
      <w:proofErr w:type="spellEnd"/>
      <w:r w:rsidRPr="00B42FB9">
        <w:rPr>
          <w:lang w:val="bg-BG" w:eastAsia="bg-BG"/>
        </w:rPr>
        <w:t xml:space="preserve">, преминаване на метаболити на витамин </w:t>
      </w:r>
      <w:r w:rsidRPr="00B42FB9">
        <w:t xml:space="preserve">D </w:t>
      </w:r>
      <w:r w:rsidRPr="00B42FB9">
        <w:rPr>
          <w:lang w:val="bg-BG" w:eastAsia="bg-BG"/>
        </w:rPr>
        <w:t xml:space="preserve">през плацентата към плода ) може да води до следните тератогенни рискове: физическо и умствено изоставане, специални форми на </w:t>
      </w:r>
      <w:proofErr w:type="spellStart"/>
      <w:r w:rsidRPr="00B42FB9">
        <w:rPr>
          <w:lang w:val="bg-BG" w:eastAsia="bg-BG"/>
        </w:rPr>
        <w:t>стеноза</w:t>
      </w:r>
      <w:proofErr w:type="spellEnd"/>
      <w:r w:rsidRPr="00B42FB9">
        <w:rPr>
          <w:lang w:val="bg-BG" w:eastAsia="bg-BG"/>
        </w:rPr>
        <w:t xml:space="preserve"> на аортата. Витамин </w:t>
      </w:r>
      <w:r w:rsidRPr="00B42FB9">
        <w:t xml:space="preserve">D </w:t>
      </w:r>
      <w:r w:rsidRPr="00B42FB9">
        <w:rPr>
          <w:lang w:val="bg-BG" w:eastAsia="bg-BG"/>
        </w:rPr>
        <w:t>и неговите метаболити преминават през кърмата</w:t>
      </w:r>
      <w:r>
        <w:rPr>
          <w:lang w:val="bg-BG" w:eastAsia="bg-BG"/>
        </w:rPr>
        <w:t>.</w:t>
      </w:r>
    </w:p>
    <w:p w14:paraId="20AE092C" w14:textId="77777777" w:rsidR="00B42FB9" w:rsidRPr="00B42FB9" w:rsidRDefault="00B42FB9" w:rsidP="00B42FB9">
      <w:pPr>
        <w:rPr>
          <w:sz w:val="24"/>
          <w:szCs w:val="24"/>
          <w:lang w:val="bg-BG"/>
        </w:rPr>
      </w:pPr>
    </w:p>
    <w:p w14:paraId="733ED8D8" w14:textId="4B8EC071" w:rsidR="00B42FB9" w:rsidRDefault="00B42FB9" w:rsidP="00B42FB9">
      <w:pPr>
        <w:rPr>
          <w:lang w:val="bg-BG" w:eastAsia="bg-BG"/>
        </w:rPr>
      </w:pPr>
      <w:r w:rsidRPr="00B42FB9">
        <w:rPr>
          <w:lang w:val="bg-BG" w:eastAsia="bg-BG"/>
        </w:rPr>
        <w:t>Предозиране, предизвикано само от кърмата, не е наблюдавано.</w:t>
      </w:r>
    </w:p>
    <w:p w14:paraId="3E798212" w14:textId="77777777" w:rsidR="00B42FB9" w:rsidRPr="00B42FB9" w:rsidRDefault="00B42FB9" w:rsidP="00B42FB9"/>
    <w:p w14:paraId="5F675BDB" w14:textId="59296918" w:rsidR="002C50EE" w:rsidRDefault="002C50EE" w:rsidP="002C50EE">
      <w:pPr>
        <w:pStyle w:val="Heading2"/>
      </w:pPr>
      <w:r>
        <w:t xml:space="preserve">4.7. </w:t>
      </w:r>
      <w:proofErr w:type="spellStart"/>
      <w:r>
        <w:t>Ефекти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способността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шофиране</w:t>
      </w:r>
      <w:proofErr w:type="spellEnd"/>
      <w:r>
        <w:t xml:space="preserve"> и </w:t>
      </w:r>
      <w:proofErr w:type="spellStart"/>
      <w:r>
        <w:t>работа</w:t>
      </w:r>
      <w:proofErr w:type="spellEnd"/>
      <w:r>
        <w:t xml:space="preserve"> с </w:t>
      </w:r>
      <w:proofErr w:type="spellStart"/>
      <w:r>
        <w:t>машини</w:t>
      </w:r>
      <w:proofErr w:type="spellEnd"/>
    </w:p>
    <w:p w14:paraId="6F9DE1A3" w14:textId="77777777" w:rsidR="00B42FB9" w:rsidRDefault="00B42FB9" w:rsidP="00B42FB9">
      <w:pPr>
        <w:rPr>
          <w:lang w:val="bg-BG" w:eastAsia="bg-BG"/>
        </w:rPr>
      </w:pPr>
    </w:p>
    <w:p w14:paraId="6D9A49FC" w14:textId="531534F8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>Не са провеждани проучвания за ефектите върху способността за шофиране</w:t>
      </w:r>
    </w:p>
    <w:p w14:paraId="24B19430" w14:textId="77777777" w:rsidR="00B42FB9" w:rsidRPr="00B42FB9" w:rsidRDefault="00B42FB9" w:rsidP="00B42FB9"/>
    <w:p w14:paraId="1B3BD30D" w14:textId="16E6185D" w:rsidR="002C50EE" w:rsidRDefault="002C50EE" w:rsidP="002C50EE">
      <w:pPr>
        <w:pStyle w:val="Heading2"/>
      </w:pPr>
      <w:r>
        <w:t xml:space="preserve">4.8. </w:t>
      </w:r>
      <w:proofErr w:type="spellStart"/>
      <w:r>
        <w:t>Нежелани</w:t>
      </w:r>
      <w:proofErr w:type="spellEnd"/>
      <w:r>
        <w:t xml:space="preserve"> </w:t>
      </w:r>
      <w:proofErr w:type="spellStart"/>
      <w:r>
        <w:t>лекарствени</w:t>
      </w:r>
      <w:proofErr w:type="spellEnd"/>
      <w:r>
        <w:t xml:space="preserve"> </w:t>
      </w:r>
      <w:proofErr w:type="spellStart"/>
      <w:r>
        <w:t>реакции</w:t>
      </w:r>
      <w:proofErr w:type="spellEnd"/>
    </w:p>
    <w:p w14:paraId="3BB0FEA7" w14:textId="77777777" w:rsidR="00B42FB9" w:rsidRDefault="00B42FB9" w:rsidP="00B42FB9">
      <w:pPr>
        <w:rPr>
          <w:b/>
          <w:bCs/>
          <w:lang w:val="bg-BG" w:eastAsia="bg-BG"/>
        </w:rPr>
      </w:pPr>
    </w:p>
    <w:p w14:paraId="37039E1D" w14:textId="20D58DE3" w:rsidR="00B42FB9" w:rsidRPr="00B42FB9" w:rsidRDefault="00B42FB9" w:rsidP="00B42FB9">
      <w:pPr>
        <w:rPr>
          <w:b/>
          <w:bCs/>
          <w:sz w:val="24"/>
          <w:szCs w:val="24"/>
          <w:lang w:val="bg-BG"/>
        </w:rPr>
      </w:pPr>
      <w:r w:rsidRPr="00B42FB9">
        <w:rPr>
          <w:b/>
          <w:bCs/>
          <w:lang w:val="bg-BG" w:eastAsia="bg-BG"/>
        </w:rPr>
        <w:t>Честотата на нежеланите лекарствени реакции не е известна, което да позволи оценяване на честотата</w:t>
      </w:r>
    </w:p>
    <w:p w14:paraId="14415BDD" w14:textId="1026278F" w:rsidR="00B42FB9" w:rsidRDefault="00B42FB9" w:rsidP="00B42FB9"/>
    <w:p w14:paraId="401B7E83" w14:textId="77777777" w:rsidR="00B42FB9" w:rsidRPr="00B42FB9" w:rsidRDefault="00B42FB9" w:rsidP="00B42FB9">
      <w:pPr>
        <w:rPr>
          <w:b/>
          <w:bCs/>
          <w:sz w:val="24"/>
          <w:szCs w:val="24"/>
          <w:lang w:val="bg-BG"/>
        </w:rPr>
      </w:pPr>
      <w:bookmarkStart w:id="1" w:name="bookmark0"/>
      <w:r w:rsidRPr="00B42FB9">
        <w:rPr>
          <w:b/>
          <w:bCs/>
          <w:lang w:val="bg-BG" w:eastAsia="bg-BG"/>
        </w:rPr>
        <w:t>Стомашно-чревни нарушения:</w:t>
      </w:r>
      <w:bookmarkEnd w:id="1"/>
    </w:p>
    <w:p w14:paraId="79D13AC2" w14:textId="7777777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Стомашно-чревни оплаквания като запек, </w:t>
      </w:r>
      <w:proofErr w:type="spellStart"/>
      <w:r w:rsidRPr="00B42FB9">
        <w:rPr>
          <w:lang w:val="bg-BG" w:eastAsia="bg-BG"/>
        </w:rPr>
        <w:t>метеоризъм</w:t>
      </w:r>
      <w:proofErr w:type="spellEnd"/>
      <w:r w:rsidRPr="00B42FB9">
        <w:rPr>
          <w:lang w:val="bg-BG" w:eastAsia="bg-BG"/>
        </w:rPr>
        <w:t>, гадене, коремна болка или диария.</w:t>
      </w:r>
    </w:p>
    <w:p w14:paraId="7668901A" w14:textId="77777777" w:rsidR="00B42FB9" w:rsidRDefault="00B42FB9" w:rsidP="00B42FB9">
      <w:pPr>
        <w:rPr>
          <w:lang w:val="bg-BG" w:eastAsia="bg-BG"/>
        </w:rPr>
      </w:pPr>
      <w:bookmarkStart w:id="2" w:name="bookmark2"/>
    </w:p>
    <w:p w14:paraId="6AC81624" w14:textId="57872378" w:rsidR="00B42FB9" w:rsidRPr="00B42FB9" w:rsidRDefault="00B42FB9" w:rsidP="00B42FB9">
      <w:pPr>
        <w:rPr>
          <w:b/>
          <w:bCs/>
          <w:sz w:val="24"/>
          <w:szCs w:val="24"/>
          <w:lang w:val="bg-BG"/>
        </w:rPr>
      </w:pPr>
      <w:r w:rsidRPr="00B42FB9">
        <w:rPr>
          <w:b/>
          <w:bCs/>
          <w:lang w:val="bg-BG" w:eastAsia="bg-BG"/>
        </w:rPr>
        <w:t>Нарушения на кожата и подкожната тъкан:</w:t>
      </w:r>
      <w:bookmarkEnd w:id="2"/>
    </w:p>
    <w:p w14:paraId="1906520D" w14:textId="7777777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Реакции на свръхчувствителност като </w:t>
      </w:r>
      <w:proofErr w:type="spellStart"/>
      <w:r w:rsidRPr="00B42FB9">
        <w:rPr>
          <w:lang w:val="bg-BG" w:eastAsia="bg-BG"/>
        </w:rPr>
        <w:t>пруритус</w:t>
      </w:r>
      <w:proofErr w:type="spellEnd"/>
      <w:r w:rsidRPr="00B42FB9">
        <w:rPr>
          <w:lang w:val="bg-BG" w:eastAsia="bg-BG"/>
        </w:rPr>
        <w:t>, обрив или уртикария</w:t>
      </w:r>
    </w:p>
    <w:p w14:paraId="0AE407BF" w14:textId="77777777" w:rsidR="00B42FB9" w:rsidRDefault="00B42FB9" w:rsidP="00B42FB9">
      <w:pPr>
        <w:rPr>
          <w:lang w:val="bg-BG" w:eastAsia="bg-BG"/>
        </w:rPr>
      </w:pPr>
      <w:bookmarkStart w:id="3" w:name="bookmark4"/>
    </w:p>
    <w:p w14:paraId="228670A6" w14:textId="246D29A9" w:rsidR="00B42FB9" w:rsidRPr="00B42FB9" w:rsidRDefault="00B42FB9" w:rsidP="00B42FB9">
      <w:pPr>
        <w:rPr>
          <w:b/>
          <w:bCs/>
          <w:sz w:val="24"/>
          <w:szCs w:val="24"/>
          <w:lang w:val="bg-BG"/>
        </w:rPr>
      </w:pPr>
      <w:r w:rsidRPr="00B42FB9">
        <w:rPr>
          <w:b/>
          <w:bCs/>
          <w:lang w:val="bg-BG" w:eastAsia="bg-BG"/>
        </w:rPr>
        <w:t>Нарушения на метаболизма и храненето:</w:t>
      </w:r>
      <w:bookmarkEnd w:id="3"/>
    </w:p>
    <w:p w14:paraId="1A9C656D" w14:textId="77777777" w:rsidR="00B42FB9" w:rsidRPr="00B42FB9" w:rsidRDefault="00B42FB9" w:rsidP="00B42FB9">
      <w:pPr>
        <w:rPr>
          <w:sz w:val="24"/>
          <w:szCs w:val="24"/>
          <w:lang w:val="bg-BG"/>
        </w:rPr>
      </w:pPr>
      <w:proofErr w:type="spellStart"/>
      <w:r w:rsidRPr="00B42FB9">
        <w:rPr>
          <w:lang w:val="bg-BG" w:eastAsia="bg-BG"/>
        </w:rPr>
        <w:t>Хиперкалцемия</w:t>
      </w:r>
      <w:proofErr w:type="spellEnd"/>
      <w:r w:rsidRPr="00B42FB9">
        <w:rPr>
          <w:lang w:val="bg-BG" w:eastAsia="bg-BG"/>
        </w:rPr>
        <w:t xml:space="preserve"> и </w:t>
      </w:r>
      <w:proofErr w:type="spellStart"/>
      <w:r w:rsidRPr="00B42FB9">
        <w:rPr>
          <w:lang w:val="bg-BG" w:eastAsia="bg-BG"/>
        </w:rPr>
        <w:t>хиперкалциурия</w:t>
      </w:r>
      <w:proofErr w:type="spellEnd"/>
      <w:r w:rsidRPr="00B42FB9">
        <w:rPr>
          <w:lang w:val="bg-BG" w:eastAsia="bg-BG"/>
        </w:rPr>
        <w:t xml:space="preserve"> при продължително приемане на високи дози</w:t>
      </w:r>
    </w:p>
    <w:p w14:paraId="22C85917" w14:textId="77777777" w:rsidR="00B42FB9" w:rsidRPr="00B42FB9" w:rsidRDefault="00B42FB9" w:rsidP="00B42FB9"/>
    <w:p w14:paraId="611C622D" w14:textId="78C04FA6" w:rsidR="002C50EE" w:rsidRDefault="002C50EE" w:rsidP="002C50EE">
      <w:pPr>
        <w:pStyle w:val="Heading2"/>
      </w:pPr>
      <w:r>
        <w:lastRenderedPageBreak/>
        <w:t xml:space="preserve">4.9. </w:t>
      </w:r>
      <w:proofErr w:type="spellStart"/>
      <w:r>
        <w:t>Предозиране</w:t>
      </w:r>
      <w:proofErr w:type="spellEnd"/>
    </w:p>
    <w:p w14:paraId="6372BAD4" w14:textId="77777777" w:rsidR="00B42FB9" w:rsidRDefault="00B42FB9" w:rsidP="00B42FB9">
      <w:pPr>
        <w:rPr>
          <w:lang w:val="bg-BG" w:eastAsia="bg-BG"/>
        </w:rPr>
      </w:pPr>
    </w:p>
    <w:p w14:paraId="204CF3EC" w14:textId="0898A807" w:rsidR="00B42FB9" w:rsidRPr="00B42FB9" w:rsidRDefault="00B42FB9" w:rsidP="00B42FB9">
      <w:pPr>
        <w:rPr>
          <w:sz w:val="24"/>
          <w:szCs w:val="24"/>
          <w:u w:val="single"/>
          <w:lang w:val="bg-BG"/>
        </w:rPr>
      </w:pPr>
      <w:r w:rsidRPr="00B42FB9">
        <w:rPr>
          <w:u w:val="single"/>
          <w:lang w:val="bg-BG" w:eastAsia="bg-BG"/>
        </w:rPr>
        <w:t>Симптоми</w:t>
      </w:r>
    </w:p>
    <w:p w14:paraId="43366805" w14:textId="22D2FE18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Предозирането изисква мерки за лечение на често продължителна и при някои обстоятелства смъртоносна </w:t>
      </w:r>
      <w:proofErr w:type="spellStart"/>
      <w:r w:rsidRPr="00B42FB9">
        <w:rPr>
          <w:lang w:val="bg-BG" w:eastAsia="bg-BG"/>
        </w:rPr>
        <w:t>хиперкалциемия</w:t>
      </w:r>
      <w:proofErr w:type="spellEnd"/>
      <w:r w:rsidRPr="00B42FB9">
        <w:rPr>
          <w:lang w:val="bg-BG" w:eastAsia="bg-BG"/>
        </w:rPr>
        <w:t>.</w:t>
      </w:r>
    </w:p>
    <w:p w14:paraId="670D6553" w14:textId="77777777" w:rsidR="00B42FB9" w:rsidRDefault="00B42FB9" w:rsidP="00B42FB9">
      <w:pPr>
        <w:rPr>
          <w:lang w:val="bg-BG" w:eastAsia="bg-BG"/>
        </w:rPr>
      </w:pPr>
    </w:p>
    <w:p w14:paraId="6C0F8CD6" w14:textId="7C65C397" w:rsidR="00B42FB9" w:rsidRDefault="00B42FB9" w:rsidP="00B42FB9">
      <w:pPr>
        <w:rPr>
          <w:lang w:val="bg-BG" w:eastAsia="bg-BG"/>
        </w:rPr>
      </w:pPr>
      <w:r w:rsidRPr="00B42FB9">
        <w:rPr>
          <w:lang w:val="bg-BG" w:eastAsia="bg-BG"/>
        </w:rPr>
        <w:t xml:space="preserve">Симптомите са слабо характерни и се проявяват като анорексия, главоболие, повдигане, повръщане, констипация, жажда, </w:t>
      </w:r>
      <w:proofErr w:type="spellStart"/>
      <w:r w:rsidRPr="00B42FB9">
        <w:rPr>
          <w:lang w:val="bg-BG" w:eastAsia="bg-BG"/>
        </w:rPr>
        <w:t>полиурия</w:t>
      </w:r>
      <w:proofErr w:type="spellEnd"/>
      <w:r w:rsidRPr="00B42FB9">
        <w:rPr>
          <w:lang w:val="bg-BG" w:eastAsia="bg-BG"/>
        </w:rPr>
        <w:t xml:space="preserve">, мускулна слабост, </w:t>
      </w:r>
      <w:proofErr w:type="spellStart"/>
      <w:r w:rsidRPr="00B42FB9">
        <w:rPr>
          <w:lang w:val="bg-BG" w:eastAsia="bg-BG"/>
        </w:rPr>
        <w:t>адинамия</w:t>
      </w:r>
      <w:proofErr w:type="spellEnd"/>
      <w:r w:rsidRPr="00B42FB9">
        <w:rPr>
          <w:lang w:val="bg-BG" w:eastAsia="bg-BG"/>
        </w:rPr>
        <w:t xml:space="preserve">, дехидратация. </w:t>
      </w:r>
    </w:p>
    <w:p w14:paraId="19416601" w14:textId="2B9ACE1A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Типичните биохимични находки, включват </w:t>
      </w:r>
      <w:proofErr w:type="spellStart"/>
      <w:r w:rsidRPr="00B42FB9">
        <w:rPr>
          <w:lang w:val="bg-BG" w:eastAsia="bg-BG"/>
        </w:rPr>
        <w:t>хиперкалциемия</w:t>
      </w:r>
      <w:proofErr w:type="spellEnd"/>
      <w:r w:rsidRPr="00B42FB9">
        <w:rPr>
          <w:lang w:val="bg-BG" w:eastAsia="bg-BG"/>
        </w:rPr>
        <w:t xml:space="preserve">, </w:t>
      </w:r>
      <w:proofErr w:type="spellStart"/>
      <w:r w:rsidRPr="00B42FB9">
        <w:rPr>
          <w:lang w:val="bg-BG" w:eastAsia="bg-BG"/>
        </w:rPr>
        <w:t>хиперкалциурия</w:t>
      </w:r>
      <w:proofErr w:type="spellEnd"/>
      <w:r w:rsidRPr="00B42FB9">
        <w:rPr>
          <w:lang w:val="bg-BG" w:eastAsia="bg-BG"/>
        </w:rPr>
        <w:t xml:space="preserve">, както и повишени серумни концентрации на </w:t>
      </w:r>
      <w:r w:rsidRPr="00B42FB9">
        <w:t>25-hydroxycholecalciferol.</w:t>
      </w:r>
    </w:p>
    <w:p w14:paraId="2CF17D0B" w14:textId="77777777" w:rsidR="00B42FB9" w:rsidRDefault="00B42FB9" w:rsidP="00B42FB9">
      <w:pPr>
        <w:rPr>
          <w:lang w:val="bg-BG" w:eastAsia="bg-BG"/>
        </w:rPr>
      </w:pPr>
    </w:p>
    <w:p w14:paraId="7CF2F433" w14:textId="43765040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Освен това продължителното предозиране може да доведе до </w:t>
      </w:r>
      <w:proofErr w:type="spellStart"/>
      <w:r w:rsidRPr="00B42FB9">
        <w:rPr>
          <w:lang w:val="bg-BG" w:eastAsia="bg-BG"/>
        </w:rPr>
        <w:t>калцифициране</w:t>
      </w:r>
      <w:proofErr w:type="spellEnd"/>
      <w:r w:rsidRPr="00B42FB9">
        <w:rPr>
          <w:lang w:val="bg-BG" w:eastAsia="bg-BG"/>
        </w:rPr>
        <w:t xml:space="preserve"> на кръвоносните съдове и тъканите.</w:t>
      </w:r>
    </w:p>
    <w:p w14:paraId="5E7B5ADB" w14:textId="77777777" w:rsidR="00B42FB9" w:rsidRDefault="00B42FB9" w:rsidP="00B42FB9">
      <w:pPr>
        <w:rPr>
          <w:lang w:val="bg-BG" w:eastAsia="bg-BG"/>
        </w:rPr>
      </w:pPr>
    </w:p>
    <w:p w14:paraId="0F8F3F71" w14:textId="07F50988" w:rsidR="00B42FB9" w:rsidRPr="00B42FB9" w:rsidRDefault="00B42FB9" w:rsidP="00B42FB9">
      <w:pPr>
        <w:rPr>
          <w:sz w:val="24"/>
          <w:szCs w:val="24"/>
          <w:u w:val="single"/>
          <w:lang w:val="bg-BG"/>
        </w:rPr>
      </w:pPr>
      <w:r w:rsidRPr="00B42FB9">
        <w:rPr>
          <w:u w:val="single"/>
          <w:lang w:val="bg-BG" w:eastAsia="bg-BG"/>
        </w:rPr>
        <w:t>Лечение</w:t>
      </w:r>
    </w:p>
    <w:p w14:paraId="05818FB8" w14:textId="32DC57C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При предозиране с витамин </w:t>
      </w:r>
      <w:r w:rsidRPr="00B42FB9">
        <w:t xml:space="preserve">D, </w:t>
      </w:r>
      <w:r w:rsidRPr="00B42FB9">
        <w:rPr>
          <w:lang w:val="bg-BG" w:eastAsia="bg-BG"/>
        </w:rPr>
        <w:t xml:space="preserve">лечението трябва да се преустанови и да се предприеме </w:t>
      </w:r>
      <w:proofErr w:type="spellStart"/>
      <w:r w:rsidRPr="00B42FB9">
        <w:rPr>
          <w:lang w:val="bg-BG" w:eastAsia="bg-BG"/>
        </w:rPr>
        <w:t>рехидратация</w:t>
      </w:r>
      <w:proofErr w:type="spellEnd"/>
      <w:r>
        <w:rPr>
          <w:lang w:val="bg-BG" w:eastAsia="bg-BG"/>
        </w:rPr>
        <w:t>.</w:t>
      </w:r>
    </w:p>
    <w:p w14:paraId="56734C20" w14:textId="7777777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В зависимост от степента на </w:t>
      </w:r>
      <w:proofErr w:type="spellStart"/>
      <w:r w:rsidRPr="00B42FB9">
        <w:rPr>
          <w:lang w:val="bg-BG" w:eastAsia="bg-BG"/>
        </w:rPr>
        <w:t>хиперкалциемията</w:t>
      </w:r>
      <w:proofErr w:type="spellEnd"/>
      <w:r w:rsidRPr="00B42FB9">
        <w:rPr>
          <w:lang w:val="bg-BG" w:eastAsia="bg-BG"/>
        </w:rPr>
        <w:t xml:space="preserve"> могат се вземат следните мерки, посочени във възходящ ред:</w:t>
      </w:r>
    </w:p>
    <w:p w14:paraId="203C5001" w14:textId="64F49FA6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>диета, бедна на калций или диета, изключваща калций</w:t>
      </w:r>
    </w:p>
    <w:p w14:paraId="44D5EAD0" w14:textId="5BC0D84A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proofErr w:type="spellStart"/>
      <w:r w:rsidRPr="00B42FB9">
        <w:rPr>
          <w:lang w:val="bg-BG" w:eastAsia="bg-BG"/>
        </w:rPr>
        <w:t>глюкокортикостероиди</w:t>
      </w:r>
      <w:proofErr w:type="spellEnd"/>
    </w:p>
    <w:p w14:paraId="5D9E0D18" w14:textId="5766E25A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>приемане на течности</w:t>
      </w:r>
    </w:p>
    <w:p w14:paraId="13694244" w14:textId="557D452E" w:rsidR="00B42FB9" w:rsidRPr="00B42FB9" w:rsidRDefault="00B42FB9" w:rsidP="00B42FB9">
      <w:pPr>
        <w:pStyle w:val="ListParagraph"/>
        <w:numPr>
          <w:ilvl w:val="0"/>
          <w:numId w:val="18"/>
        </w:num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засилване на </w:t>
      </w:r>
      <w:proofErr w:type="spellStart"/>
      <w:r w:rsidRPr="00B42FB9">
        <w:rPr>
          <w:lang w:val="bg-BG" w:eastAsia="bg-BG"/>
        </w:rPr>
        <w:t>диурезата</w:t>
      </w:r>
      <w:proofErr w:type="spellEnd"/>
      <w:r w:rsidRPr="00B42FB9">
        <w:rPr>
          <w:lang w:val="bg-BG" w:eastAsia="bg-BG"/>
        </w:rPr>
        <w:t xml:space="preserve"> </w:t>
      </w:r>
      <w:proofErr w:type="spellStart"/>
      <w:r w:rsidRPr="00B42FB9">
        <w:rPr>
          <w:lang w:val="bg-BG" w:eastAsia="bg-BG"/>
        </w:rPr>
        <w:t>калцитонин</w:t>
      </w:r>
      <w:proofErr w:type="spellEnd"/>
    </w:p>
    <w:p w14:paraId="04BC7A7C" w14:textId="481FD76F" w:rsidR="00B42FB9" w:rsidRPr="00B42FB9" w:rsidRDefault="00B42FB9" w:rsidP="00B42FB9">
      <w:r w:rsidRPr="00B42FB9">
        <w:rPr>
          <w:lang w:val="bg-BG" w:eastAsia="bg-BG"/>
        </w:rPr>
        <w:t>Не съществува специфичен антидот.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2F1CA24E" w14:textId="4A2029D6" w:rsidR="002C50EE" w:rsidRDefault="002C50EE" w:rsidP="002C50EE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42B495E7" w14:textId="77777777" w:rsidR="00B42FB9" w:rsidRDefault="00B42FB9" w:rsidP="00B42FB9"/>
    <w:p w14:paraId="496AB75A" w14:textId="515B9D76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t xml:space="preserve">Cholecalciferol </w:t>
      </w:r>
      <w:proofErr w:type="gramStart"/>
      <w:r w:rsidRPr="00B42FB9">
        <w:rPr>
          <w:lang w:val="bg-BG" w:eastAsia="bg-BG"/>
        </w:rPr>
        <w:t>( витамин</w:t>
      </w:r>
      <w:proofErr w:type="gramEnd"/>
      <w:r w:rsidRPr="00B42FB9">
        <w:rPr>
          <w:lang w:val="bg-BG" w:eastAsia="bg-BG"/>
        </w:rPr>
        <w:t xml:space="preserve"> </w:t>
      </w:r>
      <w:r w:rsidRPr="00B42FB9">
        <w:t xml:space="preserve">D3 </w:t>
      </w:r>
      <w:r w:rsidRPr="00B42FB9">
        <w:rPr>
          <w:lang w:val="bg-BG" w:eastAsia="bg-BG"/>
        </w:rPr>
        <w:t xml:space="preserve">) се образува в кожата при излагане на </w:t>
      </w:r>
      <w:r w:rsidRPr="00B42FB9">
        <w:t xml:space="preserve">UV </w:t>
      </w:r>
      <w:r w:rsidRPr="00B42FB9">
        <w:rPr>
          <w:lang w:val="bg-BG" w:eastAsia="bg-BG"/>
        </w:rPr>
        <w:t>светлина и се трансформира в биологично активната си форма</w:t>
      </w:r>
    </w:p>
    <w:p w14:paraId="4EF1C797" w14:textId="24E7972F" w:rsidR="00B42FB9" w:rsidRDefault="00B42FB9" w:rsidP="00B42FB9">
      <w:pPr>
        <w:rPr>
          <w:lang w:val="bg-BG" w:eastAsia="bg-BG"/>
        </w:rPr>
      </w:pPr>
      <w:r w:rsidRPr="00B42FB9">
        <w:rPr>
          <w:lang w:val="bg-BG" w:eastAsia="bg-BG"/>
        </w:rPr>
        <w:t xml:space="preserve">1,25 - </w:t>
      </w:r>
      <w:r w:rsidRPr="00B42FB9">
        <w:t xml:space="preserve">dihydroxycholecalciferol, </w:t>
      </w:r>
      <w:r w:rsidRPr="00B42FB9">
        <w:rPr>
          <w:lang w:val="bg-BG" w:eastAsia="bg-BG"/>
        </w:rPr>
        <w:t xml:space="preserve">след две </w:t>
      </w:r>
      <w:proofErr w:type="spellStart"/>
      <w:r w:rsidRPr="00B42FB9">
        <w:rPr>
          <w:lang w:val="bg-BG" w:eastAsia="bg-BG"/>
        </w:rPr>
        <w:t>хидроксилиращи</w:t>
      </w:r>
      <w:proofErr w:type="spellEnd"/>
      <w:r w:rsidRPr="00B42FB9">
        <w:rPr>
          <w:lang w:val="bg-BG" w:eastAsia="bg-BG"/>
        </w:rPr>
        <w:t xml:space="preserve"> реакции, първо в черния дроб (позиция 25) и след това в бъбречната тъкан (позиция 1). Биологично активната форма на витамин </w:t>
      </w:r>
      <w:r w:rsidRPr="00B42FB9">
        <w:t>D</w:t>
      </w:r>
      <w:r w:rsidRPr="00B42FB9">
        <w:rPr>
          <w:vertAlign w:val="subscript"/>
        </w:rPr>
        <w:t>3</w:t>
      </w:r>
      <w:r w:rsidRPr="00B42FB9">
        <w:t xml:space="preserve"> </w:t>
      </w:r>
      <w:r w:rsidRPr="00B42FB9">
        <w:rPr>
          <w:lang w:val="bg-BG" w:eastAsia="bg-BG"/>
        </w:rPr>
        <w:t>стимулира чревната калциева абсорбция, включването на калций в</w:t>
      </w:r>
      <w:r w:rsidRPr="00B42FB9">
        <w:t xml:space="preserve"> </w:t>
      </w:r>
      <w:proofErr w:type="spellStart"/>
      <w:r w:rsidRPr="00B42FB9">
        <w:rPr>
          <w:lang w:val="bg-BG" w:eastAsia="bg-BG"/>
        </w:rPr>
        <w:t>остеоидите</w:t>
      </w:r>
      <w:proofErr w:type="spellEnd"/>
      <w:r w:rsidRPr="00B42FB9">
        <w:rPr>
          <w:lang w:val="bg-BG" w:eastAsia="bg-BG"/>
        </w:rPr>
        <w:t xml:space="preserve"> и освобождаването на калций от костната тъкан. Витамин </w:t>
      </w:r>
      <w:r w:rsidRPr="00B42FB9">
        <w:t xml:space="preserve">D </w:t>
      </w:r>
      <w:r w:rsidRPr="00B42FB9">
        <w:rPr>
          <w:lang w:val="bg-BG" w:eastAsia="bg-BG"/>
        </w:rPr>
        <w:t xml:space="preserve">може да </w:t>
      </w:r>
      <w:proofErr w:type="spellStart"/>
      <w:r w:rsidRPr="00B42FB9">
        <w:rPr>
          <w:lang w:val="bg-BG" w:eastAsia="bg-BG"/>
        </w:rPr>
        <w:t>бъ</w:t>
      </w:r>
      <w:proofErr w:type="spellEnd"/>
    </w:p>
    <w:p w14:paraId="26667C0A" w14:textId="77777777" w:rsidR="00B42FB9" w:rsidRDefault="00B42FB9" w:rsidP="00B42FB9">
      <w:pPr>
        <w:rPr>
          <w:lang w:val="bg-BG" w:eastAsia="bg-BG"/>
        </w:rPr>
      </w:pPr>
    </w:p>
    <w:p w14:paraId="33A036F8" w14:textId="4841FBD2" w:rsidR="00B42FB9" w:rsidRPr="00B42FB9" w:rsidRDefault="00B42FB9" w:rsidP="00B42FB9">
      <w:pPr>
        <w:rPr>
          <w:sz w:val="24"/>
          <w:szCs w:val="24"/>
          <w:lang w:val="bg-BG"/>
        </w:rPr>
      </w:pPr>
      <w:proofErr w:type="spellStart"/>
      <w:r w:rsidRPr="00B42FB9">
        <w:rPr>
          <w:lang w:val="bg-BG" w:eastAsia="bg-BG"/>
        </w:rPr>
        <w:t>прекурсор</w:t>
      </w:r>
      <w:proofErr w:type="spellEnd"/>
      <w:r w:rsidRPr="00B42FB9">
        <w:rPr>
          <w:lang w:val="bg-BG" w:eastAsia="bg-BG"/>
        </w:rPr>
        <w:t xml:space="preserve"> на </w:t>
      </w:r>
      <w:proofErr w:type="spellStart"/>
      <w:r w:rsidRPr="00B42FB9">
        <w:rPr>
          <w:lang w:val="bg-BG" w:eastAsia="bg-BG"/>
        </w:rPr>
        <w:t>стероидния</w:t>
      </w:r>
      <w:proofErr w:type="spellEnd"/>
      <w:r w:rsidRPr="00B42FB9">
        <w:rPr>
          <w:lang w:val="bg-BG" w:eastAsia="bg-BG"/>
        </w:rPr>
        <w:t xml:space="preserve"> хормон в зависимост от продукцията, физиологичната регулация и механизма на действие.</w:t>
      </w:r>
    </w:p>
    <w:p w14:paraId="24699B91" w14:textId="7777777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В допълнение на физиологичната продукция в кожата, </w:t>
      </w:r>
      <w:r w:rsidRPr="00B42FB9">
        <w:t xml:space="preserve">cholecalciferol </w:t>
      </w:r>
      <w:r w:rsidRPr="00B42FB9">
        <w:rPr>
          <w:lang w:val="bg-BG" w:eastAsia="bg-BG"/>
        </w:rPr>
        <w:t>може да се набави чрез храната или под формата на лекарство.</w:t>
      </w:r>
    </w:p>
    <w:p w14:paraId="0281CA7E" w14:textId="77777777" w:rsidR="00B42FB9" w:rsidRPr="00B42FB9" w:rsidRDefault="00B42FB9" w:rsidP="00B42FB9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Тъй като при втория случай лекарственото средство нарушава синтезата на витамин </w:t>
      </w:r>
      <w:r w:rsidRPr="00B42FB9">
        <w:t>D</w:t>
      </w:r>
      <w:r w:rsidRPr="00B42FB9">
        <w:rPr>
          <w:vertAlign w:val="subscript"/>
        </w:rPr>
        <w:t>3</w:t>
      </w:r>
      <w:r w:rsidRPr="00B42FB9">
        <w:t xml:space="preserve"> </w:t>
      </w:r>
      <w:r w:rsidRPr="00B42FB9">
        <w:rPr>
          <w:lang w:val="bg-BG" w:eastAsia="bg-BG"/>
        </w:rPr>
        <w:t>в кожата, има опасност от интоксикации.</w:t>
      </w:r>
    </w:p>
    <w:p w14:paraId="639FBEDD" w14:textId="77777777" w:rsidR="00B42FB9" w:rsidRPr="00B42FB9" w:rsidRDefault="00B42FB9" w:rsidP="00B42FB9"/>
    <w:p w14:paraId="788B4E5E" w14:textId="44B14075" w:rsidR="002C50EE" w:rsidRDefault="002C50EE" w:rsidP="002C50EE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</w:t>
      </w:r>
      <w:proofErr w:type="spellStart"/>
      <w:r>
        <w:t>свойства</w:t>
      </w:r>
      <w:proofErr w:type="spellEnd"/>
    </w:p>
    <w:p w14:paraId="3951D738" w14:textId="77777777" w:rsidR="00DB5C94" w:rsidRDefault="00DB5C94" w:rsidP="00DB5C94">
      <w:pPr>
        <w:rPr>
          <w:lang w:val="bg-BG" w:eastAsia="bg-BG"/>
        </w:rPr>
      </w:pPr>
    </w:p>
    <w:p w14:paraId="6C58B023" w14:textId="77777777" w:rsidR="00DB5C94" w:rsidRDefault="00DB5C94" w:rsidP="00DB5C94">
      <w:pPr>
        <w:rPr>
          <w:lang w:val="bg-BG" w:eastAsia="bg-BG"/>
        </w:rPr>
      </w:pPr>
    </w:p>
    <w:p w14:paraId="7D2D1204" w14:textId="77777777" w:rsidR="00DB5C94" w:rsidRDefault="00DB5C94" w:rsidP="00DB5C94">
      <w:pPr>
        <w:rPr>
          <w:lang w:val="bg-BG" w:eastAsia="bg-BG"/>
        </w:rPr>
      </w:pPr>
    </w:p>
    <w:p w14:paraId="63CE7D11" w14:textId="216A1179" w:rsidR="00B42FB9" w:rsidRPr="00DB5C94" w:rsidRDefault="00B42FB9" w:rsidP="00DB5C94">
      <w:pPr>
        <w:rPr>
          <w:sz w:val="24"/>
          <w:szCs w:val="24"/>
          <w:u w:val="single"/>
          <w:lang w:val="bg-BG"/>
        </w:rPr>
      </w:pPr>
      <w:r w:rsidRPr="00DB5C94">
        <w:rPr>
          <w:u w:val="single"/>
          <w:lang w:val="bg-BG" w:eastAsia="bg-BG"/>
        </w:rPr>
        <w:lastRenderedPageBreak/>
        <w:t>Абсорбция</w:t>
      </w:r>
    </w:p>
    <w:p w14:paraId="03A0DD41" w14:textId="77777777" w:rsidR="00B42FB9" w:rsidRPr="00B42FB9" w:rsidRDefault="00B42FB9" w:rsidP="00DB5C94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При нормална абсорбция на мазнини след перорално приложение витамин </w:t>
      </w:r>
      <w:r w:rsidRPr="00B42FB9">
        <w:t xml:space="preserve">D </w:t>
      </w:r>
      <w:r w:rsidRPr="00B42FB9">
        <w:rPr>
          <w:lang w:val="bg-BG" w:eastAsia="bg-BG"/>
        </w:rPr>
        <w:t>се абсорбира почти напълно (80%) от стомашно-чревния тракт.</w:t>
      </w:r>
    </w:p>
    <w:p w14:paraId="6DFE726E" w14:textId="77777777" w:rsidR="00DB5C94" w:rsidRDefault="00DB5C94" w:rsidP="00DB5C94">
      <w:pPr>
        <w:rPr>
          <w:lang w:val="bg-BG" w:eastAsia="bg-BG"/>
        </w:rPr>
      </w:pPr>
    </w:p>
    <w:p w14:paraId="4D54C58D" w14:textId="45191319" w:rsidR="00B42FB9" w:rsidRPr="00DB5C94" w:rsidRDefault="00B42FB9" w:rsidP="00DB5C94">
      <w:pPr>
        <w:rPr>
          <w:sz w:val="24"/>
          <w:szCs w:val="24"/>
          <w:u w:val="single"/>
          <w:lang w:val="bg-BG"/>
        </w:rPr>
      </w:pPr>
      <w:r w:rsidRPr="00DB5C94">
        <w:rPr>
          <w:u w:val="single"/>
          <w:lang w:val="bg-BG" w:eastAsia="bg-BG"/>
        </w:rPr>
        <w:t>Разпределение</w:t>
      </w:r>
    </w:p>
    <w:p w14:paraId="482BA23E" w14:textId="77777777" w:rsidR="00B42FB9" w:rsidRPr="00B42FB9" w:rsidRDefault="00B42FB9" w:rsidP="00DB5C94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Витамин </w:t>
      </w:r>
      <w:r w:rsidRPr="00B42FB9">
        <w:t xml:space="preserve">D </w:t>
      </w:r>
      <w:r w:rsidRPr="00B42FB9">
        <w:rPr>
          <w:lang w:val="bg-BG" w:eastAsia="bg-BG"/>
        </w:rPr>
        <w:t xml:space="preserve">се пренася в плазмата чрез витамин </w:t>
      </w:r>
      <w:r w:rsidRPr="00B42FB9">
        <w:t>D</w:t>
      </w:r>
      <w:r w:rsidRPr="00B42FB9">
        <w:rPr>
          <w:lang w:val="bg-BG" w:eastAsia="bg-BG"/>
        </w:rPr>
        <w:t xml:space="preserve">-свързващия протеин до черния дроб като първи етап на </w:t>
      </w:r>
      <w:proofErr w:type="spellStart"/>
      <w:r w:rsidRPr="00B42FB9">
        <w:rPr>
          <w:lang w:val="bg-BG" w:eastAsia="bg-BG"/>
        </w:rPr>
        <w:t>хидроксилиране</w:t>
      </w:r>
      <w:proofErr w:type="spellEnd"/>
      <w:r w:rsidRPr="00B42FB9">
        <w:rPr>
          <w:lang w:val="bg-BG" w:eastAsia="bg-BG"/>
        </w:rPr>
        <w:t xml:space="preserve">. Циркулиращата концентрация на 25-ОН </w:t>
      </w:r>
      <w:r w:rsidRPr="00B42FB9">
        <w:t xml:space="preserve">D (calcifediol) </w:t>
      </w:r>
      <w:r w:rsidRPr="00B42FB9">
        <w:rPr>
          <w:lang w:val="bg-BG" w:eastAsia="bg-BG"/>
        </w:rPr>
        <w:t xml:space="preserve">е индикатор на статуса на витамин </w:t>
      </w:r>
      <w:r w:rsidRPr="00B42FB9">
        <w:t>D.</w:t>
      </w:r>
    </w:p>
    <w:p w14:paraId="1AA9C501" w14:textId="77777777" w:rsidR="00DB5C94" w:rsidRDefault="00DB5C94" w:rsidP="00DB5C94">
      <w:pPr>
        <w:rPr>
          <w:lang w:val="bg-BG" w:eastAsia="bg-BG"/>
        </w:rPr>
      </w:pPr>
    </w:p>
    <w:p w14:paraId="4CFBED34" w14:textId="5578E9AF" w:rsidR="00B42FB9" w:rsidRPr="00DB5C94" w:rsidRDefault="00B42FB9" w:rsidP="00DB5C94">
      <w:pPr>
        <w:rPr>
          <w:sz w:val="24"/>
          <w:szCs w:val="24"/>
          <w:u w:val="single"/>
          <w:lang w:val="bg-BG"/>
        </w:rPr>
      </w:pPr>
      <w:r w:rsidRPr="00DB5C94">
        <w:rPr>
          <w:u w:val="single"/>
          <w:lang w:val="bg-BG" w:eastAsia="bg-BG"/>
        </w:rPr>
        <w:t>Метаболизъм</w:t>
      </w:r>
    </w:p>
    <w:p w14:paraId="77C7C512" w14:textId="77777777" w:rsidR="00B42FB9" w:rsidRPr="00B42FB9" w:rsidRDefault="00B42FB9" w:rsidP="00DB5C94">
      <w:pPr>
        <w:rPr>
          <w:sz w:val="24"/>
          <w:szCs w:val="24"/>
          <w:lang w:val="bg-BG"/>
        </w:rPr>
      </w:pPr>
      <w:r w:rsidRPr="00B42FB9">
        <w:rPr>
          <w:lang w:val="bg-BG" w:eastAsia="bg-BG"/>
        </w:rPr>
        <w:t xml:space="preserve">25-ОН </w:t>
      </w:r>
      <w:r w:rsidRPr="00B42FB9">
        <w:t xml:space="preserve">D </w:t>
      </w:r>
      <w:r w:rsidRPr="00B42FB9">
        <w:rPr>
          <w:lang w:val="bg-BG" w:eastAsia="bg-BG"/>
        </w:rPr>
        <w:t xml:space="preserve">се </w:t>
      </w:r>
      <w:proofErr w:type="spellStart"/>
      <w:r w:rsidRPr="00B42FB9">
        <w:rPr>
          <w:lang w:val="bg-BG" w:eastAsia="bg-BG"/>
        </w:rPr>
        <w:t>хидроксилира</w:t>
      </w:r>
      <w:proofErr w:type="spellEnd"/>
      <w:r w:rsidRPr="00B42FB9">
        <w:rPr>
          <w:lang w:val="bg-BG" w:eastAsia="bg-BG"/>
        </w:rPr>
        <w:t xml:space="preserve"> в бъбреците до 1.25-ОН </w:t>
      </w:r>
      <w:r w:rsidRPr="00B42FB9">
        <w:t>D (calcitriol).</w:t>
      </w:r>
    </w:p>
    <w:p w14:paraId="198817BC" w14:textId="77777777" w:rsidR="00DB5C94" w:rsidRDefault="00DB5C94" w:rsidP="00DB5C94">
      <w:pPr>
        <w:rPr>
          <w:lang w:val="bg-BG" w:eastAsia="bg-BG"/>
        </w:rPr>
      </w:pPr>
    </w:p>
    <w:p w14:paraId="45E033EE" w14:textId="7DF77673" w:rsidR="00B42FB9" w:rsidRPr="00DB5C94" w:rsidRDefault="00B42FB9" w:rsidP="00DB5C94">
      <w:pPr>
        <w:rPr>
          <w:sz w:val="24"/>
          <w:szCs w:val="24"/>
          <w:u w:val="single"/>
          <w:lang w:val="bg-BG"/>
        </w:rPr>
      </w:pPr>
      <w:r w:rsidRPr="00DB5C94">
        <w:rPr>
          <w:u w:val="single"/>
          <w:lang w:val="bg-BG" w:eastAsia="bg-BG"/>
        </w:rPr>
        <w:t>Елиминиране</w:t>
      </w:r>
    </w:p>
    <w:p w14:paraId="5F02A484" w14:textId="150347D0" w:rsidR="00B42FB9" w:rsidRDefault="00B42FB9" w:rsidP="00DB5C94">
      <w:pPr>
        <w:rPr>
          <w:lang w:val="bg-BG" w:eastAsia="bg-BG"/>
        </w:rPr>
      </w:pPr>
      <w:r w:rsidRPr="00B42FB9">
        <w:rPr>
          <w:lang w:val="bg-BG" w:eastAsia="bg-BG"/>
        </w:rPr>
        <w:t xml:space="preserve">Преди елиминиране </w:t>
      </w:r>
      <w:r w:rsidRPr="00B42FB9">
        <w:t xml:space="preserve">Calcitriol </w:t>
      </w:r>
      <w:r w:rsidRPr="00B42FB9">
        <w:rPr>
          <w:lang w:val="bg-BG" w:eastAsia="bg-BG"/>
        </w:rPr>
        <w:t xml:space="preserve">се </w:t>
      </w:r>
      <w:proofErr w:type="spellStart"/>
      <w:r w:rsidRPr="00B42FB9">
        <w:rPr>
          <w:lang w:val="bg-BG" w:eastAsia="bg-BG"/>
        </w:rPr>
        <w:t>хидроксилира</w:t>
      </w:r>
      <w:proofErr w:type="spellEnd"/>
      <w:r w:rsidRPr="00B42FB9">
        <w:rPr>
          <w:lang w:val="bg-BG" w:eastAsia="bg-BG"/>
        </w:rPr>
        <w:t xml:space="preserve"> допълнително. Основният път на елиминиране на витамин </w:t>
      </w:r>
      <w:r w:rsidRPr="00B42FB9">
        <w:t xml:space="preserve">D </w:t>
      </w:r>
      <w:r w:rsidRPr="00B42FB9">
        <w:rPr>
          <w:lang w:val="bg-BG" w:eastAsia="bg-BG"/>
        </w:rPr>
        <w:t xml:space="preserve">и неговите </w:t>
      </w:r>
      <w:proofErr w:type="spellStart"/>
      <w:r w:rsidRPr="00B42FB9">
        <w:rPr>
          <w:lang w:val="bg-BG" w:eastAsia="bg-BG"/>
        </w:rPr>
        <w:t>хидроксилирани</w:t>
      </w:r>
      <w:proofErr w:type="spellEnd"/>
      <w:r w:rsidRPr="00B42FB9">
        <w:rPr>
          <w:lang w:val="bg-BG" w:eastAsia="bg-BG"/>
        </w:rPr>
        <w:t xml:space="preserve"> и сулфатни производни е в жлъчката и най-малко 2% се отделя в урината.</w:t>
      </w:r>
    </w:p>
    <w:p w14:paraId="39E6B919" w14:textId="77777777" w:rsidR="00DB5C94" w:rsidRPr="00B42FB9" w:rsidRDefault="00DB5C94" w:rsidP="00DB5C94"/>
    <w:p w14:paraId="134A69A8" w14:textId="6357D94F" w:rsidR="002C50EE" w:rsidRDefault="002C50EE" w:rsidP="002C50EE">
      <w:pPr>
        <w:pStyle w:val="Heading2"/>
      </w:pPr>
      <w:r>
        <w:t xml:space="preserve">5.3. </w:t>
      </w:r>
      <w:proofErr w:type="spellStart"/>
      <w:r>
        <w:t>Предклинични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безопасност</w:t>
      </w:r>
      <w:proofErr w:type="spellEnd"/>
    </w:p>
    <w:p w14:paraId="267AD0FD" w14:textId="77777777" w:rsidR="00DB5C94" w:rsidRDefault="00DB5C94" w:rsidP="00DB5C94">
      <w:pPr>
        <w:rPr>
          <w:lang w:val="bg-BG" w:eastAsia="bg-BG"/>
        </w:rPr>
      </w:pPr>
    </w:p>
    <w:p w14:paraId="566EEBE8" w14:textId="785D1851" w:rsidR="00DB5C94" w:rsidRPr="00DB5C94" w:rsidRDefault="00DB5C94" w:rsidP="00DB5C94">
      <w:pPr>
        <w:rPr>
          <w:sz w:val="24"/>
          <w:szCs w:val="24"/>
          <w:lang w:val="bg-BG"/>
        </w:rPr>
      </w:pPr>
      <w:r w:rsidRPr="00DB5C94">
        <w:rPr>
          <w:lang w:val="bg-BG" w:eastAsia="bg-BG"/>
        </w:rPr>
        <w:t xml:space="preserve">Предозиране с витамин </w:t>
      </w:r>
      <w:r w:rsidRPr="00DB5C94">
        <w:t>D</w:t>
      </w:r>
      <w:r w:rsidRPr="00DB5C94">
        <w:rPr>
          <w:vertAlign w:val="subscript"/>
        </w:rPr>
        <w:t>3</w:t>
      </w:r>
      <w:r w:rsidRPr="00DB5C94">
        <w:t xml:space="preserve"> </w:t>
      </w:r>
      <w:r w:rsidRPr="00DB5C94">
        <w:rPr>
          <w:lang w:val="bg-BG" w:eastAsia="bg-BG"/>
        </w:rPr>
        <w:t xml:space="preserve">по време на бременност може да предизвика малформации при плъхове, мишки и зайци (дефекти в скелета, </w:t>
      </w:r>
      <w:proofErr w:type="spellStart"/>
      <w:r w:rsidRPr="00DB5C94">
        <w:rPr>
          <w:lang w:val="bg-BG" w:eastAsia="bg-BG"/>
        </w:rPr>
        <w:t>микроцефалия</w:t>
      </w:r>
      <w:proofErr w:type="spellEnd"/>
      <w:r w:rsidRPr="00DB5C94">
        <w:rPr>
          <w:lang w:val="bg-BG" w:eastAsia="bg-BG"/>
        </w:rPr>
        <w:t xml:space="preserve">, сърдечна малформация). При хората високите дози по време на бременност се свързват с появата на синдрома на аортна </w:t>
      </w:r>
      <w:proofErr w:type="spellStart"/>
      <w:r w:rsidRPr="00DB5C94">
        <w:rPr>
          <w:lang w:val="bg-BG" w:eastAsia="bg-BG"/>
        </w:rPr>
        <w:t>стеноза</w:t>
      </w:r>
      <w:proofErr w:type="spellEnd"/>
      <w:r w:rsidRPr="00DB5C94">
        <w:rPr>
          <w:lang w:val="bg-BG" w:eastAsia="bg-BG"/>
        </w:rPr>
        <w:t xml:space="preserve"> и идиопатична </w:t>
      </w:r>
      <w:proofErr w:type="spellStart"/>
      <w:r w:rsidRPr="00DB5C94">
        <w:rPr>
          <w:lang w:val="bg-BG" w:eastAsia="bg-BG"/>
        </w:rPr>
        <w:t>хиперкалцемия</w:t>
      </w:r>
      <w:proofErr w:type="spellEnd"/>
      <w:r w:rsidRPr="00DB5C94">
        <w:rPr>
          <w:lang w:val="bg-BG" w:eastAsia="bg-BG"/>
        </w:rPr>
        <w:t xml:space="preserve"> при новородените. Аномалии на лицето, физическо и умствено изоставане, </w:t>
      </w:r>
      <w:proofErr w:type="spellStart"/>
      <w:r w:rsidRPr="00DB5C94">
        <w:rPr>
          <w:lang w:val="bg-BG" w:eastAsia="bg-BG"/>
        </w:rPr>
        <w:t>страбизъм</w:t>
      </w:r>
      <w:proofErr w:type="spellEnd"/>
      <w:r w:rsidRPr="00DB5C94">
        <w:rPr>
          <w:lang w:val="bg-BG" w:eastAsia="bg-BG"/>
        </w:rPr>
        <w:t xml:space="preserve">, дефекти на емайла на зъбите, </w:t>
      </w:r>
      <w:proofErr w:type="spellStart"/>
      <w:r w:rsidRPr="00DB5C94">
        <w:rPr>
          <w:lang w:val="bg-BG" w:eastAsia="bg-BG"/>
        </w:rPr>
        <w:t>краниосиностозис</w:t>
      </w:r>
      <w:proofErr w:type="spellEnd"/>
      <w:r w:rsidRPr="00DB5C94">
        <w:rPr>
          <w:lang w:val="bg-BG" w:eastAsia="bg-BG"/>
        </w:rPr>
        <w:t xml:space="preserve">, </w:t>
      </w:r>
      <w:proofErr w:type="spellStart"/>
      <w:r w:rsidRPr="00DB5C94">
        <w:rPr>
          <w:lang w:val="bg-BG" w:eastAsia="bg-BG"/>
        </w:rPr>
        <w:t>супервалвуларна</w:t>
      </w:r>
      <w:proofErr w:type="spellEnd"/>
      <w:r w:rsidRPr="00DB5C94">
        <w:rPr>
          <w:lang w:val="bg-BG" w:eastAsia="bg-BG"/>
        </w:rPr>
        <w:t xml:space="preserve"> аортна </w:t>
      </w:r>
      <w:proofErr w:type="spellStart"/>
      <w:r w:rsidRPr="00DB5C94">
        <w:rPr>
          <w:lang w:val="bg-BG" w:eastAsia="bg-BG"/>
        </w:rPr>
        <w:t>стеноза</w:t>
      </w:r>
      <w:proofErr w:type="spellEnd"/>
      <w:r w:rsidRPr="00DB5C94">
        <w:rPr>
          <w:lang w:val="bg-BG" w:eastAsia="bg-BG"/>
        </w:rPr>
        <w:t xml:space="preserve">, </w:t>
      </w:r>
      <w:proofErr w:type="spellStart"/>
      <w:r w:rsidRPr="00DB5C94">
        <w:rPr>
          <w:lang w:val="bg-BG" w:eastAsia="bg-BG"/>
        </w:rPr>
        <w:t>пулмонарна</w:t>
      </w:r>
      <w:proofErr w:type="spellEnd"/>
      <w:r w:rsidRPr="00DB5C94">
        <w:rPr>
          <w:lang w:val="bg-BG" w:eastAsia="bg-BG"/>
        </w:rPr>
        <w:t xml:space="preserve"> </w:t>
      </w:r>
      <w:proofErr w:type="spellStart"/>
      <w:r w:rsidRPr="00DB5C94">
        <w:rPr>
          <w:lang w:val="bg-BG" w:eastAsia="bg-BG"/>
        </w:rPr>
        <w:t>стеноза</w:t>
      </w:r>
      <w:proofErr w:type="spellEnd"/>
      <w:r w:rsidRPr="00DB5C94">
        <w:rPr>
          <w:lang w:val="bg-BG" w:eastAsia="bg-BG"/>
        </w:rPr>
        <w:t xml:space="preserve">, </w:t>
      </w:r>
      <w:proofErr w:type="spellStart"/>
      <w:r w:rsidRPr="00DB5C94">
        <w:rPr>
          <w:lang w:val="bg-BG" w:eastAsia="bg-BG"/>
        </w:rPr>
        <w:t>ингвинална</w:t>
      </w:r>
      <w:proofErr w:type="spellEnd"/>
      <w:r w:rsidRPr="00DB5C94">
        <w:rPr>
          <w:lang w:val="bg-BG" w:eastAsia="bg-BG"/>
        </w:rPr>
        <w:t xml:space="preserve"> херния, </w:t>
      </w:r>
      <w:proofErr w:type="spellStart"/>
      <w:r w:rsidRPr="00DB5C94">
        <w:rPr>
          <w:lang w:val="bg-BG" w:eastAsia="bg-BG"/>
        </w:rPr>
        <w:t>крипторхизъм</w:t>
      </w:r>
      <w:proofErr w:type="spellEnd"/>
      <w:r w:rsidRPr="00DB5C94">
        <w:rPr>
          <w:lang w:val="bg-BG" w:eastAsia="bg-BG"/>
        </w:rPr>
        <w:t xml:space="preserve"> при мъжките индивиди, а също така преждевременно развитие на вторичните полови белези в женските индивиди. Въпреки това, са известни няколко случая, при които майки с </w:t>
      </w:r>
      <w:proofErr w:type="spellStart"/>
      <w:r w:rsidRPr="00DB5C94">
        <w:rPr>
          <w:lang w:val="bg-BG" w:eastAsia="bg-BG"/>
        </w:rPr>
        <w:t>хипопаратиреоидизъм</w:t>
      </w:r>
      <w:proofErr w:type="spellEnd"/>
      <w:r w:rsidRPr="00DB5C94">
        <w:rPr>
          <w:lang w:val="bg-BG" w:eastAsia="bg-BG"/>
        </w:rPr>
        <w:t>, получаващи високи дози, са родили нормални деца.</w:t>
      </w:r>
    </w:p>
    <w:p w14:paraId="3C3894C0" w14:textId="77777777" w:rsidR="00DB5C94" w:rsidRPr="00DB5C94" w:rsidRDefault="00DB5C94" w:rsidP="00DB5C94"/>
    <w:p w14:paraId="28C40F19" w14:textId="50B05399" w:rsidR="002C50EE" w:rsidRDefault="002C50EE" w:rsidP="002C50EE">
      <w:pPr>
        <w:pStyle w:val="Heading1"/>
      </w:pPr>
      <w:r>
        <w:t>7. ПРИТЕЖАТЕЛ НА РАЗРЕШЕНИЕТО ЗА УПОТРЕБА</w:t>
      </w:r>
    </w:p>
    <w:p w14:paraId="7FBBC19C" w14:textId="77777777" w:rsidR="00DB5C94" w:rsidRDefault="00DB5C94" w:rsidP="00DB5C94"/>
    <w:p w14:paraId="7AFEBA02" w14:textId="2A2C4765" w:rsidR="00DB5C94" w:rsidRPr="00DB5C94" w:rsidRDefault="00DB5C94" w:rsidP="00DB5C94">
      <w:pPr>
        <w:rPr>
          <w:sz w:val="24"/>
          <w:szCs w:val="24"/>
        </w:rPr>
      </w:pPr>
      <w:r w:rsidRPr="00DB5C94">
        <w:t>P&amp;G Health Germany GmbH</w:t>
      </w:r>
    </w:p>
    <w:p w14:paraId="1932DDF5" w14:textId="426123FD" w:rsidR="00DB5C94" w:rsidRPr="00DB5C94" w:rsidRDefault="00DB5C94" w:rsidP="00DB5C94">
      <w:pPr>
        <w:rPr>
          <w:sz w:val="24"/>
          <w:szCs w:val="24"/>
        </w:rPr>
      </w:pPr>
      <w:proofErr w:type="spellStart"/>
      <w:r w:rsidRPr="00DB5C94">
        <w:t>Sulzbacher</w:t>
      </w:r>
      <w:proofErr w:type="spellEnd"/>
      <w:r w:rsidRPr="00DB5C94">
        <w:t xml:space="preserve"> Str. 40, 65824, Schwalbach </w:t>
      </w:r>
      <w:proofErr w:type="spellStart"/>
      <w:r w:rsidRPr="00DB5C94">
        <w:t>amTaunus</w:t>
      </w:r>
      <w:proofErr w:type="spellEnd"/>
    </w:p>
    <w:p w14:paraId="1783FEAF" w14:textId="0D5FAAE8" w:rsidR="00DB5C94" w:rsidRPr="00DB5C94" w:rsidRDefault="00DB5C94" w:rsidP="00DB5C94">
      <w:r w:rsidRPr="00DB5C94">
        <w:rPr>
          <w:lang w:val="bg-BG" w:eastAsia="bg-BG"/>
        </w:rPr>
        <w:t>Германия</w:t>
      </w:r>
    </w:p>
    <w:p w14:paraId="04840D59" w14:textId="60FF684B" w:rsidR="002C50EE" w:rsidRDefault="002C50EE" w:rsidP="002C50EE">
      <w:pPr>
        <w:pStyle w:val="Heading1"/>
      </w:pPr>
      <w:r>
        <w:t>8. НОМЕР НА РАЗРЕШЕНИЕТО ЗА УПОТРЕБА</w:t>
      </w:r>
    </w:p>
    <w:p w14:paraId="4150F15E" w14:textId="5FC96DE3" w:rsidR="00DB5C94" w:rsidRPr="00DB5C94" w:rsidRDefault="00DB5C94" w:rsidP="00DB5C94">
      <w:r>
        <w:t>II-</w:t>
      </w:r>
      <w:r>
        <w:rPr>
          <w:lang w:val="bg-BG" w:eastAsia="bg-BG"/>
        </w:rPr>
        <w:t>10978/20.</w:t>
      </w:r>
      <w:r>
        <w:t>10.2010</w:t>
      </w:r>
    </w:p>
    <w:p w14:paraId="5900CBF3" w14:textId="23AE6D90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75AE002E" w14:textId="4580361C" w:rsidR="00DB5C94" w:rsidRPr="00DB5C94" w:rsidRDefault="00DB5C94" w:rsidP="00DB5C94">
      <w:r>
        <w:t>01.06.2005/20.10.2010 г.</w:t>
      </w:r>
    </w:p>
    <w:p w14:paraId="0E9D0119" w14:textId="77777777" w:rsidR="002C50EE" w:rsidRDefault="002C50EE" w:rsidP="002C50EE">
      <w:pPr>
        <w:pStyle w:val="Heading1"/>
      </w:pPr>
      <w:r>
        <w:lastRenderedPageBreak/>
        <w:t>10. ДАТА НА АКТУАЛИЗИРАНЕ НА ТЕКСТА</w:t>
      </w:r>
    </w:p>
    <w:bookmarkEnd w:id="0"/>
    <w:p w14:paraId="423F4C2A" w14:textId="5376C0B5" w:rsidR="00C87E90" w:rsidRPr="003E3126" w:rsidRDefault="00DB5C94" w:rsidP="00DB5C94">
      <w:proofErr w:type="spellStart"/>
      <w:r>
        <w:t>януари</w:t>
      </w:r>
      <w:proofErr w:type="spellEnd"/>
      <w:r>
        <w:t xml:space="preserve"> 2020г.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EC51AF0"/>
    <w:multiLevelType w:val="hybridMultilevel"/>
    <w:tmpl w:val="A23C57CE"/>
    <w:lvl w:ilvl="0" w:tplc="700883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324"/>
    <w:multiLevelType w:val="hybridMultilevel"/>
    <w:tmpl w:val="F2F2D664"/>
    <w:lvl w:ilvl="0" w:tplc="7008831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8"/>
  </w:num>
  <w:num w:numId="12">
    <w:abstractNumId w:val="11"/>
  </w:num>
  <w:num w:numId="13">
    <w:abstractNumId w:val="14"/>
  </w:num>
  <w:num w:numId="14">
    <w:abstractNumId w:val="8"/>
  </w:num>
  <w:num w:numId="15">
    <w:abstractNumId w:val="17"/>
  </w:num>
  <w:num w:numId="16">
    <w:abstractNumId w:val="6"/>
  </w:num>
  <w:num w:numId="17">
    <w:abstractNumId w:val="15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517A5B"/>
    <w:rsid w:val="00593A00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A20351"/>
    <w:rsid w:val="00AC63CE"/>
    <w:rsid w:val="00AE2107"/>
    <w:rsid w:val="00B275A8"/>
    <w:rsid w:val="00B42FB9"/>
    <w:rsid w:val="00BF2600"/>
    <w:rsid w:val="00C07B84"/>
    <w:rsid w:val="00C33464"/>
    <w:rsid w:val="00C83063"/>
    <w:rsid w:val="00C87E90"/>
    <w:rsid w:val="00DB5C94"/>
    <w:rsid w:val="00DD466D"/>
    <w:rsid w:val="00EB6364"/>
    <w:rsid w:val="00F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2021-06-21T14:25:00Z</dcterms:created>
  <dcterms:modified xsi:type="dcterms:W3CDTF">2021-06-21T14:25:00Z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