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482ED0D3" w14:textId="090A6B73" w:rsidR="00F53FB7" w:rsidRDefault="00DD466D" w:rsidP="00A93499">
      <w:pPr>
        <w:pStyle w:val="Heading1"/>
      </w:pPr>
      <w:r>
        <w:t>1.ИМЕ НА ЛЕКАРСТВЕНИЯ ПРОДУКТ</w:t>
      </w:r>
    </w:p>
    <w:p w14:paraId="6FC8D478" w14:textId="068BFA8E" w:rsidR="00727789" w:rsidRDefault="00727789" w:rsidP="00727789"/>
    <w:p w14:paraId="6C5DA3F0" w14:textId="77777777" w:rsidR="00727789" w:rsidRPr="00727789" w:rsidRDefault="00727789" w:rsidP="00727789">
      <w:pPr>
        <w:rPr>
          <w:sz w:val="24"/>
          <w:szCs w:val="24"/>
          <w:lang w:val="en-US" w:eastAsia="bg-BG"/>
        </w:rPr>
      </w:pPr>
      <w:r w:rsidRPr="00727789">
        <w:rPr>
          <w:lang w:eastAsia="bg-BG"/>
        </w:rPr>
        <w:t xml:space="preserve">Вилспокс 50 </w:t>
      </w:r>
      <w:r w:rsidRPr="00727789">
        <w:rPr>
          <w:lang w:val="en-US"/>
        </w:rPr>
        <w:t xml:space="preserve">mg/850 mg </w:t>
      </w:r>
      <w:r w:rsidRPr="00727789">
        <w:rPr>
          <w:lang w:eastAsia="bg-BG"/>
        </w:rPr>
        <w:t>филмирани таблетки</w:t>
      </w:r>
    </w:p>
    <w:p w14:paraId="5F671F1A" w14:textId="77777777" w:rsidR="00727789" w:rsidRPr="00727789" w:rsidRDefault="00727789" w:rsidP="00727789">
      <w:pPr>
        <w:rPr>
          <w:sz w:val="24"/>
          <w:szCs w:val="24"/>
          <w:lang w:val="en-US" w:eastAsia="bg-BG"/>
        </w:rPr>
      </w:pPr>
      <w:r w:rsidRPr="00727789">
        <w:rPr>
          <w:lang w:eastAsia="bg-BG"/>
        </w:rPr>
        <w:t xml:space="preserve">Вилспокс 50 </w:t>
      </w:r>
      <w:r w:rsidRPr="00727789">
        <w:rPr>
          <w:lang w:val="en-US"/>
        </w:rPr>
        <w:t xml:space="preserve">mg/1000 mg </w:t>
      </w:r>
      <w:r w:rsidRPr="00727789">
        <w:rPr>
          <w:lang w:eastAsia="bg-BG"/>
        </w:rPr>
        <w:t>филмирани таблетки</w:t>
      </w:r>
    </w:p>
    <w:p w14:paraId="47FA6C48" w14:textId="77777777" w:rsidR="00727789" w:rsidRDefault="00727789" w:rsidP="00727789">
      <w:pPr>
        <w:rPr>
          <w:lang w:val="en-US"/>
        </w:rPr>
      </w:pPr>
    </w:p>
    <w:p w14:paraId="12211E76" w14:textId="33CC8440" w:rsidR="00727789" w:rsidRPr="00727789" w:rsidRDefault="00727789" w:rsidP="00727789">
      <w:pPr>
        <w:rPr>
          <w:sz w:val="24"/>
          <w:szCs w:val="24"/>
          <w:lang w:val="en-US" w:eastAsia="bg-BG"/>
        </w:rPr>
      </w:pPr>
      <w:proofErr w:type="spellStart"/>
      <w:r w:rsidRPr="00727789">
        <w:rPr>
          <w:lang w:val="en-US"/>
        </w:rPr>
        <w:t>Vilspox</w:t>
      </w:r>
      <w:proofErr w:type="spellEnd"/>
      <w:r w:rsidRPr="00727789">
        <w:rPr>
          <w:lang w:val="en-US"/>
        </w:rPr>
        <w:t xml:space="preserve"> </w:t>
      </w:r>
      <w:r w:rsidRPr="00727789">
        <w:rPr>
          <w:lang w:eastAsia="bg-BG"/>
        </w:rPr>
        <w:t xml:space="preserve">50 </w:t>
      </w:r>
      <w:r w:rsidRPr="00727789">
        <w:rPr>
          <w:lang w:val="en-US"/>
        </w:rPr>
        <w:t>mg/850 mg film-coated tablets</w:t>
      </w:r>
    </w:p>
    <w:p w14:paraId="1B9A4B91" w14:textId="77777777" w:rsidR="00727789" w:rsidRPr="00727789" w:rsidRDefault="00727789" w:rsidP="00727789">
      <w:pPr>
        <w:rPr>
          <w:sz w:val="24"/>
          <w:szCs w:val="24"/>
          <w:lang w:val="en-US" w:eastAsia="bg-BG"/>
        </w:rPr>
      </w:pPr>
      <w:proofErr w:type="spellStart"/>
      <w:r w:rsidRPr="00727789">
        <w:rPr>
          <w:lang w:val="en-US"/>
        </w:rPr>
        <w:t>Vilspox</w:t>
      </w:r>
      <w:proofErr w:type="spellEnd"/>
      <w:r w:rsidRPr="00727789">
        <w:rPr>
          <w:lang w:val="en-US"/>
        </w:rPr>
        <w:t xml:space="preserve"> 50 mg/1000 mg film-coated tablets</w:t>
      </w:r>
    </w:p>
    <w:p w14:paraId="4317CFE9" w14:textId="77777777" w:rsidR="00727789" w:rsidRPr="00727789" w:rsidRDefault="00727789" w:rsidP="00727789"/>
    <w:p w14:paraId="0DF202EC" w14:textId="311D8C15" w:rsidR="00F53FB7" w:rsidRDefault="00DD466D" w:rsidP="00A93499">
      <w:pPr>
        <w:pStyle w:val="Heading1"/>
      </w:pPr>
      <w:r>
        <w:t>2. КАЧЕСТВЕН И КОЛИЧЕСТВЕН СЪСТАВ</w:t>
      </w:r>
    </w:p>
    <w:p w14:paraId="5593C4C3" w14:textId="20F06374" w:rsidR="00727789" w:rsidRDefault="00727789" w:rsidP="00727789"/>
    <w:p w14:paraId="1F7061A7" w14:textId="77777777" w:rsidR="00727789" w:rsidRPr="00727789" w:rsidRDefault="00727789" w:rsidP="00727789">
      <w:pPr>
        <w:spacing w:line="240" w:lineRule="auto"/>
        <w:rPr>
          <w:rFonts w:eastAsia="Times New Roman" w:cs="Arial"/>
          <w:sz w:val="24"/>
          <w:szCs w:val="24"/>
          <w:lang w:eastAsia="bg-BG"/>
        </w:rPr>
      </w:pPr>
      <w:bookmarkStart w:id="1" w:name="bookmark0"/>
      <w:r w:rsidRPr="00727789">
        <w:rPr>
          <w:rFonts w:eastAsia="Times New Roman" w:cs="Arial"/>
          <w:b/>
          <w:bCs/>
          <w:color w:val="000000"/>
          <w:lang w:eastAsia="bg-BG"/>
        </w:rPr>
        <w:t xml:space="preserve">Вилспокс 50 </w:t>
      </w:r>
      <w:r w:rsidRPr="00727789">
        <w:rPr>
          <w:rFonts w:eastAsia="Times New Roman" w:cs="Arial"/>
          <w:b/>
          <w:bCs/>
          <w:color w:val="000000"/>
          <w:lang w:val="en-US"/>
        </w:rPr>
        <w:t xml:space="preserve">mg/850 mg </w:t>
      </w:r>
      <w:r w:rsidRPr="00727789">
        <w:rPr>
          <w:rFonts w:eastAsia="Times New Roman" w:cs="Arial"/>
          <w:b/>
          <w:bCs/>
          <w:color w:val="000000"/>
          <w:lang w:eastAsia="bg-BG"/>
        </w:rPr>
        <w:t>филмирани таблетки</w:t>
      </w:r>
      <w:bookmarkEnd w:id="1"/>
    </w:p>
    <w:p w14:paraId="355F1617"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Всяка филмирана таблетка съдържа 50 </w:t>
      </w:r>
      <w:r w:rsidRPr="00727789">
        <w:rPr>
          <w:rFonts w:eastAsia="Times New Roman" w:cs="Arial"/>
          <w:color w:val="000000"/>
          <w:lang w:val="en-US"/>
        </w:rPr>
        <w:t xml:space="preserve">mg </w:t>
      </w:r>
      <w:r w:rsidRPr="00727789">
        <w:rPr>
          <w:rFonts w:eastAsia="Times New Roman" w:cs="Arial"/>
          <w:color w:val="000000"/>
          <w:lang w:eastAsia="bg-BG"/>
        </w:rPr>
        <w:t xml:space="preserve">вилдаглиптин </w:t>
      </w:r>
      <w:r w:rsidRPr="00727789">
        <w:rPr>
          <w:rFonts w:eastAsia="Times New Roman" w:cs="Arial"/>
          <w:i/>
          <w:iCs/>
          <w:color w:val="000000"/>
          <w:lang w:val="en-US"/>
        </w:rPr>
        <w:t>(vildagliptin)</w:t>
      </w:r>
      <w:r w:rsidRPr="00727789">
        <w:rPr>
          <w:rFonts w:eastAsia="Times New Roman" w:cs="Arial"/>
          <w:color w:val="000000"/>
          <w:lang w:val="en-US"/>
        </w:rPr>
        <w:t xml:space="preserve"> </w:t>
      </w:r>
      <w:r w:rsidRPr="00727789">
        <w:rPr>
          <w:rFonts w:eastAsia="Times New Roman" w:cs="Arial"/>
          <w:color w:val="000000"/>
          <w:lang w:eastAsia="bg-BG"/>
        </w:rPr>
        <w:t xml:space="preserve">и 850 </w:t>
      </w:r>
      <w:r w:rsidRPr="00727789">
        <w:rPr>
          <w:rFonts w:eastAsia="Times New Roman" w:cs="Arial"/>
          <w:color w:val="000000"/>
          <w:lang w:val="en-US"/>
        </w:rPr>
        <w:t xml:space="preserve">mg </w:t>
      </w:r>
      <w:r w:rsidRPr="00727789">
        <w:rPr>
          <w:rFonts w:eastAsia="Times New Roman" w:cs="Arial"/>
          <w:color w:val="000000"/>
          <w:lang w:eastAsia="bg-BG"/>
        </w:rPr>
        <w:t xml:space="preserve">метформинов хидрохлорид </w:t>
      </w:r>
      <w:r w:rsidRPr="00727789">
        <w:rPr>
          <w:rFonts w:eastAsia="Times New Roman" w:cs="Arial"/>
          <w:i/>
          <w:iCs/>
          <w:color w:val="000000"/>
          <w:lang w:val="en-US"/>
        </w:rPr>
        <w:t>(metformin hydrochloride)(</w:t>
      </w:r>
      <w:r w:rsidRPr="00727789">
        <w:rPr>
          <w:rFonts w:eastAsia="Times New Roman" w:cs="Arial"/>
          <w:i/>
          <w:iCs/>
          <w:color w:val="000000"/>
          <w:lang w:eastAsia="bg-BG"/>
        </w:rPr>
        <w:t xml:space="preserve">съответстващ </w:t>
      </w:r>
      <w:r w:rsidRPr="00727789">
        <w:rPr>
          <w:rFonts w:eastAsia="Times New Roman" w:cs="Arial"/>
          <w:color w:val="000000"/>
          <w:lang w:eastAsia="bg-BG"/>
        </w:rPr>
        <w:t xml:space="preserve">на 660 </w:t>
      </w:r>
      <w:r w:rsidRPr="00727789">
        <w:rPr>
          <w:rFonts w:eastAsia="Times New Roman" w:cs="Arial"/>
          <w:color w:val="000000"/>
          <w:lang w:val="en-US"/>
        </w:rPr>
        <w:t xml:space="preserve">mg </w:t>
      </w:r>
      <w:r w:rsidRPr="00727789">
        <w:rPr>
          <w:rFonts w:eastAsia="Times New Roman" w:cs="Arial"/>
          <w:color w:val="000000"/>
          <w:lang w:eastAsia="bg-BG"/>
        </w:rPr>
        <w:t>метформин).</w:t>
      </w:r>
    </w:p>
    <w:p w14:paraId="50AB2A08" w14:textId="77777777" w:rsidR="00727789" w:rsidRPr="00727789" w:rsidRDefault="00727789" w:rsidP="00727789">
      <w:pPr>
        <w:spacing w:line="240" w:lineRule="auto"/>
        <w:rPr>
          <w:rFonts w:eastAsia="Times New Roman" w:cs="Arial"/>
          <w:b/>
          <w:bCs/>
          <w:color w:val="000000"/>
          <w:lang w:eastAsia="bg-BG"/>
        </w:rPr>
      </w:pPr>
      <w:bookmarkStart w:id="2" w:name="bookmark2"/>
    </w:p>
    <w:p w14:paraId="1BDF42B4" w14:textId="121F2A6C" w:rsidR="00727789" w:rsidRPr="00727789" w:rsidRDefault="00727789" w:rsidP="00727789">
      <w:pPr>
        <w:spacing w:line="240" w:lineRule="auto"/>
        <w:rPr>
          <w:rFonts w:eastAsia="Times New Roman" w:cs="Arial"/>
          <w:sz w:val="24"/>
          <w:szCs w:val="24"/>
          <w:lang w:eastAsia="bg-BG"/>
        </w:rPr>
      </w:pPr>
      <w:r w:rsidRPr="00727789">
        <w:rPr>
          <w:rFonts w:eastAsia="Times New Roman" w:cs="Arial"/>
          <w:b/>
          <w:bCs/>
          <w:color w:val="000000"/>
          <w:lang w:eastAsia="bg-BG"/>
        </w:rPr>
        <w:t xml:space="preserve">Вилспокс 50 </w:t>
      </w:r>
      <w:r w:rsidRPr="00727789">
        <w:rPr>
          <w:rFonts w:eastAsia="Times New Roman" w:cs="Arial"/>
          <w:b/>
          <w:bCs/>
          <w:color w:val="000000"/>
          <w:lang w:val="en-US"/>
        </w:rPr>
        <w:t xml:space="preserve">mg/1000 mg </w:t>
      </w:r>
      <w:r w:rsidRPr="00727789">
        <w:rPr>
          <w:rFonts w:eastAsia="Times New Roman" w:cs="Arial"/>
          <w:b/>
          <w:bCs/>
          <w:color w:val="000000"/>
          <w:lang w:eastAsia="bg-BG"/>
        </w:rPr>
        <w:t>филмирани таблетки</w:t>
      </w:r>
      <w:bookmarkEnd w:id="2"/>
    </w:p>
    <w:p w14:paraId="5F0EBEC4"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Всяка филмирана таблетка съдържа 50 </w:t>
      </w:r>
      <w:r w:rsidRPr="00727789">
        <w:rPr>
          <w:rFonts w:eastAsia="Times New Roman" w:cs="Arial"/>
          <w:color w:val="000000"/>
          <w:lang w:val="en-US"/>
        </w:rPr>
        <w:t xml:space="preserve">mg </w:t>
      </w:r>
      <w:r w:rsidRPr="00727789">
        <w:rPr>
          <w:rFonts w:eastAsia="Times New Roman" w:cs="Arial"/>
          <w:color w:val="000000"/>
          <w:lang w:eastAsia="bg-BG"/>
        </w:rPr>
        <w:t xml:space="preserve">вилдаглиптин </w:t>
      </w:r>
      <w:r w:rsidRPr="00727789">
        <w:rPr>
          <w:rFonts w:eastAsia="Times New Roman" w:cs="Arial"/>
          <w:i/>
          <w:iCs/>
          <w:color w:val="000000"/>
          <w:lang w:val="en-US"/>
        </w:rPr>
        <w:t>(vildagliptin)</w:t>
      </w:r>
      <w:r w:rsidRPr="00727789">
        <w:rPr>
          <w:rFonts w:eastAsia="Times New Roman" w:cs="Arial"/>
          <w:color w:val="000000"/>
          <w:lang w:val="en-US"/>
        </w:rPr>
        <w:t xml:space="preserve"> </w:t>
      </w:r>
      <w:r w:rsidRPr="00727789">
        <w:rPr>
          <w:rFonts w:eastAsia="Times New Roman" w:cs="Arial"/>
          <w:color w:val="000000"/>
          <w:lang w:eastAsia="bg-BG"/>
        </w:rPr>
        <w:t xml:space="preserve">и 1000 </w:t>
      </w:r>
      <w:r w:rsidRPr="00727789">
        <w:rPr>
          <w:rFonts w:eastAsia="Times New Roman" w:cs="Arial"/>
          <w:color w:val="000000"/>
          <w:lang w:val="en-US"/>
        </w:rPr>
        <w:t xml:space="preserve">mg </w:t>
      </w:r>
      <w:r w:rsidRPr="00727789">
        <w:rPr>
          <w:rFonts w:eastAsia="Times New Roman" w:cs="Arial"/>
          <w:color w:val="000000"/>
          <w:lang w:eastAsia="bg-BG"/>
        </w:rPr>
        <w:t xml:space="preserve">метформинов хидрохлорид </w:t>
      </w:r>
      <w:r w:rsidRPr="00727789">
        <w:rPr>
          <w:rFonts w:eastAsia="Times New Roman" w:cs="Arial"/>
          <w:i/>
          <w:iCs/>
          <w:color w:val="000000"/>
          <w:lang w:val="en-US"/>
        </w:rPr>
        <w:t>(metformin</w:t>
      </w:r>
      <w:r w:rsidRPr="00727789">
        <w:rPr>
          <w:rFonts w:eastAsia="Times New Roman" w:cs="Arial"/>
          <w:i/>
          <w:iCs/>
          <w:color w:val="000000"/>
          <w:lang w:eastAsia="bg-BG"/>
        </w:rPr>
        <w:t xml:space="preserve"> </w:t>
      </w:r>
      <w:r w:rsidRPr="00727789">
        <w:rPr>
          <w:rFonts w:eastAsia="Times New Roman" w:cs="Arial"/>
          <w:i/>
          <w:iCs/>
          <w:color w:val="000000"/>
          <w:lang w:val="en-US"/>
        </w:rPr>
        <w:t>hydrochloride)(</w:t>
      </w:r>
      <w:r w:rsidRPr="00727789">
        <w:rPr>
          <w:rFonts w:eastAsia="Times New Roman" w:cs="Arial"/>
          <w:color w:val="000000"/>
          <w:lang w:eastAsia="bg-BG"/>
        </w:rPr>
        <w:t xml:space="preserve">съответстващ на 780 </w:t>
      </w:r>
      <w:r w:rsidRPr="00727789">
        <w:rPr>
          <w:rFonts w:eastAsia="Times New Roman" w:cs="Arial"/>
          <w:color w:val="000000"/>
          <w:lang w:val="en-US"/>
        </w:rPr>
        <w:t xml:space="preserve">mg </w:t>
      </w:r>
      <w:r w:rsidRPr="00727789">
        <w:rPr>
          <w:rFonts w:eastAsia="Times New Roman" w:cs="Arial"/>
          <w:color w:val="000000"/>
          <w:lang w:eastAsia="bg-BG"/>
        </w:rPr>
        <w:t>метформин).</w:t>
      </w:r>
    </w:p>
    <w:p w14:paraId="41242139" w14:textId="77777777" w:rsidR="00727789" w:rsidRPr="00727789" w:rsidRDefault="00727789" w:rsidP="00727789"/>
    <w:p w14:paraId="4CABB9ED" w14:textId="321CEB7D" w:rsidR="00F53FB7" w:rsidRDefault="00DD466D" w:rsidP="00A93499">
      <w:pPr>
        <w:pStyle w:val="Heading1"/>
      </w:pPr>
      <w:r>
        <w:t>3. ЛЕКАРСТВЕНА ФОРМА</w:t>
      </w:r>
    </w:p>
    <w:p w14:paraId="1A82E8C0" w14:textId="2B27D0C6" w:rsidR="00727789" w:rsidRDefault="00727789" w:rsidP="00727789"/>
    <w:p w14:paraId="78C61513"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Филмирана таблетка.</w:t>
      </w:r>
    </w:p>
    <w:p w14:paraId="6BB64E50" w14:textId="77777777" w:rsidR="00727789" w:rsidRPr="00727789" w:rsidRDefault="00727789" w:rsidP="00727789">
      <w:pPr>
        <w:spacing w:line="240" w:lineRule="auto"/>
        <w:rPr>
          <w:rFonts w:eastAsia="Times New Roman" w:cs="Arial"/>
          <w:b/>
          <w:bCs/>
          <w:color w:val="000000"/>
          <w:lang w:eastAsia="bg-BG"/>
        </w:rPr>
      </w:pPr>
    </w:p>
    <w:p w14:paraId="622366EC" w14:textId="369ACCF9" w:rsidR="00727789" w:rsidRPr="00727789" w:rsidRDefault="00727789" w:rsidP="00727789">
      <w:pPr>
        <w:spacing w:line="240" w:lineRule="auto"/>
        <w:rPr>
          <w:rFonts w:eastAsia="Times New Roman" w:cs="Arial"/>
          <w:sz w:val="24"/>
          <w:szCs w:val="24"/>
          <w:lang w:eastAsia="bg-BG"/>
        </w:rPr>
      </w:pPr>
      <w:r w:rsidRPr="00727789">
        <w:rPr>
          <w:rFonts w:eastAsia="Times New Roman" w:cs="Arial"/>
          <w:b/>
          <w:bCs/>
          <w:color w:val="000000"/>
          <w:lang w:eastAsia="bg-BG"/>
        </w:rPr>
        <w:t xml:space="preserve">Вилспокс 50 </w:t>
      </w:r>
      <w:r w:rsidRPr="00727789">
        <w:rPr>
          <w:rFonts w:eastAsia="Times New Roman" w:cs="Arial"/>
          <w:b/>
          <w:bCs/>
          <w:color w:val="000000"/>
          <w:lang w:val="en-US"/>
        </w:rPr>
        <w:t xml:space="preserve">mg/850 mg </w:t>
      </w:r>
      <w:r w:rsidRPr="00727789">
        <w:rPr>
          <w:rFonts w:eastAsia="Times New Roman" w:cs="Arial"/>
          <w:b/>
          <w:bCs/>
          <w:color w:val="000000"/>
          <w:lang w:eastAsia="bg-BG"/>
        </w:rPr>
        <w:t>филмирани таблетки</w:t>
      </w:r>
    </w:p>
    <w:p w14:paraId="033050AB"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Жълта, елипсовидна филмирана таблетка със скосени ръбове, с гравиран надпис </w:t>
      </w:r>
      <w:r w:rsidRPr="00727789">
        <w:rPr>
          <w:rFonts w:eastAsia="Times New Roman" w:cs="Arial"/>
          <w:color w:val="000000"/>
          <w:lang w:val="en-US"/>
        </w:rPr>
        <w:t xml:space="preserve">“NVR” </w:t>
      </w:r>
      <w:r w:rsidRPr="00727789">
        <w:rPr>
          <w:rFonts w:eastAsia="Times New Roman" w:cs="Arial"/>
          <w:color w:val="000000"/>
          <w:lang w:eastAsia="bg-BG"/>
        </w:rPr>
        <w:t xml:space="preserve">от едната страна и </w:t>
      </w:r>
      <w:r w:rsidRPr="00727789">
        <w:rPr>
          <w:rFonts w:eastAsia="Times New Roman" w:cs="Arial"/>
          <w:color w:val="000000"/>
          <w:lang w:val="en-US"/>
        </w:rPr>
        <w:t xml:space="preserve">“SEH” </w:t>
      </w:r>
      <w:r w:rsidRPr="00727789">
        <w:rPr>
          <w:rFonts w:eastAsia="Times New Roman" w:cs="Arial"/>
          <w:color w:val="000000"/>
          <w:lang w:eastAsia="bg-BG"/>
        </w:rPr>
        <w:t>от другата страна.</w:t>
      </w:r>
    </w:p>
    <w:p w14:paraId="6F9356EE"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Дължина: приблизително 20,1 </w:t>
      </w:r>
      <w:r w:rsidRPr="00727789">
        <w:rPr>
          <w:rFonts w:eastAsia="Times New Roman" w:cs="Arial"/>
          <w:color w:val="000000"/>
          <w:lang w:val="en-US"/>
        </w:rPr>
        <w:t>mm</w:t>
      </w:r>
    </w:p>
    <w:p w14:paraId="027AEC1E"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Ширина: приблизително 8,0 </w:t>
      </w:r>
      <w:r w:rsidRPr="00727789">
        <w:rPr>
          <w:rFonts w:eastAsia="Times New Roman" w:cs="Arial"/>
          <w:color w:val="000000"/>
          <w:lang w:val="en-US"/>
        </w:rPr>
        <w:t>mm</w:t>
      </w:r>
    </w:p>
    <w:p w14:paraId="4C03532D" w14:textId="77777777" w:rsidR="00727789" w:rsidRPr="00727789" w:rsidRDefault="00727789" w:rsidP="00727789">
      <w:pPr>
        <w:spacing w:line="240" w:lineRule="auto"/>
        <w:rPr>
          <w:rFonts w:eastAsia="Times New Roman" w:cs="Arial"/>
          <w:b/>
          <w:bCs/>
          <w:color w:val="000000"/>
          <w:lang w:eastAsia="bg-BG"/>
        </w:rPr>
      </w:pPr>
    </w:p>
    <w:p w14:paraId="40C0E47C" w14:textId="68381ED2" w:rsidR="00727789" w:rsidRPr="00727789" w:rsidRDefault="00727789" w:rsidP="00727789">
      <w:pPr>
        <w:spacing w:line="240" w:lineRule="auto"/>
        <w:rPr>
          <w:rFonts w:eastAsia="Times New Roman" w:cs="Arial"/>
          <w:sz w:val="24"/>
          <w:szCs w:val="24"/>
          <w:lang w:eastAsia="bg-BG"/>
        </w:rPr>
      </w:pPr>
      <w:r w:rsidRPr="00727789">
        <w:rPr>
          <w:rFonts w:eastAsia="Times New Roman" w:cs="Arial"/>
          <w:b/>
          <w:bCs/>
          <w:color w:val="000000"/>
          <w:lang w:eastAsia="bg-BG"/>
        </w:rPr>
        <w:t xml:space="preserve">Вилспокс 50 </w:t>
      </w:r>
      <w:r w:rsidRPr="00727789">
        <w:rPr>
          <w:rFonts w:eastAsia="Times New Roman" w:cs="Arial"/>
          <w:b/>
          <w:bCs/>
          <w:color w:val="000000"/>
          <w:lang w:val="en-US"/>
        </w:rPr>
        <w:t xml:space="preserve">mg/1000 mg </w:t>
      </w:r>
      <w:r w:rsidRPr="00727789">
        <w:rPr>
          <w:rFonts w:eastAsia="Times New Roman" w:cs="Arial"/>
          <w:b/>
          <w:bCs/>
          <w:color w:val="000000"/>
          <w:lang w:eastAsia="bg-BG"/>
        </w:rPr>
        <w:t>филмирани таблетки</w:t>
      </w:r>
    </w:p>
    <w:p w14:paraId="430A3B9F"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Тъмно жълта, елипсовидна филмирана таблетка със скосени ръбове, с гравиран надпис </w:t>
      </w:r>
      <w:r w:rsidRPr="00727789">
        <w:rPr>
          <w:rFonts w:eastAsia="Times New Roman" w:cs="Arial"/>
          <w:color w:val="000000"/>
          <w:lang w:val="en-US"/>
        </w:rPr>
        <w:t>''NVR</w:t>
      </w:r>
      <w:r w:rsidRPr="00727789">
        <w:rPr>
          <w:rFonts w:eastAsia="Times New Roman" w:cs="Arial"/>
          <w:color w:val="000000"/>
          <w:vertAlign w:val="superscript"/>
          <w:lang w:val="en-US"/>
        </w:rPr>
        <w:t>7</w:t>
      </w:r>
      <w:r w:rsidRPr="00727789">
        <w:rPr>
          <w:rFonts w:eastAsia="Times New Roman" w:cs="Arial"/>
          <w:color w:val="000000"/>
          <w:lang w:val="en-US"/>
        </w:rPr>
        <w:t xml:space="preserve">' </w:t>
      </w:r>
      <w:r w:rsidRPr="00727789">
        <w:rPr>
          <w:rFonts w:eastAsia="Times New Roman" w:cs="Arial"/>
          <w:color w:val="000000"/>
          <w:lang w:eastAsia="bg-BG"/>
        </w:rPr>
        <w:t xml:space="preserve">от едната страна и </w:t>
      </w:r>
      <w:r w:rsidRPr="00727789">
        <w:rPr>
          <w:rFonts w:eastAsia="Times New Roman" w:cs="Arial"/>
          <w:color w:val="000000"/>
          <w:lang w:val="en-US"/>
        </w:rPr>
        <w:t xml:space="preserve">“FLO” </w:t>
      </w:r>
      <w:r w:rsidRPr="00727789">
        <w:rPr>
          <w:rFonts w:eastAsia="Times New Roman" w:cs="Arial"/>
          <w:color w:val="000000"/>
          <w:lang w:eastAsia="bg-BG"/>
        </w:rPr>
        <w:t>от другата страна.</w:t>
      </w:r>
    </w:p>
    <w:p w14:paraId="7A9E13AE"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Дължина: приблизително 21,1 </w:t>
      </w:r>
      <w:r w:rsidRPr="00727789">
        <w:rPr>
          <w:rFonts w:eastAsia="Times New Roman" w:cs="Arial"/>
          <w:color w:val="000000"/>
          <w:lang w:val="en-US"/>
        </w:rPr>
        <w:t>mm</w:t>
      </w:r>
    </w:p>
    <w:p w14:paraId="1D660102"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Ширина: приблизително 8,4 </w:t>
      </w:r>
      <w:r w:rsidRPr="00727789">
        <w:rPr>
          <w:rFonts w:eastAsia="Times New Roman" w:cs="Arial"/>
          <w:color w:val="000000"/>
          <w:lang w:val="en-US"/>
        </w:rPr>
        <w:t>mm</w:t>
      </w:r>
    </w:p>
    <w:p w14:paraId="318114E9" w14:textId="77777777" w:rsidR="00727789" w:rsidRPr="00727789" w:rsidRDefault="00727789" w:rsidP="00727789"/>
    <w:p w14:paraId="490FC2C4" w14:textId="6899DE43" w:rsidR="002C50EE" w:rsidRDefault="002C50EE" w:rsidP="002C50EE">
      <w:pPr>
        <w:pStyle w:val="Heading1"/>
      </w:pPr>
      <w:r>
        <w:t>4. КЛИНИЧНИ ДАННИ</w:t>
      </w:r>
    </w:p>
    <w:p w14:paraId="1A37D275" w14:textId="4F699B5B" w:rsidR="00F53FB7" w:rsidRDefault="002C50EE" w:rsidP="00A93499">
      <w:pPr>
        <w:pStyle w:val="Heading2"/>
      </w:pPr>
      <w:r>
        <w:t>4.1. Терапевтични показания</w:t>
      </w:r>
    </w:p>
    <w:p w14:paraId="2179CDFF" w14:textId="58E0849B" w:rsidR="00727789" w:rsidRDefault="00727789" w:rsidP="00727789"/>
    <w:p w14:paraId="12A933A5"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Вилспокс е показан като допълнение към диетата и упражненията за подобрение на гликемичния контрол при възрастни със захарен диабет тип 2:</w:t>
      </w:r>
    </w:p>
    <w:p w14:paraId="0DBE8A62" w14:textId="77777777" w:rsidR="00727789" w:rsidRPr="00727789" w:rsidRDefault="00727789" w:rsidP="00727789">
      <w:pPr>
        <w:pStyle w:val="ListParagraph"/>
        <w:numPr>
          <w:ilvl w:val="0"/>
          <w:numId w:val="40"/>
        </w:numPr>
        <w:spacing w:line="240" w:lineRule="auto"/>
        <w:rPr>
          <w:rFonts w:eastAsia="Times New Roman" w:cs="Arial"/>
          <w:color w:val="000000"/>
          <w:lang w:eastAsia="bg-BG"/>
        </w:rPr>
      </w:pPr>
      <w:r w:rsidRPr="00727789">
        <w:rPr>
          <w:rFonts w:eastAsia="Times New Roman" w:cs="Arial"/>
          <w:color w:val="000000"/>
          <w:lang w:eastAsia="bg-BG"/>
        </w:rPr>
        <w:lastRenderedPageBreak/>
        <w:t>при пациенти, при които не е възможно да се постигне адекватен контрол само с метформин хидрохлорид.</w:t>
      </w:r>
    </w:p>
    <w:p w14:paraId="1E57BF3D" w14:textId="77777777" w:rsidR="00727789" w:rsidRPr="00727789" w:rsidRDefault="00727789" w:rsidP="00727789">
      <w:pPr>
        <w:pStyle w:val="ListParagraph"/>
        <w:numPr>
          <w:ilvl w:val="0"/>
          <w:numId w:val="40"/>
        </w:numPr>
        <w:spacing w:line="240" w:lineRule="auto"/>
        <w:rPr>
          <w:rFonts w:eastAsia="Times New Roman" w:cs="Arial"/>
          <w:color w:val="000000"/>
          <w:lang w:eastAsia="bg-BG"/>
        </w:rPr>
      </w:pPr>
      <w:r w:rsidRPr="00727789">
        <w:rPr>
          <w:rFonts w:eastAsia="Times New Roman" w:cs="Arial"/>
          <w:color w:val="000000"/>
          <w:lang w:eastAsia="bg-BG"/>
        </w:rPr>
        <w:t>при пациенти, които вече се лекуват с комбинацията вилдаглиптин и метформин хидрохлорид под формата на отделни таблетки.</w:t>
      </w:r>
    </w:p>
    <w:p w14:paraId="1A0832CC" w14:textId="44557AE0" w:rsidR="00727789" w:rsidRPr="00727789" w:rsidRDefault="00727789" w:rsidP="00727789">
      <w:pPr>
        <w:pStyle w:val="ListParagraph"/>
        <w:numPr>
          <w:ilvl w:val="0"/>
          <w:numId w:val="40"/>
        </w:numPr>
        <w:spacing w:line="240" w:lineRule="auto"/>
        <w:rPr>
          <w:rFonts w:eastAsia="Times New Roman" w:cs="Arial"/>
          <w:color w:val="000000"/>
          <w:lang w:eastAsia="bg-BG"/>
        </w:rPr>
      </w:pPr>
      <w:r w:rsidRPr="00727789">
        <w:rPr>
          <w:rFonts w:eastAsia="Times New Roman" w:cs="Arial"/>
          <w:color w:val="000000"/>
          <w:lang w:eastAsia="bg-BG"/>
        </w:rPr>
        <w:t>в комбинация с други лекарствени продукти за лечение на диабет, включително инсулин, когато те не осигуряват адекватен гликемичен контрол (вж. точка 4.4 Специални предупреждения и предпазни мерки при употреба, 4.5 Взаимодействие с други лекарствени продукти и други форми на взаимодействие и 5.1 Фармакодинамични свойства).</w:t>
      </w:r>
    </w:p>
    <w:p w14:paraId="3D781039" w14:textId="77777777" w:rsidR="00727789" w:rsidRPr="00727789" w:rsidRDefault="00727789" w:rsidP="00727789"/>
    <w:p w14:paraId="05D17336" w14:textId="570781B2" w:rsidR="00F53FB7" w:rsidRDefault="002C50EE" w:rsidP="00A93499">
      <w:pPr>
        <w:pStyle w:val="Heading2"/>
      </w:pPr>
      <w:r>
        <w:t>4.2. Дозировка и начин на приложение</w:t>
      </w:r>
    </w:p>
    <w:p w14:paraId="56076959" w14:textId="75616A73" w:rsidR="00727789" w:rsidRDefault="00727789" w:rsidP="00727789"/>
    <w:p w14:paraId="64ACB714" w14:textId="77777777" w:rsidR="00727789" w:rsidRPr="00727789" w:rsidRDefault="00727789" w:rsidP="00727789">
      <w:pPr>
        <w:pStyle w:val="Heading3"/>
        <w:rPr>
          <w:rFonts w:eastAsia="Times New Roman"/>
          <w:u w:val="single"/>
          <w:lang w:eastAsia="bg-BG"/>
        </w:rPr>
      </w:pPr>
      <w:r w:rsidRPr="00727789">
        <w:rPr>
          <w:rFonts w:eastAsia="Times New Roman"/>
          <w:u w:val="single"/>
          <w:lang w:eastAsia="bg-BG"/>
        </w:rPr>
        <w:t>Дозировка</w:t>
      </w:r>
    </w:p>
    <w:p w14:paraId="50F85707"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 xml:space="preserve">Възрастни с нормална бъбречна функция </w:t>
      </w:r>
      <w:r w:rsidRPr="00727789">
        <w:rPr>
          <w:rFonts w:eastAsia="Times New Roman" w:cs="Arial"/>
          <w:i/>
          <w:iCs/>
          <w:color w:val="000000"/>
          <w:lang w:val="en-US"/>
        </w:rPr>
        <w:t>(GFR</w:t>
      </w:r>
      <w:r w:rsidRPr="00727789">
        <w:rPr>
          <w:rFonts w:eastAsia="Times New Roman" w:cs="Arial"/>
          <w:i/>
          <w:iCs/>
          <w:color w:val="000000"/>
          <w:lang w:eastAsia="bg-BG"/>
        </w:rPr>
        <w:t xml:space="preserve">≥90 </w:t>
      </w:r>
      <w:r w:rsidRPr="00727789">
        <w:rPr>
          <w:rFonts w:eastAsia="Times New Roman" w:cs="Arial"/>
          <w:i/>
          <w:iCs/>
          <w:color w:val="000000"/>
          <w:lang w:val="en-US"/>
        </w:rPr>
        <w:t>mt</w:t>
      </w:r>
      <w:r w:rsidRPr="00727789">
        <w:rPr>
          <w:rFonts w:eastAsia="Times New Roman" w:cs="Arial"/>
          <w:i/>
          <w:iCs/>
          <w:color w:val="000000"/>
          <w:lang w:eastAsia="bg-BG"/>
        </w:rPr>
        <w:t>/мин)</w:t>
      </w:r>
    </w:p>
    <w:p w14:paraId="622F7C6F"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Дозата при антихипергликемичната терапия с Вилспокс трябва да бъде индивидуализирана въз основа на текущата схема на пациента, ефективността и поносимостта, като не се превишава максималната препоръчителна дневна доза от 100 </w:t>
      </w:r>
      <w:r w:rsidRPr="00727789">
        <w:rPr>
          <w:rFonts w:eastAsia="Times New Roman" w:cs="Arial"/>
          <w:color w:val="000000"/>
          <w:lang w:val="en-US"/>
        </w:rPr>
        <w:t xml:space="preserve">mg </w:t>
      </w:r>
      <w:r w:rsidRPr="00727789">
        <w:rPr>
          <w:rFonts w:eastAsia="Times New Roman" w:cs="Arial"/>
          <w:color w:val="000000"/>
          <w:lang w:eastAsia="bg-BG"/>
        </w:rPr>
        <w:t xml:space="preserve">вилдаглиптин. Вилспокс може да се започне или като таблетка от 50 </w:t>
      </w:r>
      <w:r w:rsidRPr="00727789">
        <w:rPr>
          <w:rFonts w:eastAsia="Times New Roman" w:cs="Arial"/>
          <w:color w:val="000000"/>
          <w:lang w:val="en-US"/>
        </w:rPr>
        <w:t xml:space="preserve">mg/850 mg </w:t>
      </w:r>
      <w:r w:rsidRPr="00727789">
        <w:rPr>
          <w:rFonts w:eastAsia="Times New Roman" w:cs="Arial"/>
          <w:color w:val="000000"/>
          <w:lang w:eastAsia="bg-BG"/>
        </w:rPr>
        <w:t xml:space="preserve">или от 50 </w:t>
      </w:r>
      <w:r w:rsidRPr="00727789">
        <w:rPr>
          <w:rFonts w:eastAsia="Times New Roman" w:cs="Arial"/>
          <w:color w:val="000000"/>
          <w:lang w:val="en-US"/>
        </w:rPr>
        <w:t xml:space="preserve">mg/1000 mg, </w:t>
      </w:r>
      <w:r w:rsidRPr="00727789">
        <w:rPr>
          <w:rFonts w:eastAsia="Times New Roman" w:cs="Arial"/>
          <w:color w:val="000000"/>
          <w:lang w:eastAsia="bg-BG"/>
        </w:rPr>
        <w:t>приложена два пъти дневно, една таблетка сутрин и една вечер.</w:t>
      </w:r>
    </w:p>
    <w:p w14:paraId="125A0668" w14:textId="77777777" w:rsidR="00727789" w:rsidRPr="00727789" w:rsidRDefault="00727789" w:rsidP="00727789">
      <w:pPr>
        <w:spacing w:line="240" w:lineRule="auto"/>
        <w:rPr>
          <w:rFonts w:eastAsia="Times New Roman" w:cs="Arial"/>
          <w:color w:val="000000"/>
          <w:lang w:eastAsia="bg-BG"/>
        </w:rPr>
      </w:pPr>
    </w:p>
    <w:p w14:paraId="4F1BCF98" w14:textId="77777777" w:rsidR="00727789" w:rsidRPr="00727789" w:rsidRDefault="00727789" w:rsidP="00727789">
      <w:pPr>
        <w:pStyle w:val="ListParagraph"/>
        <w:numPr>
          <w:ilvl w:val="0"/>
          <w:numId w:val="40"/>
        </w:numPr>
        <w:spacing w:line="240" w:lineRule="auto"/>
        <w:rPr>
          <w:rFonts w:eastAsia="Times New Roman" w:cs="Arial"/>
          <w:sz w:val="24"/>
          <w:szCs w:val="24"/>
          <w:lang w:eastAsia="bg-BG"/>
        </w:rPr>
      </w:pPr>
      <w:r w:rsidRPr="00727789">
        <w:rPr>
          <w:rFonts w:eastAsia="Times New Roman" w:cs="Arial"/>
          <w:color w:val="000000"/>
          <w:lang w:eastAsia="bg-BG"/>
        </w:rPr>
        <w:t xml:space="preserve">При пациенти, при които не е постигнат адекватен контрол с максималната поносима доза метформин, прилаган като монотерапия: началната доза на Вилспокс трябва да предоставя вилдаглиптин 50 </w:t>
      </w:r>
      <w:r w:rsidRPr="00727789">
        <w:rPr>
          <w:rFonts w:eastAsia="Times New Roman" w:cs="Arial"/>
          <w:color w:val="000000"/>
          <w:lang w:val="en-US"/>
        </w:rPr>
        <w:t xml:space="preserve">mg </w:t>
      </w:r>
      <w:r w:rsidRPr="00727789">
        <w:rPr>
          <w:rFonts w:eastAsia="Times New Roman" w:cs="Arial"/>
          <w:color w:val="000000"/>
          <w:lang w:eastAsia="bg-BG"/>
        </w:rPr>
        <w:t xml:space="preserve">два пъти дневно </w:t>
      </w:r>
      <w:r w:rsidRPr="00727789">
        <w:rPr>
          <w:rFonts w:eastAsia="Times New Roman" w:cs="Arial"/>
          <w:i/>
          <w:iCs/>
          <w:color w:val="000000"/>
          <w:lang w:eastAsia="bg-BG"/>
        </w:rPr>
        <w:t>(100</w:t>
      </w:r>
      <w:r w:rsidRPr="00727789">
        <w:rPr>
          <w:rFonts w:eastAsia="Times New Roman" w:cs="Arial"/>
          <w:color w:val="000000"/>
          <w:lang w:eastAsia="bg-BG"/>
        </w:rPr>
        <w:t xml:space="preserve"> </w:t>
      </w:r>
      <w:r w:rsidRPr="00727789">
        <w:rPr>
          <w:rFonts w:eastAsia="Times New Roman" w:cs="Arial"/>
          <w:color w:val="000000"/>
          <w:lang w:val="en-US"/>
        </w:rPr>
        <w:t xml:space="preserve">mg </w:t>
      </w:r>
      <w:r w:rsidRPr="00727789">
        <w:rPr>
          <w:rFonts w:eastAsia="Times New Roman" w:cs="Arial"/>
          <w:color w:val="000000"/>
          <w:lang w:eastAsia="bg-BG"/>
        </w:rPr>
        <w:t>обща дневна доза) плюс дозата на метформин, приемана до момента.</w:t>
      </w:r>
    </w:p>
    <w:p w14:paraId="6C17483A" w14:textId="77777777" w:rsidR="00727789" w:rsidRPr="00727789" w:rsidRDefault="00727789" w:rsidP="00727789">
      <w:pPr>
        <w:pStyle w:val="ListParagraph"/>
        <w:numPr>
          <w:ilvl w:val="0"/>
          <w:numId w:val="40"/>
        </w:numPr>
        <w:spacing w:line="240" w:lineRule="auto"/>
        <w:rPr>
          <w:rFonts w:eastAsia="Times New Roman" w:cs="Arial"/>
          <w:sz w:val="24"/>
          <w:szCs w:val="24"/>
          <w:lang w:eastAsia="bg-BG"/>
        </w:rPr>
      </w:pPr>
      <w:r w:rsidRPr="00727789">
        <w:rPr>
          <w:rFonts w:eastAsia="Times New Roman" w:cs="Arial"/>
          <w:color w:val="000000"/>
          <w:lang w:eastAsia="bg-BG"/>
        </w:rPr>
        <w:t>При пациенти, при които са прилагани едновременно вилдаглиптин и метформин като отделни таблетки: Вилспокс трябва да се започне в същите дози на вилдаглиптин и метформин, както приеманите до момента.</w:t>
      </w:r>
    </w:p>
    <w:p w14:paraId="7C4DE2CF" w14:textId="77777777" w:rsidR="00727789" w:rsidRPr="00727789" w:rsidRDefault="00727789" w:rsidP="00727789">
      <w:pPr>
        <w:pStyle w:val="ListParagraph"/>
        <w:numPr>
          <w:ilvl w:val="0"/>
          <w:numId w:val="40"/>
        </w:numPr>
        <w:spacing w:line="240" w:lineRule="auto"/>
        <w:rPr>
          <w:rFonts w:eastAsia="Times New Roman" w:cs="Arial"/>
          <w:sz w:val="24"/>
          <w:szCs w:val="24"/>
          <w:lang w:eastAsia="bg-BG"/>
        </w:rPr>
      </w:pPr>
      <w:r w:rsidRPr="00727789">
        <w:rPr>
          <w:rFonts w:eastAsia="Times New Roman" w:cs="Arial"/>
          <w:color w:val="000000"/>
          <w:lang w:eastAsia="bg-BG"/>
        </w:rPr>
        <w:t xml:space="preserve">При пациенти, при които не е постигнат адекватен контрол с двойна комбинация с метформин и сулфонилуреен продукт: дозата Вилспокс трябва да предоставя вилдаглиптин в доза от 50 </w:t>
      </w:r>
      <w:r w:rsidRPr="00727789">
        <w:rPr>
          <w:rFonts w:eastAsia="Times New Roman" w:cs="Arial"/>
          <w:color w:val="000000"/>
          <w:lang w:val="en-US"/>
        </w:rPr>
        <w:t xml:space="preserve">mg </w:t>
      </w:r>
      <w:r w:rsidRPr="00727789">
        <w:rPr>
          <w:rFonts w:eastAsia="Times New Roman" w:cs="Arial"/>
          <w:color w:val="000000"/>
          <w:lang w:eastAsia="bg-BG"/>
        </w:rPr>
        <w:t xml:space="preserve">два пъти дневно (100 </w:t>
      </w:r>
      <w:r w:rsidRPr="00727789">
        <w:rPr>
          <w:rFonts w:eastAsia="Times New Roman" w:cs="Arial"/>
          <w:color w:val="000000"/>
          <w:lang w:val="en-US"/>
        </w:rPr>
        <w:t xml:space="preserve">mg </w:t>
      </w:r>
      <w:r w:rsidRPr="00727789">
        <w:rPr>
          <w:rFonts w:eastAsia="Times New Roman" w:cs="Arial"/>
          <w:color w:val="000000"/>
          <w:lang w:eastAsia="bg-BG"/>
        </w:rPr>
        <w:t>обща дневна доза), а дозата на метформин трябва да бъде подобна на приеманата до момента. Когато Вилспокс се прилага в комбинация със сулфонилуреен продукт, може да се има предвид по-ниска доза на сулфонилурейния продукт, за да се намали рискът от хипогликемия.</w:t>
      </w:r>
    </w:p>
    <w:p w14:paraId="4E9974E8" w14:textId="732DF870" w:rsidR="00727789" w:rsidRPr="00727789" w:rsidRDefault="00727789" w:rsidP="00727789">
      <w:pPr>
        <w:pStyle w:val="ListParagraph"/>
        <w:numPr>
          <w:ilvl w:val="0"/>
          <w:numId w:val="40"/>
        </w:numPr>
        <w:spacing w:line="240" w:lineRule="auto"/>
        <w:rPr>
          <w:rFonts w:eastAsia="Times New Roman" w:cs="Arial"/>
          <w:sz w:val="24"/>
          <w:szCs w:val="24"/>
          <w:lang w:eastAsia="bg-BG"/>
        </w:rPr>
      </w:pPr>
      <w:r w:rsidRPr="00727789">
        <w:rPr>
          <w:rFonts w:eastAsia="Times New Roman" w:cs="Arial"/>
          <w:color w:val="000000"/>
          <w:lang w:eastAsia="bg-BG"/>
        </w:rPr>
        <w:t>При пациенти, при които не е постигнат адекватен контрол с двойна комбинирана терапия с инсулин и максимална поносима доза метформин:</w:t>
      </w:r>
      <w:r w:rsidRPr="00727789">
        <w:rPr>
          <w:rFonts w:eastAsia="Times New Roman" w:cs="Arial"/>
          <w:color w:val="000000"/>
          <w:lang w:eastAsia="bg-BG"/>
        </w:rPr>
        <w:t xml:space="preserve"> </w:t>
      </w:r>
      <w:r w:rsidRPr="00727789">
        <w:rPr>
          <w:rFonts w:eastAsia="Times New Roman" w:cs="Arial"/>
          <w:color w:val="000000"/>
          <w:lang w:eastAsia="bg-BG"/>
        </w:rPr>
        <w:t xml:space="preserve">дозата на Вилспокс трябва да предоставя вилдаглиптин в доза от 50 </w:t>
      </w:r>
      <w:r w:rsidRPr="00727789">
        <w:rPr>
          <w:rFonts w:eastAsia="Times New Roman" w:cs="Arial"/>
          <w:color w:val="000000"/>
          <w:lang w:val="en-US"/>
        </w:rPr>
        <w:t xml:space="preserve">mg </w:t>
      </w:r>
      <w:r w:rsidRPr="00727789">
        <w:rPr>
          <w:rFonts w:eastAsia="Times New Roman" w:cs="Arial"/>
          <w:color w:val="000000"/>
          <w:lang w:eastAsia="bg-BG"/>
        </w:rPr>
        <w:t xml:space="preserve">два пъти дневно (100 </w:t>
      </w:r>
      <w:r w:rsidRPr="00727789">
        <w:rPr>
          <w:rFonts w:eastAsia="Times New Roman" w:cs="Arial"/>
          <w:color w:val="000000"/>
          <w:lang w:val="en-US"/>
        </w:rPr>
        <w:t xml:space="preserve">mg </w:t>
      </w:r>
      <w:r w:rsidRPr="00727789">
        <w:rPr>
          <w:rFonts w:eastAsia="Times New Roman" w:cs="Arial"/>
          <w:color w:val="000000"/>
          <w:lang w:eastAsia="bg-BG"/>
        </w:rPr>
        <w:t>обща дневна доза), а дозата на метформин трябва да бъде подобна на дозата, приемана до момента.</w:t>
      </w:r>
    </w:p>
    <w:p w14:paraId="45EC3314" w14:textId="77777777" w:rsidR="00727789" w:rsidRPr="00727789" w:rsidRDefault="00727789" w:rsidP="00727789">
      <w:pPr>
        <w:spacing w:line="240" w:lineRule="auto"/>
        <w:rPr>
          <w:rFonts w:eastAsia="Times New Roman" w:cs="Arial"/>
          <w:color w:val="000000"/>
          <w:lang w:eastAsia="bg-BG"/>
        </w:rPr>
      </w:pPr>
    </w:p>
    <w:p w14:paraId="7026C09E" w14:textId="45A0D3DA"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Безопасността и ефикасността на вилдаглиптин и метформин, прилагани като тройна перорална терапия в комбинация с тиазолидиндион не са установени.</w:t>
      </w:r>
    </w:p>
    <w:p w14:paraId="1E57A6AA" w14:textId="77777777" w:rsidR="00727789" w:rsidRPr="00727789" w:rsidRDefault="00727789" w:rsidP="00727789">
      <w:pPr>
        <w:spacing w:line="240" w:lineRule="auto"/>
        <w:rPr>
          <w:rFonts w:eastAsia="Times New Roman" w:cs="Arial"/>
          <w:color w:val="000000"/>
          <w:u w:val="single"/>
          <w:lang w:eastAsia="bg-BG"/>
        </w:rPr>
      </w:pPr>
    </w:p>
    <w:p w14:paraId="19B87386" w14:textId="11705ACA"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Специални популации</w:t>
      </w:r>
    </w:p>
    <w:p w14:paraId="5434948D"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Старческа възраст (≥65 години)</w:t>
      </w:r>
    </w:p>
    <w:p w14:paraId="0033B9E5"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Тъй като метформин се екскретира през бъбреците, а пациентите в старческа възраст показват тенденция към намаляване на бъбречната функция, при пациентите в старческа възраст, които приемат Вилспокс, редовно трябва да се проследява функцията на бъбреците (вж. точки 4.4 и 5.2).</w:t>
      </w:r>
    </w:p>
    <w:p w14:paraId="088AF5BC" w14:textId="77777777" w:rsidR="00727789" w:rsidRPr="00727789" w:rsidRDefault="00727789" w:rsidP="00727789">
      <w:pPr>
        <w:spacing w:line="240" w:lineRule="auto"/>
        <w:rPr>
          <w:rFonts w:eastAsia="Times New Roman" w:cs="Arial"/>
          <w:i/>
          <w:iCs/>
          <w:color w:val="000000"/>
          <w:lang w:eastAsia="bg-BG"/>
        </w:rPr>
      </w:pPr>
    </w:p>
    <w:p w14:paraId="5B6F4368" w14:textId="23A192D7"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lastRenderedPageBreak/>
        <w:t>Бъбречно увреждане</w:t>
      </w:r>
    </w:p>
    <w:p w14:paraId="2E92D301"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Преди започване на лечение с продукти, съдържащи метформин, трябва да се направи оценка на </w:t>
      </w:r>
      <w:r w:rsidRPr="00727789">
        <w:rPr>
          <w:rFonts w:eastAsia="Times New Roman" w:cs="Arial"/>
          <w:color w:val="000000"/>
          <w:lang w:val="en-US"/>
        </w:rPr>
        <w:t xml:space="preserve">GFR </w:t>
      </w:r>
      <w:r w:rsidRPr="00727789">
        <w:rPr>
          <w:rFonts w:eastAsia="Times New Roman" w:cs="Arial"/>
          <w:color w:val="000000"/>
          <w:lang w:eastAsia="bg-BG"/>
        </w:rPr>
        <w:t>стойностите, а след това - поне веднъж годишно. При пациенти с повишен риск от по</w:t>
      </w:r>
      <w:r w:rsidRPr="00727789">
        <w:rPr>
          <w:rFonts w:eastAsia="Times New Roman" w:cs="Arial"/>
          <w:color w:val="000000"/>
          <w:lang w:eastAsia="bg-BG"/>
        </w:rPr>
        <w:softHyphen/>
        <w:t>нататъшно прогресиране на бъбречно увреждане и при пациенти в старческа възраст трябва по- често да се прави оценка на бъбречната функция, например на всеки 3-6 месеца.</w:t>
      </w:r>
    </w:p>
    <w:p w14:paraId="49F06B85" w14:textId="77777777" w:rsidR="00727789" w:rsidRPr="00727789" w:rsidRDefault="00727789" w:rsidP="00727789">
      <w:pPr>
        <w:spacing w:line="240" w:lineRule="auto"/>
        <w:rPr>
          <w:rFonts w:eastAsia="Times New Roman" w:cs="Arial"/>
          <w:color w:val="000000"/>
          <w:lang w:eastAsia="bg-BG"/>
        </w:rPr>
      </w:pPr>
    </w:p>
    <w:p w14:paraId="4EFA3CBE" w14:textId="009E09F3" w:rsidR="00727789" w:rsidRPr="00727789" w:rsidRDefault="00727789" w:rsidP="00727789">
      <w:pPr>
        <w:spacing w:line="240" w:lineRule="auto"/>
        <w:rPr>
          <w:rFonts w:eastAsia="Times New Roman" w:cs="Arial"/>
          <w:color w:val="000000"/>
          <w:lang w:eastAsia="bg-BG"/>
        </w:rPr>
      </w:pPr>
      <w:r w:rsidRPr="00727789">
        <w:rPr>
          <w:rFonts w:eastAsia="Times New Roman" w:cs="Arial"/>
          <w:color w:val="000000"/>
          <w:lang w:eastAsia="bg-BG"/>
        </w:rPr>
        <w:t xml:space="preserve">За предпочитане е максималната дневна доза метформин да бъде разделена на 2-3 дневни дози. </w:t>
      </w:r>
    </w:p>
    <w:p w14:paraId="51B5A3D4" w14:textId="70F91232"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Фактори, които могат да увеличат риска от лактатна ацидоза (вж. точка 4.4), трябва да бъдат преразгледани, преди да се обмисли започването на лечение с метформин при пациенти с </w:t>
      </w:r>
      <w:r w:rsidRPr="00727789">
        <w:rPr>
          <w:rFonts w:eastAsia="Times New Roman" w:cs="Arial"/>
          <w:color w:val="000000"/>
          <w:lang w:val="en-US"/>
        </w:rPr>
        <w:t>GFR&lt;60 ml</w:t>
      </w:r>
      <w:r w:rsidRPr="00727789">
        <w:rPr>
          <w:rFonts w:eastAsia="Times New Roman" w:cs="Arial"/>
          <w:color w:val="000000"/>
          <w:lang w:eastAsia="bg-BG"/>
        </w:rPr>
        <w:t>/мин.</w:t>
      </w:r>
    </w:p>
    <w:p w14:paraId="76E11A87" w14:textId="77777777" w:rsidR="00727789" w:rsidRPr="00727789" w:rsidRDefault="00727789" w:rsidP="00727789">
      <w:pPr>
        <w:spacing w:line="240" w:lineRule="auto"/>
        <w:rPr>
          <w:rFonts w:eastAsia="Times New Roman" w:cs="Arial"/>
          <w:color w:val="000000"/>
          <w:lang w:eastAsia="bg-BG"/>
        </w:rPr>
      </w:pPr>
    </w:p>
    <w:p w14:paraId="405AED62" w14:textId="2B765D2C"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Ако не е достъпна дозова форма на Вилспокс с адекватно количество на активното вещество, вместо комбинация с фиксирани дози трябва да се използват отделните монокомпоненти.</w:t>
      </w:r>
    </w:p>
    <w:p w14:paraId="21F633A5" w14:textId="4CE3EDF6" w:rsidR="00727789" w:rsidRDefault="00727789" w:rsidP="00727789"/>
    <w:tbl>
      <w:tblPr>
        <w:tblStyle w:val="TableGrid"/>
        <w:tblW w:w="0" w:type="auto"/>
        <w:tblLook w:val="04A0" w:firstRow="1" w:lastRow="0" w:firstColumn="1" w:lastColumn="0" w:noHBand="0" w:noVBand="1"/>
      </w:tblPr>
      <w:tblGrid>
        <w:gridCol w:w="3098"/>
        <w:gridCol w:w="3129"/>
        <w:gridCol w:w="3123"/>
      </w:tblGrid>
      <w:tr w:rsidR="00727789" w14:paraId="5E8AF5E6" w14:textId="77777777" w:rsidTr="00727789">
        <w:tc>
          <w:tcPr>
            <w:tcW w:w="3166" w:type="dxa"/>
          </w:tcPr>
          <w:p w14:paraId="4AA485EA" w14:textId="3D754B71" w:rsidR="00727789" w:rsidRDefault="00727789" w:rsidP="00727789">
            <w:r>
              <w:rPr>
                <w:lang w:val="en-US"/>
              </w:rPr>
              <w:t>GFR ml</w:t>
            </w:r>
            <w:r>
              <w:t>/мин</w:t>
            </w:r>
          </w:p>
        </w:tc>
        <w:tc>
          <w:tcPr>
            <w:tcW w:w="3167" w:type="dxa"/>
          </w:tcPr>
          <w:p w14:paraId="24B2491C" w14:textId="57DC0E08" w:rsidR="00727789" w:rsidRDefault="00727789" w:rsidP="00727789">
            <w:r>
              <w:t>Метформин</w:t>
            </w:r>
          </w:p>
        </w:tc>
        <w:tc>
          <w:tcPr>
            <w:tcW w:w="3167" w:type="dxa"/>
          </w:tcPr>
          <w:p w14:paraId="66AB8E9C" w14:textId="30133CE6" w:rsidR="00727789" w:rsidRDefault="00727789" w:rsidP="00727789">
            <w:r>
              <w:t>Вилдаглиптин</w:t>
            </w:r>
          </w:p>
        </w:tc>
      </w:tr>
      <w:tr w:rsidR="00727789" w14:paraId="2EF10BC7" w14:textId="77777777" w:rsidTr="00727789">
        <w:tc>
          <w:tcPr>
            <w:tcW w:w="3166" w:type="dxa"/>
          </w:tcPr>
          <w:p w14:paraId="140862BB" w14:textId="6D13FDEC" w:rsidR="00727789" w:rsidRDefault="00727789" w:rsidP="00727789">
            <w:r>
              <w:t>60-89</w:t>
            </w:r>
          </w:p>
        </w:tc>
        <w:tc>
          <w:tcPr>
            <w:tcW w:w="3167" w:type="dxa"/>
          </w:tcPr>
          <w:p w14:paraId="20C0622C" w14:textId="330133AE" w:rsidR="00727789" w:rsidRDefault="00727789" w:rsidP="00727789">
            <w:r>
              <w:t xml:space="preserve">Максималната дневна доза е 3000 </w:t>
            </w:r>
            <w:r>
              <w:rPr>
                <w:lang w:val="en-US"/>
              </w:rPr>
              <w:t xml:space="preserve">mg. </w:t>
            </w:r>
            <w:r>
              <w:t>Може да се обмисли понижаване на дозата във връзка с намаляването на бъбречната функция.</w:t>
            </w:r>
          </w:p>
        </w:tc>
        <w:tc>
          <w:tcPr>
            <w:tcW w:w="3167" w:type="dxa"/>
          </w:tcPr>
          <w:p w14:paraId="0F82FB58" w14:textId="5028783F" w:rsidR="00727789" w:rsidRDefault="00727789" w:rsidP="00727789">
            <w:r>
              <w:t>Не се налага корекция на дозата.</w:t>
            </w:r>
          </w:p>
        </w:tc>
      </w:tr>
      <w:tr w:rsidR="00727789" w14:paraId="5AE55BED" w14:textId="77777777" w:rsidTr="00727789">
        <w:tc>
          <w:tcPr>
            <w:tcW w:w="3166" w:type="dxa"/>
          </w:tcPr>
          <w:p w14:paraId="705D9C98" w14:textId="3B99E127" w:rsidR="00727789" w:rsidRDefault="00727789" w:rsidP="00727789">
            <w:r>
              <w:t>45-59</w:t>
            </w:r>
          </w:p>
        </w:tc>
        <w:tc>
          <w:tcPr>
            <w:tcW w:w="3167" w:type="dxa"/>
          </w:tcPr>
          <w:p w14:paraId="524D621D" w14:textId="195F6DF6" w:rsidR="00727789" w:rsidRDefault="00727789" w:rsidP="00727789">
            <w:r>
              <w:t xml:space="preserve">Максималната дневна доза е 2000 </w:t>
            </w:r>
            <w:r>
              <w:rPr>
                <w:lang w:val="en-US"/>
              </w:rPr>
              <w:t xml:space="preserve">mg. </w:t>
            </w:r>
            <w:r>
              <w:t>Началната доза е най-много половината от максималната доза.</w:t>
            </w:r>
          </w:p>
        </w:tc>
        <w:tc>
          <w:tcPr>
            <w:tcW w:w="3167" w:type="dxa"/>
            <w:vMerge w:val="restart"/>
          </w:tcPr>
          <w:p w14:paraId="7DB9C5C7" w14:textId="7D0A3335" w:rsidR="00727789" w:rsidRDefault="00727789" w:rsidP="00727789">
            <w:r>
              <w:t xml:space="preserve">Максималната дневна доза е 50 </w:t>
            </w:r>
            <w:r>
              <w:rPr>
                <w:lang w:val="en-US"/>
              </w:rPr>
              <w:t>mg.</w:t>
            </w:r>
          </w:p>
        </w:tc>
      </w:tr>
      <w:tr w:rsidR="00727789" w14:paraId="21264A85" w14:textId="77777777" w:rsidTr="00727789">
        <w:tc>
          <w:tcPr>
            <w:tcW w:w="3166" w:type="dxa"/>
          </w:tcPr>
          <w:p w14:paraId="2C047E06" w14:textId="0B5B64FA" w:rsidR="00727789" w:rsidRDefault="00727789" w:rsidP="00727789">
            <w:r>
              <w:t>30-44</w:t>
            </w:r>
          </w:p>
        </w:tc>
        <w:tc>
          <w:tcPr>
            <w:tcW w:w="3167" w:type="dxa"/>
          </w:tcPr>
          <w:p w14:paraId="43636760" w14:textId="4C3D93E0" w:rsidR="00727789" w:rsidRDefault="00727789" w:rsidP="00727789">
            <w:r>
              <w:t xml:space="preserve">Максималната дневна доза е 1000 </w:t>
            </w:r>
            <w:r>
              <w:rPr>
                <w:lang w:val="en-US"/>
              </w:rPr>
              <w:t xml:space="preserve">mg. </w:t>
            </w:r>
            <w:r>
              <w:t>Началната доза е най-много половината от максималната доза.</w:t>
            </w:r>
          </w:p>
        </w:tc>
        <w:tc>
          <w:tcPr>
            <w:tcW w:w="3167" w:type="dxa"/>
            <w:vMerge/>
          </w:tcPr>
          <w:p w14:paraId="57819462" w14:textId="77777777" w:rsidR="00727789" w:rsidRDefault="00727789" w:rsidP="00727789"/>
        </w:tc>
      </w:tr>
      <w:tr w:rsidR="00727789" w14:paraId="15E12F90" w14:textId="77777777" w:rsidTr="00727789">
        <w:tc>
          <w:tcPr>
            <w:tcW w:w="3166" w:type="dxa"/>
          </w:tcPr>
          <w:p w14:paraId="55059EC4" w14:textId="715ED608" w:rsidR="00727789" w:rsidRDefault="00727789" w:rsidP="00727789">
            <w:r>
              <w:t>&lt;30</w:t>
            </w:r>
          </w:p>
        </w:tc>
        <w:tc>
          <w:tcPr>
            <w:tcW w:w="3167" w:type="dxa"/>
          </w:tcPr>
          <w:p w14:paraId="53A8A5DC" w14:textId="5E45F30E" w:rsidR="00727789" w:rsidRDefault="00727789" w:rsidP="00727789">
            <w:r>
              <w:t>Метформин е противопоказан.</w:t>
            </w:r>
          </w:p>
        </w:tc>
        <w:tc>
          <w:tcPr>
            <w:tcW w:w="3167" w:type="dxa"/>
            <w:vMerge/>
          </w:tcPr>
          <w:p w14:paraId="07EFCEE7" w14:textId="77777777" w:rsidR="00727789" w:rsidRDefault="00727789" w:rsidP="00727789"/>
        </w:tc>
      </w:tr>
    </w:tbl>
    <w:p w14:paraId="5F2CD11B" w14:textId="676D7FBF" w:rsidR="00727789" w:rsidRDefault="00727789" w:rsidP="00727789"/>
    <w:p w14:paraId="1136FD3C"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Чернодробно увреждане</w:t>
      </w:r>
    </w:p>
    <w:p w14:paraId="059DA5AA"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Вилспокс не трябва да се прилага при пациенти с чернодробно увреждане, включително тези със стойности на аланин аминотрансфераза (АЛАТ) или аспартат аминотрансферазата (АСАТ) преди започване на лечението &gt; 3 пъти горната граница на нормата (ГГН) (вж. точки 4.3, 4.4 и 4.8).</w:t>
      </w:r>
    </w:p>
    <w:p w14:paraId="6184A242" w14:textId="77777777" w:rsidR="00727789" w:rsidRPr="00727789" w:rsidRDefault="00727789" w:rsidP="00727789">
      <w:pPr>
        <w:spacing w:line="240" w:lineRule="auto"/>
        <w:rPr>
          <w:rFonts w:eastAsia="Times New Roman" w:cs="Arial"/>
          <w:i/>
          <w:iCs/>
          <w:color w:val="000000"/>
          <w:lang w:eastAsia="bg-BG"/>
        </w:rPr>
      </w:pPr>
    </w:p>
    <w:p w14:paraId="0BE92D73" w14:textId="540867D8"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Педиатрична популация</w:t>
      </w:r>
    </w:p>
    <w:p w14:paraId="0B813B38"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Не се препоръчва употребата на Вилспокс при деца и юноши (&lt; 18 години). Безопасността и ефикасността на Вилспокс при деца и юноши (&lt; 18 години) не са установени. Не са налични данни.</w:t>
      </w:r>
    </w:p>
    <w:p w14:paraId="60C72CA4" w14:textId="77777777" w:rsidR="00727789" w:rsidRPr="00727789" w:rsidRDefault="00727789" w:rsidP="00727789">
      <w:pPr>
        <w:spacing w:line="240" w:lineRule="auto"/>
        <w:rPr>
          <w:rFonts w:eastAsia="Times New Roman" w:cs="Arial"/>
          <w:color w:val="000000"/>
          <w:u w:val="single"/>
          <w:lang w:eastAsia="bg-BG"/>
        </w:rPr>
      </w:pPr>
    </w:p>
    <w:p w14:paraId="77C98DC9" w14:textId="68640957" w:rsidR="00727789" w:rsidRPr="00727789" w:rsidRDefault="00727789" w:rsidP="00727789">
      <w:pPr>
        <w:pStyle w:val="Heading3"/>
        <w:rPr>
          <w:rFonts w:eastAsia="Times New Roman"/>
          <w:u w:val="single"/>
          <w:lang w:eastAsia="bg-BG"/>
        </w:rPr>
      </w:pPr>
      <w:r w:rsidRPr="00727789">
        <w:rPr>
          <w:rFonts w:eastAsia="Times New Roman"/>
          <w:u w:val="single"/>
          <w:lang w:eastAsia="bg-BG"/>
        </w:rPr>
        <w:t>Начин на приложение</w:t>
      </w:r>
    </w:p>
    <w:p w14:paraId="0A514BF0"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Перорално приложение.</w:t>
      </w:r>
    </w:p>
    <w:p w14:paraId="6BDAE9A9"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lastRenderedPageBreak/>
        <w:t>Приемът на Вилспокс по време или веднага след хранене, може да намали стомашно-чревните симптоми, свързани с метформин (вж. също точка 5.2).</w:t>
      </w:r>
    </w:p>
    <w:p w14:paraId="6ECAAC08" w14:textId="77777777" w:rsidR="00727789" w:rsidRPr="00727789" w:rsidRDefault="00727789" w:rsidP="00727789"/>
    <w:p w14:paraId="1BF2EFF4" w14:textId="569DB73E" w:rsidR="001A6EBD" w:rsidRDefault="002C50EE" w:rsidP="00471F10">
      <w:pPr>
        <w:pStyle w:val="Heading2"/>
      </w:pPr>
      <w:r>
        <w:t>4.3. Противопоказания</w:t>
      </w:r>
    </w:p>
    <w:p w14:paraId="7B8BB816" w14:textId="3A2219C8" w:rsidR="00727789" w:rsidRDefault="00727789" w:rsidP="00727789"/>
    <w:p w14:paraId="200CB94E"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Свръхчувствителност към активните вещества или към някое от помощните вещества, изброени в точка 6.1</w:t>
      </w:r>
    </w:p>
    <w:p w14:paraId="7ED64B65"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Всеки тип на остра метаболитна ацидоза (като лактатна ацидоза, диабетна кетоацидоза) Диабетна кома</w:t>
      </w:r>
    </w:p>
    <w:p w14:paraId="5F55FF7E"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 xml:space="preserve">Тежка бъбречна недостатъчност </w:t>
      </w:r>
      <w:r w:rsidRPr="00727789">
        <w:rPr>
          <w:rFonts w:eastAsia="Times New Roman" w:cs="Arial"/>
          <w:color w:val="000000"/>
          <w:lang w:val="en-US"/>
        </w:rPr>
        <w:t xml:space="preserve">(GFR </w:t>
      </w:r>
      <w:r w:rsidRPr="00727789">
        <w:rPr>
          <w:rFonts w:eastAsia="Times New Roman" w:cs="Arial"/>
          <w:color w:val="000000"/>
          <w:lang w:eastAsia="bg-BG"/>
        </w:rPr>
        <w:t xml:space="preserve">&lt;30 </w:t>
      </w:r>
      <w:r w:rsidRPr="00727789">
        <w:rPr>
          <w:rFonts w:eastAsia="Times New Roman" w:cs="Arial"/>
          <w:color w:val="000000"/>
          <w:lang w:val="en-US"/>
        </w:rPr>
        <w:t>mL</w:t>
      </w:r>
      <w:r w:rsidRPr="00727789">
        <w:rPr>
          <w:rFonts w:eastAsia="Times New Roman" w:cs="Arial"/>
          <w:color w:val="000000"/>
          <w:lang w:eastAsia="bg-BG"/>
        </w:rPr>
        <w:t xml:space="preserve">/мин) (вж. точка 4.4) </w:t>
      </w:r>
    </w:p>
    <w:p w14:paraId="3F2AE2E0"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Остри състояния, които могат да променят бъбречната функция, като:</w:t>
      </w:r>
    </w:p>
    <w:p w14:paraId="1A7517AF"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дехидратация,</w:t>
      </w:r>
    </w:p>
    <w:p w14:paraId="162020F9"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тежка инфекция,</w:t>
      </w:r>
    </w:p>
    <w:p w14:paraId="1C8D0944"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шок,</w:t>
      </w:r>
    </w:p>
    <w:p w14:paraId="296716F6"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вътресъдово приложение на йодирани контрастни вещества (вж. точка 4.4).</w:t>
      </w:r>
    </w:p>
    <w:p w14:paraId="7F1DD161"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Остро или хронично заболяване, което може да причини тъканна хипоксия, като:</w:t>
      </w:r>
    </w:p>
    <w:p w14:paraId="007BA1C8"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сърдечна или дихателна недостатъчност,</w:t>
      </w:r>
    </w:p>
    <w:p w14:paraId="5995BD1E"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скорошен миокарден инфаркт,</w:t>
      </w:r>
    </w:p>
    <w:p w14:paraId="46B43588"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шок.</w:t>
      </w:r>
    </w:p>
    <w:p w14:paraId="7A89DE0F"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Чернодробно увреждане (вж. точки 4.2,4.4 и 4.8)</w:t>
      </w:r>
    </w:p>
    <w:p w14:paraId="1A009791" w14:textId="77777777"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Остра алкохолна интоксикация, алкохолизъм</w:t>
      </w:r>
    </w:p>
    <w:p w14:paraId="0DE360B2" w14:textId="4FDADA96" w:rsidR="00727789" w:rsidRPr="00727789" w:rsidRDefault="00727789" w:rsidP="00727789">
      <w:pPr>
        <w:pStyle w:val="ListParagraph"/>
        <w:numPr>
          <w:ilvl w:val="0"/>
          <w:numId w:val="2"/>
        </w:numPr>
        <w:spacing w:line="240" w:lineRule="auto"/>
        <w:rPr>
          <w:rFonts w:eastAsia="Times New Roman" w:cs="Arial"/>
          <w:color w:val="000000"/>
          <w:lang w:eastAsia="bg-BG"/>
        </w:rPr>
      </w:pPr>
      <w:r w:rsidRPr="00727789">
        <w:rPr>
          <w:rFonts w:eastAsia="Times New Roman" w:cs="Arial"/>
          <w:color w:val="000000"/>
          <w:lang w:eastAsia="bg-BG"/>
        </w:rPr>
        <w:t>Кърмене (вж. точка 4.6)</w:t>
      </w:r>
    </w:p>
    <w:p w14:paraId="4943D5D0" w14:textId="77777777" w:rsidR="00727789" w:rsidRPr="00727789" w:rsidRDefault="00727789" w:rsidP="00727789"/>
    <w:p w14:paraId="0C106098" w14:textId="2BB0FFCA" w:rsidR="001A6EBD" w:rsidRDefault="002C50EE" w:rsidP="00471F10">
      <w:pPr>
        <w:pStyle w:val="Heading2"/>
      </w:pPr>
      <w:r>
        <w:t>4.4. Специални предупреждения и предпазни мерки при употреба</w:t>
      </w:r>
    </w:p>
    <w:p w14:paraId="4051B556" w14:textId="19A66CA0" w:rsidR="00727789" w:rsidRDefault="00727789" w:rsidP="00727789"/>
    <w:p w14:paraId="2B1A6FE8"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Общи</w:t>
      </w:r>
    </w:p>
    <w:p w14:paraId="3043DFBD"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Вилспокс не е заместител на инсулина при инсулин-зависими пациенти и не трябва да се прилага при пациенти със захарен диабет тип 1.</w:t>
      </w:r>
    </w:p>
    <w:p w14:paraId="2CEC2F51" w14:textId="77777777" w:rsidR="00727789" w:rsidRPr="00727789" w:rsidRDefault="00727789" w:rsidP="00727789">
      <w:pPr>
        <w:spacing w:line="240" w:lineRule="auto"/>
        <w:rPr>
          <w:rFonts w:eastAsia="Times New Roman" w:cs="Arial"/>
          <w:color w:val="000000"/>
          <w:u w:val="single"/>
          <w:lang w:eastAsia="bg-BG"/>
        </w:rPr>
      </w:pPr>
    </w:p>
    <w:p w14:paraId="36EB21F0" w14:textId="30B1B7FD"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Лактатна ацидоза</w:t>
      </w:r>
    </w:p>
    <w:p w14:paraId="7581CA94"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Лактатната ацидоза, много рядко, но сериозно метаболитно усложнение, най-често настъпва при остро влошаване на бъбречната функция, кардио-респираторно заболяване или сепсис. Натрупването на метформин настъпва при остро влошаване на бъбречната функция и увеличава риска от лактатна ацидоза.</w:t>
      </w:r>
    </w:p>
    <w:p w14:paraId="5A3C5C25" w14:textId="77777777" w:rsidR="00727789" w:rsidRPr="00727789" w:rsidRDefault="00727789" w:rsidP="00727789">
      <w:pPr>
        <w:spacing w:line="240" w:lineRule="auto"/>
        <w:rPr>
          <w:rFonts w:eastAsia="Times New Roman" w:cs="Arial"/>
          <w:color w:val="000000"/>
          <w:lang w:eastAsia="bg-BG"/>
        </w:rPr>
      </w:pPr>
    </w:p>
    <w:p w14:paraId="0F457A2B" w14:textId="7BDFF80F"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 случай на дехидратация (тежка диария или повръщане, треска или намален прием на течности), трябва временно да се спре приема на метформин и е препоръчително да се установи връзка с медицински специалист.</w:t>
      </w:r>
    </w:p>
    <w:p w14:paraId="3D085B4E" w14:textId="77777777" w:rsidR="00727789" w:rsidRPr="00727789" w:rsidRDefault="00727789" w:rsidP="00727789">
      <w:pPr>
        <w:spacing w:line="240" w:lineRule="auto"/>
        <w:rPr>
          <w:rFonts w:eastAsia="Times New Roman" w:cs="Arial"/>
          <w:color w:val="000000"/>
          <w:lang w:eastAsia="bg-BG"/>
        </w:rPr>
      </w:pPr>
    </w:p>
    <w:p w14:paraId="776C7465" w14:textId="58A7EBA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Приемът на лекарствени продукти, които могат остро да увредят бъбречната функция (като антихипертензивни средства, диуретици и НСПВС) трябва да се започне с повишено внимание при пациенти, лекувани с метформин. Други рискови фактори за лактатна ацидоза са диабет, кетоза, продължително гладуване и всякакви състояния, свързани с хипоксия, както и едновременна употреба на лекарствени продукти, които могат да причинят лактатна ацидоза (вж. точки 4.3 и 4.5).</w:t>
      </w:r>
    </w:p>
    <w:p w14:paraId="143AD962" w14:textId="77777777" w:rsidR="00727789" w:rsidRPr="00727789" w:rsidRDefault="00727789" w:rsidP="00727789">
      <w:pPr>
        <w:spacing w:line="240" w:lineRule="auto"/>
        <w:rPr>
          <w:rFonts w:eastAsia="Times New Roman" w:cs="Arial"/>
          <w:color w:val="000000"/>
          <w:lang w:eastAsia="bg-BG"/>
        </w:rPr>
      </w:pPr>
    </w:p>
    <w:p w14:paraId="41F593BA" w14:textId="77777777" w:rsidR="00727789" w:rsidRPr="00727789" w:rsidRDefault="00727789" w:rsidP="00727789">
      <w:pPr>
        <w:spacing w:line="240" w:lineRule="auto"/>
        <w:rPr>
          <w:rFonts w:eastAsia="Times New Roman" w:cs="Arial"/>
          <w:color w:val="000000"/>
          <w:lang w:eastAsia="bg-BG"/>
        </w:rPr>
      </w:pPr>
      <w:r w:rsidRPr="00727789">
        <w:rPr>
          <w:rFonts w:eastAsia="Times New Roman" w:cs="Arial"/>
          <w:color w:val="000000"/>
          <w:lang w:eastAsia="bg-BG"/>
        </w:rPr>
        <w:t xml:space="preserve">Пациентите и/или болногледачите трябва да бъдат информирани за риска от лактатна ацидоза. Лактатната ацидоза се характеризира с ацидозна диспнея, коремна болка, мускулни крампи, астения и хипотермия, последвани от кома. В случай на съмнение за симптоми пациентът трябва да спре приема на метформин и незабавно да потърси лекарска помощ. Диагностичните лабораторни находки са понижено кръвно </w:t>
      </w:r>
      <w:r w:rsidRPr="00727789">
        <w:rPr>
          <w:rFonts w:eastAsia="Times New Roman" w:cs="Arial"/>
          <w:color w:val="000000"/>
          <w:lang w:val="en-US"/>
        </w:rPr>
        <w:t xml:space="preserve">pH </w:t>
      </w:r>
      <w:r w:rsidRPr="00727789">
        <w:rPr>
          <w:rFonts w:eastAsia="Times New Roman" w:cs="Arial"/>
          <w:color w:val="000000"/>
          <w:lang w:eastAsia="bg-BG"/>
        </w:rPr>
        <w:t xml:space="preserve">(&lt; 7,35), повишени нива на плазмения лактат (&gt;5 </w:t>
      </w:r>
    </w:p>
    <w:p w14:paraId="16BA506A" w14:textId="30B2445E"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val="en-US"/>
        </w:rPr>
        <w:t xml:space="preserve">mmol/L) </w:t>
      </w:r>
      <w:r w:rsidRPr="00727789">
        <w:rPr>
          <w:rFonts w:eastAsia="Times New Roman" w:cs="Arial"/>
          <w:color w:val="000000"/>
          <w:lang w:eastAsia="bg-BG"/>
        </w:rPr>
        <w:t>и повишена анионна разлика и съотношение лактат/пируват.</w:t>
      </w:r>
    </w:p>
    <w:p w14:paraId="4AD7553E" w14:textId="77777777" w:rsidR="00727789" w:rsidRPr="00727789" w:rsidRDefault="00727789" w:rsidP="00727789">
      <w:pPr>
        <w:spacing w:line="240" w:lineRule="auto"/>
        <w:rPr>
          <w:rFonts w:eastAsia="Times New Roman" w:cs="Arial"/>
          <w:color w:val="000000"/>
          <w:u w:val="single"/>
          <w:lang w:eastAsia="bg-BG"/>
        </w:rPr>
      </w:pPr>
    </w:p>
    <w:p w14:paraId="04ABA098" w14:textId="05312EA6"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Приложение на Йодирани контрастни вещества</w:t>
      </w:r>
    </w:p>
    <w:p w14:paraId="77519446"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Вътресъдовото приложение на йодирани контрастни вещества може да доведе до контраст- индуцирана нефропатия, водеща до натрупване на метформин и повишен риск от лактатна ацидоза. Метформин трябва да се спре преди или по време на процедурата за образна диагностика и не трябва да се възобновява до най-малко 48 часа след това, при условие че бъбречната функция е оценена отново и е установено, че е стабилна, вж. точки 4.2 и 4.5.</w:t>
      </w:r>
    </w:p>
    <w:p w14:paraId="334EF7C9" w14:textId="77777777" w:rsidR="00727789" w:rsidRPr="00727789" w:rsidRDefault="00727789" w:rsidP="00727789">
      <w:pPr>
        <w:spacing w:line="240" w:lineRule="auto"/>
        <w:rPr>
          <w:rFonts w:eastAsia="Times New Roman" w:cs="Arial"/>
          <w:color w:val="000000"/>
          <w:u w:val="single"/>
          <w:lang w:eastAsia="bg-BG"/>
        </w:rPr>
      </w:pPr>
    </w:p>
    <w:p w14:paraId="0FB23B44" w14:textId="0D0927F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Бъбречна функция</w:t>
      </w:r>
    </w:p>
    <w:p w14:paraId="439860AB"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Преди започване на лечението трябва да се направи оценка на стойностите на </w:t>
      </w:r>
      <w:r w:rsidRPr="00727789">
        <w:rPr>
          <w:rFonts w:eastAsia="Times New Roman" w:cs="Arial"/>
          <w:color w:val="000000"/>
          <w:lang w:val="en-US"/>
        </w:rPr>
        <w:t xml:space="preserve">GFR </w:t>
      </w:r>
      <w:r w:rsidRPr="00727789">
        <w:rPr>
          <w:rFonts w:eastAsia="Times New Roman" w:cs="Arial"/>
          <w:color w:val="000000"/>
          <w:lang w:eastAsia="bg-BG"/>
        </w:rPr>
        <w:t xml:space="preserve">и редовно след това (вж. точка 4.2). Метформин е противопоказан при пациенти с </w:t>
      </w:r>
      <w:r w:rsidRPr="00727789">
        <w:rPr>
          <w:rFonts w:eastAsia="Times New Roman" w:cs="Arial"/>
          <w:color w:val="000000"/>
          <w:lang w:val="en-US"/>
        </w:rPr>
        <w:t>GFR&lt;30 mL</w:t>
      </w:r>
      <w:r w:rsidRPr="00727789">
        <w:rPr>
          <w:rFonts w:eastAsia="Times New Roman" w:cs="Arial"/>
          <w:color w:val="000000"/>
          <w:lang w:eastAsia="bg-BG"/>
        </w:rPr>
        <w:t>/мин и трябва да бъде временно спрян при наличие на състояния, които променят бъбречната функция (вж. точка 4.3).</w:t>
      </w:r>
    </w:p>
    <w:p w14:paraId="39876A00" w14:textId="77777777" w:rsidR="00727789" w:rsidRPr="00727789" w:rsidRDefault="00727789" w:rsidP="00727789">
      <w:pPr>
        <w:spacing w:line="240" w:lineRule="auto"/>
        <w:rPr>
          <w:rFonts w:eastAsia="Times New Roman" w:cs="Arial"/>
          <w:color w:val="000000"/>
          <w:lang w:eastAsia="bg-BG"/>
        </w:rPr>
      </w:pPr>
    </w:p>
    <w:p w14:paraId="47C1461B" w14:textId="7784B7AD"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Съпътстващото приложение на лекарствени продукти, които могат да повлияят бъбречната функция, да доведат до значима хемодинамична промяна или да инхибират бъбречния транспорт и да повишат системната експозиция на метформин, трябва да се извършва с повишено внимание (вж. точка 4.5).</w:t>
      </w:r>
    </w:p>
    <w:p w14:paraId="0ED3791D" w14:textId="77777777" w:rsidR="00727789" w:rsidRPr="00727789" w:rsidRDefault="00727789" w:rsidP="00727789">
      <w:pPr>
        <w:spacing w:line="240" w:lineRule="auto"/>
        <w:rPr>
          <w:rFonts w:eastAsia="Times New Roman" w:cs="Arial"/>
          <w:color w:val="000000"/>
          <w:u w:val="single"/>
          <w:lang w:eastAsia="bg-BG"/>
        </w:rPr>
      </w:pPr>
    </w:p>
    <w:p w14:paraId="5CAB464F" w14:textId="1AFA491C"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Чернодробно увреждане</w:t>
      </w:r>
    </w:p>
    <w:p w14:paraId="31B52FFF"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Пациенти с чернодробно увреждане, включително тези със стойности на АЛАТ и АСАТ преди започване на лечението &gt; 3 пъти ГГН, не трябва да бъдат лекувани с Вилспокс (вж. точки 4.2, 4.3 и 4.8).</w:t>
      </w:r>
    </w:p>
    <w:p w14:paraId="027FAC1D" w14:textId="77777777" w:rsidR="00727789" w:rsidRPr="00727789" w:rsidRDefault="00727789" w:rsidP="00727789">
      <w:pPr>
        <w:spacing w:line="240" w:lineRule="auto"/>
        <w:rPr>
          <w:rFonts w:eastAsia="Times New Roman" w:cs="Arial"/>
          <w:i/>
          <w:iCs/>
          <w:color w:val="000000"/>
          <w:lang w:eastAsia="bg-BG"/>
        </w:rPr>
      </w:pPr>
    </w:p>
    <w:p w14:paraId="0EFF27AD" w14:textId="61D9FB04" w:rsidR="00727789" w:rsidRPr="00727789" w:rsidRDefault="00727789" w:rsidP="00727789">
      <w:pPr>
        <w:spacing w:line="240" w:lineRule="auto"/>
        <w:rPr>
          <w:rFonts w:eastAsia="Times New Roman" w:cs="Arial"/>
          <w:sz w:val="24"/>
          <w:szCs w:val="24"/>
          <w:lang w:eastAsia="bg-BG"/>
        </w:rPr>
      </w:pPr>
      <w:r w:rsidRPr="00727789">
        <w:rPr>
          <w:rFonts w:eastAsia="Times New Roman" w:cs="Arial"/>
          <w:i/>
          <w:iCs/>
          <w:color w:val="000000"/>
          <w:lang w:eastAsia="bg-BG"/>
        </w:rPr>
        <w:t>Проследяване на чернодробните ензими</w:t>
      </w:r>
    </w:p>
    <w:p w14:paraId="6DA1C9BF"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Има съобщения за редки случаи на нарушена чернодробна функция (включително хепатит) след прием на вилдаглиптин. В тези случаи пациентите като цяло са без симптоми, без клинични последствия и стойностите на изследванията за чернодробна функция (ИЧФ) се възвръщат до нормалните след прекратяване на лечението. Преди започване на лечението с Вилспокс трябва да се проведат ИЧФ, за да се знае изходното ниво на пациента. По време на лечението с Вилспокс чернодробната функция трябва да се наблюдава на тримесечни интервали през първата година и периодично след това. Пациентите, при които се повишат стойностите на трансаминазите, трябва да бъдат проследени чрез повторна оценка на чернодробната функция за потвърждаване на данните и след това ИЧФ да се правят често, докато отклоненията се върнат към нормалните стойности. Ако покачването на АСАТ или АЛАТ &gt; 3 пъти ГГН персистира, се препоръчва преустановяване на лечението с Вилспокс. Пациентите, които развият жълтеница или други признаци, предполагащи нарушена чернодробна функция, трябва да прекратят лечението си с Вилспокс.</w:t>
      </w:r>
    </w:p>
    <w:p w14:paraId="01D98872" w14:textId="77777777" w:rsidR="00727789" w:rsidRPr="00727789" w:rsidRDefault="00727789" w:rsidP="00727789">
      <w:pPr>
        <w:spacing w:line="240" w:lineRule="auto"/>
        <w:rPr>
          <w:rFonts w:eastAsia="Times New Roman" w:cs="Arial"/>
          <w:color w:val="000000"/>
          <w:lang w:eastAsia="bg-BG"/>
        </w:rPr>
      </w:pPr>
    </w:p>
    <w:p w14:paraId="72C5A38A" w14:textId="76FA77F9"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След прекратяване на лечението с Вилспокс и нормализиране на ИЧФ, лечението с Вилспокс не трябва да се започва отново.</w:t>
      </w:r>
    </w:p>
    <w:p w14:paraId="6377886F" w14:textId="77777777" w:rsidR="00727789" w:rsidRPr="00727789" w:rsidRDefault="00727789" w:rsidP="00727789">
      <w:pPr>
        <w:spacing w:line="240" w:lineRule="auto"/>
        <w:rPr>
          <w:rFonts w:eastAsia="Times New Roman" w:cs="Arial"/>
          <w:color w:val="000000"/>
          <w:u w:val="single"/>
          <w:lang w:eastAsia="bg-BG"/>
        </w:rPr>
      </w:pPr>
    </w:p>
    <w:p w14:paraId="231FC86A" w14:textId="115420B5"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Нарушения на кожата</w:t>
      </w:r>
    </w:p>
    <w:p w14:paraId="155857E9"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Кожни лезии, включително поява на мехури и улцерации по крайниците на маймуни се съобщават при приложение на вилдаглиптин в неклинични проучвания за токсичност (вж. точка 5.3). Въпреки, че в клиничните проучвания не се наблюдава поява на кожни лезии с повишена честота, опитът при пациенти с кожни усложнения на диабета е ограничен. Освен това има постмаркетингови съобщения за булозни и ексфолиативни кожни лезии. Поради това, като част от рутинните грижи при пациентите с диабет, се препоръчва проследяване за нарушения на кожата, като поява на мехури или улцерации.</w:t>
      </w:r>
    </w:p>
    <w:p w14:paraId="29FF1C8E" w14:textId="77777777" w:rsidR="00727789" w:rsidRPr="00727789" w:rsidRDefault="00727789" w:rsidP="00727789">
      <w:pPr>
        <w:spacing w:line="240" w:lineRule="auto"/>
        <w:rPr>
          <w:rFonts w:eastAsia="Times New Roman" w:cs="Arial"/>
          <w:color w:val="000000"/>
          <w:u w:val="single"/>
          <w:lang w:eastAsia="bg-BG"/>
        </w:rPr>
      </w:pPr>
    </w:p>
    <w:p w14:paraId="79315178" w14:textId="3AF739A5" w:rsidR="00727789" w:rsidRPr="00727789" w:rsidRDefault="00727789" w:rsidP="00727789">
      <w:pPr>
        <w:spacing w:line="240" w:lineRule="auto"/>
        <w:rPr>
          <w:rFonts w:eastAsia="Times New Roman" w:cs="Arial"/>
          <w:color w:val="000000"/>
          <w:u w:val="single"/>
          <w:lang w:eastAsia="bg-BG"/>
        </w:rPr>
      </w:pPr>
      <w:r w:rsidRPr="00727789">
        <w:rPr>
          <w:rFonts w:eastAsia="Times New Roman" w:cs="Arial"/>
          <w:color w:val="000000"/>
          <w:u w:val="single"/>
          <w:lang w:eastAsia="bg-BG"/>
        </w:rPr>
        <w:t>Остър панкреатит</w:t>
      </w:r>
    </w:p>
    <w:p w14:paraId="0068D511"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Употребата на вилдаглиптин е свързана с риск от развитие на остър панкреатит. Пациентите трябва да бъдат информирани за характерния симптом на остър панкреатит.</w:t>
      </w:r>
    </w:p>
    <w:p w14:paraId="357B3193" w14:textId="77777777" w:rsidR="00727789" w:rsidRPr="00727789" w:rsidRDefault="00727789" w:rsidP="00727789">
      <w:pPr>
        <w:spacing w:line="240" w:lineRule="auto"/>
        <w:rPr>
          <w:rFonts w:eastAsia="Times New Roman" w:cs="Arial"/>
          <w:color w:val="000000"/>
          <w:lang w:eastAsia="bg-BG"/>
        </w:rPr>
      </w:pPr>
    </w:p>
    <w:p w14:paraId="50C2A1DA" w14:textId="072870C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Ако се подозира наличие на панкреатит, приемът на вилдаглиптин трябва да се преустанови, ако се потвърди наличие на остър панкреатит, лечението с вилдаглиптин не трябва да се подновява. Необходимо е повишено внимание при пациенти, с анамнеза за прекаран остър панкреатит.</w:t>
      </w:r>
    </w:p>
    <w:p w14:paraId="50F7F734" w14:textId="77777777" w:rsidR="00727789" w:rsidRPr="00727789" w:rsidRDefault="00727789" w:rsidP="00727789">
      <w:pPr>
        <w:spacing w:line="240" w:lineRule="auto"/>
        <w:rPr>
          <w:rFonts w:eastAsia="Times New Roman" w:cs="Arial"/>
          <w:color w:val="000000"/>
          <w:u w:val="single"/>
          <w:lang w:eastAsia="bg-BG"/>
        </w:rPr>
      </w:pPr>
    </w:p>
    <w:p w14:paraId="55C7F645" w14:textId="1A5BDB4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Хипогликемия</w:t>
      </w:r>
    </w:p>
    <w:p w14:paraId="733FA7A1"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Известно е, че сулфонилуреите може да предизвикат хипогликемия. Пациентите, приемащи вилдаглиптин в комбинация със сулфонилуреен продукт могат да бъдат изложени на риск от възникване на хипогликемия. Поради тази причина, може да се обмисли прилагането на по- ниска доза на сулфонилурейния продукт, за да се намали риска от възникване на хипогликемия.</w:t>
      </w:r>
    </w:p>
    <w:p w14:paraId="6E1DC556" w14:textId="77777777" w:rsidR="00727789" w:rsidRPr="00727789" w:rsidRDefault="00727789" w:rsidP="00727789">
      <w:pPr>
        <w:spacing w:line="240" w:lineRule="auto"/>
        <w:rPr>
          <w:rFonts w:eastAsia="Times New Roman" w:cs="Arial"/>
          <w:color w:val="000000"/>
          <w:u w:val="single"/>
          <w:lang w:eastAsia="bg-BG"/>
        </w:rPr>
      </w:pPr>
    </w:p>
    <w:p w14:paraId="6C0EC146" w14:textId="53D35982"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Операция</w:t>
      </w:r>
    </w:p>
    <w:p w14:paraId="0D1988F4"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Метформин трябва да се спре по време на операция под обща, спинална или епидурална анестезия. Лечението може да бъде възобновено не по-рано от 48 часа след операцията или възобновяването на храненето през уста, и при условие че бъбречната функция е оценена отново и е установено, че е стабилна.</w:t>
      </w:r>
    </w:p>
    <w:p w14:paraId="20A1FB70" w14:textId="77777777" w:rsidR="00727789" w:rsidRPr="00727789" w:rsidRDefault="00727789" w:rsidP="00727789"/>
    <w:p w14:paraId="7ABEA351" w14:textId="17BCC029" w:rsidR="00A71DCF" w:rsidRDefault="002C50EE" w:rsidP="00A93499">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3F24AD93" w14:textId="7D23C195" w:rsidR="00727789" w:rsidRDefault="00727789" w:rsidP="00727789"/>
    <w:p w14:paraId="271DDE9A"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Не са провеждани официални проучвания за взаимодействия с Вилспокс. Следните данни отразяват информацията, налична за отделните активни вещества.</w:t>
      </w:r>
    </w:p>
    <w:p w14:paraId="23D12443" w14:textId="77777777" w:rsidR="00727789" w:rsidRPr="00430F15" w:rsidRDefault="00727789" w:rsidP="00727789">
      <w:pPr>
        <w:spacing w:line="240" w:lineRule="auto"/>
        <w:rPr>
          <w:rFonts w:eastAsia="Times New Roman" w:cs="Arial"/>
          <w:color w:val="000000"/>
          <w:u w:val="single"/>
          <w:lang w:eastAsia="bg-BG"/>
        </w:rPr>
      </w:pPr>
    </w:p>
    <w:p w14:paraId="3FF17B35" w14:textId="547B935C"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Вилдаглиптин</w:t>
      </w:r>
    </w:p>
    <w:p w14:paraId="2E10821D" w14:textId="77777777"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 xml:space="preserve">Вилдаглиптин има нисък потенциал за взаимодействия при едновременното му прилагане с други лекарствени продукти. Тъй като вилдаглиптин не е субстрат на ензима цитохром Р </w:t>
      </w:r>
      <w:r w:rsidRPr="00727789">
        <w:rPr>
          <w:rFonts w:eastAsia="Times New Roman" w:cs="Arial"/>
          <w:color w:val="000000"/>
          <w:lang w:val="en-US"/>
        </w:rPr>
        <w:t xml:space="preserve">(CYP) </w:t>
      </w:r>
      <w:r w:rsidRPr="00727789">
        <w:rPr>
          <w:rFonts w:eastAsia="Times New Roman" w:cs="Arial"/>
          <w:color w:val="000000"/>
          <w:lang w:eastAsia="bg-BG"/>
        </w:rPr>
        <w:t xml:space="preserve">450 и не инхибира, и не индуцира ензимите </w:t>
      </w:r>
      <w:r w:rsidRPr="00727789">
        <w:rPr>
          <w:rFonts w:eastAsia="Times New Roman" w:cs="Arial"/>
          <w:color w:val="000000"/>
          <w:lang w:val="en-US"/>
        </w:rPr>
        <w:t xml:space="preserve">CYP </w:t>
      </w:r>
      <w:r w:rsidRPr="00727789">
        <w:rPr>
          <w:rFonts w:eastAsia="Times New Roman" w:cs="Arial"/>
          <w:color w:val="000000"/>
          <w:lang w:eastAsia="bg-BG"/>
        </w:rPr>
        <w:t>450, няма вероятност за взаимодействие с активни вещества, които са субстрати, инхибитори или индуктори на тези ензими.</w:t>
      </w:r>
    </w:p>
    <w:p w14:paraId="39F79A8A" w14:textId="77777777" w:rsidR="00727789" w:rsidRPr="00430F15" w:rsidRDefault="00727789" w:rsidP="00727789">
      <w:pPr>
        <w:spacing w:line="240" w:lineRule="auto"/>
        <w:rPr>
          <w:rFonts w:eastAsia="Times New Roman" w:cs="Arial"/>
          <w:color w:val="000000"/>
          <w:lang w:eastAsia="bg-BG"/>
        </w:rPr>
      </w:pPr>
    </w:p>
    <w:p w14:paraId="4A5C4E8D" w14:textId="2968F123"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Резултатите от клинични проучвания, проведени с пероралните антидиабетни продукти пиоглитазон, метформин и глибурид, в комбинация с вилдаглиптин, не показват клинично значими фармакокинетични взаимодействия в таргетната популация.</w:t>
      </w:r>
    </w:p>
    <w:p w14:paraId="27029171" w14:textId="77777777" w:rsidR="00727789" w:rsidRPr="00430F15" w:rsidRDefault="00727789" w:rsidP="00727789">
      <w:pPr>
        <w:spacing w:line="240" w:lineRule="auto"/>
        <w:rPr>
          <w:rFonts w:eastAsia="Times New Roman" w:cs="Arial"/>
          <w:color w:val="000000"/>
          <w:lang w:eastAsia="bg-BG"/>
        </w:rPr>
      </w:pPr>
    </w:p>
    <w:p w14:paraId="523E6405" w14:textId="6AF07D44"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lastRenderedPageBreak/>
        <w:t xml:space="preserve">Проучвания за лекарствени взаимодействия с дигоксин (субстрат на Р-гликопротеин) и варфарин (субстрат на </w:t>
      </w:r>
      <w:r w:rsidRPr="00727789">
        <w:rPr>
          <w:rFonts w:eastAsia="Times New Roman" w:cs="Arial"/>
          <w:color w:val="000000"/>
          <w:lang w:val="en-US"/>
        </w:rPr>
        <w:t xml:space="preserve">CYP2C9) </w:t>
      </w:r>
      <w:r w:rsidRPr="00727789">
        <w:rPr>
          <w:rFonts w:eastAsia="Times New Roman" w:cs="Arial"/>
          <w:color w:val="000000"/>
          <w:lang w:eastAsia="bg-BG"/>
        </w:rPr>
        <w:t>при здрави индивиди не показват клинично значими фармакокинетични взаимодействия след едновременно прилагане с вилдаглиптин.</w:t>
      </w:r>
    </w:p>
    <w:p w14:paraId="1188AE21" w14:textId="77777777" w:rsidR="00727789" w:rsidRPr="00430F15" w:rsidRDefault="00727789" w:rsidP="00727789">
      <w:pPr>
        <w:spacing w:line="240" w:lineRule="auto"/>
        <w:rPr>
          <w:rFonts w:eastAsia="Times New Roman" w:cs="Arial"/>
          <w:color w:val="000000"/>
          <w:lang w:eastAsia="bg-BG"/>
        </w:rPr>
      </w:pPr>
    </w:p>
    <w:p w14:paraId="3E8FE3C4" w14:textId="289259B8"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lang w:eastAsia="bg-BG"/>
        </w:rPr>
        <w:t>Проучвания за лекарствени взаимодействия при здрави индивиди са проведени с амлодипин, рамиприл, валсартан и симвастатин. При тези проучвания, след едновременно прилагане с вилдаглиптин, не се наблюдават клинично значими фармакокинетични взаимодействия. Това обаче, не е установено за прицелната популация.</w:t>
      </w:r>
    </w:p>
    <w:p w14:paraId="0FF9DCD1" w14:textId="77777777" w:rsidR="00727789" w:rsidRPr="00430F15" w:rsidRDefault="00727789" w:rsidP="00727789">
      <w:pPr>
        <w:spacing w:line="240" w:lineRule="auto"/>
        <w:rPr>
          <w:rFonts w:eastAsia="Times New Roman" w:cs="Arial"/>
          <w:color w:val="000000"/>
          <w:u w:val="single"/>
          <w:lang w:eastAsia="bg-BG"/>
        </w:rPr>
      </w:pPr>
    </w:p>
    <w:p w14:paraId="3121A8C6" w14:textId="438CEA00" w:rsidR="00727789" w:rsidRPr="00727789" w:rsidRDefault="00727789" w:rsidP="00727789">
      <w:pPr>
        <w:spacing w:line="240" w:lineRule="auto"/>
        <w:rPr>
          <w:rFonts w:eastAsia="Times New Roman" w:cs="Arial"/>
          <w:sz w:val="24"/>
          <w:szCs w:val="24"/>
          <w:lang w:eastAsia="bg-BG"/>
        </w:rPr>
      </w:pPr>
      <w:r w:rsidRPr="00727789">
        <w:rPr>
          <w:rFonts w:eastAsia="Times New Roman" w:cs="Arial"/>
          <w:color w:val="000000"/>
          <w:u w:val="single"/>
          <w:lang w:eastAsia="bg-BG"/>
        </w:rPr>
        <w:t>Комбинация с АСЕ инхибитори</w:t>
      </w:r>
    </w:p>
    <w:p w14:paraId="73549436" w14:textId="38946CF0" w:rsidR="00727789" w:rsidRPr="00430F15" w:rsidRDefault="00727789" w:rsidP="00727789">
      <w:pPr>
        <w:spacing w:line="240" w:lineRule="auto"/>
        <w:rPr>
          <w:rFonts w:eastAsia="Times New Roman" w:cs="Arial"/>
          <w:color w:val="000000"/>
          <w:lang w:eastAsia="bg-BG"/>
        </w:rPr>
      </w:pPr>
      <w:r w:rsidRPr="00727789">
        <w:rPr>
          <w:rFonts w:eastAsia="Times New Roman" w:cs="Arial"/>
          <w:color w:val="000000"/>
          <w:lang w:eastAsia="bg-BG"/>
        </w:rPr>
        <w:t>Възможен е повишен риск от развитие на ангиоедем при пациенти със съпътстващ прием на АСЕ инхибитори (вж. точка 4.8).</w:t>
      </w:r>
    </w:p>
    <w:p w14:paraId="3123FAF8" w14:textId="4C5FD662" w:rsidR="00430F15" w:rsidRPr="00430F15" w:rsidRDefault="00430F15" w:rsidP="00727789">
      <w:pPr>
        <w:spacing w:line="240" w:lineRule="auto"/>
        <w:rPr>
          <w:rFonts w:eastAsia="Times New Roman" w:cs="Arial"/>
          <w:color w:val="000000"/>
          <w:lang w:eastAsia="bg-BG"/>
        </w:rPr>
      </w:pPr>
    </w:p>
    <w:p w14:paraId="6D5C7F02"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Както при другите перорални антидиабетни продукти, хипогликемичния ефект на вилдаглиптин може да бъде намален от определени активни вещества, включващи тиазиди, кортикостероиди, тироидни продукти и симпатикомиметици.</w:t>
      </w:r>
    </w:p>
    <w:p w14:paraId="52F39966" w14:textId="77777777" w:rsidR="00430F15" w:rsidRPr="00430F15" w:rsidRDefault="00430F15" w:rsidP="00430F15">
      <w:pPr>
        <w:spacing w:line="240" w:lineRule="auto"/>
        <w:rPr>
          <w:rFonts w:eastAsia="Times New Roman" w:cs="Arial"/>
          <w:color w:val="000000"/>
          <w:u w:val="single"/>
          <w:lang w:eastAsia="bg-BG"/>
        </w:rPr>
      </w:pPr>
    </w:p>
    <w:p w14:paraId="10817481" w14:textId="2DB34F3D"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u w:val="single"/>
          <w:lang w:eastAsia="bg-BG"/>
        </w:rPr>
        <w:t>Метформин</w:t>
      </w:r>
    </w:p>
    <w:p w14:paraId="40EC7680" w14:textId="77777777" w:rsidR="00430F15" w:rsidRPr="00430F15" w:rsidRDefault="00430F15" w:rsidP="00430F15">
      <w:pPr>
        <w:spacing w:line="240" w:lineRule="auto"/>
        <w:rPr>
          <w:rFonts w:eastAsia="Times New Roman" w:cs="Arial"/>
          <w:i/>
          <w:iCs/>
          <w:color w:val="000000"/>
          <w:lang w:eastAsia="bg-BG"/>
        </w:rPr>
      </w:pPr>
    </w:p>
    <w:p w14:paraId="515F273E" w14:textId="6650B2E9"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Непрепоръчителни комбинации</w:t>
      </w:r>
    </w:p>
    <w:p w14:paraId="4EFB1A89" w14:textId="77777777" w:rsidR="00430F15" w:rsidRPr="00430F15" w:rsidRDefault="00430F15" w:rsidP="00430F15">
      <w:pPr>
        <w:spacing w:line="240" w:lineRule="auto"/>
        <w:rPr>
          <w:rFonts w:eastAsia="Times New Roman" w:cs="Arial"/>
          <w:i/>
          <w:iCs/>
          <w:color w:val="000000"/>
          <w:lang w:eastAsia="bg-BG"/>
        </w:rPr>
      </w:pPr>
    </w:p>
    <w:p w14:paraId="4A716012" w14:textId="4A8AEEE1"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Алкохол</w:t>
      </w:r>
    </w:p>
    <w:p w14:paraId="7A7F779D"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Алкохолната интоксикация се свързва с повишен риск от лактатна ацидоза, особено в случаи на гладуване, недохранване или чернодробна недостатъчност.</w:t>
      </w:r>
    </w:p>
    <w:p w14:paraId="34886A6A" w14:textId="77777777" w:rsidR="00430F15" w:rsidRPr="00430F15" w:rsidRDefault="00430F15" w:rsidP="00430F15">
      <w:pPr>
        <w:spacing w:line="240" w:lineRule="auto"/>
        <w:rPr>
          <w:rFonts w:eastAsia="Times New Roman" w:cs="Arial"/>
          <w:i/>
          <w:iCs/>
          <w:color w:val="000000"/>
          <w:lang w:eastAsia="bg-BG"/>
        </w:rPr>
      </w:pPr>
    </w:p>
    <w:p w14:paraId="071CC384" w14:textId="1235C9B9"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Йодирани контрастни вещества</w:t>
      </w:r>
    </w:p>
    <w:p w14:paraId="75854DA1"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Метформин трябва задължително да се спре преди или по време на процедурата за образна диагностика и не трябва да се възобновява до най-малко 48 часа след това, при условие че бъбречната функция е оценена отново и е установено, че е стабилна (вж. точки 4.2 и 4.4).</w:t>
      </w:r>
    </w:p>
    <w:p w14:paraId="44C6E2E2" w14:textId="77777777" w:rsidR="00430F15" w:rsidRPr="00430F15" w:rsidRDefault="00430F15" w:rsidP="00430F15">
      <w:pPr>
        <w:spacing w:line="240" w:lineRule="auto"/>
        <w:rPr>
          <w:rFonts w:eastAsia="Times New Roman" w:cs="Arial"/>
          <w:i/>
          <w:iCs/>
          <w:color w:val="000000"/>
          <w:lang w:eastAsia="bg-BG"/>
        </w:rPr>
      </w:pPr>
    </w:p>
    <w:p w14:paraId="16001FEA" w14:textId="706744CA"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Камионни активни вещества</w:t>
      </w:r>
    </w:p>
    <w:p w14:paraId="1DD50264"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 xml:space="preserve">Катионните активни вещества, които се елиминират посредством бъбречна тубулна секреция (напр. циметидин) могат да взаимодействат с метформин чрез конкуриране за обща траснпортна система в бъбречните тубули и следователно да забавят елиминирането на метформин, което може да повиши риска от лактатна ацидоза. Изпитване при здрави доброволци показва, че циметидин, приложен в доза 400 </w:t>
      </w:r>
      <w:r w:rsidRPr="00430F15">
        <w:rPr>
          <w:rFonts w:eastAsia="Times New Roman" w:cs="Arial"/>
          <w:color w:val="000000"/>
          <w:lang w:val="en-US"/>
        </w:rPr>
        <w:t xml:space="preserve">mg </w:t>
      </w:r>
      <w:r w:rsidRPr="00430F15">
        <w:rPr>
          <w:rFonts w:eastAsia="Times New Roman" w:cs="Arial"/>
          <w:color w:val="000000"/>
          <w:lang w:eastAsia="bg-BG"/>
        </w:rPr>
        <w:t xml:space="preserve">два пъти дневно, увеличава системната експозиция на метформин </w:t>
      </w:r>
      <w:r w:rsidRPr="00430F15">
        <w:rPr>
          <w:rFonts w:eastAsia="Times New Roman" w:cs="Arial"/>
          <w:color w:val="000000"/>
          <w:lang w:val="en-US"/>
        </w:rPr>
        <w:t xml:space="preserve">(AUC) </w:t>
      </w:r>
      <w:r w:rsidRPr="00430F15">
        <w:rPr>
          <w:rFonts w:eastAsia="Times New Roman" w:cs="Arial"/>
          <w:color w:val="000000"/>
          <w:lang w:eastAsia="bg-BG"/>
        </w:rPr>
        <w:t>с 50%. Поради това, когато едновременно се прилагат катионни лекарствени продукти, които се елиминират чрез бъбречна тубулна секреция, трябва да се обмисли стриктно проследяване на гликемичния контрол, коригиране на дозата в рамките на препоръчваната дозировка и промяна в лечението на диабета (вж. точка 4.4).</w:t>
      </w:r>
    </w:p>
    <w:p w14:paraId="5BE4ECC6" w14:textId="77777777" w:rsidR="00430F15" w:rsidRPr="00430F15" w:rsidRDefault="00430F15" w:rsidP="00430F15">
      <w:pPr>
        <w:spacing w:line="240" w:lineRule="auto"/>
        <w:rPr>
          <w:rFonts w:eastAsia="Times New Roman" w:cs="Arial"/>
          <w:i/>
          <w:iCs/>
          <w:color w:val="000000"/>
          <w:lang w:eastAsia="bg-BG"/>
        </w:rPr>
      </w:pPr>
    </w:p>
    <w:p w14:paraId="0FC97A84" w14:textId="1CFAC85A" w:rsidR="00430F15" w:rsidRPr="00430F15" w:rsidRDefault="00430F15" w:rsidP="00430F15">
      <w:pPr>
        <w:spacing w:line="240" w:lineRule="auto"/>
        <w:rPr>
          <w:rFonts w:eastAsia="Times New Roman" w:cs="Arial"/>
          <w:sz w:val="24"/>
          <w:szCs w:val="24"/>
          <w:lang w:eastAsia="bg-BG"/>
        </w:rPr>
      </w:pPr>
      <w:r w:rsidRPr="00430F15">
        <w:rPr>
          <w:rFonts w:eastAsia="Times New Roman" w:cs="Arial"/>
          <w:i/>
          <w:iCs/>
          <w:color w:val="000000"/>
          <w:lang w:eastAsia="bg-BG"/>
        </w:rPr>
        <w:t>Комбинации, изискващи предпазни мерки при употреба</w:t>
      </w:r>
    </w:p>
    <w:p w14:paraId="3F6DD8AB"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 xml:space="preserve">Някои лекарствени продукти могат да се отразят неблагоприятно на бъбречната функция, което може да увеличи риска от лактатна ацидоза, например НСПВС, включително селективни инхибитори на циклооксигеназа </w:t>
      </w:r>
      <w:r w:rsidRPr="00430F15">
        <w:rPr>
          <w:rFonts w:eastAsia="Times New Roman" w:cs="Arial"/>
          <w:color w:val="000000"/>
          <w:lang w:val="en-US"/>
        </w:rPr>
        <w:t xml:space="preserve">(COX) </w:t>
      </w:r>
      <w:r w:rsidRPr="00430F15">
        <w:rPr>
          <w:rFonts w:eastAsia="Times New Roman" w:cs="Arial"/>
          <w:color w:val="000000"/>
          <w:lang w:eastAsia="bg-BG"/>
        </w:rPr>
        <w:t>II, АСЕ инхибитори, ангиотензин И рецепторни антагонисти и диуретици, особено бримкови диуретици. При започването или употребата на такива продукти в комбинация с метформин е необходимо внимателно проследяване на бъбречната функция.</w:t>
      </w:r>
    </w:p>
    <w:p w14:paraId="0A92835B" w14:textId="77777777" w:rsidR="00430F15" w:rsidRPr="00430F15" w:rsidRDefault="00430F15" w:rsidP="00430F15">
      <w:pPr>
        <w:spacing w:line="240" w:lineRule="auto"/>
        <w:rPr>
          <w:rFonts w:eastAsia="Times New Roman" w:cs="Arial"/>
          <w:color w:val="000000"/>
          <w:lang w:eastAsia="bg-BG"/>
        </w:rPr>
      </w:pPr>
    </w:p>
    <w:p w14:paraId="741DF33B" w14:textId="785C5E1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Глюкокортикоидите, бета-2-агонистите и диуретиците имат присъща хипергликемична активност. Пациентът трябва да бъде информиран за това и трябва да се извършва по-често проследяване на кръвната захар, особено в началото на лечението. Ако е необходимо, дозата на Вилспокс може да бъде коригирана по време на съпътстващото лечение и след преустановяването му.</w:t>
      </w:r>
    </w:p>
    <w:p w14:paraId="1369D919" w14:textId="77777777" w:rsidR="00430F15" w:rsidRPr="00430F15" w:rsidRDefault="00430F15" w:rsidP="00430F15">
      <w:pPr>
        <w:spacing w:line="240" w:lineRule="auto"/>
        <w:rPr>
          <w:rFonts w:eastAsia="Times New Roman" w:cs="Arial"/>
          <w:color w:val="000000"/>
          <w:lang w:eastAsia="bg-BG"/>
        </w:rPr>
      </w:pPr>
    </w:p>
    <w:p w14:paraId="3C0919D7" w14:textId="31C5FC39"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Инхибиторите на ангиотензин конвертиращия ензим (АСЕ) могат да понижат нивото на кръвната захар. Ако е необходимо, дозата на антихипергликемичния лекарствен продукт трябва да бъде коригирана по време и при преустановяване на лечението с друг лекарствен продукт.</w:t>
      </w:r>
    </w:p>
    <w:p w14:paraId="2AF64F05" w14:textId="77777777" w:rsidR="00430F15" w:rsidRPr="00430F15" w:rsidRDefault="00430F15" w:rsidP="00430F15">
      <w:pPr>
        <w:spacing w:line="240" w:lineRule="auto"/>
        <w:rPr>
          <w:rFonts w:eastAsia="Times New Roman" w:cs="Arial"/>
          <w:color w:val="000000"/>
          <w:lang w:eastAsia="bg-BG"/>
        </w:rPr>
      </w:pPr>
    </w:p>
    <w:p w14:paraId="13B042B9" w14:textId="49724795" w:rsidR="00430F15" w:rsidRPr="00727789" w:rsidRDefault="00430F15" w:rsidP="00430F15">
      <w:pPr>
        <w:rPr>
          <w:rFonts w:eastAsia="Times New Roman" w:cs="Arial"/>
          <w:sz w:val="24"/>
          <w:szCs w:val="24"/>
          <w:lang w:eastAsia="bg-BG"/>
        </w:rPr>
      </w:pPr>
      <w:r w:rsidRPr="00430F15">
        <w:rPr>
          <w:rFonts w:eastAsia="Times New Roman" w:cs="Arial"/>
          <w:color w:val="000000"/>
          <w:lang w:eastAsia="bg-BG"/>
        </w:rPr>
        <w:t>Съпътстващата употреба на лекарствени продукти, които влияят на общите бъбречни тубулни транспортни системи, участващи в бъбречното елиминиране на метформин (напр., инхибитори на транспортера на органични катиони-2 [ОСТ2]/транспортера за екструзия на множество</w:t>
      </w:r>
      <w:r w:rsidRPr="00430F15">
        <w:rPr>
          <w:rFonts w:eastAsia="Times New Roman" w:cs="Arial"/>
          <w:color w:val="000000"/>
          <w:lang w:eastAsia="bg-BG"/>
        </w:rPr>
        <w:t xml:space="preserve"> </w:t>
      </w:r>
      <w:r w:rsidRPr="00430F15">
        <w:rPr>
          <w:rFonts w:eastAsia="Times New Roman" w:cs="Arial"/>
          <w:color w:val="000000"/>
          <w:lang w:eastAsia="bg-BG"/>
        </w:rPr>
        <w:t xml:space="preserve">лекарства и токсини </w:t>
      </w:r>
      <w:r w:rsidRPr="00430F15">
        <w:rPr>
          <w:rFonts w:eastAsia="Times New Roman" w:cs="Arial"/>
          <w:color w:val="000000"/>
          <w:lang w:val="en-US"/>
        </w:rPr>
        <w:t xml:space="preserve">[multidrug and toxin extrusion, MATE], </w:t>
      </w:r>
      <w:r w:rsidRPr="00430F15">
        <w:rPr>
          <w:rFonts w:eastAsia="Times New Roman" w:cs="Arial"/>
          <w:color w:val="000000"/>
          <w:lang w:eastAsia="bg-BG"/>
        </w:rPr>
        <w:t>като ранолазин, вандетаниб, долутегравир и циметидин), може да повиши системната експозиция на метформин.</w:t>
      </w:r>
    </w:p>
    <w:p w14:paraId="5DB102AE" w14:textId="77777777" w:rsidR="00727789" w:rsidRPr="00727789" w:rsidRDefault="00727789" w:rsidP="00727789"/>
    <w:p w14:paraId="15A75A66" w14:textId="35B2775D" w:rsidR="00A71DCF" w:rsidRDefault="002C50EE" w:rsidP="00A93499">
      <w:pPr>
        <w:pStyle w:val="Heading2"/>
      </w:pPr>
      <w:r>
        <w:t>4.6. Фертилитет, бременност и кърмене</w:t>
      </w:r>
    </w:p>
    <w:p w14:paraId="1A9A0081" w14:textId="211226E9" w:rsidR="00430F15" w:rsidRDefault="00430F15" w:rsidP="00430F15"/>
    <w:p w14:paraId="7D3872BE" w14:textId="77777777" w:rsidR="00430F15" w:rsidRPr="00430F15" w:rsidRDefault="00430F15" w:rsidP="00430F15">
      <w:pPr>
        <w:pStyle w:val="Heading3"/>
        <w:rPr>
          <w:rFonts w:eastAsia="Times New Roman"/>
          <w:u w:val="single"/>
          <w:lang w:eastAsia="bg-BG"/>
        </w:rPr>
      </w:pPr>
      <w:r w:rsidRPr="00430F15">
        <w:rPr>
          <w:rFonts w:eastAsia="Times New Roman"/>
          <w:u w:val="single"/>
          <w:lang w:eastAsia="bg-BG"/>
        </w:rPr>
        <w:t>Бременност</w:t>
      </w:r>
    </w:p>
    <w:p w14:paraId="7996DD14"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Няма достатъчно данни за употребата на Вилспокс при бременни жени. За вилдаглиптин експерименталните проучвания при животни показват репродуктивна токсичност при високи дози. За метформин, проучванията при животни не показват репродуктивна токсичност. Проучвания при животни проведени с вилдаглиптин и метформин не са показали доказателства за тератогенност, но са показали фетотоксични ефекти при токсични за майката дози (вж. точка 5.3). Потенциалният риск при хора не е известен. Вилспокс не трябва да се използва по време на бременност.</w:t>
      </w:r>
    </w:p>
    <w:p w14:paraId="56BCB2C0" w14:textId="77777777" w:rsidR="00430F15" w:rsidRPr="00430F15" w:rsidRDefault="00430F15" w:rsidP="00430F15">
      <w:pPr>
        <w:spacing w:line="240" w:lineRule="auto"/>
        <w:rPr>
          <w:rFonts w:eastAsia="Times New Roman" w:cs="Arial"/>
          <w:color w:val="000000"/>
          <w:u w:val="single"/>
          <w:lang w:eastAsia="bg-BG"/>
        </w:rPr>
      </w:pPr>
    </w:p>
    <w:p w14:paraId="2BAC446C" w14:textId="4D0F159B" w:rsidR="00430F15" w:rsidRPr="00430F15" w:rsidRDefault="00430F15" w:rsidP="00430F15">
      <w:pPr>
        <w:pStyle w:val="Heading3"/>
        <w:rPr>
          <w:rFonts w:eastAsia="Times New Roman"/>
          <w:u w:val="single"/>
          <w:lang w:eastAsia="bg-BG"/>
        </w:rPr>
      </w:pPr>
      <w:r w:rsidRPr="00430F15">
        <w:rPr>
          <w:rFonts w:eastAsia="Times New Roman"/>
          <w:u w:val="single"/>
          <w:lang w:eastAsia="bg-BG"/>
        </w:rPr>
        <w:t>Кърмене</w:t>
      </w:r>
    </w:p>
    <w:p w14:paraId="0AC9BC54"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Проучванията за животни показват екскреция както на метформин, така и на вилдаглиптин в млякото. Не е известно дали вилдаглиптин се екскретира в кърмата, но метформин се екскретира в кърмата в малки количества. Поради потенциалния риск от хипогликемия на новороденото, Вилспокс не трябва да се използва по време на кърмене (вж. точка 4.3).</w:t>
      </w:r>
    </w:p>
    <w:p w14:paraId="709CDE75" w14:textId="77777777" w:rsidR="00430F15" w:rsidRPr="00430F15" w:rsidRDefault="00430F15" w:rsidP="00430F15">
      <w:pPr>
        <w:spacing w:line="240" w:lineRule="auto"/>
        <w:rPr>
          <w:rFonts w:eastAsia="Times New Roman" w:cs="Arial"/>
          <w:color w:val="000000"/>
          <w:u w:val="single"/>
          <w:lang w:eastAsia="bg-BG"/>
        </w:rPr>
      </w:pPr>
    </w:p>
    <w:p w14:paraId="784A94DD" w14:textId="4889FC32" w:rsidR="00430F15" w:rsidRPr="00430F15" w:rsidRDefault="00430F15" w:rsidP="00430F15">
      <w:pPr>
        <w:pStyle w:val="Heading3"/>
        <w:rPr>
          <w:rFonts w:eastAsia="Times New Roman"/>
          <w:u w:val="single"/>
          <w:lang w:eastAsia="bg-BG"/>
        </w:rPr>
      </w:pPr>
      <w:r w:rsidRPr="00430F15">
        <w:rPr>
          <w:rFonts w:eastAsia="Times New Roman"/>
          <w:u w:val="single"/>
          <w:lang w:eastAsia="bg-BG"/>
        </w:rPr>
        <w:t>Фертилитет</w:t>
      </w:r>
    </w:p>
    <w:p w14:paraId="603DE4E2"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Не са провеждани проучвания за ефекта на Вилспокс върху фертилитета при хора (вж. точка 5.3).</w:t>
      </w:r>
    </w:p>
    <w:p w14:paraId="506B8E83" w14:textId="77777777" w:rsidR="00430F15" w:rsidRPr="00430F15" w:rsidRDefault="00430F15" w:rsidP="00430F15"/>
    <w:p w14:paraId="6201597D" w14:textId="0A6A2CC4" w:rsidR="00EE6C97" w:rsidRDefault="002C50EE" w:rsidP="00A93499">
      <w:pPr>
        <w:pStyle w:val="Heading2"/>
      </w:pPr>
      <w:r>
        <w:t>4.7. Ефекти върху способността за шофиране и работа с машини</w:t>
      </w:r>
    </w:p>
    <w:p w14:paraId="26442323" w14:textId="1F04B794" w:rsidR="00430F15" w:rsidRDefault="00430F15" w:rsidP="00430F15"/>
    <w:p w14:paraId="130375A5" w14:textId="514E60EE" w:rsidR="00430F15" w:rsidRDefault="00430F15" w:rsidP="00430F15">
      <w:pPr>
        <w:rPr>
          <w:lang w:eastAsia="bg-BG"/>
        </w:rPr>
      </w:pPr>
      <w:r w:rsidRPr="00430F15">
        <w:rPr>
          <w:lang w:eastAsia="bg-BG"/>
        </w:rPr>
        <w:t>Не са провеждани проучвания за ефектите върху способността за шофиране и работа с машини. Пациентите, които получат замайване, като нежелана реакция, трябва да избягват да шофират и да работят с машини.</w:t>
      </w:r>
    </w:p>
    <w:p w14:paraId="46E95F6E" w14:textId="77777777" w:rsidR="00430F15" w:rsidRPr="00430F15" w:rsidRDefault="00430F15" w:rsidP="00430F15">
      <w:pPr>
        <w:rPr>
          <w:sz w:val="24"/>
          <w:szCs w:val="24"/>
          <w:lang w:eastAsia="bg-BG"/>
        </w:rPr>
      </w:pPr>
    </w:p>
    <w:p w14:paraId="389A90F4" w14:textId="4D8FEF52" w:rsidR="00BA5B74" w:rsidRDefault="002C50EE" w:rsidP="00A93499">
      <w:pPr>
        <w:pStyle w:val="Heading2"/>
      </w:pPr>
      <w:r>
        <w:lastRenderedPageBreak/>
        <w:t>4.8. Нежелани лекарствени реакции</w:t>
      </w:r>
    </w:p>
    <w:p w14:paraId="25DD010C" w14:textId="2A7DDE2F" w:rsidR="00430F15" w:rsidRDefault="00430F15" w:rsidP="00430F15"/>
    <w:p w14:paraId="02A6DFFF"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Няма проведени клинични проучвания за лечение с Вилспокс. Установено е, обаче, че биоеквивалентността на Вилспокс е както на едновременно приложени вилдаглиптин и метформин (вж. точка 5.2). Представените тук данни се отнасят за едновременното прилагане на вилдаглиптин и метформин, като вилдаглиптин е бил добавен към лечение с метформин. Не са провеждани проучвания, при които към лечение с вилдаглиптин е добавен метформин.</w:t>
      </w:r>
    </w:p>
    <w:p w14:paraId="5D3C4C27" w14:textId="77777777" w:rsidR="00430F15" w:rsidRPr="00430F15" w:rsidRDefault="00430F15" w:rsidP="00430F15">
      <w:pPr>
        <w:spacing w:line="240" w:lineRule="auto"/>
        <w:rPr>
          <w:rFonts w:eastAsia="Times New Roman" w:cs="Arial"/>
          <w:color w:val="000000"/>
          <w:u w:val="single"/>
          <w:lang w:eastAsia="bg-BG"/>
        </w:rPr>
      </w:pPr>
    </w:p>
    <w:p w14:paraId="56EBDAAE" w14:textId="42F572A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u w:val="single"/>
          <w:lang w:eastAsia="bg-BG"/>
        </w:rPr>
        <w:t>Обобщение на профила на безопасност</w:t>
      </w:r>
    </w:p>
    <w:p w14:paraId="31312306"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По-голямата част от нежеланите реакции са леки и преходни, и не изискват преустановяване на лечението. Не е установена връзка между нежеланите реакции и възрастта, етническата принадлежност, продължителността на експозицията или дневната доза.</w:t>
      </w:r>
    </w:p>
    <w:p w14:paraId="3ACC195A" w14:textId="77777777" w:rsidR="00430F15" w:rsidRPr="00430F15" w:rsidRDefault="00430F15" w:rsidP="00430F15">
      <w:pPr>
        <w:spacing w:line="240" w:lineRule="auto"/>
        <w:rPr>
          <w:rFonts w:eastAsia="Times New Roman" w:cs="Arial"/>
          <w:color w:val="000000"/>
          <w:lang w:eastAsia="bg-BG"/>
        </w:rPr>
      </w:pPr>
    </w:p>
    <w:p w14:paraId="54BB7777" w14:textId="77777777" w:rsidR="00430F15" w:rsidRPr="00430F15" w:rsidRDefault="00430F15" w:rsidP="00430F15">
      <w:pPr>
        <w:rPr>
          <w:rFonts w:eastAsia="Times New Roman" w:cs="Arial"/>
          <w:sz w:val="24"/>
          <w:szCs w:val="24"/>
          <w:lang w:eastAsia="bg-BG"/>
        </w:rPr>
      </w:pPr>
      <w:r w:rsidRPr="00430F15">
        <w:rPr>
          <w:rFonts w:eastAsia="Times New Roman" w:cs="Arial"/>
          <w:color w:val="000000"/>
          <w:lang w:eastAsia="bg-BG"/>
        </w:rPr>
        <w:t>Има съобщения за редки случаи на нарушена чернодробна функция (включително хепатит) след прием на вилдаглиптин. В тези случаи пациентите като цяло са без симптоми, без клинични последствия и стойностите на изследванията за чернодробна функция се възвръщат до нормалните след прекратяване на лечението. В данните от контролирани проучвания с монотерапия или адювантна терапия с продължителност до 24 седмици, честотата на повишаване на АЛАТ или АСАТ ≥ 3 пъти ГГН (класифицирана като наличие при най-</w:t>
      </w:r>
      <w:r w:rsidRPr="00430F15">
        <w:rPr>
          <w:rFonts w:eastAsia="Times New Roman" w:cs="Arial"/>
          <w:color w:val="000000"/>
          <w:u w:val="single"/>
          <w:lang w:eastAsia="bg-BG"/>
        </w:rPr>
        <w:t>малко</w:t>
      </w:r>
      <w:r w:rsidRPr="00430F15">
        <w:rPr>
          <w:rFonts w:eastAsia="Times New Roman" w:cs="Arial"/>
          <w:color w:val="000000"/>
          <w:lang w:eastAsia="bg-BG"/>
        </w:rPr>
        <w:t xml:space="preserve"> 2 последователни измервания или при финалната визита пред периода на лечение) е 0,2%, 0,3% и</w:t>
      </w:r>
      <w:r w:rsidRPr="00430F15">
        <w:rPr>
          <w:rFonts w:eastAsia="Times New Roman" w:cs="Arial"/>
          <w:color w:val="000000"/>
          <w:lang w:eastAsia="bg-BG"/>
        </w:rPr>
        <w:t xml:space="preserve"> </w:t>
      </w:r>
      <w:r w:rsidRPr="00430F15">
        <w:rPr>
          <w:rFonts w:eastAsia="Times New Roman" w:cs="Arial"/>
          <w:color w:val="000000"/>
          <w:lang w:eastAsia="bg-BG"/>
        </w:rPr>
        <w:t xml:space="preserve">0,2% съответно за вилдаглиптин 50 </w:t>
      </w:r>
      <w:r w:rsidRPr="00430F15">
        <w:rPr>
          <w:rFonts w:eastAsia="Times New Roman" w:cs="Arial"/>
          <w:color w:val="000000"/>
          <w:lang w:val="en-US"/>
        </w:rPr>
        <w:t xml:space="preserve">mg </w:t>
      </w:r>
      <w:r w:rsidRPr="00430F15">
        <w:rPr>
          <w:rFonts w:eastAsia="Times New Roman" w:cs="Arial"/>
          <w:color w:val="000000"/>
          <w:lang w:eastAsia="bg-BG"/>
        </w:rPr>
        <w:t xml:space="preserve">веднъж дневно, вилдаглиптин 50 </w:t>
      </w:r>
      <w:r w:rsidRPr="00430F15">
        <w:rPr>
          <w:rFonts w:eastAsia="Times New Roman" w:cs="Arial"/>
          <w:color w:val="000000"/>
          <w:lang w:val="en-US"/>
        </w:rPr>
        <w:t xml:space="preserve">mg </w:t>
      </w:r>
      <w:r w:rsidRPr="00430F15">
        <w:rPr>
          <w:rFonts w:eastAsia="Times New Roman" w:cs="Arial"/>
          <w:color w:val="000000"/>
          <w:lang w:eastAsia="bg-BG"/>
        </w:rPr>
        <w:t>два пъти дневно и всички сравнителни лекарствени продукти. Тези повишавания на трансаминазите като цяло са безсимптомни, непрогресиращи по характер и не са свързани с холестаза или жълтеница.</w:t>
      </w:r>
    </w:p>
    <w:p w14:paraId="36E2EC3E"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При лечение с вилдаглиптин се съобщава за редки случаи на ангиоедем с честота сходна с тази на контролите. По-голяма част от случаите са съобщени, когато вилдаглиптин е прилаган в комбинация с АСЕ инхибитор. По-толямата част от събитията са леки по тежест и отзвучават при продължаване на лечението с вилдаглиптин.</w:t>
      </w:r>
    </w:p>
    <w:p w14:paraId="1390D754" w14:textId="77777777" w:rsidR="00430F15" w:rsidRPr="00430F15" w:rsidRDefault="00430F15" w:rsidP="00430F15">
      <w:pPr>
        <w:spacing w:line="240" w:lineRule="auto"/>
        <w:rPr>
          <w:rFonts w:eastAsia="Times New Roman" w:cs="Arial"/>
          <w:color w:val="000000"/>
          <w:u w:val="single"/>
          <w:lang w:eastAsia="bg-BG"/>
        </w:rPr>
      </w:pPr>
    </w:p>
    <w:p w14:paraId="3A8DE276" w14:textId="56945514"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u w:val="single"/>
          <w:lang w:eastAsia="bg-BG"/>
        </w:rPr>
        <w:t>Списък на нежеланите лекарствени реакции в табличен вид</w:t>
      </w:r>
    </w:p>
    <w:p w14:paraId="70359DD5" w14:textId="77777777" w:rsidR="00430F15" w:rsidRPr="00430F15" w:rsidRDefault="00430F15" w:rsidP="00430F15">
      <w:pPr>
        <w:spacing w:line="240" w:lineRule="auto"/>
        <w:rPr>
          <w:rFonts w:eastAsia="Times New Roman" w:cs="Arial"/>
          <w:sz w:val="24"/>
          <w:szCs w:val="24"/>
          <w:lang w:eastAsia="bg-BG"/>
        </w:rPr>
      </w:pPr>
      <w:r w:rsidRPr="00430F15">
        <w:rPr>
          <w:rFonts w:eastAsia="Times New Roman" w:cs="Arial"/>
          <w:color w:val="000000"/>
          <w:lang w:eastAsia="bg-BG"/>
        </w:rPr>
        <w:t>Нежеланите реакции съобщавани при пациенти, които получават вилдаглиптин в двойно-слепи проучвания, като монотерапия и допълваща терапия са изброени по-долу по системо-органна класификация и абсолютна честота. Нежалните реакции изброени в Таблица 5 се основават на съществуващата информация в кратката характеристика на продукта метформин в ЕС. По честотата се дефинират като много чести (≥1/10); чести (≥1/100 до &lt;1/10); нечести (≥1/1000 до &lt;1/100); редки (≥1/10 000 до &lt;1/1000); много чести (&lt;1/10 000), с незивестна честота (от наличните данни не може да бъде направена оценка). При всяко групиране в зависимост от честотата, нежеланите реакции се изброяват в низходящ ред по отношение на тяхната сериозност.</w:t>
      </w:r>
    </w:p>
    <w:p w14:paraId="6C46EC6E" w14:textId="77777777" w:rsidR="00430F15" w:rsidRPr="00430F15" w:rsidRDefault="00430F15" w:rsidP="00430F15">
      <w:pPr>
        <w:spacing w:line="240" w:lineRule="auto"/>
        <w:rPr>
          <w:rFonts w:eastAsia="Times New Roman" w:cs="Arial"/>
          <w:b/>
          <w:bCs/>
          <w:color w:val="000000"/>
          <w:lang w:eastAsia="bg-BG"/>
        </w:rPr>
      </w:pPr>
    </w:p>
    <w:p w14:paraId="4519778B" w14:textId="36A17D0B" w:rsidR="00430F15" w:rsidRPr="00430F15" w:rsidRDefault="00430F15" w:rsidP="00430F15">
      <w:pPr>
        <w:spacing w:line="240" w:lineRule="auto"/>
        <w:rPr>
          <w:rFonts w:eastAsia="Times New Roman" w:cs="Arial"/>
          <w:sz w:val="24"/>
          <w:szCs w:val="24"/>
          <w:lang w:eastAsia="bg-BG"/>
        </w:rPr>
      </w:pPr>
      <w:r w:rsidRPr="00430F15">
        <w:rPr>
          <w:rFonts w:eastAsia="Times New Roman" w:cs="Arial"/>
          <w:b/>
          <w:bCs/>
          <w:color w:val="000000"/>
          <w:lang w:eastAsia="bg-BG"/>
        </w:rPr>
        <w:t xml:space="preserve">Таблица 1 Нежелани лекарствени реакции съобщени при пациенти, които получават вилдаглиптин 100 </w:t>
      </w:r>
      <w:r w:rsidRPr="00430F15">
        <w:rPr>
          <w:rFonts w:eastAsia="Times New Roman" w:cs="Arial"/>
          <w:b/>
          <w:bCs/>
          <w:color w:val="000000"/>
          <w:lang w:val="en-US"/>
        </w:rPr>
        <w:t xml:space="preserve">mg </w:t>
      </w:r>
      <w:r w:rsidRPr="00430F15">
        <w:rPr>
          <w:rFonts w:eastAsia="Times New Roman" w:cs="Arial"/>
          <w:b/>
          <w:bCs/>
          <w:color w:val="000000"/>
          <w:lang w:eastAsia="bg-BG"/>
        </w:rPr>
        <w:t xml:space="preserve">дневно като допълваща терапия към метформин, сравнени с плацебо плюс метформин, при двойно-слепи проучвания </w:t>
      </w:r>
      <w:r w:rsidRPr="00430F15">
        <w:rPr>
          <w:rFonts w:eastAsia="Times New Roman" w:cs="Arial"/>
          <w:b/>
          <w:bCs/>
          <w:color w:val="000000"/>
          <w:lang w:val="en-US"/>
        </w:rPr>
        <w:t>(N=208)</w:t>
      </w:r>
    </w:p>
    <w:tbl>
      <w:tblPr>
        <w:tblStyle w:val="TableGrid"/>
        <w:tblW w:w="0" w:type="auto"/>
        <w:tblLook w:val="04A0" w:firstRow="1" w:lastRow="0" w:firstColumn="1" w:lastColumn="0" w:noHBand="0" w:noVBand="1"/>
      </w:tblPr>
      <w:tblGrid>
        <w:gridCol w:w="4668"/>
        <w:gridCol w:w="4682"/>
      </w:tblGrid>
      <w:tr w:rsidR="000071E9" w14:paraId="30018FAC" w14:textId="77777777" w:rsidTr="009F0582">
        <w:tc>
          <w:tcPr>
            <w:tcW w:w="9500" w:type="dxa"/>
            <w:gridSpan w:val="2"/>
          </w:tcPr>
          <w:p w14:paraId="62429957" w14:textId="78572FFB" w:rsidR="000071E9" w:rsidRPr="000071E9" w:rsidRDefault="000071E9" w:rsidP="00430F15">
            <w:pPr>
              <w:rPr>
                <w:rFonts w:cs="Arial"/>
              </w:rPr>
            </w:pPr>
            <w:r w:rsidRPr="000071E9">
              <w:rPr>
                <w:rFonts w:cs="Arial"/>
                <w:b/>
                <w:bCs/>
              </w:rPr>
              <w:t>Нарушения на метаболизма и храненето</w:t>
            </w:r>
          </w:p>
        </w:tc>
      </w:tr>
      <w:tr w:rsidR="000071E9" w14:paraId="08ACC4B0" w14:textId="77777777" w:rsidTr="000071E9">
        <w:tc>
          <w:tcPr>
            <w:tcW w:w="4750" w:type="dxa"/>
          </w:tcPr>
          <w:p w14:paraId="46F196FF" w14:textId="1EA8DB1B" w:rsidR="000071E9" w:rsidRPr="000071E9" w:rsidRDefault="000071E9" w:rsidP="000071E9">
            <w:pPr>
              <w:rPr>
                <w:rFonts w:cs="Arial"/>
              </w:rPr>
            </w:pPr>
            <w:r w:rsidRPr="000071E9">
              <w:rPr>
                <w:rFonts w:cs="Arial"/>
              </w:rPr>
              <w:t>Чести</w:t>
            </w:r>
          </w:p>
        </w:tc>
        <w:tc>
          <w:tcPr>
            <w:tcW w:w="4750" w:type="dxa"/>
          </w:tcPr>
          <w:p w14:paraId="3D3A827D" w14:textId="4EEA5F4B" w:rsidR="000071E9" w:rsidRPr="000071E9" w:rsidRDefault="000071E9" w:rsidP="000071E9">
            <w:pPr>
              <w:rPr>
                <w:rFonts w:cs="Arial"/>
              </w:rPr>
            </w:pPr>
            <w:r w:rsidRPr="000071E9">
              <w:rPr>
                <w:rFonts w:cs="Arial"/>
              </w:rPr>
              <w:t>Хипогликемия</w:t>
            </w:r>
          </w:p>
        </w:tc>
      </w:tr>
      <w:tr w:rsidR="000071E9" w14:paraId="042F1B44" w14:textId="77777777" w:rsidTr="009E6174">
        <w:tc>
          <w:tcPr>
            <w:tcW w:w="9500" w:type="dxa"/>
            <w:gridSpan w:val="2"/>
          </w:tcPr>
          <w:p w14:paraId="5E7D338A" w14:textId="62726C94" w:rsidR="000071E9" w:rsidRPr="000071E9" w:rsidRDefault="000071E9" w:rsidP="00430F15">
            <w:pPr>
              <w:rPr>
                <w:rFonts w:cs="Arial"/>
              </w:rPr>
            </w:pPr>
            <w:r w:rsidRPr="000071E9">
              <w:rPr>
                <w:rFonts w:eastAsia="Times New Roman" w:cs="Arial"/>
                <w:b/>
                <w:bCs/>
                <w:color w:val="000000"/>
                <w:lang w:eastAsia="bg-BG"/>
              </w:rPr>
              <w:t>Нарушения иа нервната система</w:t>
            </w:r>
          </w:p>
        </w:tc>
      </w:tr>
      <w:tr w:rsidR="000071E9" w14:paraId="4EE96FB7" w14:textId="77777777" w:rsidTr="000071E9">
        <w:tc>
          <w:tcPr>
            <w:tcW w:w="4750" w:type="dxa"/>
          </w:tcPr>
          <w:p w14:paraId="1E35A2EC" w14:textId="1CA04B69" w:rsidR="000071E9" w:rsidRPr="000071E9" w:rsidRDefault="000071E9" w:rsidP="000071E9">
            <w:pPr>
              <w:rPr>
                <w:rFonts w:cs="Arial"/>
              </w:rPr>
            </w:pPr>
            <w:r w:rsidRPr="000071E9">
              <w:rPr>
                <w:rFonts w:cs="Arial"/>
              </w:rPr>
              <w:t>Чести</w:t>
            </w:r>
          </w:p>
        </w:tc>
        <w:tc>
          <w:tcPr>
            <w:tcW w:w="4750" w:type="dxa"/>
          </w:tcPr>
          <w:p w14:paraId="0AB7F973" w14:textId="4C79BF07" w:rsidR="000071E9" w:rsidRPr="000071E9" w:rsidRDefault="000071E9" w:rsidP="000071E9">
            <w:pPr>
              <w:rPr>
                <w:rFonts w:cs="Arial"/>
              </w:rPr>
            </w:pPr>
            <w:r w:rsidRPr="000071E9">
              <w:rPr>
                <w:rFonts w:cs="Arial"/>
              </w:rPr>
              <w:t>Тремор</w:t>
            </w:r>
          </w:p>
        </w:tc>
      </w:tr>
      <w:tr w:rsidR="000071E9" w14:paraId="5D3DE80B" w14:textId="77777777" w:rsidTr="000071E9">
        <w:tc>
          <w:tcPr>
            <w:tcW w:w="4750" w:type="dxa"/>
          </w:tcPr>
          <w:p w14:paraId="6C6FAF7F" w14:textId="75A25F1C" w:rsidR="000071E9" w:rsidRPr="000071E9" w:rsidRDefault="000071E9" w:rsidP="000071E9">
            <w:pPr>
              <w:rPr>
                <w:rFonts w:cs="Arial"/>
              </w:rPr>
            </w:pPr>
            <w:r w:rsidRPr="000071E9">
              <w:rPr>
                <w:rFonts w:cs="Arial"/>
              </w:rPr>
              <w:lastRenderedPageBreak/>
              <w:t>Чести</w:t>
            </w:r>
          </w:p>
        </w:tc>
        <w:tc>
          <w:tcPr>
            <w:tcW w:w="4750" w:type="dxa"/>
          </w:tcPr>
          <w:p w14:paraId="13AC8A2F" w14:textId="7127A0C4" w:rsidR="000071E9" w:rsidRPr="000071E9" w:rsidRDefault="000071E9" w:rsidP="000071E9">
            <w:pPr>
              <w:rPr>
                <w:rFonts w:cs="Arial"/>
              </w:rPr>
            </w:pPr>
            <w:r w:rsidRPr="000071E9">
              <w:rPr>
                <w:rFonts w:cs="Arial"/>
              </w:rPr>
              <w:t>Главоболие</w:t>
            </w:r>
          </w:p>
        </w:tc>
      </w:tr>
      <w:tr w:rsidR="000071E9" w14:paraId="79D71AA1" w14:textId="77777777" w:rsidTr="00322C53">
        <w:tc>
          <w:tcPr>
            <w:tcW w:w="4750" w:type="dxa"/>
            <w:vAlign w:val="bottom"/>
          </w:tcPr>
          <w:p w14:paraId="2AFBC5F7" w14:textId="184F791D" w:rsidR="000071E9" w:rsidRPr="000071E9" w:rsidRDefault="000071E9" w:rsidP="000071E9">
            <w:pPr>
              <w:rPr>
                <w:rFonts w:cs="Arial"/>
              </w:rPr>
            </w:pPr>
            <w:r w:rsidRPr="000071E9">
              <w:rPr>
                <w:rFonts w:cs="Arial"/>
              </w:rPr>
              <w:t>Чести</w:t>
            </w:r>
          </w:p>
        </w:tc>
        <w:tc>
          <w:tcPr>
            <w:tcW w:w="4750" w:type="dxa"/>
            <w:vAlign w:val="bottom"/>
          </w:tcPr>
          <w:p w14:paraId="17E651A6" w14:textId="3BE61564" w:rsidR="000071E9" w:rsidRPr="000071E9" w:rsidRDefault="000071E9" w:rsidP="000071E9">
            <w:pPr>
              <w:rPr>
                <w:rFonts w:cs="Arial"/>
              </w:rPr>
            </w:pPr>
            <w:r w:rsidRPr="000071E9">
              <w:rPr>
                <w:rFonts w:cs="Arial"/>
              </w:rPr>
              <w:t>Замаяност</w:t>
            </w:r>
          </w:p>
        </w:tc>
      </w:tr>
      <w:tr w:rsidR="000071E9" w14:paraId="26AF7555" w14:textId="77777777" w:rsidTr="00322C53">
        <w:tc>
          <w:tcPr>
            <w:tcW w:w="4750" w:type="dxa"/>
            <w:vAlign w:val="bottom"/>
          </w:tcPr>
          <w:p w14:paraId="4C257DB6" w14:textId="04CF7E97" w:rsidR="000071E9" w:rsidRPr="000071E9" w:rsidRDefault="000071E9" w:rsidP="000071E9">
            <w:pPr>
              <w:rPr>
                <w:rFonts w:cs="Arial"/>
              </w:rPr>
            </w:pPr>
            <w:r w:rsidRPr="000071E9">
              <w:rPr>
                <w:rFonts w:cs="Arial"/>
              </w:rPr>
              <w:t>Нечести</w:t>
            </w:r>
          </w:p>
        </w:tc>
        <w:tc>
          <w:tcPr>
            <w:tcW w:w="4750" w:type="dxa"/>
            <w:vAlign w:val="bottom"/>
          </w:tcPr>
          <w:p w14:paraId="55548642" w14:textId="2738117E" w:rsidR="000071E9" w:rsidRPr="000071E9" w:rsidRDefault="000071E9" w:rsidP="000071E9">
            <w:pPr>
              <w:rPr>
                <w:rFonts w:cs="Arial"/>
              </w:rPr>
            </w:pPr>
            <w:r w:rsidRPr="000071E9">
              <w:rPr>
                <w:rFonts w:cs="Arial"/>
              </w:rPr>
              <w:t>Умора</w:t>
            </w:r>
          </w:p>
        </w:tc>
      </w:tr>
      <w:tr w:rsidR="000071E9" w14:paraId="6FF4686E" w14:textId="77777777" w:rsidTr="0029475A">
        <w:tc>
          <w:tcPr>
            <w:tcW w:w="9500" w:type="dxa"/>
            <w:gridSpan w:val="2"/>
          </w:tcPr>
          <w:p w14:paraId="73070915" w14:textId="7EC6E61E" w:rsidR="000071E9" w:rsidRPr="000071E9" w:rsidRDefault="000071E9" w:rsidP="00430F15">
            <w:pPr>
              <w:rPr>
                <w:rFonts w:cs="Arial"/>
              </w:rPr>
            </w:pPr>
            <w:r w:rsidRPr="000071E9">
              <w:rPr>
                <w:rFonts w:eastAsia="Times New Roman" w:cs="Arial"/>
                <w:b/>
                <w:bCs/>
                <w:color w:val="000000"/>
                <w:lang w:eastAsia="bg-BG"/>
              </w:rPr>
              <w:t>Стомашно-чревни нарушения</w:t>
            </w:r>
          </w:p>
        </w:tc>
      </w:tr>
      <w:tr w:rsidR="000071E9" w14:paraId="07B7FD09" w14:textId="77777777" w:rsidTr="000071E9">
        <w:tc>
          <w:tcPr>
            <w:tcW w:w="4750" w:type="dxa"/>
          </w:tcPr>
          <w:p w14:paraId="0E574344" w14:textId="6E67F0E5" w:rsidR="000071E9" w:rsidRPr="000071E9" w:rsidRDefault="000071E9" w:rsidP="000071E9">
            <w:pPr>
              <w:rPr>
                <w:rFonts w:cs="Arial"/>
              </w:rPr>
            </w:pPr>
            <w:r w:rsidRPr="000071E9">
              <w:rPr>
                <w:rFonts w:cs="Arial"/>
              </w:rPr>
              <w:t>Чести</w:t>
            </w:r>
          </w:p>
        </w:tc>
        <w:tc>
          <w:tcPr>
            <w:tcW w:w="4750" w:type="dxa"/>
          </w:tcPr>
          <w:p w14:paraId="44BC528E" w14:textId="249184C4" w:rsidR="000071E9" w:rsidRPr="000071E9" w:rsidRDefault="000071E9" w:rsidP="000071E9">
            <w:pPr>
              <w:rPr>
                <w:rFonts w:cs="Arial"/>
              </w:rPr>
            </w:pPr>
            <w:r w:rsidRPr="000071E9">
              <w:rPr>
                <w:rFonts w:cs="Arial"/>
              </w:rPr>
              <w:t>Гадене</w:t>
            </w:r>
          </w:p>
        </w:tc>
      </w:tr>
    </w:tbl>
    <w:p w14:paraId="28B34371" w14:textId="50CC0701" w:rsidR="00430F15" w:rsidRDefault="00430F15" w:rsidP="00430F15"/>
    <w:p w14:paraId="77824B38" w14:textId="77777777" w:rsidR="000071E9" w:rsidRPr="000071E9" w:rsidRDefault="000071E9" w:rsidP="000071E9">
      <w:pPr>
        <w:spacing w:line="240" w:lineRule="auto"/>
        <w:rPr>
          <w:rFonts w:eastAsia="Times New Roman" w:cs="Arial"/>
          <w:sz w:val="24"/>
          <w:szCs w:val="24"/>
          <w:lang w:eastAsia="bg-BG"/>
        </w:rPr>
      </w:pPr>
      <w:r w:rsidRPr="000071E9">
        <w:rPr>
          <w:rFonts w:eastAsia="Times New Roman" w:cs="Arial"/>
          <w:i/>
          <w:iCs/>
          <w:color w:val="000000"/>
          <w:u w:val="single"/>
          <w:lang w:eastAsia="bg-BG"/>
        </w:rPr>
        <w:t>Описание на избрани нежелани реакции</w:t>
      </w:r>
    </w:p>
    <w:p w14:paraId="5C8C8DE4" w14:textId="77777777" w:rsidR="000071E9" w:rsidRPr="000071E9" w:rsidRDefault="000071E9" w:rsidP="000071E9">
      <w:pPr>
        <w:spacing w:line="240" w:lineRule="auto"/>
        <w:rPr>
          <w:rFonts w:eastAsia="Times New Roman" w:cs="Arial"/>
          <w:sz w:val="24"/>
          <w:szCs w:val="24"/>
          <w:lang w:eastAsia="bg-BG"/>
        </w:rPr>
      </w:pPr>
      <w:r w:rsidRPr="000071E9">
        <w:rPr>
          <w:rFonts w:eastAsia="Times New Roman" w:cs="Arial"/>
          <w:color w:val="000000"/>
          <w:lang w:eastAsia="bg-BG"/>
        </w:rPr>
        <w:t xml:space="preserve">При контролирани клинични изпитвания с комбинация от вилдаглиптин 100 </w:t>
      </w:r>
      <w:r w:rsidRPr="000071E9">
        <w:rPr>
          <w:rFonts w:eastAsia="Times New Roman" w:cs="Arial"/>
          <w:color w:val="000000"/>
          <w:lang w:val="en-US"/>
        </w:rPr>
        <w:t xml:space="preserve">mg </w:t>
      </w:r>
      <w:r w:rsidRPr="000071E9">
        <w:rPr>
          <w:rFonts w:eastAsia="Times New Roman" w:cs="Arial"/>
          <w:color w:val="000000"/>
          <w:lang w:eastAsia="bg-BG"/>
        </w:rPr>
        <w:t xml:space="preserve">дненво плюс метформин, няма съобщения за прекратяване на терапията поради нежелани лекарствени реакции, както в групата на лечение с вилдаглиптин 100 </w:t>
      </w:r>
      <w:r w:rsidRPr="000071E9">
        <w:rPr>
          <w:rFonts w:eastAsia="Times New Roman" w:cs="Arial"/>
          <w:color w:val="000000"/>
          <w:lang w:val="en-US"/>
        </w:rPr>
        <w:t xml:space="preserve">mg </w:t>
      </w:r>
      <w:r w:rsidRPr="000071E9">
        <w:rPr>
          <w:rFonts w:eastAsia="Times New Roman" w:cs="Arial"/>
          <w:color w:val="000000"/>
          <w:lang w:eastAsia="bg-BG"/>
        </w:rPr>
        <w:t>дневно плюс метформин, така и в групата на лечение с плацебо плюс метформин.</w:t>
      </w:r>
    </w:p>
    <w:p w14:paraId="7AE3421E" w14:textId="77777777" w:rsidR="000071E9" w:rsidRPr="000071E9" w:rsidRDefault="000071E9" w:rsidP="000071E9">
      <w:pPr>
        <w:spacing w:line="240" w:lineRule="auto"/>
        <w:rPr>
          <w:rFonts w:eastAsia="Times New Roman" w:cs="Arial"/>
          <w:color w:val="000000"/>
          <w:lang w:eastAsia="bg-BG"/>
        </w:rPr>
      </w:pPr>
    </w:p>
    <w:p w14:paraId="172C490F" w14:textId="11AB7CE6" w:rsidR="000071E9" w:rsidRPr="000071E9" w:rsidRDefault="000071E9" w:rsidP="000071E9">
      <w:pPr>
        <w:spacing w:line="240" w:lineRule="auto"/>
        <w:rPr>
          <w:rFonts w:eastAsia="Times New Roman" w:cs="Arial"/>
          <w:sz w:val="24"/>
          <w:szCs w:val="24"/>
          <w:lang w:eastAsia="bg-BG"/>
        </w:rPr>
      </w:pPr>
      <w:r w:rsidRPr="000071E9">
        <w:rPr>
          <w:rFonts w:eastAsia="Times New Roman" w:cs="Arial"/>
          <w:color w:val="000000"/>
          <w:lang w:eastAsia="bg-BG"/>
        </w:rPr>
        <w:t>При клинични изпитвания появата на хипогликемия е честа при пациенти, приемащи вилдаглиптин в комбинация с метформин (1%) и нечеста при пациенти, получаващи плацебо + метформин (0,4%), Не се съобщава за тежки епизоди на хипогликемия в терапевтичните групи с вилдаглиптин.</w:t>
      </w:r>
    </w:p>
    <w:p w14:paraId="1EFE0250" w14:textId="77777777" w:rsidR="000071E9" w:rsidRPr="000071E9" w:rsidRDefault="000071E9" w:rsidP="000071E9">
      <w:pPr>
        <w:spacing w:line="240" w:lineRule="auto"/>
        <w:rPr>
          <w:rFonts w:eastAsia="Times New Roman" w:cs="Arial"/>
          <w:color w:val="000000"/>
          <w:lang w:eastAsia="bg-BG"/>
        </w:rPr>
      </w:pPr>
    </w:p>
    <w:p w14:paraId="18FB8723" w14:textId="7B6C6C6F" w:rsidR="000071E9" w:rsidRPr="000071E9" w:rsidRDefault="000071E9" w:rsidP="000071E9">
      <w:pPr>
        <w:spacing w:line="240" w:lineRule="auto"/>
        <w:rPr>
          <w:rFonts w:eastAsia="Times New Roman" w:cs="Arial"/>
          <w:color w:val="000000"/>
          <w:lang w:eastAsia="bg-BG"/>
        </w:rPr>
      </w:pPr>
      <w:r w:rsidRPr="000071E9">
        <w:rPr>
          <w:rFonts w:eastAsia="Times New Roman" w:cs="Arial"/>
          <w:color w:val="000000"/>
          <w:lang w:eastAsia="bg-BG"/>
        </w:rPr>
        <w:t xml:space="preserve">В хода на клинични изпитвания, теглото не се променя спрямо изходната стойност, когато вилдаглиптин 100 </w:t>
      </w:r>
      <w:r w:rsidRPr="000071E9">
        <w:rPr>
          <w:rFonts w:eastAsia="Times New Roman" w:cs="Arial"/>
          <w:color w:val="000000"/>
          <w:lang w:val="en-US"/>
        </w:rPr>
        <w:t xml:space="preserve">mg </w:t>
      </w:r>
      <w:r w:rsidRPr="000071E9">
        <w:rPr>
          <w:rFonts w:eastAsia="Times New Roman" w:cs="Arial"/>
          <w:color w:val="000000"/>
          <w:lang w:eastAsia="bg-BG"/>
        </w:rPr>
        <w:t xml:space="preserve">дневно се добавя към метформин (+0,2 </w:t>
      </w:r>
      <w:r w:rsidRPr="000071E9">
        <w:rPr>
          <w:rFonts w:eastAsia="Times New Roman" w:cs="Arial"/>
          <w:color w:val="000000"/>
          <w:lang w:val="en-US"/>
        </w:rPr>
        <w:t xml:space="preserve">kg </w:t>
      </w:r>
      <w:r w:rsidRPr="000071E9">
        <w:rPr>
          <w:rFonts w:eastAsia="Times New Roman" w:cs="Arial"/>
          <w:color w:val="000000"/>
          <w:lang w:eastAsia="bg-BG"/>
        </w:rPr>
        <w:t xml:space="preserve">и -1,0 </w:t>
      </w:r>
      <w:r w:rsidRPr="000071E9">
        <w:rPr>
          <w:rFonts w:eastAsia="Times New Roman" w:cs="Arial"/>
          <w:color w:val="000000"/>
          <w:lang w:val="en-US"/>
        </w:rPr>
        <w:t xml:space="preserve">kg, </w:t>
      </w:r>
      <w:r w:rsidRPr="000071E9">
        <w:rPr>
          <w:rFonts w:eastAsia="Times New Roman" w:cs="Arial"/>
          <w:color w:val="000000"/>
          <w:lang w:eastAsia="bg-BG"/>
        </w:rPr>
        <w:t>съответно за вилдаглиптин и плацебо).</w:t>
      </w:r>
    </w:p>
    <w:p w14:paraId="0988E220" w14:textId="6357AC95" w:rsidR="000071E9" w:rsidRPr="000071E9" w:rsidRDefault="000071E9" w:rsidP="000071E9">
      <w:pPr>
        <w:spacing w:line="240" w:lineRule="auto"/>
        <w:rPr>
          <w:rFonts w:eastAsia="Times New Roman" w:cs="Arial"/>
          <w:color w:val="000000"/>
          <w:lang w:eastAsia="bg-BG"/>
        </w:rPr>
      </w:pPr>
    </w:p>
    <w:p w14:paraId="663A2BFF" w14:textId="77777777" w:rsidR="000071E9" w:rsidRPr="000071E9" w:rsidRDefault="000071E9" w:rsidP="000071E9">
      <w:pPr>
        <w:spacing w:line="240" w:lineRule="auto"/>
        <w:rPr>
          <w:rFonts w:eastAsia="Times New Roman" w:cs="Arial"/>
          <w:sz w:val="24"/>
          <w:szCs w:val="24"/>
          <w:lang w:eastAsia="bg-BG"/>
        </w:rPr>
      </w:pPr>
      <w:r w:rsidRPr="000071E9">
        <w:rPr>
          <w:rFonts w:eastAsia="Times New Roman" w:cs="Arial"/>
          <w:color w:val="000000"/>
          <w:lang w:eastAsia="bg-BG"/>
        </w:rPr>
        <w:t>Клинични изпитвания с над 2-годишна продължителност не показват идентифициране на допълнителни, свързани с лекарствената безопасност, сигнали или непредвидени рискове при добавяне на вилдаглиптин към метформин.</w:t>
      </w:r>
    </w:p>
    <w:p w14:paraId="4B74E03B" w14:textId="77777777" w:rsidR="000071E9" w:rsidRPr="000071E9" w:rsidRDefault="000071E9" w:rsidP="000071E9">
      <w:pPr>
        <w:spacing w:line="240" w:lineRule="auto"/>
        <w:rPr>
          <w:rFonts w:eastAsia="Times New Roman" w:cs="Arial"/>
          <w:i/>
          <w:iCs/>
          <w:color w:val="000000"/>
          <w:lang w:eastAsia="bg-BG"/>
        </w:rPr>
      </w:pPr>
    </w:p>
    <w:p w14:paraId="60B6BFBC" w14:textId="2926AAD8" w:rsidR="000071E9" w:rsidRPr="000071E9" w:rsidRDefault="000071E9" w:rsidP="000071E9">
      <w:pPr>
        <w:spacing w:line="240" w:lineRule="auto"/>
        <w:rPr>
          <w:rFonts w:eastAsia="Times New Roman" w:cs="Arial"/>
          <w:sz w:val="24"/>
          <w:szCs w:val="24"/>
          <w:lang w:eastAsia="bg-BG"/>
        </w:rPr>
      </w:pPr>
      <w:r w:rsidRPr="000071E9">
        <w:rPr>
          <w:rFonts w:eastAsia="Times New Roman" w:cs="Arial"/>
          <w:i/>
          <w:iCs/>
          <w:color w:val="000000"/>
          <w:lang w:eastAsia="bg-BG"/>
        </w:rPr>
        <w:t>Комбинация със сулфонилуреен продукт</w:t>
      </w:r>
    </w:p>
    <w:p w14:paraId="78DBF3D8" w14:textId="77777777" w:rsidR="000071E9" w:rsidRPr="000071E9" w:rsidRDefault="000071E9" w:rsidP="000071E9">
      <w:pPr>
        <w:spacing w:line="240" w:lineRule="auto"/>
        <w:rPr>
          <w:rFonts w:eastAsia="Times New Roman" w:cs="Arial"/>
          <w:b/>
          <w:bCs/>
          <w:color w:val="000000"/>
          <w:lang w:eastAsia="bg-BG"/>
        </w:rPr>
      </w:pPr>
    </w:p>
    <w:p w14:paraId="5DE670ED" w14:textId="05932415" w:rsidR="000071E9" w:rsidRPr="000071E9" w:rsidRDefault="000071E9" w:rsidP="000071E9">
      <w:pPr>
        <w:spacing w:line="240" w:lineRule="auto"/>
        <w:rPr>
          <w:rFonts w:eastAsia="Times New Roman" w:cs="Arial"/>
          <w:sz w:val="24"/>
          <w:szCs w:val="24"/>
          <w:lang w:eastAsia="bg-BG"/>
        </w:rPr>
      </w:pPr>
      <w:r w:rsidRPr="000071E9">
        <w:rPr>
          <w:rFonts w:eastAsia="Times New Roman" w:cs="Arial"/>
          <w:b/>
          <w:bCs/>
          <w:color w:val="000000"/>
          <w:lang w:eastAsia="bg-BG"/>
        </w:rPr>
        <w:t xml:space="preserve">Таблица 2 Нежелани лекарствени реакции, съобщени прн пациенти, които получават вилдаглиптин 50 </w:t>
      </w:r>
      <w:r w:rsidRPr="000071E9">
        <w:rPr>
          <w:rFonts w:eastAsia="Times New Roman" w:cs="Arial"/>
          <w:b/>
          <w:bCs/>
          <w:color w:val="000000"/>
          <w:lang w:val="en-US"/>
        </w:rPr>
        <w:t xml:space="preserve">mg </w:t>
      </w:r>
      <w:r w:rsidRPr="000071E9">
        <w:rPr>
          <w:rFonts w:eastAsia="Times New Roman" w:cs="Arial"/>
          <w:b/>
          <w:bCs/>
          <w:color w:val="000000"/>
          <w:lang w:eastAsia="bg-BG"/>
        </w:rPr>
        <w:t xml:space="preserve">два пъти дневно в комбианция с метформин и сулфонилуреен продукт </w:t>
      </w:r>
      <w:r w:rsidRPr="000071E9">
        <w:rPr>
          <w:rFonts w:eastAsia="Times New Roman" w:cs="Arial"/>
          <w:b/>
          <w:bCs/>
          <w:color w:val="000000"/>
          <w:lang w:val="en-US"/>
        </w:rPr>
        <w:t>(N=157)</w:t>
      </w:r>
    </w:p>
    <w:tbl>
      <w:tblPr>
        <w:tblStyle w:val="TableGrid"/>
        <w:tblW w:w="0" w:type="auto"/>
        <w:tblLook w:val="04A0" w:firstRow="1" w:lastRow="0" w:firstColumn="1" w:lastColumn="0" w:noHBand="0" w:noVBand="1"/>
      </w:tblPr>
      <w:tblGrid>
        <w:gridCol w:w="4666"/>
        <w:gridCol w:w="4684"/>
      </w:tblGrid>
      <w:tr w:rsidR="000071E9" w14:paraId="6800129A" w14:textId="77777777" w:rsidTr="006A1845">
        <w:tc>
          <w:tcPr>
            <w:tcW w:w="9500" w:type="dxa"/>
            <w:gridSpan w:val="2"/>
          </w:tcPr>
          <w:p w14:paraId="16CD95FF" w14:textId="5B4E74BE" w:rsidR="000071E9" w:rsidRPr="003E2E2A" w:rsidRDefault="000071E9" w:rsidP="000071E9">
            <w:pPr>
              <w:spacing w:line="240" w:lineRule="auto"/>
              <w:rPr>
                <w:rFonts w:eastAsia="Times New Roman" w:cs="Arial"/>
                <w:sz w:val="24"/>
                <w:szCs w:val="24"/>
                <w:lang w:eastAsia="bg-BG"/>
              </w:rPr>
            </w:pPr>
            <w:r w:rsidRPr="000071E9">
              <w:rPr>
                <w:rFonts w:eastAsia="Times New Roman" w:cs="Arial"/>
                <w:b/>
                <w:bCs/>
                <w:color w:val="000000"/>
                <w:lang w:eastAsia="bg-BG"/>
              </w:rPr>
              <w:t>Нарушения на метаболизма и храненето</w:t>
            </w:r>
          </w:p>
        </w:tc>
      </w:tr>
      <w:tr w:rsidR="000071E9" w14:paraId="35926F72" w14:textId="77777777" w:rsidTr="000071E9">
        <w:tc>
          <w:tcPr>
            <w:tcW w:w="4750" w:type="dxa"/>
          </w:tcPr>
          <w:p w14:paraId="65D69C46" w14:textId="24270CD1" w:rsidR="000071E9" w:rsidRPr="003E2E2A" w:rsidRDefault="000071E9" w:rsidP="000071E9">
            <w:pPr>
              <w:rPr>
                <w:rFonts w:cs="Arial"/>
              </w:rPr>
            </w:pPr>
            <w:r w:rsidRPr="003E2E2A">
              <w:rPr>
                <w:rFonts w:cs="Arial"/>
              </w:rPr>
              <w:t>Чести</w:t>
            </w:r>
          </w:p>
        </w:tc>
        <w:tc>
          <w:tcPr>
            <w:tcW w:w="4750" w:type="dxa"/>
          </w:tcPr>
          <w:p w14:paraId="75360CB5" w14:textId="09237DBA" w:rsidR="000071E9" w:rsidRPr="003E2E2A" w:rsidRDefault="000071E9" w:rsidP="000071E9">
            <w:pPr>
              <w:rPr>
                <w:rFonts w:cs="Arial"/>
              </w:rPr>
            </w:pPr>
            <w:r w:rsidRPr="003E2E2A">
              <w:rPr>
                <w:rFonts w:cs="Arial"/>
              </w:rPr>
              <w:t>Хипогликемия</w:t>
            </w:r>
          </w:p>
        </w:tc>
      </w:tr>
      <w:tr w:rsidR="000071E9" w14:paraId="5307BD86" w14:textId="77777777" w:rsidTr="004132BA">
        <w:tc>
          <w:tcPr>
            <w:tcW w:w="9500" w:type="dxa"/>
            <w:gridSpan w:val="2"/>
          </w:tcPr>
          <w:p w14:paraId="6037AD7F" w14:textId="04293926" w:rsidR="000071E9" w:rsidRPr="003E2E2A" w:rsidRDefault="003E2E2A" w:rsidP="003E2E2A">
            <w:pPr>
              <w:spacing w:line="240" w:lineRule="auto"/>
              <w:rPr>
                <w:rFonts w:eastAsia="Times New Roman" w:cs="Arial"/>
                <w:sz w:val="24"/>
                <w:szCs w:val="24"/>
                <w:lang w:eastAsia="bg-BG"/>
              </w:rPr>
            </w:pPr>
            <w:r w:rsidRPr="003E2E2A">
              <w:rPr>
                <w:rFonts w:eastAsia="Times New Roman" w:cs="Arial"/>
                <w:b/>
                <w:bCs/>
                <w:color w:val="000000"/>
                <w:lang w:eastAsia="bg-BG"/>
              </w:rPr>
              <w:t>Нарушения на нервната система</w:t>
            </w:r>
          </w:p>
        </w:tc>
      </w:tr>
      <w:tr w:rsidR="003E2E2A" w14:paraId="4397D974" w14:textId="77777777" w:rsidTr="003E2E2A">
        <w:trPr>
          <w:trHeight w:val="225"/>
        </w:trPr>
        <w:tc>
          <w:tcPr>
            <w:tcW w:w="4750" w:type="dxa"/>
          </w:tcPr>
          <w:p w14:paraId="6AFE9618" w14:textId="2FE4C7DE" w:rsidR="003E2E2A" w:rsidRPr="003E2E2A" w:rsidRDefault="003E2E2A" w:rsidP="003E2E2A">
            <w:pPr>
              <w:rPr>
                <w:rFonts w:cs="Arial"/>
              </w:rPr>
            </w:pPr>
            <w:r w:rsidRPr="003E2E2A">
              <w:rPr>
                <w:rFonts w:cs="Arial"/>
              </w:rPr>
              <w:t>Чести</w:t>
            </w:r>
          </w:p>
        </w:tc>
        <w:tc>
          <w:tcPr>
            <w:tcW w:w="4750" w:type="dxa"/>
          </w:tcPr>
          <w:p w14:paraId="43D0FD72" w14:textId="76D4606B" w:rsidR="003E2E2A" w:rsidRPr="003E2E2A" w:rsidRDefault="003E2E2A" w:rsidP="003E2E2A">
            <w:pPr>
              <w:rPr>
                <w:rFonts w:cs="Arial"/>
              </w:rPr>
            </w:pPr>
            <w:r w:rsidRPr="003E2E2A">
              <w:rPr>
                <w:rFonts w:cs="Arial"/>
              </w:rPr>
              <w:t>Замаяност, тремор</w:t>
            </w:r>
          </w:p>
        </w:tc>
      </w:tr>
      <w:tr w:rsidR="000071E9" w14:paraId="476F401D" w14:textId="77777777" w:rsidTr="00AA20E5">
        <w:tc>
          <w:tcPr>
            <w:tcW w:w="9500" w:type="dxa"/>
            <w:gridSpan w:val="2"/>
          </w:tcPr>
          <w:p w14:paraId="049AF32A" w14:textId="38DEF7F4" w:rsidR="000071E9" w:rsidRPr="003E2E2A" w:rsidRDefault="003E2E2A" w:rsidP="00430F15">
            <w:pPr>
              <w:rPr>
                <w:rFonts w:cs="Arial"/>
              </w:rPr>
            </w:pPr>
            <w:r w:rsidRPr="003E2E2A">
              <w:rPr>
                <w:rFonts w:cs="Arial"/>
                <w:b/>
                <w:bCs/>
              </w:rPr>
              <w:t>Нарушения на кожата и подкожаната тъкан</w:t>
            </w:r>
          </w:p>
        </w:tc>
      </w:tr>
      <w:tr w:rsidR="003E2E2A" w14:paraId="7C6CF910" w14:textId="77777777" w:rsidTr="000071E9">
        <w:tc>
          <w:tcPr>
            <w:tcW w:w="4750" w:type="dxa"/>
          </w:tcPr>
          <w:p w14:paraId="11FB78AC" w14:textId="6AD9E93F" w:rsidR="003E2E2A" w:rsidRPr="003E2E2A" w:rsidRDefault="003E2E2A" w:rsidP="003E2E2A">
            <w:pPr>
              <w:rPr>
                <w:rFonts w:cs="Arial"/>
              </w:rPr>
            </w:pPr>
            <w:r w:rsidRPr="003E2E2A">
              <w:rPr>
                <w:rFonts w:cs="Arial"/>
              </w:rPr>
              <w:t>Чести</w:t>
            </w:r>
          </w:p>
        </w:tc>
        <w:tc>
          <w:tcPr>
            <w:tcW w:w="4750" w:type="dxa"/>
          </w:tcPr>
          <w:p w14:paraId="775113AE" w14:textId="44D5F9C4" w:rsidR="003E2E2A" w:rsidRPr="003E2E2A" w:rsidRDefault="003E2E2A" w:rsidP="003E2E2A">
            <w:pPr>
              <w:rPr>
                <w:rFonts w:cs="Arial"/>
              </w:rPr>
            </w:pPr>
            <w:r w:rsidRPr="003E2E2A">
              <w:rPr>
                <w:rFonts w:cs="Arial"/>
              </w:rPr>
              <w:t>Хиперхидроза</w:t>
            </w:r>
          </w:p>
        </w:tc>
      </w:tr>
      <w:tr w:rsidR="000071E9" w14:paraId="783A95DB" w14:textId="77777777" w:rsidTr="00630EF0">
        <w:tc>
          <w:tcPr>
            <w:tcW w:w="9500" w:type="dxa"/>
            <w:gridSpan w:val="2"/>
          </w:tcPr>
          <w:p w14:paraId="226ADA04" w14:textId="2356A14A" w:rsidR="000071E9" w:rsidRPr="003E2E2A" w:rsidRDefault="003E2E2A" w:rsidP="003E2E2A">
            <w:pPr>
              <w:spacing w:line="240" w:lineRule="auto"/>
              <w:rPr>
                <w:rFonts w:eastAsia="Times New Roman" w:cs="Arial"/>
                <w:sz w:val="24"/>
                <w:szCs w:val="24"/>
                <w:lang w:eastAsia="bg-BG"/>
              </w:rPr>
            </w:pPr>
            <w:r w:rsidRPr="003E2E2A">
              <w:rPr>
                <w:rFonts w:eastAsia="Times New Roman" w:cs="Arial"/>
                <w:b/>
                <w:bCs/>
                <w:color w:val="000000"/>
                <w:lang w:eastAsia="bg-BG"/>
              </w:rPr>
              <w:t>Общи нарушения и ефекти на мястото на приложение</w:t>
            </w:r>
          </w:p>
        </w:tc>
      </w:tr>
      <w:tr w:rsidR="003E2E2A" w14:paraId="19DD845F" w14:textId="77777777" w:rsidTr="000071E9">
        <w:tc>
          <w:tcPr>
            <w:tcW w:w="4750" w:type="dxa"/>
          </w:tcPr>
          <w:p w14:paraId="7A93DA8E" w14:textId="59992B3A" w:rsidR="003E2E2A" w:rsidRPr="003E2E2A" w:rsidRDefault="003E2E2A" w:rsidP="003E2E2A">
            <w:pPr>
              <w:rPr>
                <w:rFonts w:cs="Arial"/>
              </w:rPr>
            </w:pPr>
            <w:r w:rsidRPr="003E2E2A">
              <w:rPr>
                <w:rFonts w:cs="Arial"/>
              </w:rPr>
              <w:t>Чести</w:t>
            </w:r>
          </w:p>
        </w:tc>
        <w:tc>
          <w:tcPr>
            <w:tcW w:w="4750" w:type="dxa"/>
          </w:tcPr>
          <w:p w14:paraId="15347E49" w14:textId="641C30F4" w:rsidR="003E2E2A" w:rsidRPr="003E2E2A" w:rsidRDefault="003E2E2A" w:rsidP="003E2E2A">
            <w:pPr>
              <w:rPr>
                <w:rFonts w:cs="Arial"/>
              </w:rPr>
            </w:pPr>
            <w:r w:rsidRPr="003E2E2A">
              <w:rPr>
                <w:rFonts w:cs="Arial"/>
              </w:rPr>
              <w:t>Астения</w:t>
            </w:r>
          </w:p>
        </w:tc>
      </w:tr>
    </w:tbl>
    <w:p w14:paraId="59E05013" w14:textId="77777777" w:rsidR="003E2E2A" w:rsidRDefault="003E2E2A" w:rsidP="003E2E2A">
      <w:pPr>
        <w:spacing w:line="240" w:lineRule="auto"/>
        <w:rPr>
          <w:rFonts w:ascii="Times New Roman" w:eastAsia="Times New Roman" w:hAnsi="Times New Roman" w:cs="Times New Roman"/>
          <w:i/>
          <w:iCs/>
          <w:color w:val="000000"/>
          <w:u w:val="single"/>
          <w:lang w:eastAsia="bg-BG"/>
        </w:rPr>
      </w:pPr>
    </w:p>
    <w:p w14:paraId="5173837C" w14:textId="3A18862D"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u w:val="single"/>
          <w:lang w:eastAsia="bg-BG"/>
        </w:rPr>
        <w:t>Описание на избрани нежелани реакции</w:t>
      </w:r>
    </w:p>
    <w:p w14:paraId="578800CA"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Не се съобщава за прекратяване на лечението поради възникване на нежелани реакции в терапевтичната група на вилдаглиптин + метформин + глимепирид спрямо 0,6% в терапевтичната група на плацебо + метформин + глимепирид.</w:t>
      </w:r>
    </w:p>
    <w:p w14:paraId="24DBB221" w14:textId="77777777" w:rsidR="003E2E2A" w:rsidRPr="003E2E2A" w:rsidRDefault="003E2E2A" w:rsidP="003E2E2A">
      <w:pPr>
        <w:spacing w:line="240" w:lineRule="auto"/>
        <w:rPr>
          <w:rFonts w:eastAsia="Times New Roman" w:cs="Arial"/>
          <w:color w:val="000000"/>
          <w:lang w:eastAsia="bg-BG"/>
        </w:rPr>
      </w:pPr>
    </w:p>
    <w:p w14:paraId="17932FEF" w14:textId="0D6CE00B"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Случаи на хипогликемия има и в двете терапевтични групи (5,1% за групата на вилдаглиптин + метформин + глимепирид спрямо 1,9% за групата на плацебо + метформин + глимепирид). В групата на вилдаглиптин се съобщава за един тежък случай на хипогликемия.</w:t>
      </w:r>
    </w:p>
    <w:p w14:paraId="0599F899" w14:textId="77777777" w:rsidR="003E2E2A" w:rsidRPr="003E2E2A" w:rsidRDefault="003E2E2A" w:rsidP="003E2E2A">
      <w:pPr>
        <w:spacing w:line="240" w:lineRule="auto"/>
        <w:rPr>
          <w:rFonts w:eastAsia="Times New Roman" w:cs="Arial"/>
          <w:color w:val="000000"/>
          <w:lang w:eastAsia="bg-BG"/>
        </w:rPr>
      </w:pPr>
    </w:p>
    <w:p w14:paraId="04A2A28B" w14:textId="1B4D754E"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lastRenderedPageBreak/>
        <w:t xml:space="preserve">В края на проучването, ефектът върху средното телесно тегло е неутрален (+0,6 </w:t>
      </w:r>
      <w:r w:rsidRPr="003E2E2A">
        <w:rPr>
          <w:rFonts w:eastAsia="Times New Roman" w:cs="Arial"/>
          <w:color w:val="000000"/>
          <w:lang w:val="en-US"/>
        </w:rPr>
        <w:t xml:space="preserve">kg </w:t>
      </w:r>
      <w:r w:rsidRPr="003E2E2A">
        <w:rPr>
          <w:rFonts w:eastAsia="Times New Roman" w:cs="Arial"/>
          <w:color w:val="000000"/>
          <w:lang w:eastAsia="bg-BG"/>
        </w:rPr>
        <w:t xml:space="preserve">в групата на вилдаглиптин и -0,1 </w:t>
      </w:r>
      <w:r w:rsidRPr="003E2E2A">
        <w:rPr>
          <w:rFonts w:eastAsia="Times New Roman" w:cs="Arial"/>
          <w:color w:val="000000"/>
          <w:lang w:val="en-US"/>
        </w:rPr>
        <w:t xml:space="preserve">kg </w:t>
      </w:r>
      <w:r w:rsidRPr="003E2E2A">
        <w:rPr>
          <w:rFonts w:eastAsia="Times New Roman" w:cs="Arial"/>
          <w:color w:val="000000"/>
          <w:lang w:eastAsia="bg-BG"/>
        </w:rPr>
        <w:t>в групата на плацебо).</w:t>
      </w:r>
    </w:p>
    <w:p w14:paraId="5963F752" w14:textId="77777777" w:rsidR="003E2E2A" w:rsidRPr="003E2E2A" w:rsidRDefault="003E2E2A" w:rsidP="003E2E2A">
      <w:pPr>
        <w:spacing w:line="240" w:lineRule="auto"/>
        <w:rPr>
          <w:rFonts w:eastAsia="Times New Roman" w:cs="Arial"/>
          <w:i/>
          <w:iCs/>
          <w:color w:val="000000"/>
          <w:lang w:eastAsia="bg-BG"/>
        </w:rPr>
      </w:pPr>
    </w:p>
    <w:p w14:paraId="6E42633E" w14:textId="7EE2AF17"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lang w:eastAsia="bg-BG"/>
        </w:rPr>
        <w:t>Комбинация с инсулин</w:t>
      </w:r>
    </w:p>
    <w:p w14:paraId="75E8C5CB" w14:textId="77777777" w:rsidR="003E2E2A" w:rsidRPr="003E2E2A" w:rsidRDefault="003E2E2A" w:rsidP="003E2E2A">
      <w:pPr>
        <w:spacing w:line="240" w:lineRule="auto"/>
        <w:rPr>
          <w:rFonts w:eastAsia="Times New Roman" w:cs="Arial"/>
          <w:b/>
          <w:bCs/>
          <w:color w:val="000000"/>
          <w:lang w:eastAsia="bg-BG"/>
        </w:rPr>
      </w:pPr>
    </w:p>
    <w:p w14:paraId="03E63CEF" w14:textId="6B13E944" w:rsidR="003E2E2A" w:rsidRPr="003E2E2A" w:rsidRDefault="003E2E2A" w:rsidP="003E2E2A">
      <w:pPr>
        <w:spacing w:line="240" w:lineRule="auto"/>
        <w:rPr>
          <w:rFonts w:eastAsia="Times New Roman" w:cs="Arial"/>
          <w:sz w:val="24"/>
          <w:szCs w:val="24"/>
          <w:lang w:eastAsia="bg-BG"/>
        </w:rPr>
      </w:pPr>
      <w:r w:rsidRPr="003E2E2A">
        <w:rPr>
          <w:rFonts w:eastAsia="Times New Roman" w:cs="Arial"/>
          <w:b/>
          <w:bCs/>
          <w:color w:val="000000"/>
          <w:lang w:eastAsia="bg-BG"/>
        </w:rPr>
        <w:t xml:space="preserve">Таблица 3 Нежелани лекарствени реакции, съобщени при пациенти, които получават вилдаглиптин 100 </w:t>
      </w:r>
      <w:r w:rsidRPr="003E2E2A">
        <w:rPr>
          <w:rFonts w:eastAsia="Times New Roman" w:cs="Arial"/>
          <w:b/>
          <w:bCs/>
          <w:color w:val="000000"/>
          <w:lang w:val="en-US"/>
        </w:rPr>
        <w:t xml:space="preserve">mg </w:t>
      </w:r>
      <w:r w:rsidRPr="003E2E2A">
        <w:rPr>
          <w:rFonts w:eastAsia="Times New Roman" w:cs="Arial"/>
          <w:b/>
          <w:bCs/>
          <w:color w:val="000000"/>
          <w:lang w:eastAsia="bg-BG"/>
        </w:rPr>
        <w:t xml:space="preserve">дневно в комбинация с инсулин (е илн без метформнн) в хода на двойно-слепи проучвания </w:t>
      </w:r>
      <w:r w:rsidRPr="003E2E2A">
        <w:rPr>
          <w:rFonts w:eastAsia="Times New Roman" w:cs="Arial"/>
          <w:b/>
          <w:bCs/>
          <w:color w:val="000000"/>
          <w:lang w:val="en-US"/>
        </w:rPr>
        <w:t>(N=371)</w:t>
      </w:r>
    </w:p>
    <w:tbl>
      <w:tblPr>
        <w:tblStyle w:val="TableGrid"/>
        <w:tblW w:w="0" w:type="auto"/>
        <w:tblLook w:val="04A0" w:firstRow="1" w:lastRow="0" w:firstColumn="1" w:lastColumn="0" w:noHBand="0" w:noVBand="1"/>
      </w:tblPr>
      <w:tblGrid>
        <w:gridCol w:w="4661"/>
        <w:gridCol w:w="4689"/>
      </w:tblGrid>
      <w:tr w:rsidR="003E2E2A" w14:paraId="724B5884" w14:textId="77777777" w:rsidTr="00BB7C20">
        <w:tc>
          <w:tcPr>
            <w:tcW w:w="9500" w:type="dxa"/>
            <w:gridSpan w:val="2"/>
          </w:tcPr>
          <w:p w14:paraId="08E27266" w14:textId="1CCF83AE" w:rsidR="003E2E2A" w:rsidRPr="003E2E2A" w:rsidRDefault="003E2E2A" w:rsidP="00430F15">
            <w:pPr>
              <w:rPr>
                <w:rFonts w:cs="Arial"/>
              </w:rPr>
            </w:pPr>
            <w:r w:rsidRPr="003E2E2A">
              <w:rPr>
                <w:rFonts w:eastAsia="Times New Roman" w:cs="Arial"/>
                <w:b/>
                <w:bCs/>
                <w:color w:val="000000"/>
                <w:lang w:eastAsia="bg-BG"/>
              </w:rPr>
              <w:t>Нарушения на метаболизма и храненето</w:t>
            </w:r>
          </w:p>
        </w:tc>
      </w:tr>
      <w:tr w:rsidR="003E2E2A" w14:paraId="731CC635" w14:textId="77777777" w:rsidTr="003E2E2A">
        <w:tc>
          <w:tcPr>
            <w:tcW w:w="4750" w:type="dxa"/>
          </w:tcPr>
          <w:p w14:paraId="4F8FB943" w14:textId="7612B671" w:rsidR="003E2E2A" w:rsidRPr="003E2E2A" w:rsidRDefault="003E2E2A" w:rsidP="003E2E2A">
            <w:pPr>
              <w:rPr>
                <w:rFonts w:cs="Arial"/>
              </w:rPr>
            </w:pPr>
            <w:r w:rsidRPr="003E2E2A">
              <w:rPr>
                <w:rFonts w:cs="Arial"/>
              </w:rPr>
              <w:t>Чести</w:t>
            </w:r>
          </w:p>
        </w:tc>
        <w:tc>
          <w:tcPr>
            <w:tcW w:w="4750" w:type="dxa"/>
          </w:tcPr>
          <w:p w14:paraId="57C31C2D" w14:textId="46EDF7E6" w:rsidR="003E2E2A" w:rsidRPr="003E2E2A" w:rsidRDefault="003E2E2A" w:rsidP="003E2E2A">
            <w:pPr>
              <w:rPr>
                <w:rFonts w:cs="Arial"/>
              </w:rPr>
            </w:pPr>
            <w:r w:rsidRPr="003E2E2A">
              <w:rPr>
                <w:rFonts w:cs="Arial"/>
              </w:rPr>
              <w:t>Понижение на кръвната захар</w:t>
            </w:r>
          </w:p>
        </w:tc>
      </w:tr>
      <w:tr w:rsidR="003E2E2A" w14:paraId="5BA1E5E2" w14:textId="77777777" w:rsidTr="00E11514">
        <w:tc>
          <w:tcPr>
            <w:tcW w:w="9500" w:type="dxa"/>
            <w:gridSpan w:val="2"/>
          </w:tcPr>
          <w:p w14:paraId="657F31AF" w14:textId="6764A224" w:rsidR="003E2E2A" w:rsidRPr="003E2E2A" w:rsidRDefault="003E2E2A" w:rsidP="00430F15">
            <w:pPr>
              <w:rPr>
                <w:rFonts w:cs="Arial"/>
              </w:rPr>
            </w:pPr>
            <w:r w:rsidRPr="003E2E2A">
              <w:rPr>
                <w:rFonts w:eastAsia="Times New Roman" w:cs="Arial"/>
                <w:b/>
                <w:bCs/>
                <w:color w:val="000000"/>
                <w:lang w:eastAsia="bg-BG"/>
              </w:rPr>
              <w:t>Нарушения на нервната система</w:t>
            </w:r>
          </w:p>
        </w:tc>
      </w:tr>
      <w:tr w:rsidR="003E2E2A" w14:paraId="77CA4C9F" w14:textId="77777777" w:rsidTr="003E2E2A">
        <w:tc>
          <w:tcPr>
            <w:tcW w:w="4750" w:type="dxa"/>
          </w:tcPr>
          <w:p w14:paraId="6CFCEABD" w14:textId="5B72E095" w:rsidR="003E2E2A" w:rsidRPr="003E2E2A" w:rsidRDefault="003E2E2A" w:rsidP="003E2E2A">
            <w:pPr>
              <w:rPr>
                <w:rFonts w:cs="Arial"/>
              </w:rPr>
            </w:pPr>
            <w:r w:rsidRPr="003E2E2A">
              <w:rPr>
                <w:rFonts w:cs="Arial"/>
              </w:rPr>
              <w:t>Чести</w:t>
            </w:r>
          </w:p>
        </w:tc>
        <w:tc>
          <w:tcPr>
            <w:tcW w:w="4750" w:type="dxa"/>
          </w:tcPr>
          <w:p w14:paraId="3DC6341F" w14:textId="611E9AB4" w:rsidR="003E2E2A" w:rsidRPr="003E2E2A" w:rsidRDefault="003E2E2A" w:rsidP="003E2E2A">
            <w:pPr>
              <w:rPr>
                <w:rFonts w:cs="Arial"/>
              </w:rPr>
            </w:pPr>
            <w:r w:rsidRPr="003E2E2A">
              <w:rPr>
                <w:rFonts w:cs="Arial"/>
              </w:rPr>
              <w:t>Главоболие, треска</w:t>
            </w:r>
          </w:p>
        </w:tc>
      </w:tr>
      <w:tr w:rsidR="003E2E2A" w14:paraId="53933E05" w14:textId="77777777" w:rsidTr="00224E2E">
        <w:tc>
          <w:tcPr>
            <w:tcW w:w="9500" w:type="dxa"/>
            <w:gridSpan w:val="2"/>
          </w:tcPr>
          <w:p w14:paraId="06C8773E" w14:textId="014C95C6" w:rsidR="003E2E2A" w:rsidRPr="003E2E2A" w:rsidRDefault="003E2E2A" w:rsidP="00430F15">
            <w:pPr>
              <w:rPr>
                <w:rFonts w:cs="Arial"/>
              </w:rPr>
            </w:pPr>
            <w:r w:rsidRPr="003E2E2A">
              <w:rPr>
                <w:rFonts w:eastAsia="Times New Roman" w:cs="Arial"/>
                <w:b/>
                <w:bCs/>
                <w:color w:val="000000"/>
                <w:lang w:eastAsia="bg-BG"/>
              </w:rPr>
              <w:t>Стомашно-чревни нарушения</w:t>
            </w:r>
          </w:p>
        </w:tc>
      </w:tr>
      <w:tr w:rsidR="003E2E2A" w14:paraId="548E562F" w14:textId="77777777" w:rsidTr="003E2E2A">
        <w:tc>
          <w:tcPr>
            <w:tcW w:w="4750" w:type="dxa"/>
          </w:tcPr>
          <w:p w14:paraId="52BF1E02" w14:textId="5FE4C8D1" w:rsidR="003E2E2A" w:rsidRPr="003E2E2A" w:rsidRDefault="003E2E2A" w:rsidP="003E2E2A">
            <w:pPr>
              <w:rPr>
                <w:rFonts w:cs="Arial"/>
              </w:rPr>
            </w:pPr>
            <w:r w:rsidRPr="003E2E2A">
              <w:rPr>
                <w:rFonts w:cs="Arial"/>
              </w:rPr>
              <w:t>Чести</w:t>
            </w:r>
          </w:p>
        </w:tc>
        <w:tc>
          <w:tcPr>
            <w:tcW w:w="4750" w:type="dxa"/>
          </w:tcPr>
          <w:p w14:paraId="08EF048D" w14:textId="66F8DB1B" w:rsidR="003E2E2A" w:rsidRPr="003E2E2A" w:rsidRDefault="003E2E2A" w:rsidP="003E2E2A">
            <w:pPr>
              <w:rPr>
                <w:rFonts w:cs="Arial"/>
              </w:rPr>
            </w:pPr>
            <w:r w:rsidRPr="003E2E2A">
              <w:rPr>
                <w:rFonts w:cs="Arial"/>
              </w:rPr>
              <w:t>Гадене, гастроезофагеална рефлуксна болест</w:t>
            </w:r>
          </w:p>
        </w:tc>
      </w:tr>
      <w:tr w:rsidR="003E2E2A" w14:paraId="46F1E3AB" w14:textId="77777777" w:rsidTr="003E2E2A">
        <w:tc>
          <w:tcPr>
            <w:tcW w:w="4750" w:type="dxa"/>
          </w:tcPr>
          <w:p w14:paraId="738D356B" w14:textId="73FA8B33" w:rsidR="003E2E2A" w:rsidRPr="003E2E2A" w:rsidRDefault="003E2E2A" w:rsidP="003E2E2A">
            <w:pPr>
              <w:rPr>
                <w:rFonts w:cs="Arial"/>
              </w:rPr>
            </w:pPr>
            <w:r w:rsidRPr="003E2E2A">
              <w:rPr>
                <w:rFonts w:cs="Arial"/>
              </w:rPr>
              <w:t>Нечести</w:t>
            </w:r>
          </w:p>
        </w:tc>
        <w:tc>
          <w:tcPr>
            <w:tcW w:w="4750" w:type="dxa"/>
          </w:tcPr>
          <w:p w14:paraId="0B473CBD" w14:textId="6DBB0F0C" w:rsidR="003E2E2A" w:rsidRPr="003E2E2A" w:rsidRDefault="003E2E2A" w:rsidP="003E2E2A">
            <w:pPr>
              <w:rPr>
                <w:rFonts w:cs="Arial"/>
              </w:rPr>
            </w:pPr>
            <w:r w:rsidRPr="003E2E2A">
              <w:rPr>
                <w:rFonts w:cs="Arial"/>
              </w:rPr>
              <w:t>Диария, метеоризъм</w:t>
            </w:r>
          </w:p>
        </w:tc>
      </w:tr>
    </w:tbl>
    <w:p w14:paraId="3E358702" w14:textId="760ED8F1" w:rsidR="000071E9" w:rsidRDefault="000071E9" w:rsidP="00430F15"/>
    <w:p w14:paraId="5F965300"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u w:val="single"/>
          <w:lang w:eastAsia="bg-BG"/>
        </w:rPr>
        <w:t>Описание на избрани нежелани реакции</w:t>
      </w:r>
    </w:p>
    <w:p w14:paraId="24FB1B5E"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В хода на контролирани клинични изпитвания, при които вилдаглиптин в доза от 50 </w:t>
      </w:r>
      <w:r w:rsidRPr="003E2E2A">
        <w:rPr>
          <w:rFonts w:eastAsia="Times New Roman" w:cs="Arial"/>
          <w:color w:val="000000"/>
          <w:lang w:val="en-US"/>
        </w:rPr>
        <w:t xml:space="preserve">mg </w:t>
      </w:r>
      <w:r w:rsidRPr="003E2E2A">
        <w:rPr>
          <w:rFonts w:eastAsia="Times New Roman" w:cs="Arial"/>
          <w:color w:val="000000"/>
          <w:lang w:eastAsia="bg-BG"/>
        </w:rPr>
        <w:t>два пъти дневно е прилаган в комбинация с инсулин, с или без метформин, общата честота на прекъсване на лечението поради възникване на нежелани реакции е 0,3% в терапевтичната група на вилдаглиптин и няма прекъсване на лечението в групата на плацебо.</w:t>
      </w:r>
    </w:p>
    <w:p w14:paraId="32A599A7" w14:textId="59FAC18C" w:rsidR="003E2E2A" w:rsidRPr="003E2E2A" w:rsidRDefault="003E2E2A" w:rsidP="00430F15">
      <w:pPr>
        <w:rPr>
          <w:rFonts w:cs="Arial"/>
        </w:rPr>
      </w:pPr>
    </w:p>
    <w:p w14:paraId="27038509"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Честотата на хипогликемия е подобна в двете терапевтични групи (14,0% в групата на вилдаглиптин спрямо 16,4% в групата на плацебо). Двама пациенти съобщават за случаи на тежка хипогликемия в групата на вилдаглиптин и 6 пациента в групата на плацебо.</w:t>
      </w:r>
    </w:p>
    <w:p w14:paraId="5CCCE1CA" w14:textId="77777777" w:rsidR="003E2E2A" w:rsidRPr="003E2E2A" w:rsidRDefault="003E2E2A" w:rsidP="003E2E2A">
      <w:pPr>
        <w:spacing w:line="240" w:lineRule="auto"/>
        <w:rPr>
          <w:rFonts w:eastAsia="Times New Roman" w:cs="Arial"/>
          <w:color w:val="000000"/>
          <w:lang w:eastAsia="bg-BG"/>
        </w:rPr>
      </w:pPr>
    </w:p>
    <w:p w14:paraId="4D1368D6" w14:textId="6DA48D4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В края на проучването, ефектът върху средното телесно тегло е неутрален (+0,6 </w:t>
      </w:r>
      <w:r w:rsidRPr="003E2E2A">
        <w:rPr>
          <w:rFonts w:eastAsia="Times New Roman" w:cs="Arial"/>
          <w:color w:val="000000"/>
          <w:lang w:val="en-US"/>
        </w:rPr>
        <w:t xml:space="preserve">kg </w:t>
      </w:r>
      <w:r w:rsidRPr="003E2E2A">
        <w:rPr>
          <w:rFonts w:eastAsia="Times New Roman" w:cs="Arial"/>
          <w:color w:val="000000"/>
          <w:lang w:eastAsia="bg-BG"/>
        </w:rPr>
        <w:t>промяна спрямо изходната стойност в групата на вилдаглиптин и без промяна в теглото в групата на плацебо).</w:t>
      </w:r>
    </w:p>
    <w:p w14:paraId="60B4ACF6" w14:textId="77777777" w:rsidR="003E2E2A" w:rsidRPr="003E2E2A" w:rsidRDefault="003E2E2A" w:rsidP="003E2E2A">
      <w:pPr>
        <w:spacing w:line="240" w:lineRule="auto"/>
        <w:rPr>
          <w:rFonts w:eastAsia="Times New Roman" w:cs="Arial"/>
          <w:color w:val="000000"/>
          <w:u w:val="single"/>
          <w:lang w:eastAsia="bg-BG"/>
        </w:rPr>
      </w:pPr>
    </w:p>
    <w:p w14:paraId="7CA9A6EA" w14:textId="3AFEEC1B"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u w:val="single"/>
          <w:lang w:eastAsia="bg-BG"/>
        </w:rPr>
        <w:t>Допълнителна информация за отделните активни вещества на фиксираната комбинация</w:t>
      </w:r>
    </w:p>
    <w:p w14:paraId="03617BB4" w14:textId="77777777" w:rsidR="003E2E2A" w:rsidRPr="003E2E2A" w:rsidRDefault="003E2E2A" w:rsidP="003E2E2A">
      <w:pPr>
        <w:spacing w:line="240" w:lineRule="auto"/>
        <w:rPr>
          <w:rFonts w:eastAsia="Times New Roman" w:cs="Arial"/>
          <w:i/>
          <w:iCs/>
          <w:color w:val="000000"/>
          <w:lang w:eastAsia="bg-BG"/>
        </w:rPr>
      </w:pPr>
    </w:p>
    <w:p w14:paraId="137562A9" w14:textId="0E5C3B74"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lang w:eastAsia="bg-BG"/>
        </w:rPr>
        <w:t>Вилдаглиптин</w:t>
      </w:r>
    </w:p>
    <w:p w14:paraId="417519F1" w14:textId="77777777" w:rsidR="003E2E2A" w:rsidRPr="003E2E2A" w:rsidRDefault="003E2E2A" w:rsidP="003E2E2A">
      <w:pPr>
        <w:spacing w:line="240" w:lineRule="auto"/>
        <w:rPr>
          <w:rFonts w:eastAsia="Times New Roman" w:cs="Arial"/>
          <w:b/>
          <w:bCs/>
          <w:color w:val="000000"/>
          <w:lang w:eastAsia="bg-BG"/>
        </w:rPr>
      </w:pPr>
    </w:p>
    <w:p w14:paraId="1956A66B" w14:textId="4DD36276" w:rsidR="003E2E2A" w:rsidRPr="003E2E2A" w:rsidRDefault="003E2E2A" w:rsidP="003E2E2A">
      <w:pPr>
        <w:spacing w:line="240" w:lineRule="auto"/>
        <w:rPr>
          <w:rFonts w:eastAsia="Times New Roman" w:cs="Arial"/>
          <w:sz w:val="24"/>
          <w:szCs w:val="24"/>
          <w:lang w:eastAsia="bg-BG"/>
        </w:rPr>
      </w:pPr>
      <w:r w:rsidRPr="003E2E2A">
        <w:rPr>
          <w:rFonts w:eastAsia="Times New Roman" w:cs="Arial"/>
          <w:b/>
          <w:bCs/>
          <w:color w:val="000000"/>
          <w:lang w:eastAsia="bg-BG"/>
        </w:rPr>
        <w:t xml:space="preserve">Таблица 4 Нежелани лекарствени реакции, съобщени при пациенти, които получават вилдаглиптин 100 </w:t>
      </w:r>
      <w:r w:rsidRPr="003E2E2A">
        <w:rPr>
          <w:rFonts w:eastAsia="Times New Roman" w:cs="Arial"/>
          <w:b/>
          <w:bCs/>
          <w:color w:val="000000"/>
          <w:lang w:val="en-US"/>
        </w:rPr>
        <w:t xml:space="preserve">mg </w:t>
      </w:r>
      <w:r w:rsidRPr="003E2E2A">
        <w:rPr>
          <w:rFonts w:eastAsia="Times New Roman" w:cs="Arial"/>
          <w:b/>
          <w:bCs/>
          <w:color w:val="000000"/>
          <w:lang w:eastAsia="bg-BG"/>
        </w:rPr>
        <w:t xml:space="preserve">дневно като монотерапия при двойно-слепи проучвания </w:t>
      </w:r>
      <w:r w:rsidRPr="003E2E2A">
        <w:rPr>
          <w:rFonts w:eastAsia="Times New Roman" w:cs="Arial"/>
          <w:b/>
          <w:bCs/>
          <w:color w:val="000000"/>
          <w:lang w:val="en-US"/>
        </w:rPr>
        <w:t>(N=1855)</w:t>
      </w:r>
    </w:p>
    <w:tbl>
      <w:tblPr>
        <w:tblStyle w:val="TableGrid"/>
        <w:tblW w:w="0" w:type="auto"/>
        <w:tblLook w:val="04A0" w:firstRow="1" w:lastRow="0" w:firstColumn="1" w:lastColumn="0" w:noHBand="0" w:noVBand="1"/>
      </w:tblPr>
      <w:tblGrid>
        <w:gridCol w:w="4668"/>
        <w:gridCol w:w="4682"/>
      </w:tblGrid>
      <w:tr w:rsidR="003E2E2A" w14:paraId="06F7E40C" w14:textId="77777777" w:rsidTr="00C2678B">
        <w:tc>
          <w:tcPr>
            <w:tcW w:w="9500" w:type="dxa"/>
            <w:gridSpan w:val="2"/>
          </w:tcPr>
          <w:p w14:paraId="1CC32F3C" w14:textId="1DF25B24" w:rsidR="003E2E2A" w:rsidRPr="003E2E2A" w:rsidRDefault="003E2E2A" w:rsidP="00430F15">
            <w:pPr>
              <w:rPr>
                <w:rFonts w:cs="Arial"/>
              </w:rPr>
            </w:pPr>
            <w:r w:rsidRPr="003E2E2A">
              <w:rPr>
                <w:rFonts w:cs="Arial"/>
                <w:b/>
                <w:bCs/>
              </w:rPr>
              <w:t>Инфекции и инфестации</w:t>
            </w:r>
          </w:p>
        </w:tc>
      </w:tr>
      <w:tr w:rsidR="003E2E2A" w14:paraId="0E719705" w14:textId="77777777" w:rsidTr="003E2E2A">
        <w:tc>
          <w:tcPr>
            <w:tcW w:w="4750" w:type="dxa"/>
          </w:tcPr>
          <w:p w14:paraId="6EF44C44" w14:textId="687704BB" w:rsidR="003E2E2A" w:rsidRPr="003E2E2A" w:rsidRDefault="003E2E2A" w:rsidP="003E2E2A">
            <w:pPr>
              <w:rPr>
                <w:rFonts w:cs="Arial"/>
              </w:rPr>
            </w:pPr>
            <w:r w:rsidRPr="003E2E2A">
              <w:rPr>
                <w:rFonts w:cs="Arial"/>
              </w:rPr>
              <w:t>Много редки</w:t>
            </w:r>
          </w:p>
        </w:tc>
        <w:tc>
          <w:tcPr>
            <w:tcW w:w="4750" w:type="dxa"/>
          </w:tcPr>
          <w:p w14:paraId="2D1EB77A" w14:textId="38FD5C17" w:rsidR="003E2E2A" w:rsidRPr="003E2E2A" w:rsidRDefault="003E2E2A" w:rsidP="003E2E2A">
            <w:pPr>
              <w:rPr>
                <w:rFonts w:cs="Arial"/>
              </w:rPr>
            </w:pPr>
            <w:r w:rsidRPr="003E2E2A">
              <w:rPr>
                <w:rFonts w:cs="Arial"/>
              </w:rPr>
              <w:t>Инфекции на горни дихателни пътища</w:t>
            </w:r>
          </w:p>
        </w:tc>
      </w:tr>
      <w:tr w:rsidR="003E2E2A" w14:paraId="4786A4C6" w14:textId="77777777" w:rsidTr="003E2E2A">
        <w:tc>
          <w:tcPr>
            <w:tcW w:w="4750" w:type="dxa"/>
          </w:tcPr>
          <w:p w14:paraId="36BB4A2C" w14:textId="6AC2B63E" w:rsidR="003E2E2A" w:rsidRPr="003E2E2A" w:rsidRDefault="003E2E2A" w:rsidP="003E2E2A">
            <w:pPr>
              <w:rPr>
                <w:rFonts w:cs="Arial"/>
              </w:rPr>
            </w:pPr>
            <w:r w:rsidRPr="003E2E2A">
              <w:rPr>
                <w:rFonts w:cs="Arial"/>
              </w:rPr>
              <w:t>Много редки</w:t>
            </w:r>
          </w:p>
        </w:tc>
        <w:tc>
          <w:tcPr>
            <w:tcW w:w="4750" w:type="dxa"/>
          </w:tcPr>
          <w:p w14:paraId="4A194C08" w14:textId="4AD66B33" w:rsidR="003E2E2A" w:rsidRPr="003E2E2A" w:rsidRDefault="003E2E2A" w:rsidP="003E2E2A">
            <w:pPr>
              <w:rPr>
                <w:rFonts w:cs="Arial"/>
              </w:rPr>
            </w:pPr>
            <w:r w:rsidRPr="003E2E2A">
              <w:rPr>
                <w:rFonts w:cs="Arial"/>
              </w:rPr>
              <w:t>Назофарингит</w:t>
            </w:r>
          </w:p>
        </w:tc>
      </w:tr>
      <w:tr w:rsidR="003E2E2A" w14:paraId="4A442495" w14:textId="77777777" w:rsidTr="00CA74C4">
        <w:tc>
          <w:tcPr>
            <w:tcW w:w="9500" w:type="dxa"/>
            <w:gridSpan w:val="2"/>
          </w:tcPr>
          <w:p w14:paraId="361121A2" w14:textId="4D8D87BF" w:rsidR="003E2E2A" w:rsidRPr="003E2E2A" w:rsidRDefault="003E2E2A" w:rsidP="00430F15">
            <w:pPr>
              <w:rPr>
                <w:rFonts w:cs="Arial"/>
              </w:rPr>
            </w:pPr>
            <w:r w:rsidRPr="003E2E2A">
              <w:rPr>
                <w:rFonts w:eastAsia="Times New Roman" w:cs="Arial"/>
                <w:b/>
                <w:bCs/>
                <w:color w:val="000000"/>
                <w:lang w:eastAsia="bg-BG"/>
              </w:rPr>
              <w:t>Нарушения на метаболизма и храненето</w:t>
            </w:r>
          </w:p>
        </w:tc>
      </w:tr>
      <w:tr w:rsidR="003E2E2A" w14:paraId="7503EAB5" w14:textId="77777777" w:rsidTr="003E2E2A">
        <w:tc>
          <w:tcPr>
            <w:tcW w:w="4750" w:type="dxa"/>
          </w:tcPr>
          <w:p w14:paraId="333C5513" w14:textId="02B01D4C" w:rsidR="003E2E2A" w:rsidRPr="003E2E2A" w:rsidRDefault="003E2E2A" w:rsidP="003E2E2A">
            <w:pPr>
              <w:rPr>
                <w:rFonts w:cs="Arial"/>
              </w:rPr>
            </w:pPr>
            <w:r w:rsidRPr="003E2E2A">
              <w:rPr>
                <w:rFonts w:cs="Arial"/>
              </w:rPr>
              <w:t>Нечести</w:t>
            </w:r>
          </w:p>
        </w:tc>
        <w:tc>
          <w:tcPr>
            <w:tcW w:w="4750" w:type="dxa"/>
          </w:tcPr>
          <w:p w14:paraId="2C9897CA" w14:textId="3960A422" w:rsidR="003E2E2A" w:rsidRPr="003E2E2A" w:rsidRDefault="003E2E2A" w:rsidP="003E2E2A">
            <w:pPr>
              <w:rPr>
                <w:rFonts w:cs="Arial"/>
              </w:rPr>
            </w:pPr>
            <w:r w:rsidRPr="003E2E2A">
              <w:rPr>
                <w:rFonts w:cs="Arial"/>
              </w:rPr>
              <w:t>Хипогликемия</w:t>
            </w:r>
          </w:p>
        </w:tc>
      </w:tr>
      <w:tr w:rsidR="003E2E2A" w14:paraId="7906AC9C" w14:textId="77777777" w:rsidTr="00D55571">
        <w:tc>
          <w:tcPr>
            <w:tcW w:w="9500" w:type="dxa"/>
            <w:gridSpan w:val="2"/>
          </w:tcPr>
          <w:p w14:paraId="48477956" w14:textId="07D0F375" w:rsidR="003E2E2A" w:rsidRPr="003E2E2A" w:rsidRDefault="003E2E2A" w:rsidP="00430F15">
            <w:pPr>
              <w:rPr>
                <w:rFonts w:cs="Arial"/>
              </w:rPr>
            </w:pPr>
            <w:r w:rsidRPr="003E2E2A">
              <w:rPr>
                <w:rFonts w:eastAsia="Times New Roman" w:cs="Arial"/>
                <w:b/>
                <w:bCs/>
                <w:color w:val="000000"/>
                <w:lang w:eastAsia="bg-BG"/>
              </w:rPr>
              <w:t>Нарушения на нервната система</w:t>
            </w:r>
          </w:p>
        </w:tc>
      </w:tr>
      <w:tr w:rsidR="003E2E2A" w14:paraId="40FE1F14" w14:textId="77777777" w:rsidTr="003E2E2A">
        <w:tc>
          <w:tcPr>
            <w:tcW w:w="4750" w:type="dxa"/>
          </w:tcPr>
          <w:p w14:paraId="1018CABF" w14:textId="2B93C726" w:rsidR="003E2E2A" w:rsidRPr="003E2E2A" w:rsidRDefault="003E2E2A" w:rsidP="003E2E2A">
            <w:pPr>
              <w:rPr>
                <w:rFonts w:cs="Arial"/>
              </w:rPr>
            </w:pPr>
            <w:r w:rsidRPr="003E2E2A">
              <w:rPr>
                <w:rFonts w:cs="Arial"/>
              </w:rPr>
              <w:t>Чести</w:t>
            </w:r>
          </w:p>
        </w:tc>
        <w:tc>
          <w:tcPr>
            <w:tcW w:w="4750" w:type="dxa"/>
          </w:tcPr>
          <w:p w14:paraId="2226AE6C" w14:textId="5F4BBAEB" w:rsidR="003E2E2A" w:rsidRPr="003E2E2A" w:rsidRDefault="003E2E2A" w:rsidP="003E2E2A">
            <w:pPr>
              <w:rPr>
                <w:rFonts w:cs="Arial"/>
              </w:rPr>
            </w:pPr>
            <w:r w:rsidRPr="003E2E2A">
              <w:rPr>
                <w:rFonts w:cs="Arial"/>
              </w:rPr>
              <w:t>Замаяност</w:t>
            </w:r>
          </w:p>
        </w:tc>
      </w:tr>
      <w:tr w:rsidR="003E2E2A" w14:paraId="1CCA888B" w14:textId="77777777" w:rsidTr="003E2E2A">
        <w:tc>
          <w:tcPr>
            <w:tcW w:w="4750" w:type="dxa"/>
          </w:tcPr>
          <w:p w14:paraId="6FFB24CB" w14:textId="774EB976" w:rsidR="003E2E2A" w:rsidRPr="003E2E2A" w:rsidRDefault="003E2E2A" w:rsidP="003E2E2A">
            <w:pPr>
              <w:rPr>
                <w:rFonts w:cs="Arial"/>
              </w:rPr>
            </w:pPr>
            <w:r w:rsidRPr="003E2E2A">
              <w:rPr>
                <w:rFonts w:cs="Arial"/>
              </w:rPr>
              <w:t>Нечести</w:t>
            </w:r>
          </w:p>
        </w:tc>
        <w:tc>
          <w:tcPr>
            <w:tcW w:w="4750" w:type="dxa"/>
          </w:tcPr>
          <w:p w14:paraId="10BF7A7B" w14:textId="222DD9E2" w:rsidR="003E2E2A" w:rsidRPr="003E2E2A" w:rsidRDefault="003E2E2A" w:rsidP="003E2E2A">
            <w:pPr>
              <w:rPr>
                <w:rFonts w:cs="Arial"/>
              </w:rPr>
            </w:pPr>
            <w:r w:rsidRPr="003E2E2A">
              <w:rPr>
                <w:rFonts w:cs="Arial"/>
              </w:rPr>
              <w:t>Главоболие</w:t>
            </w:r>
          </w:p>
        </w:tc>
      </w:tr>
      <w:tr w:rsidR="003E2E2A" w14:paraId="3BC1BF8E" w14:textId="77777777" w:rsidTr="00E04B7E">
        <w:tc>
          <w:tcPr>
            <w:tcW w:w="9500" w:type="dxa"/>
            <w:gridSpan w:val="2"/>
          </w:tcPr>
          <w:p w14:paraId="0AF38854" w14:textId="627E9159" w:rsidR="003E2E2A" w:rsidRPr="003E2E2A" w:rsidRDefault="003E2E2A" w:rsidP="003E2E2A">
            <w:pPr>
              <w:rPr>
                <w:rFonts w:cs="Arial"/>
              </w:rPr>
            </w:pPr>
            <w:r w:rsidRPr="003E2E2A">
              <w:rPr>
                <w:rFonts w:cs="Arial"/>
                <w:b/>
                <w:bCs/>
              </w:rPr>
              <w:t>Съдови нарушения</w:t>
            </w:r>
          </w:p>
        </w:tc>
      </w:tr>
      <w:tr w:rsidR="003E2E2A" w14:paraId="4552DA43" w14:textId="77777777" w:rsidTr="003E2E2A">
        <w:tc>
          <w:tcPr>
            <w:tcW w:w="4750" w:type="dxa"/>
          </w:tcPr>
          <w:p w14:paraId="12DE778A" w14:textId="722907E2" w:rsidR="003E2E2A" w:rsidRPr="003E2E2A" w:rsidRDefault="003E2E2A" w:rsidP="003E2E2A">
            <w:pPr>
              <w:rPr>
                <w:rFonts w:cs="Arial"/>
              </w:rPr>
            </w:pPr>
            <w:r w:rsidRPr="003E2E2A">
              <w:rPr>
                <w:rFonts w:cs="Arial"/>
              </w:rPr>
              <w:t>Нечести</w:t>
            </w:r>
          </w:p>
        </w:tc>
        <w:tc>
          <w:tcPr>
            <w:tcW w:w="4750" w:type="dxa"/>
          </w:tcPr>
          <w:p w14:paraId="7B9CB183" w14:textId="2B206FE6" w:rsidR="003E2E2A" w:rsidRPr="003E2E2A" w:rsidRDefault="003E2E2A" w:rsidP="003E2E2A">
            <w:pPr>
              <w:rPr>
                <w:rFonts w:cs="Arial"/>
              </w:rPr>
            </w:pPr>
            <w:r w:rsidRPr="003E2E2A">
              <w:rPr>
                <w:rFonts w:cs="Arial"/>
              </w:rPr>
              <w:t>Периферни отоци</w:t>
            </w:r>
          </w:p>
        </w:tc>
      </w:tr>
      <w:tr w:rsidR="003E2E2A" w14:paraId="37440FE6" w14:textId="77777777" w:rsidTr="008A184F">
        <w:tc>
          <w:tcPr>
            <w:tcW w:w="9500" w:type="dxa"/>
            <w:gridSpan w:val="2"/>
          </w:tcPr>
          <w:p w14:paraId="17587318" w14:textId="35C488E6" w:rsidR="003E2E2A" w:rsidRPr="003E2E2A" w:rsidRDefault="003E2E2A" w:rsidP="00430F15">
            <w:pPr>
              <w:rPr>
                <w:rFonts w:cs="Arial"/>
              </w:rPr>
            </w:pPr>
            <w:r w:rsidRPr="003E2E2A">
              <w:rPr>
                <w:rFonts w:eastAsia="Times New Roman" w:cs="Arial"/>
                <w:b/>
                <w:bCs/>
                <w:color w:val="000000"/>
                <w:lang w:eastAsia="bg-BG"/>
              </w:rPr>
              <w:lastRenderedPageBreak/>
              <w:t>Стомашно-чревни нарушения</w:t>
            </w:r>
          </w:p>
        </w:tc>
      </w:tr>
      <w:tr w:rsidR="003E2E2A" w14:paraId="3298E2A8" w14:textId="77777777" w:rsidTr="003E2E2A">
        <w:tc>
          <w:tcPr>
            <w:tcW w:w="4750" w:type="dxa"/>
          </w:tcPr>
          <w:p w14:paraId="4922BC87" w14:textId="545819C9" w:rsidR="003E2E2A" w:rsidRPr="003E2E2A" w:rsidRDefault="003E2E2A" w:rsidP="003E2E2A">
            <w:pPr>
              <w:rPr>
                <w:rFonts w:cs="Arial"/>
              </w:rPr>
            </w:pPr>
            <w:r w:rsidRPr="003E2E2A">
              <w:rPr>
                <w:rFonts w:cs="Arial"/>
              </w:rPr>
              <w:t>Нечести</w:t>
            </w:r>
          </w:p>
        </w:tc>
        <w:tc>
          <w:tcPr>
            <w:tcW w:w="4750" w:type="dxa"/>
          </w:tcPr>
          <w:p w14:paraId="54A755F1" w14:textId="52E208D6" w:rsidR="003E2E2A" w:rsidRPr="003E2E2A" w:rsidRDefault="003E2E2A" w:rsidP="003E2E2A">
            <w:pPr>
              <w:rPr>
                <w:rFonts w:cs="Arial"/>
              </w:rPr>
            </w:pPr>
            <w:r w:rsidRPr="003E2E2A">
              <w:rPr>
                <w:rFonts w:cs="Arial"/>
              </w:rPr>
              <w:t>Запек</w:t>
            </w:r>
          </w:p>
        </w:tc>
      </w:tr>
      <w:tr w:rsidR="003E2E2A" w14:paraId="0A7A8156" w14:textId="77777777" w:rsidTr="00942D82">
        <w:tc>
          <w:tcPr>
            <w:tcW w:w="9500" w:type="dxa"/>
            <w:gridSpan w:val="2"/>
          </w:tcPr>
          <w:p w14:paraId="51E2F269" w14:textId="2118D0F0" w:rsidR="003E2E2A" w:rsidRPr="003E2E2A" w:rsidRDefault="003E2E2A" w:rsidP="00430F15">
            <w:pPr>
              <w:rPr>
                <w:rFonts w:cs="Arial"/>
              </w:rPr>
            </w:pPr>
            <w:r w:rsidRPr="003E2E2A">
              <w:rPr>
                <w:rFonts w:eastAsia="Times New Roman" w:cs="Arial"/>
                <w:b/>
                <w:bCs/>
                <w:color w:val="000000"/>
                <w:lang w:eastAsia="bg-BG"/>
              </w:rPr>
              <w:t>Нарушения на мускулно-скелетната система и съединителната тъкан</w:t>
            </w:r>
          </w:p>
        </w:tc>
      </w:tr>
      <w:tr w:rsidR="003E2E2A" w14:paraId="46A03F2C" w14:textId="77777777" w:rsidTr="003E2E2A">
        <w:tc>
          <w:tcPr>
            <w:tcW w:w="4750" w:type="dxa"/>
          </w:tcPr>
          <w:p w14:paraId="18C075E5" w14:textId="01DEA753" w:rsidR="003E2E2A" w:rsidRPr="003E2E2A" w:rsidRDefault="003E2E2A" w:rsidP="003E2E2A">
            <w:pPr>
              <w:rPr>
                <w:rFonts w:cs="Arial"/>
              </w:rPr>
            </w:pPr>
            <w:r w:rsidRPr="003E2E2A">
              <w:rPr>
                <w:rFonts w:cs="Arial"/>
              </w:rPr>
              <w:t>Нечести</w:t>
            </w:r>
          </w:p>
        </w:tc>
        <w:tc>
          <w:tcPr>
            <w:tcW w:w="4750" w:type="dxa"/>
          </w:tcPr>
          <w:p w14:paraId="2A7787C4" w14:textId="55C5B9F2" w:rsidR="003E2E2A" w:rsidRPr="003E2E2A" w:rsidRDefault="003E2E2A" w:rsidP="003E2E2A">
            <w:pPr>
              <w:rPr>
                <w:rFonts w:cs="Arial"/>
              </w:rPr>
            </w:pPr>
            <w:r w:rsidRPr="003E2E2A">
              <w:rPr>
                <w:rFonts w:cs="Arial"/>
              </w:rPr>
              <w:t>Артралгия</w:t>
            </w:r>
          </w:p>
        </w:tc>
      </w:tr>
    </w:tbl>
    <w:p w14:paraId="00AB0C9C"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u w:val="single"/>
          <w:lang w:eastAsia="bg-BG"/>
        </w:rPr>
        <w:t>Описание на избрани нежелани реакции</w:t>
      </w:r>
    </w:p>
    <w:p w14:paraId="3D0F5ED7"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Общата честота на преустановяване на лечението поради нежелани реакции, в контролирани проучвания с монотерапия, не е по-висока при пациенти лекувани с вилдаглиптин в доза 100 </w:t>
      </w:r>
      <w:r w:rsidRPr="003E2E2A">
        <w:rPr>
          <w:rFonts w:eastAsia="Times New Roman" w:cs="Arial"/>
          <w:color w:val="000000"/>
          <w:lang w:val="en-US"/>
        </w:rPr>
        <w:t xml:space="preserve">mg </w:t>
      </w:r>
      <w:r w:rsidRPr="003E2E2A">
        <w:rPr>
          <w:rFonts w:eastAsia="Times New Roman" w:cs="Arial"/>
          <w:color w:val="000000"/>
          <w:lang w:eastAsia="bg-BG"/>
        </w:rPr>
        <w:t>дневно (0,3%) в сравнение с приемащите плацебо (0,6%) или сравнителни продукти (0,5%).</w:t>
      </w:r>
    </w:p>
    <w:p w14:paraId="5A93F9E0" w14:textId="77777777" w:rsidR="003E2E2A" w:rsidRPr="003E2E2A" w:rsidRDefault="003E2E2A" w:rsidP="003E2E2A">
      <w:pPr>
        <w:spacing w:line="240" w:lineRule="auto"/>
        <w:rPr>
          <w:rFonts w:eastAsia="Times New Roman" w:cs="Arial"/>
          <w:color w:val="000000"/>
          <w:lang w:eastAsia="bg-BG"/>
        </w:rPr>
      </w:pPr>
    </w:p>
    <w:p w14:paraId="11B6315B" w14:textId="13B67ADC"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В хода на сравнителни контролирани изпитвания като монотерапия, появата на хипогликемия нечеста, докладвана при 0,4% (7 от 1855) от пациентите, лекувани с вилдаглиптин 100 </w:t>
      </w:r>
      <w:r w:rsidRPr="003E2E2A">
        <w:rPr>
          <w:rFonts w:eastAsia="Times New Roman" w:cs="Arial"/>
          <w:color w:val="000000"/>
          <w:lang w:val="en-US"/>
        </w:rPr>
        <w:t xml:space="preserve">mg </w:t>
      </w:r>
      <w:r w:rsidRPr="003E2E2A">
        <w:rPr>
          <w:rFonts w:eastAsia="Times New Roman" w:cs="Arial"/>
          <w:color w:val="000000"/>
          <w:lang w:eastAsia="bg-BG"/>
        </w:rPr>
        <w:t>дневно, спрямо 0,2% (2 от 1082) при пациентите в групите, лекувани с активен сравнителен лекарствен продукт или плацебо, без съобщения за сериозни или тежки нежелани реакции.</w:t>
      </w:r>
    </w:p>
    <w:p w14:paraId="04475F1A" w14:textId="77777777" w:rsidR="003E2E2A" w:rsidRPr="003E2E2A" w:rsidRDefault="003E2E2A" w:rsidP="003E2E2A">
      <w:pPr>
        <w:spacing w:line="240" w:lineRule="auto"/>
        <w:rPr>
          <w:rFonts w:eastAsia="Times New Roman" w:cs="Arial"/>
          <w:color w:val="000000"/>
          <w:lang w:eastAsia="bg-BG"/>
        </w:rPr>
      </w:pPr>
    </w:p>
    <w:p w14:paraId="1590276F" w14:textId="79E5E9CD" w:rsidR="003E2E2A" w:rsidRPr="003E2E2A" w:rsidRDefault="003E2E2A" w:rsidP="003E2E2A">
      <w:pPr>
        <w:spacing w:line="240" w:lineRule="auto"/>
        <w:rPr>
          <w:rFonts w:eastAsia="Times New Roman" w:cs="Arial"/>
          <w:sz w:val="24"/>
          <w:szCs w:val="24"/>
          <w:lang w:eastAsia="bg-BG"/>
        </w:rPr>
      </w:pPr>
      <w:r w:rsidRPr="003E2E2A">
        <w:rPr>
          <w:rFonts w:eastAsia="Times New Roman" w:cs="Arial"/>
          <w:color w:val="000000"/>
          <w:lang w:eastAsia="bg-BG"/>
        </w:rPr>
        <w:t xml:space="preserve">В хода на клинични изпитвания, теглото не се променя спрямо изходната стойност, когато вилдаглиптин 100 </w:t>
      </w:r>
      <w:r w:rsidRPr="003E2E2A">
        <w:rPr>
          <w:rFonts w:eastAsia="Times New Roman" w:cs="Arial"/>
          <w:color w:val="000000"/>
          <w:lang w:val="en-US"/>
        </w:rPr>
        <w:t xml:space="preserve">mg </w:t>
      </w:r>
      <w:r w:rsidRPr="003E2E2A">
        <w:rPr>
          <w:rFonts w:eastAsia="Times New Roman" w:cs="Arial"/>
          <w:color w:val="000000"/>
          <w:lang w:eastAsia="bg-BG"/>
        </w:rPr>
        <w:t xml:space="preserve">дневно е прилаган като монотерапия (-0,3 </w:t>
      </w:r>
      <w:r w:rsidRPr="003E2E2A">
        <w:rPr>
          <w:rFonts w:eastAsia="Times New Roman" w:cs="Arial"/>
          <w:color w:val="000000"/>
          <w:lang w:val="en-US"/>
        </w:rPr>
        <w:t xml:space="preserve">kg </w:t>
      </w:r>
      <w:r w:rsidRPr="003E2E2A">
        <w:rPr>
          <w:rFonts w:eastAsia="Times New Roman" w:cs="Arial"/>
          <w:color w:val="000000"/>
          <w:lang w:eastAsia="bg-BG"/>
        </w:rPr>
        <w:t xml:space="preserve">и -1,3 </w:t>
      </w:r>
      <w:r w:rsidRPr="003E2E2A">
        <w:rPr>
          <w:rFonts w:eastAsia="Times New Roman" w:cs="Arial"/>
          <w:color w:val="000000"/>
          <w:lang w:val="en-US"/>
        </w:rPr>
        <w:t xml:space="preserve">kg, </w:t>
      </w:r>
      <w:r w:rsidRPr="003E2E2A">
        <w:rPr>
          <w:rFonts w:eastAsia="Times New Roman" w:cs="Arial"/>
          <w:color w:val="000000"/>
          <w:lang w:eastAsia="bg-BG"/>
        </w:rPr>
        <w:t>съответно за вилдаглиптин и плацебо).</w:t>
      </w:r>
    </w:p>
    <w:p w14:paraId="56586E5E" w14:textId="77777777" w:rsidR="003E2E2A" w:rsidRPr="003E2E2A" w:rsidRDefault="003E2E2A" w:rsidP="003E2E2A">
      <w:pPr>
        <w:spacing w:line="240" w:lineRule="auto"/>
        <w:rPr>
          <w:rFonts w:eastAsia="Times New Roman" w:cs="Arial"/>
          <w:color w:val="000000"/>
          <w:lang w:eastAsia="bg-BG"/>
        </w:rPr>
      </w:pPr>
    </w:p>
    <w:p w14:paraId="564589B7" w14:textId="198EFF9E" w:rsidR="003E2E2A" w:rsidRPr="003E2E2A" w:rsidRDefault="003E2E2A" w:rsidP="003E2E2A">
      <w:pPr>
        <w:spacing w:line="240" w:lineRule="auto"/>
        <w:rPr>
          <w:rFonts w:eastAsia="Times New Roman" w:cs="Arial"/>
          <w:color w:val="000000"/>
          <w:lang w:eastAsia="bg-BG"/>
        </w:rPr>
      </w:pPr>
      <w:r w:rsidRPr="003E2E2A">
        <w:rPr>
          <w:rFonts w:eastAsia="Times New Roman" w:cs="Arial"/>
          <w:color w:val="000000"/>
          <w:lang w:eastAsia="bg-BG"/>
        </w:rPr>
        <w:t>Клинични изпитвания с 2-годишна продължителност не показват идентифициране на допълнителни, свързани с лекарствената безопасност сигнали или непредвидени рис</w:t>
      </w:r>
      <w:r w:rsidRPr="003E2E2A">
        <w:rPr>
          <w:rFonts w:eastAsia="Times New Roman" w:cs="Arial"/>
          <w:color w:val="000000"/>
          <w:u w:val="single"/>
          <w:lang w:eastAsia="bg-BG"/>
        </w:rPr>
        <w:t>кове</w:t>
      </w:r>
      <w:r w:rsidRPr="003E2E2A">
        <w:rPr>
          <w:rFonts w:eastAsia="Times New Roman" w:cs="Arial"/>
          <w:color w:val="000000"/>
          <w:lang w:eastAsia="bg-BG"/>
        </w:rPr>
        <w:t xml:space="preserve"> при прилагане на вилдаглиптин като монотерапия.</w:t>
      </w:r>
    </w:p>
    <w:p w14:paraId="1DF1005B" w14:textId="41A76020" w:rsidR="003E2E2A" w:rsidRPr="003E2E2A" w:rsidRDefault="003E2E2A" w:rsidP="003E2E2A">
      <w:pPr>
        <w:spacing w:line="240" w:lineRule="auto"/>
        <w:rPr>
          <w:rFonts w:eastAsia="Times New Roman" w:cs="Arial"/>
          <w:color w:val="000000"/>
          <w:lang w:eastAsia="bg-BG"/>
        </w:rPr>
      </w:pPr>
    </w:p>
    <w:p w14:paraId="5CF5CE15" w14:textId="77777777" w:rsidR="003E2E2A" w:rsidRPr="003E2E2A" w:rsidRDefault="003E2E2A" w:rsidP="003E2E2A">
      <w:pPr>
        <w:spacing w:line="240" w:lineRule="auto"/>
        <w:rPr>
          <w:rFonts w:eastAsia="Times New Roman" w:cs="Arial"/>
          <w:sz w:val="24"/>
          <w:szCs w:val="24"/>
          <w:lang w:eastAsia="bg-BG"/>
        </w:rPr>
      </w:pPr>
      <w:r w:rsidRPr="003E2E2A">
        <w:rPr>
          <w:rFonts w:eastAsia="Times New Roman" w:cs="Arial"/>
          <w:i/>
          <w:iCs/>
          <w:color w:val="000000"/>
          <w:lang w:eastAsia="bg-BG"/>
        </w:rPr>
        <w:t>Метформин</w:t>
      </w:r>
    </w:p>
    <w:p w14:paraId="60305F4F" w14:textId="77777777" w:rsidR="003E2E2A" w:rsidRPr="003E2E2A" w:rsidRDefault="003E2E2A" w:rsidP="003E2E2A">
      <w:pPr>
        <w:spacing w:line="240" w:lineRule="auto"/>
        <w:rPr>
          <w:rFonts w:eastAsia="Times New Roman" w:cs="Arial"/>
          <w:b/>
          <w:bCs/>
          <w:color w:val="000000"/>
          <w:lang w:eastAsia="bg-BG"/>
        </w:rPr>
      </w:pPr>
    </w:p>
    <w:p w14:paraId="5CEFF396" w14:textId="38F58D8A" w:rsidR="003E2E2A" w:rsidRDefault="003E2E2A" w:rsidP="003E2E2A">
      <w:pPr>
        <w:spacing w:line="240" w:lineRule="auto"/>
        <w:rPr>
          <w:rFonts w:eastAsia="Times New Roman" w:cs="Arial"/>
          <w:b/>
          <w:bCs/>
          <w:color w:val="000000"/>
          <w:lang w:eastAsia="bg-BG"/>
        </w:rPr>
      </w:pPr>
      <w:r w:rsidRPr="003E2E2A">
        <w:rPr>
          <w:rFonts w:eastAsia="Times New Roman" w:cs="Arial"/>
          <w:b/>
          <w:bCs/>
          <w:color w:val="000000"/>
          <w:lang w:eastAsia="bg-BG"/>
        </w:rPr>
        <w:t>Таблица 5</w:t>
      </w:r>
      <w:r w:rsidRPr="003E2E2A">
        <w:rPr>
          <w:rFonts w:eastAsia="Times New Roman" w:cs="Arial"/>
          <w:b/>
          <w:bCs/>
          <w:color w:val="000000"/>
          <w:lang w:val="en-US" w:eastAsia="bg-BG"/>
        </w:rPr>
        <w:t xml:space="preserve">: </w:t>
      </w:r>
      <w:r w:rsidRPr="003E2E2A">
        <w:rPr>
          <w:rFonts w:eastAsia="Times New Roman" w:cs="Arial"/>
          <w:b/>
          <w:bCs/>
          <w:color w:val="000000"/>
          <w:lang w:eastAsia="bg-BG"/>
        </w:rPr>
        <w:t>Нежелани лекарствени реацкии за съставката метформин</w:t>
      </w:r>
    </w:p>
    <w:tbl>
      <w:tblPr>
        <w:tblStyle w:val="TableGrid"/>
        <w:tblW w:w="0" w:type="auto"/>
        <w:tblLook w:val="04A0" w:firstRow="1" w:lastRow="0" w:firstColumn="1" w:lastColumn="0" w:noHBand="0" w:noVBand="1"/>
      </w:tblPr>
      <w:tblGrid>
        <w:gridCol w:w="4667"/>
        <w:gridCol w:w="4683"/>
      </w:tblGrid>
      <w:tr w:rsidR="0008537A" w14:paraId="03154EBB" w14:textId="77777777" w:rsidTr="00683F4A">
        <w:tc>
          <w:tcPr>
            <w:tcW w:w="9500" w:type="dxa"/>
            <w:gridSpan w:val="2"/>
            <w:vAlign w:val="bottom"/>
          </w:tcPr>
          <w:p w14:paraId="374C3EE3" w14:textId="2BFC757E" w:rsidR="0008537A" w:rsidRDefault="0008537A" w:rsidP="0008537A">
            <w:pPr>
              <w:spacing w:line="240" w:lineRule="auto"/>
              <w:rPr>
                <w:rFonts w:eastAsia="Times New Roman" w:cs="Arial"/>
                <w:sz w:val="24"/>
                <w:szCs w:val="24"/>
                <w:lang w:eastAsia="bg-BG"/>
              </w:rPr>
            </w:pPr>
            <w:r>
              <w:rPr>
                <w:b/>
                <w:bCs/>
              </w:rPr>
              <w:t>Нарушения на метаболизма и храненето</w:t>
            </w:r>
          </w:p>
        </w:tc>
      </w:tr>
      <w:tr w:rsidR="0008537A" w14:paraId="3A64FDBB" w14:textId="77777777" w:rsidTr="00D3380A">
        <w:tc>
          <w:tcPr>
            <w:tcW w:w="4750" w:type="dxa"/>
            <w:vAlign w:val="bottom"/>
          </w:tcPr>
          <w:p w14:paraId="6379FB40" w14:textId="7EB9E0D7" w:rsidR="0008537A" w:rsidRDefault="0008537A" w:rsidP="0008537A">
            <w:pPr>
              <w:spacing w:line="240" w:lineRule="auto"/>
              <w:rPr>
                <w:rFonts w:eastAsia="Times New Roman" w:cs="Arial"/>
                <w:sz w:val="24"/>
                <w:szCs w:val="24"/>
                <w:lang w:eastAsia="bg-BG"/>
              </w:rPr>
            </w:pPr>
            <w:r>
              <w:t>Много редки</w:t>
            </w:r>
          </w:p>
        </w:tc>
        <w:tc>
          <w:tcPr>
            <w:tcW w:w="4750" w:type="dxa"/>
            <w:vAlign w:val="bottom"/>
          </w:tcPr>
          <w:p w14:paraId="59A8C39B" w14:textId="3BF3905E" w:rsidR="0008537A" w:rsidRDefault="0008537A" w:rsidP="0008537A">
            <w:pPr>
              <w:spacing w:line="240" w:lineRule="auto"/>
              <w:rPr>
                <w:rFonts w:eastAsia="Times New Roman" w:cs="Arial"/>
                <w:sz w:val="24"/>
                <w:szCs w:val="24"/>
                <w:lang w:eastAsia="bg-BG"/>
              </w:rPr>
            </w:pPr>
            <w:r>
              <w:t>Намаляване на абсорбцията на витамин В</w:t>
            </w:r>
            <w:r>
              <w:rPr>
                <w:vertAlign w:val="subscript"/>
              </w:rPr>
              <w:t>12</w:t>
            </w:r>
            <w:r>
              <w:t xml:space="preserve"> и лактатна ацидоза*</w:t>
            </w:r>
          </w:p>
        </w:tc>
      </w:tr>
      <w:tr w:rsidR="0008537A" w14:paraId="1C1B35A2" w14:textId="77777777" w:rsidTr="00402158">
        <w:tc>
          <w:tcPr>
            <w:tcW w:w="9500" w:type="dxa"/>
            <w:gridSpan w:val="2"/>
            <w:vAlign w:val="bottom"/>
          </w:tcPr>
          <w:p w14:paraId="343CD098" w14:textId="63B3BCCA" w:rsidR="0008537A" w:rsidRDefault="0008537A" w:rsidP="0008537A">
            <w:pPr>
              <w:spacing w:line="240" w:lineRule="auto"/>
              <w:rPr>
                <w:rFonts w:eastAsia="Times New Roman" w:cs="Arial"/>
                <w:sz w:val="24"/>
                <w:szCs w:val="24"/>
                <w:lang w:eastAsia="bg-BG"/>
              </w:rPr>
            </w:pPr>
            <w:r>
              <w:rPr>
                <w:b/>
                <w:bCs/>
              </w:rPr>
              <w:t>Нарушения на нервната система</w:t>
            </w:r>
          </w:p>
        </w:tc>
      </w:tr>
      <w:tr w:rsidR="0008537A" w14:paraId="0D950544" w14:textId="77777777" w:rsidTr="0008537A">
        <w:tc>
          <w:tcPr>
            <w:tcW w:w="4750" w:type="dxa"/>
          </w:tcPr>
          <w:p w14:paraId="5AE5363B" w14:textId="44557D5D" w:rsidR="0008537A" w:rsidRDefault="0008537A" w:rsidP="0008537A">
            <w:pPr>
              <w:spacing w:line="240" w:lineRule="auto"/>
              <w:rPr>
                <w:rFonts w:eastAsia="Times New Roman" w:cs="Arial"/>
                <w:sz w:val="24"/>
                <w:szCs w:val="24"/>
                <w:lang w:eastAsia="bg-BG"/>
              </w:rPr>
            </w:pPr>
            <w:r>
              <w:t>Чести</w:t>
            </w:r>
          </w:p>
        </w:tc>
        <w:tc>
          <w:tcPr>
            <w:tcW w:w="4750" w:type="dxa"/>
          </w:tcPr>
          <w:p w14:paraId="265E5FFC" w14:textId="1EB7218B" w:rsidR="0008537A" w:rsidRDefault="0008537A" w:rsidP="0008537A">
            <w:pPr>
              <w:spacing w:line="240" w:lineRule="auto"/>
              <w:rPr>
                <w:rFonts w:eastAsia="Times New Roman" w:cs="Arial"/>
                <w:sz w:val="24"/>
                <w:szCs w:val="24"/>
                <w:lang w:eastAsia="bg-BG"/>
              </w:rPr>
            </w:pPr>
            <w:r>
              <w:t>Метален вкус</w:t>
            </w:r>
          </w:p>
        </w:tc>
      </w:tr>
      <w:tr w:rsidR="0008537A" w14:paraId="4713CC22" w14:textId="77777777" w:rsidTr="006C7CD5">
        <w:tc>
          <w:tcPr>
            <w:tcW w:w="9500" w:type="dxa"/>
            <w:gridSpan w:val="2"/>
            <w:vAlign w:val="bottom"/>
          </w:tcPr>
          <w:p w14:paraId="421F552F" w14:textId="48C33E27" w:rsidR="0008537A" w:rsidRDefault="0008537A" w:rsidP="0008537A">
            <w:pPr>
              <w:spacing w:line="240" w:lineRule="auto"/>
              <w:rPr>
                <w:rFonts w:eastAsia="Times New Roman" w:cs="Arial"/>
                <w:sz w:val="24"/>
                <w:szCs w:val="24"/>
                <w:lang w:eastAsia="bg-BG"/>
              </w:rPr>
            </w:pPr>
            <w:r>
              <w:rPr>
                <w:b/>
                <w:bCs/>
              </w:rPr>
              <w:t>Стомашно-чревни нарушения</w:t>
            </w:r>
          </w:p>
        </w:tc>
      </w:tr>
      <w:tr w:rsidR="0008537A" w14:paraId="55CAEA00" w14:textId="77777777" w:rsidTr="00D3380A">
        <w:tc>
          <w:tcPr>
            <w:tcW w:w="4750" w:type="dxa"/>
            <w:vAlign w:val="bottom"/>
          </w:tcPr>
          <w:p w14:paraId="5D8B08F2" w14:textId="62B51D6D" w:rsidR="0008537A" w:rsidRDefault="0008537A" w:rsidP="0008537A">
            <w:pPr>
              <w:spacing w:line="240" w:lineRule="auto"/>
              <w:rPr>
                <w:rFonts w:eastAsia="Times New Roman" w:cs="Arial"/>
                <w:sz w:val="24"/>
                <w:szCs w:val="24"/>
                <w:lang w:eastAsia="bg-BG"/>
              </w:rPr>
            </w:pPr>
            <w:r>
              <w:t>Много чести</w:t>
            </w:r>
          </w:p>
        </w:tc>
        <w:tc>
          <w:tcPr>
            <w:tcW w:w="4750" w:type="dxa"/>
            <w:vAlign w:val="bottom"/>
          </w:tcPr>
          <w:p w14:paraId="39E30887" w14:textId="5936CA91" w:rsidR="0008537A" w:rsidRDefault="0008537A" w:rsidP="0008537A">
            <w:pPr>
              <w:spacing w:line="240" w:lineRule="auto"/>
              <w:rPr>
                <w:rFonts w:eastAsia="Times New Roman" w:cs="Arial"/>
                <w:sz w:val="24"/>
                <w:szCs w:val="24"/>
                <w:lang w:eastAsia="bg-BG"/>
              </w:rPr>
            </w:pPr>
            <w:r>
              <w:t>Гадене, повръщане, диария, коремна болка и липса на апетит</w:t>
            </w:r>
          </w:p>
        </w:tc>
      </w:tr>
      <w:tr w:rsidR="0008537A" w14:paraId="5FDBC8EA" w14:textId="77777777" w:rsidTr="00112A85">
        <w:tc>
          <w:tcPr>
            <w:tcW w:w="9500" w:type="dxa"/>
            <w:gridSpan w:val="2"/>
          </w:tcPr>
          <w:p w14:paraId="1835B7E0" w14:textId="6B88FEB6" w:rsidR="0008537A" w:rsidRDefault="0008537A" w:rsidP="0008537A">
            <w:pPr>
              <w:spacing w:line="240" w:lineRule="auto"/>
              <w:rPr>
                <w:rFonts w:eastAsia="Times New Roman" w:cs="Arial"/>
                <w:sz w:val="24"/>
                <w:szCs w:val="24"/>
                <w:lang w:eastAsia="bg-BG"/>
              </w:rPr>
            </w:pPr>
            <w:r>
              <w:rPr>
                <w:b/>
                <w:bCs/>
              </w:rPr>
              <w:t>Хепатобилиарни нарушения</w:t>
            </w:r>
          </w:p>
        </w:tc>
      </w:tr>
      <w:tr w:rsidR="0008537A" w14:paraId="4B1A3364" w14:textId="77777777" w:rsidTr="00D3380A">
        <w:tc>
          <w:tcPr>
            <w:tcW w:w="4750" w:type="dxa"/>
          </w:tcPr>
          <w:p w14:paraId="0DB7B039" w14:textId="5216265A" w:rsidR="0008537A" w:rsidRDefault="0008537A" w:rsidP="0008537A">
            <w:pPr>
              <w:spacing w:line="240" w:lineRule="auto"/>
              <w:rPr>
                <w:rFonts w:eastAsia="Times New Roman" w:cs="Arial"/>
                <w:sz w:val="24"/>
                <w:szCs w:val="24"/>
                <w:lang w:eastAsia="bg-BG"/>
              </w:rPr>
            </w:pPr>
            <w:r>
              <w:t>Много редки</w:t>
            </w:r>
          </w:p>
        </w:tc>
        <w:tc>
          <w:tcPr>
            <w:tcW w:w="4750" w:type="dxa"/>
            <w:vAlign w:val="bottom"/>
          </w:tcPr>
          <w:p w14:paraId="5AF02DCF" w14:textId="36CA26DC" w:rsidR="0008537A" w:rsidRDefault="0008537A" w:rsidP="0008537A">
            <w:pPr>
              <w:spacing w:line="240" w:lineRule="auto"/>
              <w:rPr>
                <w:rFonts w:eastAsia="Times New Roman" w:cs="Arial"/>
                <w:sz w:val="24"/>
                <w:szCs w:val="24"/>
                <w:lang w:eastAsia="bg-BG"/>
              </w:rPr>
            </w:pPr>
            <w:r>
              <w:t>Отклонения в стойностите на показателите за чернодробна функция или хепатит**</w:t>
            </w:r>
          </w:p>
        </w:tc>
      </w:tr>
      <w:tr w:rsidR="0008537A" w14:paraId="253AB73A" w14:textId="77777777" w:rsidTr="009B3F28">
        <w:tc>
          <w:tcPr>
            <w:tcW w:w="9500" w:type="dxa"/>
            <w:gridSpan w:val="2"/>
            <w:vAlign w:val="bottom"/>
          </w:tcPr>
          <w:p w14:paraId="75324980" w14:textId="26D39BE5" w:rsidR="0008537A" w:rsidRDefault="0008537A" w:rsidP="0008537A">
            <w:pPr>
              <w:spacing w:line="240" w:lineRule="auto"/>
              <w:rPr>
                <w:rFonts w:eastAsia="Times New Roman" w:cs="Arial"/>
                <w:sz w:val="24"/>
                <w:szCs w:val="24"/>
                <w:lang w:eastAsia="bg-BG"/>
              </w:rPr>
            </w:pPr>
            <w:r>
              <w:rPr>
                <w:b/>
                <w:bCs/>
              </w:rPr>
              <w:t>Нарушения на кожата и подкожната тъкан</w:t>
            </w:r>
          </w:p>
        </w:tc>
      </w:tr>
      <w:tr w:rsidR="0008537A" w14:paraId="71A2EB6D" w14:textId="77777777" w:rsidTr="00D3380A">
        <w:tc>
          <w:tcPr>
            <w:tcW w:w="4750" w:type="dxa"/>
            <w:vAlign w:val="bottom"/>
          </w:tcPr>
          <w:p w14:paraId="5893EC22" w14:textId="6142340D" w:rsidR="0008537A" w:rsidRDefault="0008537A" w:rsidP="0008537A">
            <w:pPr>
              <w:spacing w:line="240" w:lineRule="auto"/>
              <w:rPr>
                <w:rFonts w:eastAsia="Times New Roman" w:cs="Arial"/>
                <w:sz w:val="24"/>
                <w:szCs w:val="24"/>
                <w:lang w:eastAsia="bg-BG"/>
              </w:rPr>
            </w:pPr>
            <w:r>
              <w:t>Много редки</w:t>
            </w:r>
          </w:p>
        </w:tc>
        <w:tc>
          <w:tcPr>
            <w:tcW w:w="4750" w:type="dxa"/>
            <w:vAlign w:val="bottom"/>
          </w:tcPr>
          <w:p w14:paraId="3DD6B9CE" w14:textId="43D3B090" w:rsidR="0008537A" w:rsidRDefault="0008537A" w:rsidP="0008537A">
            <w:pPr>
              <w:spacing w:line="240" w:lineRule="auto"/>
              <w:rPr>
                <w:rFonts w:eastAsia="Times New Roman" w:cs="Arial"/>
                <w:sz w:val="24"/>
                <w:szCs w:val="24"/>
                <w:lang w:eastAsia="bg-BG"/>
              </w:rPr>
            </w:pPr>
            <w:r>
              <w:t>Кожни реакции като еритем, сърбеж или уртикария</w:t>
            </w:r>
          </w:p>
        </w:tc>
      </w:tr>
    </w:tbl>
    <w:p w14:paraId="6B24FECE"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i/>
          <w:iCs/>
          <w:color w:val="000000"/>
          <w:lang w:eastAsia="bg-BG"/>
        </w:rPr>
        <w:t>*Намаляване на абсорбцията на витамин В12 с намаляване на серумните нива се наблюдава много рядко при пациенти на дългосрочно лечение с метформин. Трябва да се има предвид такава етиология, ако при пациента се развие мегалобластна анемия.</w:t>
      </w:r>
    </w:p>
    <w:p w14:paraId="05501143" w14:textId="5B730290" w:rsidR="0008537A" w:rsidRPr="0008537A" w:rsidRDefault="0008537A" w:rsidP="0008537A">
      <w:pPr>
        <w:spacing w:line="240" w:lineRule="auto"/>
        <w:rPr>
          <w:rFonts w:eastAsia="Times New Roman" w:cs="Arial"/>
          <w:sz w:val="24"/>
          <w:szCs w:val="24"/>
          <w:lang w:eastAsia="bg-BG"/>
        </w:rPr>
      </w:pPr>
      <w:r w:rsidRPr="0008537A">
        <w:rPr>
          <w:rFonts w:eastAsia="Times New Roman" w:cs="Arial"/>
          <w:i/>
          <w:iCs/>
          <w:color w:val="000000"/>
          <w:lang w:eastAsia="bg-BG"/>
        </w:rPr>
        <w:t>*</w:t>
      </w:r>
      <w:r w:rsidRPr="0008537A">
        <w:rPr>
          <w:rFonts w:eastAsia="Times New Roman" w:cs="Arial"/>
          <w:i/>
          <w:iCs/>
          <w:color w:val="000000"/>
          <w:lang w:val="en-US" w:eastAsia="bg-BG"/>
        </w:rPr>
        <w:t>*</w:t>
      </w:r>
      <w:r w:rsidRPr="0008537A">
        <w:rPr>
          <w:rFonts w:eastAsia="Times New Roman" w:cs="Arial"/>
          <w:i/>
          <w:iCs/>
          <w:color w:val="000000"/>
          <w:lang w:eastAsia="bg-BG"/>
        </w:rPr>
        <w:t>Наблюдавани са изолирани случаи на променени стойности на трансаминазите или хепатит, които отшумяват след преустановяване на лечението с метформин.</w:t>
      </w:r>
    </w:p>
    <w:p w14:paraId="70799C60" w14:textId="77777777" w:rsidR="0008537A" w:rsidRPr="0008537A" w:rsidRDefault="0008537A" w:rsidP="0008537A">
      <w:pPr>
        <w:spacing w:line="240" w:lineRule="auto"/>
        <w:rPr>
          <w:rFonts w:eastAsia="Times New Roman" w:cs="Arial"/>
          <w:color w:val="000000"/>
          <w:lang w:eastAsia="bg-BG"/>
        </w:rPr>
      </w:pPr>
    </w:p>
    <w:p w14:paraId="6BB2E485" w14:textId="63EC049B"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 xml:space="preserve">Стомашно-чревните нежелани реакции възникват най-често при започване на терапията и отзвучават спонтанно в повечето случаи. За да бъдат предотвратени се препоръчва </w:t>
      </w:r>
      <w:r w:rsidRPr="0008537A">
        <w:rPr>
          <w:rFonts w:eastAsia="Times New Roman" w:cs="Arial"/>
          <w:color w:val="000000"/>
          <w:lang w:eastAsia="bg-BG"/>
        </w:rPr>
        <w:lastRenderedPageBreak/>
        <w:t>дневната доза метформин да се раздели в два приема по време на, или след хранене. Бавното увеличаване на дозата може също да подобри стомашно-чревната поносимост.</w:t>
      </w:r>
    </w:p>
    <w:p w14:paraId="73B0E271" w14:textId="77777777" w:rsidR="0008537A" w:rsidRPr="0008537A" w:rsidRDefault="0008537A" w:rsidP="0008537A">
      <w:pPr>
        <w:spacing w:line="240" w:lineRule="auto"/>
        <w:rPr>
          <w:rFonts w:eastAsia="Times New Roman" w:cs="Arial"/>
          <w:color w:val="000000"/>
          <w:u w:val="single"/>
          <w:lang w:eastAsia="bg-BG"/>
        </w:rPr>
      </w:pPr>
    </w:p>
    <w:p w14:paraId="48F5B076" w14:textId="3658473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u w:val="single"/>
          <w:lang w:eastAsia="bg-BG"/>
        </w:rPr>
        <w:t>Постмаркетингов опит</w:t>
      </w:r>
    </w:p>
    <w:p w14:paraId="47056DF6" w14:textId="77777777" w:rsidR="0008537A" w:rsidRPr="0008537A" w:rsidRDefault="0008537A" w:rsidP="0008537A">
      <w:pPr>
        <w:spacing w:line="240" w:lineRule="auto"/>
        <w:rPr>
          <w:rFonts w:eastAsia="Times New Roman" w:cs="Arial"/>
          <w:b/>
          <w:bCs/>
          <w:color w:val="000000"/>
          <w:lang w:eastAsia="bg-BG"/>
        </w:rPr>
      </w:pPr>
    </w:p>
    <w:p w14:paraId="3F43B043" w14:textId="0BB240C0" w:rsidR="0008537A" w:rsidRDefault="0008537A" w:rsidP="0008537A">
      <w:pPr>
        <w:spacing w:line="240" w:lineRule="auto"/>
        <w:rPr>
          <w:rFonts w:eastAsia="Times New Roman" w:cs="Arial"/>
          <w:b/>
          <w:bCs/>
          <w:color w:val="000000"/>
          <w:lang w:eastAsia="bg-BG"/>
        </w:rPr>
      </w:pPr>
      <w:r w:rsidRPr="0008537A">
        <w:rPr>
          <w:rFonts w:eastAsia="Times New Roman" w:cs="Arial"/>
          <w:b/>
          <w:bCs/>
          <w:color w:val="000000"/>
          <w:lang w:eastAsia="bg-BG"/>
        </w:rPr>
        <w:t>Таблица 6 Постмаркетингови нежелани реакции</w:t>
      </w:r>
    </w:p>
    <w:tbl>
      <w:tblPr>
        <w:tblStyle w:val="TableGrid"/>
        <w:tblW w:w="0" w:type="auto"/>
        <w:tblLook w:val="04A0" w:firstRow="1" w:lastRow="0" w:firstColumn="1" w:lastColumn="0" w:noHBand="0" w:noVBand="1"/>
      </w:tblPr>
      <w:tblGrid>
        <w:gridCol w:w="4670"/>
        <w:gridCol w:w="4680"/>
      </w:tblGrid>
      <w:tr w:rsidR="0008537A" w14:paraId="5FC4B0AD" w14:textId="77777777" w:rsidTr="007D74B9">
        <w:tc>
          <w:tcPr>
            <w:tcW w:w="9500" w:type="dxa"/>
            <w:gridSpan w:val="2"/>
          </w:tcPr>
          <w:p w14:paraId="335BB1E7" w14:textId="2A9ED912" w:rsidR="0008537A" w:rsidRPr="0008537A" w:rsidRDefault="0008537A" w:rsidP="0008537A">
            <w:pPr>
              <w:spacing w:line="240" w:lineRule="auto"/>
              <w:rPr>
                <w:rFonts w:eastAsia="Times New Roman" w:cs="Arial"/>
                <w:sz w:val="24"/>
                <w:szCs w:val="24"/>
                <w:lang w:eastAsia="bg-BG"/>
              </w:rPr>
            </w:pPr>
            <w:r w:rsidRPr="0008537A">
              <w:rPr>
                <w:rFonts w:cs="Arial"/>
                <w:b/>
                <w:bCs/>
              </w:rPr>
              <w:t>Стомашно-чревни нарушения</w:t>
            </w:r>
          </w:p>
        </w:tc>
      </w:tr>
      <w:tr w:rsidR="0008537A" w14:paraId="3EBEAD0C" w14:textId="77777777" w:rsidTr="0008537A">
        <w:tc>
          <w:tcPr>
            <w:tcW w:w="4750" w:type="dxa"/>
          </w:tcPr>
          <w:p w14:paraId="17BABACF" w14:textId="21EA9E9F" w:rsidR="0008537A" w:rsidRPr="0008537A" w:rsidRDefault="0008537A" w:rsidP="0008537A">
            <w:pPr>
              <w:spacing w:line="240" w:lineRule="auto"/>
              <w:rPr>
                <w:rFonts w:eastAsia="Times New Roman" w:cs="Arial"/>
                <w:sz w:val="24"/>
                <w:szCs w:val="24"/>
                <w:lang w:eastAsia="bg-BG"/>
              </w:rPr>
            </w:pPr>
            <w:r w:rsidRPr="0008537A">
              <w:rPr>
                <w:rFonts w:cs="Arial"/>
              </w:rPr>
              <w:t>С неизвестна честота</w:t>
            </w:r>
          </w:p>
        </w:tc>
        <w:tc>
          <w:tcPr>
            <w:tcW w:w="4750" w:type="dxa"/>
          </w:tcPr>
          <w:p w14:paraId="719D687E" w14:textId="40D407C3" w:rsidR="0008537A" w:rsidRPr="0008537A" w:rsidRDefault="0008537A" w:rsidP="0008537A">
            <w:pPr>
              <w:spacing w:line="240" w:lineRule="auto"/>
              <w:rPr>
                <w:rFonts w:eastAsia="Times New Roman" w:cs="Arial"/>
                <w:sz w:val="24"/>
                <w:szCs w:val="24"/>
                <w:lang w:eastAsia="bg-BG"/>
              </w:rPr>
            </w:pPr>
            <w:r w:rsidRPr="0008537A">
              <w:rPr>
                <w:rFonts w:cs="Arial"/>
              </w:rPr>
              <w:t>Панкреатит</w:t>
            </w:r>
          </w:p>
        </w:tc>
      </w:tr>
      <w:tr w:rsidR="0008537A" w14:paraId="5CF8B5CC" w14:textId="77777777" w:rsidTr="003E7750">
        <w:tc>
          <w:tcPr>
            <w:tcW w:w="9500" w:type="dxa"/>
            <w:gridSpan w:val="2"/>
          </w:tcPr>
          <w:p w14:paraId="39D289AE" w14:textId="088A4478" w:rsidR="0008537A" w:rsidRPr="0008537A" w:rsidRDefault="0008537A" w:rsidP="0008537A">
            <w:pPr>
              <w:spacing w:line="240" w:lineRule="auto"/>
              <w:rPr>
                <w:rFonts w:eastAsia="Times New Roman" w:cs="Arial"/>
                <w:sz w:val="24"/>
                <w:szCs w:val="24"/>
                <w:lang w:eastAsia="bg-BG"/>
              </w:rPr>
            </w:pPr>
            <w:r w:rsidRPr="0008537A">
              <w:rPr>
                <w:rFonts w:eastAsia="Times New Roman" w:cs="Arial"/>
                <w:b/>
                <w:bCs/>
                <w:color w:val="000000"/>
                <w:lang w:eastAsia="bg-BG"/>
              </w:rPr>
              <w:t>Хепатобилиарни нарушения</w:t>
            </w:r>
          </w:p>
        </w:tc>
      </w:tr>
      <w:tr w:rsidR="0008537A" w14:paraId="73C187FD" w14:textId="77777777" w:rsidTr="0008537A">
        <w:tc>
          <w:tcPr>
            <w:tcW w:w="4750" w:type="dxa"/>
          </w:tcPr>
          <w:p w14:paraId="4C6327EE" w14:textId="36445DDF" w:rsidR="0008537A" w:rsidRPr="0008537A" w:rsidRDefault="0008537A" w:rsidP="0008537A">
            <w:pPr>
              <w:spacing w:line="240" w:lineRule="auto"/>
              <w:rPr>
                <w:rFonts w:eastAsia="Times New Roman" w:cs="Arial"/>
                <w:sz w:val="24"/>
                <w:szCs w:val="24"/>
                <w:lang w:eastAsia="bg-BG"/>
              </w:rPr>
            </w:pPr>
            <w:r w:rsidRPr="0008537A">
              <w:rPr>
                <w:rFonts w:cs="Arial"/>
              </w:rPr>
              <w:t>С неизвестна честота</w:t>
            </w:r>
          </w:p>
        </w:tc>
        <w:tc>
          <w:tcPr>
            <w:tcW w:w="4750" w:type="dxa"/>
          </w:tcPr>
          <w:p w14:paraId="77D2139E" w14:textId="77777777" w:rsidR="0008537A" w:rsidRPr="0008537A" w:rsidRDefault="0008537A" w:rsidP="0008537A">
            <w:pPr>
              <w:rPr>
                <w:rFonts w:cs="Arial"/>
              </w:rPr>
            </w:pPr>
            <w:r w:rsidRPr="0008537A">
              <w:rPr>
                <w:rFonts w:cs="Arial"/>
              </w:rPr>
              <w:t>Хепатит (обратим след спиране на приема на лекарствения продукт)</w:t>
            </w:r>
          </w:p>
          <w:p w14:paraId="12FFA09E" w14:textId="51478BE9" w:rsidR="0008537A" w:rsidRPr="0008537A" w:rsidRDefault="0008537A" w:rsidP="0008537A">
            <w:pPr>
              <w:spacing w:line="240" w:lineRule="auto"/>
              <w:rPr>
                <w:rFonts w:eastAsia="Times New Roman" w:cs="Arial"/>
                <w:sz w:val="24"/>
                <w:szCs w:val="24"/>
                <w:lang w:eastAsia="bg-BG"/>
              </w:rPr>
            </w:pPr>
            <w:r w:rsidRPr="0008537A">
              <w:rPr>
                <w:rFonts w:cs="Arial"/>
              </w:rPr>
              <w:t>Отклонения в чернодробните функционални показатели (обратими след спиране на приема на лекарствения продукт)</w:t>
            </w:r>
          </w:p>
        </w:tc>
      </w:tr>
      <w:tr w:rsidR="0008537A" w14:paraId="3798631C" w14:textId="77777777" w:rsidTr="00247955">
        <w:tc>
          <w:tcPr>
            <w:tcW w:w="9500" w:type="dxa"/>
            <w:gridSpan w:val="2"/>
          </w:tcPr>
          <w:p w14:paraId="08296871" w14:textId="7D2F29DA" w:rsidR="0008537A" w:rsidRPr="0008537A" w:rsidRDefault="0008537A" w:rsidP="0008537A">
            <w:pPr>
              <w:spacing w:line="240" w:lineRule="auto"/>
              <w:rPr>
                <w:rFonts w:eastAsia="Times New Roman" w:cs="Arial"/>
                <w:sz w:val="24"/>
                <w:szCs w:val="24"/>
                <w:lang w:eastAsia="bg-BG"/>
              </w:rPr>
            </w:pPr>
            <w:r w:rsidRPr="0008537A">
              <w:rPr>
                <w:rFonts w:eastAsia="Times New Roman" w:cs="Arial"/>
                <w:b/>
                <w:bCs/>
                <w:color w:val="000000"/>
                <w:lang w:eastAsia="bg-BG"/>
              </w:rPr>
              <w:t>Нарушения на мускулно-скелетната система и съединителната тъкан</w:t>
            </w:r>
          </w:p>
        </w:tc>
      </w:tr>
      <w:tr w:rsidR="0008537A" w14:paraId="5A22C450" w14:textId="77777777" w:rsidTr="0008537A">
        <w:tc>
          <w:tcPr>
            <w:tcW w:w="4750" w:type="dxa"/>
          </w:tcPr>
          <w:p w14:paraId="6C1EFB84" w14:textId="0B69737A" w:rsidR="0008537A" w:rsidRPr="0008537A" w:rsidRDefault="0008537A" w:rsidP="0008537A">
            <w:pPr>
              <w:spacing w:line="240" w:lineRule="auto"/>
              <w:rPr>
                <w:rFonts w:eastAsia="Times New Roman" w:cs="Arial"/>
                <w:sz w:val="24"/>
                <w:szCs w:val="24"/>
                <w:lang w:eastAsia="bg-BG"/>
              </w:rPr>
            </w:pPr>
            <w:r w:rsidRPr="0008537A">
              <w:rPr>
                <w:rFonts w:cs="Arial"/>
              </w:rPr>
              <w:t>С неизвестна честота</w:t>
            </w:r>
          </w:p>
        </w:tc>
        <w:tc>
          <w:tcPr>
            <w:tcW w:w="4750" w:type="dxa"/>
          </w:tcPr>
          <w:p w14:paraId="7BA3E8B1" w14:textId="677FD959" w:rsidR="0008537A" w:rsidRPr="0008537A" w:rsidRDefault="0008537A" w:rsidP="0008537A">
            <w:pPr>
              <w:spacing w:line="240" w:lineRule="auto"/>
              <w:rPr>
                <w:rFonts w:eastAsia="Times New Roman" w:cs="Arial"/>
                <w:sz w:val="24"/>
                <w:szCs w:val="24"/>
                <w:lang w:eastAsia="bg-BG"/>
              </w:rPr>
            </w:pPr>
            <w:r w:rsidRPr="0008537A">
              <w:rPr>
                <w:rFonts w:cs="Arial"/>
              </w:rPr>
              <w:t>Миалгия</w:t>
            </w:r>
          </w:p>
        </w:tc>
      </w:tr>
      <w:tr w:rsidR="0008537A" w14:paraId="383EDA70" w14:textId="77777777" w:rsidTr="00A91307">
        <w:tc>
          <w:tcPr>
            <w:tcW w:w="9500" w:type="dxa"/>
            <w:gridSpan w:val="2"/>
          </w:tcPr>
          <w:p w14:paraId="4F778BE6" w14:textId="1AE86796" w:rsidR="0008537A" w:rsidRPr="0008537A" w:rsidRDefault="0008537A" w:rsidP="0008537A">
            <w:pPr>
              <w:spacing w:line="240" w:lineRule="auto"/>
              <w:rPr>
                <w:rFonts w:eastAsia="Times New Roman" w:cs="Arial"/>
                <w:sz w:val="24"/>
                <w:szCs w:val="24"/>
                <w:lang w:eastAsia="bg-BG"/>
              </w:rPr>
            </w:pPr>
            <w:r w:rsidRPr="0008537A">
              <w:rPr>
                <w:rFonts w:eastAsia="Times New Roman" w:cs="Arial"/>
                <w:b/>
                <w:bCs/>
                <w:color w:val="000000"/>
                <w:lang w:eastAsia="bg-BG"/>
              </w:rPr>
              <w:t>Нарушения на кожата и подкожната тъкан</w:t>
            </w:r>
          </w:p>
        </w:tc>
      </w:tr>
      <w:tr w:rsidR="0008537A" w14:paraId="79D82D2D" w14:textId="77777777" w:rsidTr="0008537A">
        <w:tc>
          <w:tcPr>
            <w:tcW w:w="4750" w:type="dxa"/>
          </w:tcPr>
          <w:p w14:paraId="5E4ECA09" w14:textId="6DB95995" w:rsidR="0008537A" w:rsidRPr="0008537A" w:rsidRDefault="0008537A" w:rsidP="0008537A">
            <w:pPr>
              <w:spacing w:line="240" w:lineRule="auto"/>
              <w:rPr>
                <w:rFonts w:eastAsia="Times New Roman" w:cs="Arial"/>
                <w:sz w:val="24"/>
                <w:szCs w:val="24"/>
                <w:lang w:eastAsia="bg-BG"/>
              </w:rPr>
            </w:pPr>
            <w:r w:rsidRPr="0008537A">
              <w:rPr>
                <w:rFonts w:cs="Arial"/>
              </w:rPr>
              <w:t>С неизвестна честота</w:t>
            </w:r>
          </w:p>
        </w:tc>
        <w:tc>
          <w:tcPr>
            <w:tcW w:w="4750" w:type="dxa"/>
          </w:tcPr>
          <w:p w14:paraId="7AAE8DD4" w14:textId="77777777" w:rsidR="0008537A" w:rsidRPr="0008537A" w:rsidRDefault="0008537A" w:rsidP="0008537A">
            <w:pPr>
              <w:rPr>
                <w:rFonts w:cs="Arial"/>
              </w:rPr>
            </w:pPr>
            <w:r w:rsidRPr="0008537A">
              <w:rPr>
                <w:rFonts w:cs="Arial"/>
              </w:rPr>
              <w:t>Уртикария</w:t>
            </w:r>
          </w:p>
          <w:p w14:paraId="0FA9A2D3" w14:textId="15840304" w:rsidR="0008537A" w:rsidRPr="0008537A" w:rsidRDefault="0008537A" w:rsidP="0008537A">
            <w:pPr>
              <w:spacing w:line="240" w:lineRule="auto"/>
              <w:rPr>
                <w:rFonts w:eastAsia="Times New Roman" w:cs="Arial"/>
                <w:sz w:val="24"/>
                <w:szCs w:val="24"/>
                <w:lang w:eastAsia="bg-BG"/>
              </w:rPr>
            </w:pPr>
            <w:r w:rsidRPr="0008537A">
              <w:rPr>
                <w:rFonts w:cs="Arial"/>
              </w:rPr>
              <w:t>Ексфолиативни или булозни кожни лезии, включително булозен пемфигоид</w:t>
            </w:r>
          </w:p>
        </w:tc>
      </w:tr>
    </w:tbl>
    <w:p w14:paraId="506ABCF9" w14:textId="06DEA503" w:rsidR="0008537A" w:rsidRDefault="0008537A" w:rsidP="0008537A">
      <w:pPr>
        <w:spacing w:line="240" w:lineRule="auto"/>
        <w:rPr>
          <w:rFonts w:eastAsia="Times New Roman" w:cs="Arial"/>
          <w:sz w:val="24"/>
          <w:szCs w:val="24"/>
          <w:lang w:eastAsia="bg-BG"/>
        </w:rPr>
      </w:pPr>
    </w:p>
    <w:p w14:paraId="585089F5"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Съобщаване на подозирани нежелани реакции</w:t>
      </w:r>
    </w:p>
    <w:p w14:paraId="266D1D0A" w14:textId="05D10918" w:rsidR="0008537A" w:rsidRPr="003E2E2A" w:rsidRDefault="0008537A" w:rsidP="0008537A">
      <w:pPr>
        <w:spacing w:line="240" w:lineRule="auto"/>
        <w:rPr>
          <w:rFonts w:eastAsia="Times New Roman" w:cs="Arial"/>
          <w:lang w:eastAsia="bg-BG"/>
        </w:rPr>
      </w:pPr>
      <w:r w:rsidRPr="0008537A">
        <w:rPr>
          <w:rFonts w:eastAsia="Times New Roman" w:cs="Arial"/>
          <w:color w:val="000000"/>
          <w:lang w:eastAsia="bg-BG"/>
        </w:rPr>
        <w:t>Съобщаването на подозирани нежелани реакции след разрешаване за употреба на л</w:t>
      </w:r>
      <w:r w:rsidRPr="0008537A">
        <w:rPr>
          <w:rFonts w:eastAsia="Times New Roman" w:cs="Arial"/>
          <w:color w:val="000000"/>
          <w:u w:val="single"/>
          <w:lang w:eastAsia="bg-BG"/>
        </w:rPr>
        <w:t>екарс</w:t>
      </w:r>
      <w:r w:rsidRPr="0008537A">
        <w:rPr>
          <w:rFonts w:eastAsia="Times New Roman" w:cs="Arial"/>
          <w:color w:val="000000"/>
          <w:lang w:eastAsia="bg-BG"/>
        </w:rPr>
        <w:t>твения продукт е важно. Това позволява да продължи наблюдението на съотношението полза/риск за</w:t>
      </w:r>
      <w:r>
        <w:rPr>
          <w:rFonts w:eastAsia="Times New Roman" w:cs="Arial"/>
          <w:lang w:val="en-US" w:eastAsia="bg-BG"/>
        </w:rPr>
        <w:t xml:space="preserve"> </w:t>
      </w:r>
      <w:r w:rsidRPr="0008537A">
        <w:rPr>
          <w:rFonts w:eastAsia="Times New Roman" w:cs="Arial"/>
          <w:color w:val="000000"/>
          <w:lang w:eastAsia="bg-BG"/>
        </w:rPr>
        <w:t xml:space="preserve">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08537A">
        <w:rPr>
          <w:rFonts w:eastAsia="Times New Roman" w:cs="Arial"/>
          <w:lang w:eastAsia="bg-BG"/>
        </w:rPr>
        <w:fldChar w:fldCharType="begin"/>
      </w:r>
      <w:r w:rsidRPr="0008537A">
        <w:rPr>
          <w:rFonts w:eastAsia="Times New Roman" w:cs="Arial"/>
          <w:lang w:eastAsia="bg-BG"/>
        </w:rPr>
        <w:instrText xml:space="preserve"> HYPERLINK "http://www.bda.be" </w:instrText>
      </w:r>
      <w:r w:rsidRPr="0008537A">
        <w:rPr>
          <w:rFonts w:eastAsia="Times New Roman" w:cs="Arial"/>
          <w:lang w:eastAsia="bg-BG"/>
        </w:rPr>
      </w:r>
      <w:r w:rsidRPr="0008537A">
        <w:rPr>
          <w:rFonts w:eastAsia="Times New Roman" w:cs="Arial"/>
          <w:lang w:eastAsia="bg-BG"/>
        </w:rPr>
        <w:fldChar w:fldCharType="separate"/>
      </w:r>
      <w:r w:rsidRPr="0008537A">
        <w:rPr>
          <w:rFonts w:eastAsia="Times New Roman" w:cs="Arial"/>
          <w:color w:val="000000"/>
          <w:u w:val="single"/>
          <w:lang w:val="en-US"/>
        </w:rPr>
        <w:t>www.bda.b</w:t>
      </w:r>
      <w:r w:rsidRPr="0008537A">
        <w:rPr>
          <w:rFonts w:eastAsia="Times New Roman" w:cs="Arial"/>
          <w:lang w:eastAsia="bg-BG"/>
        </w:rPr>
        <w:fldChar w:fldCharType="end"/>
      </w:r>
      <w:r w:rsidRPr="0008537A">
        <w:rPr>
          <w:rFonts w:eastAsia="Times New Roman" w:cs="Arial"/>
          <w:color w:val="000000"/>
          <w:u w:val="single"/>
          <w:lang w:val="en-US"/>
        </w:rPr>
        <w:t>g</w:t>
      </w:r>
      <w:r w:rsidRPr="0008537A">
        <w:rPr>
          <w:rFonts w:eastAsia="Times New Roman" w:cs="Arial"/>
          <w:color w:val="000000"/>
          <w:lang w:val="en-US"/>
        </w:rPr>
        <w:t>.</w:t>
      </w:r>
    </w:p>
    <w:p w14:paraId="03E00F00" w14:textId="77777777" w:rsidR="003E2E2A" w:rsidRPr="00430F15" w:rsidRDefault="003E2E2A" w:rsidP="00430F15"/>
    <w:p w14:paraId="4A5904B1" w14:textId="3F569F95" w:rsidR="00EE6C97" w:rsidRDefault="002C50EE" w:rsidP="00A93499">
      <w:pPr>
        <w:pStyle w:val="Heading2"/>
      </w:pPr>
      <w:r>
        <w:t>4.9. Предозиране</w:t>
      </w:r>
    </w:p>
    <w:p w14:paraId="7934E401" w14:textId="7D1BE223" w:rsidR="0008537A" w:rsidRDefault="0008537A" w:rsidP="0008537A"/>
    <w:p w14:paraId="52CAE15A"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Няма данни свързани с предозиране с Вилспокс.</w:t>
      </w:r>
    </w:p>
    <w:p w14:paraId="1B319529" w14:textId="77777777" w:rsidR="0008537A" w:rsidRPr="0008537A" w:rsidRDefault="0008537A" w:rsidP="0008537A">
      <w:pPr>
        <w:spacing w:line="240" w:lineRule="auto"/>
        <w:rPr>
          <w:rFonts w:eastAsia="Times New Roman" w:cs="Arial"/>
          <w:i/>
          <w:iCs/>
          <w:color w:val="000000"/>
          <w:lang w:eastAsia="bg-BG"/>
        </w:rPr>
      </w:pPr>
    </w:p>
    <w:p w14:paraId="4C340D17" w14:textId="13A77B4B" w:rsidR="0008537A" w:rsidRPr="0008537A" w:rsidRDefault="0008537A" w:rsidP="0008537A">
      <w:pPr>
        <w:spacing w:line="240" w:lineRule="auto"/>
        <w:rPr>
          <w:rFonts w:eastAsia="Times New Roman" w:cs="Arial"/>
          <w:sz w:val="24"/>
          <w:szCs w:val="24"/>
          <w:lang w:eastAsia="bg-BG"/>
        </w:rPr>
      </w:pPr>
      <w:r w:rsidRPr="0008537A">
        <w:rPr>
          <w:rFonts w:eastAsia="Times New Roman" w:cs="Arial"/>
          <w:i/>
          <w:iCs/>
          <w:color w:val="000000"/>
          <w:lang w:eastAsia="bg-BG"/>
        </w:rPr>
        <w:t>Вилдаглиптин</w:t>
      </w:r>
    </w:p>
    <w:p w14:paraId="03E70B91"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Информацията по отношение на предозиране с вилдаглиптин е ограничена.</w:t>
      </w:r>
    </w:p>
    <w:p w14:paraId="5DF5378B" w14:textId="77777777" w:rsidR="0008537A" w:rsidRPr="0008537A" w:rsidRDefault="0008537A" w:rsidP="0008537A">
      <w:pPr>
        <w:spacing w:line="240" w:lineRule="auto"/>
        <w:rPr>
          <w:rFonts w:eastAsia="Times New Roman" w:cs="Arial"/>
          <w:color w:val="000000"/>
          <w:u w:val="single"/>
          <w:lang w:eastAsia="bg-BG"/>
        </w:rPr>
      </w:pPr>
    </w:p>
    <w:p w14:paraId="51B375D8" w14:textId="5834001D" w:rsidR="0008537A" w:rsidRPr="0008537A" w:rsidRDefault="0008537A" w:rsidP="0008537A">
      <w:pPr>
        <w:pStyle w:val="Heading3"/>
        <w:rPr>
          <w:rFonts w:eastAsia="Times New Roman"/>
          <w:u w:val="single"/>
          <w:lang w:eastAsia="bg-BG"/>
        </w:rPr>
      </w:pPr>
      <w:r w:rsidRPr="0008537A">
        <w:rPr>
          <w:rFonts w:eastAsia="Times New Roman"/>
          <w:u w:val="single"/>
          <w:lang w:eastAsia="bg-BG"/>
        </w:rPr>
        <w:t>Симптоми</w:t>
      </w:r>
    </w:p>
    <w:p w14:paraId="6CBCB3D6"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 xml:space="preserve">Информацията за вероятни симптоми на предозиране с вилдаглиптин е получена от проучване за поносимост на увеличаваща се доза при здрави индивиди, на които е прилаган вилдаглиптин за 10 дни. При доза от 400 </w:t>
      </w:r>
      <w:r w:rsidRPr="0008537A">
        <w:rPr>
          <w:rFonts w:eastAsia="Times New Roman" w:cs="Arial"/>
          <w:color w:val="000000"/>
          <w:lang w:val="en-US"/>
        </w:rPr>
        <w:t xml:space="preserve">mg </w:t>
      </w:r>
      <w:r w:rsidRPr="0008537A">
        <w:rPr>
          <w:rFonts w:eastAsia="Times New Roman" w:cs="Arial"/>
          <w:color w:val="000000"/>
          <w:lang w:eastAsia="bg-BG"/>
        </w:rPr>
        <w:t xml:space="preserve">е имало три случая на мускулни болки и отделни случаи на леки и преходни парестезии, висока температура, отоци и преходно повишаване на нивото на липазата. При доза от 600 </w:t>
      </w:r>
      <w:r w:rsidRPr="0008537A">
        <w:rPr>
          <w:rFonts w:eastAsia="Times New Roman" w:cs="Arial"/>
          <w:color w:val="000000"/>
          <w:lang w:val="en-US"/>
        </w:rPr>
        <w:t xml:space="preserve">mg </w:t>
      </w:r>
      <w:r w:rsidRPr="0008537A">
        <w:rPr>
          <w:rFonts w:eastAsia="Times New Roman" w:cs="Arial"/>
          <w:color w:val="000000"/>
          <w:lang w:eastAsia="bg-BG"/>
        </w:rPr>
        <w:t xml:space="preserve">едно лице е получило оток на стъпалата и ръцете, и повишаване на нивата на креатинфосфокиназата (КФК), АСАТ, С-реактивния протеин </w:t>
      </w:r>
      <w:r w:rsidRPr="0008537A">
        <w:rPr>
          <w:rFonts w:eastAsia="Times New Roman" w:cs="Arial"/>
          <w:color w:val="000000"/>
          <w:lang w:val="en-US"/>
        </w:rPr>
        <w:t xml:space="preserve">(CRP) </w:t>
      </w:r>
      <w:r w:rsidRPr="0008537A">
        <w:rPr>
          <w:rFonts w:eastAsia="Times New Roman" w:cs="Arial"/>
          <w:color w:val="000000"/>
          <w:lang w:eastAsia="bg-BG"/>
        </w:rPr>
        <w:t>и миоглобина. Три други лица са получили отоци по ходилата, в два от случаите с парестезии. Всички симптоми и отклонения в лабораторните показатели отзвучават без лечение след преустановяване приема на изследвания лекарствен продукт.</w:t>
      </w:r>
    </w:p>
    <w:p w14:paraId="0B2A206D" w14:textId="77777777" w:rsidR="0008537A" w:rsidRPr="0008537A" w:rsidRDefault="0008537A" w:rsidP="0008537A">
      <w:pPr>
        <w:spacing w:line="240" w:lineRule="auto"/>
        <w:rPr>
          <w:rFonts w:eastAsia="Times New Roman" w:cs="Arial"/>
          <w:i/>
          <w:iCs/>
          <w:color w:val="000000"/>
          <w:lang w:eastAsia="bg-BG"/>
        </w:rPr>
      </w:pPr>
    </w:p>
    <w:p w14:paraId="1E4C06D0" w14:textId="42211B89" w:rsidR="0008537A" w:rsidRPr="0008537A" w:rsidRDefault="0008537A" w:rsidP="0008537A">
      <w:pPr>
        <w:spacing w:line="240" w:lineRule="auto"/>
        <w:rPr>
          <w:rFonts w:eastAsia="Times New Roman" w:cs="Arial"/>
          <w:i/>
          <w:iCs/>
          <w:color w:val="000000"/>
          <w:lang w:eastAsia="bg-BG"/>
        </w:rPr>
      </w:pPr>
      <w:r w:rsidRPr="0008537A">
        <w:rPr>
          <w:rFonts w:eastAsia="Times New Roman" w:cs="Arial"/>
          <w:i/>
          <w:iCs/>
          <w:color w:val="000000"/>
          <w:lang w:eastAsia="bg-BG"/>
        </w:rPr>
        <w:lastRenderedPageBreak/>
        <w:t>Метформин</w:t>
      </w:r>
    </w:p>
    <w:p w14:paraId="65AE2CF5" w14:textId="77777777" w:rsidR="0008537A" w:rsidRPr="0008537A" w:rsidRDefault="0008537A" w:rsidP="0008537A">
      <w:pPr>
        <w:spacing w:line="240" w:lineRule="auto"/>
        <w:rPr>
          <w:rFonts w:eastAsia="Times New Roman" w:cs="Arial"/>
          <w:sz w:val="24"/>
          <w:szCs w:val="24"/>
          <w:lang w:eastAsia="bg-BG"/>
        </w:rPr>
      </w:pPr>
      <w:r w:rsidRPr="0008537A">
        <w:rPr>
          <w:rFonts w:eastAsia="Times New Roman" w:cs="Arial"/>
          <w:color w:val="000000"/>
          <w:lang w:eastAsia="bg-BG"/>
        </w:rPr>
        <w:t>Предозиране с висока доза метформин (или при съпътстващ риск от лактатна ацидоза) може да доведе до лактатна ацидоза, която представлява спешно състояние и трябва да се лекува в болница.</w:t>
      </w:r>
    </w:p>
    <w:p w14:paraId="04D28AFB" w14:textId="77777777" w:rsidR="0008537A" w:rsidRPr="0008537A" w:rsidRDefault="0008537A" w:rsidP="0008537A">
      <w:pPr>
        <w:spacing w:line="240" w:lineRule="auto"/>
        <w:rPr>
          <w:rFonts w:eastAsia="Times New Roman" w:cs="Arial"/>
          <w:color w:val="000000"/>
          <w:u w:val="single"/>
          <w:lang w:eastAsia="bg-BG"/>
        </w:rPr>
      </w:pPr>
    </w:p>
    <w:p w14:paraId="65FF9336" w14:textId="6A2ABE47" w:rsidR="0008537A" w:rsidRPr="0008537A" w:rsidRDefault="0008537A" w:rsidP="0008537A">
      <w:pPr>
        <w:pStyle w:val="Heading3"/>
        <w:rPr>
          <w:rFonts w:eastAsia="Times New Roman"/>
          <w:u w:val="single"/>
          <w:lang w:eastAsia="bg-BG"/>
        </w:rPr>
      </w:pPr>
      <w:r w:rsidRPr="0008537A">
        <w:rPr>
          <w:rFonts w:eastAsia="Times New Roman"/>
          <w:u w:val="single"/>
          <w:lang w:eastAsia="bg-BG"/>
        </w:rPr>
        <w:t>Лечение</w:t>
      </w:r>
    </w:p>
    <w:p w14:paraId="18BF6127" w14:textId="77777777" w:rsidR="0008537A" w:rsidRPr="0008537A" w:rsidRDefault="0008537A" w:rsidP="0008537A">
      <w:pPr>
        <w:spacing w:line="240" w:lineRule="auto"/>
        <w:rPr>
          <w:rFonts w:ascii="Times New Roman" w:eastAsia="Times New Roman" w:hAnsi="Times New Roman" w:cs="Times New Roman"/>
          <w:sz w:val="24"/>
          <w:szCs w:val="24"/>
          <w:lang w:eastAsia="bg-BG"/>
        </w:rPr>
      </w:pPr>
      <w:r w:rsidRPr="0008537A">
        <w:rPr>
          <w:rFonts w:eastAsia="Times New Roman" w:cs="Arial"/>
          <w:color w:val="000000"/>
          <w:lang w:eastAsia="bg-BG"/>
        </w:rPr>
        <w:t xml:space="preserve">Най-ефективният метод за отстраняване на метформин е хемодиализа. Вилдаглиптин, обаче, не може да бъде отстранен чрез хемодиализа, но основният му метаболит след хидролиза </w:t>
      </w:r>
      <w:r w:rsidRPr="0008537A">
        <w:rPr>
          <w:rFonts w:eastAsia="Times New Roman" w:cs="Arial"/>
          <w:color w:val="000000"/>
          <w:lang w:val="en-US"/>
        </w:rPr>
        <w:t xml:space="preserve">(LAY </w:t>
      </w:r>
      <w:r w:rsidRPr="0008537A">
        <w:rPr>
          <w:rFonts w:eastAsia="Times New Roman" w:cs="Arial"/>
          <w:color w:val="000000"/>
          <w:lang w:eastAsia="bg-BG"/>
        </w:rPr>
        <w:t>151) може да се диализира. Препоръчва се поддържащо лечение.</w:t>
      </w:r>
    </w:p>
    <w:p w14:paraId="31BF4896" w14:textId="77777777" w:rsidR="0008537A" w:rsidRPr="0008537A" w:rsidRDefault="0008537A" w:rsidP="0008537A"/>
    <w:p w14:paraId="02081B24" w14:textId="36FE76F4" w:rsidR="00395555" w:rsidRPr="00395555" w:rsidRDefault="002C50EE" w:rsidP="008A6AF2">
      <w:pPr>
        <w:pStyle w:val="Heading1"/>
      </w:pPr>
      <w:r>
        <w:t>5. ФАРМАКОЛОГИЧНИ СВОЙСТВА</w:t>
      </w:r>
    </w:p>
    <w:p w14:paraId="3B9FA2B5" w14:textId="08A73F81" w:rsidR="00EE6C97" w:rsidRDefault="002C50EE" w:rsidP="00A93499">
      <w:pPr>
        <w:pStyle w:val="Heading2"/>
      </w:pPr>
      <w:r>
        <w:t>5.1. Фармакодинамични свойства</w:t>
      </w:r>
    </w:p>
    <w:p w14:paraId="133BDF47" w14:textId="7AF16F18" w:rsidR="0008537A" w:rsidRDefault="0008537A" w:rsidP="0008537A"/>
    <w:p w14:paraId="30949910"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Фармакотерапевтична група: Лекарства за лечение на диабет, комбинация от перорални, понижаващи кръвната захар лекарства, АТС код: </w:t>
      </w:r>
      <w:r w:rsidRPr="0008537A">
        <w:rPr>
          <w:rFonts w:eastAsia="Times New Roman" w:cs="Arial"/>
          <w:color w:val="000000"/>
          <w:lang w:val="en-US"/>
        </w:rPr>
        <w:t>A10BD08</w:t>
      </w:r>
    </w:p>
    <w:p w14:paraId="4E098F22" w14:textId="77777777" w:rsidR="0008537A" w:rsidRPr="0008537A" w:rsidRDefault="0008537A" w:rsidP="0008537A">
      <w:pPr>
        <w:spacing w:line="240" w:lineRule="auto"/>
        <w:rPr>
          <w:rFonts w:eastAsia="Times New Roman" w:cs="Arial"/>
          <w:color w:val="000000"/>
          <w:u w:val="single"/>
          <w:lang w:eastAsia="bg-BG"/>
        </w:rPr>
      </w:pPr>
    </w:p>
    <w:p w14:paraId="4FC0BDDF" w14:textId="31D4DC06"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Механизъм на действие</w:t>
      </w:r>
    </w:p>
    <w:p w14:paraId="304103A8"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Вилспокс комбинира две антихипергликемични средства с взаимно допълващи се механизми на действие за подобряване на гликемичния контрол при пациенти с диабет тип 2: вилдаглиптин, представител на класа лекарствени продукти стимулиращи клетките в островите на панкреаса и метформинов хидрохлорид, представител на класа на бигванидите.</w:t>
      </w:r>
    </w:p>
    <w:p w14:paraId="211ED8FD" w14:textId="77777777" w:rsidR="0008537A" w:rsidRPr="0008537A" w:rsidRDefault="0008537A" w:rsidP="0008537A">
      <w:pPr>
        <w:spacing w:line="240" w:lineRule="auto"/>
        <w:rPr>
          <w:rFonts w:eastAsia="Times New Roman" w:cs="Arial"/>
          <w:color w:val="000000"/>
          <w:lang w:eastAsia="bg-BG"/>
        </w:rPr>
      </w:pPr>
    </w:p>
    <w:p w14:paraId="4936103C" w14:textId="37772978" w:rsidR="0008537A" w:rsidRPr="0008537A" w:rsidRDefault="0008537A" w:rsidP="0008537A">
      <w:pPr>
        <w:spacing w:line="240" w:lineRule="auto"/>
        <w:rPr>
          <w:rFonts w:eastAsia="Times New Roman" w:cs="Arial"/>
          <w:color w:val="000000"/>
          <w:lang w:eastAsia="bg-BG"/>
        </w:rPr>
      </w:pPr>
      <w:r w:rsidRPr="0008537A">
        <w:rPr>
          <w:rFonts w:eastAsia="Times New Roman" w:cs="Arial"/>
          <w:color w:val="000000"/>
          <w:lang w:eastAsia="bg-BG"/>
        </w:rPr>
        <w:t xml:space="preserve">Видаглиптин, който спада към класа лекарствени продукти стимулиращи островните клетки в панкреаса, е мощен и селективен инхибитор на дипептидил пептидаза-4 </w:t>
      </w:r>
      <w:r w:rsidRPr="0008537A">
        <w:rPr>
          <w:rFonts w:eastAsia="Times New Roman" w:cs="Arial"/>
          <w:color w:val="000000"/>
          <w:lang w:val="en-US"/>
        </w:rPr>
        <w:t xml:space="preserve">(DPP-4), </w:t>
      </w:r>
      <w:r w:rsidRPr="0008537A">
        <w:rPr>
          <w:rFonts w:eastAsia="Times New Roman" w:cs="Arial"/>
          <w:color w:val="000000"/>
          <w:lang w:eastAsia="bg-BG"/>
        </w:rPr>
        <w:t>Метформин действа основно чрез намаляване на ендогенното образуване на глюкоза в черния дроб.</w:t>
      </w:r>
    </w:p>
    <w:p w14:paraId="717EA5FA" w14:textId="22B2494E" w:rsidR="0008537A" w:rsidRPr="0008537A" w:rsidRDefault="0008537A" w:rsidP="0008537A">
      <w:pPr>
        <w:spacing w:line="240" w:lineRule="auto"/>
        <w:rPr>
          <w:rFonts w:eastAsia="Times New Roman" w:cs="Arial"/>
          <w:color w:val="000000"/>
          <w:lang w:eastAsia="bg-BG"/>
        </w:rPr>
      </w:pPr>
    </w:p>
    <w:p w14:paraId="1551E674"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Фармакодинамични ефекти</w:t>
      </w:r>
    </w:p>
    <w:p w14:paraId="02029B87" w14:textId="7777777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Вилдаглиптин</w:t>
      </w:r>
    </w:p>
    <w:p w14:paraId="3915440A"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Вилдаглиптин действа основно чрез инхибиране на </w:t>
      </w:r>
      <w:r w:rsidRPr="0008537A">
        <w:rPr>
          <w:rFonts w:eastAsia="Times New Roman" w:cs="Arial"/>
          <w:color w:val="000000"/>
          <w:lang w:val="en-US"/>
        </w:rPr>
        <w:t xml:space="preserve">DPP-4, </w:t>
      </w:r>
      <w:r w:rsidRPr="0008537A">
        <w:rPr>
          <w:rFonts w:eastAsia="Times New Roman" w:cs="Arial"/>
          <w:color w:val="000000"/>
          <w:lang w:eastAsia="bg-BG"/>
        </w:rPr>
        <w:t xml:space="preserve">ензимът отговорен за разграждането на инкретиновите хормони </w:t>
      </w:r>
      <w:r w:rsidRPr="0008537A">
        <w:rPr>
          <w:rFonts w:eastAsia="Times New Roman" w:cs="Arial"/>
          <w:color w:val="000000"/>
          <w:lang w:val="en-US"/>
        </w:rPr>
        <w:t xml:space="preserve">GLP-1 </w:t>
      </w:r>
      <w:r w:rsidRPr="0008537A">
        <w:rPr>
          <w:rFonts w:eastAsia="Times New Roman" w:cs="Arial"/>
          <w:color w:val="000000"/>
          <w:lang w:eastAsia="bg-BG"/>
        </w:rPr>
        <w:t xml:space="preserve">(глюкагон подобен пептид-1) и </w:t>
      </w:r>
      <w:r w:rsidRPr="0008537A">
        <w:rPr>
          <w:rFonts w:eastAsia="Times New Roman" w:cs="Arial"/>
          <w:color w:val="000000"/>
          <w:lang w:val="en-US"/>
        </w:rPr>
        <w:t xml:space="preserve">GIP </w:t>
      </w:r>
      <w:r w:rsidRPr="0008537A">
        <w:rPr>
          <w:rFonts w:eastAsia="Times New Roman" w:cs="Arial"/>
          <w:color w:val="000000"/>
          <w:lang w:eastAsia="bg-BG"/>
        </w:rPr>
        <w:t>(глюкозо-зависим инсулинотропен полипептид).</w:t>
      </w:r>
    </w:p>
    <w:p w14:paraId="46038AC0" w14:textId="77777777" w:rsidR="0008537A" w:rsidRPr="0008537A" w:rsidRDefault="0008537A" w:rsidP="0008537A">
      <w:pPr>
        <w:spacing w:line="240" w:lineRule="auto"/>
        <w:rPr>
          <w:rFonts w:eastAsia="Times New Roman" w:cs="Arial"/>
          <w:color w:val="000000"/>
          <w:lang w:eastAsia="bg-BG"/>
        </w:rPr>
      </w:pPr>
    </w:p>
    <w:p w14:paraId="7FDFFDBC" w14:textId="11069EB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Приложението на вилдаглиптин води до бързо и пълно инхибиране на активността на </w:t>
      </w:r>
      <w:r w:rsidRPr="0008537A">
        <w:rPr>
          <w:rFonts w:eastAsia="Times New Roman" w:cs="Arial"/>
          <w:color w:val="000000"/>
          <w:lang w:val="en-US"/>
        </w:rPr>
        <w:t xml:space="preserve">DPP-4, </w:t>
      </w:r>
      <w:r w:rsidRPr="0008537A">
        <w:rPr>
          <w:rFonts w:eastAsia="Times New Roman" w:cs="Arial"/>
          <w:color w:val="000000"/>
          <w:lang w:eastAsia="bg-BG"/>
        </w:rPr>
        <w:t xml:space="preserve">в резултат на което се повишават ендогенните нива на инкретиновите хормони </w:t>
      </w:r>
      <w:r w:rsidRPr="0008537A">
        <w:rPr>
          <w:rFonts w:eastAsia="Times New Roman" w:cs="Arial"/>
          <w:color w:val="000000"/>
          <w:lang w:val="en-US"/>
        </w:rPr>
        <w:t xml:space="preserve">GLP-1 </w:t>
      </w:r>
      <w:r w:rsidRPr="0008537A">
        <w:rPr>
          <w:rFonts w:eastAsia="Times New Roman" w:cs="Arial"/>
          <w:color w:val="000000"/>
          <w:lang w:eastAsia="bg-BG"/>
        </w:rPr>
        <w:t xml:space="preserve">и </w:t>
      </w:r>
      <w:r w:rsidRPr="0008537A">
        <w:rPr>
          <w:rFonts w:eastAsia="Times New Roman" w:cs="Arial"/>
          <w:color w:val="000000"/>
          <w:lang w:val="en-US"/>
        </w:rPr>
        <w:t xml:space="preserve">GIP, </w:t>
      </w:r>
      <w:r w:rsidRPr="0008537A">
        <w:rPr>
          <w:rFonts w:eastAsia="Times New Roman" w:cs="Arial"/>
          <w:color w:val="000000"/>
          <w:lang w:eastAsia="bg-BG"/>
        </w:rPr>
        <w:t>както на гладно така и след хранене.</w:t>
      </w:r>
    </w:p>
    <w:p w14:paraId="34E4143E" w14:textId="77777777" w:rsidR="0008537A" w:rsidRPr="0008537A" w:rsidRDefault="0008537A" w:rsidP="0008537A">
      <w:pPr>
        <w:spacing w:line="240" w:lineRule="auto"/>
        <w:rPr>
          <w:rFonts w:eastAsia="Times New Roman" w:cs="Arial"/>
          <w:color w:val="000000"/>
          <w:lang w:eastAsia="bg-BG"/>
        </w:rPr>
      </w:pPr>
    </w:p>
    <w:p w14:paraId="4F161ECA" w14:textId="10EED16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Посредством повишаване на ендогенните нива на тези инкретинови хормони, вилдаглиптин повишава чувствителността на бета клетките към кръвната захар, което води до подобряване на глюкозо-зависимата инсулинова секреция. Лечението с вилдаглиптин 50-100 </w:t>
      </w:r>
      <w:r w:rsidRPr="0008537A">
        <w:rPr>
          <w:rFonts w:eastAsia="Times New Roman" w:cs="Arial"/>
          <w:color w:val="000000"/>
          <w:lang w:val="en-US"/>
        </w:rPr>
        <w:t xml:space="preserve">mg </w:t>
      </w:r>
      <w:r w:rsidRPr="0008537A">
        <w:rPr>
          <w:rFonts w:eastAsia="Times New Roman" w:cs="Arial"/>
          <w:color w:val="000000"/>
          <w:lang w:eastAsia="bg-BG"/>
        </w:rPr>
        <w:t>дневно при пациенти с диабет тип 2 значимо подобрява показателите за бета-клетьчната функция, които включват НОМА-β</w:t>
      </w:r>
      <w:r w:rsidRPr="0008537A">
        <w:rPr>
          <w:rFonts w:eastAsia="Times New Roman" w:cs="Arial"/>
          <w:color w:val="000000"/>
          <w:lang w:val="en-US"/>
        </w:rPr>
        <w:t xml:space="preserve"> (Homeostasis Model Assessment-</w:t>
      </w:r>
      <w:r w:rsidRPr="0008537A">
        <w:rPr>
          <w:rFonts w:eastAsia="Times New Roman" w:cs="Arial"/>
          <w:color w:val="000000"/>
          <w:lang w:eastAsia="bg-BG"/>
        </w:rPr>
        <w:t>β</w:t>
      </w:r>
      <w:r w:rsidRPr="0008537A">
        <w:rPr>
          <w:rFonts w:eastAsia="Times New Roman" w:cs="Arial"/>
          <w:color w:val="000000"/>
          <w:lang w:val="en-US"/>
        </w:rPr>
        <w:t xml:space="preserve">), </w:t>
      </w:r>
      <w:r w:rsidRPr="0008537A">
        <w:rPr>
          <w:rFonts w:eastAsia="Times New Roman" w:cs="Arial"/>
          <w:color w:val="000000"/>
          <w:lang w:eastAsia="bg-BG"/>
        </w:rPr>
        <w:t>съотношението проинсулин спрямо инсулин и измерването на реактивността на бета клетките при теста за толерантност при често даване на храна. При лица, които нямат диабет (нормогликемия), вилдаглиптин не стимулира секрецията на инсулин и не намалява нивото на кръвната захар.</w:t>
      </w:r>
    </w:p>
    <w:p w14:paraId="0D701656" w14:textId="77777777" w:rsidR="0008537A" w:rsidRPr="0008537A" w:rsidRDefault="0008537A" w:rsidP="0008537A">
      <w:pPr>
        <w:spacing w:line="240" w:lineRule="auto"/>
        <w:rPr>
          <w:rFonts w:eastAsia="Times New Roman" w:cs="Arial"/>
          <w:color w:val="000000"/>
          <w:lang w:eastAsia="bg-BG"/>
        </w:rPr>
      </w:pPr>
    </w:p>
    <w:p w14:paraId="1EA81136" w14:textId="2CE94E5D"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lastRenderedPageBreak/>
        <w:t xml:space="preserve">Чрез повишаване на ендогенното ниво на </w:t>
      </w:r>
      <w:r w:rsidRPr="0008537A">
        <w:rPr>
          <w:rFonts w:eastAsia="Times New Roman" w:cs="Arial"/>
          <w:color w:val="000000"/>
          <w:lang w:val="en-US"/>
        </w:rPr>
        <w:t>GLP-1</w:t>
      </w:r>
      <w:r w:rsidRPr="0008537A">
        <w:rPr>
          <w:rFonts w:eastAsia="Times New Roman" w:cs="Arial"/>
          <w:color w:val="000000"/>
          <w:lang w:eastAsia="bg-BG"/>
        </w:rPr>
        <w:t>, вилдаглиптин повишава чувствителността на алфа клетките към кръвната захар, което води до по-адекватна на кръвната захар секреция на глюкагон.</w:t>
      </w:r>
    </w:p>
    <w:p w14:paraId="43AF2E91" w14:textId="77777777" w:rsidR="0008537A" w:rsidRPr="0008537A" w:rsidRDefault="0008537A" w:rsidP="0008537A">
      <w:pPr>
        <w:spacing w:line="240" w:lineRule="auto"/>
        <w:rPr>
          <w:rFonts w:eastAsia="Times New Roman" w:cs="Arial"/>
          <w:color w:val="000000"/>
          <w:lang w:eastAsia="bg-BG"/>
        </w:rPr>
      </w:pPr>
    </w:p>
    <w:p w14:paraId="30A918B0" w14:textId="29FC0095"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Повишаването на инкретиновите хормони в условията на хипергликемия води до засилено увеличаване на съотношението инсулин/глюкагон и намаляване продукцията на глюкоза от черния дроб, както на гладно, така и след хранене, с което се намалява гликемията.</w:t>
      </w:r>
    </w:p>
    <w:p w14:paraId="787B370E" w14:textId="77777777" w:rsidR="0008537A" w:rsidRPr="0008537A" w:rsidRDefault="0008537A" w:rsidP="0008537A">
      <w:pPr>
        <w:spacing w:line="240" w:lineRule="auto"/>
        <w:rPr>
          <w:rFonts w:eastAsia="Times New Roman" w:cs="Arial"/>
          <w:color w:val="000000"/>
          <w:lang w:eastAsia="bg-BG"/>
        </w:rPr>
      </w:pPr>
    </w:p>
    <w:p w14:paraId="6224EA22" w14:textId="20159ED6"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Известният ефект, че повишеното ниво на </w:t>
      </w:r>
      <w:r w:rsidRPr="0008537A">
        <w:rPr>
          <w:rFonts w:eastAsia="Times New Roman" w:cs="Arial"/>
          <w:color w:val="000000"/>
          <w:lang w:val="en-US"/>
        </w:rPr>
        <w:t xml:space="preserve">GLP-1 </w:t>
      </w:r>
      <w:r w:rsidRPr="0008537A">
        <w:rPr>
          <w:rFonts w:eastAsia="Times New Roman" w:cs="Arial"/>
          <w:color w:val="000000"/>
          <w:lang w:eastAsia="bg-BG"/>
        </w:rPr>
        <w:t>забавя стомашното изпразване не се наблюдава при лечение с вилдаглиптин.</w:t>
      </w:r>
    </w:p>
    <w:p w14:paraId="658B0BB7" w14:textId="77777777" w:rsidR="0008537A" w:rsidRPr="0008537A" w:rsidRDefault="0008537A" w:rsidP="0008537A">
      <w:pPr>
        <w:spacing w:line="240" w:lineRule="auto"/>
        <w:rPr>
          <w:rFonts w:eastAsia="Times New Roman" w:cs="Arial"/>
          <w:i/>
          <w:iCs/>
          <w:color w:val="000000"/>
          <w:lang w:eastAsia="bg-BG"/>
        </w:rPr>
      </w:pPr>
    </w:p>
    <w:p w14:paraId="3D36FE28" w14:textId="329A53BB"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Метформин</w:t>
      </w:r>
    </w:p>
    <w:p w14:paraId="01C11C47"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Метформин е бигванид с антихипергликемичен ефект, който понижава стойностите на глюкоза в плазмата - както на гладно, така и след хранене. Той не стимулира секрецията на инсулин и поради това не води до хипогликемия или увеличаване на телесното тегло.</w:t>
      </w:r>
    </w:p>
    <w:p w14:paraId="0DDE591F" w14:textId="77777777" w:rsidR="0008537A" w:rsidRPr="0008537A" w:rsidRDefault="0008537A" w:rsidP="0008537A">
      <w:pPr>
        <w:spacing w:line="240" w:lineRule="auto"/>
        <w:rPr>
          <w:rFonts w:eastAsia="Times New Roman" w:cs="Arial"/>
          <w:color w:val="000000"/>
          <w:lang w:eastAsia="bg-BG"/>
        </w:rPr>
      </w:pPr>
    </w:p>
    <w:p w14:paraId="4CF6C528" w14:textId="77777777" w:rsidR="0008537A" w:rsidRPr="0008537A" w:rsidRDefault="0008537A" w:rsidP="0008537A">
      <w:pPr>
        <w:spacing w:line="240" w:lineRule="auto"/>
        <w:rPr>
          <w:rFonts w:eastAsia="Times New Roman" w:cs="Arial"/>
          <w:color w:val="000000"/>
          <w:lang w:eastAsia="bg-BG"/>
        </w:rPr>
      </w:pPr>
      <w:r w:rsidRPr="0008537A">
        <w:rPr>
          <w:rFonts w:eastAsia="Times New Roman" w:cs="Arial"/>
          <w:color w:val="000000"/>
          <w:lang w:eastAsia="bg-BG"/>
        </w:rPr>
        <w:t>Метформин може да оказва своя глюкозо-понижаващ ефект посредством три механизма:</w:t>
      </w:r>
    </w:p>
    <w:p w14:paraId="09685A31" w14:textId="77777777"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посредством намаляване на образуването на глюкоза в черния дроб чрез инхибиране на глюконеогенезата и гликогенолизата;</w:t>
      </w:r>
    </w:p>
    <w:p w14:paraId="690F8984" w14:textId="77777777"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в мускулите посредством умерено изразено увеличаване на инсулиновата чувствителност,</w:t>
      </w:r>
    </w:p>
    <w:p w14:paraId="3E0EF387" w14:textId="40F3EE73"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подобрявайки периферното поемане и усвояване на глюкозата; посредством забавяне на абсорбцията на глюкозата в червата.</w:t>
      </w:r>
    </w:p>
    <w:p w14:paraId="5EA15CC8"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Метформин стимулира вътреклетъчния синтез на гликоген, посредством повлияване на гликоген синтезата и повишава транспортния капацитет на специфични типове мембранни глюкозни транспортери </w:t>
      </w:r>
      <w:r w:rsidRPr="0008537A">
        <w:rPr>
          <w:rFonts w:eastAsia="Times New Roman" w:cs="Arial"/>
          <w:color w:val="000000"/>
          <w:lang w:val="en-US"/>
        </w:rPr>
        <w:t xml:space="preserve">(GLUT-1 </w:t>
      </w:r>
      <w:r w:rsidRPr="0008537A">
        <w:rPr>
          <w:rFonts w:eastAsia="Times New Roman" w:cs="Arial"/>
          <w:color w:val="000000"/>
          <w:lang w:eastAsia="bg-BG"/>
        </w:rPr>
        <w:t xml:space="preserve">и </w:t>
      </w:r>
      <w:r w:rsidRPr="0008537A">
        <w:rPr>
          <w:rFonts w:eastAsia="Times New Roman" w:cs="Arial"/>
          <w:color w:val="000000"/>
          <w:lang w:val="en-US"/>
        </w:rPr>
        <w:t>GLUT-4).</w:t>
      </w:r>
    </w:p>
    <w:p w14:paraId="7E4B3CFD" w14:textId="77777777" w:rsidR="0008537A" w:rsidRPr="0008537A" w:rsidRDefault="0008537A" w:rsidP="0008537A">
      <w:pPr>
        <w:spacing w:line="240" w:lineRule="auto"/>
        <w:rPr>
          <w:rFonts w:eastAsia="Times New Roman" w:cs="Arial"/>
          <w:color w:val="000000"/>
          <w:lang w:eastAsia="bg-BG"/>
        </w:rPr>
      </w:pPr>
    </w:p>
    <w:p w14:paraId="6F713D38" w14:textId="141B81B2"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При хора, независимо от влиянието си върху гликемията, метформин има благоприятни ефекти върху липидния метаболизъм. В средно- и дългосрочни клинични проучвания, при прием на терапевтични дози е показано, че: метформин понижава серумните нива на общия холестерол, </w:t>
      </w:r>
      <w:r w:rsidRPr="0008537A">
        <w:rPr>
          <w:rFonts w:eastAsia="Times New Roman" w:cs="Arial"/>
          <w:color w:val="000000"/>
          <w:lang w:val="en-US"/>
        </w:rPr>
        <w:t>LDL</w:t>
      </w:r>
      <w:r w:rsidRPr="0008537A">
        <w:rPr>
          <w:rFonts w:eastAsia="Times New Roman" w:cs="Arial"/>
          <w:color w:val="000000"/>
          <w:lang w:eastAsia="bg-BG"/>
        </w:rPr>
        <w:t>-холестерола и триглицеридите.</w:t>
      </w:r>
    </w:p>
    <w:p w14:paraId="2CB2F4F4" w14:textId="77777777" w:rsidR="0008537A" w:rsidRPr="0008537A" w:rsidRDefault="0008537A" w:rsidP="0008537A">
      <w:pPr>
        <w:spacing w:line="240" w:lineRule="auto"/>
        <w:rPr>
          <w:rFonts w:eastAsia="Times New Roman" w:cs="Arial"/>
          <w:lang w:eastAsia="bg-BG"/>
        </w:rPr>
      </w:pPr>
    </w:p>
    <w:p w14:paraId="61F99ECC"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Проспективното. рандомизирано проучване </w:t>
      </w:r>
      <w:r w:rsidRPr="0008537A">
        <w:rPr>
          <w:rFonts w:eastAsia="Times New Roman" w:cs="Arial"/>
          <w:color w:val="000000"/>
          <w:lang w:val="en-US"/>
        </w:rPr>
        <w:t xml:space="preserve">UKPDS (UK Prospective Diabetes Study) </w:t>
      </w:r>
      <w:r w:rsidRPr="0008537A">
        <w:rPr>
          <w:rFonts w:eastAsia="Times New Roman" w:cs="Arial"/>
          <w:color w:val="000000"/>
          <w:lang w:eastAsia="bg-BG"/>
        </w:rPr>
        <w:t>установява дългосрочните ползи от интензивния контрол на кръвната захар при пациенти с диабет тип 2. Анализът на резултатите при пациенти с наднормено тегло, лекувани с метформин след неуспех от лечение само с диета показват:</w:t>
      </w:r>
    </w:p>
    <w:p w14:paraId="16FBD122" w14:textId="77777777"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значимо намаляване на абсолютния риск от всяко свързано с диабета усложнение в групата на метформин (29,8 събития/1000 пациент-години) спрямо пациентите оставени само на диета (43,3 събития/1000 пациент-години), р=0,0023 и спрямо групите на комбинирана терапия със сулфонилурейни продукти и на монотерапия с инсулин (40,1 събития/1000 пациент-години), р=0,0034;</w:t>
      </w:r>
    </w:p>
    <w:p w14:paraId="3216169F" w14:textId="77777777"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 xml:space="preserve">значимо намаляване на абсолютния риск от свързана с диабета смъртност: метформин 7,5 събития/1000 пациент-години, само на диета 12,7 събития/1000 пациент-години, р=0,017; </w:t>
      </w:r>
    </w:p>
    <w:p w14:paraId="6D083FB8" w14:textId="70817944"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 xml:space="preserve">значимо намаляване на абсолютния риск от обща смъртност: метформин 13,5 събития/1000 пациент-години спрямо само на диета 20,6 събития/1000 пациент-години (р=0,011) и спрямо групите на комбинирана терапия със </w:t>
      </w:r>
      <w:r w:rsidRPr="0008537A">
        <w:rPr>
          <w:rFonts w:eastAsia="Times New Roman" w:cs="Arial"/>
          <w:color w:val="000000"/>
          <w:lang w:eastAsia="bg-BG"/>
        </w:rPr>
        <w:lastRenderedPageBreak/>
        <w:t>сулфонилурейни продукти и на монотерапия с инсулин 18,9 събития/1000 пациент-години (р=0,021);</w:t>
      </w:r>
    </w:p>
    <w:p w14:paraId="70C4CCC8" w14:textId="2F15A92F" w:rsidR="0008537A" w:rsidRPr="0008537A" w:rsidRDefault="0008537A" w:rsidP="0008537A">
      <w:pPr>
        <w:pStyle w:val="ListParagraph"/>
        <w:numPr>
          <w:ilvl w:val="0"/>
          <w:numId w:val="2"/>
        </w:numPr>
        <w:spacing w:line="240" w:lineRule="auto"/>
        <w:rPr>
          <w:rFonts w:eastAsia="Times New Roman" w:cs="Arial"/>
          <w:lang w:eastAsia="bg-BG"/>
        </w:rPr>
      </w:pPr>
      <w:r w:rsidRPr="0008537A">
        <w:rPr>
          <w:rFonts w:eastAsia="Times New Roman" w:cs="Arial"/>
          <w:color w:val="000000"/>
          <w:lang w:eastAsia="bg-BG"/>
        </w:rPr>
        <w:t xml:space="preserve">значимо намаляване на абсолютния риск от инфаркт на миокарда: метформин </w:t>
      </w:r>
      <w:r w:rsidRPr="0008537A">
        <w:rPr>
          <w:rFonts w:eastAsia="Times New Roman" w:cs="Arial"/>
          <w:color w:val="000000"/>
          <w:lang w:val="en-US"/>
        </w:rPr>
        <w:t>1</w:t>
      </w:r>
      <w:r w:rsidRPr="0008537A">
        <w:rPr>
          <w:rFonts w:eastAsia="Times New Roman" w:cs="Arial"/>
          <w:color w:val="000000"/>
          <w:lang w:eastAsia="bg-BG"/>
        </w:rPr>
        <w:t>1 събития/1000 пациент-години, само на диета 18 събития/1000 пациент-години (р=0,01).</w:t>
      </w:r>
    </w:p>
    <w:p w14:paraId="73331634" w14:textId="77777777" w:rsidR="0008537A" w:rsidRPr="0008537A" w:rsidRDefault="0008537A" w:rsidP="0008537A">
      <w:pPr>
        <w:spacing w:line="240" w:lineRule="auto"/>
        <w:rPr>
          <w:rFonts w:eastAsia="Times New Roman" w:cs="Arial"/>
          <w:color w:val="000000"/>
          <w:u w:val="single"/>
          <w:lang w:eastAsia="bg-BG"/>
        </w:rPr>
      </w:pPr>
    </w:p>
    <w:p w14:paraId="48F10413" w14:textId="146EA16A"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 xml:space="preserve">Клинична ефикасност </w:t>
      </w:r>
      <w:r w:rsidRPr="0008537A">
        <w:rPr>
          <w:rFonts w:eastAsia="Times New Roman" w:cs="Arial"/>
          <w:i/>
          <w:iCs/>
          <w:color w:val="000000"/>
          <w:u w:val="single"/>
          <w:lang w:eastAsia="bg-BG"/>
        </w:rPr>
        <w:t>и</w:t>
      </w:r>
      <w:r w:rsidRPr="0008537A">
        <w:rPr>
          <w:rFonts w:eastAsia="Times New Roman" w:cs="Arial"/>
          <w:color w:val="000000"/>
          <w:u w:val="single"/>
          <w:lang w:eastAsia="bg-BG"/>
        </w:rPr>
        <w:t xml:space="preserve"> безопасност</w:t>
      </w:r>
    </w:p>
    <w:p w14:paraId="61362AA3"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Прибавянето на вилдаглиптин към лечението на пациенти, чийто гликемичен контрол не е задоволителен въпреки монотерапията с метформин, след 6-месечно лечение води до допълнително статистически значимо средно понижаване на стойностите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в сравнение с плацебо (разлики между групите от -0,7% до -1,1%, съответно, за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и 100 </w:t>
      </w:r>
      <w:r w:rsidRPr="0008537A">
        <w:rPr>
          <w:rFonts w:eastAsia="Times New Roman" w:cs="Arial"/>
          <w:color w:val="000000"/>
          <w:lang w:val="en-US"/>
        </w:rPr>
        <w:t xml:space="preserve">mg). </w:t>
      </w:r>
      <w:r w:rsidRPr="0008537A">
        <w:rPr>
          <w:rFonts w:eastAsia="Times New Roman" w:cs="Arial"/>
          <w:color w:val="000000"/>
          <w:lang w:eastAsia="bg-BG"/>
        </w:rPr>
        <w:t>Процентът на пациентите, които постигат понижаване на стойностите на НЬА</w:t>
      </w:r>
      <w:r w:rsidRPr="0008537A">
        <w:rPr>
          <w:rFonts w:eastAsia="Times New Roman" w:cs="Arial"/>
          <w:color w:val="000000"/>
          <w:vertAlign w:val="subscript"/>
          <w:lang w:eastAsia="bg-BG"/>
        </w:rPr>
        <w:t>1</w:t>
      </w:r>
      <w:r w:rsidRPr="0008537A">
        <w:rPr>
          <w:rFonts w:eastAsia="Times New Roman" w:cs="Arial"/>
          <w:color w:val="000000"/>
          <w:vertAlign w:val="subscript"/>
          <w:lang w:val="en-US"/>
        </w:rPr>
        <w:t xml:space="preserve">c </w:t>
      </w:r>
      <w:r w:rsidRPr="0008537A">
        <w:rPr>
          <w:rFonts w:eastAsia="Times New Roman" w:cs="Arial"/>
          <w:color w:val="000000"/>
          <w:lang w:eastAsia="bg-BG"/>
        </w:rPr>
        <w:t>с</w:t>
      </w:r>
    </w:p>
    <w:p w14:paraId="760E91F8"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0,7% спрямо изходните е статистически значимо по-висок в двете групи на вилдаглиптин плюс метформин (съответно 46% и 60%) спрямо групата на метформин плюс плацебо (20%).</w:t>
      </w:r>
    </w:p>
    <w:p w14:paraId="4274C931" w14:textId="77777777" w:rsidR="0008537A" w:rsidRPr="0008537A" w:rsidRDefault="0008537A" w:rsidP="0008537A">
      <w:pPr>
        <w:spacing w:line="240" w:lineRule="auto"/>
        <w:rPr>
          <w:rFonts w:eastAsia="Times New Roman" w:cs="Arial"/>
          <w:color w:val="000000"/>
          <w:lang w:eastAsia="bg-BG"/>
        </w:rPr>
      </w:pPr>
    </w:p>
    <w:p w14:paraId="2802C05F" w14:textId="0089D31E"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 24-седмично клинично изпитване,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е сравнен с пиоглитазон (30 </w:t>
      </w:r>
      <w:r w:rsidRPr="0008537A">
        <w:rPr>
          <w:rFonts w:eastAsia="Times New Roman" w:cs="Arial"/>
          <w:color w:val="000000"/>
          <w:lang w:val="en-US"/>
        </w:rPr>
        <w:t xml:space="preserve">mg </w:t>
      </w:r>
      <w:r w:rsidRPr="0008537A">
        <w:rPr>
          <w:rFonts w:eastAsia="Times New Roman" w:cs="Arial"/>
          <w:color w:val="000000"/>
          <w:lang w:eastAsia="bg-BG"/>
        </w:rPr>
        <w:t xml:space="preserve">веднъж дневно) при пациенти, при които не е постигнат адекватен гликемичен контрол с метформин (средна дневна доза: 2020 </w:t>
      </w:r>
      <w:r w:rsidRPr="0008537A">
        <w:rPr>
          <w:rFonts w:eastAsia="Times New Roman" w:cs="Arial"/>
          <w:color w:val="000000"/>
          <w:lang w:val="en-US"/>
        </w:rPr>
        <w:t xml:space="preserve">mg). </w:t>
      </w:r>
      <w:r w:rsidRPr="0008537A">
        <w:rPr>
          <w:rFonts w:eastAsia="Times New Roman" w:cs="Arial"/>
          <w:color w:val="000000"/>
          <w:lang w:eastAsia="bg-BG"/>
        </w:rPr>
        <w:t xml:space="preserve">Средното понижение на нивата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при среден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от 8,4%, е -0,9% при добавяне на вилдаглиптин към метформин и -1,0% при добавяне на пиоглитазон към метформин. Средното повишаване на телесното тегло, наблюдавано при пациентите, приемащи пиоглитазон в допълнение към метформин е +1,9 </w:t>
      </w:r>
      <w:r w:rsidRPr="0008537A">
        <w:rPr>
          <w:rFonts w:eastAsia="Times New Roman" w:cs="Arial"/>
          <w:color w:val="000000"/>
          <w:lang w:val="en-US"/>
        </w:rPr>
        <w:t xml:space="preserve">kg, </w:t>
      </w:r>
      <w:r w:rsidRPr="0008537A">
        <w:rPr>
          <w:rFonts w:eastAsia="Times New Roman" w:cs="Arial"/>
          <w:color w:val="000000"/>
          <w:lang w:eastAsia="bg-BG"/>
        </w:rPr>
        <w:t xml:space="preserve">спрямо +0,3 </w:t>
      </w:r>
      <w:r w:rsidRPr="0008537A">
        <w:rPr>
          <w:rFonts w:eastAsia="Times New Roman" w:cs="Arial"/>
          <w:color w:val="000000"/>
          <w:lang w:val="en-US"/>
        </w:rPr>
        <w:t xml:space="preserve">kg </w:t>
      </w:r>
      <w:r w:rsidRPr="0008537A">
        <w:rPr>
          <w:rFonts w:eastAsia="Times New Roman" w:cs="Arial"/>
          <w:color w:val="000000"/>
          <w:lang w:eastAsia="bg-BG"/>
        </w:rPr>
        <w:t>при пациентите, приемащи вилдаглиптин в допълнение към метформин.</w:t>
      </w:r>
    </w:p>
    <w:p w14:paraId="19CA4A1C" w14:textId="77777777" w:rsidR="0008537A" w:rsidRPr="0008537A" w:rsidRDefault="0008537A" w:rsidP="0008537A">
      <w:pPr>
        <w:spacing w:line="240" w:lineRule="auto"/>
        <w:rPr>
          <w:rFonts w:eastAsia="Times New Roman" w:cs="Arial"/>
          <w:color w:val="000000"/>
          <w:lang w:eastAsia="bg-BG"/>
        </w:rPr>
      </w:pPr>
    </w:p>
    <w:p w14:paraId="0C9AB7EF" w14:textId="09E7B9A9"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 клинично изпитване с 2-годишна продължителност,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е сравнен с глимепирид (до 6 </w:t>
      </w:r>
      <w:r w:rsidRPr="0008537A">
        <w:rPr>
          <w:rFonts w:eastAsia="Times New Roman" w:cs="Arial"/>
          <w:color w:val="000000"/>
          <w:lang w:val="en-US"/>
        </w:rPr>
        <w:t>mg</w:t>
      </w:r>
      <w:r w:rsidRPr="0008537A">
        <w:rPr>
          <w:rFonts w:eastAsia="Times New Roman" w:cs="Arial"/>
          <w:color w:val="000000"/>
          <w:lang w:eastAsia="bg-BG"/>
        </w:rPr>
        <w:t xml:space="preserve">/ден - средна доза през 2-те години: 4,6 </w:t>
      </w:r>
      <w:r w:rsidRPr="0008537A">
        <w:rPr>
          <w:rFonts w:eastAsia="Times New Roman" w:cs="Arial"/>
          <w:color w:val="000000"/>
          <w:lang w:val="en-US"/>
        </w:rPr>
        <w:t xml:space="preserve">mg) </w:t>
      </w:r>
      <w:r w:rsidRPr="0008537A">
        <w:rPr>
          <w:rFonts w:eastAsia="Times New Roman" w:cs="Arial"/>
          <w:color w:val="000000"/>
          <w:lang w:eastAsia="bg-BG"/>
        </w:rPr>
        <w:t xml:space="preserve">след добавяне към терапията на пациенти, лекувани с метформин (средна дневна доза: 1894 </w:t>
      </w:r>
      <w:r w:rsidRPr="0008537A">
        <w:rPr>
          <w:rFonts w:eastAsia="Times New Roman" w:cs="Arial"/>
          <w:color w:val="000000"/>
          <w:lang w:val="en-US"/>
        </w:rPr>
        <w:t xml:space="preserve">mg). </w:t>
      </w:r>
      <w:r w:rsidRPr="0008537A">
        <w:rPr>
          <w:rFonts w:eastAsia="Times New Roman" w:cs="Arial"/>
          <w:color w:val="000000"/>
          <w:lang w:eastAsia="bg-BG"/>
        </w:rPr>
        <w:t xml:space="preserve">След 1 година средното понижение на нивата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е -0,4% при добавяне на вилдаглиптин към метформин и -0,5% при добавяне на глимепирид към метформин, при среден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от 7,3%. Промяната в телесното тегло при вилдаглиптин е -0,2 </w:t>
      </w:r>
      <w:r w:rsidRPr="0008537A">
        <w:rPr>
          <w:rFonts w:eastAsia="Times New Roman" w:cs="Arial"/>
          <w:color w:val="000000"/>
          <w:lang w:val="en-US"/>
        </w:rPr>
        <w:t xml:space="preserve">kg </w:t>
      </w:r>
      <w:r w:rsidRPr="0008537A">
        <w:rPr>
          <w:rFonts w:eastAsia="Times New Roman" w:cs="Arial"/>
          <w:color w:val="000000"/>
          <w:lang w:eastAsia="bg-BG"/>
        </w:rPr>
        <w:t xml:space="preserve">спрямо +1,6 </w:t>
      </w:r>
      <w:r w:rsidRPr="0008537A">
        <w:rPr>
          <w:rFonts w:eastAsia="Times New Roman" w:cs="Arial"/>
          <w:color w:val="000000"/>
          <w:lang w:val="en-US"/>
        </w:rPr>
        <w:t xml:space="preserve">kg </w:t>
      </w:r>
      <w:r w:rsidRPr="0008537A">
        <w:rPr>
          <w:rFonts w:eastAsia="Times New Roman" w:cs="Arial"/>
          <w:color w:val="000000"/>
          <w:lang w:eastAsia="bg-BG"/>
        </w:rPr>
        <w:t>при глимепирид. Честотата на случаите на хипогликемия е сигнификантно по-ниска в групата на вилдаглиптин (1,7%) в сравнение с групата на глимепирид (16,2%). В крайната точка на проучването (след 2 години) стойностите на НЬА</w:t>
      </w:r>
      <w:r w:rsidRPr="0008537A">
        <w:rPr>
          <w:rFonts w:eastAsia="Times New Roman" w:cs="Arial"/>
          <w:color w:val="000000"/>
          <w:vertAlign w:val="subscript"/>
          <w:lang w:eastAsia="bg-BG"/>
        </w:rPr>
        <w:t>1</w:t>
      </w:r>
      <w:r w:rsidRPr="0008537A">
        <w:rPr>
          <w:rFonts w:eastAsia="Times New Roman" w:cs="Arial"/>
          <w:color w:val="000000"/>
          <w:vertAlign w:val="subscript"/>
          <w:lang w:val="en-US"/>
        </w:rPr>
        <w:t>c</w:t>
      </w:r>
      <w:r w:rsidRPr="0008537A">
        <w:rPr>
          <w:rFonts w:eastAsia="Times New Roman" w:cs="Arial"/>
          <w:color w:val="000000"/>
          <w:lang w:eastAsia="bg-BG"/>
        </w:rPr>
        <w:t xml:space="preserve"> са подобни на изходните стойности в двете терапевтични групи, а различията по отношение на промяната в телесното тегло и случаите на хипогликемия се запазват.</w:t>
      </w:r>
    </w:p>
    <w:p w14:paraId="04556D1B" w14:textId="77777777" w:rsidR="0008537A" w:rsidRPr="0008537A" w:rsidRDefault="0008537A" w:rsidP="0008537A">
      <w:pPr>
        <w:spacing w:line="240" w:lineRule="auto"/>
        <w:rPr>
          <w:rFonts w:eastAsia="Times New Roman" w:cs="Arial"/>
          <w:color w:val="000000"/>
          <w:lang w:eastAsia="bg-BG"/>
        </w:rPr>
      </w:pPr>
    </w:p>
    <w:p w14:paraId="554D71BB" w14:textId="77777777" w:rsidR="0008537A" w:rsidRPr="0008537A" w:rsidRDefault="0008537A" w:rsidP="0008537A">
      <w:pPr>
        <w:rPr>
          <w:rFonts w:eastAsia="Times New Roman" w:cs="Arial"/>
          <w:lang w:eastAsia="bg-BG"/>
        </w:rPr>
      </w:pPr>
      <w:r w:rsidRPr="0008537A">
        <w:rPr>
          <w:rFonts w:eastAsia="Times New Roman" w:cs="Arial"/>
          <w:color w:val="000000"/>
          <w:lang w:eastAsia="bg-BG"/>
        </w:rPr>
        <w:t xml:space="preserve">В 52-седмично изпитване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е сравнен с гликлазид (средна дневна доза: 229,5 </w:t>
      </w:r>
      <w:r w:rsidRPr="0008537A">
        <w:rPr>
          <w:rFonts w:eastAsia="Times New Roman" w:cs="Arial"/>
          <w:color w:val="000000"/>
          <w:lang w:val="en-US"/>
        </w:rPr>
        <w:t xml:space="preserve">mg) </w:t>
      </w:r>
      <w:r w:rsidRPr="0008537A">
        <w:rPr>
          <w:rFonts w:eastAsia="Times New Roman" w:cs="Arial"/>
          <w:color w:val="000000"/>
          <w:lang w:eastAsia="bg-BG"/>
        </w:rPr>
        <w:t>след добавяне към терапията на пациенти, при които не е постигнат</w:t>
      </w:r>
      <w:r w:rsidRPr="0008537A">
        <w:rPr>
          <w:rFonts w:eastAsia="Times New Roman" w:cs="Arial"/>
          <w:color w:val="000000"/>
          <w:lang w:val="en-US" w:eastAsia="bg-BG"/>
        </w:rPr>
        <w:t xml:space="preserve"> </w:t>
      </w:r>
      <w:r w:rsidRPr="0008537A">
        <w:rPr>
          <w:rFonts w:eastAsia="Times New Roman" w:cs="Arial"/>
          <w:color w:val="000000"/>
          <w:lang w:eastAsia="bg-BG"/>
        </w:rPr>
        <w:t xml:space="preserve">контрол с метформин (изходна доза 1928 </w:t>
      </w:r>
      <w:r w:rsidRPr="0008537A">
        <w:rPr>
          <w:rFonts w:eastAsia="Times New Roman" w:cs="Arial"/>
          <w:color w:val="000000"/>
          <w:lang w:val="en-US"/>
        </w:rPr>
        <w:t>mg</w:t>
      </w:r>
      <w:r w:rsidRPr="0008537A">
        <w:rPr>
          <w:rFonts w:eastAsia="Times New Roman" w:cs="Arial"/>
          <w:color w:val="000000"/>
          <w:lang w:eastAsia="bg-BG"/>
        </w:rPr>
        <w:t xml:space="preserve">/ден). След 1 година средното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е -0,81 % при добавяне на вилдаглиптин към метформин (при среден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8,4%) и - 0,85% при добавяне на гликлазид към метформин (при среден изходен </w:t>
      </w:r>
      <w:proofErr w:type="spellStart"/>
      <w:r w:rsidRPr="0008537A">
        <w:rPr>
          <w:rFonts w:eastAsia="Times New Roman" w:cs="Arial"/>
          <w:color w:val="000000"/>
          <w:lang w:val="en-US"/>
        </w:rPr>
        <w:t>HbAic</w:t>
      </w:r>
      <w:proofErr w:type="spellEnd"/>
      <w:r w:rsidRPr="0008537A">
        <w:rPr>
          <w:rFonts w:eastAsia="Times New Roman" w:cs="Arial"/>
          <w:color w:val="000000"/>
          <w:lang w:val="en-US"/>
        </w:rPr>
        <w:t xml:space="preserve"> </w:t>
      </w:r>
      <w:r w:rsidRPr="0008537A">
        <w:rPr>
          <w:rFonts w:eastAsia="Times New Roman" w:cs="Arial"/>
          <w:color w:val="000000"/>
          <w:lang w:eastAsia="bg-BG"/>
        </w:rPr>
        <w:t xml:space="preserve">8,5%); показана е статистически значима не по-малка ефикасност (95% </w:t>
      </w:r>
      <w:r w:rsidRPr="0008537A">
        <w:rPr>
          <w:rFonts w:eastAsia="Times New Roman" w:cs="Arial"/>
          <w:color w:val="000000"/>
          <w:lang w:val="en-US"/>
        </w:rPr>
        <w:t xml:space="preserve">CI </w:t>
      </w:r>
      <w:r w:rsidRPr="0008537A">
        <w:rPr>
          <w:rFonts w:eastAsia="Times New Roman" w:cs="Arial"/>
          <w:color w:val="000000"/>
          <w:lang w:eastAsia="bg-BG"/>
        </w:rPr>
        <w:t xml:space="preserve">-0,11 - 0,20). Промяната в телесното тегло е +0,1 </w:t>
      </w:r>
      <w:r w:rsidRPr="0008537A">
        <w:rPr>
          <w:rFonts w:eastAsia="Times New Roman" w:cs="Arial"/>
          <w:color w:val="000000"/>
          <w:lang w:val="en-US"/>
        </w:rPr>
        <w:t xml:space="preserve">kg </w:t>
      </w:r>
      <w:r w:rsidRPr="0008537A">
        <w:rPr>
          <w:rFonts w:eastAsia="Times New Roman" w:cs="Arial"/>
          <w:color w:val="000000"/>
          <w:lang w:eastAsia="bg-BG"/>
        </w:rPr>
        <w:t xml:space="preserve">при вилдаглиптин спрямо +1,4 </w:t>
      </w:r>
      <w:r w:rsidRPr="0008537A">
        <w:rPr>
          <w:rFonts w:eastAsia="Times New Roman" w:cs="Arial"/>
          <w:color w:val="000000"/>
          <w:lang w:val="en-US"/>
        </w:rPr>
        <w:t xml:space="preserve">kg </w:t>
      </w:r>
      <w:r w:rsidRPr="0008537A">
        <w:rPr>
          <w:rFonts w:eastAsia="Times New Roman" w:cs="Arial"/>
          <w:color w:val="000000"/>
          <w:lang w:eastAsia="bg-BG"/>
        </w:rPr>
        <w:t>при гликлазид.</w:t>
      </w:r>
    </w:p>
    <w:p w14:paraId="74866A93" w14:textId="77777777" w:rsidR="0008537A" w:rsidRPr="0008537A" w:rsidRDefault="0008537A" w:rsidP="0008537A">
      <w:pPr>
        <w:spacing w:line="240" w:lineRule="auto"/>
        <w:rPr>
          <w:rFonts w:eastAsia="Times New Roman" w:cs="Arial"/>
          <w:color w:val="000000"/>
          <w:lang w:eastAsia="bg-BG"/>
        </w:rPr>
      </w:pPr>
    </w:p>
    <w:p w14:paraId="17110820" w14:textId="012145FB"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 едно 24-седмично клинично изпитване е оценена ефикасността на фиксираната дозова комбинация от вилдаглиптин и метформин (постепенно титрирана до доза </w:t>
      </w:r>
      <w:r w:rsidRPr="0008537A">
        <w:rPr>
          <w:rFonts w:eastAsia="Times New Roman" w:cs="Arial"/>
          <w:color w:val="000000"/>
          <w:lang w:val="en-US"/>
        </w:rPr>
        <w:t>o</w:t>
      </w:r>
      <w:r w:rsidRPr="0008537A">
        <w:rPr>
          <w:rFonts w:eastAsia="Times New Roman" w:cs="Arial"/>
          <w:color w:val="000000"/>
          <w:lang w:eastAsia="bg-BG"/>
        </w:rPr>
        <w:t xml:space="preserve">т </w:t>
      </w:r>
      <w:r w:rsidRPr="0008537A">
        <w:rPr>
          <w:rFonts w:eastAsia="Times New Roman" w:cs="Arial"/>
          <w:color w:val="000000"/>
          <w:lang w:val="en-US"/>
        </w:rPr>
        <w:t xml:space="preserve">50mg/500mg </w:t>
      </w:r>
      <w:r w:rsidRPr="0008537A">
        <w:rPr>
          <w:rFonts w:eastAsia="Times New Roman" w:cs="Arial"/>
          <w:color w:val="000000"/>
          <w:lang w:eastAsia="bg-BG"/>
        </w:rPr>
        <w:t xml:space="preserve">два пъти дневно или 50 </w:t>
      </w:r>
      <w:r w:rsidRPr="0008537A">
        <w:rPr>
          <w:rFonts w:eastAsia="Times New Roman" w:cs="Arial"/>
          <w:color w:val="000000"/>
          <w:lang w:val="en-US"/>
        </w:rPr>
        <w:t xml:space="preserve">mg/1000 mg </w:t>
      </w:r>
      <w:r w:rsidRPr="0008537A">
        <w:rPr>
          <w:rFonts w:eastAsia="Times New Roman" w:cs="Arial"/>
          <w:color w:val="000000"/>
          <w:lang w:eastAsia="bg-BG"/>
        </w:rPr>
        <w:t xml:space="preserve">два пъти дневно), приложена като първоначална </w:t>
      </w:r>
      <w:r w:rsidRPr="0008537A">
        <w:rPr>
          <w:rFonts w:eastAsia="Times New Roman" w:cs="Arial"/>
          <w:color w:val="000000"/>
          <w:lang w:eastAsia="bg-BG"/>
        </w:rPr>
        <w:lastRenderedPageBreak/>
        <w:t xml:space="preserve">терапия при пациенти, които не са приемали преди това други лекарства. Комбинацията вилдаглиптин/метформин 50 </w:t>
      </w:r>
      <w:r w:rsidRPr="0008537A">
        <w:rPr>
          <w:rFonts w:eastAsia="Times New Roman" w:cs="Arial"/>
          <w:color w:val="000000"/>
          <w:lang w:val="en-US"/>
        </w:rPr>
        <w:t xml:space="preserve">mg/1000 mg, </w:t>
      </w:r>
      <w:r w:rsidRPr="0008537A">
        <w:rPr>
          <w:rFonts w:eastAsia="Times New Roman" w:cs="Arial"/>
          <w:color w:val="000000"/>
          <w:lang w:eastAsia="bg-BG"/>
        </w:rPr>
        <w:t xml:space="preserve">приложена два пъти дневно, понижава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с - 1,82%, вилдаглиптин/метформин 50 </w:t>
      </w:r>
      <w:r w:rsidRPr="0008537A">
        <w:rPr>
          <w:rFonts w:eastAsia="Times New Roman" w:cs="Arial"/>
          <w:color w:val="000000"/>
          <w:lang w:val="en-US"/>
        </w:rPr>
        <w:t xml:space="preserve">mg/500 mg, </w:t>
      </w:r>
      <w:r w:rsidRPr="0008537A">
        <w:rPr>
          <w:rFonts w:eastAsia="Times New Roman" w:cs="Arial"/>
          <w:color w:val="000000"/>
          <w:lang w:eastAsia="bg-BG"/>
        </w:rPr>
        <w:t xml:space="preserve">приложена два пъти дневно, с -1,61%, метформин 1000 </w:t>
      </w:r>
      <w:r w:rsidRPr="0008537A">
        <w:rPr>
          <w:rFonts w:eastAsia="Times New Roman" w:cs="Arial"/>
          <w:color w:val="000000"/>
          <w:lang w:val="en-US"/>
        </w:rPr>
        <w:t xml:space="preserve">mg, </w:t>
      </w:r>
      <w:r w:rsidRPr="0008537A">
        <w:rPr>
          <w:rFonts w:eastAsia="Times New Roman" w:cs="Arial"/>
          <w:color w:val="000000"/>
          <w:lang w:eastAsia="bg-BG"/>
        </w:rPr>
        <w:t xml:space="preserve">приложен два пъти дневно, с -1,36% и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приложен два пъти дневно, с -1,09% при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8,6%. Понижението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наблюдавано при пациенти с изходен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≥10,0% е по-голямо.</w:t>
      </w:r>
    </w:p>
    <w:p w14:paraId="7643442A" w14:textId="77777777" w:rsidR="0008537A" w:rsidRPr="0008537A" w:rsidRDefault="0008537A" w:rsidP="0008537A">
      <w:pPr>
        <w:spacing w:line="240" w:lineRule="auto"/>
        <w:rPr>
          <w:rFonts w:eastAsia="Times New Roman" w:cs="Arial"/>
          <w:color w:val="000000"/>
          <w:lang w:eastAsia="bg-BG"/>
        </w:rPr>
      </w:pPr>
    </w:p>
    <w:p w14:paraId="03716A67" w14:textId="63B372AD"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24-седмично, рандомизирано, двойно-сляпо, плацебо-контролирано изпитване е проведено при 318 пациенти, за да оцени ефикасността и безопасността на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в комбинация с метформин (≥1500 </w:t>
      </w:r>
      <w:r w:rsidRPr="0008537A">
        <w:rPr>
          <w:rFonts w:eastAsia="Times New Roman" w:cs="Arial"/>
          <w:color w:val="000000"/>
          <w:lang w:val="en-US"/>
        </w:rPr>
        <w:t xml:space="preserve">mg </w:t>
      </w:r>
      <w:r w:rsidRPr="0008537A">
        <w:rPr>
          <w:rFonts w:eastAsia="Times New Roman" w:cs="Arial"/>
          <w:color w:val="000000"/>
          <w:lang w:eastAsia="bg-BG"/>
        </w:rPr>
        <w:t xml:space="preserve">дневно) и глимепирид (≥4 </w:t>
      </w:r>
      <w:r w:rsidRPr="0008537A">
        <w:rPr>
          <w:rFonts w:eastAsia="Times New Roman" w:cs="Arial"/>
          <w:color w:val="000000"/>
          <w:lang w:val="en-US"/>
        </w:rPr>
        <w:t xml:space="preserve">mg </w:t>
      </w:r>
      <w:r w:rsidRPr="0008537A">
        <w:rPr>
          <w:rFonts w:eastAsia="Times New Roman" w:cs="Arial"/>
          <w:color w:val="000000"/>
          <w:lang w:eastAsia="bg-BG"/>
        </w:rPr>
        <w:t>дневно).</w:t>
      </w:r>
    </w:p>
    <w:p w14:paraId="310B9C6E"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Вилдаглиптин в комбинация с метформин и глимепирид сигнификантно понижава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eastAsia="bg-BG"/>
        </w:rPr>
        <w:t xml:space="preserve"> спрямо плацебо. Коригираната спрямо плацебо разлика в средното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спрямо изходната стойност от 8,8% е -0,76%.</w:t>
      </w:r>
    </w:p>
    <w:p w14:paraId="0E5B42C9" w14:textId="77777777" w:rsidR="0008537A" w:rsidRPr="0008537A" w:rsidRDefault="0008537A" w:rsidP="0008537A">
      <w:pPr>
        <w:spacing w:line="240" w:lineRule="auto"/>
        <w:rPr>
          <w:rFonts w:eastAsia="Times New Roman" w:cs="Arial"/>
          <w:color w:val="000000"/>
          <w:lang w:eastAsia="bg-BG"/>
        </w:rPr>
      </w:pPr>
    </w:p>
    <w:p w14:paraId="257CE57B" w14:textId="0D9AFFFD"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Проведено е петгодишно, многоцентрово, рандомизирано, двойносляпо проучване при пациенти със захарен диабет тип 2, за да се оцени ефектът на ранно лечение с комбинацията вилдаглиптин и метформин </w:t>
      </w:r>
      <w:r w:rsidRPr="0008537A">
        <w:rPr>
          <w:rFonts w:eastAsia="Times New Roman" w:cs="Arial"/>
          <w:color w:val="000000"/>
          <w:lang w:val="en-US"/>
        </w:rPr>
        <w:t xml:space="preserve">(N=998) </w:t>
      </w:r>
      <w:r w:rsidRPr="0008537A">
        <w:rPr>
          <w:rFonts w:eastAsia="Times New Roman" w:cs="Arial"/>
          <w:color w:val="000000"/>
          <w:lang w:eastAsia="bg-BG"/>
        </w:rPr>
        <w:t xml:space="preserve">спрямо стандартна първоначална монотерапия с метформин, последвана от комбинация с вилдаглиптин (група на последователно лечение) </w:t>
      </w:r>
      <w:r w:rsidRPr="0008537A">
        <w:rPr>
          <w:rFonts w:eastAsia="Times New Roman" w:cs="Arial"/>
          <w:color w:val="000000"/>
          <w:lang w:val="en-US"/>
        </w:rPr>
        <w:t xml:space="preserve">(N=1003) </w:t>
      </w:r>
      <w:r w:rsidRPr="0008537A">
        <w:rPr>
          <w:rFonts w:eastAsia="Times New Roman" w:cs="Arial"/>
          <w:color w:val="000000"/>
          <w:lang w:eastAsia="bg-BG"/>
        </w:rPr>
        <w:t xml:space="preserve">при новодиагностицирани пациенти със захарен диабет тип 2. Схемата с комбинацията на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плюс метформин води до статистически и клинично значимо относително намаляване на риска “време до потвърден неуспех на първоначалното лечение“ (стойност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≥7%), спрямо монотерапия с метформин при нелекувани до момента пациенти със захарен диабет тип 2 през 5-годишната продължителност на проучването </w:t>
      </w:r>
      <w:r w:rsidRPr="0008537A">
        <w:rPr>
          <w:rFonts w:eastAsia="Times New Roman" w:cs="Arial"/>
          <w:color w:val="000000"/>
          <w:lang w:val="en-US"/>
        </w:rPr>
        <w:t xml:space="preserve">(HR </w:t>
      </w:r>
      <w:r w:rsidRPr="0008537A">
        <w:rPr>
          <w:rFonts w:eastAsia="Times New Roman" w:cs="Arial"/>
          <w:color w:val="000000"/>
          <w:lang w:eastAsia="bg-BG"/>
        </w:rPr>
        <w:t>[95%С</w:t>
      </w:r>
      <w:r w:rsidRPr="0008537A">
        <w:rPr>
          <w:rFonts w:eastAsia="Times New Roman" w:cs="Arial"/>
          <w:color w:val="000000"/>
          <w:lang w:val="en-US"/>
        </w:rPr>
        <w:t>I</w:t>
      </w:r>
      <w:r w:rsidRPr="0008537A">
        <w:rPr>
          <w:rFonts w:eastAsia="Times New Roman" w:cs="Arial"/>
          <w:color w:val="000000"/>
          <w:lang w:eastAsia="bg-BG"/>
        </w:rPr>
        <w:t xml:space="preserve">]: 0,51 [0,45, 0,58]; р&lt;0,001). Честотата на неуспех на първоначалното лечение (стойност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eastAsia="bg-BG"/>
        </w:rPr>
        <w:t>≥</w:t>
      </w:r>
      <w:r w:rsidRPr="0008537A">
        <w:rPr>
          <w:rFonts w:eastAsia="Times New Roman" w:cs="Arial"/>
          <w:color w:val="000000"/>
          <w:lang w:val="en-US"/>
        </w:rPr>
        <w:t xml:space="preserve">7%) </w:t>
      </w:r>
      <w:r w:rsidRPr="0008537A">
        <w:rPr>
          <w:rFonts w:eastAsia="Times New Roman" w:cs="Arial"/>
          <w:color w:val="000000"/>
          <w:lang w:eastAsia="bg-BG"/>
        </w:rPr>
        <w:t>е 429 (43,6%) пациенти в групата на лечение с комбинацията и 614 (62,1 %) пациенти в групата на последователно лечение.</w:t>
      </w:r>
    </w:p>
    <w:p w14:paraId="3BAD6E1B" w14:textId="77777777" w:rsidR="0008537A" w:rsidRPr="0008537A" w:rsidRDefault="0008537A" w:rsidP="0008537A">
      <w:pPr>
        <w:spacing w:line="240" w:lineRule="auto"/>
        <w:rPr>
          <w:rFonts w:eastAsia="Times New Roman" w:cs="Arial"/>
          <w:color w:val="000000"/>
          <w:lang w:eastAsia="bg-BG"/>
        </w:rPr>
      </w:pPr>
    </w:p>
    <w:p w14:paraId="437C5808" w14:textId="5E1DE37F"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24-седмично, рандомизирано, двойно-сляпо, плацебо-контролирано изпитване е проведено при 449 пациенти, за да оцени ефикасността и безопасността на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 xml:space="preserve">два пъти дневно) в комбинация с постоянна доза базален или смесен инсулин (средна дневна доза 41 единици), със съпътстващ прием на метформин </w:t>
      </w:r>
      <w:r w:rsidRPr="0008537A">
        <w:rPr>
          <w:rFonts w:eastAsia="Times New Roman" w:cs="Arial"/>
          <w:color w:val="000000"/>
          <w:lang w:val="en-US"/>
        </w:rPr>
        <w:t xml:space="preserve">(N=276) </w:t>
      </w:r>
      <w:r w:rsidRPr="0008537A">
        <w:rPr>
          <w:rFonts w:eastAsia="Times New Roman" w:cs="Arial"/>
          <w:color w:val="000000"/>
          <w:lang w:eastAsia="bg-BG"/>
        </w:rPr>
        <w:t xml:space="preserve">или без съпътстващ прием на метформин </w:t>
      </w:r>
      <w:r w:rsidRPr="0008537A">
        <w:rPr>
          <w:rFonts w:eastAsia="Times New Roman" w:cs="Arial"/>
          <w:color w:val="000000"/>
          <w:lang w:val="en-US"/>
        </w:rPr>
        <w:t xml:space="preserve">(N=173). </w:t>
      </w:r>
      <w:r w:rsidRPr="0008537A">
        <w:rPr>
          <w:rFonts w:eastAsia="Times New Roman" w:cs="Arial"/>
          <w:color w:val="000000"/>
          <w:lang w:eastAsia="bg-BG"/>
        </w:rPr>
        <w:t xml:space="preserve">Вилдаглиптин в комбинация с инсулин сигнификантно понижава </w:t>
      </w:r>
      <w:r w:rsidRPr="0008537A">
        <w:rPr>
          <w:rFonts w:eastAsia="Times New Roman" w:cs="Arial"/>
          <w:color w:val="000000"/>
          <w:lang w:val="en-US"/>
        </w:rPr>
        <w:t>HbA</w:t>
      </w:r>
      <w:r w:rsidRPr="0008537A">
        <w:rPr>
          <w:rFonts w:eastAsia="Times New Roman" w:cs="Arial"/>
          <w:color w:val="000000"/>
          <w:vertAlign w:val="subscript"/>
          <w:lang w:val="en-US"/>
        </w:rPr>
        <w:t xml:space="preserve">1c </w:t>
      </w:r>
      <w:r w:rsidRPr="0008537A">
        <w:rPr>
          <w:rFonts w:eastAsia="Times New Roman" w:cs="Arial"/>
          <w:color w:val="000000"/>
          <w:lang w:eastAsia="bg-BG"/>
        </w:rPr>
        <w:t xml:space="preserve">спрямо плацебо. В общата популация коригираната спрямо плацебо разлика в средното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при средна изходна стойност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eastAsia="bg-BG"/>
        </w:rPr>
        <w:t xml:space="preserve"> 8,8% е -0,72%. В подгрупите, лекувани с инсулин, със или без съпътстващ прием на метформин, коригираното спрямо плацебо средно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е съответно -0,63% и -0,84%. Честотата на хипогликемия в общата популация е 8,4% и 7,2%, съответно в групите на вилдаглиптин </w:t>
      </w:r>
      <w:r w:rsidRPr="0008537A">
        <w:rPr>
          <w:rFonts w:eastAsia="Times New Roman" w:cs="Arial"/>
          <w:i/>
          <w:iCs/>
          <w:color w:val="000000"/>
          <w:lang w:eastAsia="bg-BG"/>
        </w:rPr>
        <w:t>и</w:t>
      </w:r>
      <w:r w:rsidRPr="0008537A">
        <w:rPr>
          <w:rFonts w:eastAsia="Times New Roman" w:cs="Arial"/>
          <w:color w:val="000000"/>
          <w:lang w:eastAsia="bg-BG"/>
        </w:rPr>
        <w:t xml:space="preserve"> плацебо. При пациентите, приемащи вилдаглиптин, не се наблюдава повишаване на теглото (+0,2 </w:t>
      </w:r>
      <w:r w:rsidRPr="0008537A">
        <w:rPr>
          <w:rFonts w:eastAsia="Times New Roman" w:cs="Arial"/>
          <w:color w:val="000000"/>
          <w:lang w:val="en-US"/>
        </w:rPr>
        <w:t xml:space="preserve">kg), </w:t>
      </w:r>
      <w:r w:rsidRPr="0008537A">
        <w:rPr>
          <w:rFonts w:eastAsia="Times New Roman" w:cs="Arial"/>
          <w:color w:val="000000"/>
          <w:lang w:eastAsia="bg-BG"/>
        </w:rPr>
        <w:t xml:space="preserve">докато при приемащите плацебо се наблюдава понижение на теглото (-0,7 </w:t>
      </w:r>
      <w:r w:rsidRPr="0008537A">
        <w:rPr>
          <w:rFonts w:eastAsia="Times New Roman" w:cs="Arial"/>
          <w:color w:val="000000"/>
          <w:lang w:val="en-US"/>
        </w:rPr>
        <w:t>kg).</w:t>
      </w:r>
    </w:p>
    <w:p w14:paraId="268F00E0" w14:textId="0765DC07" w:rsidR="0008537A" w:rsidRPr="0008537A" w:rsidRDefault="0008537A" w:rsidP="0008537A">
      <w:pPr>
        <w:spacing w:line="240" w:lineRule="auto"/>
        <w:rPr>
          <w:rFonts w:eastAsia="Times New Roman" w:cs="Arial"/>
          <w:lang w:val="en-US" w:eastAsia="bg-BG"/>
        </w:rPr>
      </w:pPr>
    </w:p>
    <w:p w14:paraId="5F098D02"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 друго 24-седмично проучване при пациенти с по-напреднал захарен диабет тип 2. при които не е постигнат адекватен контрол с лечението с инсулин (кратко и бързодействащ, средна инсулинова доза от 80 </w:t>
      </w:r>
      <w:r w:rsidRPr="0008537A">
        <w:rPr>
          <w:rFonts w:eastAsia="Times New Roman" w:cs="Arial"/>
          <w:color w:val="000000"/>
          <w:lang w:val="en-US"/>
        </w:rPr>
        <w:t>IU</w:t>
      </w:r>
      <w:r w:rsidRPr="0008537A">
        <w:rPr>
          <w:rFonts w:eastAsia="Times New Roman" w:cs="Arial"/>
          <w:color w:val="000000"/>
          <w:lang w:eastAsia="bg-BG"/>
        </w:rPr>
        <w:t xml:space="preserve">/дневно), средното понижение на </w:t>
      </w:r>
      <w:r w:rsidRPr="0008537A">
        <w:rPr>
          <w:rFonts w:eastAsia="Times New Roman" w:cs="Arial"/>
          <w:color w:val="000000"/>
          <w:lang w:val="en-US"/>
        </w:rPr>
        <w:t>HbA</w:t>
      </w:r>
      <w:r w:rsidRPr="0008537A">
        <w:rPr>
          <w:rFonts w:eastAsia="Times New Roman" w:cs="Arial"/>
          <w:color w:val="000000"/>
          <w:vertAlign w:val="subscript"/>
          <w:lang w:val="en-US"/>
        </w:rPr>
        <w:t>1c</w:t>
      </w:r>
      <w:r w:rsidRPr="0008537A">
        <w:rPr>
          <w:rFonts w:eastAsia="Times New Roman" w:cs="Arial"/>
          <w:color w:val="000000"/>
          <w:lang w:val="en-US"/>
        </w:rPr>
        <w:t xml:space="preserve"> </w:t>
      </w:r>
      <w:r w:rsidRPr="0008537A">
        <w:rPr>
          <w:rFonts w:eastAsia="Times New Roman" w:cs="Arial"/>
          <w:color w:val="000000"/>
          <w:lang w:eastAsia="bg-BG"/>
        </w:rPr>
        <w:t xml:space="preserve">при добавяне на вилдаглиптин (50 </w:t>
      </w:r>
      <w:r w:rsidRPr="0008537A">
        <w:rPr>
          <w:rFonts w:eastAsia="Times New Roman" w:cs="Arial"/>
          <w:color w:val="000000"/>
          <w:lang w:val="en-US"/>
        </w:rPr>
        <w:t xml:space="preserve">mg </w:t>
      </w:r>
      <w:r w:rsidRPr="0008537A">
        <w:rPr>
          <w:rFonts w:eastAsia="Times New Roman" w:cs="Arial"/>
          <w:color w:val="000000"/>
          <w:lang w:eastAsia="bg-BG"/>
        </w:rPr>
        <w:t>два пъти дневно) към инсулина е статистически значимо по-голямо, отколкото при комбинацията плацебо плюс инсулин (0,5% спрямо 0,2%). Честотата на хипогликемия е по-ниска в групата на вилдаглиптин, отколкото в плацебо групата (22,9% спрямо 29,6%).</w:t>
      </w:r>
    </w:p>
    <w:p w14:paraId="7B428355" w14:textId="77777777" w:rsidR="0008537A" w:rsidRPr="0008537A" w:rsidRDefault="0008537A" w:rsidP="0008537A">
      <w:pPr>
        <w:spacing w:line="240" w:lineRule="auto"/>
        <w:rPr>
          <w:rFonts w:eastAsia="Times New Roman" w:cs="Arial"/>
          <w:i/>
          <w:iCs/>
          <w:color w:val="000000"/>
          <w:lang w:eastAsia="bg-BG"/>
        </w:rPr>
      </w:pPr>
    </w:p>
    <w:p w14:paraId="0C7377B2" w14:textId="395133F1"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lastRenderedPageBreak/>
        <w:t>Сърдечно-съдов риск</w:t>
      </w:r>
    </w:p>
    <w:p w14:paraId="44C3A5B4"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Мета-анализ на независимите и проспективно предварително определените сърдечно-съдови нежелани събития от проведени 37 клинични изпитвания, фаза III и IV за монотерапия и комбинирана терапия с продължителност над 2 години (средна експозиция 50 седмици за вилдаглиптин и 49 седмици за сравнителното средство), показва, че лечението с вилдаглиптин не е свързано с повишаване на сърдечно-съдовия риск спрямо сравнителните продукти. Съставната крайна точка на предварително определените сериозни сърдечно-съдови събития (МАСЕ), включващи остър инфаркт на миокарда, инсулт или сърдечно-съдова смърт, е подобна при вилдаглиптин спрямо комбинирани активни и плацебо сравнителни продукти [относителен риск по </w:t>
      </w:r>
      <w:r w:rsidRPr="0008537A">
        <w:rPr>
          <w:rFonts w:eastAsia="Times New Roman" w:cs="Arial"/>
          <w:color w:val="000000"/>
          <w:lang w:val="en-US"/>
        </w:rPr>
        <w:t xml:space="preserve">Mantel-Haenszel </w:t>
      </w:r>
      <w:r w:rsidRPr="0008537A">
        <w:rPr>
          <w:rFonts w:eastAsia="Times New Roman" w:cs="Arial"/>
          <w:color w:val="000000"/>
          <w:lang w:eastAsia="bg-BG"/>
        </w:rPr>
        <w:t xml:space="preserve">(М-Н </w:t>
      </w:r>
      <w:r w:rsidRPr="0008537A">
        <w:rPr>
          <w:rFonts w:eastAsia="Times New Roman" w:cs="Arial"/>
          <w:color w:val="000000"/>
          <w:lang w:val="en-US"/>
        </w:rPr>
        <w:t xml:space="preserve">RR) </w:t>
      </w:r>
      <w:r w:rsidRPr="0008537A">
        <w:rPr>
          <w:rFonts w:eastAsia="Times New Roman" w:cs="Arial"/>
          <w:color w:val="000000"/>
          <w:lang w:eastAsia="bg-BG"/>
        </w:rPr>
        <w:t xml:space="preserve">0.82 (95% </w:t>
      </w:r>
      <w:r w:rsidRPr="0008537A">
        <w:rPr>
          <w:rFonts w:eastAsia="Times New Roman" w:cs="Arial"/>
          <w:color w:val="000000"/>
          <w:lang w:val="en-US"/>
        </w:rPr>
        <w:t xml:space="preserve">CI </w:t>
      </w:r>
      <w:r w:rsidRPr="0008537A">
        <w:rPr>
          <w:rFonts w:eastAsia="Times New Roman" w:cs="Arial"/>
          <w:color w:val="000000"/>
          <w:lang w:eastAsia="bg-BG"/>
        </w:rPr>
        <w:t>0,61-1,11)]. Сериозно сърдечно-съдово събитие е възникнало при 83 от 9599 (0,86%) от пациентите лекувани с вилдаглиптин и при 85 от 7102 (1,02%) при пациентите, лекувани със сравнителния продукт. Оценка на всеки отделен МАСЕ компонент показва, че няма повишен риск (подобно М-Н</w:t>
      </w:r>
      <w:r w:rsidRPr="0008537A">
        <w:rPr>
          <w:rFonts w:eastAsia="Times New Roman" w:cs="Arial"/>
          <w:color w:val="000000"/>
          <w:lang w:val="en-US"/>
        </w:rPr>
        <w:t xml:space="preserve"> RR). </w:t>
      </w:r>
      <w:r w:rsidRPr="0008537A">
        <w:rPr>
          <w:rFonts w:eastAsia="Times New Roman" w:cs="Arial"/>
          <w:color w:val="000000"/>
          <w:lang w:eastAsia="bg-BG"/>
        </w:rPr>
        <w:t xml:space="preserve">Потвърдените случаи на сърдечна недостатъчност </w:t>
      </w:r>
      <w:r w:rsidRPr="0008537A">
        <w:rPr>
          <w:rFonts w:eastAsia="Times New Roman" w:cs="Arial"/>
          <w:color w:val="000000"/>
          <w:lang w:val="en-US"/>
        </w:rPr>
        <w:t xml:space="preserve">(HF), </w:t>
      </w:r>
      <w:r w:rsidRPr="0008537A">
        <w:rPr>
          <w:rFonts w:eastAsia="Times New Roman" w:cs="Arial"/>
          <w:color w:val="000000"/>
          <w:lang w:eastAsia="bg-BG"/>
        </w:rPr>
        <w:t xml:space="preserve">дефинирани като сърдечна недостатъчност, изискваща хоспитализация или нововъзникнала сърдечна недостатъчност са докладвани при 41 (0,43%) от пациентите, лекувани с вилдаглиптин и 32 (0,45%) от пациентите, лекувани със сравнителния продукт с М-Н </w:t>
      </w:r>
      <w:r w:rsidRPr="0008537A">
        <w:rPr>
          <w:rFonts w:eastAsia="Times New Roman" w:cs="Arial"/>
          <w:color w:val="000000"/>
          <w:lang w:val="en-US"/>
        </w:rPr>
        <w:t xml:space="preserve">RR </w:t>
      </w:r>
      <w:r w:rsidRPr="0008537A">
        <w:rPr>
          <w:rFonts w:eastAsia="Times New Roman" w:cs="Arial"/>
          <w:color w:val="000000"/>
          <w:lang w:eastAsia="bg-BG"/>
        </w:rPr>
        <w:t xml:space="preserve">1,08 (95% </w:t>
      </w:r>
      <w:r w:rsidRPr="0008537A">
        <w:rPr>
          <w:rFonts w:eastAsia="Times New Roman" w:cs="Arial"/>
          <w:color w:val="000000"/>
          <w:lang w:val="en-US"/>
        </w:rPr>
        <w:t xml:space="preserve">CI </w:t>
      </w:r>
      <w:r w:rsidRPr="0008537A">
        <w:rPr>
          <w:rFonts w:eastAsia="Times New Roman" w:cs="Arial"/>
          <w:color w:val="000000"/>
          <w:lang w:eastAsia="bg-BG"/>
        </w:rPr>
        <w:t>0,68-1,70).</w:t>
      </w:r>
    </w:p>
    <w:p w14:paraId="631CEA2C" w14:textId="77777777" w:rsidR="0008537A" w:rsidRPr="0008537A" w:rsidRDefault="0008537A" w:rsidP="0008537A">
      <w:pPr>
        <w:spacing w:line="240" w:lineRule="auto"/>
        <w:rPr>
          <w:rFonts w:eastAsia="Times New Roman" w:cs="Arial"/>
          <w:color w:val="000000"/>
          <w:u w:val="single"/>
          <w:lang w:eastAsia="bg-BG"/>
        </w:rPr>
      </w:pPr>
    </w:p>
    <w:p w14:paraId="20B8D384" w14:textId="41B54B77" w:rsidR="0008537A" w:rsidRPr="0008537A" w:rsidRDefault="0008537A" w:rsidP="0008537A">
      <w:pPr>
        <w:spacing w:line="240" w:lineRule="auto"/>
        <w:rPr>
          <w:rFonts w:eastAsia="Times New Roman" w:cs="Arial"/>
          <w:lang w:eastAsia="bg-BG"/>
        </w:rPr>
      </w:pPr>
      <w:r w:rsidRPr="0008537A">
        <w:rPr>
          <w:rFonts w:eastAsia="Times New Roman" w:cs="Arial"/>
          <w:color w:val="000000"/>
          <w:u w:val="single"/>
          <w:lang w:eastAsia="bg-BG"/>
        </w:rPr>
        <w:t>Педиатрична популация</w:t>
      </w:r>
    </w:p>
    <w:p w14:paraId="6D9742B8"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референтния лекарствен продукт, съдържащ вилдаглиптин в комбинация с метформин във всички подгрупи на педиатричната популация със захарен диабет тип 2 (вж. точка 4.2 за информация относно употреба в педиатрията).</w:t>
      </w:r>
    </w:p>
    <w:p w14:paraId="005A4E5D" w14:textId="77777777" w:rsidR="0008537A" w:rsidRPr="0008537A" w:rsidRDefault="0008537A" w:rsidP="0008537A"/>
    <w:p w14:paraId="173D7F1D" w14:textId="42907C8F" w:rsidR="00EE6C97" w:rsidRDefault="002C50EE" w:rsidP="00A93499">
      <w:pPr>
        <w:pStyle w:val="Heading2"/>
      </w:pPr>
      <w:r>
        <w:t>5.2. Фармакокинетични свойства</w:t>
      </w:r>
    </w:p>
    <w:p w14:paraId="3C076313" w14:textId="0270A3AD" w:rsidR="0008537A" w:rsidRDefault="0008537A" w:rsidP="0008537A"/>
    <w:p w14:paraId="68D0442C" w14:textId="77777777" w:rsidR="0008537A" w:rsidRPr="0008537A" w:rsidRDefault="0008537A" w:rsidP="0008537A">
      <w:pPr>
        <w:pStyle w:val="Heading3"/>
        <w:rPr>
          <w:rFonts w:eastAsia="Times New Roman"/>
          <w:u w:val="single"/>
          <w:lang w:eastAsia="bg-BG"/>
        </w:rPr>
      </w:pPr>
      <w:r w:rsidRPr="0008537A">
        <w:rPr>
          <w:rFonts w:eastAsia="Times New Roman"/>
          <w:u w:val="single"/>
          <w:lang w:eastAsia="bg-BG"/>
        </w:rPr>
        <w:t>Вилдаглиптин и метформин</w:t>
      </w:r>
    </w:p>
    <w:p w14:paraId="18D44CDD" w14:textId="230CA3A5"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Абсорбция</w:t>
      </w:r>
    </w:p>
    <w:p w14:paraId="23957DF3"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Доказана е биоеквивалентност на фиксираната комбинация на вилдаглиптин и метформинов хидрохлорид при три различни дозировки (50 </w:t>
      </w:r>
      <w:r w:rsidRPr="0008537A">
        <w:rPr>
          <w:rFonts w:eastAsia="Times New Roman" w:cs="Arial"/>
          <w:color w:val="000000"/>
          <w:lang w:val="en-US"/>
        </w:rPr>
        <w:t xml:space="preserve">mg/500 mg, </w:t>
      </w:r>
      <w:r w:rsidRPr="0008537A">
        <w:rPr>
          <w:rFonts w:eastAsia="Times New Roman" w:cs="Arial"/>
          <w:color w:val="000000"/>
          <w:lang w:eastAsia="bg-BG"/>
        </w:rPr>
        <w:t xml:space="preserve">50 </w:t>
      </w:r>
      <w:r w:rsidRPr="0008537A">
        <w:rPr>
          <w:rFonts w:eastAsia="Times New Roman" w:cs="Arial"/>
          <w:color w:val="000000"/>
          <w:lang w:val="en-US"/>
        </w:rPr>
        <w:t xml:space="preserve">mg/850 mg </w:t>
      </w:r>
      <w:r w:rsidRPr="0008537A">
        <w:rPr>
          <w:rFonts w:eastAsia="Times New Roman" w:cs="Arial"/>
          <w:color w:val="000000"/>
          <w:lang w:eastAsia="bg-BG"/>
        </w:rPr>
        <w:t xml:space="preserve">и </w:t>
      </w:r>
      <w:r w:rsidRPr="0008537A">
        <w:rPr>
          <w:rFonts w:eastAsia="Times New Roman" w:cs="Arial"/>
          <w:color w:val="000000"/>
          <w:lang w:val="en-US"/>
        </w:rPr>
        <w:t xml:space="preserve">50 mg/1000 mg) </w:t>
      </w:r>
      <w:r w:rsidRPr="0008537A">
        <w:rPr>
          <w:rFonts w:eastAsia="Times New Roman" w:cs="Arial"/>
          <w:color w:val="000000"/>
          <w:lang w:eastAsia="bg-BG"/>
        </w:rPr>
        <w:t>спрямо комбинация от отделни таблетки вилдаглиптин и метформинов хидрохлорид в съответстващите дози.</w:t>
      </w:r>
    </w:p>
    <w:p w14:paraId="21CA9CCF" w14:textId="77777777" w:rsidR="0008537A" w:rsidRPr="0008537A" w:rsidRDefault="0008537A" w:rsidP="0008537A">
      <w:pPr>
        <w:spacing w:line="240" w:lineRule="auto"/>
        <w:rPr>
          <w:rFonts w:eastAsia="Times New Roman" w:cs="Arial"/>
          <w:color w:val="000000"/>
          <w:lang w:eastAsia="bg-BG"/>
        </w:rPr>
      </w:pPr>
    </w:p>
    <w:p w14:paraId="390D8794" w14:textId="0092FB98"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Храната не повлиява степента и скоростта на абсорбция на вилдаглиптин от Вилспокс. Скоростта и степента на абсорбция на метформин от Вилспокс 50 </w:t>
      </w:r>
      <w:r w:rsidRPr="0008537A">
        <w:rPr>
          <w:rFonts w:eastAsia="Times New Roman" w:cs="Arial"/>
          <w:color w:val="000000"/>
          <w:lang w:val="en-US"/>
        </w:rPr>
        <w:t xml:space="preserve">mg/1000 mg </w:t>
      </w:r>
      <w:r w:rsidRPr="0008537A">
        <w:rPr>
          <w:rFonts w:eastAsia="Times New Roman" w:cs="Arial"/>
          <w:color w:val="000000"/>
          <w:lang w:eastAsia="bg-BG"/>
        </w:rPr>
        <w:t>са намалени, когато се прилага едновременно с храна, което се отразява в понижение на С</w:t>
      </w:r>
      <w:r w:rsidRPr="0008537A">
        <w:rPr>
          <w:rFonts w:eastAsia="Times New Roman" w:cs="Arial"/>
          <w:color w:val="000000"/>
          <w:vertAlign w:val="subscript"/>
          <w:lang w:val="en-US"/>
        </w:rPr>
        <w:t>max</w:t>
      </w:r>
      <w:r w:rsidRPr="0008537A">
        <w:rPr>
          <w:rFonts w:eastAsia="Times New Roman" w:cs="Arial"/>
          <w:color w:val="000000"/>
          <w:lang w:eastAsia="bg-BG"/>
        </w:rPr>
        <w:t xml:space="preserve"> с 26%, </w:t>
      </w:r>
      <w:r w:rsidRPr="0008537A">
        <w:rPr>
          <w:rFonts w:eastAsia="Times New Roman" w:cs="Arial"/>
          <w:color w:val="000000"/>
          <w:lang w:val="en-US"/>
        </w:rPr>
        <w:t xml:space="preserve">AUC </w:t>
      </w:r>
      <w:r w:rsidRPr="0008537A">
        <w:rPr>
          <w:rFonts w:eastAsia="Times New Roman" w:cs="Arial"/>
          <w:color w:val="000000"/>
          <w:lang w:eastAsia="bg-BG"/>
        </w:rPr>
        <w:t xml:space="preserve">със 7% и забавяне на достигането на </w:t>
      </w:r>
      <w:proofErr w:type="spellStart"/>
      <w:r w:rsidRPr="0008537A">
        <w:rPr>
          <w:rFonts w:eastAsia="Times New Roman" w:cs="Arial"/>
          <w:color w:val="000000"/>
          <w:lang w:val="en-US"/>
        </w:rPr>
        <w:t>t</w:t>
      </w:r>
      <w:r w:rsidRPr="0008537A">
        <w:rPr>
          <w:rFonts w:eastAsia="Times New Roman" w:cs="Arial"/>
          <w:color w:val="000000"/>
          <w:vertAlign w:val="subscript"/>
          <w:lang w:val="en-US"/>
        </w:rPr>
        <w:t>max</w:t>
      </w:r>
      <w:proofErr w:type="spellEnd"/>
      <w:r w:rsidRPr="0008537A">
        <w:rPr>
          <w:rFonts w:eastAsia="Times New Roman" w:cs="Arial"/>
          <w:color w:val="000000"/>
          <w:lang w:val="en-US"/>
        </w:rPr>
        <w:t xml:space="preserve"> </w:t>
      </w:r>
      <w:r w:rsidRPr="0008537A">
        <w:rPr>
          <w:rFonts w:eastAsia="Times New Roman" w:cs="Arial"/>
          <w:color w:val="000000"/>
          <w:lang w:eastAsia="bg-BG"/>
        </w:rPr>
        <w:t>(2,0 до 4,0 часа).</w:t>
      </w:r>
    </w:p>
    <w:p w14:paraId="2B7B91A6" w14:textId="77777777" w:rsidR="0008537A" w:rsidRPr="0008537A" w:rsidRDefault="0008537A" w:rsidP="0008537A">
      <w:pPr>
        <w:spacing w:line="240" w:lineRule="auto"/>
        <w:rPr>
          <w:rFonts w:eastAsia="Times New Roman" w:cs="Arial"/>
          <w:color w:val="000000"/>
          <w:lang w:eastAsia="bg-BG"/>
        </w:rPr>
      </w:pPr>
    </w:p>
    <w:p w14:paraId="57170A5D" w14:textId="53DEF576"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Последващото изложение отразява фармакокинетичните свойства на отделните активни вещества във Вилспокс.</w:t>
      </w:r>
    </w:p>
    <w:p w14:paraId="7BBB19F0" w14:textId="77777777" w:rsidR="0008537A" w:rsidRPr="0008537A" w:rsidRDefault="0008537A" w:rsidP="0008537A">
      <w:pPr>
        <w:spacing w:line="240" w:lineRule="auto"/>
        <w:rPr>
          <w:rFonts w:eastAsia="Times New Roman" w:cs="Arial"/>
          <w:color w:val="000000"/>
          <w:u w:val="single"/>
          <w:lang w:eastAsia="bg-BG"/>
        </w:rPr>
      </w:pPr>
    </w:p>
    <w:p w14:paraId="29F56435" w14:textId="74EE7994" w:rsidR="0008537A" w:rsidRPr="0008537A" w:rsidRDefault="0008537A" w:rsidP="0008537A">
      <w:pPr>
        <w:pStyle w:val="Heading3"/>
        <w:rPr>
          <w:rFonts w:eastAsia="Times New Roman"/>
          <w:u w:val="single"/>
          <w:lang w:eastAsia="bg-BG"/>
        </w:rPr>
      </w:pPr>
      <w:r w:rsidRPr="0008537A">
        <w:rPr>
          <w:rFonts w:eastAsia="Times New Roman"/>
          <w:u w:val="single"/>
          <w:lang w:eastAsia="bg-BG"/>
        </w:rPr>
        <w:t>Вилдаглиптин</w:t>
      </w:r>
    </w:p>
    <w:p w14:paraId="321B0F6C" w14:textId="7777777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Абсорбция</w:t>
      </w:r>
    </w:p>
    <w:p w14:paraId="532B7EFF"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След перорално приложение на гладно вилдаглиптин се абсорбира бързо с пикова плазмена концентрация наблюдавана на 1,7 час. Храната слабо забавя времето за достигане на пиковата плазмена концентрация до 2,5 часа, но не повлиява общата </w:t>
      </w:r>
      <w:r w:rsidRPr="0008537A">
        <w:rPr>
          <w:rFonts w:eastAsia="Times New Roman" w:cs="Arial"/>
          <w:color w:val="000000"/>
          <w:lang w:eastAsia="bg-BG"/>
        </w:rPr>
        <w:lastRenderedPageBreak/>
        <w:t xml:space="preserve">експозиция </w:t>
      </w:r>
      <w:r w:rsidRPr="0008537A">
        <w:rPr>
          <w:rFonts w:eastAsia="Times New Roman" w:cs="Arial"/>
          <w:color w:val="000000"/>
          <w:lang w:val="en-US"/>
        </w:rPr>
        <w:t xml:space="preserve">(AUC). </w:t>
      </w:r>
      <w:r w:rsidRPr="0008537A">
        <w:rPr>
          <w:rFonts w:eastAsia="Times New Roman" w:cs="Arial"/>
          <w:color w:val="000000"/>
          <w:lang w:eastAsia="bg-BG"/>
        </w:rPr>
        <w:t>Приложението на вилдаглиптин с храна води до понижаване на С</w:t>
      </w:r>
      <w:r w:rsidRPr="0008537A">
        <w:rPr>
          <w:rFonts w:eastAsia="Times New Roman" w:cs="Arial"/>
          <w:color w:val="000000"/>
          <w:vertAlign w:val="subscript"/>
          <w:lang w:val="en-US"/>
        </w:rPr>
        <w:t>max</w:t>
      </w:r>
      <w:r w:rsidRPr="0008537A">
        <w:rPr>
          <w:rFonts w:eastAsia="Times New Roman" w:cs="Arial"/>
          <w:color w:val="000000"/>
          <w:lang w:eastAsia="bg-BG"/>
        </w:rPr>
        <w:t xml:space="preserve"> (19%) спрямо приложение на гладно. Степента на промяна, обаче, не е клинично значима, така че вилдаглиптин може да се прилага с или без храна. Абсолютната бионаличност е 85%.</w:t>
      </w:r>
    </w:p>
    <w:p w14:paraId="0CEBA86F" w14:textId="77777777" w:rsidR="0008537A" w:rsidRPr="0008537A" w:rsidRDefault="0008537A" w:rsidP="0008537A">
      <w:pPr>
        <w:spacing w:line="240" w:lineRule="auto"/>
        <w:rPr>
          <w:rFonts w:eastAsia="Times New Roman" w:cs="Arial"/>
          <w:i/>
          <w:iCs/>
          <w:color w:val="000000"/>
          <w:lang w:eastAsia="bg-BG"/>
        </w:rPr>
      </w:pPr>
    </w:p>
    <w:p w14:paraId="46B3D188" w14:textId="4EB83C3C"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Разпределение</w:t>
      </w:r>
    </w:p>
    <w:p w14:paraId="7B7A2086"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Свързването на вилдаглиптин с плазмените протеини е слабо (9,3%) и вилдаглиптин се разпределя поравно между плазмата и червените кръвни клетки. Средният обем на разпределение на вилдаглиптин в стационарно състояние след интравенозно приложение </w:t>
      </w:r>
      <w:r w:rsidRPr="0008537A">
        <w:rPr>
          <w:rFonts w:eastAsia="Times New Roman" w:cs="Arial"/>
          <w:color w:val="000000"/>
          <w:lang w:val="en-US"/>
        </w:rPr>
        <w:t>(</w:t>
      </w:r>
      <w:proofErr w:type="spellStart"/>
      <w:r w:rsidRPr="0008537A">
        <w:rPr>
          <w:rFonts w:eastAsia="Times New Roman" w:cs="Arial"/>
          <w:color w:val="000000"/>
          <w:lang w:val="en-US"/>
        </w:rPr>
        <w:t>V</w:t>
      </w:r>
      <w:r w:rsidRPr="0008537A">
        <w:rPr>
          <w:rFonts w:eastAsia="Times New Roman" w:cs="Arial"/>
          <w:color w:val="000000"/>
          <w:vertAlign w:val="subscript"/>
          <w:lang w:val="en-US"/>
        </w:rPr>
        <w:t>ss</w:t>
      </w:r>
      <w:proofErr w:type="spellEnd"/>
      <w:r w:rsidRPr="0008537A">
        <w:rPr>
          <w:rFonts w:eastAsia="Times New Roman" w:cs="Arial"/>
          <w:color w:val="000000"/>
          <w:lang w:val="en-US"/>
        </w:rPr>
        <w:t xml:space="preserve">) </w:t>
      </w:r>
      <w:r w:rsidRPr="0008537A">
        <w:rPr>
          <w:rFonts w:eastAsia="Times New Roman" w:cs="Arial"/>
          <w:color w:val="000000"/>
          <w:lang w:eastAsia="bg-BG"/>
        </w:rPr>
        <w:t>е 71 литра, което предполага екстраваскуларно разпределение.</w:t>
      </w:r>
    </w:p>
    <w:p w14:paraId="49DED7DB" w14:textId="77777777" w:rsidR="0008537A" w:rsidRPr="0008537A" w:rsidRDefault="0008537A" w:rsidP="0008537A">
      <w:pPr>
        <w:spacing w:line="240" w:lineRule="auto"/>
        <w:rPr>
          <w:rFonts w:eastAsia="Times New Roman" w:cs="Arial"/>
          <w:i/>
          <w:iCs/>
          <w:color w:val="000000"/>
          <w:lang w:eastAsia="bg-BG"/>
        </w:rPr>
      </w:pPr>
    </w:p>
    <w:p w14:paraId="173EB7E2" w14:textId="47A96D9C"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Биотрансформация</w:t>
      </w:r>
    </w:p>
    <w:p w14:paraId="5C210EAD"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Метаболизмът е основният път на елиминиране на вилдаглиптин при хора, което се отнася за 69% от дозата. Основният метаболит </w:t>
      </w:r>
      <w:r w:rsidRPr="0008537A">
        <w:rPr>
          <w:rFonts w:eastAsia="Times New Roman" w:cs="Arial"/>
          <w:color w:val="000000"/>
          <w:lang w:val="en-US"/>
        </w:rPr>
        <w:t xml:space="preserve">(LAY </w:t>
      </w:r>
      <w:r w:rsidRPr="0008537A">
        <w:rPr>
          <w:rFonts w:eastAsia="Times New Roman" w:cs="Arial"/>
          <w:color w:val="000000"/>
          <w:lang w:eastAsia="bg-BG"/>
        </w:rPr>
        <w:t xml:space="preserve">151) е фармакологично неактивен и е продукт на хидролизата на циано групата, съставлява 57% от дозата, последван от продукт на амидна хидролиза (4% от дозата). </w:t>
      </w:r>
      <w:r w:rsidRPr="0008537A">
        <w:rPr>
          <w:rFonts w:eastAsia="Times New Roman" w:cs="Arial"/>
          <w:color w:val="000000"/>
          <w:lang w:val="en-US"/>
        </w:rPr>
        <w:t xml:space="preserve">DPP-4 </w:t>
      </w:r>
      <w:r w:rsidRPr="0008537A">
        <w:rPr>
          <w:rFonts w:eastAsia="Times New Roman" w:cs="Arial"/>
          <w:color w:val="000000"/>
          <w:lang w:eastAsia="bg-BG"/>
        </w:rPr>
        <w:t xml:space="preserve">допринася частично за хидролизата на вилдаглиптин, което се основава на </w:t>
      </w:r>
      <w:r w:rsidRPr="0008537A">
        <w:rPr>
          <w:rFonts w:eastAsia="Times New Roman" w:cs="Arial"/>
          <w:i/>
          <w:iCs/>
          <w:color w:val="000000"/>
          <w:lang w:val="en-US"/>
        </w:rPr>
        <w:t>in vivo</w:t>
      </w:r>
      <w:r w:rsidRPr="0008537A">
        <w:rPr>
          <w:rFonts w:eastAsia="Times New Roman" w:cs="Arial"/>
          <w:color w:val="000000"/>
          <w:lang w:val="en-US"/>
        </w:rPr>
        <w:t xml:space="preserve"> </w:t>
      </w:r>
      <w:r w:rsidRPr="0008537A">
        <w:rPr>
          <w:rFonts w:eastAsia="Times New Roman" w:cs="Arial"/>
          <w:color w:val="000000"/>
          <w:lang w:eastAsia="bg-BG"/>
        </w:rPr>
        <w:t xml:space="preserve">проучване, в което са използвани плъхове с дефицит на </w:t>
      </w:r>
      <w:r w:rsidRPr="0008537A">
        <w:rPr>
          <w:rFonts w:eastAsia="Times New Roman" w:cs="Arial"/>
          <w:color w:val="000000"/>
          <w:lang w:val="en-US"/>
        </w:rPr>
        <w:t>DPP-4.</w:t>
      </w:r>
    </w:p>
    <w:p w14:paraId="7B3CD7D0"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Вилдаглиптин не се метаболизира от </w:t>
      </w:r>
      <w:r w:rsidRPr="0008537A">
        <w:rPr>
          <w:rFonts w:eastAsia="Times New Roman" w:cs="Arial"/>
          <w:color w:val="000000"/>
          <w:lang w:val="en-US"/>
        </w:rPr>
        <w:t xml:space="preserve">CYP </w:t>
      </w:r>
      <w:r w:rsidRPr="0008537A">
        <w:rPr>
          <w:rFonts w:eastAsia="Times New Roman" w:cs="Arial"/>
          <w:color w:val="000000"/>
          <w:lang w:eastAsia="bg-BG"/>
        </w:rPr>
        <w:t xml:space="preserve">450 ензимите до степен, която може да бъде определена, Следователно, не се очаква метаболитният клирънс на вилдаглиптин да се повлияе от едновременното приложение с </w:t>
      </w:r>
      <w:r w:rsidRPr="0008537A">
        <w:rPr>
          <w:rFonts w:eastAsia="Times New Roman" w:cs="Arial"/>
          <w:color w:val="000000"/>
          <w:lang w:val="en-US"/>
        </w:rPr>
        <w:t xml:space="preserve">CYP </w:t>
      </w:r>
      <w:r w:rsidRPr="0008537A">
        <w:rPr>
          <w:rFonts w:eastAsia="Times New Roman" w:cs="Arial"/>
          <w:color w:val="000000"/>
          <w:lang w:eastAsia="bg-BG"/>
        </w:rPr>
        <w:t xml:space="preserve">450 инхибитори и/или индуктори. </w:t>
      </w:r>
      <w:r w:rsidRPr="0008537A">
        <w:rPr>
          <w:rFonts w:eastAsia="Times New Roman" w:cs="Arial"/>
          <w:i/>
          <w:iCs/>
          <w:color w:val="000000"/>
          <w:lang w:val="en-US"/>
        </w:rPr>
        <w:t>In vitro</w:t>
      </w:r>
      <w:r w:rsidRPr="0008537A">
        <w:rPr>
          <w:rFonts w:eastAsia="Times New Roman" w:cs="Arial"/>
          <w:color w:val="000000"/>
          <w:lang w:val="en-US"/>
        </w:rPr>
        <w:t xml:space="preserve"> </w:t>
      </w:r>
      <w:r w:rsidRPr="0008537A">
        <w:rPr>
          <w:rFonts w:eastAsia="Times New Roman" w:cs="Arial"/>
          <w:color w:val="000000"/>
          <w:lang w:eastAsia="bg-BG"/>
        </w:rPr>
        <w:t xml:space="preserve">проучванията показват, че вилдаглиптин не инхибира/индуцира ензимите </w:t>
      </w:r>
      <w:r w:rsidRPr="0008537A">
        <w:rPr>
          <w:rFonts w:eastAsia="Times New Roman" w:cs="Arial"/>
          <w:color w:val="000000"/>
          <w:lang w:val="en-US"/>
        </w:rPr>
        <w:t xml:space="preserve">CYP </w:t>
      </w:r>
      <w:r w:rsidRPr="0008537A">
        <w:rPr>
          <w:rFonts w:eastAsia="Times New Roman" w:cs="Arial"/>
          <w:color w:val="000000"/>
          <w:lang w:eastAsia="bg-BG"/>
        </w:rPr>
        <w:t xml:space="preserve">450. Следователно, няма вероятност вилдаглиптин да повлиява метаболитния клирънс на едновременно прилаганите лекарства, метаболизирани от </w:t>
      </w:r>
      <w:r w:rsidRPr="0008537A">
        <w:rPr>
          <w:rFonts w:eastAsia="Times New Roman" w:cs="Arial"/>
          <w:color w:val="000000"/>
          <w:lang w:val="en-US"/>
        </w:rPr>
        <w:t xml:space="preserve">CYP </w:t>
      </w:r>
      <w:r w:rsidRPr="0008537A">
        <w:rPr>
          <w:rFonts w:eastAsia="Times New Roman" w:cs="Arial"/>
          <w:color w:val="000000"/>
          <w:lang w:eastAsia="bg-BG"/>
        </w:rPr>
        <w:t xml:space="preserve">1А2, </w:t>
      </w:r>
      <w:r w:rsidRPr="0008537A">
        <w:rPr>
          <w:rFonts w:eastAsia="Times New Roman" w:cs="Arial"/>
          <w:color w:val="000000"/>
          <w:lang w:val="en-US"/>
        </w:rPr>
        <w:t xml:space="preserve">CYP </w:t>
      </w:r>
      <w:r w:rsidRPr="0008537A">
        <w:rPr>
          <w:rFonts w:eastAsia="Times New Roman" w:cs="Arial"/>
          <w:color w:val="000000"/>
          <w:lang w:eastAsia="bg-BG"/>
        </w:rPr>
        <w:t xml:space="preserve">2С8, </w:t>
      </w:r>
      <w:r w:rsidRPr="0008537A">
        <w:rPr>
          <w:rFonts w:eastAsia="Times New Roman" w:cs="Arial"/>
          <w:color w:val="000000"/>
          <w:lang w:val="en-US"/>
        </w:rPr>
        <w:t xml:space="preserve">CYP </w:t>
      </w:r>
      <w:r w:rsidRPr="0008537A">
        <w:rPr>
          <w:rFonts w:eastAsia="Times New Roman" w:cs="Arial"/>
          <w:color w:val="000000"/>
          <w:lang w:eastAsia="bg-BG"/>
        </w:rPr>
        <w:t xml:space="preserve">2С9, </w:t>
      </w:r>
      <w:r w:rsidRPr="0008537A">
        <w:rPr>
          <w:rFonts w:eastAsia="Times New Roman" w:cs="Arial"/>
          <w:color w:val="000000"/>
          <w:lang w:val="en-US"/>
        </w:rPr>
        <w:t xml:space="preserve">CYP </w:t>
      </w:r>
      <w:r w:rsidRPr="0008537A">
        <w:rPr>
          <w:rFonts w:eastAsia="Times New Roman" w:cs="Arial"/>
          <w:color w:val="000000"/>
          <w:lang w:eastAsia="bg-BG"/>
        </w:rPr>
        <w:t xml:space="preserve">2С19, </w:t>
      </w:r>
      <w:r w:rsidRPr="0008537A">
        <w:rPr>
          <w:rFonts w:eastAsia="Times New Roman" w:cs="Arial"/>
          <w:color w:val="000000"/>
          <w:lang w:val="en-US"/>
        </w:rPr>
        <w:t xml:space="preserve">CYP 2D6, CYP </w:t>
      </w:r>
      <w:r w:rsidRPr="0008537A">
        <w:rPr>
          <w:rFonts w:eastAsia="Times New Roman" w:cs="Arial"/>
          <w:color w:val="000000"/>
          <w:lang w:eastAsia="bg-BG"/>
        </w:rPr>
        <w:t xml:space="preserve">2Е1 или </w:t>
      </w:r>
      <w:r w:rsidRPr="0008537A">
        <w:rPr>
          <w:rFonts w:eastAsia="Times New Roman" w:cs="Arial"/>
          <w:color w:val="000000"/>
          <w:lang w:val="en-US"/>
        </w:rPr>
        <w:t xml:space="preserve">CYP </w:t>
      </w:r>
      <w:r w:rsidRPr="0008537A">
        <w:rPr>
          <w:rFonts w:eastAsia="Times New Roman" w:cs="Arial"/>
          <w:color w:val="000000"/>
          <w:lang w:eastAsia="bg-BG"/>
        </w:rPr>
        <w:t>ЗА4/5.</w:t>
      </w:r>
    </w:p>
    <w:p w14:paraId="31A15364" w14:textId="77777777" w:rsidR="0008537A" w:rsidRPr="0008537A" w:rsidRDefault="0008537A" w:rsidP="0008537A">
      <w:pPr>
        <w:spacing w:line="240" w:lineRule="auto"/>
        <w:rPr>
          <w:rFonts w:eastAsia="Times New Roman" w:cs="Arial"/>
          <w:i/>
          <w:iCs/>
          <w:color w:val="000000"/>
          <w:lang w:eastAsia="bg-BG"/>
        </w:rPr>
      </w:pPr>
    </w:p>
    <w:p w14:paraId="68304603" w14:textId="050BD2C4"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Елиминиране</w:t>
      </w:r>
    </w:p>
    <w:p w14:paraId="1EFAE03F" w14:textId="7777777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След</w:t>
      </w:r>
      <w:r w:rsidRPr="0008537A">
        <w:rPr>
          <w:rFonts w:eastAsia="Times New Roman" w:cs="Arial"/>
          <w:color w:val="000000"/>
          <w:lang w:eastAsia="bg-BG"/>
        </w:rPr>
        <w:t xml:space="preserve"> перорално приложение на [</w:t>
      </w:r>
      <w:r w:rsidRPr="0008537A">
        <w:rPr>
          <w:rFonts w:eastAsia="Times New Roman" w:cs="Arial"/>
          <w:color w:val="000000"/>
          <w:vertAlign w:val="superscript"/>
          <w:lang w:eastAsia="bg-BG"/>
        </w:rPr>
        <w:t>14</w:t>
      </w:r>
      <w:r w:rsidRPr="0008537A">
        <w:rPr>
          <w:rFonts w:eastAsia="Times New Roman" w:cs="Arial"/>
          <w:color w:val="000000"/>
          <w:lang w:eastAsia="bg-BG"/>
        </w:rPr>
        <w:t>С] вилдаглиптин, приблизително 85% от дозата се екскретира в урината и 15% от дозата се открива във фецеса. Бъбречната екскреция на непроменен вилдаглиптин съставлява 23% от дозата след перорално приложение. След интравенозно приложение на здрави индивиди, общият плазмен и бъбречен клирънс на вилдаглиптин е, съответно 41 и 13 1/час. Средният елиминационен полуживот след интравенозно приложение е приблизително 2 часа. Елиминационният полуживот след перорално приложение е приблизително 3 часа.</w:t>
      </w:r>
    </w:p>
    <w:p w14:paraId="10A97D0D" w14:textId="77777777" w:rsidR="0008537A" w:rsidRPr="0008537A" w:rsidRDefault="0008537A" w:rsidP="0008537A">
      <w:pPr>
        <w:spacing w:line="240" w:lineRule="auto"/>
        <w:rPr>
          <w:rFonts w:eastAsia="Times New Roman" w:cs="Arial"/>
          <w:i/>
          <w:iCs/>
          <w:color w:val="000000"/>
          <w:lang w:eastAsia="bg-BG"/>
        </w:rPr>
      </w:pPr>
    </w:p>
    <w:p w14:paraId="19798DBB" w14:textId="1508E0EC"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Линейност/нелинейност</w:t>
      </w:r>
    </w:p>
    <w:p w14:paraId="673F054A"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С</w:t>
      </w:r>
      <w:r w:rsidRPr="0008537A">
        <w:rPr>
          <w:rFonts w:eastAsia="Times New Roman" w:cs="Arial"/>
          <w:color w:val="000000"/>
          <w:vertAlign w:val="subscript"/>
          <w:lang w:val="en-US"/>
        </w:rPr>
        <w:t>max</w:t>
      </w:r>
      <w:r w:rsidRPr="0008537A">
        <w:rPr>
          <w:rFonts w:eastAsia="Times New Roman" w:cs="Arial"/>
          <w:color w:val="000000"/>
          <w:lang w:eastAsia="bg-BG"/>
        </w:rPr>
        <w:t xml:space="preserve"> на вилдаглиптин и площта под кривата плазмена концентрация спрямо време </w:t>
      </w:r>
      <w:r w:rsidRPr="0008537A">
        <w:rPr>
          <w:rFonts w:eastAsia="Times New Roman" w:cs="Arial"/>
          <w:color w:val="000000"/>
          <w:lang w:val="en-US"/>
        </w:rPr>
        <w:t xml:space="preserve">(AUC) </w:t>
      </w:r>
      <w:r w:rsidRPr="0008537A">
        <w:rPr>
          <w:rFonts w:eastAsia="Times New Roman" w:cs="Arial"/>
          <w:color w:val="000000"/>
          <w:lang w:eastAsia="bg-BG"/>
        </w:rPr>
        <w:t>се повишават по приблизително доза-пропорционален начин в рамките на терапевтичния дозов интервал.</w:t>
      </w:r>
    </w:p>
    <w:p w14:paraId="1832A900" w14:textId="77777777" w:rsidR="0008537A" w:rsidRPr="0008537A" w:rsidRDefault="0008537A" w:rsidP="0008537A">
      <w:pPr>
        <w:spacing w:line="240" w:lineRule="auto"/>
        <w:rPr>
          <w:rFonts w:eastAsia="Times New Roman" w:cs="Arial"/>
          <w:i/>
          <w:iCs/>
          <w:color w:val="000000"/>
          <w:lang w:eastAsia="bg-BG"/>
        </w:rPr>
      </w:pPr>
    </w:p>
    <w:p w14:paraId="77BAD739" w14:textId="512F21DB"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Характеристики при пациентите</w:t>
      </w:r>
    </w:p>
    <w:p w14:paraId="55DFA2C3"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Пол: Не се наблюдават клинично значими разлики във фармакокинетиката на вилдаглиптин при здрави мъже и жени в широк диапазон на възраст и индекс на телесна маса (ИТМ). Инхибирането на </w:t>
      </w:r>
      <w:r w:rsidRPr="0008537A">
        <w:rPr>
          <w:rFonts w:eastAsia="Times New Roman" w:cs="Arial"/>
          <w:color w:val="000000"/>
          <w:lang w:val="en-US"/>
        </w:rPr>
        <w:t xml:space="preserve">DPP-4 </w:t>
      </w:r>
      <w:r w:rsidRPr="0008537A">
        <w:rPr>
          <w:rFonts w:eastAsia="Times New Roman" w:cs="Arial"/>
          <w:color w:val="000000"/>
          <w:lang w:eastAsia="bg-BG"/>
        </w:rPr>
        <w:t>от вилдаглиптин не се повлиява от пола.</w:t>
      </w:r>
    </w:p>
    <w:p w14:paraId="503B6216" w14:textId="77777777" w:rsidR="0008537A" w:rsidRPr="0008537A" w:rsidRDefault="0008537A" w:rsidP="0008537A">
      <w:pPr>
        <w:rPr>
          <w:rFonts w:eastAsia="Times New Roman" w:cs="Arial"/>
          <w:color w:val="000000"/>
          <w:lang w:eastAsia="bg-BG"/>
        </w:rPr>
      </w:pPr>
    </w:p>
    <w:p w14:paraId="5A48B527" w14:textId="77777777" w:rsidR="0008537A" w:rsidRPr="0008537A" w:rsidRDefault="0008537A" w:rsidP="0008537A">
      <w:pPr>
        <w:rPr>
          <w:rFonts w:eastAsia="Times New Roman" w:cs="Arial"/>
          <w:lang w:eastAsia="bg-BG"/>
        </w:rPr>
      </w:pPr>
      <w:r w:rsidRPr="0008537A">
        <w:rPr>
          <w:rFonts w:eastAsia="Times New Roman" w:cs="Arial"/>
          <w:color w:val="000000"/>
          <w:lang w:eastAsia="bg-BG"/>
        </w:rPr>
        <w:t xml:space="preserve">Възраст: При здрави индивиди в старческа възраст (≥70 години), общата експозиция на вилдаглиптин (100 </w:t>
      </w:r>
      <w:r w:rsidRPr="0008537A">
        <w:rPr>
          <w:rFonts w:eastAsia="Times New Roman" w:cs="Arial"/>
          <w:color w:val="000000"/>
          <w:lang w:val="en-US"/>
        </w:rPr>
        <w:t xml:space="preserve">mg </w:t>
      </w:r>
      <w:r w:rsidRPr="0008537A">
        <w:rPr>
          <w:rFonts w:eastAsia="Times New Roman" w:cs="Arial"/>
          <w:color w:val="000000"/>
          <w:lang w:eastAsia="bg-BG"/>
        </w:rPr>
        <w:t>веднъж дневно) се увеличава с 32%, с 18% повишаване на пиковата плазмена концентрация в сравнение със здрави млади индивиди (18-40 години). Счита се,</w:t>
      </w:r>
      <w:r w:rsidRPr="0008537A">
        <w:rPr>
          <w:rFonts w:eastAsia="Times New Roman" w:cs="Arial"/>
          <w:color w:val="000000"/>
          <w:lang w:val="en-US" w:eastAsia="bg-BG"/>
        </w:rPr>
        <w:t xml:space="preserve"> </w:t>
      </w:r>
      <w:r w:rsidRPr="0008537A">
        <w:rPr>
          <w:rFonts w:eastAsia="Times New Roman" w:cs="Arial"/>
          <w:color w:val="000000"/>
          <w:lang w:eastAsia="bg-BG"/>
        </w:rPr>
        <w:t xml:space="preserve">обаче, че тези промени не са клинично значими. Инхибирането на </w:t>
      </w:r>
      <w:r w:rsidRPr="0008537A">
        <w:rPr>
          <w:rFonts w:eastAsia="Times New Roman" w:cs="Arial"/>
          <w:color w:val="000000"/>
          <w:lang w:val="en-US"/>
        </w:rPr>
        <w:t xml:space="preserve">DPP-4 </w:t>
      </w:r>
      <w:r w:rsidRPr="0008537A">
        <w:rPr>
          <w:rFonts w:eastAsia="Times New Roman" w:cs="Arial"/>
          <w:color w:val="000000"/>
          <w:lang w:eastAsia="bg-BG"/>
        </w:rPr>
        <w:t>от вилдаглиптин не се повлиява от възрастта.</w:t>
      </w:r>
    </w:p>
    <w:p w14:paraId="5FEA407D" w14:textId="77777777" w:rsidR="0008537A" w:rsidRPr="0008537A" w:rsidRDefault="0008537A" w:rsidP="0008537A">
      <w:pPr>
        <w:spacing w:line="240" w:lineRule="auto"/>
        <w:rPr>
          <w:rFonts w:eastAsia="Times New Roman" w:cs="Arial"/>
          <w:color w:val="000000"/>
          <w:lang w:eastAsia="bg-BG"/>
        </w:rPr>
      </w:pPr>
    </w:p>
    <w:p w14:paraId="325A8A50" w14:textId="417FD3B9"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Чернодробно увреждане: При пациенти с леко, умерено или тежко чернодробно увреждане (клас А-С по </w:t>
      </w:r>
      <w:r w:rsidRPr="0008537A">
        <w:rPr>
          <w:rFonts w:eastAsia="Times New Roman" w:cs="Arial"/>
          <w:color w:val="000000"/>
          <w:lang w:val="en-US"/>
        </w:rPr>
        <w:t xml:space="preserve">Child-Pugh) </w:t>
      </w:r>
      <w:r w:rsidRPr="0008537A">
        <w:rPr>
          <w:rFonts w:eastAsia="Times New Roman" w:cs="Arial"/>
          <w:color w:val="000000"/>
          <w:lang w:eastAsia="bg-BG"/>
        </w:rPr>
        <w:t>няма клинично значими промени (максимум -30%) при експозицията на вилдаглиптин.</w:t>
      </w:r>
    </w:p>
    <w:p w14:paraId="28328EE5" w14:textId="77777777" w:rsidR="0008537A" w:rsidRPr="0008537A" w:rsidRDefault="0008537A" w:rsidP="0008537A">
      <w:pPr>
        <w:spacing w:line="240" w:lineRule="auto"/>
        <w:rPr>
          <w:rFonts w:eastAsia="Times New Roman" w:cs="Arial"/>
          <w:color w:val="000000"/>
          <w:lang w:eastAsia="bg-BG"/>
        </w:rPr>
      </w:pPr>
    </w:p>
    <w:p w14:paraId="5678DD2D" w14:textId="38B8E4E9"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Бъбречно увреждане: При индивиди с леко, умерено или тежко бъбречно увреждане системната експозиция на вилдаглиптин се увеличава (С</w:t>
      </w:r>
      <w:r w:rsidRPr="0008537A">
        <w:rPr>
          <w:rFonts w:eastAsia="Times New Roman" w:cs="Arial"/>
          <w:color w:val="000000"/>
          <w:vertAlign w:val="subscript"/>
          <w:lang w:val="en-US"/>
        </w:rPr>
        <w:t>max</w:t>
      </w:r>
      <w:r w:rsidRPr="0008537A">
        <w:rPr>
          <w:rFonts w:eastAsia="Times New Roman" w:cs="Arial"/>
          <w:color w:val="000000"/>
          <w:lang w:eastAsia="bg-BG"/>
        </w:rPr>
        <w:t xml:space="preserve"> 8-66%; </w:t>
      </w:r>
      <w:r w:rsidRPr="0008537A">
        <w:rPr>
          <w:rFonts w:eastAsia="Times New Roman" w:cs="Arial"/>
          <w:color w:val="000000"/>
          <w:lang w:val="en-US"/>
        </w:rPr>
        <w:t xml:space="preserve">AUC </w:t>
      </w:r>
      <w:r w:rsidRPr="0008537A">
        <w:rPr>
          <w:rFonts w:eastAsia="Times New Roman" w:cs="Arial"/>
          <w:color w:val="000000"/>
          <w:lang w:eastAsia="bg-BG"/>
        </w:rPr>
        <w:t>32-134%) и общия телесен клирънс намалява в сравнение с индивиди с нормална бъбречна функция.</w:t>
      </w:r>
    </w:p>
    <w:p w14:paraId="75C9F770"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Етническа група: Ограничените данни предполагат, че етническата принадлежност не оказва голяма влияние върху фармакокинетиката на вилдаглиптин,</w:t>
      </w:r>
    </w:p>
    <w:p w14:paraId="4D70E03A" w14:textId="77777777" w:rsidR="0008537A" w:rsidRPr="0008537A" w:rsidRDefault="0008537A" w:rsidP="0008537A">
      <w:pPr>
        <w:spacing w:line="240" w:lineRule="auto"/>
        <w:rPr>
          <w:rFonts w:eastAsia="Times New Roman" w:cs="Arial"/>
          <w:color w:val="000000"/>
          <w:u w:val="single"/>
          <w:lang w:eastAsia="bg-BG"/>
        </w:rPr>
      </w:pPr>
    </w:p>
    <w:p w14:paraId="602679B3" w14:textId="36A0AF46" w:rsidR="0008537A" w:rsidRPr="0008537A" w:rsidRDefault="0008537A" w:rsidP="0008537A">
      <w:pPr>
        <w:pStyle w:val="Heading3"/>
        <w:rPr>
          <w:rFonts w:eastAsia="Times New Roman"/>
          <w:u w:val="single"/>
          <w:lang w:eastAsia="bg-BG"/>
        </w:rPr>
      </w:pPr>
      <w:r w:rsidRPr="0008537A">
        <w:rPr>
          <w:rFonts w:eastAsia="Times New Roman"/>
          <w:u w:val="single"/>
          <w:lang w:eastAsia="bg-BG"/>
        </w:rPr>
        <w:t>Метформин</w:t>
      </w:r>
    </w:p>
    <w:p w14:paraId="3F17A52A" w14:textId="7777777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Абсорбция</w:t>
      </w:r>
    </w:p>
    <w:p w14:paraId="09280DA2"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След перорален прием на метформин, максималната плазмена концентрация (С</w:t>
      </w:r>
      <w:r w:rsidRPr="0008537A">
        <w:rPr>
          <w:rFonts w:eastAsia="Times New Roman" w:cs="Arial"/>
          <w:color w:val="000000"/>
          <w:vertAlign w:val="subscript"/>
          <w:lang w:val="en-US"/>
        </w:rPr>
        <w:t>max</w:t>
      </w:r>
      <w:r w:rsidRPr="0008537A">
        <w:rPr>
          <w:rFonts w:eastAsia="Times New Roman" w:cs="Arial"/>
          <w:color w:val="000000"/>
          <w:lang w:eastAsia="bg-BG"/>
        </w:rPr>
        <w:t xml:space="preserve">) се достига след около 2,5 часа. Абсолютната бионаличност на таблетка метформин от 500 </w:t>
      </w:r>
      <w:r w:rsidRPr="0008537A">
        <w:rPr>
          <w:rFonts w:eastAsia="Times New Roman" w:cs="Arial"/>
          <w:color w:val="000000"/>
          <w:lang w:val="en-US"/>
        </w:rPr>
        <w:t xml:space="preserve">mg </w:t>
      </w:r>
      <w:r w:rsidRPr="0008537A">
        <w:rPr>
          <w:rFonts w:eastAsia="Times New Roman" w:cs="Arial"/>
          <w:color w:val="000000"/>
          <w:lang w:eastAsia="bg-BG"/>
        </w:rPr>
        <w:t>при здрави индивиди е приблизително 50-60%. След перорален прием, неабсорбираната част, която се установява във фецеса е 20-30%.</w:t>
      </w:r>
    </w:p>
    <w:p w14:paraId="6A1100B3" w14:textId="77777777" w:rsidR="0008537A" w:rsidRPr="0008537A" w:rsidRDefault="0008537A" w:rsidP="0008537A">
      <w:pPr>
        <w:spacing w:line="240" w:lineRule="auto"/>
        <w:rPr>
          <w:rFonts w:eastAsia="Times New Roman" w:cs="Arial"/>
          <w:color w:val="000000"/>
          <w:lang w:eastAsia="bg-BG"/>
        </w:rPr>
      </w:pPr>
    </w:p>
    <w:p w14:paraId="609FBD5E" w14:textId="7E56FC10"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След перорално приложение абсорбцията на метформин е насищаща и непълна. Приема се, че фармакокинетиката на абсорбцията на метформин не е линейна. При обичайните дози на метформин и схеми на прилагане, стационарна плазмена концентрация се достига в рамките на 24-48 часа и като цяло е под 1 μ</w:t>
      </w:r>
      <w:r w:rsidRPr="0008537A">
        <w:rPr>
          <w:rFonts w:eastAsia="Times New Roman" w:cs="Arial"/>
          <w:color w:val="000000"/>
          <w:lang w:val="en-US"/>
        </w:rPr>
        <w:t xml:space="preserve">g/ml. </w:t>
      </w:r>
      <w:r w:rsidRPr="0008537A">
        <w:rPr>
          <w:rFonts w:eastAsia="Times New Roman" w:cs="Arial"/>
          <w:color w:val="000000"/>
          <w:lang w:eastAsia="bg-BG"/>
        </w:rPr>
        <w:t>При контролирани клинични проучвания максималните плазмени нива на метформин (Стах) не надвишават 4 μ</w:t>
      </w:r>
      <w:r w:rsidRPr="0008537A">
        <w:rPr>
          <w:rFonts w:eastAsia="Times New Roman" w:cs="Arial"/>
          <w:color w:val="000000"/>
          <w:lang w:val="en-US"/>
        </w:rPr>
        <w:t xml:space="preserve">g/ml, </w:t>
      </w:r>
      <w:r w:rsidRPr="0008537A">
        <w:rPr>
          <w:rFonts w:eastAsia="Times New Roman" w:cs="Arial"/>
          <w:color w:val="000000"/>
          <w:lang w:eastAsia="bg-BG"/>
        </w:rPr>
        <w:t>дори при максимални дози.</w:t>
      </w:r>
    </w:p>
    <w:p w14:paraId="32B77875" w14:textId="77777777" w:rsidR="0008537A" w:rsidRPr="0008537A" w:rsidRDefault="0008537A" w:rsidP="0008537A">
      <w:pPr>
        <w:spacing w:line="240" w:lineRule="auto"/>
        <w:rPr>
          <w:rFonts w:eastAsia="Times New Roman" w:cs="Arial"/>
          <w:color w:val="000000"/>
          <w:lang w:eastAsia="bg-BG"/>
        </w:rPr>
      </w:pPr>
    </w:p>
    <w:p w14:paraId="6B309DDB" w14:textId="2954BBDB"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Храната слабо забавя и намалява степента на абсорбция на метформин. След приложение на доза от 850 </w:t>
      </w:r>
      <w:r w:rsidRPr="0008537A">
        <w:rPr>
          <w:rFonts w:eastAsia="Times New Roman" w:cs="Arial"/>
          <w:color w:val="000000"/>
          <w:lang w:val="en-US"/>
        </w:rPr>
        <w:t xml:space="preserve">mg, </w:t>
      </w:r>
      <w:r w:rsidRPr="0008537A">
        <w:rPr>
          <w:rFonts w:eastAsia="Times New Roman" w:cs="Arial"/>
          <w:color w:val="000000"/>
          <w:lang w:eastAsia="bg-BG"/>
        </w:rPr>
        <w:t xml:space="preserve">пиковата плазмена концентрация е 40% по-ниска, </w:t>
      </w:r>
      <w:r w:rsidRPr="0008537A">
        <w:rPr>
          <w:rFonts w:eastAsia="Times New Roman" w:cs="Arial"/>
          <w:color w:val="000000"/>
          <w:lang w:val="en-US"/>
        </w:rPr>
        <w:t xml:space="preserve">AUC </w:t>
      </w:r>
      <w:r w:rsidRPr="0008537A">
        <w:rPr>
          <w:rFonts w:eastAsia="Times New Roman" w:cs="Arial"/>
          <w:color w:val="000000"/>
          <w:lang w:eastAsia="bg-BG"/>
        </w:rPr>
        <w:t>е намалена с 25% и времето за достигане на пикова плазмена концентрация е удължено с 35 минути. Не е ясна клиничната значимост на това намаление.</w:t>
      </w:r>
    </w:p>
    <w:p w14:paraId="427AB47D" w14:textId="77777777" w:rsidR="0008537A" w:rsidRPr="0008537A" w:rsidRDefault="0008537A" w:rsidP="0008537A">
      <w:pPr>
        <w:spacing w:line="240" w:lineRule="auto"/>
        <w:rPr>
          <w:rFonts w:eastAsia="Times New Roman" w:cs="Arial"/>
          <w:i/>
          <w:iCs/>
          <w:color w:val="000000"/>
          <w:lang w:eastAsia="bg-BG"/>
        </w:rPr>
      </w:pPr>
    </w:p>
    <w:p w14:paraId="4324CB2D" w14:textId="4394E750"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Разпределение</w:t>
      </w:r>
    </w:p>
    <w:p w14:paraId="7593577C"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 xml:space="preserve">Свързването с плазмените протеини е незначително. Метформин се разпределя в еритроцитите. Средният обем на разпределение </w:t>
      </w:r>
      <w:r w:rsidRPr="0008537A">
        <w:rPr>
          <w:rFonts w:eastAsia="Times New Roman" w:cs="Arial"/>
          <w:color w:val="000000"/>
          <w:lang w:val="en-US"/>
        </w:rPr>
        <w:t>(</w:t>
      </w:r>
      <w:proofErr w:type="spellStart"/>
      <w:r w:rsidRPr="0008537A">
        <w:rPr>
          <w:rFonts w:eastAsia="Times New Roman" w:cs="Arial"/>
          <w:color w:val="000000"/>
          <w:lang w:val="en-US"/>
        </w:rPr>
        <w:t>V</w:t>
      </w:r>
      <w:r w:rsidRPr="0008537A">
        <w:rPr>
          <w:rFonts w:eastAsia="Times New Roman" w:cs="Arial"/>
          <w:color w:val="000000"/>
          <w:vertAlign w:val="subscript"/>
          <w:lang w:val="en-US"/>
        </w:rPr>
        <w:t>d</w:t>
      </w:r>
      <w:proofErr w:type="spellEnd"/>
      <w:r w:rsidRPr="0008537A">
        <w:rPr>
          <w:rFonts w:eastAsia="Times New Roman" w:cs="Arial"/>
          <w:color w:val="000000"/>
          <w:lang w:val="en-US"/>
        </w:rPr>
        <w:t xml:space="preserve">) </w:t>
      </w:r>
      <w:r w:rsidRPr="0008537A">
        <w:rPr>
          <w:rFonts w:eastAsia="Times New Roman" w:cs="Arial"/>
          <w:color w:val="000000"/>
          <w:lang w:eastAsia="bg-BG"/>
        </w:rPr>
        <w:t>варира между 63-276 литра.</w:t>
      </w:r>
    </w:p>
    <w:p w14:paraId="3C7B4BD1" w14:textId="77777777" w:rsidR="0008537A" w:rsidRPr="0008537A" w:rsidRDefault="0008537A" w:rsidP="0008537A">
      <w:pPr>
        <w:spacing w:line="240" w:lineRule="auto"/>
        <w:rPr>
          <w:rFonts w:eastAsia="Times New Roman" w:cs="Arial"/>
          <w:i/>
          <w:iCs/>
          <w:color w:val="000000"/>
          <w:lang w:eastAsia="bg-BG"/>
        </w:rPr>
      </w:pPr>
    </w:p>
    <w:p w14:paraId="30901D98" w14:textId="786B03BC"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Биотрансформация</w:t>
      </w:r>
    </w:p>
    <w:p w14:paraId="23CC1947" w14:textId="77777777" w:rsidR="0008537A" w:rsidRPr="0008537A" w:rsidRDefault="0008537A" w:rsidP="0008537A">
      <w:pPr>
        <w:spacing w:line="240" w:lineRule="auto"/>
        <w:rPr>
          <w:rFonts w:eastAsia="Times New Roman" w:cs="Arial"/>
          <w:lang w:eastAsia="bg-BG"/>
        </w:rPr>
      </w:pPr>
      <w:r w:rsidRPr="0008537A">
        <w:rPr>
          <w:rFonts w:eastAsia="Times New Roman" w:cs="Arial"/>
          <w:color w:val="000000"/>
          <w:lang w:eastAsia="bg-BG"/>
        </w:rPr>
        <w:t>Метформин се екскретира непроменен в урината. При хора не се установяват метаболити.</w:t>
      </w:r>
    </w:p>
    <w:p w14:paraId="007FB5FC" w14:textId="77777777" w:rsidR="0008537A" w:rsidRPr="0008537A" w:rsidRDefault="0008537A" w:rsidP="0008537A">
      <w:pPr>
        <w:spacing w:line="240" w:lineRule="auto"/>
        <w:rPr>
          <w:rFonts w:eastAsia="Times New Roman" w:cs="Arial"/>
          <w:i/>
          <w:iCs/>
          <w:color w:val="000000"/>
          <w:lang w:eastAsia="bg-BG"/>
        </w:rPr>
      </w:pPr>
    </w:p>
    <w:p w14:paraId="67F27017" w14:textId="611868F7" w:rsidR="0008537A" w:rsidRPr="0008537A" w:rsidRDefault="0008537A" w:rsidP="0008537A">
      <w:pPr>
        <w:spacing w:line="240" w:lineRule="auto"/>
        <w:rPr>
          <w:rFonts w:eastAsia="Times New Roman" w:cs="Arial"/>
          <w:lang w:eastAsia="bg-BG"/>
        </w:rPr>
      </w:pPr>
      <w:r w:rsidRPr="0008537A">
        <w:rPr>
          <w:rFonts w:eastAsia="Times New Roman" w:cs="Arial"/>
          <w:i/>
          <w:iCs/>
          <w:color w:val="000000"/>
          <w:lang w:eastAsia="bg-BG"/>
        </w:rPr>
        <w:t>Елиминиране</w:t>
      </w:r>
    </w:p>
    <w:p w14:paraId="3643DA2C" w14:textId="5BBDABA2" w:rsidR="0008537A" w:rsidRDefault="0008537A" w:rsidP="0008537A">
      <w:pPr>
        <w:rPr>
          <w:rFonts w:eastAsia="Times New Roman" w:cs="Arial"/>
          <w:color w:val="000000"/>
          <w:lang w:eastAsia="bg-BG"/>
        </w:rPr>
      </w:pPr>
      <w:r w:rsidRPr="0008537A">
        <w:rPr>
          <w:rFonts w:eastAsia="Times New Roman" w:cs="Arial"/>
          <w:color w:val="000000"/>
          <w:lang w:eastAsia="bg-BG"/>
        </w:rPr>
        <w:t xml:space="preserve">Метформин се елиминира чрез бъбречна екскреция. Бъбречният клирънс на метформин е &gt; 400 </w:t>
      </w:r>
      <w:r w:rsidRPr="0008537A">
        <w:rPr>
          <w:rFonts w:eastAsia="Times New Roman" w:cs="Arial"/>
          <w:color w:val="000000"/>
          <w:lang w:val="en-US"/>
        </w:rPr>
        <w:t xml:space="preserve">ml/min, </w:t>
      </w:r>
      <w:r w:rsidRPr="0008537A">
        <w:rPr>
          <w:rFonts w:eastAsia="Times New Roman" w:cs="Arial"/>
          <w:color w:val="000000"/>
          <w:lang w:eastAsia="bg-BG"/>
        </w:rPr>
        <w:t>което показва, че метформин се елиминира чрез гломерулна филтрация и тубулна секреция. След перорален прием, привидния терминален елиминационен полуживот е приблизително 6,5 часа. При увредена бъбречна функция, бъбречният клирънс е намален пропорционално на креатининовия клирънс и поради това елиминационният полуживот е удължен, което води до повишено ниво на метформин в плазмата.</w:t>
      </w:r>
    </w:p>
    <w:p w14:paraId="166E4E61" w14:textId="77777777" w:rsidR="0036609D" w:rsidRPr="0008537A" w:rsidRDefault="0036609D" w:rsidP="0008537A">
      <w:pPr>
        <w:rPr>
          <w:rFonts w:cs="Arial"/>
          <w:lang w:val="en-US"/>
        </w:rPr>
      </w:pPr>
    </w:p>
    <w:p w14:paraId="0CC65FE3" w14:textId="36A060AA" w:rsidR="00EE6C97" w:rsidRDefault="002C50EE" w:rsidP="00A93499">
      <w:pPr>
        <w:pStyle w:val="Heading2"/>
      </w:pPr>
      <w:r>
        <w:lastRenderedPageBreak/>
        <w:t>5.3. Предклинични данни за безопасност</w:t>
      </w:r>
    </w:p>
    <w:p w14:paraId="41A92A02" w14:textId="20C1A1A1" w:rsidR="0036609D" w:rsidRDefault="0036609D" w:rsidP="0036609D"/>
    <w:p w14:paraId="544E0D60" w14:textId="77777777"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При животни са проведени експериментални проучвания с продължителност до 13 седмици с комбинацията от веществата, съдържащи се във Вилспокс. Не се установяват нови прояви на токсичност с тази комбинация. Следващите данни са установени в проучвания проведени с вилдаглиптин и метформин поотделно.</w:t>
      </w:r>
    </w:p>
    <w:p w14:paraId="2E8EDD63" w14:textId="77777777" w:rsidR="0036609D" w:rsidRPr="0036609D" w:rsidRDefault="0036609D" w:rsidP="0036609D">
      <w:pPr>
        <w:spacing w:line="240" w:lineRule="auto"/>
        <w:rPr>
          <w:rFonts w:eastAsia="Times New Roman" w:cs="Arial"/>
          <w:color w:val="000000"/>
          <w:u w:val="single"/>
          <w:lang w:eastAsia="bg-BG"/>
        </w:rPr>
      </w:pPr>
    </w:p>
    <w:p w14:paraId="51640227" w14:textId="473099F3"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u w:val="single"/>
          <w:lang w:eastAsia="bg-BG"/>
        </w:rPr>
        <w:t>Вилдаглиптин</w:t>
      </w:r>
    </w:p>
    <w:p w14:paraId="04B369B0" w14:textId="77777777"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При кучета се наблюдава удължаване на интракардиалното провеждане при доза, при която няма ефект, от 15 </w:t>
      </w:r>
      <w:r w:rsidRPr="0036609D">
        <w:rPr>
          <w:rFonts w:eastAsia="Times New Roman" w:cs="Arial"/>
          <w:color w:val="000000"/>
          <w:lang w:val="en-US"/>
        </w:rPr>
        <w:t xml:space="preserve">mg/kg </w:t>
      </w:r>
      <w:r w:rsidRPr="0036609D">
        <w:rPr>
          <w:rFonts w:eastAsia="Times New Roman" w:cs="Arial"/>
          <w:color w:val="000000"/>
          <w:lang w:eastAsia="bg-BG"/>
        </w:rPr>
        <w:t>(7-пъти над експозицията при хора въз основа на С</w:t>
      </w:r>
      <w:r w:rsidRPr="0036609D">
        <w:rPr>
          <w:rFonts w:eastAsia="Times New Roman" w:cs="Arial"/>
          <w:color w:val="000000"/>
          <w:vertAlign w:val="subscript"/>
          <w:lang w:val="en-US"/>
        </w:rPr>
        <w:t>max</w:t>
      </w:r>
      <w:r w:rsidRPr="0036609D">
        <w:rPr>
          <w:rFonts w:eastAsia="Times New Roman" w:cs="Arial"/>
          <w:color w:val="000000"/>
          <w:lang w:eastAsia="bg-BG"/>
        </w:rPr>
        <w:t>).</w:t>
      </w:r>
    </w:p>
    <w:p w14:paraId="18DE964D" w14:textId="77777777" w:rsidR="0036609D" w:rsidRPr="0036609D" w:rsidRDefault="0036609D" w:rsidP="0036609D">
      <w:pPr>
        <w:spacing w:line="240" w:lineRule="auto"/>
        <w:rPr>
          <w:rFonts w:eastAsia="Times New Roman" w:cs="Arial"/>
          <w:color w:val="000000"/>
          <w:lang w:eastAsia="bg-BG"/>
        </w:rPr>
      </w:pPr>
    </w:p>
    <w:p w14:paraId="71EA3E68" w14:textId="704EC4BE"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Кумулиране на пенести алвеоларни макрофаги в белите дробове се наблюдава при плъхове и мишки. Дозата, при която не се наблюдава подобен ефект при плъхове е 25 </w:t>
      </w:r>
      <w:r w:rsidRPr="0036609D">
        <w:rPr>
          <w:rFonts w:eastAsia="Times New Roman" w:cs="Arial"/>
          <w:color w:val="000000"/>
          <w:lang w:val="en-US"/>
        </w:rPr>
        <w:t xml:space="preserve">mg/kg </w:t>
      </w:r>
      <w:r w:rsidRPr="0036609D">
        <w:rPr>
          <w:rFonts w:eastAsia="Times New Roman" w:cs="Arial"/>
          <w:color w:val="000000"/>
          <w:lang w:eastAsia="bg-BG"/>
        </w:rPr>
        <w:t xml:space="preserve">(5-пъти над експозицията при хора въз основа на </w:t>
      </w:r>
      <w:r w:rsidRPr="0036609D">
        <w:rPr>
          <w:rFonts w:eastAsia="Times New Roman" w:cs="Arial"/>
          <w:color w:val="000000"/>
          <w:lang w:val="en-US"/>
        </w:rPr>
        <w:t xml:space="preserve">AUC) </w:t>
      </w:r>
      <w:r w:rsidRPr="0036609D">
        <w:rPr>
          <w:rFonts w:eastAsia="Times New Roman" w:cs="Arial"/>
          <w:color w:val="000000"/>
          <w:lang w:eastAsia="bg-BG"/>
        </w:rPr>
        <w:t xml:space="preserve">и 750 </w:t>
      </w:r>
      <w:r w:rsidRPr="0036609D">
        <w:rPr>
          <w:rFonts w:eastAsia="Times New Roman" w:cs="Arial"/>
          <w:color w:val="000000"/>
          <w:lang w:val="en-US"/>
        </w:rPr>
        <w:t xml:space="preserve">mg/kg </w:t>
      </w:r>
      <w:r w:rsidRPr="0036609D">
        <w:rPr>
          <w:rFonts w:eastAsia="Times New Roman" w:cs="Arial"/>
          <w:color w:val="000000"/>
          <w:lang w:eastAsia="bg-BG"/>
        </w:rPr>
        <w:t>при мишки (142-пъти над експозицията при хора).</w:t>
      </w:r>
    </w:p>
    <w:p w14:paraId="7B57BF31" w14:textId="77777777" w:rsidR="0036609D" w:rsidRPr="0036609D" w:rsidRDefault="0036609D" w:rsidP="0036609D">
      <w:pPr>
        <w:spacing w:line="240" w:lineRule="auto"/>
        <w:rPr>
          <w:rFonts w:eastAsia="Times New Roman" w:cs="Arial"/>
          <w:color w:val="000000"/>
          <w:lang w:eastAsia="bg-BG"/>
        </w:rPr>
      </w:pPr>
    </w:p>
    <w:p w14:paraId="426901D5" w14:textId="39CFFE33"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Стомашно-чревните симптоми, особено меки изпражнения със слуз, диария и при по-високи дози кръв в изпражненията, са наблюдавани при кучета. Ниво, при което не се наблюдава ефект не е установено.</w:t>
      </w:r>
    </w:p>
    <w:p w14:paraId="52ACAEBD" w14:textId="77777777" w:rsidR="0036609D" w:rsidRPr="0036609D" w:rsidRDefault="0036609D" w:rsidP="0036609D">
      <w:pPr>
        <w:spacing w:line="240" w:lineRule="auto"/>
        <w:rPr>
          <w:rFonts w:eastAsia="Times New Roman" w:cs="Arial"/>
          <w:color w:val="000000"/>
          <w:lang w:eastAsia="bg-BG"/>
        </w:rPr>
      </w:pPr>
    </w:p>
    <w:p w14:paraId="51783181" w14:textId="2E38C364"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Вилдаглиптин не е мутагенен при конвенционалните </w:t>
      </w:r>
      <w:r w:rsidRPr="0036609D">
        <w:rPr>
          <w:rFonts w:eastAsia="Times New Roman" w:cs="Arial"/>
          <w:i/>
          <w:iCs/>
          <w:color w:val="000000"/>
          <w:lang w:val="en-US"/>
        </w:rPr>
        <w:t>in vitro</w:t>
      </w:r>
      <w:r w:rsidRPr="0036609D">
        <w:rPr>
          <w:rFonts w:eastAsia="Times New Roman" w:cs="Arial"/>
          <w:color w:val="000000"/>
          <w:lang w:val="en-US"/>
        </w:rPr>
        <w:t xml:space="preserve"> </w:t>
      </w:r>
      <w:r w:rsidRPr="0036609D">
        <w:rPr>
          <w:rFonts w:eastAsia="Times New Roman" w:cs="Arial"/>
          <w:color w:val="000000"/>
          <w:lang w:eastAsia="bg-BG"/>
        </w:rPr>
        <w:t xml:space="preserve">и </w:t>
      </w:r>
      <w:r w:rsidRPr="0036609D">
        <w:rPr>
          <w:rFonts w:eastAsia="Times New Roman" w:cs="Arial"/>
          <w:i/>
          <w:iCs/>
          <w:color w:val="000000"/>
          <w:lang w:val="en-US"/>
        </w:rPr>
        <w:t>in vivo</w:t>
      </w:r>
      <w:r w:rsidRPr="0036609D">
        <w:rPr>
          <w:rFonts w:eastAsia="Times New Roman" w:cs="Arial"/>
          <w:color w:val="000000"/>
          <w:lang w:val="en-US"/>
        </w:rPr>
        <w:t xml:space="preserve"> </w:t>
      </w:r>
      <w:r w:rsidRPr="0036609D">
        <w:rPr>
          <w:rFonts w:eastAsia="Times New Roman" w:cs="Arial"/>
          <w:color w:val="000000"/>
          <w:lang w:eastAsia="bg-BG"/>
        </w:rPr>
        <w:t>изследвания за генотоксичност.</w:t>
      </w:r>
    </w:p>
    <w:p w14:paraId="511CF257" w14:textId="77777777" w:rsidR="0036609D" w:rsidRPr="0036609D" w:rsidRDefault="0036609D" w:rsidP="0036609D">
      <w:pPr>
        <w:spacing w:line="240" w:lineRule="auto"/>
        <w:rPr>
          <w:rFonts w:eastAsia="Times New Roman" w:cs="Arial"/>
          <w:color w:val="000000"/>
          <w:lang w:eastAsia="bg-BG"/>
        </w:rPr>
      </w:pPr>
    </w:p>
    <w:p w14:paraId="0B0FF5A3" w14:textId="45B87994"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Проучване за фертилитет и ранно ембрионално развитие при плъхове не дава данни за нарушения във фертилитета, репродукцията или ранното ембрионално развитие в резултат на лечението с вилдаглиптин. Ембрио-феталната токсичност е оценявана при плъхове и зайци. Повишена честота на вълнообразни ребра се наблюдава при плъхове във връзка с намалени параметри на телесното тегло на майчиния организъм с доза, при която няма ефект, от 75 </w:t>
      </w:r>
      <w:r w:rsidRPr="0036609D">
        <w:rPr>
          <w:rFonts w:eastAsia="Times New Roman" w:cs="Arial"/>
          <w:color w:val="000000"/>
          <w:lang w:val="en-US"/>
        </w:rPr>
        <w:t xml:space="preserve">mg/kg </w:t>
      </w:r>
      <w:r w:rsidRPr="0036609D">
        <w:rPr>
          <w:rFonts w:eastAsia="Times New Roman" w:cs="Arial"/>
          <w:color w:val="000000"/>
          <w:lang w:eastAsia="bg-BG"/>
        </w:rPr>
        <w:t xml:space="preserve">(10 пъти над експозицията при хора). При зайци, намалено телесно тегло и промени на скелета, показателни за забавяне в развитието, са отбелязани само при наличието на тежка токсичност за майчиния организъм с доза, при която няма ефект, 50 </w:t>
      </w:r>
      <w:r w:rsidRPr="0036609D">
        <w:rPr>
          <w:rFonts w:eastAsia="Times New Roman" w:cs="Arial"/>
          <w:color w:val="000000"/>
          <w:lang w:val="en-US"/>
        </w:rPr>
        <w:t xml:space="preserve">mg/kg </w:t>
      </w:r>
      <w:r w:rsidRPr="0036609D">
        <w:rPr>
          <w:rFonts w:eastAsia="Times New Roman" w:cs="Arial"/>
          <w:color w:val="000000"/>
          <w:lang w:eastAsia="bg-BG"/>
        </w:rPr>
        <w:t xml:space="preserve">(9 пъти над експозицията при хора). При плъхове е проведено пре- и постнатално проучване за развитие. Находки се наблюдават само във връзка с токсичност при майчиния организъм при ≥150 </w:t>
      </w:r>
      <w:r w:rsidRPr="0036609D">
        <w:rPr>
          <w:rFonts w:eastAsia="Times New Roman" w:cs="Arial"/>
          <w:color w:val="000000"/>
          <w:lang w:val="en-US"/>
        </w:rPr>
        <w:t xml:space="preserve">mg/kg </w:t>
      </w:r>
      <w:r w:rsidRPr="0036609D">
        <w:rPr>
          <w:rFonts w:eastAsia="Times New Roman" w:cs="Arial"/>
          <w:color w:val="000000"/>
          <w:lang w:eastAsia="bg-BG"/>
        </w:rPr>
        <w:t xml:space="preserve">и включват преходно намаляване на телесното тегло и намалена двигателна активност в </w:t>
      </w:r>
      <w:r w:rsidRPr="0036609D">
        <w:rPr>
          <w:rFonts w:eastAsia="Times New Roman" w:cs="Arial"/>
          <w:color w:val="000000"/>
          <w:lang w:val="en-US"/>
        </w:rPr>
        <w:t xml:space="preserve">F1 </w:t>
      </w:r>
      <w:r w:rsidRPr="0036609D">
        <w:rPr>
          <w:rFonts w:eastAsia="Times New Roman" w:cs="Arial"/>
          <w:color w:val="000000"/>
          <w:lang w:eastAsia="bg-BG"/>
        </w:rPr>
        <w:t>поколението.</w:t>
      </w:r>
    </w:p>
    <w:p w14:paraId="670BA68D" w14:textId="77777777" w:rsidR="0036609D" w:rsidRPr="0036609D" w:rsidRDefault="0036609D" w:rsidP="0036609D">
      <w:pPr>
        <w:spacing w:line="240" w:lineRule="auto"/>
        <w:rPr>
          <w:rFonts w:eastAsia="Times New Roman" w:cs="Arial"/>
          <w:color w:val="000000"/>
          <w:lang w:eastAsia="bg-BG"/>
        </w:rPr>
      </w:pPr>
    </w:p>
    <w:p w14:paraId="7E4F2489" w14:textId="5E89C9B2"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 xml:space="preserve">Двугодишно проучване за карциногенност е проведено при плъхове при перорални дози до 900 </w:t>
      </w:r>
      <w:r w:rsidRPr="0036609D">
        <w:rPr>
          <w:rFonts w:eastAsia="Times New Roman" w:cs="Arial"/>
          <w:color w:val="000000"/>
          <w:lang w:val="en-US"/>
        </w:rPr>
        <w:t xml:space="preserve">mg/kg </w:t>
      </w:r>
      <w:r w:rsidRPr="0036609D">
        <w:rPr>
          <w:rFonts w:eastAsia="Times New Roman" w:cs="Arial"/>
          <w:color w:val="000000"/>
          <w:lang w:eastAsia="bg-BG"/>
        </w:rPr>
        <w:t xml:space="preserve">(приблизително 200 пъти експозицията при хора при максимално препоръчваната доза). Не се наблюдава повишаване на честотата на туморите, които биха могли да се отнесат към вилдаглиптин. Друго двугодишно проучване за карциногенност е проведено при мишки с перорални дози до 1000 </w:t>
      </w:r>
      <w:r w:rsidRPr="0036609D">
        <w:rPr>
          <w:rFonts w:eastAsia="Times New Roman" w:cs="Arial"/>
          <w:color w:val="000000"/>
          <w:lang w:val="en-US"/>
        </w:rPr>
        <w:t xml:space="preserve">mg/kg. </w:t>
      </w:r>
      <w:r w:rsidRPr="0036609D">
        <w:rPr>
          <w:rFonts w:eastAsia="Times New Roman" w:cs="Arial"/>
          <w:color w:val="000000"/>
          <w:lang w:eastAsia="bg-BG"/>
        </w:rPr>
        <w:t xml:space="preserve">Повишената честота на аденокарцином на гърдата и хемангиосарком се наблюдава при доза, при която няма ефект, съответно, от 500 </w:t>
      </w:r>
      <w:r w:rsidRPr="0036609D">
        <w:rPr>
          <w:rFonts w:eastAsia="Times New Roman" w:cs="Arial"/>
          <w:color w:val="000000"/>
          <w:lang w:val="en-US"/>
        </w:rPr>
        <w:t xml:space="preserve">mg/kg </w:t>
      </w:r>
      <w:r w:rsidRPr="0036609D">
        <w:rPr>
          <w:rFonts w:eastAsia="Times New Roman" w:cs="Arial"/>
          <w:color w:val="000000"/>
          <w:lang w:eastAsia="bg-BG"/>
        </w:rPr>
        <w:t xml:space="preserve">(59 пъти експозицията при хора) и 100 </w:t>
      </w:r>
      <w:r w:rsidRPr="0036609D">
        <w:rPr>
          <w:rFonts w:eastAsia="Times New Roman" w:cs="Arial"/>
          <w:color w:val="000000"/>
          <w:lang w:val="en-US"/>
        </w:rPr>
        <w:t xml:space="preserve">mg/kg </w:t>
      </w:r>
      <w:r w:rsidRPr="0036609D">
        <w:rPr>
          <w:rFonts w:eastAsia="Times New Roman" w:cs="Arial"/>
          <w:color w:val="000000"/>
          <w:lang w:eastAsia="bg-BG"/>
        </w:rPr>
        <w:t>(16 пъти експозицията при хора). Счита се, че повишената честота на тези тумори при мишки не представлява значим риск за хората, въз основа на липсата на генотоксичност на вилдаглиптин и основния му метаболит, появата на туморите само при един вид и високите съотношения на системна експозиция, при която са наблюдавани туморите.</w:t>
      </w:r>
    </w:p>
    <w:p w14:paraId="5F6DA4B0" w14:textId="77777777" w:rsidR="0036609D" w:rsidRPr="0036609D" w:rsidRDefault="0036609D" w:rsidP="0036609D">
      <w:pPr>
        <w:rPr>
          <w:rFonts w:eastAsia="Times New Roman" w:cs="Arial"/>
          <w:color w:val="000000"/>
          <w:lang w:eastAsia="bg-BG"/>
        </w:rPr>
      </w:pPr>
    </w:p>
    <w:p w14:paraId="65586EF8" w14:textId="77777777" w:rsidR="0036609D" w:rsidRPr="0036609D" w:rsidRDefault="0036609D" w:rsidP="0036609D">
      <w:pPr>
        <w:rPr>
          <w:rFonts w:eastAsia="Times New Roman" w:cs="Arial"/>
          <w:sz w:val="24"/>
          <w:szCs w:val="24"/>
          <w:lang w:eastAsia="bg-BG"/>
        </w:rPr>
      </w:pPr>
      <w:r w:rsidRPr="0036609D">
        <w:rPr>
          <w:rFonts w:eastAsia="Times New Roman" w:cs="Arial"/>
          <w:color w:val="000000"/>
          <w:lang w:eastAsia="bg-BG"/>
        </w:rPr>
        <w:t xml:space="preserve">В 13-седмично проучване за токсичност при маймуни макаци, кожни лезии са отбелязани при дози ≥5 </w:t>
      </w:r>
      <w:r w:rsidRPr="0036609D">
        <w:rPr>
          <w:rFonts w:eastAsia="Times New Roman" w:cs="Arial"/>
          <w:color w:val="000000"/>
          <w:lang w:val="en-US"/>
        </w:rPr>
        <w:t>mg/kg</w:t>
      </w:r>
      <w:r w:rsidRPr="0036609D">
        <w:rPr>
          <w:rFonts w:eastAsia="Times New Roman" w:cs="Arial"/>
          <w:color w:val="000000"/>
          <w:lang w:eastAsia="bg-BG"/>
        </w:rPr>
        <w:t xml:space="preserve">/ден. Те се локализират винаги по крайниците (ръцете, ходилата, ушите </w:t>
      </w:r>
      <w:r w:rsidRPr="0036609D">
        <w:rPr>
          <w:rFonts w:eastAsia="Times New Roman" w:cs="Arial"/>
          <w:color w:val="000000"/>
          <w:lang w:eastAsia="bg-BG"/>
        </w:rPr>
        <w:lastRenderedPageBreak/>
        <w:t xml:space="preserve">и опашката). При 5 </w:t>
      </w:r>
      <w:r w:rsidRPr="0036609D">
        <w:rPr>
          <w:rFonts w:eastAsia="Times New Roman" w:cs="Arial"/>
          <w:color w:val="000000"/>
          <w:lang w:val="en-US"/>
        </w:rPr>
        <w:t>mg/kg</w:t>
      </w:r>
      <w:r w:rsidRPr="0036609D">
        <w:rPr>
          <w:rFonts w:eastAsia="Times New Roman" w:cs="Arial"/>
          <w:color w:val="000000"/>
          <w:lang w:eastAsia="bg-BG"/>
        </w:rPr>
        <w:t xml:space="preserve">/ден (приблизителен еквивалент на </w:t>
      </w:r>
      <w:r w:rsidRPr="0036609D">
        <w:rPr>
          <w:rFonts w:eastAsia="Times New Roman" w:cs="Arial"/>
          <w:color w:val="000000"/>
          <w:lang w:val="en-US"/>
        </w:rPr>
        <w:t xml:space="preserve">AUC </w:t>
      </w:r>
      <w:r w:rsidRPr="0036609D">
        <w:rPr>
          <w:rFonts w:eastAsia="Times New Roman" w:cs="Arial"/>
          <w:color w:val="000000"/>
          <w:lang w:eastAsia="bg-BG"/>
        </w:rPr>
        <w:t xml:space="preserve">експозицията при хора при доза 100 </w:t>
      </w:r>
      <w:r w:rsidRPr="0036609D">
        <w:rPr>
          <w:rFonts w:eastAsia="Times New Roman" w:cs="Arial"/>
          <w:color w:val="000000"/>
          <w:lang w:val="en-US"/>
        </w:rPr>
        <w:t xml:space="preserve">mg), </w:t>
      </w:r>
      <w:r w:rsidRPr="0036609D">
        <w:rPr>
          <w:rFonts w:eastAsia="Times New Roman" w:cs="Arial"/>
          <w:color w:val="000000"/>
          <w:lang w:eastAsia="bg-BG"/>
        </w:rPr>
        <w:t>са наблюдавани само мехури. Те са обратими независимо от това, че лечението е продължено и не са свързани хистопатологични аномалии. Напукана кожа, лющеща се кожа,</w:t>
      </w:r>
      <w:r w:rsidRPr="0036609D">
        <w:rPr>
          <w:rFonts w:eastAsia="Times New Roman" w:cs="Arial"/>
          <w:color w:val="000000"/>
          <w:lang w:val="en-US" w:eastAsia="bg-BG"/>
        </w:rPr>
        <w:t xml:space="preserve"> </w:t>
      </w:r>
      <w:r w:rsidRPr="0036609D">
        <w:rPr>
          <w:rFonts w:eastAsia="Times New Roman" w:cs="Arial"/>
          <w:color w:val="000000"/>
          <w:lang w:eastAsia="bg-BG"/>
        </w:rPr>
        <w:t xml:space="preserve">струпеи и рани на опашката с корелиращи хистопатологични промени са наблюдавани при дози ≥20 </w:t>
      </w:r>
      <w:r w:rsidRPr="0036609D">
        <w:rPr>
          <w:rFonts w:eastAsia="Times New Roman" w:cs="Arial"/>
          <w:color w:val="000000"/>
          <w:lang w:val="en-US"/>
        </w:rPr>
        <w:t>mg/kg</w:t>
      </w:r>
      <w:r w:rsidRPr="0036609D">
        <w:rPr>
          <w:rFonts w:eastAsia="Times New Roman" w:cs="Arial"/>
          <w:color w:val="000000"/>
          <w:lang w:eastAsia="bg-BG"/>
        </w:rPr>
        <w:t xml:space="preserve">/ден (приблизително 3 пъти </w:t>
      </w:r>
      <w:r w:rsidRPr="0036609D">
        <w:rPr>
          <w:rFonts w:eastAsia="Times New Roman" w:cs="Arial"/>
          <w:color w:val="000000"/>
          <w:lang w:val="en-US"/>
        </w:rPr>
        <w:t xml:space="preserve">AUC </w:t>
      </w:r>
      <w:r w:rsidRPr="0036609D">
        <w:rPr>
          <w:rFonts w:eastAsia="Times New Roman" w:cs="Arial"/>
          <w:color w:val="000000"/>
          <w:lang w:eastAsia="bg-BG"/>
        </w:rPr>
        <w:t xml:space="preserve">експозицията при хора при доза 100 </w:t>
      </w:r>
      <w:r w:rsidRPr="0036609D">
        <w:rPr>
          <w:rFonts w:eastAsia="Times New Roman" w:cs="Arial"/>
          <w:color w:val="000000"/>
          <w:lang w:val="en-US"/>
        </w:rPr>
        <w:t xml:space="preserve">mg). </w:t>
      </w:r>
      <w:r w:rsidRPr="0036609D">
        <w:rPr>
          <w:rFonts w:eastAsia="Times New Roman" w:cs="Arial"/>
          <w:color w:val="000000"/>
          <w:lang w:eastAsia="bg-BG"/>
        </w:rPr>
        <w:t xml:space="preserve">Некротични лезии на опашката се наблюдават при ≥80 </w:t>
      </w:r>
      <w:r w:rsidRPr="0036609D">
        <w:rPr>
          <w:rFonts w:eastAsia="Times New Roman" w:cs="Arial"/>
          <w:color w:val="000000"/>
          <w:lang w:val="en-US"/>
        </w:rPr>
        <w:t>mg/kg</w:t>
      </w:r>
      <w:r w:rsidRPr="0036609D">
        <w:rPr>
          <w:rFonts w:eastAsia="Times New Roman" w:cs="Arial"/>
          <w:color w:val="000000"/>
          <w:lang w:eastAsia="bg-BG"/>
        </w:rPr>
        <w:t xml:space="preserve">/ден. Кожните лезии не са обратими при маймуни, лекувани със 160 </w:t>
      </w:r>
      <w:r w:rsidRPr="0036609D">
        <w:rPr>
          <w:rFonts w:eastAsia="Times New Roman" w:cs="Arial"/>
          <w:color w:val="000000"/>
          <w:lang w:val="en-US"/>
        </w:rPr>
        <w:t>mg/kg</w:t>
      </w:r>
      <w:r w:rsidRPr="0036609D">
        <w:rPr>
          <w:rFonts w:eastAsia="Times New Roman" w:cs="Arial"/>
          <w:color w:val="000000"/>
          <w:lang w:eastAsia="bg-BG"/>
        </w:rPr>
        <w:t>/ден по време на 4-седмичния възстановителен период.</w:t>
      </w:r>
    </w:p>
    <w:p w14:paraId="4FD45D90" w14:textId="77777777" w:rsidR="0036609D" w:rsidRPr="0036609D" w:rsidRDefault="0036609D" w:rsidP="0036609D">
      <w:pPr>
        <w:spacing w:line="240" w:lineRule="auto"/>
        <w:rPr>
          <w:rFonts w:eastAsia="Times New Roman" w:cs="Arial"/>
          <w:color w:val="000000"/>
          <w:u w:val="single"/>
          <w:lang w:eastAsia="bg-BG"/>
        </w:rPr>
      </w:pPr>
    </w:p>
    <w:p w14:paraId="0CA61390" w14:textId="208600AB"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u w:val="single"/>
          <w:lang w:eastAsia="bg-BG"/>
        </w:rPr>
        <w:t>Метформин</w:t>
      </w:r>
    </w:p>
    <w:p w14:paraId="5A492B44" w14:textId="77777777" w:rsidR="0036609D" w:rsidRPr="0036609D" w:rsidRDefault="0036609D" w:rsidP="0036609D">
      <w:pPr>
        <w:spacing w:line="240" w:lineRule="auto"/>
        <w:rPr>
          <w:rFonts w:eastAsia="Times New Roman" w:cs="Arial"/>
          <w:sz w:val="24"/>
          <w:szCs w:val="24"/>
          <w:lang w:eastAsia="bg-BG"/>
        </w:rPr>
      </w:pPr>
      <w:r w:rsidRPr="0036609D">
        <w:rPr>
          <w:rFonts w:eastAsia="Times New Roman" w:cs="Arial"/>
          <w:color w:val="000000"/>
          <w:lang w:eastAsia="bg-BG"/>
        </w:rPr>
        <w:t>Неклиничните данни за метформин не показват особен риск за хора на базата на конвенционални фармакологични проучвания за безопасност, токсичност при многократно приложение, генотоксичност, карциногенен потенциал и репродуктивна токсичност.</w:t>
      </w:r>
    </w:p>
    <w:p w14:paraId="3F624E6B" w14:textId="440DB322" w:rsidR="0036609D" w:rsidRPr="0036609D" w:rsidRDefault="0036609D" w:rsidP="0036609D">
      <w:pPr>
        <w:rPr>
          <w:lang w:val="en-US"/>
        </w:rPr>
      </w:pPr>
    </w:p>
    <w:p w14:paraId="27B81300" w14:textId="77777777" w:rsidR="0036609D" w:rsidRPr="0036609D" w:rsidRDefault="0036609D" w:rsidP="0036609D"/>
    <w:p w14:paraId="357049A8" w14:textId="3E37360B" w:rsidR="00BB22B4" w:rsidRDefault="002C50EE" w:rsidP="00471F10">
      <w:pPr>
        <w:pStyle w:val="Heading1"/>
      </w:pPr>
      <w:r>
        <w:t>7. ПРИТЕЖАТЕЛ НА РАЗРЕШЕНИЕТО ЗА УПОТРЕБА</w:t>
      </w:r>
    </w:p>
    <w:p w14:paraId="67210901" w14:textId="7963505D" w:rsidR="0036609D" w:rsidRDefault="0036609D" w:rsidP="0036609D"/>
    <w:p w14:paraId="7D09AFE8" w14:textId="77777777" w:rsidR="0036609D" w:rsidRPr="0036609D" w:rsidRDefault="0036609D" w:rsidP="0036609D">
      <w:pPr>
        <w:rPr>
          <w:sz w:val="24"/>
          <w:szCs w:val="24"/>
          <w:lang w:val="en-US" w:eastAsia="bg-BG"/>
        </w:rPr>
      </w:pPr>
      <w:r w:rsidRPr="0036609D">
        <w:rPr>
          <w:lang w:val="en-US"/>
        </w:rPr>
        <w:t xml:space="preserve">Sandoz </w:t>
      </w:r>
      <w:proofErr w:type="spellStart"/>
      <w:r w:rsidRPr="0036609D">
        <w:rPr>
          <w:lang w:val="en-US"/>
        </w:rPr>
        <w:t>d.d.</w:t>
      </w:r>
      <w:proofErr w:type="spellEnd"/>
    </w:p>
    <w:p w14:paraId="77AE4486" w14:textId="77777777" w:rsidR="0036609D" w:rsidRPr="0036609D" w:rsidRDefault="0036609D" w:rsidP="0036609D">
      <w:pPr>
        <w:rPr>
          <w:sz w:val="24"/>
          <w:szCs w:val="24"/>
          <w:lang w:val="en-US" w:eastAsia="bg-BG"/>
        </w:rPr>
      </w:pPr>
      <w:proofErr w:type="spellStart"/>
      <w:r w:rsidRPr="0036609D">
        <w:rPr>
          <w:lang w:val="en-US"/>
        </w:rPr>
        <w:t>Verovskova</w:t>
      </w:r>
      <w:proofErr w:type="spellEnd"/>
      <w:r w:rsidRPr="0036609D">
        <w:rPr>
          <w:lang w:val="en-US"/>
        </w:rPr>
        <w:t xml:space="preserve"> </w:t>
      </w:r>
      <w:r w:rsidRPr="0036609D">
        <w:rPr>
          <w:lang w:eastAsia="bg-BG"/>
        </w:rPr>
        <w:t xml:space="preserve">57, 1000 </w:t>
      </w:r>
      <w:r w:rsidRPr="0036609D">
        <w:rPr>
          <w:lang w:val="en-US"/>
        </w:rPr>
        <w:t>Ljubljana</w:t>
      </w:r>
    </w:p>
    <w:p w14:paraId="2877C3C6" w14:textId="7387C296" w:rsidR="0036609D" w:rsidRPr="0036609D" w:rsidRDefault="0036609D" w:rsidP="0036609D">
      <w:r w:rsidRPr="0036609D">
        <w:rPr>
          <w:lang w:eastAsia="bg-BG"/>
        </w:rPr>
        <w:t>Словения</w:t>
      </w:r>
    </w:p>
    <w:p w14:paraId="0A53321D" w14:textId="26EB2D0B" w:rsidR="00EE6C97" w:rsidRDefault="00936AD0" w:rsidP="00A93499">
      <w:pPr>
        <w:pStyle w:val="Heading1"/>
      </w:pPr>
      <w:r>
        <w:t>8.</w:t>
      </w:r>
      <w:r w:rsidR="002C50EE">
        <w:t>НОМЕР НА РАЗРЕШЕНИЕТО ЗА УПОТРЕБА</w:t>
      </w:r>
    </w:p>
    <w:p w14:paraId="272BC07C" w14:textId="54842572" w:rsidR="0036609D" w:rsidRDefault="0036609D" w:rsidP="0036609D"/>
    <w:p w14:paraId="5251B57A" w14:textId="77777777" w:rsidR="0036609D" w:rsidRPr="0036609D" w:rsidRDefault="0036609D" w:rsidP="0036609D">
      <w:pPr>
        <w:rPr>
          <w:sz w:val="24"/>
          <w:szCs w:val="24"/>
          <w:lang w:eastAsia="bg-BG"/>
        </w:rPr>
      </w:pPr>
      <w:r w:rsidRPr="0036609D">
        <w:rPr>
          <w:lang w:eastAsia="bg-BG"/>
        </w:rPr>
        <w:t xml:space="preserve">Вилспокс 50 </w:t>
      </w:r>
      <w:r w:rsidRPr="0036609D">
        <w:rPr>
          <w:lang w:val="en-US"/>
        </w:rPr>
        <w:t xml:space="preserve">mg/850 mg: </w:t>
      </w:r>
      <w:r w:rsidRPr="0036609D">
        <w:rPr>
          <w:lang w:eastAsia="bg-BG"/>
        </w:rPr>
        <w:t>20170218</w:t>
      </w:r>
    </w:p>
    <w:p w14:paraId="23ABEC14" w14:textId="77777777" w:rsidR="0036609D" w:rsidRPr="0036609D" w:rsidRDefault="0036609D" w:rsidP="0036609D">
      <w:pPr>
        <w:rPr>
          <w:sz w:val="24"/>
          <w:szCs w:val="24"/>
          <w:lang w:eastAsia="bg-BG"/>
        </w:rPr>
      </w:pPr>
      <w:r w:rsidRPr="0036609D">
        <w:rPr>
          <w:lang w:eastAsia="bg-BG"/>
        </w:rPr>
        <w:t xml:space="preserve">Вилспокс 50 </w:t>
      </w:r>
      <w:r w:rsidRPr="0036609D">
        <w:rPr>
          <w:lang w:val="en-US"/>
        </w:rPr>
        <w:t>mg/1000 mg: 20170219</w:t>
      </w:r>
    </w:p>
    <w:p w14:paraId="6C9D5C6E" w14:textId="77777777" w:rsidR="0036609D" w:rsidRPr="0036609D" w:rsidRDefault="0036609D" w:rsidP="0036609D"/>
    <w:p w14:paraId="3715C10B" w14:textId="51934B21" w:rsidR="00BB22B4" w:rsidRDefault="002C50EE" w:rsidP="00471F10">
      <w:pPr>
        <w:pStyle w:val="Heading1"/>
      </w:pPr>
      <w:r>
        <w:t>9. ДАТА НА ПЪРВО РАЗРЕШАВАНЕ/ПОДНОВЯВАНЕ НА РАЗРЕШЕНИЕТО ЗА УПОТРЕБА</w:t>
      </w:r>
    </w:p>
    <w:p w14:paraId="1AB6043C" w14:textId="53CD4411" w:rsidR="0036609D" w:rsidRDefault="0036609D" w:rsidP="0036609D"/>
    <w:p w14:paraId="611C64F2" w14:textId="77777777" w:rsidR="0036609D" w:rsidRPr="0036609D" w:rsidRDefault="0036609D" w:rsidP="0036609D">
      <w:pPr>
        <w:rPr>
          <w:sz w:val="24"/>
          <w:szCs w:val="24"/>
          <w:lang w:eastAsia="bg-BG"/>
        </w:rPr>
      </w:pPr>
      <w:r w:rsidRPr="0036609D">
        <w:rPr>
          <w:lang w:eastAsia="bg-BG"/>
        </w:rPr>
        <w:t>Дата на първо разрешаване: 23.06.2017</w:t>
      </w:r>
    </w:p>
    <w:p w14:paraId="04B92AF4" w14:textId="500CC42D" w:rsidR="0036609D" w:rsidRPr="0036609D" w:rsidRDefault="0036609D" w:rsidP="0036609D">
      <w:pPr>
        <w:rPr>
          <w:sz w:val="24"/>
          <w:szCs w:val="24"/>
          <w:lang w:eastAsia="bg-BG"/>
        </w:rPr>
      </w:pPr>
      <w:r w:rsidRPr="0036609D">
        <w:rPr>
          <w:lang w:eastAsia="bg-BG"/>
        </w:rPr>
        <w:t>Дата на последно подновяване: 07.09.2022</w:t>
      </w:r>
    </w:p>
    <w:p w14:paraId="43FB38A2" w14:textId="0C18A683" w:rsidR="007C605B" w:rsidRDefault="002C50EE" w:rsidP="005726E3">
      <w:pPr>
        <w:pStyle w:val="Heading1"/>
      </w:pPr>
      <w:r>
        <w:t>10. ДАТА НА АКТУАЛИЗИРАНЕ НА ТЕКСТА</w:t>
      </w:r>
      <w:bookmarkEnd w:id="0"/>
    </w:p>
    <w:p w14:paraId="472617BD" w14:textId="44483C89" w:rsidR="00BB22B4" w:rsidRPr="00BB22B4" w:rsidRDefault="0036609D" w:rsidP="0036609D">
      <w:r>
        <w:t>08/2022</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FFFFFFFF"/>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42E7CC3"/>
    <w:multiLevelType w:val="hybridMultilevel"/>
    <w:tmpl w:val="23F4D41C"/>
    <w:lvl w:ilvl="0" w:tplc="3E68960E">
      <w:start w:val="4"/>
      <w:numFmt w:val="bullet"/>
      <w:lvlText w:val=""/>
      <w:lvlJc w:val="left"/>
      <w:pPr>
        <w:ind w:left="720" w:hanging="360"/>
      </w:pPr>
      <w:rPr>
        <w:rFonts w:ascii="Wingdings" w:eastAsia="Times New Roman"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E10D1"/>
    <w:multiLevelType w:val="hybridMultilevel"/>
    <w:tmpl w:val="C87CE658"/>
    <w:lvl w:ilvl="0" w:tplc="88C0A1C6">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0"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7"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3"/>
  </w:num>
  <w:num w:numId="2" w16cid:durableId="1612932146">
    <w:abstractNumId w:val="0"/>
  </w:num>
  <w:num w:numId="3" w16cid:durableId="1810323821">
    <w:abstractNumId w:val="18"/>
  </w:num>
  <w:num w:numId="4" w16cid:durableId="2135319613">
    <w:abstractNumId w:val="4"/>
  </w:num>
  <w:num w:numId="5" w16cid:durableId="740105516">
    <w:abstractNumId w:val="1"/>
  </w:num>
  <w:num w:numId="6" w16cid:durableId="1668363208">
    <w:abstractNumId w:val="22"/>
  </w:num>
  <w:num w:numId="7" w16cid:durableId="1241988161">
    <w:abstractNumId w:val="15"/>
  </w:num>
  <w:num w:numId="8" w16cid:durableId="2102022361">
    <w:abstractNumId w:val="21"/>
  </w:num>
  <w:num w:numId="9" w16cid:durableId="1154613663">
    <w:abstractNumId w:val="3"/>
  </w:num>
  <w:num w:numId="10" w16cid:durableId="1733848127">
    <w:abstractNumId w:val="6"/>
  </w:num>
  <w:num w:numId="11" w16cid:durableId="1861704680">
    <w:abstractNumId w:val="36"/>
  </w:num>
  <w:num w:numId="12" w16cid:durableId="1434934028">
    <w:abstractNumId w:val="19"/>
  </w:num>
  <w:num w:numId="13" w16cid:durableId="479157895">
    <w:abstractNumId w:val="25"/>
  </w:num>
  <w:num w:numId="14" w16cid:durableId="1670476636">
    <w:abstractNumId w:val="17"/>
  </w:num>
  <w:num w:numId="15" w16cid:durableId="1000155783">
    <w:abstractNumId w:val="35"/>
  </w:num>
  <w:num w:numId="16" w16cid:durableId="2056420707">
    <w:abstractNumId w:val="14"/>
  </w:num>
  <w:num w:numId="17" w16cid:durableId="1787119182">
    <w:abstractNumId w:val="30"/>
  </w:num>
  <w:num w:numId="18" w16cid:durableId="722945139">
    <w:abstractNumId w:val="11"/>
  </w:num>
  <w:num w:numId="19" w16cid:durableId="1678728408">
    <w:abstractNumId w:val="32"/>
  </w:num>
  <w:num w:numId="20" w16cid:durableId="1970816657">
    <w:abstractNumId w:val="29"/>
  </w:num>
  <w:num w:numId="21" w16cid:durableId="1531146514">
    <w:abstractNumId w:val="23"/>
  </w:num>
  <w:num w:numId="22" w16cid:durableId="1276465">
    <w:abstractNumId w:val="31"/>
  </w:num>
  <w:num w:numId="23" w16cid:durableId="1624310558">
    <w:abstractNumId w:val="24"/>
  </w:num>
  <w:num w:numId="24" w16cid:durableId="1692877547">
    <w:abstractNumId w:val="12"/>
  </w:num>
  <w:num w:numId="25" w16cid:durableId="50930855">
    <w:abstractNumId w:val="28"/>
  </w:num>
  <w:num w:numId="26" w16cid:durableId="176701536">
    <w:abstractNumId w:val="27"/>
  </w:num>
  <w:num w:numId="27" w16cid:durableId="2050564750">
    <w:abstractNumId w:val="37"/>
  </w:num>
  <w:num w:numId="28" w16cid:durableId="1820733422">
    <w:abstractNumId w:val="9"/>
  </w:num>
  <w:num w:numId="29" w16cid:durableId="973678124">
    <w:abstractNumId w:val="26"/>
  </w:num>
  <w:num w:numId="30" w16cid:durableId="154884452">
    <w:abstractNumId w:val="41"/>
  </w:num>
  <w:num w:numId="31" w16cid:durableId="1053964910">
    <w:abstractNumId w:val="7"/>
  </w:num>
  <w:num w:numId="32" w16cid:durableId="2073575793">
    <w:abstractNumId w:val="39"/>
  </w:num>
  <w:num w:numId="33" w16cid:durableId="1566643170">
    <w:abstractNumId w:val="34"/>
  </w:num>
  <w:num w:numId="34" w16cid:durableId="2060787732">
    <w:abstractNumId w:val="38"/>
  </w:num>
  <w:num w:numId="35" w16cid:durableId="34161354">
    <w:abstractNumId w:val="10"/>
  </w:num>
  <w:num w:numId="36" w16cid:durableId="1976908676">
    <w:abstractNumId w:val="13"/>
  </w:num>
  <w:num w:numId="37" w16cid:durableId="758528303">
    <w:abstractNumId w:val="20"/>
  </w:num>
  <w:num w:numId="38" w16cid:durableId="178396561">
    <w:abstractNumId w:val="40"/>
  </w:num>
  <w:num w:numId="39" w16cid:durableId="934825996">
    <w:abstractNumId w:val="16"/>
  </w:num>
  <w:num w:numId="40" w16cid:durableId="249582071">
    <w:abstractNumId w:val="8"/>
  </w:num>
  <w:num w:numId="41" w16cid:durableId="983192727">
    <w:abstractNumId w:val="2"/>
  </w:num>
  <w:num w:numId="42" w16cid:durableId="6717652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071E9"/>
    <w:rsid w:val="0008537A"/>
    <w:rsid w:val="00185A46"/>
    <w:rsid w:val="001915B6"/>
    <w:rsid w:val="001A6EBD"/>
    <w:rsid w:val="001D1B23"/>
    <w:rsid w:val="002B3C38"/>
    <w:rsid w:val="002B4DBB"/>
    <w:rsid w:val="002C50EE"/>
    <w:rsid w:val="00340A0A"/>
    <w:rsid w:val="0036609D"/>
    <w:rsid w:val="003765DC"/>
    <w:rsid w:val="00395555"/>
    <w:rsid w:val="003E2E2A"/>
    <w:rsid w:val="003E3126"/>
    <w:rsid w:val="00426E5F"/>
    <w:rsid w:val="00430F15"/>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27789"/>
    <w:rsid w:val="0075649D"/>
    <w:rsid w:val="007C605B"/>
    <w:rsid w:val="008134C8"/>
    <w:rsid w:val="00814073"/>
    <w:rsid w:val="00826F0D"/>
    <w:rsid w:val="00875EEC"/>
    <w:rsid w:val="00893B92"/>
    <w:rsid w:val="008A6AF2"/>
    <w:rsid w:val="008C70A2"/>
    <w:rsid w:val="00936AD0"/>
    <w:rsid w:val="00954129"/>
    <w:rsid w:val="009773E4"/>
    <w:rsid w:val="009B171C"/>
    <w:rsid w:val="009F1313"/>
    <w:rsid w:val="00A20351"/>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B6364"/>
    <w:rsid w:val="00EE6C97"/>
    <w:rsid w:val="00F37B64"/>
    <w:rsid w:val="00F53FB7"/>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22</Pages>
  <Words>8121</Words>
  <Characters>46296</Characters>
  <Application>Microsoft Office Word</Application>
  <DocSecurity>0</DocSecurity>
  <Lines>385</Lines>
  <Paragraphs>108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ВАСИЛЕВ</cp:lastModifiedBy>
  <cp:revision>2</cp:revision>
  <dcterms:created xsi:type="dcterms:W3CDTF">2023-01-07T20:42:00Z</dcterms:created>
  <dcterms:modified xsi:type="dcterms:W3CDTF">2023-01-07T20:42:00Z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