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63C5737" w:rsidR="00C40420" w:rsidRDefault="00DD466D" w:rsidP="004A448E">
      <w:pPr>
        <w:pStyle w:val="Heading1"/>
      </w:pPr>
      <w:r>
        <w:t>1.ИМЕ НА ЛЕКАРСТВЕНИЯ ПРОДУКТ</w:t>
      </w:r>
    </w:p>
    <w:p w14:paraId="13EAC1A9" w14:textId="30141A5B" w:rsidR="008579FD" w:rsidRDefault="008579FD" w:rsidP="008579FD"/>
    <w:p w14:paraId="76D2E7FA" w14:textId="77777777" w:rsidR="008579FD" w:rsidRPr="008579FD" w:rsidRDefault="008579FD" w:rsidP="008579FD">
      <w:pPr>
        <w:rPr>
          <w:sz w:val="24"/>
          <w:szCs w:val="24"/>
          <w:lang w:val="ru-RU"/>
        </w:rPr>
      </w:pPr>
      <w:r w:rsidRPr="008579FD">
        <w:rPr>
          <w:lang w:eastAsia="bg-BG"/>
        </w:rPr>
        <w:t xml:space="preserve">Вимово 500 </w:t>
      </w:r>
      <w:r w:rsidRPr="008579FD">
        <w:rPr>
          <w:lang w:val="en-US"/>
        </w:rPr>
        <w:t>mg</w:t>
      </w:r>
      <w:r w:rsidRPr="008579FD">
        <w:rPr>
          <w:lang w:val="ru-RU"/>
        </w:rPr>
        <w:t xml:space="preserve">/20 </w:t>
      </w:r>
      <w:r w:rsidRPr="008579FD">
        <w:rPr>
          <w:lang w:val="en-US"/>
        </w:rPr>
        <w:t>mg</w:t>
      </w:r>
      <w:r w:rsidRPr="008579FD">
        <w:rPr>
          <w:lang w:val="ru-RU"/>
        </w:rPr>
        <w:t xml:space="preserve"> </w:t>
      </w:r>
      <w:r w:rsidRPr="008579FD">
        <w:rPr>
          <w:lang w:eastAsia="bg-BG"/>
        </w:rPr>
        <w:t>таблетки с изменено освобождаване</w:t>
      </w:r>
    </w:p>
    <w:p w14:paraId="0E43E41C" w14:textId="141A4A20" w:rsidR="008579FD" w:rsidRPr="008579FD" w:rsidRDefault="008579FD" w:rsidP="008579FD">
      <w:proofErr w:type="spellStart"/>
      <w:r w:rsidRPr="008579FD">
        <w:rPr>
          <w:lang w:val="en-US"/>
        </w:rPr>
        <w:t>Vimovo</w:t>
      </w:r>
      <w:proofErr w:type="spellEnd"/>
      <w:r w:rsidRPr="008579FD">
        <w:rPr>
          <w:lang w:val="en-US"/>
        </w:rPr>
        <w:t xml:space="preserve"> </w:t>
      </w:r>
      <w:r w:rsidRPr="008579FD">
        <w:rPr>
          <w:lang w:eastAsia="bg-BG"/>
        </w:rPr>
        <w:t xml:space="preserve">500 </w:t>
      </w:r>
      <w:r w:rsidRPr="008579FD">
        <w:rPr>
          <w:lang w:val="en-US"/>
        </w:rPr>
        <w:t>mg/20 mg modified-release tablets</w:t>
      </w:r>
    </w:p>
    <w:p w14:paraId="6920A680" w14:textId="4F9A5B1B" w:rsidR="00C40420" w:rsidRDefault="00DD466D" w:rsidP="004A448E">
      <w:pPr>
        <w:pStyle w:val="Heading1"/>
      </w:pPr>
      <w:r>
        <w:t>2. КАЧЕСТВЕН И КОЛИЧЕСТВЕН СЪСТАВ</w:t>
      </w:r>
    </w:p>
    <w:p w14:paraId="6FA5FE76" w14:textId="4E1FE509" w:rsidR="008579FD" w:rsidRDefault="008579FD" w:rsidP="008579FD"/>
    <w:p w14:paraId="2C598BFA"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Всяка таблетка с изменено освобождаване съдържа 500 </w:t>
      </w:r>
      <w:r w:rsidRPr="008579FD">
        <w:rPr>
          <w:rFonts w:eastAsia="Times New Roman" w:cs="Arial"/>
          <w:color w:val="000000"/>
          <w:lang w:val="en-US"/>
        </w:rPr>
        <w:t>mg</w:t>
      </w:r>
      <w:r w:rsidRPr="008579FD">
        <w:rPr>
          <w:rFonts w:eastAsia="Times New Roman" w:cs="Arial"/>
          <w:color w:val="000000"/>
        </w:rPr>
        <w:t xml:space="preserve"> </w:t>
      </w:r>
      <w:r w:rsidRPr="008579FD">
        <w:rPr>
          <w:rFonts w:eastAsia="Times New Roman" w:cs="Arial"/>
          <w:color w:val="000000"/>
          <w:lang w:eastAsia="bg-BG"/>
        </w:rPr>
        <w:t xml:space="preserve">напроксен </w:t>
      </w:r>
      <w:r w:rsidRPr="008579FD">
        <w:rPr>
          <w:rFonts w:eastAsia="Times New Roman" w:cs="Arial"/>
          <w:color w:val="000000"/>
        </w:rPr>
        <w:t>(</w:t>
      </w:r>
      <w:r w:rsidRPr="008579FD">
        <w:rPr>
          <w:rFonts w:eastAsia="Times New Roman" w:cs="Arial"/>
          <w:color w:val="000000"/>
          <w:lang w:val="en-US"/>
        </w:rPr>
        <w:t>naproxen</w:t>
      </w:r>
      <w:r w:rsidRPr="008579FD">
        <w:rPr>
          <w:rFonts w:eastAsia="Times New Roman" w:cs="Arial"/>
          <w:color w:val="000000"/>
        </w:rPr>
        <w:t xml:space="preserve">) </w:t>
      </w:r>
      <w:r w:rsidRPr="008579FD">
        <w:rPr>
          <w:rFonts w:eastAsia="Times New Roman" w:cs="Arial"/>
          <w:color w:val="000000"/>
          <w:lang w:eastAsia="bg-BG"/>
        </w:rPr>
        <w:t xml:space="preserve">и 20 </w:t>
      </w:r>
      <w:r w:rsidRPr="008579FD">
        <w:rPr>
          <w:rFonts w:eastAsia="Times New Roman" w:cs="Arial"/>
          <w:color w:val="000000"/>
          <w:lang w:val="en-US"/>
        </w:rPr>
        <w:t>mg</w:t>
      </w:r>
      <w:r w:rsidRPr="008579FD">
        <w:rPr>
          <w:rFonts w:eastAsia="Times New Roman" w:cs="Arial"/>
          <w:color w:val="000000"/>
        </w:rPr>
        <w:t xml:space="preserve"> </w:t>
      </w:r>
      <w:r w:rsidRPr="008579FD">
        <w:rPr>
          <w:rFonts w:eastAsia="Times New Roman" w:cs="Arial"/>
          <w:color w:val="000000"/>
          <w:lang w:eastAsia="bg-BG"/>
        </w:rPr>
        <w:t xml:space="preserve">езомепразол </w:t>
      </w:r>
      <w:r w:rsidRPr="008579FD">
        <w:rPr>
          <w:rFonts w:eastAsia="Times New Roman" w:cs="Arial"/>
          <w:color w:val="000000"/>
        </w:rPr>
        <w:t>(</w:t>
      </w:r>
      <w:r w:rsidRPr="008579FD">
        <w:rPr>
          <w:rFonts w:eastAsia="Times New Roman" w:cs="Arial"/>
          <w:color w:val="000000"/>
          <w:lang w:val="en-US"/>
        </w:rPr>
        <w:t>esomeprazole</w:t>
      </w:r>
      <w:r w:rsidRPr="008579FD">
        <w:rPr>
          <w:rFonts w:eastAsia="Times New Roman" w:cs="Arial"/>
          <w:color w:val="000000"/>
        </w:rPr>
        <w:t xml:space="preserve">) </w:t>
      </w:r>
      <w:r w:rsidRPr="008579FD">
        <w:rPr>
          <w:rFonts w:eastAsia="Times New Roman" w:cs="Arial"/>
          <w:color w:val="000000"/>
          <w:lang w:eastAsia="bg-BG"/>
        </w:rPr>
        <w:t>(като магнезиев трихидрат).</w:t>
      </w:r>
    </w:p>
    <w:p w14:paraId="7DF17EB5" w14:textId="77777777" w:rsidR="008579FD" w:rsidRPr="008579FD" w:rsidRDefault="008579FD" w:rsidP="008579FD">
      <w:pPr>
        <w:spacing w:line="240" w:lineRule="auto"/>
        <w:rPr>
          <w:rFonts w:eastAsia="Times New Roman" w:cs="Arial"/>
          <w:color w:val="000000"/>
          <w:lang w:eastAsia="bg-BG"/>
        </w:rPr>
      </w:pPr>
    </w:p>
    <w:p w14:paraId="025BBA29" w14:textId="1360A6F3"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Помощни вещества с известен ефект</w:t>
      </w:r>
    </w:p>
    <w:p w14:paraId="14015D30"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Вимово съдържа 0,02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метил-парахидроксибензоат и 0,01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пропил-парахидроксибензоат (вж. точки 4.4 и 6.1).</w:t>
      </w:r>
    </w:p>
    <w:p w14:paraId="38A260F6" w14:textId="77777777" w:rsidR="008579FD" w:rsidRPr="008579FD" w:rsidRDefault="008579FD" w:rsidP="008579FD"/>
    <w:p w14:paraId="614984C4" w14:textId="0F88E237" w:rsidR="008A6AF2" w:rsidRDefault="00DD466D" w:rsidP="002C50EE">
      <w:pPr>
        <w:pStyle w:val="Heading1"/>
      </w:pPr>
      <w:r>
        <w:t>3. ЛЕКАРСТВЕНА ФОРМА</w:t>
      </w:r>
    </w:p>
    <w:p w14:paraId="115B1C8B" w14:textId="6F62C730" w:rsidR="008579FD" w:rsidRDefault="008579FD" w:rsidP="008579FD"/>
    <w:p w14:paraId="0C64A544" w14:textId="77777777" w:rsidR="008579FD" w:rsidRPr="008579FD" w:rsidRDefault="008579FD" w:rsidP="008579FD">
      <w:pPr>
        <w:rPr>
          <w:sz w:val="24"/>
          <w:szCs w:val="24"/>
        </w:rPr>
      </w:pPr>
      <w:r w:rsidRPr="008579FD">
        <w:rPr>
          <w:lang w:eastAsia="bg-BG"/>
        </w:rPr>
        <w:t>Таблетки с изменено освобождаване, съдържащи ентерално-обвит (стомашно-устойчив) напроксен и филмиран езомепразол.</w:t>
      </w:r>
    </w:p>
    <w:p w14:paraId="0394011A" w14:textId="77777777" w:rsidR="008579FD" w:rsidRDefault="008579FD" w:rsidP="008579FD">
      <w:pPr>
        <w:rPr>
          <w:lang w:val="ru-RU"/>
        </w:rPr>
      </w:pPr>
    </w:p>
    <w:p w14:paraId="3B8077F5" w14:textId="7B583FC9" w:rsidR="008579FD" w:rsidRPr="008579FD" w:rsidRDefault="008579FD" w:rsidP="008579FD">
      <w:r w:rsidRPr="008579FD">
        <w:rPr>
          <w:lang w:val="ru-RU"/>
        </w:rPr>
        <w:t>18</w:t>
      </w:r>
      <w:r w:rsidRPr="008579FD">
        <w:rPr>
          <w:lang w:val="en-US"/>
        </w:rPr>
        <w:t>x</w:t>
      </w:r>
      <w:r w:rsidRPr="008579FD">
        <w:rPr>
          <w:lang w:val="ru-RU"/>
        </w:rPr>
        <w:t xml:space="preserve">9,5 </w:t>
      </w:r>
      <w:r w:rsidRPr="008579FD">
        <w:rPr>
          <w:lang w:val="en-US"/>
        </w:rPr>
        <w:t>mm</w:t>
      </w:r>
      <w:r w:rsidRPr="008579FD">
        <w:rPr>
          <w:lang w:val="ru-RU"/>
        </w:rPr>
        <w:t xml:space="preserve">, </w:t>
      </w:r>
      <w:r w:rsidRPr="008579FD">
        <w:rPr>
          <w:lang w:eastAsia="bg-BG"/>
        </w:rPr>
        <w:t>овални, биконвексни, жълти таблетки с надпис „500/20” с черно мастило.</w:t>
      </w:r>
    </w:p>
    <w:p w14:paraId="490FC2C4" w14:textId="32682B15" w:rsidR="002C50EE" w:rsidRDefault="002C50EE" w:rsidP="002C50EE">
      <w:pPr>
        <w:pStyle w:val="Heading1"/>
      </w:pPr>
      <w:r>
        <w:t>4. КЛИНИЧНИ ДАННИ</w:t>
      </w:r>
    </w:p>
    <w:p w14:paraId="0C8E6903" w14:textId="5FFAF851" w:rsidR="008134C8" w:rsidRDefault="002C50EE" w:rsidP="004A448E">
      <w:pPr>
        <w:pStyle w:val="Heading2"/>
      </w:pPr>
      <w:r>
        <w:t>4.1. Терапевтични показания</w:t>
      </w:r>
    </w:p>
    <w:p w14:paraId="3A152C45" w14:textId="59501BAC" w:rsidR="008579FD" w:rsidRDefault="008579FD" w:rsidP="008579FD"/>
    <w:p w14:paraId="78B0200A" w14:textId="77777777" w:rsidR="008579FD" w:rsidRPr="008579FD" w:rsidRDefault="008579FD" w:rsidP="008579FD">
      <w:pPr>
        <w:rPr>
          <w:sz w:val="24"/>
          <w:szCs w:val="24"/>
        </w:rPr>
      </w:pPr>
      <w:r w:rsidRPr="008579FD">
        <w:rPr>
          <w:lang w:eastAsia="bg-BG"/>
        </w:rPr>
        <w:t>Вимово е показан за симптоматично лечение на остеоартроза, ревматоиден артрит и анкилозиращ спондилит при възрастни пациенти, които са рискови за развитие на НСПВС-индуцирани язви на стомаха и/или дванадесетопръстника, при които лечението с по-ниски дози с напроксен или с други нестероидни противовъзпалителни средства (НСПВС) се счита за недостатъчно.</w:t>
      </w:r>
    </w:p>
    <w:p w14:paraId="71426FB2" w14:textId="77777777" w:rsidR="008579FD" w:rsidRPr="008579FD" w:rsidRDefault="008579FD" w:rsidP="008579FD"/>
    <w:p w14:paraId="30BE2C7B" w14:textId="17CA2AB4" w:rsidR="008134C8" w:rsidRDefault="002C50EE" w:rsidP="004A448E">
      <w:pPr>
        <w:pStyle w:val="Heading2"/>
      </w:pPr>
      <w:r>
        <w:t>4.2. Дозировка и начин на приложение</w:t>
      </w:r>
    </w:p>
    <w:p w14:paraId="41D4F3A9" w14:textId="2194840C" w:rsidR="008579FD" w:rsidRDefault="008579FD" w:rsidP="008579FD"/>
    <w:p w14:paraId="592FB519" w14:textId="77777777" w:rsidR="008579FD" w:rsidRPr="008579FD" w:rsidRDefault="008579FD" w:rsidP="008579FD">
      <w:pPr>
        <w:pStyle w:val="Heading3"/>
        <w:rPr>
          <w:rFonts w:eastAsia="Times New Roman"/>
          <w:u w:val="single"/>
        </w:rPr>
      </w:pPr>
      <w:r w:rsidRPr="008579FD">
        <w:rPr>
          <w:rFonts w:eastAsia="Times New Roman"/>
          <w:u w:val="single"/>
          <w:lang w:eastAsia="bg-BG"/>
        </w:rPr>
        <w:t>Дозировка</w:t>
      </w:r>
    </w:p>
    <w:p w14:paraId="164371FA"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Препоръчваната дозировка е 1 таблетка (500 </w:t>
      </w:r>
      <w:r w:rsidRPr="008579FD">
        <w:rPr>
          <w:rFonts w:eastAsia="Times New Roman" w:cs="Arial"/>
          <w:color w:val="000000"/>
          <w:lang w:val="en-US"/>
        </w:rPr>
        <w:t>mg</w:t>
      </w:r>
      <w:r w:rsidRPr="008579FD">
        <w:rPr>
          <w:rFonts w:eastAsia="Times New Roman" w:cs="Arial"/>
          <w:color w:val="000000"/>
          <w:lang w:val="ru-RU"/>
        </w:rPr>
        <w:t xml:space="preserve">/20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два пъти дневно.</w:t>
      </w:r>
    </w:p>
    <w:p w14:paraId="42616975" w14:textId="77777777" w:rsidR="008579FD" w:rsidRPr="008579FD" w:rsidRDefault="008579FD" w:rsidP="008579FD">
      <w:pPr>
        <w:spacing w:line="240" w:lineRule="auto"/>
        <w:rPr>
          <w:rFonts w:eastAsia="Times New Roman" w:cs="Arial"/>
          <w:color w:val="000000"/>
          <w:lang w:eastAsia="bg-BG"/>
        </w:rPr>
      </w:pPr>
    </w:p>
    <w:p w14:paraId="34783AE5" w14:textId="09ACB9D2"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Честотата на развитие на нежелани лекарствени реакции към напроксен може да се намали чрез използване на най-ниската ефикасна доза за възможно най-кратко време (вж. точка 4.4). При пациентите, които не са били лекувани предварително с НСПВС, трябва да се вземе предвид по-ниска дневна доза напроксен или друг НСПВС. За тази цел има продукти с нефиксирана комбинация. Ако общата дневна доза от 1 000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(500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два пъти дневно) напроксен бъде преценена като неподходяща, следва да се премине </w:t>
      </w:r>
      <w:r w:rsidRPr="008579FD">
        <w:rPr>
          <w:rFonts w:eastAsia="Times New Roman" w:cs="Arial"/>
          <w:color w:val="000000"/>
          <w:lang w:eastAsia="bg-BG"/>
        </w:rPr>
        <w:lastRenderedPageBreak/>
        <w:t>към алтернативно лечение с таблетки напроксен с по-малко количество на активното вещество или с други НСПВС като нефиксирана комбинация.</w:t>
      </w:r>
    </w:p>
    <w:p w14:paraId="56DE3615" w14:textId="77777777" w:rsidR="008579FD" w:rsidRPr="008579FD" w:rsidRDefault="008579FD" w:rsidP="008579FD">
      <w:pPr>
        <w:spacing w:line="240" w:lineRule="auto"/>
        <w:rPr>
          <w:rFonts w:eastAsia="Times New Roman" w:cs="Arial"/>
          <w:color w:val="000000"/>
          <w:lang w:eastAsia="bg-BG"/>
        </w:rPr>
      </w:pPr>
    </w:p>
    <w:p w14:paraId="03782A14" w14:textId="2E1781E0"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Лечението трябва да се продължи до постигане на индивидуалните терапевтични цели да се преоценява редовно и, ако не се установи полза или се наблюдава влошаване, следва да се преустанови.</w:t>
      </w:r>
    </w:p>
    <w:p w14:paraId="5B24C184" w14:textId="77777777" w:rsidR="008579FD" w:rsidRPr="008579FD" w:rsidRDefault="008579FD" w:rsidP="008579FD">
      <w:pPr>
        <w:spacing w:line="240" w:lineRule="auto"/>
        <w:rPr>
          <w:rFonts w:eastAsia="Times New Roman" w:cs="Arial"/>
          <w:color w:val="000000"/>
          <w:lang w:eastAsia="bg-BG"/>
        </w:rPr>
      </w:pPr>
    </w:p>
    <w:p w14:paraId="33F2EE4C" w14:textId="2C20CB9B" w:rsidR="008579FD" w:rsidRPr="008579FD" w:rsidRDefault="008579FD" w:rsidP="008579FD">
      <w:pPr>
        <w:spacing w:line="240" w:lineRule="auto"/>
        <w:rPr>
          <w:rFonts w:eastAsia="Times New Roman" w:cs="Arial"/>
          <w:color w:val="000000"/>
          <w:lang w:eastAsia="bg-BG"/>
        </w:rPr>
      </w:pPr>
      <w:r w:rsidRPr="008579FD">
        <w:rPr>
          <w:rFonts w:eastAsia="Times New Roman" w:cs="Arial"/>
          <w:color w:val="000000"/>
          <w:lang w:eastAsia="bg-BG"/>
        </w:rPr>
        <w:t>Напроксен е ентерално обвит, поради което освобождаването му е забавено (3,5 часа), ето защо Вимово не е предназначен за бързо облекчаване на състояния с остра болка (като зъбна болка).</w:t>
      </w:r>
    </w:p>
    <w:p w14:paraId="012FCD4F" w14:textId="21E3F491" w:rsidR="008579FD" w:rsidRPr="008579FD" w:rsidRDefault="008579FD" w:rsidP="008579FD">
      <w:pPr>
        <w:spacing w:line="240" w:lineRule="auto"/>
        <w:rPr>
          <w:rFonts w:eastAsia="Times New Roman" w:cs="Arial"/>
          <w:color w:val="000000"/>
          <w:lang w:eastAsia="bg-BG"/>
        </w:rPr>
      </w:pPr>
    </w:p>
    <w:p w14:paraId="2BCCAE35"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Все пак, с Вимово могат да се лекуват кризи на остеоартрит, ревматоиден артрит и анкилозиращ спондилит.</w:t>
      </w:r>
    </w:p>
    <w:p w14:paraId="3AF47EB2" w14:textId="77777777" w:rsidR="008579FD" w:rsidRPr="008579FD" w:rsidRDefault="008579FD" w:rsidP="008579FD">
      <w:pPr>
        <w:spacing w:line="240" w:lineRule="auto"/>
        <w:rPr>
          <w:rFonts w:eastAsia="Times New Roman" w:cs="Arial"/>
          <w:color w:val="000000"/>
          <w:u w:val="single"/>
          <w:lang w:eastAsia="bg-BG"/>
        </w:rPr>
      </w:pPr>
    </w:p>
    <w:p w14:paraId="6643F3E7" w14:textId="4B4897CD" w:rsidR="008579FD" w:rsidRPr="008579FD" w:rsidRDefault="008579FD" w:rsidP="008579FD">
      <w:pPr>
        <w:spacing w:line="240" w:lineRule="auto"/>
        <w:rPr>
          <w:rFonts w:eastAsia="Times New Roman" w:cs="Arial"/>
          <w:sz w:val="24"/>
          <w:szCs w:val="24"/>
        </w:rPr>
      </w:pPr>
      <w:r w:rsidRPr="008579FD">
        <w:rPr>
          <w:rFonts w:eastAsia="Times New Roman" w:cs="Arial"/>
          <w:color w:val="000000"/>
          <w:u w:val="single"/>
          <w:lang w:eastAsia="bg-BG"/>
        </w:rPr>
        <w:t>Специални популации</w:t>
      </w:r>
    </w:p>
    <w:p w14:paraId="57F0DE27" w14:textId="77777777" w:rsidR="008579FD" w:rsidRPr="008579FD" w:rsidRDefault="008579FD" w:rsidP="008579FD">
      <w:pPr>
        <w:spacing w:line="240" w:lineRule="auto"/>
        <w:rPr>
          <w:rFonts w:eastAsia="Times New Roman" w:cs="Arial"/>
          <w:sz w:val="24"/>
          <w:szCs w:val="24"/>
        </w:rPr>
      </w:pPr>
      <w:r w:rsidRPr="008579FD">
        <w:rPr>
          <w:rFonts w:eastAsia="Times New Roman" w:cs="Arial"/>
          <w:i/>
          <w:iCs/>
          <w:color w:val="000000"/>
          <w:lang w:eastAsia="bg-BG"/>
        </w:rPr>
        <w:t>Бъбречно увреждане</w:t>
      </w:r>
    </w:p>
    <w:p w14:paraId="4E8753F6"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Вимово трябва да се използва с повишено внимание при пациенти с лека до умерено тежка бъбречна недостатъчност, като бъбречната функция следва да се следи стриктно. Трябва да се има предвид понижаване на общата дневна доза напроксен (вж. точки 4.4 и 4.5). Ако общата дневна доза от 1 000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(500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два пъти дневно) напроксен бъде преценена като неподходяща, следва да се премине към алтернативно лечение с таблетки напроксен с по-малко количество на активното вещество или с други НСПВС като нефиксирана комбинация, и освен това трябва да се оцени отново необходимостта от продължаване на гастропротективното лечение.</w:t>
      </w:r>
    </w:p>
    <w:p w14:paraId="22F26753" w14:textId="77777777" w:rsidR="008579FD" w:rsidRPr="008579FD" w:rsidRDefault="008579FD" w:rsidP="008579FD">
      <w:pPr>
        <w:spacing w:line="240" w:lineRule="auto"/>
        <w:rPr>
          <w:rFonts w:eastAsia="Times New Roman" w:cs="Arial"/>
          <w:color w:val="000000"/>
          <w:lang w:eastAsia="bg-BG"/>
        </w:rPr>
      </w:pPr>
    </w:p>
    <w:p w14:paraId="38ACDD62" w14:textId="50AD49BB"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Приемът на Вимово при пациенти с тежко бъбречно увреждане (креатининов клирънс &lt;30 </w:t>
      </w:r>
      <w:r w:rsidRPr="008579FD">
        <w:rPr>
          <w:rFonts w:eastAsia="Times New Roman" w:cs="Arial"/>
          <w:color w:val="000000"/>
          <w:lang w:val="en-US"/>
        </w:rPr>
        <w:t>ml</w:t>
      </w:r>
      <w:r w:rsidRPr="008579FD">
        <w:rPr>
          <w:rFonts w:eastAsia="Times New Roman" w:cs="Arial"/>
          <w:color w:val="000000"/>
          <w:lang w:eastAsia="bg-BG"/>
        </w:rPr>
        <w:t>/минута) е противопоказан, понеже при такива пациенти, както и при пациенти на хемодиализа, е наблюдавано кумулиране на метаболитите на напроксен (вж. точки 4.3 и 4.4).</w:t>
      </w:r>
    </w:p>
    <w:p w14:paraId="6D9FEA9D" w14:textId="77777777" w:rsidR="008579FD" w:rsidRPr="008579FD" w:rsidRDefault="008579FD" w:rsidP="008579FD">
      <w:pPr>
        <w:spacing w:line="240" w:lineRule="auto"/>
        <w:rPr>
          <w:rFonts w:eastAsia="Times New Roman" w:cs="Arial"/>
          <w:i/>
          <w:iCs/>
          <w:color w:val="000000"/>
          <w:lang w:eastAsia="bg-BG"/>
        </w:rPr>
      </w:pPr>
    </w:p>
    <w:p w14:paraId="5AB5CA59" w14:textId="48728D34" w:rsidR="008579FD" w:rsidRPr="008579FD" w:rsidRDefault="008579FD" w:rsidP="008579FD">
      <w:pPr>
        <w:spacing w:line="240" w:lineRule="auto"/>
        <w:rPr>
          <w:rFonts w:eastAsia="Times New Roman" w:cs="Arial"/>
          <w:sz w:val="24"/>
          <w:szCs w:val="24"/>
        </w:rPr>
      </w:pPr>
      <w:r w:rsidRPr="008579FD">
        <w:rPr>
          <w:rFonts w:eastAsia="Times New Roman" w:cs="Arial"/>
          <w:i/>
          <w:iCs/>
          <w:color w:val="000000"/>
          <w:lang w:eastAsia="bg-BG"/>
        </w:rPr>
        <w:t>Чернодробно увреждане</w:t>
      </w:r>
    </w:p>
    <w:p w14:paraId="0B2098B2"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Вимово трябва да се използва с повишено внимание при пациенти с леко до умерено тежко чернодробно увреждане, като чернодробната функция следва да се следи стриктно. Трябва да се има предвид понижаване на общата дневна доза напроксен (вж. точки 4.4 и 5.2). Ако общата дневна доза от 1 000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(500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два пъти дневно) напроксен бъде преценена като неподходяща, следва да се премине към алтернативно лечение с таблетки напроксен с по-малко количество на активното вещество или с други НСПВС като нефиксирана комбинация, и освен това трябва да се оцени отново необходимостта от продължаване на гастропротективното лечение.</w:t>
      </w:r>
    </w:p>
    <w:p w14:paraId="1BE0D90B" w14:textId="77777777" w:rsidR="008579FD" w:rsidRPr="008579FD" w:rsidRDefault="008579FD" w:rsidP="008579FD">
      <w:pPr>
        <w:spacing w:line="240" w:lineRule="auto"/>
        <w:rPr>
          <w:rFonts w:eastAsia="Times New Roman" w:cs="Arial"/>
          <w:color w:val="000000"/>
          <w:lang w:eastAsia="bg-BG"/>
        </w:rPr>
      </w:pPr>
    </w:p>
    <w:p w14:paraId="7C8E8867" w14:textId="2AF88A5D"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При пациенти с тежко чернодробно увреждане приемът на Вимово е противопоказан (вж. точки 4.3 и 5.2).</w:t>
      </w:r>
    </w:p>
    <w:p w14:paraId="5F8C189D" w14:textId="77777777" w:rsidR="008579FD" w:rsidRPr="008579FD" w:rsidRDefault="008579FD" w:rsidP="008579FD">
      <w:pPr>
        <w:spacing w:line="240" w:lineRule="auto"/>
        <w:rPr>
          <w:rFonts w:eastAsia="Times New Roman" w:cs="Arial"/>
          <w:i/>
          <w:iCs/>
          <w:color w:val="000000"/>
          <w:lang w:eastAsia="bg-BG"/>
        </w:rPr>
      </w:pPr>
    </w:p>
    <w:p w14:paraId="0313C9EA" w14:textId="1BF34ADF" w:rsidR="008579FD" w:rsidRPr="008579FD" w:rsidRDefault="008579FD" w:rsidP="008579FD">
      <w:pPr>
        <w:spacing w:line="240" w:lineRule="auto"/>
        <w:rPr>
          <w:rFonts w:eastAsia="Times New Roman" w:cs="Arial"/>
          <w:sz w:val="24"/>
          <w:szCs w:val="24"/>
        </w:rPr>
      </w:pPr>
      <w:r w:rsidRPr="008579FD">
        <w:rPr>
          <w:rFonts w:eastAsia="Times New Roman" w:cs="Arial"/>
          <w:i/>
          <w:iCs/>
          <w:color w:val="000000"/>
          <w:lang w:eastAsia="bg-BG"/>
        </w:rPr>
        <w:t>Хора в старческа възраст (&gt; 65-годишна възраст)</w:t>
      </w:r>
    </w:p>
    <w:p w14:paraId="2935B81A"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 xml:space="preserve">Хората в старческа възраст са с повишен риск за сериозни последствия от нежелани лекарствени реакции (вж. точки 4.4 и 5.2). Ако общата дневна доза от 1 000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(500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два пъти дневно) напроксен бъде преценена като неподходяща (напр. при хора в старческа възраст с бъбречна недостатъчност или с ниска телесна маса), следва да се премине към алтернативно лечение с таблетки напроксен с по-малко количество на активното вещество или с други НСПВС като нефиксирана комбинация, и освен това </w:t>
      </w:r>
      <w:r w:rsidRPr="008579FD">
        <w:rPr>
          <w:rFonts w:eastAsia="Times New Roman" w:cs="Arial"/>
          <w:color w:val="000000"/>
          <w:lang w:eastAsia="bg-BG"/>
        </w:rPr>
        <w:lastRenderedPageBreak/>
        <w:t>трябва да се оцени отново необходимостта от продължаване на гастропротективното лечение.</w:t>
      </w:r>
    </w:p>
    <w:p w14:paraId="39F168D0" w14:textId="77777777" w:rsidR="008579FD" w:rsidRPr="008579FD" w:rsidRDefault="008579FD" w:rsidP="008579FD">
      <w:pPr>
        <w:spacing w:line="240" w:lineRule="auto"/>
        <w:rPr>
          <w:rFonts w:eastAsia="Times New Roman" w:cs="Arial"/>
          <w:i/>
          <w:iCs/>
          <w:color w:val="000000"/>
          <w:lang w:eastAsia="bg-BG"/>
        </w:rPr>
      </w:pPr>
    </w:p>
    <w:p w14:paraId="0CE489BA" w14:textId="1C992371" w:rsidR="008579FD" w:rsidRPr="008579FD" w:rsidRDefault="008579FD" w:rsidP="008579FD">
      <w:pPr>
        <w:spacing w:line="240" w:lineRule="auto"/>
        <w:rPr>
          <w:rFonts w:eastAsia="Times New Roman" w:cs="Arial"/>
          <w:sz w:val="24"/>
          <w:szCs w:val="24"/>
        </w:rPr>
      </w:pPr>
      <w:r w:rsidRPr="008579FD">
        <w:rPr>
          <w:rFonts w:eastAsia="Times New Roman" w:cs="Arial"/>
          <w:i/>
          <w:iCs/>
          <w:color w:val="000000"/>
          <w:lang w:eastAsia="bg-BG"/>
        </w:rPr>
        <w:t>Педиатрична популация</w:t>
      </w:r>
    </w:p>
    <w:p w14:paraId="36846B9A"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Ефикасността и безопасността на Вимово при деца на възраст 0 до 18 години не е установена. Няма налични данни.</w:t>
      </w:r>
    </w:p>
    <w:p w14:paraId="5241E490" w14:textId="77777777" w:rsidR="008579FD" w:rsidRPr="008579FD" w:rsidRDefault="008579FD" w:rsidP="008579FD">
      <w:pPr>
        <w:spacing w:line="240" w:lineRule="auto"/>
        <w:rPr>
          <w:rFonts w:eastAsia="Times New Roman" w:cs="Arial"/>
          <w:color w:val="000000"/>
          <w:u w:val="single"/>
          <w:lang w:eastAsia="bg-BG"/>
        </w:rPr>
      </w:pPr>
    </w:p>
    <w:p w14:paraId="1120D448" w14:textId="7D4EC754" w:rsidR="008579FD" w:rsidRPr="008579FD" w:rsidRDefault="008579FD" w:rsidP="008579FD">
      <w:pPr>
        <w:pStyle w:val="Heading3"/>
        <w:rPr>
          <w:rFonts w:eastAsia="Times New Roman"/>
          <w:u w:val="single"/>
        </w:rPr>
      </w:pPr>
      <w:r w:rsidRPr="008579FD">
        <w:rPr>
          <w:rFonts w:eastAsia="Times New Roman"/>
          <w:u w:val="single"/>
          <w:lang w:eastAsia="bg-BG"/>
        </w:rPr>
        <w:t>Начин на приложение</w:t>
      </w:r>
    </w:p>
    <w:p w14:paraId="337C7FC3"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Таблетките Вимово трябва да се приемат цели, с вода, като не се разделят, дъвчат или разтрошават.</w:t>
      </w:r>
    </w:p>
    <w:p w14:paraId="6DF2360E" w14:textId="77777777" w:rsidR="008579FD" w:rsidRPr="008579FD" w:rsidRDefault="008579FD" w:rsidP="008579FD">
      <w:pPr>
        <w:spacing w:line="240" w:lineRule="auto"/>
        <w:rPr>
          <w:rFonts w:eastAsia="Times New Roman" w:cs="Arial"/>
          <w:color w:val="000000"/>
          <w:lang w:eastAsia="bg-BG"/>
        </w:rPr>
      </w:pPr>
    </w:p>
    <w:p w14:paraId="4A3E18C2" w14:textId="44EA5CAD"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Препоръчва се Вимово да се приема поне 30 минути преди поемане на храна (вж. точка 5.2).</w:t>
      </w:r>
    </w:p>
    <w:p w14:paraId="599A782E" w14:textId="566EE1DA" w:rsidR="008579FD" w:rsidRPr="008579FD" w:rsidRDefault="008579FD" w:rsidP="008579FD"/>
    <w:p w14:paraId="28C984E8" w14:textId="76DB5331" w:rsidR="008134C8" w:rsidRDefault="002C50EE" w:rsidP="004A448E">
      <w:pPr>
        <w:pStyle w:val="Heading2"/>
      </w:pPr>
      <w:r>
        <w:t>4.3. Противопоказания</w:t>
      </w:r>
    </w:p>
    <w:p w14:paraId="57136753" w14:textId="1E6FC3FB" w:rsidR="008579FD" w:rsidRDefault="008579FD" w:rsidP="008579FD"/>
    <w:p w14:paraId="7A0429B0" w14:textId="77777777" w:rsidR="008579FD" w:rsidRPr="008579FD" w:rsidRDefault="008579FD" w:rsidP="008579FD">
      <w:pPr>
        <w:pStyle w:val="ListParagraph"/>
        <w:numPr>
          <w:ilvl w:val="0"/>
          <w:numId w:val="35"/>
        </w:numPr>
        <w:rPr>
          <w:lang w:eastAsia="bg-BG"/>
        </w:rPr>
      </w:pPr>
      <w:r w:rsidRPr="008579FD">
        <w:rPr>
          <w:lang w:eastAsia="bg-BG"/>
        </w:rPr>
        <w:t>Свръхчувствителност към активните вещества, към някое от помощните вещества описани в точка 6.1, или към субституирани бензимидазоли.</w:t>
      </w:r>
    </w:p>
    <w:p w14:paraId="0CC037E2" w14:textId="77777777" w:rsidR="008579FD" w:rsidRPr="008579FD" w:rsidRDefault="008579FD" w:rsidP="008579FD">
      <w:pPr>
        <w:pStyle w:val="ListParagraph"/>
        <w:numPr>
          <w:ilvl w:val="0"/>
          <w:numId w:val="35"/>
        </w:numPr>
        <w:rPr>
          <w:lang w:eastAsia="bg-BG"/>
        </w:rPr>
      </w:pPr>
      <w:r w:rsidRPr="008579FD">
        <w:rPr>
          <w:lang w:eastAsia="bg-BG"/>
        </w:rPr>
        <w:t>Анамнеза за астма, уртикария или алергични реакции, индуцирани от прием на ацетилсалицилова киселина или други НСПВС (вж. точка 4.4).</w:t>
      </w:r>
    </w:p>
    <w:p w14:paraId="42944F8F" w14:textId="77777777" w:rsidR="008579FD" w:rsidRPr="008579FD" w:rsidRDefault="008579FD" w:rsidP="008579FD">
      <w:pPr>
        <w:pStyle w:val="ListParagraph"/>
        <w:numPr>
          <w:ilvl w:val="0"/>
          <w:numId w:val="35"/>
        </w:numPr>
        <w:rPr>
          <w:lang w:eastAsia="bg-BG"/>
        </w:rPr>
      </w:pPr>
      <w:r w:rsidRPr="008579FD">
        <w:rPr>
          <w:lang w:eastAsia="bg-BG"/>
        </w:rPr>
        <w:t>Трети триместър на бременността (вж. точка 4.6).</w:t>
      </w:r>
    </w:p>
    <w:p w14:paraId="4EBD0162" w14:textId="77777777" w:rsidR="008579FD" w:rsidRPr="008579FD" w:rsidRDefault="008579FD" w:rsidP="008579FD">
      <w:pPr>
        <w:pStyle w:val="ListParagraph"/>
        <w:numPr>
          <w:ilvl w:val="0"/>
          <w:numId w:val="35"/>
        </w:numPr>
        <w:rPr>
          <w:lang w:eastAsia="bg-BG"/>
        </w:rPr>
      </w:pPr>
      <w:r w:rsidRPr="008579FD">
        <w:rPr>
          <w:lang w:eastAsia="bg-BG"/>
        </w:rPr>
        <w:t xml:space="preserve">Тежка чернодробна недостатъчност (напр. </w:t>
      </w:r>
      <w:r w:rsidRPr="008579FD">
        <w:rPr>
          <w:lang w:val="en-US"/>
        </w:rPr>
        <w:t>Child</w:t>
      </w:r>
      <w:r w:rsidRPr="008579FD">
        <w:rPr>
          <w:lang w:val="ru-RU"/>
        </w:rPr>
        <w:t>-</w:t>
      </w:r>
      <w:r w:rsidRPr="008579FD">
        <w:rPr>
          <w:lang w:val="en-US"/>
        </w:rPr>
        <w:t>Pugh</w:t>
      </w:r>
      <w:r w:rsidRPr="008579FD">
        <w:rPr>
          <w:lang w:val="ru-RU"/>
        </w:rPr>
        <w:t xml:space="preserve"> </w:t>
      </w:r>
      <w:r w:rsidRPr="008579FD">
        <w:rPr>
          <w:lang w:eastAsia="bg-BG"/>
        </w:rPr>
        <w:t>С).</w:t>
      </w:r>
    </w:p>
    <w:p w14:paraId="43EADDAD" w14:textId="77777777" w:rsidR="008579FD" w:rsidRPr="008579FD" w:rsidRDefault="008579FD" w:rsidP="008579FD">
      <w:pPr>
        <w:pStyle w:val="ListParagraph"/>
        <w:numPr>
          <w:ilvl w:val="0"/>
          <w:numId w:val="35"/>
        </w:numPr>
        <w:rPr>
          <w:lang w:eastAsia="bg-BG"/>
        </w:rPr>
      </w:pPr>
      <w:r w:rsidRPr="008579FD">
        <w:rPr>
          <w:lang w:eastAsia="bg-BG"/>
        </w:rPr>
        <w:t>Тежка сърдечна недостатъчност.</w:t>
      </w:r>
    </w:p>
    <w:p w14:paraId="2446FDDB" w14:textId="77777777" w:rsidR="008579FD" w:rsidRPr="008579FD" w:rsidRDefault="008579FD" w:rsidP="008579FD">
      <w:pPr>
        <w:pStyle w:val="ListParagraph"/>
        <w:numPr>
          <w:ilvl w:val="0"/>
          <w:numId w:val="35"/>
        </w:numPr>
        <w:rPr>
          <w:lang w:eastAsia="bg-BG"/>
        </w:rPr>
      </w:pPr>
      <w:r w:rsidRPr="008579FD">
        <w:rPr>
          <w:lang w:eastAsia="bg-BG"/>
        </w:rPr>
        <w:t>Тежка бъбречна недостатъчност.</w:t>
      </w:r>
    </w:p>
    <w:p w14:paraId="52858363" w14:textId="77777777" w:rsidR="008579FD" w:rsidRPr="008579FD" w:rsidRDefault="008579FD" w:rsidP="008579FD">
      <w:pPr>
        <w:pStyle w:val="ListParagraph"/>
        <w:numPr>
          <w:ilvl w:val="0"/>
          <w:numId w:val="35"/>
        </w:numPr>
        <w:rPr>
          <w:lang w:eastAsia="bg-BG"/>
        </w:rPr>
      </w:pPr>
      <w:r w:rsidRPr="008579FD">
        <w:rPr>
          <w:lang w:eastAsia="bg-BG"/>
        </w:rPr>
        <w:t xml:space="preserve">Активна пептична язва (вж. точка 4.4, ефекти върху стомашно-чревния тракт </w:t>
      </w:r>
      <w:r w:rsidRPr="008579FD">
        <w:rPr>
          <w:i/>
          <w:iCs/>
          <w:lang w:eastAsia="bg-BG"/>
        </w:rPr>
        <w:t>Напроксен).</w:t>
      </w:r>
    </w:p>
    <w:p w14:paraId="670E5C15" w14:textId="77777777" w:rsidR="008579FD" w:rsidRPr="008579FD" w:rsidRDefault="008579FD" w:rsidP="008579FD">
      <w:pPr>
        <w:pStyle w:val="ListParagraph"/>
        <w:numPr>
          <w:ilvl w:val="0"/>
          <w:numId w:val="35"/>
        </w:numPr>
        <w:rPr>
          <w:lang w:eastAsia="bg-BG"/>
        </w:rPr>
      </w:pPr>
      <w:r w:rsidRPr="008579FD">
        <w:rPr>
          <w:lang w:eastAsia="bg-BG"/>
        </w:rPr>
        <w:t>Кървене от стомашно-чревния тракт, цереброваскуларно кървене или други нарушения, свързани с кървене (вж. точка 4.4).</w:t>
      </w:r>
    </w:p>
    <w:p w14:paraId="2CEF79C8" w14:textId="77777777" w:rsidR="008579FD" w:rsidRPr="008579FD" w:rsidRDefault="008579FD" w:rsidP="008579FD">
      <w:pPr>
        <w:pStyle w:val="ListParagraph"/>
        <w:numPr>
          <w:ilvl w:val="0"/>
          <w:numId w:val="35"/>
        </w:numPr>
        <w:rPr>
          <w:lang w:eastAsia="bg-BG"/>
        </w:rPr>
      </w:pPr>
      <w:r w:rsidRPr="008579FD">
        <w:rPr>
          <w:lang w:eastAsia="bg-BG"/>
        </w:rPr>
        <w:t>Вимово не трябва да се приема едновременно с атазанавир и нелфинавир (вж. точки 4.4 и 4.5).</w:t>
      </w:r>
    </w:p>
    <w:p w14:paraId="40BE2C15" w14:textId="77777777" w:rsidR="008579FD" w:rsidRPr="008579FD" w:rsidRDefault="008579FD" w:rsidP="008579FD"/>
    <w:p w14:paraId="212F509C" w14:textId="1EF2A151" w:rsidR="004F498A" w:rsidRDefault="002C50EE" w:rsidP="004A448E">
      <w:pPr>
        <w:pStyle w:val="Heading2"/>
      </w:pPr>
      <w:r>
        <w:t>4.4. Специални предупреждения и предпазни мерки при употреба</w:t>
      </w:r>
    </w:p>
    <w:p w14:paraId="5D2356E6" w14:textId="2FC9916B" w:rsidR="008579FD" w:rsidRDefault="008579FD" w:rsidP="008579FD"/>
    <w:p w14:paraId="36E11729" w14:textId="77777777"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Общи</w:t>
      </w:r>
    </w:p>
    <w:p w14:paraId="74425250"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Комбинирането на Вимово и НСПВС, включително селективни инхибитори на циклооксигеназа-2, трябва да </w:t>
      </w:r>
      <w:r w:rsidRPr="008579FD">
        <w:rPr>
          <w:rFonts w:eastAsia="Times New Roman" w:cs="Arial"/>
          <w:i/>
          <w:iCs/>
          <w:color w:val="000000"/>
          <w:lang w:eastAsia="bg-BG"/>
        </w:rPr>
        <w:t>се</w:t>
      </w:r>
      <w:r w:rsidRPr="008579FD">
        <w:rPr>
          <w:rFonts w:eastAsia="Times New Roman" w:cs="Arial"/>
          <w:color w:val="000000"/>
          <w:lang w:eastAsia="bg-BG"/>
        </w:rPr>
        <w:t xml:space="preserve"> избягва, защото има кумулативен риск от предизвикване на сериозни нежелани реакции, свързани с НСПВС. Вимово може да се използва с ацетилсалицилова киселина в ниска доза (вж. също точка 4.5).</w:t>
      </w:r>
    </w:p>
    <w:p w14:paraId="18467EE2" w14:textId="77777777" w:rsidR="008579FD" w:rsidRPr="008579FD" w:rsidRDefault="008579FD" w:rsidP="008579FD">
      <w:pPr>
        <w:spacing w:line="240" w:lineRule="auto"/>
        <w:rPr>
          <w:rFonts w:eastAsia="Times New Roman" w:cs="Arial"/>
          <w:color w:val="000000"/>
          <w:lang w:eastAsia="bg-BG"/>
        </w:rPr>
      </w:pPr>
    </w:p>
    <w:p w14:paraId="2F5CBFC6" w14:textId="5629AFB4" w:rsidR="008579FD" w:rsidRPr="008579FD" w:rsidRDefault="008579FD" w:rsidP="008579FD">
      <w:pPr>
        <w:spacing w:line="240" w:lineRule="auto"/>
        <w:rPr>
          <w:rFonts w:eastAsia="Times New Roman" w:cs="Arial"/>
        </w:rPr>
      </w:pPr>
      <w:r w:rsidRPr="008579FD">
        <w:rPr>
          <w:rFonts w:eastAsia="Times New Roman" w:cs="Arial"/>
          <w:color w:val="000000"/>
          <w:lang w:eastAsia="bg-BG"/>
        </w:rPr>
        <w:t>Честотата на развитие на нежелани лекарствени реакции може да се намали чрез използване на най-ниската ефикасна доза за възможно най-краткия период от време, необходим за овладяване на симптомите (вж. точка 4.2, както и стомашно-чревните и сърдечно-съдовите рискове по-долу).</w:t>
      </w:r>
    </w:p>
    <w:p w14:paraId="0417763B" w14:textId="77777777" w:rsidR="008579FD" w:rsidRPr="008579FD" w:rsidRDefault="008579FD" w:rsidP="008579FD">
      <w:pPr>
        <w:spacing w:line="240" w:lineRule="auto"/>
        <w:rPr>
          <w:rFonts w:eastAsia="Times New Roman" w:cs="Arial"/>
          <w:color w:val="000000"/>
          <w:lang w:eastAsia="bg-BG"/>
        </w:rPr>
      </w:pPr>
    </w:p>
    <w:p w14:paraId="1435DA63" w14:textId="637E6C8E" w:rsidR="008579FD" w:rsidRPr="008579FD" w:rsidRDefault="008579FD" w:rsidP="008579FD">
      <w:pPr>
        <w:spacing w:line="240" w:lineRule="auto"/>
        <w:rPr>
          <w:rFonts w:eastAsia="Times New Roman" w:cs="Arial"/>
        </w:rPr>
      </w:pPr>
      <w:r w:rsidRPr="008579FD">
        <w:rPr>
          <w:rFonts w:eastAsia="Times New Roman" w:cs="Arial"/>
          <w:color w:val="000000"/>
          <w:lang w:eastAsia="bg-BG"/>
        </w:rPr>
        <w:t>За да се предотврати прекомерно лечение, предписващият лекар трябва да оценява на клинично значими интервали, определящи се от индивидуалните рискове и от характеристиката, и тежестта на лекуваното основно заболяване, дали е възможен достатъчен контрол на болката с по-ниски дози НСПВС като нефиксирани комбинации.</w:t>
      </w:r>
    </w:p>
    <w:p w14:paraId="36844A44" w14:textId="77777777" w:rsidR="008579FD" w:rsidRPr="008579FD" w:rsidRDefault="008579FD" w:rsidP="008579FD">
      <w:pPr>
        <w:spacing w:line="240" w:lineRule="auto"/>
        <w:rPr>
          <w:rFonts w:eastAsia="Times New Roman" w:cs="Arial"/>
          <w:color w:val="000000"/>
          <w:lang w:eastAsia="bg-BG"/>
        </w:rPr>
      </w:pPr>
    </w:p>
    <w:p w14:paraId="7107B811" w14:textId="131F65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Ако общата дневна доза от 1 000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(500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два пъти дневно) напроксен бъде преценена като неподходяща, следва да се премине към алтернативно лечение с таблетки напроксен с по-малко количество на активното вещество или с други НСПВС като нефиксирана комбинация, и освен това трябва да се оцени отново необходимостта от продължаване на гастропротективното лечение.</w:t>
      </w:r>
    </w:p>
    <w:p w14:paraId="0C14E6D4" w14:textId="77777777" w:rsidR="008579FD" w:rsidRPr="008579FD" w:rsidRDefault="008579FD" w:rsidP="008579FD">
      <w:pPr>
        <w:spacing w:line="240" w:lineRule="auto"/>
        <w:rPr>
          <w:rFonts w:eastAsia="Times New Roman" w:cs="Arial"/>
          <w:color w:val="000000"/>
          <w:lang w:eastAsia="bg-BG"/>
        </w:rPr>
      </w:pPr>
    </w:p>
    <w:p w14:paraId="502D558B" w14:textId="0C21E9D9"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Рисковите фактори за развитие на стомашно-чревни усложнения, свързани с НСПВС, включват голяма възраст, едновременна употреба на антикоагуланти, кортикостероиди, други НСПВС, включително и ниски дози ацетилсалицилова киселина, изтощително сърдечно-съдово заболяване, инфекция с </w:t>
      </w:r>
      <w:r w:rsidRPr="008579FD">
        <w:rPr>
          <w:rFonts w:eastAsia="Times New Roman" w:cs="Arial"/>
          <w:i/>
          <w:iCs/>
          <w:color w:val="000000"/>
          <w:lang w:val="en-US"/>
        </w:rPr>
        <w:t>Helicobacter</w:t>
      </w:r>
      <w:r w:rsidRPr="008579FD">
        <w:rPr>
          <w:rFonts w:eastAsia="Times New Roman" w:cs="Arial"/>
          <w:i/>
          <w:iCs/>
          <w:color w:val="000000"/>
          <w:lang w:val="ru-RU"/>
        </w:rPr>
        <w:t xml:space="preserve"> </w:t>
      </w:r>
      <w:r w:rsidRPr="008579FD">
        <w:rPr>
          <w:rFonts w:eastAsia="Times New Roman" w:cs="Arial"/>
          <w:i/>
          <w:iCs/>
          <w:color w:val="000000"/>
          <w:lang w:val="en-US"/>
        </w:rPr>
        <w:t>pylori</w:t>
      </w:r>
      <w:r w:rsidRPr="008579FD">
        <w:rPr>
          <w:rFonts w:eastAsia="Times New Roman" w:cs="Arial"/>
          <w:color w:val="000000"/>
          <w:lang w:val="ru-RU"/>
        </w:rPr>
        <w:t xml:space="preserve"> </w:t>
      </w:r>
      <w:r w:rsidRPr="008579FD">
        <w:rPr>
          <w:rFonts w:eastAsia="Times New Roman" w:cs="Arial"/>
          <w:color w:val="000000"/>
          <w:lang w:eastAsia="bg-BG"/>
        </w:rPr>
        <w:t>и анамнеза за язви на стомаха и/или дванадесетопръстника, и за кървене от горните отдели на стомашно-чревния тракт.</w:t>
      </w:r>
    </w:p>
    <w:p w14:paraId="17792B05" w14:textId="77777777" w:rsidR="008579FD" w:rsidRPr="008579FD" w:rsidRDefault="008579FD" w:rsidP="008579FD">
      <w:pPr>
        <w:spacing w:line="240" w:lineRule="auto"/>
        <w:rPr>
          <w:rFonts w:eastAsia="Times New Roman" w:cs="Arial"/>
          <w:color w:val="000000"/>
          <w:lang w:eastAsia="bg-BG"/>
        </w:rPr>
      </w:pPr>
    </w:p>
    <w:p w14:paraId="76378897" w14:textId="18E800F3" w:rsidR="008579FD" w:rsidRPr="008579FD" w:rsidRDefault="008579FD" w:rsidP="008579FD">
      <w:pPr>
        <w:spacing w:line="240" w:lineRule="auto"/>
        <w:rPr>
          <w:rFonts w:eastAsia="Times New Roman" w:cs="Arial"/>
        </w:rPr>
      </w:pPr>
      <w:r w:rsidRPr="008579FD">
        <w:rPr>
          <w:rFonts w:eastAsia="Times New Roman" w:cs="Arial"/>
          <w:color w:val="000000"/>
          <w:lang w:eastAsia="bg-BG"/>
        </w:rPr>
        <w:t>При пациенти със следните състояния, напроксен трябва да се използва само след строга оценка на отношението полза-риск:</w:t>
      </w:r>
    </w:p>
    <w:p w14:paraId="3EA3489A" w14:textId="77777777" w:rsidR="008579FD" w:rsidRPr="008579FD" w:rsidRDefault="008579FD" w:rsidP="008579FD">
      <w:pPr>
        <w:pStyle w:val="ListParagraph"/>
        <w:numPr>
          <w:ilvl w:val="0"/>
          <w:numId w:val="36"/>
        </w:numPr>
        <w:spacing w:line="240" w:lineRule="auto"/>
        <w:rPr>
          <w:rFonts w:eastAsia="Times New Roman" w:cs="Arial"/>
          <w:color w:val="000000"/>
          <w:lang w:eastAsia="bg-BG"/>
        </w:rPr>
      </w:pPr>
      <w:r w:rsidRPr="008579FD">
        <w:rPr>
          <w:rFonts w:eastAsia="Times New Roman" w:cs="Arial"/>
          <w:color w:val="000000"/>
          <w:lang w:eastAsia="bg-BG"/>
        </w:rPr>
        <w:t>индуцибилни порфирии;</w:t>
      </w:r>
    </w:p>
    <w:p w14:paraId="06AF5B3E" w14:textId="35EF7689" w:rsidR="008579FD" w:rsidRPr="008579FD" w:rsidRDefault="008579FD" w:rsidP="008579FD">
      <w:pPr>
        <w:pStyle w:val="ListParagraph"/>
        <w:numPr>
          <w:ilvl w:val="0"/>
          <w:numId w:val="36"/>
        </w:numPr>
        <w:spacing w:line="240" w:lineRule="auto"/>
        <w:rPr>
          <w:rFonts w:eastAsia="Times New Roman" w:cs="Arial"/>
          <w:color w:val="000000"/>
          <w:lang w:eastAsia="bg-BG"/>
        </w:rPr>
      </w:pPr>
      <w:r w:rsidRPr="008579FD">
        <w:rPr>
          <w:rFonts w:eastAsia="Times New Roman" w:cs="Arial"/>
          <w:color w:val="000000"/>
          <w:lang w:eastAsia="bg-BG"/>
        </w:rPr>
        <w:t>системен лупус еритематозус и смесени заболявания на съединителната тъкан. При тези пациенти са описани редки случаи на асептичен менингит.</w:t>
      </w:r>
    </w:p>
    <w:p w14:paraId="3C5D4D3D" w14:textId="77777777" w:rsidR="008579FD" w:rsidRPr="008579FD" w:rsidRDefault="008579FD" w:rsidP="008579FD">
      <w:pPr>
        <w:spacing w:line="240" w:lineRule="auto"/>
        <w:rPr>
          <w:rFonts w:eastAsia="Times New Roman" w:cs="Arial"/>
          <w:color w:val="000000"/>
          <w:lang w:eastAsia="bg-BG"/>
        </w:rPr>
      </w:pPr>
    </w:p>
    <w:p w14:paraId="104C0609" w14:textId="192505D4" w:rsidR="008579FD" w:rsidRPr="008579FD" w:rsidRDefault="008579FD" w:rsidP="008579FD">
      <w:pPr>
        <w:spacing w:line="240" w:lineRule="auto"/>
        <w:rPr>
          <w:rFonts w:eastAsia="Times New Roman" w:cs="Arial"/>
        </w:rPr>
      </w:pPr>
      <w:r w:rsidRPr="008579FD">
        <w:rPr>
          <w:rFonts w:eastAsia="Times New Roman" w:cs="Arial"/>
          <w:color w:val="000000"/>
          <w:lang w:eastAsia="bg-BG"/>
        </w:rPr>
        <w:t>Пациентите на дългосрочно лечение (особено лекуваните в продължение на повече от година) трябва да са под редовен контрол.</w:t>
      </w:r>
    </w:p>
    <w:p w14:paraId="6F17F556" w14:textId="77777777" w:rsidR="008579FD" w:rsidRPr="008579FD" w:rsidRDefault="008579FD" w:rsidP="008579FD">
      <w:pPr>
        <w:spacing w:line="240" w:lineRule="auto"/>
        <w:rPr>
          <w:rFonts w:eastAsia="Times New Roman" w:cs="Arial"/>
          <w:color w:val="000000"/>
          <w:lang w:eastAsia="bg-BG"/>
        </w:rPr>
      </w:pPr>
    </w:p>
    <w:p w14:paraId="4F9036B3" w14:textId="6268F1FA" w:rsidR="008579FD" w:rsidRPr="008579FD" w:rsidRDefault="008579FD" w:rsidP="008579FD">
      <w:pPr>
        <w:spacing w:line="240" w:lineRule="auto"/>
        <w:rPr>
          <w:rFonts w:eastAsia="Times New Roman" w:cs="Arial"/>
        </w:rPr>
      </w:pPr>
      <w:r w:rsidRPr="008579FD">
        <w:rPr>
          <w:rFonts w:eastAsia="Times New Roman" w:cs="Arial"/>
          <w:color w:val="000000"/>
          <w:lang w:eastAsia="bg-BG"/>
        </w:rPr>
        <w:t>Вимово съдържа метил- и пропил-парахидроксибензоат в много ниски концентрации, ко</w:t>
      </w:r>
      <w:r w:rsidRPr="008579FD">
        <w:rPr>
          <w:rFonts w:eastAsia="Times New Roman" w:cs="Arial"/>
          <w:color w:val="000000"/>
          <w:u w:val="single"/>
          <w:lang w:eastAsia="bg-BG"/>
        </w:rPr>
        <w:t xml:space="preserve">ито </w:t>
      </w:r>
    </w:p>
    <w:p w14:paraId="6A8F4A0A"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могат да предизвикат развитието на алергични реакции (евентуално късни) (вж. точки 2 и 6.1)</w:t>
      </w:r>
    </w:p>
    <w:p w14:paraId="7B391129" w14:textId="77777777" w:rsidR="008579FD" w:rsidRPr="008579FD" w:rsidRDefault="008579FD" w:rsidP="008579FD">
      <w:pPr>
        <w:spacing w:line="240" w:lineRule="auto"/>
        <w:rPr>
          <w:rFonts w:eastAsia="Times New Roman" w:cs="Arial"/>
          <w:color w:val="000000"/>
          <w:u w:val="single"/>
          <w:lang w:eastAsia="bg-BG"/>
        </w:rPr>
      </w:pPr>
    </w:p>
    <w:p w14:paraId="161859BF" w14:textId="052BC534"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Хора в старческа възраст</w:t>
      </w:r>
    </w:p>
    <w:p w14:paraId="6D202440" w14:textId="77777777" w:rsidR="008579FD" w:rsidRPr="008579FD" w:rsidRDefault="008579FD" w:rsidP="008579FD">
      <w:pPr>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Хората в старческа възраст имат повишена честота на развитие на нежелани реакции особено кървене от стомашно-чревния тракт и перфорации, които могат да са фатални</w:t>
      </w:r>
      <w:r w:rsidRPr="008579FD">
        <w:rPr>
          <w:rFonts w:eastAsia="Times New Roman" w:cs="Arial"/>
          <w:color w:val="000000"/>
          <w:lang w:val="ru-RU" w:eastAsia="bg-BG"/>
        </w:rPr>
        <w:t xml:space="preserve"> </w:t>
      </w:r>
      <w:r w:rsidRPr="008579FD">
        <w:rPr>
          <w:rFonts w:eastAsia="Times New Roman" w:cs="Arial"/>
          <w:color w:val="000000"/>
          <w:lang w:eastAsia="bg-BG"/>
        </w:rPr>
        <w:t>(вж. точки 4.2 и 5.2). Съдържащият се във Вимово езомепразол понижава честотата на развитие на язви при хората в старческа възраст.</w:t>
      </w:r>
    </w:p>
    <w:p w14:paraId="11C9032E" w14:textId="77777777" w:rsidR="008579FD" w:rsidRPr="008579FD" w:rsidRDefault="008579FD" w:rsidP="008579FD">
      <w:pPr>
        <w:spacing w:line="240" w:lineRule="auto"/>
        <w:rPr>
          <w:rFonts w:eastAsia="Times New Roman" w:cs="Arial"/>
          <w:color w:val="000000"/>
          <w:u w:val="single"/>
          <w:lang w:eastAsia="bg-BG"/>
        </w:rPr>
      </w:pPr>
    </w:p>
    <w:p w14:paraId="051BA131" w14:textId="18125163"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Ефекти върху стомашно-чревния тракт</w:t>
      </w:r>
    </w:p>
    <w:p w14:paraId="100384AF"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При прием на всички НСПВС има съобщения за кръвоизливи от стомашно-чревния тракт, развитие на язви или перфорации, които могат да са с летален изход и могат да се развият във всеки един момент от лечението - с или без алармиращи симптоми или анамнеза за сериозни нежелани реакции от страна на стомашно-чревния тракт.</w:t>
      </w:r>
    </w:p>
    <w:p w14:paraId="78A0CA02" w14:textId="77777777" w:rsidR="008579FD" w:rsidRPr="008579FD" w:rsidRDefault="008579FD" w:rsidP="008579FD">
      <w:pPr>
        <w:spacing w:line="240" w:lineRule="auto"/>
        <w:rPr>
          <w:rFonts w:eastAsia="Times New Roman" w:cs="Arial"/>
          <w:color w:val="000000"/>
          <w:lang w:eastAsia="bg-BG"/>
        </w:rPr>
      </w:pPr>
    </w:p>
    <w:p w14:paraId="7205E3AB" w14:textId="678BC8BC"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Рискът за кръвоизлив от стомашно-чревния тракт, улцерация или перфорация при прием на НСПВС, расте с повишаване на дозата на НСПВС и е по-висок при пациенти с анамнеза за язва, особено за усложнена с кръвоизлив или перфорация (вж. точка 4.3), както и при хора в старческа възраст. При тези пациенти лечението трябва да се започва с най-ниската налична доза. При тях, както и при пациентите, при които се налага съпътстващ прием на ацетилсалицилова киселина в ниска доза или на други лекарствени продукти, повишаващи стомашно-чревния риск, трябва да се има предвид комбинираното лечение с гастропотектор (напр. с мизопростол или инхибитори на протонната помпа) (вж. </w:t>
      </w:r>
      <w:r w:rsidRPr="008579FD">
        <w:rPr>
          <w:rFonts w:eastAsia="Times New Roman" w:cs="Arial"/>
          <w:color w:val="000000"/>
          <w:lang w:eastAsia="bg-BG"/>
        </w:rPr>
        <w:lastRenderedPageBreak/>
        <w:t>по-долу и точка 4.5). Съставката на Вимово езомепразол е инхибитор на протонната помпа.</w:t>
      </w:r>
    </w:p>
    <w:p w14:paraId="05FBFCD6" w14:textId="77777777" w:rsidR="008579FD" w:rsidRPr="008579FD" w:rsidRDefault="008579FD" w:rsidP="008579FD">
      <w:pPr>
        <w:spacing w:line="240" w:lineRule="auto"/>
        <w:rPr>
          <w:rFonts w:eastAsia="Times New Roman" w:cs="Arial"/>
          <w:color w:val="000000"/>
          <w:lang w:eastAsia="bg-BG"/>
        </w:rPr>
      </w:pPr>
    </w:p>
    <w:p w14:paraId="66FC1CDE" w14:textId="4B729647" w:rsidR="008579FD" w:rsidRPr="008579FD" w:rsidRDefault="008579FD" w:rsidP="008579FD">
      <w:pPr>
        <w:spacing w:line="240" w:lineRule="auto"/>
        <w:rPr>
          <w:rFonts w:eastAsia="Times New Roman" w:cs="Arial"/>
        </w:rPr>
      </w:pPr>
      <w:r w:rsidRPr="008579FD">
        <w:rPr>
          <w:rFonts w:eastAsia="Times New Roman" w:cs="Arial"/>
          <w:color w:val="000000"/>
          <w:lang w:eastAsia="bg-BG"/>
        </w:rPr>
        <w:t>Пациентите с анамнеза за прояви на токсичност от страна на стомашно-чревния тракт, особено ако са в старческа възраст, трябва да съобщават за всеки симптом от страна на корема (най-вече за кървене от стомашно-чревния тракт), особено в началото на лечението.</w:t>
      </w:r>
    </w:p>
    <w:p w14:paraId="5DB85751" w14:textId="77777777" w:rsidR="008579FD" w:rsidRPr="008579FD" w:rsidRDefault="008579FD" w:rsidP="008579FD">
      <w:pPr>
        <w:spacing w:line="240" w:lineRule="auto"/>
        <w:rPr>
          <w:rFonts w:eastAsia="Times New Roman" w:cs="Arial"/>
          <w:color w:val="000000"/>
          <w:lang w:eastAsia="bg-BG"/>
        </w:rPr>
      </w:pPr>
    </w:p>
    <w:p w14:paraId="70EC5354" w14:textId="2F1F4575" w:rsidR="008579FD" w:rsidRPr="008579FD" w:rsidRDefault="008579FD" w:rsidP="008579FD">
      <w:pPr>
        <w:spacing w:line="240" w:lineRule="auto"/>
        <w:rPr>
          <w:rFonts w:eastAsia="Times New Roman" w:cs="Arial"/>
        </w:rPr>
      </w:pPr>
      <w:r w:rsidRPr="008579FD">
        <w:rPr>
          <w:rFonts w:eastAsia="Times New Roman" w:cs="Arial"/>
          <w:color w:val="000000"/>
          <w:lang w:eastAsia="bg-BG"/>
        </w:rPr>
        <w:t>Пациентите, приемащи НСПВС заедно с други лекарствени продукти, които могат да повишат риска от улцерации или кървене - като перорални кортикостероиди, антикоагуланти като варфарин, селективни инхибитори на обратния захват на серотонина или антиагреганти като ацетилсалицилова киселина, трябва да бъдат съветвани да се отнасят с повишено внимание (вж. точка 4.5 за информация за употребата на Вимово с ацетилсалицилова киселина в ниска доза).</w:t>
      </w:r>
    </w:p>
    <w:p w14:paraId="449861DC" w14:textId="77777777" w:rsidR="008579FD" w:rsidRPr="008579FD" w:rsidRDefault="008579FD" w:rsidP="008579FD">
      <w:pPr>
        <w:spacing w:line="240" w:lineRule="auto"/>
        <w:rPr>
          <w:rFonts w:eastAsia="Times New Roman" w:cs="Arial"/>
          <w:color w:val="000000"/>
          <w:lang w:eastAsia="bg-BG"/>
        </w:rPr>
      </w:pPr>
    </w:p>
    <w:p w14:paraId="35459FD3" w14:textId="03FAB903" w:rsidR="008579FD" w:rsidRPr="008579FD" w:rsidRDefault="008579FD" w:rsidP="008579FD">
      <w:pPr>
        <w:spacing w:line="240" w:lineRule="auto"/>
        <w:rPr>
          <w:rFonts w:eastAsia="Times New Roman" w:cs="Arial"/>
        </w:rPr>
      </w:pPr>
      <w:r w:rsidRPr="008579FD">
        <w:rPr>
          <w:rFonts w:eastAsia="Times New Roman" w:cs="Arial"/>
          <w:color w:val="000000"/>
          <w:lang w:eastAsia="bg-BG"/>
        </w:rPr>
        <w:t>В проучванията на Вимово не са проучвани усложненията на пептичните язви като кръвоизлив, перфорация или обструкция.</w:t>
      </w:r>
    </w:p>
    <w:p w14:paraId="02583D8B" w14:textId="77777777" w:rsidR="008579FD" w:rsidRPr="008579FD" w:rsidRDefault="008579FD" w:rsidP="008579FD">
      <w:pPr>
        <w:spacing w:line="240" w:lineRule="auto"/>
        <w:rPr>
          <w:rFonts w:eastAsia="Times New Roman" w:cs="Arial"/>
          <w:color w:val="000000"/>
          <w:lang w:eastAsia="bg-BG"/>
        </w:rPr>
      </w:pPr>
    </w:p>
    <w:p w14:paraId="4B11211E" w14:textId="24EF107C" w:rsidR="008579FD" w:rsidRPr="008579FD" w:rsidRDefault="008579FD" w:rsidP="008579FD">
      <w:pPr>
        <w:spacing w:line="240" w:lineRule="auto"/>
        <w:rPr>
          <w:rFonts w:eastAsia="Times New Roman" w:cs="Arial"/>
        </w:rPr>
      </w:pPr>
      <w:r w:rsidRPr="008579FD">
        <w:rPr>
          <w:rFonts w:eastAsia="Times New Roman" w:cs="Arial"/>
          <w:color w:val="000000"/>
          <w:lang w:eastAsia="bg-BG"/>
        </w:rPr>
        <w:t>Ако при пациент на Вимово се развие кръвоизлив от стомашно-чревния тракт или улцерация, лечението трябва да се спре (вж. точка 4.3).</w:t>
      </w:r>
    </w:p>
    <w:p w14:paraId="6CF51213" w14:textId="77777777" w:rsidR="008579FD" w:rsidRPr="008579FD" w:rsidRDefault="008579FD" w:rsidP="008579FD">
      <w:pPr>
        <w:spacing w:line="240" w:lineRule="auto"/>
        <w:rPr>
          <w:rFonts w:eastAsia="Times New Roman" w:cs="Arial"/>
          <w:color w:val="000000"/>
          <w:lang w:eastAsia="bg-BG"/>
        </w:rPr>
      </w:pPr>
    </w:p>
    <w:p w14:paraId="6B304FF7" w14:textId="0E3D9E78"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НСПВС трябва да се предписват с повишено внимание на пациентите с анамнеза за заболяване на стомашно-чревния тракт (улцерозен колит, болест на </w:t>
      </w:r>
      <w:r w:rsidRPr="008579FD">
        <w:rPr>
          <w:rFonts w:eastAsia="Times New Roman" w:cs="Arial"/>
          <w:color w:val="000000"/>
          <w:lang w:val="en-US"/>
        </w:rPr>
        <w:t>Crohn</w:t>
      </w:r>
      <w:r w:rsidRPr="008579FD">
        <w:rPr>
          <w:rFonts w:eastAsia="Times New Roman" w:cs="Arial"/>
          <w:color w:val="000000"/>
          <w:lang w:val="ru-RU"/>
        </w:rPr>
        <w:t xml:space="preserve">), </w:t>
      </w:r>
      <w:r w:rsidRPr="008579FD">
        <w:rPr>
          <w:rFonts w:eastAsia="Times New Roman" w:cs="Arial"/>
          <w:color w:val="000000"/>
          <w:lang w:eastAsia="bg-BG"/>
        </w:rPr>
        <w:t>понеже тези заболявания могат да се обострят (вж. точка 4.8).</w:t>
      </w:r>
    </w:p>
    <w:p w14:paraId="2DB04EC1" w14:textId="77777777" w:rsidR="008579FD" w:rsidRPr="008579FD" w:rsidRDefault="008579FD" w:rsidP="008579FD">
      <w:pPr>
        <w:spacing w:line="240" w:lineRule="auto"/>
        <w:rPr>
          <w:rFonts w:eastAsia="Times New Roman" w:cs="Arial"/>
          <w:i/>
          <w:iCs/>
          <w:color w:val="000000"/>
          <w:lang w:eastAsia="bg-BG"/>
        </w:rPr>
      </w:pPr>
    </w:p>
    <w:p w14:paraId="3778AF4A" w14:textId="10C34164"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Езомепразол:</w:t>
      </w:r>
      <w:r w:rsidRPr="008579FD">
        <w:rPr>
          <w:rFonts w:eastAsia="Times New Roman" w:cs="Arial"/>
          <w:color w:val="000000"/>
          <w:lang w:eastAsia="bg-BG"/>
        </w:rPr>
        <w:t xml:space="preserve"> При наличие на алармиращи симптоми (напр. значима непреднамерена загуба на тегло, рецидивиращо повръщане, дисфагия, хематемеза или мелена), както и при съмнение за язва на стомаха или наличие на такава, трябва да се изключи злокачествено новообразувание, понеже лечението с езомепразол магнезий може да облекчи симптомите и да забави диагнозата.</w:t>
      </w:r>
    </w:p>
    <w:p w14:paraId="64CDB1C5" w14:textId="77777777" w:rsidR="008579FD" w:rsidRPr="008579FD" w:rsidRDefault="008579FD" w:rsidP="008579FD">
      <w:pPr>
        <w:spacing w:line="240" w:lineRule="auto"/>
        <w:rPr>
          <w:rFonts w:eastAsia="Times New Roman" w:cs="Arial"/>
          <w:color w:val="000000"/>
          <w:lang w:eastAsia="bg-BG"/>
        </w:rPr>
      </w:pPr>
    </w:p>
    <w:p w14:paraId="2BE98DC4" w14:textId="5FCA0925" w:rsidR="008579FD" w:rsidRPr="008579FD" w:rsidRDefault="008579FD" w:rsidP="008579FD">
      <w:pPr>
        <w:spacing w:line="240" w:lineRule="auto"/>
        <w:rPr>
          <w:rFonts w:eastAsia="Times New Roman" w:cs="Arial"/>
        </w:rPr>
      </w:pPr>
      <w:r w:rsidRPr="008579FD">
        <w:rPr>
          <w:rFonts w:eastAsia="Times New Roman" w:cs="Arial"/>
          <w:color w:val="000000"/>
          <w:lang w:eastAsia="bg-BG"/>
        </w:rPr>
        <w:t>Въпреки добавянето на езомепразол към комбинирания препарат, все пак може да се развие диспепсия (вж. точка 5.1).</w:t>
      </w:r>
    </w:p>
    <w:p w14:paraId="593FC478" w14:textId="77777777" w:rsidR="008579FD" w:rsidRPr="008579FD" w:rsidRDefault="008579FD" w:rsidP="008579FD">
      <w:pPr>
        <w:spacing w:line="240" w:lineRule="auto"/>
        <w:rPr>
          <w:rFonts w:eastAsia="Times New Roman" w:cs="Arial"/>
          <w:color w:val="000000"/>
          <w:lang w:eastAsia="bg-BG"/>
        </w:rPr>
      </w:pPr>
    </w:p>
    <w:p w14:paraId="39F0508D" w14:textId="4229D0E5"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Лечение с инхибитори на протонната помпа може да доведе да леко повишаване на риска от развитие на стомашно-чревни инфекции, например </w:t>
      </w:r>
      <w:r w:rsidRPr="008579FD">
        <w:rPr>
          <w:rFonts w:eastAsia="Times New Roman" w:cs="Arial"/>
          <w:i/>
          <w:iCs/>
          <w:color w:val="000000"/>
          <w:lang w:val="en-US"/>
        </w:rPr>
        <w:t>Salmonella</w:t>
      </w:r>
      <w:r w:rsidRPr="008579FD">
        <w:rPr>
          <w:rFonts w:eastAsia="Times New Roman" w:cs="Arial"/>
          <w:color w:val="000000"/>
          <w:lang w:val="ru-RU"/>
        </w:rPr>
        <w:t xml:space="preserve"> </w:t>
      </w:r>
      <w:r w:rsidRPr="008579FD">
        <w:rPr>
          <w:rFonts w:eastAsia="Times New Roman" w:cs="Arial"/>
          <w:color w:val="000000"/>
          <w:lang w:eastAsia="bg-BG"/>
        </w:rPr>
        <w:t xml:space="preserve">и </w:t>
      </w:r>
      <w:r w:rsidRPr="008579FD">
        <w:rPr>
          <w:rFonts w:eastAsia="Times New Roman" w:cs="Arial"/>
          <w:i/>
          <w:iCs/>
          <w:color w:val="000000"/>
          <w:lang w:val="en-US"/>
        </w:rPr>
        <w:t>Campylobacter</w:t>
      </w:r>
      <w:r w:rsidRPr="008579FD">
        <w:rPr>
          <w:rFonts w:eastAsia="Times New Roman" w:cs="Arial"/>
          <w:color w:val="000000"/>
          <w:lang w:val="ru-RU"/>
        </w:rPr>
        <w:t xml:space="preserve"> </w:t>
      </w:r>
      <w:r w:rsidRPr="008579FD">
        <w:rPr>
          <w:rFonts w:eastAsia="Times New Roman" w:cs="Arial"/>
          <w:color w:val="000000"/>
          <w:lang w:eastAsia="bg-BG"/>
        </w:rPr>
        <w:t>(вж точка 5.1)</w:t>
      </w:r>
    </w:p>
    <w:p w14:paraId="6F936C60" w14:textId="77777777" w:rsidR="008579FD" w:rsidRPr="008579FD" w:rsidRDefault="008579FD" w:rsidP="008579FD">
      <w:pPr>
        <w:rPr>
          <w:rFonts w:eastAsia="Times New Roman" w:cs="Arial"/>
          <w:color w:val="000000"/>
          <w:lang w:eastAsia="bg-BG"/>
        </w:rPr>
      </w:pPr>
    </w:p>
    <w:p w14:paraId="1045F29A" w14:textId="77777777" w:rsidR="008579FD" w:rsidRPr="008579FD" w:rsidRDefault="008579FD" w:rsidP="008579FD">
      <w:pPr>
        <w:rPr>
          <w:rFonts w:eastAsia="Times New Roman" w:cs="Arial"/>
        </w:rPr>
      </w:pPr>
      <w:r w:rsidRPr="008579FD">
        <w:rPr>
          <w:rFonts w:eastAsia="Times New Roman" w:cs="Arial"/>
          <w:color w:val="000000"/>
          <w:lang w:eastAsia="bg-BG"/>
        </w:rPr>
        <w:t>Езомепразол, подобно на всички блокиращи киселината лекарства, може да намали абсорбцията на витамин В</w:t>
      </w:r>
      <w:r w:rsidRPr="008579FD">
        <w:rPr>
          <w:rFonts w:eastAsia="Times New Roman" w:cs="Arial"/>
          <w:color w:val="000000"/>
          <w:vertAlign w:val="subscript"/>
          <w:lang w:eastAsia="bg-BG"/>
        </w:rPr>
        <w:t>12</w:t>
      </w:r>
      <w:r w:rsidRPr="008579FD">
        <w:rPr>
          <w:rFonts w:eastAsia="Times New Roman" w:cs="Arial"/>
          <w:color w:val="000000"/>
          <w:lang w:eastAsia="bg-BG"/>
        </w:rPr>
        <w:t xml:space="preserve"> (цианкобаламин) поради хипо- или ахлорхидрия. Това трябва да се</w:t>
      </w:r>
      <w:r w:rsidRPr="008579FD">
        <w:rPr>
          <w:rFonts w:eastAsia="Times New Roman" w:cs="Arial"/>
          <w:color w:val="000000"/>
          <w:lang w:val="ru-RU" w:eastAsia="bg-BG"/>
        </w:rPr>
        <w:t xml:space="preserve"> </w:t>
      </w:r>
      <w:r w:rsidRPr="008579FD">
        <w:rPr>
          <w:rFonts w:eastAsia="Times New Roman" w:cs="Arial"/>
          <w:color w:val="000000"/>
          <w:lang w:eastAsia="bg-BG"/>
        </w:rPr>
        <w:t>има предвид при пациенти с намалени запаси или с рискови фактори за намалена резобция на витамин В</w:t>
      </w:r>
      <w:r w:rsidRPr="008579FD">
        <w:rPr>
          <w:rFonts w:eastAsia="Times New Roman" w:cs="Arial"/>
          <w:color w:val="000000"/>
          <w:vertAlign w:val="subscript"/>
          <w:lang w:eastAsia="bg-BG"/>
        </w:rPr>
        <w:t>12</w:t>
      </w:r>
      <w:r w:rsidRPr="008579FD">
        <w:rPr>
          <w:rFonts w:eastAsia="Times New Roman" w:cs="Arial"/>
          <w:color w:val="000000"/>
          <w:lang w:eastAsia="bg-BG"/>
        </w:rPr>
        <w:t xml:space="preserve"> при дългосрочна терапия.</w:t>
      </w:r>
    </w:p>
    <w:p w14:paraId="1A18EC4E" w14:textId="77777777" w:rsidR="008579FD" w:rsidRPr="008579FD" w:rsidRDefault="008579FD" w:rsidP="008579FD">
      <w:pPr>
        <w:spacing w:line="240" w:lineRule="auto"/>
        <w:rPr>
          <w:rFonts w:eastAsia="Times New Roman" w:cs="Arial"/>
          <w:color w:val="000000"/>
          <w:u w:val="single"/>
          <w:lang w:eastAsia="bg-BG"/>
        </w:rPr>
      </w:pPr>
    </w:p>
    <w:p w14:paraId="6678C3ED" w14:textId="146FA4FB"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Сърдечно-съдови и мозъчно-съдови ефекти</w:t>
      </w:r>
    </w:p>
    <w:p w14:paraId="42014DF7"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Пациентите с анамнеза за артериална хипертония и/или лека до умерено тежка застойна сърдечна недостатъчност трябва да са под съответен контрол, и трябва да им бъдат дадени разяснения, понеже има съобщения за задръжка на течности и развитие на отоци във връзка с лечение с НСПВС.</w:t>
      </w:r>
    </w:p>
    <w:p w14:paraId="0B560B6B" w14:textId="77777777" w:rsidR="008579FD" w:rsidRPr="008579FD" w:rsidRDefault="008579FD" w:rsidP="008579FD">
      <w:pPr>
        <w:spacing w:line="240" w:lineRule="auto"/>
        <w:rPr>
          <w:rFonts w:eastAsia="Times New Roman" w:cs="Arial"/>
          <w:color w:val="000000"/>
          <w:lang w:eastAsia="bg-BG"/>
        </w:rPr>
      </w:pPr>
    </w:p>
    <w:p w14:paraId="4718C1AA" w14:textId="492E2BE0" w:rsidR="008579FD" w:rsidRPr="008579FD" w:rsidRDefault="008579FD" w:rsidP="008579FD">
      <w:pPr>
        <w:spacing w:line="240" w:lineRule="auto"/>
        <w:rPr>
          <w:rFonts w:eastAsia="Times New Roman" w:cs="Arial"/>
        </w:rPr>
      </w:pPr>
      <w:r w:rsidRPr="008579FD">
        <w:rPr>
          <w:rFonts w:eastAsia="Times New Roman" w:cs="Arial"/>
          <w:color w:val="000000"/>
          <w:lang w:eastAsia="bg-BG"/>
        </w:rPr>
        <w:lastRenderedPageBreak/>
        <w:t xml:space="preserve">Клиничните проучвания и епидемиологичните данни говорят, че коксибите и някои НСПВС (особено във високи дози и при дългосрочно лечение) могат да са свързани с леко повишаване на риска за артериална тромбоза (напр. инфаркт на миокарда или инсулт). Макар данните да говорят, че употребата на напроксен (1 000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дневно) може да е свързана с понижен риск, не може да се изключи наличието на такъв.</w:t>
      </w:r>
    </w:p>
    <w:p w14:paraId="585CCB4F" w14:textId="77777777" w:rsidR="008579FD" w:rsidRPr="008579FD" w:rsidRDefault="008579FD" w:rsidP="008579FD">
      <w:pPr>
        <w:spacing w:line="240" w:lineRule="auto"/>
        <w:rPr>
          <w:rFonts w:eastAsia="Times New Roman" w:cs="Arial"/>
          <w:color w:val="000000"/>
          <w:lang w:eastAsia="bg-BG"/>
        </w:rPr>
      </w:pPr>
    </w:p>
    <w:p w14:paraId="1BCA74CC" w14:textId="7F00AF94" w:rsidR="008579FD" w:rsidRPr="008579FD" w:rsidRDefault="008579FD" w:rsidP="008579FD">
      <w:pPr>
        <w:spacing w:line="240" w:lineRule="auto"/>
        <w:rPr>
          <w:rFonts w:eastAsia="Times New Roman" w:cs="Arial"/>
        </w:rPr>
      </w:pPr>
      <w:r w:rsidRPr="008579FD">
        <w:rPr>
          <w:rFonts w:eastAsia="Times New Roman" w:cs="Arial"/>
          <w:color w:val="000000"/>
          <w:lang w:eastAsia="bg-BG"/>
        </w:rPr>
        <w:t>Пациентите с неовладяна артериална хипертония, застойна сърдечна недостатъчност, установена исхемична болест на сърцето, периферна съдова болест и/или мозъчно-съдова болест трябва да бъдат лекувани с напроксен само след внимателна оценка. Сходни съображения трябва да бъдат взимани предвид и преди започване на дългосрочно лечение при пациенти с рискови фактори за сърдечно-съдови инциденти (напр. артериална хипертония, хиперлипидемия, захарен диабет, тютюнопушене).</w:t>
      </w:r>
    </w:p>
    <w:p w14:paraId="741F1C5F" w14:textId="77777777" w:rsidR="008579FD" w:rsidRPr="008579FD" w:rsidRDefault="008579FD" w:rsidP="008579FD">
      <w:pPr>
        <w:spacing w:line="240" w:lineRule="auto"/>
        <w:rPr>
          <w:rFonts w:eastAsia="Times New Roman" w:cs="Arial"/>
          <w:color w:val="000000"/>
          <w:u w:val="single"/>
          <w:lang w:eastAsia="bg-BG"/>
        </w:rPr>
      </w:pPr>
    </w:p>
    <w:p w14:paraId="40EF6803" w14:textId="7AF069FE"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Бъбречни ефекти</w:t>
      </w:r>
    </w:p>
    <w:p w14:paraId="3B7613E1"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Има случаи, при които дългосрочният прием на НСПВС води до бъбречна папиларна некроза и други бъбречни увреди. Нефротоксичност е наблюдавана и при пациенти, при които бъбречните простагландини играят компенсаторна роля в поддържането на бъбречната перфузия. При тези пациенти приемът на НСПВС може да предизвика дозо-зависима редукция на простагландиновия синтез и, в резултат на това, ограничаване на бъбречния кръвоток, което да доведе до изява на бъбречна недостатъчност. Пациентите с най-висок риск за такава реакция са тези с нарушена бъбречна функция, хиповолемия, сърдечна недостатъчност, чернодробна недостатъчност, солено изчерпване, приемащите диуретици, инхибитори на ангиотензин конвертиращ ензим (АСЕ), ангиотензин II рецепторни антагонисти, както и хора в старческа възраст. Спирането на лечението с НСПВС обикновено се последва от възстановяване до състоянието преди лечението (вж. по-долу, както и точки 4.2 и 4.5).</w:t>
      </w:r>
    </w:p>
    <w:p w14:paraId="06B20A5F" w14:textId="77777777" w:rsidR="008579FD" w:rsidRPr="008579FD" w:rsidRDefault="008579FD" w:rsidP="008579FD">
      <w:pPr>
        <w:spacing w:line="240" w:lineRule="auto"/>
        <w:rPr>
          <w:rFonts w:eastAsia="Times New Roman" w:cs="Arial"/>
          <w:color w:val="000000"/>
          <w:u w:val="single"/>
          <w:lang w:eastAsia="bg-BG"/>
        </w:rPr>
      </w:pPr>
    </w:p>
    <w:p w14:paraId="3BE581F2" w14:textId="68906650"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Употреба при пациенти с бъбречно увреждане</w:t>
      </w:r>
    </w:p>
    <w:p w14:paraId="6EB6E745"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Понеже напроксен и метаболитите му се елиминират в голяма степен (95%) чрез екскреция с урината посредством гломерулна филтрация, той трябва да се използва с огромно внимание при пациенти с нарушена бъбречна функция, като при такива пациенти се препоръчва контрол на серумния креатинин и/или на креатининовия клирънс. Вимово е противопоказан при пациенти, чийто креатининов клирънс изходно е под 30 </w:t>
      </w:r>
      <w:r w:rsidRPr="008579FD">
        <w:rPr>
          <w:rFonts w:eastAsia="Times New Roman" w:cs="Arial"/>
          <w:color w:val="000000"/>
          <w:lang w:val="en-US"/>
        </w:rPr>
        <w:t>ml</w:t>
      </w:r>
      <w:r w:rsidRPr="008579FD">
        <w:rPr>
          <w:rFonts w:eastAsia="Times New Roman" w:cs="Arial"/>
          <w:color w:val="000000"/>
          <w:lang w:eastAsia="bg-BG"/>
        </w:rPr>
        <w:t>/минута (вж. точка 4.3).</w:t>
      </w:r>
    </w:p>
    <w:p w14:paraId="1A5FA294" w14:textId="77777777" w:rsidR="008579FD" w:rsidRPr="008579FD" w:rsidRDefault="008579FD" w:rsidP="008579FD">
      <w:pPr>
        <w:spacing w:line="240" w:lineRule="auto"/>
        <w:rPr>
          <w:rFonts w:eastAsia="Times New Roman" w:cs="Arial"/>
          <w:color w:val="000000"/>
          <w:lang w:eastAsia="bg-BG"/>
        </w:rPr>
      </w:pPr>
    </w:p>
    <w:p w14:paraId="79D33168" w14:textId="774482EC" w:rsidR="008579FD" w:rsidRPr="008579FD" w:rsidRDefault="008579FD" w:rsidP="008579FD">
      <w:pPr>
        <w:spacing w:line="240" w:lineRule="auto"/>
        <w:rPr>
          <w:rFonts w:eastAsia="Times New Roman" w:cs="Arial"/>
        </w:rPr>
      </w:pPr>
      <w:r w:rsidRPr="008579FD">
        <w:rPr>
          <w:rFonts w:eastAsia="Times New Roman" w:cs="Arial"/>
          <w:color w:val="000000"/>
          <w:lang w:eastAsia="bg-BG"/>
        </w:rPr>
        <w:t>Хемодиализата не понижава плазмената концентрация на напроксен поради голямата му степен на свързване с плазмените протеини.</w:t>
      </w:r>
    </w:p>
    <w:p w14:paraId="5530A4A8" w14:textId="77777777" w:rsidR="008579FD" w:rsidRPr="008579FD" w:rsidRDefault="008579FD" w:rsidP="008579FD">
      <w:pPr>
        <w:spacing w:line="240" w:lineRule="auto"/>
        <w:rPr>
          <w:rFonts w:eastAsia="Times New Roman" w:cs="Arial"/>
          <w:color w:val="000000"/>
          <w:lang w:eastAsia="bg-BG"/>
        </w:rPr>
      </w:pPr>
    </w:p>
    <w:p w14:paraId="361B5FFD" w14:textId="61ECD191" w:rsidR="008579FD" w:rsidRPr="008579FD" w:rsidRDefault="008579FD" w:rsidP="008579FD">
      <w:pPr>
        <w:spacing w:line="240" w:lineRule="auto"/>
        <w:rPr>
          <w:rFonts w:eastAsia="Times New Roman" w:cs="Arial"/>
        </w:rPr>
      </w:pPr>
      <w:r w:rsidRPr="008579FD">
        <w:rPr>
          <w:rFonts w:eastAsia="Times New Roman" w:cs="Arial"/>
          <w:color w:val="000000"/>
          <w:lang w:eastAsia="bg-BG"/>
        </w:rPr>
        <w:t>При определени пациенти, по-точно при тази с компрометиран бъбречен кръвоток поради извънклетъчно обемно изчерпване, чернодробна цироза, ограничаване на приема на натрий, застойна сърдечна недостатъчност и предшестващо бъбречно заболяване, бъбречната функция трябва да бъде оценявана преди и по време на лечението с Вимово. Някои пациенти в ст</w:t>
      </w:r>
      <w:r w:rsidRPr="008579FD">
        <w:rPr>
          <w:rFonts w:eastAsia="Times New Roman" w:cs="Arial"/>
          <w:color w:val="000000"/>
          <w:u w:val="single"/>
          <w:lang w:eastAsia="bg-BG"/>
        </w:rPr>
        <w:t>арческ</w:t>
      </w:r>
      <w:r w:rsidRPr="008579FD">
        <w:rPr>
          <w:rFonts w:eastAsia="Times New Roman" w:cs="Arial"/>
          <w:color w:val="000000"/>
          <w:lang w:eastAsia="bg-BG"/>
        </w:rPr>
        <w:t>а възраст, при които може да се очаква нарушена бъбречна функция, както и пациентите, приемащи диуретици, АСЕ-инхибитори или ангиотензин II рецепторни антагонисти, също попадат в тази категория. При тези пациенти трябва да се има предвид намаляване на дневната доза с цел ограничаване на ексцесивното кумулиране на метаболити на напроксен</w:t>
      </w:r>
    </w:p>
    <w:p w14:paraId="5D62F693" w14:textId="77777777" w:rsidR="008579FD" w:rsidRPr="008579FD" w:rsidRDefault="008579FD" w:rsidP="008579FD">
      <w:pPr>
        <w:rPr>
          <w:rFonts w:eastAsia="Times New Roman" w:cs="Arial"/>
          <w:color w:val="000000"/>
          <w:u w:val="single"/>
          <w:lang w:eastAsia="bg-BG"/>
        </w:rPr>
      </w:pPr>
    </w:p>
    <w:p w14:paraId="62DC83DF" w14:textId="389A562C" w:rsidR="008579FD" w:rsidRPr="008579FD" w:rsidRDefault="008579FD" w:rsidP="008579FD">
      <w:pPr>
        <w:rPr>
          <w:rFonts w:eastAsia="Times New Roman" w:cs="Arial"/>
          <w:color w:val="000000"/>
          <w:u w:val="single"/>
          <w:lang w:eastAsia="bg-BG"/>
        </w:rPr>
      </w:pPr>
      <w:r w:rsidRPr="008579FD">
        <w:rPr>
          <w:rFonts w:eastAsia="Times New Roman" w:cs="Arial"/>
          <w:color w:val="000000"/>
          <w:u w:val="single"/>
          <w:lang w:eastAsia="bg-BG"/>
        </w:rPr>
        <w:t>Чернодробни ефекти</w:t>
      </w:r>
    </w:p>
    <w:p w14:paraId="58747786"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При пациенти, приемащи НСПВС, може да се установи гранично повишаване на един или повече от чернодробните ензими. Чернодробните отклонения може да са резултат по-</w:t>
      </w:r>
      <w:r w:rsidRPr="008579FD">
        <w:rPr>
          <w:rFonts w:eastAsia="Times New Roman" w:cs="Arial"/>
          <w:color w:val="000000"/>
          <w:lang w:eastAsia="bg-BG"/>
        </w:rPr>
        <w:lastRenderedPageBreak/>
        <w:t>скоро от свръхчувствителност, отколкото от директна токсичност. Има съобщения за тежки чернодробни реакции, включително жълтеница и фатален фулминантен хепатит, чернодробна некроза и чернодробна недостатъчност, някои от тях - с летален изход.</w:t>
      </w:r>
    </w:p>
    <w:p w14:paraId="6DBF5EAC" w14:textId="77777777" w:rsidR="008579FD" w:rsidRPr="008579FD" w:rsidRDefault="008579FD" w:rsidP="008579FD">
      <w:pPr>
        <w:spacing w:line="240" w:lineRule="auto"/>
        <w:rPr>
          <w:rFonts w:eastAsia="Times New Roman" w:cs="Arial"/>
          <w:i/>
          <w:iCs/>
          <w:color w:val="000000"/>
          <w:lang w:eastAsia="bg-BG"/>
        </w:rPr>
      </w:pPr>
    </w:p>
    <w:p w14:paraId="071A39B5" w14:textId="3AD73956"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Хепаторенален синдром</w:t>
      </w:r>
    </w:p>
    <w:p w14:paraId="1424890F"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Употребата на НСПВС може да бъде свързана с остра бъбречна недостатъчност при пациенти с тежка чернодробна цироза. Тези пациенти често имат и съпътстваща коагулопатия, свързана с недостатъчен синтез на фактори на кръвосъсирването. Антитромбоцитният ефект, свързан с напроксен, може допълнително да повиши риска от тежко кървене при тези пациенти.</w:t>
      </w:r>
    </w:p>
    <w:p w14:paraId="2229DB85" w14:textId="77777777" w:rsidR="008579FD" w:rsidRPr="008579FD" w:rsidRDefault="008579FD" w:rsidP="008579FD">
      <w:pPr>
        <w:spacing w:line="240" w:lineRule="auto"/>
        <w:rPr>
          <w:rFonts w:eastAsia="Times New Roman" w:cs="Arial"/>
          <w:color w:val="000000"/>
          <w:u w:val="single"/>
          <w:lang w:eastAsia="bg-BG"/>
        </w:rPr>
      </w:pPr>
    </w:p>
    <w:p w14:paraId="58AAAFAF" w14:textId="0ACAD3BE"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Хематологични ефекти</w:t>
      </w:r>
    </w:p>
    <w:p w14:paraId="27229EFF"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При приложение на съдържащи напроксен продукти пациентите с нарушения на коагулацията, както и приемащите лекарствени продукти, повлияващи хемостазата, трябва да бъдат проследявани внимателно.</w:t>
      </w:r>
    </w:p>
    <w:p w14:paraId="4DCC7EC1" w14:textId="77777777" w:rsidR="008579FD" w:rsidRPr="008579FD" w:rsidRDefault="008579FD" w:rsidP="008579FD">
      <w:pPr>
        <w:spacing w:line="240" w:lineRule="auto"/>
        <w:rPr>
          <w:rFonts w:eastAsia="Times New Roman" w:cs="Arial"/>
          <w:color w:val="000000"/>
          <w:lang w:eastAsia="bg-BG"/>
        </w:rPr>
      </w:pPr>
    </w:p>
    <w:p w14:paraId="763A6EFB" w14:textId="619FE2CB" w:rsidR="008579FD" w:rsidRPr="008579FD" w:rsidRDefault="008579FD" w:rsidP="008579FD">
      <w:pPr>
        <w:spacing w:line="240" w:lineRule="auto"/>
        <w:rPr>
          <w:rFonts w:eastAsia="Times New Roman" w:cs="Arial"/>
        </w:rPr>
      </w:pPr>
      <w:r w:rsidRPr="008579FD">
        <w:rPr>
          <w:rFonts w:eastAsia="Times New Roman" w:cs="Arial"/>
          <w:color w:val="000000"/>
          <w:lang w:eastAsia="bg-BG"/>
        </w:rPr>
        <w:t>Рисковите за кръвоизливи пациенти, както и тези на антикоагулантно лечение (напр. с дикумаролови производни) може да са с повишен риск за кървене при съвместен прием с препарати, съдържащи напроксен (вж. точка 4.5).</w:t>
      </w:r>
    </w:p>
    <w:p w14:paraId="71C1ABA9" w14:textId="77777777" w:rsidR="008579FD" w:rsidRPr="008579FD" w:rsidRDefault="008579FD" w:rsidP="008579FD">
      <w:pPr>
        <w:spacing w:line="240" w:lineRule="auto"/>
        <w:rPr>
          <w:rFonts w:eastAsia="Times New Roman" w:cs="Arial"/>
          <w:color w:val="000000"/>
          <w:lang w:eastAsia="bg-BG"/>
        </w:rPr>
      </w:pPr>
    </w:p>
    <w:p w14:paraId="3F336A2A" w14:textId="327C9DE2" w:rsidR="008579FD" w:rsidRPr="008579FD" w:rsidRDefault="008579FD" w:rsidP="008579FD">
      <w:pPr>
        <w:spacing w:line="240" w:lineRule="auto"/>
        <w:rPr>
          <w:rFonts w:eastAsia="Times New Roman" w:cs="Arial"/>
          <w:color w:val="000000"/>
          <w:lang w:eastAsia="bg-BG"/>
        </w:rPr>
      </w:pPr>
      <w:r w:rsidRPr="008579FD">
        <w:rPr>
          <w:rFonts w:eastAsia="Times New Roman" w:cs="Arial"/>
          <w:color w:val="000000"/>
          <w:lang w:eastAsia="bg-BG"/>
        </w:rPr>
        <w:t xml:space="preserve">Напроксен подтиска тромбоцитната агрегация и удължава времето на кървене. Този ефект трябва </w:t>
      </w:r>
    </w:p>
    <w:p w14:paraId="3AC084ED" w14:textId="3927995D" w:rsidR="008579FD" w:rsidRPr="008579FD" w:rsidRDefault="008579FD" w:rsidP="008579FD">
      <w:pPr>
        <w:spacing w:line="240" w:lineRule="auto"/>
        <w:rPr>
          <w:rFonts w:eastAsia="Times New Roman" w:cs="Arial"/>
        </w:rPr>
      </w:pPr>
      <w:r w:rsidRPr="008579FD">
        <w:rPr>
          <w:rFonts w:eastAsia="Times New Roman" w:cs="Arial"/>
          <w:color w:val="000000"/>
          <w:lang w:eastAsia="bg-BG"/>
        </w:rPr>
        <w:t>да се има предвид при определяне на времето на кървене.</w:t>
      </w:r>
    </w:p>
    <w:p w14:paraId="05187E4D" w14:textId="77777777" w:rsidR="008579FD" w:rsidRPr="008579FD" w:rsidRDefault="008579FD" w:rsidP="008579FD">
      <w:pPr>
        <w:spacing w:line="240" w:lineRule="auto"/>
        <w:rPr>
          <w:rFonts w:eastAsia="Times New Roman" w:cs="Arial"/>
          <w:color w:val="000000"/>
          <w:lang w:eastAsia="bg-BG"/>
        </w:rPr>
      </w:pPr>
    </w:p>
    <w:p w14:paraId="06B847C0" w14:textId="2DE353F4" w:rsidR="008579FD" w:rsidRPr="008579FD" w:rsidRDefault="008579FD" w:rsidP="008579FD">
      <w:pPr>
        <w:spacing w:line="240" w:lineRule="auto"/>
        <w:rPr>
          <w:rFonts w:eastAsia="Times New Roman" w:cs="Arial"/>
        </w:rPr>
      </w:pPr>
      <w:r w:rsidRPr="008579FD">
        <w:rPr>
          <w:rFonts w:eastAsia="Times New Roman" w:cs="Arial"/>
          <w:color w:val="000000"/>
          <w:lang w:eastAsia="bg-BG"/>
        </w:rPr>
        <w:t>Когато при пациенти, приемащи Вимово, се развие активно и клинично значимо кървене от какъвто и да е източник, лечението трябва да се спре.</w:t>
      </w:r>
    </w:p>
    <w:p w14:paraId="24E1B171" w14:textId="77777777" w:rsidR="008579FD" w:rsidRPr="008579FD" w:rsidRDefault="008579FD" w:rsidP="008579FD">
      <w:pPr>
        <w:spacing w:line="240" w:lineRule="auto"/>
        <w:rPr>
          <w:rFonts w:eastAsia="Times New Roman" w:cs="Arial"/>
          <w:color w:val="000000"/>
          <w:u w:val="single"/>
          <w:lang w:eastAsia="bg-BG"/>
        </w:rPr>
      </w:pPr>
    </w:p>
    <w:p w14:paraId="66A54772" w14:textId="17B20E77"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Ефекти върху очите</w:t>
      </w:r>
    </w:p>
    <w:p w14:paraId="6DB2D12E"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Поради установяването в проучванията на НСПВС при животни на нежелани реакции от страна на очите, се препоръчва при развитие на промяна или нарушение на зрението да се направи очен преглед.</w:t>
      </w:r>
    </w:p>
    <w:p w14:paraId="7FF432A6" w14:textId="77777777" w:rsidR="008579FD" w:rsidRPr="008579FD" w:rsidRDefault="008579FD" w:rsidP="008579FD">
      <w:pPr>
        <w:spacing w:line="240" w:lineRule="auto"/>
        <w:rPr>
          <w:rFonts w:eastAsia="Times New Roman" w:cs="Arial"/>
          <w:color w:val="000000"/>
          <w:u w:val="single"/>
          <w:lang w:eastAsia="bg-BG"/>
        </w:rPr>
      </w:pPr>
    </w:p>
    <w:p w14:paraId="000FB9B7" w14:textId="0160F719"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Кожни ефекти</w:t>
      </w:r>
    </w:p>
    <w:p w14:paraId="76545973"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Има много редки съобщения за развитие на сериозни кожни реакции, в някои случаи с летален изход, включително ексфолиативен дерматит, синдром на </w:t>
      </w:r>
      <w:r w:rsidRPr="008579FD">
        <w:rPr>
          <w:rFonts w:eastAsia="Times New Roman" w:cs="Arial"/>
          <w:color w:val="000000"/>
          <w:lang w:val="en-US"/>
        </w:rPr>
        <w:t>Stevens</w:t>
      </w:r>
      <w:r w:rsidRPr="008579FD">
        <w:rPr>
          <w:rFonts w:eastAsia="Times New Roman" w:cs="Arial"/>
          <w:color w:val="000000"/>
          <w:lang w:val="ru-RU"/>
        </w:rPr>
        <w:t>-</w:t>
      </w:r>
      <w:r w:rsidRPr="008579FD">
        <w:rPr>
          <w:rFonts w:eastAsia="Times New Roman" w:cs="Arial"/>
          <w:color w:val="000000"/>
          <w:lang w:val="en-US"/>
        </w:rPr>
        <w:t>Johnson</w:t>
      </w:r>
      <w:r w:rsidRPr="008579FD">
        <w:rPr>
          <w:rFonts w:eastAsia="Times New Roman" w:cs="Arial"/>
          <w:color w:val="000000"/>
          <w:lang w:val="ru-RU"/>
        </w:rPr>
        <w:t xml:space="preserve"> </w:t>
      </w:r>
      <w:r w:rsidRPr="008579FD">
        <w:rPr>
          <w:rFonts w:eastAsia="Times New Roman" w:cs="Arial"/>
          <w:color w:val="000000"/>
          <w:lang w:eastAsia="bg-BG"/>
        </w:rPr>
        <w:t xml:space="preserve">и токсична епидермална некролиза, във връзка с употребата на НСПВС (вж. точка 4.8). Изглежда, че рискът за развитие на такива реакции е по-висок в началото на лечението, като в повечето случаи те се развиват през първия месец от лечението. Съобщен е лекарствен обрив с еозинофилия и системни симптоми </w:t>
      </w:r>
      <w:r w:rsidRPr="008579FD">
        <w:rPr>
          <w:rFonts w:eastAsia="Times New Roman" w:cs="Arial"/>
          <w:color w:val="000000"/>
          <w:lang w:val="ru-RU"/>
        </w:rPr>
        <w:t>(</w:t>
      </w:r>
      <w:r w:rsidRPr="008579FD">
        <w:rPr>
          <w:rFonts w:eastAsia="Times New Roman" w:cs="Arial"/>
          <w:color w:val="000000"/>
          <w:lang w:val="en-US"/>
        </w:rPr>
        <w:t>DRESS</w:t>
      </w:r>
      <w:r w:rsidRPr="008579FD">
        <w:rPr>
          <w:rFonts w:eastAsia="Times New Roman" w:cs="Arial"/>
          <w:color w:val="000000"/>
          <w:lang w:val="ru-RU"/>
        </w:rPr>
        <w:t xml:space="preserve">) </w:t>
      </w:r>
      <w:r w:rsidRPr="008579FD">
        <w:rPr>
          <w:rFonts w:eastAsia="Times New Roman" w:cs="Arial"/>
          <w:color w:val="000000"/>
          <w:lang w:eastAsia="bg-BG"/>
        </w:rPr>
        <w:t>при пациенти, приемащи НСПВС. При първата поява на кожен обрив, лигавична лезия или друг белег на свръхчувствителност, лечението с Вимово трябва да се спре.</w:t>
      </w:r>
    </w:p>
    <w:p w14:paraId="25941142" w14:textId="77777777" w:rsidR="008579FD" w:rsidRPr="008579FD" w:rsidRDefault="008579FD" w:rsidP="008579FD">
      <w:pPr>
        <w:spacing w:line="240" w:lineRule="auto"/>
        <w:rPr>
          <w:rFonts w:eastAsia="Times New Roman" w:cs="Arial"/>
          <w:i/>
          <w:iCs/>
          <w:color w:val="000000"/>
          <w:lang w:eastAsia="bg-BG"/>
        </w:rPr>
      </w:pPr>
    </w:p>
    <w:p w14:paraId="1CF884EC" w14:textId="56480FD4"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Езомепразол:</w:t>
      </w:r>
      <w:r w:rsidRPr="008579FD">
        <w:rPr>
          <w:rFonts w:eastAsia="Times New Roman" w:cs="Arial"/>
          <w:color w:val="000000"/>
          <w:lang w:eastAsia="bg-BG"/>
        </w:rPr>
        <w:t xml:space="preserve"> Инхибиторите на протонната помпа са свързани с много редки случаи на субакутен кожен лупус еритематодес </w:t>
      </w:r>
      <w:r w:rsidRPr="008579FD">
        <w:rPr>
          <w:rFonts w:eastAsia="Times New Roman" w:cs="Arial"/>
          <w:color w:val="000000"/>
          <w:lang w:val="ru-RU"/>
        </w:rPr>
        <w:t>(</w:t>
      </w:r>
      <w:r w:rsidRPr="008579FD">
        <w:rPr>
          <w:rFonts w:eastAsia="Times New Roman" w:cs="Arial"/>
          <w:color w:val="000000"/>
          <w:lang w:val="en-US"/>
        </w:rPr>
        <w:t>SCLE</w:t>
      </w:r>
      <w:r w:rsidRPr="008579FD">
        <w:rPr>
          <w:rFonts w:eastAsia="Times New Roman" w:cs="Arial"/>
          <w:color w:val="000000"/>
          <w:lang w:val="ru-RU"/>
        </w:rPr>
        <w:t xml:space="preserve">). </w:t>
      </w:r>
      <w:r w:rsidRPr="008579FD">
        <w:rPr>
          <w:rFonts w:eastAsia="Times New Roman" w:cs="Arial"/>
          <w:color w:val="000000"/>
          <w:lang w:eastAsia="bg-BG"/>
        </w:rPr>
        <w:t xml:space="preserve">Ако се появят лезии, особено в участъци от кожата, изложени на слънчеви лъчи, и ако те са съпроводени с болки в ставите, пациентът трябва незабавно да потърси медицинска помощ и медицинският специалист следва да обмисли спиране на приема на Вимово. </w:t>
      </w:r>
      <w:r w:rsidRPr="008579FD">
        <w:rPr>
          <w:rFonts w:eastAsia="Times New Roman" w:cs="Arial"/>
          <w:color w:val="000000"/>
          <w:lang w:val="en-US"/>
        </w:rPr>
        <w:t>SCLE</w:t>
      </w:r>
      <w:r w:rsidRPr="008579FD">
        <w:rPr>
          <w:rFonts w:eastAsia="Times New Roman" w:cs="Arial"/>
          <w:color w:val="000000"/>
          <w:lang w:val="ru-RU"/>
        </w:rPr>
        <w:t xml:space="preserve">, </w:t>
      </w:r>
      <w:r w:rsidRPr="008579FD">
        <w:rPr>
          <w:rFonts w:eastAsia="Times New Roman" w:cs="Arial"/>
          <w:color w:val="000000"/>
          <w:lang w:eastAsia="bg-BG"/>
        </w:rPr>
        <w:t xml:space="preserve">настъпил след предходно лечение с инхибитор на протонната помпа, може да увеличи риска от </w:t>
      </w:r>
      <w:r w:rsidRPr="008579FD">
        <w:rPr>
          <w:rFonts w:eastAsia="Times New Roman" w:cs="Arial"/>
          <w:color w:val="000000"/>
          <w:lang w:val="en-US"/>
        </w:rPr>
        <w:t>SCLE</w:t>
      </w:r>
      <w:r w:rsidRPr="008579FD">
        <w:rPr>
          <w:rFonts w:eastAsia="Times New Roman" w:cs="Arial"/>
          <w:color w:val="000000"/>
          <w:lang w:val="ru-RU"/>
        </w:rPr>
        <w:t xml:space="preserve"> </w:t>
      </w:r>
      <w:r w:rsidRPr="008579FD">
        <w:rPr>
          <w:rFonts w:eastAsia="Times New Roman" w:cs="Arial"/>
          <w:color w:val="000000"/>
          <w:lang w:eastAsia="bg-BG"/>
        </w:rPr>
        <w:t>при употреба на други инхибитори на протонната помпа.</w:t>
      </w:r>
    </w:p>
    <w:p w14:paraId="4F76F1B2" w14:textId="77777777" w:rsidR="008579FD" w:rsidRPr="008579FD" w:rsidRDefault="008579FD" w:rsidP="008579FD">
      <w:pPr>
        <w:spacing w:line="240" w:lineRule="auto"/>
        <w:rPr>
          <w:rFonts w:eastAsia="Times New Roman" w:cs="Arial"/>
          <w:color w:val="000000"/>
          <w:u w:val="single"/>
          <w:lang w:eastAsia="bg-BG"/>
        </w:rPr>
      </w:pPr>
    </w:p>
    <w:p w14:paraId="05100178" w14:textId="3C66D144"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Анафилактични (анафилактоидни) реакции</w:t>
      </w:r>
    </w:p>
    <w:p w14:paraId="42004D43" w14:textId="77777777" w:rsidR="008579FD" w:rsidRPr="008579FD" w:rsidRDefault="008579FD" w:rsidP="008579FD">
      <w:pPr>
        <w:rPr>
          <w:rFonts w:eastAsia="Times New Roman" w:cs="Arial"/>
        </w:rPr>
      </w:pPr>
      <w:r w:rsidRPr="008579FD">
        <w:rPr>
          <w:rFonts w:eastAsia="Times New Roman" w:cs="Arial"/>
          <w:i/>
          <w:iCs/>
          <w:color w:val="000000"/>
          <w:lang w:eastAsia="bg-BG"/>
        </w:rPr>
        <w:lastRenderedPageBreak/>
        <w:t>Напроксен:</w:t>
      </w:r>
      <w:r w:rsidRPr="008579FD">
        <w:rPr>
          <w:rFonts w:eastAsia="Times New Roman" w:cs="Arial"/>
          <w:color w:val="000000"/>
          <w:lang w:eastAsia="bg-BG"/>
        </w:rPr>
        <w:t xml:space="preserve"> При предразположени пациенти могат да се развият реакции на свръхчувствителност. Анафилактични (анафилактоидни) реакции могат да се развият като при пациенти със, така и при пациенти без анамнеза за свръхчувствителност или експозиция към ацетилсалицилова киселина, други НСПВС, или съдържащи напроксен препарарати. Такива</w:t>
      </w:r>
      <w:r w:rsidRPr="008579FD">
        <w:rPr>
          <w:rFonts w:eastAsia="Times New Roman" w:cs="Arial"/>
          <w:color w:val="000000"/>
          <w:lang w:val="ru-RU" w:eastAsia="bg-BG"/>
        </w:rPr>
        <w:t xml:space="preserve"> </w:t>
      </w:r>
      <w:r w:rsidRPr="008579FD">
        <w:rPr>
          <w:rFonts w:eastAsia="Times New Roman" w:cs="Arial"/>
          <w:color w:val="000000"/>
          <w:lang w:eastAsia="bg-BG"/>
        </w:rPr>
        <w:t>реакции могат да се развият и при пациенти с анамнеза за ангиоедем, бронхоспазъм (напр. астма), ринит и назални полипи.</w:t>
      </w:r>
    </w:p>
    <w:p w14:paraId="0B5C4B5A" w14:textId="77777777" w:rsidR="008579FD" w:rsidRPr="008579FD" w:rsidRDefault="008579FD" w:rsidP="008579FD">
      <w:pPr>
        <w:spacing w:line="240" w:lineRule="auto"/>
        <w:rPr>
          <w:rFonts w:eastAsia="Times New Roman" w:cs="Arial"/>
          <w:color w:val="000000"/>
          <w:u w:val="single"/>
          <w:lang w:eastAsia="bg-BG"/>
        </w:rPr>
      </w:pPr>
    </w:p>
    <w:p w14:paraId="20A0E62C" w14:textId="09D35479"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Предшестваща астма</w:t>
      </w:r>
    </w:p>
    <w:p w14:paraId="57AAEFDD"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Употребата на ацетилсалицилова киселина при пациенти с аспиринова астма е свързана с тежък бронхоспазъм, който може да е с летален изход. Понеже при такива пациенти има съобщения за наличие на кръстосана чувствителност, включително и с развитие на бронхоспазъм, между ацетилсалицилова киселина и други НСПВС, при пациентите с подобна чувствителност към ацетилсалицилова киселина не трябва да се прилага Вимово (вж. точка 4.3), а при пациенти с предшестваща астма трябва да се прилага с повишено внимание.</w:t>
      </w:r>
    </w:p>
    <w:p w14:paraId="7C5FFF55" w14:textId="77777777" w:rsidR="008579FD" w:rsidRPr="008579FD" w:rsidRDefault="008579FD" w:rsidP="008579FD">
      <w:pPr>
        <w:spacing w:line="240" w:lineRule="auto"/>
        <w:rPr>
          <w:rFonts w:eastAsia="Times New Roman" w:cs="Arial"/>
          <w:color w:val="000000"/>
          <w:u w:val="single"/>
          <w:lang w:eastAsia="bg-BG"/>
        </w:rPr>
      </w:pPr>
    </w:p>
    <w:p w14:paraId="53C0CEDF" w14:textId="3C073A9A"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Възпаление</w:t>
      </w:r>
    </w:p>
    <w:p w14:paraId="2DBD7E49"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Напроксен:</w:t>
      </w:r>
      <w:r w:rsidRPr="008579FD">
        <w:rPr>
          <w:rFonts w:eastAsia="Times New Roman" w:cs="Arial"/>
          <w:color w:val="000000"/>
          <w:lang w:eastAsia="bg-BG"/>
        </w:rPr>
        <w:t xml:space="preserve"> Антипиретичният и противовъзпалителен ефект на напроксен може да подтисне фебрилитета и другите прояви на възпаление, като по този начин ограничава стойността им като диагностични белези.</w:t>
      </w:r>
    </w:p>
    <w:p w14:paraId="489238BF" w14:textId="77777777" w:rsidR="008579FD" w:rsidRPr="008579FD" w:rsidRDefault="008579FD" w:rsidP="008579FD">
      <w:pPr>
        <w:spacing w:line="240" w:lineRule="auto"/>
        <w:rPr>
          <w:rFonts w:eastAsia="Times New Roman" w:cs="Arial"/>
        </w:rPr>
      </w:pPr>
    </w:p>
    <w:p w14:paraId="24CB5789" w14:textId="59A275E8"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Фертилитет при жени</w:t>
      </w:r>
    </w:p>
    <w:p w14:paraId="27E9DD5E"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Употребата на Вимово, както всяко друго лекарство, което инхибира циклооксигеназата/простагландиновия синтез може да наруши фертилитета и не се препоръчва при жени, които се опитват да заченат. При жени със затруднено зачеване или при които се правят изследвания за безплодие, следва да се обсъди спиране на приема на Вимово (вж. точка 4.6).</w:t>
      </w:r>
    </w:p>
    <w:p w14:paraId="56BB55D2" w14:textId="77777777" w:rsidR="008579FD" w:rsidRPr="008579FD" w:rsidRDefault="008579FD" w:rsidP="008579FD">
      <w:pPr>
        <w:spacing w:line="240" w:lineRule="auto"/>
        <w:rPr>
          <w:rFonts w:eastAsia="Times New Roman" w:cs="Arial"/>
          <w:color w:val="000000"/>
          <w:u w:val="single"/>
          <w:lang w:eastAsia="bg-BG"/>
        </w:rPr>
      </w:pPr>
    </w:p>
    <w:p w14:paraId="51DE1446" w14:textId="2C97CDB5"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 xml:space="preserve">Комбинации с други лекарствени </w:t>
      </w:r>
      <w:r w:rsidRPr="008579FD">
        <w:rPr>
          <w:rFonts w:eastAsia="Times New Roman" w:cs="Arial"/>
          <w:smallCaps/>
          <w:color w:val="000000"/>
          <w:u w:val="single"/>
          <w:lang w:eastAsia="bg-BG"/>
        </w:rPr>
        <w:t>продукти</w:t>
      </w:r>
    </w:p>
    <w:p w14:paraId="4FBC92F3"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Не се препоръчва едновременното приложение на атазанавир с инхибитори на протонната помпа (вж. точка 4.5). Ако комбинирането на атазанавир с инхибитор на протонната помпа е преценено като неизбежно, препоръчва се стриктно клинично мониториране (напр. вирусно натоварване) с повишаване на дозата на атазанавир до 400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със 100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ритонавир; не трябва да се превишава дозата от 20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езомепразол и следователно, Вимово не трябва да се използва едновременно с атазанавир (вж. точка 4.3).</w:t>
      </w:r>
    </w:p>
    <w:p w14:paraId="6064E834" w14:textId="77777777" w:rsidR="008579FD" w:rsidRPr="008579FD" w:rsidRDefault="008579FD" w:rsidP="008579FD">
      <w:pPr>
        <w:spacing w:line="240" w:lineRule="auto"/>
        <w:rPr>
          <w:rFonts w:eastAsia="Times New Roman" w:cs="Arial"/>
          <w:color w:val="000000"/>
          <w:lang w:eastAsia="bg-BG"/>
        </w:rPr>
      </w:pPr>
    </w:p>
    <w:p w14:paraId="105E6619" w14:textId="6BD8348D"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Езомепразол е инхибитор на </w:t>
      </w:r>
      <w:r w:rsidRPr="008579FD">
        <w:rPr>
          <w:rFonts w:eastAsia="Times New Roman" w:cs="Arial"/>
          <w:color w:val="000000"/>
          <w:lang w:val="en-US"/>
        </w:rPr>
        <w:t>CYP</w:t>
      </w:r>
      <w:r w:rsidRPr="008579FD">
        <w:rPr>
          <w:rFonts w:eastAsia="Times New Roman" w:cs="Arial"/>
          <w:color w:val="000000"/>
          <w:lang w:val="ru-RU"/>
        </w:rPr>
        <w:t>2</w:t>
      </w:r>
      <w:r w:rsidRPr="008579FD">
        <w:rPr>
          <w:rFonts w:eastAsia="Times New Roman" w:cs="Arial"/>
          <w:color w:val="000000"/>
          <w:lang w:val="en-US"/>
        </w:rPr>
        <w:t>C</w:t>
      </w:r>
      <w:r w:rsidRPr="008579FD">
        <w:rPr>
          <w:rFonts w:eastAsia="Times New Roman" w:cs="Arial"/>
          <w:color w:val="000000"/>
          <w:lang w:val="ru-RU"/>
        </w:rPr>
        <w:t xml:space="preserve">19. </w:t>
      </w:r>
      <w:r w:rsidRPr="008579FD">
        <w:rPr>
          <w:rFonts w:eastAsia="Times New Roman" w:cs="Arial"/>
          <w:color w:val="000000"/>
          <w:lang w:eastAsia="bg-BG"/>
        </w:rPr>
        <w:t xml:space="preserve">Когато се започва или прекратява лечение с езомепразол трябва да се прецени потенциалът за взаимодействия с лекарства, които се метаболизират от </w:t>
      </w:r>
      <w:r w:rsidRPr="008579FD">
        <w:rPr>
          <w:rFonts w:eastAsia="Times New Roman" w:cs="Arial"/>
          <w:color w:val="000000"/>
          <w:lang w:val="en-US"/>
        </w:rPr>
        <w:t>CYP</w:t>
      </w:r>
      <w:r w:rsidRPr="008579FD">
        <w:rPr>
          <w:rFonts w:eastAsia="Times New Roman" w:cs="Arial"/>
          <w:color w:val="000000"/>
          <w:lang w:val="ru-RU"/>
        </w:rPr>
        <w:t>2</w:t>
      </w:r>
      <w:r w:rsidRPr="008579FD">
        <w:rPr>
          <w:rFonts w:eastAsia="Times New Roman" w:cs="Arial"/>
          <w:color w:val="000000"/>
          <w:lang w:val="en-US"/>
        </w:rPr>
        <w:t>C</w:t>
      </w:r>
      <w:r w:rsidRPr="008579FD">
        <w:rPr>
          <w:rFonts w:eastAsia="Times New Roman" w:cs="Arial"/>
          <w:color w:val="000000"/>
          <w:lang w:val="ru-RU"/>
        </w:rPr>
        <w:t xml:space="preserve">19. </w:t>
      </w:r>
      <w:r w:rsidRPr="008579FD">
        <w:rPr>
          <w:rFonts w:eastAsia="Times New Roman" w:cs="Arial"/>
          <w:color w:val="000000"/>
          <w:lang w:eastAsia="bg-BG"/>
        </w:rPr>
        <w:t>Наблюдавано е взаимодействие между клопидогрел и езомепразол (вж. точка 4.5). Клиничната съотносимост на това взаимодействие е несигурно. Като предпазна мярка, не трябва да се насърчава едновременната употреба на езомепразол и клопидогрел.</w:t>
      </w:r>
    </w:p>
    <w:p w14:paraId="4837D6F8" w14:textId="77777777" w:rsidR="008579FD" w:rsidRPr="008579FD" w:rsidRDefault="008579FD" w:rsidP="008579FD">
      <w:pPr>
        <w:spacing w:line="240" w:lineRule="auto"/>
        <w:rPr>
          <w:rFonts w:eastAsia="Times New Roman" w:cs="Arial"/>
          <w:color w:val="000000"/>
          <w:u w:val="single"/>
          <w:lang w:eastAsia="bg-BG"/>
        </w:rPr>
      </w:pPr>
    </w:p>
    <w:p w14:paraId="107F7D30" w14:textId="1A2CEAC9"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Хипомагнезиемия</w:t>
      </w:r>
    </w:p>
    <w:p w14:paraId="05F26572"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Съобщава се за тежка хипомагнезиемия при пациенти, лекувани с инхибитори на протонната помпа (ИПП) като езомепразол в продължение на поне 3 месеца, а в повечето случаи в продължение на година. Сериозни признаци на хипомагнезиемия като умора, тетания, делириум, конвулсии, замайване и камерна аритмия могат да се появят, но те могат да започнат скрито и да бъдат пренебрегнати. При повечето засегнати пациенти, </w:t>
      </w:r>
      <w:r w:rsidRPr="008579FD">
        <w:rPr>
          <w:rFonts w:eastAsia="Times New Roman" w:cs="Arial"/>
          <w:color w:val="000000"/>
          <w:lang w:eastAsia="bg-BG"/>
        </w:rPr>
        <w:lastRenderedPageBreak/>
        <w:t>хипомагнезиемията се подобрява след заместителна терапия с магнезий и прекратяване приема на ИПП.</w:t>
      </w:r>
    </w:p>
    <w:p w14:paraId="3F2A7312"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При пациенти, които се очаква да бъдат на продължителна терапия, или които приемат ИПП в комбинация с дигоксин или лекарства, които могат да предизвикат хипомагнезиемия (напр. диуретици), здравните специалисти трябва да имат предвид измерване на нивата на магнезий преди започване на терапия с ИПП и периодично по време на лечението.</w:t>
      </w:r>
    </w:p>
    <w:p w14:paraId="7E60CDFA" w14:textId="77777777" w:rsidR="008579FD" w:rsidRPr="008579FD" w:rsidRDefault="008579FD" w:rsidP="008579FD">
      <w:pPr>
        <w:spacing w:line="240" w:lineRule="auto"/>
        <w:rPr>
          <w:rFonts w:eastAsia="Times New Roman" w:cs="Arial"/>
          <w:color w:val="000000"/>
          <w:u w:val="single"/>
          <w:lang w:eastAsia="bg-BG"/>
        </w:rPr>
      </w:pPr>
    </w:p>
    <w:p w14:paraId="5A8D5D44" w14:textId="213EB98B"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Фрактури на костите</w:t>
      </w:r>
    </w:p>
    <w:p w14:paraId="01ECE577" w14:textId="77777777" w:rsidR="008579FD" w:rsidRPr="008579FD" w:rsidRDefault="008579FD" w:rsidP="008579FD">
      <w:pPr>
        <w:rPr>
          <w:rFonts w:eastAsia="Times New Roman" w:cs="Arial"/>
        </w:rPr>
      </w:pPr>
      <w:r w:rsidRPr="008579FD">
        <w:rPr>
          <w:rFonts w:eastAsia="Times New Roman" w:cs="Arial"/>
          <w:color w:val="000000"/>
          <w:lang w:eastAsia="bg-BG"/>
        </w:rPr>
        <w:t>Инхибиторите на протонната помпа, особено ако се използват във високи дози и за дълъг период от време (&gt; 1 година), могат умерено да повишат риска от фрактури на бедрото, китката или гръбначния стълб, главно при хора в старческа възраст или при наличие на други известни рискови фактори. Обсервационни проучвания предполагат, че инхибиторите на протонната помпа могат да повишат общия риск от фрактура с 10-40%. В някои случаи това повишение може да се дължи на други рискови фактори. Пациентите с риск от остеопороза трябва да</w:t>
      </w:r>
      <w:r w:rsidRPr="008579FD">
        <w:rPr>
          <w:rFonts w:eastAsia="Times New Roman" w:cs="Arial"/>
          <w:color w:val="000000"/>
          <w:lang w:val="ru-RU" w:eastAsia="bg-BG"/>
        </w:rPr>
        <w:t xml:space="preserve"> </w:t>
      </w:r>
      <w:r w:rsidRPr="008579FD">
        <w:rPr>
          <w:rFonts w:eastAsia="Times New Roman" w:cs="Arial"/>
          <w:color w:val="000000"/>
          <w:lang w:eastAsia="bg-BG"/>
        </w:rPr>
        <w:t xml:space="preserve">получават грижи съгласно настоящите клинични ръководства и трябва да имат адекватен прием на витамин </w:t>
      </w:r>
      <w:r w:rsidRPr="008579FD">
        <w:rPr>
          <w:rFonts w:eastAsia="Times New Roman" w:cs="Arial"/>
          <w:color w:val="000000"/>
          <w:lang w:val="en-US"/>
        </w:rPr>
        <w:t>D</w:t>
      </w:r>
      <w:r w:rsidRPr="008579FD">
        <w:rPr>
          <w:rFonts w:eastAsia="Times New Roman" w:cs="Arial"/>
          <w:color w:val="000000"/>
          <w:lang w:val="ru-RU"/>
        </w:rPr>
        <w:t xml:space="preserve"> </w:t>
      </w:r>
      <w:r w:rsidRPr="008579FD">
        <w:rPr>
          <w:rFonts w:eastAsia="Times New Roman" w:cs="Arial"/>
          <w:color w:val="000000"/>
          <w:lang w:eastAsia="bg-BG"/>
        </w:rPr>
        <w:t>и калций.</w:t>
      </w:r>
    </w:p>
    <w:p w14:paraId="1B68A6E9" w14:textId="77777777" w:rsidR="008579FD" w:rsidRPr="008579FD" w:rsidRDefault="008579FD" w:rsidP="008579FD">
      <w:pPr>
        <w:spacing w:line="240" w:lineRule="auto"/>
        <w:rPr>
          <w:rFonts w:eastAsia="Times New Roman" w:cs="Arial"/>
          <w:color w:val="000000"/>
          <w:u w:val="single"/>
          <w:lang w:eastAsia="bg-BG"/>
        </w:rPr>
      </w:pPr>
    </w:p>
    <w:p w14:paraId="782BBB5A" w14:textId="305080C4"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Влияние върху лабораторни изследвания</w:t>
      </w:r>
    </w:p>
    <w:p w14:paraId="40BF6395"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Повишеното ниво на хромогранин </w:t>
      </w:r>
      <w:r w:rsidRPr="008579FD">
        <w:rPr>
          <w:rFonts w:eastAsia="Times New Roman" w:cs="Arial"/>
          <w:color w:val="000000"/>
          <w:lang w:val="en-US"/>
        </w:rPr>
        <w:t>A</w:t>
      </w:r>
      <w:r w:rsidRPr="008579FD">
        <w:rPr>
          <w:rFonts w:eastAsia="Times New Roman" w:cs="Arial"/>
          <w:color w:val="000000"/>
          <w:lang w:val="ru-RU"/>
        </w:rPr>
        <w:t xml:space="preserve"> (</w:t>
      </w:r>
      <w:proofErr w:type="spellStart"/>
      <w:r w:rsidRPr="008579FD">
        <w:rPr>
          <w:rFonts w:eastAsia="Times New Roman" w:cs="Arial"/>
          <w:color w:val="000000"/>
          <w:lang w:val="en-US"/>
        </w:rPr>
        <w:t>CgA</w:t>
      </w:r>
      <w:proofErr w:type="spellEnd"/>
      <w:r w:rsidRPr="008579FD">
        <w:rPr>
          <w:rFonts w:eastAsia="Times New Roman" w:cs="Arial"/>
          <w:color w:val="000000"/>
          <w:lang w:val="ru-RU"/>
        </w:rPr>
        <w:t xml:space="preserve">) </w:t>
      </w:r>
      <w:r w:rsidRPr="008579FD">
        <w:rPr>
          <w:rFonts w:eastAsia="Times New Roman" w:cs="Arial"/>
          <w:color w:val="000000"/>
          <w:lang w:eastAsia="bg-BG"/>
        </w:rPr>
        <w:t xml:space="preserve">може да повлияе на изследванията за невроендокринни тумори. За да се избегне това взаимодействие, лечението с Вимово трябва да се спре временно най-малко за 5 дни преди определянето на </w:t>
      </w:r>
      <w:proofErr w:type="spellStart"/>
      <w:r w:rsidRPr="008579FD">
        <w:rPr>
          <w:rFonts w:eastAsia="Times New Roman" w:cs="Arial"/>
          <w:color w:val="000000"/>
          <w:lang w:val="en-US"/>
        </w:rPr>
        <w:t>CgA</w:t>
      </w:r>
      <w:proofErr w:type="spellEnd"/>
      <w:r w:rsidRPr="008579FD">
        <w:rPr>
          <w:rFonts w:eastAsia="Times New Roman" w:cs="Arial"/>
          <w:color w:val="000000"/>
          <w:lang w:val="ru-RU"/>
        </w:rPr>
        <w:t xml:space="preserve"> </w:t>
      </w:r>
      <w:r w:rsidRPr="008579FD">
        <w:rPr>
          <w:rFonts w:eastAsia="Times New Roman" w:cs="Arial"/>
          <w:color w:val="000000"/>
          <w:lang w:eastAsia="bg-BG"/>
        </w:rPr>
        <w:t xml:space="preserve">(вж. точка 5.1). Ако нивата на </w:t>
      </w:r>
      <w:proofErr w:type="spellStart"/>
      <w:r w:rsidRPr="008579FD">
        <w:rPr>
          <w:rFonts w:eastAsia="Times New Roman" w:cs="Arial"/>
          <w:color w:val="000000"/>
          <w:lang w:val="en-US"/>
        </w:rPr>
        <w:t>CgA</w:t>
      </w:r>
      <w:proofErr w:type="spellEnd"/>
      <w:r w:rsidRPr="008579FD">
        <w:rPr>
          <w:rFonts w:eastAsia="Times New Roman" w:cs="Arial"/>
          <w:color w:val="000000"/>
          <w:lang w:val="ru-RU"/>
        </w:rPr>
        <w:t xml:space="preserve"> </w:t>
      </w:r>
      <w:r w:rsidRPr="008579FD">
        <w:rPr>
          <w:rFonts w:eastAsia="Times New Roman" w:cs="Arial"/>
          <w:color w:val="000000"/>
          <w:lang w:eastAsia="bg-BG"/>
        </w:rPr>
        <w:t>и гастрина не са се възстановили в референтните си граници след началното определяне, измерването трябва да бъде повторено 14 дни след спиране на лечението с инхибитор на протонната помпа.</w:t>
      </w:r>
    </w:p>
    <w:p w14:paraId="334FDBF9" w14:textId="77777777" w:rsidR="008579FD" w:rsidRPr="008579FD" w:rsidRDefault="008579FD" w:rsidP="008579FD">
      <w:pPr>
        <w:spacing w:line="240" w:lineRule="auto"/>
        <w:rPr>
          <w:rFonts w:eastAsia="Times New Roman" w:cs="Arial"/>
          <w:color w:val="000000"/>
          <w:lang w:eastAsia="bg-BG"/>
        </w:rPr>
      </w:pPr>
    </w:p>
    <w:p w14:paraId="095C2DAA" w14:textId="0CFF65CE"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Вимово съдържа по-малко от 1 </w:t>
      </w:r>
      <w:proofErr w:type="spellStart"/>
      <w:r w:rsidRPr="008579FD">
        <w:rPr>
          <w:rFonts w:eastAsia="Times New Roman" w:cs="Arial"/>
          <w:color w:val="000000"/>
          <w:lang w:val="en-US"/>
        </w:rPr>
        <w:t>mmol</w:t>
      </w:r>
      <w:proofErr w:type="spellEnd"/>
      <w:r w:rsidRPr="008579FD">
        <w:rPr>
          <w:rFonts w:eastAsia="Times New Roman" w:cs="Arial"/>
          <w:color w:val="000000"/>
          <w:lang w:val="ru-RU"/>
        </w:rPr>
        <w:t xml:space="preserve"> </w:t>
      </w:r>
      <w:r w:rsidRPr="008579FD">
        <w:rPr>
          <w:rFonts w:eastAsia="Times New Roman" w:cs="Arial"/>
          <w:color w:val="000000"/>
          <w:lang w:eastAsia="bg-BG"/>
        </w:rPr>
        <w:t xml:space="preserve">натрий (23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на таблетка, така ч</w:t>
      </w:r>
      <w:r>
        <w:rPr>
          <w:rFonts w:eastAsia="Times New Roman" w:cs="Arial"/>
          <w:color w:val="000000"/>
          <w:lang w:eastAsia="bg-BG"/>
        </w:rPr>
        <w:t>е практически не съдържа натрий</w:t>
      </w:r>
    </w:p>
    <w:p w14:paraId="13E897A0" w14:textId="19B69FC0" w:rsidR="008579FD" w:rsidRPr="008579FD" w:rsidRDefault="008579FD" w:rsidP="008579FD">
      <w:pPr>
        <w:rPr>
          <w:rFonts w:ascii="Times New Roman" w:eastAsia="Times New Roman" w:hAnsi="Times New Roman" w:cs="Times New Roman"/>
          <w:color w:val="000000"/>
          <w:u w:val="single"/>
          <w:lang w:eastAsia="bg-BG"/>
        </w:rPr>
      </w:pPr>
    </w:p>
    <w:p w14:paraId="619DED1E" w14:textId="290A316B"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716ABBE" w14:textId="3CF14E54" w:rsidR="008579FD" w:rsidRPr="008579FD" w:rsidRDefault="008579FD" w:rsidP="008579FD">
      <w:pPr>
        <w:rPr>
          <w:rFonts w:cs="Arial"/>
        </w:rPr>
      </w:pPr>
    </w:p>
    <w:p w14:paraId="6E3CE2ED" w14:textId="77777777"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Противопоказания за съвместно приложение (вж. точка 4.3)</w:t>
      </w:r>
    </w:p>
    <w:p w14:paraId="30DA8846"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Антиретровирусни лекарствени продукти</w:t>
      </w:r>
    </w:p>
    <w:p w14:paraId="4AAAA7BE"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Има съобщения, че омепразол, рацемичната смес от </w:t>
      </w:r>
      <w:r w:rsidRPr="008579FD">
        <w:rPr>
          <w:rFonts w:eastAsia="Times New Roman" w:cs="Arial"/>
          <w:color w:val="000000"/>
          <w:lang w:val="en-US"/>
        </w:rPr>
        <w:t>D</w:t>
      </w:r>
      <w:r w:rsidRPr="008579FD">
        <w:rPr>
          <w:rFonts w:eastAsia="Times New Roman" w:cs="Arial"/>
          <w:color w:val="000000"/>
          <w:lang w:val="ru-RU"/>
        </w:rPr>
        <w:t>+</w:t>
      </w:r>
      <w:r w:rsidRPr="008579FD">
        <w:rPr>
          <w:rFonts w:eastAsia="Times New Roman" w:cs="Arial"/>
          <w:color w:val="000000"/>
          <w:lang w:val="en-US"/>
        </w:rPr>
        <w:t>S</w:t>
      </w:r>
      <w:r w:rsidRPr="008579FD">
        <w:rPr>
          <w:rFonts w:eastAsia="Times New Roman" w:cs="Arial"/>
          <w:color w:val="000000"/>
          <w:lang w:eastAsia="bg-BG"/>
        </w:rPr>
        <w:t xml:space="preserve">-омепразол (езомепразол), влиза във взаимодействие с някои антиретровирусни лекарствени продукти. Не във всички случаи клиничната значимост и механизмите на тези взаимодействия са известни. Повишаването на стомашното </w:t>
      </w:r>
      <w:r w:rsidRPr="008579FD">
        <w:rPr>
          <w:rFonts w:eastAsia="Times New Roman" w:cs="Arial"/>
          <w:color w:val="000000"/>
          <w:lang w:val="en-US"/>
        </w:rPr>
        <w:t>pH</w:t>
      </w:r>
      <w:r w:rsidRPr="008579FD">
        <w:rPr>
          <w:rFonts w:eastAsia="Times New Roman" w:cs="Arial"/>
          <w:color w:val="000000"/>
          <w:lang w:val="ru-RU"/>
        </w:rPr>
        <w:t xml:space="preserve"> </w:t>
      </w:r>
      <w:r w:rsidRPr="008579FD">
        <w:rPr>
          <w:rFonts w:eastAsia="Times New Roman" w:cs="Arial"/>
          <w:color w:val="000000"/>
          <w:lang w:eastAsia="bg-BG"/>
        </w:rPr>
        <w:t xml:space="preserve">по време на лечение с омепразол може да промени абсорбцията на антиретровирусните лекарствени продукти. Други възможни механизми на взаимодействие са чрез </w:t>
      </w:r>
      <w:r w:rsidRPr="008579FD">
        <w:rPr>
          <w:rFonts w:eastAsia="Times New Roman" w:cs="Arial"/>
          <w:color w:val="000000"/>
          <w:lang w:val="en-US"/>
        </w:rPr>
        <w:t>CYP</w:t>
      </w:r>
      <w:r w:rsidRPr="008579FD">
        <w:rPr>
          <w:rFonts w:eastAsia="Times New Roman" w:cs="Arial"/>
          <w:color w:val="000000"/>
          <w:lang w:val="ru-RU"/>
        </w:rPr>
        <w:t>2</w:t>
      </w:r>
      <w:r w:rsidRPr="008579FD">
        <w:rPr>
          <w:rFonts w:eastAsia="Times New Roman" w:cs="Arial"/>
          <w:color w:val="000000"/>
          <w:lang w:val="en-US"/>
        </w:rPr>
        <w:t>C</w:t>
      </w:r>
      <w:r w:rsidRPr="008579FD">
        <w:rPr>
          <w:rFonts w:eastAsia="Times New Roman" w:cs="Arial"/>
          <w:color w:val="000000"/>
          <w:lang w:val="ru-RU"/>
        </w:rPr>
        <w:t xml:space="preserve">19. </w:t>
      </w:r>
      <w:r w:rsidRPr="008579FD">
        <w:rPr>
          <w:rFonts w:eastAsia="Times New Roman" w:cs="Arial"/>
          <w:color w:val="000000"/>
          <w:lang w:eastAsia="bg-BG"/>
        </w:rPr>
        <w:t xml:space="preserve">За някои антиретровирусни лекарствени продукти - като атазанавир и нелфинавир, има съобщения за понижаване на плазмената концентрация при употреба с омепразол. Съвместното приложение на омепразол (40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еднократно дневно) с атазанавир 300 </w:t>
      </w:r>
      <w:r w:rsidRPr="008579FD">
        <w:rPr>
          <w:rFonts w:eastAsia="Times New Roman" w:cs="Arial"/>
          <w:color w:val="000000"/>
          <w:lang w:val="en-US"/>
        </w:rPr>
        <w:t>mg</w:t>
      </w:r>
      <w:r w:rsidRPr="008579FD">
        <w:rPr>
          <w:rFonts w:eastAsia="Times New Roman" w:cs="Arial"/>
          <w:color w:val="000000"/>
          <w:lang w:eastAsia="bg-BG"/>
        </w:rPr>
        <w:t xml:space="preserve">/ритонавир 100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при здрави доброволци води до значимо понижаване на експозицията на атазанавир (понижаване с приблизително 75% на </w:t>
      </w:r>
      <w:r w:rsidRPr="008579FD">
        <w:rPr>
          <w:rFonts w:eastAsia="Times New Roman" w:cs="Arial"/>
          <w:color w:val="000000"/>
          <w:lang w:val="en-US"/>
        </w:rPr>
        <w:t>AUC</w:t>
      </w:r>
      <w:r w:rsidRPr="008579FD">
        <w:rPr>
          <w:rFonts w:eastAsia="Times New Roman" w:cs="Arial"/>
          <w:color w:val="000000"/>
          <w:lang w:val="ru-RU"/>
        </w:rPr>
        <w:t xml:space="preserve">, </w:t>
      </w:r>
      <w:r w:rsidRPr="008579FD">
        <w:rPr>
          <w:rFonts w:eastAsia="Times New Roman" w:cs="Arial"/>
          <w:color w:val="000000"/>
          <w:lang w:eastAsia="bg-BG"/>
        </w:rPr>
        <w:t>С</w:t>
      </w:r>
      <w:r w:rsidRPr="008579FD">
        <w:rPr>
          <w:rFonts w:eastAsia="Times New Roman" w:cs="Arial"/>
          <w:color w:val="000000"/>
          <w:vertAlign w:val="subscript"/>
          <w:lang w:val="en-US"/>
        </w:rPr>
        <w:t>max</w:t>
      </w:r>
      <w:r w:rsidRPr="008579FD">
        <w:rPr>
          <w:rFonts w:eastAsia="Times New Roman" w:cs="Arial"/>
          <w:color w:val="000000"/>
          <w:lang w:eastAsia="bg-BG"/>
        </w:rPr>
        <w:t xml:space="preserve"> и </w:t>
      </w:r>
      <w:proofErr w:type="spellStart"/>
      <w:r w:rsidRPr="008579FD">
        <w:rPr>
          <w:rFonts w:eastAsia="Times New Roman" w:cs="Arial"/>
          <w:color w:val="000000"/>
          <w:lang w:val="en-US"/>
        </w:rPr>
        <w:t>C</w:t>
      </w:r>
      <w:r w:rsidRPr="008579FD">
        <w:rPr>
          <w:rFonts w:eastAsia="Times New Roman" w:cs="Arial"/>
          <w:color w:val="000000"/>
          <w:vertAlign w:val="subscript"/>
          <w:lang w:val="en-US"/>
        </w:rPr>
        <w:t>min</w:t>
      </w:r>
      <w:proofErr w:type="spellEnd"/>
      <w:r w:rsidRPr="008579FD">
        <w:rPr>
          <w:rFonts w:eastAsia="Times New Roman" w:cs="Arial"/>
          <w:color w:val="000000"/>
          <w:lang w:val="ru-RU"/>
        </w:rPr>
        <w:t xml:space="preserve">). </w:t>
      </w:r>
      <w:r w:rsidRPr="008579FD">
        <w:rPr>
          <w:rFonts w:eastAsia="Times New Roman" w:cs="Arial"/>
          <w:color w:val="000000"/>
          <w:lang w:eastAsia="bg-BG"/>
        </w:rPr>
        <w:t xml:space="preserve">Повишаването на дозата на атазанавир до 400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не компенсира влиянието на омепразол върху експозицията на атазанавир. Съвместното приложение на омепразол (40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дневно) понижава средните </w:t>
      </w:r>
      <w:r w:rsidRPr="008579FD">
        <w:rPr>
          <w:rFonts w:eastAsia="Times New Roman" w:cs="Arial"/>
          <w:color w:val="000000"/>
          <w:lang w:val="en-US"/>
        </w:rPr>
        <w:t>AUC</w:t>
      </w:r>
      <w:r w:rsidRPr="008579FD">
        <w:rPr>
          <w:rFonts w:eastAsia="Times New Roman" w:cs="Arial"/>
          <w:color w:val="000000"/>
          <w:lang w:val="ru-RU"/>
        </w:rPr>
        <w:t xml:space="preserve">, </w:t>
      </w:r>
      <w:r w:rsidRPr="008579FD">
        <w:rPr>
          <w:rFonts w:eastAsia="Times New Roman" w:cs="Arial"/>
          <w:color w:val="000000"/>
          <w:lang w:eastAsia="bg-BG"/>
        </w:rPr>
        <w:t>С</w:t>
      </w:r>
      <w:r w:rsidRPr="008579FD">
        <w:rPr>
          <w:rFonts w:eastAsia="Times New Roman" w:cs="Arial"/>
          <w:color w:val="000000"/>
          <w:lang w:val="en-US"/>
        </w:rPr>
        <w:t>max</w:t>
      </w:r>
      <w:r w:rsidRPr="008579FD">
        <w:rPr>
          <w:rFonts w:eastAsia="Times New Roman" w:cs="Arial"/>
          <w:color w:val="000000"/>
          <w:lang w:eastAsia="bg-BG"/>
        </w:rPr>
        <w:t xml:space="preserve"> и </w:t>
      </w:r>
      <w:proofErr w:type="spellStart"/>
      <w:r w:rsidRPr="008579FD">
        <w:rPr>
          <w:rFonts w:eastAsia="Times New Roman" w:cs="Arial"/>
          <w:color w:val="000000"/>
          <w:lang w:val="en-US"/>
        </w:rPr>
        <w:t>C</w:t>
      </w:r>
      <w:r w:rsidRPr="008579FD">
        <w:rPr>
          <w:rFonts w:eastAsia="Times New Roman" w:cs="Arial"/>
          <w:color w:val="000000"/>
          <w:vertAlign w:val="subscript"/>
          <w:lang w:val="en-US"/>
        </w:rPr>
        <w:t>min</w:t>
      </w:r>
      <w:proofErr w:type="spellEnd"/>
      <w:r w:rsidRPr="008579FD">
        <w:rPr>
          <w:rFonts w:eastAsia="Times New Roman" w:cs="Arial"/>
          <w:color w:val="000000"/>
          <w:lang w:val="ru-RU"/>
        </w:rPr>
        <w:t xml:space="preserve"> </w:t>
      </w:r>
      <w:r w:rsidRPr="008579FD">
        <w:rPr>
          <w:rFonts w:eastAsia="Times New Roman" w:cs="Arial"/>
          <w:color w:val="000000"/>
          <w:lang w:eastAsia="bg-BG"/>
        </w:rPr>
        <w:t xml:space="preserve">на нелфинавир с 36-39%, а средните </w:t>
      </w:r>
      <w:r w:rsidRPr="008579FD">
        <w:rPr>
          <w:rFonts w:eastAsia="Times New Roman" w:cs="Arial"/>
          <w:color w:val="000000"/>
          <w:lang w:val="en-US"/>
        </w:rPr>
        <w:t>AUC</w:t>
      </w:r>
      <w:r w:rsidRPr="008579FD">
        <w:rPr>
          <w:rFonts w:eastAsia="Times New Roman" w:cs="Arial"/>
          <w:color w:val="000000"/>
          <w:lang w:val="ru-RU"/>
        </w:rPr>
        <w:t xml:space="preserve">, </w:t>
      </w:r>
      <w:r w:rsidRPr="008579FD">
        <w:rPr>
          <w:rFonts w:eastAsia="Times New Roman" w:cs="Arial"/>
          <w:color w:val="000000"/>
          <w:lang w:eastAsia="bg-BG"/>
        </w:rPr>
        <w:t>С</w:t>
      </w:r>
      <w:r w:rsidRPr="008579FD">
        <w:rPr>
          <w:rFonts w:eastAsia="Times New Roman" w:cs="Arial"/>
          <w:color w:val="000000"/>
          <w:vertAlign w:val="subscript"/>
          <w:lang w:val="en-US"/>
        </w:rPr>
        <w:t>max</w:t>
      </w:r>
      <w:r w:rsidRPr="008579FD">
        <w:rPr>
          <w:rFonts w:eastAsia="Times New Roman" w:cs="Arial"/>
          <w:color w:val="000000"/>
          <w:lang w:eastAsia="bg-BG"/>
        </w:rPr>
        <w:t xml:space="preserve"> и С</w:t>
      </w:r>
      <w:r w:rsidRPr="008579FD">
        <w:rPr>
          <w:rFonts w:eastAsia="Times New Roman" w:cs="Arial"/>
          <w:color w:val="000000"/>
          <w:vertAlign w:val="subscript"/>
          <w:lang w:val="en-US"/>
        </w:rPr>
        <w:t>min</w:t>
      </w:r>
      <w:r w:rsidRPr="008579FD">
        <w:rPr>
          <w:rFonts w:eastAsia="Times New Roman" w:cs="Arial"/>
          <w:color w:val="000000"/>
          <w:lang w:eastAsia="bg-BG"/>
        </w:rPr>
        <w:t xml:space="preserve"> на фармакологично активния му метаболит М8 с 75-92%.</w:t>
      </w:r>
    </w:p>
    <w:p w14:paraId="5F371135" w14:textId="77777777" w:rsidR="008579FD" w:rsidRPr="008579FD" w:rsidRDefault="008579FD" w:rsidP="008579FD">
      <w:pPr>
        <w:spacing w:line="240" w:lineRule="auto"/>
        <w:rPr>
          <w:rFonts w:eastAsia="Times New Roman" w:cs="Arial"/>
          <w:color w:val="000000"/>
          <w:lang w:eastAsia="bg-BG"/>
        </w:rPr>
      </w:pPr>
    </w:p>
    <w:p w14:paraId="0FF1F45A" w14:textId="122CE417" w:rsidR="008579FD" w:rsidRPr="008579FD" w:rsidRDefault="008579FD" w:rsidP="008579FD">
      <w:pPr>
        <w:spacing w:line="240" w:lineRule="auto"/>
        <w:rPr>
          <w:rFonts w:eastAsia="Times New Roman" w:cs="Arial"/>
        </w:rPr>
      </w:pPr>
      <w:r w:rsidRPr="008579FD">
        <w:rPr>
          <w:rFonts w:eastAsia="Times New Roman" w:cs="Arial"/>
          <w:color w:val="000000"/>
          <w:lang w:eastAsia="bg-BG"/>
        </w:rPr>
        <w:t>За други антиретровирусни лекарствени продукти - като саквинавир, има съобщения за повишаване на серумното ниво. Има някои антиретровирусни лекарства, за които се съобщават непроменени серумни нива, когато са давни с омепразол.</w:t>
      </w:r>
    </w:p>
    <w:p w14:paraId="232D0400" w14:textId="77777777" w:rsidR="008579FD" w:rsidRPr="008579FD" w:rsidRDefault="008579FD" w:rsidP="008579FD">
      <w:pPr>
        <w:spacing w:line="240" w:lineRule="auto"/>
        <w:rPr>
          <w:rFonts w:eastAsia="Times New Roman" w:cs="Arial"/>
          <w:color w:val="000000"/>
          <w:lang w:eastAsia="bg-BG"/>
        </w:rPr>
      </w:pPr>
    </w:p>
    <w:p w14:paraId="5037C961" w14:textId="5E9C09B3" w:rsidR="008579FD" w:rsidRPr="008579FD" w:rsidRDefault="008579FD" w:rsidP="008579FD">
      <w:pPr>
        <w:spacing w:line="240" w:lineRule="auto"/>
        <w:rPr>
          <w:rFonts w:eastAsia="Times New Roman" w:cs="Arial"/>
        </w:rPr>
      </w:pPr>
      <w:r w:rsidRPr="008579FD">
        <w:rPr>
          <w:rFonts w:eastAsia="Times New Roman" w:cs="Arial"/>
          <w:color w:val="000000"/>
          <w:lang w:eastAsia="bg-BG"/>
        </w:rPr>
        <w:t>Няма проведено проучване за взаимодействия с Вимово и атазанавир. Поради сходните фармакодинамични и фармакокинетични свойства на омепразол и езомепразол, обаче, съвместното приложение на Вимово с атазанавир и нелфинавир е противопоказано (вж. точка 4.3).</w:t>
      </w:r>
    </w:p>
    <w:p w14:paraId="2BE173B8" w14:textId="77777777" w:rsidR="008579FD" w:rsidRPr="008579FD" w:rsidRDefault="008579FD" w:rsidP="008579FD">
      <w:pPr>
        <w:spacing w:line="240" w:lineRule="auto"/>
        <w:rPr>
          <w:rFonts w:eastAsia="Times New Roman" w:cs="Arial"/>
          <w:color w:val="000000"/>
          <w:u w:val="single"/>
          <w:lang w:eastAsia="bg-BG"/>
        </w:rPr>
      </w:pPr>
    </w:p>
    <w:p w14:paraId="07358048" w14:textId="10FF4407"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Съвместно приложение с повишено внимание</w:t>
      </w:r>
    </w:p>
    <w:p w14:paraId="2A870F2B"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Други аналгетици, включително селективни инхибитори на циклооксигеназа-2:</w:t>
      </w:r>
    </w:p>
    <w:p w14:paraId="1A5DA344"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Трябва да се избягва едновременното приложение на два или повече НСПВС, тъй като това може да повиши риска от нежелани ефекти, особено стомашно-чревни язви и кървене. Едновременната употреба на Вимово с други НСПВС, с изключение на ацетилсалицилова киселина в ниска доза (≤ 325 </w:t>
      </w:r>
      <w:r w:rsidRPr="008579FD">
        <w:rPr>
          <w:rFonts w:eastAsia="Times New Roman" w:cs="Arial"/>
          <w:color w:val="000000"/>
          <w:lang w:val="en-US"/>
        </w:rPr>
        <w:t>mg</w:t>
      </w:r>
      <w:r w:rsidRPr="008579FD">
        <w:rPr>
          <w:rFonts w:eastAsia="Times New Roman" w:cs="Arial"/>
          <w:color w:val="000000"/>
          <w:lang w:eastAsia="bg-BG"/>
        </w:rPr>
        <w:t>/ден) не се препоръчва (вж. точка 4.4).</w:t>
      </w:r>
    </w:p>
    <w:p w14:paraId="2C21AE3D" w14:textId="77777777" w:rsidR="008579FD" w:rsidRPr="008579FD" w:rsidRDefault="008579FD" w:rsidP="008579FD">
      <w:pPr>
        <w:spacing w:line="240" w:lineRule="auto"/>
        <w:rPr>
          <w:rFonts w:eastAsia="Times New Roman" w:cs="Arial"/>
          <w:i/>
          <w:iCs/>
          <w:color w:val="000000"/>
          <w:lang w:eastAsia="bg-BG"/>
        </w:rPr>
      </w:pPr>
    </w:p>
    <w:p w14:paraId="154D157D" w14:textId="03213602"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Ацетилсалицилова киселина</w:t>
      </w:r>
    </w:p>
    <w:p w14:paraId="1056B2BA" w14:textId="42E4A2A9" w:rsidR="008579FD" w:rsidRPr="008579FD" w:rsidRDefault="008579FD" w:rsidP="008579FD">
      <w:pPr>
        <w:spacing w:line="240" w:lineRule="auto"/>
        <w:rPr>
          <w:rFonts w:eastAsia="Times New Roman" w:cs="Arial"/>
          <w:color w:val="000000"/>
          <w:lang w:eastAsia="bg-BG"/>
        </w:rPr>
      </w:pPr>
      <w:r w:rsidRPr="008579FD">
        <w:rPr>
          <w:rFonts w:eastAsia="Times New Roman" w:cs="Arial"/>
          <w:color w:val="000000"/>
          <w:lang w:eastAsia="bg-BG"/>
        </w:rPr>
        <w:t xml:space="preserve">Вимово може да се прилага с ацетилсалицилова киселина в ниска доза (≤325 </w:t>
      </w:r>
      <w:r w:rsidRPr="008579FD">
        <w:rPr>
          <w:rFonts w:eastAsia="Times New Roman" w:cs="Arial"/>
          <w:color w:val="000000"/>
          <w:lang w:val="en-US"/>
        </w:rPr>
        <w:t>mg</w:t>
      </w:r>
      <w:r w:rsidRPr="008579FD">
        <w:rPr>
          <w:rFonts w:eastAsia="Times New Roman" w:cs="Arial"/>
          <w:color w:val="000000"/>
          <w:lang w:val="ru-RU"/>
        </w:rPr>
        <w:t>/</w:t>
      </w:r>
      <w:r w:rsidRPr="008579FD">
        <w:rPr>
          <w:rFonts w:eastAsia="Times New Roman" w:cs="Arial"/>
          <w:color w:val="000000"/>
          <w:lang w:eastAsia="bg-BG"/>
        </w:rPr>
        <w:t>дневно). В клиничните проучвания пациентите, приемащи Вимово в комбинация с ацетилсалицилова</w:t>
      </w:r>
      <w:r w:rsidRPr="008579FD">
        <w:rPr>
          <w:rFonts w:eastAsia="Times New Roman" w:cs="Arial"/>
          <w:lang w:val="ru-RU"/>
        </w:rPr>
        <w:t xml:space="preserve"> </w:t>
      </w:r>
      <w:r w:rsidRPr="008579FD">
        <w:rPr>
          <w:rFonts w:eastAsia="Times New Roman" w:cs="Arial"/>
          <w:color w:val="000000"/>
          <w:lang w:eastAsia="bg-BG"/>
        </w:rPr>
        <w:t>киселина в ниска доза, не показват повишена честота на развитие на язва на стомаха в</w:t>
      </w:r>
      <w:r w:rsidRPr="008579FD">
        <w:rPr>
          <w:rFonts w:eastAsia="Times New Roman" w:cs="Arial"/>
          <w:i/>
          <w:iCs/>
          <w:color w:val="000000"/>
          <w:lang w:eastAsia="bg-BG"/>
        </w:rPr>
        <w:t xml:space="preserve"> </w:t>
      </w:r>
      <w:r w:rsidRPr="008579FD">
        <w:rPr>
          <w:rFonts w:eastAsia="Times New Roman" w:cs="Arial"/>
          <w:color w:val="000000"/>
          <w:lang w:eastAsia="bg-BG"/>
        </w:rPr>
        <w:t>сравнение с пациентите, приемащи само Вимово (вж. точка 5.1). Все пак едновременната употреба на ацетилсалицилова киселина и Вимово може да повиши риска за развитие на сериозни нежелани реакции (вж. точки 4.4 и 4.8).</w:t>
      </w:r>
    </w:p>
    <w:p w14:paraId="5840FD7E" w14:textId="5049AB48" w:rsidR="008579FD" w:rsidRPr="008579FD" w:rsidRDefault="008579FD" w:rsidP="008579FD">
      <w:pPr>
        <w:spacing w:line="240" w:lineRule="auto"/>
        <w:rPr>
          <w:rFonts w:eastAsia="Times New Roman" w:cs="Arial"/>
          <w:color w:val="000000"/>
          <w:lang w:eastAsia="bg-BG"/>
        </w:rPr>
      </w:pPr>
    </w:p>
    <w:p w14:paraId="7DC7230D"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Клиничните фармакодинамични данни предполагат, че едновременната употреба на напроксен за повече от един ден последователно може да инхибира ефекта на нискодозовата ацетилсалицилова киселина върху тромбоцитната активност и това инхибиране може да продължи до няколко дни след спиране на терапията с напроксен. Клиничното значение на това взаимодействие не е известно.</w:t>
      </w:r>
    </w:p>
    <w:p w14:paraId="2F45591B" w14:textId="77777777" w:rsidR="008579FD" w:rsidRPr="008579FD" w:rsidRDefault="008579FD" w:rsidP="008579FD">
      <w:pPr>
        <w:spacing w:line="240" w:lineRule="auto"/>
        <w:rPr>
          <w:rFonts w:eastAsia="Times New Roman" w:cs="Arial"/>
          <w:i/>
          <w:iCs/>
          <w:color w:val="000000"/>
          <w:lang w:eastAsia="bg-BG"/>
        </w:rPr>
      </w:pPr>
    </w:p>
    <w:p w14:paraId="5B9898D7" w14:textId="33FDEBA1"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Такролимус</w:t>
      </w:r>
    </w:p>
    <w:p w14:paraId="082C5856"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Както при всички НСПВС, съществува риск от развитие на нефротоксичност при едновременно приложение на напроксен и такролимус. Има данни, че едновременното приложение с езомепразол повишава серумните нива на такролимус. Концентрациите на такролимус, както и бъбречната функция (креатининов клирънс), трябва интензивно да се проследяват по време на лечение с Вимово, и при нужда дозата на такролимус да се коригира.</w:t>
      </w:r>
    </w:p>
    <w:p w14:paraId="25137628" w14:textId="77777777" w:rsidR="008579FD" w:rsidRPr="008579FD" w:rsidRDefault="008579FD" w:rsidP="008579FD">
      <w:pPr>
        <w:spacing w:line="240" w:lineRule="auto"/>
        <w:rPr>
          <w:rFonts w:eastAsia="Times New Roman" w:cs="Arial"/>
          <w:i/>
          <w:iCs/>
          <w:color w:val="000000"/>
          <w:lang w:eastAsia="bg-BG"/>
        </w:rPr>
      </w:pPr>
    </w:p>
    <w:p w14:paraId="284581C2" w14:textId="12781D94"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Циклоспорин</w:t>
      </w:r>
    </w:p>
    <w:p w14:paraId="0D8FB0E4"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Както при всички НСПВС, се препоръчва повишено внимание при едновременно приложение с циклоспорин поради наличието на повишен риск за нефротоксичност.</w:t>
      </w:r>
    </w:p>
    <w:p w14:paraId="3F80822B" w14:textId="77777777" w:rsidR="008579FD" w:rsidRPr="008579FD" w:rsidRDefault="008579FD" w:rsidP="008579FD">
      <w:pPr>
        <w:spacing w:line="240" w:lineRule="auto"/>
        <w:rPr>
          <w:rFonts w:eastAsia="Times New Roman" w:cs="Arial"/>
          <w:i/>
          <w:iCs/>
          <w:color w:val="000000"/>
          <w:lang w:eastAsia="bg-BG"/>
        </w:rPr>
      </w:pPr>
    </w:p>
    <w:p w14:paraId="5C81E442" w14:textId="76A8A9A1"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Диуретици</w:t>
      </w:r>
    </w:p>
    <w:p w14:paraId="7E1E921D"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Клиничните проучвания, както и постмаркетинговите данни показват, че при някои пациенти НСПВС могат да намалят натрийуретичния ефект на фуроземид и тиазидните диуретици. Този отговор се отдава на инхибирането на бъбречния синтез на простагландини. По време на съвместно приложение с НСПВС пациентите трябва да бъдат под строго наблюдение за белези на бъбречна недостатъчност, както и за потвърждаване на ефикасността на диуретика (вж. точка 4.4).</w:t>
      </w:r>
    </w:p>
    <w:p w14:paraId="0992C0FD" w14:textId="77777777" w:rsidR="008579FD" w:rsidRPr="008579FD" w:rsidRDefault="008579FD" w:rsidP="008579FD">
      <w:pPr>
        <w:spacing w:line="240" w:lineRule="auto"/>
        <w:rPr>
          <w:rFonts w:eastAsia="Times New Roman" w:cs="Arial"/>
          <w:i/>
          <w:iCs/>
          <w:color w:val="000000"/>
          <w:lang w:eastAsia="bg-BG"/>
        </w:rPr>
      </w:pPr>
    </w:p>
    <w:p w14:paraId="75D85014" w14:textId="400E8F0D"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lastRenderedPageBreak/>
        <w:t xml:space="preserve">Селективни инхибитори на обратния захват на серотонина </w:t>
      </w:r>
      <w:r w:rsidRPr="008579FD">
        <w:rPr>
          <w:rFonts w:eastAsia="Times New Roman" w:cs="Arial"/>
          <w:i/>
          <w:iCs/>
          <w:color w:val="000000"/>
          <w:lang w:val="ru-RU"/>
        </w:rPr>
        <w:t>(</w:t>
      </w:r>
      <w:r w:rsidRPr="008579FD">
        <w:rPr>
          <w:rFonts w:eastAsia="Times New Roman" w:cs="Arial"/>
          <w:i/>
          <w:iCs/>
          <w:color w:val="000000"/>
          <w:lang w:val="en-US"/>
        </w:rPr>
        <w:t>SSRI</w:t>
      </w:r>
      <w:r w:rsidRPr="008579FD">
        <w:rPr>
          <w:rFonts w:eastAsia="Times New Roman" w:cs="Arial"/>
          <w:i/>
          <w:iCs/>
          <w:color w:val="000000"/>
          <w:lang w:val="ru-RU"/>
        </w:rPr>
        <w:t>)</w:t>
      </w:r>
    </w:p>
    <w:p w14:paraId="0684FEB0"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Едновременното приложение на НСПВС, включително и на селективни инхибитори на СОХ-2, със </w:t>
      </w:r>
      <w:r w:rsidRPr="008579FD">
        <w:rPr>
          <w:rFonts w:eastAsia="Times New Roman" w:cs="Arial"/>
          <w:color w:val="000000"/>
          <w:lang w:val="en-US"/>
        </w:rPr>
        <w:t>SSRI</w:t>
      </w:r>
      <w:r w:rsidRPr="008579FD">
        <w:rPr>
          <w:rFonts w:eastAsia="Times New Roman" w:cs="Arial"/>
          <w:color w:val="000000"/>
          <w:lang w:val="ru-RU"/>
        </w:rPr>
        <w:t xml:space="preserve">, </w:t>
      </w:r>
      <w:r w:rsidRPr="008579FD">
        <w:rPr>
          <w:rFonts w:eastAsia="Times New Roman" w:cs="Arial"/>
          <w:color w:val="000000"/>
          <w:lang w:eastAsia="bg-BG"/>
        </w:rPr>
        <w:t>повишава риска от развитие на кръвоизлив от стомашно-чревния тракт (вж. точка 4.4).</w:t>
      </w:r>
    </w:p>
    <w:p w14:paraId="1D2420DD" w14:textId="77777777" w:rsidR="008579FD" w:rsidRPr="008579FD" w:rsidRDefault="008579FD" w:rsidP="008579FD">
      <w:pPr>
        <w:spacing w:line="240" w:lineRule="auto"/>
        <w:rPr>
          <w:rFonts w:eastAsia="Times New Roman" w:cs="Arial"/>
          <w:i/>
          <w:iCs/>
          <w:color w:val="000000"/>
          <w:lang w:eastAsia="bg-BG"/>
        </w:rPr>
      </w:pPr>
    </w:p>
    <w:p w14:paraId="372B5D4F" w14:textId="5E02668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Кортикостероиди</w:t>
      </w:r>
    </w:p>
    <w:p w14:paraId="15A78275"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При комбиниране на кортикостероиди с НСПВС, включително и със селективни инхибитори на СОХ-2, съществува повишен риск за кръвоизлив от стомашно-чревния тракт. При съвместно приложение на НСПВС с кортикостероиди трябва да се подхожда с повишено внимание (вж. точка 4.4).</w:t>
      </w:r>
    </w:p>
    <w:p w14:paraId="34259F46" w14:textId="77777777" w:rsidR="008579FD" w:rsidRPr="008579FD" w:rsidRDefault="008579FD" w:rsidP="008579FD">
      <w:pPr>
        <w:spacing w:line="240" w:lineRule="auto"/>
        <w:rPr>
          <w:rFonts w:eastAsia="Times New Roman" w:cs="Arial"/>
          <w:i/>
          <w:iCs/>
          <w:color w:val="000000"/>
          <w:lang w:eastAsia="bg-BG"/>
        </w:rPr>
      </w:pPr>
    </w:p>
    <w:p w14:paraId="5644856A" w14:textId="0E0D6D45"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АСЕ-инхибитори/Ангиотензин II рецепторни антагонисти</w:t>
      </w:r>
    </w:p>
    <w:p w14:paraId="1DBF1537"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Съобщенията говорят, че НСПВС могат да подтиснат антихипертензивния ефект на АСЕ-инхибиторите и на ангиотензин </w:t>
      </w:r>
      <w:r w:rsidRPr="008579FD">
        <w:rPr>
          <w:rFonts w:eastAsia="Times New Roman" w:cs="Arial"/>
          <w:color w:val="000000"/>
          <w:lang w:val="en-US"/>
        </w:rPr>
        <w:t>II</w:t>
      </w:r>
      <w:r w:rsidRPr="008579FD">
        <w:rPr>
          <w:rFonts w:eastAsia="Times New Roman" w:cs="Arial"/>
          <w:color w:val="000000"/>
          <w:lang w:eastAsia="bg-BG"/>
        </w:rPr>
        <w:t xml:space="preserve"> рецепторните антагонисти. НСПВС могат също да повишат риска от нарушение на бъбречната функция във връзка с употребата на АСЕ-инхибитори или ангиотензин II рецепторни антагонисти. Комбинацията на НСПВС с АСЕ-инхибитори или ангиотензин </w:t>
      </w:r>
      <w:r w:rsidRPr="008579FD">
        <w:rPr>
          <w:rFonts w:eastAsia="Times New Roman" w:cs="Arial"/>
          <w:color w:val="000000"/>
          <w:lang w:val="en-US"/>
        </w:rPr>
        <w:t>II</w:t>
      </w:r>
      <w:r w:rsidRPr="008579FD">
        <w:rPr>
          <w:rFonts w:eastAsia="Times New Roman" w:cs="Arial"/>
          <w:color w:val="000000"/>
          <w:lang w:eastAsia="bg-BG"/>
        </w:rPr>
        <w:t xml:space="preserve"> рецепторни антагонисти трябва да се прилага с повишено внимание при пациенти в старческа възраст, с обемно изчерпване или с нарушена бъбречна функция (вж. точка 4.4).</w:t>
      </w:r>
    </w:p>
    <w:p w14:paraId="3F27003E" w14:textId="77777777" w:rsidR="008579FD" w:rsidRPr="008579FD" w:rsidRDefault="008579FD" w:rsidP="008579FD">
      <w:pPr>
        <w:spacing w:line="240" w:lineRule="auto"/>
        <w:rPr>
          <w:rFonts w:eastAsia="Times New Roman" w:cs="Arial"/>
          <w:i/>
          <w:iCs/>
          <w:color w:val="000000"/>
          <w:lang w:eastAsia="bg-BG"/>
        </w:rPr>
      </w:pPr>
    </w:p>
    <w:p w14:paraId="469DB36D" w14:textId="225C048B"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Дигоксин</w:t>
      </w:r>
    </w:p>
    <w:p w14:paraId="2AF92B46"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При съвместно приложение със сърдечни гликозиди като например дигоксин, НСПВС могат да предизвикат повишаване на плазмените нива на сърдечните гликозиди.</w:t>
      </w:r>
    </w:p>
    <w:p w14:paraId="353CC133" w14:textId="564129C2" w:rsidR="008579FD" w:rsidRPr="008579FD" w:rsidRDefault="008579FD" w:rsidP="008579FD">
      <w:pPr>
        <w:spacing w:line="240" w:lineRule="auto"/>
        <w:rPr>
          <w:rFonts w:eastAsia="Times New Roman" w:cs="Arial"/>
        </w:rPr>
      </w:pPr>
    </w:p>
    <w:p w14:paraId="48869F61" w14:textId="77777777"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Литий</w:t>
      </w:r>
    </w:p>
    <w:p w14:paraId="6F9D1A76"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НСПВС водят до повишаване на плазмената концентрация на лития и понижаване на бъбречния му клирънс. Тези ефекти се отдават на инхибирането на синтеза на простагландини в бъбрека от НСПВС. Поради това при едновременно приложение на НСПВС и литий пациентите трябва да са под строг контрол за белези на литиева токсичност.</w:t>
      </w:r>
    </w:p>
    <w:p w14:paraId="0E7E4AB6" w14:textId="77777777" w:rsidR="008579FD" w:rsidRPr="008579FD" w:rsidRDefault="008579FD" w:rsidP="008579FD">
      <w:pPr>
        <w:spacing w:line="240" w:lineRule="auto"/>
        <w:rPr>
          <w:rFonts w:eastAsia="Times New Roman" w:cs="Arial"/>
          <w:i/>
          <w:iCs/>
          <w:color w:val="000000"/>
          <w:lang w:eastAsia="bg-BG"/>
        </w:rPr>
      </w:pPr>
    </w:p>
    <w:p w14:paraId="790D12FB" w14:textId="2EFBD745"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Метотрексат</w:t>
      </w:r>
    </w:p>
    <w:p w14:paraId="059E199A"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Има съобщения, че при някои пациенти, при едновременно приложение с инхибитори на протонната помпа, нивата на метотрексат се повишават. Има съобщения, че НСПВС понижават тубуларната секреция на метотрексат при животински модел. Това може да означава, че и езомепразол, и напроксен биха могли да повишат токсичността на метотрексат. Вероятно е клиничната значимост да бъде по-голяма при пациенти, които получват високи дози метотрексат и при пациенти с нарушена бъбречна функция. Налага се повишено внимание при едновременната употреба на Вимово и метотрексат. При приложение на високи дози метотрексат, се препоръчва временно прекратяване на лечението с Вимово.</w:t>
      </w:r>
    </w:p>
    <w:p w14:paraId="3AB9CFC8" w14:textId="77777777" w:rsidR="008579FD" w:rsidRPr="008579FD" w:rsidRDefault="008579FD" w:rsidP="008579FD">
      <w:pPr>
        <w:spacing w:line="240" w:lineRule="auto"/>
        <w:rPr>
          <w:rFonts w:eastAsia="Times New Roman" w:cs="Arial"/>
          <w:i/>
          <w:iCs/>
          <w:color w:val="000000"/>
          <w:lang w:eastAsia="bg-BG"/>
        </w:rPr>
      </w:pPr>
    </w:p>
    <w:p w14:paraId="1D48EA83" w14:textId="1E04D706"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Сулфонилурейни препарати, хидантоини</w:t>
      </w:r>
    </w:p>
    <w:p w14:paraId="11595499"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Напроксен се свързва с плазмения албумин във висока степен; поради това теоретично съществува потенциал за взаимодействие с други лекарствени продукти, които се свързват с албумина - като сулфонилурейни препарати и хидантоини. Пациентите, които получават едновременно напроксен и хидантоин, сулфонамид или сулфонилуреен препарат, трябва да са под стриктно наблюдение, за да може при нужда дозата да се коригира.</w:t>
      </w:r>
    </w:p>
    <w:p w14:paraId="0CED2934" w14:textId="77777777" w:rsidR="008579FD" w:rsidRPr="008579FD" w:rsidRDefault="008579FD" w:rsidP="008579FD">
      <w:pPr>
        <w:spacing w:line="240" w:lineRule="auto"/>
        <w:rPr>
          <w:rFonts w:eastAsia="Times New Roman" w:cs="Arial"/>
          <w:i/>
          <w:iCs/>
          <w:color w:val="000000"/>
          <w:lang w:eastAsia="bg-BG"/>
        </w:rPr>
      </w:pPr>
    </w:p>
    <w:p w14:paraId="2B0F1D1E" w14:textId="0564F3E4"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Клопидогрел</w:t>
      </w:r>
    </w:p>
    <w:p w14:paraId="7DDCCFD3"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lastRenderedPageBreak/>
        <w:t xml:space="preserve">Резултатите от проучвания при здрави доброволци показват наличието на фармакодинамично (ФДУфармакокинетично (ФК) взаимодействие между клопидогрел (300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натоварваща доза/75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дневно поддържаща доза) и езомепразол (40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дневно през устата), водещо до намаляване на експозицията на активния метаболит на клопидогрел със средно 40% и намаляване на максималното инхибиране (индуцирано от АДФ) на тромбоцитната агрегация със средно 14%.</w:t>
      </w:r>
    </w:p>
    <w:p w14:paraId="5210EF6E" w14:textId="77777777" w:rsidR="008579FD" w:rsidRPr="008579FD" w:rsidRDefault="008579FD" w:rsidP="008579FD">
      <w:pPr>
        <w:spacing w:line="240" w:lineRule="auto"/>
        <w:rPr>
          <w:rFonts w:eastAsia="Times New Roman" w:cs="Arial"/>
          <w:color w:val="000000"/>
          <w:lang w:eastAsia="bg-BG"/>
        </w:rPr>
      </w:pPr>
    </w:p>
    <w:p w14:paraId="1B1DE03E" w14:textId="01526C49"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В проучване при здрави доброволци при едновременно приложение на клопидогрел и фиксирана комбинация на езомепразол 20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и ацетилсалицилова киселина 81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се установява намаляване на експозицията на активния метаболит на клопидогрел с почти 40%, в сравнение с тази при приложение само на клопидогрел. При тях обаче, максималните стойности на инхибиране (индуциране от АДФ) на тромбоцитната агрегация остават еднакви в двете групи.</w:t>
      </w:r>
    </w:p>
    <w:p w14:paraId="115DF008" w14:textId="77777777" w:rsidR="008579FD" w:rsidRPr="008579FD" w:rsidRDefault="008579FD" w:rsidP="008579FD">
      <w:pPr>
        <w:spacing w:line="240" w:lineRule="auto"/>
        <w:rPr>
          <w:rFonts w:eastAsia="Times New Roman" w:cs="Arial"/>
          <w:color w:val="000000"/>
          <w:lang w:eastAsia="bg-BG"/>
        </w:rPr>
      </w:pPr>
    </w:p>
    <w:p w14:paraId="64307779" w14:textId="6EBE30AB" w:rsidR="008579FD" w:rsidRPr="008579FD" w:rsidRDefault="008579FD" w:rsidP="008579FD">
      <w:pPr>
        <w:spacing w:line="240" w:lineRule="auto"/>
        <w:rPr>
          <w:rFonts w:eastAsia="Times New Roman" w:cs="Arial"/>
        </w:rPr>
      </w:pPr>
      <w:r w:rsidRPr="008579FD">
        <w:rPr>
          <w:rFonts w:eastAsia="Times New Roman" w:cs="Arial"/>
          <w:color w:val="000000"/>
          <w:lang w:eastAsia="bg-BG"/>
        </w:rPr>
        <w:t>Не са провеждани клинични проучвания за взаимодействието между клопидогрел и фиксирана комбинация напроксен и езомепразол (Вимово).</w:t>
      </w:r>
    </w:p>
    <w:p w14:paraId="0F1D5E2B" w14:textId="77777777" w:rsidR="008579FD" w:rsidRPr="008579FD" w:rsidRDefault="008579FD" w:rsidP="008579FD">
      <w:pPr>
        <w:spacing w:line="240" w:lineRule="auto"/>
        <w:rPr>
          <w:rFonts w:eastAsia="Times New Roman" w:cs="Arial"/>
          <w:color w:val="000000"/>
          <w:lang w:eastAsia="bg-BG"/>
        </w:rPr>
      </w:pPr>
    </w:p>
    <w:p w14:paraId="32644BB4" w14:textId="5BCE2990" w:rsidR="008579FD" w:rsidRPr="008579FD" w:rsidRDefault="008579FD" w:rsidP="008579FD">
      <w:pPr>
        <w:spacing w:line="240" w:lineRule="auto"/>
        <w:rPr>
          <w:rFonts w:eastAsia="Times New Roman" w:cs="Arial"/>
        </w:rPr>
      </w:pPr>
      <w:r w:rsidRPr="008579FD">
        <w:rPr>
          <w:rFonts w:eastAsia="Times New Roman" w:cs="Arial"/>
          <w:color w:val="000000"/>
          <w:lang w:eastAsia="bg-BG"/>
        </w:rPr>
        <w:t>Както от обсервационни така и от клинични проучвания се съобщават противоречиви данни за клиничните последствия от това ФК/ФД взаимодействие на езомепразол по отношение на големите сърдечносъдови събития. Като предпазна мярка, не трябва да се насърчава едновременната употреба на Вимово и клопидогрел (вж. точка 4.4).</w:t>
      </w:r>
    </w:p>
    <w:p w14:paraId="79C66F6B" w14:textId="77777777" w:rsidR="008579FD" w:rsidRPr="008579FD" w:rsidRDefault="008579FD" w:rsidP="008579FD">
      <w:pPr>
        <w:spacing w:line="240" w:lineRule="auto"/>
        <w:rPr>
          <w:rFonts w:eastAsia="Times New Roman" w:cs="Arial"/>
          <w:i/>
          <w:iCs/>
          <w:color w:val="000000"/>
          <w:lang w:eastAsia="bg-BG"/>
        </w:rPr>
      </w:pPr>
    </w:p>
    <w:p w14:paraId="4CB8FDB3" w14:textId="74B25DD3"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Антикоагуланти и тромбоцитни антиагреганти</w:t>
      </w:r>
    </w:p>
    <w:p w14:paraId="6FE9968A"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НСПВС могат да потенцират ефектите на пероралните антикоагуланти (напр. варфарин, дикумарол), хепариновите препарати и тромбоцитни антиагреганти (вж. точка 4.4).</w:t>
      </w:r>
    </w:p>
    <w:p w14:paraId="32758DDB" w14:textId="77777777" w:rsidR="008579FD" w:rsidRPr="008579FD" w:rsidRDefault="008579FD" w:rsidP="008579FD">
      <w:pPr>
        <w:spacing w:line="240" w:lineRule="auto"/>
        <w:rPr>
          <w:rFonts w:eastAsia="Times New Roman" w:cs="Arial"/>
          <w:color w:val="000000"/>
          <w:lang w:eastAsia="bg-BG"/>
        </w:rPr>
      </w:pPr>
    </w:p>
    <w:p w14:paraId="7DBA966E" w14:textId="77777777" w:rsidR="008579FD" w:rsidRPr="008579FD" w:rsidRDefault="008579FD" w:rsidP="008579FD">
      <w:pPr>
        <w:rPr>
          <w:rFonts w:eastAsia="Times New Roman" w:cs="Arial"/>
        </w:rPr>
      </w:pPr>
      <w:r w:rsidRPr="008579FD">
        <w:rPr>
          <w:rFonts w:eastAsia="Times New Roman" w:cs="Arial"/>
          <w:color w:val="000000"/>
          <w:lang w:eastAsia="bg-BG"/>
        </w:rPr>
        <w:t xml:space="preserve">Приложението на 40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езомепразол при пациенти, получаващи варфарин показа, че въпреки лекото повишаване на плазмената концентрация на по-слабо активния </w:t>
      </w:r>
      <w:r w:rsidRPr="008579FD">
        <w:rPr>
          <w:rFonts w:eastAsia="Times New Roman" w:cs="Arial"/>
          <w:color w:val="000000"/>
          <w:lang w:val="en-US"/>
        </w:rPr>
        <w:t>R</w:t>
      </w:r>
      <w:r w:rsidRPr="008579FD">
        <w:rPr>
          <w:rFonts w:eastAsia="Times New Roman" w:cs="Arial"/>
          <w:color w:val="000000"/>
          <w:lang w:eastAsia="bg-BG"/>
        </w:rPr>
        <w:t xml:space="preserve">-изомер на варфарина показателите на коагулацията остават в референтите граници. Все пак, има постмаркетингови съобщения за случаи на клинично значимо повишаване на </w:t>
      </w:r>
      <w:r w:rsidRPr="008579FD">
        <w:rPr>
          <w:rFonts w:eastAsia="Times New Roman" w:cs="Arial"/>
          <w:color w:val="000000"/>
          <w:lang w:val="en-US"/>
        </w:rPr>
        <w:t>INR</w:t>
      </w:r>
      <w:r w:rsidRPr="008579FD">
        <w:rPr>
          <w:rFonts w:eastAsia="Times New Roman" w:cs="Arial"/>
          <w:color w:val="000000"/>
          <w:lang w:val="ru-RU"/>
        </w:rPr>
        <w:t xml:space="preserve"> </w:t>
      </w:r>
      <w:r w:rsidRPr="008579FD">
        <w:rPr>
          <w:rFonts w:eastAsia="Times New Roman" w:cs="Arial"/>
          <w:color w:val="000000"/>
          <w:lang w:eastAsia="bg-BG"/>
        </w:rPr>
        <w:t>при едновременно приложение</w:t>
      </w:r>
      <w:r w:rsidRPr="008579FD">
        <w:rPr>
          <w:rFonts w:eastAsia="Times New Roman" w:cs="Arial"/>
          <w:color w:val="000000"/>
          <w:lang w:val="ru-RU" w:eastAsia="bg-BG"/>
        </w:rPr>
        <w:t xml:space="preserve"> </w:t>
      </w:r>
      <w:r w:rsidRPr="008579FD">
        <w:rPr>
          <w:rFonts w:eastAsia="Times New Roman" w:cs="Arial"/>
          <w:color w:val="000000"/>
          <w:lang w:eastAsia="bg-BG"/>
        </w:rPr>
        <w:t>с варфарин. При започване и спиране на лечение с варфарин или други кумаринови деривати се препоръчва стриктен контрол.</w:t>
      </w:r>
    </w:p>
    <w:p w14:paraId="3849C374" w14:textId="77777777" w:rsidR="008579FD" w:rsidRPr="008579FD" w:rsidRDefault="008579FD" w:rsidP="008579FD">
      <w:pPr>
        <w:spacing w:line="240" w:lineRule="auto"/>
        <w:rPr>
          <w:rFonts w:eastAsia="Times New Roman" w:cs="Arial"/>
          <w:i/>
          <w:iCs/>
          <w:color w:val="000000"/>
          <w:lang w:eastAsia="bg-BG"/>
        </w:rPr>
      </w:pPr>
    </w:p>
    <w:p w14:paraId="7A2A01F4" w14:textId="2EC0DF78"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Бета-рецепторни блокери</w:t>
      </w:r>
    </w:p>
    <w:p w14:paraId="3899E18E"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Напроксен, както и други НСПВС, могат да подтиснат антихипертензивния ефект на пропранолола и други бета-блокери.</w:t>
      </w:r>
    </w:p>
    <w:p w14:paraId="15669DA5" w14:textId="77777777" w:rsidR="008579FD" w:rsidRPr="008579FD" w:rsidRDefault="008579FD" w:rsidP="008579FD">
      <w:pPr>
        <w:spacing w:line="240" w:lineRule="auto"/>
        <w:rPr>
          <w:rFonts w:eastAsia="Times New Roman" w:cs="Arial"/>
          <w:i/>
          <w:iCs/>
          <w:color w:val="000000"/>
          <w:lang w:eastAsia="bg-BG"/>
        </w:rPr>
      </w:pPr>
    </w:p>
    <w:p w14:paraId="026EDE6E" w14:textId="00DC1036"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Пробенецид</w:t>
      </w:r>
    </w:p>
    <w:p w14:paraId="7257CD44"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Едновременното приложение с пробенецид води до повишаване на плазмената концентрация на напроксеновия анион и значимо удължаване на плазмения му полуживот.</w:t>
      </w:r>
    </w:p>
    <w:p w14:paraId="38272681" w14:textId="77777777" w:rsidR="008579FD" w:rsidRPr="008579FD" w:rsidRDefault="008579FD" w:rsidP="008579FD">
      <w:pPr>
        <w:spacing w:line="240" w:lineRule="auto"/>
        <w:rPr>
          <w:rFonts w:eastAsia="Times New Roman" w:cs="Arial"/>
          <w:i/>
          <w:iCs/>
          <w:color w:val="000000"/>
          <w:lang w:eastAsia="bg-BG"/>
        </w:rPr>
      </w:pPr>
    </w:p>
    <w:p w14:paraId="2D6AA976" w14:textId="1CBA74FF" w:rsidR="008579FD" w:rsidRPr="008579FD" w:rsidRDefault="008579FD" w:rsidP="008579FD">
      <w:pPr>
        <w:spacing w:line="240" w:lineRule="auto"/>
        <w:rPr>
          <w:rFonts w:eastAsia="Times New Roman" w:cs="Arial"/>
        </w:rPr>
      </w:pPr>
      <w:r w:rsidRPr="008579FD">
        <w:rPr>
          <w:rFonts w:eastAsia="Times New Roman" w:cs="Arial"/>
          <w:i/>
          <w:iCs/>
          <w:color w:val="000000"/>
          <w:lang w:eastAsia="bg-BG"/>
        </w:rPr>
        <w:t xml:space="preserve">Лекарствени продукти с </w:t>
      </w:r>
      <w:r w:rsidRPr="008579FD">
        <w:rPr>
          <w:rFonts w:eastAsia="Times New Roman" w:cs="Arial"/>
          <w:i/>
          <w:iCs/>
          <w:color w:val="000000"/>
          <w:lang w:val="en-US"/>
        </w:rPr>
        <w:t>pH</w:t>
      </w:r>
      <w:r w:rsidRPr="008579FD">
        <w:rPr>
          <w:rFonts w:eastAsia="Times New Roman" w:cs="Arial"/>
          <w:i/>
          <w:iCs/>
          <w:color w:val="000000"/>
          <w:lang w:eastAsia="bg-BG"/>
        </w:rPr>
        <w:t>-зависима абсорбция</w:t>
      </w:r>
    </w:p>
    <w:p w14:paraId="6FF3D2BB"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Потискането на стомашната киселинност по време на лечение с езомепразол и други инхибитори на протонната помпа може да понижи или повиши абсорбцията на лекарства, с </w:t>
      </w:r>
      <w:r w:rsidRPr="008579FD">
        <w:rPr>
          <w:rFonts w:eastAsia="Times New Roman" w:cs="Arial"/>
          <w:color w:val="000000"/>
          <w:lang w:val="en-US"/>
        </w:rPr>
        <w:t>pH</w:t>
      </w:r>
      <w:r w:rsidRPr="008579FD">
        <w:rPr>
          <w:rFonts w:eastAsia="Times New Roman" w:cs="Arial"/>
          <w:color w:val="000000"/>
          <w:lang w:eastAsia="bg-BG"/>
        </w:rPr>
        <w:t xml:space="preserve">-зависима абсорбция. Както и при други лекарства, които намаляват интрагастралната киселинност, абсорбцията на лекарства като кетоконазол, итраконазол, позаконазол и ерлотиниб може да се понижи, докато абсорбцията на лекарства като дигоксин може да се повиши, по време на лечение с езомепразол. Едновременното приложение с позаконазол и ерлотиниб трябва да се избягва. Едновременното лечение с </w:t>
      </w:r>
      <w:r w:rsidRPr="008579FD">
        <w:rPr>
          <w:rFonts w:eastAsia="Times New Roman" w:cs="Arial"/>
          <w:color w:val="000000"/>
          <w:lang w:eastAsia="bg-BG"/>
        </w:rPr>
        <w:lastRenderedPageBreak/>
        <w:t xml:space="preserve">омепразол (20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дневно) и дигоксин при здрави доброволци повишава бионаличността на дигоксин с 10% (до 30% при двама от десет доброволци).</w:t>
      </w:r>
    </w:p>
    <w:p w14:paraId="1114AE05" w14:textId="77777777" w:rsidR="008579FD" w:rsidRPr="008579FD" w:rsidRDefault="008579FD" w:rsidP="008579FD">
      <w:pPr>
        <w:spacing w:line="240" w:lineRule="auto"/>
        <w:rPr>
          <w:rFonts w:eastAsia="Times New Roman" w:cs="Arial"/>
          <w:color w:val="000000"/>
          <w:u w:val="single"/>
          <w:lang w:eastAsia="bg-BG"/>
        </w:rPr>
      </w:pPr>
    </w:p>
    <w:p w14:paraId="77E838FB" w14:textId="50FCE61C"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Допълнителна информация, касаеща лекарствените взаимодействия</w:t>
      </w:r>
    </w:p>
    <w:p w14:paraId="22DEE880"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В проучвания, оценяващи едновременното приложение на езомепразол и/или напроксен (неселективен НСПВС), или рофекоксиб (СОХ-2-селективен НСПВС), не се установяват клинично значими взаимодействия.</w:t>
      </w:r>
    </w:p>
    <w:p w14:paraId="6F632109" w14:textId="77777777" w:rsidR="008579FD" w:rsidRPr="008579FD" w:rsidRDefault="008579FD" w:rsidP="008579FD">
      <w:pPr>
        <w:spacing w:line="240" w:lineRule="auto"/>
        <w:rPr>
          <w:rFonts w:eastAsia="Times New Roman" w:cs="Arial"/>
          <w:color w:val="000000"/>
          <w:lang w:eastAsia="bg-BG"/>
        </w:rPr>
      </w:pPr>
    </w:p>
    <w:p w14:paraId="5C8A3EF4" w14:textId="6164B43B" w:rsidR="008579FD" w:rsidRPr="008579FD" w:rsidRDefault="008579FD" w:rsidP="008579FD">
      <w:pPr>
        <w:spacing w:line="240" w:lineRule="auto"/>
        <w:rPr>
          <w:rFonts w:eastAsia="Times New Roman" w:cs="Arial"/>
        </w:rPr>
      </w:pPr>
      <w:r w:rsidRPr="008579FD">
        <w:rPr>
          <w:rFonts w:eastAsia="Times New Roman" w:cs="Arial"/>
          <w:color w:val="000000"/>
          <w:lang w:eastAsia="bg-BG"/>
        </w:rPr>
        <w:t>Както и при други НСПВС, едновременното приложение с холестирамин може да забави абсорбцията на напроксен.</w:t>
      </w:r>
    </w:p>
    <w:p w14:paraId="4FBDDFBE" w14:textId="77777777" w:rsidR="008579FD" w:rsidRPr="008579FD" w:rsidRDefault="008579FD" w:rsidP="008579FD">
      <w:pPr>
        <w:spacing w:line="240" w:lineRule="auto"/>
        <w:rPr>
          <w:rFonts w:eastAsia="Times New Roman" w:cs="Arial"/>
          <w:color w:val="000000"/>
          <w:lang w:eastAsia="bg-BG"/>
        </w:rPr>
      </w:pPr>
    </w:p>
    <w:p w14:paraId="3E9E0948" w14:textId="48F73BCC"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При здрави доброволци едновременното приложение с 40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езомепразол води до повишаване с 32% на площта под кривата на плазмената концентрация, в зависимост от времето </w:t>
      </w:r>
      <w:r w:rsidRPr="008579FD">
        <w:rPr>
          <w:rFonts w:eastAsia="Times New Roman" w:cs="Arial"/>
          <w:color w:val="000000"/>
          <w:lang w:val="ru-RU"/>
        </w:rPr>
        <w:t>(</w:t>
      </w:r>
      <w:r w:rsidRPr="008579FD">
        <w:rPr>
          <w:rFonts w:eastAsia="Times New Roman" w:cs="Arial"/>
          <w:color w:val="000000"/>
          <w:lang w:val="en-US"/>
        </w:rPr>
        <w:t>AUC</w:t>
      </w:r>
      <w:r w:rsidRPr="008579FD">
        <w:rPr>
          <w:rFonts w:eastAsia="Times New Roman" w:cs="Arial"/>
          <w:color w:val="000000"/>
          <w:lang w:val="ru-RU"/>
        </w:rPr>
        <w:t xml:space="preserve">), </w:t>
      </w:r>
      <w:r w:rsidRPr="008579FD">
        <w:rPr>
          <w:rFonts w:eastAsia="Times New Roman" w:cs="Arial"/>
          <w:color w:val="000000"/>
          <w:lang w:eastAsia="bg-BG"/>
        </w:rPr>
        <w:t xml:space="preserve">и удължаване с 31% на елиминационния полуживот </w:t>
      </w:r>
      <w:r w:rsidRPr="008579FD">
        <w:rPr>
          <w:rFonts w:eastAsia="Times New Roman" w:cs="Arial"/>
          <w:color w:val="000000"/>
          <w:lang w:val="ru-RU"/>
        </w:rPr>
        <w:t>(</w:t>
      </w:r>
      <w:r w:rsidRPr="008579FD">
        <w:rPr>
          <w:rFonts w:eastAsia="Times New Roman" w:cs="Arial"/>
          <w:color w:val="000000"/>
          <w:lang w:val="en-US"/>
        </w:rPr>
        <w:t>t</w:t>
      </w:r>
      <w:r w:rsidRPr="008579FD">
        <w:rPr>
          <w:rFonts w:eastAsia="Times New Roman" w:cs="Arial"/>
          <w:color w:val="000000"/>
          <w:vertAlign w:val="subscript"/>
          <w:lang w:val="ru-RU"/>
        </w:rPr>
        <w:t>1/2</w:t>
      </w:r>
      <w:r w:rsidRPr="008579FD">
        <w:rPr>
          <w:rFonts w:eastAsia="Times New Roman" w:cs="Arial"/>
          <w:color w:val="000000"/>
          <w:lang w:eastAsia="bg-BG"/>
        </w:rPr>
        <w:t xml:space="preserve">) на цизаприд, но не и до значимо повишаване на пиковата му плазмена концентрация. Наблюдаваното, след самостоятелно приложение на цизаприд, леко удължаване на </w:t>
      </w:r>
      <w:proofErr w:type="spellStart"/>
      <w:r w:rsidRPr="008579FD">
        <w:rPr>
          <w:rFonts w:eastAsia="Times New Roman" w:cs="Arial"/>
          <w:color w:val="000000"/>
          <w:lang w:val="en-US"/>
        </w:rPr>
        <w:t>QTc</w:t>
      </w:r>
      <w:proofErr w:type="spellEnd"/>
      <w:r w:rsidRPr="008579FD">
        <w:rPr>
          <w:rFonts w:eastAsia="Times New Roman" w:cs="Arial"/>
          <w:color w:val="000000"/>
          <w:lang w:eastAsia="bg-BG"/>
        </w:rPr>
        <w:t>-интервала не показва допълнително удължаване след приложение на цизаприд в комбинация с езомепразол (вж. и точка 4.4).</w:t>
      </w:r>
    </w:p>
    <w:p w14:paraId="487255AB" w14:textId="77777777" w:rsidR="008579FD" w:rsidRPr="008579FD" w:rsidRDefault="008579FD" w:rsidP="008579FD">
      <w:pPr>
        <w:spacing w:line="240" w:lineRule="auto"/>
        <w:rPr>
          <w:rFonts w:eastAsia="Times New Roman" w:cs="Arial"/>
          <w:color w:val="000000"/>
          <w:lang w:eastAsia="bg-BG"/>
        </w:rPr>
      </w:pPr>
    </w:p>
    <w:p w14:paraId="4FD6E58C" w14:textId="423D65AC" w:rsidR="008579FD" w:rsidRPr="008579FD" w:rsidRDefault="008579FD" w:rsidP="008579FD">
      <w:pPr>
        <w:spacing w:line="240" w:lineRule="auto"/>
        <w:rPr>
          <w:rFonts w:eastAsia="Times New Roman" w:cs="Arial"/>
        </w:rPr>
      </w:pPr>
      <w:r w:rsidRPr="008579FD">
        <w:rPr>
          <w:rFonts w:eastAsia="Times New Roman" w:cs="Arial"/>
          <w:color w:val="000000"/>
          <w:lang w:eastAsia="bg-BG"/>
        </w:rPr>
        <w:t>Езомепразол няма клинично значимо влияние върху фармакокинетиката на амоксицилин и хинидин.</w:t>
      </w:r>
    </w:p>
    <w:p w14:paraId="02311643"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Езомепразол инхибира </w:t>
      </w:r>
      <w:r w:rsidRPr="008579FD">
        <w:rPr>
          <w:rFonts w:eastAsia="Times New Roman" w:cs="Arial"/>
          <w:color w:val="000000"/>
          <w:lang w:val="en-US"/>
        </w:rPr>
        <w:t>CYP</w:t>
      </w:r>
      <w:r w:rsidRPr="008579FD">
        <w:rPr>
          <w:rFonts w:eastAsia="Times New Roman" w:cs="Arial"/>
          <w:color w:val="000000"/>
          <w:lang w:val="ru-RU"/>
        </w:rPr>
        <w:t>2</w:t>
      </w:r>
      <w:r w:rsidRPr="008579FD">
        <w:rPr>
          <w:rFonts w:eastAsia="Times New Roman" w:cs="Arial"/>
          <w:color w:val="000000"/>
          <w:lang w:val="en-US"/>
        </w:rPr>
        <w:t>C</w:t>
      </w:r>
      <w:r w:rsidRPr="008579FD">
        <w:rPr>
          <w:rFonts w:eastAsia="Times New Roman" w:cs="Arial"/>
          <w:color w:val="000000"/>
          <w:lang w:val="ru-RU"/>
        </w:rPr>
        <w:t xml:space="preserve">19, </w:t>
      </w:r>
      <w:r w:rsidRPr="008579FD">
        <w:rPr>
          <w:rFonts w:eastAsia="Times New Roman" w:cs="Arial"/>
          <w:color w:val="000000"/>
          <w:lang w:eastAsia="bg-BG"/>
        </w:rPr>
        <w:t xml:space="preserve">основният метаболизиращ го ензим. Езомепразол се метаболизира и от </w:t>
      </w:r>
      <w:r w:rsidRPr="008579FD">
        <w:rPr>
          <w:rFonts w:eastAsia="Times New Roman" w:cs="Arial"/>
          <w:color w:val="000000"/>
          <w:lang w:val="en-US"/>
        </w:rPr>
        <w:t>CYP</w:t>
      </w:r>
      <w:r w:rsidRPr="008579FD">
        <w:rPr>
          <w:rFonts w:eastAsia="Times New Roman" w:cs="Arial"/>
          <w:color w:val="000000"/>
          <w:lang w:val="ru-RU"/>
        </w:rPr>
        <w:t>3</w:t>
      </w:r>
      <w:r w:rsidRPr="008579FD">
        <w:rPr>
          <w:rFonts w:eastAsia="Times New Roman" w:cs="Arial"/>
          <w:color w:val="000000"/>
          <w:lang w:val="en-US"/>
        </w:rPr>
        <w:t>A</w:t>
      </w:r>
      <w:r w:rsidRPr="008579FD">
        <w:rPr>
          <w:rFonts w:eastAsia="Times New Roman" w:cs="Arial"/>
          <w:color w:val="000000"/>
          <w:lang w:val="ru-RU"/>
        </w:rPr>
        <w:t xml:space="preserve">4. </w:t>
      </w:r>
      <w:r w:rsidRPr="008579FD">
        <w:rPr>
          <w:rFonts w:eastAsia="Times New Roman" w:cs="Arial"/>
          <w:color w:val="000000"/>
          <w:lang w:eastAsia="bg-BG"/>
        </w:rPr>
        <w:t>Във връзка с тези ензими е наблюдавано:</w:t>
      </w:r>
    </w:p>
    <w:p w14:paraId="733DDC39" w14:textId="77777777" w:rsidR="008579FD" w:rsidRPr="008579FD" w:rsidRDefault="008579FD" w:rsidP="008579FD">
      <w:pPr>
        <w:pStyle w:val="ListParagraph"/>
        <w:numPr>
          <w:ilvl w:val="0"/>
          <w:numId w:val="37"/>
        </w:numPr>
        <w:spacing w:line="240" w:lineRule="auto"/>
        <w:rPr>
          <w:rFonts w:eastAsia="Times New Roman" w:cs="Arial"/>
          <w:color w:val="000000"/>
          <w:lang w:eastAsia="bg-BG"/>
        </w:rPr>
      </w:pPr>
      <w:r w:rsidRPr="008579FD">
        <w:rPr>
          <w:rFonts w:eastAsia="Times New Roman" w:cs="Arial"/>
          <w:color w:val="000000"/>
          <w:lang w:eastAsia="bg-BG"/>
        </w:rPr>
        <w:t xml:space="preserve">Едновременното приложение с 30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езомепразол води до понижаване с 45% на клирънса на субстрата на </w:t>
      </w:r>
      <w:r w:rsidRPr="008579FD">
        <w:rPr>
          <w:rFonts w:eastAsia="Times New Roman" w:cs="Arial"/>
          <w:color w:val="000000"/>
          <w:lang w:val="en-US"/>
        </w:rPr>
        <w:t>CYP</w:t>
      </w:r>
      <w:r w:rsidRPr="008579FD">
        <w:rPr>
          <w:rFonts w:eastAsia="Times New Roman" w:cs="Arial"/>
          <w:color w:val="000000"/>
          <w:lang w:val="ru-RU"/>
        </w:rPr>
        <w:t>2</w:t>
      </w:r>
      <w:r w:rsidRPr="008579FD">
        <w:rPr>
          <w:rFonts w:eastAsia="Times New Roman" w:cs="Arial"/>
          <w:color w:val="000000"/>
          <w:lang w:val="en-US"/>
        </w:rPr>
        <w:t>C</w:t>
      </w:r>
      <w:r w:rsidRPr="008579FD">
        <w:rPr>
          <w:rFonts w:eastAsia="Times New Roman" w:cs="Arial"/>
          <w:color w:val="000000"/>
          <w:lang w:val="ru-RU"/>
        </w:rPr>
        <w:t>1</w:t>
      </w:r>
      <w:r w:rsidRPr="008579FD">
        <w:rPr>
          <w:rFonts w:eastAsia="Times New Roman" w:cs="Arial"/>
          <w:color w:val="000000"/>
          <w:lang w:eastAsia="bg-BG"/>
        </w:rPr>
        <w:t>9 диазепам. Не се очаква това взаимодействие да има клинично значение.</w:t>
      </w:r>
    </w:p>
    <w:p w14:paraId="6FAF11EE" w14:textId="77777777" w:rsidR="008579FD" w:rsidRPr="008579FD" w:rsidRDefault="008579FD" w:rsidP="008579FD">
      <w:pPr>
        <w:pStyle w:val="ListParagraph"/>
        <w:numPr>
          <w:ilvl w:val="0"/>
          <w:numId w:val="37"/>
        </w:numPr>
        <w:spacing w:line="240" w:lineRule="auto"/>
        <w:rPr>
          <w:rFonts w:eastAsia="Times New Roman" w:cs="Arial"/>
          <w:color w:val="000000"/>
          <w:lang w:eastAsia="bg-BG"/>
        </w:rPr>
      </w:pPr>
      <w:r w:rsidRPr="008579FD">
        <w:rPr>
          <w:rFonts w:eastAsia="Times New Roman" w:cs="Arial"/>
          <w:color w:val="000000"/>
          <w:lang w:eastAsia="bg-BG"/>
        </w:rPr>
        <w:t xml:space="preserve">Едновременното приложение на фенитоин с 40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езомепразол при пациенти с епилепсия води до повишаване с 13% на плазмената концентрация на фенитоина, преди приложението на следващата доза.</w:t>
      </w:r>
    </w:p>
    <w:p w14:paraId="44EF1365" w14:textId="77777777" w:rsidR="008579FD" w:rsidRPr="008579FD" w:rsidRDefault="008579FD" w:rsidP="008579FD">
      <w:pPr>
        <w:pStyle w:val="ListParagraph"/>
        <w:numPr>
          <w:ilvl w:val="0"/>
          <w:numId w:val="37"/>
        </w:numPr>
        <w:spacing w:line="240" w:lineRule="auto"/>
        <w:rPr>
          <w:rFonts w:eastAsia="Times New Roman" w:cs="Arial"/>
          <w:color w:val="000000"/>
          <w:lang w:eastAsia="bg-BG"/>
        </w:rPr>
      </w:pPr>
      <w:r w:rsidRPr="008579FD">
        <w:rPr>
          <w:rFonts w:eastAsia="Times New Roman" w:cs="Arial"/>
          <w:color w:val="000000"/>
          <w:lang w:eastAsia="bg-BG"/>
        </w:rPr>
        <w:t xml:space="preserve">Едновременното приложение на езомепразол с препарат, инхибиращ едновременно </w:t>
      </w:r>
      <w:r w:rsidRPr="008579FD">
        <w:rPr>
          <w:rFonts w:eastAsia="Times New Roman" w:cs="Arial"/>
          <w:color w:val="000000"/>
          <w:lang w:val="en-US"/>
        </w:rPr>
        <w:t>CYP</w:t>
      </w:r>
      <w:r w:rsidRPr="008579FD">
        <w:rPr>
          <w:rFonts w:eastAsia="Times New Roman" w:cs="Arial"/>
          <w:color w:val="000000"/>
          <w:lang w:val="ru-RU"/>
        </w:rPr>
        <w:t>2</w:t>
      </w:r>
      <w:r w:rsidRPr="008579FD">
        <w:rPr>
          <w:rFonts w:eastAsia="Times New Roman" w:cs="Arial"/>
          <w:color w:val="000000"/>
          <w:lang w:val="en-US"/>
        </w:rPr>
        <w:t>C</w:t>
      </w:r>
      <w:r w:rsidRPr="008579FD">
        <w:rPr>
          <w:rFonts w:eastAsia="Times New Roman" w:cs="Arial"/>
          <w:color w:val="000000"/>
          <w:lang w:val="ru-RU"/>
        </w:rPr>
        <w:t xml:space="preserve">19 </w:t>
      </w:r>
      <w:r w:rsidRPr="008579FD">
        <w:rPr>
          <w:rFonts w:eastAsia="Times New Roman" w:cs="Arial"/>
          <w:color w:val="000000"/>
          <w:lang w:eastAsia="bg-BG"/>
        </w:rPr>
        <w:t xml:space="preserve">и </w:t>
      </w:r>
      <w:r w:rsidRPr="008579FD">
        <w:rPr>
          <w:rFonts w:eastAsia="Times New Roman" w:cs="Arial"/>
          <w:color w:val="000000"/>
          <w:lang w:val="en-US"/>
        </w:rPr>
        <w:t>CYP</w:t>
      </w:r>
      <w:r w:rsidRPr="008579FD">
        <w:rPr>
          <w:rFonts w:eastAsia="Times New Roman" w:cs="Arial"/>
          <w:color w:val="000000"/>
          <w:lang w:val="ru-RU"/>
        </w:rPr>
        <w:t>3</w:t>
      </w:r>
      <w:r w:rsidRPr="008579FD">
        <w:rPr>
          <w:rFonts w:eastAsia="Times New Roman" w:cs="Arial"/>
          <w:color w:val="000000"/>
          <w:lang w:val="en-US"/>
        </w:rPr>
        <w:t>A</w:t>
      </w:r>
      <w:r w:rsidRPr="008579FD">
        <w:rPr>
          <w:rFonts w:eastAsia="Times New Roman" w:cs="Arial"/>
          <w:color w:val="000000"/>
          <w:lang w:val="ru-RU"/>
        </w:rPr>
        <w:t xml:space="preserve">4 </w:t>
      </w:r>
      <w:r w:rsidRPr="008579FD">
        <w:rPr>
          <w:rFonts w:eastAsia="Times New Roman" w:cs="Arial"/>
          <w:color w:val="000000"/>
          <w:lang w:eastAsia="bg-BG"/>
        </w:rPr>
        <w:t>- като вориконазол, може да доведе до увеличаване над два пъти на</w:t>
      </w:r>
      <w:r w:rsidRPr="008579FD">
        <w:rPr>
          <w:rFonts w:eastAsia="Times New Roman" w:cs="Arial"/>
          <w:color w:val="000000"/>
          <w:u w:val="single"/>
          <w:lang w:eastAsia="bg-BG"/>
        </w:rPr>
        <w:t xml:space="preserve"> </w:t>
      </w:r>
      <w:r w:rsidRPr="008579FD">
        <w:rPr>
          <w:rFonts w:eastAsia="Times New Roman" w:cs="Arial"/>
          <w:color w:val="000000"/>
          <w:lang w:eastAsia="bg-BG"/>
        </w:rPr>
        <w:t>експозицията на езомепразол.</w:t>
      </w:r>
    </w:p>
    <w:p w14:paraId="76506E79" w14:textId="46919BDD" w:rsidR="008579FD" w:rsidRPr="008579FD" w:rsidRDefault="008579FD" w:rsidP="008579FD">
      <w:pPr>
        <w:pStyle w:val="ListParagraph"/>
        <w:numPr>
          <w:ilvl w:val="0"/>
          <w:numId w:val="37"/>
        </w:numPr>
        <w:spacing w:line="240" w:lineRule="auto"/>
        <w:rPr>
          <w:rFonts w:eastAsia="Times New Roman" w:cs="Arial"/>
          <w:color w:val="000000"/>
          <w:lang w:eastAsia="bg-BG"/>
        </w:rPr>
      </w:pPr>
      <w:r w:rsidRPr="008579FD">
        <w:rPr>
          <w:rFonts w:eastAsia="Times New Roman" w:cs="Arial"/>
          <w:color w:val="000000"/>
          <w:lang w:eastAsia="bg-BG"/>
        </w:rPr>
        <w:t xml:space="preserve">Едновременното приложение на езомепразол с инхибитора на </w:t>
      </w:r>
      <w:r w:rsidRPr="008579FD">
        <w:rPr>
          <w:rFonts w:eastAsia="Times New Roman" w:cs="Arial"/>
          <w:color w:val="000000"/>
          <w:lang w:val="en-US"/>
        </w:rPr>
        <w:t>CYP</w:t>
      </w:r>
      <w:r w:rsidRPr="008579FD">
        <w:rPr>
          <w:rFonts w:eastAsia="Times New Roman" w:cs="Arial"/>
          <w:color w:val="000000"/>
          <w:lang w:val="ru-RU"/>
        </w:rPr>
        <w:t>3</w:t>
      </w:r>
      <w:r w:rsidRPr="008579FD">
        <w:rPr>
          <w:rFonts w:eastAsia="Times New Roman" w:cs="Arial"/>
          <w:color w:val="000000"/>
          <w:lang w:val="en-US"/>
        </w:rPr>
        <w:t>A</w:t>
      </w:r>
      <w:r w:rsidRPr="008579FD">
        <w:rPr>
          <w:rFonts w:eastAsia="Times New Roman" w:cs="Arial"/>
          <w:color w:val="000000"/>
          <w:lang w:val="ru-RU"/>
        </w:rPr>
        <w:t xml:space="preserve">4 </w:t>
      </w:r>
      <w:r w:rsidRPr="008579FD">
        <w:rPr>
          <w:rFonts w:eastAsia="Times New Roman" w:cs="Arial"/>
          <w:color w:val="000000"/>
          <w:lang w:eastAsia="bg-BG"/>
        </w:rPr>
        <w:t>кларитромицин</w:t>
      </w:r>
      <w:r w:rsidRPr="008579FD">
        <w:rPr>
          <w:rFonts w:eastAsia="Times New Roman" w:cs="Arial"/>
          <w:color w:val="000000"/>
          <w:lang w:val="ru-RU" w:eastAsia="bg-BG"/>
        </w:rPr>
        <w:t xml:space="preserve"> </w:t>
      </w:r>
      <w:r w:rsidRPr="008579FD">
        <w:rPr>
          <w:rFonts w:eastAsia="Times New Roman" w:cs="Arial"/>
          <w:color w:val="000000"/>
          <w:lang w:eastAsia="bg-BG"/>
        </w:rPr>
        <w:t xml:space="preserve">(500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 xml:space="preserve">два пъти дневно) води до удвояване на експозицията </w:t>
      </w:r>
      <w:r w:rsidRPr="008579FD">
        <w:rPr>
          <w:rFonts w:eastAsia="Times New Roman" w:cs="Arial"/>
          <w:color w:val="000000"/>
          <w:lang w:val="ru-RU"/>
        </w:rPr>
        <w:t>(</w:t>
      </w:r>
      <w:r w:rsidRPr="008579FD">
        <w:rPr>
          <w:rFonts w:eastAsia="Times New Roman" w:cs="Arial"/>
          <w:color w:val="000000"/>
          <w:lang w:val="en-US"/>
        </w:rPr>
        <w:t>AUC</w:t>
      </w:r>
      <w:r w:rsidRPr="008579FD">
        <w:rPr>
          <w:rFonts w:eastAsia="Times New Roman" w:cs="Arial"/>
          <w:color w:val="000000"/>
          <w:lang w:val="ru-RU"/>
        </w:rPr>
        <w:t xml:space="preserve">) </w:t>
      </w:r>
      <w:r w:rsidRPr="008579FD">
        <w:rPr>
          <w:rFonts w:eastAsia="Times New Roman" w:cs="Arial"/>
          <w:color w:val="000000"/>
          <w:lang w:eastAsia="bg-BG"/>
        </w:rPr>
        <w:t>на езомепразол.</w:t>
      </w:r>
    </w:p>
    <w:p w14:paraId="06AB171D" w14:textId="77777777" w:rsidR="008579FD" w:rsidRPr="008579FD" w:rsidRDefault="008579FD" w:rsidP="008579FD">
      <w:pPr>
        <w:spacing w:line="240" w:lineRule="auto"/>
        <w:rPr>
          <w:rFonts w:eastAsia="Times New Roman" w:cs="Arial"/>
        </w:rPr>
      </w:pPr>
    </w:p>
    <w:p w14:paraId="6F411627" w14:textId="5B154FD1" w:rsidR="008579FD" w:rsidRPr="008579FD" w:rsidRDefault="008579FD" w:rsidP="008579FD">
      <w:pPr>
        <w:spacing w:line="240" w:lineRule="auto"/>
        <w:rPr>
          <w:rFonts w:eastAsia="Times New Roman" w:cs="Arial"/>
          <w:color w:val="000000"/>
          <w:lang w:eastAsia="bg-BG"/>
        </w:rPr>
      </w:pPr>
      <w:r w:rsidRPr="008579FD">
        <w:rPr>
          <w:rFonts w:eastAsia="Times New Roman" w:cs="Arial"/>
          <w:color w:val="000000"/>
          <w:lang w:eastAsia="bg-BG"/>
        </w:rPr>
        <w:t>В нито един от тези случаи не се налага корекция на дозата на езомепразол.</w:t>
      </w:r>
    </w:p>
    <w:p w14:paraId="5BA3D94B" w14:textId="37D40051" w:rsidR="008579FD" w:rsidRPr="008579FD" w:rsidRDefault="008579FD" w:rsidP="008579FD">
      <w:pPr>
        <w:spacing w:line="240" w:lineRule="auto"/>
        <w:rPr>
          <w:rFonts w:eastAsia="Times New Roman" w:cs="Arial"/>
          <w:color w:val="000000"/>
          <w:lang w:eastAsia="bg-BG"/>
        </w:rPr>
      </w:pPr>
    </w:p>
    <w:p w14:paraId="1635718A"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Лекарства, за които е известно, че индуцират </w:t>
      </w:r>
      <w:r w:rsidRPr="008579FD">
        <w:rPr>
          <w:rFonts w:eastAsia="Times New Roman" w:cs="Arial"/>
          <w:color w:val="000000"/>
          <w:lang w:val="en-US"/>
        </w:rPr>
        <w:t>CYP</w:t>
      </w:r>
      <w:r w:rsidRPr="008579FD">
        <w:rPr>
          <w:rFonts w:eastAsia="Times New Roman" w:cs="Arial"/>
          <w:color w:val="000000"/>
          <w:lang w:val="ru-RU"/>
        </w:rPr>
        <w:t>2</w:t>
      </w:r>
      <w:r w:rsidRPr="008579FD">
        <w:rPr>
          <w:rFonts w:eastAsia="Times New Roman" w:cs="Arial"/>
          <w:color w:val="000000"/>
          <w:lang w:val="en-US"/>
        </w:rPr>
        <w:t>C</w:t>
      </w:r>
      <w:r w:rsidRPr="008579FD">
        <w:rPr>
          <w:rFonts w:eastAsia="Times New Roman" w:cs="Arial"/>
          <w:color w:val="000000"/>
          <w:lang w:val="ru-RU"/>
        </w:rPr>
        <w:t xml:space="preserve">19 </w:t>
      </w:r>
      <w:r w:rsidRPr="008579FD">
        <w:rPr>
          <w:rFonts w:eastAsia="Times New Roman" w:cs="Arial"/>
          <w:color w:val="000000"/>
          <w:lang w:eastAsia="bg-BG"/>
        </w:rPr>
        <w:t xml:space="preserve">или </w:t>
      </w:r>
      <w:r w:rsidRPr="008579FD">
        <w:rPr>
          <w:rFonts w:eastAsia="Times New Roman" w:cs="Arial"/>
          <w:color w:val="000000"/>
          <w:lang w:val="en-US"/>
        </w:rPr>
        <w:t>CYP</w:t>
      </w:r>
      <w:r w:rsidRPr="008579FD">
        <w:rPr>
          <w:rFonts w:eastAsia="Times New Roman" w:cs="Arial"/>
          <w:color w:val="000000"/>
          <w:lang w:val="ru-RU"/>
        </w:rPr>
        <w:t>3</w:t>
      </w:r>
      <w:r w:rsidRPr="008579FD">
        <w:rPr>
          <w:rFonts w:eastAsia="Times New Roman" w:cs="Arial"/>
          <w:color w:val="000000"/>
          <w:lang w:val="en-US"/>
        </w:rPr>
        <w:t>A</w:t>
      </w:r>
      <w:r w:rsidRPr="008579FD">
        <w:rPr>
          <w:rFonts w:eastAsia="Times New Roman" w:cs="Arial"/>
          <w:color w:val="000000"/>
          <w:lang w:val="ru-RU"/>
        </w:rPr>
        <w:t xml:space="preserve">4, </w:t>
      </w:r>
      <w:r w:rsidRPr="008579FD">
        <w:rPr>
          <w:rFonts w:eastAsia="Times New Roman" w:cs="Arial"/>
          <w:color w:val="000000"/>
          <w:lang w:eastAsia="bg-BG"/>
        </w:rPr>
        <w:t>или и двата (напр. рифампицин и жълт кантарион), може да доведат до понижаване на серумните нива на езомепразол като повишават метаболизма на езомепразол.</w:t>
      </w:r>
    </w:p>
    <w:p w14:paraId="2146B62D" w14:textId="77777777" w:rsidR="008579FD" w:rsidRPr="008579FD" w:rsidRDefault="008579FD" w:rsidP="008579FD">
      <w:pPr>
        <w:spacing w:line="240" w:lineRule="auto"/>
        <w:rPr>
          <w:rFonts w:eastAsia="Times New Roman" w:cs="Arial"/>
          <w:color w:val="000000"/>
          <w:lang w:eastAsia="bg-BG"/>
        </w:rPr>
      </w:pPr>
    </w:p>
    <w:p w14:paraId="1B517D39" w14:textId="76C93D6F"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Омепразол, както и езомепразол са инхибитори на </w:t>
      </w:r>
      <w:r w:rsidRPr="008579FD">
        <w:rPr>
          <w:rFonts w:eastAsia="Times New Roman" w:cs="Arial"/>
          <w:color w:val="000000"/>
          <w:lang w:val="en-US"/>
        </w:rPr>
        <w:t>CYP</w:t>
      </w:r>
      <w:r w:rsidRPr="008579FD">
        <w:rPr>
          <w:rFonts w:eastAsia="Times New Roman" w:cs="Arial"/>
          <w:color w:val="000000"/>
          <w:lang w:val="ru-RU"/>
        </w:rPr>
        <w:t xml:space="preserve"> </w:t>
      </w:r>
      <w:r w:rsidRPr="008579FD">
        <w:rPr>
          <w:rFonts w:eastAsia="Times New Roman" w:cs="Arial"/>
          <w:color w:val="000000"/>
          <w:lang w:eastAsia="bg-BG"/>
        </w:rPr>
        <w:t xml:space="preserve">2С19. Омепразол, прилаган в дози от 40 </w:t>
      </w:r>
      <w:r w:rsidRPr="008579FD">
        <w:rPr>
          <w:rFonts w:eastAsia="Times New Roman" w:cs="Arial"/>
          <w:color w:val="000000"/>
          <w:lang w:val="en-US"/>
        </w:rPr>
        <w:t>mg</w:t>
      </w:r>
      <w:r w:rsidRPr="008579FD">
        <w:rPr>
          <w:rFonts w:eastAsia="Times New Roman" w:cs="Arial"/>
          <w:color w:val="000000"/>
          <w:lang w:val="ru-RU"/>
        </w:rPr>
        <w:t xml:space="preserve"> </w:t>
      </w:r>
      <w:r w:rsidRPr="008579FD">
        <w:rPr>
          <w:rFonts w:eastAsia="Times New Roman" w:cs="Arial"/>
          <w:color w:val="000000"/>
          <w:lang w:eastAsia="bg-BG"/>
        </w:rPr>
        <w:t>на здрави доброволци в кръстосано проучване, повишава С</w:t>
      </w:r>
      <w:r w:rsidRPr="008579FD">
        <w:rPr>
          <w:rFonts w:eastAsia="Times New Roman" w:cs="Arial"/>
          <w:color w:val="000000"/>
          <w:vertAlign w:val="subscript"/>
          <w:lang w:val="en-US"/>
        </w:rPr>
        <w:t>max</w:t>
      </w:r>
      <w:r w:rsidRPr="008579FD">
        <w:rPr>
          <w:rFonts w:eastAsia="Times New Roman" w:cs="Arial"/>
          <w:color w:val="000000"/>
          <w:lang w:eastAsia="bg-BG"/>
        </w:rPr>
        <w:t xml:space="preserve"> и </w:t>
      </w:r>
      <w:r w:rsidRPr="008579FD">
        <w:rPr>
          <w:rFonts w:eastAsia="Times New Roman" w:cs="Arial"/>
          <w:color w:val="000000"/>
          <w:lang w:val="en-US"/>
        </w:rPr>
        <w:t>AUC</w:t>
      </w:r>
      <w:r w:rsidRPr="008579FD">
        <w:rPr>
          <w:rFonts w:eastAsia="Times New Roman" w:cs="Arial"/>
          <w:color w:val="000000"/>
          <w:lang w:val="ru-RU"/>
        </w:rPr>
        <w:t xml:space="preserve"> </w:t>
      </w:r>
      <w:r w:rsidRPr="008579FD">
        <w:rPr>
          <w:rFonts w:eastAsia="Times New Roman" w:cs="Arial"/>
          <w:color w:val="000000"/>
          <w:lang w:eastAsia="bg-BG"/>
        </w:rPr>
        <w:t>на цилостазол съответно с 18% и с 26%, а на един от неговите активни метаболити съответно с 29% и с 69%.</w:t>
      </w:r>
    </w:p>
    <w:p w14:paraId="7307E1C5" w14:textId="77777777" w:rsidR="008579FD" w:rsidRPr="008579FD" w:rsidRDefault="008579FD" w:rsidP="008579FD">
      <w:pPr>
        <w:spacing w:line="240" w:lineRule="auto"/>
        <w:rPr>
          <w:rFonts w:eastAsia="Times New Roman" w:cs="Arial"/>
          <w:color w:val="000000"/>
          <w:lang w:eastAsia="bg-BG"/>
        </w:rPr>
      </w:pPr>
    </w:p>
    <w:p w14:paraId="203DAF21" w14:textId="30C790B9" w:rsidR="008579FD" w:rsidRPr="008579FD" w:rsidRDefault="008579FD" w:rsidP="008579FD">
      <w:pPr>
        <w:spacing w:line="240" w:lineRule="auto"/>
        <w:rPr>
          <w:rFonts w:eastAsia="Times New Roman" w:cs="Arial"/>
        </w:rPr>
      </w:pPr>
      <w:r w:rsidRPr="008579FD">
        <w:rPr>
          <w:rFonts w:eastAsia="Times New Roman" w:cs="Arial"/>
          <w:color w:val="000000"/>
          <w:lang w:eastAsia="bg-BG"/>
        </w:rPr>
        <w:t>Данните при животни показват, че НСПВС могат да повишат риска от гърчове, свързани с хинолонови антибиотици. Пациентите, които приемат хинолони, могат да имат повишен риск от развитие на гърчове.</w:t>
      </w:r>
    </w:p>
    <w:p w14:paraId="48ECA53B" w14:textId="77777777" w:rsidR="008579FD" w:rsidRPr="008579FD" w:rsidRDefault="008579FD" w:rsidP="008579FD">
      <w:pPr>
        <w:spacing w:line="240" w:lineRule="auto"/>
        <w:rPr>
          <w:rFonts w:eastAsia="Times New Roman" w:cs="Arial"/>
          <w:color w:val="000000"/>
          <w:u w:val="single"/>
          <w:lang w:eastAsia="bg-BG"/>
        </w:rPr>
      </w:pPr>
    </w:p>
    <w:p w14:paraId="79743A09" w14:textId="106D373C" w:rsidR="008579FD" w:rsidRPr="008579FD" w:rsidRDefault="008579FD" w:rsidP="008579FD">
      <w:pPr>
        <w:spacing w:line="240" w:lineRule="auto"/>
        <w:rPr>
          <w:rFonts w:eastAsia="Times New Roman" w:cs="Arial"/>
        </w:rPr>
      </w:pPr>
      <w:r w:rsidRPr="008579FD">
        <w:rPr>
          <w:rFonts w:eastAsia="Times New Roman" w:cs="Arial"/>
          <w:color w:val="000000"/>
          <w:u w:val="single"/>
          <w:lang w:eastAsia="bg-BG"/>
        </w:rPr>
        <w:t>Взаимодействия с лабораторни изследвания</w:t>
      </w:r>
    </w:p>
    <w:p w14:paraId="7AE35C2F" w14:textId="77777777" w:rsidR="008579FD" w:rsidRPr="008579FD" w:rsidRDefault="008579FD" w:rsidP="008579FD">
      <w:pPr>
        <w:spacing w:line="240" w:lineRule="auto"/>
        <w:rPr>
          <w:rFonts w:eastAsia="Times New Roman" w:cs="Arial"/>
        </w:rPr>
      </w:pPr>
      <w:r w:rsidRPr="008579FD">
        <w:rPr>
          <w:rFonts w:eastAsia="Times New Roman" w:cs="Arial"/>
          <w:color w:val="000000"/>
          <w:lang w:eastAsia="bg-BG"/>
        </w:rPr>
        <w:t>Напроксен може да подтисне тромбоцитната агрегация и да удължи времето на кървене. Това трябва да се има предвид при определяне на времето на кървене.</w:t>
      </w:r>
    </w:p>
    <w:p w14:paraId="3B369C1D" w14:textId="77777777" w:rsidR="008579FD" w:rsidRPr="008579FD" w:rsidRDefault="008579FD" w:rsidP="008579FD">
      <w:pPr>
        <w:spacing w:line="240" w:lineRule="auto"/>
        <w:rPr>
          <w:rFonts w:eastAsia="Times New Roman" w:cs="Arial"/>
          <w:color w:val="000000"/>
          <w:lang w:eastAsia="bg-BG"/>
        </w:rPr>
      </w:pPr>
    </w:p>
    <w:p w14:paraId="7F546D15" w14:textId="398B9742" w:rsidR="008579FD" w:rsidRPr="008579FD" w:rsidRDefault="008579FD" w:rsidP="008579FD">
      <w:pPr>
        <w:spacing w:line="240" w:lineRule="auto"/>
        <w:rPr>
          <w:rFonts w:eastAsia="Times New Roman" w:cs="Arial"/>
        </w:rPr>
      </w:pPr>
      <w:r w:rsidRPr="008579FD">
        <w:rPr>
          <w:rFonts w:eastAsia="Times New Roman" w:cs="Arial"/>
          <w:color w:val="000000"/>
          <w:lang w:eastAsia="bg-BG"/>
        </w:rPr>
        <w:t xml:space="preserve">Приложението на напроксен може да доведе до повишаване на концентрацията на 17-кетостероиди в урината, поради взаимодействие между лекарствения продукт и/или метаболитите му с </w:t>
      </w:r>
      <w:r w:rsidRPr="008579FD">
        <w:rPr>
          <w:rFonts w:eastAsia="Times New Roman" w:cs="Arial"/>
          <w:color w:val="000000"/>
          <w:lang w:val="en-US"/>
        </w:rPr>
        <w:t>m</w:t>
      </w:r>
      <w:r w:rsidRPr="008579FD">
        <w:rPr>
          <w:rFonts w:eastAsia="Times New Roman" w:cs="Arial"/>
          <w:color w:val="000000"/>
          <w:lang w:eastAsia="bg-BG"/>
        </w:rPr>
        <w:t xml:space="preserve">-динитробензена, използван в теста. Макар да изглежда, че определянето на концентрацията на 17-хидрокси-кортикостероиди (чрез реакция на </w:t>
      </w:r>
      <w:r w:rsidRPr="008579FD">
        <w:rPr>
          <w:rFonts w:eastAsia="Times New Roman" w:cs="Arial"/>
          <w:color w:val="000000"/>
          <w:lang w:val="en-US"/>
        </w:rPr>
        <w:t>Porter</w:t>
      </w:r>
      <w:r w:rsidRPr="008579FD">
        <w:rPr>
          <w:rFonts w:eastAsia="Times New Roman" w:cs="Arial"/>
          <w:color w:val="000000"/>
          <w:lang w:val="ru-RU"/>
        </w:rPr>
        <w:t>-</w:t>
      </w:r>
      <w:r w:rsidRPr="008579FD">
        <w:rPr>
          <w:rFonts w:eastAsia="Times New Roman" w:cs="Arial"/>
          <w:color w:val="000000"/>
          <w:lang w:val="en-US"/>
        </w:rPr>
        <w:t>Silber</w:t>
      </w:r>
      <w:r w:rsidRPr="008579FD">
        <w:rPr>
          <w:rFonts w:eastAsia="Times New Roman" w:cs="Arial"/>
          <w:color w:val="000000"/>
          <w:lang w:val="ru-RU"/>
        </w:rPr>
        <w:t xml:space="preserve">) </w:t>
      </w:r>
      <w:r w:rsidRPr="008579FD">
        <w:rPr>
          <w:rFonts w:eastAsia="Times New Roman" w:cs="Arial"/>
          <w:color w:val="000000"/>
          <w:lang w:eastAsia="bg-BG"/>
        </w:rPr>
        <w:t xml:space="preserve">не се повлиява, се препоръчва лечението с напроксен да се спира временно 72 часа преди провеждане на изследвания за функцията на надбъбрека, ако ще се използва реакцията на </w:t>
      </w:r>
      <w:r w:rsidRPr="008579FD">
        <w:rPr>
          <w:rFonts w:eastAsia="Times New Roman" w:cs="Arial"/>
          <w:color w:val="000000"/>
          <w:lang w:val="en-US"/>
        </w:rPr>
        <w:t>Porter</w:t>
      </w:r>
      <w:r w:rsidRPr="008579FD">
        <w:rPr>
          <w:rFonts w:eastAsia="Times New Roman" w:cs="Arial"/>
          <w:color w:val="000000"/>
          <w:lang w:val="ru-RU"/>
        </w:rPr>
        <w:t>-</w:t>
      </w:r>
      <w:r w:rsidRPr="008579FD">
        <w:rPr>
          <w:rFonts w:eastAsia="Times New Roman" w:cs="Arial"/>
          <w:color w:val="000000"/>
          <w:lang w:val="en-US"/>
        </w:rPr>
        <w:t>Silber</w:t>
      </w:r>
      <w:r w:rsidRPr="008579FD">
        <w:rPr>
          <w:rFonts w:eastAsia="Times New Roman" w:cs="Arial"/>
          <w:color w:val="000000"/>
          <w:lang w:val="ru-RU"/>
        </w:rPr>
        <w:t>.</w:t>
      </w:r>
    </w:p>
    <w:p w14:paraId="2F8E0929" w14:textId="77777777" w:rsidR="008579FD" w:rsidRPr="008579FD" w:rsidRDefault="008579FD" w:rsidP="008579FD">
      <w:pPr>
        <w:spacing w:line="240" w:lineRule="auto"/>
        <w:rPr>
          <w:rFonts w:eastAsia="Times New Roman" w:cs="Arial"/>
          <w:color w:val="000000"/>
          <w:lang w:eastAsia="bg-BG"/>
        </w:rPr>
      </w:pPr>
    </w:p>
    <w:p w14:paraId="2167EABD" w14:textId="1A639F4D" w:rsidR="008579FD" w:rsidRPr="008579FD" w:rsidRDefault="008579FD" w:rsidP="008579FD">
      <w:pPr>
        <w:spacing w:line="240" w:lineRule="auto"/>
        <w:rPr>
          <w:rFonts w:eastAsia="Times New Roman" w:cs="Arial"/>
          <w:color w:val="000000"/>
          <w:lang w:eastAsia="bg-BG"/>
        </w:rPr>
      </w:pPr>
      <w:r w:rsidRPr="008579FD">
        <w:rPr>
          <w:rFonts w:eastAsia="Times New Roman" w:cs="Arial"/>
          <w:color w:val="000000"/>
          <w:lang w:eastAsia="bg-BG"/>
        </w:rPr>
        <w:t>Напроксен може да повлияе някои тестове за определяне на концентрацията на 5-хидроксииндолоцетна киселина (5-ХИОК).</w:t>
      </w:r>
    </w:p>
    <w:p w14:paraId="7893F490" w14:textId="2DA82C90" w:rsidR="008579FD" w:rsidRPr="008579FD" w:rsidRDefault="008579FD" w:rsidP="008579FD"/>
    <w:p w14:paraId="394A7584" w14:textId="7AE30624" w:rsidR="004F498A" w:rsidRDefault="002C50EE" w:rsidP="004A448E">
      <w:pPr>
        <w:pStyle w:val="Heading2"/>
      </w:pPr>
      <w:r>
        <w:t>4.6. Фертилитет, бременност и кърмене</w:t>
      </w:r>
    </w:p>
    <w:p w14:paraId="726F839E" w14:textId="3B193E02" w:rsidR="008579FD" w:rsidRDefault="008579FD" w:rsidP="008579FD"/>
    <w:p w14:paraId="54878969" w14:textId="77777777" w:rsidR="008579FD" w:rsidRPr="008579FD" w:rsidRDefault="008579FD" w:rsidP="008579FD">
      <w:pPr>
        <w:pStyle w:val="Heading3"/>
        <w:rPr>
          <w:rFonts w:eastAsia="Times New Roman"/>
          <w:u w:val="single"/>
        </w:rPr>
      </w:pPr>
      <w:r w:rsidRPr="008579FD">
        <w:rPr>
          <w:rFonts w:eastAsia="Times New Roman"/>
          <w:u w:val="single"/>
          <w:lang w:eastAsia="bg-BG"/>
        </w:rPr>
        <w:t>Бременност</w:t>
      </w:r>
    </w:p>
    <w:p w14:paraId="7000B234" w14:textId="77777777" w:rsidR="008579FD" w:rsidRPr="008579FD" w:rsidRDefault="008579FD" w:rsidP="008579FD">
      <w:pPr>
        <w:spacing w:line="240" w:lineRule="auto"/>
        <w:rPr>
          <w:rFonts w:eastAsia="Times New Roman" w:cs="Arial"/>
          <w:i/>
          <w:iCs/>
          <w:color w:val="000000"/>
          <w:lang w:eastAsia="bg-BG"/>
        </w:rPr>
      </w:pPr>
    </w:p>
    <w:p w14:paraId="6EAF59C8" w14:textId="7B18584E" w:rsidR="008579FD" w:rsidRPr="008579FD" w:rsidRDefault="008579FD" w:rsidP="008579FD">
      <w:pPr>
        <w:spacing w:line="240" w:lineRule="auto"/>
        <w:rPr>
          <w:rFonts w:eastAsia="Times New Roman" w:cs="Arial"/>
          <w:sz w:val="24"/>
          <w:szCs w:val="24"/>
        </w:rPr>
      </w:pPr>
      <w:r w:rsidRPr="008579FD">
        <w:rPr>
          <w:rFonts w:eastAsia="Times New Roman" w:cs="Arial"/>
          <w:i/>
          <w:iCs/>
          <w:color w:val="000000"/>
          <w:lang w:eastAsia="bg-BG"/>
        </w:rPr>
        <w:t>Напроксен:</w:t>
      </w:r>
    </w:p>
    <w:p w14:paraId="45381F32" w14:textId="77777777" w:rsidR="008579FD" w:rsidRPr="008579FD" w:rsidRDefault="008579FD" w:rsidP="008579FD">
      <w:pPr>
        <w:spacing w:line="240" w:lineRule="auto"/>
        <w:rPr>
          <w:rFonts w:eastAsia="Times New Roman" w:cs="Arial"/>
          <w:color w:val="000000"/>
          <w:lang w:eastAsia="bg-BG"/>
        </w:rPr>
      </w:pPr>
    </w:p>
    <w:p w14:paraId="58144949" w14:textId="65C1571F"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Инхибирането на простагландиновия синтез може да доведе до нежелано въздействие върху бременността и/или ембриофеталното развитие. Данните от ембриологичните проучвания говорят за повишен риск за аборт, развитие на сърдечни малформации и лапаросхиза след употреба на инхибитор на простагландиновия синтез в ранните срокове на бременността. Абсолютният риск за развитие на сърдечно-съдови малформации се повишава от под 1% до приблизително 1,5%. Смята се, че този риск нараства с повишаване на дозата и с увеличаване на продължителността на лечението. Има данни, че при животни приложението на инхибитори на простагландиновия синтез води до повишаване на пре- и постимплантационната загуба на плода и на ембрио-феталната смъртност. В допълнение, има съобщения за повишена честота на различни малформации, включително и на сърдечно-съдови, при животни, на които по време на органогенезата е прилаган инхибитор на простагландиновия синтез (вж. точка 5.3).</w:t>
      </w:r>
    </w:p>
    <w:p w14:paraId="60405DDA" w14:textId="77777777" w:rsidR="008579FD" w:rsidRPr="008579FD" w:rsidRDefault="008579FD" w:rsidP="008579FD">
      <w:pPr>
        <w:spacing w:line="240" w:lineRule="auto"/>
        <w:rPr>
          <w:rFonts w:eastAsia="Times New Roman" w:cs="Arial"/>
          <w:color w:val="000000"/>
          <w:lang w:eastAsia="bg-BG"/>
        </w:rPr>
      </w:pPr>
    </w:p>
    <w:p w14:paraId="1D4C6AA3" w14:textId="1511A053"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Вимово не трябва да се прилага при жени, които се опитват да забременеят, или през първия и втория триместьр на бременността, освен ако потенциалната полза за пациента не надвишава потенциалния риск за плода. Ако Вимово се приема от жена, която се опитва да зачене, или жена в първия и втория триместьр на бременността, дозата трябва да се поддържа възможно най-ниска и лечението трябва да е максимално кратко.</w:t>
      </w:r>
    </w:p>
    <w:p w14:paraId="389B4904" w14:textId="77777777" w:rsidR="008579FD" w:rsidRPr="008579FD" w:rsidRDefault="008579FD" w:rsidP="008579FD">
      <w:pPr>
        <w:rPr>
          <w:rFonts w:eastAsia="Times New Roman" w:cs="Arial"/>
          <w:color w:val="000000"/>
          <w:lang w:eastAsia="bg-BG"/>
        </w:rPr>
      </w:pPr>
    </w:p>
    <w:p w14:paraId="43C050D4" w14:textId="77777777" w:rsidR="008579FD" w:rsidRPr="008579FD" w:rsidRDefault="008579FD" w:rsidP="008579FD">
      <w:pPr>
        <w:pStyle w:val="ListParagraph"/>
        <w:numPr>
          <w:ilvl w:val="0"/>
          <w:numId w:val="38"/>
        </w:numPr>
        <w:rPr>
          <w:rFonts w:cs="Arial"/>
        </w:rPr>
      </w:pPr>
      <w:r w:rsidRPr="008579FD">
        <w:rPr>
          <w:rFonts w:eastAsia="Times New Roman" w:cs="Arial"/>
          <w:color w:val="000000"/>
          <w:lang w:eastAsia="bg-BG"/>
        </w:rPr>
        <w:t>По време на третия триместьр на бременността всички инхибитори на синтеза на</w:t>
      </w:r>
      <w:r w:rsidRPr="008579FD">
        <w:rPr>
          <w:rFonts w:eastAsia="Times New Roman" w:cs="Arial"/>
          <w:color w:val="000000"/>
          <w:u w:val="single"/>
          <w:lang w:eastAsia="bg-BG"/>
        </w:rPr>
        <w:t xml:space="preserve"> </w:t>
      </w:r>
      <w:r w:rsidRPr="008579FD">
        <w:rPr>
          <w:rFonts w:eastAsia="Times New Roman" w:cs="Arial"/>
          <w:color w:val="000000"/>
          <w:lang w:eastAsia="bg-BG"/>
        </w:rPr>
        <w:t>простагландини носят за плода риск за:кардио-пулмонална токсичност (с</w:t>
      </w:r>
      <w:r w:rsidRPr="008579FD">
        <w:rPr>
          <w:rFonts w:eastAsia="Times New Roman" w:cs="Arial"/>
          <w:i/>
          <w:iCs/>
          <w:color w:val="000000"/>
          <w:lang w:eastAsia="bg-BG"/>
        </w:rPr>
        <w:t xml:space="preserve"> </w:t>
      </w:r>
      <w:r w:rsidRPr="008579FD">
        <w:rPr>
          <w:rFonts w:eastAsia="Times New Roman" w:cs="Arial"/>
          <w:color w:val="000000"/>
          <w:lang w:eastAsia="bg-BG"/>
        </w:rPr>
        <w:t>преждевременно затваряне на Боталовия проток и белодробна хипертония)</w:t>
      </w:r>
    </w:p>
    <w:p w14:paraId="526CA512" w14:textId="43E9A44A" w:rsidR="008579FD" w:rsidRPr="008579FD" w:rsidRDefault="008579FD" w:rsidP="008579FD">
      <w:pPr>
        <w:pStyle w:val="ListParagraph"/>
        <w:numPr>
          <w:ilvl w:val="0"/>
          <w:numId w:val="38"/>
        </w:numPr>
        <w:rPr>
          <w:rFonts w:cs="Arial"/>
        </w:rPr>
      </w:pPr>
      <w:r w:rsidRPr="008579FD">
        <w:rPr>
          <w:rFonts w:eastAsia="Times New Roman" w:cs="Arial"/>
          <w:color w:val="000000"/>
          <w:lang w:eastAsia="bg-BG"/>
        </w:rPr>
        <w:t>бъбречна дисфункция, която може да прогресира до бъбречна недостатъчност с олигохидрамнион.</w:t>
      </w:r>
    </w:p>
    <w:p w14:paraId="75508B76" w14:textId="31EEDC37" w:rsidR="008579FD" w:rsidRPr="008579FD" w:rsidRDefault="008579FD" w:rsidP="008579FD">
      <w:pPr>
        <w:rPr>
          <w:rFonts w:cs="Arial"/>
        </w:rPr>
      </w:pPr>
    </w:p>
    <w:p w14:paraId="73DC115E"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За майката и плода в края на бременността:</w:t>
      </w:r>
    </w:p>
    <w:p w14:paraId="06F94DC5" w14:textId="77777777" w:rsidR="008579FD" w:rsidRPr="008579FD" w:rsidRDefault="008579FD" w:rsidP="008579FD">
      <w:pPr>
        <w:pStyle w:val="ListParagraph"/>
        <w:numPr>
          <w:ilvl w:val="0"/>
          <w:numId w:val="39"/>
        </w:numPr>
        <w:spacing w:line="240" w:lineRule="auto"/>
        <w:rPr>
          <w:rFonts w:eastAsia="Times New Roman" w:cs="Arial"/>
          <w:sz w:val="24"/>
          <w:szCs w:val="24"/>
        </w:rPr>
      </w:pPr>
      <w:r w:rsidRPr="008579FD">
        <w:rPr>
          <w:rFonts w:eastAsia="Times New Roman" w:cs="Arial"/>
          <w:color w:val="000000"/>
          <w:lang w:eastAsia="bg-BG"/>
        </w:rPr>
        <w:lastRenderedPageBreak/>
        <w:t>възможно удължаване на времето на кървене в резултат на антиагрегантния ефект, който може да се прояви дори и при много ниски дози;</w:t>
      </w:r>
    </w:p>
    <w:p w14:paraId="144196D9" w14:textId="303BF380" w:rsidR="008579FD" w:rsidRPr="008579FD" w:rsidRDefault="008579FD" w:rsidP="008579FD">
      <w:pPr>
        <w:pStyle w:val="ListParagraph"/>
        <w:numPr>
          <w:ilvl w:val="0"/>
          <w:numId w:val="39"/>
        </w:numPr>
        <w:spacing w:line="240" w:lineRule="auto"/>
        <w:rPr>
          <w:rFonts w:eastAsia="Times New Roman" w:cs="Arial"/>
          <w:sz w:val="24"/>
          <w:szCs w:val="24"/>
        </w:rPr>
      </w:pPr>
      <w:r w:rsidRPr="008579FD">
        <w:rPr>
          <w:rFonts w:eastAsia="Times New Roman" w:cs="Arial"/>
          <w:color w:val="000000"/>
          <w:lang w:eastAsia="bg-BG"/>
        </w:rPr>
        <w:t>инхибиране на маточните контракции, което може да доведе до забавяне или удължаване на родовата дейност.</w:t>
      </w:r>
    </w:p>
    <w:p w14:paraId="3849637B" w14:textId="77777777" w:rsidR="008579FD" w:rsidRPr="008579FD" w:rsidRDefault="008579FD" w:rsidP="008579FD">
      <w:pPr>
        <w:spacing w:line="240" w:lineRule="auto"/>
        <w:rPr>
          <w:rFonts w:eastAsia="Times New Roman" w:cs="Arial"/>
          <w:color w:val="000000"/>
          <w:lang w:eastAsia="bg-BG"/>
        </w:rPr>
      </w:pPr>
    </w:p>
    <w:p w14:paraId="3344BE2D" w14:textId="252930FF"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Поради това, по време на третия триместьр на бременността Вимово е противопоказан (вж. точка 4.3).</w:t>
      </w:r>
    </w:p>
    <w:p w14:paraId="53F86AFA" w14:textId="77777777" w:rsidR="008579FD" w:rsidRPr="008579FD" w:rsidRDefault="008579FD" w:rsidP="008579FD">
      <w:pPr>
        <w:spacing w:line="240" w:lineRule="auto"/>
        <w:rPr>
          <w:rFonts w:eastAsia="Times New Roman" w:cs="Arial"/>
          <w:i/>
          <w:iCs/>
          <w:color w:val="000000"/>
          <w:lang w:eastAsia="bg-BG"/>
        </w:rPr>
      </w:pPr>
    </w:p>
    <w:p w14:paraId="6F4098CA" w14:textId="727A2C0A" w:rsidR="008579FD" w:rsidRPr="008579FD" w:rsidRDefault="008579FD" w:rsidP="008579FD">
      <w:pPr>
        <w:spacing w:line="240" w:lineRule="auto"/>
        <w:rPr>
          <w:rFonts w:eastAsia="Times New Roman" w:cs="Arial"/>
          <w:sz w:val="24"/>
          <w:szCs w:val="24"/>
        </w:rPr>
      </w:pPr>
      <w:r w:rsidRPr="008579FD">
        <w:rPr>
          <w:rFonts w:eastAsia="Times New Roman" w:cs="Arial"/>
          <w:i/>
          <w:iCs/>
          <w:color w:val="000000"/>
          <w:lang w:eastAsia="bg-BG"/>
        </w:rPr>
        <w:t>Езомепразол:</w:t>
      </w:r>
    </w:p>
    <w:p w14:paraId="1C32726C"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Има ограничени данни от употребата на езомепразол при бременни жени. Данните за прием на рацемичната смес омепразол при по-голям брой проследени бременности, в хода на епидемиологични проучвания, говорят за липса на малформативни или фетотоксични ефекти. Проучванията на езомепразол при животни не показват преки или непреки вредни ефекти, свързани е ембрионалното/феталното развитие. Проучванията на рацемичната смес при животни не показват преки или непреки вредни ефекти, свързани с бременността, раждането или послеродовото развитие.</w:t>
      </w:r>
    </w:p>
    <w:p w14:paraId="5E27743D" w14:textId="77777777" w:rsidR="008579FD" w:rsidRPr="008579FD" w:rsidRDefault="008579FD" w:rsidP="008579FD">
      <w:pPr>
        <w:spacing w:line="240" w:lineRule="auto"/>
        <w:rPr>
          <w:rFonts w:eastAsia="Times New Roman" w:cs="Arial"/>
          <w:color w:val="000000"/>
          <w:u w:val="single"/>
          <w:lang w:eastAsia="bg-BG"/>
        </w:rPr>
      </w:pPr>
    </w:p>
    <w:p w14:paraId="565C6895" w14:textId="7C2CCFA9" w:rsidR="008579FD" w:rsidRPr="008579FD" w:rsidRDefault="008579FD" w:rsidP="008579FD">
      <w:pPr>
        <w:pStyle w:val="Heading3"/>
        <w:rPr>
          <w:rFonts w:eastAsia="Times New Roman"/>
          <w:u w:val="single"/>
        </w:rPr>
      </w:pPr>
      <w:r w:rsidRPr="008579FD">
        <w:rPr>
          <w:rFonts w:eastAsia="Times New Roman"/>
          <w:u w:val="single"/>
          <w:lang w:eastAsia="bg-BG"/>
        </w:rPr>
        <w:t>Кърмене</w:t>
      </w:r>
    </w:p>
    <w:p w14:paraId="322503AE"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Напроксен се екскретира в кърмата в малко количество. Не е известно дали езомепразол се екскретира в кърмата. Публикуван случай на прием на рацемичната смес омепразол говори за екскреция в кърмата в малка степен (коригирана спрямо теглото доза &lt; 7%). Вимово не трябва да се използва в периода на кърмене.</w:t>
      </w:r>
    </w:p>
    <w:p w14:paraId="51059888" w14:textId="77777777" w:rsidR="008579FD" w:rsidRPr="008579FD" w:rsidRDefault="008579FD" w:rsidP="008579FD">
      <w:pPr>
        <w:spacing w:line="240" w:lineRule="auto"/>
        <w:rPr>
          <w:rFonts w:eastAsia="Times New Roman" w:cs="Arial"/>
          <w:color w:val="000000"/>
          <w:u w:val="single"/>
          <w:lang w:eastAsia="bg-BG"/>
        </w:rPr>
      </w:pPr>
    </w:p>
    <w:p w14:paraId="510B0519" w14:textId="2AA32D17" w:rsidR="008579FD" w:rsidRPr="008579FD" w:rsidRDefault="008579FD" w:rsidP="008579FD">
      <w:pPr>
        <w:pStyle w:val="Heading3"/>
        <w:rPr>
          <w:rFonts w:eastAsia="Times New Roman"/>
          <w:u w:val="single"/>
        </w:rPr>
      </w:pPr>
      <w:r w:rsidRPr="008579FD">
        <w:rPr>
          <w:rFonts w:eastAsia="Times New Roman"/>
          <w:u w:val="single"/>
          <w:lang w:eastAsia="bg-BG"/>
        </w:rPr>
        <w:t>Фертилитет</w:t>
      </w:r>
    </w:p>
    <w:p w14:paraId="3382F2A9" w14:textId="5EB976B1" w:rsidR="008579FD" w:rsidRPr="008579FD" w:rsidRDefault="008579FD" w:rsidP="008579FD">
      <w:pPr>
        <w:rPr>
          <w:rFonts w:eastAsia="Times New Roman" w:cs="Arial"/>
          <w:color w:val="000000"/>
          <w:lang w:eastAsia="bg-BG"/>
        </w:rPr>
      </w:pPr>
      <w:r w:rsidRPr="008579FD">
        <w:rPr>
          <w:rFonts w:eastAsia="Times New Roman" w:cs="Arial"/>
          <w:color w:val="000000"/>
          <w:lang w:eastAsia="bg-BG"/>
        </w:rPr>
        <w:t>Употребата на НСПВС, като напроксен може да понижи женския фертилитет. Употребата на Вимово не се препоръчва при жени, които се опитват да забременеят (вж. точка 4.4)</w:t>
      </w:r>
    </w:p>
    <w:p w14:paraId="0C0B439D" w14:textId="77777777" w:rsidR="008579FD" w:rsidRPr="008579FD" w:rsidRDefault="008579FD" w:rsidP="008579FD"/>
    <w:p w14:paraId="064DF1DE" w14:textId="4B080081" w:rsidR="00CF77F7" w:rsidRDefault="002C50EE" w:rsidP="004A448E">
      <w:pPr>
        <w:pStyle w:val="Heading2"/>
      </w:pPr>
      <w:r>
        <w:t>4.7. Ефекти върху способността за шофиране и работа с машини</w:t>
      </w:r>
    </w:p>
    <w:p w14:paraId="0D08250A" w14:textId="0C81B1C0" w:rsidR="008579FD" w:rsidRDefault="008579FD" w:rsidP="008579FD"/>
    <w:p w14:paraId="2259E37F" w14:textId="77777777" w:rsidR="008579FD" w:rsidRPr="008579FD" w:rsidRDefault="008579FD" w:rsidP="008579FD">
      <w:pPr>
        <w:rPr>
          <w:sz w:val="24"/>
          <w:szCs w:val="24"/>
        </w:rPr>
      </w:pPr>
      <w:r w:rsidRPr="008579FD">
        <w:rPr>
          <w:lang w:eastAsia="bg-BG"/>
        </w:rPr>
        <w:t>Вимово оказва минимално влияние върху способността за шофиране и работа с машини; трябва да се има предвид, че някои от нежеланите реакции (например замаяност), за които има съобщения след употреба на Вимово, могат да забавят реакциите.</w:t>
      </w:r>
    </w:p>
    <w:p w14:paraId="668CC04E" w14:textId="77777777" w:rsidR="008579FD" w:rsidRPr="008579FD" w:rsidRDefault="008579FD" w:rsidP="008579FD"/>
    <w:p w14:paraId="37A3FD9F" w14:textId="6D79415F" w:rsidR="00CF77F7" w:rsidRDefault="002C50EE" w:rsidP="004A448E">
      <w:pPr>
        <w:pStyle w:val="Heading2"/>
      </w:pPr>
      <w:r>
        <w:t>4.8. Нежелани лекарствени реакции</w:t>
      </w:r>
    </w:p>
    <w:p w14:paraId="5FCDC93A" w14:textId="74ADAFAD" w:rsidR="008579FD" w:rsidRDefault="008579FD" w:rsidP="008579FD"/>
    <w:p w14:paraId="2A1D2D9C"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u w:val="single"/>
          <w:lang w:eastAsia="bg-BG"/>
        </w:rPr>
        <w:t>Резюме на профила на безопасност</w:t>
      </w:r>
    </w:p>
    <w:p w14:paraId="3C6B7B03"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В препарата е включен езомепразол с непосредствено освобождаване, с цел намаляване на честотата на стомашно-чревните нарушения, в резултат на приема на напроксен. В сравнение с монотерапията с напроксен, при прием на Вимово е значимо по-ниска честотата на развитие на стомашни язви и на свързани с приема на НСПВС нежелани реакции от страна на горния стомашно-чревен тракт (вж. точка 5.1).</w:t>
      </w:r>
    </w:p>
    <w:p w14:paraId="706F7FB1" w14:textId="77777777" w:rsidR="008579FD" w:rsidRPr="008579FD" w:rsidRDefault="008579FD" w:rsidP="008579FD">
      <w:pPr>
        <w:spacing w:line="240" w:lineRule="auto"/>
        <w:rPr>
          <w:rFonts w:eastAsia="Times New Roman" w:cs="Arial"/>
          <w:color w:val="000000"/>
          <w:lang w:eastAsia="bg-BG"/>
        </w:rPr>
      </w:pPr>
    </w:p>
    <w:p w14:paraId="025AE48E" w14:textId="259F6EEF"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В хода на лечението с Вимово, в общата проучвана популация (</w:t>
      </w:r>
      <w:r w:rsidRPr="008579FD">
        <w:rPr>
          <w:rFonts w:eastAsia="Times New Roman" w:cs="Arial"/>
          <w:color w:val="000000"/>
          <w:lang w:val="en-US"/>
        </w:rPr>
        <w:t>n</w:t>
      </w:r>
      <w:r w:rsidRPr="008579FD">
        <w:rPr>
          <w:rFonts w:eastAsia="Times New Roman" w:cs="Arial"/>
          <w:color w:val="000000"/>
          <w:lang w:eastAsia="bg-BG"/>
        </w:rPr>
        <w:t>=1 157), не са установени нови данни, касаещи безопасността, различни от известните профили на безопасност на отделните активни съставки - напроксен и езомепразол.</w:t>
      </w:r>
    </w:p>
    <w:p w14:paraId="2EE7349C" w14:textId="77777777" w:rsidR="008579FD" w:rsidRPr="008579FD" w:rsidRDefault="008579FD" w:rsidP="008579FD">
      <w:pPr>
        <w:spacing w:line="240" w:lineRule="auto"/>
        <w:rPr>
          <w:rFonts w:eastAsia="Times New Roman" w:cs="Arial"/>
          <w:color w:val="000000"/>
          <w:u w:val="single"/>
          <w:lang w:eastAsia="bg-BG"/>
        </w:rPr>
      </w:pPr>
    </w:p>
    <w:p w14:paraId="73FED37B" w14:textId="0082A456" w:rsidR="008579FD" w:rsidRPr="008579FD" w:rsidRDefault="008579FD" w:rsidP="008579FD">
      <w:pPr>
        <w:spacing w:line="240" w:lineRule="auto"/>
        <w:rPr>
          <w:rFonts w:eastAsia="Times New Roman" w:cs="Arial"/>
          <w:sz w:val="24"/>
          <w:szCs w:val="24"/>
        </w:rPr>
      </w:pPr>
      <w:r w:rsidRPr="008579FD">
        <w:rPr>
          <w:rFonts w:eastAsia="Times New Roman" w:cs="Arial"/>
          <w:color w:val="000000"/>
          <w:u w:val="single"/>
          <w:lang w:eastAsia="bg-BG"/>
        </w:rPr>
        <w:t>Таблично резюмиране на нежеланите реакции</w:t>
      </w:r>
    </w:p>
    <w:p w14:paraId="120402DC"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lastRenderedPageBreak/>
        <w:t>Нежеланите реакции се класифицират по честота и системо-органен клас. Категориите</w:t>
      </w:r>
      <w:r w:rsidRPr="008579FD">
        <w:rPr>
          <w:rFonts w:eastAsia="Times New Roman" w:cs="Arial"/>
          <w:color w:val="000000"/>
          <w:lang w:val="ru-RU"/>
        </w:rPr>
        <w:t xml:space="preserve"> </w:t>
      </w:r>
      <w:r w:rsidRPr="008579FD">
        <w:rPr>
          <w:rFonts w:eastAsia="Times New Roman" w:cs="Arial"/>
          <w:color w:val="000000"/>
          <w:lang w:eastAsia="bg-BG"/>
        </w:rPr>
        <w:t>честоти</w:t>
      </w:r>
      <w:r w:rsidRPr="008579FD">
        <w:rPr>
          <w:rFonts w:eastAsia="Times New Roman" w:cs="Arial"/>
          <w:color w:val="000000"/>
          <w:vertAlign w:val="superscript"/>
          <w:lang w:eastAsia="bg-BG"/>
        </w:rPr>
        <w:t xml:space="preserve"> </w:t>
      </w:r>
      <w:r w:rsidRPr="008579FD">
        <w:rPr>
          <w:rFonts w:eastAsia="Times New Roman" w:cs="Arial"/>
          <w:color w:val="000000"/>
          <w:lang w:eastAsia="bg-BG"/>
        </w:rPr>
        <w:t xml:space="preserve">се дефинират въз основа на следните граници: Много чести (≥1/10), чести (≥1/100 до &lt;1/10), нечести (≥1/1 000 до &lt; 1/100), редки (≥1/10 000 до &lt; 1/1 000), много редки (&lt; 1/10 000), с неизвестна честота (от наличните данни не може да бъде направена оценка). </w:t>
      </w:r>
    </w:p>
    <w:p w14:paraId="2775946A" w14:textId="77777777" w:rsidR="008579FD" w:rsidRPr="008579FD" w:rsidRDefault="008579FD" w:rsidP="008579FD">
      <w:pPr>
        <w:spacing w:line="240" w:lineRule="auto"/>
        <w:rPr>
          <w:rFonts w:eastAsia="Times New Roman" w:cs="Arial"/>
          <w:b/>
          <w:bCs/>
          <w:i/>
          <w:iCs/>
          <w:color w:val="000000"/>
          <w:lang w:eastAsia="bg-BG"/>
        </w:rPr>
      </w:pPr>
    </w:p>
    <w:p w14:paraId="3EEE6EFD" w14:textId="64CB6838" w:rsidR="008579FD" w:rsidRPr="008579FD" w:rsidRDefault="008579FD" w:rsidP="008579FD">
      <w:pPr>
        <w:spacing w:line="240" w:lineRule="auto"/>
        <w:rPr>
          <w:rFonts w:eastAsia="Times New Roman" w:cs="Arial"/>
          <w:b/>
          <w:bCs/>
          <w:i/>
          <w:iCs/>
          <w:color w:val="000000"/>
          <w:lang w:eastAsia="bg-BG"/>
        </w:rPr>
      </w:pPr>
      <w:r w:rsidRPr="008579FD">
        <w:rPr>
          <w:rFonts w:eastAsia="Times New Roman" w:cs="Arial"/>
          <w:b/>
          <w:bCs/>
          <w:i/>
          <w:iCs/>
          <w:color w:val="000000"/>
          <w:lang w:eastAsia="bg-BG"/>
        </w:rPr>
        <w:t>Вимово</w:t>
      </w:r>
    </w:p>
    <w:p w14:paraId="1BCC73E8" w14:textId="0D875384"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При пациенти, приемали Вимово в клинични проучвания, са съобщени следните нежелани реакции:</w:t>
      </w:r>
    </w:p>
    <w:tbl>
      <w:tblPr>
        <w:tblStyle w:val="TableGrid"/>
        <w:tblW w:w="0" w:type="auto"/>
        <w:tblLook w:val="04A0" w:firstRow="1" w:lastRow="0" w:firstColumn="1" w:lastColumn="0" w:noHBand="0" w:noVBand="1"/>
      </w:tblPr>
      <w:tblGrid>
        <w:gridCol w:w="2131"/>
        <w:gridCol w:w="1283"/>
        <w:gridCol w:w="2160"/>
        <w:gridCol w:w="1746"/>
        <w:gridCol w:w="2030"/>
      </w:tblGrid>
      <w:tr w:rsidR="008579FD" w14:paraId="3884D221" w14:textId="77777777" w:rsidTr="008579FD">
        <w:tc>
          <w:tcPr>
            <w:tcW w:w="2182" w:type="dxa"/>
          </w:tcPr>
          <w:p w14:paraId="3909522C" w14:textId="77777777" w:rsidR="008579FD" w:rsidRDefault="008579FD" w:rsidP="008579FD">
            <w:pPr>
              <w:spacing w:line="240" w:lineRule="auto"/>
              <w:rPr>
                <w:rFonts w:ascii="Times New Roman" w:eastAsia="Times New Roman" w:hAnsi="Times New Roman" w:cs="Times New Roman"/>
                <w:sz w:val="24"/>
                <w:szCs w:val="24"/>
              </w:rPr>
            </w:pPr>
          </w:p>
        </w:tc>
        <w:tc>
          <w:tcPr>
            <w:tcW w:w="1318" w:type="dxa"/>
            <w:vAlign w:val="bottom"/>
          </w:tcPr>
          <w:p w14:paraId="35A23CE0" w14:textId="2D8D238C" w:rsidR="008579FD" w:rsidRDefault="008579FD" w:rsidP="008579FD">
            <w:pPr>
              <w:spacing w:line="240" w:lineRule="auto"/>
              <w:rPr>
                <w:rFonts w:ascii="Times New Roman" w:eastAsia="Times New Roman" w:hAnsi="Times New Roman" w:cs="Times New Roman"/>
                <w:sz w:val="24"/>
                <w:szCs w:val="24"/>
              </w:rPr>
            </w:pPr>
            <w:r>
              <w:rPr>
                <w:b/>
                <w:bCs/>
              </w:rPr>
              <w:t>Много чести</w:t>
            </w:r>
          </w:p>
        </w:tc>
        <w:tc>
          <w:tcPr>
            <w:tcW w:w="2211" w:type="dxa"/>
          </w:tcPr>
          <w:p w14:paraId="2C061D84" w14:textId="1A996B68" w:rsidR="008579FD" w:rsidRDefault="008579FD" w:rsidP="008579FD">
            <w:pPr>
              <w:spacing w:line="240" w:lineRule="auto"/>
              <w:rPr>
                <w:rFonts w:ascii="Times New Roman" w:eastAsia="Times New Roman" w:hAnsi="Times New Roman" w:cs="Times New Roman"/>
                <w:sz w:val="24"/>
                <w:szCs w:val="24"/>
              </w:rPr>
            </w:pPr>
            <w:r>
              <w:rPr>
                <w:b/>
                <w:bCs/>
              </w:rPr>
              <w:t>Чести</w:t>
            </w:r>
          </w:p>
        </w:tc>
        <w:tc>
          <w:tcPr>
            <w:tcW w:w="1787" w:type="dxa"/>
          </w:tcPr>
          <w:p w14:paraId="01A71704" w14:textId="0ABA3B71" w:rsidR="008579FD" w:rsidRDefault="008579FD" w:rsidP="008579FD">
            <w:pPr>
              <w:spacing w:line="240" w:lineRule="auto"/>
              <w:rPr>
                <w:rFonts w:ascii="Times New Roman" w:eastAsia="Times New Roman" w:hAnsi="Times New Roman" w:cs="Times New Roman"/>
                <w:sz w:val="24"/>
                <w:szCs w:val="24"/>
              </w:rPr>
            </w:pPr>
            <w:r>
              <w:rPr>
                <w:b/>
                <w:bCs/>
              </w:rPr>
              <w:t>Нечестн</w:t>
            </w:r>
          </w:p>
        </w:tc>
        <w:tc>
          <w:tcPr>
            <w:tcW w:w="2078" w:type="dxa"/>
          </w:tcPr>
          <w:p w14:paraId="022AA190" w14:textId="25871C8B" w:rsidR="008579FD" w:rsidRDefault="008579FD" w:rsidP="008579FD">
            <w:pPr>
              <w:spacing w:line="240" w:lineRule="auto"/>
              <w:rPr>
                <w:rFonts w:ascii="Times New Roman" w:eastAsia="Times New Roman" w:hAnsi="Times New Roman" w:cs="Times New Roman"/>
                <w:sz w:val="24"/>
                <w:szCs w:val="24"/>
              </w:rPr>
            </w:pPr>
            <w:r>
              <w:rPr>
                <w:b/>
                <w:bCs/>
              </w:rPr>
              <w:t>Редки</w:t>
            </w:r>
          </w:p>
        </w:tc>
      </w:tr>
      <w:tr w:rsidR="008579FD" w14:paraId="53CD3F15" w14:textId="77777777" w:rsidTr="008579FD">
        <w:tc>
          <w:tcPr>
            <w:tcW w:w="2182" w:type="dxa"/>
            <w:vAlign w:val="bottom"/>
          </w:tcPr>
          <w:p w14:paraId="5A7DFF88" w14:textId="4B5EC6B4" w:rsidR="008579FD" w:rsidRDefault="008579FD" w:rsidP="008579FD">
            <w:pPr>
              <w:spacing w:line="240" w:lineRule="auto"/>
              <w:rPr>
                <w:rFonts w:ascii="Times New Roman" w:eastAsia="Times New Roman" w:hAnsi="Times New Roman" w:cs="Times New Roman"/>
                <w:sz w:val="24"/>
                <w:szCs w:val="24"/>
              </w:rPr>
            </w:pPr>
            <w:r>
              <w:rPr>
                <w:b/>
                <w:bCs/>
              </w:rPr>
              <w:t>Инфекции и нифестации</w:t>
            </w:r>
          </w:p>
        </w:tc>
        <w:tc>
          <w:tcPr>
            <w:tcW w:w="1318" w:type="dxa"/>
          </w:tcPr>
          <w:p w14:paraId="2EC0F733"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3BD81D7E"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vAlign w:val="center"/>
          </w:tcPr>
          <w:p w14:paraId="6CF04CED" w14:textId="0DF9C8CD" w:rsidR="008579FD" w:rsidRDefault="008579FD" w:rsidP="008579FD">
            <w:pPr>
              <w:spacing w:line="240" w:lineRule="auto"/>
              <w:rPr>
                <w:rFonts w:ascii="Times New Roman" w:eastAsia="Times New Roman" w:hAnsi="Times New Roman" w:cs="Times New Roman"/>
                <w:sz w:val="24"/>
                <w:szCs w:val="24"/>
              </w:rPr>
            </w:pPr>
            <w:r>
              <w:t>Инфекции</w:t>
            </w:r>
          </w:p>
        </w:tc>
        <w:tc>
          <w:tcPr>
            <w:tcW w:w="2078" w:type="dxa"/>
            <w:vAlign w:val="center"/>
          </w:tcPr>
          <w:p w14:paraId="59C41E5A" w14:textId="4299190B" w:rsidR="008579FD" w:rsidRDefault="008579FD" w:rsidP="008579FD">
            <w:pPr>
              <w:spacing w:line="240" w:lineRule="auto"/>
              <w:rPr>
                <w:rFonts w:ascii="Times New Roman" w:eastAsia="Times New Roman" w:hAnsi="Times New Roman" w:cs="Times New Roman"/>
                <w:sz w:val="24"/>
                <w:szCs w:val="24"/>
              </w:rPr>
            </w:pPr>
            <w:r>
              <w:t>Дивертикулит</w:t>
            </w:r>
          </w:p>
        </w:tc>
      </w:tr>
      <w:tr w:rsidR="008579FD" w14:paraId="13FBC6E1" w14:textId="77777777" w:rsidTr="008579FD">
        <w:tc>
          <w:tcPr>
            <w:tcW w:w="2182" w:type="dxa"/>
            <w:vAlign w:val="center"/>
          </w:tcPr>
          <w:p w14:paraId="03F9E10C" w14:textId="06629A29" w:rsidR="008579FD" w:rsidRDefault="008579FD" w:rsidP="008579FD">
            <w:pPr>
              <w:spacing w:line="240" w:lineRule="auto"/>
              <w:rPr>
                <w:rFonts w:ascii="Times New Roman" w:eastAsia="Times New Roman" w:hAnsi="Times New Roman" w:cs="Times New Roman"/>
                <w:sz w:val="24"/>
                <w:szCs w:val="24"/>
              </w:rPr>
            </w:pPr>
            <w:r>
              <w:rPr>
                <w:b/>
                <w:bCs/>
              </w:rPr>
              <w:t>Нарушения на кръвта и лимфната система</w:t>
            </w:r>
          </w:p>
        </w:tc>
        <w:tc>
          <w:tcPr>
            <w:tcW w:w="1318" w:type="dxa"/>
          </w:tcPr>
          <w:p w14:paraId="243B49BA"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1188192C"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2D3A7418" w14:textId="77777777" w:rsidR="008579FD" w:rsidRDefault="008579FD" w:rsidP="008579FD">
            <w:pPr>
              <w:spacing w:line="240" w:lineRule="auto"/>
              <w:rPr>
                <w:rFonts w:ascii="Times New Roman" w:eastAsia="Times New Roman" w:hAnsi="Times New Roman" w:cs="Times New Roman"/>
                <w:sz w:val="24"/>
                <w:szCs w:val="24"/>
              </w:rPr>
            </w:pPr>
          </w:p>
        </w:tc>
        <w:tc>
          <w:tcPr>
            <w:tcW w:w="2078" w:type="dxa"/>
          </w:tcPr>
          <w:p w14:paraId="36847EA8" w14:textId="0FC0BE3C" w:rsidR="008579FD" w:rsidRDefault="008579FD" w:rsidP="008579FD">
            <w:pPr>
              <w:spacing w:line="240" w:lineRule="auto"/>
              <w:rPr>
                <w:rFonts w:ascii="Times New Roman" w:eastAsia="Times New Roman" w:hAnsi="Times New Roman" w:cs="Times New Roman"/>
                <w:sz w:val="24"/>
                <w:szCs w:val="24"/>
              </w:rPr>
            </w:pPr>
            <w:r>
              <w:t>Еозинофилия, левкопения</w:t>
            </w:r>
          </w:p>
        </w:tc>
      </w:tr>
      <w:tr w:rsidR="008579FD" w14:paraId="633E2DAA" w14:textId="77777777" w:rsidTr="008579FD">
        <w:tc>
          <w:tcPr>
            <w:tcW w:w="2182" w:type="dxa"/>
            <w:vAlign w:val="center"/>
          </w:tcPr>
          <w:p w14:paraId="3D096308" w14:textId="704EC522" w:rsidR="008579FD" w:rsidRDefault="008579FD" w:rsidP="008579FD">
            <w:pPr>
              <w:spacing w:line="240" w:lineRule="auto"/>
              <w:rPr>
                <w:rFonts w:ascii="Times New Roman" w:eastAsia="Times New Roman" w:hAnsi="Times New Roman" w:cs="Times New Roman"/>
                <w:sz w:val="24"/>
                <w:szCs w:val="24"/>
              </w:rPr>
            </w:pPr>
            <w:r>
              <w:rPr>
                <w:b/>
                <w:bCs/>
              </w:rPr>
              <w:t>Нарушения на имунната система</w:t>
            </w:r>
          </w:p>
        </w:tc>
        <w:tc>
          <w:tcPr>
            <w:tcW w:w="1318" w:type="dxa"/>
          </w:tcPr>
          <w:p w14:paraId="2C28F3B6"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3A1A63BC"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2170FC3D" w14:textId="77777777" w:rsidR="008579FD" w:rsidRDefault="008579FD" w:rsidP="008579FD">
            <w:pPr>
              <w:spacing w:line="240" w:lineRule="auto"/>
              <w:rPr>
                <w:rFonts w:ascii="Times New Roman" w:eastAsia="Times New Roman" w:hAnsi="Times New Roman" w:cs="Times New Roman"/>
                <w:sz w:val="24"/>
                <w:szCs w:val="24"/>
              </w:rPr>
            </w:pPr>
          </w:p>
        </w:tc>
        <w:tc>
          <w:tcPr>
            <w:tcW w:w="2078" w:type="dxa"/>
            <w:vAlign w:val="center"/>
          </w:tcPr>
          <w:p w14:paraId="06897AF1" w14:textId="18ED922E" w:rsidR="008579FD" w:rsidRDefault="008579FD" w:rsidP="008579FD">
            <w:pPr>
              <w:spacing w:line="240" w:lineRule="auto"/>
              <w:rPr>
                <w:rFonts w:ascii="Times New Roman" w:eastAsia="Times New Roman" w:hAnsi="Times New Roman" w:cs="Times New Roman"/>
                <w:sz w:val="24"/>
                <w:szCs w:val="24"/>
              </w:rPr>
            </w:pPr>
            <w:r>
              <w:t xml:space="preserve">Реакции на свръхчувствителн </w:t>
            </w:r>
            <w:r>
              <w:rPr>
                <w:lang w:val="en-US"/>
              </w:rPr>
              <w:t>OCT</w:t>
            </w:r>
          </w:p>
        </w:tc>
      </w:tr>
      <w:tr w:rsidR="008579FD" w14:paraId="657FB9DC" w14:textId="77777777" w:rsidTr="008579FD">
        <w:tc>
          <w:tcPr>
            <w:tcW w:w="2182" w:type="dxa"/>
            <w:vAlign w:val="center"/>
          </w:tcPr>
          <w:p w14:paraId="636AC2D9" w14:textId="6D0DA6AE" w:rsidR="008579FD" w:rsidRDefault="008579FD" w:rsidP="008579FD">
            <w:pPr>
              <w:spacing w:line="240" w:lineRule="auto"/>
              <w:rPr>
                <w:rFonts w:ascii="Times New Roman" w:eastAsia="Times New Roman" w:hAnsi="Times New Roman" w:cs="Times New Roman"/>
                <w:sz w:val="24"/>
                <w:szCs w:val="24"/>
              </w:rPr>
            </w:pPr>
            <w:r>
              <w:rPr>
                <w:b/>
                <w:bCs/>
              </w:rPr>
              <w:t>Нарушения на метаболизма и храненето</w:t>
            </w:r>
          </w:p>
        </w:tc>
        <w:tc>
          <w:tcPr>
            <w:tcW w:w="1318" w:type="dxa"/>
          </w:tcPr>
          <w:p w14:paraId="11C1F4D9"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58DADF87"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5FBE2ECF" w14:textId="3FC0555A" w:rsidR="008579FD" w:rsidRDefault="008579FD" w:rsidP="008579FD">
            <w:pPr>
              <w:spacing w:line="240" w:lineRule="auto"/>
              <w:rPr>
                <w:rFonts w:ascii="Times New Roman" w:eastAsia="Times New Roman" w:hAnsi="Times New Roman" w:cs="Times New Roman"/>
                <w:sz w:val="24"/>
                <w:szCs w:val="24"/>
              </w:rPr>
            </w:pPr>
            <w:r>
              <w:t>Нарушения на апетита</w:t>
            </w:r>
          </w:p>
        </w:tc>
        <w:tc>
          <w:tcPr>
            <w:tcW w:w="2078" w:type="dxa"/>
            <w:vAlign w:val="bottom"/>
          </w:tcPr>
          <w:p w14:paraId="1E16A334" w14:textId="50972626" w:rsidR="008579FD" w:rsidRDefault="008579FD" w:rsidP="008579FD">
            <w:pPr>
              <w:spacing w:line="240" w:lineRule="auto"/>
              <w:rPr>
                <w:rFonts w:ascii="Times New Roman" w:eastAsia="Times New Roman" w:hAnsi="Times New Roman" w:cs="Times New Roman"/>
                <w:sz w:val="24"/>
                <w:szCs w:val="24"/>
              </w:rPr>
            </w:pPr>
            <w:r>
              <w:t>Задръжка на течности, хиперкалиемия, хиперурикемия</w:t>
            </w:r>
          </w:p>
        </w:tc>
      </w:tr>
      <w:tr w:rsidR="008579FD" w14:paraId="56A777E5" w14:textId="77777777" w:rsidTr="008579FD">
        <w:tc>
          <w:tcPr>
            <w:tcW w:w="2182" w:type="dxa"/>
          </w:tcPr>
          <w:p w14:paraId="700A210F" w14:textId="519F7272" w:rsidR="008579FD" w:rsidRDefault="008579FD" w:rsidP="008579FD">
            <w:pPr>
              <w:spacing w:line="240" w:lineRule="auto"/>
              <w:rPr>
                <w:rFonts w:ascii="Times New Roman" w:eastAsia="Times New Roman" w:hAnsi="Times New Roman" w:cs="Times New Roman"/>
                <w:sz w:val="24"/>
                <w:szCs w:val="24"/>
              </w:rPr>
            </w:pPr>
            <w:r>
              <w:rPr>
                <w:b/>
                <w:bCs/>
              </w:rPr>
              <w:t>Психични нарушения</w:t>
            </w:r>
          </w:p>
        </w:tc>
        <w:tc>
          <w:tcPr>
            <w:tcW w:w="1318" w:type="dxa"/>
          </w:tcPr>
          <w:p w14:paraId="4FA32B1E"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41BA02AD"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vAlign w:val="bottom"/>
          </w:tcPr>
          <w:p w14:paraId="18058C74" w14:textId="6CF655CE" w:rsidR="008579FD" w:rsidRDefault="008579FD" w:rsidP="008579FD">
            <w:pPr>
              <w:spacing w:line="240" w:lineRule="auto"/>
              <w:rPr>
                <w:rFonts w:ascii="Times New Roman" w:eastAsia="Times New Roman" w:hAnsi="Times New Roman" w:cs="Times New Roman"/>
                <w:sz w:val="24"/>
                <w:szCs w:val="24"/>
              </w:rPr>
            </w:pPr>
            <w:r>
              <w:t>Тревожност, депресия, инсомния</w:t>
            </w:r>
          </w:p>
        </w:tc>
        <w:tc>
          <w:tcPr>
            <w:tcW w:w="2078" w:type="dxa"/>
            <w:vAlign w:val="bottom"/>
          </w:tcPr>
          <w:p w14:paraId="27E9FD4F" w14:textId="4146AA3C" w:rsidR="008579FD" w:rsidRDefault="008579FD" w:rsidP="008579FD">
            <w:pPr>
              <w:spacing w:line="240" w:lineRule="auto"/>
              <w:rPr>
                <w:rFonts w:ascii="Times New Roman" w:eastAsia="Times New Roman" w:hAnsi="Times New Roman" w:cs="Times New Roman"/>
                <w:sz w:val="24"/>
                <w:szCs w:val="24"/>
              </w:rPr>
            </w:pPr>
            <w:r>
              <w:t>Объркване, необичайни сънища</w:t>
            </w:r>
          </w:p>
        </w:tc>
      </w:tr>
      <w:tr w:rsidR="008579FD" w14:paraId="1A848B44" w14:textId="77777777" w:rsidTr="008579FD">
        <w:tc>
          <w:tcPr>
            <w:tcW w:w="2182" w:type="dxa"/>
          </w:tcPr>
          <w:p w14:paraId="71AF6EDF" w14:textId="3EF22952" w:rsidR="008579FD" w:rsidRDefault="008579FD" w:rsidP="008579FD">
            <w:pPr>
              <w:spacing w:line="240" w:lineRule="auto"/>
              <w:rPr>
                <w:rFonts w:ascii="Times New Roman" w:eastAsia="Times New Roman" w:hAnsi="Times New Roman" w:cs="Times New Roman"/>
                <w:sz w:val="24"/>
                <w:szCs w:val="24"/>
              </w:rPr>
            </w:pPr>
            <w:r>
              <w:rPr>
                <w:b/>
                <w:bCs/>
              </w:rPr>
              <w:t>Нарушения на нервната система</w:t>
            </w:r>
          </w:p>
        </w:tc>
        <w:tc>
          <w:tcPr>
            <w:tcW w:w="1318" w:type="dxa"/>
          </w:tcPr>
          <w:p w14:paraId="723D4351"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vAlign w:val="bottom"/>
          </w:tcPr>
          <w:p w14:paraId="334C6041" w14:textId="6B280015" w:rsidR="008579FD" w:rsidRDefault="008579FD" w:rsidP="008579FD">
            <w:pPr>
              <w:spacing w:line="240" w:lineRule="auto"/>
              <w:rPr>
                <w:rFonts w:ascii="Times New Roman" w:eastAsia="Times New Roman" w:hAnsi="Times New Roman" w:cs="Times New Roman"/>
                <w:sz w:val="24"/>
                <w:szCs w:val="24"/>
              </w:rPr>
            </w:pPr>
            <w:r>
              <w:t>Замаяност, главоболие, нарушения на вкуса</w:t>
            </w:r>
          </w:p>
        </w:tc>
        <w:tc>
          <w:tcPr>
            <w:tcW w:w="1787" w:type="dxa"/>
          </w:tcPr>
          <w:p w14:paraId="141571C3" w14:textId="789828E6" w:rsidR="008579FD" w:rsidRDefault="008579FD" w:rsidP="008579FD">
            <w:pPr>
              <w:spacing w:line="240" w:lineRule="auto"/>
              <w:rPr>
                <w:rFonts w:ascii="Times New Roman" w:eastAsia="Times New Roman" w:hAnsi="Times New Roman" w:cs="Times New Roman"/>
                <w:sz w:val="24"/>
                <w:szCs w:val="24"/>
              </w:rPr>
            </w:pPr>
            <w:r>
              <w:t xml:space="preserve">Парестезии, </w:t>
            </w:r>
            <w:r>
              <w:rPr>
                <w:i/>
                <w:iCs/>
              </w:rPr>
              <w:t>синкоп</w:t>
            </w:r>
          </w:p>
        </w:tc>
        <w:tc>
          <w:tcPr>
            <w:tcW w:w="2078" w:type="dxa"/>
          </w:tcPr>
          <w:p w14:paraId="15B9F8A5" w14:textId="006608C1" w:rsidR="008579FD" w:rsidRDefault="008579FD" w:rsidP="008579FD">
            <w:pPr>
              <w:spacing w:line="240" w:lineRule="auto"/>
              <w:rPr>
                <w:rFonts w:ascii="Times New Roman" w:eastAsia="Times New Roman" w:hAnsi="Times New Roman" w:cs="Times New Roman"/>
                <w:sz w:val="24"/>
                <w:szCs w:val="24"/>
              </w:rPr>
            </w:pPr>
            <w:r>
              <w:t>Сомнолентност, тремор</w:t>
            </w:r>
          </w:p>
        </w:tc>
      </w:tr>
      <w:tr w:rsidR="008579FD" w14:paraId="04148BBF" w14:textId="77777777" w:rsidTr="008579FD">
        <w:tc>
          <w:tcPr>
            <w:tcW w:w="2182" w:type="dxa"/>
            <w:vAlign w:val="bottom"/>
          </w:tcPr>
          <w:p w14:paraId="69DF6174" w14:textId="656A77B4" w:rsidR="008579FD" w:rsidRDefault="008579FD" w:rsidP="008579FD">
            <w:pPr>
              <w:spacing w:line="240" w:lineRule="auto"/>
              <w:rPr>
                <w:rFonts w:ascii="Times New Roman" w:eastAsia="Times New Roman" w:hAnsi="Times New Roman" w:cs="Times New Roman"/>
                <w:sz w:val="24"/>
                <w:szCs w:val="24"/>
              </w:rPr>
            </w:pPr>
            <w:r>
              <w:rPr>
                <w:b/>
                <w:bCs/>
              </w:rPr>
              <w:t>Нарушения на ухото и лабиринта</w:t>
            </w:r>
          </w:p>
        </w:tc>
        <w:tc>
          <w:tcPr>
            <w:tcW w:w="1318" w:type="dxa"/>
          </w:tcPr>
          <w:p w14:paraId="39AA905C"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5F70DE81"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vAlign w:val="center"/>
          </w:tcPr>
          <w:p w14:paraId="0814E6D7" w14:textId="407F18F2" w:rsidR="008579FD" w:rsidRDefault="008579FD" w:rsidP="008579FD">
            <w:pPr>
              <w:spacing w:line="240" w:lineRule="auto"/>
              <w:rPr>
                <w:rFonts w:ascii="Times New Roman" w:eastAsia="Times New Roman" w:hAnsi="Times New Roman" w:cs="Times New Roman"/>
                <w:sz w:val="24"/>
                <w:szCs w:val="24"/>
              </w:rPr>
            </w:pPr>
            <w:r>
              <w:t>Тинитус, вертиго (световъртеж)</w:t>
            </w:r>
          </w:p>
        </w:tc>
        <w:tc>
          <w:tcPr>
            <w:tcW w:w="2078" w:type="dxa"/>
          </w:tcPr>
          <w:p w14:paraId="24E86FC5" w14:textId="77777777" w:rsidR="008579FD" w:rsidRDefault="008579FD" w:rsidP="008579FD">
            <w:pPr>
              <w:spacing w:line="240" w:lineRule="auto"/>
              <w:rPr>
                <w:rFonts w:ascii="Times New Roman" w:eastAsia="Times New Roman" w:hAnsi="Times New Roman" w:cs="Times New Roman"/>
                <w:sz w:val="24"/>
                <w:szCs w:val="24"/>
              </w:rPr>
            </w:pPr>
          </w:p>
        </w:tc>
      </w:tr>
      <w:tr w:rsidR="008579FD" w14:paraId="5D01A4B3" w14:textId="77777777" w:rsidTr="008579FD">
        <w:tc>
          <w:tcPr>
            <w:tcW w:w="2182" w:type="dxa"/>
          </w:tcPr>
          <w:p w14:paraId="2341D430" w14:textId="66ECDAFF" w:rsidR="008579FD" w:rsidRDefault="008579FD" w:rsidP="008579FD">
            <w:pPr>
              <w:spacing w:line="240" w:lineRule="auto"/>
              <w:rPr>
                <w:rFonts w:ascii="Times New Roman" w:eastAsia="Times New Roman" w:hAnsi="Times New Roman" w:cs="Times New Roman"/>
                <w:sz w:val="24"/>
                <w:szCs w:val="24"/>
              </w:rPr>
            </w:pPr>
            <w:r>
              <w:rPr>
                <w:b/>
                <w:bCs/>
              </w:rPr>
              <w:t>Сърдечни нарушения</w:t>
            </w:r>
          </w:p>
        </w:tc>
        <w:tc>
          <w:tcPr>
            <w:tcW w:w="1318" w:type="dxa"/>
          </w:tcPr>
          <w:p w14:paraId="2F75F8F3"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5BDC4F01"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2DCFB334" w14:textId="279A55BC" w:rsidR="008579FD" w:rsidRDefault="008579FD" w:rsidP="008579FD">
            <w:pPr>
              <w:spacing w:line="240" w:lineRule="auto"/>
              <w:rPr>
                <w:rFonts w:ascii="Times New Roman" w:eastAsia="Times New Roman" w:hAnsi="Times New Roman" w:cs="Times New Roman"/>
                <w:sz w:val="24"/>
                <w:szCs w:val="24"/>
              </w:rPr>
            </w:pPr>
            <w:r>
              <w:t>Аритмии, палпитации</w:t>
            </w:r>
          </w:p>
        </w:tc>
        <w:tc>
          <w:tcPr>
            <w:tcW w:w="2078" w:type="dxa"/>
            <w:vAlign w:val="bottom"/>
          </w:tcPr>
          <w:p w14:paraId="141AA391" w14:textId="66D7D2C1" w:rsidR="008579FD" w:rsidRDefault="008579FD" w:rsidP="008579FD">
            <w:pPr>
              <w:spacing w:line="240" w:lineRule="auto"/>
              <w:rPr>
                <w:rFonts w:ascii="Times New Roman" w:eastAsia="Times New Roman" w:hAnsi="Times New Roman" w:cs="Times New Roman"/>
                <w:sz w:val="24"/>
                <w:szCs w:val="24"/>
              </w:rPr>
            </w:pPr>
            <w:r>
              <w:t>Инфаркт на миокарда, тахикардия</w:t>
            </w:r>
          </w:p>
        </w:tc>
      </w:tr>
      <w:tr w:rsidR="008579FD" w14:paraId="727F2C0E" w14:textId="77777777" w:rsidTr="008579FD">
        <w:tc>
          <w:tcPr>
            <w:tcW w:w="2182" w:type="dxa"/>
            <w:vAlign w:val="bottom"/>
          </w:tcPr>
          <w:p w14:paraId="23185B9E" w14:textId="00BD1E91" w:rsidR="008579FD" w:rsidRDefault="008579FD" w:rsidP="008579FD">
            <w:pPr>
              <w:spacing w:line="240" w:lineRule="auto"/>
              <w:rPr>
                <w:rFonts w:ascii="Times New Roman" w:eastAsia="Times New Roman" w:hAnsi="Times New Roman" w:cs="Times New Roman"/>
                <w:sz w:val="24"/>
                <w:szCs w:val="24"/>
              </w:rPr>
            </w:pPr>
            <w:r>
              <w:rPr>
                <w:b/>
                <w:bCs/>
              </w:rPr>
              <w:t>Съдови нарушения</w:t>
            </w:r>
          </w:p>
        </w:tc>
        <w:tc>
          <w:tcPr>
            <w:tcW w:w="1318" w:type="dxa"/>
          </w:tcPr>
          <w:p w14:paraId="787F8826"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vAlign w:val="center"/>
          </w:tcPr>
          <w:p w14:paraId="4F970C25" w14:textId="724A5C17" w:rsidR="008579FD" w:rsidRDefault="008579FD" w:rsidP="008579FD">
            <w:pPr>
              <w:spacing w:line="240" w:lineRule="auto"/>
              <w:rPr>
                <w:rFonts w:ascii="Times New Roman" w:eastAsia="Times New Roman" w:hAnsi="Times New Roman" w:cs="Times New Roman"/>
                <w:sz w:val="24"/>
                <w:szCs w:val="24"/>
              </w:rPr>
            </w:pPr>
            <w:r>
              <w:t>Хипертония</w:t>
            </w:r>
          </w:p>
        </w:tc>
        <w:tc>
          <w:tcPr>
            <w:tcW w:w="1787" w:type="dxa"/>
          </w:tcPr>
          <w:p w14:paraId="70B9C879" w14:textId="77777777" w:rsidR="008579FD" w:rsidRDefault="008579FD" w:rsidP="008579FD">
            <w:pPr>
              <w:spacing w:line="240" w:lineRule="auto"/>
              <w:rPr>
                <w:rFonts w:ascii="Times New Roman" w:eastAsia="Times New Roman" w:hAnsi="Times New Roman" w:cs="Times New Roman"/>
                <w:sz w:val="24"/>
                <w:szCs w:val="24"/>
              </w:rPr>
            </w:pPr>
          </w:p>
        </w:tc>
        <w:tc>
          <w:tcPr>
            <w:tcW w:w="2078" w:type="dxa"/>
          </w:tcPr>
          <w:p w14:paraId="224CAC6A" w14:textId="77777777" w:rsidR="008579FD" w:rsidRDefault="008579FD" w:rsidP="008579FD">
            <w:pPr>
              <w:spacing w:line="240" w:lineRule="auto"/>
              <w:rPr>
                <w:rFonts w:ascii="Times New Roman" w:eastAsia="Times New Roman" w:hAnsi="Times New Roman" w:cs="Times New Roman"/>
                <w:sz w:val="24"/>
                <w:szCs w:val="24"/>
              </w:rPr>
            </w:pPr>
          </w:p>
        </w:tc>
      </w:tr>
      <w:tr w:rsidR="008579FD" w14:paraId="1E3E4E4B" w14:textId="77777777" w:rsidTr="008579FD">
        <w:tc>
          <w:tcPr>
            <w:tcW w:w="2182" w:type="dxa"/>
            <w:vAlign w:val="bottom"/>
          </w:tcPr>
          <w:p w14:paraId="13CA1537" w14:textId="29BBE022" w:rsidR="008579FD" w:rsidRDefault="008579FD" w:rsidP="008579FD">
            <w:pPr>
              <w:spacing w:line="240" w:lineRule="auto"/>
              <w:rPr>
                <w:rFonts w:ascii="Times New Roman" w:eastAsia="Times New Roman" w:hAnsi="Times New Roman" w:cs="Times New Roman"/>
                <w:sz w:val="24"/>
                <w:szCs w:val="24"/>
              </w:rPr>
            </w:pPr>
            <w:r>
              <w:rPr>
                <w:b/>
                <w:bCs/>
              </w:rPr>
              <w:t>Респираторни, гръдни и медиастинални нарушения</w:t>
            </w:r>
          </w:p>
        </w:tc>
        <w:tc>
          <w:tcPr>
            <w:tcW w:w="1318" w:type="dxa"/>
          </w:tcPr>
          <w:p w14:paraId="4A9CA9D5"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772C3BD3"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76FFF99F" w14:textId="27924E72" w:rsidR="008579FD" w:rsidRDefault="008579FD" w:rsidP="008579FD">
            <w:pPr>
              <w:spacing w:line="240" w:lineRule="auto"/>
              <w:rPr>
                <w:rFonts w:ascii="Times New Roman" w:eastAsia="Times New Roman" w:hAnsi="Times New Roman" w:cs="Times New Roman"/>
                <w:sz w:val="24"/>
                <w:szCs w:val="24"/>
              </w:rPr>
            </w:pPr>
            <w:r>
              <w:t>Астма, бронхоспазъм, дисплея</w:t>
            </w:r>
          </w:p>
        </w:tc>
        <w:tc>
          <w:tcPr>
            <w:tcW w:w="2078" w:type="dxa"/>
          </w:tcPr>
          <w:p w14:paraId="55183F39" w14:textId="77777777" w:rsidR="008579FD" w:rsidRDefault="008579FD" w:rsidP="008579FD">
            <w:pPr>
              <w:spacing w:line="240" w:lineRule="auto"/>
              <w:rPr>
                <w:rFonts w:ascii="Times New Roman" w:eastAsia="Times New Roman" w:hAnsi="Times New Roman" w:cs="Times New Roman"/>
                <w:sz w:val="24"/>
                <w:szCs w:val="24"/>
              </w:rPr>
            </w:pPr>
          </w:p>
        </w:tc>
      </w:tr>
      <w:tr w:rsidR="008579FD" w14:paraId="179E269A" w14:textId="77777777" w:rsidTr="008579FD">
        <w:tc>
          <w:tcPr>
            <w:tcW w:w="2182" w:type="dxa"/>
          </w:tcPr>
          <w:p w14:paraId="574E4BE4" w14:textId="32D839F1" w:rsidR="008579FD" w:rsidRDefault="008579FD" w:rsidP="008579FD">
            <w:pPr>
              <w:spacing w:line="240" w:lineRule="auto"/>
              <w:rPr>
                <w:rFonts w:ascii="Times New Roman" w:eastAsia="Times New Roman" w:hAnsi="Times New Roman" w:cs="Times New Roman"/>
                <w:sz w:val="24"/>
                <w:szCs w:val="24"/>
              </w:rPr>
            </w:pPr>
            <w:r>
              <w:rPr>
                <w:b/>
                <w:bCs/>
              </w:rPr>
              <w:t>Стомашно-чревн и нарушения</w:t>
            </w:r>
          </w:p>
        </w:tc>
        <w:tc>
          <w:tcPr>
            <w:tcW w:w="1318" w:type="dxa"/>
          </w:tcPr>
          <w:p w14:paraId="71C24FF4" w14:textId="2C3393D1" w:rsidR="008579FD" w:rsidRDefault="008579FD" w:rsidP="008579FD">
            <w:pPr>
              <w:spacing w:line="240" w:lineRule="auto"/>
              <w:rPr>
                <w:rFonts w:ascii="Times New Roman" w:eastAsia="Times New Roman" w:hAnsi="Times New Roman" w:cs="Times New Roman"/>
                <w:sz w:val="24"/>
                <w:szCs w:val="24"/>
              </w:rPr>
            </w:pPr>
            <w:r>
              <w:t>Диспепсия</w:t>
            </w:r>
          </w:p>
        </w:tc>
        <w:tc>
          <w:tcPr>
            <w:tcW w:w="2211" w:type="dxa"/>
            <w:vAlign w:val="bottom"/>
          </w:tcPr>
          <w:p w14:paraId="46823395" w14:textId="51BA746B" w:rsidR="008579FD" w:rsidRDefault="008579FD" w:rsidP="008579FD">
            <w:pPr>
              <w:spacing w:line="240" w:lineRule="auto"/>
              <w:rPr>
                <w:rFonts w:ascii="Times New Roman" w:eastAsia="Times New Roman" w:hAnsi="Times New Roman" w:cs="Times New Roman"/>
                <w:sz w:val="24"/>
                <w:szCs w:val="24"/>
              </w:rPr>
            </w:pPr>
            <w:r>
              <w:t xml:space="preserve">Болка в корема, констипация, диария, езофагит, флатуленция, язви* на стомаха/дванадесе топръстника, </w:t>
            </w:r>
            <w:r>
              <w:lastRenderedPageBreak/>
              <w:t>гастрит, гадене, повръщане</w:t>
            </w:r>
          </w:p>
        </w:tc>
        <w:tc>
          <w:tcPr>
            <w:tcW w:w="1787" w:type="dxa"/>
          </w:tcPr>
          <w:p w14:paraId="0C01C35C" w14:textId="79110F40" w:rsidR="008579FD" w:rsidRDefault="008579FD" w:rsidP="008579FD">
            <w:pPr>
              <w:spacing w:line="240" w:lineRule="auto"/>
              <w:rPr>
                <w:rFonts w:ascii="Times New Roman" w:eastAsia="Times New Roman" w:hAnsi="Times New Roman" w:cs="Times New Roman"/>
                <w:sz w:val="24"/>
                <w:szCs w:val="24"/>
              </w:rPr>
            </w:pPr>
            <w:r>
              <w:lastRenderedPageBreak/>
              <w:t>Ксеростомия, оригване, кръвоизлив от стомашно-чревни я тракт, стоматит</w:t>
            </w:r>
          </w:p>
        </w:tc>
        <w:tc>
          <w:tcPr>
            <w:tcW w:w="2078" w:type="dxa"/>
          </w:tcPr>
          <w:p w14:paraId="3AB046F0" w14:textId="1E82F70C" w:rsidR="008579FD" w:rsidRDefault="008579FD" w:rsidP="008579FD">
            <w:pPr>
              <w:spacing w:line="240" w:lineRule="auto"/>
              <w:rPr>
                <w:rFonts w:ascii="Times New Roman" w:eastAsia="Times New Roman" w:hAnsi="Times New Roman" w:cs="Times New Roman"/>
                <w:sz w:val="24"/>
                <w:szCs w:val="24"/>
              </w:rPr>
            </w:pPr>
            <w:r>
              <w:t>Глосит, хематемеза, ректално кървене</w:t>
            </w:r>
          </w:p>
        </w:tc>
      </w:tr>
      <w:tr w:rsidR="008579FD" w14:paraId="00400CDD" w14:textId="77777777" w:rsidTr="008579FD">
        <w:tc>
          <w:tcPr>
            <w:tcW w:w="2182" w:type="dxa"/>
          </w:tcPr>
          <w:p w14:paraId="293BAB60" w14:textId="7086473C" w:rsidR="008579FD" w:rsidRDefault="008579FD" w:rsidP="008579FD">
            <w:pPr>
              <w:spacing w:line="240" w:lineRule="auto"/>
              <w:rPr>
                <w:rFonts w:ascii="Times New Roman" w:eastAsia="Times New Roman" w:hAnsi="Times New Roman" w:cs="Times New Roman"/>
                <w:sz w:val="24"/>
                <w:szCs w:val="24"/>
              </w:rPr>
            </w:pPr>
            <w:r>
              <w:rPr>
                <w:b/>
                <w:bCs/>
              </w:rPr>
              <w:t>Нарушения на кожата и подкожната тъкан</w:t>
            </w:r>
          </w:p>
        </w:tc>
        <w:tc>
          <w:tcPr>
            <w:tcW w:w="1318" w:type="dxa"/>
          </w:tcPr>
          <w:p w14:paraId="712A5C03"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0118CCA4" w14:textId="6A67C134" w:rsidR="008579FD" w:rsidRDefault="008579FD" w:rsidP="008579FD">
            <w:pPr>
              <w:spacing w:line="240" w:lineRule="auto"/>
              <w:rPr>
                <w:rFonts w:ascii="Times New Roman" w:eastAsia="Times New Roman" w:hAnsi="Times New Roman" w:cs="Times New Roman"/>
                <w:sz w:val="24"/>
                <w:szCs w:val="24"/>
              </w:rPr>
            </w:pPr>
            <w:r>
              <w:t>Кожни обриви</w:t>
            </w:r>
          </w:p>
        </w:tc>
        <w:tc>
          <w:tcPr>
            <w:tcW w:w="1787" w:type="dxa"/>
          </w:tcPr>
          <w:p w14:paraId="2F6F5245" w14:textId="296BE433" w:rsidR="008579FD" w:rsidRDefault="008579FD" w:rsidP="008579FD">
            <w:pPr>
              <w:spacing w:line="240" w:lineRule="auto"/>
              <w:rPr>
                <w:rFonts w:ascii="Times New Roman" w:eastAsia="Times New Roman" w:hAnsi="Times New Roman" w:cs="Times New Roman"/>
                <w:sz w:val="24"/>
                <w:szCs w:val="24"/>
              </w:rPr>
            </w:pPr>
            <w:r>
              <w:t>Дерматит, хиперхидроза, пруритус, уртикария</w:t>
            </w:r>
          </w:p>
        </w:tc>
        <w:tc>
          <w:tcPr>
            <w:tcW w:w="2078" w:type="dxa"/>
          </w:tcPr>
          <w:p w14:paraId="5CB3FEBA" w14:textId="2B1E391E" w:rsidR="008579FD" w:rsidRDefault="008579FD" w:rsidP="008579FD">
            <w:pPr>
              <w:spacing w:line="240" w:lineRule="auto"/>
              <w:rPr>
                <w:rFonts w:ascii="Times New Roman" w:eastAsia="Times New Roman" w:hAnsi="Times New Roman" w:cs="Times New Roman"/>
                <w:sz w:val="24"/>
                <w:szCs w:val="24"/>
              </w:rPr>
            </w:pPr>
            <w:r>
              <w:t>Алопеция, екхимози</w:t>
            </w:r>
          </w:p>
        </w:tc>
      </w:tr>
      <w:tr w:rsidR="008579FD" w14:paraId="79A14D9B" w14:textId="77777777" w:rsidTr="008579FD">
        <w:tc>
          <w:tcPr>
            <w:tcW w:w="2182" w:type="dxa"/>
          </w:tcPr>
          <w:p w14:paraId="343A29A4" w14:textId="4181FD67" w:rsidR="008579FD" w:rsidRDefault="008579FD" w:rsidP="008579FD">
            <w:pPr>
              <w:spacing w:line="240" w:lineRule="auto"/>
              <w:rPr>
                <w:rFonts w:ascii="Times New Roman" w:eastAsia="Times New Roman" w:hAnsi="Times New Roman" w:cs="Times New Roman"/>
                <w:sz w:val="24"/>
                <w:szCs w:val="24"/>
              </w:rPr>
            </w:pPr>
            <w:r>
              <w:rPr>
                <w:b/>
                <w:bCs/>
              </w:rPr>
              <w:t>Нарушения на мускулно-скелетн ата система и съединителната тъкан</w:t>
            </w:r>
          </w:p>
        </w:tc>
        <w:tc>
          <w:tcPr>
            <w:tcW w:w="1318" w:type="dxa"/>
          </w:tcPr>
          <w:p w14:paraId="365C4AA1"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0DA7C062" w14:textId="32E33987" w:rsidR="008579FD" w:rsidRDefault="008579FD" w:rsidP="008579FD">
            <w:pPr>
              <w:spacing w:line="240" w:lineRule="auto"/>
              <w:rPr>
                <w:rFonts w:ascii="Times New Roman" w:eastAsia="Times New Roman" w:hAnsi="Times New Roman" w:cs="Times New Roman"/>
                <w:sz w:val="24"/>
                <w:szCs w:val="24"/>
              </w:rPr>
            </w:pPr>
            <w:r>
              <w:t>Артралгии</w:t>
            </w:r>
          </w:p>
        </w:tc>
        <w:tc>
          <w:tcPr>
            <w:tcW w:w="1787" w:type="dxa"/>
          </w:tcPr>
          <w:p w14:paraId="778C246C" w14:textId="5222B31A" w:rsidR="008579FD" w:rsidRDefault="008579FD" w:rsidP="008579FD">
            <w:pPr>
              <w:spacing w:line="240" w:lineRule="auto"/>
              <w:rPr>
                <w:rFonts w:ascii="Times New Roman" w:eastAsia="Times New Roman" w:hAnsi="Times New Roman" w:cs="Times New Roman"/>
                <w:sz w:val="24"/>
                <w:szCs w:val="24"/>
              </w:rPr>
            </w:pPr>
            <w:r>
              <w:t>Миалгии</w:t>
            </w:r>
          </w:p>
        </w:tc>
        <w:tc>
          <w:tcPr>
            <w:tcW w:w="2078" w:type="dxa"/>
          </w:tcPr>
          <w:p w14:paraId="565E459C" w14:textId="77777777" w:rsidR="008579FD" w:rsidRDefault="008579FD" w:rsidP="008579FD">
            <w:pPr>
              <w:spacing w:line="240" w:lineRule="auto"/>
              <w:rPr>
                <w:rFonts w:ascii="Times New Roman" w:eastAsia="Times New Roman" w:hAnsi="Times New Roman" w:cs="Times New Roman"/>
                <w:sz w:val="24"/>
                <w:szCs w:val="24"/>
              </w:rPr>
            </w:pPr>
          </w:p>
        </w:tc>
      </w:tr>
      <w:tr w:rsidR="008579FD" w14:paraId="3C866AF9" w14:textId="77777777" w:rsidTr="008579FD">
        <w:tc>
          <w:tcPr>
            <w:tcW w:w="2182" w:type="dxa"/>
          </w:tcPr>
          <w:p w14:paraId="3C2B2EA4" w14:textId="183DDC17" w:rsidR="008579FD" w:rsidRDefault="008579FD" w:rsidP="008579FD">
            <w:pPr>
              <w:spacing w:line="240" w:lineRule="auto"/>
              <w:rPr>
                <w:rFonts w:ascii="Times New Roman" w:eastAsia="Times New Roman" w:hAnsi="Times New Roman" w:cs="Times New Roman"/>
                <w:sz w:val="24"/>
                <w:szCs w:val="24"/>
              </w:rPr>
            </w:pPr>
            <w:r>
              <w:rPr>
                <w:b/>
                <w:bCs/>
              </w:rPr>
              <w:t>Нарушения на бъбреците и пикочните пътища</w:t>
            </w:r>
          </w:p>
        </w:tc>
        <w:tc>
          <w:tcPr>
            <w:tcW w:w="1318" w:type="dxa"/>
          </w:tcPr>
          <w:p w14:paraId="5FA922D1"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76A99293"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62690BC2" w14:textId="77777777" w:rsidR="008579FD" w:rsidRDefault="008579FD" w:rsidP="008579FD">
            <w:pPr>
              <w:spacing w:line="240" w:lineRule="auto"/>
              <w:rPr>
                <w:rFonts w:ascii="Times New Roman" w:eastAsia="Times New Roman" w:hAnsi="Times New Roman" w:cs="Times New Roman"/>
                <w:sz w:val="24"/>
                <w:szCs w:val="24"/>
              </w:rPr>
            </w:pPr>
          </w:p>
        </w:tc>
        <w:tc>
          <w:tcPr>
            <w:tcW w:w="2078" w:type="dxa"/>
          </w:tcPr>
          <w:p w14:paraId="72F50324" w14:textId="18312A8F" w:rsidR="008579FD" w:rsidRDefault="008579FD" w:rsidP="008579FD">
            <w:pPr>
              <w:spacing w:line="240" w:lineRule="auto"/>
              <w:rPr>
                <w:rFonts w:ascii="Times New Roman" w:eastAsia="Times New Roman" w:hAnsi="Times New Roman" w:cs="Times New Roman"/>
                <w:sz w:val="24"/>
                <w:szCs w:val="24"/>
              </w:rPr>
            </w:pPr>
            <w:r>
              <w:t>Протеинурия, бъбречна недостатъчност</w:t>
            </w:r>
          </w:p>
        </w:tc>
      </w:tr>
      <w:tr w:rsidR="008579FD" w14:paraId="3B9E4799" w14:textId="77777777" w:rsidTr="008579FD">
        <w:tc>
          <w:tcPr>
            <w:tcW w:w="2182" w:type="dxa"/>
          </w:tcPr>
          <w:p w14:paraId="0BC2A5B5" w14:textId="313A7F60" w:rsidR="008579FD" w:rsidRDefault="008579FD" w:rsidP="008579FD">
            <w:pPr>
              <w:spacing w:line="240" w:lineRule="auto"/>
              <w:rPr>
                <w:rFonts w:ascii="Times New Roman" w:eastAsia="Times New Roman" w:hAnsi="Times New Roman" w:cs="Times New Roman"/>
                <w:sz w:val="24"/>
                <w:szCs w:val="24"/>
              </w:rPr>
            </w:pPr>
            <w:r>
              <w:rPr>
                <w:b/>
                <w:bCs/>
              </w:rPr>
              <w:t>Нарушения на възпроизводител ната система и гърдата</w:t>
            </w:r>
          </w:p>
        </w:tc>
        <w:tc>
          <w:tcPr>
            <w:tcW w:w="1318" w:type="dxa"/>
          </w:tcPr>
          <w:p w14:paraId="455BBCA9"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6B618A2A"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17FE673E" w14:textId="77777777" w:rsidR="008579FD" w:rsidRDefault="008579FD" w:rsidP="008579FD">
            <w:pPr>
              <w:spacing w:line="240" w:lineRule="auto"/>
              <w:rPr>
                <w:rFonts w:ascii="Times New Roman" w:eastAsia="Times New Roman" w:hAnsi="Times New Roman" w:cs="Times New Roman"/>
                <w:sz w:val="24"/>
                <w:szCs w:val="24"/>
              </w:rPr>
            </w:pPr>
          </w:p>
        </w:tc>
        <w:tc>
          <w:tcPr>
            <w:tcW w:w="2078" w:type="dxa"/>
          </w:tcPr>
          <w:p w14:paraId="15CB8447" w14:textId="2C354E08" w:rsidR="008579FD" w:rsidRDefault="008579FD" w:rsidP="008579FD">
            <w:pPr>
              <w:spacing w:line="240" w:lineRule="auto"/>
              <w:rPr>
                <w:rFonts w:ascii="Times New Roman" w:eastAsia="Times New Roman" w:hAnsi="Times New Roman" w:cs="Times New Roman"/>
                <w:sz w:val="24"/>
                <w:szCs w:val="24"/>
              </w:rPr>
            </w:pPr>
            <w:r>
              <w:t>Менструални нарушения</w:t>
            </w:r>
          </w:p>
        </w:tc>
      </w:tr>
      <w:tr w:rsidR="008579FD" w14:paraId="2350AA6B" w14:textId="77777777" w:rsidTr="008579FD">
        <w:tc>
          <w:tcPr>
            <w:tcW w:w="2182" w:type="dxa"/>
          </w:tcPr>
          <w:p w14:paraId="422D8E13" w14:textId="13FF5FAD" w:rsidR="008579FD" w:rsidRDefault="008579FD" w:rsidP="008579FD">
            <w:pPr>
              <w:spacing w:line="240" w:lineRule="auto"/>
              <w:rPr>
                <w:rFonts w:ascii="Times New Roman" w:eastAsia="Times New Roman" w:hAnsi="Times New Roman" w:cs="Times New Roman"/>
                <w:sz w:val="24"/>
                <w:szCs w:val="24"/>
              </w:rPr>
            </w:pPr>
            <w:r>
              <w:rPr>
                <w:b/>
                <w:bCs/>
              </w:rPr>
              <w:t>Общи нарушения и ефекти на мястото на приложение</w:t>
            </w:r>
          </w:p>
        </w:tc>
        <w:tc>
          <w:tcPr>
            <w:tcW w:w="1318" w:type="dxa"/>
          </w:tcPr>
          <w:p w14:paraId="68B05268"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4F564203" w14:textId="4706305C" w:rsidR="008579FD" w:rsidRDefault="008579FD" w:rsidP="008579FD">
            <w:pPr>
              <w:spacing w:line="240" w:lineRule="auto"/>
              <w:rPr>
                <w:rFonts w:ascii="Times New Roman" w:eastAsia="Times New Roman" w:hAnsi="Times New Roman" w:cs="Times New Roman"/>
                <w:sz w:val="24"/>
                <w:szCs w:val="24"/>
              </w:rPr>
            </w:pPr>
            <w:r>
              <w:t>Отоци</w:t>
            </w:r>
          </w:p>
        </w:tc>
        <w:tc>
          <w:tcPr>
            <w:tcW w:w="1787" w:type="dxa"/>
          </w:tcPr>
          <w:p w14:paraId="3B2F4BF3" w14:textId="537A2252" w:rsidR="008579FD" w:rsidRDefault="008579FD" w:rsidP="008579FD">
            <w:pPr>
              <w:spacing w:line="240" w:lineRule="auto"/>
              <w:rPr>
                <w:rFonts w:ascii="Times New Roman" w:eastAsia="Times New Roman" w:hAnsi="Times New Roman" w:cs="Times New Roman"/>
                <w:sz w:val="24"/>
                <w:szCs w:val="24"/>
              </w:rPr>
            </w:pPr>
            <w:r>
              <w:t>Астения, умора, треска</w:t>
            </w:r>
          </w:p>
        </w:tc>
        <w:tc>
          <w:tcPr>
            <w:tcW w:w="2078" w:type="dxa"/>
          </w:tcPr>
          <w:p w14:paraId="20818178" w14:textId="77777777" w:rsidR="008579FD" w:rsidRDefault="008579FD" w:rsidP="008579FD">
            <w:pPr>
              <w:spacing w:line="240" w:lineRule="auto"/>
              <w:rPr>
                <w:rFonts w:ascii="Times New Roman" w:eastAsia="Times New Roman" w:hAnsi="Times New Roman" w:cs="Times New Roman"/>
                <w:sz w:val="24"/>
                <w:szCs w:val="24"/>
              </w:rPr>
            </w:pPr>
          </w:p>
        </w:tc>
      </w:tr>
      <w:tr w:rsidR="008579FD" w14:paraId="65AD548E" w14:textId="77777777" w:rsidTr="008579FD">
        <w:tc>
          <w:tcPr>
            <w:tcW w:w="2182" w:type="dxa"/>
          </w:tcPr>
          <w:p w14:paraId="68A68BD5" w14:textId="0F838905" w:rsidR="008579FD" w:rsidRDefault="008579FD" w:rsidP="008579FD">
            <w:pPr>
              <w:spacing w:line="240" w:lineRule="auto"/>
              <w:rPr>
                <w:rFonts w:ascii="Times New Roman" w:eastAsia="Times New Roman" w:hAnsi="Times New Roman" w:cs="Times New Roman"/>
                <w:sz w:val="24"/>
                <w:szCs w:val="24"/>
              </w:rPr>
            </w:pPr>
            <w:r>
              <w:rPr>
                <w:b/>
                <w:bCs/>
              </w:rPr>
              <w:t>Изследвания</w:t>
            </w:r>
          </w:p>
        </w:tc>
        <w:tc>
          <w:tcPr>
            <w:tcW w:w="1318" w:type="dxa"/>
          </w:tcPr>
          <w:p w14:paraId="584F56B9" w14:textId="77777777" w:rsidR="008579FD" w:rsidRDefault="008579FD" w:rsidP="008579FD">
            <w:pPr>
              <w:spacing w:line="240" w:lineRule="auto"/>
              <w:rPr>
                <w:rFonts w:ascii="Times New Roman" w:eastAsia="Times New Roman" w:hAnsi="Times New Roman" w:cs="Times New Roman"/>
                <w:sz w:val="24"/>
                <w:szCs w:val="24"/>
              </w:rPr>
            </w:pPr>
          </w:p>
        </w:tc>
        <w:tc>
          <w:tcPr>
            <w:tcW w:w="2211" w:type="dxa"/>
          </w:tcPr>
          <w:p w14:paraId="76BEEA12" w14:textId="77777777" w:rsidR="008579FD" w:rsidRDefault="008579FD" w:rsidP="008579FD">
            <w:pPr>
              <w:spacing w:line="240" w:lineRule="auto"/>
              <w:rPr>
                <w:rFonts w:ascii="Times New Roman" w:eastAsia="Times New Roman" w:hAnsi="Times New Roman" w:cs="Times New Roman"/>
                <w:sz w:val="24"/>
                <w:szCs w:val="24"/>
              </w:rPr>
            </w:pPr>
          </w:p>
        </w:tc>
        <w:tc>
          <w:tcPr>
            <w:tcW w:w="1787" w:type="dxa"/>
          </w:tcPr>
          <w:p w14:paraId="15269FD7" w14:textId="442C4781" w:rsidR="008579FD" w:rsidRDefault="008579FD" w:rsidP="008579FD">
            <w:pPr>
              <w:spacing w:line="240" w:lineRule="auto"/>
              <w:rPr>
                <w:rFonts w:ascii="Times New Roman" w:eastAsia="Times New Roman" w:hAnsi="Times New Roman" w:cs="Times New Roman"/>
                <w:sz w:val="24"/>
                <w:szCs w:val="24"/>
              </w:rPr>
            </w:pPr>
            <w:r>
              <w:t>Отклонения в чернодробните ензими, повишаване на серумния креатинин</w:t>
            </w:r>
          </w:p>
        </w:tc>
        <w:tc>
          <w:tcPr>
            <w:tcW w:w="2078" w:type="dxa"/>
          </w:tcPr>
          <w:p w14:paraId="05CEB2C8" w14:textId="77777777" w:rsidR="008579FD" w:rsidRDefault="008579FD" w:rsidP="008579FD">
            <w:pPr>
              <w:spacing w:line="240" w:lineRule="auto"/>
              <w:rPr>
                <w:rFonts w:ascii="Times New Roman" w:eastAsia="Times New Roman" w:hAnsi="Times New Roman" w:cs="Times New Roman"/>
                <w:sz w:val="24"/>
                <w:szCs w:val="24"/>
              </w:rPr>
            </w:pPr>
          </w:p>
        </w:tc>
      </w:tr>
    </w:tbl>
    <w:p w14:paraId="10B4529A" w14:textId="5EF5BA90"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val="ru-RU" w:eastAsia="bg-BG"/>
        </w:rPr>
        <w:t>*</w:t>
      </w:r>
      <w:r w:rsidRPr="008579FD">
        <w:rPr>
          <w:rFonts w:eastAsia="Times New Roman" w:cs="Arial"/>
          <w:color w:val="000000"/>
          <w:lang w:eastAsia="bg-BG"/>
        </w:rPr>
        <w:t>както са установени при назначена рутинна ендоскопия</w:t>
      </w:r>
    </w:p>
    <w:p w14:paraId="37934A45" w14:textId="77777777" w:rsidR="008579FD" w:rsidRPr="008579FD" w:rsidRDefault="008579FD" w:rsidP="008579FD">
      <w:pPr>
        <w:spacing w:line="240" w:lineRule="auto"/>
        <w:rPr>
          <w:rFonts w:eastAsia="Times New Roman" w:cs="Arial"/>
          <w:b/>
          <w:bCs/>
          <w:i/>
          <w:iCs/>
          <w:color w:val="000000"/>
          <w:lang w:eastAsia="bg-BG"/>
        </w:rPr>
      </w:pPr>
    </w:p>
    <w:p w14:paraId="70D1A5F3" w14:textId="45ADCCB6" w:rsidR="008579FD" w:rsidRPr="008579FD" w:rsidRDefault="008579FD" w:rsidP="008579FD">
      <w:pPr>
        <w:spacing w:line="240" w:lineRule="auto"/>
        <w:rPr>
          <w:rFonts w:eastAsia="Times New Roman" w:cs="Arial"/>
          <w:sz w:val="24"/>
          <w:szCs w:val="24"/>
        </w:rPr>
      </w:pPr>
      <w:r w:rsidRPr="008579FD">
        <w:rPr>
          <w:rFonts w:eastAsia="Times New Roman" w:cs="Arial"/>
          <w:b/>
          <w:bCs/>
          <w:i/>
          <w:iCs/>
          <w:color w:val="000000"/>
          <w:lang w:eastAsia="bg-BG"/>
        </w:rPr>
        <w:t>Напроксен</w:t>
      </w:r>
    </w:p>
    <w:p w14:paraId="35D84A79" w14:textId="77777777" w:rsidR="008579FD" w:rsidRPr="008579FD" w:rsidRDefault="008579FD" w:rsidP="008579FD">
      <w:pPr>
        <w:spacing w:line="240" w:lineRule="auto"/>
        <w:rPr>
          <w:rFonts w:eastAsia="Times New Roman" w:cs="Arial"/>
          <w:sz w:val="24"/>
          <w:szCs w:val="24"/>
        </w:rPr>
      </w:pPr>
      <w:r w:rsidRPr="008579FD">
        <w:rPr>
          <w:rFonts w:eastAsia="Times New Roman" w:cs="Arial"/>
          <w:color w:val="000000"/>
          <w:lang w:eastAsia="bg-BG"/>
        </w:rPr>
        <w:t>При пациенти, приемали напроксен в клинични проучвания, както и през постмаркетинговия период, има съобщение за следните нежелани реакции:</w:t>
      </w:r>
    </w:p>
    <w:tbl>
      <w:tblPr>
        <w:tblStyle w:val="TableGrid"/>
        <w:tblW w:w="0" w:type="auto"/>
        <w:tblLook w:val="04A0" w:firstRow="1" w:lastRow="0" w:firstColumn="1" w:lastColumn="0" w:noHBand="0" w:noVBand="1"/>
      </w:tblPr>
      <w:tblGrid>
        <w:gridCol w:w="3148"/>
        <w:gridCol w:w="3064"/>
        <w:gridCol w:w="3138"/>
      </w:tblGrid>
      <w:tr w:rsidR="00E751EB" w14:paraId="3FF5A041" w14:textId="77777777" w:rsidTr="008579FD">
        <w:tc>
          <w:tcPr>
            <w:tcW w:w="3192" w:type="dxa"/>
          </w:tcPr>
          <w:p w14:paraId="5C4304ED" w14:textId="77777777" w:rsidR="00E751EB" w:rsidRDefault="00E751EB" w:rsidP="00E751EB"/>
        </w:tc>
        <w:tc>
          <w:tcPr>
            <w:tcW w:w="3192" w:type="dxa"/>
          </w:tcPr>
          <w:p w14:paraId="1220D8D5" w14:textId="7C505D72" w:rsidR="00E751EB" w:rsidRDefault="00E751EB" w:rsidP="00E751EB">
            <w:r>
              <w:rPr>
                <w:b/>
                <w:bCs/>
              </w:rPr>
              <w:t>Чести</w:t>
            </w:r>
          </w:p>
        </w:tc>
        <w:tc>
          <w:tcPr>
            <w:tcW w:w="3192" w:type="dxa"/>
          </w:tcPr>
          <w:p w14:paraId="112B29F7" w14:textId="321DDCF8" w:rsidR="00E751EB" w:rsidRDefault="00E751EB" w:rsidP="00E751EB">
            <w:r>
              <w:rPr>
                <w:b/>
                <w:bCs/>
              </w:rPr>
              <w:t>Нечестн/редки</w:t>
            </w:r>
          </w:p>
        </w:tc>
      </w:tr>
      <w:tr w:rsidR="00E751EB" w14:paraId="28BF96E5" w14:textId="77777777" w:rsidTr="008579FD">
        <w:tc>
          <w:tcPr>
            <w:tcW w:w="3192" w:type="dxa"/>
          </w:tcPr>
          <w:p w14:paraId="4D11A7F1" w14:textId="3EB2E7FE" w:rsidR="00E751EB" w:rsidRDefault="00E751EB" w:rsidP="00E751EB">
            <w:r>
              <w:rPr>
                <w:b/>
                <w:bCs/>
              </w:rPr>
              <w:t>Инфекции и ннфестацни</w:t>
            </w:r>
          </w:p>
        </w:tc>
        <w:tc>
          <w:tcPr>
            <w:tcW w:w="3192" w:type="dxa"/>
          </w:tcPr>
          <w:p w14:paraId="3964A995" w14:textId="707AC334" w:rsidR="00E751EB" w:rsidRDefault="00E751EB" w:rsidP="00E751EB">
            <w:r>
              <w:t>Дивертикулит</w:t>
            </w:r>
          </w:p>
        </w:tc>
        <w:tc>
          <w:tcPr>
            <w:tcW w:w="3192" w:type="dxa"/>
          </w:tcPr>
          <w:p w14:paraId="65CA9B95" w14:textId="309F8A1E" w:rsidR="00E751EB" w:rsidRDefault="00E751EB" w:rsidP="00E751EB">
            <w:r>
              <w:t>Асептичен менингит, инфекции, сепсис</w:t>
            </w:r>
          </w:p>
        </w:tc>
      </w:tr>
      <w:tr w:rsidR="00E751EB" w14:paraId="405432D7" w14:textId="77777777" w:rsidTr="008579FD">
        <w:tc>
          <w:tcPr>
            <w:tcW w:w="3192" w:type="dxa"/>
          </w:tcPr>
          <w:p w14:paraId="590C9B05" w14:textId="73826DD9" w:rsidR="00E751EB" w:rsidRDefault="00E751EB" w:rsidP="00E751EB">
            <w:r>
              <w:rPr>
                <w:b/>
                <w:bCs/>
              </w:rPr>
              <w:t>Нарушения на кръвта и лимфната система</w:t>
            </w:r>
          </w:p>
        </w:tc>
        <w:tc>
          <w:tcPr>
            <w:tcW w:w="3192" w:type="dxa"/>
          </w:tcPr>
          <w:p w14:paraId="53A3E1C3" w14:textId="77777777" w:rsidR="00E751EB" w:rsidRDefault="00E751EB" w:rsidP="00E751EB"/>
        </w:tc>
        <w:tc>
          <w:tcPr>
            <w:tcW w:w="3192" w:type="dxa"/>
          </w:tcPr>
          <w:p w14:paraId="5118D29A" w14:textId="6DBD0C93" w:rsidR="00E751EB" w:rsidRDefault="00E751EB" w:rsidP="00E751EB">
            <w:r>
              <w:t>Агранулоцитоза, апластична анемия, еозинофилия, гранулоцитопения, хемолитична анемия, левкопения, лимфаденопатия, панцитопения, тромбоцитопения</w:t>
            </w:r>
          </w:p>
        </w:tc>
      </w:tr>
      <w:tr w:rsidR="00E751EB" w14:paraId="07B31251" w14:textId="77777777" w:rsidTr="008579FD">
        <w:tc>
          <w:tcPr>
            <w:tcW w:w="3192" w:type="dxa"/>
          </w:tcPr>
          <w:p w14:paraId="792F3439" w14:textId="08984F3A" w:rsidR="00E751EB" w:rsidRDefault="00E751EB" w:rsidP="00E751EB">
            <w:r>
              <w:rPr>
                <w:b/>
                <w:bCs/>
              </w:rPr>
              <w:t>Нарушения на имунната система</w:t>
            </w:r>
          </w:p>
        </w:tc>
        <w:tc>
          <w:tcPr>
            <w:tcW w:w="3192" w:type="dxa"/>
          </w:tcPr>
          <w:p w14:paraId="22F371E9" w14:textId="77777777" w:rsidR="00E751EB" w:rsidRDefault="00E751EB" w:rsidP="00E751EB"/>
        </w:tc>
        <w:tc>
          <w:tcPr>
            <w:tcW w:w="3192" w:type="dxa"/>
          </w:tcPr>
          <w:p w14:paraId="7065AD37" w14:textId="5624263B" w:rsidR="00E751EB" w:rsidRDefault="00E751EB" w:rsidP="00E751EB">
            <w:r>
              <w:t>Анафилактични реакции, анафилактоидни реакции,</w:t>
            </w:r>
            <w:r>
              <w:rPr>
                <w:vertAlign w:val="subscript"/>
              </w:rPr>
              <w:t xml:space="preserve"> </w:t>
            </w:r>
            <w:r>
              <w:lastRenderedPageBreak/>
              <w:t>реакции на свръхчувствителност</w:t>
            </w:r>
          </w:p>
        </w:tc>
      </w:tr>
      <w:tr w:rsidR="00E751EB" w14:paraId="3505D63B" w14:textId="77777777" w:rsidTr="00060E2D">
        <w:tc>
          <w:tcPr>
            <w:tcW w:w="3192" w:type="dxa"/>
          </w:tcPr>
          <w:p w14:paraId="7BD2604C" w14:textId="0772D65F" w:rsidR="00E751EB" w:rsidRDefault="00E751EB" w:rsidP="00E751EB">
            <w:r>
              <w:rPr>
                <w:b/>
                <w:bCs/>
              </w:rPr>
              <w:lastRenderedPageBreak/>
              <w:t>Нарушения на метаболизма и храненето</w:t>
            </w:r>
          </w:p>
        </w:tc>
        <w:tc>
          <w:tcPr>
            <w:tcW w:w="3192" w:type="dxa"/>
          </w:tcPr>
          <w:p w14:paraId="50C550A0" w14:textId="77777777" w:rsidR="00E751EB" w:rsidRDefault="00E751EB" w:rsidP="00E751EB"/>
        </w:tc>
        <w:tc>
          <w:tcPr>
            <w:tcW w:w="3192" w:type="dxa"/>
            <w:vAlign w:val="bottom"/>
          </w:tcPr>
          <w:p w14:paraId="3CB2DE45" w14:textId="5B96B0C2" w:rsidR="00E751EB" w:rsidRDefault="00E751EB" w:rsidP="00E751EB">
            <w:r>
              <w:t>Нарушения на апетита, задръжка на течности, хипергликемия, хиперкалиемия, хиперурикемия, хипогликемия, промяна на теглото</w:t>
            </w:r>
          </w:p>
        </w:tc>
      </w:tr>
      <w:tr w:rsidR="00E751EB" w14:paraId="18E887C9" w14:textId="77777777" w:rsidTr="00060E2D">
        <w:tc>
          <w:tcPr>
            <w:tcW w:w="3192" w:type="dxa"/>
          </w:tcPr>
          <w:p w14:paraId="3BF8751E" w14:textId="3F07EFCC" w:rsidR="00E751EB" w:rsidRDefault="00E751EB" w:rsidP="00E751EB">
            <w:r>
              <w:rPr>
                <w:b/>
                <w:bCs/>
              </w:rPr>
              <w:t>Психични нарушения</w:t>
            </w:r>
          </w:p>
        </w:tc>
        <w:tc>
          <w:tcPr>
            <w:tcW w:w="3192" w:type="dxa"/>
          </w:tcPr>
          <w:p w14:paraId="45B1D804" w14:textId="2E873F79" w:rsidR="00E751EB" w:rsidRDefault="00E751EB" w:rsidP="00E751EB">
            <w:r>
              <w:t>Депресия, инсомния</w:t>
            </w:r>
          </w:p>
        </w:tc>
        <w:tc>
          <w:tcPr>
            <w:tcW w:w="3192" w:type="dxa"/>
            <w:vAlign w:val="bottom"/>
          </w:tcPr>
          <w:p w14:paraId="52B8DC4E" w14:textId="159AE10C" w:rsidR="00E751EB" w:rsidRDefault="00E751EB" w:rsidP="00E751EB">
            <w:r>
              <w:t>Възбуда, тревожност, объркване, аномални сънища, халюцинации, нервност</w:t>
            </w:r>
          </w:p>
        </w:tc>
      </w:tr>
      <w:tr w:rsidR="00E751EB" w14:paraId="276E9827" w14:textId="77777777" w:rsidTr="00060E2D">
        <w:tc>
          <w:tcPr>
            <w:tcW w:w="3192" w:type="dxa"/>
          </w:tcPr>
          <w:p w14:paraId="2BADEFA1" w14:textId="71B845E6" w:rsidR="00E751EB" w:rsidRDefault="00E751EB" w:rsidP="00E751EB">
            <w:r>
              <w:rPr>
                <w:b/>
                <w:bCs/>
              </w:rPr>
              <w:t>Нарушения на нервната система</w:t>
            </w:r>
          </w:p>
        </w:tc>
        <w:tc>
          <w:tcPr>
            <w:tcW w:w="3192" w:type="dxa"/>
          </w:tcPr>
          <w:p w14:paraId="4ACEC383" w14:textId="455E7FC4" w:rsidR="00E751EB" w:rsidRDefault="00E751EB" w:rsidP="00E751EB">
            <w:r>
              <w:t>Замаяност, сънливост, главоболие, обърканост, вертиго</w:t>
            </w:r>
          </w:p>
        </w:tc>
        <w:tc>
          <w:tcPr>
            <w:tcW w:w="3192" w:type="dxa"/>
            <w:vAlign w:val="bottom"/>
          </w:tcPr>
          <w:p w14:paraId="792F5220" w14:textId="55585BBE" w:rsidR="00E751EB" w:rsidRDefault="00E751EB" w:rsidP="00E751EB">
            <w:r>
              <w:t>Когнитивни нарушения, кома, гърчове, невъзможност за концентриране, неврит на зрителния нерв, парестезии, синкоп, тремор</w:t>
            </w:r>
          </w:p>
        </w:tc>
      </w:tr>
      <w:tr w:rsidR="00E751EB" w14:paraId="2877A19F" w14:textId="77777777" w:rsidTr="00060E2D">
        <w:tc>
          <w:tcPr>
            <w:tcW w:w="3192" w:type="dxa"/>
          </w:tcPr>
          <w:p w14:paraId="58CFD3D4" w14:textId="39C46430" w:rsidR="00E751EB" w:rsidRDefault="00E751EB" w:rsidP="00E751EB">
            <w:r>
              <w:rPr>
                <w:b/>
                <w:bCs/>
              </w:rPr>
              <w:t>Нарушения на очите</w:t>
            </w:r>
          </w:p>
        </w:tc>
        <w:tc>
          <w:tcPr>
            <w:tcW w:w="3192" w:type="dxa"/>
          </w:tcPr>
          <w:p w14:paraId="37FE46AE" w14:textId="3E4448F3" w:rsidR="00E751EB" w:rsidRDefault="00E751EB" w:rsidP="00E751EB">
            <w:r>
              <w:t>Зрителни нарушения</w:t>
            </w:r>
          </w:p>
        </w:tc>
        <w:tc>
          <w:tcPr>
            <w:tcW w:w="3192" w:type="dxa"/>
            <w:vAlign w:val="bottom"/>
          </w:tcPr>
          <w:p w14:paraId="30EA52CF" w14:textId="5CAF5F01" w:rsidR="00E751EB" w:rsidRDefault="00E751EB" w:rsidP="00E751EB">
            <w:r>
              <w:t>Замъглено виждане, конюнктивит, роговичен опацитет, оток на палилата, палилит</w:t>
            </w:r>
          </w:p>
        </w:tc>
      </w:tr>
      <w:tr w:rsidR="00E751EB" w14:paraId="55150C55" w14:textId="77777777" w:rsidTr="00060E2D">
        <w:tc>
          <w:tcPr>
            <w:tcW w:w="3192" w:type="dxa"/>
            <w:vAlign w:val="bottom"/>
          </w:tcPr>
          <w:p w14:paraId="1080231C" w14:textId="4EDC8334" w:rsidR="00E751EB" w:rsidRDefault="00E751EB" w:rsidP="00E751EB">
            <w:r>
              <w:rPr>
                <w:b/>
                <w:bCs/>
              </w:rPr>
              <w:t>Нарушения на ухото н лабиринта</w:t>
            </w:r>
          </w:p>
        </w:tc>
        <w:tc>
          <w:tcPr>
            <w:tcW w:w="3192" w:type="dxa"/>
            <w:vAlign w:val="bottom"/>
          </w:tcPr>
          <w:p w14:paraId="1ECFB48D" w14:textId="7CA2338F" w:rsidR="00E751EB" w:rsidRDefault="00E751EB" w:rsidP="00E751EB">
            <w:r>
              <w:t>Тинитус, нарушения на слуха</w:t>
            </w:r>
          </w:p>
        </w:tc>
        <w:tc>
          <w:tcPr>
            <w:tcW w:w="3192" w:type="dxa"/>
          </w:tcPr>
          <w:p w14:paraId="214E54B9" w14:textId="75A0F4B3" w:rsidR="00E751EB" w:rsidRDefault="00E751EB" w:rsidP="00E751EB">
            <w:r>
              <w:t>Отслабване на слуха</w:t>
            </w:r>
          </w:p>
        </w:tc>
      </w:tr>
      <w:tr w:rsidR="00E751EB" w14:paraId="6679A5BA" w14:textId="77777777" w:rsidTr="00CB4A22">
        <w:tc>
          <w:tcPr>
            <w:tcW w:w="3192" w:type="dxa"/>
          </w:tcPr>
          <w:p w14:paraId="2386EB87" w14:textId="4E79D106" w:rsidR="00E751EB" w:rsidRDefault="00E751EB" w:rsidP="00E751EB">
            <w:r>
              <w:rPr>
                <w:b/>
                <w:bCs/>
              </w:rPr>
              <w:t>Сърдечни нарушения</w:t>
            </w:r>
          </w:p>
        </w:tc>
        <w:tc>
          <w:tcPr>
            <w:tcW w:w="3192" w:type="dxa"/>
          </w:tcPr>
          <w:p w14:paraId="0A065AEF" w14:textId="3254A980" w:rsidR="00E751EB" w:rsidRDefault="00E751EB" w:rsidP="00E751EB">
            <w:r>
              <w:t>Палпитации</w:t>
            </w:r>
          </w:p>
        </w:tc>
        <w:tc>
          <w:tcPr>
            <w:tcW w:w="3192" w:type="dxa"/>
            <w:vAlign w:val="bottom"/>
          </w:tcPr>
          <w:p w14:paraId="30DB41D7" w14:textId="74F75090" w:rsidR="00E751EB" w:rsidRDefault="00E751EB" w:rsidP="00E751EB">
            <w:r>
              <w:t>Аритмии, застойна сърдечна недостатъчност, инфаркт на миокарда, тахикардия</w:t>
            </w:r>
          </w:p>
        </w:tc>
      </w:tr>
      <w:tr w:rsidR="00E751EB" w14:paraId="170805E2" w14:textId="77777777" w:rsidTr="00CB4A22">
        <w:tc>
          <w:tcPr>
            <w:tcW w:w="3192" w:type="dxa"/>
          </w:tcPr>
          <w:p w14:paraId="63D7BB7E" w14:textId="4EDAA5F0" w:rsidR="00E751EB" w:rsidRDefault="00E751EB" w:rsidP="00E751EB">
            <w:r>
              <w:rPr>
                <w:b/>
                <w:bCs/>
              </w:rPr>
              <w:t>Съдови нарушения</w:t>
            </w:r>
          </w:p>
        </w:tc>
        <w:tc>
          <w:tcPr>
            <w:tcW w:w="3192" w:type="dxa"/>
          </w:tcPr>
          <w:p w14:paraId="6640B254" w14:textId="77777777" w:rsidR="00E751EB" w:rsidRDefault="00E751EB" w:rsidP="00E751EB"/>
        </w:tc>
        <w:tc>
          <w:tcPr>
            <w:tcW w:w="3192" w:type="dxa"/>
            <w:vAlign w:val="bottom"/>
          </w:tcPr>
          <w:p w14:paraId="5B062D63" w14:textId="351CCB52" w:rsidR="00E751EB" w:rsidRDefault="00E751EB" w:rsidP="00E751EB">
            <w:r>
              <w:t>Хипертония, хипотония, васкулит</w:t>
            </w:r>
          </w:p>
        </w:tc>
      </w:tr>
      <w:tr w:rsidR="00E751EB" w14:paraId="77AD917C" w14:textId="77777777" w:rsidTr="00CB4A22">
        <w:tc>
          <w:tcPr>
            <w:tcW w:w="3192" w:type="dxa"/>
          </w:tcPr>
          <w:p w14:paraId="29D67D8E" w14:textId="2CB0C82E" w:rsidR="00E751EB" w:rsidRDefault="00E751EB" w:rsidP="00E751EB">
            <w:r>
              <w:rPr>
                <w:b/>
                <w:bCs/>
              </w:rPr>
              <w:t>Респираторни, гръдни и медиастиналнн нарушения</w:t>
            </w:r>
          </w:p>
        </w:tc>
        <w:tc>
          <w:tcPr>
            <w:tcW w:w="3192" w:type="dxa"/>
          </w:tcPr>
          <w:p w14:paraId="249B6AE2" w14:textId="14FC59D1" w:rsidR="00E751EB" w:rsidRDefault="00E751EB" w:rsidP="00E751EB">
            <w:r>
              <w:t>Диспнея</w:t>
            </w:r>
          </w:p>
        </w:tc>
        <w:tc>
          <w:tcPr>
            <w:tcW w:w="3192" w:type="dxa"/>
            <w:vAlign w:val="bottom"/>
          </w:tcPr>
          <w:p w14:paraId="79601FB6" w14:textId="300E56E2" w:rsidR="00E751EB" w:rsidRDefault="00E751EB" w:rsidP="00E751EB">
            <w:r>
              <w:t>Астма, бронхоспазъм, еозинофилен пневмонит, пневмония, белодробен оток, подтискане на дишането</w:t>
            </w:r>
          </w:p>
        </w:tc>
      </w:tr>
      <w:tr w:rsidR="00E751EB" w14:paraId="6B4385E7" w14:textId="77777777" w:rsidTr="00CB4A22">
        <w:tc>
          <w:tcPr>
            <w:tcW w:w="3192" w:type="dxa"/>
          </w:tcPr>
          <w:p w14:paraId="58B3325D" w14:textId="3127D92B" w:rsidR="00E751EB" w:rsidRDefault="00E751EB" w:rsidP="00E751EB">
            <w:r>
              <w:rPr>
                <w:b/>
                <w:bCs/>
              </w:rPr>
              <w:t>Стомашно-чревни нарушения</w:t>
            </w:r>
          </w:p>
        </w:tc>
        <w:tc>
          <w:tcPr>
            <w:tcW w:w="3192" w:type="dxa"/>
          </w:tcPr>
          <w:p w14:paraId="6D9FFE69" w14:textId="60C321E2" w:rsidR="00E751EB" w:rsidRDefault="00E751EB" w:rsidP="00E751EB">
            <w:r>
              <w:t>Диспепсия, болки в корема, гадене, повръщане, диария, констипация, киселини, пептична язва, стоматит</w:t>
            </w:r>
          </w:p>
        </w:tc>
        <w:tc>
          <w:tcPr>
            <w:tcW w:w="3192" w:type="dxa"/>
            <w:vAlign w:val="bottom"/>
          </w:tcPr>
          <w:p w14:paraId="2DF0002D" w14:textId="38F7BE15" w:rsidR="00E751EB" w:rsidRDefault="00E751EB" w:rsidP="00E751EB">
            <w:r>
              <w:t xml:space="preserve">Ксеростомия, езофагит, язва на стомаха, гастрит, глосит, оригване, флатуленция, стомашни/дуоденални язви, кървене от стомашно-чревния тракт и/или перфорация, мелена, хематемеза, панкреатит, колит, обостряне на възпалително чревно </w:t>
            </w:r>
            <w:r>
              <w:lastRenderedPageBreak/>
              <w:t xml:space="preserve">заболяване (улцерозен колит или болест на </w:t>
            </w:r>
            <w:r>
              <w:rPr>
                <w:lang w:val="en-US"/>
              </w:rPr>
              <w:t>Crohn</w:t>
            </w:r>
            <w:r w:rsidRPr="00E751EB">
              <w:rPr>
                <w:lang w:val="ru-RU"/>
              </w:rPr>
              <w:t xml:space="preserve">), </w:t>
            </w:r>
            <w:r>
              <w:t>не-пептични стомашно-чревни улцерации, ректално кървене, улцерозен стоматит</w:t>
            </w:r>
          </w:p>
        </w:tc>
      </w:tr>
      <w:tr w:rsidR="00E751EB" w14:paraId="0DFE6BA3" w14:textId="77777777" w:rsidTr="00CB4A22">
        <w:tc>
          <w:tcPr>
            <w:tcW w:w="3192" w:type="dxa"/>
            <w:vAlign w:val="bottom"/>
          </w:tcPr>
          <w:p w14:paraId="1874DAAB" w14:textId="13440373" w:rsidR="00E751EB" w:rsidRDefault="00E751EB" w:rsidP="00E751EB">
            <w:r>
              <w:rPr>
                <w:b/>
                <w:bCs/>
              </w:rPr>
              <w:lastRenderedPageBreak/>
              <w:t>Хепатобилиарни нарушения</w:t>
            </w:r>
          </w:p>
        </w:tc>
        <w:tc>
          <w:tcPr>
            <w:tcW w:w="3192" w:type="dxa"/>
          </w:tcPr>
          <w:p w14:paraId="55F58D63" w14:textId="77777777" w:rsidR="00E751EB" w:rsidRDefault="00E751EB" w:rsidP="00E751EB"/>
        </w:tc>
        <w:tc>
          <w:tcPr>
            <w:tcW w:w="3192" w:type="dxa"/>
            <w:vAlign w:val="bottom"/>
          </w:tcPr>
          <w:p w14:paraId="483E02CE" w14:textId="334501C2" w:rsidR="00E751EB" w:rsidRDefault="00E751EB" w:rsidP="00E751EB">
            <w:r>
              <w:t>Холестаза, хепатит, иктер, чернодробна недостатъчност</w:t>
            </w:r>
          </w:p>
        </w:tc>
      </w:tr>
      <w:tr w:rsidR="00E751EB" w14:paraId="6247541F" w14:textId="77777777" w:rsidTr="00985441">
        <w:tc>
          <w:tcPr>
            <w:tcW w:w="3192" w:type="dxa"/>
          </w:tcPr>
          <w:p w14:paraId="7473F4AC" w14:textId="0582BEA8" w:rsidR="00E751EB" w:rsidRDefault="00E751EB" w:rsidP="00E751EB">
            <w:r>
              <w:rPr>
                <w:b/>
                <w:bCs/>
              </w:rPr>
              <w:t>Нарушения на кожата и подкожната тъкан</w:t>
            </w:r>
          </w:p>
        </w:tc>
        <w:tc>
          <w:tcPr>
            <w:tcW w:w="3192" w:type="dxa"/>
          </w:tcPr>
          <w:p w14:paraId="1F7E6DFC" w14:textId="03D8F20D" w:rsidR="00E751EB" w:rsidRDefault="00E751EB" w:rsidP="00E751EB">
            <w:r>
              <w:t>Пруритус, екхимози, пурпура, кожни обриви</w:t>
            </w:r>
          </w:p>
        </w:tc>
        <w:tc>
          <w:tcPr>
            <w:tcW w:w="3192" w:type="dxa"/>
            <w:vAlign w:val="bottom"/>
          </w:tcPr>
          <w:p w14:paraId="504E2DFE" w14:textId="34CA86FC" w:rsidR="00E751EB" w:rsidRDefault="00E751EB" w:rsidP="00E751EB">
            <w:r>
              <w:t xml:space="preserve">Алопеция, екзантем, уртикария, булозни реакции, включително синдром на </w:t>
            </w:r>
            <w:r>
              <w:rPr>
                <w:lang w:val="en-US"/>
              </w:rPr>
              <w:t>Stevens</w:t>
            </w:r>
            <w:r w:rsidRPr="00E751EB">
              <w:rPr>
                <w:lang w:val="ru-RU"/>
              </w:rPr>
              <w:t>-</w:t>
            </w:r>
            <w:r>
              <w:rPr>
                <w:lang w:val="en-US"/>
              </w:rPr>
              <w:t>Johnson</w:t>
            </w:r>
            <w:r w:rsidRPr="00E751EB">
              <w:rPr>
                <w:lang w:val="ru-RU"/>
              </w:rPr>
              <w:t xml:space="preserve"> </w:t>
            </w:r>
            <w:r>
              <w:t>и токсична епидермална некролиза (ТЕН), еритема мултиформе, еритема нодозум, локализиран медикаментозен обрив, плосък лишей, системен лупус еритематодес, дерматит от фоточувствителност, реакции на фоточувствителност, включително и редки случаи на порфирия кутанеа тарда (псевдопорфирия), ексфолиативен дерматит, ангионевротичен едем, пустулозна реакция</w:t>
            </w:r>
          </w:p>
        </w:tc>
      </w:tr>
      <w:tr w:rsidR="00E751EB" w14:paraId="1341BD23" w14:textId="77777777" w:rsidTr="008579FD">
        <w:tc>
          <w:tcPr>
            <w:tcW w:w="3192" w:type="dxa"/>
          </w:tcPr>
          <w:p w14:paraId="657303D9" w14:textId="58A9361B" w:rsidR="00E751EB" w:rsidRDefault="00E751EB" w:rsidP="00E751EB">
            <w:r>
              <w:rPr>
                <w:b/>
                <w:bCs/>
              </w:rPr>
              <w:t>Нарушения на мускулно-скелетната система и съединителната тъкан</w:t>
            </w:r>
          </w:p>
        </w:tc>
        <w:tc>
          <w:tcPr>
            <w:tcW w:w="3192" w:type="dxa"/>
          </w:tcPr>
          <w:p w14:paraId="08678CD4" w14:textId="77777777" w:rsidR="00E751EB" w:rsidRDefault="00E751EB" w:rsidP="00E751EB"/>
        </w:tc>
        <w:tc>
          <w:tcPr>
            <w:tcW w:w="3192" w:type="dxa"/>
          </w:tcPr>
          <w:p w14:paraId="07925133" w14:textId="6E8D8B5D" w:rsidR="00E751EB" w:rsidRDefault="00E751EB" w:rsidP="00E751EB">
            <w:r>
              <w:t>Мускулна слабост, миалгии</w:t>
            </w:r>
          </w:p>
        </w:tc>
      </w:tr>
      <w:tr w:rsidR="00E751EB" w14:paraId="4FF135C5" w14:textId="77777777" w:rsidTr="00985441">
        <w:tc>
          <w:tcPr>
            <w:tcW w:w="3192" w:type="dxa"/>
          </w:tcPr>
          <w:p w14:paraId="5C01B69D" w14:textId="47285BA8" w:rsidR="00E751EB" w:rsidRDefault="00E751EB" w:rsidP="00E751EB">
            <w:r>
              <w:rPr>
                <w:b/>
                <w:bCs/>
              </w:rPr>
              <w:t>Нарушения на бъбреците и пикочните пътища</w:t>
            </w:r>
          </w:p>
        </w:tc>
        <w:tc>
          <w:tcPr>
            <w:tcW w:w="3192" w:type="dxa"/>
          </w:tcPr>
          <w:p w14:paraId="48C78924" w14:textId="77777777" w:rsidR="00E751EB" w:rsidRDefault="00E751EB" w:rsidP="00E751EB"/>
        </w:tc>
        <w:tc>
          <w:tcPr>
            <w:tcW w:w="3192" w:type="dxa"/>
            <w:vAlign w:val="bottom"/>
          </w:tcPr>
          <w:p w14:paraId="29E4F755" w14:textId="72511305" w:rsidR="00E751EB" w:rsidRDefault="00E751EB" w:rsidP="00E751EB">
            <w:r>
              <w:t>Гломерулонефрит, хематурия, интерстициален нефрит, нефротичен синдром, олигурия/полиурия, протеинурия, бъбречна недостатъчност, бъбречна папиларна некроза, тубулна некроза</w:t>
            </w:r>
          </w:p>
        </w:tc>
      </w:tr>
      <w:tr w:rsidR="00E751EB" w14:paraId="26DF4148" w14:textId="77777777" w:rsidTr="00985441">
        <w:tc>
          <w:tcPr>
            <w:tcW w:w="3192" w:type="dxa"/>
            <w:vAlign w:val="bottom"/>
          </w:tcPr>
          <w:p w14:paraId="73A8A1C0" w14:textId="2B53A299" w:rsidR="00E751EB" w:rsidRDefault="00E751EB" w:rsidP="00E751EB">
            <w:r>
              <w:rPr>
                <w:b/>
                <w:bCs/>
              </w:rPr>
              <w:t>Нарушения на възпроизводителната система и гърдата</w:t>
            </w:r>
          </w:p>
        </w:tc>
        <w:tc>
          <w:tcPr>
            <w:tcW w:w="3192" w:type="dxa"/>
          </w:tcPr>
          <w:p w14:paraId="27524521" w14:textId="77777777" w:rsidR="00E751EB" w:rsidRDefault="00E751EB" w:rsidP="00E751EB"/>
        </w:tc>
        <w:tc>
          <w:tcPr>
            <w:tcW w:w="3192" w:type="dxa"/>
          </w:tcPr>
          <w:p w14:paraId="1A32B891" w14:textId="4291A41E" w:rsidR="00E751EB" w:rsidRDefault="00E751EB" w:rsidP="00E751EB">
            <w:r>
              <w:t>Безплодие, менструационни нарушения</w:t>
            </w:r>
          </w:p>
        </w:tc>
      </w:tr>
      <w:tr w:rsidR="00E751EB" w14:paraId="035F968F" w14:textId="77777777" w:rsidTr="00985441">
        <w:tc>
          <w:tcPr>
            <w:tcW w:w="3192" w:type="dxa"/>
            <w:vAlign w:val="bottom"/>
          </w:tcPr>
          <w:p w14:paraId="5DD8403F" w14:textId="6851F940" w:rsidR="00E751EB" w:rsidRDefault="00E751EB" w:rsidP="00E751EB">
            <w:r>
              <w:rPr>
                <w:b/>
                <w:bCs/>
              </w:rPr>
              <w:lastRenderedPageBreak/>
              <w:t>Общи нарушения и ефекти на мястото на приложение</w:t>
            </w:r>
          </w:p>
        </w:tc>
        <w:tc>
          <w:tcPr>
            <w:tcW w:w="3192" w:type="dxa"/>
          </w:tcPr>
          <w:p w14:paraId="4C25899A" w14:textId="2BD3EABC" w:rsidR="00E751EB" w:rsidRDefault="00E751EB" w:rsidP="00E751EB">
            <w:r>
              <w:t>Умора, отоци, потене, жажда</w:t>
            </w:r>
          </w:p>
        </w:tc>
        <w:tc>
          <w:tcPr>
            <w:tcW w:w="3192" w:type="dxa"/>
          </w:tcPr>
          <w:p w14:paraId="571CB52E" w14:textId="7BE10A01" w:rsidR="00E751EB" w:rsidRDefault="00E751EB" w:rsidP="00E751EB">
            <w:r>
              <w:t>Астения, неразположение, треска</w:t>
            </w:r>
          </w:p>
        </w:tc>
      </w:tr>
      <w:tr w:rsidR="00E751EB" w14:paraId="309F7218" w14:textId="77777777" w:rsidTr="00985441">
        <w:tc>
          <w:tcPr>
            <w:tcW w:w="3192" w:type="dxa"/>
          </w:tcPr>
          <w:p w14:paraId="051F8E32" w14:textId="0349D528" w:rsidR="00E751EB" w:rsidRDefault="00E751EB" w:rsidP="00E751EB">
            <w:r>
              <w:rPr>
                <w:b/>
                <w:bCs/>
              </w:rPr>
              <w:t>Изследвания</w:t>
            </w:r>
          </w:p>
        </w:tc>
        <w:tc>
          <w:tcPr>
            <w:tcW w:w="3192" w:type="dxa"/>
          </w:tcPr>
          <w:p w14:paraId="269EC804" w14:textId="77777777" w:rsidR="00E751EB" w:rsidRDefault="00E751EB" w:rsidP="00E751EB"/>
        </w:tc>
        <w:tc>
          <w:tcPr>
            <w:tcW w:w="3192" w:type="dxa"/>
            <w:vAlign w:val="bottom"/>
          </w:tcPr>
          <w:p w14:paraId="346C0F9B" w14:textId="42831EB2" w:rsidR="00E751EB" w:rsidRDefault="00E751EB" w:rsidP="00E751EB">
            <w:r>
              <w:t>Отклонения в чернодробните ензими, удължаване на времето на кървене, повишаване на серумния креатинин</w:t>
            </w:r>
          </w:p>
        </w:tc>
      </w:tr>
    </w:tbl>
    <w:p w14:paraId="5DC534A3" w14:textId="77777777"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lang w:eastAsia="bg-BG"/>
        </w:rPr>
        <w:t>Езомепразол:</w:t>
      </w:r>
    </w:p>
    <w:p w14:paraId="718136BD" w14:textId="43FC7EC7" w:rsidR="00E751EB" w:rsidRDefault="00E751EB" w:rsidP="00E751EB">
      <w:pPr>
        <w:spacing w:line="240" w:lineRule="auto"/>
        <w:rPr>
          <w:rFonts w:eastAsia="Times New Roman" w:cs="Arial"/>
          <w:color w:val="000000"/>
          <w:lang w:eastAsia="bg-BG"/>
        </w:rPr>
      </w:pPr>
      <w:r w:rsidRPr="00E751EB">
        <w:rPr>
          <w:rFonts w:eastAsia="Times New Roman" w:cs="Arial"/>
          <w:color w:val="000000"/>
          <w:lang w:eastAsia="bg-BG"/>
        </w:rPr>
        <w:t>В клиничните проучвания на ентерално-обвитата лекарствена форма на езомепразол, и/или през постмаркетинговия период, са установени или е имало съмнения за изброените по-долу нежелани реакции. За нито една от тях не е установена зависимост от дозата.</w:t>
      </w:r>
    </w:p>
    <w:p w14:paraId="48986372" w14:textId="192BED60" w:rsidR="00E751EB" w:rsidRDefault="00E751EB" w:rsidP="00E751EB">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1485"/>
        <w:gridCol w:w="1221"/>
        <w:gridCol w:w="2428"/>
        <w:gridCol w:w="1499"/>
        <w:gridCol w:w="1349"/>
        <w:gridCol w:w="1368"/>
      </w:tblGrid>
      <w:tr w:rsidR="00E751EB" w14:paraId="2E14F5AA" w14:textId="77777777" w:rsidTr="00E751EB">
        <w:tc>
          <w:tcPr>
            <w:tcW w:w="1517" w:type="dxa"/>
          </w:tcPr>
          <w:p w14:paraId="49A08977" w14:textId="77777777" w:rsidR="00E751EB" w:rsidRDefault="00E751EB" w:rsidP="00E751EB">
            <w:pPr>
              <w:spacing w:line="240" w:lineRule="auto"/>
              <w:rPr>
                <w:rFonts w:eastAsia="Times New Roman" w:cs="Arial"/>
                <w:sz w:val="24"/>
                <w:szCs w:val="24"/>
              </w:rPr>
            </w:pPr>
          </w:p>
        </w:tc>
        <w:tc>
          <w:tcPr>
            <w:tcW w:w="1259" w:type="dxa"/>
          </w:tcPr>
          <w:p w14:paraId="2EC67E7C" w14:textId="6B0AF403" w:rsidR="00E751EB" w:rsidRDefault="00E751EB" w:rsidP="00E751EB">
            <w:pPr>
              <w:spacing w:line="240" w:lineRule="auto"/>
              <w:rPr>
                <w:rFonts w:eastAsia="Times New Roman" w:cs="Arial"/>
                <w:sz w:val="24"/>
                <w:szCs w:val="24"/>
              </w:rPr>
            </w:pPr>
            <w:r>
              <w:rPr>
                <w:b/>
                <w:bCs/>
              </w:rPr>
              <w:t>Чести</w:t>
            </w:r>
          </w:p>
        </w:tc>
        <w:tc>
          <w:tcPr>
            <w:tcW w:w="2513" w:type="dxa"/>
          </w:tcPr>
          <w:p w14:paraId="0FEF363D" w14:textId="1E4002C4" w:rsidR="00E751EB" w:rsidRDefault="00E751EB" w:rsidP="00E751EB">
            <w:pPr>
              <w:spacing w:line="240" w:lineRule="auto"/>
              <w:rPr>
                <w:rFonts w:eastAsia="Times New Roman" w:cs="Arial"/>
                <w:sz w:val="24"/>
                <w:szCs w:val="24"/>
              </w:rPr>
            </w:pPr>
            <w:r>
              <w:rPr>
                <w:b/>
                <w:bCs/>
              </w:rPr>
              <w:t>Нечести</w:t>
            </w:r>
          </w:p>
        </w:tc>
        <w:tc>
          <w:tcPr>
            <w:tcW w:w="1536" w:type="dxa"/>
          </w:tcPr>
          <w:p w14:paraId="670077CF" w14:textId="18B6CD6E" w:rsidR="00E751EB" w:rsidRDefault="00E751EB" w:rsidP="00E751EB">
            <w:pPr>
              <w:spacing w:line="240" w:lineRule="auto"/>
              <w:rPr>
                <w:rFonts w:eastAsia="Times New Roman" w:cs="Arial"/>
                <w:sz w:val="24"/>
                <w:szCs w:val="24"/>
              </w:rPr>
            </w:pPr>
            <w:r>
              <w:rPr>
                <w:b/>
                <w:bCs/>
              </w:rPr>
              <w:t>Редки</w:t>
            </w:r>
          </w:p>
        </w:tc>
        <w:tc>
          <w:tcPr>
            <w:tcW w:w="1364" w:type="dxa"/>
          </w:tcPr>
          <w:p w14:paraId="18011C24" w14:textId="37F3BF97" w:rsidR="00E751EB" w:rsidRDefault="00E751EB" w:rsidP="00E751EB">
            <w:pPr>
              <w:spacing w:line="240" w:lineRule="auto"/>
              <w:rPr>
                <w:rFonts w:eastAsia="Times New Roman" w:cs="Arial"/>
                <w:sz w:val="24"/>
                <w:szCs w:val="24"/>
              </w:rPr>
            </w:pPr>
            <w:r>
              <w:rPr>
                <w:b/>
                <w:bCs/>
              </w:rPr>
              <w:t>Много редки</w:t>
            </w:r>
          </w:p>
        </w:tc>
        <w:tc>
          <w:tcPr>
            <w:tcW w:w="1387" w:type="dxa"/>
            <w:vAlign w:val="bottom"/>
          </w:tcPr>
          <w:p w14:paraId="7DA13FAE" w14:textId="1D09DA66" w:rsidR="00E751EB" w:rsidRDefault="00E751EB" w:rsidP="00E751EB">
            <w:pPr>
              <w:spacing w:line="240" w:lineRule="auto"/>
              <w:rPr>
                <w:rFonts w:eastAsia="Times New Roman" w:cs="Arial"/>
                <w:sz w:val="24"/>
                <w:szCs w:val="24"/>
              </w:rPr>
            </w:pPr>
            <w:r>
              <w:rPr>
                <w:b/>
                <w:bCs/>
              </w:rPr>
              <w:t>Неизвестна честота</w:t>
            </w:r>
          </w:p>
        </w:tc>
      </w:tr>
      <w:tr w:rsidR="00E751EB" w14:paraId="31B7ECCF" w14:textId="77777777" w:rsidTr="00E751EB">
        <w:tc>
          <w:tcPr>
            <w:tcW w:w="1517" w:type="dxa"/>
          </w:tcPr>
          <w:p w14:paraId="7521538B" w14:textId="1E0C4D07" w:rsidR="00E751EB" w:rsidRDefault="00E751EB" w:rsidP="00E751EB">
            <w:pPr>
              <w:spacing w:line="240" w:lineRule="auto"/>
              <w:rPr>
                <w:rFonts w:eastAsia="Times New Roman" w:cs="Arial"/>
                <w:sz w:val="24"/>
                <w:szCs w:val="24"/>
              </w:rPr>
            </w:pPr>
            <w:r>
              <w:rPr>
                <w:b/>
                <w:bCs/>
              </w:rPr>
              <w:t>Нарушения на кръвта и лимфната система</w:t>
            </w:r>
          </w:p>
        </w:tc>
        <w:tc>
          <w:tcPr>
            <w:tcW w:w="1259" w:type="dxa"/>
          </w:tcPr>
          <w:p w14:paraId="1A8F0511" w14:textId="77777777" w:rsidR="00E751EB" w:rsidRDefault="00E751EB" w:rsidP="00E751EB">
            <w:pPr>
              <w:spacing w:line="240" w:lineRule="auto"/>
              <w:rPr>
                <w:rFonts w:eastAsia="Times New Roman" w:cs="Arial"/>
                <w:sz w:val="24"/>
                <w:szCs w:val="24"/>
              </w:rPr>
            </w:pPr>
          </w:p>
        </w:tc>
        <w:tc>
          <w:tcPr>
            <w:tcW w:w="2513" w:type="dxa"/>
          </w:tcPr>
          <w:p w14:paraId="7BC22388" w14:textId="77777777" w:rsidR="00E751EB" w:rsidRDefault="00E751EB" w:rsidP="00E751EB">
            <w:pPr>
              <w:spacing w:line="240" w:lineRule="auto"/>
              <w:rPr>
                <w:rFonts w:eastAsia="Times New Roman" w:cs="Arial"/>
                <w:sz w:val="24"/>
                <w:szCs w:val="24"/>
              </w:rPr>
            </w:pPr>
          </w:p>
        </w:tc>
        <w:tc>
          <w:tcPr>
            <w:tcW w:w="1536" w:type="dxa"/>
          </w:tcPr>
          <w:p w14:paraId="61DA07BF" w14:textId="58F3D471" w:rsidR="00E751EB" w:rsidRDefault="00E751EB" w:rsidP="00E751EB">
            <w:pPr>
              <w:spacing w:line="240" w:lineRule="auto"/>
              <w:rPr>
                <w:rFonts w:eastAsia="Times New Roman" w:cs="Arial"/>
                <w:sz w:val="24"/>
                <w:szCs w:val="24"/>
              </w:rPr>
            </w:pPr>
            <w:r>
              <w:t>Левкопения, тромбоцитопен ия</w:t>
            </w:r>
          </w:p>
        </w:tc>
        <w:tc>
          <w:tcPr>
            <w:tcW w:w="1364" w:type="dxa"/>
          </w:tcPr>
          <w:p w14:paraId="04682799" w14:textId="1D29D728" w:rsidR="00E751EB" w:rsidRDefault="00E751EB" w:rsidP="00E751EB">
            <w:pPr>
              <w:spacing w:line="240" w:lineRule="auto"/>
              <w:rPr>
                <w:rFonts w:eastAsia="Times New Roman" w:cs="Arial"/>
                <w:sz w:val="24"/>
                <w:szCs w:val="24"/>
              </w:rPr>
            </w:pPr>
            <w:r>
              <w:t>Агранулоцит оза, панцитопени я</w:t>
            </w:r>
          </w:p>
        </w:tc>
        <w:tc>
          <w:tcPr>
            <w:tcW w:w="1387" w:type="dxa"/>
          </w:tcPr>
          <w:p w14:paraId="2AC3B9B4" w14:textId="77777777" w:rsidR="00E751EB" w:rsidRDefault="00E751EB" w:rsidP="00E751EB">
            <w:pPr>
              <w:spacing w:line="240" w:lineRule="auto"/>
              <w:rPr>
                <w:rFonts w:eastAsia="Times New Roman" w:cs="Arial"/>
                <w:sz w:val="24"/>
                <w:szCs w:val="24"/>
              </w:rPr>
            </w:pPr>
          </w:p>
        </w:tc>
      </w:tr>
      <w:tr w:rsidR="00E751EB" w14:paraId="7F4D8CA0" w14:textId="77777777" w:rsidTr="00E751EB">
        <w:tc>
          <w:tcPr>
            <w:tcW w:w="1517" w:type="dxa"/>
          </w:tcPr>
          <w:p w14:paraId="78048070" w14:textId="5D72DA36" w:rsidR="00E751EB" w:rsidRDefault="00E751EB" w:rsidP="00E751EB">
            <w:pPr>
              <w:spacing w:line="240" w:lineRule="auto"/>
              <w:rPr>
                <w:rFonts w:eastAsia="Times New Roman" w:cs="Arial"/>
                <w:sz w:val="24"/>
                <w:szCs w:val="24"/>
              </w:rPr>
            </w:pPr>
            <w:r>
              <w:rPr>
                <w:b/>
                <w:bCs/>
              </w:rPr>
              <w:t>Нарушения на имунната система</w:t>
            </w:r>
          </w:p>
        </w:tc>
        <w:tc>
          <w:tcPr>
            <w:tcW w:w="1259" w:type="dxa"/>
          </w:tcPr>
          <w:p w14:paraId="5FC02E37" w14:textId="77777777" w:rsidR="00E751EB" w:rsidRDefault="00E751EB" w:rsidP="00E751EB">
            <w:pPr>
              <w:spacing w:line="240" w:lineRule="auto"/>
              <w:rPr>
                <w:rFonts w:eastAsia="Times New Roman" w:cs="Arial"/>
                <w:sz w:val="24"/>
                <w:szCs w:val="24"/>
              </w:rPr>
            </w:pPr>
          </w:p>
        </w:tc>
        <w:tc>
          <w:tcPr>
            <w:tcW w:w="2513" w:type="dxa"/>
          </w:tcPr>
          <w:p w14:paraId="6AB9D29D" w14:textId="77777777" w:rsidR="00E751EB" w:rsidRDefault="00E751EB" w:rsidP="00E751EB">
            <w:pPr>
              <w:spacing w:line="240" w:lineRule="auto"/>
              <w:rPr>
                <w:rFonts w:eastAsia="Times New Roman" w:cs="Arial"/>
                <w:sz w:val="24"/>
                <w:szCs w:val="24"/>
              </w:rPr>
            </w:pPr>
          </w:p>
        </w:tc>
        <w:tc>
          <w:tcPr>
            <w:tcW w:w="1536" w:type="dxa"/>
            <w:vAlign w:val="bottom"/>
          </w:tcPr>
          <w:p w14:paraId="75D1BAAE" w14:textId="1A2A44F4" w:rsidR="00E751EB" w:rsidRDefault="00E751EB" w:rsidP="00E751EB">
            <w:pPr>
              <w:spacing w:line="240" w:lineRule="auto"/>
              <w:rPr>
                <w:rFonts w:eastAsia="Times New Roman" w:cs="Arial"/>
                <w:sz w:val="24"/>
                <w:szCs w:val="24"/>
              </w:rPr>
            </w:pPr>
            <w:r>
              <w:t>Реакции на свръхчувствит елност, напр. фебрилитет, ангиоедем и анафилактични реакции/шок</w:t>
            </w:r>
          </w:p>
        </w:tc>
        <w:tc>
          <w:tcPr>
            <w:tcW w:w="1364" w:type="dxa"/>
          </w:tcPr>
          <w:p w14:paraId="09F3A9C3" w14:textId="77777777" w:rsidR="00E751EB" w:rsidRDefault="00E751EB" w:rsidP="00E751EB">
            <w:pPr>
              <w:spacing w:line="240" w:lineRule="auto"/>
              <w:rPr>
                <w:rFonts w:eastAsia="Times New Roman" w:cs="Arial"/>
                <w:sz w:val="24"/>
                <w:szCs w:val="24"/>
              </w:rPr>
            </w:pPr>
          </w:p>
        </w:tc>
        <w:tc>
          <w:tcPr>
            <w:tcW w:w="1387" w:type="dxa"/>
          </w:tcPr>
          <w:p w14:paraId="63C45DC0" w14:textId="77777777" w:rsidR="00E751EB" w:rsidRDefault="00E751EB" w:rsidP="00E751EB">
            <w:pPr>
              <w:spacing w:line="240" w:lineRule="auto"/>
              <w:rPr>
                <w:rFonts w:eastAsia="Times New Roman" w:cs="Arial"/>
                <w:sz w:val="24"/>
                <w:szCs w:val="24"/>
              </w:rPr>
            </w:pPr>
          </w:p>
        </w:tc>
      </w:tr>
      <w:tr w:rsidR="00E751EB" w14:paraId="79EA85B5" w14:textId="77777777" w:rsidTr="00E751EB">
        <w:tc>
          <w:tcPr>
            <w:tcW w:w="1517" w:type="dxa"/>
          </w:tcPr>
          <w:p w14:paraId="5D18DC52" w14:textId="62A3F75E" w:rsidR="00E751EB" w:rsidRDefault="00E751EB" w:rsidP="00E751EB">
            <w:pPr>
              <w:spacing w:line="240" w:lineRule="auto"/>
              <w:rPr>
                <w:rFonts w:eastAsia="Times New Roman" w:cs="Arial"/>
                <w:sz w:val="24"/>
                <w:szCs w:val="24"/>
              </w:rPr>
            </w:pPr>
            <w:r>
              <w:rPr>
                <w:b/>
                <w:bCs/>
              </w:rPr>
              <w:t>Нарушения на метаболизма и храненето</w:t>
            </w:r>
          </w:p>
        </w:tc>
        <w:tc>
          <w:tcPr>
            <w:tcW w:w="1259" w:type="dxa"/>
          </w:tcPr>
          <w:p w14:paraId="1DC91BEB" w14:textId="77777777" w:rsidR="00E751EB" w:rsidRDefault="00E751EB" w:rsidP="00E751EB">
            <w:pPr>
              <w:spacing w:line="240" w:lineRule="auto"/>
              <w:rPr>
                <w:rFonts w:eastAsia="Times New Roman" w:cs="Arial"/>
                <w:sz w:val="24"/>
                <w:szCs w:val="24"/>
              </w:rPr>
            </w:pPr>
          </w:p>
        </w:tc>
        <w:tc>
          <w:tcPr>
            <w:tcW w:w="2513" w:type="dxa"/>
          </w:tcPr>
          <w:p w14:paraId="4740CFF3" w14:textId="4755A9DD" w:rsidR="00E751EB" w:rsidRDefault="00E751EB" w:rsidP="00E751EB">
            <w:pPr>
              <w:spacing w:line="240" w:lineRule="auto"/>
              <w:rPr>
                <w:rFonts w:eastAsia="Times New Roman" w:cs="Arial"/>
                <w:sz w:val="24"/>
                <w:szCs w:val="24"/>
              </w:rPr>
            </w:pPr>
            <w:r>
              <w:t>Периферни отоци</w:t>
            </w:r>
          </w:p>
        </w:tc>
        <w:tc>
          <w:tcPr>
            <w:tcW w:w="1536" w:type="dxa"/>
          </w:tcPr>
          <w:p w14:paraId="1C76855B" w14:textId="3C625F86" w:rsidR="00E751EB" w:rsidRDefault="00E751EB" w:rsidP="00E751EB">
            <w:pPr>
              <w:spacing w:line="240" w:lineRule="auto"/>
              <w:rPr>
                <w:rFonts w:eastAsia="Times New Roman" w:cs="Arial"/>
                <w:sz w:val="24"/>
                <w:szCs w:val="24"/>
              </w:rPr>
            </w:pPr>
            <w:r>
              <w:t>Хипонатриеми я</w:t>
            </w:r>
          </w:p>
        </w:tc>
        <w:tc>
          <w:tcPr>
            <w:tcW w:w="1364" w:type="dxa"/>
          </w:tcPr>
          <w:p w14:paraId="09E6B301" w14:textId="77777777" w:rsidR="00E751EB" w:rsidRDefault="00E751EB" w:rsidP="00E751EB">
            <w:pPr>
              <w:spacing w:line="240" w:lineRule="auto"/>
              <w:rPr>
                <w:rFonts w:eastAsia="Times New Roman" w:cs="Arial"/>
                <w:sz w:val="24"/>
                <w:szCs w:val="24"/>
              </w:rPr>
            </w:pPr>
          </w:p>
        </w:tc>
        <w:tc>
          <w:tcPr>
            <w:tcW w:w="1387" w:type="dxa"/>
            <w:vAlign w:val="bottom"/>
          </w:tcPr>
          <w:p w14:paraId="24F76229" w14:textId="77777777" w:rsidR="00E751EB" w:rsidRDefault="00E751EB" w:rsidP="00E751EB">
            <w:r>
              <w:t>Хипомагнези емия; тежката хипомагнезие мия може да доведе до хипокалцием ия;</w:t>
            </w:r>
          </w:p>
          <w:p w14:paraId="726DD0A7" w14:textId="417D8780" w:rsidR="00E751EB" w:rsidRDefault="00E751EB" w:rsidP="00E751EB">
            <w:pPr>
              <w:spacing w:line="240" w:lineRule="auto"/>
              <w:rPr>
                <w:rFonts w:eastAsia="Times New Roman" w:cs="Arial"/>
                <w:sz w:val="24"/>
                <w:szCs w:val="24"/>
              </w:rPr>
            </w:pPr>
            <w:r>
              <w:t>хипомагнезие мията също може да е свързана с хипокалиеми я.</w:t>
            </w:r>
          </w:p>
        </w:tc>
      </w:tr>
      <w:tr w:rsidR="00E751EB" w14:paraId="7EC77298" w14:textId="77777777" w:rsidTr="00E751EB">
        <w:tc>
          <w:tcPr>
            <w:tcW w:w="1517" w:type="dxa"/>
          </w:tcPr>
          <w:p w14:paraId="35187873" w14:textId="07C413B8" w:rsidR="00E751EB" w:rsidRDefault="00E751EB" w:rsidP="00E751EB">
            <w:pPr>
              <w:spacing w:line="240" w:lineRule="auto"/>
              <w:rPr>
                <w:rFonts w:eastAsia="Times New Roman" w:cs="Arial"/>
                <w:sz w:val="24"/>
                <w:szCs w:val="24"/>
              </w:rPr>
            </w:pPr>
            <w:r>
              <w:rPr>
                <w:b/>
                <w:bCs/>
              </w:rPr>
              <w:lastRenderedPageBreak/>
              <w:t>Психични нарушения</w:t>
            </w:r>
          </w:p>
        </w:tc>
        <w:tc>
          <w:tcPr>
            <w:tcW w:w="1259" w:type="dxa"/>
          </w:tcPr>
          <w:p w14:paraId="06D1ABD2" w14:textId="77777777" w:rsidR="00E751EB" w:rsidRDefault="00E751EB" w:rsidP="00E751EB">
            <w:pPr>
              <w:spacing w:line="240" w:lineRule="auto"/>
              <w:rPr>
                <w:rFonts w:eastAsia="Times New Roman" w:cs="Arial"/>
                <w:sz w:val="24"/>
                <w:szCs w:val="24"/>
              </w:rPr>
            </w:pPr>
          </w:p>
        </w:tc>
        <w:tc>
          <w:tcPr>
            <w:tcW w:w="2513" w:type="dxa"/>
          </w:tcPr>
          <w:p w14:paraId="34B95B2D" w14:textId="083521A2" w:rsidR="00E751EB" w:rsidRDefault="00E751EB" w:rsidP="00E751EB">
            <w:pPr>
              <w:spacing w:line="240" w:lineRule="auto"/>
              <w:rPr>
                <w:rFonts w:eastAsia="Times New Roman" w:cs="Arial"/>
                <w:sz w:val="24"/>
                <w:szCs w:val="24"/>
              </w:rPr>
            </w:pPr>
            <w:r>
              <w:t>Инсомния</w:t>
            </w:r>
          </w:p>
        </w:tc>
        <w:tc>
          <w:tcPr>
            <w:tcW w:w="1536" w:type="dxa"/>
            <w:vAlign w:val="bottom"/>
          </w:tcPr>
          <w:p w14:paraId="45EB968D" w14:textId="795808A2" w:rsidR="00E751EB" w:rsidRDefault="00E751EB" w:rsidP="00E751EB">
            <w:pPr>
              <w:spacing w:line="240" w:lineRule="auto"/>
              <w:rPr>
                <w:rFonts w:eastAsia="Times New Roman" w:cs="Arial"/>
                <w:sz w:val="24"/>
                <w:szCs w:val="24"/>
              </w:rPr>
            </w:pPr>
            <w:r>
              <w:t>Тревожност, объркване, депресия</w:t>
            </w:r>
          </w:p>
        </w:tc>
        <w:tc>
          <w:tcPr>
            <w:tcW w:w="1364" w:type="dxa"/>
            <w:vAlign w:val="bottom"/>
          </w:tcPr>
          <w:p w14:paraId="79FB8AD1" w14:textId="41502550" w:rsidR="00E751EB" w:rsidRDefault="00E751EB" w:rsidP="00E751EB">
            <w:pPr>
              <w:spacing w:line="240" w:lineRule="auto"/>
              <w:rPr>
                <w:rFonts w:eastAsia="Times New Roman" w:cs="Arial"/>
                <w:sz w:val="24"/>
                <w:szCs w:val="24"/>
              </w:rPr>
            </w:pPr>
            <w:r>
              <w:t>Агресивно поведение, халюцинации</w:t>
            </w:r>
          </w:p>
        </w:tc>
        <w:tc>
          <w:tcPr>
            <w:tcW w:w="1387" w:type="dxa"/>
          </w:tcPr>
          <w:p w14:paraId="42096DD6" w14:textId="77777777" w:rsidR="00E751EB" w:rsidRDefault="00E751EB" w:rsidP="00E751EB">
            <w:pPr>
              <w:spacing w:line="240" w:lineRule="auto"/>
              <w:rPr>
                <w:rFonts w:eastAsia="Times New Roman" w:cs="Arial"/>
                <w:sz w:val="24"/>
                <w:szCs w:val="24"/>
              </w:rPr>
            </w:pPr>
          </w:p>
        </w:tc>
      </w:tr>
      <w:tr w:rsidR="00E751EB" w14:paraId="2BD270E6" w14:textId="77777777" w:rsidTr="00E751EB">
        <w:tc>
          <w:tcPr>
            <w:tcW w:w="1517" w:type="dxa"/>
          </w:tcPr>
          <w:p w14:paraId="448438D7" w14:textId="3AB44EA5" w:rsidR="00E751EB" w:rsidRDefault="00E751EB" w:rsidP="00E751EB">
            <w:pPr>
              <w:spacing w:line="240" w:lineRule="auto"/>
              <w:rPr>
                <w:rFonts w:eastAsia="Times New Roman" w:cs="Arial"/>
                <w:sz w:val="24"/>
                <w:szCs w:val="24"/>
              </w:rPr>
            </w:pPr>
            <w:r>
              <w:rPr>
                <w:b/>
                <w:bCs/>
              </w:rPr>
              <w:t>Нарушения на нервната система</w:t>
            </w:r>
          </w:p>
        </w:tc>
        <w:tc>
          <w:tcPr>
            <w:tcW w:w="1259" w:type="dxa"/>
          </w:tcPr>
          <w:p w14:paraId="1F856141" w14:textId="3239EEF4" w:rsidR="00E751EB" w:rsidRDefault="00E751EB" w:rsidP="00E751EB">
            <w:pPr>
              <w:spacing w:line="240" w:lineRule="auto"/>
              <w:rPr>
                <w:rFonts w:eastAsia="Times New Roman" w:cs="Arial"/>
                <w:sz w:val="24"/>
                <w:szCs w:val="24"/>
              </w:rPr>
            </w:pPr>
            <w:r>
              <w:t>Главоболие</w:t>
            </w:r>
          </w:p>
        </w:tc>
        <w:tc>
          <w:tcPr>
            <w:tcW w:w="2513" w:type="dxa"/>
            <w:vAlign w:val="bottom"/>
          </w:tcPr>
          <w:p w14:paraId="5AF0C996" w14:textId="29A22C12" w:rsidR="00E751EB" w:rsidRPr="00E751EB" w:rsidRDefault="00E751EB" w:rsidP="00E751EB">
            <w:r>
              <w:t>Замаяност, парестезии,сомнолентност</w:t>
            </w:r>
          </w:p>
        </w:tc>
        <w:tc>
          <w:tcPr>
            <w:tcW w:w="1536" w:type="dxa"/>
          </w:tcPr>
          <w:p w14:paraId="62726A90" w14:textId="035CAAA7" w:rsidR="00E751EB" w:rsidRDefault="00E751EB" w:rsidP="00E751EB">
            <w:pPr>
              <w:spacing w:line="240" w:lineRule="auto"/>
              <w:rPr>
                <w:rFonts w:eastAsia="Times New Roman" w:cs="Arial"/>
                <w:sz w:val="24"/>
                <w:szCs w:val="24"/>
              </w:rPr>
            </w:pPr>
            <w:r>
              <w:t>Нарушения на вкуса</w:t>
            </w:r>
          </w:p>
        </w:tc>
        <w:tc>
          <w:tcPr>
            <w:tcW w:w="1364" w:type="dxa"/>
          </w:tcPr>
          <w:p w14:paraId="5A6F05CE" w14:textId="77777777" w:rsidR="00E751EB" w:rsidRDefault="00E751EB" w:rsidP="00E751EB">
            <w:pPr>
              <w:spacing w:line="240" w:lineRule="auto"/>
              <w:rPr>
                <w:rFonts w:eastAsia="Times New Roman" w:cs="Arial"/>
                <w:sz w:val="24"/>
                <w:szCs w:val="24"/>
              </w:rPr>
            </w:pPr>
          </w:p>
        </w:tc>
        <w:tc>
          <w:tcPr>
            <w:tcW w:w="1387" w:type="dxa"/>
          </w:tcPr>
          <w:p w14:paraId="703E9476" w14:textId="77777777" w:rsidR="00E751EB" w:rsidRDefault="00E751EB" w:rsidP="00E751EB">
            <w:pPr>
              <w:spacing w:line="240" w:lineRule="auto"/>
              <w:rPr>
                <w:rFonts w:eastAsia="Times New Roman" w:cs="Arial"/>
                <w:sz w:val="24"/>
                <w:szCs w:val="24"/>
              </w:rPr>
            </w:pPr>
          </w:p>
        </w:tc>
      </w:tr>
      <w:tr w:rsidR="00E751EB" w14:paraId="441BF54B" w14:textId="77777777" w:rsidTr="00E751EB">
        <w:tc>
          <w:tcPr>
            <w:tcW w:w="1517" w:type="dxa"/>
            <w:vAlign w:val="bottom"/>
          </w:tcPr>
          <w:p w14:paraId="4341EF1D" w14:textId="346E84C7" w:rsidR="00E751EB" w:rsidRDefault="00E751EB" w:rsidP="00E751EB">
            <w:pPr>
              <w:spacing w:line="240" w:lineRule="auto"/>
              <w:rPr>
                <w:rFonts w:eastAsia="Times New Roman" w:cs="Arial"/>
                <w:sz w:val="24"/>
                <w:szCs w:val="24"/>
              </w:rPr>
            </w:pPr>
            <w:r>
              <w:rPr>
                <w:b/>
                <w:bCs/>
              </w:rPr>
              <w:t>Нарушения на очите</w:t>
            </w:r>
          </w:p>
        </w:tc>
        <w:tc>
          <w:tcPr>
            <w:tcW w:w="1259" w:type="dxa"/>
          </w:tcPr>
          <w:p w14:paraId="537EF0EB" w14:textId="77777777" w:rsidR="00E751EB" w:rsidRDefault="00E751EB" w:rsidP="00E751EB">
            <w:pPr>
              <w:spacing w:line="240" w:lineRule="auto"/>
              <w:rPr>
                <w:rFonts w:eastAsia="Times New Roman" w:cs="Arial"/>
                <w:sz w:val="24"/>
                <w:szCs w:val="24"/>
              </w:rPr>
            </w:pPr>
          </w:p>
        </w:tc>
        <w:tc>
          <w:tcPr>
            <w:tcW w:w="2513" w:type="dxa"/>
          </w:tcPr>
          <w:p w14:paraId="47ED48DA" w14:textId="77777777" w:rsidR="00E751EB" w:rsidRDefault="00E751EB" w:rsidP="00E751EB">
            <w:pPr>
              <w:spacing w:line="240" w:lineRule="auto"/>
              <w:rPr>
                <w:rFonts w:eastAsia="Times New Roman" w:cs="Arial"/>
                <w:sz w:val="24"/>
                <w:szCs w:val="24"/>
              </w:rPr>
            </w:pPr>
          </w:p>
        </w:tc>
        <w:tc>
          <w:tcPr>
            <w:tcW w:w="1536" w:type="dxa"/>
            <w:vAlign w:val="bottom"/>
          </w:tcPr>
          <w:p w14:paraId="7510B918" w14:textId="0EE89532" w:rsidR="00E751EB" w:rsidRDefault="00E751EB" w:rsidP="00E751EB">
            <w:pPr>
              <w:spacing w:line="240" w:lineRule="auto"/>
              <w:rPr>
                <w:rFonts w:eastAsia="Times New Roman" w:cs="Arial"/>
                <w:sz w:val="24"/>
                <w:szCs w:val="24"/>
              </w:rPr>
            </w:pPr>
            <w:r>
              <w:t>Замъглено виждане</w:t>
            </w:r>
          </w:p>
        </w:tc>
        <w:tc>
          <w:tcPr>
            <w:tcW w:w="1364" w:type="dxa"/>
          </w:tcPr>
          <w:p w14:paraId="1D99CF1F" w14:textId="77777777" w:rsidR="00E751EB" w:rsidRDefault="00E751EB" w:rsidP="00E751EB">
            <w:pPr>
              <w:spacing w:line="240" w:lineRule="auto"/>
              <w:rPr>
                <w:rFonts w:eastAsia="Times New Roman" w:cs="Arial"/>
                <w:sz w:val="24"/>
                <w:szCs w:val="24"/>
              </w:rPr>
            </w:pPr>
          </w:p>
        </w:tc>
        <w:tc>
          <w:tcPr>
            <w:tcW w:w="1387" w:type="dxa"/>
          </w:tcPr>
          <w:p w14:paraId="30ABA66A" w14:textId="77777777" w:rsidR="00E751EB" w:rsidRDefault="00E751EB" w:rsidP="00E751EB">
            <w:pPr>
              <w:spacing w:line="240" w:lineRule="auto"/>
              <w:rPr>
                <w:rFonts w:eastAsia="Times New Roman" w:cs="Arial"/>
                <w:sz w:val="24"/>
                <w:szCs w:val="24"/>
              </w:rPr>
            </w:pPr>
          </w:p>
        </w:tc>
      </w:tr>
      <w:tr w:rsidR="00E751EB" w14:paraId="2405FE85" w14:textId="77777777" w:rsidTr="00E751EB">
        <w:tc>
          <w:tcPr>
            <w:tcW w:w="1517" w:type="dxa"/>
            <w:vAlign w:val="bottom"/>
          </w:tcPr>
          <w:p w14:paraId="7F9E0E57" w14:textId="0BB05CE9" w:rsidR="00E751EB" w:rsidRDefault="00E751EB" w:rsidP="00E751EB">
            <w:pPr>
              <w:spacing w:line="240" w:lineRule="auto"/>
              <w:rPr>
                <w:rFonts w:eastAsia="Times New Roman" w:cs="Arial"/>
                <w:sz w:val="24"/>
                <w:szCs w:val="24"/>
              </w:rPr>
            </w:pPr>
            <w:r>
              <w:rPr>
                <w:b/>
                <w:bCs/>
              </w:rPr>
              <w:t>Нарушения на ухото и лабиринта</w:t>
            </w:r>
          </w:p>
        </w:tc>
        <w:tc>
          <w:tcPr>
            <w:tcW w:w="1259" w:type="dxa"/>
          </w:tcPr>
          <w:p w14:paraId="6D992679" w14:textId="77777777" w:rsidR="00E751EB" w:rsidRDefault="00E751EB" w:rsidP="00E751EB">
            <w:pPr>
              <w:spacing w:line="240" w:lineRule="auto"/>
              <w:rPr>
                <w:rFonts w:eastAsia="Times New Roman" w:cs="Arial"/>
                <w:sz w:val="24"/>
                <w:szCs w:val="24"/>
              </w:rPr>
            </w:pPr>
          </w:p>
        </w:tc>
        <w:tc>
          <w:tcPr>
            <w:tcW w:w="2513" w:type="dxa"/>
            <w:vAlign w:val="bottom"/>
          </w:tcPr>
          <w:p w14:paraId="2765EE5D" w14:textId="07E8FD89" w:rsidR="00E751EB" w:rsidRDefault="00E751EB" w:rsidP="00E751EB">
            <w:pPr>
              <w:spacing w:line="240" w:lineRule="auto"/>
              <w:rPr>
                <w:rFonts w:eastAsia="Times New Roman" w:cs="Arial"/>
                <w:sz w:val="24"/>
                <w:szCs w:val="24"/>
              </w:rPr>
            </w:pPr>
            <w:r>
              <w:t>Вертиго (световърте ж)</w:t>
            </w:r>
          </w:p>
        </w:tc>
        <w:tc>
          <w:tcPr>
            <w:tcW w:w="1536" w:type="dxa"/>
          </w:tcPr>
          <w:p w14:paraId="0C7629C0" w14:textId="77777777" w:rsidR="00E751EB" w:rsidRDefault="00E751EB" w:rsidP="00E751EB">
            <w:pPr>
              <w:spacing w:line="240" w:lineRule="auto"/>
              <w:rPr>
                <w:rFonts w:eastAsia="Times New Roman" w:cs="Arial"/>
                <w:sz w:val="24"/>
                <w:szCs w:val="24"/>
              </w:rPr>
            </w:pPr>
          </w:p>
        </w:tc>
        <w:tc>
          <w:tcPr>
            <w:tcW w:w="1364" w:type="dxa"/>
          </w:tcPr>
          <w:p w14:paraId="2C2C5490" w14:textId="77777777" w:rsidR="00E751EB" w:rsidRDefault="00E751EB" w:rsidP="00E751EB">
            <w:pPr>
              <w:spacing w:line="240" w:lineRule="auto"/>
              <w:rPr>
                <w:rFonts w:eastAsia="Times New Roman" w:cs="Arial"/>
                <w:sz w:val="24"/>
                <w:szCs w:val="24"/>
              </w:rPr>
            </w:pPr>
          </w:p>
        </w:tc>
        <w:tc>
          <w:tcPr>
            <w:tcW w:w="1387" w:type="dxa"/>
          </w:tcPr>
          <w:p w14:paraId="3BB4D96D" w14:textId="77777777" w:rsidR="00E751EB" w:rsidRDefault="00E751EB" w:rsidP="00E751EB">
            <w:pPr>
              <w:spacing w:line="240" w:lineRule="auto"/>
              <w:rPr>
                <w:rFonts w:eastAsia="Times New Roman" w:cs="Arial"/>
                <w:sz w:val="24"/>
                <w:szCs w:val="24"/>
              </w:rPr>
            </w:pPr>
          </w:p>
        </w:tc>
      </w:tr>
      <w:tr w:rsidR="00E751EB" w14:paraId="27F6BDAC" w14:textId="77777777" w:rsidTr="00E751EB">
        <w:tc>
          <w:tcPr>
            <w:tcW w:w="1517" w:type="dxa"/>
            <w:vAlign w:val="bottom"/>
          </w:tcPr>
          <w:p w14:paraId="1501F894" w14:textId="10532EAA" w:rsidR="00E751EB" w:rsidRDefault="00E751EB" w:rsidP="00E751EB">
            <w:pPr>
              <w:spacing w:line="240" w:lineRule="auto"/>
              <w:rPr>
                <w:rFonts w:eastAsia="Times New Roman" w:cs="Arial"/>
                <w:sz w:val="24"/>
                <w:szCs w:val="24"/>
              </w:rPr>
            </w:pPr>
            <w:r>
              <w:rPr>
                <w:b/>
                <w:bCs/>
              </w:rPr>
              <w:t>Респираторни ,гръдни и медиастиналн и нарушения</w:t>
            </w:r>
          </w:p>
        </w:tc>
        <w:tc>
          <w:tcPr>
            <w:tcW w:w="1259" w:type="dxa"/>
          </w:tcPr>
          <w:p w14:paraId="07AA0B74" w14:textId="77777777" w:rsidR="00E751EB" w:rsidRDefault="00E751EB" w:rsidP="00E751EB">
            <w:pPr>
              <w:spacing w:line="240" w:lineRule="auto"/>
              <w:rPr>
                <w:rFonts w:eastAsia="Times New Roman" w:cs="Arial"/>
                <w:sz w:val="24"/>
                <w:szCs w:val="24"/>
              </w:rPr>
            </w:pPr>
          </w:p>
        </w:tc>
        <w:tc>
          <w:tcPr>
            <w:tcW w:w="2513" w:type="dxa"/>
          </w:tcPr>
          <w:p w14:paraId="218611C5" w14:textId="77777777" w:rsidR="00E751EB" w:rsidRDefault="00E751EB" w:rsidP="00E751EB">
            <w:pPr>
              <w:spacing w:line="240" w:lineRule="auto"/>
              <w:rPr>
                <w:rFonts w:eastAsia="Times New Roman" w:cs="Arial"/>
                <w:sz w:val="24"/>
                <w:szCs w:val="24"/>
              </w:rPr>
            </w:pPr>
          </w:p>
        </w:tc>
        <w:tc>
          <w:tcPr>
            <w:tcW w:w="1536" w:type="dxa"/>
          </w:tcPr>
          <w:p w14:paraId="2F6487FC" w14:textId="6231E495" w:rsidR="00E751EB" w:rsidRDefault="00E751EB" w:rsidP="00E751EB">
            <w:pPr>
              <w:spacing w:line="240" w:lineRule="auto"/>
              <w:rPr>
                <w:rFonts w:eastAsia="Times New Roman" w:cs="Arial"/>
                <w:sz w:val="24"/>
                <w:szCs w:val="24"/>
              </w:rPr>
            </w:pPr>
            <w:r>
              <w:t>Бронхоспазъм</w:t>
            </w:r>
          </w:p>
        </w:tc>
        <w:tc>
          <w:tcPr>
            <w:tcW w:w="1364" w:type="dxa"/>
          </w:tcPr>
          <w:p w14:paraId="3EC1AB15" w14:textId="77777777" w:rsidR="00E751EB" w:rsidRDefault="00E751EB" w:rsidP="00E751EB">
            <w:pPr>
              <w:spacing w:line="240" w:lineRule="auto"/>
              <w:rPr>
                <w:rFonts w:eastAsia="Times New Roman" w:cs="Arial"/>
                <w:sz w:val="24"/>
                <w:szCs w:val="24"/>
              </w:rPr>
            </w:pPr>
          </w:p>
        </w:tc>
        <w:tc>
          <w:tcPr>
            <w:tcW w:w="1387" w:type="dxa"/>
          </w:tcPr>
          <w:p w14:paraId="26CD2AFC" w14:textId="77777777" w:rsidR="00E751EB" w:rsidRDefault="00E751EB" w:rsidP="00E751EB">
            <w:pPr>
              <w:spacing w:line="240" w:lineRule="auto"/>
              <w:rPr>
                <w:rFonts w:eastAsia="Times New Roman" w:cs="Arial"/>
                <w:sz w:val="24"/>
                <w:szCs w:val="24"/>
              </w:rPr>
            </w:pPr>
          </w:p>
        </w:tc>
      </w:tr>
      <w:tr w:rsidR="00E751EB" w14:paraId="59588005" w14:textId="77777777" w:rsidTr="00E751EB">
        <w:tc>
          <w:tcPr>
            <w:tcW w:w="1517" w:type="dxa"/>
          </w:tcPr>
          <w:p w14:paraId="3FD724D5" w14:textId="2F1B0424" w:rsidR="00E751EB" w:rsidRDefault="00E751EB" w:rsidP="00E751EB">
            <w:pPr>
              <w:spacing w:line="240" w:lineRule="auto"/>
              <w:rPr>
                <w:rFonts w:eastAsia="Times New Roman" w:cs="Arial"/>
                <w:sz w:val="24"/>
                <w:szCs w:val="24"/>
              </w:rPr>
            </w:pPr>
            <w:r>
              <w:rPr>
                <w:b/>
                <w:bCs/>
              </w:rPr>
              <w:t>Стомашно-чр евни нарушения</w:t>
            </w:r>
          </w:p>
        </w:tc>
        <w:tc>
          <w:tcPr>
            <w:tcW w:w="1259" w:type="dxa"/>
            <w:vAlign w:val="bottom"/>
          </w:tcPr>
          <w:p w14:paraId="3BACE5CE" w14:textId="3A7AB504" w:rsidR="00E751EB" w:rsidRDefault="00E751EB" w:rsidP="00E751EB">
            <w:pPr>
              <w:spacing w:line="240" w:lineRule="auto"/>
              <w:rPr>
                <w:rFonts w:eastAsia="Times New Roman" w:cs="Arial"/>
                <w:sz w:val="24"/>
                <w:szCs w:val="24"/>
              </w:rPr>
            </w:pPr>
            <w:r>
              <w:t>Болки в корема, диария, флатуленци я, гадене/повр ъщане, констипаци я, полипи на дъното (фундуса) на стомаха (доброкачес твени)</w:t>
            </w:r>
            <w:r>
              <w:tab/>
            </w:r>
          </w:p>
        </w:tc>
        <w:tc>
          <w:tcPr>
            <w:tcW w:w="2513" w:type="dxa"/>
          </w:tcPr>
          <w:p w14:paraId="72F8F549" w14:textId="107F2F6D" w:rsidR="00E751EB" w:rsidRDefault="00E751EB" w:rsidP="00E751EB">
            <w:pPr>
              <w:spacing w:line="240" w:lineRule="auto"/>
              <w:rPr>
                <w:rFonts w:eastAsia="Times New Roman" w:cs="Arial"/>
                <w:sz w:val="24"/>
                <w:szCs w:val="24"/>
              </w:rPr>
            </w:pPr>
            <w:r>
              <w:t>Ксеростоми я</w:t>
            </w:r>
          </w:p>
        </w:tc>
        <w:tc>
          <w:tcPr>
            <w:tcW w:w="1536" w:type="dxa"/>
          </w:tcPr>
          <w:p w14:paraId="53E6EF79" w14:textId="7A4B1B52" w:rsidR="00E751EB" w:rsidRDefault="00E751EB" w:rsidP="00E751EB">
            <w:pPr>
              <w:spacing w:line="240" w:lineRule="auto"/>
              <w:rPr>
                <w:rFonts w:eastAsia="Times New Roman" w:cs="Arial"/>
                <w:sz w:val="24"/>
                <w:szCs w:val="24"/>
              </w:rPr>
            </w:pPr>
            <w:r>
              <w:t>Стоматит, стомашно-чрев на кандидоза</w:t>
            </w:r>
          </w:p>
        </w:tc>
        <w:tc>
          <w:tcPr>
            <w:tcW w:w="1364" w:type="dxa"/>
          </w:tcPr>
          <w:p w14:paraId="5D7DDBD5" w14:textId="2E6417DE" w:rsidR="00E751EB" w:rsidRDefault="00E751EB" w:rsidP="00E751EB">
            <w:pPr>
              <w:spacing w:line="240" w:lineRule="auto"/>
              <w:rPr>
                <w:rFonts w:eastAsia="Times New Roman" w:cs="Arial"/>
                <w:sz w:val="24"/>
                <w:szCs w:val="24"/>
              </w:rPr>
            </w:pPr>
            <w:r>
              <w:t>Микроскопич ен колит</w:t>
            </w:r>
          </w:p>
        </w:tc>
        <w:tc>
          <w:tcPr>
            <w:tcW w:w="1387" w:type="dxa"/>
          </w:tcPr>
          <w:p w14:paraId="40676347" w14:textId="77777777" w:rsidR="00E751EB" w:rsidRDefault="00E751EB" w:rsidP="00E751EB">
            <w:pPr>
              <w:spacing w:line="240" w:lineRule="auto"/>
              <w:rPr>
                <w:rFonts w:eastAsia="Times New Roman" w:cs="Arial"/>
                <w:sz w:val="24"/>
                <w:szCs w:val="24"/>
              </w:rPr>
            </w:pPr>
          </w:p>
        </w:tc>
      </w:tr>
      <w:tr w:rsidR="00E751EB" w14:paraId="4E7E6915" w14:textId="77777777" w:rsidTr="00E751EB">
        <w:tc>
          <w:tcPr>
            <w:tcW w:w="1517" w:type="dxa"/>
          </w:tcPr>
          <w:p w14:paraId="333428DE" w14:textId="7EA7CC64" w:rsidR="00E751EB" w:rsidRDefault="00E751EB" w:rsidP="00E751EB">
            <w:pPr>
              <w:spacing w:line="240" w:lineRule="auto"/>
              <w:rPr>
                <w:rFonts w:eastAsia="Times New Roman" w:cs="Arial"/>
                <w:sz w:val="24"/>
                <w:szCs w:val="24"/>
              </w:rPr>
            </w:pPr>
            <w:r>
              <w:rPr>
                <w:b/>
                <w:bCs/>
              </w:rPr>
              <w:t>Хепатобилиар ни нарушения</w:t>
            </w:r>
          </w:p>
        </w:tc>
        <w:tc>
          <w:tcPr>
            <w:tcW w:w="1259" w:type="dxa"/>
          </w:tcPr>
          <w:p w14:paraId="73109972" w14:textId="77777777" w:rsidR="00E751EB" w:rsidRDefault="00E751EB" w:rsidP="00E751EB">
            <w:pPr>
              <w:spacing w:line="240" w:lineRule="auto"/>
              <w:rPr>
                <w:rFonts w:eastAsia="Times New Roman" w:cs="Arial"/>
                <w:sz w:val="24"/>
                <w:szCs w:val="24"/>
              </w:rPr>
            </w:pPr>
          </w:p>
        </w:tc>
        <w:tc>
          <w:tcPr>
            <w:tcW w:w="2513" w:type="dxa"/>
          </w:tcPr>
          <w:p w14:paraId="5EDBB195" w14:textId="0659177C" w:rsidR="00E751EB" w:rsidRDefault="00E751EB" w:rsidP="00E751EB">
            <w:pPr>
              <w:spacing w:line="240" w:lineRule="auto"/>
              <w:rPr>
                <w:rFonts w:eastAsia="Times New Roman" w:cs="Arial"/>
                <w:sz w:val="24"/>
                <w:szCs w:val="24"/>
              </w:rPr>
            </w:pPr>
            <w:r>
              <w:t>Повишаван е на чернодробн ите ензими</w:t>
            </w:r>
          </w:p>
        </w:tc>
        <w:tc>
          <w:tcPr>
            <w:tcW w:w="1536" w:type="dxa"/>
          </w:tcPr>
          <w:p w14:paraId="2D38950B" w14:textId="22E6ACF7" w:rsidR="00E751EB" w:rsidRDefault="00E751EB" w:rsidP="00E751EB">
            <w:pPr>
              <w:spacing w:line="240" w:lineRule="auto"/>
              <w:rPr>
                <w:rFonts w:eastAsia="Times New Roman" w:cs="Arial"/>
                <w:sz w:val="24"/>
                <w:szCs w:val="24"/>
              </w:rPr>
            </w:pPr>
            <w:r>
              <w:t>Хепатит със или без иктер</w:t>
            </w:r>
          </w:p>
        </w:tc>
        <w:tc>
          <w:tcPr>
            <w:tcW w:w="1364" w:type="dxa"/>
            <w:vAlign w:val="bottom"/>
          </w:tcPr>
          <w:p w14:paraId="6EBAA0C2" w14:textId="06864D0F" w:rsidR="00E751EB" w:rsidRDefault="00E751EB" w:rsidP="00E751EB">
            <w:pPr>
              <w:spacing w:line="240" w:lineRule="auto"/>
              <w:rPr>
                <w:rFonts w:eastAsia="Times New Roman" w:cs="Arial"/>
                <w:sz w:val="24"/>
                <w:szCs w:val="24"/>
              </w:rPr>
            </w:pPr>
            <w:r>
              <w:t xml:space="preserve">Чернодробна недостатъчно ст, чернодробна енцефалопат ия при пациенти с предшестващ о </w:t>
            </w:r>
            <w:r>
              <w:lastRenderedPageBreak/>
              <w:t>чернодробно заболяване</w:t>
            </w:r>
          </w:p>
        </w:tc>
        <w:tc>
          <w:tcPr>
            <w:tcW w:w="1387" w:type="dxa"/>
          </w:tcPr>
          <w:p w14:paraId="08B6238C" w14:textId="77777777" w:rsidR="00E751EB" w:rsidRDefault="00E751EB" w:rsidP="00E751EB">
            <w:pPr>
              <w:spacing w:line="240" w:lineRule="auto"/>
              <w:rPr>
                <w:rFonts w:eastAsia="Times New Roman" w:cs="Arial"/>
                <w:sz w:val="24"/>
                <w:szCs w:val="24"/>
              </w:rPr>
            </w:pPr>
          </w:p>
        </w:tc>
      </w:tr>
      <w:tr w:rsidR="00E751EB" w14:paraId="65A3CD9D" w14:textId="77777777" w:rsidTr="00E751EB">
        <w:tc>
          <w:tcPr>
            <w:tcW w:w="1517" w:type="dxa"/>
          </w:tcPr>
          <w:p w14:paraId="62921F72" w14:textId="6946FD4E" w:rsidR="00E751EB" w:rsidRDefault="00E751EB" w:rsidP="00E751EB">
            <w:pPr>
              <w:spacing w:line="240" w:lineRule="auto"/>
              <w:rPr>
                <w:rFonts w:eastAsia="Times New Roman" w:cs="Arial"/>
                <w:sz w:val="24"/>
                <w:szCs w:val="24"/>
              </w:rPr>
            </w:pPr>
            <w:r>
              <w:rPr>
                <w:b/>
                <w:bCs/>
              </w:rPr>
              <w:t>Нарушения на кожата и подкожната тъкан</w:t>
            </w:r>
          </w:p>
        </w:tc>
        <w:tc>
          <w:tcPr>
            <w:tcW w:w="1259" w:type="dxa"/>
          </w:tcPr>
          <w:p w14:paraId="1ACD49EF" w14:textId="77777777" w:rsidR="00E751EB" w:rsidRDefault="00E751EB" w:rsidP="00E751EB">
            <w:pPr>
              <w:spacing w:line="240" w:lineRule="auto"/>
              <w:rPr>
                <w:rFonts w:eastAsia="Times New Roman" w:cs="Arial"/>
                <w:sz w:val="24"/>
                <w:szCs w:val="24"/>
              </w:rPr>
            </w:pPr>
          </w:p>
        </w:tc>
        <w:tc>
          <w:tcPr>
            <w:tcW w:w="2513" w:type="dxa"/>
          </w:tcPr>
          <w:p w14:paraId="509A106B" w14:textId="637096C4" w:rsidR="00E751EB" w:rsidRDefault="00E751EB" w:rsidP="00E751EB">
            <w:pPr>
              <w:spacing w:line="240" w:lineRule="auto"/>
              <w:rPr>
                <w:rFonts w:eastAsia="Times New Roman" w:cs="Arial"/>
                <w:sz w:val="24"/>
                <w:szCs w:val="24"/>
              </w:rPr>
            </w:pPr>
            <w:r>
              <w:t>Дерматит, пруритус, уртикария, обриви</w:t>
            </w:r>
          </w:p>
        </w:tc>
        <w:tc>
          <w:tcPr>
            <w:tcW w:w="1536" w:type="dxa"/>
          </w:tcPr>
          <w:p w14:paraId="4174B45C" w14:textId="7154B996" w:rsidR="00E751EB" w:rsidRDefault="00E751EB" w:rsidP="00E751EB">
            <w:pPr>
              <w:spacing w:line="240" w:lineRule="auto"/>
              <w:rPr>
                <w:rFonts w:eastAsia="Times New Roman" w:cs="Arial"/>
                <w:sz w:val="24"/>
                <w:szCs w:val="24"/>
              </w:rPr>
            </w:pPr>
            <w:r>
              <w:t>Алопеция, фотосенсибили зация</w:t>
            </w:r>
          </w:p>
        </w:tc>
        <w:tc>
          <w:tcPr>
            <w:tcW w:w="1364" w:type="dxa"/>
            <w:vAlign w:val="bottom"/>
          </w:tcPr>
          <w:p w14:paraId="5A60AE45" w14:textId="77777777" w:rsidR="00E751EB" w:rsidRDefault="00E751EB" w:rsidP="00E751EB">
            <w:r>
              <w:t xml:space="preserve">Еритема мултиформе, синдром на </w:t>
            </w:r>
            <w:r>
              <w:rPr>
                <w:lang w:val="en-US"/>
              </w:rPr>
              <w:t>Stevens</w:t>
            </w:r>
            <w:r w:rsidRPr="00E751EB">
              <w:rPr>
                <w:lang w:val="ru-RU"/>
              </w:rPr>
              <w:t>-</w:t>
            </w:r>
            <w:r>
              <w:rPr>
                <w:lang w:val="en-US"/>
              </w:rPr>
              <w:t>Johns</w:t>
            </w:r>
          </w:p>
          <w:p w14:paraId="3537FEF2" w14:textId="4A0A73CB" w:rsidR="00E751EB" w:rsidRDefault="00E751EB" w:rsidP="00E751EB">
            <w:pPr>
              <w:spacing w:line="240" w:lineRule="auto"/>
              <w:rPr>
                <w:rFonts w:eastAsia="Times New Roman" w:cs="Arial"/>
                <w:sz w:val="24"/>
                <w:szCs w:val="24"/>
              </w:rPr>
            </w:pPr>
            <w:r>
              <w:t xml:space="preserve">ОП, токсична епидермална некролиза (ТЕН), остра генерализира на екзантематоз на пустулоза </w:t>
            </w:r>
            <w:r w:rsidRPr="00E751EB">
              <w:rPr>
                <w:lang w:val="ru-RU"/>
              </w:rPr>
              <w:t>(</w:t>
            </w:r>
            <w:r>
              <w:rPr>
                <w:lang w:val="en-US"/>
              </w:rPr>
              <w:t>AGEP</w:t>
            </w:r>
            <w:r w:rsidRPr="00E751EB">
              <w:rPr>
                <w:lang w:val="ru-RU"/>
              </w:rPr>
              <w:t xml:space="preserve">), </w:t>
            </w:r>
            <w:r>
              <w:t xml:space="preserve">лекарствен обрив с еозинофилия и системни симптоми </w:t>
            </w:r>
            <w:r w:rsidRPr="00E751EB">
              <w:rPr>
                <w:lang w:val="ru-RU"/>
              </w:rPr>
              <w:t>(</w:t>
            </w:r>
            <w:r>
              <w:rPr>
                <w:lang w:val="en-US"/>
              </w:rPr>
              <w:t>DRESS</w:t>
            </w:r>
            <w:r w:rsidRPr="00E751EB">
              <w:rPr>
                <w:lang w:val="ru-RU"/>
              </w:rPr>
              <w:t>)</w:t>
            </w:r>
          </w:p>
        </w:tc>
        <w:tc>
          <w:tcPr>
            <w:tcW w:w="1387" w:type="dxa"/>
          </w:tcPr>
          <w:p w14:paraId="0E090DB6" w14:textId="77777777" w:rsidR="00E751EB" w:rsidRDefault="00E751EB" w:rsidP="00E751EB">
            <w:r>
              <w:t>Субакутен кожен лупус еритематодес (вж.</w:t>
            </w:r>
          </w:p>
          <w:p w14:paraId="403C555E" w14:textId="0C5FC63A" w:rsidR="00E751EB" w:rsidRDefault="00E751EB" w:rsidP="00E751EB">
            <w:pPr>
              <w:spacing w:line="240" w:lineRule="auto"/>
              <w:rPr>
                <w:rFonts w:eastAsia="Times New Roman" w:cs="Arial"/>
                <w:sz w:val="24"/>
                <w:szCs w:val="24"/>
              </w:rPr>
            </w:pPr>
            <w:r>
              <w:t>точка 4.4)</w:t>
            </w:r>
          </w:p>
        </w:tc>
      </w:tr>
      <w:tr w:rsidR="00E751EB" w14:paraId="0F9CFFA0" w14:textId="77777777" w:rsidTr="00E751EB">
        <w:tc>
          <w:tcPr>
            <w:tcW w:w="1517" w:type="dxa"/>
            <w:vAlign w:val="bottom"/>
          </w:tcPr>
          <w:p w14:paraId="5813F167" w14:textId="51446102" w:rsidR="00E751EB" w:rsidRDefault="00E751EB" w:rsidP="00E751EB">
            <w:pPr>
              <w:spacing w:line="240" w:lineRule="auto"/>
              <w:rPr>
                <w:rFonts w:eastAsia="Times New Roman" w:cs="Arial"/>
                <w:sz w:val="24"/>
                <w:szCs w:val="24"/>
              </w:rPr>
            </w:pPr>
            <w:r>
              <w:rPr>
                <w:b/>
                <w:bCs/>
              </w:rPr>
              <w:t>Нарушения на мускулно-ске летвата система и съединителна та тъкан</w:t>
            </w:r>
          </w:p>
        </w:tc>
        <w:tc>
          <w:tcPr>
            <w:tcW w:w="1259" w:type="dxa"/>
          </w:tcPr>
          <w:p w14:paraId="1020CF71" w14:textId="77777777" w:rsidR="00E751EB" w:rsidRDefault="00E751EB" w:rsidP="00E751EB">
            <w:pPr>
              <w:spacing w:line="240" w:lineRule="auto"/>
              <w:rPr>
                <w:rFonts w:eastAsia="Times New Roman" w:cs="Arial"/>
                <w:sz w:val="24"/>
                <w:szCs w:val="24"/>
              </w:rPr>
            </w:pPr>
          </w:p>
        </w:tc>
        <w:tc>
          <w:tcPr>
            <w:tcW w:w="2513" w:type="dxa"/>
          </w:tcPr>
          <w:p w14:paraId="55C2DF6B" w14:textId="474A5D92" w:rsidR="00E751EB" w:rsidRDefault="00E751EB" w:rsidP="00E751EB">
            <w:pPr>
              <w:spacing w:line="240" w:lineRule="auto"/>
              <w:rPr>
                <w:rFonts w:eastAsia="Times New Roman" w:cs="Arial"/>
                <w:sz w:val="24"/>
                <w:szCs w:val="24"/>
              </w:rPr>
            </w:pPr>
            <w:r>
              <w:t>Фрактури на бедрото, китката или гръбначния стълб (вж. точка 4.4)</w:t>
            </w:r>
          </w:p>
        </w:tc>
        <w:tc>
          <w:tcPr>
            <w:tcW w:w="1536" w:type="dxa"/>
          </w:tcPr>
          <w:p w14:paraId="3001DCA5" w14:textId="0AF48DB2" w:rsidR="00E751EB" w:rsidRDefault="00E751EB" w:rsidP="00E751EB">
            <w:pPr>
              <w:spacing w:line="240" w:lineRule="auto"/>
              <w:rPr>
                <w:rFonts w:eastAsia="Times New Roman" w:cs="Arial"/>
                <w:sz w:val="24"/>
                <w:szCs w:val="24"/>
              </w:rPr>
            </w:pPr>
            <w:r>
              <w:t>Артралгии, миалгии</w:t>
            </w:r>
          </w:p>
        </w:tc>
        <w:tc>
          <w:tcPr>
            <w:tcW w:w="1364" w:type="dxa"/>
          </w:tcPr>
          <w:p w14:paraId="527A7870" w14:textId="62ECAF77" w:rsidR="00E751EB" w:rsidRDefault="00E751EB" w:rsidP="00E751EB">
            <w:pPr>
              <w:spacing w:line="240" w:lineRule="auto"/>
              <w:rPr>
                <w:rFonts w:eastAsia="Times New Roman" w:cs="Arial"/>
                <w:sz w:val="24"/>
                <w:szCs w:val="24"/>
              </w:rPr>
            </w:pPr>
            <w:r>
              <w:t>Мускулна слабост</w:t>
            </w:r>
          </w:p>
        </w:tc>
        <w:tc>
          <w:tcPr>
            <w:tcW w:w="1387" w:type="dxa"/>
          </w:tcPr>
          <w:p w14:paraId="3F6B3A01" w14:textId="77777777" w:rsidR="00E751EB" w:rsidRDefault="00E751EB" w:rsidP="00E751EB">
            <w:pPr>
              <w:spacing w:line="240" w:lineRule="auto"/>
              <w:rPr>
                <w:rFonts w:eastAsia="Times New Roman" w:cs="Arial"/>
                <w:sz w:val="24"/>
                <w:szCs w:val="24"/>
              </w:rPr>
            </w:pPr>
          </w:p>
        </w:tc>
      </w:tr>
      <w:tr w:rsidR="00E751EB" w14:paraId="514132BE" w14:textId="77777777" w:rsidTr="00E751EB">
        <w:tc>
          <w:tcPr>
            <w:tcW w:w="1517" w:type="dxa"/>
            <w:vAlign w:val="bottom"/>
          </w:tcPr>
          <w:p w14:paraId="150746A3" w14:textId="2D146536" w:rsidR="00E751EB" w:rsidRDefault="00E751EB" w:rsidP="00E751EB">
            <w:pPr>
              <w:spacing w:line="240" w:lineRule="auto"/>
              <w:rPr>
                <w:rFonts w:eastAsia="Times New Roman" w:cs="Arial"/>
                <w:sz w:val="24"/>
                <w:szCs w:val="24"/>
              </w:rPr>
            </w:pPr>
            <w:r>
              <w:rPr>
                <w:b/>
                <w:bCs/>
              </w:rPr>
              <w:t>Нарушения на бъбреците и пикочните пътища</w:t>
            </w:r>
          </w:p>
        </w:tc>
        <w:tc>
          <w:tcPr>
            <w:tcW w:w="1259" w:type="dxa"/>
          </w:tcPr>
          <w:p w14:paraId="532DA6D1" w14:textId="77777777" w:rsidR="00E751EB" w:rsidRDefault="00E751EB" w:rsidP="00E751EB">
            <w:pPr>
              <w:spacing w:line="240" w:lineRule="auto"/>
              <w:rPr>
                <w:rFonts w:eastAsia="Times New Roman" w:cs="Arial"/>
                <w:sz w:val="24"/>
                <w:szCs w:val="24"/>
              </w:rPr>
            </w:pPr>
          </w:p>
        </w:tc>
        <w:tc>
          <w:tcPr>
            <w:tcW w:w="2513" w:type="dxa"/>
          </w:tcPr>
          <w:p w14:paraId="19658455" w14:textId="77777777" w:rsidR="00E751EB" w:rsidRDefault="00E751EB" w:rsidP="00E751EB">
            <w:pPr>
              <w:spacing w:line="240" w:lineRule="auto"/>
              <w:rPr>
                <w:rFonts w:eastAsia="Times New Roman" w:cs="Arial"/>
                <w:sz w:val="24"/>
                <w:szCs w:val="24"/>
              </w:rPr>
            </w:pPr>
          </w:p>
        </w:tc>
        <w:tc>
          <w:tcPr>
            <w:tcW w:w="1536" w:type="dxa"/>
          </w:tcPr>
          <w:p w14:paraId="669273A3" w14:textId="77777777" w:rsidR="00E751EB" w:rsidRDefault="00E751EB" w:rsidP="00E751EB">
            <w:pPr>
              <w:spacing w:line="240" w:lineRule="auto"/>
              <w:rPr>
                <w:rFonts w:eastAsia="Times New Roman" w:cs="Arial"/>
                <w:sz w:val="24"/>
                <w:szCs w:val="24"/>
              </w:rPr>
            </w:pPr>
          </w:p>
        </w:tc>
        <w:tc>
          <w:tcPr>
            <w:tcW w:w="1364" w:type="dxa"/>
          </w:tcPr>
          <w:p w14:paraId="1B6B2E5A" w14:textId="027BA190" w:rsidR="00E751EB" w:rsidRDefault="00E751EB" w:rsidP="00E751EB">
            <w:pPr>
              <w:spacing w:line="240" w:lineRule="auto"/>
              <w:rPr>
                <w:rFonts w:eastAsia="Times New Roman" w:cs="Arial"/>
                <w:sz w:val="24"/>
                <w:szCs w:val="24"/>
              </w:rPr>
            </w:pPr>
            <w:r>
              <w:t>Интерстициа лен нефрит</w:t>
            </w:r>
          </w:p>
        </w:tc>
        <w:tc>
          <w:tcPr>
            <w:tcW w:w="1387" w:type="dxa"/>
          </w:tcPr>
          <w:p w14:paraId="79DDE904" w14:textId="77777777" w:rsidR="00E751EB" w:rsidRDefault="00E751EB" w:rsidP="00E751EB">
            <w:pPr>
              <w:spacing w:line="240" w:lineRule="auto"/>
              <w:rPr>
                <w:rFonts w:eastAsia="Times New Roman" w:cs="Arial"/>
                <w:sz w:val="24"/>
                <w:szCs w:val="24"/>
              </w:rPr>
            </w:pPr>
          </w:p>
        </w:tc>
      </w:tr>
      <w:tr w:rsidR="00E751EB" w14:paraId="43E3D96B" w14:textId="77777777" w:rsidTr="00E751EB">
        <w:tc>
          <w:tcPr>
            <w:tcW w:w="1517" w:type="dxa"/>
            <w:vAlign w:val="bottom"/>
          </w:tcPr>
          <w:p w14:paraId="4D447944" w14:textId="5BF1B5BA" w:rsidR="00E751EB" w:rsidRDefault="00E751EB" w:rsidP="00E751EB">
            <w:pPr>
              <w:spacing w:line="240" w:lineRule="auto"/>
              <w:rPr>
                <w:rFonts w:eastAsia="Times New Roman" w:cs="Arial"/>
                <w:sz w:val="24"/>
                <w:szCs w:val="24"/>
              </w:rPr>
            </w:pPr>
            <w:r>
              <w:rPr>
                <w:b/>
                <w:bCs/>
              </w:rPr>
              <w:t xml:space="preserve">Нарушения на възпроизводи </w:t>
            </w:r>
            <w:r>
              <w:rPr>
                <w:b/>
                <w:bCs/>
              </w:rPr>
              <w:lastRenderedPageBreak/>
              <w:t>телната система и гърдата</w:t>
            </w:r>
          </w:p>
        </w:tc>
        <w:tc>
          <w:tcPr>
            <w:tcW w:w="1259" w:type="dxa"/>
          </w:tcPr>
          <w:p w14:paraId="56ED022A" w14:textId="77777777" w:rsidR="00E751EB" w:rsidRDefault="00E751EB" w:rsidP="00E751EB">
            <w:pPr>
              <w:spacing w:line="240" w:lineRule="auto"/>
              <w:rPr>
                <w:rFonts w:eastAsia="Times New Roman" w:cs="Arial"/>
                <w:sz w:val="24"/>
                <w:szCs w:val="24"/>
              </w:rPr>
            </w:pPr>
          </w:p>
        </w:tc>
        <w:tc>
          <w:tcPr>
            <w:tcW w:w="2513" w:type="dxa"/>
          </w:tcPr>
          <w:p w14:paraId="5D78E4A4" w14:textId="77777777" w:rsidR="00E751EB" w:rsidRDefault="00E751EB" w:rsidP="00E751EB">
            <w:pPr>
              <w:spacing w:line="240" w:lineRule="auto"/>
              <w:rPr>
                <w:rFonts w:eastAsia="Times New Roman" w:cs="Arial"/>
                <w:sz w:val="24"/>
                <w:szCs w:val="24"/>
              </w:rPr>
            </w:pPr>
          </w:p>
        </w:tc>
        <w:tc>
          <w:tcPr>
            <w:tcW w:w="1536" w:type="dxa"/>
          </w:tcPr>
          <w:p w14:paraId="01E84A30" w14:textId="77777777" w:rsidR="00E751EB" w:rsidRDefault="00E751EB" w:rsidP="00E751EB">
            <w:pPr>
              <w:spacing w:line="240" w:lineRule="auto"/>
              <w:rPr>
                <w:rFonts w:eastAsia="Times New Roman" w:cs="Arial"/>
                <w:sz w:val="24"/>
                <w:szCs w:val="24"/>
              </w:rPr>
            </w:pPr>
          </w:p>
        </w:tc>
        <w:tc>
          <w:tcPr>
            <w:tcW w:w="1364" w:type="dxa"/>
          </w:tcPr>
          <w:p w14:paraId="4772C869" w14:textId="62D5850D" w:rsidR="00E751EB" w:rsidRDefault="00E751EB" w:rsidP="00E751EB">
            <w:pPr>
              <w:spacing w:line="240" w:lineRule="auto"/>
              <w:rPr>
                <w:rFonts w:eastAsia="Times New Roman" w:cs="Arial"/>
                <w:sz w:val="24"/>
                <w:szCs w:val="24"/>
              </w:rPr>
            </w:pPr>
            <w:r>
              <w:t>Гинекомасти я</w:t>
            </w:r>
          </w:p>
        </w:tc>
        <w:tc>
          <w:tcPr>
            <w:tcW w:w="1387" w:type="dxa"/>
          </w:tcPr>
          <w:p w14:paraId="197F4E19" w14:textId="77777777" w:rsidR="00E751EB" w:rsidRDefault="00E751EB" w:rsidP="00E751EB">
            <w:pPr>
              <w:spacing w:line="240" w:lineRule="auto"/>
              <w:rPr>
                <w:rFonts w:eastAsia="Times New Roman" w:cs="Arial"/>
                <w:sz w:val="24"/>
                <w:szCs w:val="24"/>
              </w:rPr>
            </w:pPr>
          </w:p>
        </w:tc>
      </w:tr>
      <w:tr w:rsidR="00E751EB" w14:paraId="5DCABDD5" w14:textId="77777777" w:rsidTr="00E751EB">
        <w:tc>
          <w:tcPr>
            <w:tcW w:w="1517" w:type="dxa"/>
            <w:vAlign w:val="bottom"/>
          </w:tcPr>
          <w:p w14:paraId="1718AA87" w14:textId="345E2475" w:rsidR="00E751EB" w:rsidRDefault="00E751EB" w:rsidP="00E751EB">
            <w:pPr>
              <w:spacing w:line="240" w:lineRule="auto"/>
              <w:rPr>
                <w:rFonts w:eastAsia="Times New Roman" w:cs="Arial"/>
                <w:sz w:val="24"/>
                <w:szCs w:val="24"/>
              </w:rPr>
            </w:pPr>
            <w:r>
              <w:rPr>
                <w:b/>
                <w:bCs/>
              </w:rPr>
              <w:t>Обши нарушения и ефекти на мястото на приложение</w:t>
            </w:r>
          </w:p>
        </w:tc>
        <w:tc>
          <w:tcPr>
            <w:tcW w:w="1259" w:type="dxa"/>
          </w:tcPr>
          <w:p w14:paraId="2852A98D" w14:textId="77777777" w:rsidR="00E751EB" w:rsidRDefault="00E751EB" w:rsidP="00E751EB">
            <w:pPr>
              <w:spacing w:line="240" w:lineRule="auto"/>
              <w:rPr>
                <w:rFonts w:eastAsia="Times New Roman" w:cs="Arial"/>
                <w:sz w:val="24"/>
                <w:szCs w:val="24"/>
              </w:rPr>
            </w:pPr>
          </w:p>
        </w:tc>
        <w:tc>
          <w:tcPr>
            <w:tcW w:w="2513" w:type="dxa"/>
          </w:tcPr>
          <w:p w14:paraId="063F5C05" w14:textId="77777777" w:rsidR="00E751EB" w:rsidRDefault="00E751EB" w:rsidP="00E751EB">
            <w:pPr>
              <w:spacing w:line="240" w:lineRule="auto"/>
              <w:rPr>
                <w:rFonts w:eastAsia="Times New Roman" w:cs="Arial"/>
                <w:sz w:val="24"/>
                <w:szCs w:val="24"/>
              </w:rPr>
            </w:pPr>
          </w:p>
        </w:tc>
        <w:tc>
          <w:tcPr>
            <w:tcW w:w="1536" w:type="dxa"/>
          </w:tcPr>
          <w:p w14:paraId="47B9DE78" w14:textId="1AA96317" w:rsidR="00E751EB" w:rsidRDefault="00E751EB" w:rsidP="00E751EB">
            <w:pPr>
              <w:spacing w:line="240" w:lineRule="auto"/>
              <w:rPr>
                <w:rFonts w:eastAsia="Times New Roman" w:cs="Arial"/>
                <w:sz w:val="24"/>
                <w:szCs w:val="24"/>
              </w:rPr>
            </w:pPr>
            <w:r>
              <w:t>Неразположен ие, повишено потене</w:t>
            </w:r>
          </w:p>
        </w:tc>
        <w:tc>
          <w:tcPr>
            <w:tcW w:w="1364" w:type="dxa"/>
            <w:vAlign w:val="bottom"/>
          </w:tcPr>
          <w:p w14:paraId="40987357" w14:textId="77777777" w:rsidR="00E751EB" w:rsidRDefault="00E751EB" w:rsidP="00E751EB">
            <w:pPr>
              <w:spacing w:line="240" w:lineRule="auto"/>
              <w:rPr>
                <w:rFonts w:eastAsia="Times New Roman" w:cs="Arial"/>
                <w:sz w:val="24"/>
                <w:szCs w:val="24"/>
              </w:rPr>
            </w:pPr>
          </w:p>
        </w:tc>
        <w:tc>
          <w:tcPr>
            <w:tcW w:w="1387" w:type="dxa"/>
            <w:vAlign w:val="bottom"/>
          </w:tcPr>
          <w:p w14:paraId="338DB0F7" w14:textId="77777777" w:rsidR="00E751EB" w:rsidRDefault="00E751EB" w:rsidP="00E751EB">
            <w:pPr>
              <w:spacing w:line="240" w:lineRule="auto"/>
              <w:rPr>
                <w:rFonts w:eastAsia="Times New Roman" w:cs="Arial"/>
                <w:sz w:val="24"/>
                <w:szCs w:val="24"/>
              </w:rPr>
            </w:pPr>
          </w:p>
        </w:tc>
      </w:tr>
    </w:tbl>
    <w:p w14:paraId="453E3100" w14:textId="77777777" w:rsidR="00E751EB" w:rsidRPr="00E751EB" w:rsidRDefault="00E751EB" w:rsidP="00E751EB">
      <w:pPr>
        <w:spacing w:line="240" w:lineRule="auto"/>
        <w:rPr>
          <w:rFonts w:eastAsia="Times New Roman" w:cs="Arial"/>
          <w:sz w:val="24"/>
          <w:szCs w:val="24"/>
        </w:rPr>
      </w:pPr>
    </w:p>
    <w:p w14:paraId="5F29353F" w14:textId="77777777" w:rsidR="00E751EB" w:rsidRPr="00E751EB" w:rsidRDefault="00E751EB" w:rsidP="00E751EB">
      <w:pPr>
        <w:spacing w:line="240" w:lineRule="auto"/>
        <w:rPr>
          <w:rFonts w:eastAsia="Times New Roman" w:cs="Arial"/>
        </w:rPr>
      </w:pPr>
      <w:r w:rsidRPr="00E751EB">
        <w:rPr>
          <w:rFonts w:eastAsia="Times New Roman" w:cs="Arial"/>
          <w:color w:val="000000"/>
          <w:u w:val="single"/>
          <w:lang w:eastAsia="bg-BG"/>
        </w:rPr>
        <w:t>Описание на избрани лекарствени реакции</w:t>
      </w:r>
    </w:p>
    <w:p w14:paraId="503C3D89" w14:textId="77777777" w:rsidR="00E751EB" w:rsidRPr="00E751EB" w:rsidRDefault="00E751EB" w:rsidP="00E751EB">
      <w:pPr>
        <w:spacing w:line="240" w:lineRule="auto"/>
        <w:rPr>
          <w:rFonts w:eastAsia="Times New Roman" w:cs="Arial"/>
          <w:i/>
          <w:iCs/>
          <w:color w:val="000000"/>
          <w:u w:val="single"/>
          <w:lang w:eastAsia="bg-BG"/>
        </w:rPr>
      </w:pPr>
    </w:p>
    <w:p w14:paraId="4AEC8FD9" w14:textId="629A304F" w:rsidR="00E751EB" w:rsidRPr="00E751EB" w:rsidRDefault="00E751EB" w:rsidP="00E751EB">
      <w:pPr>
        <w:spacing w:line="240" w:lineRule="auto"/>
        <w:rPr>
          <w:rFonts w:eastAsia="Times New Roman" w:cs="Arial"/>
        </w:rPr>
      </w:pPr>
      <w:r w:rsidRPr="00E751EB">
        <w:rPr>
          <w:rFonts w:eastAsia="Times New Roman" w:cs="Arial"/>
          <w:i/>
          <w:iCs/>
          <w:color w:val="000000"/>
          <w:u w:val="single"/>
          <w:lang w:eastAsia="bg-BG"/>
        </w:rPr>
        <w:t>Напроксен</w:t>
      </w:r>
    </w:p>
    <w:p w14:paraId="70574920"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Данните от клинични проучвания и епидемиологичните данни предполагат, че употребата на коксиби и някои НСПВС (по-специално във високи дози и при продължително лечение) може да е свързана с малък повишен риск от артериални тромботични събития (напр. миокарден инфаркт или инсулт). Въпреки че данните предполагат, че употребата на напроксен (1 000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дневно) може да е свързана с по-нисък риск, не може да се изключи наличието на някакъв риск (вж. точка 4.4).</w:t>
      </w:r>
    </w:p>
    <w:p w14:paraId="06A427DE" w14:textId="77777777" w:rsidR="00E751EB" w:rsidRPr="00E751EB" w:rsidRDefault="00E751EB" w:rsidP="00E751EB">
      <w:pPr>
        <w:spacing w:line="240" w:lineRule="auto"/>
        <w:rPr>
          <w:rFonts w:eastAsia="Times New Roman" w:cs="Arial"/>
          <w:color w:val="000000"/>
          <w:lang w:eastAsia="bg-BG"/>
        </w:rPr>
      </w:pPr>
    </w:p>
    <w:p w14:paraId="5F9D53E6" w14:textId="7ACC31EC" w:rsidR="00E751EB" w:rsidRPr="00E751EB" w:rsidRDefault="00E751EB" w:rsidP="00E751EB">
      <w:pPr>
        <w:spacing w:line="240" w:lineRule="auto"/>
        <w:rPr>
          <w:rFonts w:eastAsia="Times New Roman" w:cs="Arial"/>
        </w:rPr>
      </w:pPr>
      <w:r w:rsidRPr="00E751EB">
        <w:rPr>
          <w:rFonts w:eastAsia="Times New Roman" w:cs="Arial"/>
          <w:color w:val="000000"/>
          <w:lang w:eastAsia="bg-BG"/>
        </w:rPr>
        <w:t>Оток, хипертония и сърдечна недостатъчност се съобщават във връзка с лечение с НСПВС.</w:t>
      </w:r>
    </w:p>
    <w:p w14:paraId="35A44A89" w14:textId="77777777" w:rsidR="00E751EB" w:rsidRPr="00E751EB" w:rsidRDefault="00E751EB" w:rsidP="00E751EB">
      <w:pPr>
        <w:spacing w:line="240" w:lineRule="auto"/>
        <w:rPr>
          <w:rFonts w:eastAsia="Times New Roman" w:cs="Arial"/>
          <w:color w:val="000000"/>
          <w:lang w:eastAsia="bg-BG"/>
        </w:rPr>
      </w:pPr>
    </w:p>
    <w:p w14:paraId="31A88163" w14:textId="7FDBFDCB" w:rsidR="00E751EB" w:rsidRPr="00E751EB" w:rsidRDefault="00E751EB" w:rsidP="00E751EB">
      <w:pPr>
        <w:spacing w:line="240" w:lineRule="auto"/>
        <w:rPr>
          <w:rFonts w:eastAsia="Times New Roman" w:cs="Arial"/>
        </w:rPr>
      </w:pPr>
      <w:r w:rsidRPr="00E751EB">
        <w:rPr>
          <w:rFonts w:eastAsia="Times New Roman" w:cs="Arial"/>
          <w:color w:val="000000"/>
          <w:lang w:eastAsia="bg-BG"/>
        </w:rPr>
        <w:t>Най-често наблюдаваните нежелани ефекти са по природа стомашно-чревни. Могат да се появят пептични язви, перфорация или стомашно-чревно кървене, понякога фатални, особено при хора в старческа възраст (вж. точка 4.4). След приложение се съобщава за гадене, повръщане, диария, флатуленция, констипация, диспепсия, абдоминална болка, медена, хематемезис, улцеративен стоматит, екзацербация на колит и болест на Крон (вж. точка 4.4). С по-малка честота е наблюдаван гастрит.</w:t>
      </w:r>
    </w:p>
    <w:p w14:paraId="36B2AE78" w14:textId="77777777" w:rsidR="00E751EB" w:rsidRPr="00E751EB" w:rsidRDefault="00E751EB" w:rsidP="00E751EB">
      <w:pPr>
        <w:spacing w:line="240" w:lineRule="auto"/>
        <w:rPr>
          <w:rFonts w:eastAsia="Times New Roman" w:cs="Arial"/>
          <w:color w:val="000000"/>
          <w:lang w:eastAsia="bg-BG"/>
        </w:rPr>
      </w:pPr>
    </w:p>
    <w:p w14:paraId="28787CD9" w14:textId="2BCEC6F0" w:rsidR="00E751EB" w:rsidRPr="00E751EB" w:rsidRDefault="00E751EB" w:rsidP="00E751EB">
      <w:pPr>
        <w:spacing w:line="240" w:lineRule="auto"/>
        <w:rPr>
          <w:rFonts w:eastAsia="Times New Roman" w:cs="Arial"/>
        </w:rPr>
      </w:pPr>
      <w:r w:rsidRPr="00E751EB">
        <w:rPr>
          <w:rFonts w:eastAsia="Times New Roman" w:cs="Arial"/>
          <w:color w:val="000000"/>
          <w:lang w:eastAsia="bg-BG"/>
        </w:rPr>
        <w:t>Вимово е с включен езомепразол, за да се намали честотата на стомашно-чревните нежелани ефекти на напроксен и показва значително намаляване на появата на язви на стомаха и/или дванадесетопръстника и на нежелани събития, свързани с НСПВС, от страна на горния стомашно-чревен тракт, в сравнение със самостоятелно приложен напроксен.</w:t>
      </w:r>
    </w:p>
    <w:p w14:paraId="4E2E2EAE" w14:textId="77777777" w:rsidR="00E751EB" w:rsidRPr="00E751EB" w:rsidRDefault="00E751EB" w:rsidP="00E751EB">
      <w:pPr>
        <w:spacing w:line="240" w:lineRule="auto"/>
        <w:rPr>
          <w:rFonts w:eastAsia="Times New Roman" w:cs="Arial"/>
          <w:color w:val="000000"/>
          <w:u w:val="single"/>
          <w:lang w:eastAsia="bg-BG"/>
        </w:rPr>
      </w:pPr>
    </w:p>
    <w:p w14:paraId="315A480E" w14:textId="562114F7" w:rsidR="00E751EB" w:rsidRPr="00E751EB" w:rsidRDefault="00E751EB" w:rsidP="00E751EB">
      <w:pPr>
        <w:spacing w:line="240" w:lineRule="auto"/>
        <w:rPr>
          <w:rFonts w:eastAsia="Times New Roman" w:cs="Arial"/>
        </w:rPr>
      </w:pPr>
      <w:r w:rsidRPr="00E751EB">
        <w:rPr>
          <w:rFonts w:eastAsia="Times New Roman" w:cs="Arial"/>
          <w:color w:val="000000"/>
          <w:u w:val="single"/>
          <w:lang w:eastAsia="bg-BG"/>
        </w:rPr>
        <w:t>Съобщаване на подозирани нежелани реакции</w:t>
      </w:r>
    </w:p>
    <w:p w14:paraId="6F8B15E7"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до:</w:t>
      </w:r>
    </w:p>
    <w:p w14:paraId="0EE61560" w14:textId="77777777" w:rsidR="00E751EB" w:rsidRPr="00E751EB" w:rsidRDefault="00E751EB" w:rsidP="00E751EB">
      <w:pPr>
        <w:spacing w:line="240" w:lineRule="auto"/>
        <w:rPr>
          <w:rFonts w:eastAsia="Times New Roman" w:cs="Arial"/>
          <w:b/>
          <w:bCs/>
          <w:color w:val="000000"/>
          <w:lang w:eastAsia="bg-BG"/>
        </w:rPr>
      </w:pPr>
      <w:bookmarkStart w:id="1" w:name="bookmark0"/>
    </w:p>
    <w:p w14:paraId="45D4306F" w14:textId="5CC1B914" w:rsidR="00E751EB" w:rsidRPr="00E751EB" w:rsidRDefault="00E751EB" w:rsidP="00E751EB">
      <w:pPr>
        <w:spacing w:line="240" w:lineRule="auto"/>
        <w:rPr>
          <w:rFonts w:eastAsia="Times New Roman" w:cs="Arial"/>
        </w:rPr>
      </w:pPr>
      <w:r w:rsidRPr="00E751EB">
        <w:rPr>
          <w:rFonts w:eastAsia="Times New Roman" w:cs="Arial"/>
          <w:b/>
          <w:bCs/>
          <w:color w:val="000000"/>
          <w:lang w:eastAsia="bg-BG"/>
        </w:rPr>
        <w:t>България</w:t>
      </w:r>
      <w:bookmarkEnd w:id="1"/>
    </w:p>
    <w:p w14:paraId="7852F35A"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Изпълнителна агенция по лекарствата</w:t>
      </w:r>
    </w:p>
    <w:p w14:paraId="214ECC84"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ул.,Дамян Груев” № 8</w:t>
      </w:r>
    </w:p>
    <w:p w14:paraId="6708B180"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1303 София</w:t>
      </w:r>
    </w:p>
    <w:p w14:paraId="538E7BA0"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Тел.: +359 2 8903417</w:t>
      </w:r>
    </w:p>
    <w:p w14:paraId="1C299A32"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уебсайт: </w:t>
      </w:r>
      <w:r w:rsidRPr="00E751EB">
        <w:rPr>
          <w:rFonts w:eastAsia="Times New Roman" w:cs="Arial"/>
        </w:rPr>
        <w:fldChar w:fldCharType="begin"/>
      </w:r>
      <w:r w:rsidRPr="00E751EB">
        <w:rPr>
          <w:rFonts w:eastAsia="Times New Roman" w:cs="Arial"/>
        </w:rPr>
        <w:instrText xml:space="preserve"> HYPERLINK "http://www.bda.bg" </w:instrText>
      </w:r>
      <w:r w:rsidRPr="00E751EB">
        <w:rPr>
          <w:rFonts w:eastAsia="Times New Roman" w:cs="Arial"/>
        </w:rPr>
      </w:r>
      <w:r w:rsidRPr="00E751EB">
        <w:rPr>
          <w:rFonts w:eastAsia="Times New Roman" w:cs="Arial"/>
        </w:rPr>
        <w:fldChar w:fldCharType="separate"/>
      </w:r>
      <w:r w:rsidRPr="00E751EB">
        <w:rPr>
          <w:rFonts w:eastAsia="Times New Roman" w:cs="Arial"/>
          <w:color w:val="000000"/>
          <w:u w:val="single"/>
          <w:lang w:val="en-US"/>
        </w:rPr>
        <w:t>www</w:t>
      </w:r>
      <w:r w:rsidRPr="00E751EB">
        <w:rPr>
          <w:rFonts w:eastAsia="Times New Roman" w:cs="Arial"/>
          <w:color w:val="000000"/>
          <w:u w:val="single"/>
          <w:lang w:val="ru-RU"/>
        </w:rPr>
        <w:t>.</w:t>
      </w:r>
      <w:proofErr w:type="spellStart"/>
      <w:r w:rsidRPr="00E751EB">
        <w:rPr>
          <w:rFonts w:eastAsia="Times New Roman" w:cs="Arial"/>
          <w:color w:val="000000"/>
          <w:u w:val="single"/>
          <w:lang w:val="en-US"/>
        </w:rPr>
        <w:t>bda</w:t>
      </w:r>
      <w:proofErr w:type="spellEnd"/>
      <w:r w:rsidRPr="00E751EB">
        <w:rPr>
          <w:rFonts w:eastAsia="Times New Roman" w:cs="Arial"/>
          <w:color w:val="000000"/>
          <w:u w:val="single"/>
          <w:lang w:val="ru-RU"/>
        </w:rPr>
        <w:t>.</w:t>
      </w:r>
      <w:proofErr w:type="spellStart"/>
      <w:r w:rsidRPr="00E751EB">
        <w:rPr>
          <w:rFonts w:eastAsia="Times New Roman" w:cs="Arial"/>
          <w:color w:val="000000"/>
          <w:u w:val="single"/>
          <w:lang w:val="en-US"/>
        </w:rPr>
        <w:t>bg</w:t>
      </w:r>
      <w:proofErr w:type="spellEnd"/>
      <w:r w:rsidRPr="00E751EB">
        <w:rPr>
          <w:rFonts w:eastAsia="Times New Roman" w:cs="Arial"/>
        </w:rPr>
        <w:fldChar w:fldCharType="end"/>
      </w:r>
    </w:p>
    <w:p w14:paraId="4639787B" w14:textId="5E46E503" w:rsidR="008579FD" w:rsidRPr="008579FD" w:rsidRDefault="008579FD" w:rsidP="008579FD"/>
    <w:p w14:paraId="0A023CE0" w14:textId="26E0ECC5" w:rsidR="00CF77F7" w:rsidRDefault="002C50EE" w:rsidP="004A448E">
      <w:pPr>
        <w:pStyle w:val="Heading2"/>
      </w:pPr>
      <w:r>
        <w:lastRenderedPageBreak/>
        <w:t>4.9. Предозиране</w:t>
      </w:r>
    </w:p>
    <w:p w14:paraId="1DE7F92A" w14:textId="674E918E" w:rsidR="00E751EB" w:rsidRDefault="00E751EB" w:rsidP="00E751EB"/>
    <w:p w14:paraId="1A11E410"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Липсват клинични данни за предозиране на Вимово.</w:t>
      </w:r>
    </w:p>
    <w:p w14:paraId="75DE1F9A" w14:textId="77777777" w:rsidR="00E751EB" w:rsidRPr="00E751EB" w:rsidRDefault="00E751EB" w:rsidP="00E751EB">
      <w:pPr>
        <w:spacing w:line="240" w:lineRule="auto"/>
        <w:rPr>
          <w:rFonts w:eastAsia="Times New Roman" w:cs="Arial"/>
          <w:color w:val="000000"/>
          <w:lang w:eastAsia="bg-BG"/>
        </w:rPr>
      </w:pPr>
    </w:p>
    <w:p w14:paraId="3B66F169" w14:textId="3731357F"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Очаква се ефектите на предозиране на Вимово да отразяват главно ефектите на предозиране на напроксен.</w:t>
      </w:r>
    </w:p>
    <w:p w14:paraId="230FFB87" w14:textId="77777777" w:rsidR="00E751EB" w:rsidRPr="00E751EB" w:rsidRDefault="00E751EB" w:rsidP="00E751EB">
      <w:pPr>
        <w:spacing w:line="240" w:lineRule="auto"/>
        <w:rPr>
          <w:rFonts w:eastAsia="Times New Roman" w:cs="Arial"/>
          <w:i/>
          <w:iCs/>
          <w:color w:val="000000"/>
          <w:u w:val="single"/>
          <w:lang w:eastAsia="bg-BG"/>
        </w:rPr>
      </w:pPr>
    </w:p>
    <w:p w14:paraId="77481A70" w14:textId="242B0FF5"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u w:val="single"/>
          <w:lang w:eastAsia="bg-BG"/>
        </w:rPr>
        <w:t>Симптоми</w:t>
      </w:r>
    </w:p>
    <w:p w14:paraId="242B3DF7" w14:textId="77777777"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lang w:eastAsia="bg-BG"/>
        </w:rPr>
        <w:t>Във връзка с предозиране на напроксен</w:t>
      </w:r>
    </w:p>
    <w:p w14:paraId="29F4E933"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Значимо предозиране с напроксен може да се характеризира с летаргия, замаяност, сънливост, болка в епигастриума, дискомфорт в корема, парене зад гръдната кост, диспепсия, гадене, преходни отклонения в чернодробната функция, хипопротромбинемия, нарушена бъбречна функция, метаболитна ацидоза, апнея, нарушена ориентация или повръщане.</w:t>
      </w:r>
    </w:p>
    <w:p w14:paraId="52ABCED8" w14:textId="77777777" w:rsidR="00E751EB" w:rsidRPr="00E751EB" w:rsidRDefault="00E751EB" w:rsidP="00E751EB">
      <w:pPr>
        <w:spacing w:line="240" w:lineRule="auto"/>
        <w:rPr>
          <w:rFonts w:eastAsia="Times New Roman" w:cs="Arial"/>
          <w:color w:val="000000"/>
          <w:lang w:eastAsia="bg-BG"/>
        </w:rPr>
      </w:pPr>
    </w:p>
    <w:p w14:paraId="33A31368" w14:textId="1BF9A140"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Може да се развие кървене от стомашно-чревния тракт. Могат да се развият хипотония, остра бъбречна недостатъчност, респираторна депресия и кома, но тези прояви са редки. Има</w:t>
      </w:r>
    </w:p>
    <w:p w14:paraId="122C5A5F"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съобщения за анафилактични реакции при терапевтичен прием на НСПВС, като такива могат</w:t>
      </w:r>
    </w:p>
    <w:p w14:paraId="4A939CF8"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да се развият и при предозиране. При някои пациенти се развиват гърчове, но не е лесно дали те</w:t>
      </w:r>
    </w:p>
    <w:p w14:paraId="504CB886"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са във връзка с приема на лекарствения продукт. Не е известно в каква доза лекарственият продукт би бил животозастрашаващ.</w:t>
      </w:r>
    </w:p>
    <w:p w14:paraId="6D7AE37E" w14:textId="77777777" w:rsidR="00E751EB" w:rsidRPr="00E751EB" w:rsidRDefault="00E751EB" w:rsidP="00E751EB">
      <w:pPr>
        <w:spacing w:line="240" w:lineRule="auto"/>
        <w:rPr>
          <w:rFonts w:eastAsia="Times New Roman" w:cs="Arial"/>
          <w:i/>
          <w:iCs/>
          <w:color w:val="000000"/>
          <w:lang w:eastAsia="bg-BG"/>
        </w:rPr>
      </w:pPr>
    </w:p>
    <w:p w14:paraId="2A4FDC1A" w14:textId="45ABDE45"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lang w:eastAsia="bg-BG"/>
        </w:rPr>
        <w:t>Във връзка с предозиране на езомепразол</w:t>
      </w:r>
    </w:p>
    <w:p w14:paraId="54BB88BE"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Симптомите, описани с умишлено предозиране на езомепразол (при ограничен опит с дози, надвишаващи 240 </w:t>
      </w:r>
      <w:r w:rsidRPr="00E751EB">
        <w:rPr>
          <w:rFonts w:eastAsia="Times New Roman" w:cs="Arial"/>
          <w:color w:val="000000"/>
          <w:lang w:val="en-US"/>
        </w:rPr>
        <w:t>mg</w:t>
      </w:r>
      <w:r w:rsidRPr="00E751EB">
        <w:rPr>
          <w:rFonts w:eastAsia="Times New Roman" w:cs="Arial"/>
          <w:color w:val="000000"/>
          <w:lang w:eastAsia="bg-BG"/>
        </w:rPr>
        <w:t xml:space="preserve">/дневно), са преходни. Приемът на еднократна доза от 80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езомепразол не води до развитие на белези на предозиране.</w:t>
      </w:r>
    </w:p>
    <w:p w14:paraId="2C11E5DB" w14:textId="77777777" w:rsidR="00E751EB" w:rsidRPr="00E751EB" w:rsidRDefault="00E751EB" w:rsidP="00E751EB">
      <w:pPr>
        <w:spacing w:line="240" w:lineRule="auto"/>
        <w:rPr>
          <w:rFonts w:eastAsia="Times New Roman" w:cs="Arial"/>
          <w:i/>
          <w:iCs/>
          <w:color w:val="000000"/>
          <w:u w:val="single"/>
          <w:lang w:eastAsia="bg-BG"/>
        </w:rPr>
      </w:pPr>
    </w:p>
    <w:p w14:paraId="3979BCD0" w14:textId="68AC10EB"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u w:val="single"/>
          <w:lang w:eastAsia="bg-BG"/>
        </w:rPr>
        <w:t>Лечение</w:t>
      </w:r>
    </w:p>
    <w:p w14:paraId="0E4D3E99" w14:textId="77777777"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lang w:eastAsia="bg-BG"/>
        </w:rPr>
        <w:t>Във връзка с напроксен</w:t>
      </w:r>
    </w:p>
    <w:p w14:paraId="44672E8D"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При предозиране с НСПВС лечението трябва да е симптоматично, като се вземат поддържащи мерки, особено по отношение на стомашно-чревните ефекти и бъбречната увреда. Няма специфичен антидот.</w:t>
      </w:r>
    </w:p>
    <w:p w14:paraId="7A59F8D6" w14:textId="77777777" w:rsidR="00E751EB" w:rsidRPr="00E751EB" w:rsidRDefault="00E751EB" w:rsidP="00E751EB">
      <w:pPr>
        <w:spacing w:line="240" w:lineRule="auto"/>
        <w:rPr>
          <w:rFonts w:eastAsia="Times New Roman" w:cs="Arial"/>
          <w:color w:val="000000"/>
          <w:lang w:eastAsia="bg-BG"/>
        </w:rPr>
      </w:pPr>
    </w:p>
    <w:p w14:paraId="4571AF30" w14:textId="7C8AF806"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Хемодиализата не намалява плазмената концентрация на напроксен поради високата му степен на свързване с плазмените протеини. Предизвикването на повръщане или приложението на медицински въглен (60 до 100 </w:t>
      </w:r>
      <w:r w:rsidRPr="00E751EB">
        <w:rPr>
          <w:rFonts w:eastAsia="Times New Roman" w:cs="Arial"/>
          <w:color w:val="000000"/>
          <w:lang w:val="en-US"/>
        </w:rPr>
        <w:t>g</w:t>
      </w:r>
      <w:r w:rsidRPr="00E751EB">
        <w:rPr>
          <w:rFonts w:eastAsia="Times New Roman" w:cs="Arial"/>
          <w:color w:val="000000"/>
          <w:lang w:val="ru-RU"/>
        </w:rPr>
        <w:t xml:space="preserve"> </w:t>
      </w:r>
      <w:r w:rsidRPr="00E751EB">
        <w:rPr>
          <w:rFonts w:eastAsia="Times New Roman" w:cs="Arial"/>
          <w:color w:val="000000"/>
          <w:lang w:eastAsia="bg-BG"/>
        </w:rPr>
        <w:t xml:space="preserve">за възрастни, 1 до 2 </w:t>
      </w:r>
      <w:r w:rsidRPr="00E751EB">
        <w:rPr>
          <w:rFonts w:eastAsia="Times New Roman" w:cs="Arial"/>
          <w:color w:val="000000"/>
          <w:lang w:val="en-US"/>
        </w:rPr>
        <w:t>g</w:t>
      </w:r>
      <w:r w:rsidRPr="00E751EB">
        <w:rPr>
          <w:rFonts w:eastAsia="Times New Roman" w:cs="Arial"/>
          <w:color w:val="000000"/>
          <w:lang w:val="ru-RU"/>
        </w:rPr>
        <w:t>/</w:t>
      </w:r>
      <w:r w:rsidRPr="00E751EB">
        <w:rPr>
          <w:rFonts w:eastAsia="Times New Roman" w:cs="Arial"/>
          <w:color w:val="000000"/>
          <w:lang w:val="en-US"/>
        </w:rPr>
        <w:t>kg</w:t>
      </w:r>
      <w:r w:rsidRPr="00E751EB">
        <w:rPr>
          <w:rFonts w:eastAsia="Times New Roman" w:cs="Arial"/>
          <w:color w:val="000000"/>
          <w:lang w:val="ru-RU"/>
        </w:rPr>
        <w:t xml:space="preserve"> </w:t>
      </w:r>
      <w:r w:rsidRPr="00E751EB">
        <w:rPr>
          <w:rFonts w:eastAsia="Times New Roman" w:cs="Arial"/>
          <w:color w:val="000000"/>
          <w:lang w:eastAsia="bg-BG"/>
        </w:rPr>
        <w:t>за деца), и/или осмотични лаксативи, може да са показани до 4 часа след приема при наличие на симптоми, или при прием на свръхдоза. Възможно е форсираната диуреза, алкализирането на урината или хемоперфузията да не са от полза поради високата степен на свързване с плазмените протеини.</w:t>
      </w:r>
    </w:p>
    <w:p w14:paraId="14AE449D" w14:textId="77777777" w:rsidR="00E751EB" w:rsidRPr="00E751EB" w:rsidRDefault="00E751EB" w:rsidP="00E751EB">
      <w:pPr>
        <w:spacing w:line="240" w:lineRule="auto"/>
        <w:rPr>
          <w:rFonts w:eastAsia="Times New Roman" w:cs="Arial"/>
          <w:i/>
          <w:iCs/>
          <w:color w:val="000000"/>
          <w:lang w:eastAsia="bg-BG"/>
        </w:rPr>
      </w:pPr>
    </w:p>
    <w:p w14:paraId="355AA7B8" w14:textId="61765BD7"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lang w:eastAsia="bg-BG"/>
        </w:rPr>
        <w:t>Във връзка с езомепразол</w:t>
      </w:r>
    </w:p>
    <w:p w14:paraId="71E10B2B"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Не е известен специфичен антидот. Езомепразол се свързва във висока степен с плазмените протеини и поради това не се диализира в голяма степен. Както при всеки случай на предозиране, лечението трябва да е симптоматично и следва да се приемат общи поддържащи мерки.</w:t>
      </w:r>
    </w:p>
    <w:p w14:paraId="4C32D17F" w14:textId="77777777" w:rsidR="00E751EB" w:rsidRPr="00E751EB" w:rsidRDefault="00E751EB" w:rsidP="00E751EB"/>
    <w:p w14:paraId="02081B24" w14:textId="1F46E296" w:rsidR="00395555" w:rsidRPr="00395555" w:rsidRDefault="002C50EE" w:rsidP="008A6AF2">
      <w:pPr>
        <w:pStyle w:val="Heading1"/>
      </w:pPr>
      <w:r>
        <w:lastRenderedPageBreak/>
        <w:t>5. ФАРМАКОЛОГИЧНИ СВОЙСТВА</w:t>
      </w:r>
    </w:p>
    <w:p w14:paraId="32B6DE66" w14:textId="714BD279" w:rsidR="00CF77F7" w:rsidRDefault="002C50EE" w:rsidP="004A448E">
      <w:pPr>
        <w:pStyle w:val="Heading2"/>
      </w:pPr>
      <w:r>
        <w:t>5.1. Фармакодинамични свойства</w:t>
      </w:r>
    </w:p>
    <w:p w14:paraId="04D64D98" w14:textId="2C6B6768" w:rsidR="00E751EB" w:rsidRDefault="00E751EB" w:rsidP="00E751EB"/>
    <w:p w14:paraId="2375933D"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Фармакотерапевтична група: напроксен и езомепразол, АТС код: М01АЕ52</w:t>
      </w:r>
    </w:p>
    <w:p w14:paraId="562FAFCB" w14:textId="77777777" w:rsidR="00E751EB" w:rsidRPr="00E751EB" w:rsidRDefault="00E751EB" w:rsidP="00E751EB">
      <w:pPr>
        <w:spacing w:line="240" w:lineRule="auto"/>
        <w:rPr>
          <w:rFonts w:eastAsia="Times New Roman" w:cs="Arial"/>
          <w:color w:val="000000"/>
          <w:u w:val="single"/>
          <w:lang w:eastAsia="bg-BG"/>
        </w:rPr>
      </w:pPr>
    </w:p>
    <w:p w14:paraId="709E5842" w14:textId="1FB0A17B" w:rsidR="00E751EB" w:rsidRPr="00E751EB" w:rsidRDefault="00E751EB" w:rsidP="00E751EB">
      <w:pPr>
        <w:spacing w:line="240" w:lineRule="auto"/>
        <w:rPr>
          <w:rFonts w:eastAsia="Times New Roman" w:cs="Arial"/>
          <w:sz w:val="24"/>
          <w:szCs w:val="24"/>
        </w:rPr>
      </w:pPr>
      <w:r w:rsidRPr="00E751EB">
        <w:rPr>
          <w:rFonts w:eastAsia="Times New Roman" w:cs="Arial"/>
          <w:color w:val="000000"/>
          <w:u w:val="single"/>
          <w:lang w:eastAsia="bg-BG"/>
        </w:rPr>
        <w:t>Механизъм на действие</w:t>
      </w:r>
    </w:p>
    <w:p w14:paraId="05ACD8A9"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Вимово е разработен като препарат с последователно освобождаване на активните съставки, съдържащ слой от езомепразол магнезий с непосредствено освобождаване и ентерално-обвито ядро от напроксен със забавено освобождаване. В резултат на това езомепразолът се освобождава в стомаха преди разтварянето на напроксена в тънкото черво. Ентералната обвивка предотвратява освобождаването на напроксена при </w:t>
      </w:r>
      <w:r w:rsidRPr="00E751EB">
        <w:rPr>
          <w:rFonts w:eastAsia="Times New Roman" w:cs="Arial"/>
          <w:color w:val="000000"/>
          <w:lang w:val="en-US"/>
        </w:rPr>
        <w:t>pH</w:t>
      </w:r>
      <w:r w:rsidRPr="00E751EB">
        <w:rPr>
          <w:rFonts w:eastAsia="Times New Roman" w:cs="Arial"/>
          <w:color w:val="000000"/>
          <w:lang w:val="ru-RU"/>
        </w:rPr>
        <w:t xml:space="preserve"> </w:t>
      </w:r>
      <w:r w:rsidRPr="00E751EB">
        <w:rPr>
          <w:rFonts w:eastAsia="Times New Roman" w:cs="Arial"/>
          <w:color w:val="000000"/>
          <w:lang w:eastAsia="bg-BG"/>
        </w:rPr>
        <w:t>под 5, което осигурява защита срещу евентуалната локална стомашна токсичност на напроксен.</w:t>
      </w:r>
    </w:p>
    <w:p w14:paraId="057EFF3D" w14:textId="77777777" w:rsidR="00E751EB" w:rsidRPr="00E751EB" w:rsidRDefault="00E751EB" w:rsidP="00E751EB">
      <w:pPr>
        <w:spacing w:line="240" w:lineRule="auto"/>
        <w:rPr>
          <w:rFonts w:eastAsia="Times New Roman" w:cs="Arial"/>
          <w:color w:val="000000"/>
          <w:lang w:eastAsia="bg-BG"/>
        </w:rPr>
      </w:pPr>
    </w:p>
    <w:p w14:paraId="53008876" w14:textId="61AEAF11"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Поради забавеното освобождаване на напроксена Вимово не е показан и не е проучван за лечение на остра болка.</w:t>
      </w:r>
    </w:p>
    <w:p w14:paraId="032E59F2" w14:textId="77777777" w:rsidR="00E751EB" w:rsidRPr="00E751EB" w:rsidRDefault="00E751EB" w:rsidP="00E751EB">
      <w:pPr>
        <w:spacing w:line="240" w:lineRule="auto"/>
        <w:rPr>
          <w:rFonts w:eastAsia="Times New Roman" w:cs="Arial"/>
          <w:color w:val="000000"/>
          <w:lang w:eastAsia="bg-BG"/>
        </w:rPr>
      </w:pPr>
    </w:p>
    <w:p w14:paraId="567FF221" w14:textId="74127563"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Напроксен е НСПВС с аналгетични и антипиретични свойства. Механизмът на действие на напроксен, както и този на други НСПВС, не е напълно изяснен, но вероятно е свързан с инхибирането на простагландиновия синтез.</w:t>
      </w:r>
    </w:p>
    <w:p w14:paraId="5BD40A97" w14:textId="77777777" w:rsidR="00E751EB" w:rsidRPr="00E751EB" w:rsidRDefault="00E751EB" w:rsidP="00E751EB">
      <w:pPr>
        <w:spacing w:line="240" w:lineRule="auto"/>
        <w:rPr>
          <w:rFonts w:eastAsia="Times New Roman" w:cs="Arial"/>
          <w:color w:val="000000"/>
          <w:lang w:eastAsia="bg-BG"/>
        </w:rPr>
      </w:pPr>
    </w:p>
    <w:p w14:paraId="0578BEF9" w14:textId="243D3983"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Езомепразол е </w:t>
      </w:r>
      <w:r w:rsidRPr="00E751EB">
        <w:rPr>
          <w:rFonts w:eastAsia="Times New Roman" w:cs="Arial"/>
          <w:color w:val="000000"/>
          <w:lang w:val="en-US"/>
        </w:rPr>
        <w:t>S</w:t>
      </w:r>
      <w:r w:rsidRPr="00E751EB">
        <w:rPr>
          <w:rFonts w:eastAsia="Times New Roman" w:cs="Arial"/>
          <w:color w:val="000000"/>
          <w:lang w:eastAsia="bg-BG"/>
        </w:rPr>
        <w:t>-енантиомерът на омепразол и подтиска стомашната киселинна секреция по специфичен таргетен механизъм. Езомепразол е слаба основа, като в силно киселинните</w:t>
      </w:r>
      <w:r w:rsidRPr="00E751EB">
        <w:rPr>
          <w:rFonts w:eastAsia="Times New Roman" w:cs="Arial"/>
          <w:color w:val="000000"/>
          <w:u w:val="single"/>
          <w:lang w:eastAsia="bg-BG"/>
        </w:rPr>
        <w:t xml:space="preserve"> </w:t>
      </w:r>
      <w:r w:rsidRPr="00E751EB">
        <w:rPr>
          <w:rFonts w:eastAsia="Times New Roman" w:cs="Arial"/>
          <w:color w:val="000000"/>
          <w:lang w:eastAsia="bg-BG"/>
        </w:rPr>
        <w:t>условия на секреторните каналчета на париеталните клетки се концентрира и превръща в активната форма, която инхибира ензима Н+К+-АТФ-аза - протоннатата помпа, като подтиска както базалната, така и стимулираната киселинна секреция.</w:t>
      </w:r>
    </w:p>
    <w:p w14:paraId="36B8E3DC" w14:textId="77777777" w:rsidR="00E751EB" w:rsidRPr="00E751EB" w:rsidRDefault="00E751EB" w:rsidP="00E751EB">
      <w:pPr>
        <w:rPr>
          <w:rFonts w:eastAsia="Times New Roman" w:cs="Arial"/>
          <w:sz w:val="24"/>
          <w:szCs w:val="24"/>
        </w:rPr>
      </w:pPr>
    </w:p>
    <w:p w14:paraId="2F6ADA8C" w14:textId="6E0A4F47" w:rsidR="00E751EB" w:rsidRPr="00E751EB" w:rsidRDefault="00E751EB" w:rsidP="00E751EB">
      <w:pPr>
        <w:rPr>
          <w:rFonts w:eastAsia="Times New Roman" w:cs="Arial"/>
          <w:color w:val="000000"/>
          <w:u w:val="single"/>
          <w:lang w:eastAsia="bg-BG"/>
        </w:rPr>
      </w:pPr>
      <w:r w:rsidRPr="00E751EB">
        <w:rPr>
          <w:rFonts w:eastAsia="Times New Roman" w:cs="Arial"/>
          <w:color w:val="000000"/>
          <w:u w:val="single"/>
          <w:lang w:eastAsia="bg-BG"/>
        </w:rPr>
        <w:t>Фармакодинамични ефекти</w:t>
      </w:r>
    </w:p>
    <w:p w14:paraId="38D49569" w14:textId="77777777"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lang w:eastAsia="bg-BG"/>
        </w:rPr>
        <w:t>Ефекти върху стомашната киселинна секреция</w:t>
      </w:r>
    </w:p>
    <w:p w14:paraId="4E74B1F6"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Оптимален ефект (поддържане на високо стомашно </w:t>
      </w:r>
      <w:r w:rsidRPr="00E751EB">
        <w:rPr>
          <w:rFonts w:eastAsia="Times New Roman" w:cs="Arial"/>
          <w:color w:val="000000"/>
          <w:lang w:val="en-US"/>
        </w:rPr>
        <w:t>pH</w:t>
      </w:r>
      <w:r w:rsidRPr="00E751EB">
        <w:rPr>
          <w:rFonts w:eastAsia="Times New Roman" w:cs="Arial"/>
          <w:color w:val="000000"/>
          <w:lang w:val="ru-RU"/>
        </w:rPr>
        <w:t xml:space="preserve">) </w:t>
      </w:r>
      <w:r w:rsidRPr="00E751EB">
        <w:rPr>
          <w:rFonts w:eastAsia="Times New Roman" w:cs="Arial"/>
          <w:color w:val="000000"/>
          <w:lang w:eastAsia="bg-BG"/>
        </w:rPr>
        <w:t xml:space="preserve">се постига с Вимово със съдържание на езомепразол 20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При здрави доброволци след 9-дневен прием на Вимово 2 пъти дневно стомашното </w:t>
      </w:r>
      <w:r w:rsidRPr="00E751EB">
        <w:rPr>
          <w:rFonts w:eastAsia="Times New Roman" w:cs="Arial"/>
          <w:color w:val="000000"/>
          <w:lang w:val="en-US"/>
        </w:rPr>
        <w:t>pH</w:t>
      </w:r>
      <w:r w:rsidRPr="00E751EB">
        <w:rPr>
          <w:rFonts w:eastAsia="Times New Roman" w:cs="Arial"/>
          <w:color w:val="000000"/>
          <w:lang w:val="ru-RU"/>
        </w:rPr>
        <w:t xml:space="preserve"> </w:t>
      </w:r>
      <w:r w:rsidRPr="00E751EB">
        <w:rPr>
          <w:rFonts w:eastAsia="Times New Roman" w:cs="Arial"/>
          <w:color w:val="000000"/>
          <w:lang w:eastAsia="bg-BG"/>
        </w:rPr>
        <w:t xml:space="preserve">се поддържа над 4, средно 17,1 часа </w:t>
      </w:r>
      <w:r w:rsidRPr="00E751EB">
        <w:rPr>
          <w:rFonts w:eastAsia="Times New Roman" w:cs="Arial"/>
          <w:color w:val="000000"/>
          <w:lang w:val="ru-RU"/>
        </w:rPr>
        <w:t>(</w:t>
      </w:r>
      <w:r w:rsidRPr="00E751EB">
        <w:rPr>
          <w:rFonts w:eastAsia="Times New Roman" w:cs="Arial"/>
          <w:color w:val="000000"/>
          <w:lang w:val="en-US"/>
        </w:rPr>
        <w:t>SD</w:t>
      </w:r>
      <w:r w:rsidRPr="00E751EB">
        <w:rPr>
          <w:rFonts w:eastAsia="Times New Roman" w:cs="Arial"/>
          <w:color w:val="000000"/>
          <w:lang w:val="ru-RU"/>
        </w:rPr>
        <w:t xml:space="preserve"> </w:t>
      </w:r>
      <w:r w:rsidRPr="00E751EB">
        <w:rPr>
          <w:rFonts w:eastAsia="Times New Roman" w:cs="Arial"/>
          <w:color w:val="000000"/>
          <w:lang w:eastAsia="bg-BG"/>
        </w:rPr>
        <w:t xml:space="preserve">3,1). Съответната стойност за Нексиум 20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е 13,6 часа </w:t>
      </w:r>
      <w:r w:rsidRPr="00E751EB">
        <w:rPr>
          <w:rFonts w:eastAsia="Times New Roman" w:cs="Arial"/>
          <w:color w:val="000000"/>
          <w:lang w:val="ru-RU"/>
        </w:rPr>
        <w:t>(</w:t>
      </w:r>
      <w:r w:rsidRPr="00E751EB">
        <w:rPr>
          <w:rFonts w:eastAsia="Times New Roman" w:cs="Arial"/>
          <w:color w:val="000000"/>
          <w:lang w:val="en-US"/>
        </w:rPr>
        <w:t>SD</w:t>
      </w:r>
      <w:r w:rsidRPr="00E751EB">
        <w:rPr>
          <w:rFonts w:eastAsia="Times New Roman" w:cs="Arial"/>
          <w:color w:val="000000"/>
          <w:lang w:val="ru-RU"/>
        </w:rPr>
        <w:t xml:space="preserve"> </w:t>
      </w:r>
      <w:r w:rsidRPr="00E751EB">
        <w:rPr>
          <w:rFonts w:eastAsia="Times New Roman" w:cs="Arial"/>
          <w:color w:val="000000"/>
          <w:lang w:eastAsia="bg-BG"/>
        </w:rPr>
        <w:t>2,4).</w:t>
      </w:r>
    </w:p>
    <w:p w14:paraId="06D5A636" w14:textId="77777777" w:rsidR="00E751EB" w:rsidRPr="00E751EB" w:rsidRDefault="00E751EB" w:rsidP="00E751EB">
      <w:pPr>
        <w:spacing w:line="240" w:lineRule="auto"/>
        <w:rPr>
          <w:rFonts w:eastAsia="Times New Roman" w:cs="Arial"/>
          <w:i/>
          <w:iCs/>
          <w:color w:val="000000"/>
          <w:lang w:eastAsia="bg-BG"/>
        </w:rPr>
      </w:pPr>
    </w:p>
    <w:p w14:paraId="6DDC1BE2" w14:textId="6865074B"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lang w:eastAsia="bg-BG"/>
        </w:rPr>
        <w:t>Други ефекти във връзка с инхибирането на киселинната секреция</w:t>
      </w:r>
    </w:p>
    <w:p w14:paraId="30268E0F"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По време на лечение с ангисекреторни лекарствени продукти, гастрина в серума се повишава в отговор на понижената киселинна секреция. В резултат на намалената стомашна киселинност, се повишава и нивото на </w:t>
      </w:r>
      <w:proofErr w:type="spellStart"/>
      <w:r w:rsidRPr="00E751EB">
        <w:rPr>
          <w:rFonts w:eastAsia="Times New Roman" w:cs="Arial"/>
          <w:color w:val="000000"/>
          <w:lang w:val="en-US"/>
        </w:rPr>
        <w:t>CgA</w:t>
      </w:r>
      <w:proofErr w:type="spellEnd"/>
      <w:r w:rsidRPr="00E751EB">
        <w:rPr>
          <w:rFonts w:eastAsia="Times New Roman" w:cs="Arial"/>
          <w:color w:val="000000"/>
          <w:lang w:val="ru-RU"/>
        </w:rPr>
        <w:t xml:space="preserve">. </w:t>
      </w:r>
      <w:r w:rsidRPr="00E751EB">
        <w:rPr>
          <w:rFonts w:eastAsia="Times New Roman" w:cs="Arial"/>
          <w:color w:val="000000"/>
          <w:lang w:eastAsia="bg-BG"/>
        </w:rPr>
        <w:t xml:space="preserve">Повишеното ниво на </w:t>
      </w:r>
      <w:proofErr w:type="spellStart"/>
      <w:r w:rsidRPr="00E751EB">
        <w:rPr>
          <w:rFonts w:eastAsia="Times New Roman" w:cs="Arial"/>
          <w:color w:val="000000"/>
          <w:lang w:val="en-US"/>
        </w:rPr>
        <w:t>CgA</w:t>
      </w:r>
      <w:proofErr w:type="spellEnd"/>
      <w:r w:rsidRPr="00E751EB">
        <w:rPr>
          <w:rFonts w:eastAsia="Times New Roman" w:cs="Arial"/>
          <w:color w:val="000000"/>
          <w:lang w:val="ru-RU"/>
        </w:rPr>
        <w:t xml:space="preserve"> </w:t>
      </w:r>
      <w:r w:rsidRPr="00E751EB">
        <w:rPr>
          <w:rFonts w:eastAsia="Times New Roman" w:cs="Arial"/>
          <w:color w:val="000000"/>
          <w:lang w:eastAsia="bg-BG"/>
        </w:rPr>
        <w:t>може да повлияе изследванията за невроендокринни тумори.</w:t>
      </w:r>
    </w:p>
    <w:p w14:paraId="79C5CE21" w14:textId="77777777" w:rsidR="00E751EB" w:rsidRPr="00E751EB" w:rsidRDefault="00E751EB" w:rsidP="00E751EB">
      <w:pPr>
        <w:spacing w:line="240" w:lineRule="auto"/>
        <w:rPr>
          <w:rFonts w:eastAsia="Times New Roman" w:cs="Arial"/>
          <w:color w:val="000000"/>
          <w:lang w:eastAsia="bg-BG"/>
        </w:rPr>
      </w:pPr>
    </w:p>
    <w:p w14:paraId="5224B116" w14:textId="4D56108D"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Наличните публикувани данни показват, че прилагането на инхибитор на протонната помпа трябва да се преустанови между </w:t>
      </w:r>
      <w:r w:rsidRPr="00E751EB">
        <w:rPr>
          <w:rFonts w:eastAsia="Times New Roman" w:cs="Arial"/>
          <w:i/>
          <w:iCs/>
          <w:color w:val="000000"/>
          <w:lang w:eastAsia="bg-BG"/>
        </w:rPr>
        <w:t>5</w:t>
      </w:r>
      <w:r w:rsidRPr="00E751EB">
        <w:rPr>
          <w:rFonts w:eastAsia="Times New Roman" w:cs="Arial"/>
          <w:color w:val="000000"/>
          <w:lang w:eastAsia="bg-BG"/>
        </w:rPr>
        <w:t xml:space="preserve"> дни и 2 седмици преди измерване на </w:t>
      </w:r>
      <w:proofErr w:type="spellStart"/>
      <w:r w:rsidRPr="00E751EB">
        <w:rPr>
          <w:rFonts w:eastAsia="Times New Roman" w:cs="Arial"/>
          <w:color w:val="000000"/>
          <w:lang w:val="en-US"/>
        </w:rPr>
        <w:t>CgA</w:t>
      </w:r>
      <w:proofErr w:type="spellEnd"/>
      <w:r w:rsidRPr="00E751EB">
        <w:rPr>
          <w:rFonts w:eastAsia="Times New Roman" w:cs="Arial"/>
          <w:color w:val="000000"/>
          <w:lang w:val="ru-RU"/>
        </w:rPr>
        <w:t xml:space="preserve">. </w:t>
      </w:r>
      <w:r w:rsidRPr="00E751EB">
        <w:rPr>
          <w:rFonts w:eastAsia="Times New Roman" w:cs="Arial"/>
          <w:color w:val="000000"/>
          <w:lang w:eastAsia="bg-BG"/>
        </w:rPr>
        <w:t xml:space="preserve">Това се прави с цел нивата на </w:t>
      </w:r>
      <w:proofErr w:type="spellStart"/>
      <w:r w:rsidRPr="00E751EB">
        <w:rPr>
          <w:rFonts w:eastAsia="Times New Roman" w:cs="Arial"/>
          <w:color w:val="000000"/>
          <w:lang w:val="en-US"/>
        </w:rPr>
        <w:t>CgA</w:t>
      </w:r>
      <w:proofErr w:type="spellEnd"/>
      <w:r w:rsidRPr="00E751EB">
        <w:rPr>
          <w:rFonts w:eastAsia="Times New Roman" w:cs="Arial"/>
          <w:color w:val="000000"/>
          <w:lang w:val="ru-RU"/>
        </w:rPr>
        <w:t xml:space="preserve">, </w:t>
      </w:r>
      <w:r w:rsidRPr="00E751EB">
        <w:rPr>
          <w:rFonts w:eastAsia="Times New Roman" w:cs="Arial"/>
          <w:color w:val="000000"/>
          <w:lang w:eastAsia="bg-BG"/>
        </w:rPr>
        <w:t>които могат да са лъжливо повишени след лечение с ИПП, да се възстановят до референтните си граници.</w:t>
      </w:r>
    </w:p>
    <w:p w14:paraId="7342C207" w14:textId="77777777" w:rsidR="00E751EB" w:rsidRPr="00E751EB" w:rsidRDefault="00E751EB" w:rsidP="00E751EB">
      <w:pPr>
        <w:spacing w:line="240" w:lineRule="auto"/>
        <w:rPr>
          <w:rFonts w:eastAsia="Times New Roman" w:cs="Arial"/>
          <w:color w:val="000000"/>
          <w:lang w:eastAsia="bg-BG"/>
        </w:rPr>
      </w:pPr>
    </w:p>
    <w:p w14:paraId="64AA7873" w14:textId="3481D12F"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При някои пациенти на дългосрочно лечение с езомепразол се установява повишен брой енгерохромафиноподобни </w:t>
      </w:r>
      <w:r w:rsidRPr="00E751EB">
        <w:rPr>
          <w:rFonts w:eastAsia="Times New Roman" w:cs="Arial"/>
          <w:color w:val="000000"/>
          <w:lang w:val="ru-RU"/>
        </w:rPr>
        <w:t>(</w:t>
      </w:r>
      <w:r w:rsidRPr="00E751EB">
        <w:rPr>
          <w:rFonts w:eastAsia="Times New Roman" w:cs="Arial"/>
          <w:color w:val="000000"/>
          <w:lang w:val="en-US"/>
        </w:rPr>
        <w:t>ECL</w:t>
      </w:r>
      <w:r w:rsidRPr="00E751EB">
        <w:rPr>
          <w:rFonts w:eastAsia="Times New Roman" w:cs="Arial"/>
          <w:color w:val="000000"/>
          <w:lang w:val="ru-RU"/>
        </w:rPr>
        <w:t xml:space="preserve">) </w:t>
      </w:r>
      <w:r w:rsidRPr="00E751EB">
        <w:rPr>
          <w:rFonts w:eastAsia="Times New Roman" w:cs="Arial"/>
          <w:color w:val="000000"/>
          <w:lang w:eastAsia="bg-BG"/>
        </w:rPr>
        <w:t>клетки - вероятно във връзка с повишената серумна концентрация на гастрин. Смята се, че тези находки не са клинично значими.</w:t>
      </w:r>
    </w:p>
    <w:p w14:paraId="078B6EEF" w14:textId="77777777" w:rsidR="00E751EB" w:rsidRPr="00E751EB" w:rsidRDefault="00E751EB" w:rsidP="00E751EB">
      <w:pPr>
        <w:spacing w:line="240" w:lineRule="auto"/>
        <w:rPr>
          <w:rFonts w:eastAsia="Times New Roman" w:cs="Arial"/>
          <w:color w:val="000000"/>
          <w:lang w:eastAsia="bg-BG"/>
        </w:rPr>
      </w:pPr>
    </w:p>
    <w:p w14:paraId="7ADBBD59" w14:textId="631A6B18"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lastRenderedPageBreak/>
        <w:t>Има съобщения за леко повишаване на честотата на развитие на стомашни жлезни кисти при дългосрочно лечение с антисекреторни лекарствени продукти. Тези промени са физиологично последствие от мощното инхибиране на киселинната секреция, като кистите са доброкачествени и изглежда, че са обратими.</w:t>
      </w:r>
    </w:p>
    <w:p w14:paraId="1DF14E4B" w14:textId="77777777" w:rsidR="00E751EB" w:rsidRPr="00E751EB" w:rsidRDefault="00E751EB" w:rsidP="00E751EB">
      <w:pPr>
        <w:spacing w:line="240" w:lineRule="auto"/>
        <w:rPr>
          <w:rFonts w:eastAsia="Times New Roman" w:cs="Arial"/>
          <w:color w:val="000000"/>
          <w:lang w:eastAsia="bg-BG"/>
        </w:rPr>
      </w:pPr>
    </w:p>
    <w:p w14:paraId="5AFBFCE9" w14:textId="0B2B79EE"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Понижаването на стомашната киселинност поради каквато и да е причина - включително прием на инхибитори на протонната помпа, води до повишаване на стомашното микробно число на бактериите, които нормално се срещат в стомашно-чревния тракт. Лечението с инхибитори на протонната помпа може да доведе до леко повишаване на риска от развитие на стомашно-чревни инфекции, като </w:t>
      </w:r>
      <w:r w:rsidRPr="00E751EB">
        <w:rPr>
          <w:rFonts w:eastAsia="Times New Roman" w:cs="Arial"/>
          <w:i/>
          <w:iCs/>
          <w:color w:val="000000"/>
          <w:lang w:val="en-US"/>
        </w:rPr>
        <w:t>Salmonella</w:t>
      </w:r>
      <w:r w:rsidRPr="00E751EB">
        <w:rPr>
          <w:rFonts w:eastAsia="Times New Roman" w:cs="Arial"/>
          <w:color w:val="000000"/>
          <w:lang w:val="ru-RU"/>
        </w:rPr>
        <w:t xml:space="preserve"> </w:t>
      </w:r>
      <w:r w:rsidRPr="00E751EB">
        <w:rPr>
          <w:rFonts w:eastAsia="Times New Roman" w:cs="Arial"/>
          <w:color w:val="000000"/>
          <w:lang w:eastAsia="bg-BG"/>
        </w:rPr>
        <w:t xml:space="preserve">и </w:t>
      </w:r>
      <w:r w:rsidRPr="00E751EB">
        <w:rPr>
          <w:rFonts w:eastAsia="Times New Roman" w:cs="Arial"/>
          <w:i/>
          <w:iCs/>
          <w:color w:val="000000"/>
          <w:lang w:val="en-US"/>
        </w:rPr>
        <w:t>Campylobacter</w:t>
      </w:r>
      <w:r w:rsidRPr="00E751EB">
        <w:rPr>
          <w:rFonts w:eastAsia="Times New Roman" w:cs="Arial"/>
          <w:i/>
          <w:iCs/>
          <w:color w:val="000000"/>
          <w:lang w:val="ru-RU"/>
        </w:rPr>
        <w:t>,</w:t>
      </w:r>
      <w:r w:rsidRPr="00E751EB">
        <w:rPr>
          <w:rFonts w:eastAsia="Times New Roman" w:cs="Arial"/>
          <w:color w:val="000000"/>
          <w:lang w:val="ru-RU"/>
        </w:rPr>
        <w:t xml:space="preserve"> </w:t>
      </w:r>
      <w:r w:rsidRPr="00E751EB">
        <w:rPr>
          <w:rFonts w:eastAsia="Times New Roman" w:cs="Arial"/>
          <w:color w:val="000000"/>
          <w:lang w:eastAsia="bg-BG"/>
        </w:rPr>
        <w:t xml:space="preserve">евентуално и с </w:t>
      </w:r>
      <w:r w:rsidRPr="00E751EB">
        <w:rPr>
          <w:rFonts w:eastAsia="Times New Roman" w:cs="Arial"/>
          <w:i/>
          <w:iCs/>
          <w:color w:val="000000"/>
          <w:lang w:val="en-US"/>
        </w:rPr>
        <w:t>Clostridium</w:t>
      </w:r>
      <w:r w:rsidRPr="00E751EB">
        <w:rPr>
          <w:rFonts w:eastAsia="Times New Roman" w:cs="Arial"/>
          <w:i/>
          <w:iCs/>
          <w:color w:val="000000"/>
          <w:lang w:val="ru-RU"/>
        </w:rPr>
        <w:t xml:space="preserve"> </w:t>
      </w:r>
      <w:r w:rsidRPr="00E751EB">
        <w:rPr>
          <w:rFonts w:eastAsia="Times New Roman" w:cs="Arial"/>
          <w:i/>
          <w:iCs/>
          <w:color w:val="000000"/>
          <w:lang w:val="en-US"/>
        </w:rPr>
        <w:t>difficile</w:t>
      </w:r>
      <w:r w:rsidRPr="00E751EB">
        <w:rPr>
          <w:rFonts w:eastAsia="Times New Roman" w:cs="Arial"/>
          <w:color w:val="000000"/>
          <w:lang w:val="ru-RU"/>
        </w:rPr>
        <w:t xml:space="preserve"> </w:t>
      </w:r>
      <w:r w:rsidRPr="00E751EB">
        <w:rPr>
          <w:rFonts w:eastAsia="Times New Roman" w:cs="Arial"/>
          <w:color w:val="000000"/>
          <w:lang w:eastAsia="bg-BG"/>
        </w:rPr>
        <w:t>при хоспитализирани пациенти.</w:t>
      </w:r>
    </w:p>
    <w:p w14:paraId="5E8C3617" w14:textId="77777777" w:rsidR="00E751EB" w:rsidRPr="00E751EB" w:rsidRDefault="00E751EB" w:rsidP="00E751EB">
      <w:pPr>
        <w:spacing w:line="240" w:lineRule="auto"/>
        <w:rPr>
          <w:rFonts w:eastAsia="Times New Roman" w:cs="Arial"/>
          <w:color w:val="000000"/>
          <w:u w:val="single"/>
          <w:lang w:eastAsia="bg-BG"/>
        </w:rPr>
      </w:pPr>
    </w:p>
    <w:p w14:paraId="102260F9" w14:textId="4D555AE1" w:rsidR="00E751EB" w:rsidRPr="00E751EB" w:rsidRDefault="00E751EB" w:rsidP="00E751EB">
      <w:pPr>
        <w:spacing w:line="240" w:lineRule="auto"/>
        <w:rPr>
          <w:rFonts w:eastAsia="Times New Roman" w:cs="Arial"/>
          <w:sz w:val="24"/>
          <w:szCs w:val="24"/>
        </w:rPr>
      </w:pPr>
      <w:r w:rsidRPr="00E751EB">
        <w:rPr>
          <w:rFonts w:eastAsia="Times New Roman" w:cs="Arial"/>
          <w:color w:val="000000"/>
          <w:u w:val="single"/>
          <w:lang w:eastAsia="bg-BG"/>
        </w:rPr>
        <w:t>Клинична ефикасност и безопасност</w:t>
      </w:r>
    </w:p>
    <w:p w14:paraId="65C36BC1" w14:textId="77777777" w:rsidR="00E751EB" w:rsidRPr="00E751EB" w:rsidRDefault="00E751EB" w:rsidP="00E751EB">
      <w:pPr>
        <w:spacing w:line="240" w:lineRule="auto"/>
        <w:rPr>
          <w:rFonts w:eastAsia="Times New Roman" w:cs="Arial"/>
          <w:color w:val="000000"/>
          <w:lang w:eastAsia="bg-BG"/>
        </w:rPr>
      </w:pPr>
    </w:p>
    <w:p w14:paraId="11EEDA45" w14:textId="4403EDB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Във всички клинични проучвания Вимово е приеман от 491 пациенти за 6 месеца и от 135 за 12 месеца.</w:t>
      </w:r>
    </w:p>
    <w:p w14:paraId="13384A2F" w14:textId="018829DD"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В две рандомизирани, двойно-слепи, активно-контролирани проучвания честотата на развитие на язви на стомаха и дванадесетопръстника през 6-месечния терапевтичен период е значимо по-ниска при прием на Вимово, отколкото при прием на ентерално-обвит напроксен 500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два пъти дневно (без омепразол или друг ИПП). Участниците в проучването са били по начало с риск за развитие на свързани с прием на НСПВС язви - поради напреднала възраст или анамнеза за язва на стомаха или дванадесетопръстника. Положителните за </w:t>
      </w:r>
      <w:r w:rsidRPr="00E751EB">
        <w:rPr>
          <w:rFonts w:eastAsia="Times New Roman" w:cs="Arial"/>
          <w:i/>
          <w:iCs/>
          <w:color w:val="000000"/>
          <w:lang w:eastAsia="bg-BG"/>
        </w:rPr>
        <w:t xml:space="preserve">Н </w:t>
      </w:r>
      <w:r w:rsidRPr="00E751EB">
        <w:rPr>
          <w:rFonts w:eastAsia="Times New Roman" w:cs="Arial"/>
          <w:i/>
          <w:iCs/>
          <w:color w:val="000000"/>
          <w:lang w:val="en-US"/>
        </w:rPr>
        <w:t>pylori</w:t>
      </w:r>
      <w:r w:rsidRPr="00E751EB">
        <w:rPr>
          <w:rFonts w:eastAsia="Times New Roman" w:cs="Arial"/>
          <w:color w:val="000000"/>
          <w:lang w:val="ru-RU"/>
        </w:rPr>
        <w:t xml:space="preserve"> </w:t>
      </w:r>
      <w:r w:rsidRPr="00E751EB">
        <w:rPr>
          <w:rFonts w:eastAsia="Times New Roman" w:cs="Arial"/>
          <w:color w:val="000000"/>
          <w:lang w:eastAsia="bg-BG"/>
        </w:rPr>
        <w:t>пациенти са изключени от проучванията.</w:t>
      </w:r>
    </w:p>
    <w:p w14:paraId="1B46CE64" w14:textId="77777777" w:rsidR="00E751EB" w:rsidRPr="00E751EB" w:rsidRDefault="00E751EB" w:rsidP="00E751EB">
      <w:pPr>
        <w:spacing w:line="240" w:lineRule="auto"/>
        <w:rPr>
          <w:rFonts w:eastAsia="Times New Roman" w:cs="Arial"/>
          <w:color w:val="000000"/>
          <w:lang w:eastAsia="bg-BG"/>
        </w:rPr>
      </w:pPr>
    </w:p>
    <w:p w14:paraId="71829AA1" w14:textId="5FBAC5E5"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Честотата на развитие на язва на стомаха при прием на Вимово е 5,6%, а при прием на ентерално-обвит напроксен - 23,7% (6-месечни данни от 2 ендоскопски проучвания). Също така, в сравнение с ентерално-обвития напроксен, Вимово намалява значимо честотата на развитие на язва на дванадесетопръстника (5,4% срещу 0,7%) (6-месечни данни от 2 ецдоскопски проучвания).</w:t>
      </w:r>
    </w:p>
    <w:p w14:paraId="76433A94" w14:textId="77777777" w:rsidR="00E751EB" w:rsidRPr="00E751EB" w:rsidRDefault="00E751EB" w:rsidP="00E751EB">
      <w:pPr>
        <w:rPr>
          <w:rFonts w:eastAsia="Times New Roman" w:cs="Arial"/>
          <w:color w:val="000000"/>
          <w:lang w:eastAsia="bg-BG"/>
        </w:rPr>
      </w:pPr>
    </w:p>
    <w:p w14:paraId="1C904743" w14:textId="0C2B32B6" w:rsidR="00E751EB" w:rsidRPr="00E751EB" w:rsidRDefault="00E751EB" w:rsidP="00E751EB">
      <w:pPr>
        <w:rPr>
          <w:rFonts w:eastAsia="Times New Roman" w:cs="Arial"/>
          <w:color w:val="000000"/>
          <w:lang w:eastAsia="bg-BG"/>
        </w:rPr>
      </w:pPr>
      <w:r w:rsidRPr="00E751EB">
        <w:rPr>
          <w:rFonts w:eastAsia="Times New Roman" w:cs="Arial"/>
          <w:color w:val="000000"/>
          <w:lang w:eastAsia="bg-BG"/>
        </w:rPr>
        <w:t>Вимово, в сравнение с приема на ентерално-обвит напроксен, намалява значимо и честотата на развитие на предварително уточнени свързани с прием на НСПВС нежелани реакции от страна на горния стомашно-чревен тракт - 53,3% срещу 70,4% (обобщени данни).</w:t>
      </w:r>
    </w:p>
    <w:p w14:paraId="704515CE" w14:textId="256267B0" w:rsidR="00E751EB" w:rsidRPr="00E751EB" w:rsidRDefault="00E751EB" w:rsidP="00E751EB">
      <w:pPr>
        <w:rPr>
          <w:rFonts w:eastAsia="Times New Roman" w:cs="Arial"/>
          <w:color w:val="000000"/>
          <w:lang w:eastAsia="bg-BG"/>
        </w:rPr>
      </w:pPr>
    </w:p>
    <w:p w14:paraId="47DEA20F" w14:textId="55CA06D1"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В проучванията за Вимово са включвани само пациенти с риск от развитие на свързани с НСПВС язви на дванадесетопръстника, като такива на възраст над 50 години или с предшестваща неусложнена язва; позволено е включването на пациенти, които едновременно употребяват и ацетилсалицилова киселина в ниски дози (АНД). Подгруповите анализи потвърждават същата тенденция, както наблюдаваната в цялостната популация по отношение на ефикасността на Вимово да предотвратява стомашно-чревни язви. При приемащите АНД , честотата на стомашно-чревните язви е 4,0% (95% ДИ 1,1-10,0%) в групата на Вимово (</w:t>
      </w:r>
      <w:r w:rsidRPr="00E751EB">
        <w:rPr>
          <w:rFonts w:eastAsia="Times New Roman" w:cs="Arial"/>
          <w:color w:val="000000"/>
          <w:lang w:val="en-US"/>
        </w:rPr>
        <w:t>n</w:t>
      </w:r>
      <w:r w:rsidRPr="00E751EB">
        <w:rPr>
          <w:rFonts w:eastAsia="Times New Roman" w:cs="Arial"/>
          <w:color w:val="000000"/>
          <w:lang w:eastAsia="bg-BG"/>
        </w:rPr>
        <w:t>=99), спрямо 32,4% (95% ДИ 23,4-42,3%) в групата, приемаща само ентерално-обвит напроксен (</w:t>
      </w:r>
      <w:r w:rsidRPr="00E751EB">
        <w:rPr>
          <w:rFonts w:eastAsia="Times New Roman" w:cs="Arial"/>
          <w:color w:val="000000"/>
          <w:lang w:val="en-US"/>
        </w:rPr>
        <w:t>n</w:t>
      </w:r>
      <w:r w:rsidRPr="00E751EB">
        <w:rPr>
          <w:rFonts w:eastAsia="Times New Roman" w:cs="Arial"/>
          <w:color w:val="000000"/>
          <w:lang w:eastAsia="bg-BG"/>
        </w:rPr>
        <w:t>=102). При хора в старческа възраст ≥ 60 години честотата на стомашно-чревните язви е 3,3% (95% ДИ 1,3-6,7%), спрямо 30,1% (95% ДИ 24,0-36,9%) съответно в групата на Вимово (</w:t>
      </w:r>
      <w:r w:rsidRPr="00E751EB">
        <w:rPr>
          <w:rFonts w:eastAsia="Times New Roman" w:cs="Arial"/>
          <w:color w:val="000000"/>
          <w:lang w:val="en-US"/>
        </w:rPr>
        <w:t>n</w:t>
      </w:r>
      <w:r w:rsidRPr="00E751EB">
        <w:rPr>
          <w:rFonts w:eastAsia="Times New Roman" w:cs="Arial"/>
          <w:color w:val="000000"/>
          <w:lang w:eastAsia="bg-BG"/>
        </w:rPr>
        <w:t>=212) и в групата, приемаща само ентерално-обвит напроксен (</w:t>
      </w:r>
      <w:r w:rsidRPr="00E751EB">
        <w:rPr>
          <w:rFonts w:eastAsia="Times New Roman" w:cs="Arial"/>
          <w:color w:val="000000"/>
          <w:lang w:val="en-US" w:eastAsia="bg-BG"/>
        </w:rPr>
        <w:t>n</w:t>
      </w:r>
      <w:r w:rsidRPr="00E751EB">
        <w:rPr>
          <w:rFonts w:eastAsia="Times New Roman" w:cs="Arial"/>
          <w:color w:val="000000"/>
          <w:lang w:eastAsia="bg-BG"/>
        </w:rPr>
        <w:t>=209).</w:t>
      </w:r>
    </w:p>
    <w:p w14:paraId="66C0301B" w14:textId="77777777" w:rsidR="00E751EB" w:rsidRPr="00E751EB" w:rsidRDefault="00E751EB" w:rsidP="00E751EB">
      <w:pPr>
        <w:spacing w:line="240" w:lineRule="auto"/>
        <w:rPr>
          <w:rFonts w:eastAsia="Times New Roman" w:cs="Arial"/>
          <w:color w:val="000000"/>
          <w:lang w:eastAsia="bg-BG"/>
        </w:rPr>
      </w:pPr>
    </w:p>
    <w:p w14:paraId="42FBF4A3" w14:textId="65075E79"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В две клинични проучвания, в сравнение с ентерално-обвит напроксен за 6-месечен период, Вимово има по-малко горен абдоминален дискомфорт, измерен чрез симптомите </w:t>
      </w:r>
      <w:r w:rsidRPr="00E751EB">
        <w:rPr>
          <w:rFonts w:eastAsia="Times New Roman" w:cs="Arial"/>
          <w:color w:val="000000"/>
          <w:lang w:eastAsia="bg-BG"/>
        </w:rPr>
        <w:lastRenderedPageBreak/>
        <w:t>на диспепсия. Значително по-нисък процент пациенти, приемащи Вимово, са прекъснали предварително проучването поради нежелани събития в сравнение с пациентите, които приемат само ентерално-обвит напроксен (7,9% срещу 12,5%, респективно); 4,0% и, съответно, 12,0% от прекъсванията се дължат на нежелани събития, свързани с горния стомашно-чревен тракт, включително и дуоденални язви.</w:t>
      </w:r>
    </w:p>
    <w:p w14:paraId="5EC92117" w14:textId="77777777" w:rsidR="00E751EB" w:rsidRPr="00E751EB" w:rsidRDefault="00E751EB" w:rsidP="00E751EB">
      <w:pPr>
        <w:spacing w:line="240" w:lineRule="auto"/>
        <w:rPr>
          <w:rFonts w:eastAsia="Times New Roman" w:cs="Arial"/>
          <w:color w:val="000000"/>
          <w:lang w:eastAsia="bg-BG"/>
        </w:rPr>
      </w:pPr>
    </w:p>
    <w:p w14:paraId="56E4ED3A" w14:textId="71016D40"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В две 12-седмични проучвания при пациенти с остеоартрит на коленната става Вимово (500 </w:t>
      </w:r>
      <w:r w:rsidRPr="00E751EB">
        <w:rPr>
          <w:rFonts w:eastAsia="Times New Roman" w:cs="Arial"/>
          <w:color w:val="000000"/>
          <w:lang w:val="en-US"/>
        </w:rPr>
        <w:t>mg</w:t>
      </w:r>
      <w:r w:rsidRPr="00E751EB">
        <w:rPr>
          <w:rFonts w:eastAsia="Times New Roman" w:cs="Arial"/>
          <w:color w:val="000000"/>
          <w:lang w:val="ru-RU"/>
        </w:rPr>
        <w:t xml:space="preserve">/20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два пъти дневно) показва сходно подобрение по отношение на болката и функцията, време до облекчаване на болката и спиране на лечението поради развитие на нежелани реакции като целекоксиб 200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еднократно дневно.</w:t>
      </w:r>
    </w:p>
    <w:p w14:paraId="24C33CD5" w14:textId="77777777" w:rsidR="00E751EB" w:rsidRPr="00E751EB" w:rsidRDefault="00E751EB" w:rsidP="00E751EB">
      <w:pPr>
        <w:spacing w:line="240" w:lineRule="auto"/>
        <w:rPr>
          <w:rFonts w:eastAsia="Times New Roman" w:cs="Arial"/>
          <w:color w:val="000000"/>
          <w:u w:val="single"/>
          <w:lang w:eastAsia="bg-BG"/>
        </w:rPr>
      </w:pPr>
    </w:p>
    <w:p w14:paraId="276DA602" w14:textId="2477D8C1" w:rsidR="00E751EB" w:rsidRPr="00E751EB" w:rsidRDefault="00E751EB" w:rsidP="00E751EB">
      <w:pPr>
        <w:spacing w:line="240" w:lineRule="auto"/>
        <w:rPr>
          <w:rFonts w:eastAsia="Times New Roman" w:cs="Arial"/>
          <w:sz w:val="24"/>
          <w:szCs w:val="24"/>
        </w:rPr>
      </w:pPr>
      <w:r w:rsidRPr="00E751EB">
        <w:rPr>
          <w:rFonts w:eastAsia="Times New Roman" w:cs="Arial"/>
          <w:color w:val="000000"/>
          <w:u w:val="single"/>
          <w:lang w:eastAsia="bg-BG"/>
        </w:rPr>
        <w:t>Педиатрична популация</w:t>
      </w:r>
    </w:p>
    <w:p w14:paraId="34866FB2"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Вимово.</w:t>
      </w:r>
    </w:p>
    <w:p w14:paraId="4B309B7C" w14:textId="77777777" w:rsidR="00E751EB" w:rsidRPr="00E751EB" w:rsidRDefault="00E751EB" w:rsidP="00E751EB"/>
    <w:p w14:paraId="35F84B81" w14:textId="53D3AA42" w:rsidR="00CF77F7" w:rsidRDefault="002C50EE" w:rsidP="004A448E">
      <w:pPr>
        <w:pStyle w:val="Heading2"/>
      </w:pPr>
      <w:r>
        <w:t>5.2. Фармакокинетични свойства</w:t>
      </w:r>
    </w:p>
    <w:p w14:paraId="7A377805" w14:textId="3D04540C" w:rsidR="00E751EB" w:rsidRDefault="00E751EB" w:rsidP="00E751EB"/>
    <w:p w14:paraId="16354BBD" w14:textId="77777777" w:rsidR="00E751EB" w:rsidRPr="00E751EB" w:rsidRDefault="00E751EB" w:rsidP="00E751EB">
      <w:pPr>
        <w:pStyle w:val="Heading3"/>
        <w:rPr>
          <w:rFonts w:eastAsia="Times New Roman"/>
          <w:u w:val="single"/>
        </w:rPr>
      </w:pPr>
      <w:r w:rsidRPr="00E751EB">
        <w:rPr>
          <w:rFonts w:eastAsia="Times New Roman"/>
          <w:u w:val="single"/>
          <w:lang w:eastAsia="bg-BG"/>
        </w:rPr>
        <w:t>Абсорбция</w:t>
      </w:r>
    </w:p>
    <w:p w14:paraId="15A74F7B" w14:textId="77777777"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Напроксен</w:t>
      </w:r>
    </w:p>
    <w:p w14:paraId="4EA0CF8A"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След приложение на единична доза, времето до достигане на максимална плазмена концентрация е 3 до 5 часа, обаче, приемът на храна води до допълнително забавяне до 8 часа или повече. В равновесно състояние след прием на Вимово два пъти дневно пиковата плазмена концентрация на напроксен се достига след средно 3 часа - както след сутрешния, така и след вечерния прием.</w:t>
      </w:r>
    </w:p>
    <w:p w14:paraId="04E5DBCF" w14:textId="77777777" w:rsidR="00E751EB" w:rsidRPr="00E751EB" w:rsidRDefault="00E751EB" w:rsidP="00E751EB">
      <w:pPr>
        <w:spacing w:line="240" w:lineRule="auto"/>
        <w:rPr>
          <w:rFonts w:eastAsia="Times New Roman" w:cs="Arial"/>
          <w:color w:val="000000"/>
          <w:lang w:eastAsia="bg-BG"/>
        </w:rPr>
      </w:pPr>
    </w:p>
    <w:p w14:paraId="0A46C145" w14:textId="2EDA39BD"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Въз основа както на площта под кривата на плазмената концентрация в зависимост от времето </w:t>
      </w:r>
      <w:r w:rsidRPr="00E751EB">
        <w:rPr>
          <w:rFonts w:eastAsia="Times New Roman" w:cs="Arial"/>
          <w:color w:val="000000"/>
          <w:lang w:val="ru-RU"/>
        </w:rPr>
        <w:t>(</w:t>
      </w:r>
      <w:r w:rsidRPr="00E751EB">
        <w:rPr>
          <w:rFonts w:eastAsia="Times New Roman" w:cs="Arial"/>
          <w:color w:val="000000"/>
          <w:lang w:val="en-US"/>
        </w:rPr>
        <w:t>AUC</w:t>
      </w:r>
      <w:r w:rsidRPr="00E751EB">
        <w:rPr>
          <w:rFonts w:eastAsia="Times New Roman" w:cs="Arial"/>
          <w:color w:val="000000"/>
          <w:lang w:val="ru-RU"/>
        </w:rPr>
        <w:t xml:space="preserve">), </w:t>
      </w:r>
      <w:r w:rsidRPr="00E751EB">
        <w:rPr>
          <w:rFonts w:eastAsia="Times New Roman" w:cs="Arial"/>
          <w:color w:val="000000"/>
          <w:lang w:eastAsia="bg-BG"/>
        </w:rPr>
        <w:t>така и на максималната плазмена концентрация (</w:t>
      </w:r>
      <w:proofErr w:type="spellStart"/>
      <w:r w:rsidRPr="00E751EB">
        <w:rPr>
          <w:rFonts w:eastAsia="Times New Roman" w:cs="Arial"/>
          <w:color w:val="000000"/>
          <w:lang w:val="en-US"/>
        </w:rPr>
        <w:t>C</w:t>
      </w:r>
      <w:r w:rsidRPr="00E751EB">
        <w:rPr>
          <w:rFonts w:eastAsia="Times New Roman" w:cs="Arial"/>
          <w:color w:val="000000"/>
          <w:vertAlign w:val="subscript"/>
          <w:lang w:val="en-US"/>
        </w:rPr>
        <w:t>max</w:t>
      </w:r>
      <w:proofErr w:type="spellEnd"/>
      <w:r w:rsidRPr="00E751EB">
        <w:rPr>
          <w:rFonts w:eastAsia="Times New Roman" w:cs="Arial"/>
          <w:color w:val="000000"/>
          <w:lang w:eastAsia="bg-BG"/>
        </w:rPr>
        <w:t>) се доказва, че Вимово е биоеквивалентен на ентерално-обвития напроксен.</w:t>
      </w:r>
    </w:p>
    <w:p w14:paraId="7FBA72FC" w14:textId="77777777" w:rsidR="00E751EB" w:rsidRPr="00E751EB" w:rsidRDefault="00E751EB" w:rsidP="00E751EB">
      <w:pPr>
        <w:spacing w:line="240" w:lineRule="auto"/>
        <w:rPr>
          <w:rFonts w:eastAsia="Times New Roman" w:cs="Arial"/>
          <w:color w:val="000000"/>
          <w:lang w:eastAsia="bg-BG"/>
        </w:rPr>
      </w:pPr>
    </w:p>
    <w:p w14:paraId="57712944" w14:textId="16D18A7C"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Напроксен се резорбира бързо и напълно в стомашно-чревния тракт при бионаличност </w:t>
      </w:r>
      <w:r w:rsidRPr="00E751EB">
        <w:rPr>
          <w:rFonts w:eastAsia="Times New Roman" w:cs="Arial"/>
          <w:i/>
          <w:iCs/>
          <w:color w:val="000000"/>
          <w:lang w:val="en-US"/>
        </w:rPr>
        <w:t>in</w:t>
      </w:r>
      <w:r w:rsidRPr="00E751EB">
        <w:rPr>
          <w:rFonts w:eastAsia="Times New Roman" w:cs="Arial"/>
          <w:i/>
          <w:iCs/>
          <w:color w:val="000000"/>
          <w:lang w:val="ru-RU"/>
        </w:rPr>
        <w:t xml:space="preserve"> </w:t>
      </w:r>
      <w:r w:rsidRPr="00E751EB">
        <w:rPr>
          <w:rFonts w:eastAsia="Times New Roman" w:cs="Arial"/>
          <w:i/>
          <w:iCs/>
          <w:color w:val="000000"/>
          <w:lang w:val="en-US"/>
        </w:rPr>
        <w:t>vivo</w:t>
      </w:r>
      <w:r w:rsidRPr="00E751EB">
        <w:rPr>
          <w:rFonts w:eastAsia="Times New Roman" w:cs="Arial"/>
          <w:i/>
          <w:iCs/>
          <w:color w:val="000000"/>
          <w:lang w:val="ru-RU"/>
        </w:rPr>
        <w:t xml:space="preserve"> </w:t>
      </w:r>
      <w:r w:rsidRPr="00E751EB">
        <w:rPr>
          <w:rFonts w:eastAsia="Times New Roman" w:cs="Arial"/>
          <w:color w:val="000000"/>
          <w:lang w:eastAsia="bg-BG"/>
        </w:rPr>
        <w:t>95%.</w:t>
      </w:r>
    </w:p>
    <w:p w14:paraId="2A3D9032" w14:textId="77777777" w:rsidR="00E751EB" w:rsidRPr="00E751EB" w:rsidRDefault="00E751EB" w:rsidP="00E751EB">
      <w:pPr>
        <w:spacing w:line="240" w:lineRule="auto"/>
        <w:rPr>
          <w:rFonts w:eastAsia="Times New Roman" w:cs="Arial"/>
          <w:color w:val="000000"/>
          <w:lang w:eastAsia="bg-BG"/>
        </w:rPr>
      </w:pPr>
    </w:p>
    <w:p w14:paraId="2B48EE32" w14:textId="3854DA0A" w:rsidR="00E751EB" w:rsidRPr="00E751EB" w:rsidRDefault="00E751EB" w:rsidP="00E751EB">
      <w:pPr>
        <w:spacing w:line="240" w:lineRule="auto"/>
        <w:rPr>
          <w:rFonts w:eastAsia="Times New Roman" w:cs="Arial"/>
        </w:rPr>
      </w:pPr>
      <w:r w:rsidRPr="00E751EB">
        <w:rPr>
          <w:rFonts w:eastAsia="Times New Roman" w:cs="Arial"/>
          <w:color w:val="000000"/>
          <w:lang w:eastAsia="bg-BG"/>
        </w:rPr>
        <w:t>Равновесна концентрация на напроксен се достига след 4 до 5 дни.</w:t>
      </w:r>
    </w:p>
    <w:p w14:paraId="04151860" w14:textId="77777777" w:rsidR="00E751EB" w:rsidRPr="00E751EB" w:rsidRDefault="00E751EB" w:rsidP="00E751EB">
      <w:pPr>
        <w:spacing w:line="240" w:lineRule="auto"/>
        <w:rPr>
          <w:rFonts w:eastAsia="Times New Roman" w:cs="Arial"/>
          <w:i/>
          <w:iCs/>
          <w:color w:val="000000"/>
          <w:lang w:eastAsia="bg-BG"/>
        </w:rPr>
      </w:pPr>
    </w:p>
    <w:p w14:paraId="27E6BB7F" w14:textId="16D1A78A"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p>
    <w:p w14:paraId="59B3CDFA"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След прием на Вимово два пъти дневно езомепразол се резорбира бързо, като максималн</w:t>
      </w:r>
      <w:r w:rsidRPr="00E751EB">
        <w:rPr>
          <w:rFonts w:eastAsia="Times New Roman" w:cs="Arial"/>
          <w:color w:val="000000"/>
          <w:u w:val="single"/>
          <w:lang w:eastAsia="bg-BG"/>
        </w:rPr>
        <w:t xml:space="preserve">ата </w:t>
      </w:r>
      <w:r w:rsidRPr="00E751EB">
        <w:rPr>
          <w:rFonts w:eastAsia="Times New Roman" w:cs="Arial"/>
          <w:color w:val="000000"/>
          <w:lang w:eastAsia="bg-BG"/>
        </w:rPr>
        <w:t>плазмена концентрация се постига след средно 0,5-0,75 часа след сутрешния и вечерния прием - както през първия ден от лечението, така и при достигане на равновесно състояние. След многократен прием на Вимово два пъти дневно С</w:t>
      </w:r>
      <w:r w:rsidRPr="00E751EB">
        <w:rPr>
          <w:rFonts w:eastAsia="Times New Roman" w:cs="Arial"/>
          <w:color w:val="000000"/>
          <w:vertAlign w:val="subscript"/>
          <w:lang w:val="en-US"/>
        </w:rPr>
        <w:t>max</w:t>
      </w:r>
      <w:r w:rsidRPr="00E751EB">
        <w:rPr>
          <w:rFonts w:eastAsia="Times New Roman" w:cs="Arial"/>
          <w:color w:val="000000"/>
          <w:lang w:eastAsia="bg-BG"/>
        </w:rPr>
        <w:t xml:space="preserve"> е 2-3 по-висока, </w:t>
      </w:r>
      <w:r w:rsidRPr="00E751EB">
        <w:rPr>
          <w:rFonts w:eastAsia="Times New Roman" w:cs="Arial"/>
          <w:color w:val="000000"/>
          <w:lang w:val="en-US"/>
        </w:rPr>
        <w:t>a</w:t>
      </w:r>
      <w:r w:rsidRPr="00E751EB">
        <w:rPr>
          <w:rFonts w:eastAsia="Times New Roman" w:cs="Arial"/>
          <w:color w:val="000000"/>
          <w:lang w:val="ru-RU"/>
        </w:rPr>
        <w:t xml:space="preserve"> </w:t>
      </w:r>
      <w:r w:rsidRPr="00E751EB">
        <w:rPr>
          <w:rFonts w:eastAsia="Times New Roman" w:cs="Arial"/>
          <w:color w:val="000000"/>
          <w:lang w:val="en-US"/>
        </w:rPr>
        <w:t>AUC</w:t>
      </w:r>
      <w:r w:rsidRPr="00E751EB">
        <w:rPr>
          <w:rFonts w:eastAsia="Times New Roman" w:cs="Arial"/>
          <w:color w:val="000000"/>
          <w:lang w:val="ru-RU"/>
        </w:rPr>
        <w:t>-</w:t>
      </w:r>
      <w:r w:rsidRPr="00E751EB">
        <w:rPr>
          <w:rFonts w:eastAsia="Times New Roman" w:cs="Arial"/>
          <w:color w:val="000000"/>
          <w:lang w:eastAsia="bg-BG"/>
        </w:rPr>
        <w:t xml:space="preserve"> 4-5 пъти по-висока, отколкото през първия ден от приема. Това вероятно се дължи донякъде на</w:t>
      </w:r>
    </w:p>
    <w:p w14:paraId="324DFB34" w14:textId="77777777" w:rsidR="00E751EB" w:rsidRPr="00E751EB" w:rsidRDefault="00E751EB" w:rsidP="00E751EB">
      <w:pPr>
        <w:rPr>
          <w:rFonts w:eastAsia="Times New Roman" w:cs="Arial"/>
        </w:rPr>
      </w:pPr>
      <w:r w:rsidRPr="00E751EB">
        <w:rPr>
          <w:rFonts w:eastAsia="Times New Roman" w:cs="Arial"/>
          <w:color w:val="000000"/>
          <w:lang w:eastAsia="bg-BG"/>
        </w:rPr>
        <w:t xml:space="preserve">повишената абсорбция вследствие на фармакодинамичния ефект на езомепразол, който повишава стомашното </w:t>
      </w:r>
      <w:r w:rsidRPr="00E751EB">
        <w:rPr>
          <w:rFonts w:eastAsia="Times New Roman" w:cs="Arial"/>
          <w:color w:val="000000"/>
          <w:lang w:val="en-US"/>
        </w:rPr>
        <w:t>pH</w:t>
      </w:r>
      <w:r w:rsidRPr="00E751EB">
        <w:rPr>
          <w:rFonts w:eastAsia="Times New Roman" w:cs="Arial"/>
          <w:color w:val="000000"/>
          <w:lang w:val="ru-RU"/>
        </w:rPr>
        <w:t xml:space="preserve">, </w:t>
      </w:r>
      <w:r w:rsidRPr="00E751EB">
        <w:rPr>
          <w:rFonts w:eastAsia="Times New Roman" w:cs="Arial"/>
          <w:color w:val="000000"/>
          <w:lang w:eastAsia="bg-BG"/>
        </w:rPr>
        <w:t>а това от своя страна води до намалено киселинно разграждане на</w:t>
      </w:r>
      <w:r w:rsidRPr="00E751EB">
        <w:rPr>
          <w:rFonts w:eastAsia="Times New Roman" w:cs="Arial"/>
          <w:color w:val="000000"/>
          <w:lang w:val="ru-RU" w:eastAsia="bg-BG"/>
        </w:rPr>
        <w:t xml:space="preserve"> </w:t>
      </w:r>
      <w:r w:rsidRPr="00E751EB">
        <w:rPr>
          <w:rFonts w:eastAsia="Times New Roman" w:cs="Arial"/>
          <w:color w:val="000000"/>
          <w:lang w:eastAsia="bg-BG"/>
        </w:rPr>
        <w:t>езомепразола в стомаха. Понижаването на метаболизирането при първото преминаване през черния дроб, както и на системния клирьнс на езомепразол при многократен прием също допринасят за повишаването на плазмената концентрация в равновесно състояние (вж. Линейност/нел инейност).</w:t>
      </w:r>
    </w:p>
    <w:p w14:paraId="4D3E1004" w14:textId="77777777" w:rsidR="00E751EB" w:rsidRPr="00E751EB" w:rsidRDefault="00E751EB" w:rsidP="00E751EB">
      <w:pPr>
        <w:spacing w:line="240" w:lineRule="auto"/>
        <w:rPr>
          <w:rFonts w:eastAsia="Times New Roman" w:cs="Arial"/>
          <w:color w:val="000000"/>
          <w:lang w:eastAsia="bg-BG"/>
        </w:rPr>
      </w:pPr>
    </w:p>
    <w:p w14:paraId="74AAC258" w14:textId="380FB275" w:rsidR="00E751EB" w:rsidRPr="00E751EB" w:rsidRDefault="00E751EB" w:rsidP="00E751EB">
      <w:pPr>
        <w:spacing w:line="240" w:lineRule="auto"/>
        <w:rPr>
          <w:rFonts w:eastAsia="Times New Roman" w:cs="Arial"/>
        </w:rPr>
      </w:pPr>
      <w:r w:rsidRPr="00E751EB">
        <w:rPr>
          <w:rFonts w:eastAsia="Times New Roman" w:cs="Arial"/>
          <w:color w:val="000000"/>
          <w:lang w:eastAsia="bg-BG"/>
        </w:rPr>
        <w:lastRenderedPageBreak/>
        <w:t xml:space="preserve">Въпреки че обхватът на </w:t>
      </w:r>
      <w:r w:rsidRPr="00E751EB">
        <w:rPr>
          <w:rFonts w:eastAsia="Times New Roman" w:cs="Arial"/>
          <w:color w:val="000000"/>
          <w:lang w:val="en-US"/>
        </w:rPr>
        <w:t>AUC</w:t>
      </w:r>
      <w:r w:rsidRPr="00E751EB">
        <w:rPr>
          <w:rFonts w:eastAsia="Times New Roman" w:cs="Arial"/>
          <w:color w:val="000000"/>
          <w:lang w:val="ru-RU"/>
        </w:rPr>
        <w:t xml:space="preserve"> </w:t>
      </w:r>
      <w:r w:rsidRPr="00E751EB">
        <w:rPr>
          <w:rFonts w:eastAsia="Times New Roman" w:cs="Arial"/>
          <w:color w:val="000000"/>
          <w:lang w:eastAsia="bg-BG"/>
        </w:rPr>
        <w:t xml:space="preserve">при равновесно състояние е сравним за Нексиум 20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веднъж дневно и Вимово два пъти дневно: съответно 292,0-2 279,0 </w:t>
      </w:r>
      <w:r w:rsidRPr="00E751EB">
        <w:rPr>
          <w:rFonts w:eastAsia="Times New Roman" w:cs="Arial"/>
          <w:color w:val="000000"/>
          <w:lang w:val="en-US"/>
        </w:rPr>
        <w:t>ng</w:t>
      </w:r>
      <w:r w:rsidRPr="00E751EB">
        <w:rPr>
          <w:rFonts w:eastAsia="Times New Roman" w:cs="Arial"/>
          <w:color w:val="000000"/>
          <w:lang w:val="ru-RU"/>
        </w:rPr>
        <w:t>/</w:t>
      </w:r>
      <w:r w:rsidRPr="00E751EB">
        <w:rPr>
          <w:rFonts w:eastAsia="Times New Roman" w:cs="Arial"/>
          <w:color w:val="000000"/>
          <w:lang w:val="en-US"/>
        </w:rPr>
        <w:t>ml</w:t>
      </w:r>
      <w:r w:rsidRPr="00E751EB">
        <w:rPr>
          <w:rFonts w:eastAsia="Times New Roman" w:cs="Arial"/>
          <w:color w:val="000000"/>
          <w:lang w:val="ru-RU"/>
        </w:rPr>
        <w:t xml:space="preserve"> </w:t>
      </w:r>
      <w:r w:rsidRPr="00E751EB">
        <w:rPr>
          <w:rFonts w:eastAsia="Times New Roman" w:cs="Arial"/>
          <w:color w:val="000000"/>
          <w:lang w:eastAsia="bg-BG"/>
        </w:rPr>
        <w:t xml:space="preserve">и 189,0-2 931,0 </w:t>
      </w:r>
      <w:r w:rsidRPr="00E751EB">
        <w:rPr>
          <w:rFonts w:eastAsia="Times New Roman" w:cs="Arial"/>
          <w:color w:val="000000"/>
          <w:lang w:val="en-US"/>
        </w:rPr>
        <w:t>ng</w:t>
      </w:r>
      <w:r w:rsidRPr="00E751EB">
        <w:rPr>
          <w:rFonts w:eastAsia="Times New Roman" w:cs="Arial"/>
          <w:color w:val="000000"/>
          <w:lang w:val="ru-RU"/>
        </w:rPr>
        <w:t>/</w:t>
      </w:r>
      <w:r w:rsidRPr="00E751EB">
        <w:rPr>
          <w:rFonts w:eastAsia="Times New Roman" w:cs="Arial"/>
          <w:color w:val="000000"/>
          <w:lang w:val="en-US"/>
        </w:rPr>
        <w:t>ml</w:t>
      </w:r>
      <w:r w:rsidRPr="00E751EB">
        <w:rPr>
          <w:rFonts w:eastAsia="Times New Roman" w:cs="Arial"/>
          <w:color w:val="000000"/>
          <w:lang w:val="ru-RU"/>
        </w:rPr>
        <w:t xml:space="preserve">, </w:t>
      </w:r>
      <w:r w:rsidRPr="00E751EB">
        <w:rPr>
          <w:rFonts w:eastAsia="Times New Roman" w:cs="Arial"/>
          <w:color w:val="000000"/>
          <w:lang w:eastAsia="bg-BG"/>
        </w:rPr>
        <w:t xml:space="preserve">средната експозиция е с 60% по-висока (ДИ: 1,28-1,93) за Вимово. Това може да се очаква поради различната обща доза езомепразол, която се дава като Вимово или Нексиум (40 срещу 20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С</w:t>
      </w:r>
      <w:r w:rsidRPr="00E751EB">
        <w:rPr>
          <w:rFonts w:eastAsia="Times New Roman" w:cs="Arial"/>
          <w:color w:val="000000"/>
          <w:vertAlign w:val="subscript"/>
          <w:lang w:val="en-US"/>
        </w:rPr>
        <w:t>max</w:t>
      </w:r>
      <w:r w:rsidRPr="00E751EB">
        <w:rPr>
          <w:rFonts w:eastAsia="Times New Roman" w:cs="Arial"/>
          <w:color w:val="000000"/>
          <w:lang w:eastAsia="bg-BG"/>
        </w:rPr>
        <w:t xml:space="preserve"> е с 60% по-висока (ДИ: 1,27-2,02) за Вимово, което се очаква за лекарствена форма с незабавно освобождаване.</w:t>
      </w:r>
    </w:p>
    <w:p w14:paraId="53CB7A9C" w14:textId="77777777" w:rsidR="00E751EB" w:rsidRPr="00E751EB" w:rsidRDefault="00E751EB" w:rsidP="00E751EB">
      <w:pPr>
        <w:spacing w:line="240" w:lineRule="auto"/>
        <w:rPr>
          <w:rFonts w:eastAsia="Times New Roman" w:cs="Arial"/>
          <w:i/>
          <w:iCs/>
          <w:color w:val="000000"/>
          <w:lang w:eastAsia="bg-BG"/>
        </w:rPr>
      </w:pPr>
    </w:p>
    <w:p w14:paraId="55EE9C9C" w14:textId="60F9374D"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Прием с храна</w:t>
      </w:r>
    </w:p>
    <w:p w14:paraId="3DFAE337"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Приемът на Вимово с храна не повлиява степента на абсорбция на напроксен, но я забавя - с около 8 часа, и намалява пиковата плазмена концентрация с 12%.</w:t>
      </w:r>
    </w:p>
    <w:p w14:paraId="62BD039F" w14:textId="77777777" w:rsidR="00E751EB" w:rsidRPr="00E751EB" w:rsidRDefault="00E751EB" w:rsidP="00E751EB">
      <w:pPr>
        <w:spacing w:line="240" w:lineRule="auto"/>
        <w:rPr>
          <w:rFonts w:eastAsia="Times New Roman" w:cs="Arial"/>
          <w:color w:val="000000"/>
          <w:lang w:eastAsia="bg-BG"/>
        </w:rPr>
      </w:pPr>
    </w:p>
    <w:p w14:paraId="5CEB86F3" w14:textId="402B9341" w:rsidR="00E751EB" w:rsidRPr="00E751EB" w:rsidRDefault="00E751EB" w:rsidP="00E751EB">
      <w:pPr>
        <w:spacing w:line="240" w:lineRule="auto"/>
        <w:rPr>
          <w:rFonts w:eastAsia="Times New Roman" w:cs="Arial"/>
        </w:rPr>
      </w:pPr>
      <w:r w:rsidRPr="00E751EB">
        <w:rPr>
          <w:rFonts w:eastAsia="Times New Roman" w:cs="Arial"/>
          <w:color w:val="000000"/>
          <w:lang w:eastAsia="bg-BG"/>
        </w:rPr>
        <w:t>Приложението на Вимово с храна не забавя резорбирането на езомепразол, но намалява значимо степента на абсорбция, което води до намаляване съответно с 52% и 75% на площта под кривата на плазмената концентрация в зависимост от времето и пиковата плазмена концентрация.</w:t>
      </w:r>
    </w:p>
    <w:p w14:paraId="399A8469" w14:textId="77777777" w:rsidR="00E751EB" w:rsidRPr="00E751EB" w:rsidRDefault="00E751EB" w:rsidP="00E751EB">
      <w:pPr>
        <w:spacing w:line="240" w:lineRule="auto"/>
        <w:rPr>
          <w:rFonts w:eastAsia="Times New Roman" w:cs="Arial"/>
          <w:color w:val="000000"/>
          <w:lang w:eastAsia="bg-BG"/>
        </w:rPr>
      </w:pPr>
    </w:p>
    <w:p w14:paraId="52A50D8A" w14:textId="0840D0E5" w:rsidR="00E751EB" w:rsidRPr="00E751EB" w:rsidRDefault="00E751EB" w:rsidP="00E751EB">
      <w:pPr>
        <w:spacing w:line="240" w:lineRule="auto"/>
        <w:rPr>
          <w:rFonts w:eastAsia="Times New Roman" w:cs="Arial"/>
        </w:rPr>
      </w:pPr>
      <w:r w:rsidRPr="00E751EB">
        <w:rPr>
          <w:rFonts w:eastAsia="Times New Roman" w:cs="Arial"/>
          <w:color w:val="000000"/>
          <w:lang w:eastAsia="bg-BG"/>
        </w:rPr>
        <w:t>Приемът на Вимово 30 минути преди хранене оказва само минимален или никакъв ефект върху степента и скоростта на абсорбция на напроксен, и не оказва значим ефект върху скоростта и степента на абсорбция на езомепразол в сравнение с приложението му в условия на гладуване (вж. точка 4.2).</w:t>
      </w:r>
    </w:p>
    <w:p w14:paraId="78DAC3DC" w14:textId="77777777" w:rsidR="00E751EB" w:rsidRPr="00E751EB" w:rsidRDefault="00E751EB" w:rsidP="00E751EB">
      <w:pPr>
        <w:spacing w:line="240" w:lineRule="auto"/>
        <w:rPr>
          <w:rFonts w:eastAsia="Times New Roman" w:cs="Arial"/>
          <w:color w:val="000000"/>
          <w:u w:val="single"/>
          <w:lang w:eastAsia="bg-BG"/>
        </w:rPr>
      </w:pPr>
    </w:p>
    <w:p w14:paraId="21054B3D" w14:textId="77D671DB" w:rsidR="00E751EB" w:rsidRPr="00E751EB" w:rsidRDefault="00E751EB" w:rsidP="00E751EB">
      <w:pPr>
        <w:pStyle w:val="Heading3"/>
        <w:rPr>
          <w:rFonts w:eastAsia="Times New Roman"/>
          <w:u w:val="single"/>
        </w:rPr>
      </w:pPr>
      <w:r w:rsidRPr="00E751EB">
        <w:rPr>
          <w:rFonts w:eastAsia="Times New Roman"/>
          <w:u w:val="single"/>
          <w:lang w:eastAsia="bg-BG"/>
        </w:rPr>
        <w:t>Разпределение</w:t>
      </w:r>
    </w:p>
    <w:p w14:paraId="63243069" w14:textId="77777777"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Напроксен</w:t>
      </w:r>
    </w:p>
    <w:p w14:paraId="7E621065"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Напроксен има обем на разпространение 0,16</w:t>
      </w:r>
      <w:r w:rsidRPr="00E751EB">
        <w:rPr>
          <w:rFonts w:eastAsia="Times New Roman" w:cs="Arial"/>
          <w:color w:val="000000"/>
          <w:lang w:val="ru-RU"/>
        </w:rPr>
        <w:t>1/</w:t>
      </w:r>
      <w:r w:rsidRPr="00E751EB">
        <w:rPr>
          <w:rFonts w:eastAsia="Times New Roman" w:cs="Arial"/>
          <w:color w:val="000000"/>
          <w:lang w:val="en-US"/>
        </w:rPr>
        <w:t>kg</w:t>
      </w:r>
      <w:r w:rsidRPr="00E751EB">
        <w:rPr>
          <w:rFonts w:eastAsia="Times New Roman" w:cs="Arial"/>
          <w:color w:val="000000"/>
          <w:lang w:val="ru-RU"/>
        </w:rPr>
        <w:t xml:space="preserve">. </w:t>
      </w:r>
      <w:r w:rsidRPr="00E751EB">
        <w:rPr>
          <w:rFonts w:eastAsia="Times New Roman" w:cs="Arial"/>
          <w:color w:val="000000"/>
          <w:lang w:eastAsia="bg-BG"/>
        </w:rPr>
        <w:t>В терапевтична доза над 99% от напроксена е свързан с албумин. Напроксеновият анион се открива в кърмата на кърмещи жени в концентрация, равна приблизително на 1% от максималната плазмена концентрация на напроксен (вж. точка 4.6).</w:t>
      </w:r>
    </w:p>
    <w:p w14:paraId="2DE1EC4F" w14:textId="77777777" w:rsidR="00E751EB" w:rsidRPr="00E751EB" w:rsidRDefault="00E751EB" w:rsidP="00E751EB">
      <w:pPr>
        <w:spacing w:line="240" w:lineRule="auto"/>
        <w:rPr>
          <w:rFonts w:eastAsia="Times New Roman" w:cs="Arial"/>
          <w:i/>
          <w:iCs/>
          <w:color w:val="000000"/>
          <w:lang w:eastAsia="bg-BG"/>
        </w:rPr>
      </w:pPr>
    </w:p>
    <w:p w14:paraId="131BF43F" w14:textId="7B98BEF0"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p>
    <w:p w14:paraId="3275CA9D"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При здрави хора привидният обем на разпределение в равновесно състояние е приблизително 0,22</w:t>
      </w:r>
      <w:r w:rsidRPr="00E751EB">
        <w:rPr>
          <w:rFonts w:eastAsia="Times New Roman" w:cs="Arial"/>
          <w:color w:val="000000"/>
          <w:lang w:val="ru-RU"/>
        </w:rPr>
        <w:t>1/</w:t>
      </w:r>
      <w:r w:rsidRPr="00E751EB">
        <w:rPr>
          <w:rFonts w:eastAsia="Times New Roman" w:cs="Arial"/>
          <w:color w:val="000000"/>
          <w:lang w:val="en-US"/>
        </w:rPr>
        <w:t>kg</w:t>
      </w:r>
      <w:r w:rsidRPr="00E751EB">
        <w:rPr>
          <w:rFonts w:eastAsia="Times New Roman" w:cs="Arial"/>
          <w:color w:val="000000"/>
          <w:lang w:val="ru-RU"/>
        </w:rPr>
        <w:t xml:space="preserve"> </w:t>
      </w:r>
      <w:r w:rsidRPr="00E751EB">
        <w:rPr>
          <w:rFonts w:eastAsia="Times New Roman" w:cs="Arial"/>
          <w:color w:val="000000"/>
          <w:lang w:eastAsia="bg-BG"/>
        </w:rPr>
        <w:t>телесна маса. 97% от плазмения езомепразол е свързан с плазмени протеини.</w:t>
      </w:r>
    </w:p>
    <w:p w14:paraId="7F3FE52F" w14:textId="77777777" w:rsidR="00E751EB" w:rsidRPr="00E751EB" w:rsidRDefault="00E751EB" w:rsidP="00E751EB">
      <w:pPr>
        <w:spacing w:line="240" w:lineRule="auto"/>
        <w:rPr>
          <w:rFonts w:eastAsia="Times New Roman" w:cs="Arial"/>
          <w:color w:val="000000"/>
          <w:u w:val="single"/>
          <w:lang w:eastAsia="bg-BG"/>
        </w:rPr>
      </w:pPr>
    </w:p>
    <w:p w14:paraId="6BEAA593" w14:textId="4F335490" w:rsidR="00E751EB" w:rsidRPr="00E751EB" w:rsidRDefault="00E751EB" w:rsidP="00E751EB">
      <w:pPr>
        <w:pStyle w:val="Heading3"/>
        <w:rPr>
          <w:rFonts w:eastAsia="Times New Roman"/>
          <w:u w:val="single"/>
        </w:rPr>
      </w:pPr>
      <w:r w:rsidRPr="00E751EB">
        <w:rPr>
          <w:rFonts w:eastAsia="Times New Roman"/>
          <w:u w:val="single"/>
          <w:lang w:eastAsia="bg-BG"/>
        </w:rPr>
        <w:t>Биотрансформаиия</w:t>
      </w:r>
    </w:p>
    <w:p w14:paraId="23DEEF9E" w14:textId="77777777"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Напроксен</w:t>
      </w:r>
    </w:p>
    <w:p w14:paraId="3A9B3393"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30% от напроксена се метаболизира в черния дроб от ензимите от системата на цитохром Р450 </w:t>
      </w:r>
      <w:r w:rsidRPr="00E751EB">
        <w:rPr>
          <w:rFonts w:eastAsia="Times New Roman" w:cs="Arial"/>
          <w:color w:val="000000"/>
          <w:lang w:val="ru-RU"/>
        </w:rPr>
        <w:t>(</w:t>
      </w:r>
      <w:r w:rsidRPr="00E751EB">
        <w:rPr>
          <w:rFonts w:eastAsia="Times New Roman" w:cs="Arial"/>
          <w:color w:val="000000"/>
          <w:lang w:val="en-US"/>
        </w:rPr>
        <w:t>CYP</w:t>
      </w:r>
      <w:r w:rsidRPr="00E751EB">
        <w:rPr>
          <w:rFonts w:eastAsia="Times New Roman" w:cs="Arial"/>
          <w:color w:val="000000"/>
          <w:lang w:val="ru-RU"/>
        </w:rPr>
        <w:t xml:space="preserve">), </w:t>
      </w:r>
      <w:r w:rsidRPr="00E751EB">
        <w:rPr>
          <w:rFonts w:eastAsia="Times New Roman" w:cs="Arial"/>
          <w:color w:val="000000"/>
          <w:lang w:eastAsia="bg-BG"/>
        </w:rPr>
        <w:t xml:space="preserve">главно от </w:t>
      </w:r>
      <w:r w:rsidRPr="00E751EB">
        <w:rPr>
          <w:rFonts w:eastAsia="Times New Roman" w:cs="Arial"/>
          <w:color w:val="000000"/>
          <w:lang w:val="en-US"/>
        </w:rPr>
        <w:t>CYP</w:t>
      </w:r>
      <w:r w:rsidRPr="00E751EB">
        <w:rPr>
          <w:rFonts w:eastAsia="Times New Roman" w:cs="Arial"/>
          <w:color w:val="000000"/>
          <w:lang w:val="ru-RU"/>
        </w:rPr>
        <w:t>2</w:t>
      </w:r>
      <w:r w:rsidRPr="00E751EB">
        <w:rPr>
          <w:rFonts w:eastAsia="Times New Roman" w:cs="Arial"/>
          <w:color w:val="000000"/>
          <w:lang w:val="en-US"/>
        </w:rPr>
        <w:t>C</w:t>
      </w:r>
      <w:r w:rsidRPr="00E751EB">
        <w:rPr>
          <w:rFonts w:eastAsia="Times New Roman" w:cs="Arial"/>
          <w:color w:val="000000"/>
          <w:lang w:val="ru-RU"/>
        </w:rPr>
        <w:t xml:space="preserve">9, </w:t>
      </w:r>
      <w:r w:rsidRPr="00E751EB">
        <w:rPr>
          <w:rFonts w:eastAsia="Times New Roman" w:cs="Arial"/>
          <w:color w:val="000000"/>
          <w:lang w:eastAsia="bg-BG"/>
        </w:rPr>
        <w:t>до 6-0-дезметилнапроксен. Нито непроменената молекула, нито метаболитите й индуцират метаболизиращите я ензими. Както напроксен, така и 6-0-дезметилнапроксен, се метаболизират впоследствие до съответните ацилглюкуронид-конюгирани метаболити.</w:t>
      </w:r>
    </w:p>
    <w:p w14:paraId="5D53E97C" w14:textId="77777777" w:rsidR="00E751EB" w:rsidRPr="00E751EB" w:rsidRDefault="00E751EB" w:rsidP="00E751EB">
      <w:pPr>
        <w:spacing w:line="240" w:lineRule="auto"/>
        <w:rPr>
          <w:rFonts w:eastAsia="Times New Roman" w:cs="Arial"/>
          <w:i/>
          <w:iCs/>
          <w:color w:val="000000"/>
          <w:lang w:eastAsia="bg-BG"/>
        </w:rPr>
      </w:pPr>
    </w:p>
    <w:p w14:paraId="6F166A90" w14:textId="51484A36"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p>
    <w:p w14:paraId="4A030030"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Езомепразол се метаболизира изцяло от </w:t>
      </w:r>
      <w:r w:rsidRPr="00E751EB">
        <w:rPr>
          <w:rFonts w:eastAsia="Times New Roman" w:cs="Arial"/>
          <w:color w:val="000000"/>
          <w:lang w:val="en-US"/>
        </w:rPr>
        <w:t>CYP</w:t>
      </w:r>
      <w:r w:rsidRPr="00E751EB">
        <w:rPr>
          <w:rFonts w:eastAsia="Times New Roman" w:cs="Arial"/>
          <w:color w:val="000000"/>
          <w:lang w:eastAsia="bg-BG"/>
        </w:rPr>
        <w:t xml:space="preserve">-системата. Основната част от метаболизирането на езомепразол зависи от полиморфния ензим </w:t>
      </w:r>
      <w:r w:rsidRPr="00E751EB">
        <w:rPr>
          <w:rFonts w:eastAsia="Times New Roman" w:cs="Arial"/>
          <w:color w:val="000000"/>
          <w:lang w:val="en-US"/>
        </w:rPr>
        <w:t>CYP</w:t>
      </w:r>
      <w:r w:rsidRPr="00E751EB">
        <w:rPr>
          <w:rFonts w:eastAsia="Times New Roman" w:cs="Arial"/>
          <w:color w:val="000000"/>
          <w:lang w:val="ru-RU"/>
        </w:rPr>
        <w:t>2</w:t>
      </w:r>
      <w:r w:rsidRPr="00E751EB">
        <w:rPr>
          <w:rFonts w:eastAsia="Times New Roman" w:cs="Arial"/>
          <w:color w:val="000000"/>
          <w:lang w:val="en-US"/>
        </w:rPr>
        <w:t>C</w:t>
      </w:r>
      <w:r w:rsidRPr="00E751EB">
        <w:rPr>
          <w:rFonts w:eastAsia="Times New Roman" w:cs="Arial"/>
          <w:color w:val="000000"/>
          <w:lang w:val="ru-RU"/>
        </w:rPr>
        <w:t xml:space="preserve">19, </w:t>
      </w:r>
      <w:r w:rsidRPr="00E751EB">
        <w:rPr>
          <w:rFonts w:eastAsia="Times New Roman" w:cs="Arial"/>
          <w:color w:val="000000"/>
          <w:lang w:eastAsia="bg-BG"/>
        </w:rPr>
        <w:t xml:space="preserve">отговорен за образуването на хидрокси- и дезметил-метаболити на езомепразол. Метаболизирането на останалото количество езомепразол зависи от друга специфична изоформа, </w:t>
      </w:r>
      <w:r w:rsidRPr="00E751EB">
        <w:rPr>
          <w:rFonts w:eastAsia="Times New Roman" w:cs="Arial"/>
          <w:color w:val="000000"/>
          <w:lang w:val="en-US"/>
        </w:rPr>
        <w:t>CYP</w:t>
      </w:r>
      <w:r w:rsidRPr="00E751EB">
        <w:rPr>
          <w:rFonts w:eastAsia="Times New Roman" w:cs="Arial"/>
          <w:color w:val="000000"/>
          <w:lang w:val="ru-RU"/>
        </w:rPr>
        <w:t>3</w:t>
      </w:r>
      <w:r w:rsidRPr="00E751EB">
        <w:rPr>
          <w:rFonts w:eastAsia="Times New Roman" w:cs="Arial"/>
          <w:color w:val="000000"/>
          <w:lang w:val="en-US"/>
        </w:rPr>
        <w:t>A</w:t>
      </w:r>
      <w:r w:rsidRPr="00E751EB">
        <w:rPr>
          <w:rFonts w:eastAsia="Times New Roman" w:cs="Arial"/>
          <w:color w:val="000000"/>
          <w:lang w:val="ru-RU"/>
        </w:rPr>
        <w:t xml:space="preserve">4, </w:t>
      </w:r>
      <w:r w:rsidRPr="00E751EB">
        <w:rPr>
          <w:rFonts w:eastAsia="Times New Roman" w:cs="Arial"/>
          <w:color w:val="000000"/>
          <w:lang w:eastAsia="bg-BG"/>
        </w:rPr>
        <w:t>отговорна за образуването на</w:t>
      </w:r>
    </w:p>
    <w:p w14:paraId="702AFE3D"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езомепразол-сулфон, основният плазмен метаболит. Основните метаболити на езомепразол не оказват ефект върху стомашната киселинна секреция.</w:t>
      </w:r>
    </w:p>
    <w:p w14:paraId="3C684AF8" w14:textId="77777777" w:rsidR="00E751EB" w:rsidRPr="00E751EB" w:rsidRDefault="00E751EB" w:rsidP="00E751EB">
      <w:pPr>
        <w:spacing w:line="240" w:lineRule="auto"/>
        <w:rPr>
          <w:rFonts w:eastAsia="Times New Roman" w:cs="Arial"/>
        </w:rPr>
      </w:pPr>
    </w:p>
    <w:p w14:paraId="0810D9A6" w14:textId="77777777" w:rsidR="00E751EB" w:rsidRPr="00E751EB" w:rsidRDefault="00E751EB" w:rsidP="00E751EB">
      <w:pPr>
        <w:pStyle w:val="Heading3"/>
        <w:rPr>
          <w:rFonts w:eastAsia="Times New Roman"/>
          <w:u w:val="single"/>
        </w:rPr>
      </w:pPr>
      <w:r w:rsidRPr="00E751EB">
        <w:rPr>
          <w:rFonts w:eastAsia="Times New Roman"/>
          <w:u w:val="single"/>
          <w:lang w:eastAsia="bg-BG"/>
        </w:rPr>
        <w:lastRenderedPageBreak/>
        <w:t>Елиминиране</w:t>
      </w:r>
    </w:p>
    <w:p w14:paraId="61F1DDAA" w14:textId="77311B27" w:rsidR="00E751EB" w:rsidRPr="00E751EB" w:rsidRDefault="00E751EB" w:rsidP="00E751EB">
      <w:pPr>
        <w:spacing w:line="240" w:lineRule="auto"/>
        <w:rPr>
          <w:rFonts w:eastAsia="Times New Roman" w:cs="Arial"/>
          <w:i/>
          <w:iCs/>
          <w:color w:val="000000"/>
          <w:lang w:eastAsia="bg-BG"/>
        </w:rPr>
      </w:pPr>
      <w:r w:rsidRPr="00E751EB">
        <w:rPr>
          <w:rFonts w:eastAsia="Times New Roman" w:cs="Arial"/>
          <w:i/>
          <w:iCs/>
          <w:color w:val="000000"/>
          <w:lang w:eastAsia="bg-BG"/>
        </w:rPr>
        <w:t>Напроксен</w:t>
      </w:r>
    </w:p>
    <w:p w14:paraId="31EB9098" w14:textId="3516E093" w:rsidR="00E751EB" w:rsidRPr="00E751EB" w:rsidRDefault="00E751EB" w:rsidP="00E751EB">
      <w:pPr>
        <w:spacing w:line="240" w:lineRule="auto"/>
        <w:rPr>
          <w:rFonts w:eastAsia="Times New Roman" w:cs="Arial"/>
          <w:i/>
          <w:iCs/>
          <w:color w:val="000000"/>
          <w:lang w:eastAsia="bg-BG"/>
        </w:rPr>
      </w:pPr>
    </w:p>
    <w:p w14:paraId="5BE2E6AB"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Средният елиминационен полуживот на напроксен след прием на Вимово два пъти дневно е приблизително 9 часа и 15 часа - съответно след сутрешната и вечерната доза, като при многократен прием не се променя.</w:t>
      </w:r>
    </w:p>
    <w:p w14:paraId="47A03A22" w14:textId="77777777" w:rsidR="00E751EB" w:rsidRPr="00E751EB" w:rsidRDefault="00E751EB" w:rsidP="00E751EB">
      <w:pPr>
        <w:spacing w:line="240" w:lineRule="auto"/>
        <w:rPr>
          <w:rFonts w:eastAsia="Times New Roman" w:cs="Arial"/>
          <w:color w:val="000000"/>
          <w:lang w:eastAsia="bg-BG"/>
        </w:rPr>
      </w:pPr>
    </w:p>
    <w:p w14:paraId="2AB81D9E" w14:textId="39FA050B"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Клирънсът на напроксен е 0,13 </w:t>
      </w:r>
      <w:r w:rsidRPr="00E751EB">
        <w:rPr>
          <w:rFonts w:eastAsia="Times New Roman" w:cs="Arial"/>
          <w:color w:val="000000"/>
          <w:lang w:val="en-US"/>
        </w:rPr>
        <w:t>ml</w:t>
      </w:r>
      <w:r w:rsidRPr="00E751EB">
        <w:rPr>
          <w:rFonts w:eastAsia="Times New Roman" w:cs="Arial"/>
          <w:color w:val="000000"/>
          <w:lang w:val="ru-RU"/>
        </w:rPr>
        <w:t>/</w:t>
      </w:r>
      <w:r w:rsidRPr="00E751EB">
        <w:rPr>
          <w:rFonts w:eastAsia="Times New Roman" w:cs="Arial"/>
          <w:color w:val="000000"/>
          <w:lang w:val="en-US"/>
        </w:rPr>
        <w:t>min</w:t>
      </w:r>
      <w:r w:rsidRPr="00E751EB">
        <w:rPr>
          <w:rFonts w:eastAsia="Times New Roman" w:cs="Arial"/>
          <w:color w:val="000000"/>
          <w:lang w:val="ru-RU"/>
        </w:rPr>
        <w:t>/</w:t>
      </w:r>
      <w:r w:rsidRPr="00E751EB">
        <w:rPr>
          <w:rFonts w:eastAsia="Times New Roman" w:cs="Arial"/>
          <w:color w:val="000000"/>
          <w:lang w:val="en-US"/>
        </w:rPr>
        <w:t>kg</w:t>
      </w:r>
      <w:r w:rsidRPr="00E751EB">
        <w:rPr>
          <w:rFonts w:eastAsia="Times New Roman" w:cs="Arial"/>
          <w:color w:val="000000"/>
          <w:lang w:val="ru-RU"/>
        </w:rPr>
        <w:t xml:space="preserve">. </w:t>
      </w:r>
      <w:r w:rsidRPr="00E751EB">
        <w:rPr>
          <w:rFonts w:eastAsia="Times New Roman" w:cs="Arial"/>
          <w:color w:val="000000"/>
          <w:lang w:eastAsia="bg-BG"/>
        </w:rPr>
        <w:t>Приблизително 95% от приетия с която и да е доза напроксен се излъчва в урината, главно като напроксен (&lt; 1%), 6-0-дезметилнапроксен (&lt; 1%) или техни конюгати (66 до 92%). Малко количество - 3% или по-малко от приетата доза, се екскретира с изпражненията. При пациенти с бъбречна недостатъчност метаболитите може да кумулират (вж. точка 4.4).</w:t>
      </w:r>
    </w:p>
    <w:p w14:paraId="0631A7AB" w14:textId="77777777" w:rsidR="00E751EB" w:rsidRPr="00E751EB" w:rsidRDefault="00E751EB" w:rsidP="00E751EB">
      <w:pPr>
        <w:spacing w:line="240" w:lineRule="auto"/>
        <w:rPr>
          <w:rFonts w:eastAsia="Times New Roman" w:cs="Arial"/>
          <w:i/>
          <w:iCs/>
          <w:color w:val="000000"/>
          <w:lang w:eastAsia="bg-BG"/>
        </w:rPr>
      </w:pPr>
    </w:p>
    <w:p w14:paraId="7454F4A9" w14:textId="684DA7F7"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p>
    <w:p w14:paraId="7A3AF56C"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През първия ден от лечението средният елиминационен полуживот на езомепразол след прием на Вимово два пъти дневно е приблизително 1 час, както след сутрешната, така и след вечерната доза, с леко удължаване на елиминационния полуживот при достигане на равновесно състояние (1,2-1,5 часа).</w:t>
      </w:r>
    </w:p>
    <w:p w14:paraId="66B4AE06" w14:textId="77777777" w:rsidR="00E751EB" w:rsidRPr="00E751EB" w:rsidRDefault="00E751EB" w:rsidP="00E751EB">
      <w:pPr>
        <w:spacing w:line="240" w:lineRule="auto"/>
        <w:rPr>
          <w:rFonts w:eastAsia="Times New Roman" w:cs="Arial"/>
          <w:color w:val="000000"/>
          <w:lang w:eastAsia="bg-BG"/>
        </w:rPr>
      </w:pPr>
    </w:p>
    <w:p w14:paraId="42E61E28" w14:textId="68E2FA99"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Тоталният плазмен клирьнс на езомепразол е около 17 </w:t>
      </w:r>
      <w:r w:rsidRPr="00E751EB">
        <w:rPr>
          <w:rFonts w:eastAsia="Times New Roman" w:cs="Arial"/>
          <w:color w:val="000000"/>
          <w:lang w:val="en-US"/>
        </w:rPr>
        <w:t>l</w:t>
      </w:r>
      <w:r w:rsidRPr="00E751EB">
        <w:rPr>
          <w:rFonts w:eastAsia="Times New Roman" w:cs="Arial"/>
          <w:color w:val="000000"/>
          <w:lang w:val="ru-RU"/>
        </w:rPr>
        <w:t>/</w:t>
      </w:r>
      <w:r w:rsidRPr="00E751EB">
        <w:rPr>
          <w:rFonts w:eastAsia="Times New Roman" w:cs="Arial"/>
          <w:color w:val="000000"/>
          <w:lang w:val="en-US"/>
        </w:rPr>
        <w:t>h</w:t>
      </w:r>
      <w:r w:rsidRPr="00E751EB">
        <w:rPr>
          <w:rFonts w:eastAsia="Times New Roman" w:cs="Arial"/>
          <w:color w:val="000000"/>
          <w:lang w:val="ru-RU"/>
        </w:rPr>
        <w:t xml:space="preserve"> </w:t>
      </w:r>
      <w:r w:rsidRPr="00E751EB">
        <w:rPr>
          <w:rFonts w:eastAsia="Times New Roman" w:cs="Arial"/>
          <w:color w:val="000000"/>
          <w:lang w:eastAsia="bg-BG"/>
        </w:rPr>
        <w:t>след еднократен прием и около 9</w:t>
      </w:r>
      <w:r w:rsidRPr="00E751EB">
        <w:rPr>
          <w:rFonts w:eastAsia="Times New Roman" w:cs="Arial"/>
          <w:color w:val="000000"/>
          <w:lang w:val="ru-RU"/>
        </w:rPr>
        <w:t xml:space="preserve"> </w:t>
      </w:r>
      <w:r w:rsidRPr="00E751EB">
        <w:rPr>
          <w:rFonts w:eastAsia="Times New Roman" w:cs="Arial"/>
          <w:color w:val="000000"/>
          <w:lang w:val="en-US"/>
        </w:rPr>
        <w:t>l</w:t>
      </w:r>
      <w:r w:rsidRPr="00E751EB">
        <w:rPr>
          <w:rFonts w:eastAsia="Times New Roman" w:cs="Arial"/>
          <w:color w:val="000000"/>
          <w:lang w:val="ru-RU"/>
        </w:rPr>
        <w:t>/</w:t>
      </w:r>
      <w:r w:rsidRPr="00E751EB">
        <w:rPr>
          <w:rFonts w:eastAsia="Times New Roman" w:cs="Arial"/>
          <w:color w:val="000000"/>
          <w:lang w:val="en-US"/>
        </w:rPr>
        <w:t>h</w:t>
      </w:r>
      <w:r w:rsidRPr="00E751EB">
        <w:rPr>
          <w:rFonts w:eastAsia="Times New Roman" w:cs="Arial"/>
          <w:color w:val="000000"/>
          <w:lang w:val="ru-RU"/>
        </w:rPr>
        <w:t xml:space="preserve"> </w:t>
      </w:r>
      <w:r w:rsidRPr="00E751EB">
        <w:rPr>
          <w:rFonts w:eastAsia="Times New Roman" w:cs="Arial"/>
          <w:color w:val="000000"/>
          <w:lang w:eastAsia="bg-BG"/>
        </w:rPr>
        <w:t>при многократен прием.</w:t>
      </w:r>
    </w:p>
    <w:p w14:paraId="581D7E9A" w14:textId="77777777" w:rsidR="00E751EB" w:rsidRPr="00E751EB" w:rsidRDefault="00E751EB" w:rsidP="00E751EB">
      <w:pPr>
        <w:spacing w:line="240" w:lineRule="auto"/>
        <w:rPr>
          <w:rFonts w:eastAsia="Times New Roman" w:cs="Arial"/>
          <w:color w:val="000000"/>
          <w:lang w:eastAsia="bg-BG"/>
        </w:rPr>
      </w:pPr>
    </w:p>
    <w:p w14:paraId="111FA9FE" w14:textId="3C851258" w:rsidR="00E751EB" w:rsidRPr="00E751EB" w:rsidRDefault="00E751EB" w:rsidP="00E751EB">
      <w:pPr>
        <w:spacing w:line="240" w:lineRule="auto"/>
        <w:rPr>
          <w:rFonts w:eastAsia="Times New Roman" w:cs="Arial"/>
        </w:rPr>
      </w:pPr>
      <w:r w:rsidRPr="00E751EB">
        <w:rPr>
          <w:rFonts w:eastAsia="Times New Roman" w:cs="Arial"/>
          <w:color w:val="000000"/>
          <w:lang w:eastAsia="bg-BG"/>
        </w:rPr>
        <w:t>Почти 80% от приетия през устата езомепразол се екскретира в урината като метаболити, останалата част се екскретира в изпражненията. Под 1 % от дозата се открива непроменена в урината.</w:t>
      </w:r>
    </w:p>
    <w:p w14:paraId="45C75E58" w14:textId="77777777" w:rsidR="00E751EB" w:rsidRPr="00E751EB" w:rsidRDefault="00E751EB" w:rsidP="00E751EB">
      <w:pPr>
        <w:spacing w:line="240" w:lineRule="auto"/>
        <w:rPr>
          <w:rFonts w:eastAsia="Times New Roman" w:cs="Arial"/>
          <w:color w:val="000000"/>
          <w:u w:val="single"/>
          <w:lang w:eastAsia="bg-BG"/>
        </w:rPr>
      </w:pPr>
    </w:p>
    <w:p w14:paraId="06C9375D" w14:textId="7E8EC277" w:rsidR="00E751EB" w:rsidRPr="00E751EB" w:rsidRDefault="00E751EB" w:rsidP="00E751EB">
      <w:pPr>
        <w:spacing w:line="240" w:lineRule="auto"/>
        <w:rPr>
          <w:rFonts w:eastAsia="Times New Roman" w:cs="Arial"/>
        </w:rPr>
      </w:pPr>
      <w:r w:rsidRPr="00E751EB">
        <w:rPr>
          <w:rFonts w:eastAsia="Times New Roman" w:cs="Arial"/>
          <w:color w:val="000000"/>
          <w:u w:val="single"/>
          <w:lang w:eastAsia="bg-BG"/>
        </w:rPr>
        <w:t>Линейност/нелинейност</w:t>
      </w:r>
    </w:p>
    <w:p w14:paraId="705DA633" w14:textId="77777777"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Напроксен</w:t>
      </w:r>
    </w:p>
    <w:p w14:paraId="53BDF44D"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При дози на напроксен, надвишаващи 500 </w:t>
      </w:r>
      <w:r w:rsidRPr="00E751EB">
        <w:rPr>
          <w:rFonts w:eastAsia="Times New Roman" w:cs="Arial"/>
          <w:color w:val="000000"/>
          <w:lang w:val="en-US"/>
        </w:rPr>
        <w:t>mg</w:t>
      </w:r>
      <w:r w:rsidRPr="00E751EB">
        <w:rPr>
          <w:rFonts w:eastAsia="Times New Roman" w:cs="Arial"/>
          <w:color w:val="000000"/>
          <w:lang w:eastAsia="bg-BG"/>
        </w:rPr>
        <w:t xml:space="preserve">/дневно, плазмената концентрация не се повишава пропорционално поради повишаването на клирънса в резултат на насищането на плазмените протеини при по-висока доза (средни </w:t>
      </w:r>
      <w:proofErr w:type="spellStart"/>
      <w:r w:rsidRPr="00E751EB">
        <w:rPr>
          <w:rFonts w:eastAsia="Times New Roman" w:cs="Arial"/>
          <w:color w:val="000000"/>
          <w:lang w:val="en-US"/>
        </w:rPr>
        <w:t>Css</w:t>
      </w:r>
      <w:proofErr w:type="spellEnd"/>
      <w:r w:rsidRPr="00E751EB">
        <w:rPr>
          <w:rFonts w:eastAsia="Times New Roman" w:cs="Arial"/>
          <w:color w:val="000000"/>
          <w:lang w:val="ru-RU"/>
        </w:rPr>
        <w:t xml:space="preserve"> </w:t>
      </w:r>
      <w:r w:rsidRPr="00E751EB">
        <w:rPr>
          <w:rFonts w:eastAsia="Times New Roman" w:cs="Arial"/>
          <w:color w:val="000000"/>
          <w:lang w:eastAsia="bg-BG"/>
        </w:rPr>
        <w:t xml:space="preserve">преди приема на следващата доза - съответно 36,5 </w:t>
      </w:r>
      <w:r w:rsidRPr="00E751EB">
        <w:rPr>
          <w:rFonts w:eastAsia="Times New Roman" w:cs="Arial"/>
          <w:color w:val="000000"/>
          <w:lang w:val="en-US"/>
        </w:rPr>
        <w:t>mg</w:t>
      </w:r>
      <w:r w:rsidRPr="00E751EB">
        <w:rPr>
          <w:rFonts w:eastAsia="Times New Roman" w:cs="Arial"/>
          <w:color w:val="000000"/>
          <w:lang w:val="ru-RU"/>
        </w:rPr>
        <w:t>/1,</w:t>
      </w:r>
      <w:r w:rsidRPr="00E751EB">
        <w:rPr>
          <w:rFonts w:eastAsia="Times New Roman" w:cs="Arial"/>
          <w:color w:val="000000"/>
          <w:lang w:eastAsia="bg-BG"/>
        </w:rPr>
        <w:t xml:space="preserve">49,2 </w:t>
      </w:r>
      <w:r w:rsidRPr="00E751EB">
        <w:rPr>
          <w:rFonts w:eastAsia="Times New Roman" w:cs="Arial"/>
          <w:color w:val="000000"/>
          <w:lang w:val="en-US"/>
        </w:rPr>
        <w:t>mg</w:t>
      </w:r>
      <w:r w:rsidRPr="00E751EB">
        <w:rPr>
          <w:rFonts w:eastAsia="Times New Roman" w:cs="Arial"/>
          <w:color w:val="000000"/>
          <w:lang w:val="ru-RU"/>
        </w:rPr>
        <w:t>/</w:t>
      </w:r>
      <w:r w:rsidRPr="00E751EB">
        <w:rPr>
          <w:rFonts w:eastAsia="Times New Roman" w:cs="Arial"/>
          <w:color w:val="000000"/>
          <w:lang w:val="en-US"/>
        </w:rPr>
        <w:t>l</w:t>
      </w:r>
      <w:r w:rsidRPr="00E751EB">
        <w:rPr>
          <w:rFonts w:eastAsia="Times New Roman" w:cs="Arial"/>
          <w:color w:val="000000"/>
          <w:lang w:val="ru-RU"/>
        </w:rPr>
        <w:t xml:space="preserve"> </w:t>
      </w:r>
      <w:r w:rsidRPr="00E751EB">
        <w:rPr>
          <w:rFonts w:eastAsia="Times New Roman" w:cs="Arial"/>
          <w:color w:val="000000"/>
          <w:lang w:eastAsia="bg-BG"/>
        </w:rPr>
        <w:t xml:space="preserve">и 56,4 </w:t>
      </w:r>
      <w:r w:rsidRPr="00E751EB">
        <w:rPr>
          <w:rFonts w:eastAsia="Times New Roman" w:cs="Arial"/>
          <w:color w:val="000000"/>
          <w:lang w:val="en-US"/>
        </w:rPr>
        <w:t>mg</w:t>
      </w:r>
      <w:r w:rsidRPr="00E751EB">
        <w:rPr>
          <w:rFonts w:eastAsia="Times New Roman" w:cs="Arial"/>
          <w:color w:val="000000"/>
          <w:lang w:val="ru-RU"/>
        </w:rPr>
        <w:t>/</w:t>
      </w:r>
      <w:r w:rsidRPr="00E751EB">
        <w:rPr>
          <w:rFonts w:eastAsia="Times New Roman" w:cs="Arial"/>
          <w:color w:val="000000"/>
          <w:lang w:val="en-US"/>
        </w:rPr>
        <w:t>l</w:t>
      </w:r>
      <w:r w:rsidRPr="00E751EB">
        <w:rPr>
          <w:rFonts w:eastAsia="Times New Roman" w:cs="Arial"/>
          <w:color w:val="000000"/>
          <w:lang w:val="ru-RU"/>
        </w:rPr>
        <w:t xml:space="preserve"> </w:t>
      </w:r>
      <w:r w:rsidRPr="00E751EB">
        <w:rPr>
          <w:rFonts w:eastAsia="Times New Roman" w:cs="Arial"/>
          <w:color w:val="000000"/>
          <w:lang w:eastAsia="bg-BG"/>
        </w:rPr>
        <w:t xml:space="preserve">при дневна доза напроксен 500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1 000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и 1 500 </w:t>
      </w:r>
      <w:r w:rsidRPr="00E751EB">
        <w:rPr>
          <w:rFonts w:eastAsia="Times New Roman" w:cs="Arial"/>
          <w:color w:val="000000"/>
          <w:lang w:val="en-US"/>
        </w:rPr>
        <w:t>mg</w:t>
      </w:r>
      <w:r w:rsidRPr="00E751EB">
        <w:rPr>
          <w:rFonts w:eastAsia="Times New Roman" w:cs="Arial"/>
          <w:color w:val="000000"/>
          <w:lang w:val="ru-RU"/>
        </w:rPr>
        <w:t>).</w:t>
      </w:r>
    </w:p>
    <w:p w14:paraId="6C89EE02" w14:textId="77777777" w:rsidR="00E751EB" w:rsidRPr="00E751EB" w:rsidRDefault="00E751EB" w:rsidP="00E751EB">
      <w:pPr>
        <w:spacing w:line="240" w:lineRule="auto"/>
        <w:rPr>
          <w:rFonts w:eastAsia="Times New Roman" w:cs="Arial"/>
          <w:i/>
          <w:iCs/>
          <w:color w:val="000000"/>
          <w:lang w:eastAsia="bg-BG"/>
        </w:rPr>
      </w:pPr>
    </w:p>
    <w:p w14:paraId="39521EE4" w14:textId="0C7B2D6A"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p>
    <w:p w14:paraId="1E77E068"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 xml:space="preserve">При многократен прием на Вимово площта под кривата на концентрацията на езомепразол в зависимост от времето се увеличава. Това увеличение е дозо-зависимо, като при многократен прием връзката между дозата и </w:t>
      </w:r>
      <w:r w:rsidRPr="00E751EB">
        <w:rPr>
          <w:rFonts w:eastAsia="Times New Roman" w:cs="Arial"/>
          <w:color w:val="000000"/>
          <w:lang w:val="en-US"/>
        </w:rPr>
        <w:t>AUC</w:t>
      </w:r>
      <w:r w:rsidRPr="00E751EB">
        <w:rPr>
          <w:rFonts w:eastAsia="Times New Roman" w:cs="Arial"/>
          <w:color w:val="000000"/>
          <w:lang w:val="ru-RU"/>
        </w:rPr>
        <w:t xml:space="preserve"> </w:t>
      </w:r>
      <w:r w:rsidRPr="00E751EB">
        <w:rPr>
          <w:rFonts w:eastAsia="Times New Roman" w:cs="Arial"/>
          <w:color w:val="000000"/>
          <w:lang w:eastAsia="bg-BG"/>
        </w:rPr>
        <w:t>е нелинейна. Зависимостта от времето и приетата доза се дължи частично на намаляването на метаболизирането при първото преминаване през черния дроб, и намаляването на системния клирьнс, вероятно поради инхибиране на</w:t>
      </w:r>
      <w:r w:rsidRPr="00E751EB">
        <w:rPr>
          <w:rFonts w:eastAsia="Times New Roman" w:cs="Arial"/>
          <w:color w:val="000000"/>
          <w:lang w:val="ru-RU"/>
        </w:rPr>
        <w:t xml:space="preserve"> </w:t>
      </w:r>
      <w:r w:rsidRPr="00E751EB">
        <w:rPr>
          <w:rFonts w:eastAsia="Times New Roman" w:cs="Arial"/>
          <w:color w:val="000000"/>
          <w:lang w:eastAsia="bg-BG"/>
        </w:rPr>
        <w:t>СУР2С19 от езомепразол и/или сулфон-метаболита му. За зависимостта от времето и приетата доза вероятно допринася и засилената абсорбция на езомепразол при многократен прием на Вимово (вж. Абсорбция).</w:t>
      </w:r>
    </w:p>
    <w:p w14:paraId="0401DC3C" w14:textId="77777777" w:rsidR="00E751EB" w:rsidRPr="00E751EB" w:rsidRDefault="00E751EB" w:rsidP="00E751EB">
      <w:pPr>
        <w:spacing w:line="240" w:lineRule="auto"/>
        <w:rPr>
          <w:rFonts w:eastAsia="Times New Roman" w:cs="Arial"/>
          <w:color w:val="000000"/>
          <w:u w:val="single"/>
          <w:lang w:eastAsia="bg-BG"/>
        </w:rPr>
      </w:pPr>
    </w:p>
    <w:p w14:paraId="77E8A582" w14:textId="027CACE7" w:rsidR="00E751EB" w:rsidRPr="00E751EB" w:rsidRDefault="00E751EB" w:rsidP="00E751EB">
      <w:pPr>
        <w:spacing w:line="240" w:lineRule="auto"/>
        <w:rPr>
          <w:rFonts w:eastAsia="Times New Roman" w:cs="Arial"/>
        </w:rPr>
      </w:pPr>
      <w:r w:rsidRPr="00E751EB">
        <w:rPr>
          <w:rFonts w:eastAsia="Times New Roman" w:cs="Arial"/>
          <w:color w:val="000000"/>
          <w:u w:val="single"/>
          <w:lang w:eastAsia="bg-BG"/>
        </w:rPr>
        <w:t>Специални популации</w:t>
      </w:r>
    </w:p>
    <w:p w14:paraId="3322611E" w14:textId="77777777" w:rsidR="00E751EB" w:rsidRPr="00E751EB" w:rsidRDefault="00E751EB" w:rsidP="00E751EB">
      <w:pPr>
        <w:spacing w:line="240" w:lineRule="auto"/>
        <w:rPr>
          <w:rFonts w:eastAsia="Times New Roman" w:cs="Arial"/>
        </w:rPr>
      </w:pPr>
      <w:r w:rsidRPr="00E751EB">
        <w:rPr>
          <w:rFonts w:eastAsia="Times New Roman" w:cs="Arial"/>
          <w:i/>
          <w:iCs/>
          <w:color w:val="000000"/>
          <w:u w:val="single"/>
          <w:lang w:eastAsia="bg-BG"/>
        </w:rPr>
        <w:t>Бъбречно увреждане</w:t>
      </w:r>
    </w:p>
    <w:p w14:paraId="48F47D29"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Фармакокинетиката на Вимово не е определяна при пациенти с бъбречно увреждане.</w:t>
      </w:r>
    </w:p>
    <w:p w14:paraId="51B35F85" w14:textId="77777777" w:rsidR="00E751EB" w:rsidRPr="00E751EB" w:rsidRDefault="00E751EB" w:rsidP="00E751EB">
      <w:pPr>
        <w:spacing w:line="240" w:lineRule="auto"/>
        <w:rPr>
          <w:rFonts w:eastAsia="Times New Roman" w:cs="Arial"/>
          <w:i/>
          <w:iCs/>
          <w:color w:val="000000"/>
          <w:lang w:eastAsia="bg-BG"/>
        </w:rPr>
      </w:pPr>
    </w:p>
    <w:p w14:paraId="66726FC0" w14:textId="566A93C2"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Напроксен:</w:t>
      </w:r>
      <w:r w:rsidRPr="00E751EB">
        <w:rPr>
          <w:rFonts w:eastAsia="Times New Roman" w:cs="Arial"/>
          <w:color w:val="000000"/>
          <w:lang w:eastAsia="bg-BG"/>
        </w:rPr>
        <w:t xml:space="preserve"> Фармакокинетиката на напроксен не е определяна при пациенти с бъбречно увреждане.</w:t>
      </w:r>
    </w:p>
    <w:p w14:paraId="479E4F76" w14:textId="77777777" w:rsidR="00E751EB" w:rsidRPr="00E751EB" w:rsidRDefault="00E751EB" w:rsidP="00E751EB">
      <w:pPr>
        <w:spacing w:line="240" w:lineRule="auto"/>
        <w:rPr>
          <w:rFonts w:eastAsia="Times New Roman" w:cs="Arial"/>
          <w:color w:val="000000"/>
          <w:lang w:eastAsia="bg-BG"/>
        </w:rPr>
      </w:pPr>
    </w:p>
    <w:p w14:paraId="4F35FB21" w14:textId="69644B01" w:rsidR="00E751EB" w:rsidRPr="00E751EB" w:rsidRDefault="00E751EB" w:rsidP="00E751EB">
      <w:pPr>
        <w:spacing w:line="240" w:lineRule="auto"/>
        <w:rPr>
          <w:rFonts w:eastAsia="Times New Roman" w:cs="Arial"/>
        </w:rPr>
      </w:pPr>
      <w:r w:rsidRPr="00E751EB">
        <w:rPr>
          <w:rFonts w:eastAsia="Times New Roman" w:cs="Arial"/>
          <w:color w:val="000000"/>
          <w:lang w:eastAsia="bg-BG"/>
        </w:rPr>
        <w:lastRenderedPageBreak/>
        <w:t>Като се има предвид, че напроксен, метаболитите му и конюгатите им се скскретират основно от бъбрека, съществува вероятност при бъбречна недостатъчност метаболитите на напроксен да кумулират. При пациенти с тежко бъбречно увреждане елиминацията на напроксен е намалена.</w:t>
      </w:r>
      <w:r w:rsidRPr="00E751EB">
        <w:rPr>
          <w:rFonts w:eastAsia="Times New Roman" w:cs="Arial"/>
          <w:color w:val="000000"/>
          <w:u w:val="single"/>
          <w:lang w:eastAsia="bg-BG"/>
        </w:rPr>
        <w:t xml:space="preserve"> </w:t>
      </w:r>
      <w:r w:rsidRPr="00E751EB">
        <w:rPr>
          <w:rFonts w:eastAsia="Times New Roman" w:cs="Arial"/>
          <w:color w:val="000000"/>
          <w:lang w:eastAsia="bg-BG"/>
        </w:rPr>
        <w:t xml:space="preserve">Употребата на Вимово при пациенти с тежко бъбречно увреждане (креатининов клирънс &lt; 30 </w:t>
      </w:r>
      <w:r w:rsidRPr="00E751EB">
        <w:rPr>
          <w:rFonts w:eastAsia="Times New Roman" w:cs="Arial"/>
          <w:color w:val="000000"/>
          <w:lang w:val="en-US"/>
        </w:rPr>
        <w:t>ml</w:t>
      </w:r>
      <w:r w:rsidRPr="00E751EB">
        <w:rPr>
          <w:rFonts w:eastAsia="Times New Roman" w:cs="Arial"/>
          <w:color w:val="000000"/>
          <w:lang w:val="ru-RU"/>
        </w:rPr>
        <w:t>/</w:t>
      </w:r>
      <w:r w:rsidRPr="00E751EB">
        <w:rPr>
          <w:rFonts w:eastAsia="Times New Roman" w:cs="Arial"/>
          <w:color w:val="000000"/>
          <w:lang w:val="en-US"/>
        </w:rPr>
        <w:t>min</w:t>
      </w:r>
      <w:r w:rsidRPr="00E751EB">
        <w:rPr>
          <w:rFonts w:eastAsia="Times New Roman" w:cs="Arial"/>
          <w:color w:val="000000"/>
          <w:lang w:val="ru-RU"/>
        </w:rPr>
        <w:t xml:space="preserve">) </w:t>
      </w:r>
      <w:r w:rsidRPr="00E751EB">
        <w:rPr>
          <w:rFonts w:eastAsia="Times New Roman" w:cs="Arial"/>
          <w:color w:val="000000"/>
          <w:lang w:eastAsia="bg-BG"/>
        </w:rPr>
        <w:t>е противопоказана (вж. точка 4.3).</w:t>
      </w:r>
    </w:p>
    <w:p w14:paraId="0B3952FB" w14:textId="77777777" w:rsidR="00E751EB" w:rsidRPr="00E751EB" w:rsidRDefault="00E751EB" w:rsidP="00E751EB">
      <w:pPr>
        <w:spacing w:line="240" w:lineRule="auto"/>
        <w:rPr>
          <w:rFonts w:eastAsia="Times New Roman" w:cs="Arial"/>
          <w:i/>
          <w:iCs/>
          <w:color w:val="000000"/>
          <w:lang w:eastAsia="bg-BG"/>
        </w:rPr>
      </w:pPr>
    </w:p>
    <w:p w14:paraId="0F87DB9F" w14:textId="77777777" w:rsidR="00E751EB" w:rsidRPr="00E751EB" w:rsidRDefault="00E751EB" w:rsidP="00E751EB">
      <w:pPr>
        <w:rPr>
          <w:rFonts w:eastAsia="Times New Roman" w:cs="Arial"/>
        </w:rPr>
      </w:pPr>
      <w:r w:rsidRPr="00E751EB">
        <w:rPr>
          <w:rFonts w:eastAsia="Times New Roman" w:cs="Arial"/>
          <w:i/>
          <w:iCs/>
          <w:color w:val="000000"/>
          <w:lang w:eastAsia="bg-BG"/>
        </w:rPr>
        <w:t>Езомепразол:</w:t>
      </w:r>
      <w:r w:rsidRPr="00E751EB">
        <w:rPr>
          <w:rFonts w:eastAsia="Times New Roman" w:cs="Arial"/>
          <w:color w:val="000000"/>
          <w:lang w:eastAsia="bg-BG"/>
        </w:rPr>
        <w:t xml:space="preserve"> Езомепразол не е проучван при пациенти с намалена бъбречна функция. Понеже бъбрекът е отговорен за екскрецията на метаболитите на езомепразол, но не и на</w:t>
      </w:r>
      <w:r w:rsidRPr="00E751EB">
        <w:rPr>
          <w:rFonts w:eastAsia="Times New Roman" w:cs="Arial"/>
          <w:color w:val="000000"/>
          <w:lang w:val="ru-RU" w:eastAsia="bg-BG"/>
        </w:rPr>
        <w:t xml:space="preserve"> </w:t>
      </w:r>
      <w:r w:rsidRPr="00E751EB">
        <w:rPr>
          <w:rFonts w:eastAsia="Times New Roman" w:cs="Arial"/>
          <w:color w:val="000000"/>
          <w:lang w:eastAsia="bg-BG"/>
        </w:rPr>
        <w:t>непроменената молекула, не се очаква метаболизмът на езомепразол да се променя при пациенти с бъбречна недостатъчност.</w:t>
      </w:r>
    </w:p>
    <w:p w14:paraId="44B52869" w14:textId="77777777" w:rsidR="00E751EB" w:rsidRPr="00E751EB" w:rsidRDefault="00E751EB" w:rsidP="00E751EB">
      <w:pPr>
        <w:spacing w:line="240" w:lineRule="auto"/>
        <w:rPr>
          <w:rFonts w:eastAsia="Times New Roman" w:cs="Arial"/>
          <w:i/>
          <w:iCs/>
          <w:color w:val="000000"/>
          <w:u w:val="single"/>
          <w:lang w:eastAsia="bg-BG"/>
        </w:rPr>
      </w:pPr>
    </w:p>
    <w:p w14:paraId="6A012E83" w14:textId="09B375A6" w:rsidR="00E751EB" w:rsidRPr="00E751EB" w:rsidRDefault="00E751EB" w:rsidP="00E751EB">
      <w:pPr>
        <w:spacing w:line="240" w:lineRule="auto"/>
        <w:rPr>
          <w:rFonts w:eastAsia="Times New Roman" w:cs="Arial"/>
        </w:rPr>
      </w:pPr>
      <w:r w:rsidRPr="00E751EB">
        <w:rPr>
          <w:rFonts w:eastAsia="Times New Roman" w:cs="Arial"/>
          <w:i/>
          <w:iCs/>
          <w:color w:val="000000"/>
          <w:u w:val="single"/>
          <w:lang w:eastAsia="bg-BG"/>
        </w:rPr>
        <w:t>Чернодробно увреждане</w:t>
      </w:r>
    </w:p>
    <w:p w14:paraId="4A6249EE"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Фармакокинетиката на Вимово не е определяна при пациенти с нарушение на чернодробната функция.</w:t>
      </w:r>
    </w:p>
    <w:p w14:paraId="3DA1E542" w14:textId="77777777" w:rsidR="00E751EB" w:rsidRPr="00E751EB" w:rsidRDefault="00E751EB" w:rsidP="00E751EB">
      <w:pPr>
        <w:spacing w:line="240" w:lineRule="auto"/>
        <w:rPr>
          <w:rFonts w:eastAsia="Times New Roman" w:cs="Arial"/>
          <w:i/>
          <w:iCs/>
          <w:color w:val="000000"/>
          <w:lang w:eastAsia="bg-BG"/>
        </w:rPr>
      </w:pPr>
    </w:p>
    <w:p w14:paraId="37BB1058" w14:textId="74DC2C71"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Напроксен:</w:t>
      </w:r>
      <w:r w:rsidRPr="00E751EB">
        <w:rPr>
          <w:rFonts w:eastAsia="Times New Roman" w:cs="Arial"/>
          <w:color w:val="000000"/>
          <w:lang w:eastAsia="bg-BG"/>
        </w:rPr>
        <w:t xml:space="preserve"> Фармакокинетиката на напроксен не е определяна при пациенти с чернодробно увреждане.</w:t>
      </w:r>
    </w:p>
    <w:p w14:paraId="19260888" w14:textId="77777777" w:rsidR="00E751EB" w:rsidRPr="00E751EB" w:rsidRDefault="00E751EB" w:rsidP="00E751EB">
      <w:pPr>
        <w:spacing w:line="240" w:lineRule="auto"/>
        <w:rPr>
          <w:rFonts w:eastAsia="Times New Roman" w:cs="Arial"/>
          <w:color w:val="000000"/>
          <w:lang w:eastAsia="bg-BG"/>
        </w:rPr>
      </w:pPr>
    </w:p>
    <w:p w14:paraId="1E6ED47E" w14:textId="06E4F8B6" w:rsidR="00E751EB" w:rsidRPr="00E751EB" w:rsidRDefault="00E751EB" w:rsidP="00E751EB">
      <w:pPr>
        <w:spacing w:line="240" w:lineRule="auto"/>
        <w:rPr>
          <w:rFonts w:eastAsia="Times New Roman" w:cs="Arial"/>
        </w:rPr>
      </w:pPr>
      <w:r w:rsidRPr="00E751EB">
        <w:rPr>
          <w:rFonts w:eastAsia="Times New Roman" w:cs="Arial"/>
          <w:color w:val="000000"/>
          <w:lang w:eastAsia="bg-BG"/>
        </w:rPr>
        <w:t>При хроничното алкохолно увреждане на черния дроб, а вероятно и при други форми на цироза, плазмената концентрация на напроксен се понижава, но плазмената концентрация на несвързания напроксен се повишава. Значението на тези резултати за дозирането на съдържащия се във Вимово напроксен не е ясно, но би било разумно да се използва най-ниската ефикасна доза.</w:t>
      </w:r>
    </w:p>
    <w:p w14:paraId="28D58873" w14:textId="77777777" w:rsidR="00E751EB" w:rsidRPr="00E751EB" w:rsidRDefault="00E751EB" w:rsidP="00E751EB">
      <w:pPr>
        <w:spacing w:line="240" w:lineRule="auto"/>
        <w:rPr>
          <w:rFonts w:eastAsia="Times New Roman" w:cs="Arial"/>
          <w:i/>
          <w:iCs/>
          <w:color w:val="000000"/>
          <w:lang w:eastAsia="bg-BG"/>
        </w:rPr>
      </w:pPr>
    </w:p>
    <w:p w14:paraId="1CDA950E" w14:textId="6321F58A"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r w:rsidRPr="00E751EB">
        <w:rPr>
          <w:rFonts w:eastAsia="Times New Roman" w:cs="Arial"/>
          <w:color w:val="000000"/>
          <w:lang w:eastAsia="bg-BG"/>
        </w:rPr>
        <w:t xml:space="preserve"> Метаболизмът на езомепразол при пациенти с леко до умерено тежко нарушение на чернодробната функция може да е нарушен. При пациенти с тежко нарушение на чернодробната функция скоростта на метаболизиране е понижена, което води до удвояване на площта под кривата на плазмената концентрация на езомепразол в зависимост от времето.</w:t>
      </w:r>
    </w:p>
    <w:p w14:paraId="16770825" w14:textId="77777777" w:rsidR="00E751EB" w:rsidRPr="00E751EB" w:rsidRDefault="00E751EB" w:rsidP="00E751EB">
      <w:pPr>
        <w:spacing w:line="240" w:lineRule="auto"/>
        <w:rPr>
          <w:rFonts w:eastAsia="Times New Roman" w:cs="Arial"/>
          <w:color w:val="000000"/>
          <w:lang w:eastAsia="bg-BG"/>
        </w:rPr>
      </w:pPr>
    </w:p>
    <w:p w14:paraId="0895052B" w14:textId="22E06B09" w:rsidR="00E751EB" w:rsidRPr="00E751EB" w:rsidRDefault="00E751EB" w:rsidP="00E751EB">
      <w:pPr>
        <w:spacing w:line="240" w:lineRule="auto"/>
        <w:rPr>
          <w:rFonts w:eastAsia="Times New Roman" w:cs="Arial"/>
        </w:rPr>
      </w:pPr>
      <w:r w:rsidRPr="00E751EB">
        <w:rPr>
          <w:rFonts w:eastAsia="Times New Roman" w:cs="Arial"/>
          <w:color w:val="000000"/>
          <w:lang w:eastAsia="bg-BG"/>
        </w:rPr>
        <w:t>Пациентите с тежка чернодробна недостатъчност не трябва да получават Вимово (вж. точка 4.3).</w:t>
      </w:r>
    </w:p>
    <w:p w14:paraId="25FF6D67" w14:textId="77777777" w:rsidR="00E751EB" w:rsidRPr="00E751EB" w:rsidRDefault="00E751EB" w:rsidP="00E751EB">
      <w:pPr>
        <w:spacing w:line="240" w:lineRule="auto"/>
        <w:rPr>
          <w:rFonts w:eastAsia="Times New Roman" w:cs="Arial"/>
          <w:i/>
          <w:iCs/>
          <w:color w:val="000000"/>
          <w:u w:val="single"/>
          <w:lang w:eastAsia="bg-BG"/>
        </w:rPr>
      </w:pPr>
    </w:p>
    <w:p w14:paraId="57F3F63F" w14:textId="6F803F0B" w:rsidR="00E751EB" w:rsidRPr="00E751EB" w:rsidRDefault="00E751EB" w:rsidP="00E751EB">
      <w:pPr>
        <w:spacing w:line="240" w:lineRule="auto"/>
        <w:rPr>
          <w:rFonts w:eastAsia="Times New Roman" w:cs="Arial"/>
        </w:rPr>
      </w:pPr>
      <w:r w:rsidRPr="00E751EB">
        <w:rPr>
          <w:rFonts w:eastAsia="Times New Roman" w:cs="Arial"/>
          <w:i/>
          <w:iCs/>
          <w:color w:val="000000"/>
          <w:u w:val="single"/>
          <w:lang w:eastAsia="bg-BG"/>
        </w:rPr>
        <w:t>Хора в старческа възраст</w:t>
      </w:r>
    </w:p>
    <w:p w14:paraId="453AAE7F" w14:textId="77777777" w:rsidR="00E751EB" w:rsidRPr="00E751EB" w:rsidRDefault="00E751EB" w:rsidP="00E751EB">
      <w:pPr>
        <w:spacing w:line="240" w:lineRule="auto"/>
        <w:rPr>
          <w:rFonts w:eastAsia="Times New Roman" w:cs="Arial"/>
        </w:rPr>
      </w:pPr>
      <w:r w:rsidRPr="00E751EB">
        <w:rPr>
          <w:rFonts w:eastAsia="Times New Roman" w:cs="Arial"/>
          <w:color w:val="000000"/>
          <w:lang w:eastAsia="bg-BG"/>
        </w:rPr>
        <w:t>Няма специфични данни за фармакокинетиката на Вимово при пациенти на възраст над 65 години.</w:t>
      </w:r>
    </w:p>
    <w:p w14:paraId="5FC3777B" w14:textId="77777777" w:rsidR="00E751EB" w:rsidRPr="00E751EB" w:rsidRDefault="00E751EB" w:rsidP="00E751EB">
      <w:pPr>
        <w:spacing w:line="240" w:lineRule="auto"/>
        <w:rPr>
          <w:rFonts w:eastAsia="Times New Roman" w:cs="Arial"/>
          <w:i/>
          <w:iCs/>
          <w:color w:val="000000"/>
          <w:lang w:eastAsia="bg-BG"/>
        </w:rPr>
      </w:pPr>
    </w:p>
    <w:p w14:paraId="77450F48" w14:textId="5314CB2E"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Напроксен:</w:t>
      </w:r>
      <w:r w:rsidRPr="00E751EB">
        <w:rPr>
          <w:rFonts w:eastAsia="Times New Roman" w:cs="Arial"/>
          <w:color w:val="000000"/>
          <w:lang w:eastAsia="bg-BG"/>
        </w:rPr>
        <w:t xml:space="preserve"> Проучванията говорят, че макар общата плазмена концентрация на напроксен да остава непроменена, при хора в старческа възраст несвързаната плазмена фракция се увеличава, оставайки обаче &lt; 1% от общата. Клиничната значимост на този факт е неясна, макар че е възможно при някои хора в старческа възраст повишената концентрация на свободен напроксен да се свързана с повишена честота на развитие на нежелани реакции при дадена доза.</w:t>
      </w:r>
    </w:p>
    <w:p w14:paraId="62EEB86F" w14:textId="77777777" w:rsidR="00E751EB" w:rsidRPr="00E751EB" w:rsidRDefault="00E751EB" w:rsidP="00E751EB">
      <w:pPr>
        <w:spacing w:line="240" w:lineRule="auto"/>
        <w:rPr>
          <w:rFonts w:eastAsia="Times New Roman" w:cs="Arial"/>
          <w:i/>
          <w:iCs/>
          <w:color w:val="000000"/>
          <w:lang w:eastAsia="bg-BG"/>
        </w:rPr>
      </w:pPr>
    </w:p>
    <w:p w14:paraId="2F68327F" w14:textId="68CB865E"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r w:rsidRPr="00E751EB">
        <w:rPr>
          <w:rFonts w:eastAsia="Times New Roman" w:cs="Arial"/>
          <w:color w:val="000000"/>
          <w:lang w:eastAsia="bg-BG"/>
        </w:rPr>
        <w:t xml:space="preserve"> При хора в старческа възраст (71-80 години) метаболизмът на езомепразол не се променя значително.</w:t>
      </w:r>
    </w:p>
    <w:p w14:paraId="0DAD64ED" w14:textId="77777777" w:rsidR="00E751EB" w:rsidRPr="00E751EB" w:rsidRDefault="00E751EB" w:rsidP="00E751EB">
      <w:pPr>
        <w:spacing w:line="240" w:lineRule="auto"/>
        <w:rPr>
          <w:rFonts w:eastAsia="Times New Roman" w:cs="Arial"/>
          <w:i/>
          <w:iCs/>
          <w:color w:val="000000"/>
          <w:u w:val="single"/>
          <w:lang w:eastAsia="bg-BG"/>
        </w:rPr>
      </w:pPr>
    </w:p>
    <w:p w14:paraId="4B65F6FF" w14:textId="7B2676ED" w:rsidR="00E751EB" w:rsidRPr="00E751EB" w:rsidRDefault="00E751EB" w:rsidP="00E751EB">
      <w:pPr>
        <w:spacing w:line="240" w:lineRule="auto"/>
        <w:rPr>
          <w:rFonts w:eastAsia="Times New Roman" w:cs="Arial"/>
        </w:rPr>
      </w:pPr>
      <w:r w:rsidRPr="00E751EB">
        <w:rPr>
          <w:rFonts w:eastAsia="Times New Roman" w:cs="Arial"/>
          <w:i/>
          <w:iCs/>
          <w:color w:val="000000"/>
          <w:u w:val="single"/>
          <w:lang w:eastAsia="bg-BG"/>
        </w:rPr>
        <w:t xml:space="preserve">Бавни метаболизатори </w:t>
      </w:r>
      <w:r w:rsidRPr="00E751EB">
        <w:rPr>
          <w:rFonts w:eastAsia="Times New Roman" w:cs="Arial"/>
          <w:i/>
          <w:iCs/>
          <w:color w:val="000000"/>
          <w:u w:val="single"/>
          <w:lang w:val="en-US"/>
        </w:rPr>
        <w:t>no</w:t>
      </w:r>
      <w:r w:rsidRPr="00E751EB">
        <w:rPr>
          <w:rFonts w:eastAsia="Times New Roman" w:cs="Arial"/>
          <w:i/>
          <w:iCs/>
          <w:color w:val="000000"/>
          <w:u w:val="single"/>
          <w:lang w:val="ru-RU"/>
        </w:rPr>
        <w:t xml:space="preserve"> </w:t>
      </w:r>
      <w:r w:rsidRPr="00E751EB">
        <w:rPr>
          <w:rFonts w:eastAsia="Times New Roman" w:cs="Arial"/>
          <w:i/>
          <w:iCs/>
          <w:color w:val="000000"/>
          <w:u w:val="single"/>
          <w:lang w:val="en-US"/>
        </w:rPr>
        <w:t>CYP</w:t>
      </w:r>
      <w:r w:rsidRPr="00E751EB">
        <w:rPr>
          <w:rFonts w:eastAsia="Times New Roman" w:cs="Arial"/>
          <w:i/>
          <w:iCs/>
          <w:color w:val="000000"/>
          <w:u w:val="single"/>
          <w:lang w:val="ru-RU"/>
        </w:rPr>
        <w:t>2</w:t>
      </w:r>
      <w:r w:rsidRPr="00E751EB">
        <w:rPr>
          <w:rFonts w:eastAsia="Times New Roman" w:cs="Arial"/>
          <w:i/>
          <w:iCs/>
          <w:color w:val="000000"/>
          <w:u w:val="single"/>
          <w:lang w:val="en-US"/>
        </w:rPr>
        <w:t>C</w:t>
      </w:r>
      <w:r w:rsidRPr="00E751EB">
        <w:rPr>
          <w:rFonts w:eastAsia="Times New Roman" w:cs="Arial"/>
          <w:i/>
          <w:iCs/>
          <w:color w:val="000000"/>
          <w:u w:val="single"/>
          <w:lang w:val="ru-RU"/>
        </w:rPr>
        <w:t>19</w:t>
      </w:r>
    </w:p>
    <w:p w14:paraId="21C16BB5" w14:textId="77777777" w:rsidR="00E751EB" w:rsidRPr="00E751EB" w:rsidRDefault="00E751EB" w:rsidP="00E751EB">
      <w:pPr>
        <w:spacing w:line="240" w:lineRule="auto"/>
        <w:rPr>
          <w:rFonts w:eastAsia="Times New Roman" w:cs="Arial"/>
        </w:rPr>
      </w:pPr>
      <w:r w:rsidRPr="00E751EB">
        <w:rPr>
          <w:rFonts w:eastAsia="Times New Roman" w:cs="Arial"/>
          <w:i/>
          <w:iCs/>
          <w:color w:val="000000"/>
          <w:lang w:eastAsia="bg-BG"/>
        </w:rPr>
        <w:t>Езомепразол:</w:t>
      </w:r>
      <w:r w:rsidRPr="00E751EB">
        <w:rPr>
          <w:rFonts w:eastAsia="Times New Roman" w:cs="Arial"/>
          <w:color w:val="000000"/>
          <w:lang w:eastAsia="bg-BG"/>
        </w:rPr>
        <w:t xml:space="preserve"> При приблизително 3% от популацията липсва функционален ензим </w:t>
      </w:r>
      <w:r w:rsidRPr="00E751EB">
        <w:rPr>
          <w:rFonts w:eastAsia="Times New Roman" w:cs="Arial"/>
          <w:color w:val="000000"/>
          <w:lang w:val="en-US"/>
        </w:rPr>
        <w:t>CYP</w:t>
      </w:r>
      <w:r w:rsidRPr="00E751EB">
        <w:rPr>
          <w:rFonts w:eastAsia="Times New Roman" w:cs="Arial"/>
          <w:color w:val="000000"/>
          <w:lang w:val="ru-RU"/>
        </w:rPr>
        <w:t>2</w:t>
      </w:r>
      <w:r w:rsidRPr="00E751EB">
        <w:rPr>
          <w:rFonts w:eastAsia="Times New Roman" w:cs="Arial"/>
          <w:color w:val="000000"/>
          <w:lang w:val="en-US"/>
        </w:rPr>
        <w:t>C</w:t>
      </w:r>
      <w:r w:rsidRPr="00E751EB">
        <w:rPr>
          <w:rFonts w:eastAsia="Times New Roman" w:cs="Arial"/>
          <w:color w:val="000000"/>
          <w:lang w:val="ru-RU"/>
        </w:rPr>
        <w:t>1</w:t>
      </w:r>
      <w:r w:rsidRPr="00E751EB">
        <w:rPr>
          <w:rFonts w:eastAsia="Times New Roman" w:cs="Arial"/>
          <w:color w:val="000000"/>
          <w:lang w:eastAsia="bg-BG"/>
        </w:rPr>
        <w:t xml:space="preserve">9 и тези хора са бавни метаболизатори. При тях езомепразол вероятно се </w:t>
      </w:r>
      <w:r w:rsidRPr="00E751EB">
        <w:rPr>
          <w:rFonts w:eastAsia="Times New Roman" w:cs="Arial"/>
          <w:color w:val="000000"/>
          <w:lang w:eastAsia="bg-BG"/>
        </w:rPr>
        <w:lastRenderedPageBreak/>
        <w:t xml:space="preserve">метаболизира главно от </w:t>
      </w:r>
      <w:r w:rsidRPr="00E751EB">
        <w:rPr>
          <w:rFonts w:eastAsia="Times New Roman" w:cs="Arial"/>
          <w:color w:val="000000"/>
          <w:lang w:val="en-US"/>
        </w:rPr>
        <w:t>CYP</w:t>
      </w:r>
      <w:r w:rsidRPr="00E751EB">
        <w:rPr>
          <w:rFonts w:eastAsia="Times New Roman" w:cs="Arial"/>
          <w:color w:val="000000"/>
          <w:lang w:val="ru-RU"/>
        </w:rPr>
        <w:t>3</w:t>
      </w:r>
      <w:r w:rsidRPr="00E751EB">
        <w:rPr>
          <w:rFonts w:eastAsia="Times New Roman" w:cs="Arial"/>
          <w:color w:val="000000"/>
          <w:lang w:val="en-US"/>
        </w:rPr>
        <w:t>A</w:t>
      </w:r>
      <w:r w:rsidRPr="00E751EB">
        <w:rPr>
          <w:rFonts w:eastAsia="Times New Roman" w:cs="Arial"/>
          <w:color w:val="000000"/>
          <w:lang w:val="ru-RU"/>
        </w:rPr>
        <w:t xml:space="preserve">4. </w:t>
      </w:r>
      <w:r w:rsidRPr="00E751EB">
        <w:rPr>
          <w:rFonts w:eastAsia="Times New Roman" w:cs="Arial"/>
          <w:color w:val="000000"/>
          <w:lang w:eastAsia="bg-BG"/>
        </w:rPr>
        <w:t xml:space="preserve">След многократен прием на езомепразол 40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 xml:space="preserve">еднократно дневно при бавни метаболизатори, средната площ под кривата на концентрацията в зависимост от времето е по-голяма с приблизително 100%, отколкото при хората с функционален </w:t>
      </w:r>
      <w:r w:rsidRPr="00E751EB">
        <w:rPr>
          <w:rFonts w:eastAsia="Times New Roman" w:cs="Arial"/>
          <w:color w:val="000000"/>
          <w:lang w:val="en-US"/>
        </w:rPr>
        <w:t>CYP</w:t>
      </w:r>
      <w:r w:rsidRPr="00E751EB">
        <w:rPr>
          <w:rFonts w:eastAsia="Times New Roman" w:cs="Arial"/>
          <w:color w:val="000000"/>
          <w:lang w:val="ru-RU"/>
        </w:rPr>
        <w:t>2</w:t>
      </w:r>
      <w:r w:rsidRPr="00E751EB">
        <w:rPr>
          <w:rFonts w:eastAsia="Times New Roman" w:cs="Arial"/>
          <w:color w:val="000000"/>
          <w:lang w:val="en-US"/>
        </w:rPr>
        <w:t>C</w:t>
      </w:r>
      <w:r w:rsidRPr="00E751EB">
        <w:rPr>
          <w:rFonts w:eastAsia="Times New Roman" w:cs="Arial"/>
          <w:color w:val="000000"/>
          <w:lang w:val="ru-RU"/>
        </w:rPr>
        <w:t>1</w:t>
      </w:r>
      <w:r w:rsidRPr="00E751EB">
        <w:rPr>
          <w:rFonts w:eastAsia="Times New Roman" w:cs="Arial"/>
          <w:color w:val="000000"/>
          <w:lang w:eastAsia="bg-BG"/>
        </w:rPr>
        <w:t>9 (бързи метаболизатори). Средните плазмени концентрации са по-високи с около 60%.</w:t>
      </w:r>
    </w:p>
    <w:p w14:paraId="24249CE2" w14:textId="77777777" w:rsidR="00E751EB" w:rsidRPr="00E751EB" w:rsidRDefault="00E751EB" w:rsidP="00E751EB">
      <w:pPr>
        <w:spacing w:line="240" w:lineRule="auto"/>
        <w:rPr>
          <w:rFonts w:eastAsia="Times New Roman" w:cs="Arial"/>
          <w:color w:val="000000"/>
          <w:lang w:eastAsia="bg-BG"/>
        </w:rPr>
      </w:pPr>
    </w:p>
    <w:p w14:paraId="144DB4C8" w14:textId="00CF19FD" w:rsidR="00E751EB" w:rsidRPr="00E751EB" w:rsidRDefault="00E751EB" w:rsidP="00E751EB">
      <w:pPr>
        <w:spacing w:line="240" w:lineRule="auto"/>
        <w:rPr>
          <w:rFonts w:eastAsia="Times New Roman" w:cs="Arial"/>
        </w:rPr>
      </w:pPr>
      <w:r w:rsidRPr="00E751EB">
        <w:rPr>
          <w:rFonts w:eastAsia="Times New Roman" w:cs="Arial"/>
          <w:color w:val="000000"/>
          <w:lang w:eastAsia="bg-BG"/>
        </w:rPr>
        <w:t>Тези резултати са без значение за дозировката на Вимово.</w:t>
      </w:r>
    </w:p>
    <w:p w14:paraId="00A2CE40" w14:textId="77777777" w:rsidR="00E751EB" w:rsidRPr="00E751EB" w:rsidRDefault="00E751EB" w:rsidP="00E751EB">
      <w:pPr>
        <w:spacing w:line="240" w:lineRule="auto"/>
        <w:rPr>
          <w:rFonts w:eastAsia="Times New Roman" w:cs="Arial"/>
          <w:i/>
          <w:iCs/>
          <w:color w:val="000000"/>
          <w:u w:val="single"/>
          <w:lang w:eastAsia="bg-BG"/>
        </w:rPr>
      </w:pPr>
    </w:p>
    <w:p w14:paraId="041D0EB6" w14:textId="50059144" w:rsidR="00E751EB" w:rsidRPr="00E751EB" w:rsidRDefault="00E751EB" w:rsidP="00E751EB">
      <w:pPr>
        <w:spacing w:line="240" w:lineRule="auto"/>
        <w:rPr>
          <w:rFonts w:eastAsia="Times New Roman" w:cs="Arial"/>
        </w:rPr>
      </w:pPr>
      <w:r w:rsidRPr="00E751EB">
        <w:rPr>
          <w:rFonts w:eastAsia="Times New Roman" w:cs="Arial"/>
          <w:i/>
          <w:iCs/>
          <w:color w:val="000000"/>
          <w:u w:val="single"/>
          <w:lang w:eastAsia="bg-BG"/>
        </w:rPr>
        <w:t>Пол</w:t>
      </w:r>
    </w:p>
    <w:p w14:paraId="69CA1C7A" w14:textId="77777777" w:rsidR="00E751EB" w:rsidRPr="00E751EB" w:rsidRDefault="00E751EB" w:rsidP="00E751EB">
      <w:pPr>
        <w:spacing w:line="240" w:lineRule="auto"/>
        <w:rPr>
          <w:rFonts w:eastAsia="Times New Roman" w:cs="Arial"/>
          <w:lang w:val="en-US"/>
        </w:rPr>
      </w:pPr>
      <w:r w:rsidRPr="00E751EB">
        <w:rPr>
          <w:rFonts w:eastAsia="Times New Roman" w:cs="Arial"/>
          <w:i/>
          <w:iCs/>
          <w:color w:val="000000"/>
          <w:lang w:eastAsia="bg-BG"/>
        </w:rPr>
        <w:t>Езомепразол:</w:t>
      </w:r>
      <w:r w:rsidRPr="00E751EB">
        <w:rPr>
          <w:rFonts w:eastAsia="Times New Roman" w:cs="Arial"/>
          <w:color w:val="000000"/>
          <w:lang w:eastAsia="bg-BG"/>
        </w:rPr>
        <w:t xml:space="preserve"> След еднократен прием на езомепразол 40 </w:t>
      </w:r>
      <w:r w:rsidRPr="00E751EB">
        <w:rPr>
          <w:rFonts w:eastAsia="Times New Roman" w:cs="Arial"/>
          <w:color w:val="000000"/>
          <w:lang w:val="en-US"/>
        </w:rPr>
        <w:t>mg</w:t>
      </w:r>
      <w:r w:rsidRPr="00E751EB">
        <w:rPr>
          <w:rFonts w:eastAsia="Times New Roman" w:cs="Arial"/>
          <w:color w:val="000000"/>
          <w:lang w:val="ru-RU"/>
        </w:rPr>
        <w:t xml:space="preserve"> </w:t>
      </w:r>
      <w:r w:rsidRPr="00E751EB">
        <w:rPr>
          <w:rFonts w:eastAsia="Times New Roman" w:cs="Arial"/>
          <w:color w:val="000000"/>
          <w:lang w:eastAsia="bg-BG"/>
        </w:rPr>
        <w:t>при жени, средната площ под кривата на плазмената концентрация в зависимост от времето е по-голяма приблизително 30%, отколкото при мъже. При многократен прием веднъж дневно не се установяват разлики в зависимост от пола. Тези резултати са без значение за дозировката на Вимово.</w:t>
      </w:r>
    </w:p>
    <w:p w14:paraId="6A19307D" w14:textId="4C05C93A" w:rsidR="00E751EB" w:rsidRPr="00E751EB" w:rsidRDefault="00E751EB" w:rsidP="00E751EB"/>
    <w:p w14:paraId="648E39DA" w14:textId="15059AA1" w:rsidR="00CF77F7" w:rsidRDefault="002C50EE" w:rsidP="004A448E">
      <w:pPr>
        <w:pStyle w:val="Heading2"/>
      </w:pPr>
      <w:r>
        <w:t>5.3. Предклинични данни за безопасност</w:t>
      </w:r>
    </w:p>
    <w:p w14:paraId="1309BCD3" w14:textId="779DB62D" w:rsidR="00E751EB" w:rsidRDefault="00E751EB" w:rsidP="00E751EB"/>
    <w:p w14:paraId="1A74C2DB"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Липсват неклинични данни за комбинацията от активните съставки. Не са известни взаимодействия между напроксен и езомепразол, които да говорят за нови или синергични нежелани фармакологични ефекти, фармако/токсикокинетични ефекти, прояви на токсичност, физични/химични взаимодействия или проблеми с поносимостта на комбинацията.</w:t>
      </w:r>
    </w:p>
    <w:p w14:paraId="43BE00BA" w14:textId="77777777" w:rsidR="00E751EB" w:rsidRPr="00E751EB" w:rsidRDefault="00E751EB" w:rsidP="00E751EB">
      <w:pPr>
        <w:spacing w:line="240" w:lineRule="auto"/>
        <w:rPr>
          <w:rFonts w:eastAsia="Times New Roman" w:cs="Arial"/>
          <w:i/>
          <w:iCs/>
          <w:color w:val="000000"/>
          <w:u w:val="single"/>
          <w:lang w:eastAsia="bg-BG"/>
        </w:rPr>
      </w:pPr>
    </w:p>
    <w:p w14:paraId="0C63FA51" w14:textId="08F896CE"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u w:val="single"/>
          <w:lang w:eastAsia="bg-BG"/>
        </w:rPr>
        <w:t>Напроксен</w:t>
      </w:r>
    </w:p>
    <w:p w14:paraId="7286B616"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Неклиничните данни не показват особен риск за хора на базата на конвенционалните фармакологични изпитвания за генотоксичност, карциногенен потенциал, ембрио-фетална токсичност и репродуктивна токсичност. Основните прояви при проучвания за токсичност при животни, с многократно перорално приложение на високи дози, са дразнене на стомашно-чревния тракт и бъбречна увреда, като и двете се отдават на инхибирането на простагландиновия синтез. Пероралното приложение на напроксен на бременни плъхове през третия триместьр на бременността, в проучвания за пери- и постнатална токсичност, води до затруднена родова дейност. Това е известен ефект на тази група лекарствени продукти.</w:t>
      </w:r>
    </w:p>
    <w:p w14:paraId="71BA0902" w14:textId="77777777" w:rsidR="00E751EB" w:rsidRPr="00E751EB" w:rsidRDefault="00E751EB" w:rsidP="00E751EB">
      <w:pPr>
        <w:spacing w:line="240" w:lineRule="auto"/>
        <w:rPr>
          <w:rFonts w:eastAsia="Times New Roman" w:cs="Arial"/>
          <w:i/>
          <w:iCs/>
          <w:color w:val="000000"/>
          <w:u w:val="single"/>
          <w:lang w:eastAsia="bg-BG"/>
        </w:rPr>
      </w:pPr>
    </w:p>
    <w:p w14:paraId="350460D4" w14:textId="15A4E38B" w:rsidR="00E751EB" w:rsidRPr="00E751EB" w:rsidRDefault="00E751EB" w:rsidP="00E751EB">
      <w:pPr>
        <w:spacing w:line="240" w:lineRule="auto"/>
        <w:rPr>
          <w:rFonts w:eastAsia="Times New Roman" w:cs="Arial"/>
          <w:sz w:val="24"/>
          <w:szCs w:val="24"/>
        </w:rPr>
      </w:pPr>
      <w:r w:rsidRPr="00E751EB">
        <w:rPr>
          <w:rFonts w:eastAsia="Times New Roman" w:cs="Arial"/>
          <w:i/>
          <w:iCs/>
          <w:color w:val="000000"/>
          <w:u w:val="single"/>
          <w:lang w:eastAsia="bg-BG"/>
        </w:rPr>
        <w:t>Езомепразол</w:t>
      </w:r>
    </w:p>
    <w:p w14:paraId="04038228" w14:textId="77777777" w:rsidR="00E751EB" w:rsidRPr="00E751EB" w:rsidRDefault="00E751EB" w:rsidP="00E751EB">
      <w:pPr>
        <w:spacing w:line="240" w:lineRule="auto"/>
        <w:rPr>
          <w:rFonts w:eastAsia="Times New Roman" w:cs="Arial"/>
          <w:sz w:val="24"/>
          <w:szCs w:val="24"/>
        </w:rPr>
      </w:pPr>
      <w:r w:rsidRPr="00E751EB">
        <w:rPr>
          <w:rFonts w:eastAsia="Times New Roman" w:cs="Arial"/>
          <w:color w:val="000000"/>
          <w:lang w:eastAsia="bg-BG"/>
        </w:rPr>
        <w:t xml:space="preserve">Неклиничните данни не показват особен риск за хора на базата на конвенционалните изпитвания за токсичност при многократно прилагане, генотоксичност и репродуктивна токсичност. Проучванията при плъхове за карциногенен потенциал на рацемичната смес показват хиперплазия на стомашните </w:t>
      </w:r>
      <w:r w:rsidRPr="00E751EB">
        <w:rPr>
          <w:rFonts w:eastAsia="Times New Roman" w:cs="Arial"/>
          <w:color w:val="000000"/>
          <w:lang w:val="en-US"/>
        </w:rPr>
        <w:t>ECL</w:t>
      </w:r>
      <w:r w:rsidRPr="00E751EB">
        <w:rPr>
          <w:rFonts w:eastAsia="Times New Roman" w:cs="Arial"/>
          <w:color w:val="000000"/>
          <w:lang w:eastAsia="bg-BG"/>
        </w:rPr>
        <w:t>-клетки и развитие на карциноидни тумори. При плъхове тези ефекти върху стомаха са резултат от трайната изразена хипергастринемия, в резултат на намалената киселинна секреция, и при плъхове се наблюдават след дългосрочно лечение с инхибитори на стомашната киселинна секреция.</w:t>
      </w:r>
    </w:p>
    <w:p w14:paraId="7862E025" w14:textId="77777777" w:rsidR="00E751EB" w:rsidRPr="00E751EB" w:rsidRDefault="00E751EB" w:rsidP="00E751EB"/>
    <w:p w14:paraId="6A7820AB" w14:textId="29DEBC4A" w:rsidR="008A6AF2" w:rsidRDefault="002C50EE" w:rsidP="00395555">
      <w:pPr>
        <w:pStyle w:val="Heading1"/>
      </w:pPr>
      <w:r>
        <w:t>7. ПРИТЕЖАТЕЛ НА РАЗРЕШЕНИЕТО ЗА УПОТРЕБА</w:t>
      </w:r>
    </w:p>
    <w:p w14:paraId="60EA3A06" w14:textId="14C0DB8A" w:rsidR="00E751EB" w:rsidRDefault="00E751EB" w:rsidP="00E751EB"/>
    <w:p w14:paraId="26E83955" w14:textId="77777777" w:rsidR="00E751EB" w:rsidRPr="00E751EB" w:rsidRDefault="00E751EB" w:rsidP="00E751EB">
      <w:pPr>
        <w:rPr>
          <w:sz w:val="24"/>
          <w:szCs w:val="24"/>
          <w:lang w:val="ru-RU"/>
        </w:rPr>
      </w:pPr>
      <w:r w:rsidRPr="00E751EB">
        <w:rPr>
          <w:lang w:val="en-US"/>
        </w:rPr>
        <w:t>AstraZeneca</w:t>
      </w:r>
      <w:r w:rsidRPr="00E751EB">
        <w:rPr>
          <w:lang w:val="ru-RU"/>
        </w:rPr>
        <w:t xml:space="preserve"> </w:t>
      </w:r>
      <w:r w:rsidRPr="00E751EB">
        <w:rPr>
          <w:lang w:eastAsia="bg-BG"/>
        </w:rPr>
        <w:t>АВ,</w:t>
      </w:r>
    </w:p>
    <w:p w14:paraId="35EC3BC2" w14:textId="77777777" w:rsidR="00E751EB" w:rsidRPr="00E751EB" w:rsidRDefault="00E751EB" w:rsidP="00E751EB">
      <w:pPr>
        <w:rPr>
          <w:sz w:val="24"/>
          <w:szCs w:val="24"/>
          <w:lang w:val="ru-RU"/>
        </w:rPr>
      </w:pPr>
      <w:r w:rsidRPr="00E751EB">
        <w:rPr>
          <w:lang w:val="en-US"/>
        </w:rPr>
        <w:t>S</w:t>
      </w:r>
      <w:r w:rsidRPr="00E751EB">
        <w:rPr>
          <w:lang w:val="ru-RU"/>
        </w:rPr>
        <w:t xml:space="preserve">-151 </w:t>
      </w:r>
      <w:r w:rsidRPr="00E751EB">
        <w:rPr>
          <w:lang w:eastAsia="bg-BG"/>
        </w:rPr>
        <w:t xml:space="preserve">85 </w:t>
      </w:r>
      <w:r w:rsidRPr="00E751EB">
        <w:rPr>
          <w:lang w:val="en-US"/>
        </w:rPr>
        <w:t>Sodertalje</w:t>
      </w:r>
      <w:r w:rsidRPr="00E751EB">
        <w:rPr>
          <w:lang w:val="ru-RU"/>
        </w:rPr>
        <w:t>,</w:t>
      </w:r>
    </w:p>
    <w:p w14:paraId="45B2EB10" w14:textId="42BD5F10" w:rsidR="00E751EB" w:rsidRPr="00E751EB" w:rsidRDefault="00E751EB" w:rsidP="00E751EB">
      <w:r w:rsidRPr="00E751EB">
        <w:rPr>
          <w:lang w:eastAsia="bg-BG"/>
        </w:rPr>
        <w:t>Швеция</w:t>
      </w:r>
    </w:p>
    <w:p w14:paraId="7BA1BA64" w14:textId="75F4BDA1" w:rsidR="00CF77F7" w:rsidRDefault="002C50EE" w:rsidP="004A448E">
      <w:pPr>
        <w:pStyle w:val="Heading1"/>
      </w:pPr>
      <w:r>
        <w:lastRenderedPageBreak/>
        <w:t>8. НОМЕР НА РАЗРЕШЕНИЕТО ЗА УПОТРЕБА</w:t>
      </w:r>
    </w:p>
    <w:p w14:paraId="491BBB01" w14:textId="47E1F665" w:rsidR="00E751EB" w:rsidRDefault="00E751EB" w:rsidP="00E751EB"/>
    <w:p w14:paraId="42B66326" w14:textId="2C62E81C" w:rsidR="00E751EB" w:rsidRPr="00E751EB" w:rsidRDefault="00E751EB" w:rsidP="00E751EB">
      <w:r>
        <w:t>20110035</w:t>
      </w:r>
    </w:p>
    <w:p w14:paraId="2CCB5832" w14:textId="696F35AA" w:rsidR="007C605B" w:rsidRDefault="002C50EE" w:rsidP="007C605B">
      <w:pPr>
        <w:pStyle w:val="Heading1"/>
      </w:pPr>
      <w:r>
        <w:t>9. ДАТА НА ПЪРВО РАЗРЕШАВАНЕ/ПОДНОВЯВАНЕ НА РАЗРЕШЕНИЕТО ЗА УПОТРЕБА</w:t>
      </w:r>
    </w:p>
    <w:p w14:paraId="6A6A9D23" w14:textId="171B3483" w:rsidR="00E751EB" w:rsidRDefault="00E751EB" w:rsidP="00E751EB"/>
    <w:p w14:paraId="09BA558B" w14:textId="20A46157" w:rsidR="00E751EB" w:rsidRDefault="00E751EB" w:rsidP="00E751EB">
      <w:bookmarkStart w:id="2" w:name="_GoBack"/>
      <w:r>
        <w:t>Дата на първо разрешаване: 13 януари 2011 г</w:t>
      </w:r>
    </w:p>
    <w:p w14:paraId="5D370E16" w14:textId="1F9E5306" w:rsidR="00E751EB" w:rsidRPr="00E751EB" w:rsidRDefault="00E751EB" w:rsidP="00E751EB">
      <w:r>
        <w:t>Подновяване на разрешението за употреба: 22 декември 2016 г.</w:t>
      </w:r>
    </w:p>
    <w:bookmarkEnd w:id="2"/>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6591"/>
    <w:multiLevelType w:val="hybridMultilevel"/>
    <w:tmpl w:val="893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C86"/>
    <w:multiLevelType w:val="hybridMultilevel"/>
    <w:tmpl w:val="FD82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C6580"/>
    <w:multiLevelType w:val="hybridMultilevel"/>
    <w:tmpl w:val="7548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E2D38"/>
    <w:multiLevelType w:val="hybridMultilevel"/>
    <w:tmpl w:val="D94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43B14"/>
    <w:multiLevelType w:val="hybridMultilevel"/>
    <w:tmpl w:val="38E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8"/>
  </w:num>
  <w:num w:numId="31">
    <w:abstractNumId w:val="5"/>
  </w:num>
  <w:num w:numId="32">
    <w:abstractNumId w:val="36"/>
  </w:num>
  <w:num w:numId="33">
    <w:abstractNumId w:val="29"/>
  </w:num>
  <w:num w:numId="34">
    <w:abstractNumId w:val="34"/>
  </w:num>
  <w:num w:numId="35">
    <w:abstractNumId w:val="35"/>
  </w:num>
  <w:num w:numId="36">
    <w:abstractNumId w:val="9"/>
  </w:num>
  <w:num w:numId="37">
    <w:abstractNumId w:val="32"/>
  </w:num>
  <w:num w:numId="38">
    <w:abstractNumId w:val="1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579F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751EB"/>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10537</Words>
  <Characters>60067</Characters>
  <Application>Microsoft Office Word</Application>
  <DocSecurity>0</DocSecurity>
  <Lines>500</Lines>
  <Paragraphs>140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2022-03-07T20:10:00Z</dcterms:created>
  <dcterms:modified xsi:type="dcterms:W3CDTF">2022-03-07T20:10:00Z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