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82ED0D3" w14:textId="33E6BEE9" w:rsidR="00F53FB7" w:rsidRDefault="00DD466D" w:rsidP="00A93499">
      <w:pPr>
        <w:pStyle w:val="Heading1"/>
      </w:pPr>
      <w:r>
        <w:t>1.ИМЕ НА ЛЕКАРСТВЕНИЯ ПРОДУКТ</w:t>
      </w:r>
    </w:p>
    <w:p w14:paraId="3636C6F6" w14:textId="6E7BAECB" w:rsidR="001E386A" w:rsidRDefault="001E386A" w:rsidP="001E386A"/>
    <w:p w14:paraId="50B0F23E" w14:textId="39440F44" w:rsidR="001E386A" w:rsidRPr="001E386A" w:rsidRDefault="001E386A" w:rsidP="001E386A">
      <w:pPr>
        <w:rPr>
          <w:sz w:val="24"/>
          <w:szCs w:val="24"/>
          <w:lang w:eastAsia="bg-BG"/>
        </w:rPr>
      </w:pPr>
      <w:r w:rsidRPr="001E386A">
        <w:rPr>
          <w:lang w:eastAsia="bg-BG"/>
        </w:rPr>
        <w:t xml:space="preserve">ВИНПО-10 10 </w:t>
      </w:r>
      <w:r>
        <w:rPr>
          <w:lang w:val="en-US" w:eastAsia="bg-BG"/>
        </w:rPr>
        <w:t xml:space="preserve">mg </w:t>
      </w:r>
      <w:r w:rsidRPr="001E386A">
        <w:rPr>
          <w:lang w:eastAsia="bg-BG"/>
        </w:rPr>
        <w:t>таблетки</w:t>
      </w:r>
    </w:p>
    <w:p w14:paraId="19EDA360" w14:textId="64521400" w:rsidR="001E386A" w:rsidRPr="001E386A" w:rsidRDefault="001E386A" w:rsidP="001E386A">
      <w:pPr>
        <w:rPr>
          <w:sz w:val="24"/>
          <w:szCs w:val="24"/>
          <w:lang w:eastAsia="bg-BG"/>
        </w:rPr>
      </w:pPr>
      <w:r w:rsidRPr="001E386A">
        <w:rPr>
          <w:lang w:val="en-US"/>
        </w:rPr>
        <w:t xml:space="preserve">VINPO-10 </w:t>
      </w:r>
      <w:r w:rsidRPr="001E386A">
        <w:rPr>
          <w:lang w:eastAsia="bg-BG"/>
        </w:rPr>
        <w:t xml:space="preserve">10 </w:t>
      </w:r>
      <w:r w:rsidRPr="001E386A">
        <w:rPr>
          <w:lang w:val="en-US"/>
        </w:rPr>
        <w:t>mg tablets</w:t>
      </w:r>
    </w:p>
    <w:p w14:paraId="0DF202EC" w14:textId="283B356D" w:rsidR="00F53FB7" w:rsidRDefault="00DD466D" w:rsidP="00A93499">
      <w:pPr>
        <w:pStyle w:val="Heading1"/>
      </w:pPr>
      <w:r>
        <w:t>2. КАЧЕСТВЕН И КОЛИЧЕСТВЕН СЪСТАВ</w:t>
      </w:r>
    </w:p>
    <w:p w14:paraId="027D5731" w14:textId="1D8695F2" w:rsidR="001E386A" w:rsidRDefault="001E386A" w:rsidP="001E386A"/>
    <w:p w14:paraId="55D4C11A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 xml:space="preserve">Всяка таблетка съдържа активно вещество винпоцетин </w:t>
      </w:r>
      <w:r w:rsidRPr="001E386A">
        <w:rPr>
          <w:rFonts w:eastAsia="Times New Roman" w:cs="Arial"/>
          <w:color w:val="000000"/>
          <w:lang w:val="en-US"/>
        </w:rPr>
        <w:t xml:space="preserve">(vinpocetine) </w:t>
      </w:r>
      <w:r w:rsidRPr="001E386A">
        <w:rPr>
          <w:rFonts w:eastAsia="Times New Roman" w:cs="Arial"/>
          <w:color w:val="000000"/>
          <w:lang w:eastAsia="bg-BG"/>
        </w:rPr>
        <w:t xml:space="preserve">10 </w:t>
      </w:r>
      <w:r w:rsidRPr="001E386A">
        <w:rPr>
          <w:rFonts w:eastAsia="Times New Roman" w:cs="Arial"/>
          <w:color w:val="000000"/>
          <w:lang w:val="en-US"/>
        </w:rPr>
        <w:t>mg.</w:t>
      </w:r>
    </w:p>
    <w:p w14:paraId="338F60AE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00E5E0" w14:textId="7EA24DCB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Помощни вещества с известно действие:</w:t>
      </w:r>
    </w:p>
    <w:p w14:paraId="4F331FA9" w14:textId="637F9DA3" w:rsidR="001E386A" w:rsidRPr="001E386A" w:rsidRDefault="001E386A" w:rsidP="001E386A">
      <w:pPr>
        <w:rPr>
          <w:rFonts w:cs="Arial"/>
          <w:sz w:val="24"/>
          <w:szCs w:val="24"/>
        </w:rPr>
      </w:pPr>
      <w:r w:rsidRPr="001E386A">
        <w:rPr>
          <w:rFonts w:eastAsia="Times New Roman" w:cs="Arial"/>
          <w:color w:val="000000"/>
          <w:lang w:eastAsia="bg-BG"/>
        </w:rPr>
        <w:t xml:space="preserve">Всяка таблетка съдържа 133,1 </w:t>
      </w:r>
      <w:r w:rsidRPr="001E386A">
        <w:rPr>
          <w:rFonts w:eastAsia="Times New Roman" w:cs="Arial"/>
          <w:color w:val="000000"/>
          <w:lang w:val="en-US"/>
        </w:rPr>
        <w:t xml:space="preserve">mg </w:t>
      </w:r>
      <w:r w:rsidRPr="001E386A">
        <w:rPr>
          <w:rFonts w:eastAsia="Times New Roman" w:cs="Arial"/>
          <w:color w:val="000000"/>
          <w:lang w:eastAsia="bg-BG"/>
        </w:rPr>
        <w:t>лактоза монохидрат (вижте точка 4.4)</w:t>
      </w:r>
    </w:p>
    <w:p w14:paraId="4CABB9ED" w14:textId="23D326AF" w:rsidR="00F53FB7" w:rsidRDefault="00DD466D" w:rsidP="00A93499">
      <w:pPr>
        <w:pStyle w:val="Heading1"/>
      </w:pPr>
      <w:r>
        <w:t>3. ЛЕКАРСТВЕНА ФОРМА</w:t>
      </w:r>
    </w:p>
    <w:p w14:paraId="767FCC95" w14:textId="1FD85522" w:rsidR="001E386A" w:rsidRDefault="001E386A" w:rsidP="001E386A"/>
    <w:p w14:paraId="34266EA0" w14:textId="77777777" w:rsidR="001E386A" w:rsidRPr="001E386A" w:rsidRDefault="001E386A" w:rsidP="001E386A">
      <w:pPr>
        <w:rPr>
          <w:sz w:val="24"/>
          <w:szCs w:val="24"/>
          <w:lang w:eastAsia="bg-BG"/>
        </w:rPr>
      </w:pPr>
      <w:r w:rsidRPr="001E386A">
        <w:rPr>
          <w:lang w:eastAsia="bg-BG"/>
        </w:rPr>
        <w:t>Таблетка.</w:t>
      </w:r>
    </w:p>
    <w:p w14:paraId="416EC95D" w14:textId="77777777" w:rsidR="001E386A" w:rsidRPr="001E386A" w:rsidRDefault="001E386A" w:rsidP="001E386A">
      <w:pPr>
        <w:rPr>
          <w:sz w:val="24"/>
          <w:szCs w:val="24"/>
          <w:lang w:eastAsia="bg-BG"/>
        </w:rPr>
      </w:pPr>
      <w:r w:rsidRPr="001E386A">
        <w:rPr>
          <w:lang w:eastAsia="bg-BG"/>
        </w:rPr>
        <w:t xml:space="preserve">Бели, плоски, кръгли таблетки с делителна черта от едната страна и лого </w:t>
      </w:r>
      <w:r w:rsidRPr="001E386A">
        <w:rPr>
          <w:lang w:val="en-US"/>
        </w:rPr>
        <w:t>“</w:t>
      </w:r>
      <w:proofErr w:type="spellStart"/>
      <w:r w:rsidRPr="001E386A">
        <w:rPr>
          <w:lang w:val="en-US"/>
        </w:rPr>
        <w:t>Covex</w:t>
      </w:r>
      <w:proofErr w:type="spellEnd"/>
      <w:r w:rsidRPr="001E386A">
        <w:rPr>
          <w:lang w:val="en-US"/>
        </w:rPr>
        <w:t xml:space="preserve"> S.A.” </w:t>
      </w:r>
      <w:r w:rsidRPr="001E386A">
        <w:rPr>
          <w:lang w:eastAsia="bg-BG"/>
        </w:rPr>
        <w:t xml:space="preserve">от другата; диаметър около 8 </w:t>
      </w:r>
      <w:r w:rsidRPr="001E386A">
        <w:rPr>
          <w:lang w:val="en-US"/>
        </w:rPr>
        <w:t>mm.</w:t>
      </w:r>
    </w:p>
    <w:p w14:paraId="522FDB70" w14:textId="77777777" w:rsidR="001E386A" w:rsidRPr="001E386A" w:rsidRDefault="001E386A" w:rsidP="001E386A">
      <w:pPr>
        <w:rPr>
          <w:sz w:val="24"/>
          <w:szCs w:val="24"/>
          <w:lang w:eastAsia="bg-BG"/>
        </w:rPr>
      </w:pPr>
      <w:r w:rsidRPr="001E386A">
        <w:rPr>
          <w:lang w:eastAsia="bg-BG"/>
        </w:rPr>
        <w:t>Делителната черта е само за улесняване на счупването с цел по-лесно гълтане, а не за разделяне на равни дози.</w:t>
      </w:r>
    </w:p>
    <w:p w14:paraId="4946CD7F" w14:textId="77777777" w:rsidR="001E386A" w:rsidRPr="001E386A" w:rsidRDefault="001E386A" w:rsidP="001E386A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1A37D275" w14:textId="4FEC1450" w:rsidR="00F53FB7" w:rsidRDefault="002C50EE" w:rsidP="00A93499">
      <w:pPr>
        <w:pStyle w:val="Heading2"/>
      </w:pPr>
      <w:r>
        <w:t>4.1. Терапевтични показания</w:t>
      </w:r>
    </w:p>
    <w:p w14:paraId="2ED41A27" w14:textId="19FC22E3" w:rsidR="001E386A" w:rsidRDefault="001E386A" w:rsidP="001E386A"/>
    <w:p w14:paraId="4BE07D3F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bookmarkStart w:id="1" w:name="bookmark0"/>
      <w:r w:rsidRPr="001E386A">
        <w:rPr>
          <w:rFonts w:eastAsia="Times New Roman" w:cs="Arial"/>
          <w:b/>
          <w:bCs/>
          <w:color w:val="000000"/>
          <w:lang w:eastAsia="bg-BG"/>
        </w:rPr>
        <w:t>В неврологията:</w:t>
      </w:r>
      <w:bookmarkEnd w:id="1"/>
    </w:p>
    <w:p w14:paraId="7E31B4C5" w14:textId="0A18A6F1" w:rsidR="001E386A" w:rsidRPr="001E386A" w:rsidRDefault="001E386A" w:rsidP="001E386A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За лечение на различни форми на мозъчни циркулаторни нарушения:</w:t>
      </w:r>
    </w:p>
    <w:p w14:paraId="3844E2F6" w14:textId="77777777" w:rsidR="001E386A" w:rsidRPr="001E386A" w:rsidRDefault="001E386A" w:rsidP="001E386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транзиторни исхемични нарушения;</w:t>
      </w:r>
    </w:p>
    <w:p w14:paraId="15A75AFD" w14:textId="77777777" w:rsidR="001E386A" w:rsidRPr="001E386A" w:rsidRDefault="001E386A" w:rsidP="001E386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исхемичен мозъчен инсулт, слединсултни състояния;</w:t>
      </w:r>
    </w:p>
    <w:p w14:paraId="1F85B20C" w14:textId="77777777" w:rsidR="001E386A" w:rsidRPr="001E386A" w:rsidRDefault="001E386A" w:rsidP="001E386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съдова деменция, мозъчна атеросклероза;</w:t>
      </w:r>
    </w:p>
    <w:p w14:paraId="455EF9F9" w14:textId="77777777" w:rsidR="001E386A" w:rsidRPr="001E386A" w:rsidRDefault="001E386A" w:rsidP="001E386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посттравматична и хипертонична енцефалопатия</w:t>
      </w:r>
    </w:p>
    <w:p w14:paraId="64F61922" w14:textId="77777777" w:rsidR="001E386A" w:rsidRPr="001E386A" w:rsidRDefault="001E386A" w:rsidP="001E386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вертебробазиларна недостатъчност.</w:t>
      </w:r>
    </w:p>
    <w:p w14:paraId="269DFEBF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793793" w14:textId="26B76E97" w:rsidR="001E386A" w:rsidRPr="001E386A" w:rsidRDefault="001E386A" w:rsidP="001E386A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За намаляване на психичните или неврологичните симптоми на мозъчните циркулаторни нарушения.</w:t>
      </w:r>
    </w:p>
    <w:p w14:paraId="23D63CAF" w14:textId="77777777" w:rsidR="001E386A" w:rsidRPr="001E386A" w:rsidRDefault="001E386A" w:rsidP="001E386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4C55C696" w14:textId="3C2CF596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b/>
          <w:bCs/>
          <w:color w:val="000000"/>
          <w:lang w:eastAsia="bg-BG"/>
        </w:rPr>
        <w:t>В офталмологията:</w:t>
      </w:r>
      <w:bookmarkEnd w:id="2"/>
    </w:p>
    <w:p w14:paraId="11B04D93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При обструкция на кръвоносните съдове на ретината и склерата, макулна дегенерация причинена от атеросклероза или съдов спазъм, също и при частична тромбоза, вторична глаукома от съдов произход.</w:t>
      </w:r>
    </w:p>
    <w:p w14:paraId="510A3795" w14:textId="77777777" w:rsidR="001E386A" w:rsidRPr="001E386A" w:rsidRDefault="001E386A" w:rsidP="001E386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339CB527" w14:textId="6CE2BA19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b/>
          <w:bCs/>
          <w:color w:val="000000"/>
          <w:lang w:eastAsia="bg-BG"/>
        </w:rPr>
        <w:t>В отологнята:</w:t>
      </w:r>
      <w:bookmarkEnd w:id="3"/>
    </w:p>
    <w:p w14:paraId="78D31456" w14:textId="1DDE6E37" w:rsidR="001E386A" w:rsidRPr="001E386A" w:rsidRDefault="001E386A" w:rsidP="001E386A">
      <w:pPr>
        <w:rPr>
          <w:rFonts w:cs="Arial"/>
          <w:sz w:val="24"/>
          <w:szCs w:val="24"/>
        </w:rPr>
      </w:pPr>
      <w:r w:rsidRPr="001E386A">
        <w:rPr>
          <w:rFonts w:eastAsia="Times New Roman" w:cs="Arial"/>
          <w:color w:val="000000"/>
          <w:lang w:eastAsia="bg-BG"/>
        </w:rPr>
        <w:t xml:space="preserve">За лечение на пресбиакузис с остър съдов, токсичен или друг произход, болест на </w:t>
      </w:r>
      <w:r w:rsidRPr="001E386A">
        <w:rPr>
          <w:rFonts w:eastAsia="Times New Roman" w:cs="Arial"/>
          <w:color w:val="000000"/>
          <w:lang w:val="en-US"/>
        </w:rPr>
        <w:t xml:space="preserve">Meniere, </w:t>
      </w:r>
      <w:r w:rsidRPr="001E386A">
        <w:rPr>
          <w:rFonts w:eastAsia="Times New Roman" w:cs="Arial"/>
          <w:color w:val="000000"/>
          <w:lang w:eastAsia="bg-BG"/>
        </w:rPr>
        <w:t>вертиго с произход от лабиринта, шум в ушите.</w:t>
      </w:r>
    </w:p>
    <w:p w14:paraId="05D17336" w14:textId="47A694C1" w:rsidR="00F53FB7" w:rsidRDefault="002C50EE" w:rsidP="00A93499">
      <w:pPr>
        <w:pStyle w:val="Heading2"/>
      </w:pPr>
      <w:r>
        <w:lastRenderedPageBreak/>
        <w:t>4.2. Дозировка и начин на приложение</w:t>
      </w:r>
    </w:p>
    <w:p w14:paraId="5CA57E0A" w14:textId="53E11BE0" w:rsidR="001E386A" w:rsidRDefault="001E386A" w:rsidP="001E386A"/>
    <w:p w14:paraId="242F290F" w14:textId="77777777" w:rsidR="001E386A" w:rsidRPr="001E386A" w:rsidRDefault="001E386A" w:rsidP="001E386A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E386A">
        <w:rPr>
          <w:rFonts w:eastAsia="Times New Roman"/>
          <w:u w:val="single"/>
          <w:lang w:eastAsia="bg-BG"/>
        </w:rPr>
        <w:t>Дозировка:</w:t>
      </w:r>
    </w:p>
    <w:p w14:paraId="4046EF61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 xml:space="preserve">Препоръчителната доза е 3 пъти по 10 </w:t>
      </w:r>
      <w:r w:rsidRPr="001E386A">
        <w:rPr>
          <w:rFonts w:eastAsia="Times New Roman" w:cs="Arial"/>
          <w:color w:val="000000"/>
          <w:lang w:val="en-US"/>
        </w:rPr>
        <w:t xml:space="preserve">mg </w:t>
      </w:r>
      <w:r w:rsidRPr="001E386A">
        <w:rPr>
          <w:rFonts w:eastAsia="Times New Roman" w:cs="Arial"/>
          <w:color w:val="000000"/>
          <w:lang w:eastAsia="bg-BG"/>
        </w:rPr>
        <w:t>на ден.</w:t>
      </w:r>
    </w:p>
    <w:p w14:paraId="3964D0AA" w14:textId="77777777" w:rsidR="001E386A" w:rsidRPr="001E386A" w:rsidRDefault="001E386A" w:rsidP="001E386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C5A284A" w14:textId="4FD1A99D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 xml:space="preserve">Пациенти с бъбречно </w:t>
      </w:r>
      <w:r w:rsidRPr="001E386A">
        <w:rPr>
          <w:rFonts w:eastAsia="Times New Roman" w:cs="Arial"/>
          <w:i/>
          <w:iCs/>
          <w:color w:val="000000"/>
          <w:lang w:val="en-US"/>
        </w:rPr>
        <w:t>u/</w:t>
      </w:r>
      <w:r w:rsidRPr="001E386A">
        <w:rPr>
          <w:rFonts w:eastAsia="Times New Roman" w:cs="Arial"/>
          <w:i/>
          <w:iCs/>
          <w:color w:val="000000"/>
          <w:lang w:eastAsia="bg-BG"/>
        </w:rPr>
        <w:t>или</w:t>
      </w:r>
      <w:r w:rsidRPr="001E386A">
        <w:rPr>
          <w:rFonts w:eastAsia="Times New Roman" w:cs="Arial"/>
          <w:i/>
          <w:iCs/>
          <w:color w:val="000000"/>
          <w:lang w:val="en-US"/>
        </w:rPr>
        <w:t xml:space="preserve"> </w:t>
      </w:r>
      <w:r w:rsidRPr="001E386A">
        <w:rPr>
          <w:rFonts w:eastAsia="Times New Roman" w:cs="Arial"/>
          <w:i/>
          <w:iCs/>
          <w:color w:val="000000"/>
          <w:lang w:eastAsia="bg-BG"/>
        </w:rPr>
        <w:t>чернодробно заболяване:</w:t>
      </w:r>
    </w:p>
    <w:p w14:paraId="7DF73CD5" w14:textId="6BA5E16C" w:rsidR="001E386A" w:rsidRPr="001E386A" w:rsidRDefault="001E386A" w:rsidP="001E386A">
      <w:pPr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Не е необходимо коригиране на дозата при пациенти с бъбречно или чернодробно заболяване. Препоръчва се повишено внимание при пациенти с бъбречна или чернодробна недостатъчност (вижте т. 4.4)</w:t>
      </w:r>
    </w:p>
    <w:p w14:paraId="55C5DA01" w14:textId="22493640" w:rsidR="001E386A" w:rsidRPr="001E386A" w:rsidRDefault="001E386A" w:rsidP="001E386A">
      <w:pPr>
        <w:rPr>
          <w:rFonts w:eastAsia="Times New Roman" w:cs="Arial"/>
          <w:color w:val="000000"/>
          <w:lang w:eastAsia="bg-BG"/>
        </w:rPr>
      </w:pPr>
    </w:p>
    <w:p w14:paraId="63526F0F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Педиатрична популация:</w:t>
      </w:r>
    </w:p>
    <w:p w14:paraId="6C7B8F0D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ВИНПО-10 не трябва да се прилага при деца и юноши под 18 годишна възраст поради съображения за безопасност.</w:t>
      </w:r>
    </w:p>
    <w:p w14:paraId="053018DF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2BE88C" w14:textId="41B62ED9" w:rsidR="001E386A" w:rsidRPr="001E386A" w:rsidRDefault="001E386A" w:rsidP="001E386A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E386A">
        <w:rPr>
          <w:rFonts w:eastAsia="Times New Roman"/>
          <w:u w:val="single"/>
          <w:lang w:eastAsia="bg-BG"/>
        </w:rPr>
        <w:t>Начин на приложение:</w:t>
      </w:r>
    </w:p>
    <w:p w14:paraId="3E852265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ВИНПО-10 таблетки е предназначен за перорално приложение. Таблетките трябва да се приемат след хранене.</w:t>
      </w:r>
    </w:p>
    <w:p w14:paraId="6DB2FF94" w14:textId="77777777" w:rsidR="001E386A" w:rsidRPr="001E386A" w:rsidRDefault="001E386A" w:rsidP="001E386A"/>
    <w:p w14:paraId="1BF2EFF4" w14:textId="66C1D3FB" w:rsidR="001A6EBD" w:rsidRDefault="002C50EE" w:rsidP="00471F10">
      <w:pPr>
        <w:pStyle w:val="Heading2"/>
      </w:pPr>
      <w:r>
        <w:t>4.3. Противопоказания</w:t>
      </w:r>
    </w:p>
    <w:p w14:paraId="34EE4476" w14:textId="33C53B82" w:rsidR="001E386A" w:rsidRDefault="001E386A" w:rsidP="001E386A"/>
    <w:p w14:paraId="1393E562" w14:textId="77777777" w:rsidR="001E386A" w:rsidRPr="001E386A" w:rsidRDefault="001E386A" w:rsidP="001E386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изброени в точка 6.1;</w:t>
      </w:r>
    </w:p>
    <w:p w14:paraId="30932E82" w14:textId="77777777" w:rsidR="001E386A" w:rsidRPr="001E386A" w:rsidRDefault="001E386A" w:rsidP="001E386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бременност и кърмене;</w:t>
      </w:r>
    </w:p>
    <w:p w14:paraId="72205A58" w14:textId="77777777" w:rsidR="001E386A" w:rsidRPr="001E386A" w:rsidRDefault="001E386A" w:rsidP="001E386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пресен мозъчен кръвоизлив;</w:t>
      </w:r>
    </w:p>
    <w:p w14:paraId="070CE7CE" w14:textId="77777777" w:rsidR="001E386A" w:rsidRPr="001E386A" w:rsidRDefault="001E386A" w:rsidP="001E386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остра фаза на мозъчен кръвоизлив;</w:t>
      </w:r>
    </w:p>
    <w:p w14:paraId="3C0F2F4D" w14:textId="77777777" w:rsidR="001E386A" w:rsidRPr="001E386A" w:rsidRDefault="001E386A" w:rsidP="001E386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тежка исхемична болест на сърцето;</w:t>
      </w:r>
    </w:p>
    <w:p w14:paraId="05F5703C" w14:textId="77777777" w:rsidR="001E386A" w:rsidRPr="001E386A" w:rsidRDefault="001E386A" w:rsidP="001E386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тежка аритмия;</w:t>
      </w:r>
    </w:p>
    <w:p w14:paraId="2F6C77BE" w14:textId="77777777" w:rsidR="001E386A" w:rsidRPr="001E386A" w:rsidRDefault="001E386A" w:rsidP="001E386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интракраниална хипертензия;</w:t>
      </w:r>
    </w:p>
    <w:p w14:paraId="376D6B28" w14:textId="7B776BB8" w:rsidR="001E386A" w:rsidRPr="001E386A" w:rsidRDefault="001E386A" w:rsidP="001E386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деца и юноши под 18 годишна възраст.</w:t>
      </w:r>
    </w:p>
    <w:p w14:paraId="3088BF7F" w14:textId="77777777" w:rsidR="001E386A" w:rsidRPr="001E386A" w:rsidRDefault="001E386A" w:rsidP="001E386A"/>
    <w:p w14:paraId="0C106098" w14:textId="7408D168" w:rsidR="001A6EBD" w:rsidRDefault="002C50EE" w:rsidP="00471F10">
      <w:pPr>
        <w:pStyle w:val="Heading2"/>
      </w:pPr>
      <w:r>
        <w:t>4.4. Специални предупреждения и предпазни мерки при употреба</w:t>
      </w:r>
    </w:p>
    <w:p w14:paraId="115685D6" w14:textId="3F590A61" w:rsidR="001E386A" w:rsidRDefault="001E386A" w:rsidP="001E386A"/>
    <w:p w14:paraId="39502F3B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 xml:space="preserve">Да се прилага внимателно при болни със сърдечна аритмия или при такива, приемащи хипотензивни средства. Употребата на ВИНПО-10 трябва да се избягва, когато това е възможно, при пациенти с удължен </w:t>
      </w:r>
      <w:r w:rsidRPr="001E386A">
        <w:rPr>
          <w:rFonts w:eastAsia="Times New Roman" w:cs="Arial"/>
          <w:color w:val="000000"/>
          <w:lang w:val="en-US"/>
        </w:rPr>
        <w:t xml:space="preserve">QT- </w:t>
      </w:r>
      <w:r w:rsidRPr="001E386A">
        <w:rPr>
          <w:rFonts w:eastAsia="Times New Roman" w:cs="Arial"/>
          <w:color w:val="000000"/>
          <w:lang w:eastAsia="bg-BG"/>
        </w:rPr>
        <w:t xml:space="preserve">интервал на електрокардиограмата, тъй като те имат повишен риск за развитие на аритмии. По същия начин, лекарственият продукт трябва да се прилага внимателно при лечение с хипотензивни средства и лекарства, които могат да удължат </w:t>
      </w:r>
      <w:r w:rsidRPr="001E386A">
        <w:rPr>
          <w:rFonts w:eastAsia="Times New Roman" w:cs="Arial"/>
          <w:color w:val="000000"/>
          <w:lang w:val="en-US"/>
        </w:rPr>
        <w:t xml:space="preserve">QT- </w:t>
      </w:r>
      <w:r w:rsidRPr="001E386A">
        <w:rPr>
          <w:rFonts w:eastAsia="Times New Roman" w:cs="Arial"/>
          <w:color w:val="000000"/>
          <w:lang w:eastAsia="bg-BG"/>
        </w:rPr>
        <w:t>интервал, при болни с анамнеза за непоносимост към други Винка алкалоиди и при пациенти с бъбречна или чернодробна недостатъчност.</w:t>
      </w:r>
    </w:p>
    <w:p w14:paraId="2EAD7F21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30CE76" w14:textId="5A7AA8E0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 xml:space="preserve">Ако ВИНПО-10 се предписва на пациенти с удължен </w:t>
      </w:r>
      <w:r w:rsidRPr="001E386A">
        <w:rPr>
          <w:rFonts w:eastAsia="Times New Roman" w:cs="Arial"/>
          <w:color w:val="000000"/>
          <w:lang w:val="en-US"/>
        </w:rPr>
        <w:t xml:space="preserve">QT- </w:t>
      </w:r>
      <w:r w:rsidRPr="001E386A">
        <w:rPr>
          <w:rFonts w:eastAsia="Times New Roman" w:cs="Arial"/>
          <w:color w:val="000000"/>
          <w:lang w:eastAsia="bg-BG"/>
        </w:rPr>
        <w:t xml:space="preserve">интервал или пациенти, приемащи лекарства, които могат да удължат </w:t>
      </w:r>
      <w:r w:rsidRPr="001E386A">
        <w:rPr>
          <w:rFonts w:eastAsia="Times New Roman" w:cs="Arial"/>
          <w:color w:val="000000"/>
          <w:lang w:val="en-US"/>
        </w:rPr>
        <w:t xml:space="preserve">QT- </w:t>
      </w:r>
      <w:r w:rsidRPr="001E386A">
        <w:rPr>
          <w:rFonts w:eastAsia="Times New Roman" w:cs="Arial"/>
          <w:color w:val="000000"/>
          <w:lang w:eastAsia="bg-BG"/>
        </w:rPr>
        <w:t>интервала, се препоръчва ЕКГ мониториране.</w:t>
      </w:r>
    </w:p>
    <w:p w14:paraId="6F6D7183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Пациенти с хипотония или ортостатична хипотония трябва да бъдат предупредени, че продължителния прием на ВИНПО-10 може да доведе до понижаване на систоличното и диастоличното кръвно налягане.</w:t>
      </w:r>
    </w:p>
    <w:p w14:paraId="31A322CC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A896F7" w14:textId="166EBF0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lastRenderedPageBreak/>
        <w:t>ВИНПО-10 съдържа лактоза монохидрат като помощно вещество и не трябва да бъде предписван на пациенти с лактозна недостатъчност, галактоземия или глюкозен / галактозен синдром на малабсорбция.</w:t>
      </w:r>
    </w:p>
    <w:p w14:paraId="55F00873" w14:textId="77777777" w:rsidR="001E386A" w:rsidRPr="001E386A" w:rsidRDefault="001E386A" w:rsidP="001E386A"/>
    <w:p w14:paraId="7ABEA351" w14:textId="7D366AAA" w:rsidR="00A71DCF" w:rsidRDefault="002C50EE" w:rsidP="00A93499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2BA6FD76" w14:textId="40565B87" w:rsidR="001E386A" w:rsidRDefault="001E386A" w:rsidP="001E386A"/>
    <w:p w14:paraId="2211699B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В проведени клинични проучвания взаимодействия не са наблюдавани, когато винпоцетин е предписван с бета блокери (клоранолол, пиндолол), клопамид, глибенкламид, дигоксин, аценокумарол или хидрохлортиазид.</w:t>
      </w:r>
    </w:p>
    <w:p w14:paraId="110D194E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В редки случаи е съобщавано за усилване на хипотензивния ефект на алфа метилдопа, при едновременен прием с винпоцетин. Затова в тези случаи се препоръчва регулярно мониториране на кръвното налягане.</w:t>
      </w:r>
    </w:p>
    <w:p w14:paraId="6C3A3CC2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908F71" w14:textId="02B81CEC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Въпреки, че клиничните данни не потвърждават, повишено внимание е необходимо</w:t>
      </w:r>
      <w:r w:rsidRPr="001E386A">
        <w:rPr>
          <w:rFonts w:eastAsia="Times New Roman" w:cs="Arial"/>
          <w:i/>
          <w:iCs/>
          <w:color w:val="000000"/>
          <w:vertAlign w:val="subscript"/>
          <w:lang w:eastAsia="bg-BG"/>
        </w:rPr>
        <w:t xml:space="preserve"> </w:t>
      </w:r>
      <w:r w:rsidRPr="001E386A">
        <w:rPr>
          <w:rFonts w:eastAsia="Times New Roman" w:cs="Arial"/>
          <w:color w:val="000000"/>
          <w:lang w:eastAsia="bg-BG"/>
        </w:rPr>
        <w:t>когато винпоцетин се предписва едновременно с антикоагуланти или антиаритмични</w:t>
      </w:r>
      <w:r w:rsidRPr="001E386A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1E386A">
        <w:rPr>
          <w:rFonts w:eastAsia="Times New Roman" w:cs="Arial"/>
          <w:color w:val="000000"/>
          <w:lang w:eastAsia="bg-BG"/>
        </w:rPr>
        <w:t>лекарствени продукти.</w:t>
      </w:r>
    </w:p>
    <w:p w14:paraId="4C0224B5" w14:textId="77777777" w:rsidR="001E386A" w:rsidRPr="001E386A" w:rsidRDefault="001E386A" w:rsidP="001E386A"/>
    <w:p w14:paraId="15A75A66" w14:textId="3922AA1D" w:rsidR="00A71DCF" w:rsidRDefault="002C50EE" w:rsidP="00A93499">
      <w:pPr>
        <w:pStyle w:val="Heading2"/>
      </w:pPr>
      <w:r>
        <w:t>4.6. Фертилитет, бременност и кърмене</w:t>
      </w:r>
    </w:p>
    <w:p w14:paraId="01E4F953" w14:textId="483D9003" w:rsidR="001E386A" w:rsidRDefault="001E386A" w:rsidP="001E386A"/>
    <w:p w14:paraId="02978FFE" w14:textId="77777777" w:rsidR="001E386A" w:rsidRPr="001E386A" w:rsidRDefault="001E386A" w:rsidP="001E386A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E386A">
        <w:rPr>
          <w:rFonts w:eastAsia="Times New Roman"/>
          <w:u w:val="single"/>
          <w:lang w:eastAsia="bg-BG"/>
        </w:rPr>
        <w:t>Бременност:</w:t>
      </w:r>
    </w:p>
    <w:p w14:paraId="0B7BBE9F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Поради липса на приложими клинични данни приложението на винпоцетин е противопоказано по време на бременност.</w:t>
      </w:r>
    </w:p>
    <w:p w14:paraId="254C87D9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Винпоцетин преминава през плацентарната бариера, но достига по-ниски концентрации в плацентата и в плода в сравнение с плазмената концентрация в кръвта на майката. Не е наблюдаван тератогенен или ембриотоксичен ефект. При изследвания на животни с прилагане на високи дози винпоцетин в отделни случаи е настъпило плацентно кръвотечение и аборт, вероятно в резултат на повишен плацентен кръвоток.</w:t>
      </w:r>
    </w:p>
    <w:p w14:paraId="163D826B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4044F24" w14:textId="10292A04" w:rsidR="001E386A" w:rsidRPr="001E386A" w:rsidRDefault="001E386A" w:rsidP="001E386A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E386A">
        <w:rPr>
          <w:rFonts w:eastAsia="Times New Roman"/>
          <w:u w:val="single"/>
          <w:lang w:eastAsia="bg-BG"/>
        </w:rPr>
        <w:t>Кърмене:</w:t>
      </w:r>
    </w:p>
    <w:p w14:paraId="345CCEF7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Винпоцетин се екскретира в кърмата. В клинични проучвания с радиоактивно маркиран винпоцетин, радиоактивността в млякото е десетократно по-висока в сравнение с тази в кръвта на майката. Количеството екскретирано в кърмата за 1 час е 25% от дозата. Поради екскрецията на винпоцетин в майчиното мляко и липсата на данни относно ефекта му върху кърмачето, приложението на винпоцетин при кърмещи майки е противопоказано.</w:t>
      </w:r>
    </w:p>
    <w:p w14:paraId="487A1FF7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7CA25F" w14:textId="18BDE801" w:rsidR="001E386A" w:rsidRPr="001E386A" w:rsidRDefault="001E386A" w:rsidP="001E386A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E386A">
        <w:rPr>
          <w:rFonts w:eastAsia="Times New Roman"/>
          <w:u w:val="single"/>
          <w:lang w:eastAsia="bg-BG"/>
        </w:rPr>
        <w:t>Фертилитет:</w:t>
      </w:r>
    </w:p>
    <w:p w14:paraId="336E0764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Липсват клинични данни</w:t>
      </w:r>
    </w:p>
    <w:p w14:paraId="7CCA9908" w14:textId="77777777" w:rsidR="001E386A" w:rsidRPr="001E386A" w:rsidRDefault="001E386A" w:rsidP="001E386A"/>
    <w:p w14:paraId="6201597D" w14:textId="4B9D774B" w:rsidR="00EE6C97" w:rsidRDefault="002C50EE" w:rsidP="00A93499">
      <w:pPr>
        <w:pStyle w:val="Heading2"/>
      </w:pPr>
      <w:r>
        <w:t>4.7. Ефекти върху способността за шофиране и работа с машини</w:t>
      </w:r>
    </w:p>
    <w:p w14:paraId="72F642CC" w14:textId="6C6D820B" w:rsidR="001E386A" w:rsidRDefault="001E386A" w:rsidP="001E386A"/>
    <w:p w14:paraId="49BE5096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Това лекарство, при определени дози може да промени възможностите за реакции, което би застрашило способността за шофиране или управление на машини. Това важи особено при употреба му заедно с алкохол.</w:t>
      </w:r>
    </w:p>
    <w:p w14:paraId="4022DC9A" w14:textId="77777777" w:rsidR="001E386A" w:rsidRPr="001E386A" w:rsidRDefault="001E386A" w:rsidP="001E386A"/>
    <w:p w14:paraId="389A90F4" w14:textId="12730365" w:rsidR="00BA5B74" w:rsidRDefault="002C50EE" w:rsidP="00A93499">
      <w:pPr>
        <w:pStyle w:val="Heading2"/>
      </w:pPr>
      <w:r>
        <w:lastRenderedPageBreak/>
        <w:t>4.8. Нежелани лекарствени реакции</w:t>
      </w:r>
    </w:p>
    <w:p w14:paraId="615602E5" w14:textId="3BBA024A" w:rsidR="001E386A" w:rsidRDefault="001E386A" w:rsidP="001E386A"/>
    <w:p w14:paraId="36EF0E65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Съобщените нежелани лекарствени реакции са класифицирани според честотата им както следва:</w:t>
      </w:r>
    </w:p>
    <w:p w14:paraId="0C081515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 xml:space="preserve">Много чести (≥1/10); чести (≥1/100 </w:t>
      </w:r>
      <w:r w:rsidRPr="001E386A">
        <w:rPr>
          <w:rFonts w:eastAsia="Times New Roman" w:cs="Arial"/>
          <w:color w:val="000000"/>
          <w:lang w:val="en-US"/>
        </w:rPr>
        <w:t xml:space="preserve">to </w:t>
      </w:r>
      <w:r w:rsidRPr="001E386A">
        <w:rPr>
          <w:rFonts w:eastAsia="Times New Roman" w:cs="Arial"/>
          <w:color w:val="000000"/>
          <w:lang w:eastAsia="bg-BG"/>
        </w:rPr>
        <w:t xml:space="preserve">&lt;1/10); нечести (≥1/1000 </w:t>
      </w:r>
      <w:r w:rsidRPr="001E386A">
        <w:rPr>
          <w:rFonts w:eastAsia="Times New Roman" w:cs="Arial"/>
          <w:color w:val="000000"/>
          <w:lang w:val="en-US"/>
        </w:rPr>
        <w:t xml:space="preserve">to </w:t>
      </w:r>
      <w:r w:rsidRPr="001E386A">
        <w:rPr>
          <w:rFonts w:eastAsia="Times New Roman" w:cs="Arial"/>
          <w:color w:val="000000"/>
          <w:lang w:eastAsia="bg-BG"/>
        </w:rPr>
        <w:t xml:space="preserve">&lt;1/100); редки (≥1/10000 </w:t>
      </w:r>
      <w:r w:rsidRPr="001E386A">
        <w:rPr>
          <w:rFonts w:eastAsia="Times New Roman" w:cs="Arial"/>
          <w:color w:val="000000"/>
          <w:lang w:val="en-US"/>
        </w:rPr>
        <w:t xml:space="preserve">to </w:t>
      </w:r>
      <w:r w:rsidRPr="001E386A">
        <w:rPr>
          <w:rFonts w:eastAsia="Times New Roman" w:cs="Arial"/>
          <w:color w:val="000000"/>
          <w:lang w:eastAsia="bg-BG"/>
        </w:rPr>
        <w:t>&lt;1/1000); много редки (&lt;1 /10000); с неизвестна честота (от наличните данни не може да се направи оценка).</w:t>
      </w:r>
    </w:p>
    <w:p w14:paraId="2D1D78AF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Във всяка група нежеланите лекарствени реакции са изброени според намаляване на тежестта им.</w:t>
      </w:r>
    </w:p>
    <w:p w14:paraId="236EE57D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AB91F0" w14:textId="56700B50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Нарушения на кръвта и лимфната система</w:t>
      </w:r>
    </w:p>
    <w:p w14:paraId="43C353B4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тромбоцитопения, аглутинация на еритроцитите </w:t>
      </w:r>
    </w:p>
    <w:p w14:paraId="770A7F26" w14:textId="3C026AAD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анемия</w:t>
      </w:r>
    </w:p>
    <w:p w14:paraId="2F551381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11349C8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 xml:space="preserve">Нарушения на имунната система </w:t>
      </w:r>
    </w:p>
    <w:p w14:paraId="68BCC246" w14:textId="7515D181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свръхчувствителност</w:t>
      </w:r>
    </w:p>
    <w:p w14:paraId="60F2BDE8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75DFCE" w14:textId="6DDA0B5C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Нарушения на метаболизма и храненето</w:t>
      </w:r>
    </w:p>
    <w:p w14:paraId="254E7824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хиперхолестеролемия, захарен диабет </w:t>
      </w:r>
    </w:p>
    <w:p w14:paraId="4117BCA6" w14:textId="2CDFEB31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анорексия</w:t>
      </w:r>
    </w:p>
    <w:p w14:paraId="689D0C22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AD0BD7" w14:textId="5B6C664A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Психични нарушения</w:t>
      </w:r>
    </w:p>
    <w:p w14:paraId="34915CFD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1E386A">
        <w:rPr>
          <w:rFonts w:eastAsia="Times New Roman" w:cs="Arial"/>
          <w:color w:val="000000"/>
          <w:lang w:eastAsia="bg-BG"/>
        </w:rPr>
        <w:t xml:space="preserve"> приповдигнато настроение </w:t>
      </w:r>
    </w:p>
    <w:p w14:paraId="415D21A1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възбуда, безпокойство </w:t>
      </w:r>
    </w:p>
    <w:p w14:paraId="77AC0148" w14:textId="47A934D8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депресия</w:t>
      </w:r>
    </w:p>
    <w:p w14:paraId="256A2B8F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BA209E" w14:textId="6BE759BA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Нарушения на нервната система</w:t>
      </w:r>
    </w:p>
    <w:p w14:paraId="63B7EF64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тензионно главоболие, замаяност, хемипареза, сомнолентност </w:t>
      </w:r>
    </w:p>
    <w:p w14:paraId="2B8211CF" w14:textId="4E63BF8A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тремор, загуба на съзнание, хипотония, пресинкоп</w:t>
      </w:r>
    </w:p>
    <w:p w14:paraId="69F6B309" w14:textId="2267BC80" w:rsidR="001E386A" w:rsidRPr="001E386A" w:rsidRDefault="001E386A" w:rsidP="001E386A">
      <w:pPr>
        <w:rPr>
          <w:rFonts w:cs="Arial"/>
        </w:rPr>
      </w:pPr>
    </w:p>
    <w:p w14:paraId="6890CB63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Очни нарушения</w:t>
      </w:r>
    </w:p>
    <w:p w14:paraId="15D77C5E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хифема, хиперметропия, замъглено виждане, миопия</w:t>
      </w:r>
    </w:p>
    <w:p w14:paraId="06CAEF1B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конюктивална хиперемия, папилоедем, диплопия</w:t>
      </w:r>
    </w:p>
    <w:p w14:paraId="59CE8B1A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4380D4" w14:textId="4F85C475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Нарушения на ухото и лабиринта</w:t>
      </w:r>
    </w:p>
    <w:p w14:paraId="62B20A53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нарушен слух, хиперакузис, хипоакузис, вертиго</w:t>
      </w:r>
    </w:p>
    <w:p w14:paraId="6342ECAA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тинитус</w:t>
      </w:r>
    </w:p>
    <w:p w14:paraId="246D845F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7E1FC9" w14:textId="63BB530A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Сърдечни нарушения</w:t>
      </w:r>
    </w:p>
    <w:p w14:paraId="16961653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инфаркт, ангина пекторис, брадикардия, тахикардия, ектрасистоли, палпитация </w:t>
      </w: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сърдечна недостатъчност, предсърдно мъждене</w:t>
      </w:r>
    </w:p>
    <w:p w14:paraId="653C4331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6E31964" w14:textId="187BECE8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Съдови нарушения</w:t>
      </w:r>
    </w:p>
    <w:p w14:paraId="2151BD63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хипотония, хипертония, зачервявания</w:t>
      </w:r>
    </w:p>
    <w:p w14:paraId="57DB514F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флуктуации в кръвното налягане, венозна недостатъчност</w:t>
      </w:r>
    </w:p>
    <w:p w14:paraId="68B69FAB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3CB3572" w14:textId="53EA9082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75CDFF8C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стомашен дискомфорт, сухота в устата, гадене</w:t>
      </w:r>
    </w:p>
    <w:p w14:paraId="7AD19358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хиперсаливация, повръщане</w:t>
      </w:r>
    </w:p>
    <w:p w14:paraId="5DFAEC18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0E8FFA" w14:textId="41185829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lastRenderedPageBreak/>
        <w:t>Нарушения на кожата и подкожната тъкан</w:t>
      </w:r>
    </w:p>
    <w:p w14:paraId="2AB65126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еритема, хиперхидроза, уртикария</w:t>
      </w:r>
    </w:p>
    <w:p w14:paraId="2F53E4CA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дерматит, пруритус</w:t>
      </w:r>
    </w:p>
    <w:p w14:paraId="7BC8CBBA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07CE5E3" w14:textId="1576708F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Общи нарушения и ефекти на мястото на приложение</w:t>
      </w:r>
    </w:p>
    <w:p w14:paraId="128BFA67" w14:textId="7E402E54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1E386A">
        <w:rPr>
          <w:rFonts w:eastAsia="Times New Roman" w:cs="Arial"/>
          <w:color w:val="000000"/>
          <w:lang w:eastAsia="bg-BG"/>
        </w:rPr>
        <w:t xml:space="preserve"> чувство на горещина</w:t>
      </w:r>
    </w:p>
    <w:p w14:paraId="1F11F918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астения, умора, дискомфорт в гърдите</w:t>
      </w:r>
    </w:p>
    <w:p w14:paraId="6D8A04EA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8DBFA0" w14:textId="613C9E19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Изследвания</w:t>
      </w:r>
    </w:p>
    <w:p w14:paraId="4BFD0F8D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1E386A">
        <w:rPr>
          <w:rFonts w:eastAsia="Times New Roman" w:cs="Arial"/>
          <w:color w:val="000000"/>
          <w:lang w:eastAsia="bg-BG"/>
        </w:rPr>
        <w:t xml:space="preserve"> понижаване на кръвното налягане</w:t>
      </w:r>
    </w:p>
    <w:p w14:paraId="464A776D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Редки:</w:t>
      </w:r>
      <w:r w:rsidRPr="001E386A">
        <w:rPr>
          <w:rFonts w:eastAsia="Times New Roman" w:cs="Arial"/>
          <w:color w:val="000000"/>
          <w:lang w:eastAsia="bg-BG"/>
        </w:rPr>
        <w:t xml:space="preserve"> повишаване на кръвното налягане, ЕКГ: </w:t>
      </w:r>
      <w:r w:rsidRPr="001E386A">
        <w:rPr>
          <w:rFonts w:eastAsia="Times New Roman" w:cs="Arial"/>
          <w:color w:val="000000"/>
          <w:lang w:val="en-US"/>
        </w:rPr>
        <w:t xml:space="preserve">QT- </w:t>
      </w:r>
      <w:r w:rsidRPr="001E386A">
        <w:rPr>
          <w:rFonts w:eastAsia="Times New Roman" w:cs="Arial"/>
          <w:color w:val="000000"/>
          <w:lang w:eastAsia="bg-BG"/>
        </w:rPr>
        <w:t xml:space="preserve">удължаване, депресия на </w:t>
      </w:r>
      <w:r w:rsidRPr="001E386A">
        <w:rPr>
          <w:rFonts w:eastAsia="Times New Roman" w:cs="Arial"/>
          <w:color w:val="000000"/>
          <w:lang w:val="en-US"/>
        </w:rPr>
        <w:t xml:space="preserve">ST- </w:t>
      </w:r>
      <w:r w:rsidRPr="001E386A">
        <w:rPr>
          <w:rFonts w:eastAsia="Times New Roman" w:cs="Arial"/>
          <w:color w:val="000000"/>
          <w:lang w:eastAsia="bg-BG"/>
        </w:rPr>
        <w:t>сегмента, повишена кръвна урея.</w:t>
      </w:r>
    </w:p>
    <w:p w14:paraId="31D47D52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1E386A">
        <w:rPr>
          <w:rFonts w:eastAsia="Times New Roman" w:cs="Arial"/>
          <w:color w:val="000000"/>
          <w:lang w:eastAsia="bg-BG"/>
        </w:rPr>
        <w:t xml:space="preserve"> повишаване на нивата на серумния </w:t>
      </w:r>
      <w:r w:rsidRPr="001E386A">
        <w:rPr>
          <w:rFonts w:eastAsia="Times New Roman" w:cs="Arial"/>
          <w:color w:val="000000"/>
          <w:lang w:val="en-US"/>
        </w:rPr>
        <w:t xml:space="preserve">LDH, </w:t>
      </w:r>
      <w:r w:rsidRPr="001E386A">
        <w:rPr>
          <w:rFonts w:eastAsia="Times New Roman" w:cs="Arial"/>
          <w:color w:val="000000"/>
          <w:lang w:eastAsia="bg-BG"/>
        </w:rPr>
        <w:t xml:space="preserve">ЕКГ: удължаване на </w:t>
      </w:r>
      <w:r w:rsidRPr="001E386A">
        <w:rPr>
          <w:rFonts w:eastAsia="Times New Roman" w:cs="Arial"/>
          <w:color w:val="000000"/>
          <w:lang w:val="en-US"/>
        </w:rPr>
        <w:t>PR</w:t>
      </w:r>
      <w:r w:rsidRPr="001E386A">
        <w:rPr>
          <w:rFonts w:eastAsia="Times New Roman" w:cs="Arial"/>
          <w:color w:val="000000"/>
          <w:lang w:eastAsia="bg-BG"/>
        </w:rPr>
        <w:t>-зъбеца и други отклонения.</w:t>
      </w:r>
    </w:p>
    <w:p w14:paraId="7C770792" w14:textId="77777777" w:rsidR="001E386A" w:rsidRPr="001E386A" w:rsidRDefault="001E386A" w:rsidP="001E386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FD87BC5" w14:textId="62EB6B0F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6F110B42" w14:textId="77777777" w:rsidR="001E386A" w:rsidRPr="001E386A" w:rsidRDefault="001E386A" w:rsidP="001E386A">
      <w:pPr>
        <w:spacing w:line="240" w:lineRule="auto"/>
        <w:rPr>
          <w:rFonts w:eastAsia="Times New Roman" w:cs="Arial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ул.,Дамян Груев“ № 8, 1303 София, тел.: +359 2 8903417, уебсайт: </w:t>
      </w:r>
      <w:r w:rsidRPr="001E386A">
        <w:rPr>
          <w:rFonts w:eastAsia="Times New Roman" w:cs="Arial"/>
          <w:lang w:eastAsia="bg-BG"/>
        </w:rPr>
        <w:fldChar w:fldCharType="begin"/>
      </w:r>
      <w:r w:rsidRPr="001E386A">
        <w:rPr>
          <w:rFonts w:eastAsia="Times New Roman" w:cs="Arial"/>
          <w:lang w:eastAsia="bg-BG"/>
        </w:rPr>
        <w:instrText xml:space="preserve"> HYPERLINK "http://www.bda.bg" </w:instrText>
      </w:r>
      <w:r w:rsidRPr="001E386A">
        <w:rPr>
          <w:rFonts w:eastAsia="Times New Roman" w:cs="Arial"/>
          <w:lang w:eastAsia="bg-BG"/>
        </w:rPr>
      </w:r>
      <w:r w:rsidRPr="001E386A">
        <w:rPr>
          <w:rFonts w:eastAsia="Times New Roman" w:cs="Arial"/>
          <w:lang w:eastAsia="bg-BG"/>
        </w:rPr>
        <w:fldChar w:fldCharType="separate"/>
      </w:r>
      <w:r w:rsidRPr="001E386A">
        <w:rPr>
          <w:rFonts w:eastAsia="Times New Roman" w:cs="Arial"/>
          <w:color w:val="000000"/>
          <w:lang w:val="en-US"/>
        </w:rPr>
        <w:t>www.bda.bg</w:t>
      </w:r>
      <w:r w:rsidRPr="001E386A">
        <w:rPr>
          <w:rFonts w:eastAsia="Times New Roman" w:cs="Arial"/>
          <w:lang w:eastAsia="bg-BG"/>
        </w:rPr>
        <w:fldChar w:fldCharType="end"/>
      </w:r>
    </w:p>
    <w:p w14:paraId="00B746EE" w14:textId="77777777" w:rsidR="001E386A" w:rsidRPr="001E386A" w:rsidRDefault="001E386A" w:rsidP="001E386A"/>
    <w:p w14:paraId="4A5904B1" w14:textId="319ECEA7" w:rsidR="00EE6C97" w:rsidRDefault="002C50EE" w:rsidP="00A93499">
      <w:pPr>
        <w:pStyle w:val="Heading2"/>
      </w:pPr>
      <w:r>
        <w:t>4.9. Предозиране</w:t>
      </w:r>
    </w:p>
    <w:p w14:paraId="346AA99F" w14:textId="7AFA0124" w:rsidR="001E386A" w:rsidRDefault="001E386A" w:rsidP="001E386A"/>
    <w:p w14:paraId="32A58BFC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>Не са докладвани случаи на предозиране.</w:t>
      </w:r>
    </w:p>
    <w:p w14:paraId="13F80EE7" w14:textId="77777777" w:rsidR="001E386A" w:rsidRPr="001E386A" w:rsidRDefault="001E386A" w:rsidP="001E386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386A">
        <w:rPr>
          <w:rFonts w:eastAsia="Times New Roman" w:cs="Arial"/>
          <w:color w:val="000000"/>
          <w:lang w:eastAsia="bg-BG"/>
        </w:rPr>
        <w:t xml:space="preserve">Въз основа на литературни данни, продължителната употреба на 60 </w:t>
      </w:r>
      <w:r w:rsidRPr="001E386A">
        <w:rPr>
          <w:rFonts w:eastAsia="Times New Roman" w:cs="Arial"/>
          <w:color w:val="000000"/>
          <w:lang w:val="en-US"/>
        </w:rPr>
        <w:t xml:space="preserve">mg </w:t>
      </w:r>
      <w:r w:rsidRPr="001E386A">
        <w:rPr>
          <w:rFonts w:eastAsia="Times New Roman" w:cs="Arial"/>
          <w:color w:val="000000"/>
          <w:lang w:eastAsia="bg-BG"/>
        </w:rPr>
        <w:t xml:space="preserve">дневна доза е безопасна. Дори еднократна доза от 360 </w:t>
      </w:r>
      <w:r w:rsidRPr="001E386A">
        <w:rPr>
          <w:rFonts w:eastAsia="Times New Roman" w:cs="Arial"/>
          <w:color w:val="000000"/>
          <w:lang w:val="en-US"/>
        </w:rPr>
        <w:t xml:space="preserve">mg </w:t>
      </w:r>
      <w:r w:rsidRPr="001E386A">
        <w:rPr>
          <w:rFonts w:eastAsia="Times New Roman" w:cs="Arial"/>
          <w:color w:val="000000"/>
          <w:lang w:eastAsia="bg-BG"/>
        </w:rPr>
        <w:t>винпоцетин, не показва клинично наблюдавани сърдечносъдови или други странични ефекти.</w:t>
      </w:r>
    </w:p>
    <w:p w14:paraId="796CEC6F" w14:textId="77777777" w:rsidR="001E386A" w:rsidRPr="001E386A" w:rsidRDefault="001E386A" w:rsidP="001E386A">
      <w:pPr>
        <w:rPr>
          <w:rFonts w:eastAsia="Times New Roman" w:cs="Arial"/>
          <w:color w:val="000000"/>
          <w:lang w:eastAsia="bg-BG"/>
        </w:rPr>
      </w:pPr>
    </w:p>
    <w:p w14:paraId="640AADC0" w14:textId="7C12D471" w:rsidR="001E386A" w:rsidRPr="001E386A" w:rsidRDefault="001E386A" w:rsidP="001E386A">
      <w:pPr>
        <w:rPr>
          <w:rFonts w:cs="Arial"/>
          <w:sz w:val="24"/>
          <w:szCs w:val="24"/>
        </w:rPr>
      </w:pPr>
      <w:r w:rsidRPr="001E386A">
        <w:rPr>
          <w:rFonts w:eastAsia="Times New Roman" w:cs="Arial"/>
          <w:color w:val="000000"/>
          <w:lang w:eastAsia="bg-BG"/>
        </w:rPr>
        <w:t>В случай на предозиране главния риск е свързан с поява на аритмия. В такъв случай приемът на винпоцетин трябва да се преустанови и внимателно да се наблдава сърдечната функция за отклонения.</w:t>
      </w: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B9FA2B5" w14:textId="0428D595" w:rsidR="00EE6C97" w:rsidRDefault="002C50EE" w:rsidP="00A93499">
      <w:pPr>
        <w:pStyle w:val="Heading2"/>
      </w:pPr>
      <w:r>
        <w:t>5.1. Фармакодинамични свойства</w:t>
      </w:r>
    </w:p>
    <w:p w14:paraId="2D967977" w14:textId="00BE96E3" w:rsidR="001E386A" w:rsidRDefault="001E386A" w:rsidP="001E386A"/>
    <w:p w14:paraId="003B4ADC" w14:textId="77777777" w:rsidR="001E163D" w:rsidRPr="001E163D" w:rsidRDefault="001E163D" w:rsidP="001E163D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163D">
        <w:rPr>
          <w:rFonts w:eastAsia="Times New Roman" w:cs="Arial"/>
          <w:color w:val="000000"/>
          <w:lang w:eastAsia="bg-BG"/>
        </w:rPr>
        <w:t>Фармакотерапевтична група: Психоаналептици, други психоаналептици и ноотропни лекарства.</w:t>
      </w:r>
    </w:p>
    <w:p w14:paraId="7DB39C3B" w14:textId="77777777" w:rsidR="001E163D" w:rsidRPr="001E163D" w:rsidRDefault="001E163D" w:rsidP="001E163D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163D">
        <w:rPr>
          <w:rFonts w:eastAsia="Times New Roman" w:cs="Arial"/>
          <w:color w:val="000000"/>
          <w:lang w:eastAsia="bg-BG"/>
        </w:rPr>
        <w:t xml:space="preserve">АТСкод: </w:t>
      </w:r>
      <w:r w:rsidRPr="001E163D">
        <w:rPr>
          <w:rFonts w:eastAsia="Times New Roman" w:cs="Arial"/>
          <w:color w:val="000000"/>
          <w:lang w:val="en-US"/>
        </w:rPr>
        <w:t xml:space="preserve">N06BX </w:t>
      </w:r>
      <w:r w:rsidRPr="001E163D">
        <w:rPr>
          <w:rFonts w:eastAsia="Times New Roman" w:cs="Arial"/>
          <w:color w:val="000000"/>
          <w:lang w:eastAsia="bg-BG"/>
        </w:rPr>
        <w:t>18</w:t>
      </w:r>
    </w:p>
    <w:p w14:paraId="6E7D7A1E" w14:textId="77777777" w:rsidR="001E163D" w:rsidRPr="001E163D" w:rsidRDefault="001E163D" w:rsidP="001E163D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163D">
        <w:rPr>
          <w:rFonts w:eastAsia="Times New Roman" w:cs="Arial"/>
          <w:color w:val="000000"/>
          <w:lang w:eastAsia="bg-BG"/>
        </w:rPr>
        <w:t>Винпоцетин е синтетичен дериват с винкаминова структура, който активира мозъчния метаболизъм.</w:t>
      </w:r>
    </w:p>
    <w:p w14:paraId="30FD4C20" w14:textId="77777777" w:rsidR="001E163D" w:rsidRPr="001E163D" w:rsidRDefault="001E163D" w:rsidP="001E163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C2D4B2" w14:textId="11602878" w:rsidR="001E163D" w:rsidRPr="001E163D" w:rsidRDefault="001E163D" w:rsidP="001E163D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163D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2AAF2EF9" w14:textId="1EF3CB7E" w:rsidR="001E386A" w:rsidRDefault="001E163D" w:rsidP="001E163D">
      <w:pPr>
        <w:rPr>
          <w:rFonts w:eastAsia="Times New Roman" w:cs="Arial"/>
          <w:color w:val="000000"/>
          <w:lang w:eastAsia="bg-BG"/>
        </w:rPr>
      </w:pPr>
      <w:r w:rsidRPr="001E163D">
        <w:rPr>
          <w:rFonts w:eastAsia="Times New Roman" w:cs="Arial"/>
          <w:color w:val="000000"/>
          <w:lang w:eastAsia="bg-BG"/>
        </w:rPr>
        <w:t xml:space="preserve">Вазодилататорният ефект, медииран чрез инхибиция на активността на фосфодиестеразата и чрез увеличение на нивата цикличния аденозинмонофосфат (с- АМР), води до увеличение на регионалния кръвоток, поради намаление на съдовата резистентност. Винпоцетин предпазва тромбоцитите от агрегация, подобрява хемореологичните показатели на микроциркулацията чрез увеличение на еластичността </w:t>
      </w:r>
      <w:r w:rsidRPr="001E163D">
        <w:rPr>
          <w:rFonts w:eastAsia="Times New Roman" w:cs="Arial"/>
          <w:color w:val="000000"/>
          <w:lang w:eastAsia="bg-BG"/>
        </w:rPr>
        <w:lastRenderedPageBreak/>
        <w:t>на кръвните клетки, повишава толеранса на мозъчните клетки към хипоксия и/или исхемия. Повишава нивата за използване на кислород и глюкоза в мозъчните клетки. Винпоцетин подобрява синтезирането на невротрансмитери като допамин и норадреналин, които са отговорни за ноотропните му ефекти. Някой от тези ефекти обаче не може да се свърже с наблюдаваната клинична ефективност.</w:t>
      </w:r>
    </w:p>
    <w:p w14:paraId="09D26809" w14:textId="77777777" w:rsidR="001E163D" w:rsidRPr="001E163D" w:rsidRDefault="001E163D" w:rsidP="001E163D">
      <w:pPr>
        <w:rPr>
          <w:rFonts w:cs="Arial"/>
          <w:sz w:val="24"/>
          <w:szCs w:val="24"/>
        </w:rPr>
      </w:pPr>
    </w:p>
    <w:p w14:paraId="173D7F1D" w14:textId="67EDCAC7" w:rsidR="00EE6C97" w:rsidRDefault="002C50EE" w:rsidP="00A93499">
      <w:pPr>
        <w:pStyle w:val="Heading2"/>
      </w:pPr>
      <w:r>
        <w:t>5.2. Фармакокинетични свойства</w:t>
      </w:r>
    </w:p>
    <w:p w14:paraId="28892643" w14:textId="308D9662" w:rsidR="001E163D" w:rsidRDefault="001E163D" w:rsidP="001E163D"/>
    <w:p w14:paraId="72AC72C8" w14:textId="77777777" w:rsidR="001E163D" w:rsidRPr="001E163D" w:rsidRDefault="001E163D" w:rsidP="001E163D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E163D">
        <w:rPr>
          <w:rFonts w:eastAsia="Times New Roman"/>
          <w:u w:val="single"/>
          <w:lang w:eastAsia="bg-BG"/>
        </w:rPr>
        <w:t>Абсорбция</w:t>
      </w:r>
    </w:p>
    <w:p w14:paraId="5CBC639B" w14:textId="77777777" w:rsidR="001E163D" w:rsidRPr="001E163D" w:rsidRDefault="001E163D" w:rsidP="001E163D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163D">
        <w:rPr>
          <w:rFonts w:eastAsia="Times New Roman" w:cs="Arial"/>
          <w:color w:val="000000"/>
          <w:lang w:eastAsia="bg-BG"/>
        </w:rPr>
        <w:t>Винпоцетин се абсорбира много добре в стомашно-чревния тракт след перорално приложение. Неговата бионаличност след перорално приложение е около 50-70 %. Максималната плазмена концентрация се достига за 1 час. Максимални концентрации в тъканите се измерват 2-4 часа след приложението му.</w:t>
      </w:r>
    </w:p>
    <w:p w14:paraId="02DD7DC6" w14:textId="77777777" w:rsidR="001E163D" w:rsidRPr="001E163D" w:rsidRDefault="001E163D" w:rsidP="001E163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462260" w14:textId="5405F038" w:rsidR="001E163D" w:rsidRPr="001E163D" w:rsidRDefault="001E163D" w:rsidP="001E163D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E163D">
        <w:rPr>
          <w:rFonts w:eastAsia="Times New Roman"/>
          <w:u w:val="single"/>
          <w:lang w:eastAsia="bg-BG"/>
        </w:rPr>
        <w:t>Разпределение</w:t>
      </w:r>
    </w:p>
    <w:p w14:paraId="17A19A63" w14:textId="77777777" w:rsidR="001E163D" w:rsidRPr="001E163D" w:rsidRDefault="001E163D" w:rsidP="001E163D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163D">
        <w:rPr>
          <w:rFonts w:eastAsia="Times New Roman" w:cs="Arial"/>
          <w:color w:val="000000"/>
          <w:lang w:eastAsia="bg-BG"/>
        </w:rPr>
        <w:t xml:space="preserve">Винпоцетин се свързва с плазмените протеини в около 66%. Оптималните плазмени концентрации на активната субстанция са от 10 до 20 </w:t>
      </w:r>
      <w:r w:rsidRPr="001E163D">
        <w:rPr>
          <w:rFonts w:eastAsia="Times New Roman" w:cs="Arial"/>
          <w:color w:val="000000"/>
          <w:lang w:val="en-US"/>
        </w:rPr>
        <w:t xml:space="preserve">ng/ml. </w:t>
      </w:r>
      <w:r w:rsidRPr="001E163D">
        <w:rPr>
          <w:rFonts w:eastAsia="Times New Roman" w:cs="Arial"/>
          <w:color w:val="000000"/>
          <w:lang w:eastAsia="bg-BG"/>
        </w:rPr>
        <w:t>Обемът на разпределение е 246,7 ± 88,51, което показва значително тъканно свързване. Времето на полуживог на винпоцетин е около 5 часа. Винпоцетин преминава през плацентата и се екскретира в кърмата.</w:t>
      </w:r>
    </w:p>
    <w:p w14:paraId="37E47FC1" w14:textId="77777777" w:rsidR="001E163D" w:rsidRPr="001E163D" w:rsidRDefault="001E163D" w:rsidP="001E163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AC95D1" w14:textId="4106AB40" w:rsidR="001E163D" w:rsidRPr="001E163D" w:rsidRDefault="001E163D" w:rsidP="001E163D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E163D">
        <w:rPr>
          <w:rFonts w:eastAsia="Times New Roman"/>
          <w:u w:val="single"/>
          <w:lang w:eastAsia="bg-BG"/>
        </w:rPr>
        <w:t>Биотрансформация</w:t>
      </w:r>
    </w:p>
    <w:p w14:paraId="50FC4233" w14:textId="77777777" w:rsidR="001E163D" w:rsidRPr="001E163D" w:rsidRDefault="001E163D" w:rsidP="001E163D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163D">
        <w:rPr>
          <w:rFonts w:eastAsia="Times New Roman" w:cs="Arial"/>
          <w:color w:val="000000"/>
          <w:lang w:eastAsia="bg-BG"/>
        </w:rPr>
        <w:t xml:space="preserve">Винпоцетин се метаболизира бързо в черния дроб, с главен метаболит — аповинкаминова к-на </w:t>
      </w:r>
      <w:r w:rsidRPr="001E163D">
        <w:rPr>
          <w:rFonts w:eastAsia="Times New Roman" w:cs="Arial"/>
          <w:color w:val="000000"/>
          <w:lang w:val="en-US"/>
        </w:rPr>
        <w:t xml:space="preserve">(AVA). AVA </w:t>
      </w:r>
      <w:r w:rsidRPr="001E163D">
        <w:rPr>
          <w:rFonts w:eastAsia="Times New Roman" w:cs="Arial"/>
          <w:color w:val="000000"/>
          <w:lang w:eastAsia="bg-BG"/>
        </w:rPr>
        <w:t>няма особена фармакологична активност. Поради особеностите на метаболизма, винпоцетин не кумулира. Не е необходимо коригиране на дозата при заболявания на черния дроб и бъбреците.</w:t>
      </w:r>
    </w:p>
    <w:p w14:paraId="214A78BD" w14:textId="77777777" w:rsidR="001E163D" w:rsidRPr="001E163D" w:rsidRDefault="001E163D" w:rsidP="001E163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847F1B" w14:textId="13F10B48" w:rsidR="001E163D" w:rsidRPr="001E163D" w:rsidRDefault="001E163D" w:rsidP="001E163D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E163D">
        <w:rPr>
          <w:rFonts w:eastAsia="Times New Roman"/>
          <w:u w:val="single"/>
          <w:lang w:eastAsia="bg-BG"/>
        </w:rPr>
        <w:t>Екскреция</w:t>
      </w:r>
    </w:p>
    <w:p w14:paraId="0E0D342F" w14:textId="77777777" w:rsidR="001E163D" w:rsidRPr="001E163D" w:rsidRDefault="001E163D" w:rsidP="001E163D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E163D">
        <w:rPr>
          <w:rFonts w:eastAsia="Times New Roman" w:cs="Arial"/>
          <w:color w:val="000000"/>
          <w:lang w:eastAsia="bg-BG"/>
        </w:rPr>
        <w:t>Екскрецията на винпоцетин се осъществява основно чрез урината в непроменен вид и под формата наметаболити.</w:t>
      </w:r>
    </w:p>
    <w:p w14:paraId="42CEF05D" w14:textId="77777777" w:rsidR="001E163D" w:rsidRPr="001E163D" w:rsidRDefault="001E163D" w:rsidP="001E163D"/>
    <w:p w14:paraId="0CC65FE3" w14:textId="4FB5FCCC" w:rsidR="00EE6C97" w:rsidRDefault="002C50EE" w:rsidP="00A93499">
      <w:pPr>
        <w:pStyle w:val="Heading2"/>
      </w:pPr>
      <w:r>
        <w:t>5.3. Предклинични данни за безопасност</w:t>
      </w:r>
    </w:p>
    <w:p w14:paraId="13B0097C" w14:textId="636898AF" w:rsidR="001E163D" w:rsidRDefault="001E163D" w:rsidP="001E163D"/>
    <w:p w14:paraId="3EB66C15" w14:textId="252616E2" w:rsidR="001E163D" w:rsidRPr="001E163D" w:rsidRDefault="001E163D" w:rsidP="001E163D">
      <w:r>
        <w:t xml:space="preserve"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генотоксичност, канцерогенен потенциал, репродуктивна токсичност </w:t>
      </w:r>
      <w:r>
        <w:rPr>
          <w:i/>
          <w:iCs/>
        </w:rPr>
        <w:t>и</w:t>
      </w:r>
      <w:r>
        <w:t xml:space="preserve"> токсичност за</w:t>
      </w:r>
      <w:r>
        <w:rPr>
          <w:i/>
          <w:iCs/>
        </w:rPr>
        <w:t xml:space="preserve"> </w:t>
      </w:r>
      <w:r>
        <w:t>развитието.</w:t>
      </w:r>
    </w:p>
    <w:p w14:paraId="357049A8" w14:textId="01673923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7007A384" w14:textId="7018FACF" w:rsidR="001E163D" w:rsidRDefault="001E163D" w:rsidP="001E163D"/>
    <w:p w14:paraId="0F105A8F" w14:textId="77777777" w:rsidR="001E163D" w:rsidRPr="001E163D" w:rsidRDefault="001E163D" w:rsidP="001E163D">
      <w:pPr>
        <w:rPr>
          <w:sz w:val="24"/>
          <w:szCs w:val="24"/>
          <w:lang w:val="en-US" w:eastAsia="bg-BG"/>
        </w:rPr>
      </w:pPr>
      <w:proofErr w:type="spellStart"/>
      <w:r w:rsidRPr="001E163D">
        <w:rPr>
          <w:lang w:val="en-US"/>
        </w:rPr>
        <w:t>Covex</w:t>
      </w:r>
      <w:proofErr w:type="spellEnd"/>
      <w:r w:rsidRPr="001E163D">
        <w:rPr>
          <w:lang w:val="en-US"/>
        </w:rPr>
        <w:t>, S.A.,</w:t>
      </w:r>
    </w:p>
    <w:p w14:paraId="60EFE13B" w14:textId="77777777" w:rsidR="001E163D" w:rsidRDefault="001E163D" w:rsidP="001E163D">
      <w:pPr>
        <w:rPr>
          <w:lang w:val="en-US"/>
        </w:rPr>
      </w:pPr>
      <w:r w:rsidRPr="001E163D">
        <w:rPr>
          <w:lang w:eastAsia="bg-BG"/>
        </w:rPr>
        <w:t xml:space="preserve">С/Асего, 25 - </w:t>
      </w:r>
      <w:proofErr w:type="spellStart"/>
      <w:r w:rsidRPr="001E163D">
        <w:rPr>
          <w:lang w:val="en-US"/>
        </w:rPr>
        <w:t>Poligono</w:t>
      </w:r>
      <w:proofErr w:type="spellEnd"/>
      <w:r w:rsidRPr="001E163D">
        <w:rPr>
          <w:lang w:val="en-US"/>
        </w:rPr>
        <w:t xml:space="preserve"> Industrial Sur, Colmenar Viejo Madrid - 28770, </w:t>
      </w:r>
    </w:p>
    <w:p w14:paraId="095AC652" w14:textId="0152CF85" w:rsidR="001E163D" w:rsidRPr="001E163D" w:rsidRDefault="001E163D" w:rsidP="001E163D">
      <w:r w:rsidRPr="001E163D">
        <w:rPr>
          <w:lang w:eastAsia="bg-BG"/>
        </w:rPr>
        <w:t>Испания</w:t>
      </w:r>
    </w:p>
    <w:p w14:paraId="0A53321D" w14:textId="11EBE51B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21C0E532" w14:textId="00258556" w:rsidR="001E163D" w:rsidRDefault="001E163D" w:rsidP="001E163D"/>
    <w:p w14:paraId="3A78E35F" w14:textId="652385CE" w:rsidR="001E163D" w:rsidRPr="001E163D" w:rsidRDefault="001E163D" w:rsidP="001E163D">
      <w:r>
        <w:lastRenderedPageBreak/>
        <w:t>20190009</w:t>
      </w:r>
    </w:p>
    <w:p w14:paraId="3715C10B" w14:textId="2213BE7C" w:rsidR="00BB22B4" w:rsidRDefault="002C50EE" w:rsidP="00471F10">
      <w:pPr>
        <w:pStyle w:val="Heading1"/>
      </w:pPr>
      <w:r>
        <w:t>9. ДАТА НА ПЪРВО РАЗРЕШАВАНЕ/ПОДНОВЯВАНЕ НА РАЗРЕШЕНИЕТО ЗА УПОТРЕБА</w:t>
      </w:r>
    </w:p>
    <w:p w14:paraId="6A7F6B98" w14:textId="354F8A2D" w:rsidR="001E163D" w:rsidRDefault="001E163D" w:rsidP="001E163D"/>
    <w:p w14:paraId="47749FA9" w14:textId="73CF9657" w:rsidR="001E163D" w:rsidRPr="001E163D" w:rsidRDefault="001E163D" w:rsidP="001E163D">
      <w:r>
        <w:t>15.01.2019</w:t>
      </w:r>
    </w:p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25442C40" w:rsidR="00BB22B4" w:rsidRPr="00BB22B4" w:rsidRDefault="001E163D" w:rsidP="001E163D">
      <w:r>
        <w:t>03/2019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16A7AC6"/>
    <w:multiLevelType w:val="hybridMultilevel"/>
    <w:tmpl w:val="AE50A52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2D34"/>
    <w:multiLevelType w:val="hybridMultilevel"/>
    <w:tmpl w:val="E1AC29FA"/>
    <w:lvl w:ilvl="0" w:tplc="00D68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2"/>
  </w:num>
  <w:num w:numId="2" w16cid:durableId="1612932146">
    <w:abstractNumId w:val="0"/>
  </w:num>
  <w:num w:numId="3" w16cid:durableId="1810323821">
    <w:abstractNumId w:val="16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0"/>
  </w:num>
  <w:num w:numId="7" w16cid:durableId="1241988161">
    <w:abstractNumId w:val="13"/>
  </w:num>
  <w:num w:numId="8" w16cid:durableId="2102022361">
    <w:abstractNumId w:val="19"/>
  </w:num>
  <w:num w:numId="9" w16cid:durableId="1154613663">
    <w:abstractNumId w:val="2"/>
  </w:num>
  <w:num w:numId="10" w16cid:durableId="1733848127">
    <w:abstractNumId w:val="5"/>
  </w:num>
  <w:num w:numId="11" w16cid:durableId="1861704680">
    <w:abstractNumId w:val="35"/>
  </w:num>
  <w:num w:numId="12" w16cid:durableId="1434934028">
    <w:abstractNumId w:val="17"/>
  </w:num>
  <w:num w:numId="13" w16cid:durableId="479157895">
    <w:abstractNumId w:val="23"/>
  </w:num>
  <w:num w:numId="14" w16cid:durableId="1670476636">
    <w:abstractNumId w:val="15"/>
  </w:num>
  <w:num w:numId="15" w16cid:durableId="1000155783">
    <w:abstractNumId w:val="34"/>
  </w:num>
  <w:num w:numId="16" w16cid:durableId="2056420707">
    <w:abstractNumId w:val="12"/>
  </w:num>
  <w:num w:numId="17" w16cid:durableId="1787119182">
    <w:abstractNumId w:val="29"/>
  </w:num>
  <w:num w:numId="18" w16cid:durableId="722945139">
    <w:abstractNumId w:val="9"/>
  </w:num>
  <w:num w:numId="19" w16cid:durableId="1678728408">
    <w:abstractNumId w:val="31"/>
  </w:num>
  <w:num w:numId="20" w16cid:durableId="1970816657">
    <w:abstractNumId w:val="27"/>
  </w:num>
  <w:num w:numId="21" w16cid:durableId="1531146514">
    <w:abstractNumId w:val="21"/>
  </w:num>
  <w:num w:numId="22" w16cid:durableId="1276465">
    <w:abstractNumId w:val="30"/>
  </w:num>
  <w:num w:numId="23" w16cid:durableId="1624310558">
    <w:abstractNumId w:val="22"/>
  </w:num>
  <w:num w:numId="24" w16cid:durableId="1692877547">
    <w:abstractNumId w:val="10"/>
  </w:num>
  <w:num w:numId="25" w16cid:durableId="50930855">
    <w:abstractNumId w:val="26"/>
  </w:num>
  <w:num w:numId="26" w16cid:durableId="176701536">
    <w:abstractNumId w:val="25"/>
  </w:num>
  <w:num w:numId="27" w16cid:durableId="2050564750">
    <w:abstractNumId w:val="36"/>
  </w:num>
  <w:num w:numId="28" w16cid:durableId="1820733422">
    <w:abstractNumId w:val="7"/>
  </w:num>
  <w:num w:numId="29" w16cid:durableId="973678124">
    <w:abstractNumId w:val="24"/>
  </w:num>
  <w:num w:numId="30" w16cid:durableId="154884452">
    <w:abstractNumId w:val="40"/>
  </w:num>
  <w:num w:numId="31" w16cid:durableId="1053964910">
    <w:abstractNumId w:val="6"/>
  </w:num>
  <w:num w:numId="32" w16cid:durableId="2073575793">
    <w:abstractNumId w:val="38"/>
  </w:num>
  <w:num w:numId="33" w16cid:durableId="1566643170">
    <w:abstractNumId w:val="33"/>
  </w:num>
  <w:num w:numId="34" w16cid:durableId="2060787732">
    <w:abstractNumId w:val="37"/>
  </w:num>
  <w:num w:numId="35" w16cid:durableId="34161354">
    <w:abstractNumId w:val="8"/>
  </w:num>
  <w:num w:numId="36" w16cid:durableId="1976908676">
    <w:abstractNumId w:val="11"/>
  </w:num>
  <w:num w:numId="37" w16cid:durableId="758528303">
    <w:abstractNumId w:val="18"/>
  </w:num>
  <w:num w:numId="38" w16cid:durableId="178396561">
    <w:abstractNumId w:val="39"/>
  </w:num>
  <w:num w:numId="39" w16cid:durableId="934825996">
    <w:abstractNumId w:val="14"/>
  </w:num>
  <w:num w:numId="40" w16cid:durableId="264390490">
    <w:abstractNumId w:val="28"/>
  </w:num>
  <w:num w:numId="41" w16cid:durableId="34636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1B23"/>
    <w:rsid w:val="001E163D"/>
    <w:rsid w:val="001E386A"/>
    <w:rsid w:val="002B3C38"/>
    <w:rsid w:val="002B4DBB"/>
    <w:rsid w:val="002C50EE"/>
    <w:rsid w:val="00340A0A"/>
    <w:rsid w:val="003765DC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54129"/>
    <w:rsid w:val="009773E4"/>
    <w:rsid w:val="009B171C"/>
    <w:rsid w:val="009F1313"/>
    <w:rsid w:val="00A20351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B6364"/>
    <w:rsid w:val="00EE6C97"/>
    <w:rsid w:val="00F37B64"/>
    <w:rsid w:val="00F53FB7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1673</Words>
  <Characters>9540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2023-01-07T21:09:00Z</dcterms:created>
  <dcterms:modified xsi:type="dcterms:W3CDTF">2023-01-07T21:09:00Z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