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7D79DD2E" w:rsidR="00F53FB7" w:rsidRDefault="00DD466D" w:rsidP="00A93499">
      <w:pPr>
        <w:pStyle w:val="Heading1"/>
      </w:pPr>
      <w:r>
        <w:t>1.ИМЕ НА ЛЕКАРСТВЕНИЯ ПРОДУКТ</w:t>
      </w:r>
    </w:p>
    <w:p w14:paraId="47272F43" w14:textId="454CF96D" w:rsidR="00FB6158" w:rsidRDefault="00FB6158" w:rsidP="00FB6158"/>
    <w:p w14:paraId="78D8DBF6" w14:textId="77777777" w:rsidR="00FB6158" w:rsidRPr="00FB6158" w:rsidRDefault="00FB6158" w:rsidP="00FB6158">
      <w:pPr>
        <w:rPr>
          <w:sz w:val="24"/>
          <w:szCs w:val="24"/>
          <w:lang w:eastAsia="bg-BG"/>
        </w:rPr>
      </w:pPr>
      <w:r w:rsidRPr="00FB6158">
        <w:rPr>
          <w:lang w:eastAsia="bg-BG"/>
        </w:rPr>
        <w:t xml:space="preserve">Вирофоб 245 </w:t>
      </w:r>
      <w:r w:rsidRPr="00FB6158">
        <w:rPr>
          <w:lang w:val="en-US"/>
        </w:rPr>
        <w:t xml:space="preserve">mg </w:t>
      </w:r>
      <w:r w:rsidRPr="00FB6158">
        <w:rPr>
          <w:lang w:eastAsia="bg-BG"/>
        </w:rPr>
        <w:t>филмирани таблетки</w:t>
      </w:r>
    </w:p>
    <w:p w14:paraId="327B6348" w14:textId="77777777" w:rsidR="00FB6158" w:rsidRPr="00FB6158" w:rsidRDefault="00FB6158" w:rsidP="00FB6158">
      <w:pPr>
        <w:rPr>
          <w:sz w:val="24"/>
          <w:szCs w:val="24"/>
          <w:lang w:eastAsia="bg-BG"/>
        </w:rPr>
      </w:pPr>
      <w:proofErr w:type="spellStart"/>
      <w:r w:rsidRPr="00FB6158">
        <w:rPr>
          <w:lang w:val="en-US"/>
        </w:rPr>
        <w:t>Virofob</w:t>
      </w:r>
      <w:proofErr w:type="spellEnd"/>
      <w:r w:rsidRPr="00FB6158">
        <w:rPr>
          <w:lang w:val="en-US"/>
        </w:rPr>
        <w:t xml:space="preserve"> </w:t>
      </w:r>
      <w:r w:rsidRPr="00FB6158">
        <w:rPr>
          <w:lang w:eastAsia="bg-BG"/>
        </w:rPr>
        <w:t xml:space="preserve">245 </w:t>
      </w:r>
      <w:r w:rsidRPr="00FB6158">
        <w:rPr>
          <w:lang w:val="en-US"/>
        </w:rPr>
        <w:t>mg film-coated tablets</w:t>
      </w:r>
    </w:p>
    <w:p w14:paraId="3509AD81" w14:textId="77777777" w:rsidR="00FB6158" w:rsidRPr="00FB6158" w:rsidRDefault="00FB6158" w:rsidP="00FB6158"/>
    <w:p w14:paraId="0DF202EC" w14:textId="429C7ED3" w:rsidR="00F53FB7" w:rsidRDefault="00DD466D" w:rsidP="00A93499">
      <w:pPr>
        <w:pStyle w:val="Heading1"/>
      </w:pPr>
      <w:r>
        <w:t>2. КАЧЕСТВЕН И КОЛИЧЕСТВЕН СЪСТАВ</w:t>
      </w:r>
    </w:p>
    <w:p w14:paraId="08BA2AF0" w14:textId="690DFB32" w:rsidR="00FB6158" w:rsidRDefault="00FB6158" w:rsidP="00FB6158"/>
    <w:p w14:paraId="586AAE57" w14:textId="0FAF1F24" w:rsidR="00FB6158" w:rsidRDefault="00FB6158" w:rsidP="00FB6158"/>
    <w:p w14:paraId="01106577"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Всяка филмирана таблетка съдържа 245 </w:t>
      </w:r>
      <w:r w:rsidRPr="00FB6158">
        <w:rPr>
          <w:rFonts w:eastAsia="Times New Roman" w:cs="Arial"/>
          <w:color w:val="000000"/>
          <w:lang w:val="en-US"/>
        </w:rPr>
        <w:t xml:space="preserve">mg </w:t>
      </w:r>
      <w:r w:rsidRPr="00FB6158">
        <w:rPr>
          <w:rFonts w:eastAsia="Times New Roman" w:cs="Arial"/>
          <w:color w:val="000000"/>
          <w:lang w:eastAsia="bg-BG"/>
        </w:rPr>
        <w:t xml:space="preserve">тенофовир дизопроксил </w:t>
      </w:r>
      <w:r w:rsidRPr="00FB6158">
        <w:rPr>
          <w:rFonts w:eastAsia="Times New Roman" w:cs="Arial"/>
          <w:color w:val="000000"/>
          <w:lang w:val="en-US"/>
        </w:rPr>
        <w:t xml:space="preserve">(tenofovir disoproxil) </w:t>
      </w:r>
      <w:r w:rsidRPr="00FB6158">
        <w:rPr>
          <w:rFonts w:eastAsia="Times New Roman" w:cs="Arial"/>
          <w:color w:val="000000"/>
          <w:lang w:eastAsia="bg-BG"/>
        </w:rPr>
        <w:t xml:space="preserve">(като сукцинат) </w:t>
      </w:r>
      <w:r w:rsidRPr="00FB6158">
        <w:rPr>
          <w:rFonts w:eastAsia="Times New Roman" w:cs="Arial"/>
          <w:color w:val="000000"/>
          <w:lang w:val="en-US"/>
        </w:rPr>
        <w:t>(as succinate).</w:t>
      </w:r>
    </w:p>
    <w:p w14:paraId="4A7AD7A6" w14:textId="77777777" w:rsidR="00FB6158" w:rsidRPr="00FB6158" w:rsidRDefault="00FB6158" w:rsidP="00FB6158">
      <w:pPr>
        <w:spacing w:line="240" w:lineRule="auto"/>
        <w:rPr>
          <w:rFonts w:eastAsia="Times New Roman" w:cs="Arial"/>
          <w:color w:val="000000"/>
          <w:u w:val="single"/>
          <w:lang w:eastAsia="bg-BG"/>
        </w:rPr>
      </w:pPr>
    </w:p>
    <w:p w14:paraId="0CB047FF" w14:textId="61C6ABD2" w:rsidR="00FB6158" w:rsidRPr="00FB6158" w:rsidRDefault="00FB6158" w:rsidP="00FB6158">
      <w:pPr>
        <w:spacing w:line="240" w:lineRule="auto"/>
        <w:rPr>
          <w:rFonts w:eastAsia="Times New Roman" w:cs="Arial"/>
          <w:color w:val="000000"/>
          <w:u w:val="single"/>
          <w:lang w:eastAsia="bg-BG"/>
        </w:rPr>
      </w:pPr>
      <w:r w:rsidRPr="00FB6158">
        <w:rPr>
          <w:rFonts w:eastAsia="Times New Roman" w:cs="Arial"/>
          <w:color w:val="000000"/>
          <w:u w:val="single"/>
          <w:lang w:eastAsia="bg-BG"/>
        </w:rPr>
        <w:t>Помощно вещество с известно действие:</w:t>
      </w:r>
    </w:p>
    <w:p w14:paraId="4C4A7242" w14:textId="1DBA7B3F" w:rsidR="00FB6158" w:rsidRDefault="00FB6158" w:rsidP="00FB6158">
      <w:pPr>
        <w:rPr>
          <w:rFonts w:eastAsia="Times New Roman" w:cs="Arial"/>
          <w:color w:val="000000"/>
          <w:lang w:eastAsia="bg-BG"/>
        </w:rPr>
      </w:pPr>
      <w:r w:rsidRPr="00FB6158">
        <w:rPr>
          <w:rFonts w:eastAsia="Times New Roman" w:cs="Arial"/>
          <w:color w:val="000000"/>
          <w:lang w:eastAsia="bg-BG"/>
        </w:rPr>
        <w:t xml:space="preserve">Всяка таблетка съдържа 105 </w:t>
      </w:r>
      <w:r w:rsidRPr="00FB6158">
        <w:rPr>
          <w:rFonts w:eastAsia="Times New Roman" w:cs="Arial"/>
          <w:color w:val="000000"/>
          <w:lang w:val="en-US"/>
        </w:rPr>
        <w:t xml:space="preserve">mg </w:t>
      </w:r>
      <w:r w:rsidRPr="00FB6158">
        <w:rPr>
          <w:rFonts w:eastAsia="Times New Roman" w:cs="Arial"/>
          <w:color w:val="000000"/>
          <w:lang w:eastAsia="bg-BG"/>
        </w:rPr>
        <w:t>лактоза.</w:t>
      </w:r>
    </w:p>
    <w:p w14:paraId="1616DF34" w14:textId="77777777" w:rsidR="00FB6158" w:rsidRPr="00FB6158" w:rsidRDefault="00FB6158" w:rsidP="00FB6158">
      <w:pPr>
        <w:rPr>
          <w:rFonts w:cs="Arial"/>
        </w:rPr>
      </w:pPr>
    </w:p>
    <w:p w14:paraId="4CABB9ED" w14:textId="42C70AEF" w:rsidR="00F53FB7" w:rsidRDefault="00DD466D" w:rsidP="00A93499">
      <w:pPr>
        <w:pStyle w:val="Heading1"/>
      </w:pPr>
      <w:r>
        <w:t>3. ЛЕКАРСТВЕНА ФОРМА</w:t>
      </w:r>
    </w:p>
    <w:p w14:paraId="68FB5787" w14:textId="067D9407" w:rsidR="00FB6158" w:rsidRDefault="00FB6158" w:rsidP="00FB6158"/>
    <w:p w14:paraId="3F1F78F6" w14:textId="77777777" w:rsidR="00FB6158" w:rsidRPr="00FB6158" w:rsidRDefault="00FB6158" w:rsidP="00FB6158">
      <w:pPr>
        <w:rPr>
          <w:sz w:val="24"/>
          <w:szCs w:val="24"/>
          <w:lang w:eastAsia="bg-BG"/>
        </w:rPr>
      </w:pPr>
      <w:r w:rsidRPr="00FB6158">
        <w:rPr>
          <w:lang w:eastAsia="bg-BG"/>
        </w:rPr>
        <w:t>Филмирана таблетка.</w:t>
      </w:r>
    </w:p>
    <w:p w14:paraId="5726FB98" w14:textId="77777777" w:rsidR="00FB6158" w:rsidRDefault="00FB6158" w:rsidP="00FB6158">
      <w:pPr>
        <w:rPr>
          <w:lang w:eastAsia="bg-BG"/>
        </w:rPr>
      </w:pPr>
    </w:p>
    <w:p w14:paraId="35704A56" w14:textId="2FE09E55" w:rsidR="00FB6158" w:rsidRPr="00FB6158" w:rsidRDefault="00FB6158" w:rsidP="00FB6158">
      <w:pPr>
        <w:rPr>
          <w:sz w:val="24"/>
          <w:szCs w:val="24"/>
          <w:lang w:eastAsia="bg-BG"/>
        </w:rPr>
      </w:pPr>
      <w:r w:rsidRPr="00FB6158">
        <w:rPr>
          <w:lang w:eastAsia="bg-BG"/>
        </w:rPr>
        <w:t xml:space="preserve">Светлосини филмирани таблетки с бадемовидна форма, с размери приблизително 17,0 </w:t>
      </w:r>
      <w:r w:rsidRPr="00FB6158">
        <w:rPr>
          <w:lang w:val="en-US"/>
        </w:rPr>
        <w:t>mm</w:t>
      </w:r>
      <w:r w:rsidRPr="00FB6158">
        <w:rPr>
          <w:lang w:eastAsia="bg-BG"/>
        </w:rPr>
        <w:t xml:space="preserve"> х 10,5 </w:t>
      </w:r>
      <w:r w:rsidRPr="00FB6158">
        <w:rPr>
          <w:lang w:val="en-US"/>
        </w:rPr>
        <w:t>mm.</w:t>
      </w:r>
    </w:p>
    <w:p w14:paraId="45753A7F" w14:textId="77777777" w:rsidR="00FB6158" w:rsidRPr="00FB6158" w:rsidRDefault="00FB6158" w:rsidP="00FB6158"/>
    <w:p w14:paraId="490FC2C4" w14:textId="6899DE43" w:rsidR="002C50EE" w:rsidRDefault="002C50EE" w:rsidP="002C50EE">
      <w:pPr>
        <w:pStyle w:val="Heading1"/>
      </w:pPr>
      <w:r>
        <w:t>4. КЛИНИЧНИ ДАННИ</w:t>
      </w:r>
    </w:p>
    <w:p w14:paraId="1A37D275" w14:textId="0D8ED275" w:rsidR="00F53FB7" w:rsidRDefault="002C50EE" w:rsidP="00A93499">
      <w:pPr>
        <w:pStyle w:val="Heading2"/>
      </w:pPr>
      <w:r>
        <w:t>4.1. Терапевтични показания</w:t>
      </w:r>
    </w:p>
    <w:p w14:paraId="3B2C9CFC" w14:textId="6D1D1FC0" w:rsidR="00FB6158" w:rsidRDefault="00FB6158" w:rsidP="00FB6158"/>
    <w:p w14:paraId="15D9D4E6" w14:textId="77777777"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 xml:space="preserve">Инфекция с </w:t>
      </w:r>
      <w:r w:rsidRPr="00FB6158">
        <w:rPr>
          <w:rFonts w:eastAsia="Times New Roman" w:cs="Arial"/>
          <w:i/>
          <w:iCs/>
          <w:color w:val="000000"/>
          <w:lang w:val="en-US"/>
        </w:rPr>
        <w:t>HIV-1</w:t>
      </w:r>
    </w:p>
    <w:p w14:paraId="60C936F9"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Филмираните таблетки Вирофоб 245 </w:t>
      </w:r>
      <w:r w:rsidRPr="00FB6158">
        <w:rPr>
          <w:rFonts w:eastAsia="Times New Roman" w:cs="Arial"/>
          <w:color w:val="000000"/>
          <w:lang w:val="en-US"/>
        </w:rPr>
        <w:t xml:space="preserve">mg, </w:t>
      </w:r>
      <w:r w:rsidRPr="00FB6158">
        <w:rPr>
          <w:rFonts w:eastAsia="Times New Roman" w:cs="Arial"/>
          <w:color w:val="000000"/>
          <w:lang w:eastAsia="bg-BG"/>
        </w:rPr>
        <w:t xml:space="preserve">в комбинация с други антиретровирусни лекарствени продукти, са показани за лечение на възрастни, инфектирани с </w:t>
      </w:r>
      <w:r w:rsidRPr="00FB6158">
        <w:rPr>
          <w:rFonts w:eastAsia="Times New Roman" w:cs="Arial"/>
          <w:color w:val="000000"/>
          <w:lang w:val="en-US"/>
        </w:rPr>
        <w:t>HIV-1.</w:t>
      </w:r>
    </w:p>
    <w:p w14:paraId="562DABF6" w14:textId="77777777" w:rsidR="00FB6158" w:rsidRDefault="00FB6158" w:rsidP="00FB6158">
      <w:pPr>
        <w:spacing w:line="240" w:lineRule="auto"/>
        <w:rPr>
          <w:rFonts w:eastAsia="Times New Roman" w:cs="Arial"/>
          <w:color w:val="000000"/>
          <w:lang w:eastAsia="bg-BG"/>
        </w:rPr>
      </w:pPr>
    </w:p>
    <w:p w14:paraId="224EC9DF" w14:textId="64F64122"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При възрастни демонстрираната полза от лечението с тенофовир при инфекция с </w:t>
      </w:r>
      <w:r w:rsidRPr="00FB6158">
        <w:rPr>
          <w:rFonts w:eastAsia="Times New Roman" w:cs="Arial"/>
          <w:color w:val="000000"/>
          <w:lang w:val="en-US"/>
        </w:rPr>
        <w:t xml:space="preserve">HIV-1 </w:t>
      </w:r>
      <w:r w:rsidRPr="00FB6158">
        <w:rPr>
          <w:rFonts w:eastAsia="Times New Roman" w:cs="Arial"/>
          <w:color w:val="000000"/>
          <w:lang w:eastAsia="bg-BG"/>
        </w:rPr>
        <w:t>се базира на резултатите от проучване при пациенти без предварително лечение, вкл. пациенти с високо вирусно натоварване (&gt; 100 000 копия</w:t>
      </w:r>
      <w:r w:rsidRPr="00FB6158">
        <w:rPr>
          <w:rFonts w:eastAsia="Times New Roman" w:cs="Arial"/>
          <w:color w:val="000000"/>
          <w:lang w:val="en-US"/>
        </w:rPr>
        <w:t xml:space="preserve">/ml) </w:t>
      </w:r>
      <w:r w:rsidRPr="00FB6158">
        <w:rPr>
          <w:rFonts w:eastAsia="Times New Roman" w:cs="Arial"/>
          <w:color w:val="000000"/>
          <w:lang w:eastAsia="bg-BG"/>
        </w:rPr>
        <w:t>и проучвания, при които тенофовир е бил прибавен към постоянна основна терапия (главно тройна терапия) при пациенти с предварителна антиретровирусна терапия, при които се проявява ранен вирусологичен неуспех (&lt; 10 000 копия</w:t>
      </w:r>
      <w:r w:rsidRPr="00FB6158">
        <w:rPr>
          <w:rFonts w:eastAsia="Times New Roman" w:cs="Arial"/>
          <w:color w:val="000000"/>
          <w:lang w:val="en-US"/>
        </w:rPr>
        <w:t xml:space="preserve">/ml, </w:t>
      </w:r>
      <w:r w:rsidRPr="00FB6158">
        <w:rPr>
          <w:rFonts w:eastAsia="Times New Roman" w:cs="Arial"/>
          <w:color w:val="000000"/>
          <w:lang w:eastAsia="bg-BG"/>
        </w:rPr>
        <w:t>като повечето пациенти са имали &lt; 5000 копия</w:t>
      </w:r>
      <w:r w:rsidRPr="00FB6158">
        <w:rPr>
          <w:rFonts w:eastAsia="Times New Roman" w:cs="Arial"/>
          <w:color w:val="000000"/>
          <w:lang w:val="en-US"/>
        </w:rPr>
        <w:t>/ml).</w:t>
      </w:r>
    </w:p>
    <w:p w14:paraId="567EFD5C" w14:textId="77777777" w:rsidR="00FB6158" w:rsidRDefault="00FB6158" w:rsidP="00FB6158">
      <w:pPr>
        <w:spacing w:line="240" w:lineRule="auto"/>
        <w:rPr>
          <w:rFonts w:eastAsia="Times New Roman" w:cs="Arial"/>
          <w:color w:val="000000"/>
          <w:lang w:eastAsia="bg-BG"/>
        </w:rPr>
      </w:pPr>
    </w:p>
    <w:p w14:paraId="43A33A91" w14:textId="312AEAD0"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Филмираните таблетки Вирофоб 245 </w:t>
      </w:r>
      <w:r w:rsidRPr="00FB6158">
        <w:rPr>
          <w:rFonts w:eastAsia="Times New Roman" w:cs="Arial"/>
          <w:color w:val="000000"/>
          <w:lang w:val="en-US"/>
        </w:rPr>
        <w:t xml:space="preserve">mg </w:t>
      </w:r>
      <w:r w:rsidRPr="00FB6158">
        <w:rPr>
          <w:rFonts w:eastAsia="Times New Roman" w:cs="Arial"/>
          <w:color w:val="000000"/>
          <w:lang w:eastAsia="bg-BG"/>
        </w:rPr>
        <w:t xml:space="preserve">са показани и за лечение на инфектирани с </w:t>
      </w:r>
      <w:r w:rsidRPr="00FB6158">
        <w:rPr>
          <w:rFonts w:eastAsia="Times New Roman" w:cs="Arial"/>
          <w:color w:val="000000"/>
          <w:lang w:val="en-US"/>
        </w:rPr>
        <w:t xml:space="preserve">HIV-1 </w:t>
      </w:r>
      <w:r w:rsidRPr="00FB6158">
        <w:rPr>
          <w:rFonts w:eastAsia="Times New Roman" w:cs="Arial"/>
          <w:color w:val="000000"/>
          <w:lang w:eastAsia="bg-BG"/>
        </w:rPr>
        <w:t>юноши на възраст от 12 до &lt; 18 години, при които се изключва употребата на средства от първа линия поради резистентност към НИОТ или токсичност.</w:t>
      </w:r>
    </w:p>
    <w:p w14:paraId="2A330F58" w14:textId="77777777" w:rsidR="00FB6158" w:rsidRDefault="00FB6158" w:rsidP="00FB6158">
      <w:pPr>
        <w:spacing w:line="240" w:lineRule="auto"/>
        <w:rPr>
          <w:rFonts w:eastAsia="Times New Roman" w:cs="Arial"/>
          <w:color w:val="000000"/>
          <w:lang w:eastAsia="bg-BG"/>
        </w:rPr>
      </w:pPr>
    </w:p>
    <w:p w14:paraId="680A9C3F" w14:textId="7863DD70"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lastRenderedPageBreak/>
        <w:t xml:space="preserve">Изборът на Вирофоб за лечение на пациенти с инфекция с </w:t>
      </w:r>
      <w:r w:rsidRPr="00FB6158">
        <w:rPr>
          <w:rFonts w:eastAsia="Times New Roman" w:cs="Arial"/>
          <w:color w:val="000000"/>
          <w:lang w:val="en-US"/>
        </w:rPr>
        <w:t xml:space="preserve">HIV-1 </w:t>
      </w:r>
      <w:r w:rsidRPr="00FB6158">
        <w:rPr>
          <w:rFonts w:eastAsia="Times New Roman" w:cs="Arial"/>
          <w:color w:val="000000"/>
          <w:lang w:eastAsia="bg-BG"/>
        </w:rPr>
        <w:t>и с предварителна антиретровирусна терапия трябва да се базира на индивидуалните резултати от тестовете за вирусна резистентност и/или на предишната история на лечение на пациентите.</w:t>
      </w:r>
    </w:p>
    <w:p w14:paraId="5805FA65" w14:textId="77777777" w:rsidR="00FB6158" w:rsidRDefault="00FB6158" w:rsidP="00FB6158">
      <w:pPr>
        <w:spacing w:line="240" w:lineRule="auto"/>
        <w:rPr>
          <w:rFonts w:eastAsia="Times New Roman" w:cs="Arial"/>
          <w:i/>
          <w:iCs/>
          <w:color w:val="000000"/>
          <w:lang w:eastAsia="bg-BG"/>
        </w:rPr>
      </w:pPr>
    </w:p>
    <w:p w14:paraId="7A191957" w14:textId="60CA9D6B"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Инфекция с хепатит В</w:t>
      </w:r>
    </w:p>
    <w:p w14:paraId="2FEE137F"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Филмираните таблетки Вирофоб 245 </w:t>
      </w:r>
      <w:r w:rsidRPr="00FB6158">
        <w:rPr>
          <w:rFonts w:eastAsia="Times New Roman" w:cs="Arial"/>
          <w:color w:val="000000"/>
          <w:lang w:val="en-US"/>
        </w:rPr>
        <w:t xml:space="preserve">mg </w:t>
      </w:r>
      <w:r w:rsidRPr="00FB6158">
        <w:rPr>
          <w:rFonts w:eastAsia="Times New Roman" w:cs="Arial"/>
          <w:color w:val="000000"/>
          <w:lang w:eastAsia="bg-BG"/>
        </w:rPr>
        <w:t>са показани за лечение на хроничен хепатит В при възрастни с:</w:t>
      </w:r>
    </w:p>
    <w:p w14:paraId="30DB1A16" w14:textId="77777777" w:rsidR="00FB6158" w:rsidRDefault="00FB6158" w:rsidP="00FB6158">
      <w:pPr>
        <w:pStyle w:val="ListParagraph"/>
        <w:numPr>
          <w:ilvl w:val="0"/>
          <w:numId w:val="40"/>
        </w:numPr>
        <w:spacing w:line="240" w:lineRule="auto"/>
        <w:rPr>
          <w:rFonts w:eastAsia="Times New Roman" w:cs="Arial"/>
          <w:color w:val="000000"/>
          <w:lang w:eastAsia="bg-BG"/>
        </w:rPr>
      </w:pPr>
      <w:r w:rsidRPr="00FB6158">
        <w:rPr>
          <w:rFonts w:eastAsia="Times New Roman" w:cs="Arial"/>
          <w:color w:val="000000"/>
          <w:lang w:eastAsia="bg-BG"/>
        </w:rPr>
        <w:t xml:space="preserve">компенсирано чернодробно заболяване, с доказана активна вирусна репликация, постоянно повишени серумни нива на аланин-аминотрансферазата </w:t>
      </w:r>
      <w:r w:rsidRPr="00FB6158">
        <w:rPr>
          <w:rFonts w:eastAsia="Times New Roman" w:cs="Arial"/>
          <w:color w:val="000000"/>
          <w:lang w:val="en-US"/>
        </w:rPr>
        <w:t xml:space="preserve">(ALT) </w:t>
      </w:r>
      <w:r w:rsidRPr="00FB6158">
        <w:rPr>
          <w:rFonts w:eastAsia="Times New Roman" w:cs="Arial"/>
          <w:color w:val="000000"/>
          <w:lang w:eastAsia="bg-BG"/>
        </w:rPr>
        <w:t>и хистологично доказани данни за активно възпаление и/или фиброза (вж. точка 5.1).</w:t>
      </w:r>
    </w:p>
    <w:p w14:paraId="1AAE27F6" w14:textId="77777777" w:rsidR="00FB6158" w:rsidRDefault="00FB6158" w:rsidP="00FB6158">
      <w:pPr>
        <w:pStyle w:val="ListParagraph"/>
        <w:numPr>
          <w:ilvl w:val="0"/>
          <w:numId w:val="40"/>
        </w:numPr>
        <w:spacing w:line="240" w:lineRule="auto"/>
        <w:rPr>
          <w:rFonts w:eastAsia="Times New Roman" w:cs="Arial"/>
          <w:color w:val="000000"/>
          <w:lang w:eastAsia="bg-BG"/>
        </w:rPr>
      </w:pPr>
      <w:r w:rsidRPr="00FB6158">
        <w:rPr>
          <w:rFonts w:eastAsia="Times New Roman" w:cs="Arial"/>
          <w:color w:val="000000"/>
          <w:lang w:eastAsia="bg-BG"/>
        </w:rPr>
        <w:t>доказано резистентен към ламивудин вирус на хепатит В (вж. точки 4.8 и 5.1).</w:t>
      </w:r>
    </w:p>
    <w:p w14:paraId="1157F3E7" w14:textId="371779F3" w:rsidR="00FB6158" w:rsidRPr="00FB6158" w:rsidRDefault="00FB6158" w:rsidP="00FB6158">
      <w:pPr>
        <w:pStyle w:val="ListParagraph"/>
        <w:numPr>
          <w:ilvl w:val="0"/>
          <w:numId w:val="40"/>
        </w:numPr>
        <w:spacing w:line="240" w:lineRule="auto"/>
        <w:rPr>
          <w:rFonts w:eastAsia="Times New Roman" w:cs="Arial"/>
          <w:color w:val="000000"/>
          <w:lang w:eastAsia="bg-BG"/>
        </w:rPr>
      </w:pPr>
      <w:r w:rsidRPr="00FB6158">
        <w:rPr>
          <w:rFonts w:eastAsia="Times New Roman" w:cs="Arial"/>
          <w:color w:val="000000"/>
          <w:lang w:eastAsia="bg-BG"/>
        </w:rPr>
        <w:t>декомпенсирано чернодробно заболяване (вж. точки 4.4, 4.8 и 5.1).</w:t>
      </w:r>
    </w:p>
    <w:p w14:paraId="466A0A62" w14:textId="263FC330" w:rsidR="00FB6158" w:rsidRDefault="00FB6158" w:rsidP="00FB6158"/>
    <w:p w14:paraId="1581706B"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Филмираните таблетки Вирофоб 245 </w:t>
      </w:r>
      <w:r w:rsidRPr="00FB6158">
        <w:rPr>
          <w:rFonts w:eastAsia="Times New Roman" w:cs="Arial"/>
          <w:color w:val="000000"/>
          <w:lang w:val="en-US"/>
        </w:rPr>
        <w:t xml:space="preserve">mg </w:t>
      </w:r>
      <w:r w:rsidRPr="00FB6158">
        <w:rPr>
          <w:rFonts w:eastAsia="Times New Roman" w:cs="Arial"/>
          <w:color w:val="000000"/>
          <w:lang w:eastAsia="bg-BG"/>
        </w:rPr>
        <w:t>са показани за лечение на хроничен хепатит В при юноши на възраст от 12 до &lt; 18 години с:</w:t>
      </w:r>
    </w:p>
    <w:p w14:paraId="772FD277" w14:textId="5C56802B" w:rsidR="00FB6158" w:rsidRPr="00FB6158" w:rsidRDefault="00FB6158" w:rsidP="00FB6158">
      <w:pPr>
        <w:pStyle w:val="ListParagraph"/>
        <w:numPr>
          <w:ilvl w:val="0"/>
          <w:numId w:val="41"/>
        </w:numPr>
        <w:rPr>
          <w:rFonts w:cs="Arial"/>
        </w:rPr>
      </w:pPr>
      <w:r w:rsidRPr="00FB6158">
        <w:rPr>
          <w:rFonts w:eastAsia="Times New Roman" w:cs="Arial"/>
          <w:color w:val="000000"/>
          <w:lang w:eastAsia="bg-BG"/>
        </w:rPr>
        <w:t xml:space="preserve">компенсирано чернодробно заболяване и доказано имунологично активно заболяване, т.е. активна вирусна репликация, постоянно повишени серумни нива на </w:t>
      </w:r>
      <w:r w:rsidRPr="00FB6158">
        <w:rPr>
          <w:rFonts w:eastAsia="Times New Roman" w:cs="Arial"/>
          <w:color w:val="000000"/>
          <w:lang w:val="en-US"/>
        </w:rPr>
        <w:t xml:space="preserve">ALT </w:t>
      </w:r>
      <w:r w:rsidRPr="00FB6158">
        <w:rPr>
          <w:rFonts w:eastAsia="Times New Roman" w:cs="Arial"/>
          <w:color w:val="000000"/>
          <w:lang w:eastAsia="bg-BG"/>
        </w:rPr>
        <w:t>и хистологично доказани данни за активно възпаление и/или фиброза (вж. точки 4.4,4.8 и 5.1).</w:t>
      </w:r>
    </w:p>
    <w:p w14:paraId="7D7FD7D2" w14:textId="77777777" w:rsidR="00FB6158" w:rsidRPr="00FB6158" w:rsidRDefault="00FB6158" w:rsidP="00FB6158">
      <w:pPr>
        <w:rPr>
          <w:rFonts w:cs="Arial"/>
        </w:rPr>
      </w:pPr>
    </w:p>
    <w:p w14:paraId="05D17336" w14:textId="122BB479" w:rsidR="00F53FB7" w:rsidRDefault="002C50EE" w:rsidP="00A93499">
      <w:pPr>
        <w:pStyle w:val="Heading2"/>
      </w:pPr>
      <w:r>
        <w:t>4.2. Дозировка и начин на приложение</w:t>
      </w:r>
    </w:p>
    <w:p w14:paraId="31B7444C" w14:textId="5EC3F63E" w:rsidR="00FB6158" w:rsidRDefault="00FB6158" w:rsidP="00FB6158"/>
    <w:p w14:paraId="7FCE3692"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Терапията трябва да бъде започната от лекар с опит в управлението на </w:t>
      </w:r>
      <w:r w:rsidRPr="00FB6158">
        <w:rPr>
          <w:rFonts w:eastAsia="Times New Roman" w:cs="Arial"/>
          <w:color w:val="000000"/>
          <w:lang w:val="en-US"/>
        </w:rPr>
        <w:t xml:space="preserve">HIV </w:t>
      </w:r>
      <w:r w:rsidRPr="00FB6158">
        <w:rPr>
          <w:rFonts w:eastAsia="Times New Roman" w:cs="Arial"/>
          <w:color w:val="000000"/>
          <w:lang w:eastAsia="bg-BG"/>
        </w:rPr>
        <w:t>инфекции и/или лечението на хроничен хепатит В.</w:t>
      </w:r>
    </w:p>
    <w:p w14:paraId="105E228D" w14:textId="77777777" w:rsidR="00FB6158" w:rsidRDefault="00FB6158" w:rsidP="00FB6158">
      <w:pPr>
        <w:spacing w:line="240" w:lineRule="auto"/>
        <w:rPr>
          <w:rFonts w:eastAsia="Times New Roman" w:cs="Arial"/>
          <w:color w:val="000000"/>
          <w:u w:val="single"/>
          <w:lang w:eastAsia="bg-BG"/>
        </w:rPr>
      </w:pPr>
    </w:p>
    <w:p w14:paraId="25107C65" w14:textId="77A50282"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Дозировка</w:t>
      </w:r>
    </w:p>
    <w:p w14:paraId="04810430" w14:textId="77777777"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Възрастни</w:t>
      </w:r>
    </w:p>
    <w:p w14:paraId="648A6294"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Препоръчителната доза Вирофоб за лечение на </w:t>
      </w:r>
      <w:r w:rsidRPr="00FB6158">
        <w:rPr>
          <w:rFonts w:eastAsia="Times New Roman" w:cs="Arial"/>
          <w:color w:val="000000"/>
          <w:lang w:val="en-US"/>
        </w:rPr>
        <w:t xml:space="preserve">HIV </w:t>
      </w:r>
      <w:r w:rsidRPr="00FB6158">
        <w:rPr>
          <w:rFonts w:eastAsia="Times New Roman" w:cs="Arial"/>
          <w:color w:val="000000"/>
          <w:lang w:eastAsia="bg-BG"/>
        </w:rPr>
        <w:t xml:space="preserve">или лечение на хроничен хепатит В е 245 </w:t>
      </w:r>
      <w:r w:rsidRPr="00FB6158">
        <w:rPr>
          <w:rFonts w:eastAsia="Times New Roman" w:cs="Arial"/>
          <w:color w:val="000000"/>
          <w:lang w:val="en-US"/>
        </w:rPr>
        <w:t xml:space="preserve">mg </w:t>
      </w:r>
      <w:r w:rsidRPr="00FB6158">
        <w:rPr>
          <w:rFonts w:eastAsia="Times New Roman" w:cs="Arial"/>
          <w:color w:val="000000"/>
          <w:lang w:eastAsia="bg-BG"/>
        </w:rPr>
        <w:t>(една таблетка), приета веднъж дневно перорално с храна.</w:t>
      </w:r>
    </w:p>
    <w:p w14:paraId="330359AA" w14:textId="77777777" w:rsidR="00FB6158" w:rsidRDefault="00FB6158" w:rsidP="00FB6158">
      <w:pPr>
        <w:spacing w:line="240" w:lineRule="auto"/>
        <w:rPr>
          <w:rFonts w:eastAsia="Times New Roman" w:cs="Arial"/>
          <w:i/>
          <w:iCs/>
          <w:color w:val="000000"/>
          <w:lang w:eastAsia="bg-BG"/>
        </w:rPr>
      </w:pPr>
    </w:p>
    <w:p w14:paraId="2BF4AA00" w14:textId="06602F4D"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Хроничен хепатит В</w:t>
      </w:r>
    </w:p>
    <w:p w14:paraId="642A7A7E"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Не е известно каква е оптималната продължителност на лечението. Прекратяването на лечението може да се обмисли както следва:</w:t>
      </w:r>
    </w:p>
    <w:p w14:paraId="537B5143" w14:textId="77777777" w:rsidR="00FB6158" w:rsidRPr="00FB6158" w:rsidRDefault="00FB6158" w:rsidP="00FB6158">
      <w:pPr>
        <w:pStyle w:val="ListParagraph"/>
        <w:numPr>
          <w:ilvl w:val="0"/>
          <w:numId w:val="41"/>
        </w:numPr>
        <w:spacing w:line="240" w:lineRule="auto"/>
        <w:rPr>
          <w:rFonts w:eastAsia="Times New Roman" w:cs="Arial"/>
          <w:lang w:eastAsia="bg-BG"/>
        </w:rPr>
      </w:pPr>
      <w:r w:rsidRPr="00FB6158">
        <w:rPr>
          <w:rFonts w:eastAsia="Times New Roman" w:cs="Arial"/>
          <w:color w:val="000000"/>
          <w:lang w:eastAsia="bg-BG"/>
        </w:rPr>
        <w:t xml:space="preserve">При </w:t>
      </w:r>
      <w:proofErr w:type="spellStart"/>
      <w:r w:rsidRPr="00FB6158">
        <w:rPr>
          <w:rFonts w:eastAsia="Times New Roman" w:cs="Arial"/>
          <w:color w:val="000000"/>
          <w:lang w:val="en-US"/>
        </w:rPr>
        <w:t>HBeAg</w:t>
      </w:r>
      <w:proofErr w:type="spellEnd"/>
      <w:r w:rsidRPr="00FB6158">
        <w:rPr>
          <w:rFonts w:eastAsia="Times New Roman" w:cs="Arial"/>
          <w:color w:val="000000"/>
          <w:lang w:val="en-US"/>
        </w:rPr>
        <w:t xml:space="preserve"> </w:t>
      </w:r>
      <w:r w:rsidRPr="00FB6158">
        <w:rPr>
          <w:rFonts w:eastAsia="Times New Roman" w:cs="Arial"/>
          <w:color w:val="000000"/>
          <w:lang w:eastAsia="bg-BG"/>
        </w:rPr>
        <w:t xml:space="preserve">положителни пациенти без цироза лечението трябва да се прилага поне 6-12 месеца, след като се потвърди НВе сероконверсия (негативиране на </w:t>
      </w:r>
      <w:proofErr w:type="spellStart"/>
      <w:r w:rsidRPr="00FB6158">
        <w:rPr>
          <w:rFonts w:eastAsia="Times New Roman" w:cs="Arial"/>
          <w:color w:val="000000"/>
          <w:lang w:val="en-US"/>
        </w:rPr>
        <w:t>HBeAg</w:t>
      </w:r>
      <w:proofErr w:type="spellEnd"/>
      <w:r w:rsidRPr="00FB6158">
        <w:rPr>
          <w:rFonts w:eastAsia="Times New Roman" w:cs="Arial"/>
          <w:color w:val="000000"/>
          <w:lang w:val="en-US"/>
        </w:rPr>
        <w:t xml:space="preserve"> </w:t>
      </w:r>
      <w:r w:rsidRPr="00FB6158">
        <w:rPr>
          <w:rFonts w:eastAsia="Times New Roman" w:cs="Arial"/>
          <w:color w:val="000000"/>
          <w:lang w:eastAsia="bg-BG"/>
        </w:rPr>
        <w:t xml:space="preserve">и на </w:t>
      </w:r>
      <w:r w:rsidRPr="00FB6158">
        <w:rPr>
          <w:rFonts w:eastAsia="Times New Roman" w:cs="Arial"/>
          <w:color w:val="000000"/>
          <w:lang w:val="en-US"/>
        </w:rPr>
        <w:t xml:space="preserve">HBV </w:t>
      </w:r>
      <w:r w:rsidRPr="00FB6158">
        <w:rPr>
          <w:rFonts w:eastAsia="Times New Roman" w:cs="Arial"/>
          <w:color w:val="000000"/>
          <w:lang w:eastAsia="bg-BG"/>
        </w:rPr>
        <w:t xml:space="preserve">ДНК с установяване на анти-НВе) или до </w:t>
      </w:r>
      <w:r w:rsidRPr="00FB6158">
        <w:rPr>
          <w:rFonts w:eastAsia="Times New Roman" w:cs="Arial"/>
          <w:color w:val="000000"/>
          <w:lang w:val="en-US"/>
        </w:rPr>
        <w:t xml:space="preserve">HBs </w:t>
      </w:r>
      <w:r w:rsidRPr="00FB6158">
        <w:rPr>
          <w:rFonts w:eastAsia="Times New Roman" w:cs="Arial"/>
          <w:color w:val="000000"/>
          <w:lang w:eastAsia="bg-BG"/>
        </w:rPr>
        <w:t xml:space="preserve">сероконверсия или до загуба на ефикасност (вж. точка 4.4). След прекратяване на лечението серумните нива на </w:t>
      </w:r>
      <w:r w:rsidRPr="00FB6158">
        <w:rPr>
          <w:rFonts w:eastAsia="Times New Roman" w:cs="Arial"/>
          <w:color w:val="000000"/>
          <w:lang w:val="en-US"/>
        </w:rPr>
        <w:t xml:space="preserve">ALT </w:t>
      </w:r>
      <w:r w:rsidRPr="00FB6158">
        <w:rPr>
          <w:rFonts w:eastAsia="Times New Roman" w:cs="Arial"/>
          <w:color w:val="000000"/>
          <w:lang w:eastAsia="bg-BG"/>
        </w:rPr>
        <w:t xml:space="preserve">и </w:t>
      </w:r>
      <w:r w:rsidRPr="00FB6158">
        <w:rPr>
          <w:rFonts w:eastAsia="Times New Roman" w:cs="Arial"/>
          <w:color w:val="000000"/>
          <w:lang w:val="en-US"/>
        </w:rPr>
        <w:t xml:space="preserve">HBV </w:t>
      </w:r>
      <w:r w:rsidRPr="00FB6158">
        <w:rPr>
          <w:rFonts w:eastAsia="Times New Roman" w:cs="Arial"/>
          <w:color w:val="000000"/>
          <w:lang w:eastAsia="bg-BG"/>
        </w:rPr>
        <w:t>ДНК трябва да се следят редовно, за да се открие късен вирусен рецидив.</w:t>
      </w:r>
    </w:p>
    <w:p w14:paraId="38599257" w14:textId="5A1785F8" w:rsidR="00FB6158" w:rsidRPr="00FB6158" w:rsidRDefault="00FB6158" w:rsidP="00FB6158">
      <w:pPr>
        <w:pStyle w:val="ListParagraph"/>
        <w:numPr>
          <w:ilvl w:val="0"/>
          <w:numId w:val="41"/>
        </w:numPr>
        <w:spacing w:line="240" w:lineRule="auto"/>
        <w:rPr>
          <w:rFonts w:eastAsia="Times New Roman" w:cs="Arial"/>
          <w:lang w:eastAsia="bg-BG"/>
        </w:rPr>
      </w:pPr>
      <w:r w:rsidRPr="00FB6158">
        <w:rPr>
          <w:rFonts w:eastAsia="Times New Roman" w:cs="Arial"/>
          <w:color w:val="000000"/>
          <w:lang w:eastAsia="bg-BG"/>
        </w:rPr>
        <w:t xml:space="preserve">При </w:t>
      </w:r>
      <w:proofErr w:type="spellStart"/>
      <w:r w:rsidRPr="00FB6158">
        <w:rPr>
          <w:rFonts w:eastAsia="Times New Roman" w:cs="Arial"/>
          <w:color w:val="000000"/>
          <w:lang w:val="en-US"/>
        </w:rPr>
        <w:t>HBeAg</w:t>
      </w:r>
      <w:proofErr w:type="spellEnd"/>
      <w:r w:rsidRPr="00FB6158">
        <w:rPr>
          <w:rFonts w:eastAsia="Times New Roman" w:cs="Arial"/>
          <w:color w:val="000000"/>
          <w:lang w:val="en-US"/>
        </w:rPr>
        <w:t xml:space="preserve"> </w:t>
      </w:r>
      <w:r w:rsidRPr="00FB6158">
        <w:rPr>
          <w:rFonts w:eastAsia="Times New Roman" w:cs="Arial"/>
          <w:color w:val="000000"/>
          <w:lang w:eastAsia="bg-BG"/>
        </w:rPr>
        <w:t xml:space="preserve">негативни пациенти без цироза лечението трябва да се прилага поне до </w:t>
      </w:r>
      <w:r w:rsidRPr="00FB6158">
        <w:rPr>
          <w:rFonts w:eastAsia="Times New Roman" w:cs="Arial"/>
          <w:color w:val="000000"/>
          <w:lang w:val="en-US"/>
        </w:rPr>
        <w:t xml:space="preserve">HBs </w:t>
      </w:r>
      <w:r w:rsidRPr="00FB6158">
        <w:rPr>
          <w:rFonts w:eastAsia="Times New Roman" w:cs="Arial"/>
          <w:color w:val="000000"/>
          <w:lang w:eastAsia="bg-BG"/>
        </w:rPr>
        <w:t xml:space="preserve">сероконверсия или при поява на доказателства за загуба на ефикасност. При продължително лечение над 2 години се препоръчва редовно преоценяване, за да се потвърди дали продължаването на избраната терапия остава подходящо за пациента. Тенофовир се предлага и като гранули от 33 </w:t>
      </w:r>
      <w:r w:rsidRPr="00FB6158">
        <w:rPr>
          <w:rFonts w:eastAsia="Times New Roman" w:cs="Arial"/>
          <w:color w:val="000000"/>
          <w:lang w:val="en-US"/>
        </w:rPr>
        <w:t xml:space="preserve">mg/g </w:t>
      </w:r>
      <w:r w:rsidRPr="00FB6158">
        <w:rPr>
          <w:rFonts w:eastAsia="Times New Roman" w:cs="Arial"/>
          <w:color w:val="000000"/>
          <w:lang w:eastAsia="bg-BG"/>
        </w:rPr>
        <w:lastRenderedPageBreak/>
        <w:t xml:space="preserve">за лечение на инфекция с </w:t>
      </w:r>
      <w:r w:rsidRPr="00FB6158">
        <w:rPr>
          <w:rFonts w:eastAsia="Times New Roman" w:cs="Arial"/>
          <w:color w:val="000000"/>
          <w:lang w:val="en-US"/>
        </w:rPr>
        <w:t xml:space="preserve">HIV-1 </w:t>
      </w:r>
      <w:r w:rsidRPr="00FB6158">
        <w:rPr>
          <w:rFonts w:eastAsia="Times New Roman" w:cs="Arial"/>
          <w:color w:val="000000"/>
          <w:lang w:eastAsia="bg-BG"/>
        </w:rPr>
        <w:t>и на хроничен хепатит В при възрастни, при които твърдата лекарствена форма не е подходяща.</w:t>
      </w:r>
    </w:p>
    <w:p w14:paraId="5D356AE2" w14:textId="77777777" w:rsidR="00FB6158" w:rsidRDefault="00FB6158" w:rsidP="00FB6158">
      <w:pPr>
        <w:spacing w:line="240" w:lineRule="auto"/>
        <w:rPr>
          <w:rFonts w:eastAsia="Times New Roman" w:cs="Arial"/>
          <w:i/>
          <w:iCs/>
          <w:color w:val="000000"/>
          <w:lang w:eastAsia="bg-BG"/>
        </w:rPr>
      </w:pPr>
    </w:p>
    <w:p w14:paraId="5F4FD491" w14:textId="3CE94CD5"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Педиатрична популация</w:t>
      </w:r>
    </w:p>
    <w:p w14:paraId="149AAB06" w14:textId="77777777"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val="en-US"/>
        </w:rPr>
        <w:t>HIV-1:</w:t>
      </w:r>
      <w:r w:rsidRPr="00FB6158">
        <w:rPr>
          <w:rFonts w:eastAsia="Times New Roman" w:cs="Arial"/>
          <w:color w:val="000000"/>
          <w:lang w:val="en-US"/>
        </w:rPr>
        <w:t xml:space="preserve"> </w:t>
      </w:r>
      <w:r w:rsidRPr="00FB6158">
        <w:rPr>
          <w:rFonts w:eastAsia="Times New Roman" w:cs="Arial"/>
          <w:color w:val="000000"/>
          <w:lang w:eastAsia="bg-BG"/>
        </w:rPr>
        <w:t xml:space="preserve">При юноши на възраст от 12 до &lt; 18 години и с тегло ≥35 </w:t>
      </w:r>
      <w:r w:rsidRPr="00FB6158">
        <w:rPr>
          <w:rFonts w:eastAsia="Times New Roman" w:cs="Arial"/>
          <w:color w:val="000000"/>
          <w:lang w:val="en-US"/>
        </w:rPr>
        <w:t xml:space="preserve">kg </w:t>
      </w:r>
      <w:r w:rsidRPr="00FB6158">
        <w:rPr>
          <w:rFonts w:eastAsia="Times New Roman" w:cs="Arial"/>
          <w:color w:val="000000"/>
          <w:lang w:eastAsia="bg-BG"/>
        </w:rPr>
        <w:t xml:space="preserve">препоръчителната доза Вирофоб е 245 </w:t>
      </w:r>
      <w:r w:rsidRPr="00FB6158">
        <w:rPr>
          <w:rFonts w:eastAsia="Times New Roman" w:cs="Arial"/>
          <w:color w:val="000000"/>
          <w:lang w:val="en-US"/>
        </w:rPr>
        <w:t xml:space="preserve">mg </w:t>
      </w:r>
      <w:r w:rsidRPr="00FB6158">
        <w:rPr>
          <w:rFonts w:eastAsia="Times New Roman" w:cs="Arial"/>
          <w:color w:val="000000"/>
          <w:lang w:eastAsia="bg-BG"/>
        </w:rPr>
        <w:t>(една таблетка), приета веднъж дневно перорално с храна (вж. точки 4.8 и 5.1).</w:t>
      </w:r>
    </w:p>
    <w:p w14:paraId="1FC795BE" w14:textId="77777777" w:rsidR="00FB6158" w:rsidRDefault="00FB6158" w:rsidP="00FB6158">
      <w:pPr>
        <w:spacing w:line="240" w:lineRule="auto"/>
        <w:rPr>
          <w:rFonts w:eastAsia="Times New Roman" w:cs="Arial"/>
          <w:color w:val="000000"/>
          <w:lang w:eastAsia="bg-BG"/>
        </w:rPr>
      </w:pPr>
    </w:p>
    <w:p w14:paraId="0C9FD1AF" w14:textId="65524255"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При инфектирани с </w:t>
      </w:r>
      <w:r w:rsidRPr="00FB6158">
        <w:rPr>
          <w:rFonts w:eastAsia="Times New Roman" w:cs="Arial"/>
          <w:color w:val="000000"/>
          <w:lang w:val="en-US"/>
        </w:rPr>
        <w:t xml:space="preserve">HIV-1 </w:t>
      </w:r>
      <w:r w:rsidRPr="00FB6158">
        <w:rPr>
          <w:rFonts w:eastAsia="Times New Roman" w:cs="Arial"/>
          <w:color w:val="000000"/>
          <w:lang w:eastAsia="bg-BG"/>
        </w:rPr>
        <w:t>педиатрични пациенти на възраст от 2 до &lt; 12 години се използват други фармацевтични форми или по-ниски дози тенофовир дизопроксил.</w:t>
      </w:r>
    </w:p>
    <w:p w14:paraId="6A3BEB82"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Тенофовир се предлага и като гранули за лечение при педиатрични пациенти, заразени с ХИВ-1, на възраст от 2 до &lt;12 години и като таблетки с по-малко количество активно вещество за лечение на педиатрични пациенти, заразени с ХИВ-1, на възраст от 6 до 12 години. Тенофовир като 245 </w:t>
      </w:r>
      <w:r w:rsidRPr="00FB6158">
        <w:rPr>
          <w:rFonts w:eastAsia="Times New Roman" w:cs="Arial"/>
          <w:color w:val="000000"/>
          <w:lang w:val="en-US"/>
        </w:rPr>
        <w:t xml:space="preserve">mg </w:t>
      </w:r>
      <w:r w:rsidRPr="00FB6158">
        <w:rPr>
          <w:rFonts w:eastAsia="Times New Roman" w:cs="Arial"/>
          <w:color w:val="000000"/>
          <w:lang w:eastAsia="bg-BG"/>
        </w:rPr>
        <w:t>филмирани таблетки не е подходящ за употреба при педиатрични пациенти на възраст от 2 до &lt;12 години.</w:t>
      </w:r>
    </w:p>
    <w:p w14:paraId="4C93DAA4" w14:textId="77777777" w:rsidR="00FB6158" w:rsidRDefault="00FB6158" w:rsidP="00FB6158">
      <w:pPr>
        <w:spacing w:line="240" w:lineRule="auto"/>
        <w:rPr>
          <w:rFonts w:eastAsia="Times New Roman" w:cs="Arial"/>
          <w:color w:val="000000"/>
          <w:lang w:eastAsia="bg-BG"/>
        </w:rPr>
      </w:pPr>
    </w:p>
    <w:p w14:paraId="17C6B844" w14:textId="22C3CCC8"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Безопасността и ефикасността на тенофовир дизопроксил при инфектирани с </w:t>
      </w:r>
      <w:r w:rsidRPr="00FB6158">
        <w:rPr>
          <w:rFonts w:eastAsia="Times New Roman" w:cs="Arial"/>
          <w:color w:val="000000"/>
          <w:lang w:val="en-US"/>
        </w:rPr>
        <w:t xml:space="preserve">HIV-1 </w:t>
      </w:r>
      <w:r w:rsidRPr="00FB6158">
        <w:rPr>
          <w:rFonts w:eastAsia="Times New Roman" w:cs="Arial"/>
          <w:color w:val="000000"/>
          <w:lang w:eastAsia="bg-BG"/>
        </w:rPr>
        <w:t>деца на възраст от под 2 години не са установени. Липсват данни.</w:t>
      </w:r>
    </w:p>
    <w:p w14:paraId="0D12BC05" w14:textId="77777777" w:rsidR="00FB6158" w:rsidRDefault="00FB6158" w:rsidP="00FB6158">
      <w:pPr>
        <w:spacing w:line="240" w:lineRule="auto"/>
        <w:rPr>
          <w:rFonts w:eastAsia="Times New Roman" w:cs="Arial"/>
          <w:i/>
          <w:iCs/>
          <w:color w:val="000000"/>
          <w:lang w:eastAsia="bg-BG"/>
        </w:rPr>
      </w:pPr>
    </w:p>
    <w:p w14:paraId="3D97BA9B" w14:textId="46C84BDA"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Хроничен хепатит В:</w:t>
      </w:r>
      <w:r w:rsidRPr="00FB6158">
        <w:rPr>
          <w:rFonts w:eastAsia="Times New Roman" w:cs="Arial"/>
          <w:color w:val="000000"/>
          <w:lang w:eastAsia="bg-BG"/>
        </w:rPr>
        <w:t xml:space="preserve"> При юноши на възраст от 12 до &lt; 18 години и с тегло ≥35 </w:t>
      </w:r>
      <w:r w:rsidRPr="00FB6158">
        <w:rPr>
          <w:rFonts w:eastAsia="Times New Roman" w:cs="Arial"/>
          <w:color w:val="000000"/>
          <w:lang w:val="en-US"/>
        </w:rPr>
        <w:t xml:space="preserve">kg </w:t>
      </w:r>
      <w:r w:rsidRPr="00FB6158">
        <w:rPr>
          <w:rFonts w:eastAsia="Times New Roman" w:cs="Arial"/>
          <w:color w:val="000000"/>
          <w:lang w:eastAsia="bg-BG"/>
        </w:rPr>
        <w:t xml:space="preserve">препоръчителната доза Вирофоб е 245 </w:t>
      </w:r>
      <w:r w:rsidRPr="00FB6158">
        <w:rPr>
          <w:rFonts w:eastAsia="Times New Roman" w:cs="Arial"/>
          <w:color w:val="000000"/>
          <w:lang w:val="en-US"/>
        </w:rPr>
        <w:t xml:space="preserve">mg </w:t>
      </w:r>
      <w:r w:rsidRPr="00FB6158">
        <w:rPr>
          <w:rFonts w:eastAsia="Times New Roman" w:cs="Arial"/>
          <w:color w:val="000000"/>
          <w:lang w:eastAsia="bg-BG"/>
        </w:rPr>
        <w:t>(една таблетка), приета веднъж дневно перорално с храна (вж. точки 4.8 и 5.1). Понастоящем не е известно каква е оптималната продължителност на лечението.</w:t>
      </w:r>
    </w:p>
    <w:p w14:paraId="71EBF48F" w14:textId="77777777" w:rsidR="00FB6158" w:rsidRDefault="00FB6158" w:rsidP="00FB6158">
      <w:pPr>
        <w:spacing w:line="240" w:lineRule="auto"/>
        <w:rPr>
          <w:rFonts w:eastAsia="Times New Roman" w:cs="Arial"/>
          <w:color w:val="000000"/>
          <w:lang w:eastAsia="bg-BG"/>
        </w:rPr>
      </w:pPr>
    </w:p>
    <w:p w14:paraId="00DEA51A" w14:textId="5F379214"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Безопасността и ефикасността на тенофовир дизопроксил при деца с хроничен хепатит В на възраст от 2 до &lt; 12 години или с тегло &lt; 35 </w:t>
      </w:r>
      <w:r w:rsidRPr="00FB6158">
        <w:rPr>
          <w:rFonts w:eastAsia="Times New Roman" w:cs="Arial"/>
          <w:color w:val="000000"/>
          <w:lang w:val="en-US"/>
        </w:rPr>
        <w:t xml:space="preserve">kg </w:t>
      </w:r>
      <w:r w:rsidRPr="00FB6158">
        <w:rPr>
          <w:rFonts w:eastAsia="Times New Roman" w:cs="Arial"/>
          <w:color w:val="000000"/>
          <w:lang w:eastAsia="bg-BG"/>
        </w:rPr>
        <w:t>не са установени. Липсват данни.</w:t>
      </w:r>
    </w:p>
    <w:p w14:paraId="4DFF4911" w14:textId="0412165A" w:rsidR="00FB6158" w:rsidRDefault="00FB6158" w:rsidP="00FB6158">
      <w:pPr>
        <w:rPr>
          <w:rFonts w:eastAsia="Times New Roman" w:cs="Arial"/>
          <w:color w:val="000000"/>
          <w:lang w:eastAsia="bg-BG"/>
        </w:rPr>
      </w:pPr>
      <w:r w:rsidRPr="00FB6158">
        <w:rPr>
          <w:rFonts w:eastAsia="Times New Roman" w:cs="Arial"/>
          <w:color w:val="000000"/>
          <w:lang w:eastAsia="bg-BG"/>
        </w:rPr>
        <w:t xml:space="preserve">Тенофовир се предлага и като гранули от 33 </w:t>
      </w:r>
      <w:r w:rsidRPr="00FB6158">
        <w:rPr>
          <w:rFonts w:eastAsia="Times New Roman" w:cs="Arial"/>
          <w:color w:val="000000"/>
          <w:lang w:val="en-US"/>
        </w:rPr>
        <w:t xml:space="preserve">mg/g </w:t>
      </w:r>
      <w:r w:rsidRPr="00FB6158">
        <w:rPr>
          <w:rFonts w:eastAsia="Times New Roman" w:cs="Arial"/>
          <w:color w:val="000000"/>
          <w:lang w:eastAsia="bg-BG"/>
        </w:rPr>
        <w:t xml:space="preserve">за лечение на инфекция с </w:t>
      </w:r>
      <w:r w:rsidRPr="00FB6158">
        <w:rPr>
          <w:rFonts w:eastAsia="Times New Roman" w:cs="Arial"/>
          <w:color w:val="000000"/>
          <w:lang w:val="en-US"/>
        </w:rPr>
        <w:t xml:space="preserve">HIV-1 </w:t>
      </w:r>
      <w:r w:rsidRPr="00FB6158">
        <w:rPr>
          <w:rFonts w:eastAsia="Times New Roman" w:cs="Arial"/>
          <w:color w:val="000000"/>
          <w:lang w:eastAsia="bg-BG"/>
        </w:rPr>
        <w:t>и хроничен хепатит В при юноши на възраст от 12 до &lt; 18 години, при които твърдата лекарствена форма не е подходяща.</w:t>
      </w:r>
    </w:p>
    <w:p w14:paraId="44F02CAC" w14:textId="4CEEA23E" w:rsidR="00FB6158" w:rsidRDefault="00FB6158" w:rsidP="00FB6158">
      <w:pPr>
        <w:rPr>
          <w:rFonts w:eastAsia="Times New Roman" w:cs="Arial"/>
          <w:color w:val="000000"/>
          <w:lang w:eastAsia="bg-BG"/>
        </w:rPr>
      </w:pPr>
    </w:p>
    <w:p w14:paraId="7A7F5073" w14:textId="77777777"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Пропусната доза</w:t>
      </w:r>
    </w:p>
    <w:p w14:paraId="013E3EDF"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Ако пациент пропусне една доза Вирофоб в рамките на 12 часа от обичайното време за приемането й, той трябва да приеме Вирофоб с храна възможно най-скоро и да продължи по обичайната си дозова схема. Ако пациент пропусне една доза Вирофоб с повече от 12 часа и вече почти е дошло време за следващата доза, той не трябва да приема пропуснатата доза, а да продължи по обичайната дозова схема.</w:t>
      </w:r>
    </w:p>
    <w:p w14:paraId="2F6A63CF" w14:textId="77777777" w:rsidR="00FB6158" w:rsidRDefault="00FB6158" w:rsidP="00FB6158">
      <w:pPr>
        <w:spacing w:line="240" w:lineRule="auto"/>
        <w:rPr>
          <w:rFonts w:eastAsia="Times New Roman" w:cs="Arial"/>
          <w:color w:val="000000"/>
          <w:lang w:eastAsia="bg-BG"/>
        </w:rPr>
      </w:pPr>
    </w:p>
    <w:p w14:paraId="20272A43" w14:textId="77777777" w:rsidR="00FB6158" w:rsidRDefault="00FB6158" w:rsidP="00FB6158">
      <w:pPr>
        <w:spacing w:line="240" w:lineRule="auto"/>
        <w:rPr>
          <w:rFonts w:eastAsia="Times New Roman" w:cs="Arial"/>
          <w:color w:val="000000"/>
          <w:lang w:eastAsia="bg-BG"/>
        </w:rPr>
      </w:pPr>
      <w:r w:rsidRPr="00FB6158">
        <w:rPr>
          <w:rFonts w:eastAsia="Times New Roman" w:cs="Arial"/>
          <w:color w:val="000000"/>
          <w:lang w:eastAsia="bg-BG"/>
        </w:rPr>
        <w:t xml:space="preserve">Ако пациентът повърне в рамките на 1 час след приема на Вирофоб, трябва да се приеме друга таблетка. Ако пациентът повърне след повече от 1 час след приема на Вирофоб, </w:t>
      </w:r>
    </w:p>
    <w:p w14:paraId="4BFEA47D" w14:textId="198D1E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той не трябва да приема още една доза.</w:t>
      </w:r>
    </w:p>
    <w:p w14:paraId="67F8A59D" w14:textId="77777777" w:rsidR="00FB6158" w:rsidRDefault="00FB6158" w:rsidP="00FB6158">
      <w:pPr>
        <w:spacing w:line="240" w:lineRule="auto"/>
        <w:rPr>
          <w:rFonts w:eastAsia="Times New Roman" w:cs="Arial"/>
          <w:i/>
          <w:iCs/>
          <w:color w:val="000000"/>
          <w:u w:val="single"/>
          <w:lang w:eastAsia="bg-BG"/>
        </w:rPr>
      </w:pPr>
    </w:p>
    <w:p w14:paraId="02F92116" w14:textId="1ED4E241" w:rsidR="00FB6158" w:rsidRPr="00FB6158" w:rsidRDefault="00FB6158" w:rsidP="00FB6158">
      <w:pPr>
        <w:spacing w:line="240" w:lineRule="auto"/>
        <w:rPr>
          <w:rFonts w:eastAsia="Times New Roman" w:cs="Arial"/>
          <w:lang w:eastAsia="bg-BG"/>
        </w:rPr>
      </w:pPr>
      <w:r w:rsidRPr="00FB6158">
        <w:rPr>
          <w:rFonts w:eastAsia="Times New Roman" w:cs="Arial"/>
          <w:i/>
          <w:iCs/>
          <w:color w:val="000000"/>
          <w:u w:val="single"/>
          <w:lang w:eastAsia="bg-BG"/>
        </w:rPr>
        <w:t>Специални популации</w:t>
      </w:r>
    </w:p>
    <w:p w14:paraId="2A77077C" w14:textId="77777777"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Старческа възраст</w:t>
      </w:r>
    </w:p>
    <w:p w14:paraId="3366E642"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Няма данни, на базата на които да се направят препоръки за дозировката при пациенти над 65- годишна възраст (вж. точка 4.4).</w:t>
      </w:r>
    </w:p>
    <w:p w14:paraId="2D312A3B" w14:textId="77777777" w:rsidR="00FB6158" w:rsidRDefault="00FB6158" w:rsidP="00FB6158">
      <w:pPr>
        <w:spacing w:line="240" w:lineRule="auto"/>
        <w:rPr>
          <w:rFonts w:eastAsia="Times New Roman" w:cs="Arial"/>
          <w:i/>
          <w:iCs/>
          <w:color w:val="000000"/>
          <w:lang w:eastAsia="bg-BG"/>
        </w:rPr>
      </w:pPr>
    </w:p>
    <w:p w14:paraId="0D9C4407" w14:textId="48F6553F"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Бъбречно увреждане</w:t>
      </w:r>
    </w:p>
    <w:p w14:paraId="3EEA700C"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Тенофовир се елиминира чрез бъбречна екскреция и експозицията на тенофовир се повишава при пациенти с бъбречна дисфункция.</w:t>
      </w:r>
    </w:p>
    <w:p w14:paraId="42FDEE1A" w14:textId="77777777" w:rsidR="00FB6158" w:rsidRDefault="00FB6158" w:rsidP="00FB6158">
      <w:pPr>
        <w:spacing w:line="240" w:lineRule="auto"/>
        <w:rPr>
          <w:rFonts w:eastAsia="Times New Roman" w:cs="Arial"/>
          <w:color w:val="000000"/>
          <w:u w:val="single"/>
          <w:lang w:eastAsia="bg-BG"/>
        </w:rPr>
      </w:pPr>
    </w:p>
    <w:p w14:paraId="42D95C58" w14:textId="522DD2D4"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lastRenderedPageBreak/>
        <w:t>Възрастни</w:t>
      </w:r>
    </w:p>
    <w:p w14:paraId="27B86999"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Има ограничени данни за безопасността и ефикасността на тенофовир дизопроксил при възрастни пациенти с умерено и тежко бъбречно увреждане (креатининов клирънс &lt;50 </w:t>
      </w:r>
      <w:r w:rsidRPr="00FB6158">
        <w:rPr>
          <w:rFonts w:eastAsia="Times New Roman" w:cs="Arial"/>
          <w:color w:val="000000"/>
          <w:lang w:val="en-US"/>
        </w:rPr>
        <w:t xml:space="preserve">ml/min) </w:t>
      </w:r>
      <w:r w:rsidRPr="00FB6158">
        <w:rPr>
          <w:rFonts w:eastAsia="Times New Roman" w:cs="Arial"/>
          <w:color w:val="000000"/>
          <w:lang w:eastAsia="bg-BG"/>
        </w:rPr>
        <w:t xml:space="preserve">и дългосрочните данни за безопасност не са оценени при пациенти с леко бъбречно увреждане (креатининов клирънс 50-80 </w:t>
      </w:r>
      <w:r w:rsidRPr="00FB6158">
        <w:rPr>
          <w:rFonts w:eastAsia="Times New Roman" w:cs="Arial"/>
          <w:color w:val="000000"/>
          <w:lang w:val="en-US"/>
        </w:rPr>
        <w:t xml:space="preserve">ml/min). </w:t>
      </w:r>
      <w:r w:rsidRPr="00FB6158">
        <w:rPr>
          <w:rFonts w:eastAsia="Times New Roman" w:cs="Arial"/>
          <w:color w:val="000000"/>
          <w:lang w:eastAsia="bg-BG"/>
        </w:rPr>
        <w:t>Затова при възрастни пациенти с бъбречно увреждане тенофовир дизопроксил трябва да се прилага само ако се приема, че потенциалните ползи от лечението надвишават потенциалните рискове.</w:t>
      </w:r>
    </w:p>
    <w:p w14:paraId="68B7CCF3"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Приложението на тенофовир 33 </w:t>
      </w:r>
      <w:r w:rsidRPr="00FB6158">
        <w:rPr>
          <w:rFonts w:eastAsia="Times New Roman" w:cs="Arial"/>
          <w:color w:val="000000"/>
          <w:lang w:val="en-US"/>
        </w:rPr>
        <w:t xml:space="preserve">mg/g </w:t>
      </w:r>
      <w:r w:rsidRPr="00FB6158">
        <w:rPr>
          <w:rFonts w:eastAsia="Times New Roman" w:cs="Arial"/>
          <w:color w:val="000000"/>
          <w:lang w:eastAsia="bg-BG"/>
        </w:rPr>
        <w:t xml:space="preserve">гранули за осигуряване на намалена дневна доза тенофовир дизопроксил се препоръчва при възрастни пациенти с креатининов клирънс &lt;50 </w:t>
      </w:r>
      <w:r w:rsidRPr="00FB6158">
        <w:rPr>
          <w:rFonts w:eastAsia="Times New Roman" w:cs="Arial"/>
          <w:color w:val="000000"/>
          <w:lang w:val="en-US"/>
        </w:rPr>
        <w:t xml:space="preserve">ml/min, </w:t>
      </w:r>
      <w:r w:rsidRPr="00FB6158">
        <w:rPr>
          <w:rFonts w:eastAsia="Times New Roman" w:cs="Arial"/>
          <w:color w:val="000000"/>
          <w:lang w:eastAsia="bg-BG"/>
        </w:rPr>
        <w:t>включително при пациенти на хемодиализа.</w:t>
      </w:r>
    </w:p>
    <w:p w14:paraId="0DC0042C" w14:textId="77777777" w:rsidR="00FB6158" w:rsidRDefault="00FB6158" w:rsidP="00FB6158">
      <w:pPr>
        <w:spacing w:line="240" w:lineRule="auto"/>
        <w:rPr>
          <w:rFonts w:eastAsia="Times New Roman" w:cs="Arial"/>
          <w:i/>
          <w:iCs/>
          <w:color w:val="000000"/>
          <w:lang w:eastAsia="bg-BG"/>
        </w:rPr>
      </w:pPr>
    </w:p>
    <w:p w14:paraId="6E3E7338" w14:textId="22A4222E"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 xml:space="preserve">Леко бъбречно увреждане (креатининов клирънс 50-80 </w:t>
      </w:r>
      <w:r w:rsidRPr="00FB6158">
        <w:rPr>
          <w:rFonts w:eastAsia="Times New Roman" w:cs="Arial"/>
          <w:i/>
          <w:iCs/>
          <w:color w:val="000000"/>
          <w:lang w:val="en-US"/>
        </w:rPr>
        <w:t>ml/min)</w:t>
      </w:r>
    </w:p>
    <w:p w14:paraId="6CD72F97"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Ограничени данни от клинични проучвания подкрепят еднократното дневно прилагане на 245 </w:t>
      </w:r>
      <w:r w:rsidRPr="00FB6158">
        <w:rPr>
          <w:rFonts w:eastAsia="Times New Roman" w:cs="Arial"/>
          <w:color w:val="000000"/>
          <w:lang w:val="en-US"/>
        </w:rPr>
        <w:t xml:space="preserve">mg </w:t>
      </w:r>
      <w:r w:rsidRPr="00FB6158">
        <w:rPr>
          <w:rFonts w:eastAsia="Times New Roman" w:cs="Arial"/>
          <w:color w:val="000000"/>
          <w:lang w:eastAsia="bg-BG"/>
        </w:rPr>
        <w:t>тенофовир дизопроксил при пациенти с леко бъбречно увреждане.</w:t>
      </w:r>
    </w:p>
    <w:p w14:paraId="1649A4A0" w14:textId="77777777"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 xml:space="preserve">Умерено бъбречно увреждане (креатининов клирънс 30-49 </w:t>
      </w:r>
      <w:r w:rsidRPr="00FB6158">
        <w:rPr>
          <w:rFonts w:eastAsia="Times New Roman" w:cs="Arial"/>
          <w:i/>
          <w:iCs/>
          <w:color w:val="000000"/>
          <w:lang w:val="en-US"/>
        </w:rPr>
        <w:t>ml/min)</w:t>
      </w:r>
    </w:p>
    <w:p w14:paraId="223D4FD7"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При пациенти, които не са способни да приемат тенофовир дизопроксил като гранули, може да се прилагат удължени интервали на прилагане на 245 </w:t>
      </w:r>
      <w:r w:rsidRPr="00FB6158">
        <w:rPr>
          <w:rFonts w:eastAsia="Times New Roman" w:cs="Arial"/>
          <w:color w:val="000000"/>
          <w:lang w:val="en-US"/>
        </w:rPr>
        <w:t xml:space="preserve">mg </w:t>
      </w:r>
      <w:r w:rsidRPr="00FB6158">
        <w:rPr>
          <w:rFonts w:eastAsia="Times New Roman" w:cs="Arial"/>
          <w:color w:val="000000"/>
          <w:lang w:eastAsia="bg-BG"/>
        </w:rPr>
        <w:t xml:space="preserve">филмирани таблетки.. Прилагането на 245 </w:t>
      </w:r>
      <w:r w:rsidRPr="00FB6158">
        <w:rPr>
          <w:rFonts w:eastAsia="Times New Roman" w:cs="Arial"/>
          <w:color w:val="000000"/>
          <w:lang w:val="en-US"/>
        </w:rPr>
        <w:t xml:space="preserve">mg </w:t>
      </w:r>
      <w:r w:rsidRPr="00FB6158">
        <w:rPr>
          <w:rFonts w:eastAsia="Times New Roman" w:cs="Arial"/>
          <w:color w:val="000000"/>
          <w:lang w:eastAsia="bg-BG"/>
        </w:rPr>
        <w:t xml:space="preserve">тенофовир дизопроксил на всеки 48 часа може да се използва въз основа на моделиране на данни за фармакокинетиката на единична доза при </w:t>
      </w:r>
      <w:r w:rsidRPr="00FB6158">
        <w:rPr>
          <w:rFonts w:eastAsia="Times New Roman" w:cs="Arial"/>
          <w:color w:val="000000"/>
          <w:lang w:val="en-US"/>
        </w:rPr>
        <w:t>HIV</w:t>
      </w:r>
      <w:r w:rsidRPr="00FB6158">
        <w:rPr>
          <w:rFonts w:eastAsia="Times New Roman" w:cs="Arial"/>
          <w:color w:val="000000"/>
          <w:lang w:eastAsia="bg-BG"/>
        </w:rPr>
        <w:t xml:space="preserve">-отрицателни и неинфектирани с </w:t>
      </w:r>
      <w:r w:rsidRPr="00FB6158">
        <w:rPr>
          <w:rFonts w:eastAsia="Times New Roman" w:cs="Arial"/>
          <w:color w:val="000000"/>
          <w:lang w:val="en-US"/>
        </w:rPr>
        <w:t xml:space="preserve">HBV </w:t>
      </w:r>
      <w:r w:rsidRPr="00FB6158">
        <w:rPr>
          <w:rFonts w:eastAsia="Times New Roman" w:cs="Arial"/>
          <w:color w:val="000000"/>
          <w:lang w:eastAsia="bg-BG"/>
        </w:rPr>
        <w:t>участници с различни степени на бъбречно увреждане, вкл. краен стадий на бъбречно заболяване, изискващ хемодиализа, но не са потвърдени от клинични проучвания. Затова при такива пациенти трябва да се следи внимателно клиничният отговор от лечението, както и бъбречната функция (вж. точки 4.4 и 5.2).</w:t>
      </w:r>
    </w:p>
    <w:p w14:paraId="5B2A6A52" w14:textId="77777777" w:rsidR="00FB6158" w:rsidRDefault="00FB6158" w:rsidP="00FB6158">
      <w:pPr>
        <w:spacing w:line="240" w:lineRule="auto"/>
        <w:rPr>
          <w:rFonts w:eastAsia="Times New Roman" w:cs="Arial"/>
          <w:i/>
          <w:iCs/>
          <w:color w:val="000000"/>
          <w:lang w:eastAsia="bg-BG"/>
        </w:rPr>
      </w:pPr>
    </w:p>
    <w:p w14:paraId="252CAA0C" w14:textId="1A6CCE13"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 xml:space="preserve">Тежко бъбречно увреждане (креатининов клирънс &lt; 30 </w:t>
      </w:r>
      <w:r w:rsidRPr="00FB6158">
        <w:rPr>
          <w:rFonts w:eastAsia="Times New Roman" w:cs="Arial"/>
          <w:i/>
          <w:iCs/>
          <w:color w:val="000000"/>
          <w:lang w:val="en-US"/>
        </w:rPr>
        <w:t xml:space="preserve">ml/min) </w:t>
      </w:r>
      <w:r w:rsidRPr="00FB6158">
        <w:rPr>
          <w:rFonts w:eastAsia="Times New Roman" w:cs="Arial"/>
          <w:i/>
          <w:iCs/>
          <w:color w:val="000000"/>
          <w:lang w:eastAsia="bg-BG"/>
        </w:rPr>
        <w:t xml:space="preserve">и пациенти на хемодиализа </w:t>
      </w:r>
      <w:r w:rsidRPr="00FB6158">
        <w:rPr>
          <w:rFonts w:eastAsia="Times New Roman" w:cs="Arial"/>
          <w:color w:val="000000"/>
          <w:lang w:eastAsia="bg-BG"/>
        </w:rPr>
        <w:t xml:space="preserve">Ако приложението на по-ниска доза не е възможно и липсва алтернативно лечение, може да се прилагат удължени интервали на прилагане на 245 </w:t>
      </w:r>
      <w:r w:rsidRPr="00FB6158">
        <w:rPr>
          <w:rFonts w:eastAsia="Times New Roman" w:cs="Arial"/>
          <w:color w:val="000000"/>
          <w:lang w:val="en-US"/>
        </w:rPr>
        <w:t xml:space="preserve">mg </w:t>
      </w:r>
      <w:r w:rsidRPr="00FB6158">
        <w:rPr>
          <w:rFonts w:eastAsia="Times New Roman" w:cs="Arial"/>
          <w:color w:val="000000"/>
          <w:lang w:eastAsia="bg-BG"/>
        </w:rPr>
        <w:t>филмирани таблетки, както следва:</w:t>
      </w:r>
    </w:p>
    <w:p w14:paraId="29444072" w14:textId="77777777" w:rsidR="00FB6158" w:rsidRDefault="00FB6158" w:rsidP="00FB6158">
      <w:pPr>
        <w:spacing w:line="240" w:lineRule="auto"/>
        <w:rPr>
          <w:rFonts w:eastAsia="Times New Roman" w:cs="Arial"/>
          <w:color w:val="000000"/>
          <w:lang w:eastAsia="bg-BG"/>
        </w:rPr>
      </w:pPr>
    </w:p>
    <w:p w14:paraId="3D845804" w14:textId="053DA735"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Тежко бъбречно увреждане: 245 </w:t>
      </w:r>
      <w:r w:rsidRPr="00FB6158">
        <w:rPr>
          <w:rFonts w:eastAsia="Times New Roman" w:cs="Arial"/>
          <w:color w:val="000000"/>
          <w:lang w:val="en-US"/>
        </w:rPr>
        <w:t xml:space="preserve">mg </w:t>
      </w:r>
      <w:r w:rsidRPr="00FB6158">
        <w:rPr>
          <w:rFonts w:eastAsia="Times New Roman" w:cs="Arial"/>
          <w:color w:val="000000"/>
          <w:lang w:eastAsia="bg-BG"/>
        </w:rPr>
        <w:t>тенофовир дизопроксил може да се прилага на всеки 72-96 часа (прилагане два пъти седмично).</w:t>
      </w:r>
    </w:p>
    <w:p w14:paraId="6EBCD400" w14:textId="77777777" w:rsidR="00FB6158" w:rsidRDefault="00FB6158" w:rsidP="00FB6158">
      <w:pPr>
        <w:spacing w:line="240" w:lineRule="auto"/>
        <w:rPr>
          <w:rFonts w:eastAsia="Times New Roman" w:cs="Arial"/>
          <w:color w:val="000000"/>
          <w:lang w:eastAsia="bg-BG"/>
        </w:rPr>
      </w:pPr>
    </w:p>
    <w:p w14:paraId="19315A23" w14:textId="3A6924FD"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Пациенти на хемодиализа: 245 </w:t>
      </w:r>
      <w:r w:rsidRPr="00FB6158">
        <w:rPr>
          <w:rFonts w:eastAsia="Times New Roman" w:cs="Arial"/>
          <w:color w:val="000000"/>
          <w:lang w:val="en-US"/>
        </w:rPr>
        <w:t xml:space="preserve">mg </w:t>
      </w:r>
      <w:r w:rsidRPr="00FB6158">
        <w:rPr>
          <w:rFonts w:eastAsia="Times New Roman" w:cs="Arial"/>
          <w:color w:val="000000"/>
          <w:lang w:eastAsia="bg-BG"/>
        </w:rPr>
        <w:t>тенофовир дизопроксил може да се прилага на дни след приключване на хемодиализната сесия*.</w:t>
      </w:r>
    </w:p>
    <w:p w14:paraId="61E20417" w14:textId="77777777" w:rsidR="00FB6158" w:rsidRDefault="00FB6158" w:rsidP="00FB6158">
      <w:pPr>
        <w:spacing w:line="240" w:lineRule="auto"/>
        <w:rPr>
          <w:rFonts w:eastAsia="Times New Roman" w:cs="Arial"/>
          <w:color w:val="000000"/>
          <w:lang w:eastAsia="bg-BG"/>
        </w:rPr>
      </w:pPr>
    </w:p>
    <w:p w14:paraId="0FE4A200" w14:textId="77777777" w:rsidR="00FB6158" w:rsidRDefault="00FB6158" w:rsidP="00FB6158">
      <w:pPr>
        <w:spacing w:line="240" w:lineRule="auto"/>
        <w:rPr>
          <w:rFonts w:eastAsia="Times New Roman" w:cs="Arial"/>
          <w:color w:val="000000"/>
          <w:lang w:eastAsia="bg-BG"/>
        </w:rPr>
      </w:pPr>
      <w:r w:rsidRPr="00FB6158">
        <w:rPr>
          <w:rFonts w:eastAsia="Times New Roman" w:cs="Arial"/>
          <w:color w:val="000000"/>
          <w:lang w:eastAsia="bg-BG"/>
        </w:rPr>
        <w:t xml:space="preserve">Тези адаптирания на интервала на прилагане не са потвърдени от клинични проучвания. </w:t>
      </w:r>
    </w:p>
    <w:p w14:paraId="78429245" w14:textId="77777777" w:rsidR="00FB6158" w:rsidRDefault="00FB6158" w:rsidP="00FB6158">
      <w:pPr>
        <w:spacing w:line="240" w:lineRule="auto"/>
        <w:rPr>
          <w:rFonts w:eastAsia="Times New Roman" w:cs="Arial"/>
          <w:color w:val="000000"/>
          <w:lang w:eastAsia="bg-BG"/>
        </w:rPr>
      </w:pPr>
    </w:p>
    <w:p w14:paraId="03426C34" w14:textId="77777777" w:rsidR="00FB6158" w:rsidRPr="00FB6158" w:rsidRDefault="00FB6158" w:rsidP="00FB6158">
      <w:pPr>
        <w:rPr>
          <w:rFonts w:eastAsia="Times New Roman" w:cs="Arial"/>
          <w:lang w:eastAsia="bg-BG"/>
        </w:rPr>
      </w:pPr>
      <w:r w:rsidRPr="00FB6158">
        <w:rPr>
          <w:rFonts w:eastAsia="Times New Roman" w:cs="Arial"/>
          <w:color w:val="000000"/>
          <w:lang w:eastAsia="bg-BG"/>
        </w:rPr>
        <w:t xml:space="preserve">Симулации предполагат, че удълженият интервал на прилагане на 245 </w:t>
      </w:r>
      <w:r w:rsidRPr="00FB6158">
        <w:rPr>
          <w:rFonts w:eastAsia="Times New Roman" w:cs="Arial"/>
          <w:color w:val="000000"/>
          <w:lang w:val="en-US"/>
        </w:rPr>
        <w:t xml:space="preserve">mg </w:t>
      </w:r>
      <w:r w:rsidRPr="00FB6158">
        <w:rPr>
          <w:rFonts w:eastAsia="Times New Roman" w:cs="Arial"/>
          <w:color w:val="000000"/>
          <w:lang w:eastAsia="bg-BG"/>
        </w:rPr>
        <w:t>филмирани таблетки не</w:t>
      </w:r>
      <w:r>
        <w:rPr>
          <w:rFonts w:eastAsia="Times New Roman" w:cs="Arial"/>
          <w:color w:val="000000"/>
          <w:lang w:eastAsia="bg-BG"/>
        </w:rPr>
        <w:t xml:space="preserve"> </w:t>
      </w:r>
      <w:r w:rsidRPr="00FB6158">
        <w:rPr>
          <w:rFonts w:eastAsia="Times New Roman" w:cs="Arial"/>
          <w:color w:val="000000"/>
          <w:lang w:eastAsia="bg-BG"/>
        </w:rPr>
        <w:t>е оптимален и може да доведе до повишаване на токсичността и до евентуално неадекватен отговор. Затова трябва да се следи внимателно клиничният отговор от лечението, както и бъбречната функция (вж. точки 4.4 и 5.2).</w:t>
      </w:r>
    </w:p>
    <w:p w14:paraId="0AB779C1" w14:textId="77777777" w:rsidR="00FB6158" w:rsidRDefault="00FB6158" w:rsidP="00FB6158">
      <w:pPr>
        <w:spacing w:line="240" w:lineRule="auto"/>
        <w:rPr>
          <w:rFonts w:eastAsia="Times New Roman" w:cs="Arial"/>
          <w:color w:val="000000"/>
          <w:lang w:eastAsia="bg-BG"/>
        </w:rPr>
      </w:pPr>
    </w:p>
    <w:p w14:paraId="263DC89B" w14:textId="3BC68B99"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*Общо, прилагането е веднъж седмично, предполагайки три сесии хемодиализа на седмица, всеки с продължителност около 4 часа или след 12 часа кумулативна хемодиализа.</w:t>
      </w:r>
    </w:p>
    <w:p w14:paraId="7F1A0F8D" w14:textId="77777777" w:rsidR="00FB6158" w:rsidRDefault="00FB6158" w:rsidP="00FB6158">
      <w:pPr>
        <w:spacing w:line="240" w:lineRule="auto"/>
        <w:rPr>
          <w:rFonts w:eastAsia="Times New Roman" w:cs="Arial"/>
          <w:color w:val="000000"/>
          <w:lang w:eastAsia="bg-BG"/>
        </w:rPr>
      </w:pPr>
    </w:p>
    <w:p w14:paraId="2B45A141" w14:textId="4AE6460C"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Не може да се дадат препоръки за прилагане при пациенти с креатининов клирънс &lt;10 </w:t>
      </w:r>
      <w:r w:rsidRPr="00FB6158">
        <w:rPr>
          <w:rFonts w:eastAsia="Times New Roman" w:cs="Arial"/>
          <w:color w:val="000000"/>
          <w:lang w:val="en-US"/>
        </w:rPr>
        <w:t xml:space="preserve">ml/min, </w:t>
      </w:r>
      <w:r w:rsidRPr="00FB6158">
        <w:rPr>
          <w:rFonts w:eastAsia="Times New Roman" w:cs="Arial"/>
          <w:color w:val="000000"/>
          <w:lang w:eastAsia="bg-BG"/>
        </w:rPr>
        <w:t>които не са на хемодиализа.</w:t>
      </w:r>
    </w:p>
    <w:p w14:paraId="3E376AB2" w14:textId="77777777" w:rsidR="00FB6158" w:rsidRDefault="00FB6158" w:rsidP="00FB6158">
      <w:pPr>
        <w:spacing w:line="240" w:lineRule="auto"/>
        <w:rPr>
          <w:rFonts w:eastAsia="Times New Roman" w:cs="Arial"/>
          <w:color w:val="000000"/>
          <w:u w:val="single"/>
          <w:lang w:eastAsia="bg-BG"/>
        </w:rPr>
      </w:pPr>
    </w:p>
    <w:p w14:paraId="2947F4E9" w14:textId="25D38238"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lastRenderedPageBreak/>
        <w:t>Педиатрична популация</w:t>
      </w:r>
    </w:p>
    <w:p w14:paraId="488B4E42"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Не се препоръчва употребата на тенофовир дизопроксил при педиатрични пациенти с бъбречно увреждане (вж. точка 4.4).</w:t>
      </w:r>
    </w:p>
    <w:p w14:paraId="2FAB2875" w14:textId="77777777" w:rsidR="00FB6158" w:rsidRDefault="00FB6158" w:rsidP="00FB6158">
      <w:pPr>
        <w:spacing w:line="240" w:lineRule="auto"/>
        <w:rPr>
          <w:rFonts w:eastAsia="Times New Roman" w:cs="Arial"/>
          <w:i/>
          <w:iCs/>
          <w:color w:val="000000"/>
          <w:lang w:eastAsia="bg-BG"/>
        </w:rPr>
      </w:pPr>
    </w:p>
    <w:p w14:paraId="23461BFC" w14:textId="6F050C06"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Чернодробно увреждане</w:t>
      </w:r>
    </w:p>
    <w:p w14:paraId="53AC5C80"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Не се налага адаптиране на дозата при пациенти с чернодробно увреждане (вж. точки 4.4 и 5.2).</w:t>
      </w:r>
    </w:p>
    <w:p w14:paraId="7CC0B147" w14:textId="77777777" w:rsidR="00FB6158" w:rsidRDefault="00FB6158" w:rsidP="00FB6158">
      <w:pPr>
        <w:spacing w:line="240" w:lineRule="auto"/>
        <w:rPr>
          <w:rFonts w:eastAsia="Times New Roman" w:cs="Arial"/>
          <w:color w:val="000000"/>
          <w:lang w:eastAsia="bg-BG"/>
        </w:rPr>
      </w:pPr>
    </w:p>
    <w:p w14:paraId="16657F0E" w14:textId="70AECB78"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Ако лечението с тенофовир бъде прекратено при пациенти с хроничен хепатит В със или без коинфекция с </w:t>
      </w:r>
      <w:r w:rsidRPr="00FB6158">
        <w:rPr>
          <w:rFonts w:eastAsia="Times New Roman" w:cs="Arial"/>
          <w:color w:val="000000"/>
          <w:lang w:val="en-US"/>
        </w:rPr>
        <w:t xml:space="preserve">HIV, </w:t>
      </w:r>
      <w:r w:rsidRPr="00FB6158">
        <w:rPr>
          <w:rFonts w:eastAsia="Times New Roman" w:cs="Arial"/>
          <w:color w:val="000000"/>
          <w:lang w:eastAsia="bg-BG"/>
        </w:rPr>
        <w:t>тези пациенти трябва да се следят внимателно за доказателства за екзацербация на хепатита (вж. точка 4.4).</w:t>
      </w:r>
    </w:p>
    <w:p w14:paraId="2E04293D" w14:textId="77777777" w:rsidR="00FB6158" w:rsidRDefault="00FB6158" w:rsidP="00FB6158">
      <w:pPr>
        <w:spacing w:line="240" w:lineRule="auto"/>
        <w:rPr>
          <w:rFonts w:eastAsia="Times New Roman" w:cs="Arial"/>
          <w:color w:val="000000"/>
          <w:u w:val="single"/>
          <w:lang w:eastAsia="bg-BG"/>
        </w:rPr>
      </w:pPr>
    </w:p>
    <w:p w14:paraId="4EC80CC8" w14:textId="584A1B3F"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Начин на приложение</w:t>
      </w:r>
    </w:p>
    <w:p w14:paraId="6B9F468B"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Таблетките Вирофоб трябва да се приемат веднъж дневно перорално с храна.</w:t>
      </w:r>
    </w:p>
    <w:p w14:paraId="1943C786" w14:textId="77777777" w:rsidR="00FB6158" w:rsidRDefault="00FB6158" w:rsidP="00FB6158">
      <w:pPr>
        <w:spacing w:line="240" w:lineRule="auto"/>
        <w:rPr>
          <w:rFonts w:eastAsia="Times New Roman" w:cs="Arial"/>
          <w:color w:val="000000"/>
          <w:lang w:eastAsia="bg-BG"/>
        </w:rPr>
      </w:pPr>
    </w:p>
    <w:p w14:paraId="155BAB89" w14:textId="543BE818"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Тенофовир дизопроксил се предлага като гранули за пациенти със затруднения в преглъщането на филмирани таблетки. По изключение, обаче, филмираните таблетки Вирофоб 245 </w:t>
      </w:r>
      <w:r w:rsidRPr="00FB6158">
        <w:rPr>
          <w:rFonts w:eastAsia="Times New Roman" w:cs="Arial"/>
          <w:color w:val="000000"/>
          <w:lang w:val="en-US"/>
        </w:rPr>
        <w:t xml:space="preserve">mg </w:t>
      </w:r>
      <w:r w:rsidRPr="00FB6158">
        <w:rPr>
          <w:rFonts w:eastAsia="Times New Roman" w:cs="Arial"/>
          <w:color w:val="000000"/>
          <w:lang w:eastAsia="bg-BG"/>
        </w:rPr>
        <w:t xml:space="preserve">може да се приложат след разтваряне на таблетката в поне 100 </w:t>
      </w:r>
      <w:r w:rsidRPr="00FB6158">
        <w:rPr>
          <w:rFonts w:eastAsia="Times New Roman" w:cs="Arial"/>
          <w:color w:val="000000"/>
          <w:lang w:val="en-US"/>
        </w:rPr>
        <w:t xml:space="preserve">ml </w:t>
      </w:r>
      <w:r w:rsidRPr="00FB6158">
        <w:rPr>
          <w:rFonts w:eastAsia="Times New Roman" w:cs="Arial"/>
          <w:color w:val="000000"/>
          <w:lang w:eastAsia="bg-BG"/>
        </w:rPr>
        <w:t>вода, портокалов или гроздов сок.</w:t>
      </w:r>
    </w:p>
    <w:p w14:paraId="79D3039B" w14:textId="77777777" w:rsidR="00FB6158" w:rsidRPr="00FB6158" w:rsidRDefault="00FB6158" w:rsidP="00FB6158">
      <w:pPr>
        <w:rPr>
          <w:rFonts w:cs="Arial"/>
        </w:rPr>
      </w:pPr>
    </w:p>
    <w:p w14:paraId="1BF2EFF4" w14:textId="075DE636" w:rsidR="001A6EBD" w:rsidRDefault="002C50EE" w:rsidP="00471F10">
      <w:pPr>
        <w:pStyle w:val="Heading2"/>
      </w:pPr>
      <w:r>
        <w:t>4.3. Противопоказания</w:t>
      </w:r>
    </w:p>
    <w:p w14:paraId="38554B02" w14:textId="3B2B57B4" w:rsidR="00FB6158" w:rsidRDefault="00FB6158" w:rsidP="00FB6158"/>
    <w:p w14:paraId="08D07547" w14:textId="7747F025" w:rsidR="00FB6158" w:rsidRDefault="00FB6158" w:rsidP="00FB6158">
      <w:r>
        <w:t>Свръхчувствителност към активното вещество или към някое от помощните вещества, изброени в точка 6.1.</w:t>
      </w:r>
    </w:p>
    <w:p w14:paraId="1DD4BA13" w14:textId="77777777" w:rsidR="00FB6158" w:rsidRPr="00FB6158" w:rsidRDefault="00FB6158" w:rsidP="00FB6158"/>
    <w:p w14:paraId="0C106098" w14:textId="46FA9163" w:rsidR="001A6EBD" w:rsidRDefault="002C50EE" w:rsidP="00471F10">
      <w:pPr>
        <w:pStyle w:val="Heading2"/>
      </w:pPr>
      <w:r>
        <w:t>4.4. Специални предупреждения и предпазни мерки при употреба</w:t>
      </w:r>
    </w:p>
    <w:p w14:paraId="15A85EC2" w14:textId="04F31D7C" w:rsidR="00FB6158" w:rsidRDefault="00FB6158" w:rsidP="00FB6158"/>
    <w:p w14:paraId="4891E662"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Общо</w:t>
      </w:r>
    </w:p>
    <w:p w14:paraId="2040180B"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На всички инфектирани с </w:t>
      </w:r>
      <w:r w:rsidRPr="00FB6158">
        <w:rPr>
          <w:rFonts w:eastAsia="Times New Roman" w:cs="Arial"/>
          <w:color w:val="000000"/>
          <w:lang w:val="en-US"/>
        </w:rPr>
        <w:t xml:space="preserve">HBV </w:t>
      </w:r>
      <w:r w:rsidRPr="00FB6158">
        <w:rPr>
          <w:rFonts w:eastAsia="Times New Roman" w:cs="Arial"/>
          <w:color w:val="000000"/>
          <w:lang w:eastAsia="bg-BG"/>
        </w:rPr>
        <w:t xml:space="preserve">пациенти трябва да се предлага изследване на антитела за </w:t>
      </w:r>
      <w:r w:rsidRPr="00FB6158">
        <w:rPr>
          <w:rFonts w:eastAsia="Times New Roman" w:cs="Arial"/>
          <w:color w:val="000000"/>
          <w:lang w:val="en-US"/>
        </w:rPr>
        <w:t xml:space="preserve">HIV </w:t>
      </w:r>
      <w:r w:rsidRPr="00FB6158">
        <w:rPr>
          <w:rFonts w:eastAsia="Times New Roman" w:cs="Arial"/>
          <w:color w:val="000000"/>
          <w:lang w:eastAsia="bg-BG"/>
        </w:rPr>
        <w:t xml:space="preserve">преди започване на лечението с тенофовир дизопроксил (вж. по-долу </w:t>
      </w:r>
      <w:r w:rsidRPr="00FB6158">
        <w:rPr>
          <w:rFonts w:eastAsia="Times New Roman" w:cs="Arial"/>
          <w:i/>
          <w:iCs/>
          <w:color w:val="000000"/>
          <w:lang w:eastAsia="bg-BG"/>
        </w:rPr>
        <w:t xml:space="preserve">Коинфекция с </w:t>
      </w:r>
      <w:r w:rsidRPr="00FB6158">
        <w:rPr>
          <w:rFonts w:eastAsia="Times New Roman" w:cs="Arial"/>
          <w:i/>
          <w:iCs/>
          <w:color w:val="000000"/>
          <w:lang w:val="en-US"/>
        </w:rPr>
        <w:t xml:space="preserve">HIV-1 </w:t>
      </w:r>
      <w:r w:rsidRPr="00FB6158">
        <w:rPr>
          <w:rFonts w:eastAsia="Times New Roman" w:cs="Arial"/>
          <w:i/>
          <w:iCs/>
          <w:color w:val="000000"/>
          <w:lang w:eastAsia="bg-BG"/>
        </w:rPr>
        <w:t>и хепатит В).</w:t>
      </w:r>
    </w:p>
    <w:p w14:paraId="55E71AB0" w14:textId="01121257" w:rsidR="00FB6158" w:rsidRPr="00FB6158" w:rsidRDefault="00FB6158" w:rsidP="00FB6158">
      <w:pPr>
        <w:spacing w:line="240" w:lineRule="auto"/>
        <w:rPr>
          <w:rFonts w:eastAsia="Times New Roman" w:cs="Arial"/>
          <w:lang w:eastAsia="bg-BG"/>
        </w:rPr>
      </w:pPr>
    </w:p>
    <w:p w14:paraId="1DF7B0B9"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val="en-US"/>
        </w:rPr>
        <w:t>HIV-1</w:t>
      </w:r>
    </w:p>
    <w:p w14:paraId="42437A6E"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Въпреки че е доказано, че ефективната вирусна супресия с антиретровирусна терапия значително намалява риска от предаване по полов път, остатъчен риск не може да се изключи. Трябва да се вземат предпазни мерки в съответствие с националните указания, за да се предотврати предаване на инфекцията.</w:t>
      </w:r>
    </w:p>
    <w:p w14:paraId="634AB2C8" w14:textId="77777777" w:rsidR="00FB6158" w:rsidRDefault="00FB6158" w:rsidP="00FB6158">
      <w:pPr>
        <w:spacing w:line="240" w:lineRule="auto"/>
        <w:rPr>
          <w:rFonts w:eastAsia="Times New Roman" w:cs="Arial"/>
          <w:i/>
          <w:iCs/>
          <w:color w:val="000000"/>
          <w:lang w:eastAsia="bg-BG"/>
        </w:rPr>
      </w:pPr>
    </w:p>
    <w:p w14:paraId="31BCA3E8" w14:textId="2D565013"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Хроничен хепатит В</w:t>
      </w:r>
    </w:p>
    <w:p w14:paraId="2CE8BBDF"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Пациентите трябва да бъдат информирани, че няма доказателства тенофовир дизопроксил да предпазва от предаване на </w:t>
      </w:r>
      <w:r w:rsidRPr="00FB6158">
        <w:rPr>
          <w:rFonts w:eastAsia="Times New Roman" w:cs="Arial"/>
          <w:color w:val="000000"/>
          <w:lang w:val="en-US"/>
        </w:rPr>
        <w:t xml:space="preserve">HBV </w:t>
      </w:r>
      <w:r w:rsidRPr="00FB6158">
        <w:rPr>
          <w:rFonts w:eastAsia="Times New Roman" w:cs="Arial"/>
          <w:color w:val="000000"/>
          <w:lang w:eastAsia="bg-BG"/>
        </w:rPr>
        <w:t>на други лица чрез сексуален контакт или по кръвен път. Трябва да продължат да се вземат подходящи предпазни мерки.</w:t>
      </w:r>
    </w:p>
    <w:p w14:paraId="4032DB87" w14:textId="77777777" w:rsidR="00FB6158" w:rsidRDefault="00FB6158" w:rsidP="00FB6158">
      <w:pPr>
        <w:spacing w:line="240" w:lineRule="auto"/>
        <w:rPr>
          <w:rFonts w:eastAsia="Times New Roman" w:cs="Arial"/>
          <w:color w:val="000000"/>
          <w:u w:val="single"/>
          <w:lang w:eastAsia="bg-BG"/>
        </w:rPr>
      </w:pPr>
    </w:p>
    <w:p w14:paraId="49BB6739" w14:textId="77777777" w:rsid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Едновременно приложение с други лекарствени продукти</w:t>
      </w:r>
    </w:p>
    <w:p w14:paraId="066A7D4E" w14:textId="77777777" w:rsidR="00FB6158" w:rsidRPr="00FB6158" w:rsidRDefault="00FB6158" w:rsidP="00FB6158">
      <w:pPr>
        <w:pStyle w:val="ListParagraph"/>
        <w:numPr>
          <w:ilvl w:val="0"/>
          <w:numId w:val="42"/>
        </w:numPr>
        <w:spacing w:line="240" w:lineRule="auto"/>
        <w:rPr>
          <w:rFonts w:eastAsia="Times New Roman" w:cs="Arial"/>
          <w:lang w:eastAsia="bg-BG"/>
        </w:rPr>
      </w:pPr>
      <w:r w:rsidRPr="00FB6158">
        <w:rPr>
          <w:rFonts w:eastAsia="Times New Roman" w:cs="Arial"/>
          <w:color w:val="000000"/>
          <w:lang w:eastAsia="bg-BG"/>
        </w:rPr>
        <w:t>Вирофоб не трябва да се прилага едновременно с други лекарствени продукти, съдържащи тенофовир дизопроксил или тенофовир алафенамид.</w:t>
      </w:r>
    </w:p>
    <w:p w14:paraId="3C8D7253" w14:textId="77777777" w:rsidR="00FB6158" w:rsidRPr="00FB6158" w:rsidRDefault="00FB6158" w:rsidP="00FB6158">
      <w:pPr>
        <w:pStyle w:val="ListParagraph"/>
        <w:numPr>
          <w:ilvl w:val="0"/>
          <w:numId w:val="42"/>
        </w:numPr>
        <w:spacing w:line="240" w:lineRule="auto"/>
        <w:rPr>
          <w:rFonts w:eastAsia="Times New Roman" w:cs="Arial"/>
          <w:lang w:eastAsia="bg-BG"/>
        </w:rPr>
      </w:pPr>
      <w:r w:rsidRPr="00FB6158">
        <w:rPr>
          <w:rFonts w:eastAsia="Times New Roman" w:cs="Arial"/>
          <w:color w:val="000000"/>
          <w:lang w:eastAsia="bg-BG"/>
        </w:rPr>
        <w:t>Вирофоб не трябва да се прилага едновременно с адефовир дипивоксил.</w:t>
      </w:r>
    </w:p>
    <w:p w14:paraId="59CE42BB" w14:textId="1967A10A" w:rsidR="00FB6158" w:rsidRPr="00FB6158" w:rsidRDefault="00FB6158" w:rsidP="00FB6158">
      <w:pPr>
        <w:pStyle w:val="ListParagraph"/>
        <w:numPr>
          <w:ilvl w:val="0"/>
          <w:numId w:val="42"/>
        </w:numPr>
        <w:spacing w:line="240" w:lineRule="auto"/>
        <w:rPr>
          <w:rFonts w:eastAsia="Times New Roman" w:cs="Arial"/>
          <w:lang w:eastAsia="bg-BG"/>
        </w:rPr>
      </w:pPr>
      <w:r w:rsidRPr="00FB6158">
        <w:rPr>
          <w:rFonts w:eastAsia="Times New Roman" w:cs="Arial"/>
          <w:color w:val="000000"/>
          <w:lang w:eastAsia="bg-BG"/>
        </w:rPr>
        <w:t>Едновременното приложение на тенофовир дизопроксил и диданозин не се препоръчва (виж т. 4.5).</w:t>
      </w:r>
    </w:p>
    <w:p w14:paraId="3799A9AA" w14:textId="6E7F6DB2" w:rsidR="00FB6158" w:rsidRDefault="00FB6158" w:rsidP="00FB6158">
      <w:pPr>
        <w:spacing w:line="240" w:lineRule="auto"/>
        <w:rPr>
          <w:rFonts w:eastAsia="Times New Roman" w:cs="Arial"/>
          <w:lang w:eastAsia="bg-BG"/>
        </w:rPr>
      </w:pPr>
    </w:p>
    <w:p w14:paraId="3779A02F"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Тройна терапия с нуклеозиди/нуклеотиди</w:t>
      </w:r>
    </w:p>
    <w:p w14:paraId="5002EB97"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Има съобщения за по-висока честота на вирусологичен неуспех и поява на резистентност в ранен стадий при пациенти с </w:t>
      </w:r>
      <w:r w:rsidRPr="00FB6158">
        <w:rPr>
          <w:rFonts w:eastAsia="Times New Roman" w:cs="Arial"/>
          <w:color w:val="000000"/>
          <w:lang w:val="en-US"/>
        </w:rPr>
        <w:t>HI</w:t>
      </w:r>
      <w:r w:rsidRPr="00FB6158">
        <w:rPr>
          <w:rFonts w:eastAsia="Times New Roman" w:cs="Arial"/>
          <w:color w:val="000000"/>
          <w:lang w:eastAsia="bg-BG"/>
        </w:rPr>
        <w:t>V, когато тенофовир дизопроксил е комбиниран с ламивудин и абакавир, както и с ламивудин и диданозин, приложени веднъж дневно.</w:t>
      </w:r>
    </w:p>
    <w:p w14:paraId="7FA9ECCE" w14:textId="77777777" w:rsidR="00FB6158" w:rsidRDefault="00FB6158" w:rsidP="00FB6158">
      <w:pPr>
        <w:spacing w:line="240" w:lineRule="auto"/>
        <w:rPr>
          <w:rFonts w:eastAsia="Times New Roman" w:cs="Arial"/>
          <w:color w:val="000000"/>
          <w:u w:val="single"/>
          <w:lang w:eastAsia="bg-BG"/>
        </w:rPr>
      </w:pPr>
    </w:p>
    <w:p w14:paraId="1B14D966" w14:textId="0F59B60E"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Ефекти върху бъбреците и костите при възрастни</w:t>
      </w:r>
    </w:p>
    <w:p w14:paraId="09E4D3DB" w14:textId="34EEA41B"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Ефекти върху бъбреците</w:t>
      </w:r>
    </w:p>
    <w:p w14:paraId="2AA03C12"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Тенофовир се елиминира предимно от бъбреците. Има съобщения за бъбречна недостатъчност, бъбречно увреждане, повишено ниво на креатинина, хипофосфатемия и тубулопатия на проксималните бъбречни канал чета (вкл. синдром на </w:t>
      </w:r>
      <w:r w:rsidRPr="00FB6158">
        <w:rPr>
          <w:rFonts w:eastAsia="Times New Roman" w:cs="Arial"/>
          <w:color w:val="000000"/>
          <w:lang w:val="en-US"/>
        </w:rPr>
        <w:t xml:space="preserve">Fanconi) </w:t>
      </w:r>
      <w:r w:rsidRPr="00FB6158">
        <w:rPr>
          <w:rFonts w:eastAsia="Times New Roman" w:cs="Arial"/>
          <w:color w:val="000000"/>
          <w:lang w:eastAsia="bg-BG"/>
        </w:rPr>
        <w:t>при прилагане на тенофовир дизопроксил в клиничната практика (вж. точка 4.8).</w:t>
      </w:r>
    </w:p>
    <w:p w14:paraId="1845FB55" w14:textId="77777777" w:rsidR="00FB6158" w:rsidRDefault="00FB6158" w:rsidP="00FB6158">
      <w:pPr>
        <w:spacing w:line="240" w:lineRule="auto"/>
        <w:rPr>
          <w:rFonts w:eastAsia="Times New Roman" w:cs="Arial"/>
          <w:i/>
          <w:iCs/>
          <w:color w:val="000000"/>
          <w:lang w:eastAsia="bg-BG"/>
        </w:rPr>
      </w:pPr>
    </w:p>
    <w:p w14:paraId="602D4B44" w14:textId="0B60B680"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Проследяване на бъбречната функция</w:t>
      </w:r>
    </w:p>
    <w:p w14:paraId="44AD498B"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Препоръчва се изчисляване на креатининовия клирънс при всички пациенти преди започване на терапията с тенофовир дизопроксил и също така следене на бъбречната функция (креатининов клирънс и серумни фосфати) след две до четири седмици на лечение, след три месеца на лечение, а след това на всеки три до шест месеца при пациенти без рискови фактори по отношение на бъбреците. При пациенти с риск от бъбречно увреждане се изисква по-често следене на бъбречната функция.</w:t>
      </w:r>
    </w:p>
    <w:p w14:paraId="3B3E74F1" w14:textId="77777777" w:rsidR="00FB6158" w:rsidRDefault="00FB6158" w:rsidP="00FB6158">
      <w:pPr>
        <w:spacing w:line="240" w:lineRule="auto"/>
        <w:rPr>
          <w:rFonts w:eastAsia="Times New Roman" w:cs="Arial"/>
          <w:i/>
          <w:iCs/>
          <w:color w:val="000000"/>
          <w:lang w:eastAsia="bg-BG"/>
        </w:rPr>
      </w:pPr>
    </w:p>
    <w:p w14:paraId="46EB2B2B" w14:textId="4FC7B382"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Поведение спрямо бъбречната функция</w:t>
      </w:r>
    </w:p>
    <w:p w14:paraId="46E3EA03"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Ако серумните фосфати са &lt; 1,5 </w:t>
      </w:r>
      <w:r w:rsidRPr="00FB6158">
        <w:rPr>
          <w:rFonts w:eastAsia="Times New Roman" w:cs="Arial"/>
          <w:color w:val="000000"/>
          <w:lang w:val="en-US"/>
        </w:rPr>
        <w:t xml:space="preserve">mg/dl </w:t>
      </w:r>
      <w:r w:rsidRPr="00FB6158">
        <w:rPr>
          <w:rFonts w:eastAsia="Times New Roman" w:cs="Arial"/>
          <w:color w:val="000000"/>
          <w:lang w:eastAsia="bg-BG"/>
        </w:rPr>
        <w:t xml:space="preserve">(0,48 </w:t>
      </w:r>
      <w:r w:rsidRPr="00FB6158">
        <w:rPr>
          <w:rFonts w:eastAsia="Times New Roman" w:cs="Arial"/>
          <w:color w:val="000000"/>
          <w:lang w:val="en-US"/>
        </w:rPr>
        <w:t xml:space="preserve">mmol/l) </w:t>
      </w:r>
      <w:r w:rsidRPr="00FB6158">
        <w:rPr>
          <w:rFonts w:eastAsia="Times New Roman" w:cs="Arial"/>
          <w:color w:val="000000"/>
          <w:lang w:eastAsia="bg-BG"/>
        </w:rPr>
        <w:t xml:space="preserve">или креатининовият клирънс е намален до &lt; 50 </w:t>
      </w:r>
      <w:r w:rsidRPr="00FB6158">
        <w:rPr>
          <w:rFonts w:eastAsia="Times New Roman" w:cs="Arial"/>
          <w:color w:val="000000"/>
          <w:lang w:val="en-US"/>
        </w:rPr>
        <w:t xml:space="preserve">ml/min </w:t>
      </w:r>
      <w:r w:rsidRPr="00FB6158">
        <w:rPr>
          <w:rFonts w:eastAsia="Times New Roman" w:cs="Arial"/>
          <w:color w:val="000000"/>
          <w:lang w:eastAsia="bg-BG"/>
        </w:rPr>
        <w:t xml:space="preserve">при възрастни пациенти, получаващи тенофовир дизопроксил, бъбречната функция трябва да се оцени отново в рамките на една седмица, включвайки изследвания на кръвната захар, кръвния калий и концентрацията на глюкозата в урината (вж. точка 4.8, тубулопатия на проксималните бъбречни каналчета). Също така при възрастни пациенти с намален креатининов клирънс до &lt; 50 </w:t>
      </w:r>
      <w:r w:rsidRPr="00FB6158">
        <w:rPr>
          <w:rFonts w:eastAsia="Times New Roman" w:cs="Arial"/>
          <w:color w:val="000000"/>
          <w:lang w:val="en-US"/>
        </w:rPr>
        <w:t xml:space="preserve">ml/min </w:t>
      </w:r>
      <w:r w:rsidRPr="00FB6158">
        <w:rPr>
          <w:rFonts w:eastAsia="Times New Roman" w:cs="Arial"/>
          <w:color w:val="000000"/>
          <w:lang w:eastAsia="bg-BG"/>
        </w:rPr>
        <w:t xml:space="preserve">или намалени нива на серумните фосфати до &lt; 1,0 </w:t>
      </w:r>
      <w:r w:rsidRPr="00FB6158">
        <w:rPr>
          <w:rFonts w:eastAsia="Times New Roman" w:cs="Arial"/>
          <w:color w:val="000000"/>
          <w:lang w:val="en-US"/>
        </w:rPr>
        <w:t xml:space="preserve">mg/dl </w:t>
      </w:r>
      <w:r w:rsidRPr="00FB6158">
        <w:rPr>
          <w:rFonts w:eastAsia="Times New Roman" w:cs="Arial"/>
          <w:color w:val="000000"/>
          <w:lang w:eastAsia="bg-BG"/>
        </w:rPr>
        <w:t xml:space="preserve">(0,32 </w:t>
      </w:r>
      <w:r w:rsidRPr="00FB6158">
        <w:rPr>
          <w:rFonts w:eastAsia="Times New Roman" w:cs="Arial"/>
          <w:color w:val="000000"/>
          <w:lang w:val="en-US"/>
        </w:rPr>
        <w:t xml:space="preserve">mmol/1) </w:t>
      </w:r>
      <w:r w:rsidRPr="00FB6158">
        <w:rPr>
          <w:rFonts w:eastAsia="Times New Roman" w:cs="Arial"/>
          <w:color w:val="000000"/>
          <w:lang w:eastAsia="bg-BG"/>
        </w:rPr>
        <w:t>трябва да се обмисли евентуално прекъсване на лечението с тенофовир дизопроксил. Прекъсване на лечението с тенофовир дизопроксил трябва да се обсъди и в случай на прогресивно влошаване на бъбречната функция, когато не е установена друга причина.</w:t>
      </w:r>
    </w:p>
    <w:p w14:paraId="6CC3B6EB" w14:textId="77777777" w:rsidR="00FB6158" w:rsidRDefault="00FB6158" w:rsidP="00FB6158">
      <w:pPr>
        <w:spacing w:line="240" w:lineRule="auto"/>
        <w:rPr>
          <w:rFonts w:eastAsia="Times New Roman" w:cs="Arial"/>
          <w:i/>
          <w:iCs/>
          <w:color w:val="000000"/>
          <w:lang w:eastAsia="bg-BG"/>
        </w:rPr>
      </w:pPr>
    </w:p>
    <w:p w14:paraId="30954351" w14:textId="66191EE9"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Едновременно приложение и риск от бъбречна токсичност</w:t>
      </w:r>
    </w:p>
    <w:p w14:paraId="6944462D"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Трябва да се избягва прилагането на тенофовир дизопроксил едновременно или скоро след прием на нефротоксичен лекарствен продукт (напр. аминогликозиди, амфотерицин В, фоскарнет, ганцикловир, пентамидин, ванкомицин, цидофовир или интерлевкин-2). Ако едновременното прилагане на тенофовир дизопроксил с нефротоксично средство е неизбежно, бъбречната функция трябва да се следи седмично.</w:t>
      </w:r>
    </w:p>
    <w:p w14:paraId="1F760930" w14:textId="77777777" w:rsidR="00FB6158" w:rsidRDefault="00FB6158" w:rsidP="00FB6158">
      <w:pPr>
        <w:spacing w:line="240" w:lineRule="auto"/>
        <w:rPr>
          <w:rFonts w:eastAsia="Times New Roman" w:cs="Arial"/>
          <w:color w:val="000000"/>
          <w:lang w:eastAsia="bg-BG"/>
        </w:rPr>
      </w:pPr>
    </w:p>
    <w:p w14:paraId="7B451EAF" w14:textId="4AE071AE"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Има съобщения за случаи на остра бъбречна недостатъчност след започване на лечение с висока доза или няколко нестероидни противовъзпалителни средства (НСПВС) при пациенти, лекувани с тенофовир дизопроксил и с рискови фактори за бъбречна дисфункция. Ако тенофовир дизопроксил се прилага едновременно с НСПВС, бъбречната функция съответно трябва да бъде следена.</w:t>
      </w:r>
    </w:p>
    <w:p w14:paraId="507F9E15" w14:textId="77777777" w:rsidR="00FB6158" w:rsidRDefault="00FB6158" w:rsidP="00FB6158">
      <w:pPr>
        <w:spacing w:line="240" w:lineRule="auto"/>
        <w:rPr>
          <w:rFonts w:eastAsia="Times New Roman" w:cs="Arial"/>
          <w:color w:val="000000"/>
          <w:lang w:eastAsia="bg-BG"/>
        </w:rPr>
      </w:pPr>
    </w:p>
    <w:p w14:paraId="25B726D2" w14:textId="2B4D5341"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Има съобщения за по-висок риск от бъбречно увреждане при пациенти, получаващи тенофовир дизопроксил в комбинация с протеазен инхибитор, усилен с ритонавир или кобицистат. При тези пациенти се изисква непрекъснато следене на бъбречната функция (вж. точка 4.5). При пациенти с рискови фактори по отношение на бъбреците трябва да се </w:t>
      </w:r>
      <w:r w:rsidRPr="00FB6158">
        <w:rPr>
          <w:rFonts w:eastAsia="Times New Roman" w:cs="Arial"/>
          <w:color w:val="000000"/>
          <w:lang w:eastAsia="bg-BG"/>
        </w:rPr>
        <w:lastRenderedPageBreak/>
        <w:t>направи внимателна преценка на едновременното приложение на тенофовир дизопроксил с усилен протеазен инхибитор.</w:t>
      </w:r>
    </w:p>
    <w:p w14:paraId="775407FE" w14:textId="77777777" w:rsidR="00FB6158" w:rsidRDefault="00FB6158" w:rsidP="00FB6158">
      <w:pPr>
        <w:spacing w:line="240" w:lineRule="auto"/>
        <w:rPr>
          <w:rFonts w:eastAsia="Times New Roman" w:cs="Arial"/>
          <w:color w:val="000000"/>
          <w:lang w:eastAsia="bg-BG"/>
        </w:rPr>
      </w:pPr>
    </w:p>
    <w:p w14:paraId="2507F701" w14:textId="77777777" w:rsidR="00FB6158" w:rsidRPr="00FB6158" w:rsidRDefault="00FB6158" w:rsidP="00FB6158">
      <w:pPr>
        <w:rPr>
          <w:rFonts w:eastAsia="Times New Roman" w:cs="Arial"/>
          <w:lang w:eastAsia="bg-BG"/>
        </w:rPr>
      </w:pPr>
      <w:r w:rsidRPr="00FB6158">
        <w:rPr>
          <w:rFonts w:eastAsia="Times New Roman" w:cs="Arial"/>
          <w:color w:val="000000"/>
          <w:lang w:eastAsia="bg-BG"/>
        </w:rPr>
        <w:t xml:space="preserve">Тенофовир дизопроксил не е оценен клинично при пациенти, получаващи лекарствени продукти, които се секретират по същия бъбречен механизъм, включващ транспортните протеини при хора транспортер на органични аниони </w:t>
      </w:r>
      <w:r w:rsidRPr="00FB6158">
        <w:rPr>
          <w:rFonts w:eastAsia="Times New Roman" w:cs="Arial"/>
          <w:color w:val="000000"/>
          <w:lang w:val="en-US"/>
        </w:rPr>
        <w:t>(</w:t>
      </w:r>
      <w:proofErr w:type="spellStart"/>
      <w:r w:rsidRPr="00FB6158">
        <w:rPr>
          <w:rFonts w:eastAsia="Times New Roman" w:cs="Arial"/>
          <w:color w:val="000000"/>
          <w:lang w:val="en-US"/>
        </w:rPr>
        <w:t>hOAT</w:t>
      </w:r>
      <w:proofErr w:type="spellEnd"/>
      <w:r w:rsidRPr="00FB6158">
        <w:rPr>
          <w:rFonts w:eastAsia="Times New Roman" w:cs="Arial"/>
          <w:color w:val="000000"/>
          <w:lang w:val="en-US"/>
        </w:rPr>
        <w:t xml:space="preserve"> </w:t>
      </w:r>
      <w:r w:rsidRPr="00FB6158">
        <w:rPr>
          <w:rFonts w:eastAsia="Times New Roman" w:cs="Arial"/>
          <w:color w:val="000000"/>
          <w:lang w:eastAsia="bg-BG"/>
        </w:rPr>
        <w:t xml:space="preserve">- </w:t>
      </w:r>
      <w:r w:rsidRPr="00FB6158">
        <w:rPr>
          <w:rFonts w:eastAsia="Times New Roman" w:cs="Arial"/>
          <w:color w:val="000000"/>
          <w:lang w:val="en-US"/>
        </w:rPr>
        <w:t xml:space="preserve">human organic anion transporter) 1 </w:t>
      </w:r>
      <w:r w:rsidRPr="00FB6158">
        <w:rPr>
          <w:rFonts w:eastAsia="Times New Roman" w:cs="Arial"/>
          <w:color w:val="000000"/>
          <w:lang w:eastAsia="bg-BG"/>
        </w:rPr>
        <w:t xml:space="preserve">и 3 или </w:t>
      </w:r>
      <w:r w:rsidRPr="00FB6158">
        <w:rPr>
          <w:rFonts w:eastAsia="Times New Roman" w:cs="Arial"/>
          <w:color w:val="000000"/>
          <w:lang w:val="en-US"/>
        </w:rPr>
        <w:t>MRP</w:t>
      </w:r>
      <w:r w:rsidRPr="00FB6158">
        <w:rPr>
          <w:rFonts w:eastAsia="Times New Roman" w:cs="Arial"/>
          <w:color w:val="000000"/>
          <w:lang w:eastAsia="bg-BG"/>
        </w:rPr>
        <w:t xml:space="preserve"> </w:t>
      </w:r>
      <w:r w:rsidRPr="00FB6158">
        <w:rPr>
          <w:rFonts w:eastAsia="Times New Roman" w:cs="Arial"/>
          <w:color w:val="000000"/>
          <w:lang w:val="en-US"/>
        </w:rPr>
        <w:t xml:space="preserve">4 (multidrug resistant protein 4) </w:t>
      </w:r>
      <w:r w:rsidRPr="00FB6158">
        <w:rPr>
          <w:rFonts w:eastAsia="Times New Roman" w:cs="Arial"/>
          <w:color w:val="000000"/>
          <w:lang w:eastAsia="bg-BG"/>
        </w:rPr>
        <w:t>(напр. цидофовир</w:t>
      </w:r>
      <w:r w:rsidRPr="00FB6158">
        <w:rPr>
          <w:rFonts w:eastAsia="Times New Roman" w:cs="Arial"/>
          <w:color w:val="000000"/>
          <w:lang w:val="en-US"/>
        </w:rPr>
        <w:t>-</w:t>
      </w:r>
      <w:r w:rsidRPr="00FB6158">
        <w:rPr>
          <w:rFonts w:eastAsia="Times New Roman" w:cs="Arial"/>
          <w:color w:val="000000"/>
          <w:lang w:eastAsia="bg-BG"/>
        </w:rPr>
        <w:t>лекарствен продукт с доказана нефротоксичност). Тези бъбречни транспортни протеини може да са отговорни за тубулната</w:t>
      </w:r>
      <w:r w:rsidRPr="00FB6158">
        <w:rPr>
          <w:rFonts w:eastAsia="Times New Roman" w:cs="Arial"/>
          <w:color w:val="000000"/>
          <w:vertAlign w:val="subscript"/>
          <w:lang w:eastAsia="bg-BG"/>
        </w:rPr>
        <w:t xml:space="preserve"> </w:t>
      </w:r>
      <w:r w:rsidRPr="00FB6158">
        <w:rPr>
          <w:rFonts w:eastAsia="Times New Roman" w:cs="Arial"/>
          <w:color w:val="000000"/>
          <w:lang w:eastAsia="bg-BG"/>
        </w:rPr>
        <w:t>секреция и частично - за бъбречното елиминиране на тенофовир и цидофовир.</w:t>
      </w:r>
      <w:r>
        <w:rPr>
          <w:rFonts w:eastAsia="Times New Roman" w:cs="Arial"/>
          <w:color w:val="000000"/>
          <w:lang w:eastAsia="bg-BG"/>
        </w:rPr>
        <w:t xml:space="preserve"> Следователно </w:t>
      </w:r>
      <w:r w:rsidRPr="00FB6158">
        <w:rPr>
          <w:rFonts w:eastAsia="Times New Roman" w:cs="Arial"/>
          <w:color w:val="000000"/>
          <w:lang w:eastAsia="bg-BG"/>
        </w:rPr>
        <w:t xml:space="preserve">фармакокинетиката на тези лекарствени продукти, които се секретират по същия бъбречен механизъм, включващ транспортните протеини </w:t>
      </w:r>
      <w:proofErr w:type="spellStart"/>
      <w:r w:rsidRPr="00FB6158">
        <w:rPr>
          <w:rFonts w:eastAsia="Times New Roman" w:cs="Arial"/>
          <w:color w:val="000000"/>
          <w:lang w:val="en-US"/>
        </w:rPr>
        <w:t>hOAT</w:t>
      </w:r>
      <w:proofErr w:type="spellEnd"/>
      <w:r w:rsidRPr="00FB6158">
        <w:rPr>
          <w:rFonts w:eastAsia="Times New Roman" w:cs="Arial"/>
          <w:color w:val="000000"/>
          <w:lang w:val="en-US"/>
        </w:rPr>
        <w:t xml:space="preserve"> </w:t>
      </w:r>
      <w:r w:rsidRPr="00FB6158">
        <w:rPr>
          <w:rFonts w:eastAsia="Times New Roman" w:cs="Arial"/>
          <w:color w:val="000000"/>
          <w:lang w:eastAsia="bg-BG"/>
        </w:rPr>
        <w:t xml:space="preserve">1 и 3 или </w:t>
      </w:r>
      <w:r w:rsidRPr="00FB6158">
        <w:rPr>
          <w:rFonts w:eastAsia="Times New Roman" w:cs="Arial"/>
          <w:color w:val="000000"/>
          <w:lang w:val="en-US"/>
        </w:rPr>
        <w:t xml:space="preserve">MRP </w:t>
      </w:r>
      <w:r w:rsidRPr="00FB6158">
        <w:rPr>
          <w:rFonts w:eastAsia="Times New Roman" w:cs="Arial"/>
          <w:color w:val="000000"/>
          <w:lang w:eastAsia="bg-BG"/>
        </w:rPr>
        <w:t>4, може да бъде променена, ако бъдат прилагани едновременно. Не се препоръчва едновременното приложение на тези лекарствени продукти, които се секретират по същия бъбречен механизъм, освен ако е категорично необходимо и ако такова приложение е неизбежно, бъбречната функция трябва да се следи седмично (вж. точка 4.5).</w:t>
      </w:r>
    </w:p>
    <w:p w14:paraId="2A7C9A22" w14:textId="77777777" w:rsidR="00FB6158" w:rsidRDefault="00FB6158" w:rsidP="00FB6158">
      <w:pPr>
        <w:spacing w:line="240" w:lineRule="auto"/>
        <w:rPr>
          <w:rFonts w:eastAsia="Times New Roman" w:cs="Arial"/>
          <w:i/>
          <w:iCs/>
          <w:color w:val="000000"/>
          <w:lang w:eastAsia="bg-BG"/>
        </w:rPr>
      </w:pPr>
    </w:p>
    <w:p w14:paraId="3D9BA09A" w14:textId="3C15C6E9"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Бъбречно увреждане</w:t>
      </w:r>
    </w:p>
    <w:p w14:paraId="166D197A"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Безопасността на тенофовир дизопроксил по отношение на бъбреците е проучена в много малка степен при възрастни пациенти с увредена бъбречна функция (креатининов клирънс &lt; 80 </w:t>
      </w:r>
      <w:r w:rsidRPr="00FB6158">
        <w:rPr>
          <w:rFonts w:eastAsia="Times New Roman" w:cs="Arial"/>
          <w:color w:val="000000"/>
          <w:lang w:val="en-US"/>
        </w:rPr>
        <w:t>ml/min).</w:t>
      </w:r>
    </w:p>
    <w:p w14:paraId="58A1CDC4" w14:textId="77777777" w:rsidR="00FB6158" w:rsidRDefault="00FB6158" w:rsidP="00FB6158">
      <w:pPr>
        <w:spacing w:line="240" w:lineRule="auto"/>
        <w:rPr>
          <w:rFonts w:eastAsia="Times New Roman" w:cs="Arial"/>
          <w:i/>
          <w:iCs/>
          <w:color w:val="000000"/>
          <w:lang w:eastAsia="bg-BG"/>
        </w:rPr>
      </w:pPr>
    </w:p>
    <w:p w14:paraId="72771584" w14:textId="0931DAC1"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 xml:space="preserve">Възрастни пациенти с креатининов клирънс &lt; 50 </w:t>
      </w:r>
      <w:r w:rsidRPr="00FB6158">
        <w:rPr>
          <w:rFonts w:eastAsia="Times New Roman" w:cs="Arial"/>
          <w:i/>
          <w:iCs/>
          <w:color w:val="000000"/>
          <w:lang w:val="en-US"/>
        </w:rPr>
        <w:t xml:space="preserve">ml/min, </w:t>
      </w:r>
      <w:r w:rsidRPr="00FB6158">
        <w:rPr>
          <w:rFonts w:eastAsia="Times New Roman" w:cs="Arial"/>
          <w:i/>
          <w:iCs/>
          <w:color w:val="000000"/>
          <w:lang w:eastAsia="bg-BG"/>
        </w:rPr>
        <w:t xml:space="preserve">включително пациенти на хемодиализа: </w:t>
      </w:r>
      <w:r w:rsidRPr="00FB6158">
        <w:rPr>
          <w:rFonts w:eastAsia="Times New Roman" w:cs="Arial"/>
          <w:color w:val="000000"/>
          <w:lang w:eastAsia="bg-BG"/>
        </w:rPr>
        <w:t xml:space="preserve">Има ограничени данни относно безопасността и ефикасността на тенофовир дизопроксил при пациенти с увредена бъбречна функция. Затова тенофовир дизопроксил трябва да се използва, само ако се приема, че потенциалните ползи от лечението надвишават потенциалните рискове. Не се препоръчва употребата на тенофовир дизопроксил при пациенти с тежко бъбречно увреждане (креатининов клирънс &lt;30 </w:t>
      </w:r>
      <w:r w:rsidRPr="00FB6158">
        <w:rPr>
          <w:rFonts w:eastAsia="Times New Roman" w:cs="Arial"/>
          <w:color w:val="000000"/>
          <w:lang w:val="en-US"/>
        </w:rPr>
        <w:t xml:space="preserve">ml/min) </w:t>
      </w:r>
      <w:r w:rsidRPr="00FB6158">
        <w:rPr>
          <w:rFonts w:eastAsia="Times New Roman" w:cs="Arial"/>
          <w:color w:val="000000"/>
          <w:lang w:eastAsia="bg-BG"/>
        </w:rPr>
        <w:t>и при пациенти, при които се налага хемодиализа. При липса на алтернативно лечение интервалът на прилагане трябва да се адаптира и бъбречната функция трябва да се следи внимателно (вж. точки 4.2 и 5.2).</w:t>
      </w:r>
    </w:p>
    <w:p w14:paraId="3F407F02" w14:textId="77777777" w:rsidR="00FB6158" w:rsidRDefault="00FB6158" w:rsidP="00FB6158">
      <w:pPr>
        <w:spacing w:line="240" w:lineRule="auto"/>
        <w:rPr>
          <w:rFonts w:eastAsia="Times New Roman" w:cs="Arial"/>
          <w:i/>
          <w:iCs/>
          <w:color w:val="000000"/>
          <w:lang w:eastAsia="bg-BG"/>
        </w:rPr>
      </w:pPr>
    </w:p>
    <w:p w14:paraId="5D814BA2" w14:textId="525FC61F"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Ефекти върху костите</w:t>
      </w:r>
    </w:p>
    <w:p w14:paraId="443F683C"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При 144-седмично контролирано клинично проучване при инфектирани с </w:t>
      </w:r>
      <w:r w:rsidRPr="00FB6158">
        <w:rPr>
          <w:rFonts w:eastAsia="Times New Roman" w:cs="Arial"/>
          <w:color w:val="000000"/>
          <w:lang w:val="en-US"/>
        </w:rPr>
        <w:t xml:space="preserve">HIV </w:t>
      </w:r>
      <w:r w:rsidRPr="00FB6158">
        <w:rPr>
          <w:rFonts w:eastAsia="Times New Roman" w:cs="Arial"/>
          <w:color w:val="000000"/>
          <w:lang w:eastAsia="bg-BG"/>
        </w:rPr>
        <w:t>пациенти, сравняващо тенофовир дизопроксил със ставудин в комбинация с ламивудин и ефавиренц при възрастни пациенти без предварителна антиретровирусна терапия, е наблюдавано леко понижение на костната минерална плътност (КМП) на бедрената кост и гръбначния стълб и в двете групи. Понижението на КМП на гръбначния стълб и промените в костните биомаркери след 144 седмици в сравнение с изходните е било значително по-голямо в групата с тенофовир дизопроксил. В същата група понижението на КМП на бедрената кост е било значително по- голямо до 96 седмици. Въпреки това след 144 седмици не е имало повишен риск за фрактури или доказателства за клинично значими костни аномалии.</w:t>
      </w:r>
    </w:p>
    <w:p w14:paraId="6C194427" w14:textId="77777777" w:rsidR="00FB6158" w:rsidRDefault="00FB6158" w:rsidP="00FB6158">
      <w:pPr>
        <w:spacing w:line="240" w:lineRule="auto"/>
        <w:rPr>
          <w:rFonts w:eastAsia="Times New Roman" w:cs="Arial"/>
          <w:color w:val="000000"/>
          <w:lang w:eastAsia="bg-BG"/>
        </w:rPr>
      </w:pPr>
    </w:p>
    <w:p w14:paraId="4F8E8C3B" w14:textId="28555136"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В други проучвания (проспективни и кръстосани) най-изразените споменавани намаления на КМП са наблюдавани при пациенти, лекувани с тенофовир дизопроксил като част от схема, съдържаща усилен протеазен инхибитор. Алтернативна схема на лечение трябва да се обмисли при пациенти с остеопороза, които са изложени на висок риск от фрактури.</w:t>
      </w:r>
    </w:p>
    <w:p w14:paraId="2AA68362" w14:textId="20588D92" w:rsidR="00FB6158" w:rsidRPr="00FB6158" w:rsidRDefault="00FB6158" w:rsidP="00FB6158">
      <w:pPr>
        <w:spacing w:line="240" w:lineRule="auto"/>
        <w:rPr>
          <w:rFonts w:eastAsia="Times New Roman" w:cs="Arial"/>
          <w:lang w:eastAsia="bg-BG"/>
        </w:rPr>
      </w:pPr>
    </w:p>
    <w:p w14:paraId="15476496" w14:textId="77777777" w:rsidR="00FB6158" w:rsidRDefault="00FB6158" w:rsidP="00FB6158">
      <w:pPr>
        <w:spacing w:line="240" w:lineRule="auto"/>
        <w:rPr>
          <w:rFonts w:eastAsia="Times New Roman" w:cs="Arial"/>
          <w:color w:val="000000"/>
          <w:lang w:eastAsia="bg-BG"/>
        </w:rPr>
      </w:pPr>
    </w:p>
    <w:p w14:paraId="510B192C" w14:textId="003BE832"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lastRenderedPageBreak/>
        <w:t>Костните аномалии (нечесто предразполагащи към фрактури) могат да са свързани с тубулопатия на проксималните бъбречни каналчета (вж. точка 4.8).</w:t>
      </w:r>
    </w:p>
    <w:p w14:paraId="7AD49B45" w14:textId="77777777" w:rsidR="00FB6158" w:rsidRDefault="00FB6158" w:rsidP="00FB6158">
      <w:pPr>
        <w:spacing w:line="240" w:lineRule="auto"/>
        <w:rPr>
          <w:rFonts w:eastAsia="Times New Roman" w:cs="Arial"/>
          <w:color w:val="000000"/>
          <w:lang w:eastAsia="bg-BG"/>
        </w:rPr>
      </w:pPr>
    </w:p>
    <w:p w14:paraId="31D18D45" w14:textId="6D29E21E"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Ако се подозират или бъдат установени костни аномалии, трябва да се предприемат подходящи консултации.</w:t>
      </w:r>
    </w:p>
    <w:p w14:paraId="39D2F5BB" w14:textId="77777777" w:rsidR="00FB6158" w:rsidRDefault="00FB6158" w:rsidP="00FB6158">
      <w:pPr>
        <w:spacing w:line="240" w:lineRule="auto"/>
        <w:rPr>
          <w:rFonts w:eastAsia="Times New Roman" w:cs="Arial"/>
          <w:color w:val="000000"/>
          <w:u w:val="single"/>
          <w:lang w:eastAsia="bg-BG"/>
        </w:rPr>
      </w:pPr>
    </w:p>
    <w:p w14:paraId="4F255334" w14:textId="6EEA9E97"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Ефекти върху бъбреците и костите в педиатричната популация</w:t>
      </w:r>
    </w:p>
    <w:p w14:paraId="65F5C223"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Има неясноти, свързани с дългосрочните ефекти по отношение на токсичността за костите и бъбреците. Освен това, обратимостта на бъбречната токсичност не може да бъде напълно установена. Затова се препоръчва мултидисциплинарен подход, за да се оцени адекватно съотношението полза/риск от лечението във всеки отделен случай, да се вземе решение за подходящо проследяване по време на лечението (включително решение за прекратяване на лечението) и да се разгледа необходимостта от допълване.</w:t>
      </w:r>
    </w:p>
    <w:p w14:paraId="7628F330" w14:textId="77777777" w:rsidR="00FB6158" w:rsidRDefault="00FB6158" w:rsidP="00FB6158">
      <w:pPr>
        <w:spacing w:line="240" w:lineRule="auto"/>
        <w:rPr>
          <w:rFonts w:eastAsia="Times New Roman" w:cs="Arial"/>
          <w:i/>
          <w:iCs/>
          <w:color w:val="000000"/>
          <w:lang w:eastAsia="bg-BG"/>
        </w:rPr>
      </w:pPr>
    </w:p>
    <w:p w14:paraId="2025A729" w14:textId="4955A85E"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Ефекти върху бъбреците</w:t>
      </w:r>
    </w:p>
    <w:p w14:paraId="5F8A9FB1"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Има съобщения за нежелани реакции, свързани с бъбреците, които съответстват на тубулопатия на проксималните бъбречни каналчета при инфектирани с </w:t>
      </w:r>
      <w:r w:rsidRPr="00FB6158">
        <w:rPr>
          <w:rFonts w:eastAsia="Times New Roman" w:cs="Arial"/>
          <w:color w:val="000000"/>
          <w:lang w:val="en-US"/>
        </w:rPr>
        <w:t xml:space="preserve">HIV-1 </w:t>
      </w:r>
      <w:r w:rsidRPr="00FB6158">
        <w:rPr>
          <w:rFonts w:eastAsia="Times New Roman" w:cs="Arial"/>
          <w:color w:val="000000"/>
          <w:lang w:eastAsia="bg-BG"/>
        </w:rPr>
        <w:t xml:space="preserve">педиатрични пациенти на възраст от 2 до &lt; 12 години в клиничното проучване </w:t>
      </w:r>
      <w:r w:rsidRPr="00FB6158">
        <w:rPr>
          <w:rFonts w:eastAsia="Times New Roman" w:cs="Arial"/>
          <w:color w:val="000000"/>
          <w:lang w:val="en-US"/>
        </w:rPr>
        <w:t>GS-US-</w:t>
      </w:r>
      <w:r w:rsidRPr="00FB6158">
        <w:rPr>
          <w:rFonts w:eastAsia="Times New Roman" w:cs="Arial"/>
          <w:color w:val="000000"/>
          <w:lang w:eastAsia="bg-BG"/>
        </w:rPr>
        <w:t>104-0352 (вж. точки 4.8 и 5.1).</w:t>
      </w:r>
    </w:p>
    <w:p w14:paraId="641D344C" w14:textId="77777777" w:rsidR="00FB6158" w:rsidRPr="00FB6158" w:rsidRDefault="00FB6158" w:rsidP="00FB6158">
      <w:pPr>
        <w:spacing w:line="240" w:lineRule="auto"/>
        <w:rPr>
          <w:rFonts w:eastAsia="Times New Roman" w:cs="Arial"/>
          <w:lang w:eastAsia="bg-BG"/>
        </w:rPr>
      </w:pPr>
    </w:p>
    <w:p w14:paraId="4F6C3022" w14:textId="77777777"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Проследяване на бъбречната функция</w:t>
      </w:r>
    </w:p>
    <w:p w14:paraId="57300915" w14:textId="77777777" w:rsidR="00FB6158" w:rsidRPr="00FB6158" w:rsidRDefault="00FB6158" w:rsidP="00FB6158">
      <w:pPr>
        <w:rPr>
          <w:rFonts w:eastAsia="Times New Roman" w:cs="Arial"/>
          <w:lang w:eastAsia="bg-BG"/>
        </w:rPr>
      </w:pPr>
      <w:r w:rsidRPr="00FB6158">
        <w:rPr>
          <w:rFonts w:eastAsia="Times New Roman" w:cs="Arial"/>
          <w:color w:val="000000"/>
          <w:lang w:eastAsia="bg-BG"/>
        </w:rPr>
        <w:t>Бъбречната функция (креатининов клирънс и серумни фосфати) трябва да се се оцени преди</w:t>
      </w:r>
      <w:r>
        <w:rPr>
          <w:rFonts w:eastAsia="Times New Roman" w:cs="Arial"/>
          <w:color w:val="000000"/>
          <w:lang w:eastAsia="bg-BG"/>
        </w:rPr>
        <w:t xml:space="preserve"> </w:t>
      </w:r>
      <w:r w:rsidRPr="00FB6158">
        <w:rPr>
          <w:rFonts w:eastAsia="Times New Roman" w:cs="Arial"/>
          <w:color w:val="000000"/>
          <w:lang w:eastAsia="bg-BG"/>
        </w:rPr>
        <w:t>лечението и да се проследява по време на лечението както при възрастни (вж. по-горе).</w:t>
      </w:r>
    </w:p>
    <w:p w14:paraId="4FBC9787" w14:textId="77777777" w:rsidR="00FB6158" w:rsidRDefault="00FB6158" w:rsidP="00FB6158">
      <w:pPr>
        <w:spacing w:line="240" w:lineRule="auto"/>
        <w:rPr>
          <w:rFonts w:eastAsia="Times New Roman" w:cs="Arial"/>
          <w:i/>
          <w:iCs/>
          <w:color w:val="000000"/>
          <w:lang w:eastAsia="bg-BG"/>
        </w:rPr>
      </w:pPr>
    </w:p>
    <w:p w14:paraId="68D94EA8" w14:textId="06A70021"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Поведение спрямо бъбречната функция</w:t>
      </w:r>
    </w:p>
    <w:p w14:paraId="73AB6FAD"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Ако при някой педиатричен пациент, получаващ тенофовир дизопроксил, се потвърди, че серумните фосфати са &lt; 3,0 </w:t>
      </w:r>
      <w:r w:rsidRPr="00FB6158">
        <w:rPr>
          <w:rFonts w:eastAsia="Times New Roman" w:cs="Arial"/>
          <w:color w:val="000000"/>
          <w:lang w:val="en-US"/>
        </w:rPr>
        <w:t xml:space="preserve">mg/dl </w:t>
      </w:r>
      <w:r w:rsidRPr="00FB6158">
        <w:rPr>
          <w:rFonts w:eastAsia="Times New Roman" w:cs="Arial"/>
          <w:color w:val="000000"/>
          <w:lang w:eastAsia="bg-BG"/>
        </w:rPr>
        <w:t xml:space="preserve">(0,96 </w:t>
      </w:r>
      <w:r w:rsidRPr="00FB6158">
        <w:rPr>
          <w:rFonts w:eastAsia="Times New Roman" w:cs="Arial"/>
          <w:color w:val="000000"/>
          <w:lang w:val="en-US"/>
        </w:rPr>
        <w:t xml:space="preserve">mmol/1), </w:t>
      </w:r>
      <w:r w:rsidRPr="00FB6158">
        <w:rPr>
          <w:rFonts w:eastAsia="Times New Roman" w:cs="Arial"/>
          <w:color w:val="000000"/>
          <w:lang w:eastAsia="bg-BG"/>
        </w:rPr>
        <w:t>бъбречната функция трябва да се оцени отново в рамките на една седмица, включвайки изследвания на кръвната захар, кръвния калий и концентрацията на глюкозата в урината (вж. точка 4.8, тубулопатия на проксималните бъбречни каналчета). Ако се подозират или бъдат установени бъбречни аномалии, трябва да се направи консултация с нефролог, за да се обмисли прекъсване на лечението с тенофовир дизопроксил.</w:t>
      </w:r>
    </w:p>
    <w:p w14:paraId="5EBB62A4" w14:textId="77777777" w:rsidR="00FB6158" w:rsidRDefault="00FB6158" w:rsidP="00FB6158">
      <w:pPr>
        <w:spacing w:line="240" w:lineRule="auto"/>
        <w:rPr>
          <w:rFonts w:eastAsia="Times New Roman" w:cs="Arial"/>
          <w:color w:val="000000"/>
          <w:lang w:eastAsia="bg-BG"/>
        </w:rPr>
      </w:pPr>
    </w:p>
    <w:p w14:paraId="12E8283A" w14:textId="110DEFF6"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Прекъсване на лечението с тенофовир дизопроксил трябва да се обсъди и в случай на прогресивно влошаване на бъбречната функция, когато не е установена друга причина.</w:t>
      </w:r>
    </w:p>
    <w:p w14:paraId="616DCB37" w14:textId="77777777" w:rsidR="00FB6158" w:rsidRDefault="00FB6158" w:rsidP="00FB6158">
      <w:pPr>
        <w:spacing w:line="240" w:lineRule="auto"/>
        <w:rPr>
          <w:rFonts w:eastAsia="Times New Roman" w:cs="Arial"/>
          <w:i/>
          <w:iCs/>
          <w:color w:val="000000"/>
          <w:lang w:eastAsia="bg-BG"/>
        </w:rPr>
      </w:pPr>
    </w:p>
    <w:p w14:paraId="6F5BED98" w14:textId="55C42935"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 xml:space="preserve">Едновременно приложение и риск от бъбречна токсичност </w:t>
      </w:r>
      <w:r w:rsidRPr="00FB6158">
        <w:rPr>
          <w:rFonts w:eastAsia="Times New Roman" w:cs="Arial"/>
          <w:color w:val="000000"/>
          <w:lang w:eastAsia="bg-BG"/>
        </w:rPr>
        <w:t>Важат същите препоръки, както при възрастни (вж. по-горе).</w:t>
      </w:r>
    </w:p>
    <w:p w14:paraId="196F4424" w14:textId="77777777" w:rsidR="00FB6158" w:rsidRDefault="00FB6158" w:rsidP="00FB6158">
      <w:pPr>
        <w:spacing w:line="240" w:lineRule="auto"/>
        <w:rPr>
          <w:rFonts w:eastAsia="Times New Roman" w:cs="Arial"/>
          <w:i/>
          <w:iCs/>
          <w:color w:val="000000"/>
          <w:lang w:eastAsia="bg-BG"/>
        </w:rPr>
      </w:pPr>
    </w:p>
    <w:p w14:paraId="34B6C6B9" w14:textId="4C19EB93"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Бъбречно увреждане</w:t>
      </w:r>
    </w:p>
    <w:p w14:paraId="62F26D43"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Не се препоръчва употребата на тенофовир дизопроксил при педиатрични пациенти с бъбречно увреждане (вж. точка 4.2). Не трябва да се започва лечение с тенофовир дизопроксил при педиатрични пациенти с бъбречно увреждане и лечението трябва да се прекрати при педиатрични пациенти, при които се развие бъбречно увреждане по време на терапия с тенофовир дизопроксил.</w:t>
      </w:r>
    </w:p>
    <w:p w14:paraId="7B2B45DD" w14:textId="77777777" w:rsidR="00FB6158" w:rsidRDefault="00FB6158" w:rsidP="00FB6158">
      <w:pPr>
        <w:spacing w:line="240" w:lineRule="auto"/>
        <w:rPr>
          <w:rFonts w:eastAsia="Times New Roman" w:cs="Arial"/>
          <w:i/>
          <w:iCs/>
          <w:color w:val="000000"/>
          <w:lang w:eastAsia="bg-BG"/>
        </w:rPr>
      </w:pPr>
    </w:p>
    <w:p w14:paraId="09569D2D" w14:textId="5C95D578"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Ефекти върху костите</w:t>
      </w:r>
    </w:p>
    <w:p w14:paraId="5AD88829"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Тенофовир може да причини намаление на КМП. Ефектът на свързаните с тенофовир дизопроксил промени на КМП върху костното здраве в дългосрочен план и рискът от бъдещи фрактури понастоящем не са известни (вж. точка 5.1).</w:t>
      </w:r>
    </w:p>
    <w:p w14:paraId="766C7280" w14:textId="77777777" w:rsidR="00FB6158" w:rsidRDefault="00FB6158" w:rsidP="00FB6158">
      <w:pPr>
        <w:spacing w:line="240" w:lineRule="auto"/>
        <w:rPr>
          <w:rFonts w:eastAsia="Times New Roman" w:cs="Arial"/>
          <w:color w:val="000000"/>
          <w:lang w:eastAsia="bg-BG"/>
        </w:rPr>
      </w:pPr>
    </w:p>
    <w:p w14:paraId="3FEC6B4E" w14:textId="4624375B"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Ако се подозират или бъдат установени костни аномалии при педиатрични пациенти, трябва да се проведат консултации с ендокринолог и/или нефролог.</w:t>
      </w:r>
    </w:p>
    <w:p w14:paraId="544FB67B" w14:textId="77777777" w:rsidR="00FB6158" w:rsidRDefault="00FB6158" w:rsidP="00FB6158">
      <w:pPr>
        <w:spacing w:line="240" w:lineRule="auto"/>
        <w:rPr>
          <w:rFonts w:eastAsia="Times New Roman" w:cs="Arial"/>
          <w:color w:val="000000"/>
          <w:u w:val="single"/>
          <w:lang w:eastAsia="bg-BG"/>
        </w:rPr>
      </w:pPr>
    </w:p>
    <w:p w14:paraId="6BDD6414" w14:textId="39718D8A"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Чернодробно заболяване</w:t>
      </w:r>
    </w:p>
    <w:p w14:paraId="27553DD1"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Данните относно безопасността и ефикасността при пациенти с чернодробна трансплантация са много ограничени.</w:t>
      </w:r>
    </w:p>
    <w:p w14:paraId="0C3139CB" w14:textId="77777777" w:rsidR="00FB6158" w:rsidRPr="00FB6158" w:rsidRDefault="00FB6158" w:rsidP="00FB6158">
      <w:pPr>
        <w:spacing w:line="240" w:lineRule="auto"/>
        <w:rPr>
          <w:rFonts w:eastAsia="Times New Roman" w:cs="Arial"/>
          <w:lang w:eastAsia="bg-BG"/>
        </w:rPr>
      </w:pPr>
    </w:p>
    <w:p w14:paraId="5782E36E"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Има ограничени данни относно безопасността и ефикасността на тенофовир дизопроксил при инфектирани с </w:t>
      </w:r>
      <w:r w:rsidRPr="00FB6158">
        <w:rPr>
          <w:rFonts w:eastAsia="Times New Roman" w:cs="Arial"/>
          <w:color w:val="000000"/>
          <w:lang w:val="en-US"/>
        </w:rPr>
        <w:t xml:space="preserve">HBV </w:t>
      </w:r>
      <w:r w:rsidRPr="00FB6158">
        <w:rPr>
          <w:rFonts w:eastAsia="Times New Roman" w:cs="Arial"/>
          <w:color w:val="000000"/>
          <w:lang w:eastAsia="bg-BG"/>
        </w:rPr>
        <w:t xml:space="preserve">пациенти с декомпенсирано чернодробно заболяване, които имат скор по </w:t>
      </w:r>
      <w:r w:rsidRPr="00FB6158">
        <w:rPr>
          <w:rFonts w:eastAsia="Times New Roman" w:cs="Arial"/>
          <w:color w:val="000000"/>
          <w:lang w:val="en-US"/>
        </w:rPr>
        <w:t xml:space="preserve">Child-Pugh-Turcotte </w:t>
      </w:r>
      <w:r w:rsidRPr="00FB6158">
        <w:rPr>
          <w:rFonts w:eastAsia="Times New Roman" w:cs="Arial"/>
          <w:color w:val="000000"/>
          <w:lang w:eastAsia="bg-BG"/>
        </w:rPr>
        <w:t>(СРТ) &gt; 9. При тези пациенти рискът за сериозни чернодробни или бъбречни нежелани реакции може да е по-голям. Затова при тази популация пациенти хепатобилиарните и бъбречните параметри трябва да бъдат следени внимателно.</w:t>
      </w:r>
    </w:p>
    <w:p w14:paraId="722FFCAF" w14:textId="77777777" w:rsidR="00FB6158" w:rsidRDefault="00FB6158" w:rsidP="00FB6158">
      <w:pPr>
        <w:spacing w:line="240" w:lineRule="auto"/>
        <w:rPr>
          <w:rFonts w:eastAsia="Times New Roman" w:cs="Arial"/>
          <w:i/>
          <w:iCs/>
          <w:color w:val="000000"/>
          <w:lang w:eastAsia="bg-BG"/>
        </w:rPr>
      </w:pPr>
    </w:p>
    <w:p w14:paraId="535BE620" w14:textId="1118743D"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Екзацербация на хепатита</w:t>
      </w:r>
    </w:p>
    <w:p w14:paraId="07983A70" w14:textId="77777777"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Кризи по време на лечението:</w:t>
      </w:r>
      <w:r w:rsidRPr="00FB6158">
        <w:rPr>
          <w:rFonts w:eastAsia="Times New Roman" w:cs="Arial"/>
          <w:color w:val="000000"/>
          <w:lang w:eastAsia="bg-BG"/>
        </w:rPr>
        <w:t xml:space="preserve"> Спонтанните екзацербации на хроничния хепатит В са относително чести и се характеризират с преходно повишаване на серумните нива на </w:t>
      </w:r>
      <w:r w:rsidRPr="00FB6158">
        <w:rPr>
          <w:rFonts w:eastAsia="Times New Roman" w:cs="Arial"/>
          <w:color w:val="000000"/>
          <w:lang w:val="en-US"/>
        </w:rPr>
        <w:t xml:space="preserve">ALT. </w:t>
      </w:r>
      <w:r w:rsidRPr="00FB6158">
        <w:rPr>
          <w:rFonts w:eastAsia="Times New Roman" w:cs="Arial"/>
          <w:color w:val="000000"/>
          <w:lang w:eastAsia="bg-BG"/>
        </w:rPr>
        <w:t xml:space="preserve">След започване на антивирусната терапия е възможно повишаване на серумните нива на </w:t>
      </w:r>
      <w:r w:rsidRPr="00FB6158">
        <w:rPr>
          <w:rFonts w:eastAsia="Times New Roman" w:cs="Arial"/>
          <w:color w:val="000000"/>
          <w:lang w:val="en-US"/>
        </w:rPr>
        <w:t xml:space="preserve">ALT </w:t>
      </w:r>
      <w:r w:rsidRPr="00FB6158">
        <w:rPr>
          <w:rFonts w:eastAsia="Times New Roman" w:cs="Arial"/>
          <w:color w:val="000000"/>
          <w:lang w:eastAsia="bg-BG"/>
        </w:rPr>
        <w:t xml:space="preserve">при някои пациенти (вж. точка 4.8). При пациенти с компенсирано чернодробно заболяване повишаването на серумните нива на </w:t>
      </w:r>
      <w:r w:rsidRPr="00FB6158">
        <w:rPr>
          <w:rFonts w:eastAsia="Times New Roman" w:cs="Arial"/>
          <w:color w:val="000000"/>
          <w:lang w:val="en-US"/>
        </w:rPr>
        <w:t xml:space="preserve">ALT </w:t>
      </w:r>
      <w:r w:rsidRPr="00FB6158">
        <w:rPr>
          <w:rFonts w:eastAsia="Times New Roman" w:cs="Arial"/>
          <w:color w:val="000000"/>
          <w:lang w:eastAsia="bg-BG"/>
        </w:rPr>
        <w:t>обикновено не се съпровожда с повишаване на серумните концентрации на билирубин или с чернодробна декомпенсация. Възможно е пациентите с цироза да имат повишен риск за развитие на чернодробна декомпенсация след екзацербация на хепатита и затова трябва да бъдат следени внимателно по време на терапията.</w:t>
      </w:r>
    </w:p>
    <w:p w14:paraId="5FBF4152" w14:textId="77777777" w:rsidR="00FB6158" w:rsidRDefault="00FB6158" w:rsidP="00FB6158">
      <w:pPr>
        <w:spacing w:line="240" w:lineRule="auto"/>
        <w:rPr>
          <w:rFonts w:eastAsia="Times New Roman" w:cs="Arial"/>
          <w:i/>
          <w:iCs/>
          <w:color w:val="000000"/>
          <w:lang w:eastAsia="bg-BG"/>
        </w:rPr>
      </w:pPr>
    </w:p>
    <w:p w14:paraId="0E5A8878" w14:textId="77777777" w:rsidR="00FB6158" w:rsidRPr="00FB6158" w:rsidRDefault="00FB6158" w:rsidP="00FB6158">
      <w:pPr>
        <w:rPr>
          <w:rFonts w:eastAsia="Times New Roman" w:cs="Arial"/>
          <w:lang w:eastAsia="bg-BG"/>
        </w:rPr>
      </w:pPr>
      <w:r w:rsidRPr="00FB6158">
        <w:rPr>
          <w:rFonts w:eastAsia="Times New Roman" w:cs="Arial"/>
          <w:i/>
          <w:iCs/>
          <w:color w:val="000000"/>
          <w:lang w:eastAsia="bg-BG"/>
        </w:rPr>
        <w:t>Кризи след прекратяване на лечението:</w:t>
      </w:r>
      <w:r w:rsidRPr="00FB6158">
        <w:rPr>
          <w:rFonts w:eastAsia="Times New Roman" w:cs="Arial"/>
          <w:color w:val="000000"/>
          <w:lang w:eastAsia="bg-BG"/>
        </w:rPr>
        <w:t xml:space="preserve"> Има съобщения и за остри екзацербации на хепатит при пациенти, които са прекратили терапията на хепатит В. Екзацербациите след лечението обикновено са свързани с повишаване на нивата на </w:t>
      </w:r>
      <w:r w:rsidRPr="00FB6158">
        <w:rPr>
          <w:rFonts w:eastAsia="Times New Roman" w:cs="Arial"/>
          <w:color w:val="000000"/>
          <w:lang w:val="en-US"/>
        </w:rPr>
        <w:t xml:space="preserve">HBV </w:t>
      </w:r>
      <w:r w:rsidRPr="00FB6158">
        <w:rPr>
          <w:rFonts w:eastAsia="Times New Roman" w:cs="Arial"/>
          <w:color w:val="000000"/>
          <w:lang w:eastAsia="bg-BG"/>
        </w:rPr>
        <w:t>ДНК и изглежда, че в повечето случаи се самоограничават. Има, обаче, съобщения за тежки екзацербации, включително смъртни случаи. Чернодробната функция трябва да се следи през определени интервали от време както с</w:t>
      </w:r>
      <w:r>
        <w:rPr>
          <w:rFonts w:eastAsia="Times New Roman" w:cs="Arial"/>
          <w:lang w:eastAsia="bg-BG"/>
        </w:rPr>
        <w:t xml:space="preserve"> </w:t>
      </w:r>
      <w:r w:rsidRPr="00FB6158">
        <w:rPr>
          <w:rFonts w:eastAsia="Times New Roman" w:cs="Arial"/>
          <w:color w:val="000000"/>
          <w:lang w:eastAsia="bg-BG"/>
        </w:rPr>
        <w:t>клинични, така и с лабораторни показатели за поне 6 месеца след прекратяване на терапията на</w:t>
      </w:r>
      <w:r>
        <w:rPr>
          <w:rFonts w:eastAsia="Times New Roman" w:cs="Arial"/>
          <w:color w:val="000000"/>
          <w:lang w:eastAsia="bg-BG"/>
        </w:rPr>
        <w:t xml:space="preserve"> </w:t>
      </w:r>
      <w:r w:rsidRPr="00FB6158">
        <w:rPr>
          <w:rFonts w:eastAsia="Times New Roman" w:cs="Arial"/>
          <w:color w:val="000000"/>
          <w:lang w:eastAsia="bg-BG"/>
        </w:rPr>
        <w:t>хепатит В. Ако е подходящо, терапията на хепатит В може да се поднови. При пациенти с напреднало чернодробно заболяване или цироза прекратяването на лечението не се препоръчва, тъй като екзацербациите на хепатита след прекратяване на лечението може да доведат до чернодробна декомпенсация.</w:t>
      </w:r>
    </w:p>
    <w:p w14:paraId="3CD0CDA8" w14:textId="77777777" w:rsidR="00FB6158" w:rsidRDefault="00FB6158" w:rsidP="00FB6158">
      <w:pPr>
        <w:spacing w:line="240" w:lineRule="auto"/>
        <w:rPr>
          <w:rFonts w:eastAsia="Times New Roman" w:cs="Arial"/>
          <w:color w:val="000000"/>
          <w:lang w:eastAsia="bg-BG"/>
        </w:rPr>
      </w:pPr>
    </w:p>
    <w:p w14:paraId="42322887" w14:textId="569F6ACB"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Чернодробните екзацербации са особено сериозни и понякога фатални при пациенти с декомпенсирано чернодробно заболяване.</w:t>
      </w:r>
    </w:p>
    <w:p w14:paraId="744C80CA" w14:textId="77777777" w:rsidR="00FB6158" w:rsidRDefault="00FB6158" w:rsidP="00FB6158">
      <w:pPr>
        <w:spacing w:line="240" w:lineRule="auto"/>
        <w:rPr>
          <w:rFonts w:eastAsia="Times New Roman" w:cs="Arial"/>
          <w:i/>
          <w:iCs/>
          <w:color w:val="000000"/>
          <w:lang w:eastAsia="bg-BG"/>
        </w:rPr>
      </w:pPr>
    </w:p>
    <w:p w14:paraId="1949A115" w14:textId="316E6CB1"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 xml:space="preserve">Коинфекция с хепатит С или </w:t>
      </w:r>
      <w:r w:rsidRPr="00FB6158">
        <w:rPr>
          <w:rFonts w:eastAsia="Times New Roman" w:cs="Arial"/>
          <w:i/>
          <w:iCs/>
          <w:color w:val="000000"/>
          <w:lang w:val="en-US"/>
        </w:rPr>
        <w:t>D:</w:t>
      </w:r>
      <w:r w:rsidRPr="00FB6158">
        <w:rPr>
          <w:rFonts w:eastAsia="Times New Roman" w:cs="Arial"/>
          <w:color w:val="000000"/>
          <w:lang w:val="en-US"/>
        </w:rPr>
        <w:t xml:space="preserve"> </w:t>
      </w:r>
      <w:r w:rsidRPr="00FB6158">
        <w:rPr>
          <w:rFonts w:eastAsia="Times New Roman" w:cs="Arial"/>
          <w:color w:val="000000"/>
          <w:lang w:eastAsia="bg-BG"/>
        </w:rPr>
        <w:t xml:space="preserve">Няма данни за ефикасността на тенофовир при пациенти, коинфектирани с вирусите на хепатит С или </w:t>
      </w:r>
      <w:r w:rsidRPr="00FB6158">
        <w:rPr>
          <w:rFonts w:eastAsia="Times New Roman" w:cs="Arial"/>
          <w:color w:val="000000"/>
          <w:lang w:val="en-US"/>
        </w:rPr>
        <w:t>D.</w:t>
      </w:r>
    </w:p>
    <w:p w14:paraId="2DB8BF20" w14:textId="77777777" w:rsidR="00FB6158" w:rsidRDefault="00FB6158" w:rsidP="00FB6158">
      <w:pPr>
        <w:spacing w:line="240" w:lineRule="auto"/>
        <w:rPr>
          <w:rFonts w:eastAsia="Times New Roman" w:cs="Arial"/>
          <w:i/>
          <w:iCs/>
          <w:color w:val="000000"/>
          <w:lang w:eastAsia="bg-BG"/>
        </w:rPr>
      </w:pPr>
    </w:p>
    <w:p w14:paraId="1F78BE33" w14:textId="191C7304"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 xml:space="preserve">Коинфекция с </w:t>
      </w:r>
      <w:r w:rsidRPr="00FB6158">
        <w:rPr>
          <w:rFonts w:eastAsia="Times New Roman" w:cs="Arial"/>
          <w:i/>
          <w:iCs/>
          <w:color w:val="000000"/>
          <w:lang w:val="en-US"/>
        </w:rPr>
        <w:t xml:space="preserve">HIV-1 </w:t>
      </w:r>
      <w:r w:rsidRPr="00FB6158">
        <w:rPr>
          <w:rFonts w:eastAsia="Times New Roman" w:cs="Arial"/>
          <w:i/>
          <w:iCs/>
          <w:color w:val="000000"/>
          <w:lang w:eastAsia="bg-BG"/>
        </w:rPr>
        <w:t>и хепатит В:</w:t>
      </w:r>
      <w:r w:rsidRPr="00FB6158">
        <w:rPr>
          <w:rFonts w:eastAsia="Times New Roman" w:cs="Arial"/>
          <w:color w:val="000000"/>
          <w:lang w:eastAsia="bg-BG"/>
        </w:rPr>
        <w:t xml:space="preserve"> Поради риска от развитие на резистентност на </w:t>
      </w:r>
      <w:r w:rsidRPr="00FB6158">
        <w:rPr>
          <w:rFonts w:eastAsia="Times New Roman" w:cs="Arial"/>
          <w:color w:val="000000"/>
          <w:lang w:val="en-US"/>
        </w:rPr>
        <w:t xml:space="preserve">HIV </w:t>
      </w:r>
      <w:r w:rsidRPr="00FB6158">
        <w:rPr>
          <w:rFonts w:eastAsia="Times New Roman" w:cs="Arial"/>
          <w:color w:val="000000"/>
          <w:lang w:eastAsia="bg-BG"/>
        </w:rPr>
        <w:t xml:space="preserve">тенофовир дизопроксил трябва да се използва само като част от подходяща комбинирана антиретровирусна лечебна схема при пациенти, коинфектирани с </w:t>
      </w:r>
      <w:r w:rsidRPr="00FB6158">
        <w:rPr>
          <w:rFonts w:eastAsia="Times New Roman" w:cs="Arial"/>
          <w:color w:val="000000"/>
          <w:lang w:val="en-US"/>
        </w:rPr>
        <w:t xml:space="preserve">HIV/HBV. </w:t>
      </w:r>
      <w:r w:rsidRPr="00FB6158">
        <w:rPr>
          <w:rFonts w:eastAsia="Times New Roman" w:cs="Arial"/>
          <w:color w:val="000000"/>
          <w:lang w:eastAsia="bg-BG"/>
        </w:rPr>
        <w:t xml:space="preserve">Пациенти с предварително съществуваща чернодробна дисфункция, вкл. активен хроничен хепатит, имат повишена честота на нарушения на чернодробната функция по време на прилагане на комбинирана антиретровирусна терапия (КАРТ) и състоянието им трябва да се следи в </w:t>
      </w:r>
      <w:r w:rsidRPr="00FB6158">
        <w:rPr>
          <w:rFonts w:eastAsia="Times New Roman" w:cs="Arial"/>
          <w:color w:val="000000"/>
          <w:lang w:eastAsia="bg-BG"/>
        </w:rPr>
        <w:lastRenderedPageBreak/>
        <w:t xml:space="preserve">съответствие със стандартната практика. Ако при такива пациенти се наблюдава влошаване на чернодробното заболяване, трябва да се обмисли прекъсване или прекратяване на лечението. Трябва, обаче, да се отбележи, че повишаването на нивата на </w:t>
      </w:r>
      <w:r w:rsidRPr="00FB6158">
        <w:rPr>
          <w:rFonts w:eastAsia="Times New Roman" w:cs="Arial"/>
          <w:color w:val="000000"/>
          <w:lang w:val="en-US"/>
        </w:rPr>
        <w:t xml:space="preserve">ALT </w:t>
      </w:r>
      <w:r w:rsidRPr="00FB6158">
        <w:rPr>
          <w:rFonts w:eastAsia="Times New Roman" w:cs="Arial"/>
          <w:color w:val="000000"/>
          <w:lang w:eastAsia="bg-BG"/>
        </w:rPr>
        <w:t xml:space="preserve">може да е част от клирънса на </w:t>
      </w:r>
      <w:r w:rsidRPr="00FB6158">
        <w:rPr>
          <w:rFonts w:eastAsia="Times New Roman" w:cs="Arial"/>
          <w:color w:val="000000"/>
          <w:lang w:val="en-US"/>
        </w:rPr>
        <w:t xml:space="preserve">HBV </w:t>
      </w:r>
      <w:r w:rsidRPr="00FB6158">
        <w:rPr>
          <w:rFonts w:eastAsia="Times New Roman" w:cs="Arial"/>
          <w:color w:val="000000"/>
          <w:lang w:eastAsia="bg-BG"/>
        </w:rPr>
        <w:t xml:space="preserve">по време на терапията с тенофовир, вижте по-горе </w:t>
      </w:r>
      <w:r w:rsidRPr="00FB6158">
        <w:rPr>
          <w:rFonts w:eastAsia="Times New Roman" w:cs="Arial"/>
          <w:i/>
          <w:iCs/>
          <w:color w:val="000000"/>
          <w:lang w:eastAsia="bg-BG"/>
        </w:rPr>
        <w:t>Екзацербация на хепатита.</w:t>
      </w:r>
    </w:p>
    <w:p w14:paraId="57259C4B" w14:textId="77777777" w:rsidR="00FB6158" w:rsidRDefault="00FB6158" w:rsidP="00FB6158">
      <w:pPr>
        <w:spacing w:line="240" w:lineRule="auto"/>
        <w:rPr>
          <w:rFonts w:eastAsia="Times New Roman" w:cs="Arial"/>
          <w:color w:val="000000"/>
          <w:u w:val="single"/>
          <w:lang w:eastAsia="bg-BG"/>
        </w:rPr>
      </w:pPr>
    </w:p>
    <w:p w14:paraId="7625675E" w14:textId="2388EE2B"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Употреба с определени антивирусни средства срещу хепатит С</w:t>
      </w:r>
    </w:p>
    <w:p w14:paraId="13FB6DDF"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Демонстрирано е, че едновременното приложение на тенофовир дизопроксил с ледипасвир/софосбувир, софосбувир/велпатасвир или софосбувир/велпатасвир/воксилапревир повишава плазмената концентрация на тенофовир, особено когато се използва заедно със схема за лечение на </w:t>
      </w:r>
      <w:r w:rsidRPr="00FB6158">
        <w:rPr>
          <w:rFonts w:eastAsia="Times New Roman" w:cs="Arial"/>
          <w:color w:val="000000"/>
          <w:lang w:val="en-US"/>
        </w:rPr>
        <w:t xml:space="preserve">HIV, </w:t>
      </w:r>
      <w:r w:rsidRPr="00FB6158">
        <w:rPr>
          <w:rFonts w:eastAsia="Times New Roman" w:cs="Arial"/>
          <w:color w:val="000000"/>
          <w:lang w:eastAsia="bg-BG"/>
        </w:rPr>
        <w:t xml:space="preserve">която съдържа тенофовир дизопроксил и фармакокинетичен енхансер (ритонавир или кобицистат). Безопасността на тенофовир дизопроксил при едновременно приложение с ледипасвир/софосбувир, софосбувир/велпатасвир или софосбувир/велпатасвир/воксилапревири фармакокинетичен енхансер не е установена. Потенциалните ползи и рискове, свързани с едновременното приложение на ледипасвир/софосбувир, софосбувир/велпатасвир или софосбувир/велпатасвир/воксилапревир с тенофовир дизопроксил, прилагани едновременно с усилен </w:t>
      </w:r>
      <w:r w:rsidRPr="00FB6158">
        <w:rPr>
          <w:rFonts w:eastAsia="Times New Roman" w:cs="Arial"/>
          <w:color w:val="000000"/>
          <w:lang w:val="en-US"/>
        </w:rPr>
        <w:t xml:space="preserve">HIV </w:t>
      </w:r>
      <w:r w:rsidRPr="00FB6158">
        <w:rPr>
          <w:rFonts w:eastAsia="Times New Roman" w:cs="Arial"/>
          <w:color w:val="000000"/>
          <w:lang w:eastAsia="bg-BG"/>
        </w:rPr>
        <w:t xml:space="preserve">протеазен инхибитор (например атазанавир или дарунавир), трябва да бъдат преценени, особено при пациенти с повишен риск от бъбречна дисфункция. Пациентите, които приемат тенофовир дизопроксил заедно с ледипасвир/софосбувир, софосбувир/велпатасвир или софосбувир/велпатасвир/воксилапревир и усилен </w:t>
      </w:r>
      <w:r w:rsidRPr="00FB6158">
        <w:rPr>
          <w:rFonts w:eastAsia="Times New Roman" w:cs="Arial"/>
          <w:color w:val="000000"/>
          <w:lang w:val="en-US"/>
        </w:rPr>
        <w:t xml:space="preserve">HIV </w:t>
      </w:r>
      <w:r w:rsidRPr="00FB6158">
        <w:rPr>
          <w:rFonts w:eastAsia="Times New Roman" w:cs="Arial"/>
          <w:color w:val="000000"/>
          <w:lang w:eastAsia="bg-BG"/>
        </w:rPr>
        <w:t>протеазен инхибитор трябва да бъдат наблюдавани за нежелани лекарствени реакции, свързани с тенофовир дизопроксил.</w:t>
      </w:r>
    </w:p>
    <w:p w14:paraId="6DCC8028" w14:textId="77777777" w:rsidR="00FB6158" w:rsidRDefault="00FB6158" w:rsidP="00FB6158">
      <w:pPr>
        <w:spacing w:line="240" w:lineRule="auto"/>
        <w:rPr>
          <w:rFonts w:eastAsia="Times New Roman" w:cs="Arial"/>
          <w:color w:val="000000"/>
          <w:u w:val="single"/>
          <w:lang w:eastAsia="bg-BG"/>
        </w:rPr>
      </w:pPr>
    </w:p>
    <w:p w14:paraId="2FB2CD11" w14:textId="737515A6"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Тегло и метаболитни параметри</w:t>
      </w:r>
    </w:p>
    <w:p w14:paraId="7971E2D5"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По време на антиретровирусна терапия може да настъпи увеличаване на теглото и на нивата на липидите и глюкозата в кръвта. Такива промени до известна степен могат да бъдат свързани с контрола на заболяването и начина на живот. Относно липидите в някои случаи има доказателства за ефект на лечението, докато относно увеличаването на теглото няма твърди доказателства, които да свързват това с някакво конкретно лечение. За проследяване на липидите и глюкозата в кръвта се прави справка с установените насоки за лечение на </w:t>
      </w:r>
      <w:r w:rsidRPr="00FB6158">
        <w:rPr>
          <w:rFonts w:eastAsia="Times New Roman" w:cs="Arial"/>
          <w:color w:val="000000"/>
          <w:lang w:val="en-US"/>
        </w:rPr>
        <w:t xml:space="preserve">HIV. </w:t>
      </w:r>
      <w:r w:rsidRPr="00FB6158">
        <w:rPr>
          <w:rFonts w:eastAsia="Times New Roman" w:cs="Arial"/>
          <w:color w:val="000000"/>
          <w:lang w:eastAsia="bg-BG"/>
        </w:rPr>
        <w:t>Липидните нарушения трябва да се лекуват по клинично подходящ начин.</w:t>
      </w:r>
    </w:p>
    <w:p w14:paraId="7010A3DB" w14:textId="77777777" w:rsidR="00FB6158" w:rsidRDefault="00FB6158" w:rsidP="00FB6158">
      <w:pPr>
        <w:spacing w:line="240" w:lineRule="auto"/>
        <w:rPr>
          <w:rFonts w:eastAsia="Times New Roman" w:cs="Arial"/>
          <w:color w:val="000000"/>
          <w:u w:val="single"/>
          <w:lang w:eastAsia="bg-BG"/>
        </w:rPr>
      </w:pPr>
    </w:p>
    <w:p w14:paraId="21180788" w14:textId="595D6C4D"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 xml:space="preserve">Митохондриална дисфункция след експозиция </w:t>
      </w:r>
      <w:r w:rsidRPr="00FB6158">
        <w:rPr>
          <w:rFonts w:eastAsia="Times New Roman" w:cs="Arial"/>
          <w:i/>
          <w:iCs/>
          <w:color w:val="000000"/>
          <w:u w:val="single"/>
          <w:lang w:val="en-US"/>
        </w:rPr>
        <w:t>in utero</w:t>
      </w:r>
    </w:p>
    <w:p w14:paraId="5933565E" w14:textId="31E5B384"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Нуклеозидните и нуклеотидните аналози могат да повлияят митохондриалната функция в различна степен, което е по-изразено при ставудин, диданозин и зидрвудин. Има съобщения за митохондриална дисфункция при </w:t>
      </w:r>
      <w:r w:rsidRPr="00FB6158">
        <w:rPr>
          <w:rFonts w:eastAsia="Times New Roman" w:cs="Arial"/>
          <w:color w:val="000000"/>
          <w:lang w:val="en-US"/>
        </w:rPr>
        <w:t xml:space="preserve">HIV </w:t>
      </w:r>
      <w:r w:rsidRPr="00FB6158">
        <w:rPr>
          <w:rFonts w:eastAsia="Times New Roman" w:cs="Arial"/>
          <w:color w:val="000000"/>
          <w:lang w:eastAsia="bg-BG"/>
        </w:rPr>
        <w:t xml:space="preserve">отрицателни кърмачета, които </w:t>
      </w:r>
      <w:r w:rsidRPr="00FB6158">
        <w:rPr>
          <w:rFonts w:eastAsia="Times New Roman" w:cs="Arial"/>
          <w:i/>
          <w:iCs/>
          <w:color w:val="000000"/>
          <w:lang w:val="en-US"/>
        </w:rPr>
        <w:t>in utero</w:t>
      </w:r>
      <w:r w:rsidRPr="00FB6158">
        <w:rPr>
          <w:rFonts w:eastAsia="Times New Roman" w:cs="Arial"/>
          <w:color w:val="000000"/>
          <w:lang w:val="en-US"/>
        </w:rPr>
        <w:t xml:space="preserve"> </w:t>
      </w:r>
      <w:r w:rsidRPr="00FB6158">
        <w:rPr>
          <w:rFonts w:eastAsia="Times New Roman" w:cs="Arial"/>
          <w:color w:val="000000"/>
          <w:lang w:eastAsia="bg-BG"/>
        </w:rPr>
        <w:t>и/или след раждането са били изложени на нуклеозидни аналози; в повечето случаи те са се отнасяли за лечение със схеми, съдържащи зидовудин. Основните нежелани реакции, за които се съобщава, са хематологични нарушения (анемия, неугропения) и метаболитни нарушения (хиперлактатемия, хиперлипаземия). Тези събития често са били преходни. Има редки съобщения за неврологични нарушения с късна проява (хипертония, конвулсии, промени в поведението).</w:t>
      </w:r>
    </w:p>
    <w:p w14:paraId="7DBEC275" w14:textId="496AF940" w:rsidR="00FB6158" w:rsidRDefault="00FB6158" w:rsidP="00FB6158"/>
    <w:p w14:paraId="1D98B200"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Понастоящем не е известно дали подобни неврологични нарушения са преходни или постоянни. Тези открития трябва да се имат предвид при всяко дете, което </w:t>
      </w:r>
      <w:r w:rsidRPr="00FB6158">
        <w:rPr>
          <w:rFonts w:eastAsia="Times New Roman" w:cs="Arial"/>
          <w:i/>
          <w:iCs/>
          <w:color w:val="000000"/>
          <w:lang w:val="en-US"/>
        </w:rPr>
        <w:t>in utero</w:t>
      </w:r>
      <w:r w:rsidRPr="00FB6158">
        <w:rPr>
          <w:rFonts w:eastAsia="Times New Roman" w:cs="Arial"/>
          <w:color w:val="000000"/>
          <w:lang w:val="en-US"/>
        </w:rPr>
        <w:t xml:space="preserve"> </w:t>
      </w:r>
      <w:r w:rsidRPr="00FB6158">
        <w:rPr>
          <w:rFonts w:eastAsia="Times New Roman" w:cs="Arial"/>
          <w:color w:val="000000"/>
          <w:lang w:eastAsia="bg-BG"/>
        </w:rPr>
        <w:t xml:space="preserve">е било изложено на нуклеозидни и нуклеотидни аналози и при което са налице тежки клинични находки с неизвестна етиология, особено неврологични находки. Тези открития не </w:t>
      </w:r>
      <w:r w:rsidRPr="00FB6158">
        <w:rPr>
          <w:rFonts w:eastAsia="Times New Roman" w:cs="Arial"/>
          <w:color w:val="000000"/>
          <w:lang w:eastAsia="bg-BG"/>
        </w:rPr>
        <w:lastRenderedPageBreak/>
        <w:t xml:space="preserve">променят актуалните за момента национални препоръки за прилагане на антиретровирусна терапия при бременни жени с цел предпазване от вертикално предаване на </w:t>
      </w:r>
      <w:r w:rsidRPr="00FB6158">
        <w:rPr>
          <w:rFonts w:eastAsia="Times New Roman" w:cs="Arial"/>
          <w:color w:val="000000"/>
          <w:lang w:val="en-US"/>
        </w:rPr>
        <w:t>HIV.</w:t>
      </w:r>
    </w:p>
    <w:p w14:paraId="27943351" w14:textId="77777777" w:rsidR="00FB6158" w:rsidRDefault="00FB6158" w:rsidP="00FB6158">
      <w:pPr>
        <w:spacing w:line="240" w:lineRule="auto"/>
        <w:rPr>
          <w:rFonts w:eastAsia="Times New Roman" w:cs="Arial"/>
          <w:color w:val="000000"/>
          <w:u w:val="single"/>
          <w:lang w:eastAsia="bg-BG"/>
        </w:rPr>
      </w:pPr>
    </w:p>
    <w:p w14:paraId="05F17B90" w14:textId="4E3D7A93"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Синдром на имунна реактивация</w:t>
      </w:r>
    </w:p>
    <w:p w14:paraId="1C1DFF12"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При инфектирани с </w:t>
      </w:r>
      <w:r w:rsidRPr="00FB6158">
        <w:rPr>
          <w:rFonts w:eastAsia="Times New Roman" w:cs="Arial"/>
          <w:color w:val="000000"/>
          <w:lang w:val="en-US"/>
        </w:rPr>
        <w:t xml:space="preserve">HIV </w:t>
      </w:r>
      <w:r w:rsidRPr="00FB6158">
        <w:rPr>
          <w:rFonts w:eastAsia="Times New Roman" w:cs="Arial"/>
          <w:color w:val="000000"/>
          <w:lang w:eastAsia="bg-BG"/>
        </w:rPr>
        <w:t xml:space="preserve">пациенти с тежка имунна недостатъчност при започване на КАРТ може да се развие възпалителна реакция от асимптоматични или резидуални опортюнистични патогени и да причини тежки клинични състояния или влошаване на симптомите. Обикновено подобни реакции се наблюдават през първите седмици или месеци от започване на КАРТ. Подходящи примери включват цитомегаловирусен ретинит, генерализирани и/или фокални микобактериални инфекции, пневмония, причинена от </w:t>
      </w:r>
      <w:r w:rsidRPr="00FB6158">
        <w:rPr>
          <w:rFonts w:eastAsia="Times New Roman" w:cs="Arial"/>
          <w:i/>
          <w:iCs/>
          <w:color w:val="000000"/>
          <w:lang w:val="en-US"/>
        </w:rPr>
        <w:t xml:space="preserve">Pneumocystis </w:t>
      </w:r>
      <w:proofErr w:type="spellStart"/>
      <w:r w:rsidRPr="00FB6158">
        <w:rPr>
          <w:rFonts w:eastAsia="Times New Roman" w:cs="Arial"/>
          <w:i/>
          <w:iCs/>
          <w:color w:val="000000"/>
          <w:lang w:val="en-US"/>
        </w:rPr>
        <w:t>jirovecii</w:t>
      </w:r>
      <w:proofErr w:type="spellEnd"/>
      <w:r w:rsidRPr="00FB6158">
        <w:rPr>
          <w:rFonts w:eastAsia="Times New Roman" w:cs="Arial"/>
          <w:i/>
          <w:iCs/>
          <w:color w:val="000000"/>
          <w:lang w:val="en-US"/>
        </w:rPr>
        <w:t>.</w:t>
      </w:r>
      <w:r w:rsidRPr="00FB6158">
        <w:rPr>
          <w:rFonts w:eastAsia="Times New Roman" w:cs="Arial"/>
          <w:color w:val="000000"/>
          <w:lang w:val="en-US"/>
        </w:rPr>
        <w:t xml:space="preserve"> </w:t>
      </w:r>
      <w:r w:rsidRPr="00FB6158">
        <w:rPr>
          <w:rFonts w:eastAsia="Times New Roman" w:cs="Arial"/>
          <w:color w:val="000000"/>
          <w:lang w:eastAsia="bg-BG"/>
        </w:rPr>
        <w:t>Всички възпалителни симптоми трябва да се оценят и да се приложи лечение, ако е необходимо.</w:t>
      </w:r>
    </w:p>
    <w:p w14:paraId="328DF872" w14:textId="77777777" w:rsidR="00FB6158" w:rsidRDefault="00FB6158" w:rsidP="00FB6158">
      <w:pPr>
        <w:spacing w:line="240" w:lineRule="auto"/>
        <w:rPr>
          <w:rFonts w:eastAsia="Times New Roman" w:cs="Arial"/>
          <w:color w:val="000000"/>
          <w:lang w:eastAsia="bg-BG"/>
        </w:rPr>
      </w:pPr>
    </w:p>
    <w:p w14:paraId="45CF16C4" w14:textId="7B818310"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В условията на имунно реакгивиране се съобщава също за развитие на автоимунни нарушения (като болест на </w:t>
      </w:r>
      <w:r w:rsidRPr="00FB6158">
        <w:rPr>
          <w:rFonts w:eastAsia="Times New Roman" w:cs="Arial"/>
          <w:color w:val="000000"/>
          <w:lang w:val="en-US"/>
        </w:rPr>
        <w:t xml:space="preserve">Graves </w:t>
      </w:r>
      <w:r w:rsidRPr="00FB6158">
        <w:rPr>
          <w:rFonts w:eastAsia="Times New Roman" w:cs="Arial"/>
          <w:color w:val="000000"/>
          <w:lang w:eastAsia="bg-BG"/>
        </w:rPr>
        <w:t>и автоимунен хепатит); обаче, времето до настъпването им, което се съобщава, е по-променливо и тези събития може да се случат много месеци след започване на лечението.</w:t>
      </w:r>
    </w:p>
    <w:p w14:paraId="34A92865" w14:textId="77777777" w:rsidR="00FB6158" w:rsidRPr="00FB6158" w:rsidRDefault="00FB6158" w:rsidP="00FB6158">
      <w:pPr>
        <w:spacing w:line="240" w:lineRule="auto"/>
        <w:rPr>
          <w:rFonts w:eastAsia="Times New Roman" w:cs="Arial"/>
          <w:lang w:eastAsia="bg-BG"/>
        </w:rPr>
      </w:pPr>
    </w:p>
    <w:p w14:paraId="587F7BEA"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Остеонекроза</w:t>
      </w:r>
    </w:p>
    <w:p w14:paraId="2DC195F4"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Въпреки че етиологията се приема за многофакторна (включваща приложение на кортикостероиди, консумация на алкохол, тежка имуносупресия, по-висок индекс на телесна маса), са съобщавани случаи на остеонекроза, особено при пациенти с напреднало </w:t>
      </w:r>
      <w:r w:rsidRPr="00FB6158">
        <w:rPr>
          <w:rFonts w:eastAsia="Times New Roman" w:cs="Arial"/>
          <w:color w:val="000000"/>
          <w:lang w:val="en-US"/>
        </w:rPr>
        <w:t xml:space="preserve">HIV </w:t>
      </w:r>
      <w:r w:rsidRPr="00FB6158">
        <w:rPr>
          <w:rFonts w:eastAsia="Times New Roman" w:cs="Arial"/>
          <w:color w:val="000000"/>
          <w:lang w:eastAsia="bg-BG"/>
        </w:rPr>
        <w:t>заболяване и/или с продължителна експозиция на КАРТ. Пациентите трябва да бъдат посъветвани да потърсят консултация с лекар, ако получат болки в ставите, скованост на ставите или затруднение в движенията.</w:t>
      </w:r>
    </w:p>
    <w:p w14:paraId="6E56AD6C" w14:textId="77777777" w:rsidR="00FB6158" w:rsidRDefault="00FB6158" w:rsidP="00FB6158">
      <w:pPr>
        <w:spacing w:line="240" w:lineRule="auto"/>
        <w:rPr>
          <w:rFonts w:eastAsia="Times New Roman" w:cs="Arial"/>
          <w:color w:val="000000"/>
          <w:u w:val="single"/>
          <w:lang w:eastAsia="bg-BG"/>
        </w:rPr>
      </w:pPr>
    </w:p>
    <w:p w14:paraId="76A2723A" w14:textId="0B80FC2B"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Старческа възраст</w:t>
      </w:r>
    </w:p>
    <w:p w14:paraId="51050AF0"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Тенофовир дизопроксил не е проучван при пациенти над 65-годишна възраст. Пациентите в старческа възраст е по-вероятно да имат намалена бъбречна функция, затова е необходимо повишено внимание при лечението на пациенти в старческа възраст с тенофовир дизопроксил.</w:t>
      </w:r>
    </w:p>
    <w:p w14:paraId="7BD1C9EF" w14:textId="77777777" w:rsidR="00FB6158" w:rsidRDefault="00FB6158" w:rsidP="00FB6158">
      <w:pPr>
        <w:spacing w:line="240" w:lineRule="auto"/>
        <w:rPr>
          <w:rFonts w:eastAsia="Times New Roman" w:cs="Arial"/>
          <w:color w:val="000000"/>
          <w:lang w:eastAsia="bg-BG"/>
        </w:rPr>
      </w:pPr>
    </w:p>
    <w:p w14:paraId="49817A5F" w14:textId="0E480418"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Филмираните таблетки Вирофоб 245 </w:t>
      </w:r>
      <w:r w:rsidRPr="00FB6158">
        <w:rPr>
          <w:rFonts w:eastAsia="Times New Roman" w:cs="Arial"/>
          <w:color w:val="000000"/>
          <w:lang w:val="en-US"/>
        </w:rPr>
        <w:t xml:space="preserve">mg </w:t>
      </w:r>
      <w:r w:rsidRPr="00FB6158">
        <w:rPr>
          <w:rFonts w:eastAsia="Times New Roman" w:cs="Arial"/>
          <w:color w:val="000000"/>
          <w:lang w:eastAsia="bg-BG"/>
        </w:rPr>
        <w:t xml:space="preserve">съдържат лактоза. Следователно, пациенти с редки наследствени проблеми като непоносимост към галактоза, </w:t>
      </w:r>
      <w:r w:rsidRPr="00FB6158">
        <w:rPr>
          <w:rFonts w:eastAsia="Times New Roman" w:cs="Arial"/>
          <w:color w:val="000000"/>
          <w:lang w:val="en-US"/>
        </w:rPr>
        <w:t xml:space="preserve">Lapp </w:t>
      </w:r>
      <w:r w:rsidRPr="00FB6158">
        <w:rPr>
          <w:rFonts w:eastAsia="Times New Roman" w:cs="Arial"/>
          <w:color w:val="000000"/>
          <w:lang w:eastAsia="bg-BG"/>
        </w:rPr>
        <w:t>лактазен дефицит или глюкозо- галактозна малабсорбция не трябва да приемат този лекарствен продукт.</w:t>
      </w:r>
    </w:p>
    <w:p w14:paraId="0740588B"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Това лекарство съдържа по-малко от 1 </w:t>
      </w:r>
      <w:r w:rsidRPr="00FB6158">
        <w:rPr>
          <w:rFonts w:eastAsia="Times New Roman" w:cs="Arial"/>
          <w:color w:val="000000"/>
          <w:lang w:val="en-US"/>
        </w:rPr>
        <w:t xml:space="preserve">mmol </w:t>
      </w:r>
      <w:r w:rsidRPr="00FB6158">
        <w:rPr>
          <w:rFonts w:eastAsia="Times New Roman" w:cs="Arial"/>
          <w:color w:val="000000"/>
          <w:lang w:eastAsia="bg-BG"/>
        </w:rPr>
        <w:t xml:space="preserve">натрий (23 </w:t>
      </w:r>
      <w:r w:rsidRPr="00FB6158">
        <w:rPr>
          <w:rFonts w:eastAsia="Times New Roman" w:cs="Arial"/>
          <w:color w:val="000000"/>
          <w:lang w:val="en-US"/>
        </w:rPr>
        <w:t xml:space="preserve">mg) </w:t>
      </w:r>
      <w:r w:rsidRPr="00FB6158">
        <w:rPr>
          <w:rFonts w:eastAsia="Times New Roman" w:cs="Arial"/>
          <w:color w:val="000000"/>
          <w:lang w:eastAsia="bg-BG"/>
        </w:rPr>
        <w:t>на таблетка, тоест практически не съдържа натрий.</w:t>
      </w:r>
    </w:p>
    <w:p w14:paraId="27E8ED49" w14:textId="77777777" w:rsidR="00FB6158" w:rsidRPr="00FB6158" w:rsidRDefault="00FB6158" w:rsidP="00FB6158"/>
    <w:p w14:paraId="7ABEA351" w14:textId="3A3CBF06"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77923EB" w14:textId="0D63C6F1" w:rsidR="00FB6158" w:rsidRDefault="00FB6158" w:rsidP="00FB6158"/>
    <w:p w14:paraId="3F6ECA09"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Проучвания за взаимодействия са провеждани само при възрастни.</w:t>
      </w:r>
    </w:p>
    <w:p w14:paraId="0B8EC289" w14:textId="77777777" w:rsidR="00FB6158" w:rsidRDefault="00FB6158" w:rsidP="00FB6158">
      <w:pPr>
        <w:spacing w:line="240" w:lineRule="auto"/>
        <w:rPr>
          <w:rFonts w:eastAsia="Times New Roman" w:cs="Arial"/>
          <w:color w:val="000000"/>
          <w:lang w:eastAsia="bg-BG"/>
        </w:rPr>
      </w:pPr>
    </w:p>
    <w:p w14:paraId="184983BA" w14:textId="31725E0C"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На база резултатите от </w:t>
      </w:r>
      <w:r w:rsidRPr="00FB6158">
        <w:rPr>
          <w:rFonts w:eastAsia="Times New Roman" w:cs="Arial"/>
          <w:i/>
          <w:iCs/>
          <w:color w:val="000000"/>
          <w:lang w:val="en-US"/>
        </w:rPr>
        <w:t>in vitro</w:t>
      </w:r>
      <w:r w:rsidRPr="00FB6158">
        <w:rPr>
          <w:rFonts w:eastAsia="Times New Roman" w:cs="Arial"/>
          <w:color w:val="000000"/>
          <w:lang w:val="en-US"/>
        </w:rPr>
        <w:t xml:space="preserve"> </w:t>
      </w:r>
      <w:r w:rsidRPr="00FB6158">
        <w:rPr>
          <w:rFonts w:eastAsia="Times New Roman" w:cs="Arial"/>
          <w:color w:val="000000"/>
          <w:lang w:eastAsia="bg-BG"/>
        </w:rPr>
        <w:t xml:space="preserve">проучвания и известните пътища на елиминиране на тенофовир, възможността за осъществени чрез </w:t>
      </w:r>
      <w:r w:rsidRPr="00FB6158">
        <w:rPr>
          <w:rFonts w:eastAsia="Times New Roman" w:cs="Arial"/>
          <w:color w:val="000000"/>
          <w:lang w:val="en-US"/>
        </w:rPr>
        <w:t xml:space="preserve">CYP450 </w:t>
      </w:r>
      <w:r w:rsidRPr="00FB6158">
        <w:rPr>
          <w:rFonts w:eastAsia="Times New Roman" w:cs="Arial"/>
          <w:color w:val="000000"/>
          <w:lang w:eastAsia="bg-BG"/>
        </w:rPr>
        <w:t>взаимодействия на тенофовир с други лекарствени продукти е малка.</w:t>
      </w:r>
    </w:p>
    <w:p w14:paraId="3497750E" w14:textId="77777777" w:rsidR="00FB6158" w:rsidRDefault="00FB6158" w:rsidP="00FB6158">
      <w:pPr>
        <w:spacing w:line="240" w:lineRule="auto"/>
        <w:rPr>
          <w:rFonts w:eastAsia="Times New Roman" w:cs="Arial"/>
          <w:color w:val="000000"/>
          <w:u w:val="single"/>
          <w:lang w:eastAsia="bg-BG"/>
        </w:rPr>
      </w:pPr>
    </w:p>
    <w:p w14:paraId="574F42D9" w14:textId="70ACE9EF"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Не се препоръчва едновременно приложение</w:t>
      </w:r>
    </w:p>
    <w:p w14:paraId="16C4553A"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lastRenderedPageBreak/>
        <w:t>Вирофоб не трябва да се прилага едновременно с други лекарствени продукти, съдържащи тенофовир дизопроксил.</w:t>
      </w:r>
    </w:p>
    <w:p w14:paraId="14E502BD" w14:textId="77777777" w:rsidR="00FB6158" w:rsidRDefault="00FB6158" w:rsidP="00FB6158">
      <w:pPr>
        <w:spacing w:line="240" w:lineRule="auto"/>
        <w:rPr>
          <w:rFonts w:eastAsia="Times New Roman" w:cs="Arial"/>
          <w:color w:val="000000"/>
          <w:lang w:eastAsia="bg-BG"/>
        </w:rPr>
      </w:pPr>
    </w:p>
    <w:p w14:paraId="0506561C" w14:textId="2813A671"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Вирофоб не трябва да се прилага едновременно с адефовир дипивоксил.</w:t>
      </w:r>
    </w:p>
    <w:p w14:paraId="1D462C06" w14:textId="77777777" w:rsidR="00FB6158" w:rsidRDefault="00FB6158" w:rsidP="00FB6158">
      <w:pPr>
        <w:spacing w:line="240" w:lineRule="auto"/>
        <w:rPr>
          <w:rFonts w:eastAsia="Times New Roman" w:cs="Arial"/>
          <w:i/>
          <w:iCs/>
          <w:color w:val="000000"/>
          <w:lang w:eastAsia="bg-BG"/>
        </w:rPr>
      </w:pPr>
    </w:p>
    <w:p w14:paraId="5F2220F3" w14:textId="7EC9C2E1"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Диданозин</w:t>
      </w:r>
    </w:p>
    <w:p w14:paraId="47D3B37D" w14:textId="30A6BD4A" w:rsidR="00FB6158" w:rsidRDefault="00FB6158" w:rsidP="00FB6158">
      <w:pPr>
        <w:rPr>
          <w:rFonts w:eastAsia="Times New Roman" w:cs="Arial"/>
          <w:color w:val="000000"/>
          <w:lang w:eastAsia="bg-BG"/>
        </w:rPr>
      </w:pPr>
      <w:r w:rsidRPr="00FB6158">
        <w:rPr>
          <w:rFonts w:eastAsia="Times New Roman" w:cs="Arial"/>
          <w:color w:val="000000"/>
          <w:lang w:eastAsia="bg-BG"/>
        </w:rPr>
        <w:t>Едновременното приложение на тенофовир дизопроксил и диданозин не се препоръчва (вж. точка 4.4 и Таблица 1).</w:t>
      </w:r>
    </w:p>
    <w:p w14:paraId="07B8954E" w14:textId="4F448782" w:rsidR="00FB6158" w:rsidRDefault="00FB6158" w:rsidP="00FB6158">
      <w:pPr>
        <w:rPr>
          <w:rFonts w:eastAsia="Times New Roman" w:cs="Arial"/>
          <w:color w:val="000000"/>
          <w:lang w:eastAsia="bg-BG"/>
        </w:rPr>
      </w:pPr>
    </w:p>
    <w:p w14:paraId="1848A0D6" w14:textId="77777777" w:rsidR="00FB6158" w:rsidRPr="00FB6158" w:rsidRDefault="00FB6158" w:rsidP="00FB6158">
      <w:pPr>
        <w:spacing w:line="240" w:lineRule="auto"/>
        <w:rPr>
          <w:rFonts w:eastAsia="Times New Roman" w:cs="Arial"/>
          <w:lang w:eastAsia="bg-BG"/>
        </w:rPr>
      </w:pPr>
      <w:r w:rsidRPr="00FB6158">
        <w:rPr>
          <w:rFonts w:eastAsia="Times New Roman" w:cs="Arial"/>
          <w:i/>
          <w:iCs/>
          <w:color w:val="000000"/>
          <w:lang w:eastAsia="bg-BG"/>
        </w:rPr>
        <w:t>Лекарствени продукти с бъбречна елиминация</w:t>
      </w:r>
    </w:p>
    <w:p w14:paraId="354EE691"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Тъй като тенофовир се елиминира основно от бъбреците, едновременното приложение на тенофовир дизопроксил с лекарствени продукти, които намаляват бъбречната функция или се конкурират за активната тубулна секреция от транспортните протеини </w:t>
      </w:r>
      <w:proofErr w:type="spellStart"/>
      <w:r w:rsidRPr="00FB6158">
        <w:rPr>
          <w:rFonts w:eastAsia="Times New Roman" w:cs="Arial"/>
          <w:color w:val="000000"/>
          <w:lang w:val="en-US"/>
        </w:rPr>
        <w:t>hOAT</w:t>
      </w:r>
      <w:proofErr w:type="spellEnd"/>
      <w:r w:rsidRPr="00FB6158">
        <w:rPr>
          <w:rFonts w:eastAsia="Times New Roman" w:cs="Arial"/>
          <w:color w:val="000000"/>
          <w:lang w:val="en-US"/>
        </w:rPr>
        <w:t xml:space="preserve"> </w:t>
      </w:r>
      <w:r w:rsidRPr="00FB6158">
        <w:rPr>
          <w:rFonts w:eastAsia="Times New Roman" w:cs="Arial"/>
          <w:color w:val="000000"/>
          <w:lang w:eastAsia="bg-BG"/>
        </w:rPr>
        <w:t xml:space="preserve">1, </w:t>
      </w:r>
      <w:proofErr w:type="spellStart"/>
      <w:r w:rsidRPr="00FB6158">
        <w:rPr>
          <w:rFonts w:eastAsia="Times New Roman" w:cs="Arial"/>
          <w:color w:val="000000"/>
          <w:lang w:val="en-US"/>
        </w:rPr>
        <w:t>hOAT</w:t>
      </w:r>
      <w:proofErr w:type="spellEnd"/>
      <w:r w:rsidRPr="00FB6158">
        <w:rPr>
          <w:rFonts w:eastAsia="Times New Roman" w:cs="Arial"/>
          <w:color w:val="000000"/>
          <w:lang w:val="en-US"/>
        </w:rPr>
        <w:t xml:space="preserve"> </w:t>
      </w:r>
      <w:r w:rsidRPr="00FB6158">
        <w:rPr>
          <w:rFonts w:eastAsia="Times New Roman" w:cs="Arial"/>
          <w:color w:val="000000"/>
          <w:lang w:eastAsia="bg-BG"/>
        </w:rPr>
        <w:t xml:space="preserve">3 или </w:t>
      </w:r>
      <w:r w:rsidRPr="00FB6158">
        <w:rPr>
          <w:rFonts w:eastAsia="Times New Roman" w:cs="Arial"/>
          <w:color w:val="000000"/>
          <w:lang w:val="en-US"/>
        </w:rPr>
        <w:t xml:space="preserve">MRP </w:t>
      </w:r>
      <w:r w:rsidRPr="00FB6158">
        <w:rPr>
          <w:rFonts w:eastAsia="Times New Roman" w:cs="Arial"/>
          <w:color w:val="000000"/>
          <w:lang w:eastAsia="bg-BG"/>
        </w:rPr>
        <w:t>4 (напр. цидофовир), може да повишат серумните концентрации на тенофовир и/или на едновременно прилаганите лекарствени продукти.</w:t>
      </w:r>
    </w:p>
    <w:p w14:paraId="2EF024B0" w14:textId="38C522D6" w:rsidR="00FB6158" w:rsidRPr="00FB6158" w:rsidRDefault="00FB6158" w:rsidP="00FB6158">
      <w:pPr>
        <w:spacing w:line="240" w:lineRule="auto"/>
        <w:rPr>
          <w:rFonts w:eastAsia="Times New Roman" w:cs="Arial"/>
          <w:lang w:eastAsia="bg-BG"/>
        </w:rPr>
      </w:pPr>
    </w:p>
    <w:p w14:paraId="4DBC4FE0"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Трябва да се избягва прилагането на тенофовир дизопроксил едновременно или скоро след прием на нефротоксичен лекарствен продукт. Някои примери включват, но не се ограничават до аминогликозиди, амфотерицин В, фоскарнет, ганцикловир, пентамидин, ванкомицин, цидофовир или интерлевкин-2 (вж. точка 4.4).</w:t>
      </w:r>
    </w:p>
    <w:p w14:paraId="720B8F1A" w14:textId="77777777" w:rsidR="00FB6158" w:rsidRDefault="00FB6158" w:rsidP="00FB6158">
      <w:pPr>
        <w:spacing w:line="240" w:lineRule="auto"/>
        <w:rPr>
          <w:rFonts w:eastAsia="Times New Roman" w:cs="Arial"/>
          <w:color w:val="000000"/>
          <w:lang w:eastAsia="bg-BG"/>
        </w:rPr>
      </w:pPr>
    </w:p>
    <w:p w14:paraId="4C511958" w14:textId="1A6A1099"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Имайки предвид, че такролимус може да повлияе бъбречната функция, се препоръчва внимателно следене при едновременното му прилагане с тенофовир дизопроксил.</w:t>
      </w:r>
    </w:p>
    <w:p w14:paraId="1CA8FFCD" w14:textId="77777777" w:rsidR="00FB6158" w:rsidRDefault="00FB6158" w:rsidP="00FB6158">
      <w:pPr>
        <w:spacing w:line="240" w:lineRule="auto"/>
        <w:rPr>
          <w:rFonts w:eastAsia="Times New Roman" w:cs="Arial"/>
          <w:color w:val="000000"/>
          <w:u w:val="single"/>
          <w:lang w:eastAsia="bg-BG"/>
        </w:rPr>
      </w:pPr>
    </w:p>
    <w:p w14:paraId="5E461E0F" w14:textId="7DD62DD3" w:rsidR="00FB6158" w:rsidRPr="00FB6158" w:rsidRDefault="00FB6158" w:rsidP="00FB6158">
      <w:pPr>
        <w:spacing w:line="240" w:lineRule="auto"/>
        <w:rPr>
          <w:rFonts w:eastAsia="Times New Roman" w:cs="Arial"/>
          <w:lang w:eastAsia="bg-BG"/>
        </w:rPr>
      </w:pPr>
      <w:r w:rsidRPr="00FB6158">
        <w:rPr>
          <w:rFonts w:eastAsia="Times New Roman" w:cs="Arial"/>
          <w:color w:val="000000"/>
          <w:u w:val="single"/>
          <w:lang w:eastAsia="bg-BG"/>
        </w:rPr>
        <w:t>Други взаимодействия</w:t>
      </w:r>
    </w:p>
    <w:p w14:paraId="42FBFE2A" w14:textId="77777777" w:rsidR="00FB6158" w:rsidRPr="00FB6158" w:rsidRDefault="00FB6158" w:rsidP="00FB6158">
      <w:pPr>
        <w:spacing w:line="240" w:lineRule="auto"/>
        <w:rPr>
          <w:rFonts w:eastAsia="Times New Roman" w:cs="Arial"/>
          <w:lang w:eastAsia="bg-BG"/>
        </w:rPr>
      </w:pPr>
      <w:r w:rsidRPr="00FB6158">
        <w:rPr>
          <w:rFonts w:eastAsia="Times New Roman" w:cs="Arial"/>
          <w:color w:val="000000"/>
          <w:lang w:eastAsia="bg-BG"/>
        </w:rPr>
        <w:t xml:space="preserve">Взаимодействия между тенофовир дизопроксил и други лекарствени продукти са изброени в Таблица 1 по-долу (увеличаването е отбелязано с ,,↑", намаляването с ,,↓", липсата на промяна с ,,↔", два пъти дневно с </w:t>
      </w:r>
      <w:r w:rsidRPr="00FB6158">
        <w:rPr>
          <w:rFonts w:eastAsia="Times New Roman" w:cs="Arial"/>
          <w:color w:val="000000"/>
          <w:lang w:val="en-US"/>
        </w:rPr>
        <w:t xml:space="preserve">„b.i.d.“ </w:t>
      </w:r>
      <w:r w:rsidRPr="00FB6158">
        <w:rPr>
          <w:rFonts w:eastAsia="Times New Roman" w:cs="Arial"/>
          <w:color w:val="000000"/>
          <w:lang w:eastAsia="bg-BG"/>
        </w:rPr>
        <w:t xml:space="preserve">и един път дневно с </w:t>
      </w:r>
      <w:r w:rsidRPr="00FB6158">
        <w:rPr>
          <w:rFonts w:eastAsia="Times New Roman" w:cs="Arial"/>
          <w:color w:val="000000"/>
          <w:lang w:val="en-US"/>
        </w:rPr>
        <w:t>,,</w:t>
      </w:r>
      <w:proofErr w:type="spellStart"/>
      <w:r w:rsidRPr="00FB6158">
        <w:rPr>
          <w:rFonts w:eastAsia="Times New Roman" w:cs="Arial"/>
          <w:color w:val="000000"/>
          <w:lang w:val="en-US"/>
        </w:rPr>
        <w:t>q.d</w:t>
      </w:r>
      <w:proofErr w:type="spellEnd"/>
      <w:r w:rsidRPr="00FB6158">
        <w:rPr>
          <w:rFonts w:eastAsia="Times New Roman" w:cs="Arial"/>
          <w:color w:val="000000"/>
          <w:lang w:val="en-US"/>
        </w:rPr>
        <w:t>“).</w:t>
      </w:r>
    </w:p>
    <w:p w14:paraId="34C542E2" w14:textId="77777777" w:rsidR="00FB6158" w:rsidRDefault="00FB6158" w:rsidP="00FB6158">
      <w:pPr>
        <w:rPr>
          <w:rFonts w:eastAsia="Times New Roman" w:cs="Arial"/>
          <w:b/>
          <w:bCs/>
          <w:color w:val="000000"/>
          <w:lang w:eastAsia="bg-BG"/>
        </w:rPr>
      </w:pPr>
    </w:p>
    <w:p w14:paraId="130F6C95" w14:textId="0EA3AA14" w:rsidR="00FB6158" w:rsidRDefault="00FB6158" w:rsidP="00FB6158">
      <w:pPr>
        <w:rPr>
          <w:rFonts w:eastAsia="Times New Roman" w:cs="Arial"/>
          <w:b/>
          <w:bCs/>
          <w:color w:val="000000"/>
          <w:lang w:eastAsia="bg-BG"/>
        </w:rPr>
      </w:pPr>
      <w:r w:rsidRPr="00FB6158">
        <w:rPr>
          <w:rFonts w:eastAsia="Times New Roman" w:cs="Arial"/>
          <w:b/>
          <w:bCs/>
          <w:color w:val="000000"/>
          <w:lang w:eastAsia="bg-BG"/>
        </w:rPr>
        <w:t>Таблица 1: Взаимодействия между тенофовир дизопроксил и други лекарствени продукти</w:t>
      </w:r>
    </w:p>
    <w:tbl>
      <w:tblPr>
        <w:tblStyle w:val="TableGrid"/>
        <w:tblW w:w="0" w:type="auto"/>
        <w:tblLook w:val="04A0" w:firstRow="1" w:lastRow="0" w:firstColumn="1" w:lastColumn="0" w:noHBand="0" w:noVBand="1"/>
      </w:tblPr>
      <w:tblGrid>
        <w:gridCol w:w="3151"/>
        <w:gridCol w:w="3064"/>
        <w:gridCol w:w="3135"/>
      </w:tblGrid>
      <w:tr w:rsidR="00FB6158" w14:paraId="77455F77" w14:textId="77777777" w:rsidTr="000F629B">
        <w:tc>
          <w:tcPr>
            <w:tcW w:w="3166" w:type="dxa"/>
            <w:vAlign w:val="center"/>
          </w:tcPr>
          <w:p w14:paraId="08FBD05C" w14:textId="4AE8D3D3" w:rsidR="00FB6158" w:rsidRPr="00FB6158" w:rsidRDefault="00FB6158" w:rsidP="00FB6158">
            <w:pPr>
              <w:rPr>
                <w:rFonts w:cs="Arial"/>
              </w:rPr>
            </w:pPr>
            <w:r w:rsidRPr="00FB6158">
              <w:rPr>
                <w:b/>
                <w:bCs/>
              </w:rPr>
              <w:t xml:space="preserve">Лекарствени продукти по терапевтични области (доза в </w:t>
            </w:r>
            <w:r w:rsidRPr="00FB6158">
              <w:rPr>
                <w:b/>
                <w:bCs/>
                <w:lang w:val="en-US"/>
              </w:rPr>
              <w:t>mg)</w:t>
            </w:r>
          </w:p>
        </w:tc>
        <w:tc>
          <w:tcPr>
            <w:tcW w:w="3167" w:type="dxa"/>
            <w:vAlign w:val="bottom"/>
          </w:tcPr>
          <w:p w14:paraId="3F752014" w14:textId="61132782" w:rsidR="00FB6158" w:rsidRPr="00FB6158" w:rsidRDefault="00FB6158" w:rsidP="00FB6158">
            <w:pPr>
              <w:rPr>
                <w:rFonts w:cs="Arial"/>
              </w:rPr>
            </w:pPr>
            <w:r w:rsidRPr="00FB6158">
              <w:rPr>
                <w:b/>
                <w:bCs/>
              </w:rPr>
              <w:t xml:space="preserve">Ефекти върху нивата на лекарствата Средна промяна, в проценти, на </w:t>
            </w:r>
            <w:r w:rsidRPr="00FB6158">
              <w:rPr>
                <w:b/>
                <w:bCs/>
                <w:lang w:val="en-US"/>
              </w:rPr>
              <w:t xml:space="preserve">AUC, </w:t>
            </w:r>
            <w:proofErr w:type="spellStart"/>
            <w:r w:rsidRPr="00FB6158">
              <w:rPr>
                <w:b/>
                <w:bCs/>
                <w:lang w:val="en-US"/>
              </w:rPr>
              <w:t>C</w:t>
            </w:r>
            <w:r w:rsidRPr="00FB6158">
              <w:rPr>
                <w:b/>
                <w:bCs/>
                <w:vertAlign w:val="subscript"/>
                <w:lang w:val="en-US"/>
              </w:rPr>
              <w:t>max</w:t>
            </w:r>
            <w:proofErr w:type="spellEnd"/>
            <w:r w:rsidRPr="00FB6158">
              <w:rPr>
                <w:b/>
                <w:bCs/>
                <w:lang w:val="en-US"/>
              </w:rPr>
              <w:t xml:space="preserve">, </w:t>
            </w:r>
            <w:proofErr w:type="spellStart"/>
            <w:r w:rsidRPr="00FB6158">
              <w:rPr>
                <w:b/>
                <w:bCs/>
                <w:lang w:val="en-US"/>
              </w:rPr>
              <w:t>C</w:t>
            </w:r>
            <w:r w:rsidRPr="00FB6158">
              <w:rPr>
                <w:b/>
                <w:bCs/>
                <w:vertAlign w:val="subscript"/>
                <w:lang w:val="en-US"/>
              </w:rPr>
              <w:t>min</w:t>
            </w:r>
            <w:proofErr w:type="spellEnd"/>
          </w:p>
        </w:tc>
        <w:tc>
          <w:tcPr>
            <w:tcW w:w="3167" w:type="dxa"/>
            <w:vAlign w:val="bottom"/>
          </w:tcPr>
          <w:p w14:paraId="0B5C841F" w14:textId="36DF889C" w:rsidR="00FB6158" w:rsidRPr="00FB6158" w:rsidRDefault="00FB6158" w:rsidP="00FB6158">
            <w:pPr>
              <w:rPr>
                <w:rFonts w:cs="Arial"/>
              </w:rPr>
            </w:pPr>
            <w:r w:rsidRPr="00FB6158">
              <w:rPr>
                <w:b/>
                <w:bCs/>
              </w:rPr>
              <w:t xml:space="preserve">Препоръки относно едновременното приложение с 245 </w:t>
            </w:r>
            <w:r w:rsidRPr="00FB6158">
              <w:rPr>
                <w:b/>
                <w:bCs/>
                <w:lang w:val="en-US"/>
              </w:rPr>
              <w:t xml:space="preserve">mg </w:t>
            </w:r>
            <w:r w:rsidRPr="00FB6158">
              <w:rPr>
                <w:b/>
                <w:bCs/>
              </w:rPr>
              <w:t>тенофовир дизопроксил</w:t>
            </w:r>
          </w:p>
        </w:tc>
      </w:tr>
      <w:tr w:rsidR="00FB6158" w14:paraId="08FA5240" w14:textId="77777777" w:rsidTr="000F629B">
        <w:tc>
          <w:tcPr>
            <w:tcW w:w="9500" w:type="dxa"/>
            <w:gridSpan w:val="3"/>
            <w:vAlign w:val="bottom"/>
          </w:tcPr>
          <w:p w14:paraId="22C8B5FC" w14:textId="0E2F71A2" w:rsidR="00FB6158" w:rsidRPr="00FB6158" w:rsidRDefault="00FB6158" w:rsidP="00FB6158">
            <w:pPr>
              <w:rPr>
                <w:rFonts w:cs="Arial"/>
              </w:rPr>
            </w:pPr>
            <w:r w:rsidRPr="00FB6158">
              <w:rPr>
                <w:b/>
                <w:bCs/>
                <w:i/>
                <w:iCs/>
              </w:rPr>
              <w:t>АНТИИНФЕКЦИОЗНИ</w:t>
            </w:r>
          </w:p>
        </w:tc>
      </w:tr>
      <w:tr w:rsidR="00FB6158" w14:paraId="44CCE8BF" w14:textId="77777777" w:rsidTr="000F629B">
        <w:tc>
          <w:tcPr>
            <w:tcW w:w="9500" w:type="dxa"/>
            <w:gridSpan w:val="3"/>
            <w:vAlign w:val="bottom"/>
          </w:tcPr>
          <w:p w14:paraId="761CAAAF" w14:textId="7850D6B9" w:rsidR="00FB6158" w:rsidRPr="00FB6158" w:rsidRDefault="00FB6158" w:rsidP="00FB6158">
            <w:pPr>
              <w:rPr>
                <w:rFonts w:cs="Arial"/>
              </w:rPr>
            </w:pPr>
            <w:r w:rsidRPr="00FB6158">
              <w:rPr>
                <w:b/>
                <w:bCs/>
              </w:rPr>
              <w:t>Антиретровирусни</w:t>
            </w:r>
          </w:p>
        </w:tc>
      </w:tr>
      <w:tr w:rsidR="00FB6158" w14:paraId="39118DA5" w14:textId="77777777" w:rsidTr="000F629B">
        <w:tc>
          <w:tcPr>
            <w:tcW w:w="9500" w:type="dxa"/>
            <w:gridSpan w:val="3"/>
            <w:vAlign w:val="bottom"/>
          </w:tcPr>
          <w:p w14:paraId="547574E0" w14:textId="7933E536" w:rsidR="00FB6158" w:rsidRPr="00FB6158" w:rsidRDefault="00FB6158" w:rsidP="00FB6158">
            <w:pPr>
              <w:rPr>
                <w:rFonts w:cs="Arial"/>
              </w:rPr>
            </w:pPr>
            <w:r w:rsidRPr="00FB6158">
              <w:rPr>
                <w:b/>
                <w:bCs/>
              </w:rPr>
              <w:t>Протеазни ипхибитори</w:t>
            </w:r>
          </w:p>
        </w:tc>
      </w:tr>
      <w:tr w:rsidR="00FB6158" w14:paraId="5BFEBEF9" w14:textId="77777777" w:rsidTr="000F629B">
        <w:tc>
          <w:tcPr>
            <w:tcW w:w="3166" w:type="dxa"/>
          </w:tcPr>
          <w:p w14:paraId="7173BC5E" w14:textId="19D9FE49" w:rsidR="00FB6158" w:rsidRPr="00FB6158" w:rsidRDefault="00FB6158" w:rsidP="00FB6158">
            <w:pPr>
              <w:rPr>
                <w:rFonts w:cs="Arial"/>
              </w:rPr>
            </w:pPr>
            <w:r w:rsidRPr="00FB6158">
              <w:t xml:space="preserve">Атазанавир/Ритонавир (300 </w:t>
            </w:r>
            <w:proofErr w:type="spellStart"/>
            <w:r w:rsidRPr="00FB6158">
              <w:rPr>
                <w:lang w:val="en-US"/>
              </w:rPr>
              <w:t>q.d</w:t>
            </w:r>
            <w:proofErr w:type="spellEnd"/>
            <w:r w:rsidRPr="00FB6158">
              <w:rPr>
                <w:lang w:val="en-US"/>
              </w:rPr>
              <w:t xml:space="preserve">./100 </w:t>
            </w:r>
            <w:proofErr w:type="spellStart"/>
            <w:r w:rsidRPr="00FB6158">
              <w:rPr>
                <w:lang w:val="en-US"/>
              </w:rPr>
              <w:t>q.d</w:t>
            </w:r>
            <w:proofErr w:type="spellEnd"/>
            <w:r w:rsidRPr="00FB6158">
              <w:rPr>
                <w:lang w:val="en-US"/>
              </w:rPr>
              <w:t xml:space="preserve">./300 </w:t>
            </w:r>
            <w:proofErr w:type="spellStart"/>
            <w:r w:rsidRPr="00FB6158">
              <w:rPr>
                <w:lang w:val="en-US"/>
              </w:rPr>
              <w:t>q.d</w:t>
            </w:r>
            <w:proofErr w:type="spellEnd"/>
            <w:r w:rsidRPr="00FB6158">
              <w:rPr>
                <w:lang w:val="en-US"/>
              </w:rPr>
              <w:t>.)</w:t>
            </w:r>
          </w:p>
        </w:tc>
        <w:tc>
          <w:tcPr>
            <w:tcW w:w="3167" w:type="dxa"/>
          </w:tcPr>
          <w:p w14:paraId="4322AF11" w14:textId="77777777" w:rsidR="00FB6158" w:rsidRDefault="00FB6158" w:rsidP="00FB6158">
            <w:r w:rsidRPr="00FB6158">
              <w:t xml:space="preserve">Атазанавир: </w:t>
            </w:r>
          </w:p>
          <w:p w14:paraId="1CD5CD81" w14:textId="77777777" w:rsidR="00FB6158" w:rsidRDefault="00FB6158" w:rsidP="00FB6158">
            <w:r w:rsidRPr="00FB6158">
              <w:rPr>
                <w:lang w:val="en-US"/>
              </w:rPr>
              <w:t>AUC: ↓</w:t>
            </w:r>
            <w:r w:rsidRPr="00FB6158">
              <w:t xml:space="preserve">25 % </w:t>
            </w:r>
          </w:p>
          <w:p w14:paraId="292055E1" w14:textId="77777777" w:rsidR="00FB6158" w:rsidRDefault="00FB6158" w:rsidP="00FB6158">
            <w:r w:rsidRPr="00FB6158">
              <w:t>С</w:t>
            </w:r>
            <w:r w:rsidRPr="00FB6158">
              <w:rPr>
                <w:lang w:val="en-US"/>
              </w:rPr>
              <w:t>max</w:t>
            </w:r>
            <w:r w:rsidRPr="00FB6158">
              <w:t xml:space="preserve">: </w:t>
            </w:r>
            <w:r w:rsidRPr="00FB6158">
              <w:rPr>
                <w:lang w:val="en-US"/>
              </w:rPr>
              <w:t>↓</w:t>
            </w:r>
            <w:r w:rsidRPr="00FB6158">
              <w:t xml:space="preserve"> 28 % </w:t>
            </w:r>
          </w:p>
          <w:p w14:paraId="5AFCE413" w14:textId="51399545" w:rsidR="00FB6158" w:rsidRPr="00FB6158" w:rsidRDefault="00FB6158" w:rsidP="00FB6158">
            <w:proofErr w:type="spellStart"/>
            <w:r w:rsidRPr="00FB6158">
              <w:rPr>
                <w:lang w:val="en-US"/>
              </w:rPr>
              <w:t>Cmin</w:t>
            </w:r>
            <w:proofErr w:type="spellEnd"/>
            <w:r w:rsidRPr="00FB6158">
              <w:rPr>
                <w:lang w:val="en-US"/>
              </w:rPr>
              <w:t>: ↓</w:t>
            </w:r>
            <w:r w:rsidRPr="00FB6158">
              <w:t xml:space="preserve"> 26 %</w:t>
            </w:r>
          </w:p>
          <w:p w14:paraId="7559103B" w14:textId="77777777" w:rsidR="00FB6158" w:rsidRDefault="00FB6158" w:rsidP="00FB6158">
            <w:r w:rsidRPr="00FB6158">
              <w:t xml:space="preserve">Тенофовир: </w:t>
            </w:r>
          </w:p>
          <w:p w14:paraId="04F81BBD" w14:textId="77777777" w:rsidR="00FB6158" w:rsidRDefault="00FB6158" w:rsidP="00FB6158">
            <w:r w:rsidRPr="00FB6158">
              <w:rPr>
                <w:lang w:val="en-US"/>
              </w:rPr>
              <w:t xml:space="preserve">AUC: ↑ </w:t>
            </w:r>
            <w:r w:rsidRPr="00FB6158">
              <w:t xml:space="preserve">37 % </w:t>
            </w:r>
          </w:p>
          <w:p w14:paraId="49A499D9" w14:textId="77777777" w:rsidR="00FB6158" w:rsidRDefault="00FB6158" w:rsidP="00FB6158">
            <w:proofErr w:type="spellStart"/>
            <w:r w:rsidRPr="00FB6158">
              <w:rPr>
                <w:lang w:val="en-US"/>
              </w:rPr>
              <w:t>Cmax</w:t>
            </w:r>
            <w:proofErr w:type="spellEnd"/>
            <w:r w:rsidRPr="00FB6158">
              <w:rPr>
                <w:lang w:val="en-US"/>
              </w:rPr>
              <w:t xml:space="preserve">: ↑ </w:t>
            </w:r>
            <w:r w:rsidRPr="00FB6158">
              <w:t xml:space="preserve">34 % </w:t>
            </w:r>
          </w:p>
          <w:p w14:paraId="000E62A8" w14:textId="3D4CE2C6" w:rsidR="00FB6158" w:rsidRPr="00FB6158" w:rsidRDefault="00FB6158" w:rsidP="00FB6158">
            <w:pPr>
              <w:rPr>
                <w:rFonts w:cs="Arial"/>
              </w:rPr>
            </w:pPr>
            <w:proofErr w:type="spellStart"/>
            <w:r w:rsidRPr="00FB6158">
              <w:rPr>
                <w:lang w:val="en-US"/>
              </w:rPr>
              <w:t>Cmin</w:t>
            </w:r>
            <w:proofErr w:type="spellEnd"/>
            <w:r w:rsidRPr="00FB6158">
              <w:rPr>
                <w:lang w:val="en-US"/>
              </w:rPr>
              <w:t>: ↑</w:t>
            </w:r>
            <w:r w:rsidRPr="00FB6158">
              <w:t>29 %</w:t>
            </w:r>
          </w:p>
        </w:tc>
        <w:tc>
          <w:tcPr>
            <w:tcW w:w="3167" w:type="dxa"/>
            <w:vAlign w:val="bottom"/>
          </w:tcPr>
          <w:p w14:paraId="42EB67ED" w14:textId="07AFDBBB" w:rsidR="00FB6158" w:rsidRPr="00FB6158" w:rsidRDefault="00FB6158" w:rsidP="00FB6158">
            <w:pPr>
              <w:rPr>
                <w:rFonts w:cs="Arial"/>
              </w:rPr>
            </w:pPr>
            <w:r w:rsidRPr="00FB6158">
              <w:t>Не се препоръчва адаптиране на дозата. Повишената експозиция на тенофовир може да потенцира нежелани реакции, свързани с тенофовир, включително бъбречни нарушения. Бъбречната функция трябва да се следи внимателно (вж. точка 4.4).</w:t>
            </w:r>
          </w:p>
        </w:tc>
      </w:tr>
      <w:tr w:rsidR="00FB6158" w14:paraId="3AE00B8A" w14:textId="77777777" w:rsidTr="000F629B">
        <w:tc>
          <w:tcPr>
            <w:tcW w:w="3166" w:type="dxa"/>
          </w:tcPr>
          <w:p w14:paraId="56F12FB2" w14:textId="008D4591" w:rsidR="00FB6158" w:rsidRPr="00FB6158" w:rsidRDefault="00FB6158" w:rsidP="00FB6158">
            <w:pPr>
              <w:rPr>
                <w:rFonts w:cs="Arial"/>
              </w:rPr>
            </w:pPr>
            <w:r w:rsidRPr="00FB6158">
              <w:lastRenderedPageBreak/>
              <w:t xml:space="preserve">Лопинавир/Ритонавир (400 </w:t>
            </w:r>
            <w:r w:rsidRPr="00FB6158">
              <w:rPr>
                <w:lang w:val="en-US"/>
              </w:rPr>
              <w:t xml:space="preserve">b.i.d./100 </w:t>
            </w:r>
            <w:proofErr w:type="spellStart"/>
            <w:r w:rsidRPr="00FB6158">
              <w:rPr>
                <w:lang w:val="en-US"/>
              </w:rPr>
              <w:t>b.Ld</w:t>
            </w:r>
            <w:proofErr w:type="spellEnd"/>
            <w:r w:rsidRPr="00FB6158">
              <w:rPr>
                <w:lang w:val="en-US"/>
              </w:rPr>
              <w:t>.</w:t>
            </w:r>
            <w:r w:rsidRPr="00FB6158">
              <w:t xml:space="preserve">/ЗОО </w:t>
            </w:r>
            <w:proofErr w:type="spellStart"/>
            <w:r w:rsidRPr="00FB6158">
              <w:rPr>
                <w:lang w:val="en-US"/>
              </w:rPr>
              <w:t>q.d</w:t>
            </w:r>
            <w:proofErr w:type="spellEnd"/>
            <w:r w:rsidRPr="00FB6158">
              <w:rPr>
                <w:lang w:val="en-US"/>
              </w:rPr>
              <w:t>.)</w:t>
            </w:r>
          </w:p>
        </w:tc>
        <w:tc>
          <w:tcPr>
            <w:tcW w:w="3167" w:type="dxa"/>
          </w:tcPr>
          <w:p w14:paraId="46B27ABB" w14:textId="77777777" w:rsidR="00FB6158" w:rsidRPr="00FB6158" w:rsidRDefault="00FB6158" w:rsidP="00FB6158">
            <w:r w:rsidRPr="00FB6158">
              <w:t>Лопинавир/ритонавир:</w:t>
            </w:r>
          </w:p>
          <w:p w14:paraId="481B3479" w14:textId="77777777" w:rsidR="00FB6158" w:rsidRPr="00FB6158" w:rsidRDefault="00FB6158" w:rsidP="00FB6158">
            <w:r w:rsidRPr="00FB6158">
              <w:t>Без значим ефект върху фармакокинетичните параметри на лопинавир/ритонавир.</w:t>
            </w:r>
          </w:p>
          <w:p w14:paraId="56B8D169" w14:textId="77777777" w:rsidR="00FB6158" w:rsidRPr="00FB6158" w:rsidRDefault="00FB6158" w:rsidP="00FB6158">
            <w:r w:rsidRPr="00FB6158">
              <w:t>Тенофовир:</w:t>
            </w:r>
          </w:p>
          <w:p w14:paraId="0B467F9E" w14:textId="77777777" w:rsidR="00FB6158" w:rsidRPr="00FB6158" w:rsidRDefault="00FB6158" w:rsidP="00FB6158">
            <w:r w:rsidRPr="00FB6158">
              <w:rPr>
                <w:lang w:val="en-US"/>
              </w:rPr>
              <w:t xml:space="preserve">AUC: ↑ </w:t>
            </w:r>
            <w:r w:rsidRPr="00FB6158">
              <w:t>32 %</w:t>
            </w:r>
          </w:p>
          <w:p w14:paraId="2A9A750A" w14:textId="77777777" w:rsidR="00FB6158" w:rsidRPr="00FB6158" w:rsidRDefault="00FB6158" w:rsidP="00FB6158">
            <w:proofErr w:type="spellStart"/>
            <w:r w:rsidRPr="00FB6158">
              <w:rPr>
                <w:lang w:val="en-US"/>
              </w:rPr>
              <w:t>Cmax</w:t>
            </w:r>
            <w:proofErr w:type="spellEnd"/>
            <w:r w:rsidRPr="00FB6158">
              <w:rPr>
                <w:lang w:val="en-US"/>
              </w:rPr>
              <w:t>: ↔</w:t>
            </w:r>
          </w:p>
          <w:p w14:paraId="7DBFA650" w14:textId="0288D3A8" w:rsidR="00FB6158" w:rsidRPr="00FB6158" w:rsidRDefault="00FB6158" w:rsidP="00FB6158">
            <w:pPr>
              <w:rPr>
                <w:rFonts w:cs="Arial"/>
              </w:rPr>
            </w:pPr>
            <w:proofErr w:type="spellStart"/>
            <w:r w:rsidRPr="00FB6158">
              <w:rPr>
                <w:lang w:val="en-US"/>
              </w:rPr>
              <w:t>Cmin</w:t>
            </w:r>
            <w:proofErr w:type="spellEnd"/>
            <w:r w:rsidRPr="00FB6158">
              <w:rPr>
                <w:lang w:val="en-US"/>
              </w:rPr>
              <w:t>: ↑</w:t>
            </w:r>
            <w:r w:rsidRPr="00FB6158">
              <w:t xml:space="preserve"> 51 %</w:t>
            </w:r>
          </w:p>
        </w:tc>
        <w:tc>
          <w:tcPr>
            <w:tcW w:w="3167" w:type="dxa"/>
            <w:vAlign w:val="bottom"/>
          </w:tcPr>
          <w:p w14:paraId="3C5C456C" w14:textId="562C9166" w:rsidR="00FB6158" w:rsidRPr="00FB6158" w:rsidRDefault="00FB6158" w:rsidP="00FB6158">
            <w:pPr>
              <w:rPr>
                <w:rFonts w:cs="Arial"/>
              </w:rPr>
            </w:pPr>
            <w:r w:rsidRPr="00FB6158">
              <w:t>Не се препоръчва адаптиране на дозата. Повишената експозиция на тенофовир може да потенцира нежелани реакции, свързани с тенофовир, включително бъбречни нарушения. Бъбречната функция трябва да се следи внимателно(вж. точка4.4).</w:t>
            </w:r>
          </w:p>
        </w:tc>
      </w:tr>
      <w:tr w:rsidR="00FB6158" w14:paraId="69C4079F" w14:textId="77777777" w:rsidTr="000F629B">
        <w:tc>
          <w:tcPr>
            <w:tcW w:w="3166" w:type="dxa"/>
          </w:tcPr>
          <w:p w14:paraId="402775AA" w14:textId="06D2C6D5" w:rsidR="00FB6158" w:rsidRPr="00FB6158" w:rsidRDefault="00FB6158" w:rsidP="00FB6158">
            <w:pPr>
              <w:rPr>
                <w:rFonts w:cs="Arial"/>
              </w:rPr>
            </w:pPr>
            <w:r w:rsidRPr="00FB6158">
              <w:t xml:space="preserve">Дарунавир/Ритонавир (300/100 </w:t>
            </w:r>
            <w:r w:rsidRPr="00FB6158">
              <w:rPr>
                <w:lang w:val="en-US"/>
              </w:rPr>
              <w:t xml:space="preserve">b.i.d./300 </w:t>
            </w:r>
            <w:proofErr w:type="spellStart"/>
            <w:r w:rsidRPr="00FB6158">
              <w:rPr>
                <w:lang w:val="en-US"/>
              </w:rPr>
              <w:t>q.d</w:t>
            </w:r>
            <w:proofErr w:type="spellEnd"/>
            <w:r w:rsidRPr="00FB6158">
              <w:rPr>
                <w:lang w:val="en-US"/>
              </w:rPr>
              <w:t>.)</w:t>
            </w:r>
          </w:p>
        </w:tc>
        <w:tc>
          <w:tcPr>
            <w:tcW w:w="3167" w:type="dxa"/>
            <w:vAlign w:val="bottom"/>
          </w:tcPr>
          <w:p w14:paraId="5F229C83" w14:textId="77777777" w:rsidR="00FB6158" w:rsidRPr="00FB6158" w:rsidRDefault="00FB6158" w:rsidP="00FB6158">
            <w:r w:rsidRPr="00FB6158">
              <w:t>Дарунавир:</w:t>
            </w:r>
          </w:p>
          <w:p w14:paraId="3F79A8BF" w14:textId="77777777" w:rsidR="00FB6158" w:rsidRPr="00FB6158" w:rsidRDefault="00FB6158" w:rsidP="00FB6158">
            <w:pPr>
              <w:rPr>
                <w:sz w:val="24"/>
                <w:szCs w:val="24"/>
                <w:lang w:eastAsia="bg-BG"/>
              </w:rPr>
            </w:pPr>
            <w:r w:rsidRPr="00FB6158">
              <w:t>Без значим ефект върху фармакокинетичните параметри на</w:t>
            </w:r>
            <w:r>
              <w:t xml:space="preserve"> </w:t>
            </w:r>
            <w:r w:rsidRPr="00FB6158">
              <w:rPr>
                <w:lang w:eastAsia="bg-BG"/>
              </w:rPr>
              <w:t>дарунавир/ритонавир,</w:t>
            </w:r>
          </w:p>
          <w:p w14:paraId="394B70E4" w14:textId="77777777" w:rsidR="00FB6158" w:rsidRPr="00FB6158" w:rsidRDefault="00FB6158" w:rsidP="00FB6158">
            <w:pPr>
              <w:rPr>
                <w:sz w:val="24"/>
                <w:szCs w:val="24"/>
                <w:lang w:eastAsia="bg-BG"/>
              </w:rPr>
            </w:pPr>
            <w:r w:rsidRPr="00FB6158">
              <w:rPr>
                <w:lang w:eastAsia="bg-BG"/>
              </w:rPr>
              <w:t>Тенофовир:</w:t>
            </w:r>
          </w:p>
          <w:p w14:paraId="1E36BBF0" w14:textId="77777777" w:rsidR="00FB6158" w:rsidRPr="00FB6158" w:rsidRDefault="00FB6158" w:rsidP="00FB6158">
            <w:pPr>
              <w:rPr>
                <w:sz w:val="24"/>
                <w:szCs w:val="24"/>
                <w:lang w:eastAsia="bg-BG"/>
              </w:rPr>
            </w:pPr>
            <w:r w:rsidRPr="00FB6158">
              <w:rPr>
                <w:lang w:val="en-US"/>
              </w:rPr>
              <w:t xml:space="preserve">AUC: </w:t>
            </w:r>
            <w:r w:rsidRPr="00FB6158">
              <w:rPr>
                <w:lang w:eastAsia="bg-BG"/>
              </w:rPr>
              <w:t>↑</w:t>
            </w:r>
            <w:r w:rsidRPr="00FB6158">
              <w:rPr>
                <w:lang w:val="en-US"/>
              </w:rPr>
              <w:t xml:space="preserve"> </w:t>
            </w:r>
            <w:r w:rsidRPr="00FB6158">
              <w:rPr>
                <w:lang w:eastAsia="bg-BG"/>
              </w:rPr>
              <w:t>22 %</w:t>
            </w:r>
          </w:p>
          <w:p w14:paraId="44D9CE01" w14:textId="34D4A940" w:rsidR="00FB6158" w:rsidRPr="00FB6158" w:rsidRDefault="00FB6158" w:rsidP="00FB6158">
            <w:pPr>
              <w:rPr>
                <w:rFonts w:cs="Arial"/>
              </w:rPr>
            </w:pPr>
            <w:proofErr w:type="spellStart"/>
            <w:r w:rsidRPr="00FB6158">
              <w:rPr>
                <w:lang w:val="en-US"/>
              </w:rPr>
              <w:t>Cmin</w:t>
            </w:r>
            <w:proofErr w:type="spellEnd"/>
            <w:r w:rsidRPr="00FB6158">
              <w:rPr>
                <w:lang w:val="en-US"/>
              </w:rPr>
              <w:t xml:space="preserve">: </w:t>
            </w:r>
            <w:r w:rsidRPr="00FB6158">
              <w:rPr>
                <w:lang w:eastAsia="bg-BG"/>
              </w:rPr>
              <w:t>↑</w:t>
            </w:r>
            <w:r w:rsidRPr="00FB6158">
              <w:rPr>
                <w:lang w:val="en-US"/>
              </w:rPr>
              <w:t xml:space="preserve"> </w:t>
            </w:r>
            <w:r w:rsidRPr="00FB6158">
              <w:rPr>
                <w:lang w:eastAsia="bg-BG"/>
              </w:rPr>
              <w:t>37 %</w:t>
            </w:r>
          </w:p>
        </w:tc>
        <w:tc>
          <w:tcPr>
            <w:tcW w:w="3167" w:type="dxa"/>
            <w:vAlign w:val="bottom"/>
          </w:tcPr>
          <w:p w14:paraId="6FD446F8" w14:textId="77777777" w:rsidR="00FB6158" w:rsidRPr="00FB6158" w:rsidRDefault="00FB6158" w:rsidP="00FB6158">
            <w:r w:rsidRPr="00FB6158">
              <w:t>Не се препоръчва адаптиране на дозата</w:t>
            </w:r>
          </w:p>
          <w:p w14:paraId="72C0CEA2" w14:textId="6762E8F7" w:rsidR="00FB6158" w:rsidRPr="00FB6158" w:rsidRDefault="00FB6158" w:rsidP="00FB6158">
            <w:pPr>
              <w:rPr>
                <w:rFonts w:ascii="Times New Roman" w:eastAsia="Times New Roman" w:hAnsi="Times New Roman" w:cs="Times New Roman"/>
                <w:sz w:val="24"/>
                <w:szCs w:val="24"/>
                <w:lang w:eastAsia="bg-BG"/>
              </w:rPr>
            </w:pPr>
            <w:r w:rsidRPr="00FB6158">
              <w:t>Повишената експозиция на</w:t>
            </w:r>
            <w:r>
              <w:t xml:space="preserve"> </w:t>
            </w:r>
            <w:r w:rsidRPr="00FB6158">
              <w:rPr>
                <w:lang w:eastAsia="bg-BG"/>
              </w:rPr>
              <w:t>Тенофовир може да потенцира нежелани реакции, свързани с тенофовир, включително бъбречни нарушения. Бъбречната функция трябва да се следи внимателно (вж. точка 4.4).</w:t>
            </w:r>
          </w:p>
        </w:tc>
      </w:tr>
      <w:tr w:rsidR="00FB6158" w14:paraId="757C5DDF" w14:textId="77777777" w:rsidTr="000F629B">
        <w:tc>
          <w:tcPr>
            <w:tcW w:w="9500" w:type="dxa"/>
            <w:gridSpan w:val="3"/>
          </w:tcPr>
          <w:p w14:paraId="77438CC5" w14:textId="1912DCF2" w:rsidR="00FB6158" w:rsidRPr="00FB6158" w:rsidRDefault="00FB6158" w:rsidP="00FB6158">
            <w:pPr>
              <w:rPr>
                <w:rFonts w:cs="Arial"/>
                <w:b/>
                <w:bCs/>
              </w:rPr>
            </w:pPr>
            <w:r w:rsidRPr="00FB6158">
              <w:rPr>
                <w:b/>
                <w:bCs/>
              </w:rPr>
              <w:t>ниот</w:t>
            </w:r>
          </w:p>
        </w:tc>
      </w:tr>
      <w:tr w:rsidR="00FB6158" w14:paraId="423D5E70" w14:textId="77777777" w:rsidTr="000F629B">
        <w:tc>
          <w:tcPr>
            <w:tcW w:w="3166" w:type="dxa"/>
          </w:tcPr>
          <w:p w14:paraId="3F2A1B0A" w14:textId="094CEAD4" w:rsidR="00FB6158" w:rsidRPr="00FB6158" w:rsidRDefault="00FB6158" w:rsidP="00FB6158">
            <w:pPr>
              <w:rPr>
                <w:rFonts w:cs="Arial"/>
              </w:rPr>
            </w:pPr>
            <w:r w:rsidRPr="00FB6158">
              <w:t>Диданозин</w:t>
            </w:r>
          </w:p>
        </w:tc>
        <w:tc>
          <w:tcPr>
            <w:tcW w:w="3167" w:type="dxa"/>
          </w:tcPr>
          <w:p w14:paraId="4D5C1F2E" w14:textId="66D984E8" w:rsidR="00FB6158" w:rsidRPr="00FB6158" w:rsidRDefault="00FB6158" w:rsidP="00FB6158">
            <w:pPr>
              <w:rPr>
                <w:rFonts w:cs="Arial"/>
              </w:rPr>
            </w:pPr>
            <w:r w:rsidRPr="00FB6158">
              <w:t>Едновременното приложение на тенофовир дизопроксил и диданозин води до 40-60 % повишаване на системната експозиция на диданозин</w:t>
            </w:r>
          </w:p>
        </w:tc>
        <w:tc>
          <w:tcPr>
            <w:tcW w:w="3167" w:type="dxa"/>
            <w:vAlign w:val="bottom"/>
          </w:tcPr>
          <w:p w14:paraId="62250BAA" w14:textId="41CC9378" w:rsidR="00FB6158" w:rsidRPr="00FB6158" w:rsidRDefault="00FB6158" w:rsidP="00FB6158">
            <w:pPr>
              <w:rPr>
                <w:rFonts w:cs="Arial"/>
              </w:rPr>
            </w:pPr>
            <w:r w:rsidRPr="00FB6158">
              <w:t xml:space="preserve">Не се препоръчва едновременното приложение на тенофовир дизопроксил и диданозин (вж. точка 4.4). Повишената системна експозиция на диданозин може да доведе до увеличаване на свързаните с диданозин нежелани реакции. Има редки съобщения за панкреатит и лактатна ацидоза, понякога с летален изход. Едновременното приложение на тенофовир дизопроксил и диданозин в доза от 400 </w:t>
            </w:r>
            <w:r w:rsidRPr="00FB6158">
              <w:rPr>
                <w:lang w:val="en-US"/>
              </w:rPr>
              <w:t xml:space="preserve">mg </w:t>
            </w:r>
            <w:r w:rsidRPr="00FB6158">
              <w:t xml:space="preserve">дневно е свързано със значимо намаляване на броя на </w:t>
            </w:r>
            <w:r w:rsidRPr="00FB6158">
              <w:rPr>
                <w:lang w:val="en-US"/>
              </w:rPr>
              <w:t xml:space="preserve">CD4 </w:t>
            </w:r>
            <w:r w:rsidRPr="00FB6158">
              <w:t xml:space="preserve">клетките, дължащо се вероятно на вътреклетъчно взаимодействие, което увеличава количеството на фосфорилирания (т.е. </w:t>
            </w:r>
            <w:r w:rsidRPr="00FB6158">
              <w:lastRenderedPageBreak/>
              <w:t xml:space="preserve">активния) диданозин. Намалената доза от 250 </w:t>
            </w:r>
            <w:r w:rsidRPr="00FB6158">
              <w:rPr>
                <w:lang w:val="en-US"/>
              </w:rPr>
              <w:t xml:space="preserve">mg </w:t>
            </w:r>
            <w:r w:rsidRPr="00FB6158">
              <w:t xml:space="preserve">диданозин, приложена едновременно с терапията с тенофовир дизопроксил, е свързана със съобщения за висока честота на вирусологичен неуспех в рамките на няколко проучвани комбинации за лечение на инфекция с </w:t>
            </w:r>
            <w:r w:rsidRPr="00FB6158">
              <w:rPr>
                <w:lang w:val="en-US"/>
              </w:rPr>
              <w:t xml:space="preserve">HIV </w:t>
            </w:r>
            <w:r w:rsidRPr="00FB6158">
              <w:t>1.</w:t>
            </w:r>
          </w:p>
        </w:tc>
      </w:tr>
      <w:tr w:rsidR="00FB6158" w14:paraId="6F8538E8" w14:textId="77777777" w:rsidTr="000F629B">
        <w:tc>
          <w:tcPr>
            <w:tcW w:w="3166" w:type="dxa"/>
          </w:tcPr>
          <w:p w14:paraId="475CB4D2" w14:textId="60423E9B" w:rsidR="00FB6158" w:rsidRPr="00FB6158" w:rsidRDefault="00FB6158" w:rsidP="00FB6158">
            <w:pPr>
              <w:rPr>
                <w:rFonts w:cs="Arial"/>
              </w:rPr>
            </w:pPr>
            <w:r w:rsidRPr="00FB6158">
              <w:lastRenderedPageBreak/>
              <w:t>Адефовир дипивоксил</w:t>
            </w:r>
          </w:p>
        </w:tc>
        <w:tc>
          <w:tcPr>
            <w:tcW w:w="3167" w:type="dxa"/>
          </w:tcPr>
          <w:p w14:paraId="10CD7660" w14:textId="77777777" w:rsidR="00FB6158" w:rsidRDefault="00FB6158" w:rsidP="00FB6158">
            <w:r w:rsidRPr="00FB6158">
              <w:rPr>
                <w:lang w:val="en-US"/>
              </w:rPr>
              <w:t xml:space="preserve">AUC: </w:t>
            </w:r>
            <w:r w:rsidRPr="00FB6158">
              <w:t xml:space="preserve">↔ </w:t>
            </w:r>
          </w:p>
          <w:p w14:paraId="4A91B6BA" w14:textId="2F4BFA48" w:rsidR="00FB6158" w:rsidRPr="00FB6158" w:rsidRDefault="00FB6158" w:rsidP="00FB6158">
            <w:pPr>
              <w:rPr>
                <w:rFonts w:cs="Arial"/>
              </w:rPr>
            </w:pPr>
            <w:r w:rsidRPr="00FB6158">
              <w:t>С</w:t>
            </w:r>
            <w:r w:rsidRPr="00FB6158">
              <w:rPr>
                <w:lang w:val="en-US"/>
              </w:rPr>
              <w:t>max</w:t>
            </w:r>
            <w:r w:rsidRPr="00FB6158">
              <w:t>: ↔</w:t>
            </w:r>
          </w:p>
        </w:tc>
        <w:tc>
          <w:tcPr>
            <w:tcW w:w="3167" w:type="dxa"/>
            <w:vAlign w:val="bottom"/>
          </w:tcPr>
          <w:p w14:paraId="103EF1DC" w14:textId="77777777" w:rsidR="00FB6158" w:rsidRPr="00FB6158" w:rsidRDefault="00FB6158" w:rsidP="00FB6158">
            <w:r w:rsidRPr="00FB6158">
              <w:t>Тенофовир дизопроксил не трябва да се прилага</w:t>
            </w:r>
            <w:r w:rsidRPr="00FB6158">
              <w:tab/>
            </w:r>
            <w:r w:rsidRPr="00FB6158">
              <w:tab/>
            </w:r>
          </w:p>
          <w:p w14:paraId="531BE0A0" w14:textId="59D137A6" w:rsidR="00FB6158" w:rsidRPr="00FB6158" w:rsidRDefault="00FB6158" w:rsidP="00FB6158">
            <w:pPr>
              <w:rPr>
                <w:rFonts w:cs="Arial"/>
              </w:rPr>
            </w:pPr>
            <w:r w:rsidRPr="00FB6158">
              <w:t>едновременно с адефовир дипивоксил (вж. точка 4.4).</w:t>
            </w:r>
          </w:p>
        </w:tc>
      </w:tr>
      <w:tr w:rsidR="00FB6158" w14:paraId="1BD3A2B5" w14:textId="77777777" w:rsidTr="000F629B">
        <w:tc>
          <w:tcPr>
            <w:tcW w:w="3166" w:type="dxa"/>
            <w:vAlign w:val="bottom"/>
          </w:tcPr>
          <w:p w14:paraId="64E513DD" w14:textId="4A50B405" w:rsidR="00FB6158" w:rsidRPr="00FB6158" w:rsidRDefault="00FB6158" w:rsidP="00FB6158">
            <w:pPr>
              <w:rPr>
                <w:rFonts w:cs="Arial"/>
              </w:rPr>
            </w:pPr>
            <w:r w:rsidRPr="00FB6158">
              <w:rPr>
                <w:u w:val="single"/>
              </w:rPr>
              <w:t>Ентекавир</w:t>
            </w:r>
          </w:p>
        </w:tc>
        <w:tc>
          <w:tcPr>
            <w:tcW w:w="3167" w:type="dxa"/>
            <w:vAlign w:val="bottom"/>
          </w:tcPr>
          <w:p w14:paraId="740A5297" w14:textId="77777777" w:rsidR="00FB6158" w:rsidRDefault="00FB6158" w:rsidP="00FB6158">
            <w:pPr>
              <w:rPr>
                <w:lang w:val="en-US"/>
              </w:rPr>
            </w:pPr>
            <w:r w:rsidRPr="00FB6158">
              <w:rPr>
                <w:lang w:val="en-US"/>
              </w:rPr>
              <w:t>AUC:</w:t>
            </w:r>
            <w:r>
              <w:t xml:space="preserve"> </w:t>
            </w:r>
            <w:r w:rsidRPr="00FB6158">
              <w:rPr>
                <w:lang w:val="en-US"/>
              </w:rPr>
              <w:t>↔</w:t>
            </w:r>
          </w:p>
          <w:p w14:paraId="43380197" w14:textId="5031B907" w:rsidR="00FB6158" w:rsidRPr="00FB6158" w:rsidRDefault="00FB6158" w:rsidP="00FB6158">
            <w:pPr>
              <w:rPr>
                <w:rFonts w:cs="Arial"/>
              </w:rPr>
            </w:pPr>
            <w:r>
              <w:t>Cmax: ↔</w:t>
            </w:r>
          </w:p>
        </w:tc>
        <w:tc>
          <w:tcPr>
            <w:tcW w:w="3167" w:type="dxa"/>
            <w:vAlign w:val="bottom"/>
          </w:tcPr>
          <w:p w14:paraId="56A1E4CE" w14:textId="05729C1A" w:rsidR="00FB6158" w:rsidRPr="00FB6158" w:rsidRDefault="00FB6158" w:rsidP="00FB6158">
            <w:pPr>
              <w:rPr>
                <w:rFonts w:cs="Arial"/>
              </w:rPr>
            </w:pPr>
            <w:r w:rsidRPr="00FB6158">
              <w:t>Няма клинично значими фармакокинетични взаимодействия при едновременното приложение на тенофовир Дизопроксил с ентекавир.</w:t>
            </w:r>
          </w:p>
        </w:tc>
      </w:tr>
      <w:tr w:rsidR="00FB6158" w14:paraId="367B196C" w14:textId="77777777" w:rsidTr="000F629B">
        <w:tc>
          <w:tcPr>
            <w:tcW w:w="9500" w:type="dxa"/>
            <w:gridSpan w:val="3"/>
          </w:tcPr>
          <w:p w14:paraId="7F713E97" w14:textId="3F2173E2" w:rsidR="00FB6158" w:rsidRPr="00FB6158" w:rsidRDefault="00FB6158" w:rsidP="00FB6158">
            <w:pPr>
              <w:rPr>
                <w:rFonts w:cs="Arial"/>
                <w:b/>
                <w:bCs/>
              </w:rPr>
            </w:pPr>
            <w:r w:rsidRPr="00FB6158">
              <w:rPr>
                <w:b/>
                <w:bCs/>
              </w:rPr>
              <w:t>Антивирусни средства срещу хепатит С</w:t>
            </w:r>
          </w:p>
        </w:tc>
      </w:tr>
      <w:tr w:rsidR="00FB6158" w14:paraId="45E96DFD" w14:textId="77777777" w:rsidTr="000F629B">
        <w:tc>
          <w:tcPr>
            <w:tcW w:w="3166" w:type="dxa"/>
          </w:tcPr>
          <w:p w14:paraId="2B8B13BC" w14:textId="7E79C6EF" w:rsidR="00FB6158" w:rsidRPr="00FB6158" w:rsidRDefault="00FB6158" w:rsidP="00FB6158">
            <w:pPr>
              <w:rPr>
                <w:rFonts w:cs="Arial"/>
              </w:rPr>
            </w:pPr>
            <w:r w:rsidRPr="00FB6158">
              <w:t xml:space="preserve">Ледипасвир/Софосбувир (90 </w:t>
            </w:r>
            <w:r w:rsidRPr="00FB6158">
              <w:rPr>
                <w:lang w:val="en-US"/>
              </w:rPr>
              <w:t xml:space="preserve">mg/400 mg </w:t>
            </w:r>
            <w:proofErr w:type="spellStart"/>
            <w:r w:rsidRPr="00FB6158">
              <w:rPr>
                <w:lang w:val="en-US"/>
              </w:rPr>
              <w:t>q.d</w:t>
            </w:r>
            <w:proofErr w:type="spellEnd"/>
            <w:r w:rsidRPr="00FB6158">
              <w:rPr>
                <w:lang w:val="en-US"/>
              </w:rPr>
              <w:t xml:space="preserve">.) </w:t>
            </w:r>
            <w:r w:rsidRPr="00FB6158">
              <w:t xml:space="preserve">+ Атазанавир/Ритонавир (300 </w:t>
            </w:r>
            <w:r w:rsidRPr="00FB6158">
              <w:rPr>
                <w:lang w:val="en-US"/>
              </w:rPr>
              <w:t xml:space="preserve">mg </w:t>
            </w:r>
            <w:proofErr w:type="spellStart"/>
            <w:r w:rsidRPr="00FB6158">
              <w:rPr>
                <w:lang w:val="en-US"/>
              </w:rPr>
              <w:t>q.d</w:t>
            </w:r>
            <w:proofErr w:type="spellEnd"/>
            <w:r w:rsidRPr="00FB6158">
              <w:rPr>
                <w:lang w:val="en-US"/>
              </w:rPr>
              <w:t>.</w:t>
            </w:r>
            <w:r w:rsidRPr="00FB6158">
              <w:t xml:space="preserve">/100 </w:t>
            </w:r>
            <w:r w:rsidRPr="00FB6158">
              <w:rPr>
                <w:lang w:val="en-US"/>
              </w:rPr>
              <w:t xml:space="preserve">mg </w:t>
            </w:r>
            <w:proofErr w:type="spellStart"/>
            <w:r w:rsidRPr="00FB6158">
              <w:rPr>
                <w:lang w:val="en-US"/>
              </w:rPr>
              <w:t>q.d</w:t>
            </w:r>
            <w:proofErr w:type="spellEnd"/>
            <w:r w:rsidRPr="00FB6158">
              <w:rPr>
                <w:lang w:val="en-US"/>
              </w:rPr>
              <w:t xml:space="preserve">.) + </w:t>
            </w:r>
            <w:r w:rsidRPr="00FB6158">
              <w:t xml:space="preserve">Емтрицитабин/Тенофовир дизопроксил </w:t>
            </w:r>
            <w:r w:rsidRPr="00FB6158">
              <w:rPr>
                <w:lang w:val="en-US"/>
              </w:rPr>
              <w:t xml:space="preserve">(200 mg/245 mg </w:t>
            </w:r>
            <w:proofErr w:type="spellStart"/>
            <w:r w:rsidRPr="00FB6158">
              <w:rPr>
                <w:lang w:val="en-US"/>
              </w:rPr>
              <w:t>q.d</w:t>
            </w:r>
            <w:proofErr w:type="spellEnd"/>
            <w:r w:rsidRPr="00FB6158">
              <w:rPr>
                <w:lang w:val="en-US"/>
              </w:rPr>
              <w:t>.)</w:t>
            </w:r>
            <w:r w:rsidRPr="00FB6158">
              <w:rPr>
                <w:vertAlign w:val="superscript"/>
                <w:lang w:val="en-US"/>
              </w:rPr>
              <w:t>1</w:t>
            </w:r>
          </w:p>
        </w:tc>
        <w:tc>
          <w:tcPr>
            <w:tcW w:w="3167" w:type="dxa"/>
            <w:vAlign w:val="bottom"/>
          </w:tcPr>
          <w:p w14:paraId="08629CFB" w14:textId="77777777" w:rsidR="00FB6158" w:rsidRDefault="00FB6158" w:rsidP="00FB6158">
            <w:r w:rsidRPr="00FB6158">
              <w:t xml:space="preserve">Ледипасвир: </w:t>
            </w:r>
          </w:p>
          <w:p w14:paraId="3AC8F25C" w14:textId="77777777" w:rsidR="00FB6158" w:rsidRDefault="00FB6158" w:rsidP="00FB6158">
            <w:r w:rsidRPr="00FB6158">
              <w:rPr>
                <w:lang w:val="en-US"/>
              </w:rPr>
              <w:t xml:space="preserve">AUC: ↑ </w:t>
            </w:r>
            <w:r w:rsidRPr="00FB6158">
              <w:t xml:space="preserve">96 % </w:t>
            </w:r>
          </w:p>
          <w:p w14:paraId="78C210DF" w14:textId="77777777" w:rsidR="00FB6158" w:rsidRDefault="00FB6158" w:rsidP="00FB6158">
            <w:pPr>
              <w:rPr>
                <w:lang w:val="en-US"/>
              </w:rPr>
            </w:pPr>
            <w:proofErr w:type="spellStart"/>
            <w:r w:rsidRPr="00FB6158">
              <w:rPr>
                <w:lang w:val="en-US"/>
              </w:rPr>
              <w:t>Cmax</w:t>
            </w:r>
            <w:proofErr w:type="spellEnd"/>
            <w:r w:rsidRPr="00FB6158">
              <w:rPr>
                <w:lang w:val="en-US"/>
              </w:rPr>
              <w:t xml:space="preserve">: ↑68 % </w:t>
            </w:r>
          </w:p>
          <w:p w14:paraId="20D1BAAF" w14:textId="4A068FA9" w:rsidR="00FB6158" w:rsidRPr="00FB6158" w:rsidRDefault="00FB6158" w:rsidP="00FB6158">
            <w:proofErr w:type="spellStart"/>
            <w:r w:rsidRPr="00FB6158">
              <w:rPr>
                <w:lang w:val="en-US"/>
              </w:rPr>
              <w:t>Cmin</w:t>
            </w:r>
            <w:proofErr w:type="spellEnd"/>
            <w:r w:rsidRPr="00FB6158">
              <w:rPr>
                <w:lang w:val="en-US"/>
              </w:rPr>
              <w:t>: ↑ 118%</w:t>
            </w:r>
          </w:p>
          <w:p w14:paraId="02560C12" w14:textId="77777777" w:rsidR="000F629B" w:rsidRDefault="000F629B" w:rsidP="00FB6158"/>
          <w:p w14:paraId="28F388CB" w14:textId="1A09BAF5" w:rsidR="00FB6158" w:rsidRPr="00FB6158" w:rsidRDefault="00FB6158" w:rsidP="00FB6158">
            <w:r w:rsidRPr="00FB6158">
              <w:t>Софосбувир:</w:t>
            </w:r>
          </w:p>
          <w:p w14:paraId="21D39696" w14:textId="77777777" w:rsidR="00FB6158" w:rsidRPr="00FB6158" w:rsidRDefault="00FB6158" w:rsidP="00FB6158">
            <w:proofErr w:type="gramStart"/>
            <w:r w:rsidRPr="00FB6158">
              <w:rPr>
                <w:lang w:val="en-US"/>
              </w:rPr>
              <w:t>AUC:↔</w:t>
            </w:r>
            <w:proofErr w:type="gramEnd"/>
          </w:p>
          <w:p w14:paraId="4D44ACDE" w14:textId="77777777" w:rsidR="00FB6158" w:rsidRPr="00FB6158" w:rsidRDefault="00FB6158" w:rsidP="00FB6158">
            <w:proofErr w:type="spellStart"/>
            <w:proofErr w:type="gramStart"/>
            <w:r w:rsidRPr="00FB6158">
              <w:rPr>
                <w:lang w:val="en-US"/>
              </w:rPr>
              <w:t>Cmax</w:t>
            </w:r>
            <w:proofErr w:type="spellEnd"/>
            <w:r w:rsidRPr="00FB6158">
              <w:rPr>
                <w:lang w:val="en-US"/>
              </w:rPr>
              <w:t>:↔</w:t>
            </w:r>
            <w:proofErr w:type="gramEnd"/>
          </w:p>
          <w:p w14:paraId="72406CD5" w14:textId="77777777" w:rsidR="000F629B" w:rsidRDefault="000F629B" w:rsidP="00FB6158">
            <w:pPr>
              <w:rPr>
                <w:lang w:val="en-US"/>
              </w:rPr>
            </w:pPr>
          </w:p>
          <w:p w14:paraId="5EA89936" w14:textId="257E1D8D" w:rsidR="00FB6158" w:rsidRPr="00FB6158" w:rsidRDefault="00FB6158" w:rsidP="00FB6158">
            <w:r w:rsidRPr="00FB6158">
              <w:rPr>
                <w:lang w:val="en-US"/>
              </w:rPr>
              <w:t>GS-331007</w:t>
            </w:r>
            <w:r w:rsidRPr="00FB6158">
              <w:rPr>
                <w:vertAlign w:val="superscript"/>
                <w:lang w:val="en-US"/>
              </w:rPr>
              <w:t>2</w:t>
            </w:r>
            <w:r w:rsidRPr="00FB6158">
              <w:rPr>
                <w:lang w:val="en-US"/>
              </w:rPr>
              <w:t>:</w:t>
            </w:r>
          </w:p>
          <w:p w14:paraId="050AA149" w14:textId="77777777" w:rsidR="00FB6158" w:rsidRPr="00FB6158" w:rsidRDefault="00FB6158" w:rsidP="00FB6158">
            <w:r w:rsidRPr="00FB6158">
              <w:rPr>
                <w:lang w:val="en-US"/>
              </w:rPr>
              <w:t>AUC: ↔</w:t>
            </w:r>
          </w:p>
          <w:p w14:paraId="03DA19E2" w14:textId="77777777" w:rsidR="00FB6158" w:rsidRPr="00FB6158" w:rsidRDefault="00FB6158" w:rsidP="00FB6158">
            <w:proofErr w:type="spellStart"/>
            <w:r w:rsidRPr="00FB6158">
              <w:rPr>
                <w:lang w:val="en-US"/>
              </w:rPr>
              <w:t>Cmax</w:t>
            </w:r>
            <w:proofErr w:type="spellEnd"/>
            <w:r w:rsidRPr="00FB6158">
              <w:rPr>
                <w:lang w:val="en-US"/>
              </w:rPr>
              <w:t>: ↔</w:t>
            </w:r>
          </w:p>
          <w:p w14:paraId="611F9498" w14:textId="77777777" w:rsidR="00FB6158" w:rsidRPr="00FB6158" w:rsidRDefault="00FB6158" w:rsidP="00FB6158">
            <w:proofErr w:type="spellStart"/>
            <w:r w:rsidRPr="00FB6158">
              <w:rPr>
                <w:lang w:val="en-US"/>
              </w:rPr>
              <w:t>Cmin</w:t>
            </w:r>
            <w:proofErr w:type="spellEnd"/>
            <w:r w:rsidRPr="00FB6158">
              <w:rPr>
                <w:lang w:val="en-US"/>
              </w:rPr>
              <w:t>: ↑ 42 %</w:t>
            </w:r>
          </w:p>
          <w:p w14:paraId="22C5D1AE" w14:textId="77777777" w:rsidR="000F629B" w:rsidRDefault="000F629B" w:rsidP="00FB6158"/>
          <w:p w14:paraId="13946C7B" w14:textId="12CECE1C" w:rsidR="00FB6158" w:rsidRPr="00FB6158" w:rsidRDefault="00FB6158" w:rsidP="00FB6158">
            <w:r w:rsidRPr="00FB6158">
              <w:t>Атазанавир:</w:t>
            </w:r>
          </w:p>
          <w:p w14:paraId="40125551" w14:textId="77777777" w:rsidR="00FB6158" w:rsidRPr="00FB6158" w:rsidRDefault="00FB6158" w:rsidP="00FB6158">
            <w:r w:rsidRPr="00FB6158">
              <w:rPr>
                <w:lang w:val="en-US"/>
              </w:rPr>
              <w:t>AUC: ↔</w:t>
            </w:r>
          </w:p>
          <w:p w14:paraId="1A5FEBD4" w14:textId="77777777" w:rsidR="00FB6158" w:rsidRPr="00FB6158" w:rsidRDefault="00FB6158" w:rsidP="00FB6158">
            <w:proofErr w:type="spellStart"/>
            <w:r w:rsidRPr="00FB6158">
              <w:rPr>
                <w:lang w:val="en-US"/>
              </w:rPr>
              <w:t>Cmax</w:t>
            </w:r>
            <w:proofErr w:type="spellEnd"/>
            <w:r w:rsidRPr="00FB6158">
              <w:rPr>
                <w:lang w:val="en-US"/>
              </w:rPr>
              <w:t>: ↔</w:t>
            </w:r>
          </w:p>
          <w:p w14:paraId="6CE6F0F7" w14:textId="77777777" w:rsidR="00FB6158" w:rsidRPr="00FB6158" w:rsidRDefault="00FB6158" w:rsidP="00FB6158">
            <w:proofErr w:type="spellStart"/>
            <w:r w:rsidRPr="00FB6158">
              <w:rPr>
                <w:lang w:val="en-US"/>
              </w:rPr>
              <w:t>Cmin</w:t>
            </w:r>
            <w:proofErr w:type="spellEnd"/>
            <w:r w:rsidRPr="00FB6158">
              <w:rPr>
                <w:lang w:val="en-US"/>
              </w:rPr>
              <w:t>: ↑ 63 %</w:t>
            </w:r>
          </w:p>
          <w:p w14:paraId="2347C149" w14:textId="77777777" w:rsidR="000F629B" w:rsidRDefault="000F629B" w:rsidP="00FB6158"/>
          <w:p w14:paraId="626D5C78" w14:textId="4A045543" w:rsidR="00FB6158" w:rsidRDefault="00FB6158" w:rsidP="00FB6158">
            <w:r w:rsidRPr="00FB6158">
              <w:t xml:space="preserve">Ритонавир: </w:t>
            </w:r>
          </w:p>
          <w:p w14:paraId="72B72279" w14:textId="480E29FB" w:rsidR="00FB6158" w:rsidRPr="00FB6158" w:rsidRDefault="00FB6158" w:rsidP="00FB6158">
            <w:r w:rsidRPr="00FB6158">
              <w:rPr>
                <w:lang w:val="en-US"/>
              </w:rPr>
              <w:t>AUC: ↔</w:t>
            </w:r>
          </w:p>
          <w:p w14:paraId="76B267C7" w14:textId="77777777" w:rsidR="00FB6158" w:rsidRPr="00FB6158" w:rsidRDefault="00FB6158" w:rsidP="00FB6158">
            <w:proofErr w:type="spellStart"/>
            <w:proofErr w:type="gramStart"/>
            <w:r w:rsidRPr="00FB6158">
              <w:rPr>
                <w:lang w:val="en-US"/>
              </w:rPr>
              <w:t>Cmax</w:t>
            </w:r>
            <w:proofErr w:type="spellEnd"/>
            <w:r w:rsidRPr="00FB6158">
              <w:rPr>
                <w:lang w:val="en-US"/>
              </w:rPr>
              <w:t>:↔</w:t>
            </w:r>
            <w:proofErr w:type="gramEnd"/>
          </w:p>
          <w:p w14:paraId="354425D2" w14:textId="77777777" w:rsidR="00FB6158" w:rsidRPr="00FB6158" w:rsidRDefault="00FB6158" w:rsidP="00FB6158">
            <w:proofErr w:type="spellStart"/>
            <w:r w:rsidRPr="00FB6158">
              <w:rPr>
                <w:lang w:val="en-US"/>
              </w:rPr>
              <w:t>Cmin</w:t>
            </w:r>
            <w:proofErr w:type="spellEnd"/>
            <w:r w:rsidRPr="00FB6158">
              <w:rPr>
                <w:lang w:val="en-US"/>
              </w:rPr>
              <w:t>: ↑ 45 %</w:t>
            </w:r>
          </w:p>
          <w:p w14:paraId="6AA7FF91" w14:textId="77777777" w:rsidR="000F629B" w:rsidRDefault="000F629B" w:rsidP="00FB6158"/>
          <w:p w14:paraId="126BABC1" w14:textId="166CE55E" w:rsidR="00FB6158" w:rsidRPr="00FB6158" w:rsidRDefault="00FB6158" w:rsidP="00FB6158">
            <w:r w:rsidRPr="00FB6158">
              <w:t>Емтрицитабин:</w:t>
            </w:r>
          </w:p>
          <w:p w14:paraId="47A8C302" w14:textId="77777777" w:rsidR="00FB6158" w:rsidRPr="00FB6158" w:rsidRDefault="00FB6158" w:rsidP="00FB6158">
            <w:proofErr w:type="gramStart"/>
            <w:r w:rsidRPr="00FB6158">
              <w:rPr>
                <w:lang w:val="en-US"/>
              </w:rPr>
              <w:t>AUC:↔</w:t>
            </w:r>
            <w:proofErr w:type="gramEnd"/>
          </w:p>
          <w:p w14:paraId="36C2B6EE" w14:textId="77777777" w:rsidR="00FB6158" w:rsidRDefault="00FB6158" w:rsidP="00FB6158">
            <w:pPr>
              <w:rPr>
                <w:lang w:val="en-US"/>
              </w:rPr>
            </w:pPr>
            <w:proofErr w:type="spellStart"/>
            <w:r w:rsidRPr="00FB6158">
              <w:rPr>
                <w:lang w:val="en-US"/>
              </w:rPr>
              <w:t>Cmax</w:t>
            </w:r>
            <w:proofErr w:type="spellEnd"/>
            <w:r w:rsidRPr="00FB6158">
              <w:rPr>
                <w:lang w:val="en-US"/>
              </w:rPr>
              <w:t xml:space="preserve">: ↔ </w:t>
            </w:r>
          </w:p>
          <w:p w14:paraId="304E10E6" w14:textId="18816314" w:rsidR="00FB6158" w:rsidRPr="00FB6158" w:rsidRDefault="00FB6158" w:rsidP="00FB6158">
            <w:proofErr w:type="spellStart"/>
            <w:proofErr w:type="gramStart"/>
            <w:r w:rsidRPr="00FB6158">
              <w:rPr>
                <w:lang w:val="en-US"/>
              </w:rPr>
              <w:t>Cmin</w:t>
            </w:r>
            <w:proofErr w:type="spellEnd"/>
            <w:r w:rsidRPr="00FB6158">
              <w:rPr>
                <w:lang w:val="en-US"/>
              </w:rPr>
              <w:t>:↔</w:t>
            </w:r>
            <w:proofErr w:type="gramEnd"/>
          </w:p>
          <w:p w14:paraId="2EE1BF8C" w14:textId="77777777" w:rsidR="000F629B" w:rsidRDefault="000F629B" w:rsidP="00FB6158"/>
          <w:p w14:paraId="3727E5D0" w14:textId="60D0372E" w:rsidR="00FB6158" w:rsidRDefault="00FB6158" w:rsidP="00FB6158">
            <w:r w:rsidRPr="00FB6158">
              <w:t xml:space="preserve">Тенофовир: </w:t>
            </w:r>
          </w:p>
          <w:p w14:paraId="3DEB13FB" w14:textId="66F098EF" w:rsidR="00FB6158" w:rsidRPr="00FB6158" w:rsidRDefault="00FB6158" w:rsidP="00FB6158">
            <w:r w:rsidRPr="00FB6158">
              <w:rPr>
                <w:lang w:val="en-US"/>
              </w:rPr>
              <w:t>AUC: ↔</w:t>
            </w:r>
          </w:p>
          <w:p w14:paraId="1CE065C3" w14:textId="77777777" w:rsidR="00FB6158" w:rsidRDefault="00FB6158" w:rsidP="00FB6158">
            <w:pPr>
              <w:rPr>
                <w:lang w:val="en-US"/>
              </w:rPr>
            </w:pPr>
            <w:proofErr w:type="spellStart"/>
            <w:r w:rsidRPr="00FB6158">
              <w:rPr>
                <w:lang w:val="en-US"/>
              </w:rPr>
              <w:t>Cmax</w:t>
            </w:r>
            <w:proofErr w:type="spellEnd"/>
            <w:r w:rsidRPr="00FB6158">
              <w:rPr>
                <w:lang w:val="en-US"/>
              </w:rPr>
              <w:t xml:space="preserve">: ↑ 47 % </w:t>
            </w:r>
          </w:p>
          <w:p w14:paraId="1180E26D" w14:textId="10A82000" w:rsidR="00FB6158" w:rsidRPr="00FB6158" w:rsidRDefault="00FB6158" w:rsidP="00FB6158">
            <w:pPr>
              <w:rPr>
                <w:rFonts w:cs="Arial"/>
              </w:rPr>
            </w:pPr>
            <w:proofErr w:type="spellStart"/>
            <w:r w:rsidRPr="00FB6158">
              <w:rPr>
                <w:lang w:val="en-US"/>
              </w:rPr>
              <w:t>Cmin</w:t>
            </w:r>
            <w:proofErr w:type="spellEnd"/>
            <w:r w:rsidRPr="00FB6158">
              <w:rPr>
                <w:lang w:val="en-US"/>
              </w:rPr>
              <w:t>: ↑47 %</w:t>
            </w:r>
          </w:p>
        </w:tc>
        <w:tc>
          <w:tcPr>
            <w:tcW w:w="3167" w:type="dxa"/>
          </w:tcPr>
          <w:p w14:paraId="53384BBF" w14:textId="77777777" w:rsidR="00FB6158" w:rsidRPr="00FB6158" w:rsidRDefault="00FB6158" w:rsidP="00FB6158">
            <w:r w:rsidRPr="00FB6158">
              <w:lastRenderedPageBreak/>
              <w:t>Повишените плазмени концентрации на тенофовир в резултат на едновременното приложение със тенофовир дизопроксил, ледипасвир/софосбувир и атазанавир/ритонавир може да повиши нежеланите реакции, свързани с тенофовир дизопроксил, включително бъбречни нарушения. Безопасността на тенофовир дизопроксил при приложението му едновременно с ледипасвир/софосбувир и фармакокинетичен енхансер (например ритонавир или кобицистат) не е установена.</w:t>
            </w:r>
          </w:p>
          <w:p w14:paraId="187B1BE2" w14:textId="31BEB66E" w:rsidR="00FB6158" w:rsidRPr="00FB6158" w:rsidRDefault="00FB6158" w:rsidP="00FB6158">
            <w:pPr>
              <w:rPr>
                <w:rFonts w:cs="Arial"/>
              </w:rPr>
            </w:pPr>
            <w:r w:rsidRPr="00FB6158">
              <w:t xml:space="preserve">Комбинацията трябва да се използва внимателно с </w:t>
            </w:r>
            <w:r w:rsidRPr="00FB6158">
              <w:lastRenderedPageBreak/>
              <w:t>често проследяване на бъбречната функция, ако няма други налични алтернативи (вж. точка 4.4).</w:t>
            </w:r>
          </w:p>
        </w:tc>
      </w:tr>
      <w:tr w:rsidR="00FB6158" w14:paraId="78AE4A93" w14:textId="77777777" w:rsidTr="000F629B">
        <w:tc>
          <w:tcPr>
            <w:tcW w:w="3166" w:type="dxa"/>
          </w:tcPr>
          <w:p w14:paraId="272D684A" w14:textId="7C695DD8" w:rsidR="00FB6158" w:rsidRPr="00FB6158" w:rsidRDefault="00FB6158" w:rsidP="00FB6158">
            <w:pPr>
              <w:rPr>
                <w:rFonts w:cs="Arial"/>
              </w:rPr>
            </w:pPr>
            <w:r w:rsidRPr="00FB6158">
              <w:lastRenderedPageBreak/>
              <w:t xml:space="preserve">Ледипасвир/Софосбувир </w:t>
            </w:r>
            <w:r w:rsidRPr="00FB6158">
              <w:rPr>
                <w:lang w:val="en-US"/>
              </w:rPr>
              <w:t xml:space="preserve">(90 mg/400 mg </w:t>
            </w:r>
            <w:proofErr w:type="spellStart"/>
            <w:r w:rsidRPr="00FB6158">
              <w:rPr>
                <w:lang w:val="en-US"/>
              </w:rPr>
              <w:t>q.d</w:t>
            </w:r>
            <w:proofErr w:type="spellEnd"/>
            <w:r w:rsidRPr="00FB6158">
              <w:rPr>
                <w:lang w:val="en-US"/>
              </w:rPr>
              <w:t xml:space="preserve">.) + </w:t>
            </w:r>
            <w:r w:rsidRPr="00FB6158">
              <w:t xml:space="preserve">Дарунавир/Ритонавир </w:t>
            </w:r>
            <w:r w:rsidRPr="00FB6158">
              <w:rPr>
                <w:lang w:val="en-US"/>
              </w:rPr>
              <w:t xml:space="preserve">(800 mg </w:t>
            </w:r>
            <w:proofErr w:type="spellStart"/>
            <w:r w:rsidRPr="00FB6158">
              <w:rPr>
                <w:lang w:val="en-US"/>
              </w:rPr>
              <w:t>q.d</w:t>
            </w:r>
            <w:proofErr w:type="spellEnd"/>
            <w:r w:rsidRPr="00FB6158">
              <w:rPr>
                <w:lang w:val="en-US"/>
              </w:rPr>
              <w:t>.</w:t>
            </w:r>
            <w:r w:rsidRPr="00FB6158">
              <w:t xml:space="preserve">/ЮО </w:t>
            </w:r>
            <w:r w:rsidRPr="00FB6158">
              <w:rPr>
                <w:lang w:val="en-US"/>
              </w:rPr>
              <w:t xml:space="preserve">mg </w:t>
            </w:r>
            <w:proofErr w:type="spellStart"/>
            <w:r w:rsidRPr="00FB6158">
              <w:rPr>
                <w:lang w:val="en-US"/>
              </w:rPr>
              <w:t>q.d</w:t>
            </w:r>
            <w:proofErr w:type="spellEnd"/>
            <w:r w:rsidRPr="00FB6158">
              <w:rPr>
                <w:lang w:val="en-US"/>
              </w:rPr>
              <w:t xml:space="preserve">.) + </w:t>
            </w:r>
            <w:r w:rsidRPr="00FB6158">
              <w:t xml:space="preserve">Емтрицитабин/Тенофовир дизопроксил </w:t>
            </w:r>
            <w:r w:rsidRPr="00FB6158">
              <w:rPr>
                <w:lang w:val="en-US"/>
              </w:rPr>
              <w:t xml:space="preserve">(200 mg/245 mg </w:t>
            </w:r>
            <w:proofErr w:type="spellStart"/>
            <w:r w:rsidRPr="00FB6158">
              <w:rPr>
                <w:lang w:val="en-US"/>
              </w:rPr>
              <w:t>q.d</w:t>
            </w:r>
            <w:proofErr w:type="spellEnd"/>
            <w:r w:rsidRPr="00FB6158">
              <w:rPr>
                <w:lang w:val="en-US"/>
              </w:rPr>
              <w:t>.)</w:t>
            </w:r>
            <w:r w:rsidRPr="00FB6158">
              <w:rPr>
                <w:vertAlign w:val="superscript"/>
                <w:lang w:val="en-US"/>
              </w:rPr>
              <w:t>1</w:t>
            </w:r>
          </w:p>
        </w:tc>
        <w:tc>
          <w:tcPr>
            <w:tcW w:w="3167" w:type="dxa"/>
            <w:vAlign w:val="bottom"/>
          </w:tcPr>
          <w:p w14:paraId="71421709" w14:textId="77777777" w:rsidR="00FB6158" w:rsidRPr="00FB6158" w:rsidRDefault="00FB6158" w:rsidP="00FB6158">
            <w:r w:rsidRPr="00FB6158">
              <w:t>Ледипасвир:</w:t>
            </w:r>
          </w:p>
          <w:p w14:paraId="0F7A9FF2" w14:textId="77777777" w:rsidR="00FB6158" w:rsidRPr="00FB6158" w:rsidRDefault="00FB6158" w:rsidP="00FB6158">
            <w:proofErr w:type="gramStart"/>
            <w:r w:rsidRPr="00FB6158">
              <w:rPr>
                <w:lang w:val="en-US"/>
              </w:rPr>
              <w:t>AUC:↔</w:t>
            </w:r>
            <w:proofErr w:type="gramEnd"/>
          </w:p>
          <w:p w14:paraId="6E56BB23" w14:textId="77777777" w:rsidR="00FB6158" w:rsidRPr="00FB6158" w:rsidRDefault="00FB6158" w:rsidP="00FB6158">
            <w:proofErr w:type="spellStart"/>
            <w:r w:rsidRPr="00FB6158">
              <w:rPr>
                <w:lang w:val="en-US"/>
              </w:rPr>
              <w:t>Cmax</w:t>
            </w:r>
            <w:proofErr w:type="spellEnd"/>
            <w:r w:rsidRPr="00FB6158">
              <w:rPr>
                <w:lang w:val="en-US"/>
              </w:rPr>
              <w:t>: ↔</w:t>
            </w:r>
          </w:p>
          <w:p w14:paraId="10561EB6" w14:textId="77777777" w:rsidR="00FB6158" w:rsidRPr="00FB6158" w:rsidRDefault="00FB6158" w:rsidP="00FB6158">
            <w:proofErr w:type="spellStart"/>
            <w:r w:rsidRPr="00FB6158">
              <w:rPr>
                <w:lang w:val="en-US"/>
              </w:rPr>
              <w:t>Cmin</w:t>
            </w:r>
            <w:proofErr w:type="spellEnd"/>
            <w:r w:rsidRPr="00FB6158">
              <w:rPr>
                <w:lang w:val="en-US"/>
              </w:rPr>
              <w:t>: ↔</w:t>
            </w:r>
          </w:p>
          <w:p w14:paraId="762577AC" w14:textId="77777777" w:rsidR="000F629B" w:rsidRDefault="000F629B" w:rsidP="00FB6158"/>
          <w:p w14:paraId="52E4DC4C" w14:textId="73AAAFC1" w:rsidR="00FB6158" w:rsidRPr="00FB6158" w:rsidRDefault="00FB6158" w:rsidP="00FB6158">
            <w:r w:rsidRPr="00FB6158">
              <w:t>Софосбувир:</w:t>
            </w:r>
          </w:p>
          <w:p w14:paraId="30E42195" w14:textId="77777777" w:rsidR="00FB6158" w:rsidRPr="00FB6158" w:rsidRDefault="00FB6158" w:rsidP="00FB6158">
            <w:r w:rsidRPr="00FB6158">
              <w:rPr>
                <w:lang w:val="en-US"/>
              </w:rPr>
              <w:t>AUC: ↑ 27 %</w:t>
            </w:r>
          </w:p>
          <w:p w14:paraId="3AE92007" w14:textId="77777777" w:rsidR="00FB6158" w:rsidRPr="00FB6158" w:rsidRDefault="00FB6158" w:rsidP="00FB6158">
            <w:proofErr w:type="spellStart"/>
            <w:r w:rsidRPr="00FB6158">
              <w:rPr>
                <w:lang w:val="en-US"/>
              </w:rPr>
              <w:t>Cmax</w:t>
            </w:r>
            <w:proofErr w:type="spellEnd"/>
            <w:r w:rsidRPr="00FB6158">
              <w:rPr>
                <w:lang w:val="en-US"/>
              </w:rPr>
              <w:t>: ↑ 37 %</w:t>
            </w:r>
          </w:p>
          <w:p w14:paraId="7CD05EC2" w14:textId="77777777" w:rsidR="000F629B" w:rsidRDefault="000F629B" w:rsidP="00FB6158">
            <w:pPr>
              <w:rPr>
                <w:lang w:val="en-US"/>
              </w:rPr>
            </w:pPr>
          </w:p>
          <w:p w14:paraId="1C7E90A6" w14:textId="6ADEB4F1" w:rsidR="00FB6158" w:rsidRPr="00FB6158" w:rsidRDefault="00FB6158" w:rsidP="00FB6158">
            <w:r w:rsidRPr="00FB6158">
              <w:rPr>
                <w:lang w:val="en-US"/>
              </w:rPr>
              <w:t>GS-331007</w:t>
            </w:r>
            <w:r w:rsidRPr="00FB6158">
              <w:rPr>
                <w:vertAlign w:val="superscript"/>
                <w:lang w:val="en-US"/>
              </w:rPr>
              <w:t>2</w:t>
            </w:r>
            <w:r w:rsidRPr="00FB6158">
              <w:rPr>
                <w:lang w:val="en-US"/>
              </w:rPr>
              <w:t>:</w:t>
            </w:r>
          </w:p>
          <w:p w14:paraId="3E7FFD8E" w14:textId="77777777" w:rsidR="00FB6158" w:rsidRPr="00FB6158" w:rsidRDefault="00FB6158" w:rsidP="00FB6158">
            <w:r w:rsidRPr="00FB6158">
              <w:rPr>
                <w:lang w:val="en-US"/>
              </w:rPr>
              <w:t>AUC: ↔</w:t>
            </w:r>
          </w:p>
          <w:p w14:paraId="4F2F14D7" w14:textId="77777777" w:rsidR="00FB6158" w:rsidRPr="00FB6158" w:rsidRDefault="00FB6158" w:rsidP="00FB6158">
            <w:proofErr w:type="spellStart"/>
            <w:r w:rsidRPr="00FB6158">
              <w:rPr>
                <w:lang w:val="en-US"/>
              </w:rPr>
              <w:t>Cmax</w:t>
            </w:r>
            <w:proofErr w:type="spellEnd"/>
            <w:r w:rsidRPr="00FB6158">
              <w:rPr>
                <w:lang w:val="en-US"/>
              </w:rPr>
              <w:t>: ↔</w:t>
            </w:r>
          </w:p>
          <w:p w14:paraId="27B774D9" w14:textId="77777777" w:rsidR="00FB6158" w:rsidRDefault="00FB6158" w:rsidP="00FB6158">
            <w:pPr>
              <w:rPr>
                <w:lang w:val="en-US"/>
              </w:rPr>
            </w:pPr>
            <w:proofErr w:type="spellStart"/>
            <w:r w:rsidRPr="00FB6158">
              <w:rPr>
                <w:lang w:val="en-US"/>
              </w:rPr>
              <w:t>Cmin</w:t>
            </w:r>
            <w:proofErr w:type="spellEnd"/>
            <w:r w:rsidRPr="00FB6158">
              <w:rPr>
                <w:lang w:val="en-US"/>
              </w:rPr>
              <w:t>: ↔</w:t>
            </w:r>
          </w:p>
          <w:p w14:paraId="3B6A2F70" w14:textId="77777777" w:rsidR="000F629B" w:rsidRDefault="000F629B" w:rsidP="000F629B">
            <w:pPr>
              <w:spacing w:line="240" w:lineRule="auto"/>
              <w:rPr>
                <w:rFonts w:eastAsia="Times New Roman" w:cs="Arial"/>
                <w:color w:val="000000"/>
                <w:lang w:eastAsia="bg-BG"/>
              </w:rPr>
            </w:pPr>
          </w:p>
          <w:p w14:paraId="54C63885" w14:textId="47EF1E4C" w:rsidR="000F629B" w:rsidRDefault="000F629B" w:rsidP="000F629B">
            <w:pPr>
              <w:spacing w:line="240" w:lineRule="auto"/>
              <w:rPr>
                <w:rFonts w:eastAsia="Times New Roman" w:cs="Arial"/>
                <w:color w:val="000000"/>
                <w:lang w:eastAsia="bg-BG"/>
              </w:rPr>
            </w:pPr>
            <w:r w:rsidRPr="000F629B">
              <w:rPr>
                <w:rFonts w:eastAsia="Times New Roman" w:cs="Arial"/>
                <w:color w:val="000000"/>
                <w:lang w:eastAsia="bg-BG"/>
              </w:rPr>
              <w:t xml:space="preserve">Дарунавир: </w:t>
            </w:r>
          </w:p>
          <w:p w14:paraId="01D67985" w14:textId="77777777" w:rsidR="000F629B" w:rsidRDefault="000F629B" w:rsidP="000F629B">
            <w:pPr>
              <w:spacing w:line="240" w:lineRule="auto"/>
              <w:rPr>
                <w:rFonts w:eastAsia="Times New Roman" w:cs="Arial"/>
                <w:color w:val="000000"/>
                <w:lang w:eastAsia="bg-BG"/>
              </w:rPr>
            </w:pPr>
            <w:proofErr w:type="gramStart"/>
            <w:r w:rsidRPr="000F629B">
              <w:rPr>
                <w:rFonts w:eastAsia="Times New Roman" w:cs="Arial"/>
                <w:color w:val="000000"/>
                <w:lang w:val="en-US"/>
              </w:rPr>
              <w:t>AUC:</w:t>
            </w:r>
            <w:r w:rsidRPr="000F629B">
              <w:rPr>
                <w:rFonts w:eastAsia="Times New Roman" w:cs="Arial"/>
                <w:color w:val="000000"/>
                <w:lang w:eastAsia="bg-BG"/>
              </w:rPr>
              <w:t>↔</w:t>
            </w:r>
            <w:proofErr w:type="gramEnd"/>
            <w:r w:rsidRPr="000F629B">
              <w:rPr>
                <w:rFonts w:eastAsia="Times New Roman" w:cs="Arial"/>
                <w:color w:val="000000"/>
                <w:lang w:eastAsia="bg-BG"/>
              </w:rPr>
              <w:t xml:space="preserve"> </w:t>
            </w:r>
          </w:p>
          <w:p w14:paraId="5C0D8DC8" w14:textId="26792225" w:rsidR="000F629B" w:rsidRDefault="000F629B" w:rsidP="000F629B">
            <w:pPr>
              <w:spacing w:line="240" w:lineRule="auto"/>
              <w:rPr>
                <w:rFonts w:eastAsia="Times New Roman" w:cs="Arial"/>
                <w:color w:val="000000"/>
                <w:lang w:eastAsia="bg-BG"/>
              </w:rPr>
            </w:pPr>
            <w:r w:rsidRPr="000F629B">
              <w:rPr>
                <w:rFonts w:eastAsia="Times New Roman" w:cs="Arial"/>
                <w:color w:val="000000"/>
                <w:lang w:eastAsia="bg-BG"/>
              </w:rPr>
              <w:t>С</w:t>
            </w:r>
            <w:r>
              <w:rPr>
                <w:rFonts w:eastAsia="Times New Roman" w:cs="Arial"/>
                <w:color w:val="000000"/>
                <w:lang w:val="en-US" w:eastAsia="bg-BG"/>
              </w:rPr>
              <w:t>m</w:t>
            </w:r>
            <w:r w:rsidRPr="000F629B">
              <w:rPr>
                <w:rFonts w:eastAsia="Times New Roman" w:cs="Arial"/>
                <w:color w:val="000000"/>
                <w:lang w:eastAsia="bg-BG"/>
              </w:rPr>
              <w:t xml:space="preserve">ах:↔ </w:t>
            </w:r>
          </w:p>
          <w:p w14:paraId="32392EDF" w14:textId="1C008C28" w:rsidR="000F629B" w:rsidRPr="000F629B" w:rsidRDefault="000F629B" w:rsidP="000F629B">
            <w:pPr>
              <w:spacing w:line="240" w:lineRule="auto"/>
              <w:rPr>
                <w:rFonts w:eastAsia="Times New Roman" w:cs="Arial"/>
                <w:lang w:val="en-US" w:eastAsia="bg-BG"/>
              </w:rPr>
            </w:pPr>
            <w:proofErr w:type="spellStart"/>
            <w:proofErr w:type="gramStart"/>
            <w:r w:rsidRPr="000F629B">
              <w:rPr>
                <w:rFonts w:eastAsia="Times New Roman" w:cs="Arial"/>
                <w:color w:val="000000"/>
                <w:lang w:val="en-US"/>
              </w:rPr>
              <w:t>Cmin</w:t>
            </w:r>
            <w:proofErr w:type="spellEnd"/>
            <w:r w:rsidRPr="000F629B">
              <w:rPr>
                <w:rFonts w:eastAsia="Times New Roman" w:cs="Arial"/>
                <w:color w:val="000000"/>
                <w:lang w:val="en-US"/>
              </w:rPr>
              <w:t>:</w:t>
            </w:r>
            <w:r w:rsidRPr="000F629B">
              <w:rPr>
                <w:rFonts w:eastAsia="Times New Roman" w:cs="Arial"/>
                <w:color w:val="000000"/>
                <w:lang w:eastAsia="bg-BG"/>
              </w:rPr>
              <w:t>↔</w:t>
            </w:r>
            <w:proofErr w:type="gramEnd"/>
          </w:p>
          <w:p w14:paraId="568BB016" w14:textId="77777777" w:rsidR="000F629B" w:rsidRDefault="000F629B" w:rsidP="000F629B">
            <w:pPr>
              <w:spacing w:line="240" w:lineRule="auto"/>
              <w:rPr>
                <w:rFonts w:eastAsia="Times New Roman" w:cs="Arial"/>
                <w:color w:val="000000"/>
                <w:lang w:eastAsia="bg-BG"/>
              </w:rPr>
            </w:pPr>
          </w:p>
          <w:p w14:paraId="546DC111" w14:textId="28155C89" w:rsidR="000F629B" w:rsidRDefault="000F629B" w:rsidP="000F629B">
            <w:pPr>
              <w:spacing w:line="240" w:lineRule="auto"/>
              <w:rPr>
                <w:rFonts w:eastAsia="Times New Roman" w:cs="Arial"/>
                <w:color w:val="000000"/>
                <w:lang w:eastAsia="bg-BG"/>
              </w:rPr>
            </w:pPr>
            <w:r w:rsidRPr="000F629B">
              <w:rPr>
                <w:rFonts w:eastAsia="Times New Roman" w:cs="Arial"/>
                <w:color w:val="000000"/>
                <w:lang w:eastAsia="bg-BG"/>
              </w:rPr>
              <w:t xml:space="preserve">Ритонавир: </w:t>
            </w:r>
          </w:p>
          <w:p w14:paraId="0D69B47A" w14:textId="77777777" w:rsidR="000F629B" w:rsidRDefault="000F629B" w:rsidP="000F629B">
            <w:pPr>
              <w:spacing w:line="240" w:lineRule="auto"/>
              <w:rPr>
                <w:rFonts w:eastAsia="Times New Roman" w:cs="Arial"/>
                <w:color w:val="000000"/>
                <w:lang w:eastAsia="bg-BG"/>
              </w:rPr>
            </w:pPr>
            <w:r w:rsidRPr="000F629B">
              <w:rPr>
                <w:rFonts w:eastAsia="Times New Roman" w:cs="Arial"/>
                <w:color w:val="000000"/>
                <w:lang w:val="en-US"/>
              </w:rPr>
              <w:t xml:space="preserve">AUC: </w:t>
            </w:r>
            <w:r w:rsidRPr="000F629B">
              <w:rPr>
                <w:rFonts w:eastAsia="Times New Roman" w:cs="Arial"/>
                <w:color w:val="000000"/>
                <w:lang w:eastAsia="bg-BG"/>
              </w:rPr>
              <w:t xml:space="preserve">↔ </w:t>
            </w:r>
          </w:p>
          <w:p w14:paraId="6CF58241" w14:textId="77777777" w:rsidR="000F629B" w:rsidRDefault="000F629B" w:rsidP="000F629B">
            <w:pPr>
              <w:spacing w:line="240" w:lineRule="auto"/>
              <w:rPr>
                <w:rFonts w:eastAsia="Times New Roman" w:cs="Arial"/>
                <w:color w:val="000000"/>
                <w:lang w:eastAsia="bg-BG"/>
              </w:rPr>
            </w:pPr>
            <w:proofErr w:type="spellStart"/>
            <w:r w:rsidRPr="000F629B">
              <w:rPr>
                <w:rFonts w:eastAsia="Times New Roman" w:cs="Arial"/>
                <w:color w:val="000000"/>
                <w:lang w:val="en-US"/>
              </w:rPr>
              <w:t>Cmax</w:t>
            </w:r>
            <w:proofErr w:type="spellEnd"/>
            <w:r w:rsidRPr="000F629B">
              <w:rPr>
                <w:rFonts w:eastAsia="Times New Roman" w:cs="Arial"/>
                <w:color w:val="000000"/>
                <w:lang w:val="en-US"/>
              </w:rPr>
              <w:t xml:space="preserve">: </w:t>
            </w:r>
            <w:r w:rsidRPr="000F629B">
              <w:rPr>
                <w:rFonts w:eastAsia="Times New Roman" w:cs="Arial"/>
                <w:color w:val="000000"/>
                <w:lang w:eastAsia="bg-BG"/>
              </w:rPr>
              <w:t xml:space="preserve">↔ </w:t>
            </w:r>
          </w:p>
          <w:p w14:paraId="56C7F9A7" w14:textId="2B3D626C" w:rsidR="000F629B" w:rsidRPr="000F629B" w:rsidRDefault="000F629B" w:rsidP="000F629B">
            <w:pPr>
              <w:spacing w:line="240" w:lineRule="auto"/>
              <w:rPr>
                <w:rFonts w:eastAsia="Times New Roman" w:cs="Arial"/>
                <w:lang w:val="en-US" w:eastAsia="bg-BG"/>
              </w:rPr>
            </w:pPr>
            <w:proofErr w:type="spellStart"/>
            <w:r w:rsidRPr="000F629B">
              <w:rPr>
                <w:rFonts w:eastAsia="Times New Roman" w:cs="Arial"/>
                <w:color w:val="000000"/>
                <w:lang w:val="en-US"/>
              </w:rPr>
              <w:t>Cmin</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48 %</w:t>
            </w:r>
          </w:p>
          <w:p w14:paraId="40B9844D" w14:textId="77777777" w:rsidR="000F629B" w:rsidRDefault="000F629B" w:rsidP="000F629B">
            <w:pPr>
              <w:spacing w:line="240" w:lineRule="auto"/>
              <w:rPr>
                <w:rFonts w:eastAsia="Times New Roman" w:cs="Arial"/>
                <w:color w:val="000000"/>
                <w:lang w:eastAsia="bg-BG"/>
              </w:rPr>
            </w:pPr>
          </w:p>
          <w:p w14:paraId="50C150F0" w14:textId="514AE17E" w:rsidR="000F629B" w:rsidRPr="000F629B" w:rsidRDefault="000F629B" w:rsidP="000F629B">
            <w:pPr>
              <w:spacing w:line="240" w:lineRule="auto"/>
              <w:rPr>
                <w:rFonts w:eastAsia="Times New Roman" w:cs="Arial"/>
                <w:lang w:val="en-US" w:eastAsia="bg-BG"/>
              </w:rPr>
            </w:pPr>
            <w:r w:rsidRPr="000F629B">
              <w:rPr>
                <w:rFonts w:eastAsia="Times New Roman" w:cs="Arial"/>
                <w:color w:val="000000"/>
                <w:lang w:eastAsia="bg-BG"/>
              </w:rPr>
              <w:t>Емтрицитабин:</w:t>
            </w:r>
          </w:p>
          <w:p w14:paraId="19CA71AF" w14:textId="77777777" w:rsidR="000F629B" w:rsidRDefault="000F629B" w:rsidP="000F629B">
            <w:pPr>
              <w:spacing w:line="240" w:lineRule="auto"/>
              <w:rPr>
                <w:rFonts w:eastAsia="Times New Roman" w:cs="Arial"/>
                <w:color w:val="000000"/>
                <w:lang w:val="en-US"/>
              </w:rPr>
            </w:pPr>
            <w:proofErr w:type="gramStart"/>
            <w:r w:rsidRPr="000F629B">
              <w:rPr>
                <w:rFonts w:eastAsia="Times New Roman" w:cs="Arial"/>
                <w:color w:val="000000"/>
                <w:lang w:val="en-US"/>
              </w:rPr>
              <w:t>AUC:</w:t>
            </w:r>
            <w:r w:rsidRPr="000F629B">
              <w:rPr>
                <w:rFonts w:eastAsia="Times New Roman" w:cs="Arial"/>
                <w:color w:val="000000"/>
                <w:lang w:eastAsia="bg-BG"/>
              </w:rPr>
              <w:t>↔</w:t>
            </w:r>
            <w:proofErr w:type="gramEnd"/>
            <w:r w:rsidRPr="000F629B">
              <w:rPr>
                <w:rFonts w:eastAsia="Times New Roman" w:cs="Arial"/>
                <w:color w:val="000000"/>
                <w:lang w:val="en-US"/>
              </w:rPr>
              <w:t xml:space="preserve"> </w:t>
            </w:r>
          </w:p>
          <w:p w14:paraId="462A9A97" w14:textId="77777777" w:rsidR="000F629B" w:rsidRDefault="000F629B" w:rsidP="000F629B">
            <w:pPr>
              <w:spacing w:line="240" w:lineRule="auto"/>
              <w:rPr>
                <w:rFonts w:eastAsia="Times New Roman" w:cs="Arial"/>
                <w:color w:val="000000"/>
                <w:lang w:val="en-US"/>
              </w:rPr>
            </w:pPr>
            <w:proofErr w:type="spellStart"/>
            <w:proofErr w:type="gramStart"/>
            <w:r w:rsidRPr="000F629B">
              <w:rPr>
                <w:rFonts w:eastAsia="Times New Roman" w:cs="Arial"/>
                <w:color w:val="000000"/>
                <w:lang w:val="en-US"/>
              </w:rPr>
              <w:t>Cmax</w:t>
            </w:r>
            <w:proofErr w:type="spellEnd"/>
            <w:r w:rsidRPr="000F629B">
              <w:rPr>
                <w:rFonts w:eastAsia="Times New Roman" w:cs="Arial"/>
                <w:color w:val="000000"/>
                <w:lang w:val="en-US"/>
              </w:rPr>
              <w:t>:</w:t>
            </w:r>
            <w:r w:rsidRPr="000F629B">
              <w:rPr>
                <w:rFonts w:eastAsia="Times New Roman" w:cs="Arial"/>
                <w:color w:val="000000"/>
                <w:lang w:eastAsia="bg-BG"/>
              </w:rPr>
              <w:t>↔</w:t>
            </w:r>
            <w:proofErr w:type="gramEnd"/>
            <w:r w:rsidRPr="000F629B">
              <w:rPr>
                <w:rFonts w:eastAsia="Times New Roman" w:cs="Arial"/>
                <w:color w:val="000000"/>
                <w:lang w:val="en-US"/>
              </w:rPr>
              <w:t xml:space="preserve"> </w:t>
            </w:r>
          </w:p>
          <w:p w14:paraId="234AD5CA" w14:textId="06780A2A" w:rsidR="000F629B" w:rsidRPr="000F629B" w:rsidRDefault="000F629B" w:rsidP="000F629B">
            <w:pPr>
              <w:spacing w:line="240" w:lineRule="auto"/>
              <w:rPr>
                <w:rFonts w:eastAsia="Times New Roman" w:cs="Arial"/>
                <w:lang w:val="en-US" w:eastAsia="bg-BG"/>
              </w:rPr>
            </w:pPr>
            <w:proofErr w:type="spellStart"/>
            <w:r w:rsidRPr="000F629B">
              <w:rPr>
                <w:rFonts w:eastAsia="Times New Roman" w:cs="Arial"/>
                <w:color w:val="000000"/>
                <w:lang w:val="en-US"/>
              </w:rPr>
              <w:t>Cmin</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p>
          <w:p w14:paraId="74D60356" w14:textId="77777777" w:rsidR="000F629B" w:rsidRDefault="000F629B" w:rsidP="000F629B">
            <w:pPr>
              <w:rPr>
                <w:rFonts w:eastAsia="Times New Roman" w:cs="Arial"/>
                <w:color w:val="000000"/>
                <w:lang w:eastAsia="bg-BG"/>
              </w:rPr>
            </w:pPr>
          </w:p>
          <w:p w14:paraId="2BADA173" w14:textId="4B256665" w:rsidR="000F629B" w:rsidRDefault="000F629B" w:rsidP="000F629B">
            <w:pPr>
              <w:rPr>
                <w:rFonts w:eastAsia="Times New Roman" w:cs="Arial"/>
                <w:color w:val="000000"/>
                <w:lang w:eastAsia="bg-BG"/>
              </w:rPr>
            </w:pPr>
            <w:r w:rsidRPr="000F629B">
              <w:rPr>
                <w:rFonts w:eastAsia="Times New Roman" w:cs="Arial"/>
                <w:color w:val="000000"/>
                <w:lang w:eastAsia="bg-BG"/>
              </w:rPr>
              <w:t xml:space="preserve">Тенофовир: </w:t>
            </w:r>
          </w:p>
          <w:p w14:paraId="05CB0FCD" w14:textId="77777777" w:rsidR="000F629B" w:rsidRDefault="000F629B" w:rsidP="000F629B">
            <w:pPr>
              <w:rPr>
                <w:rFonts w:eastAsia="Times New Roman" w:cs="Arial"/>
                <w:color w:val="000000"/>
                <w:lang w:val="en-US"/>
              </w:rPr>
            </w:pPr>
            <w:r w:rsidRPr="000F629B">
              <w:rPr>
                <w:rFonts w:eastAsia="Times New Roman" w:cs="Arial"/>
                <w:color w:val="000000"/>
                <w:lang w:val="en-US"/>
              </w:rPr>
              <w:t xml:space="preserve">AUC: </w:t>
            </w:r>
            <w:r w:rsidRPr="000F629B">
              <w:rPr>
                <w:rFonts w:eastAsia="Times New Roman" w:cs="Arial"/>
                <w:color w:val="000000"/>
                <w:lang w:eastAsia="bg-BG"/>
              </w:rPr>
              <w:t>↑</w:t>
            </w:r>
            <w:r w:rsidRPr="000F629B">
              <w:rPr>
                <w:rFonts w:eastAsia="Times New Roman" w:cs="Arial"/>
                <w:color w:val="000000"/>
                <w:lang w:val="en-US"/>
              </w:rPr>
              <w:t xml:space="preserve"> 50 % </w:t>
            </w:r>
          </w:p>
          <w:p w14:paraId="10E83E25" w14:textId="77777777" w:rsidR="000F629B" w:rsidRDefault="000F629B" w:rsidP="000F629B">
            <w:pPr>
              <w:rPr>
                <w:rFonts w:eastAsia="Times New Roman" w:cs="Arial"/>
                <w:color w:val="000000"/>
                <w:lang w:val="en-US"/>
              </w:rPr>
            </w:pPr>
            <w:proofErr w:type="spellStart"/>
            <w:r w:rsidRPr="000F629B">
              <w:rPr>
                <w:rFonts w:eastAsia="Times New Roman" w:cs="Arial"/>
                <w:color w:val="000000"/>
                <w:lang w:val="en-US"/>
              </w:rPr>
              <w:t>Cmax</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64 % </w:t>
            </w:r>
          </w:p>
          <w:p w14:paraId="1406AF82" w14:textId="5A29CE9D" w:rsidR="000F629B" w:rsidRPr="00FB6158" w:rsidRDefault="000F629B" w:rsidP="000F629B">
            <w:pPr>
              <w:rPr>
                <w:rFonts w:cs="Arial"/>
              </w:rPr>
            </w:pPr>
            <w:proofErr w:type="spellStart"/>
            <w:r w:rsidRPr="000F629B">
              <w:rPr>
                <w:rFonts w:eastAsia="Times New Roman" w:cs="Arial"/>
                <w:color w:val="000000"/>
                <w:lang w:val="en-US"/>
              </w:rPr>
              <w:t>Cmin</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59 %</w:t>
            </w:r>
          </w:p>
        </w:tc>
        <w:tc>
          <w:tcPr>
            <w:tcW w:w="3167" w:type="dxa"/>
            <w:vAlign w:val="bottom"/>
          </w:tcPr>
          <w:p w14:paraId="1E2DC0F8" w14:textId="77777777" w:rsidR="000F629B" w:rsidRPr="000F629B" w:rsidRDefault="00FB6158" w:rsidP="000F629B">
            <w:pPr>
              <w:rPr>
                <w:rFonts w:eastAsia="Times New Roman" w:cs="Arial"/>
                <w:lang w:eastAsia="bg-BG"/>
              </w:rPr>
            </w:pPr>
            <w:r w:rsidRPr="00FB6158">
              <w:t>Повишените плазмени концентрации на тенофовир в резултат на едновременното приложение със тенофовир дизопроксил, ледипасвир/софосбувир и дарунавир/ритонавир може да повиши нежеланите реакции, свързани с</w:t>
            </w:r>
            <w:r w:rsidRPr="00FB6158">
              <w:rPr>
                <w:vertAlign w:val="subscript"/>
              </w:rPr>
              <w:t xml:space="preserve"> </w:t>
            </w:r>
            <w:r w:rsidRPr="00FB6158">
              <w:t>тенофовир дизопроксил, включително бъбречни нарушения. Безопасността</w:t>
            </w:r>
            <w:r w:rsidR="000F629B">
              <w:rPr>
                <w:lang w:val="en-US"/>
              </w:rPr>
              <w:t xml:space="preserve"> </w:t>
            </w:r>
            <w:r w:rsidR="000F629B" w:rsidRPr="000F629B">
              <w:rPr>
                <w:rFonts w:eastAsia="Times New Roman" w:cs="Arial"/>
                <w:color w:val="000000"/>
                <w:lang w:eastAsia="bg-BG"/>
              </w:rPr>
              <w:t>на тенофовир дизопроксил при приложението му едновременно с ледипасвир/софосбувир и фармакокинетичен енхансер (например ритонавир или кобицистат) не е установена.</w:t>
            </w:r>
          </w:p>
          <w:p w14:paraId="719A6519" w14:textId="77777777" w:rsidR="000F629B" w:rsidRDefault="000F629B" w:rsidP="000F629B">
            <w:pPr>
              <w:rPr>
                <w:rFonts w:eastAsia="Times New Roman" w:cs="Arial"/>
                <w:color w:val="000000"/>
                <w:lang w:eastAsia="bg-BG"/>
              </w:rPr>
            </w:pPr>
          </w:p>
          <w:p w14:paraId="5F87D2C9" w14:textId="7CCD78A6" w:rsidR="00FB6158" w:rsidRPr="000F629B" w:rsidRDefault="000F629B" w:rsidP="000F629B">
            <w:pPr>
              <w:rPr>
                <w:rFonts w:cs="Arial"/>
                <w:lang w:val="en-US"/>
              </w:rPr>
            </w:pPr>
            <w:r w:rsidRPr="000F629B">
              <w:rPr>
                <w:rFonts w:eastAsia="Times New Roman" w:cs="Arial"/>
                <w:color w:val="000000"/>
                <w:lang w:eastAsia="bg-BG"/>
              </w:rPr>
              <w:t>Комбинацията трябва да се използва внимателно с често проследяване на бъбречната функция, ако няма други налични алтернативи (вж. точка 4.4).</w:t>
            </w:r>
          </w:p>
        </w:tc>
      </w:tr>
      <w:tr w:rsidR="000F629B" w14:paraId="45FC7934" w14:textId="77777777" w:rsidTr="000F629B">
        <w:tc>
          <w:tcPr>
            <w:tcW w:w="3166" w:type="dxa"/>
          </w:tcPr>
          <w:p w14:paraId="516FD646" w14:textId="6F0F1A61" w:rsidR="000F629B" w:rsidRPr="000F629B" w:rsidRDefault="000F629B" w:rsidP="000F629B">
            <w:pPr>
              <w:rPr>
                <w:rFonts w:cs="Arial"/>
              </w:rPr>
            </w:pPr>
            <w:r w:rsidRPr="000F629B">
              <w:t xml:space="preserve">Ледипасвир/Софосбувир (90 </w:t>
            </w:r>
            <w:r w:rsidRPr="000F629B">
              <w:rPr>
                <w:lang w:val="en-US"/>
              </w:rPr>
              <w:t xml:space="preserve">mg/400 mg </w:t>
            </w:r>
            <w:proofErr w:type="spellStart"/>
            <w:r w:rsidRPr="000F629B">
              <w:rPr>
                <w:lang w:val="en-US"/>
              </w:rPr>
              <w:t>q.d</w:t>
            </w:r>
            <w:proofErr w:type="spellEnd"/>
            <w:r w:rsidRPr="000F629B">
              <w:rPr>
                <w:lang w:val="en-US"/>
              </w:rPr>
              <w:t xml:space="preserve">.) </w:t>
            </w:r>
            <w:r w:rsidRPr="000F629B">
              <w:t xml:space="preserve">+ Ефавиренц/Емтрицитабин/ Тенофовир дизопроксил (600 </w:t>
            </w:r>
            <w:r w:rsidRPr="000F629B">
              <w:rPr>
                <w:lang w:val="en-US"/>
              </w:rPr>
              <w:t xml:space="preserve">mg/200 mg/245 mg </w:t>
            </w:r>
            <w:proofErr w:type="spellStart"/>
            <w:r w:rsidRPr="000F629B">
              <w:rPr>
                <w:lang w:val="en-US"/>
              </w:rPr>
              <w:t>q.d</w:t>
            </w:r>
            <w:proofErr w:type="spellEnd"/>
            <w:r w:rsidRPr="000F629B">
              <w:rPr>
                <w:lang w:val="en-US"/>
              </w:rPr>
              <w:t>.)</w:t>
            </w:r>
          </w:p>
        </w:tc>
        <w:tc>
          <w:tcPr>
            <w:tcW w:w="3167" w:type="dxa"/>
            <w:vAlign w:val="bottom"/>
          </w:tcPr>
          <w:p w14:paraId="27C01754" w14:textId="77777777" w:rsidR="000F629B" w:rsidRDefault="000F629B" w:rsidP="000F629B">
            <w:r w:rsidRPr="000F629B">
              <w:t xml:space="preserve">Ледипасвир: </w:t>
            </w:r>
          </w:p>
          <w:p w14:paraId="6766AF04" w14:textId="77777777" w:rsidR="000F629B" w:rsidRDefault="000F629B" w:rsidP="000F629B">
            <w:pPr>
              <w:rPr>
                <w:lang w:val="en-US"/>
              </w:rPr>
            </w:pPr>
            <w:r w:rsidRPr="000F629B">
              <w:rPr>
                <w:lang w:val="en-US"/>
              </w:rPr>
              <w:t xml:space="preserve">AUC: </w:t>
            </w:r>
            <w:r w:rsidRPr="000F629B">
              <w:t>↓</w:t>
            </w:r>
            <w:r w:rsidRPr="000F629B">
              <w:rPr>
                <w:lang w:val="en-US"/>
              </w:rPr>
              <w:t xml:space="preserve"> 34 % </w:t>
            </w:r>
          </w:p>
          <w:p w14:paraId="01A23199"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34 % </w:t>
            </w:r>
          </w:p>
          <w:p w14:paraId="3173ED21" w14:textId="69551F64" w:rsidR="000F629B" w:rsidRPr="000F629B" w:rsidRDefault="000F629B" w:rsidP="000F629B">
            <w:proofErr w:type="spellStart"/>
            <w:r w:rsidRPr="000F629B">
              <w:rPr>
                <w:lang w:val="en-US"/>
              </w:rPr>
              <w:t>Cmin</w:t>
            </w:r>
            <w:proofErr w:type="spellEnd"/>
            <w:r w:rsidRPr="000F629B">
              <w:rPr>
                <w:lang w:val="en-US"/>
              </w:rPr>
              <w:t xml:space="preserve">: </w:t>
            </w:r>
            <w:r w:rsidRPr="000F629B">
              <w:t>↓</w:t>
            </w:r>
            <w:r w:rsidRPr="000F629B">
              <w:rPr>
                <w:lang w:val="en-US"/>
              </w:rPr>
              <w:t xml:space="preserve"> 34 %</w:t>
            </w:r>
          </w:p>
          <w:p w14:paraId="140A7F7A" w14:textId="77777777" w:rsidR="000F629B" w:rsidRDefault="000F629B" w:rsidP="000F629B"/>
          <w:p w14:paraId="566EE6FE" w14:textId="601801D0" w:rsidR="000F629B" w:rsidRDefault="000F629B" w:rsidP="000F629B">
            <w:r w:rsidRPr="000F629B">
              <w:lastRenderedPageBreak/>
              <w:t xml:space="preserve">Софосбувир: </w:t>
            </w:r>
          </w:p>
          <w:p w14:paraId="475CE86C" w14:textId="46556E22" w:rsidR="000F629B" w:rsidRPr="000F629B" w:rsidRDefault="000F629B" w:rsidP="000F629B">
            <w:r w:rsidRPr="000F629B">
              <w:rPr>
                <w:lang w:val="en-US"/>
              </w:rPr>
              <w:t xml:space="preserve">AUC: </w:t>
            </w:r>
            <w:r w:rsidRPr="000F629B">
              <w:t>↔</w:t>
            </w:r>
          </w:p>
          <w:p w14:paraId="524D647B" w14:textId="77777777" w:rsidR="000F629B" w:rsidRPr="000F629B" w:rsidRDefault="000F629B" w:rsidP="000F629B">
            <w:proofErr w:type="spellStart"/>
            <w:proofErr w:type="gramStart"/>
            <w:r w:rsidRPr="000F629B">
              <w:rPr>
                <w:lang w:val="en-US"/>
              </w:rPr>
              <w:t>Cmax</w:t>
            </w:r>
            <w:proofErr w:type="spellEnd"/>
            <w:r w:rsidRPr="000F629B">
              <w:rPr>
                <w:lang w:val="en-US"/>
              </w:rPr>
              <w:t>:</w:t>
            </w:r>
            <w:r w:rsidRPr="000F629B">
              <w:t>↔</w:t>
            </w:r>
            <w:proofErr w:type="gramEnd"/>
          </w:p>
          <w:p w14:paraId="7E149613" w14:textId="77777777" w:rsidR="000F629B" w:rsidRPr="000F629B" w:rsidRDefault="000F629B" w:rsidP="000F629B">
            <w:r w:rsidRPr="000F629B">
              <w:rPr>
                <w:lang w:val="en-US"/>
              </w:rPr>
              <w:t>GS-331007</w:t>
            </w:r>
            <w:r w:rsidRPr="000F629B">
              <w:rPr>
                <w:vertAlign w:val="superscript"/>
                <w:lang w:val="en-US"/>
              </w:rPr>
              <w:t>2</w:t>
            </w:r>
            <w:r w:rsidRPr="000F629B">
              <w:rPr>
                <w:lang w:val="en-US"/>
              </w:rPr>
              <w:t>:</w:t>
            </w:r>
          </w:p>
          <w:p w14:paraId="76CE5D78" w14:textId="77777777" w:rsidR="000F629B" w:rsidRPr="000F629B" w:rsidRDefault="000F629B" w:rsidP="000F629B">
            <w:proofErr w:type="gramStart"/>
            <w:r w:rsidRPr="000F629B">
              <w:rPr>
                <w:lang w:val="en-US"/>
              </w:rPr>
              <w:t>AUC:</w:t>
            </w:r>
            <w:r w:rsidRPr="000F629B">
              <w:t>↔</w:t>
            </w:r>
            <w:proofErr w:type="gramEnd"/>
          </w:p>
          <w:p w14:paraId="65E4CD7C" w14:textId="77777777" w:rsidR="000F629B" w:rsidRPr="000F629B" w:rsidRDefault="000F629B" w:rsidP="000F629B">
            <w:proofErr w:type="spellStart"/>
            <w:proofErr w:type="gramStart"/>
            <w:r w:rsidRPr="000F629B">
              <w:rPr>
                <w:lang w:val="en-US"/>
              </w:rPr>
              <w:t>Cmax</w:t>
            </w:r>
            <w:proofErr w:type="spellEnd"/>
            <w:r w:rsidRPr="000F629B">
              <w:rPr>
                <w:lang w:val="en-US"/>
              </w:rPr>
              <w:t>:</w:t>
            </w:r>
            <w:r w:rsidRPr="000F629B">
              <w:t>↔</w:t>
            </w:r>
            <w:proofErr w:type="gramEnd"/>
          </w:p>
          <w:p w14:paraId="15AC08DB" w14:textId="77777777" w:rsidR="000F629B" w:rsidRPr="000F629B" w:rsidRDefault="000F629B" w:rsidP="000F629B">
            <w:proofErr w:type="spellStart"/>
            <w:r w:rsidRPr="000F629B">
              <w:rPr>
                <w:lang w:val="en-US"/>
              </w:rPr>
              <w:t>Cmin</w:t>
            </w:r>
            <w:proofErr w:type="spellEnd"/>
            <w:r w:rsidRPr="000F629B">
              <w:rPr>
                <w:lang w:val="en-US"/>
              </w:rPr>
              <w:t xml:space="preserve">: </w:t>
            </w:r>
            <w:r w:rsidRPr="000F629B">
              <w:t>↔</w:t>
            </w:r>
          </w:p>
          <w:p w14:paraId="5674F641" w14:textId="77777777" w:rsidR="000F629B" w:rsidRDefault="000F629B" w:rsidP="000F629B"/>
          <w:p w14:paraId="157FCE91" w14:textId="3538933A" w:rsidR="000F629B" w:rsidRDefault="000F629B" w:rsidP="000F629B">
            <w:r w:rsidRPr="000F629B">
              <w:t xml:space="preserve">Ефавиренц: </w:t>
            </w:r>
          </w:p>
          <w:p w14:paraId="03DC883D" w14:textId="0B7152BD" w:rsidR="000F629B" w:rsidRPr="000F629B" w:rsidRDefault="000F629B" w:rsidP="000F629B">
            <w:proofErr w:type="gramStart"/>
            <w:r w:rsidRPr="000F629B">
              <w:rPr>
                <w:lang w:val="en-US"/>
              </w:rPr>
              <w:t>AUC:</w:t>
            </w:r>
            <w:r w:rsidRPr="000F629B">
              <w:t>↔</w:t>
            </w:r>
            <w:proofErr w:type="gramEnd"/>
          </w:p>
          <w:p w14:paraId="3E6334FF" w14:textId="77777777" w:rsidR="000F629B" w:rsidRPr="000F629B" w:rsidRDefault="000F629B" w:rsidP="000F629B">
            <w:proofErr w:type="spellStart"/>
            <w:proofErr w:type="gramStart"/>
            <w:r w:rsidRPr="000F629B">
              <w:rPr>
                <w:lang w:val="en-US"/>
              </w:rPr>
              <w:t>Cmax</w:t>
            </w:r>
            <w:proofErr w:type="spellEnd"/>
            <w:r w:rsidRPr="000F629B">
              <w:rPr>
                <w:lang w:val="en-US"/>
              </w:rPr>
              <w:t>:</w:t>
            </w:r>
            <w:r w:rsidRPr="000F629B">
              <w:t>↔</w:t>
            </w:r>
            <w:proofErr w:type="gramEnd"/>
          </w:p>
          <w:p w14:paraId="7EF4F43F" w14:textId="77777777" w:rsidR="000F629B" w:rsidRPr="000F629B" w:rsidRDefault="000F629B" w:rsidP="000F629B">
            <w:proofErr w:type="spellStart"/>
            <w:r w:rsidRPr="000F629B">
              <w:rPr>
                <w:lang w:val="en-US"/>
              </w:rPr>
              <w:t>Cmin</w:t>
            </w:r>
            <w:proofErr w:type="spellEnd"/>
            <w:r w:rsidRPr="000F629B">
              <w:rPr>
                <w:lang w:val="en-US"/>
              </w:rPr>
              <w:t xml:space="preserve">: </w:t>
            </w:r>
            <w:r w:rsidRPr="000F629B">
              <w:t>↔</w:t>
            </w:r>
          </w:p>
          <w:p w14:paraId="44420EA4" w14:textId="77777777" w:rsidR="000F629B" w:rsidRDefault="000F629B" w:rsidP="000F629B"/>
          <w:p w14:paraId="6335364F" w14:textId="321AABEA" w:rsidR="000F629B" w:rsidRDefault="000F629B" w:rsidP="000F629B">
            <w:pPr>
              <w:rPr>
                <w:lang w:val="en-US"/>
              </w:rPr>
            </w:pPr>
            <w:r w:rsidRPr="000F629B">
              <w:t>Емтрицитабин</w:t>
            </w:r>
            <w:r w:rsidRPr="000F629B">
              <w:rPr>
                <w:lang w:val="en-US"/>
              </w:rPr>
              <w:t xml:space="preserve">: </w:t>
            </w:r>
          </w:p>
          <w:p w14:paraId="164B1E62" w14:textId="77A07F01" w:rsidR="000F629B" w:rsidRPr="000F629B" w:rsidRDefault="000F629B" w:rsidP="000F629B">
            <w:proofErr w:type="gramStart"/>
            <w:r w:rsidRPr="000F629B">
              <w:rPr>
                <w:lang w:val="en-US"/>
              </w:rPr>
              <w:t>AUC:</w:t>
            </w:r>
            <w:r w:rsidRPr="000F629B">
              <w:t>↔</w:t>
            </w:r>
            <w:proofErr w:type="gramEnd"/>
          </w:p>
          <w:p w14:paraId="5AD95511" w14:textId="77777777" w:rsidR="000F629B" w:rsidRPr="000F629B" w:rsidRDefault="000F629B" w:rsidP="000F629B">
            <w:proofErr w:type="spellStart"/>
            <w:r w:rsidRPr="000F629B">
              <w:rPr>
                <w:lang w:val="en-US"/>
              </w:rPr>
              <w:t>Cmax</w:t>
            </w:r>
            <w:proofErr w:type="spellEnd"/>
            <w:r w:rsidRPr="000F629B">
              <w:rPr>
                <w:lang w:val="en-US"/>
              </w:rPr>
              <w:t xml:space="preserve">: </w:t>
            </w:r>
            <w:r w:rsidRPr="000F629B">
              <w:t>↔</w:t>
            </w:r>
          </w:p>
          <w:p w14:paraId="5EA1413E" w14:textId="77777777" w:rsidR="000F629B" w:rsidRPr="000F629B" w:rsidRDefault="000F629B" w:rsidP="000F629B">
            <w:proofErr w:type="spellStart"/>
            <w:r w:rsidRPr="000F629B">
              <w:rPr>
                <w:lang w:val="en-US"/>
              </w:rPr>
              <w:t>Cmin</w:t>
            </w:r>
            <w:proofErr w:type="spellEnd"/>
            <w:r w:rsidRPr="000F629B">
              <w:rPr>
                <w:lang w:val="en-US"/>
              </w:rPr>
              <w:t xml:space="preserve">: </w:t>
            </w:r>
            <w:r w:rsidRPr="000F629B">
              <w:t>↔</w:t>
            </w:r>
          </w:p>
          <w:p w14:paraId="0D9F44AF" w14:textId="77777777" w:rsidR="000F629B" w:rsidRDefault="000F629B" w:rsidP="000F629B"/>
          <w:p w14:paraId="012F1FA8" w14:textId="0BEFE7E0" w:rsidR="000F629B" w:rsidRDefault="000F629B" w:rsidP="000F629B">
            <w:r w:rsidRPr="000F629B">
              <w:t xml:space="preserve">Тенофовир: </w:t>
            </w:r>
          </w:p>
          <w:p w14:paraId="6B50E015" w14:textId="6324431A" w:rsidR="000F629B" w:rsidRPr="000F629B" w:rsidRDefault="000F629B" w:rsidP="000F629B">
            <w:r w:rsidRPr="000F629B">
              <w:rPr>
                <w:lang w:val="en-US"/>
              </w:rPr>
              <w:t xml:space="preserve">AUC: </w:t>
            </w:r>
            <w:r w:rsidRPr="000F629B">
              <w:t>↑</w:t>
            </w:r>
            <w:r w:rsidRPr="000F629B">
              <w:rPr>
                <w:lang w:val="en-US"/>
              </w:rPr>
              <w:t xml:space="preserve"> 98 %</w:t>
            </w:r>
          </w:p>
          <w:p w14:paraId="6D19A586"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79 % </w:t>
            </w:r>
          </w:p>
          <w:p w14:paraId="4A7C126C" w14:textId="07DE1008" w:rsidR="000F629B" w:rsidRPr="000F629B" w:rsidRDefault="000F629B" w:rsidP="000F629B">
            <w:pPr>
              <w:rPr>
                <w:rFonts w:cs="Arial"/>
              </w:rPr>
            </w:pPr>
            <w:proofErr w:type="spellStart"/>
            <w:r w:rsidRPr="000F629B">
              <w:rPr>
                <w:lang w:val="en-US"/>
              </w:rPr>
              <w:t>Cmin</w:t>
            </w:r>
            <w:proofErr w:type="spellEnd"/>
            <w:r w:rsidRPr="000F629B">
              <w:rPr>
                <w:lang w:val="en-US"/>
              </w:rPr>
              <w:t xml:space="preserve">: </w:t>
            </w:r>
            <w:r w:rsidRPr="000F629B">
              <w:t>↑</w:t>
            </w:r>
            <w:r w:rsidRPr="000F629B">
              <w:rPr>
                <w:lang w:val="en-US"/>
              </w:rPr>
              <w:t xml:space="preserve"> 163 %</w:t>
            </w:r>
          </w:p>
        </w:tc>
        <w:tc>
          <w:tcPr>
            <w:tcW w:w="3167" w:type="dxa"/>
          </w:tcPr>
          <w:p w14:paraId="14DB8EA8" w14:textId="69269F10" w:rsidR="000F629B" w:rsidRPr="000F629B" w:rsidRDefault="000F629B" w:rsidP="000F629B">
            <w:pPr>
              <w:rPr>
                <w:rFonts w:cs="Arial"/>
              </w:rPr>
            </w:pPr>
            <w:r w:rsidRPr="000F629B">
              <w:lastRenderedPageBreak/>
              <w:t xml:space="preserve">Не се препоръчва адаптиране на дозата. Повишената експозиция на тенофовир може да потенцира нежелани </w:t>
            </w:r>
            <w:r w:rsidRPr="000F629B">
              <w:lastRenderedPageBreak/>
              <w:t>реакции, които са свързани с тенофовир дизопроксил, включително бъбречни нарушения. Бъбречната функция трябва да се следи внимателно (вж. точка 4.4).</w:t>
            </w:r>
          </w:p>
        </w:tc>
      </w:tr>
      <w:tr w:rsidR="000F629B" w14:paraId="06FDBD1F" w14:textId="77777777" w:rsidTr="000F629B">
        <w:tc>
          <w:tcPr>
            <w:tcW w:w="3166" w:type="dxa"/>
            <w:vAlign w:val="bottom"/>
          </w:tcPr>
          <w:p w14:paraId="01C2A63F" w14:textId="0F62B7CD" w:rsidR="000F629B" w:rsidRPr="000F629B" w:rsidRDefault="000F629B" w:rsidP="000F629B">
            <w:pPr>
              <w:rPr>
                <w:rFonts w:cs="Arial"/>
                <w:lang w:val="en-US"/>
              </w:rPr>
            </w:pPr>
            <w:r w:rsidRPr="000F629B">
              <w:lastRenderedPageBreak/>
              <w:t xml:space="preserve">Ледипасвир/Софосбувир </w:t>
            </w:r>
            <w:r w:rsidRPr="000F629B">
              <w:rPr>
                <w:lang w:val="en-US"/>
              </w:rPr>
              <w:t xml:space="preserve">(90 mg/400 mg </w:t>
            </w:r>
            <w:proofErr w:type="spellStart"/>
            <w:r w:rsidRPr="000F629B">
              <w:rPr>
                <w:lang w:val="en-US"/>
              </w:rPr>
              <w:t>q.d</w:t>
            </w:r>
            <w:proofErr w:type="spellEnd"/>
            <w:r w:rsidRPr="000F629B">
              <w:rPr>
                <w:lang w:val="en-US"/>
              </w:rPr>
              <w:t xml:space="preserve">.) + </w:t>
            </w:r>
            <w:r w:rsidRPr="000F629B">
              <w:t>Емтрицитабин/Рилпивирин/ Тенофовир дизопроксил</w:t>
            </w:r>
            <w:r>
              <w:rPr>
                <w:lang w:val="en-US"/>
              </w:rPr>
              <w:t xml:space="preserve"> </w:t>
            </w:r>
            <w:r w:rsidRPr="000F629B">
              <w:t>(200 mg/25 mg/245 mg q.d.)</w:t>
            </w:r>
          </w:p>
        </w:tc>
        <w:tc>
          <w:tcPr>
            <w:tcW w:w="3167" w:type="dxa"/>
            <w:vAlign w:val="bottom"/>
          </w:tcPr>
          <w:p w14:paraId="6AC783E9" w14:textId="77777777" w:rsidR="000F629B" w:rsidRPr="000F629B" w:rsidRDefault="000F629B" w:rsidP="000F629B">
            <w:pPr>
              <w:rPr>
                <w:rFonts w:cs="Arial"/>
              </w:rPr>
            </w:pPr>
            <w:r w:rsidRPr="000F629B">
              <w:rPr>
                <w:rFonts w:cs="Arial"/>
              </w:rPr>
              <w:t>Ледипасвир:</w:t>
            </w:r>
          </w:p>
          <w:p w14:paraId="4D335852" w14:textId="77777777" w:rsidR="000F629B" w:rsidRPr="000F629B" w:rsidRDefault="000F629B" w:rsidP="000F629B">
            <w:pPr>
              <w:rPr>
                <w:rFonts w:cs="Arial"/>
                <w:lang w:val="en-US"/>
              </w:rPr>
            </w:pPr>
            <w:r w:rsidRPr="000F629B">
              <w:rPr>
                <w:rFonts w:cs="Arial"/>
                <w:lang w:val="en-US"/>
              </w:rPr>
              <w:t xml:space="preserve">AUC: </w:t>
            </w:r>
            <w:r w:rsidRPr="000F629B">
              <w:rPr>
                <w:rFonts w:cs="Arial"/>
              </w:rPr>
              <w:t>↔</w:t>
            </w:r>
            <w:r w:rsidRPr="000F629B">
              <w:rPr>
                <w:rFonts w:cs="Arial"/>
                <w:lang w:val="en-US"/>
              </w:rPr>
              <w:t xml:space="preserve"> </w:t>
            </w:r>
          </w:p>
          <w:p w14:paraId="031C6BBF" w14:textId="71C928E9" w:rsidR="000F629B" w:rsidRPr="000F629B" w:rsidRDefault="000F629B" w:rsidP="000F629B">
            <w:pPr>
              <w:rPr>
                <w:rFonts w:cs="Arial"/>
              </w:rPr>
            </w:pPr>
            <w:proofErr w:type="spellStart"/>
            <w:r w:rsidRPr="000F629B">
              <w:rPr>
                <w:rFonts w:cs="Arial"/>
                <w:lang w:val="en-US"/>
              </w:rPr>
              <w:t>Cmax</w:t>
            </w:r>
            <w:proofErr w:type="spellEnd"/>
            <w:r w:rsidRPr="000F629B">
              <w:rPr>
                <w:rFonts w:cs="Arial"/>
                <w:lang w:val="en-US"/>
              </w:rPr>
              <w:t xml:space="preserve">: </w:t>
            </w:r>
            <w:r w:rsidRPr="000F629B">
              <w:rPr>
                <w:rFonts w:cs="Arial"/>
              </w:rPr>
              <w:t>↔</w:t>
            </w:r>
          </w:p>
          <w:p w14:paraId="6D8C4662" w14:textId="77777777" w:rsidR="000F629B" w:rsidRPr="000F629B" w:rsidRDefault="000F629B" w:rsidP="000F629B">
            <w:pPr>
              <w:rPr>
                <w:rFonts w:cs="Arial"/>
              </w:rPr>
            </w:pPr>
            <w:proofErr w:type="spellStart"/>
            <w:r w:rsidRPr="000F629B">
              <w:rPr>
                <w:rFonts w:cs="Arial"/>
                <w:lang w:val="en-US"/>
              </w:rPr>
              <w:t>Cmin</w:t>
            </w:r>
            <w:proofErr w:type="spellEnd"/>
            <w:r w:rsidRPr="000F629B">
              <w:rPr>
                <w:rFonts w:cs="Arial"/>
                <w:lang w:val="en-US"/>
              </w:rPr>
              <w:t xml:space="preserve">: </w:t>
            </w:r>
            <w:r w:rsidRPr="000F629B">
              <w:rPr>
                <w:rFonts w:cs="Arial"/>
              </w:rPr>
              <w:t>↔</w:t>
            </w:r>
          </w:p>
          <w:p w14:paraId="20D96707" w14:textId="77777777" w:rsidR="000F629B" w:rsidRDefault="000F629B" w:rsidP="000F629B">
            <w:pPr>
              <w:spacing w:line="240" w:lineRule="auto"/>
              <w:rPr>
                <w:rFonts w:eastAsia="Times New Roman" w:cs="Arial"/>
                <w:color w:val="000000"/>
                <w:lang w:eastAsia="bg-BG"/>
              </w:rPr>
            </w:pPr>
          </w:p>
          <w:p w14:paraId="43323EFD" w14:textId="79A7439A" w:rsidR="000F629B" w:rsidRDefault="000F629B" w:rsidP="000F629B">
            <w:pPr>
              <w:spacing w:line="240" w:lineRule="auto"/>
              <w:rPr>
                <w:rFonts w:eastAsia="Times New Roman" w:cs="Arial"/>
                <w:color w:val="000000"/>
                <w:lang w:eastAsia="bg-BG"/>
              </w:rPr>
            </w:pPr>
            <w:r w:rsidRPr="000F629B">
              <w:rPr>
                <w:rFonts w:eastAsia="Times New Roman" w:cs="Arial"/>
                <w:color w:val="000000"/>
                <w:lang w:eastAsia="bg-BG"/>
              </w:rPr>
              <w:t xml:space="preserve">Софосбувир: </w:t>
            </w:r>
          </w:p>
          <w:p w14:paraId="0860130B" w14:textId="7EC413A3" w:rsidR="000F629B" w:rsidRPr="000F629B" w:rsidRDefault="000F629B" w:rsidP="000F629B">
            <w:pPr>
              <w:spacing w:line="240" w:lineRule="auto"/>
              <w:rPr>
                <w:rFonts w:eastAsia="Times New Roman" w:cs="Arial"/>
                <w:lang w:val="en-US" w:eastAsia="bg-BG"/>
              </w:rPr>
            </w:pPr>
            <w:proofErr w:type="gramStart"/>
            <w:r w:rsidRPr="000F629B">
              <w:rPr>
                <w:rFonts w:eastAsia="Times New Roman" w:cs="Arial"/>
                <w:color w:val="000000"/>
                <w:lang w:val="en-US"/>
              </w:rPr>
              <w:t>AUC:</w:t>
            </w:r>
            <w:r w:rsidRPr="000F629B">
              <w:rPr>
                <w:rFonts w:eastAsia="Times New Roman" w:cs="Arial"/>
                <w:color w:val="000000"/>
                <w:lang w:eastAsia="bg-BG"/>
              </w:rPr>
              <w:t>↔</w:t>
            </w:r>
            <w:proofErr w:type="gramEnd"/>
          </w:p>
          <w:p w14:paraId="68C743C4" w14:textId="77777777" w:rsidR="000F629B" w:rsidRPr="000F629B" w:rsidRDefault="000F629B" w:rsidP="000F629B">
            <w:pPr>
              <w:spacing w:line="240" w:lineRule="auto"/>
              <w:rPr>
                <w:rFonts w:eastAsia="Times New Roman" w:cs="Arial"/>
                <w:lang w:val="en-US" w:eastAsia="bg-BG"/>
              </w:rPr>
            </w:pPr>
            <w:proofErr w:type="spellStart"/>
            <w:r w:rsidRPr="000F629B">
              <w:rPr>
                <w:rFonts w:eastAsia="Times New Roman" w:cs="Arial"/>
                <w:color w:val="000000"/>
                <w:lang w:val="en-US"/>
              </w:rPr>
              <w:t>Cmax</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p>
          <w:p w14:paraId="0722CD6E" w14:textId="77777777" w:rsidR="000F629B" w:rsidRDefault="000F629B" w:rsidP="000F629B">
            <w:pPr>
              <w:spacing w:line="240" w:lineRule="auto"/>
              <w:rPr>
                <w:rFonts w:eastAsia="Times New Roman" w:cs="Arial"/>
                <w:color w:val="000000"/>
                <w:lang w:val="en-US"/>
              </w:rPr>
            </w:pPr>
          </w:p>
          <w:p w14:paraId="22DDFBBA" w14:textId="390EC831" w:rsidR="000F629B" w:rsidRDefault="000F629B" w:rsidP="000F629B">
            <w:pPr>
              <w:spacing w:line="240" w:lineRule="auto"/>
              <w:rPr>
                <w:rFonts w:eastAsia="Times New Roman" w:cs="Arial"/>
                <w:color w:val="000000"/>
                <w:lang w:val="en-US"/>
              </w:rPr>
            </w:pPr>
            <w:r w:rsidRPr="000F629B">
              <w:rPr>
                <w:rFonts w:eastAsia="Times New Roman" w:cs="Arial"/>
                <w:color w:val="000000"/>
                <w:lang w:val="en-US"/>
              </w:rPr>
              <w:t>GS-331007</w:t>
            </w:r>
            <w:r w:rsidRPr="000F629B">
              <w:rPr>
                <w:rFonts w:eastAsia="Times New Roman" w:cs="Arial"/>
                <w:color w:val="000000"/>
                <w:vertAlign w:val="superscript"/>
                <w:lang w:val="en-US"/>
              </w:rPr>
              <w:t>2</w:t>
            </w:r>
            <w:r w:rsidRPr="000F629B">
              <w:rPr>
                <w:rFonts w:eastAsia="Times New Roman" w:cs="Arial"/>
                <w:color w:val="000000"/>
                <w:lang w:val="en-US"/>
              </w:rPr>
              <w:t xml:space="preserve">: </w:t>
            </w:r>
          </w:p>
          <w:p w14:paraId="3F7FADF0" w14:textId="4F524997" w:rsidR="000F629B" w:rsidRPr="000F629B" w:rsidRDefault="000F629B" w:rsidP="000F629B">
            <w:pPr>
              <w:spacing w:line="240" w:lineRule="auto"/>
              <w:rPr>
                <w:rFonts w:eastAsia="Times New Roman" w:cs="Arial"/>
                <w:lang w:val="en-US" w:eastAsia="bg-BG"/>
              </w:rPr>
            </w:pPr>
            <w:proofErr w:type="gramStart"/>
            <w:r w:rsidRPr="000F629B">
              <w:rPr>
                <w:rFonts w:eastAsia="Times New Roman" w:cs="Arial"/>
                <w:color w:val="000000"/>
                <w:lang w:val="en-US"/>
              </w:rPr>
              <w:t>AUC:</w:t>
            </w:r>
            <w:r w:rsidRPr="000F629B">
              <w:rPr>
                <w:rFonts w:eastAsia="Times New Roman" w:cs="Arial"/>
                <w:color w:val="000000"/>
                <w:lang w:eastAsia="bg-BG"/>
              </w:rPr>
              <w:t>↔</w:t>
            </w:r>
            <w:proofErr w:type="gramEnd"/>
          </w:p>
          <w:p w14:paraId="2040B412" w14:textId="77777777" w:rsidR="000F629B" w:rsidRPr="000F629B" w:rsidRDefault="000F629B" w:rsidP="000F629B">
            <w:pPr>
              <w:spacing w:line="240" w:lineRule="auto"/>
              <w:rPr>
                <w:rFonts w:eastAsia="Times New Roman" w:cs="Arial"/>
                <w:lang w:val="en-US" w:eastAsia="bg-BG"/>
              </w:rPr>
            </w:pPr>
            <w:proofErr w:type="spellStart"/>
            <w:proofErr w:type="gramStart"/>
            <w:r w:rsidRPr="000F629B">
              <w:rPr>
                <w:rFonts w:eastAsia="Times New Roman" w:cs="Arial"/>
                <w:color w:val="000000"/>
                <w:lang w:val="en-US"/>
              </w:rPr>
              <w:t>Cmax</w:t>
            </w:r>
            <w:proofErr w:type="spellEnd"/>
            <w:r w:rsidRPr="000F629B">
              <w:rPr>
                <w:rFonts w:eastAsia="Times New Roman" w:cs="Arial"/>
                <w:color w:val="000000"/>
                <w:lang w:val="en-US"/>
              </w:rPr>
              <w:t>:</w:t>
            </w:r>
            <w:r w:rsidRPr="000F629B">
              <w:rPr>
                <w:rFonts w:eastAsia="Times New Roman" w:cs="Arial"/>
                <w:color w:val="000000"/>
                <w:lang w:eastAsia="bg-BG"/>
              </w:rPr>
              <w:t>↔</w:t>
            </w:r>
            <w:proofErr w:type="gramEnd"/>
          </w:p>
          <w:p w14:paraId="6D48CEE2" w14:textId="77777777" w:rsidR="000F629B" w:rsidRPr="000F629B" w:rsidRDefault="000F629B" w:rsidP="000F629B">
            <w:pPr>
              <w:spacing w:line="240" w:lineRule="auto"/>
              <w:rPr>
                <w:rFonts w:eastAsia="Times New Roman" w:cs="Arial"/>
                <w:lang w:val="en-US" w:eastAsia="bg-BG"/>
              </w:rPr>
            </w:pPr>
            <w:proofErr w:type="spellStart"/>
            <w:proofErr w:type="gramStart"/>
            <w:r w:rsidRPr="000F629B">
              <w:rPr>
                <w:rFonts w:eastAsia="Times New Roman" w:cs="Arial"/>
                <w:color w:val="000000"/>
                <w:lang w:val="en-US"/>
              </w:rPr>
              <w:t>Cmin</w:t>
            </w:r>
            <w:proofErr w:type="spellEnd"/>
            <w:r w:rsidRPr="000F629B">
              <w:rPr>
                <w:rFonts w:eastAsia="Times New Roman" w:cs="Arial"/>
                <w:color w:val="000000"/>
                <w:lang w:val="en-US"/>
              </w:rPr>
              <w:t>:</w:t>
            </w:r>
            <w:r w:rsidRPr="000F629B">
              <w:rPr>
                <w:rFonts w:eastAsia="Times New Roman" w:cs="Arial"/>
                <w:color w:val="000000"/>
                <w:lang w:eastAsia="bg-BG"/>
              </w:rPr>
              <w:t>↔</w:t>
            </w:r>
            <w:proofErr w:type="gramEnd"/>
          </w:p>
          <w:p w14:paraId="09661677" w14:textId="77777777" w:rsidR="000F629B" w:rsidRDefault="000F629B" w:rsidP="000F629B">
            <w:pPr>
              <w:spacing w:line="240" w:lineRule="auto"/>
              <w:rPr>
                <w:rFonts w:eastAsia="Times New Roman" w:cs="Arial"/>
                <w:color w:val="000000"/>
                <w:lang w:eastAsia="bg-BG"/>
              </w:rPr>
            </w:pPr>
          </w:p>
          <w:p w14:paraId="1D35A4B9" w14:textId="5D2FAF54" w:rsidR="000F629B" w:rsidRPr="000F629B" w:rsidRDefault="000F629B" w:rsidP="000F629B">
            <w:pPr>
              <w:spacing w:line="240" w:lineRule="auto"/>
              <w:rPr>
                <w:rFonts w:eastAsia="Times New Roman" w:cs="Arial"/>
                <w:lang w:val="en-US" w:eastAsia="bg-BG"/>
              </w:rPr>
            </w:pPr>
            <w:r w:rsidRPr="000F629B">
              <w:rPr>
                <w:rFonts w:eastAsia="Times New Roman" w:cs="Arial"/>
                <w:color w:val="000000"/>
                <w:lang w:eastAsia="bg-BG"/>
              </w:rPr>
              <w:t>Емтрицитабин:</w:t>
            </w:r>
          </w:p>
          <w:p w14:paraId="2DFD00FC" w14:textId="77777777" w:rsidR="000F629B" w:rsidRPr="000F629B" w:rsidRDefault="000F629B" w:rsidP="000F629B">
            <w:pPr>
              <w:spacing w:line="240" w:lineRule="auto"/>
              <w:rPr>
                <w:rFonts w:eastAsia="Times New Roman" w:cs="Arial"/>
                <w:lang w:val="en-US" w:eastAsia="bg-BG"/>
              </w:rPr>
            </w:pPr>
            <w:proofErr w:type="gramStart"/>
            <w:r w:rsidRPr="000F629B">
              <w:rPr>
                <w:rFonts w:eastAsia="Times New Roman" w:cs="Arial"/>
                <w:color w:val="000000"/>
                <w:lang w:val="en-US"/>
              </w:rPr>
              <w:t>AUC:</w:t>
            </w:r>
            <w:r w:rsidRPr="000F629B">
              <w:rPr>
                <w:rFonts w:eastAsia="Times New Roman" w:cs="Arial"/>
                <w:color w:val="000000"/>
                <w:lang w:eastAsia="bg-BG"/>
              </w:rPr>
              <w:t>↔</w:t>
            </w:r>
            <w:proofErr w:type="gramEnd"/>
          </w:p>
          <w:p w14:paraId="5E1B8ABA" w14:textId="77777777" w:rsidR="000F629B" w:rsidRPr="000F629B" w:rsidRDefault="000F629B" w:rsidP="000F629B">
            <w:pPr>
              <w:spacing w:line="240" w:lineRule="auto"/>
              <w:rPr>
                <w:rFonts w:eastAsia="Times New Roman" w:cs="Arial"/>
                <w:lang w:val="en-US" w:eastAsia="bg-BG"/>
              </w:rPr>
            </w:pPr>
            <w:proofErr w:type="spellStart"/>
            <w:proofErr w:type="gramStart"/>
            <w:r w:rsidRPr="000F629B">
              <w:rPr>
                <w:rFonts w:eastAsia="Times New Roman" w:cs="Arial"/>
                <w:color w:val="000000"/>
                <w:lang w:val="en-US"/>
              </w:rPr>
              <w:t>Cmax</w:t>
            </w:r>
            <w:proofErr w:type="spellEnd"/>
            <w:r w:rsidRPr="000F629B">
              <w:rPr>
                <w:rFonts w:eastAsia="Times New Roman" w:cs="Arial"/>
                <w:color w:val="000000"/>
                <w:lang w:val="en-US"/>
              </w:rPr>
              <w:t>:</w:t>
            </w:r>
            <w:r w:rsidRPr="000F629B">
              <w:rPr>
                <w:rFonts w:eastAsia="Times New Roman" w:cs="Arial"/>
                <w:color w:val="000000"/>
                <w:lang w:eastAsia="bg-BG"/>
              </w:rPr>
              <w:t>↔</w:t>
            </w:r>
            <w:proofErr w:type="gramEnd"/>
          </w:p>
          <w:p w14:paraId="61A5F0D6" w14:textId="77777777" w:rsidR="000F629B" w:rsidRPr="000F629B" w:rsidRDefault="000F629B" w:rsidP="000F629B">
            <w:pPr>
              <w:spacing w:line="240" w:lineRule="auto"/>
              <w:rPr>
                <w:rFonts w:eastAsia="Times New Roman" w:cs="Arial"/>
                <w:lang w:val="en-US" w:eastAsia="bg-BG"/>
              </w:rPr>
            </w:pPr>
            <w:proofErr w:type="spellStart"/>
            <w:r w:rsidRPr="000F629B">
              <w:rPr>
                <w:rFonts w:eastAsia="Times New Roman" w:cs="Arial"/>
                <w:color w:val="000000"/>
                <w:lang w:val="en-US"/>
              </w:rPr>
              <w:t>Cmin</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p>
          <w:p w14:paraId="276FD872" w14:textId="77777777" w:rsidR="000F629B" w:rsidRDefault="000F629B" w:rsidP="000F629B">
            <w:pPr>
              <w:spacing w:line="240" w:lineRule="auto"/>
              <w:rPr>
                <w:rFonts w:eastAsia="Times New Roman" w:cs="Arial"/>
                <w:color w:val="000000"/>
                <w:lang w:eastAsia="bg-BG"/>
              </w:rPr>
            </w:pPr>
          </w:p>
          <w:p w14:paraId="361537D5" w14:textId="2C788AC1" w:rsidR="000F629B" w:rsidRPr="000F629B" w:rsidRDefault="000F629B" w:rsidP="000F629B">
            <w:pPr>
              <w:spacing w:line="240" w:lineRule="auto"/>
              <w:rPr>
                <w:rFonts w:eastAsia="Times New Roman" w:cs="Arial"/>
                <w:lang w:val="en-US" w:eastAsia="bg-BG"/>
              </w:rPr>
            </w:pPr>
            <w:r w:rsidRPr="000F629B">
              <w:rPr>
                <w:rFonts w:eastAsia="Times New Roman" w:cs="Arial"/>
                <w:color w:val="000000"/>
                <w:lang w:eastAsia="bg-BG"/>
              </w:rPr>
              <w:t>Рилпивирин:</w:t>
            </w:r>
          </w:p>
          <w:p w14:paraId="670BA40B" w14:textId="77777777" w:rsidR="000F629B" w:rsidRPr="000F629B" w:rsidRDefault="000F629B" w:rsidP="000F629B">
            <w:pPr>
              <w:spacing w:line="240" w:lineRule="auto"/>
              <w:rPr>
                <w:rFonts w:eastAsia="Times New Roman" w:cs="Arial"/>
                <w:lang w:val="en-US" w:eastAsia="bg-BG"/>
              </w:rPr>
            </w:pPr>
            <w:proofErr w:type="gramStart"/>
            <w:r w:rsidRPr="000F629B">
              <w:rPr>
                <w:rFonts w:eastAsia="Times New Roman" w:cs="Arial"/>
                <w:color w:val="000000"/>
                <w:lang w:val="en-US"/>
              </w:rPr>
              <w:t>AUC:</w:t>
            </w:r>
            <w:r w:rsidRPr="000F629B">
              <w:rPr>
                <w:rFonts w:eastAsia="Times New Roman" w:cs="Arial"/>
                <w:color w:val="000000"/>
                <w:lang w:eastAsia="bg-BG"/>
              </w:rPr>
              <w:t>↔</w:t>
            </w:r>
            <w:proofErr w:type="gramEnd"/>
          </w:p>
          <w:p w14:paraId="130D3016" w14:textId="77777777" w:rsidR="000F629B" w:rsidRDefault="000F629B" w:rsidP="000F629B">
            <w:pPr>
              <w:spacing w:line="240" w:lineRule="auto"/>
              <w:rPr>
                <w:rFonts w:eastAsia="Times New Roman" w:cs="Arial"/>
                <w:color w:val="000000"/>
                <w:lang w:val="en-US"/>
              </w:rPr>
            </w:pPr>
            <w:proofErr w:type="spellStart"/>
            <w:r w:rsidRPr="000F629B">
              <w:rPr>
                <w:rFonts w:eastAsia="Times New Roman" w:cs="Arial"/>
                <w:color w:val="000000"/>
                <w:lang w:val="en-US"/>
              </w:rPr>
              <w:t>Cmax</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w:t>
            </w:r>
          </w:p>
          <w:p w14:paraId="44A126A4" w14:textId="08CF4816" w:rsidR="000F629B" w:rsidRPr="000F629B" w:rsidRDefault="000F629B" w:rsidP="000F629B">
            <w:pPr>
              <w:spacing w:line="240" w:lineRule="auto"/>
              <w:rPr>
                <w:rFonts w:eastAsia="Times New Roman" w:cs="Arial"/>
                <w:lang w:val="en-US" w:eastAsia="bg-BG"/>
              </w:rPr>
            </w:pPr>
            <w:proofErr w:type="spellStart"/>
            <w:proofErr w:type="gramStart"/>
            <w:r w:rsidRPr="000F629B">
              <w:rPr>
                <w:rFonts w:eastAsia="Times New Roman" w:cs="Arial"/>
                <w:color w:val="000000"/>
                <w:lang w:val="en-US"/>
              </w:rPr>
              <w:t>Cmin</w:t>
            </w:r>
            <w:proofErr w:type="spellEnd"/>
            <w:r w:rsidRPr="000F629B">
              <w:rPr>
                <w:rFonts w:eastAsia="Times New Roman" w:cs="Arial"/>
                <w:color w:val="000000"/>
                <w:lang w:val="en-US"/>
              </w:rPr>
              <w:t>:</w:t>
            </w:r>
            <w:r w:rsidRPr="000F629B">
              <w:rPr>
                <w:rFonts w:eastAsia="Times New Roman" w:cs="Arial"/>
                <w:color w:val="000000"/>
                <w:lang w:eastAsia="bg-BG"/>
              </w:rPr>
              <w:t>↔</w:t>
            </w:r>
            <w:proofErr w:type="gramEnd"/>
          </w:p>
          <w:p w14:paraId="351111A5" w14:textId="77777777" w:rsidR="000F629B" w:rsidRDefault="000F629B" w:rsidP="000F629B">
            <w:pPr>
              <w:spacing w:line="240" w:lineRule="auto"/>
              <w:rPr>
                <w:rFonts w:eastAsia="Times New Roman" w:cs="Arial"/>
                <w:color w:val="000000"/>
                <w:lang w:eastAsia="bg-BG"/>
              </w:rPr>
            </w:pPr>
          </w:p>
          <w:p w14:paraId="5575B385" w14:textId="253D2069" w:rsidR="000F629B" w:rsidRDefault="000F629B" w:rsidP="000F629B">
            <w:pPr>
              <w:spacing w:line="240" w:lineRule="auto"/>
              <w:rPr>
                <w:rFonts w:eastAsia="Times New Roman" w:cs="Arial"/>
                <w:color w:val="000000"/>
                <w:lang w:eastAsia="bg-BG"/>
              </w:rPr>
            </w:pPr>
            <w:r w:rsidRPr="000F629B">
              <w:rPr>
                <w:rFonts w:eastAsia="Times New Roman" w:cs="Arial"/>
                <w:color w:val="000000"/>
                <w:lang w:eastAsia="bg-BG"/>
              </w:rPr>
              <w:t xml:space="preserve">Тенофовир: </w:t>
            </w:r>
          </w:p>
          <w:p w14:paraId="5E338F19" w14:textId="77777777" w:rsidR="000F629B" w:rsidRDefault="000F629B" w:rsidP="000F629B">
            <w:pPr>
              <w:spacing w:line="240" w:lineRule="auto"/>
              <w:rPr>
                <w:rFonts w:eastAsia="Times New Roman" w:cs="Arial"/>
                <w:color w:val="000000"/>
                <w:lang w:val="en-US"/>
              </w:rPr>
            </w:pPr>
            <w:r w:rsidRPr="000F629B">
              <w:rPr>
                <w:rFonts w:eastAsia="Times New Roman" w:cs="Arial"/>
                <w:color w:val="000000"/>
                <w:lang w:val="en-US"/>
              </w:rPr>
              <w:t xml:space="preserve">AUC: </w:t>
            </w:r>
            <w:r w:rsidRPr="000F629B">
              <w:rPr>
                <w:rFonts w:eastAsia="Times New Roman" w:cs="Arial"/>
                <w:color w:val="000000"/>
                <w:lang w:eastAsia="bg-BG"/>
              </w:rPr>
              <w:t>↑</w:t>
            </w:r>
            <w:r w:rsidRPr="000F629B">
              <w:rPr>
                <w:rFonts w:eastAsia="Times New Roman" w:cs="Arial"/>
                <w:color w:val="000000"/>
                <w:lang w:val="en-US"/>
              </w:rPr>
              <w:t xml:space="preserve"> 40 % </w:t>
            </w:r>
          </w:p>
          <w:p w14:paraId="23D7B4BB" w14:textId="77777777" w:rsidR="000F629B" w:rsidRDefault="000F629B" w:rsidP="000F629B">
            <w:pPr>
              <w:spacing w:line="240" w:lineRule="auto"/>
              <w:rPr>
                <w:rFonts w:eastAsia="Times New Roman" w:cs="Arial"/>
                <w:color w:val="000000"/>
                <w:lang w:val="en-US"/>
              </w:rPr>
            </w:pPr>
            <w:proofErr w:type="spellStart"/>
            <w:r w:rsidRPr="000F629B">
              <w:rPr>
                <w:rFonts w:eastAsia="Times New Roman" w:cs="Arial"/>
                <w:color w:val="000000"/>
                <w:lang w:val="en-US"/>
              </w:rPr>
              <w:t>Cmax</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w:t>
            </w:r>
          </w:p>
          <w:p w14:paraId="23707703" w14:textId="7B05AD56" w:rsidR="000F629B" w:rsidRPr="000F629B" w:rsidRDefault="000F629B" w:rsidP="000F629B">
            <w:pPr>
              <w:spacing w:line="240" w:lineRule="auto"/>
              <w:rPr>
                <w:rFonts w:eastAsia="Times New Roman" w:cs="Arial"/>
                <w:lang w:val="en-US" w:eastAsia="bg-BG"/>
              </w:rPr>
            </w:pPr>
            <w:proofErr w:type="spellStart"/>
            <w:r w:rsidRPr="000F629B">
              <w:rPr>
                <w:rFonts w:eastAsia="Times New Roman" w:cs="Arial"/>
                <w:color w:val="000000"/>
                <w:lang w:val="en-US"/>
              </w:rPr>
              <w:lastRenderedPageBreak/>
              <w:t>Cmin</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91 %</w:t>
            </w:r>
          </w:p>
        </w:tc>
        <w:tc>
          <w:tcPr>
            <w:tcW w:w="3167" w:type="dxa"/>
            <w:vAlign w:val="bottom"/>
          </w:tcPr>
          <w:p w14:paraId="2C926371" w14:textId="196146BC" w:rsidR="000F629B" w:rsidRPr="000F629B" w:rsidRDefault="000F629B" w:rsidP="000F629B">
            <w:pPr>
              <w:rPr>
                <w:rFonts w:cs="Arial"/>
                <w:lang w:val="en-US"/>
              </w:rPr>
            </w:pPr>
            <w:r w:rsidRPr="000F629B">
              <w:rPr>
                <w:lang w:val="en-US"/>
              </w:rPr>
              <w:lastRenderedPageBreak/>
              <w:t xml:space="preserve">He </w:t>
            </w:r>
            <w:r w:rsidRPr="000F629B">
              <w:t>се препоръчва адаптиране на дозата. Повишената експозиция на тенофовир може да</w:t>
            </w:r>
            <w:r w:rsidRPr="000F629B">
              <w:rPr>
                <w:lang w:val="en-US"/>
              </w:rPr>
              <w:t xml:space="preserve"> </w:t>
            </w:r>
            <w:r w:rsidRPr="000F629B">
              <w:t>потенцира нежелани реакции, които са свързани с тенофовир дизопроксил, включително бъбречни нарушения. Бъбречната функция трябва да се следи внимателно (вж. точка 4.4).</w:t>
            </w:r>
          </w:p>
        </w:tc>
      </w:tr>
      <w:tr w:rsidR="000F629B" w14:paraId="46F3932F" w14:textId="77777777" w:rsidTr="000F629B">
        <w:tc>
          <w:tcPr>
            <w:tcW w:w="3166" w:type="dxa"/>
          </w:tcPr>
          <w:p w14:paraId="4F4D0449" w14:textId="7325B38A" w:rsidR="000F629B" w:rsidRPr="000F629B" w:rsidRDefault="000F629B" w:rsidP="000F629B">
            <w:pPr>
              <w:rPr>
                <w:rFonts w:cs="Arial"/>
              </w:rPr>
            </w:pPr>
            <w:r w:rsidRPr="000F629B">
              <w:t xml:space="preserve">Ледипасвир/Софосбувир </w:t>
            </w:r>
            <w:r w:rsidRPr="000F629B">
              <w:rPr>
                <w:lang w:val="en-US"/>
              </w:rPr>
              <w:t xml:space="preserve">(90 mg/400 mg </w:t>
            </w:r>
            <w:proofErr w:type="spellStart"/>
            <w:r w:rsidRPr="000F629B">
              <w:rPr>
                <w:lang w:val="en-US"/>
              </w:rPr>
              <w:t>q.d</w:t>
            </w:r>
            <w:proofErr w:type="spellEnd"/>
            <w:r w:rsidRPr="000F629B">
              <w:rPr>
                <w:lang w:val="en-US"/>
              </w:rPr>
              <w:t xml:space="preserve">.) + </w:t>
            </w:r>
            <w:r w:rsidRPr="000F629B">
              <w:t xml:space="preserve">Долутегравир </w:t>
            </w:r>
            <w:r w:rsidRPr="000F629B">
              <w:rPr>
                <w:lang w:val="en-US"/>
              </w:rPr>
              <w:t xml:space="preserve">(50 mg </w:t>
            </w:r>
            <w:proofErr w:type="spellStart"/>
            <w:r w:rsidRPr="000F629B">
              <w:rPr>
                <w:lang w:val="en-US"/>
              </w:rPr>
              <w:t>q.d</w:t>
            </w:r>
            <w:proofErr w:type="spellEnd"/>
            <w:r w:rsidRPr="000F629B">
              <w:rPr>
                <w:lang w:val="en-US"/>
              </w:rPr>
              <w:t xml:space="preserve">.) + </w:t>
            </w:r>
            <w:r w:rsidRPr="000F629B">
              <w:t xml:space="preserve">Емтрицитабин/Тенофовир дизопроксил </w:t>
            </w:r>
            <w:r w:rsidRPr="000F629B">
              <w:rPr>
                <w:lang w:val="en-US"/>
              </w:rPr>
              <w:t xml:space="preserve">(200 mg/245 mg </w:t>
            </w:r>
            <w:proofErr w:type="spellStart"/>
            <w:r w:rsidRPr="000F629B">
              <w:rPr>
                <w:lang w:val="en-US"/>
              </w:rPr>
              <w:t>q.d</w:t>
            </w:r>
            <w:proofErr w:type="spellEnd"/>
            <w:r w:rsidRPr="000F629B">
              <w:rPr>
                <w:lang w:val="en-US"/>
              </w:rPr>
              <w:t>.)</w:t>
            </w:r>
          </w:p>
        </w:tc>
        <w:tc>
          <w:tcPr>
            <w:tcW w:w="3167" w:type="dxa"/>
            <w:vAlign w:val="bottom"/>
          </w:tcPr>
          <w:p w14:paraId="3D3C3812" w14:textId="77777777" w:rsidR="000F629B" w:rsidRDefault="000F629B" w:rsidP="000F629B">
            <w:r w:rsidRPr="000F629B">
              <w:t xml:space="preserve">Софосбувир: </w:t>
            </w:r>
          </w:p>
          <w:p w14:paraId="10D88706" w14:textId="77777777" w:rsidR="000F629B" w:rsidRDefault="000F629B" w:rsidP="000F629B">
            <w:pPr>
              <w:rPr>
                <w:lang w:val="en-US"/>
              </w:rPr>
            </w:pPr>
            <w:proofErr w:type="gramStart"/>
            <w:r w:rsidRPr="000F629B">
              <w:rPr>
                <w:lang w:val="en-US"/>
              </w:rPr>
              <w:t>AUC:</w:t>
            </w:r>
            <w:r w:rsidRPr="000F629B">
              <w:t>↔</w:t>
            </w:r>
            <w:proofErr w:type="gramEnd"/>
            <w:r w:rsidRPr="000F629B">
              <w:rPr>
                <w:lang w:val="en-US"/>
              </w:rPr>
              <w:t xml:space="preserve"> </w:t>
            </w:r>
          </w:p>
          <w:p w14:paraId="0865A9CD" w14:textId="4A3FE8F3" w:rsidR="000F629B" w:rsidRPr="000F629B" w:rsidRDefault="000F629B" w:rsidP="000F629B">
            <w:proofErr w:type="spellStart"/>
            <w:proofErr w:type="gramStart"/>
            <w:r w:rsidRPr="000F629B">
              <w:rPr>
                <w:lang w:val="en-US"/>
              </w:rPr>
              <w:t>Cmax</w:t>
            </w:r>
            <w:proofErr w:type="spellEnd"/>
            <w:r w:rsidRPr="000F629B">
              <w:rPr>
                <w:lang w:val="en-US"/>
              </w:rPr>
              <w:t>:</w:t>
            </w:r>
            <w:r w:rsidRPr="000F629B">
              <w:t>↔</w:t>
            </w:r>
            <w:proofErr w:type="gramEnd"/>
          </w:p>
          <w:p w14:paraId="3EE58931" w14:textId="77777777" w:rsidR="000F629B" w:rsidRDefault="000F629B" w:rsidP="000F629B">
            <w:pPr>
              <w:rPr>
                <w:lang w:val="en-US"/>
              </w:rPr>
            </w:pPr>
          </w:p>
          <w:p w14:paraId="44FA95DD" w14:textId="67C65631" w:rsidR="000F629B" w:rsidRDefault="000F629B" w:rsidP="000F629B">
            <w:pPr>
              <w:rPr>
                <w:lang w:val="en-US"/>
              </w:rPr>
            </w:pPr>
            <w:r w:rsidRPr="000F629B">
              <w:rPr>
                <w:lang w:val="en-US"/>
              </w:rPr>
              <w:t xml:space="preserve">GS-3310072 </w:t>
            </w:r>
          </w:p>
          <w:p w14:paraId="2185901A" w14:textId="77777777" w:rsidR="000F629B" w:rsidRDefault="000F629B" w:rsidP="000F629B">
            <w:pPr>
              <w:rPr>
                <w:lang w:val="en-US"/>
              </w:rPr>
            </w:pPr>
            <w:proofErr w:type="gramStart"/>
            <w:r w:rsidRPr="000F629B">
              <w:rPr>
                <w:lang w:val="en-US"/>
              </w:rPr>
              <w:t>AUC:</w:t>
            </w:r>
            <w:r w:rsidRPr="000F629B">
              <w:t>↔</w:t>
            </w:r>
            <w:proofErr w:type="gramEnd"/>
            <w:r w:rsidRPr="000F629B">
              <w:rPr>
                <w:lang w:val="en-US"/>
              </w:rPr>
              <w:t xml:space="preserve"> </w:t>
            </w:r>
          </w:p>
          <w:p w14:paraId="3F2FC9E8" w14:textId="5C541A66" w:rsidR="000F629B" w:rsidRPr="000F629B" w:rsidRDefault="000F629B" w:rsidP="000F629B">
            <w:proofErr w:type="spellStart"/>
            <w:proofErr w:type="gramStart"/>
            <w:r w:rsidRPr="000F629B">
              <w:rPr>
                <w:lang w:val="en-US"/>
              </w:rPr>
              <w:t>Cmax</w:t>
            </w:r>
            <w:proofErr w:type="spellEnd"/>
            <w:r w:rsidRPr="000F629B">
              <w:rPr>
                <w:lang w:val="en-US"/>
              </w:rPr>
              <w:t>:</w:t>
            </w:r>
            <w:r w:rsidRPr="000F629B">
              <w:t>↔</w:t>
            </w:r>
            <w:proofErr w:type="gramEnd"/>
          </w:p>
          <w:p w14:paraId="44E40CAC" w14:textId="77777777" w:rsidR="000F629B" w:rsidRDefault="000F629B" w:rsidP="000F629B">
            <w:proofErr w:type="spellStart"/>
            <w:r w:rsidRPr="000F629B">
              <w:rPr>
                <w:lang w:val="en-US"/>
              </w:rPr>
              <w:t>Cmin</w:t>
            </w:r>
            <w:proofErr w:type="spellEnd"/>
            <w:r w:rsidRPr="000F629B">
              <w:rPr>
                <w:lang w:val="en-US"/>
              </w:rPr>
              <w:t xml:space="preserve">: </w:t>
            </w:r>
            <w:r w:rsidRPr="000F629B">
              <w:t xml:space="preserve">↔ </w:t>
            </w:r>
          </w:p>
          <w:p w14:paraId="56B13836" w14:textId="77777777" w:rsidR="000F629B" w:rsidRDefault="000F629B" w:rsidP="000F629B"/>
          <w:p w14:paraId="1C35290B" w14:textId="0AFAE85F" w:rsidR="000F629B" w:rsidRDefault="000F629B" w:rsidP="000F629B">
            <w:r w:rsidRPr="000F629B">
              <w:t xml:space="preserve">Ледипасвир: </w:t>
            </w:r>
          </w:p>
          <w:p w14:paraId="0CA47899" w14:textId="77777777" w:rsidR="000F629B" w:rsidRDefault="000F629B" w:rsidP="000F629B">
            <w:pPr>
              <w:rPr>
                <w:lang w:val="en-US"/>
              </w:rPr>
            </w:pPr>
            <w:r w:rsidRPr="000F629B">
              <w:rPr>
                <w:lang w:val="en-US"/>
              </w:rPr>
              <w:t xml:space="preserve">AUC: </w:t>
            </w:r>
            <w:r w:rsidRPr="000F629B">
              <w:t>↔</w:t>
            </w:r>
            <w:r w:rsidRPr="000F629B">
              <w:rPr>
                <w:lang w:val="en-US"/>
              </w:rPr>
              <w:t xml:space="preserve"> </w:t>
            </w:r>
          </w:p>
          <w:p w14:paraId="2761981C" w14:textId="3E743F12" w:rsidR="000F629B" w:rsidRPr="000F629B" w:rsidRDefault="000F629B" w:rsidP="000F629B">
            <w:proofErr w:type="spellStart"/>
            <w:proofErr w:type="gramStart"/>
            <w:r w:rsidRPr="000F629B">
              <w:rPr>
                <w:lang w:val="en-US"/>
              </w:rPr>
              <w:t>Cmax</w:t>
            </w:r>
            <w:proofErr w:type="spellEnd"/>
            <w:r w:rsidRPr="000F629B">
              <w:rPr>
                <w:lang w:val="en-US"/>
              </w:rPr>
              <w:t>:</w:t>
            </w:r>
            <w:r w:rsidRPr="000F629B">
              <w:t>↔</w:t>
            </w:r>
            <w:proofErr w:type="gramEnd"/>
          </w:p>
          <w:p w14:paraId="235E7D96" w14:textId="77777777" w:rsidR="000F629B" w:rsidRDefault="000F629B" w:rsidP="000F629B">
            <w:proofErr w:type="spellStart"/>
            <w:proofErr w:type="gramStart"/>
            <w:r w:rsidRPr="000F629B">
              <w:rPr>
                <w:lang w:val="en-US"/>
              </w:rPr>
              <w:t>Cmin</w:t>
            </w:r>
            <w:proofErr w:type="spellEnd"/>
            <w:r w:rsidRPr="000F629B">
              <w:rPr>
                <w:lang w:val="en-US"/>
              </w:rPr>
              <w:t>:</w:t>
            </w:r>
            <w:r w:rsidRPr="000F629B">
              <w:t>↔</w:t>
            </w:r>
            <w:proofErr w:type="gramEnd"/>
            <w:r w:rsidRPr="000F629B">
              <w:t xml:space="preserve"> </w:t>
            </w:r>
          </w:p>
          <w:p w14:paraId="0D5EDAC1" w14:textId="77777777" w:rsidR="000F629B" w:rsidRDefault="000F629B" w:rsidP="000F629B"/>
          <w:p w14:paraId="7F4ABE46" w14:textId="7F62D3A8" w:rsidR="000F629B" w:rsidRDefault="000F629B" w:rsidP="000F629B">
            <w:r w:rsidRPr="000F629B">
              <w:t xml:space="preserve">Долутегравир </w:t>
            </w:r>
          </w:p>
          <w:p w14:paraId="4EC3CB88" w14:textId="77777777" w:rsidR="000F629B" w:rsidRDefault="000F629B" w:rsidP="000F629B">
            <w:pPr>
              <w:rPr>
                <w:lang w:val="en-US"/>
              </w:rPr>
            </w:pPr>
            <w:proofErr w:type="gramStart"/>
            <w:r w:rsidRPr="000F629B">
              <w:rPr>
                <w:lang w:val="en-US"/>
              </w:rPr>
              <w:t>AUC:</w:t>
            </w:r>
            <w:r w:rsidRPr="000F629B">
              <w:t>↔</w:t>
            </w:r>
            <w:proofErr w:type="gramEnd"/>
            <w:r w:rsidRPr="000F629B">
              <w:rPr>
                <w:lang w:val="en-US"/>
              </w:rPr>
              <w:t xml:space="preserve"> </w:t>
            </w:r>
          </w:p>
          <w:p w14:paraId="661520F1" w14:textId="71727372" w:rsidR="000F629B" w:rsidRPr="000F629B" w:rsidRDefault="000F629B" w:rsidP="000F629B">
            <w:proofErr w:type="spellStart"/>
            <w:proofErr w:type="gramStart"/>
            <w:r w:rsidRPr="000F629B">
              <w:rPr>
                <w:lang w:val="en-US"/>
              </w:rPr>
              <w:t>Cmax</w:t>
            </w:r>
            <w:proofErr w:type="spellEnd"/>
            <w:r w:rsidRPr="000F629B">
              <w:rPr>
                <w:lang w:val="en-US"/>
              </w:rPr>
              <w:t>:</w:t>
            </w:r>
            <w:r w:rsidRPr="000F629B">
              <w:t>↔</w:t>
            </w:r>
            <w:proofErr w:type="gramEnd"/>
          </w:p>
          <w:p w14:paraId="40ABFBBA" w14:textId="77777777" w:rsidR="000F629B" w:rsidRDefault="000F629B" w:rsidP="000F629B">
            <w:proofErr w:type="spellStart"/>
            <w:r w:rsidRPr="000F629B">
              <w:rPr>
                <w:lang w:val="en-US"/>
              </w:rPr>
              <w:t>Cmin</w:t>
            </w:r>
            <w:proofErr w:type="spellEnd"/>
            <w:r w:rsidRPr="000F629B">
              <w:rPr>
                <w:lang w:val="en-US"/>
              </w:rPr>
              <w:t xml:space="preserve">: </w:t>
            </w:r>
            <w:r w:rsidRPr="000F629B">
              <w:t xml:space="preserve">↔ </w:t>
            </w:r>
          </w:p>
          <w:p w14:paraId="52A0D6F2" w14:textId="77777777" w:rsidR="000F629B" w:rsidRDefault="000F629B" w:rsidP="000F629B"/>
          <w:p w14:paraId="0ACB7DC4" w14:textId="4B067AC6" w:rsidR="000F629B" w:rsidRDefault="000F629B" w:rsidP="000F629B">
            <w:r w:rsidRPr="000F629B">
              <w:t xml:space="preserve">Емтрицитабин: </w:t>
            </w:r>
          </w:p>
          <w:p w14:paraId="3035135E" w14:textId="77777777" w:rsidR="000F629B" w:rsidRDefault="000F629B" w:rsidP="000F629B">
            <w:pPr>
              <w:rPr>
                <w:lang w:val="en-US"/>
              </w:rPr>
            </w:pPr>
            <w:proofErr w:type="gramStart"/>
            <w:r w:rsidRPr="000F629B">
              <w:rPr>
                <w:lang w:val="en-US"/>
              </w:rPr>
              <w:t>AUC:</w:t>
            </w:r>
            <w:r w:rsidRPr="000F629B">
              <w:t>↔</w:t>
            </w:r>
            <w:proofErr w:type="gramEnd"/>
            <w:r w:rsidRPr="000F629B">
              <w:rPr>
                <w:lang w:val="en-US"/>
              </w:rPr>
              <w:t xml:space="preserve"> </w:t>
            </w:r>
          </w:p>
          <w:p w14:paraId="269ED6D0"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w:t>
            </w:r>
          </w:p>
          <w:p w14:paraId="3F5348B7" w14:textId="77777777" w:rsidR="000F629B" w:rsidRDefault="000F629B" w:rsidP="000F629B">
            <w:proofErr w:type="spellStart"/>
            <w:r w:rsidRPr="000F629B">
              <w:rPr>
                <w:lang w:val="en-US"/>
              </w:rPr>
              <w:t>Cmin</w:t>
            </w:r>
            <w:proofErr w:type="spellEnd"/>
            <w:r w:rsidRPr="000F629B">
              <w:rPr>
                <w:lang w:val="en-US"/>
              </w:rPr>
              <w:t xml:space="preserve">: </w:t>
            </w:r>
            <w:r w:rsidRPr="000F629B">
              <w:t xml:space="preserve">↔ </w:t>
            </w:r>
          </w:p>
          <w:p w14:paraId="4EF29337" w14:textId="77777777" w:rsidR="000F629B" w:rsidRDefault="000F629B" w:rsidP="000F629B"/>
          <w:p w14:paraId="61D7B85F" w14:textId="17450C39" w:rsidR="000F629B" w:rsidRDefault="000F629B" w:rsidP="000F629B">
            <w:r w:rsidRPr="000F629B">
              <w:t xml:space="preserve">Тенофовир: </w:t>
            </w:r>
          </w:p>
          <w:p w14:paraId="57473A8A" w14:textId="77777777" w:rsidR="000F629B" w:rsidRDefault="000F629B" w:rsidP="000F629B">
            <w:pPr>
              <w:rPr>
                <w:lang w:val="en-US"/>
              </w:rPr>
            </w:pPr>
            <w:r w:rsidRPr="000F629B">
              <w:rPr>
                <w:lang w:val="en-US"/>
              </w:rPr>
              <w:t xml:space="preserve">AUC: </w:t>
            </w:r>
            <w:r w:rsidRPr="000F629B">
              <w:t>↑</w:t>
            </w:r>
            <w:r w:rsidRPr="000F629B">
              <w:rPr>
                <w:lang w:val="en-US"/>
              </w:rPr>
              <w:t xml:space="preserve"> 65% </w:t>
            </w:r>
          </w:p>
          <w:p w14:paraId="522602C4"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61% </w:t>
            </w:r>
          </w:p>
          <w:p w14:paraId="58AA3CEF" w14:textId="629D933A" w:rsidR="000F629B" w:rsidRPr="000F629B" w:rsidRDefault="000F629B" w:rsidP="000F629B">
            <w:pPr>
              <w:rPr>
                <w:rFonts w:cs="Arial"/>
              </w:rPr>
            </w:pPr>
            <w:proofErr w:type="spellStart"/>
            <w:r w:rsidRPr="000F629B">
              <w:rPr>
                <w:lang w:val="en-US"/>
              </w:rPr>
              <w:t>Cmin</w:t>
            </w:r>
            <w:proofErr w:type="spellEnd"/>
            <w:r w:rsidRPr="000F629B">
              <w:rPr>
                <w:lang w:val="en-US"/>
              </w:rPr>
              <w:t xml:space="preserve">: </w:t>
            </w:r>
            <w:r w:rsidRPr="000F629B">
              <w:t>↑</w:t>
            </w:r>
            <w:r w:rsidRPr="000F629B">
              <w:rPr>
                <w:lang w:val="en-US"/>
              </w:rPr>
              <w:t xml:space="preserve"> 115%</w:t>
            </w:r>
          </w:p>
        </w:tc>
        <w:tc>
          <w:tcPr>
            <w:tcW w:w="3167" w:type="dxa"/>
            <w:vAlign w:val="center"/>
          </w:tcPr>
          <w:p w14:paraId="64409566" w14:textId="77777777" w:rsidR="000F629B" w:rsidRPr="000F629B" w:rsidRDefault="000F629B" w:rsidP="000F629B">
            <w:r w:rsidRPr="000F629B">
              <w:t>Не се препоръчва адаптиране на дозата. Повишената експозиция на тенофовир може да потенциира нежелани</w:t>
            </w:r>
          </w:p>
          <w:p w14:paraId="1CB048C4" w14:textId="77777777" w:rsidR="000F629B" w:rsidRPr="000F629B" w:rsidRDefault="000F629B" w:rsidP="000F629B">
            <w:r w:rsidRPr="000F629B">
              <w:t>реакции, които са свързани с</w:t>
            </w:r>
          </w:p>
          <w:p w14:paraId="15F0838E" w14:textId="7E8C555A" w:rsidR="000F629B" w:rsidRPr="000F629B" w:rsidRDefault="000F629B" w:rsidP="000F629B">
            <w:r w:rsidRPr="000F629B">
              <w:t>тенофовир дизопроксил, включително бъбречни увреждания. Бъбречната функция трябва да се наблюдава стриктно (вижте точка 4.4).</w:t>
            </w:r>
          </w:p>
        </w:tc>
      </w:tr>
      <w:tr w:rsidR="000F629B" w14:paraId="3A5F9C4C" w14:textId="77777777" w:rsidTr="000F629B">
        <w:tc>
          <w:tcPr>
            <w:tcW w:w="3166" w:type="dxa"/>
            <w:vAlign w:val="bottom"/>
          </w:tcPr>
          <w:p w14:paraId="09625F8C" w14:textId="5FBB9CF2" w:rsidR="000F629B" w:rsidRPr="000F629B" w:rsidRDefault="000F629B" w:rsidP="000F629B">
            <w:pPr>
              <w:rPr>
                <w:rFonts w:cs="Arial"/>
                <w:lang w:val="en-US"/>
              </w:rPr>
            </w:pPr>
            <w:r w:rsidRPr="000F629B">
              <w:t xml:space="preserve">Софосбувр/Велпатасвир </w:t>
            </w:r>
            <w:r w:rsidRPr="000F629B">
              <w:rPr>
                <w:lang w:val="en-US"/>
              </w:rPr>
              <w:t xml:space="preserve">(400 mg/100 mg </w:t>
            </w:r>
            <w:proofErr w:type="spellStart"/>
            <w:r w:rsidRPr="000F629B">
              <w:rPr>
                <w:lang w:val="en-US"/>
              </w:rPr>
              <w:t>q.d</w:t>
            </w:r>
            <w:proofErr w:type="spellEnd"/>
            <w:r w:rsidRPr="000F629B">
              <w:rPr>
                <w:lang w:val="en-US"/>
              </w:rPr>
              <w:t xml:space="preserve">.) + </w:t>
            </w:r>
            <w:r w:rsidRPr="000F629B">
              <w:t xml:space="preserve">Атаназавир/Ритонавир </w:t>
            </w:r>
            <w:r w:rsidRPr="000F629B">
              <w:rPr>
                <w:lang w:val="en-US"/>
              </w:rPr>
              <w:t xml:space="preserve">(300 mg </w:t>
            </w:r>
            <w:proofErr w:type="spellStart"/>
            <w:r w:rsidRPr="000F629B">
              <w:rPr>
                <w:lang w:val="en-US"/>
              </w:rPr>
              <w:t>q.d</w:t>
            </w:r>
            <w:proofErr w:type="spellEnd"/>
            <w:r w:rsidRPr="000F629B">
              <w:rPr>
                <w:lang w:val="en-US"/>
              </w:rPr>
              <w:t>.</w:t>
            </w:r>
            <w:r w:rsidRPr="000F629B">
              <w:t>/</w:t>
            </w:r>
            <w:r>
              <w:rPr>
                <w:lang w:val="en-US"/>
              </w:rPr>
              <w:t>100</w:t>
            </w:r>
            <w:r w:rsidRPr="000F629B">
              <w:t xml:space="preserve"> </w:t>
            </w:r>
            <w:r w:rsidRPr="000F629B">
              <w:rPr>
                <w:lang w:val="en-US"/>
              </w:rPr>
              <w:t xml:space="preserve">mg </w:t>
            </w:r>
            <w:proofErr w:type="spellStart"/>
            <w:r w:rsidRPr="000F629B">
              <w:rPr>
                <w:lang w:val="en-US"/>
              </w:rPr>
              <w:t>q.d</w:t>
            </w:r>
            <w:proofErr w:type="spellEnd"/>
            <w:r w:rsidRPr="000F629B">
              <w:rPr>
                <w:lang w:val="en-US"/>
              </w:rPr>
              <w:t xml:space="preserve">.) + </w:t>
            </w:r>
            <w:r w:rsidRPr="000F629B">
              <w:t>Емтрицитабин/Тенофовир</w:t>
            </w:r>
            <w:r>
              <w:rPr>
                <w:lang w:val="en-US"/>
              </w:rPr>
              <w:t xml:space="preserve"> </w:t>
            </w:r>
            <w:r w:rsidRPr="000F629B">
              <w:t>дизопроксил (200 mg/245 mg q.d.)</w:t>
            </w:r>
          </w:p>
        </w:tc>
        <w:tc>
          <w:tcPr>
            <w:tcW w:w="3167" w:type="dxa"/>
            <w:vAlign w:val="bottom"/>
          </w:tcPr>
          <w:p w14:paraId="0D838EA5" w14:textId="77777777" w:rsidR="000F629B" w:rsidRPr="000F629B" w:rsidRDefault="000F629B" w:rsidP="000F629B">
            <w:r w:rsidRPr="000F629B">
              <w:t>Софосбувир:</w:t>
            </w:r>
          </w:p>
          <w:p w14:paraId="0B03F8EE" w14:textId="77777777" w:rsidR="000F629B" w:rsidRPr="000F629B" w:rsidRDefault="000F629B" w:rsidP="000F629B">
            <w:proofErr w:type="gramStart"/>
            <w:r w:rsidRPr="000F629B">
              <w:rPr>
                <w:lang w:val="en-US"/>
              </w:rPr>
              <w:t>AUC:</w:t>
            </w:r>
            <w:r w:rsidRPr="000F629B">
              <w:t>↔</w:t>
            </w:r>
            <w:proofErr w:type="gramEnd"/>
          </w:p>
          <w:p w14:paraId="327183A6" w14:textId="77777777" w:rsidR="000F629B" w:rsidRPr="000F629B" w:rsidRDefault="000F629B" w:rsidP="000F629B">
            <w:proofErr w:type="spellStart"/>
            <w:r w:rsidRPr="000F629B">
              <w:rPr>
                <w:lang w:val="en-US"/>
              </w:rPr>
              <w:t>Cmax</w:t>
            </w:r>
            <w:proofErr w:type="spellEnd"/>
            <w:r w:rsidRPr="000F629B">
              <w:rPr>
                <w:lang w:val="en-US"/>
              </w:rPr>
              <w:t xml:space="preserve">: </w:t>
            </w:r>
            <w:r w:rsidRPr="000F629B">
              <w:t>↔</w:t>
            </w:r>
          </w:p>
          <w:p w14:paraId="444E507E" w14:textId="77777777" w:rsidR="000F629B" w:rsidRDefault="000F629B" w:rsidP="000F629B">
            <w:pPr>
              <w:rPr>
                <w:lang w:val="en-US"/>
              </w:rPr>
            </w:pPr>
          </w:p>
          <w:p w14:paraId="47D45231" w14:textId="68B35EF2" w:rsidR="000F629B" w:rsidRPr="000F629B" w:rsidRDefault="000F629B" w:rsidP="000F629B">
            <w:r w:rsidRPr="000F629B">
              <w:rPr>
                <w:lang w:val="en-US"/>
              </w:rPr>
              <w:t>GS-3310072:</w:t>
            </w:r>
          </w:p>
          <w:p w14:paraId="56DA0202" w14:textId="77777777" w:rsidR="000F629B" w:rsidRDefault="000F629B" w:rsidP="000F629B">
            <w:r w:rsidRPr="000F629B">
              <w:rPr>
                <w:lang w:val="en-US"/>
              </w:rPr>
              <w:t>AUC:</w:t>
            </w:r>
            <w:r w:rsidRPr="000F629B">
              <w:t xml:space="preserve"> ↔</w:t>
            </w:r>
          </w:p>
          <w:p w14:paraId="167FC29F" w14:textId="77777777" w:rsidR="000F629B" w:rsidRDefault="000F629B" w:rsidP="000F629B">
            <w:pPr>
              <w:spacing w:line="240" w:lineRule="auto"/>
              <w:rPr>
                <w:rFonts w:eastAsia="Times New Roman" w:cs="Arial"/>
                <w:color w:val="000000"/>
                <w:lang w:eastAsia="bg-BG"/>
              </w:rPr>
            </w:pPr>
            <w:proofErr w:type="spellStart"/>
            <w:r w:rsidRPr="000F629B">
              <w:rPr>
                <w:rFonts w:eastAsia="Times New Roman" w:cs="Arial"/>
                <w:color w:val="000000"/>
                <w:lang w:val="en-US"/>
              </w:rPr>
              <w:t>Cmax</w:t>
            </w:r>
            <w:proofErr w:type="spellEnd"/>
            <w:r w:rsidRPr="000F629B">
              <w:rPr>
                <w:rFonts w:eastAsia="Times New Roman" w:cs="Arial"/>
                <w:color w:val="000000"/>
                <w:lang w:val="en-US"/>
              </w:rPr>
              <w:t xml:space="preserve">; </w:t>
            </w:r>
            <w:r w:rsidRPr="000F629B">
              <w:rPr>
                <w:rFonts w:eastAsia="Times New Roman" w:cs="Arial"/>
                <w:color w:val="000000"/>
                <w:lang w:eastAsia="bg-BG"/>
              </w:rPr>
              <w:t xml:space="preserve">↔ </w:t>
            </w:r>
          </w:p>
          <w:p w14:paraId="219488CE" w14:textId="77777777" w:rsidR="000F629B" w:rsidRDefault="000F629B" w:rsidP="000F629B">
            <w:pPr>
              <w:spacing w:line="240" w:lineRule="auto"/>
              <w:rPr>
                <w:rFonts w:eastAsia="Times New Roman" w:cs="Arial"/>
                <w:color w:val="000000"/>
                <w:lang w:val="en-US"/>
              </w:rPr>
            </w:pPr>
            <w:proofErr w:type="spellStart"/>
            <w:r w:rsidRPr="000F629B">
              <w:rPr>
                <w:rFonts w:eastAsia="Times New Roman" w:cs="Arial"/>
                <w:color w:val="000000"/>
                <w:lang w:val="en-US"/>
              </w:rPr>
              <w:t>Cmin</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42% </w:t>
            </w:r>
          </w:p>
          <w:p w14:paraId="2056C21F" w14:textId="77777777" w:rsidR="000F629B" w:rsidRDefault="000F629B" w:rsidP="000F629B">
            <w:pPr>
              <w:spacing w:line="240" w:lineRule="auto"/>
              <w:rPr>
                <w:rFonts w:eastAsia="Times New Roman" w:cs="Arial"/>
                <w:color w:val="000000"/>
                <w:lang w:eastAsia="bg-BG"/>
              </w:rPr>
            </w:pPr>
          </w:p>
          <w:p w14:paraId="700FBBB0" w14:textId="4D5A680E" w:rsidR="000F629B" w:rsidRDefault="000F629B" w:rsidP="000F629B">
            <w:pPr>
              <w:spacing w:line="240" w:lineRule="auto"/>
              <w:rPr>
                <w:rFonts w:eastAsia="Times New Roman" w:cs="Arial"/>
                <w:color w:val="000000"/>
                <w:lang w:eastAsia="bg-BG"/>
              </w:rPr>
            </w:pPr>
            <w:r w:rsidRPr="000F629B">
              <w:rPr>
                <w:rFonts w:eastAsia="Times New Roman" w:cs="Arial"/>
                <w:color w:val="000000"/>
                <w:lang w:eastAsia="bg-BG"/>
              </w:rPr>
              <w:t xml:space="preserve">Велпатасвир: </w:t>
            </w:r>
          </w:p>
          <w:p w14:paraId="6DE0D711" w14:textId="77777777" w:rsidR="000F629B" w:rsidRDefault="000F629B" w:rsidP="000F629B">
            <w:pPr>
              <w:spacing w:line="240" w:lineRule="auto"/>
              <w:rPr>
                <w:rFonts w:eastAsia="Times New Roman" w:cs="Arial"/>
                <w:color w:val="000000"/>
                <w:lang w:val="en-US"/>
              </w:rPr>
            </w:pPr>
            <w:r w:rsidRPr="000F629B">
              <w:rPr>
                <w:rFonts w:eastAsia="Times New Roman" w:cs="Arial"/>
                <w:color w:val="000000"/>
                <w:lang w:val="en-US"/>
              </w:rPr>
              <w:t xml:space="preserve">AUC: </w:t>
            </w:r>
            <w:r w:rsidRPr="000F629B">
              <w:rPr>
                <w:rFonts w:eastAsia="Times New Roman" w:cs="Arial"/>
                <w:color w:val="000000"/>
                <w:lang w:eastAsia="bg-BG"/>
              </w:rPr>
              <w:t>↑</w:t>
            </w:r>
            <w:r w:rsidRPr="000F629B">
              <w:rPr>
                <w:rFonts w:eastAsia="Times New Roman" w:cs="Arial"/>
                <w:color w:val="000000"/>
                <w:lang w:val="en-US"/>
              </w:rPr>
              <w:t xml:space="preserve"> 142% </w:t>
            </w:r>
          </w:p>
          <w:p w14:paraId="6C1AA291" w14:textId="77777777" w:rsidR="000F629B" w:rsidRDefault="000F629B" w:rsidP="000F629B">
            <w:pPr>
              <w:spacing w:line="240" w:lineRule="auto"/>
              <w:rPr>
                <w:rFonts w:eastAsia="Times New Roman" w:cs="Arial"/>
                <w:color w:val="000000"/>
                <w:lang w:val="en-US"/>
              </w:rPr>
            </w:pPr>
            <w:proofErr w:type="spellStart"/>
            <w:r w:rsidRPr="000F629B">
              <w:rPr>
                <w:rFonts w:eastAsia="Times New Roman" w:cs="Arial"/>
                <w:color w:val="000000"/>
                <w:lang w:val="en-US"/>
              </w:rPr>
              <w:t>Cmax</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55% </w:t>
            </w:r>
          </w:p>
          <w:p w14:paraId="03C391E8" w14:textId="77777777" w:rsidR="000F629B" w:rsidRDefault="000F629B" w:rsidP="000F629B">
            <w:pPr>
              <w:spacing w:line="240" w:lineRule="auto"/>
              <w:rPr>
                <w:rFonts w:eastAsia="Times New Roman" w:cs="Arial"/>
                <w:color w:val="000000"/>
                <w:lang w:val="en-US"/>
              </w:rPr>
            </w:pPr>
            <w:proofErr w:type="spellStart"/>
            <w:r w:rsidRPr="000F629B">
              <w:rPr>
                <w:rFonts w:eastAsia="Times New Roman" w:cs="Arial"/>
                <w:color w:val="000000"/>
                <w:lang w:val="en-US"/>
              </w:rPr>
              <w:t>Cmin</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301% </w:t>
            </w:r>
          </w:p>
          <w:p w14:paraId="13EB8502" w14:textId="77777777" w:rsidR="000F629B" w:rsidRDefault="000F629B" w:rsidP="000F629B">
            <w:pPr>
              <w:spacing w:line="240" w:lineRule="auto"/>
              <w:rPr>
                <w:rFonts w:eastAsia="Times New Roman" w:cs="Arial"/>
                <w:color w:val="000000"/>
                <w:lang w:eastAsia="bg-BG"/>
              </w:rPr>
            </w:pPr>
          </w:p>
          <w:p w14:paraId="0A02B6CD" w14:textId="529AB3AB" w:rsidR="000F629B" w:rsidRDefault="000F629B" w:rsidP="000F629B">
            <w:pPr>
              <w:spacing w:line="240" w:lineRule="auto"/>
              <w:rPr>
                <w:rFonts w:eastAsia="Times New Roman" w:cs="Arial"/>
                <w:color w:val="000000"/>
                <w:lang w:eastAsia="bg-BG"/>
              </w:rPr>
            </w:pPr>
            <w:r w:rsidRPr="000F629B">
              <w:rPr>
                <w:rFonts w:eastAsia="Times New Roman" w:cs="Arial"/>
                <w:color w:val="000000"/>
                <w:lang w:eastAsia="bg-BG"/>
              </w:rPr>
              <w:t xml:space="preserve">Атазанавир: </w:t>
            </w:r>
          </w:p>
          <w:p w14:paraId="14EA4ED7" w14:textId="77777777" w:rsidR="000F629B" w:rsidRDefault="000F629B" w:rsidP="000F629B">
            <w:pPr>
              <w:spacing w:line="240" w:lineRule="auto"/>
              <w:rPr>
                <w:rFonts w:eastAsia="Times New Roman" w:cs="Arial"/>
                <w:color w:val="000000"/>
                <w:lang w:val="en-US"/>
              </w:rPr>
            </w:pPr>
            <w:proofErr w:type="gramStart"/>
            <w:r w:rsidRPr="000F629B">
              <w:rPr>
                <w:rFonts w:eastAsia="Times New Roman" w:cs="Arial"/>
                <w:color w:val="000000"/>
                <w:lang w:val="en-US"/>
              </w:rPr>
              <w:t>AUC:</w:t>
            </w:r>
            <w:r w:rsidRPr="000F629B">
              <w:rPr>
                <w:rFonts w:eastAsia="Times New Roman" w:cs="Arial"/>
                <w:color w:val="000000"/>
                <w:lang w:eastAsia="bg-BG"/>
              </w:rPr>
              <w:t>↔</w:t>
            </w:r>
            <w:proofErr w:type="gramEnd"/>
            <w:r w:rsidRPr="000F629B">
              <w:rPr>
                <w:rFonts w:eastAsia="Times New Roman" w:cs="Arial"/>
                <w:color w:val="000000"/>
                <w:lang w:val="en-US"/>
              </w:rPr>
              <w:t xml:space="preserve"> </w:t>
            </w:r>
          </w:p>
          <w:p w14:paraId="3D9201FF" w14:textId="77777777" w:rsidR="000F629B" w:rsidRDefault="000F629B" w:rsidP="000F629B">
            <w:pPr>
              <w:spacing w:line="240" w:lineRule="auto"/>
              <w:rPr>
                <w:rFonts w:eastAsia="Times New Roman" w:cs="Arial"/>
                <w:color w:val="000000"/>
                <w:lang w:val="en-US"/>
              </w:rPr>
            </w:pPr>
            <w:proofErr w:type="spellStart"/>
            <w:r w:rsidRPr="000F629B">
              <w:rPr>
                <w:rFonts w:eastAsia="Times New Roman" w:cs="Arial"/>
                <w:color w:val="000000"/>
                <w:lang w:val="en-US"/>
              </w:rPr>
              <w:t>Cmax</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w:t>
            </w:r>
          </w:p>
          <w:p w14:paraId="73126B7D" w14:textId="77777777" w:rsidR="000F629B" w:rsidRDefault="000F629B" w:rsidP="000F629B">
            <w:pPr>
              <w:spacing w:line="240" w:lineRule="auto"/>
              <w:rPr>
                <w:rFonts w:eastAsia="Times New Roman" w:cs="Arial"/>
                <w:color w:val="000000"/>
                <w:lang w:val="en-US"/>
              </w:rPr>
            </w:pPr>
            <w:proofErr w:type="spellStart"/>
            <w:r w:rsidRPr="000F629B">
              <w:rPr>
                <w:rFonts w:eastAsia="Times New Roman" w:cs="Arial"/>
                <w:color w:val="000000"/>
                <w:lang w:val="en-US"/>
              </w:rPr>
              <w:t>Cmin</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39% </w:t>
            </w:r>
          </w:p>
          <w:p w14:paraId="32D5E40E" w14:textId="77777777" w:rsidR="000F629B" w:rsidRDefault="000F629B" w:rsidP="000F629B">
            <w:pPr>
              <w:spacing w:line="240" w:lineRule="auto"/>
              <w:rPr>
                <w:rFonts w:eastAsia="Times New Roman" w:cs="Arial"/>
                <w:color w:val="000000"/>
                <w:lang w:eastAsia="bg-BG"/>
              </w:rPr>
            </w:pPr>
          </w:p>
          <w:p w14:paraId="717DDAD1" w14:textId="4C4FF77A" w:rsidR="000F629B" w:rsidRDefault="000F629B" w:rsidP="000F629B">
            <w:pPr>
              <w:spacing w:line="240" w:lineRule="auto"/>
              <w:rPr>
                <w:rFonts w:eastAsia="Times New Roman" w:cs="Arial"/>
                <w:color w:val="000000"/>
                <w:lang w:eastAsia="bg-BG"/>
              </w:rPr>
            </w:pPr>
            <w:r w:rsidRPr="000F629B">
              <w:rPr>
                <w:rFonts w:eastAsia="Times New Roman" w:cs="Arial"/>
                <w:color w:val="000000"/>
                <w:lang w:eastAsia="bg-BG"/>
              </w:rPr>
              <w:lastRenderedPageBreak/>
              <w:t xml:space="preserve">Ритонавир: </w:t>
            </w:r>
          </w:p>
          <w:p w14:paraId="372B7991" w14:textId="77777777" w:rsidR="000F629B" w:rsidRDefault="000F629B" w:rsidP="000F629B">
            <w:pPr>
              <w:spacing w:line="240" w:lineRule="auto"/>
              <w:rPr>
                <w:rFonts w:eastAsia="Times New Roman" w:cs="Arial"/>
                <w:color w:val="000000"/>
                <w:lang w:val="en-US"/>
              </w:rPr>
            </w:pPr>
            <w:proofErr w:type="gramStart"/>
            <w:r w:rsidRPr="000F629B">
              <w:rPr>
                <w:rFonts w:eastAsia="Times New Roman" w:cs="Arial"/>
                <w:color w:val="000000"/>
                <w:lang w:val="en-US"/>
              </w:rPr>
              <w:t>AUC:</w:t>
            </w:r>
            <w:r w:rsidRPr="000F629B">
              <w:rPr>
                <w:rFonts w:eastAsia="Times New Roman" w:cs="Arial"/>
                <w:color w:val="000000"/>
                <w:lang w:eastAsia="bg-BG"/>
              </w:rPr>
              <w:t>↔</w:t>
            </w:r>
            <w:proofErr w:type="gramEnd"/>
            <w:r w:rsidRPr="000F629B">
              <w:rPr>
                <w:rFonts w:eastAsia="Times New Roman" w:cs="Arial"/>
                <w:color w:val="000000"/>
                <w:lang w:val="en-US"/>
              </w:rPr>
              <w:t xml:space="preserve"> </w:t>
            </w:r>
          </w:p>
          <w:p w14:paraId="459BA71B" w14:textId="77777777" w:rsidR="000F629B" w:rsidRDefault="000F629B" w:rsidP="000F629B">
            <w:pPr>
              <w:spacing w:line="240" w:lineRule="auto"/>
              <w:rPr>
                <w:rFonts w:eastAsia="Times New Roman" w:cs="Arial"/>
                <w:color w:val="000000"/>
                <w:lang w:val="en-US"/>
              </w:rPr>
            </w:pPr>
            <w:proofErr w:type="spellStart"/>
            <w:r w:rsidRPr="000F629B">
              <w:rPr>
                <w:rFonts w:eastAsia="Times New Roman" w:cs="Arial"/>
                <w:color w:val="000000"/>
                <w:lang w:val="en-US"/>
              </w:rPr>
              <w:t>Cmax</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w:t>
            </w:r>
          </w:p>
          <w:p w14:paraId="1A8BFBB7" w14:textId="77777777" w:rsidR="000F629B" w:rsidRDefault="000F629B" w:rsidP="000F629B">
            <w:pPr>
              <w:spacing w:line="240" w:lineRule="auto"/>
              <w:rPr>
                <w:rFonts w:eastAsia="Times New Roman" w:cs="Arial"/>
                <w:color w:val="000000"/>
                <w:lang w:val="en-US"/>
              </w:rPr>
            </w:pPr>
            <w:proofErr w:type="spellStart"/>
            <w:r w:rsidRPr="000F629B">
              <w:rPr>
                <w:rFonts w:eastAsia="Times New Roman" w:cs="Arial"/>
                <w:color w:val="000000"/>
                <w:lang w:val="en-US"/>
              </w:rPr>
              <w:t>Cmin</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29% </w:t>
            </w:r>
          </w:p>
          <w:p w14:paraId="73D84EB2" w14:textId="77777777" w:rsidR="000F629B" w:rsidRDefault="000F629B" w:rsidP="000F629B">
            <w:pPr>
              <w:spacing w:line="240" w:lineRule="auto"/>
              <w:rPr>
                <w:rFonts w:eastAsia="Times New Roman" w:cs="Arial"/>
                <w:color w:val="000000"/>
                <w:lang w:eastAsia="bg-BG"/>
              </w:rPr>
            </w:pPr>
          </w:p>
          <w:p w14:paraId="64B2465C" w14:textId="3FE94A68" w:rsidR="000F629B" w:rsidRDefault="000F629B" w:rsidP="000F629B">
            <w:pPr>
              <w:spacing w:line="240" w:lineRule="auto"/>
              <w:rPr>
                <w:rFonts w:eastAsia="Times New Roman" w:cs="Arial"/>
                <w:color w:val="000000"/>
                <w:lang w:eastAsia="bg-BG"/>
              </w:rPr>
            </w:pPr>
            <w:r w:rsidRPr="000F629B">
              <w:rPr>
                <w:rFonts w:eastAsia="Times New Roman" w:cs="Arial"/>
                <w:color w:val="000000"/>
                <w:lang w:eastAsia="bg-BG"/>
              </w:rPr>
              <w:t xml:space="preserve">Емтрицитабин: </w:t>
            </w:r>
          </w:p>
          <w:p w14:paraId="542C1481" w14:textId="77777777" w:rsidR="000F629B" w:rsidRDefault="000F629B" w:rsidP="000F629B">
            <w:pPr>
              <w:spacing w:line="240" w:lineRule="auto"/>
              <w:rPr>
                <w:rFonts w:eastAsia="Times New Roman" w:cs="Arial"/>
                <w:color w:val="000000"/>
                <w:lang w:val="en-US"/>
              </w:rPr>
            </w:pPr>
            <w:proofErr w:type="gramStart"/>
            <w:r w:rsidRPr="000F629B">
              <w:rPr>
                <w:rFonts w:eastAsia="Times New Roman" w:cs="Arial"/>
                <w:color w:val="000000"/>
                <w:lang w:val="en-US"/>
              </w:rPr>
              <w:t>AUC:</w:t>
            </w:r>
            <w:r w:rsidRPr="000F629B">
              <w:rPr>
                <w:rFonts w:eastAsia="Times New Roman" w:cs="Arial"/>
                <w:color w:val="000000"/>
                <w:lang w:eastAsia="bg-BG"/>
              </w:rPr>
              <w:t>↔</w:t>
            </w:r>
            <w:proofErr w:type="gramEnd"/>
            <w:r w:rsidRPr="000F629B">
              <w:rPr>
                <w:rFonts w:eastAsia="Times New Roman" w:cs="Arial"/>
                <w:color w:val="000000"/>
                <w:lang w:val="en-US"/>
              </w:rPr>
              <w:t xml:space="preserve"> </w:t>
            </w:r>
          </w:p>
          <w:p w14:paraId="240DC91E" w14:textId="77777777" w:rsidR="000F629B" w:rsidRDefault="000F629B" w:rsidP="000F629B">
            <w:pPr>
              <w:spacing w:line="240" w:lineRule="auto"/>
              <w:rPr>
                <w:rFonts w:eastAsia="Times New Roman" w:cs="Arial"/>
                <w:color w:val="000000"/>
                <w:lang w:val="en-US"/>
              </w:rPr>
            </w:pPr>
          </w:p>
          <w:p w14:paraId="4C341C3B" w14:textId="47730EDB" w:rsidR="000F629B" w:rsidRDefault="000F629B" w:rsidP="000F629B">
            <w:pPr>
              <w:spacing w:line="240" w:lineRule="auto"/>
              <w:rPr>
                <w:rFonts w:eastAsia="Times New Roman" w:cs="Arial"/>
                <w:color w:val="000000"/>
                <w:lang w:val="en-US"/>
              </w:rPr>
            </w:pPr>
            <w:r w:rsidRPr="000F629B">
              <w:rPr>
                <w:rFonts w:eastAsia="Times New Roman" w:cs="Arial"/>
                <w:color w:val="000000"/>
                <w:lang w:val="en-US"/>
              </w:rPr>
              <w:t xml:space="preserve">Emtricitabine: </w:t>
            </w:r>
          </w:p>
          <w:p w14:paraId="5DEB400C" w14:textId="77777777" w:rsidR="000F629B" w:rsidRDefault="000F629B" w:rsidP="000F629B">
            <w:pPr>
              <w:spacing w:line="240" w:lineRule="auto"/>
              <w:rPr>
                <w:rFonts w:eastAsia="Times New Roman" w:cs="Arial"/>
                <w:color w:val="000000"/>
                <w:lang w:val="en-US"/>
              </w:rPr>
            </w:pPr>
            <w:proofErr w:type="gramStart"/>
            <w:r w:rsidRPr="000F629B">
              <w:rPr>
                <w:rFonts w:eastAsia="Times New Roman" w:cs="Arial"/>
                <w:color w:val="000000"/>
                <w:lang w:val="en-US"/>
              </w:rPr>
              <w:t>AUC:</w:t>
            </w:r>
            <w:r w:rsidRPr="000F629B">
              <w:rPr>
                <w:rFonts w:eastAsia="Times New Roman" w:cs="Arial"/>
                <w:color w:val="000000"/>
                <w:lang w:eastAsia="bg-BG"/>
              </w:rPr>
              <w:t>↔</w:t>
            </w:r>
            <w:proofErr w:type="gramEnd"/>
            <w:r w:rsidRPr="000F629B">
              <w:rPr>
                <w:rFonts w:eastAsia="Times New Roman" w:cs="Arial"/>
                <w:color w:val="000000"/>
                <w:lang w:val="en-US"/>
              </w:rPr>
              <w:t xml:space="preserve"> </w:t>
            </w:r>
          </w:p>
          <w:p w14:paraId="480B83AF" w14:textId="77777777" w:rsidR="000F629B" w:rsidRDefault="000F629B" w:rsidP="000F629B">
            <w:pPr>
              <w:spacing w:line="240" w:lineRule="auto"/>
              <w:rPr>
                <w:rFonts w:eastAsia="Times New Roman" w:cs="Arial"/>
                <w:color w:val="000000"/>
                <w:lang w:val="en-US"/>
              </w:rPr>
            </w:pPr>
            <w:proofErr w:type="spellStart"/>
            <w:r w:rsidRPr="000F629B">
              <w:rPr>
                <w:rFonts w:eastAsia="Times New Roman" w:cs="Arial"/>
                <w:color w:val="000000"/>
                <w:lang w:val="en-US"/>
              </w:rPr>
              <w:t>Cmax</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w:t>
            </w:r>
          </w:p>
          <w:p w14:paraId="1057D369" w14:textId="77777777" w:rsidR="000F629B" w:rsidRDefault="000F629B" w:rsidP="000F629B">
            <w:pPr>
              <w:spacing w:line="240" w:lineRule="auto"/>
              <w:rPr>
                <w:rFonts w:eastAsia="Times New Roman" w:cs="Arial"/>
                <w:color w:val="000000"/>
                <w:lang w:eastAsia="bg-BG"/>
              </w:rPr>
            </w:pPr>
            <w:proofErr w:type="spellStart"/>
            <w:r w:rsidRPr="000F629B">
              <w:rPr>
                <w:rFonts w:eastAsia="Times New Roman" w:cs="Arial"/>
                <w:color w:val="000000"/>
                <w:lang w:val="en-US"/>
              </w:rPr>
              <w:t>Cmin</w:t>
            </w:r>
            <w:proofErr w:type="spellEnd"/>
            <w:r w:rsidRPr="000F629B">
              <w:rPr>
                <w:rFonts w:eastAsia="Times New Roman" w:cs="Arial"/>
                <w:color w:val="000000"/>
                <w:lang w:val="en-US"/>
              </w:rPr>
              <w:t xml:space="preserve">: </w:t>
            </w:r>
            <w:r w:rsidRPr="000F629B">
              <w:rPr>
                <w:rFonts w:eastAsia="Times New Roman" w:cs="Arial"/>
                <w:color w:val="000000"/>
                <w:lang w:eastAsia="bg-BG"/>
              </w:rPr>
              <w:t xml:space="preserve">↔ </w:t>
            </w:r>
          </w:p>
          <w:p w14:paraId="3CD4B6BC" w14:textId="77777777" w:rsidR="000F629B" w:rsidRDefault="000F629B" w:rsidP="000F629B">
            <w:pPr>
              <w:spacing w:line="240" w:lineRule="auto"/>
              <w:rPr>
                <w:rFonts w:eastAsia="Times New Roman" w:cs="Arial"/>
                <w:color w:val="000000"/>
                <w:lang w:eastAsia="bg-BG"/>
              </w:rPr>
            </w:pPr>
          </w:p>
          <w:p w14:paraId="473591D8" w14:textId="723D82ED" w:rsidR="000F629B" w:rsidRDefault="000F629B" w:rsidP="000F629B">
            <w:pPr>
              <w:spacing w:line="240" w:lineRule="auto"/>
              <w:rPr>
                <w:rFonts w:eastAsia="Times New Roman" w:cs="Arial"/>
                <w:color w:val="000000"/>
                <w:lang w:eastAsia="bg-BG"/>
              </w:rPr>
            </w:pPr>
            <w:r w:rsidRPr="000F629B">
              <w:rPr>
                <w:rFonts w:eastAsia="Times New Roman" w:cs="Arial"/>
                <w:color w:val="000000"/>
                <w:lang w:eastAsia="bg-BG"/>
              </w:rPr>
              <w:t xml:space="preserve">Тенофовир: </w:t>
            </w:r>
          </w:p>
          <w:p w14:paraId="571F8048" w14:textId="77777777" w:rsidR="000F629B" w:rsidRDefault="000F629B" w:rsidP="000F629B">
            <w:pPr>
              <w:spacing w:line="240" w:lineRule="auto"/>
              <w:rPr>
                <w:rFonts w:eastAsia="Times New Roman" w:cs="Arial"/>
                <w:color w:val="000000"/>
                <w:lang w:val="en-US"/>
              </w:rPr>
            </w:pPr>
            <w:r w:rsidRPr="000F629B">
              <w:rPr>
                <w:rFonts w:eastAsia="Times New Roman" w:cs="Arial"/>
                <w:color w:val="000000"/>
                <w:lang w:val="en-US"/>
              </w:rPr>
              <w:t xml:space="preserve">AUC: </w:t>
            </w:r>
            <w:r w:rsidRPr="000F629B">
              <w:rPr>
                <w:rFonts w:eastAsia="Times New Roman" w:cs="Arial"/>
                <w:color w:val="000000"/>
                <w:lang w:eastAsia="bg-BG"/>
              </w:rPr>
              <w:t>↔</w:t>
            </w:r>
            <w:r w:rsidRPr="000F629B">
              <w:rPr>
                <w:rFonts w:eastAsia="Times New Roman" w:cs="Arial"/>
                <w:color w:val="000000"/>
                <w:lang w:val="en-US"/>
              </w:rPr>
              <w:t xml:space="preserve"> </w:t>
            </w:r>
          </w:p>
          <w:p w14:paraId="1F11357B" w14:textId="77777777" w:rsidR="000F629B" w:rsidRDefault="000F629B" w:rsidP="000F629B">
            <w:pPr>
              <w:spacing w:line="240" w:lineRule="auto"/>
              <w:rPr>
                <w:rFonts w:eastAsia="Times New Roman" w:cs="Arial"/>
                <w:color w:val="000000"/>
                <w:lang w:val="en-US"/>
              </w:rPr>
            </w:pPr>
            <w:proofErr w:type="spellStart"/>
            <w:r w:rsidRPr="000F629B">
              <w:rPr>
                <w:rFonts w:eastAsia="Times New Roman" w:cs="Arial"/>
                <w:color w:val="000000"/>
                <w:lang w:val="en-US"/>
              </w:rPr>
              <w:t>Cmax</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55%</w:t>
            </w:r>
          </w:p>
          <w:p w14:paraId="1DF83FCC" w14:textId="6E8929B0" w:rsidR="000F629B" w:rsidRPr="000F629B" w:rsidRDefault="000F629B" w:rsidP="000F629B">
            <w:pPr>
              <w:spacing w:line="240" w:lineRule="auto"/>
              <w:rPr>
                <w:rFonts w:eastAsia="Times New Roman" w:cs="Arial"/>
                <w:lang w:val="en-US" w:eastAsia="bg-BG"/>
              </w:rPr>
            </w:pPr>
            <w:r w:rsidRPr="000F629B">
              <w:rPr>
                <w:rFonts w:eastAsia="Times New Roman" w:cs="Arial"/>
                <w:color w:val="000000"/>
                <w:lang w:val="en-US"/>
              </w:rPr>
              <w:t xml:space="preserve"> </w:t>
            </w:r>
            <w:proofErr w:type="spellStart"/>
            <w:r w:rsidRPr="000F629B">
              <w:rPr>
                <w:rFonts w:eastAsia="Times New Roman" w:cs="Arial"/>
                <w:color w:val="000000"/>
                <w:lang w:val="en-US"/>
              </w:rPr>
              <w:t>Cmin</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39%</w:t>
            </w:r>
          </w:p>
        </w:tc>
        <w:tc>
          <w:tcPr>
            <w:tcW w:w="3167" w:type="dxa"/>
            <w:vAlign w:val="bottom"/>
          </w:tcPr>
          <w:p w14:paraId="21DFEFA3" w14:textId="77777777" w:rsidR="000F629B" w:rsidRPr="000F629B" w:rsidRDefault="000F629B" w:rsidP="000F629B">
            <w:pPr>
              <w:rPr>
                <w:rFonts w:eastAsia="Times New Roman" w:cs="Arial"/>
                <w:lang w:eastAsia="bg-BG"/>
              </w:rPr>
            </w:pPr>
            <w:r w:rsidRPr="000F629B">
              <w:rPr>
                <w:rFonts w:cs="Arial"/>
              </w:rPr>
              <w:lastRenderedPageBreak/>
              <w:t>Повишените плазмени концентрации на тенофовир</w:t>
            </w:r>
            <w:r w:rsidRPr="000F629B">
              <w:rPr>
                <w:rFonts w:cs="Arial"/>
                <w:vertAlign w:val="subscript"/>
              </w:rPr>
              <w:t xml:space="preserve"> </w:t>
            </w:r>
            <w:r w:rsidRPr="000F629B">
              <w:rPr>
                <w:rFonts w:cs="Arial"/>
              </w:rPr>
              <w:t>в резултат на едновременното приложение на тенофовир</w:t>
            </w:r>
            <w:r w:rsidRPr="000F629B">
              <w:rPr>
                <w:rFonts w:cs="Arial"/>
                <w:lang w:val="en-US"/>
              </w:rPr>
              <w:t xml:space="preserve"> </w:t>
            </w:r>
            <w:r w:rsidRPr="000F629B">
              <w:rPr>
                <w:rFonts w:eastAsia="Times New Roman" w:cs="Arial"/>
                <w:color w:val="000000"/>
                <w:lang w:eastAsia="bg-BG"/>
              </w:rPr>
              <w:t xml:space="preserve">дизопроксил, софосбувир/велпатасвир и атаназавир/ритонавир може да повишат нежеланите реакции, свързани с тенофовир дизопроксил, включително бъбречни увреждания. Безопасността на тенофовир дизопроксил, при приложението му, съвместно със софосбувир/велпатасвир и фармакокинетичен </w:t>
            </w:r>
            <w:r w:rsidRPr="000F629B">
              <w:rPr>
                <w:rFonts w:eastAsia="Times New Roman" w:cs="Arial"/>
                <w:color w:val="000000"/>
                <w:lang w:eastAsia="bg-BG"/>
              </w:rPr>
              <w:lastRenderedPageBreak/>
              <w:t>енхансер (например ритонавир или кобицистат) не е установена.</w:t>
            </w:r>
          </w:p>
          <w:p w14:paraId="57B448F4" w14:textId="26F9115D" w:rsidR="000F629B" w:rsidRPr="000F629B" w:rsidRDefault="000F629B" w:rsidP="000F629B">
            <w:pPr>
              <w:rPr>
                <w:rFonts w:cs="Arial"/>
                <w:lang w:val="en-US"/>
              </w:rPr>
            </w:pPr>
            <w:r w:rsidRPr="000F629B">
              <w:rPr>
                <w:rFonts w:eastAsia="Times New Roman" w:cs="Arial"/>
                <w:color w:val="000000"/>
                <w:lang w:eastAsia="bg-BG"/>
              </w:rPr>
              <w:t>Комбинацията трябва да се използва с повишено внимание и често проследяване на бъбречната функция (вижте точка 4.4).</w:t>
            </w:r>
          </w:p>
        </w:tc>
      </w:tr>
      <w:tr w:rsidR="000F629B" w14:paraId="3578A2EB" w14:textId="77777777" w:rsidTr="000F629B">
        <w:tc>
          <w:tcPr>
            <w:tcW w:w="3166" w:type="dxa"/>
          </w:tcPr>
          <w:p w14:paraId="00FBD96B" w14:textId="79873DE9" w:rsidR="000F629B" w:rsidRPr="000F629B" w:rsidRDefault="000F629B" w:rsidP="000F629B">
            <w:pPr>
              <w:rPr>
                <w:rFonts w:cs="Arial"/>
              </w:rPr>
            </w:pPr>
            <w:r w:rsidRPr="000F629B">
              <w:lastRenderedPageBreak/>
              <w:t>Sofosbuvir/V elpatasvir (400 mg/100 mg q.d.) + Darunavir/Ritonavir (800 mg q.d./100 mg q.d.) + Emtricitabine/T enofovir disoproxil (200 mg/245 mg q.d.)</w:t>
            </w:r>
          </w:p>
        </w:tc>
        <w:tc>
          <w:tcPr>
            <w:tcW w:w="3167" w:type="dxa"/>
            <w:vAlign w:val="center"/>
          </w:tcPr>
          <w:p w14:paraId="22C8A552" w14:textId="77777777" w:rsidR="000F629B" w:rsidRDefault="000F629B" w:rsidP="000F629B">
            <w:r w:rsidRPr="000F629B">
              <w:t xml:space="preserve">Sofosbuvir: </w:t>
            </w:r>
          </w:p>
          <w:p w14:paraId="545F08E8" w14:textId="60BF37B3" w:rsidR="000F629B" w:rsidRPr="000F629B" w:rsidRDefault="000F629B" w:rsidP="000F629B">
            <w:pPr>
              <w:rPr>
                <w:lang w:eastAsia="bg-BG"/>
              </w:rPr>
            </w:pPr>
            <w:r w:rsidRPr="000F629B">
              <w:t xml:space="preserve">AUC: </w:t>
            </w:r>
            <w:r w:rsidRPr="000F629B">
              <w:rPr>
                <w:lang w:eastAsia="bg-BG"/>
              </w:rPr>
              <w:t>↓</w:t>
            </w:r>
            <w:r w:rsidRPr="000F629B">
              <w:t>28%</w:t>
            </w:r>
          </w:p>
          <w:p w14:paraId="5CE59075" w14:textId="77777777" w:rsidR="000F629B" w:rsidRPr="000F629B" w:rsidRDefault="000F629B" w:rsidP="000F629B">
            <w:pPr>
              <w:rPr>
                <w:lang w:eastAsia="bg-BG"/>
              </w:rPr>
            </w:pPr>
            <w:r w:rsidRPr="000F629B">
              <w:t xml:space="preserve">Cmax: </w:t>
            </w:r>
            <w:r w:rsidRPr="000F629B">
              <w:rPr>
                <w:lang w:eastAsia="bg-BG"/>
              </w:rPr>
              <w:t>↓</w:t>
            </w:r>
            <w:r w:rsidRPr="000F629B">
              <w:t xml:space="preserve"> 38%</w:t>
            </w:r>
          </w:p>
          <w:p w14:paraId="38972FE6" w14:textId="77777777" w:rsidR="000F629B" w:rsidRDefault="000F629B" w:rsidP="000F629B"/>
          <w:p w14:paraId="6DE3D316" w14:textId="067B05B9" w:rsidR="000F629B" w:rsidRPr="000F629B" w:rsidRDefault="000F629B" w:rsidP="000F629B">
            <w:pPr>
              <w:rPr>
                <w:lang w:eastAsia="bg-BG"/>
              </w:rPr>
            </w:pPr>
            <w:r w:rsidRPr="000F629B">
              <w:t>GS-331007</w:t>
            </w:r>
            <w:r w:rsidRPr="000F629B">
              <w:rPr>
                <w:vertAlign w:val="superscript"/>
              </w:rPr>
              <w:t>2</w:t>
            </w:r>
          </w:p>
          <w:p w14:paraId="1B131266" w14:textId="77777777" w:rsidR="000F629B" w:rsidRDefault="000F629B" w:rsidP="000F629B">
            <w:r w:rsidRPr="000F629B">
              <w:t>AUC:</w:t>
            </w:r>
            <w:r w:rsidRPr="000F629B">
              <w:rPr>
                <w:lang w:eastAsia="bg-BG"/>
              </w:rPr>
              <w:t>↔</w:t>
            </w:r>
            <w:r w:rsidRPr="000F629B">
              <w:t xml:space="preserve"> </w:t>
            </w:r>
          </w:p>
          <w:p w14:paraId="5F6447AC" w14:textId="77777777" w:rsidR="000F629B" w:rsidRDefault="000F629B" w:rsidP="000F629B">
            <w:r w:rsidRPr="000F629B">
              <w:t xml:space="preserve">Cmax: </w:t>
            </w:r>
            <w:r w:rsidRPr="000F629B">
              <w:rPr>
                <w:lang w:eastAsia="bg-BG"/>
              </w:rPr>
              <w:t>↔</w:t>
            </w:r>
            <w:r w:rsidRPr="000F629B">
              <w:t xml:space="preserve"> </w:t>
            </w:r>
          </w:p>
          <w:p w14:paraId="5825D320" w14:textId="45B582B6" w:rsidR="000F629B" w:rsidRPr="000F629B" w:rsidRDefault="000F629B" w:rsidP="000F629B">
            <w:pPr>
              <w:rPr>
                <w:lang w:eastAsia="bg-BG"/>
              </w:rPr>
            </w:pPr>
            <w:r w:rsidRPr="000F629B">
              <w:t xml:space="preserve">Cmin: </w:t>
            </w:r>
            <w:r w:rsidRPr="000F629B">
              <w:rPr>
                <w:lang w:eastAsia="bg-BG"/>
              </w:rPr>
              <w:t>↔</w:t>
            </w:r>
          </w:p>
          <w:p w14:paraId="1DB721EB" w14:textId="77777777" w:rsidR="000F629B" w:rsidRDefault="000F629B" w:rsidP="000F629B"/>
          <w:p w14:paraId="3E214E43" w14:textId="251E7D3C" w:rsidR="000F629B" w:rsidRPr="000F629B" w:rsidRDefault="000F629B" w:rsidP="000F629B">
            <w:pPr>
              <w:rPr>
                <w:lang w:eastAsia="bg-BG"/>
              </w:rPr>
            </w:pPr>
            <w:r w:rsidRPr="000F629B">
              <w:t>Velpatasvir:</w:t>
            </w:r>
          </w:p>
          <w:p w14:paraId="41460CAF" w14:textId="77777777" w:rsidR="000F629B" w:rsidRDefault="000F629B" w:rsidP="000F629B">
            <w:r w:rsidRPr="000F629B">
              <w:t>AUC:</w:t>
            </w:r>
            <w:r w:rsidRPr="000F629B">
              <w:rPr>
                <w:lang w:eastAsia="bg-BG"/>
              </w:rPr>
              <w:t>↔</w:t>
            </w:r>
            <w:r w:rsidRPr="000F629B">
              <w:t xml:space="preserve"> </w:t>
            </w:r>
          </w:p>
          <w:p w14:paraId="2E38BB7C" w14:textId="77777777" w:rsidR="000F629B" w:rsidRDefault="000F629B" w:rsidP="000F629B">
            <w:r w:rsidRPr="000F629B">
              <w:t xml:space="preserve">Cmax: </w:t>
            </w:r>
            <w:r w:rsidRPr="000F629B">
              <w:rPr>
                <w:lang w:eastAsia="bg-BG"/>
              </w:rPr>
              <w:t>↓</w:t>
            </w:r>
            <w:r w:rsidRPr="000F629B">
              <w:t xml:space="preserve"> 24%</w:t>
            </w:r>
          </w:p>
          <w:p w14:paraId="1EC43FCD" w14:textId="517D5844" w:rsidR="000F629B" w:rsidRPr="000F629B" w:rsidRDefault="000F629B" w:rsidP="000F629B">
            <w:pPr>
              <w:rPr>
                <w:lang w:eastAsia="bg-BG"/>
              </w:rPr>
            </w:pPr>
            <w:r w:rsidRPr="000F629B">
              <w:t xml:space="preserve">Cmin: </w:t>
            </w:r>
            <w:r w:rsidRPr="000F629B">
              <w:rPr>
                <w:lang w:eastAsia="bg-BG"/>
              </w:rPr>
              <w:t>↔</w:t>
            </w:r>
          </w:p>
          <w:p w14:paraId="0C4FD54F" w14:textId="77777777" w:rsidR="000F629B" w:rsidRDefault="000F629B" w:rsidP="000F629B"/>
          <w:p w14:paraId="69D05EAE" w14:textId="50B008D6" w:rsidR="000F629B" w:rsidRPr="000F629B" w:rsidRDefault="000F629B" w:rsidP="000F629B">
            <w:pPr>
              <w:rPr>
                <w:lang w:eastAsia="bg-BG"/>
              </w:rPr>
            </w:pPr>
            <w:r w:rsidRPr="000F629B">
              <w:t>Darunavir:</w:t>
            </w:r>
          </w:p>
          <w:p w14:paraId="1D35315A" w14:textId="77777777" w:rsidR="000F629B" w:rsidRDefault="000F629B" w:rsidP="000F629B">
            <w:r w:rsidRPr="000F629B">
              <w:t>AUC:</w:t>
            </w:r>
            <w:r w:rsidRPr="000F629B">
              <w:rPr>
                <w:lang w:eastAsia="bg-BG"/>
              </w:rPr>
              <w:t>↔</w:t>
            </w:r>
            <w:r w:rsidRPr="000F629B">
              <w:t xml:space="preserve"> </w:t>
            </w:r>
          </w:p>
          <w:p w14:paraId="193457D5" w14:textId="77777777" w:rsidR="000F629B" w:rsidRDefault="000F629B" w:rsidP="000F629B">
            <w:r w:rsidRPr="000F629B">
              <w:t xml:space="preserve">Cmax: </w:t>
            </w:r>
            <w:r w:rsidRPr="000F629B">
              <w:rPr>
                <w:lang w:eastAsia="bg-BG"/>
              </w:rPr>
              <w:t>↔</w:t>
            </w:r>
            <w:r w:rsidRPr="000F629B">
              <w:t xml:space="preserve"> </w:t>
            </w:r>
          </w:p>
          <w:p w14:paraId="79CD36CA" w14:textId="1CB2FA2D" w:rsidR="000F629B" w:rsidRPr="000F629B" w:rsidRDefault="000F629B" w:rsidP="000F629B">
            <w:pPr>
              <w:rPr>
                <w:lang w:eastAsia="bg-BG"/>
              </w:rPr>
            </w:pPr>
            <w:r w:rsidRPr="000F629B">
              <w:t xml:space="preserve">Cmin: </w:t>
            </w:r>
            <w:r w:rsidRPr="000F629B">
              <w:rPr>
                <w:lang w:eastAsia="bg-BG"/>
              </w:rPr>
              <w:t>↔</w:t>
            </w:r>
          </w:p>
          <w:p w14:paraId="7202F783" w14:textId="77777777" w:rsidR="000F629B" w:rsidRDefault="000F629B" w:rsidP="000F629B"/>
          <w:p w14:paraId="50BBCDB5" w14:textId="0D4D8564" w:rsidR="000F629B" w:rsidRPr="000F629B" w:rsidRDefault="000F629B" w:rsidP="000F629B">
            <w:pPr>
              <w:rPr>
                <w:lang w:eastAsia="bg-BG"/>
              </w:rPr>
            </w:pPr>
            <w:r w:rsidRPr="000F629B">
              <w:t>Ritonavir:</w:t>
            </w:r>
          </w:p>
          <w:p w14:paraId="72CE0559" w14:textId="77777777" w:rsidR="000F629B" w:rsidRDefault="000F629B" w:rsidP="000F629B">
            <w:r w:rsidRPr="000F629B">
              <w:t>AUC:</w:t>
            </w:r>
            <w:r w:rsidRPr="000F629B">
              <w:rPr>
                <w:lang w:eastAsia="bg-BG"/>
              </w:rPr>
              <w:t>↔</w:t>
            </w:r>
            <w:r w:rsidRPr="000F629B">
              <w:t xml:space="preserve"> </w:t>
            </w:r>
          </w:p>
          <w:p w14:paraId="50EA328E" w14:textId="77777777" w:rsidR="000F629B" w:rsidRDefault="000F629B" w:rsidP="000F629B">
            <w:r w:rsidRPr="000F629B">
              <w:t xml:space="preserve">Cmax: </w:t>
            </w:r>
            <w:r w:rsidRPr="000F629B">
              <w:rPr>
                <w:lang w:eastAsia="bg-BG"/>
              </w:rPr>
              <w:t>↔</w:t>
            </w:r>
            <w:r w:rsidRPr="000F629B">
              <w:t xml:space="preserve"> </w:t>
            </w:r>
          </w:p>
          <w:p w14:paraId="4FCF6900" w14:textId="64B00CDC" w:rsidR="000F629B" w:rsidRPr="000F629B" w:rsidRDefault="000F629B" w:rsidP="000F629B">
            <w:pPr>
              <w:rPr>
                <w:lang w:eastAsia="bg-BG"/>
              </w:rPr>
            </w:pPr>
            <w:r w:rsidRPr="000F629B">
              <w:t xml:space="preserve">Cmin: </w:t>
            </w:r>
            <w:r w:rsidRPr="000F629B">
              <w:rPr>
                <w:lang w:eastAsia="bg-BG"/>
              </w:rPr>
              <w:t>↔</w:t>
            </w:r>
          </w:p>
          <w:p w14:paraId="4692EAFB" w14:textId="77777777" w:rsidR="000F629B" w:rsidRDefault="000F629B" w:rsidP="000F629B"/>
          <w:p w14:paraId="62FC1371" w14:textId="43A25B3C" w:rsidR="000F629B" w:rsidRPr="000F629B" w:rsidRDefault="000F629B" w:rsidP="000F629B">
            <w:pPr>
              <w:rPr>
                <w:lang w:eastAsia="bg-BG"/>
              </w:rPr>
            </w:pPr>
            <w:r w:rsidRPr="000F629B">
              <w:t>Emtricitabine:</w:t>
            </w:r>
          </w:p>
          <w:p w14:paraId="475EFA53" w14:textId="77777777" w:rsidR="000F629B" w:rsidRDefault="000F629B" w:rsidP="000F629B">
            <w:pPr>
              <w:rPr>
                <w:lang w:eastAsia="bg-BG"/>
              </w:rPr>
            </w:pPr>
            <w:r w:rsidRPr="000F629B">
              <w:t>AUC:</w:t>
            </w:r>
            <w:r w:rsidRPr="000F629B">
              <w:rPr>
                <w:lang w:eastAsia="bg-BG"/>
              </w:rPr>
              <w:t>↔</w:t>
            </w:r>
          </w:p>
          <w:p w14:paraId="2CE71428" w14:textId="77777777" w:rsidR="000F629B" w:rsidRPr="000F629B" w:rsidRDefault="000F629B" w:rsidP="000F629B">
            <w:pPr>
              <w:spacing w:line="240" w:lineRule="auto"/>
              <w:rPr>
                <w:rFonts w:eastAsia="Times New Roman" w:cs="Arial"/>
                <w:lang w:val="en-US" w:eastAsia="bg-BG"/>
              </w:rPr>
            </w:pPr>
            <w:proofErr w:type="spellStart"/>
            <w:proofErr w:type="gramStart"/>
            <w:r w:rsidRPr="000F629B">
              <w:rPr>
                <w:rFonts w:eastAsia="Times New Roman" w:cs="Arial"/>
                <w:color w:val="000000"/>
                <w:lang w:val="en-US"/>
              </w:rPr>
              <w:t>Cmax</w:t>
            </w:r>
            <w:proofErr w:type="spellEnd"/>
            <w:r w:rsidRPr="000F629B">
              <w:rPr>
                <w:rFonts w:eastAsia="Times New Roman" w:cs="Arial"/>
                <w:color w:val="000000"/>
                <w:lang w:val="en-US"/>
              </w:rPr>
              <w:t>:</w:t>
            </w:r>
            <w:r w:rsidRPr="000F629B">
              <w:rPr>
                <w:rFonts w:eastAsia="Times New Roman" w:cs="Arial"/>
                <w:color w:val="000000"/>
                <w:lang w:eastAsia="bg-BG"/>
              </w:rPr>
              <w:t>↔</w:t>
            </w:r>
            <w:proofErr w:type="gramEnd"/>
          </w:p>
          <w:p w14:paraId="37FD1209" w14:textId="77777777" w:rsidR="000F629B" w:rsidRPr="000F629B" w:rsidRDefault="000F629B" w:rsidP="000F629B">
            <w:pPr>
              <w:spacing w:line="240" w:lineRule="auto"/>
              <w:rPr>
                <w:rFonts w:eastAsia="Times New Roman" w:cs="Arial"/>
                <w:lang w:val="en-US" w:eastAsia="bg-BG"/>
              </w:rPr>
            </w:pPr>
            <w:proofErr w:type="spellStart"/>
            <w:r w:rsidRPr="000F629B">
              <w:rPr>
                <w:rFonts w:eastAsia="Times New Roman" w:cs="Arial"/>
                <w:color w:val="000000"/>
                <w:lang w:val="en-US"/>
              </w:rPr>
              <w:t>Cmin</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p>
          <w:p w14:paraId="6A17DA05" w14:textId="77777777" w:rsidR="000F629B" w:rsidRDefault="000F629B" w:rsidP="000F629B">
            <w:pPr>
              <w:spacing w:line="240" w:lineRule="auto"/>
              <w:rPr>
                <w:rFonts w:eastAsia="Times New Roman" w:cs="Arial"/>
                <w:color w:val="000000"/>
                <w:lang w:val="en-US"/>
              </w:rPr>
            </w:pPr>
          </w:p>
          <w:p w14:paraId="02A9A30A" w14:textId="7A2EA25E" w:rsidR="000F629B" w:rsidRPr="000F629B" w:rsidRDefault="000F629B" w:rsidP="000F629B">
            <w:pPr>
              <w:spacing w:line="240" w:lineRule="auto"/>
              <w:rPr>
                <w:rFonts w:eastAsia="Times New Roman" w:cs="Arial"/>
                <w:lang w:val="en-US" w:eastAsia="bg-BG"/>
              </w:rPr>
            </w:pPr>
            <w:r w:rsidRPr="000F629B">
              <w:rPr>
                <w:rFonts w:eastAsia="Times New Roman" w:cs="Arial"/>
                <w:color w:val="000000"/>
                <w:lang w:val="en-US"/>
              </w:rPr>
              <w:t>Tenofovir:</w:t>
            </w:r>
          </w:p>
          <w:p w14:paraId="40E059D9" w14:textId="77777777" w:rsidR="000F629B" w:rsidRPr="000F629B" w:rsidRDefault="000F629B" w:rsidP="000F629B">
            <w:pPr>
              <w:spacing w:line="240" w:lineRule="auto"/>
              <w:rPr>
                <w:rFonts w:eastAsia="Times New Roman" w:cs="Arial"/>
                <w:lang w:val="en-US" w:eastAsia="bg-BG"/>
              </w:rPr>
            </w:pPr>
            <w:r w:rsidRPr="000F629B">
              <w:rPr>
                <w:rFonts w:eastAsia="Times New Roman" w:cs="Arial"/>
                <w:color w:val="000000"/>
                <w:lang w:val="en-US"/>
              </w:rPr>
              <w:t xml:space="preserve">AUC: </w:t>
            </w:r>
            <w:r w:rsidRPr="000F629B">
              <w:rPr>
                <w:rFonts w:eastAsia="Times New Roman" w:cs="Arial"/>
                <w:color w:val="000000"/>
                <w:lang w:eastAsia="bg-BG"/>
              </w:rPr>
              <w:t>↑</w:t>
            </w:r>
            <w:r w:rsidRPr="000F629B">
              <w:rPr>
                <w:rFonts w:eastAsia="Times New Roman" w:cs="Arial"/>
                <w:color w:val="000000"/>
                <w:lang w:val="en-US"/>
              </w:rPr>
              <w:t>39%</w:t>
            </w:r>
          </w:p>
          <w:p w14:paraId="79E3C1E8" w14:textId="77777777" w:rsidR="000F629B" w:rsidRPr="000F629B" w:rsidRDefault="000F629B" w:rsidP="000F629B">
            <w:pPr>
              <w:spacing w:line="240" w:lineRule="auto"/>
              <w:rPr>
                <w:rFonts w:eastAsia="Times New Roman" w:cs="Arial"/>
                <w:lang w:val="en-US" w:eastAsia="bg-BG"/>
              </w:rPr>
            </w:pPr>
            <w:proofErr w:type="spellStart"/>
            <w:r w:rsidRPr="000F629B">
              <w:rPr>
                <w:rFonts w:eastAsia="Times New Roman" w:cs="Arial"/>
                <w:color w:val="000000"/>
                <w:lang w:val="en-US"/>
              </w:rPr>
              <w:t>Cmax</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 xml:space="preserve"> 55%</w:t>
            </w:r>
          </w:p>
          <w:p w14:paraId="58D08E20" w14:textId="3192DD97" w:rsidR="000F629B" w:rsidRPr="000F629B" w:rsidRDefault="000F629B" w:rsidP="000F629B">
            <w:pPr>
              <w:rPr>
                <w:rFonts w:cs="Arial"/>
              </w:rPr>
            </w:pPr>
            <w:proofErr w:type="spellStart"/>
            <w:r w:rsidRPr="000F629B">
              <w:rPr>
                <w:rFonts w:eastAsia="Times New Roman" w:cs="Arial"/>
                <w:color w:val="000000"/>
                <w:lang w:val="en-US"/>
              </w:rPr>
              <w:lastRenderedPageBreak/>
              <w:t>Cmin</w:t>
            </w:r>
            <w:proofErr w:type="spellEnd"/>
            <w:r w:rsidRPr="000F629B">
              <w:rPr>
                <w:rFonts w:eastAsia="Times New Roman" w:cs="Arial"/>
                <w:color w:val="000000"/>
                <w:lang w:val="en-US"/>
              </w:rPr>
              <w:t xml:space="preserve">: </w:t>
            </w:r>
            <w:r w:rsidRPr="000F629B">
              <w:rPr>
                <w:rFonts w:eastAsia="Times New Roman" w:cs="Arial"/>
                <w:color w:val="000000"/>
                <w:lang w:eastAsia="bg-BG"/>
              </w:rPr>
              <w:t>↑</w:t>
            </w:r>
            <w:r w:rsidRPr="000F629B">
              <w:rPr>
                <w:rFonts w:eastAsia="Times New Roman" w:cs="Arial"/>
                <w:color w:val="000000"/>
                <w:lang w:val="en-US"/>
              </w:rPr>
              <w:t>52%</w:t>
            </w:r>
          </w:p>
        </w:tc>
        <w:tc>
          <w:tcPr>
            <w:tcW w:w="3167" w:type="dxa"/>
            <w:vAlign w:val="center"/>
          </w:tcPr>
          <w:p w14:paraId="63E11E9D" w14:textId="77777777" w:rsidR="000F629B" w:rsidRPr="000F629B" w:rsidRDefault="000F629B" w:rsidP="000F629B">
            <w:pPr>
              <w:rPr>
                <w:lang w:eastAsia="bg-BG"/>
              </w:rPr>
            </w:pPr>
            <w:r w:rsidRPr="000F629B">
              <w:lastRenderedPageBreak/>
              <w:t>Increased plasma concentrations of tenofovir resulting from co</w:t>
            </w:r>
            <w:r w:rsidRPr="000F629B">
              <w:softHyphen/>
              <w:t>administration of tenofovir disoproxil, sofosbuvir/ velpatasvir and darunavir/ ritonavir may increase adverse reactions related to tenofovir disoproxil, including renal disorders. The safety of tenofovir disoproxil when used with sofosbuvir/ velpatasvir and a pharmacokinetic enhancer (e.g. ritonavir or cobicistat) has not been established.</w:t>
            </w:r>
          </w:p>
          <w:p w14:paraId="53E93A91" w14:textId="4E60558F" w:rsidR="000F629B" w:rsidRPr="000F629B" w:rsidRDefault="000F629B" w:rsidP="000F629B">
            <w:pPr>
              <w:rPr>
                <w:rFonts w:cs="Arial"/>
              </w:rPr>
            </w:pPr>
            <w:r w:rsidRPr="000F629B">
              <w:t>The combination should be used with caution with frequent renal monitoring (see section 4.4).</w:t>
            </w:r>
          </w:p>
        </w:tc>
      </w:tr>
      <w:tr w:rsidR="000F629B" w14:paraId="072DDAA0" w14:textId="77777777" w:rsidTr="000F629B">
        <w:tc>
          <w:tcPr>
            <w:tcW w:w="3166" w:type="dxa"/>
          </w:tcPr>
          <w:p w14:paraId="700EEDD4" w14:textId="7B5A8A7D" w:rsidR="000F629B" w:rsidRPr="000F629B" w:rsidRDefault="000F629B" w:rsidP="000F629B">
            <w:pPr>
              <w:rPr>
                <w:rFonts w:cs="Arial"/>
              </w:rPr>
            </w:pPr>
            <w:r w:rsidRPr="000F629B">
              <w:t xml:space="preserve">Софосбувир/Велпатасвир (400 </w:t>
            </w:r>
            <w:r w:rsidRPr="000F629B">
              <w:rPr>
                <w:lang w:val="en-US"/>
              </w:rPr>
              <w:t xml:space="preserve">mg/100 mg </w:t>
            </w:r>
            <w:proofErr w:type="spellStart"/>
            <w:r w:rsidRPr="000F629B">
              <w:rPr>
                <w:lang w:val="en-US"/>
              </w:rPr>
              <w:t>q.d</w:t>
            </w:r>
            <w:proofErr w:type="spellEnd"/>
            <w:r w:rsidRPr="000F629B">
              <w:rPr>
                <w:lang w:val="en-US"/>
              </w:rPr>
              <w:t xml:space="preserve">.) </w:t>
            </w:r>
            <w:r w:rsidRPr="000F629B">
              <w:t xml:space="preserve">+ Лопинавир/Ритонавир (800 </w:t>
            </w:r>
            <w:r w:rsidRPr="000F629B">
              <w:rPr>
                <w:lang w:val="en-US"/>
              </w:rPr>
              <w:t xml:space="preserve">mg/200 mg </w:t>
            </w:r>
            <w:proofErr w:type="spellStart"/>
            <w:r w:rsidRPr="000F629B">
              <w:rPr>
                <w:lang w:val="en-US"/>
              </w:rPr>
              <w:t>q.d</w:t>
            </w:r>
            <w:proofErr w:type="spellEnd"/>
            <w:r w:rsidRPr="000F629B">
              <w:rPr>
                <w:lang w:val="en-US"/>
              </w:rPr>
              <w:t xml:space="preserve">.) + </w:t>
            </w:r>
            <w:r w:rsidRPr="000F629B">
              <w:t xml:space="preserve">Емтрицитабин/Тенофовир дизопроксил </w:t>
            </w:r>
            <w:r w:rsidRPr="000F629B">
              <w:rPr>
                <w:lang w:val="en-US"/>
              </w:rPr>
              <w:t xml:space="preserve">(200 mg/245 mg </w:t>
            </w:r>
            <w:proofErr w:type="spellStart"/>
            <w:r w:rsidRPr="000F629B">
              <w:rPr>
                <w:lang w:val="en-US"/>
              </w:rPr>
              <w:t>q.d</w:t>
            </w:r>
            <w:proofErr w:type="spellEnd"/>
            <w:r w:rsidRPr="000F629B">
              <w:rPr>
                <w:lang w:val="en-US"/>
              </w:rPr>
              <w:t>.)</w:t>
            </w:r>
          </w:p>
        </w:tc>
        <w:tc>
          <w:tcPr>
            <w:tcW w:w="3167" w:type="dxa"/>
          </w:tcPr>
          <w:p w14:paraId="096C42E8" w14:textId="77777777" w:rsidR="000F629B" w:rsidRDefault="000F629B" w:rsidP="000F629B">
            <w:r w:rsidRPr="000F629B">
              <w:t xml:space="preserve">Софосбувир: </w:t>
            </w:r>
          </w:p>
          <w:p w14:paraId="1AC88EC0" w14:textId="77777777" w:rsidR="000F629B" w:rsidRDefault="000F629B" w:rsidP="000F629B">
            <w:pPr>
              <w:rPr>
                <w:lang w:val="en-US"/>
              </w:rPr>
            </w:pPr>
            <w:r w:rsidRPr="000F629B">
              <w:rPr>
                <w:lang w:val="en-US"/>
              </w:rPr>
              <w:t xml:space="preserve">AUC: </w:t>
            </w:r>
            <w:r w:rsidRPr="000F629B">
              <w:t>↓</w:t>
            </w:r>
            <w:r w:rsidRPr="000F629B">
              <w:rPr>
                <w:lang w:val="en-US"/>
              </w:rPr>
              <w:t xml:space="preserve"> 29% </w:t>
            </w:r>
          </w:p>
          <w:p w14:paraId="2DCB5A54"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41% </w:t>
            </w:r>
          </w:p>
          <w:p w14:paraId="719042B7" w14:textId="77777777" w:rsidR="000F629B" w:rsidRDefault="000F629B" w:rsidP="000F629B">
            <w:pPr>
              <w:rPr>
                <w:lang w:val="en-US"/>
              </w:rPr>
            </w:pPr>
          </w:p>
          <w:p w14:paraId="62D90DF0" w14:textId="77777777" w:rsidR="000F629B" w:rsidRDefault="000F629B" w:rsidP="000F629B">
            <w:pPr>
              <w:rPr>
                <w:lang w:val="en-US"/>
              </w:rPr>
            </w:pPr>
            <w:r w:rsidRPr="000F629B">
              <w:rPr>
                <w:lang w:val="en-US"/>
              </w:rPr>
              <w:t xml:space="preserve">GS-3310072: </w:t>
            </w:r>
          </w:p>
          <w:p w14:paraId="4CF2F0C0" w14:textId="77777777" w:rsidR="000F629B" w:rsidRDefault="000F629B" w:rsidP="000F629B">
            <w:pPr>
              <w:rPr>
                <w:lang w:val="en-US"/>
              </w:rPr>
            </w:pPr>
            <w:r w:rsidRPr="000F629B">
              <w:rPr>
                <w:lang w:val="en-US"/>
              </w:rPr>
              <w:t xml:space="preserve">AUC: </w:t>
            </w:r>
            <w:r w:rsidRPr="000F629B">
              <w:t>↔</w:t>
            </w:r>
            <w:r w:rsidRPr="000F629B">
              <w:rPr>
                <w:lang w:val="en-US"/>
              </w:rPr>
              <w:t xml:space="preserve"> </w:t>
            </w:r>
          </w:p>
          <w:p w14:paraId="00096028" w14:textId="77777777" w:rsidR="000F629B" w:rsidRDefault="000F629B" w:rsidP="000F629B">
            <w:pPr>
              <w:rPr>
                <w:lang w:val="en-US"/>
              </w:rPr>
            </w:pPr>
            <w:proofErr w:type="spellStart"/>
            <w:proofErr w:type="gramStart"/>
            <w:r w:rsidRPr="000F629B">
              <w:rPr>
                <w:lang w:val="en-US"/>
              </w:rPr>
              <w:t>Cmax</w:t>
            </w:r>
            <w:proofErr w:type="spellEnd"/>
            <w:r w:rsidRPr="000F629B">
              <w:rPr>
                <w:lang w:val="en-US"/>
              </w:rPr>
              <w:t>:</w:t>
            </w:r>
            <w:r w:rsidRPr="000F629B">
              <w:t>↔</w:t>
            </w:r>
            <w:proofErr w:type="gramEnd"/>
            <w:r w:rsidRPr="000F629B">
              <w:rPr>
                <w:lang w:val="en-US"/>
              </w:rPr>
              <w:t xml:space="preserve"> </w:t>
            </w:r>
          </w:p>
          <w:p w14:paraId="1C2A7AF9" w14:textId="77777777" w:rsidR="000F629B" w:rsidRDefault="000F629B" w:rsidP="000F629B">
            <w:proofErr w:type="spellStart"/>
            <w:r w:rsidRPr="000F629B">
              <w:rPr>
                <w:lang w:val="en-US"/>
              </w:rPr>
              <w:t>Cmin</w:t>
            </w:r>
            <w:proofErr w:type="spellEnd"/>
            <w:r w:rsidRPr="000F629B">
              <w:rPr>
                <w:lang w:val="en-US"/>
              </w:rPr>
              <w:t xml:space="preserve">: </w:t>
            </w:r>
            <w:r w:rsidRPr="000F629B">
              <w:t xml:space="preserve">↔ </w:t>
            </w:r>
          </w:p>
          <w:p w14:paraId="677EC2E7" w14:textId="77777777" w:rsidR="000F629B" w:rsidRDefault="000F629B" w:rsidP="000F629B"/>
          <w:p w14:paraId="210B4086" w14:textId="77777777" w:rsidR="000F629B" w:rsidRDefault="000F629B" w:rsidP="000F629B">
            <w:r w:rsidRPr="000F629B">
              <w:t xml:space="preserve">Велпатасвир: </w:t>
            </w:r>
          </w:p>
          <w:p w14:paraId="5B7FE33B" w14:textId="05080DEF" w:rsidR="000F629B" w:rsidRPr="000F629B" w:rsidRDefault="000F629B" w:rsidP="000F629B">
            <w:proofErr w:type="gramStart"/>
            <w:r w:rsidRPr="000F629B">
              <w:rPr>
                <w:lang w:val="en-US"/>
              </w:rPr>
              <w:t>AUC:</w:t>
            </w:r>
            <w:r w:rsidRPr="000F629B">
              <w:t>↔</w:t>
            </w:r>
            <w:proofErr w:type="gramEnd"/>
          </w:p>
          <w:p w14:paraId="573050A1"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30% </w:t>
            </w:r>
          </w:p>
          <w:p w14:paraId="454F826E" w14:textId="77777777" w:rsidR="000F629B" w:rsidRDefault="000F629B" w:rsidP="000F629B">
            <w:pPr>
              <w:rPr>
                <w:lang w:val="en-US"/>
              </w:rPr>
            </w:pPr>
            <w:proofErr w:type="spellStart"/>
            <w:r w:rsidRPr="000F629B">
              <w:rPr>
                <w:lang w:val="en-US"/>
              </w:rPr>
              <w:t>Cmin</w:t>
            </w:r>
            <w:proofErr w:type="spellEnd"/>
            <w:r w:rsidRPr="000F629B">
              <w:rPr>
                <w:lang w:val="en-US"/>
              </w:rPr>
              <w:t xml:space="preserve">: </w:t>
            </w:r>
            <w:r w:rsidRPr="000F629B">
              <w:t>↑</w:t>
            </w:r>
            <w:r w:rsidRPr="000F629B">
              <w:rPr>
                <w:lang w:val="en-US"/>
              </w:rPr>
              <w:t xml:space="preserve"> 63% </w:t>
            </w:r>
          </w:p>
          <w:p w14:paraId="693D9B25" w14:textId="77777777" w:rsidR="000F629B" w:rsidRDefault="000F629B" w:rsidP="000F629B"/>
          <w:p w14:paraId="72CD838F" w14:textId="77777777" w:rsidR="000F629B" w:rsidRDefault="000F629B" w:rsidP="000F629B">
            <w:r w:rsidRPr="000F629B">
              <w:t xml:space="preserve">Лопинавир: </w:t>
            </w:r>
          </w:p>
          <w:p w14:paraId="2C93FF92" w14:textId="77777777" w:rsidR="000F629B" w:rsidRDefault="000F629B" w:rsidP="000F629B">
            <w:pPr>
              <w:rPr>
                <w:lang w:val="en-US"/>
              </w:rPr>
            </w:pPr>
            <w:proofErr w:type="gramStart"/>
            <w:r w:rsidRPr="000F629B">
              <w:rPr>
                <w:lang w:val="en-US"/>
              </w:rPr>
              <w:t>AUC:</w:t>
            </w:r>
            <w:r w:rsidRPr="000F629B">
              <w:t>↔</w:t>
            </w:r>
            <w:proofErr w:type="gramEnd"/>
            <w:r w:rsidRPr="000F629B">
              <w:rPr>
                <w:lang w:val="en-US"/>
              </w:rPr>
              <w:t xml:space="preserve"> </w:t>
            </w:r>
          </w:p>
          <w:p w14:paraId="2314EFF4" w14:textId="77777777" w:rsidR="000F629B" w:rsidRDefault="000F629B" w:rsidP="000F629B">
            <w:proofErr w:type="spellStart"/>
            <w:proofErr w:type="gramStart"/>
            <w:r w:rsidRPr="000F629B">
              <w:rPr>
                <w:lang w:val="en-US"/>
              </w:rPr>
              <w:t>Cmax</w:t>
            </w:r>
            <w:proofErr w:type="spellEnd"/>
            <w:r w:rsidRPr="000F629B">
              <w:rPr>
                <w:lang w:val="en-US"/>
              </w:rPr>
              <w:t>:</w:t>
            </w:r>
            <w:r w:rsidRPr="000F629B">
              <w:t>↔</w:t>
            </w:r>
            <w:proofErr w:type="gramEnd"/>
            <w:r w:rsidRPr="000F629B">
              <w:t xml:space="preserve"> </w:t>
            </w:r>
          </w:p>
          <w:p w14:paraId="543D3828" w14:textId="44C05F4D" w:rsidR="000F629B" w:rsidRPr="000F629B" w:rsidRDefault="000F629B" w:rsidP="000F629B">
            <w:proofErr w:type="spellStart"/>
            <w:proofErr w:type="gramStart"/>
            <w:r w:rsidRPr="000F629B">
              <w:rPr>
                <w:lang w:val="en-US"/>
              </w:rPr>
              <w:t>Cmin</w:t>
            </w:r>
            <w:proofErr w:type="spellEnd"/>
            <w:r w:rsidRPr="000F629B">
              <w:rPr>
                <w:lang w:val="en-US"/>
              </w:rPr>
              <w:t>:</w:t>
            </w:r>
            <w:r w:rsidRPr="000F629B">
              <w:t>↔</w:t>
            </w:r>
            <w:proofErr w:type="gramEnd"/>
          </w:p>
          <w:p w14:paraId="2263CCD9" w14:textId="77777777" w:rsidR="000F629B" w:rsidRDefault="000F629B" w:rsidP="000F629B"/>
          <w:p w14:paraId="17EBF167" w14:textId="77777777" w:rsidR="000F629B" w:rsidRDefault="000F629B" w:rsidP="000F629B">
            <w:r w:rsidRPr="000F629B">
              <w:t xml:space="preserve">Ритонавир: </w:t>
            </w:r>
          </w:p>
          <w:p w14:paraId="4BA03BAF" w14:textId="69B67679" w:rsidR="000F629B" w:rsidRPr="000F629B" w:rsidRDefault="000F629B" w:rsidP="000F629B">
            <w:proofErr w:type="gramStart"/>
            <w:r w:rsidRPr="000F629B">
              <w:rPr>
                <w:lang w:val="en-US"/>
              </w:rPr>
              <w:t>AUC:</w:t>
            </w:r>
            <w:r w:rsidRPr="000F629B">
              <w:t>↔</w:t>
            </w:r>
            <w:proofErr w:type="gramEnd"/>
          </w:p>
          <w:p w14:paraId="69A6759A"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w:t>
            </w:r>
          </w:p>
          <w:p w14:paraId="5D1E8AA7" w14:textId="5198B00B" w:rsidR="000F629B" w:rsidRPr="000F629B" w:rsidRDefault="000F629B" w:rsidP="000F629B">
            <w:proofErr w:type="spellStart"/>
            <w:proofErr w:type="gramStart"/>
            <w:r w:rsidRPr="000F629B">
              <w:rPr>
                <w:lang w:val="en-US"/>
              </w:rPr>
              <w:t>Cmin</w:t>
            </w:r>
            <w:proofErr w:type="spellEnd"/>
            <w:r w:rsidRPr="000F629B">
              <w:rPr>
                <w:lang w:val="en-US"/>
              </w:rPr>
              <w:t>:</w:t>
            </w:r>
            <w:r w:rsidRPr="000F629B">
              <w:t>↔</w:t>
            </w:r>
            <w:proofErr w:type="gramEnd"/>
          </w:p>
          <w:p w14:paraId="73EB337A" w14:textId="77777777" w:rsidR="000F629B" w:rsidRDefault="000F629B" w:rsidP="000F629B"/>
          <w:p w14:paraId="4C557DE5" w14:textId="77777777" w:rsidR="000F629B" w:rsidRDefault="000F629B" w:rsidP="000F629B">
            <w:r w:rsidRPr="000F629B">
              <w:t xml:space="preserve">Емтрицитабин: </w:t>
            </w:r>
          </w:p>
          <w:p w14:paraId="77BA1FF3" w14:textId="2122BA65" w:rsidR="000F629B" w:rsidRPr="000F629B" w:rsidRDefault="000F629B" w:rsidP="000F629B">
            <w:proofErr w:type="gramStart"/>
            <w:r w:rsidRPr="000F629B">
              <w:rPr>
                <w:lang w:val="en-US"/>
              </w:rPr>
              <w:t>AUC:</w:t>
            </w:r>
            <w:r w:rsidRPr="000F629B">
              <w:t>↔</w:t>
            </w:r>
            <w:proofErr w:type="gramEnd"/>
          </w:p>
          <w:p w14:paraId="4DA409ED"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w:t>
            </w:r>
          </w:p>
          <w:p w14:paraId="740B9FCF" w14:textId="77777777" w:rsidR="000F629B" w:rsidRDefault="000F629B" w:rsidP="000F629B">
            <w:proofErr w:type="spellStart"/>
            <w:r w:rsidRPr="000F629B">
              <w:rPr>
                <w:lang w:val="en-US"/>
              </w:rPr>
              <w:t>Cmin</w:t>
            </w:r>
            <w:proofErr w:type="spellEnd"/>
            <w:r w:rsidRPr="000F629B">
              <w:rPr>
                <w:lang w:val="en-US"/>
              </w:rPr>
              <w:t xml:space="preserve">: </w:t>
            </w:r>
            <w:r w:rsidRPr="000F629B">
              <w:t xml:space="preserve">↔ </w:t>
            </w:r>
          </w:p>
          <w:p w14:paraId="54A5D13D" w14:textId="77777777" w:rsidR="000F629B" w:rsidRDefault="000F629B" w:rsidP="000F629B"/>
          <w:p w14:paraId="04D7C0B6" w14:textId="77777777" w:rsidR="000F629B" w:rsidRDefault="000F629B" w:rsidP="000F629B">
            <w:r w:rsidRPr="000F629B">
              <w:t xml:space="preserve">Тенофовир: </w:t>
            </w:r>
          </w:p>
          <w:p w14:paraId="3A68B413" w14:textId="7858E1B4" w:rsidR="000F629B" w:rsidRPr="000F629B" w:rsidRDefault="000F629B" w:rsidP="000F629B">
            <w:proofErr w:type="gramStart"/>
            <w:r w:rsidRPr="000F629B">
              <w:rPr>
                <w:lang w:val="en-US"/>
              </w:rPr>
              <w:t>AUC:</w:t>
            </w:r>
            <w:r w:rsidRPr="000F629B">
              <w:t>↔</w:t>
            </w:r>
            <w:proofErr w:type="gramEnd"/>
          </w:p>
          <w:p w14:paraId="5DD10E0C" w14:textId="77777777" w:rsidR="000F629B" w:rsidRPr="000F629B" w:rsidRDefault="000F629B" w:rsidP="000F629B">
            <w:proofErr w:type="spellStart"/>
            <w:r w:rsidRPr="000F629B">
              <w:rPr>
                <w:lang w:val="en-US"/>
              </w:rPr>
              <w:t>Cmax</w:t>
            </w:r>
            <w:proofErr w:type="spellEnd"/>
            <w:r w:rsidRPr="000F629B">
              <w:rPr>
                <w:lang w:val="en-US"/>
              </w:rPr>
              <w:t xml:space="preserve">:  </w:t>
            </w:r>
            <w:r w:rsidRPr="000F629B">
              <w:t>↑</w:t>
            </w:r>
            <w:r w:rsidRPr="000F629B">
              <w:rPr>
                <w:lang w:val="en-US"/>
              </w:rPr>
              <w:t>42%</w:t>
            </w:r>
          </w:p>
          <w:p w14:paraId="07C6E3C4" w14:textId="3814D7B3" w:rsidR="000F629B" w:rsidRPr="000F629B" w:rsidRDefault="000F629B" w:rsidP="000F629B">
            <w:pPr>
              <w:rPr>
                <w:rFonts w:cs="Arial"/>
              </w:rPr>
            </w:pPr>
            <w:proofErr w:type="spellStart"/>
            <w:r w:rsidRPr="000F629B">
              <w:rPr>
                <w:lang w:val="en-US"/>
              </w:rPr>
              <w:t>Cmin</w:t>
            </w:r>
            <w:proofErr w:type="spellEnd"/>
            <w:r w:rsidRPr="000F629B">
              <w:rPr>
                <w:lang w:val="en-US"/>
              </w:rPr>
              <w:t xml:space="preserve">: </w:t>
            </w:r>
            <w:r w:rsidRPr="000F629B">
              <w:t>↔</w:t>
            </w:r>
          </w:p>
        </w:tc>
        <w:tc>
          <w:tcPr>
            <w:tcW w:w="3167" w:type="dxa"/>
            <w:vAlign w:val="bottom"/>
          </w:tcPr>
          <w:p w14:paraId="741C9284" w14:textId="12A3B2BD" w:rsidR="000F629B" w:rsidRPr="000F629B" w:rsidRDefault="000F629B" w:rsidP="000F629B">
            <w:pPr>
              <w:rPr>
                <w:rFonts w:cs="Arial"/>
              </w:rPr>
            </w:pPr>
            <w:r w:rsidRPr="000F629B">
              <w:t>Повишените плазмени концентрации на тенофовир в резултат на едновременното приложение на тенофовир дизопроксил, софосбувир/велпатасвир и лопинавир/ритонавир може да повишат нежеланите реакции, свързани с тенофовир дизопроксил, включително бъбречни увреждания. Безопасността на тенофовир дизопроксил при прилагане със софосбувир/велпатасвир и фармакокинетичен енхансер (например ритонавир или кобицистат) не е установена. Комбинацията трябва да сеизползва с повишено внимание и често проследяване на бъбречната функция (вижте точка 4.4).</w:t>
            </w:r>
          </w:p>
        </w:tc>
      </w:tr>
      <w:tr w:rsidR="000F629B" w14:paraId="724A0A0C" w14:textId="77777777" w:rsidTr="000F629B">
        <w:tc>
          <w:tcPr>
            <w:tcW w:w="3166" w:type="dxa"/>
          </w:tcPr>
          <w:p w14:paraId="2D0CC5CB" w14:textId="77777777" w:rsidR="000F629B" w:rsidRPr="000F629B" w:rsidRDefault="000F629B" w:rsidP="000F629B">
            <w:r w:rsidRPr="000F629B">
              <w:t xml:space="preserve">Софосбувир/Велпатасвир </w:t>
            </w:r>
            <w:r w:rsidRPr="000F629B">
              <w:rPr>
                <w:lang w:val="en-US"/>
              </w:rPr>
              <w:t xml:space="preserve">(400 mg/100 mg </w:t>
            </w:r>
            <w:proofErr w:type="spellStart"/>
            <w:r w:rsidRPr="000F629B">
              <w:rPr>
                <w:lang w:val="en-US"/>
              </w:rPr>
              <w:t>q.d</w:t>
            </w:r>
            <w:proofErr w:type="spellEnd"/>
            <w:r w:rsidRPr="000F629B">
              <w:rPr>
                <w:lang w:val="en-US"/>
              </w:rPr>
              <w:t>.) +</w:t>
            </w:r>
          </w:p>
          <w:p w14:paraId="0528EB98" w14:textId="5E0CBB03" w:rsidR="000F629B" w:rsidRPr="000F629B" w:rsidRDefault="000F629B" w:rsidP="000F629B">
            <w:pPr>
              <w:rPr>
                <w:rFonts w:cs="Arial"/>
              </w:rPr>
            </w:pPr>
            <w:r w:rsidRPr="000F629B">
              <w:t xml:space="preserve">Ралтегравир </w:t>
            </w:r>
            <w:r w:rsidRPr="000F629B">
              <w:rPr>
                <w:lang w:val="en-US"/>
              </w:rPr>
              <w:t xml:space="preserve">(400 mg </w:t>
            </w:r>
            <w:proofErr w:type="spellStart"/>
            <w:r w:rsidRPr="000F629B">
              <w:rPr>
                <w:lang w:val="en-US"/>
              </w:rPr>
              <w:t>b.i.d</w:t>
            </w:r>
            <w:proofErr w:type="spellEnd"/>
            <w:r w:rsidRPr="000F629B">
              <w:rPr>
                <w:lang w:val="en-US"/>
              </w:rPr>
              <w:t xml:space="preserve">) + </w:t>
            </w:r>
            <w:r w:rsidRPr="000F629B">
              <w:t xml:space="preserve">Емтрицитабин/Тенофовир дизопроксил </w:t>
            </w:r>
            <w:r w:rsidRPr="000F629B">
              <w:rPr>
                <w:lang w:val="en-US"/>
              </w:rPr>
              <w:t xml:space="preserve">(200 mg/245 mg </w:t>
            </w:r>
            <w:proofErr w:type="spellStart"/>
            <w:r w:rsidRPr="000F629B">
              <w:rPr>
                <w:lang w:val="en-US"/>
              </w:rPr>
              <w:t>q.d</w:t>
            </w:r>
            <w:proofErr w:type="spellEnd"/>
            <w:r w:rsidRPr="000F629B">
              <w:rPr>
                <w:lang w:val="en-US"/>
              </w:rPr>
              <w:t>.)</w:t>
            </w:r>
          </w:p>
        </w:tc>
        <w:tc>
          <w:tcPr>
            <w:tcW w:w="3167" w:type="dxa"/>
            <w:vAlign w:val="bottom"/>
          </w:tcPr>
          <w:p w14:paraId="3F90B933" w14:textId="77777777" w:rsidR="000F629B" w:rsidRDefault="000F629B" w:rsidP="000F629B">
            <w:r w:rsidRPr="000F629B">
              <w:t xml:space="preserve">Софосбувир: </w:t>
            </w:r>
          </w:p>
          <w:p w14:paraId="4351BC03" w14:textId="77777777" w:rsidR="000F629B" w:rsidRDefault="000F629B" w:rsidP="000F629B">
            <w:pPr>
              <w:rPr>
                <w:lang w:val="en-US"/>
              </w:rPr>
            </w:pPr>
            <w:r w:rsidRPr="000F629B">
              <w:rPr>
                <w:lang w:val="en-US"/>
              </w:rPr>
              <w:t xml:space="preserve">AUC: </w:t>
            </w:r>
            <w:r w:rsidRPr="000F629B">
              <w:t>↔</w:t>
            </w:r>
            <w:r w:rsidRPr="000F629B">
              <w:rPr>
                <w:lang w:val="en-US"/>
              </w:rPr>
              <w:t xml:space="preserve"> </w:t>
            </w:r>
          </w:p>
          <w:p w14:paraId="5EF537C1"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w:t>
            </w:r>
          </w:p>
          <w:p w14:paraId="4DB96292" w14:textId="77777777" w:rsidR="000F629B" w:rsidRDefault="000F629B" w:rsidP="000F629B">
            <w:pPr>
              <w:rPr>
                <w:lang w:val="en-US"/>
              </w:rPr>
            </w:pPr>
          </w:p>
          <w:p w14:paraId="217B0E59" w14:textId="77777777" w:rsidR="000F629B" w:rsidRDefault="000F629B" w:rsidP="000F629B">
            <w:pPr>
              <w:rPr>
                <w:lang w:val="en-US"/>
              </w:rPr>
            </w:pPr>
            <w:r w:rsidRPr="000F629B">
              <w:rPr>
                <w:lang w:val="en-US"/>
              </w:rPr>
              <w:t xml:space="preserve">GS-3310072: </w:t>
            </w:r>
          </w:p>
          <w:p w14:paraId="69E4AC16" w14:textId="77777777" w:rsidR="000F629B" w:rsidRDefault="000F629B" w:rsidP="000F629B">
            <w:pPr>
              <w:rPr>
                <w:lang w:val="en-US"/>
              </w:rPr>
            </w:pPr>
            <w:proofErr w:type="gramStart"/>
            <w:r w:rsidRPr="000F629B">
              <w:rPr>
                <w:lang w:val="en-US"/>
              </w:rPr>
              <w:t>AUC:</w:t>
            </w:r>
            <w:r w:rsidRPr="000F629B">
              <w:t>↔</w:t>
            </w:r>
            <w:proofErr w:type="gramEnd"/>
            <w:r w:rsidRPr="000F629B">
              <w:rPr>
                <w:lang w:val="en-US"/>
              </w:rPr>
              <w:t xml:space="preserve"> </w:t>
            </w:r>
          </w:p>
          <w:p w14:paraId="296F39C2" w14:textId="08E23A56" w:rsidR="000F629B" w:rsidRPr="000F629B" w:rsidRDefault="000F629B" w:rsidP="000F629B">
            <w:proofErr w:type="spellStart"/>
            <w:proofErr w:type="gramStart"/>
            <w:r w:rsidRPr="000F629B">
              <w:rPr>
                <w:lang w:val="en-US"/>
              </w:rPr>
              <w:t>Cmax</w:t>
            </w:r>
            <w:proofErr w:type="spellEnd"/>
            <w:r w:rsidRPr="000F629B">
              <w:rPr>
                <w:lang w:val="en-US"/>
              </w:rPr>
              <w:t>:</w:t>
            </w:r>
            <w:r w:rsidRPr="000F629B">
              <w:t>↔</w:t>
            </w:r>
            <w:proofErr w:type="gramEnd"/>
          </w:p>
          <w:p w14:paraId="26957A6D" w14:textId="77777777" w:rsidR="000F629B" w:rsidRDefault="000F629B" w:rsidP="000F629B">
            <w:proofErr w:type="spellStart"/>
            <w:r w:rsidRPr="000F629B">
              <w:rPr>
                <w:lang w:val="en-US"/>
              </w:rPr>
              <w:t>Cmin</w:t>
            </w:r>
            <w:proofErr w:type="spellEnd"/>
            <w:r w:rsidRPr="000F629B">
              <w:rPr>
                <w:lang w:val="en-US"/>
              </w:rPr>
              <w:t xml:space="preserve">: </w:t>
            </w:r>
            <w:r w:rsidRPr="000F629B">
              <w:t xml:space="preserve">↔ </w:t>
            </w:r>
          </w:p>
          <w:p w14:paraId="7129F085" w14:textId="77777777" w:rsidR="000F629B" w:rsidRDefault="000F629B" w:rsidP="000F629B"/>
          <w:p w14:paraId="367AC93E" w14:textId="77777777" w:rsidR="000F629B" w:rsidRDefault="000F629B" w:rsidP="000F629B">
            <w:r w:rsidRPr="000F629B">
              <w:t xml:space="preserve">Велпатасвир: </w:t>
            </w:r>
          </w:p>
          <w:p w14:paraId="2B078EE3" w14:textId="70FD0A23" w:rsidR="000F629B" w:rsidRPr="000F629B" w:rsidRDefault="000F629B" w:rsidP="000F629B">
            <w:proofErr w:type="gramStart"/>
            <w:r w:rsidRPr="000F629B">
              <w:rPr>
                <w:lang w:val="en-US"/>
              </w:rPr>
              <w:t>AUC:</w:t>
            </w:r>
            <w:r w:rsidRPr="000F629B">
              <w:t>↔</w:t>
            </w:r>
            <w:proofErr w:type="gramEnd"/>
          </w:p>
          <w:p w14:paraId="5C0151E9" w14:textId="77777777" w:rsidR="000F629B" w:rsidRPr="000F629B" w:rsidRDefault="000F629B" w:rsidP="000F629B">
            <w:proofErr w:type="spellStart"/>
            <w:proofErr w:type="gramStart"/>
            <w:r w:rsidRPr="000F629B">
              <w:rPr>
                <w:lang w:val="en-US"/>
              </w:rPr>
              <w:t>Cmax</w:t>
            </w:r>
            <w:proofErr w:type="spellEnd"/>
            <w:r w:rsidRPr="000F629B">
              <w:rPr>
                <w:lang w:val="en-US"/>
              </w:rPr>
              <w:t>:</w:t>
            </w:r>
            <w:r w:rsidRPr="000F629B">
              <w:t>↔</w:t>
            </w:r>
            <w:proofErr w:type="gramEnd"/>
          </w:p>
          <w:p w14:paraId="1BC9CECF" w14:textId="77777777" w:rsidR="000F629B" w:rsidRDefault="000F629B" w:rsidP="000F629B">
            <w:proofErr w:type="spellStart"/>
            <w:r w:rsidRPr="000F629B">
              <w:rPr>
                <w:lang w:val="en-US"/>
              </w:rPr>
              <w:t>Cmin</w:t>
            </w:r>
            <w:proofErr w:type="spellEnd"/>
            <w:r w:rsidRPr="000F629B">
              <w:rPr>
                <w:lang w:val="en-US"/>
              </w:rPr>
              <w:t xml:space="preserve">: </w:t>
            </w:r>
            <w:r w:rsidRPr="000F629B">
              <w:t xml:space="preserve">↔ </w:t>
            </w:r>
          </w:p>
          <w:p w14:paraId="7AC6F326" w14:textId="77777777" w:rsidR="000F629B" w:rsidRDefault="000F629B" w:rsidP="000F629B"/>
          <w:p w14:paraId="39B0415E" w14:textId="280FA202" w:rsidR="000F629B" w:rsidRPr="000F629B" w:rsidRDefault="000F629B" w:rsidP="000F629B">
            <w:r w:rsidRPr="000F629B">
              <w:t>Ралтегравир:</w:t>
            </w:r>
          </w:p>
          <w:p w14:paraId="39C8984D" w14:textId="77777777" w:rsidR="000F629B" w:rsidRPr="000F629B" w:rsidRDefault="000F629B" w:rsidP="000F629B">
            <w:proofErr w:type="gramStart"/>
            <w:r w:rsidRPr="000F629B">
              <w:rPr>
                <w:lang w:val="en-US"/>
              </w:rPr>
              <w:t>AUC:</w:t>
            </w:r>
            <w:r w:rsidRPr="000F629B">
              <w:t>↔</w:t>
            </w:r>
            <w:proofErr w:type="gramEnd"/>
          </w:p>
          <w:p w14:paraId="4D72015E" w14:textId="77777777" w:rsidR="000F629B" w:rsidRDefault="000F629B" w:rsidP="000F629B">
            <w:pPr>
              <w:rPr>
                <w:lang w:val="en-US"/>
              </w:rPr>
            </w:pPr>
            <w:proofErr w:type="spellStart"/>
            <w:proofErr w:type="gramStart"/>
            <w:r w:rsidRPr="000F629B">
              <w:rPr>
                <w:lang w:val="en-US"/>
              </w:rPr>
              <w:t>Cmax</w:t>
            </w:r>
            <w:proofErr w:type="spellEnd"/>
            <w:r w:rsidRPr="000F629B">
              <w:rPr>
                <w:lang w:val="en-US"/>
              </w:rPr>
              <w:t>:</w:t>
            </w:r>
            <w:r w:rsidRPr="000F629B">
              <w:t>↔</w:t>
            </w:r>
            <w:proofErr w:type="gramEnd"/>
            <w:r w:rsidRPr="000F629B">
              <w:rPr>
                <w:lang w:val="en-US"/>
              </w:rPr>
              <w:t xml:space="preserve"> </w:t>
            </w:r>
          </w:p>
          <w:p w14:paraId="2C75EEEB" w14:textId="77777777" w:rsidR="000F629B" w:rsidRDefault="000F629B" w:rsidP="000F629B">
            <w:pPr>
              <w:rPr>
                <w:lang w:val="en-US"/>
              </w:rPr>
            </w:pPr>
            <w:proofErr w:type="spellStart"/>
            <w:r w:rsidRPr="000F629B">
              <w:rPr>
                <w:lang w:val="en-US"/>
              </w:rPr>
              <w:t>Cmin</w:t>
            </w:r>
            <w:proofErr w:type="spellEnd"/>
            <w:r w:rsidRPr="000F629B">
              <w:rPr>
                <w:lang w:val="en-US"/>
              </w:rPr>
              <w:t xml:space="preserve">: </w:t>
            </w:r>
            <w:r w:rsidRPr="000F629B">
              <w:t>↓</w:t>
            </w:r>
            <w:r w:rsidRPr="000F629B">
              <w:rPr>
                <w:lang w:val="en-US"/>
              </w:rPr>
              <w:t xml:space="preserve"> 21% </w:t>
            </w:r>
          </w:p>
          <w:p w14:paraId="282B6221" w14:textId="77777777" w:rsidR="000F629B" w:rsidRDefault="000F629B" w:rsidP="000F629B"/>
          <w:p w14:paraId="413589F6" w14:textId="77777777" w:rsidR="000F629B" w:rsidRDefault="000F629B" w:rsidP="000F629B">
            <w:r w:rsidRPr="000F629B">
              <w:t>Емтрицитабин:</w:t>
            </w:r>
          </w:p>
          <w:p w14:paraId="2D68F0CD" w14:textId="77777777" w:rsidR="000F629B" w:rsidRDefault="000F629B" w:rsidP="000F629B">
            <w:r>
              <w:t>AUC:</w:t>
            </w:r>
            <w:r>
              <w:rPr>
                <w:lang w:eastAsia="bg-BG"/>
              </w:rPr>
              <w:t>↔</w:t>
            </w:r>
            <w:r>
              <w:t xml:space="preserve"> </w:t>
            </w:r>
          </w:p>
          <w:p w14:paraId="36E956DC" w14:textId="77777777" w:rsidR="000F629B" w:rsidRDefault="000F629B" w:rsidP="000F629B">
            <w:r>
              <w:t xml:space="preserve">Cmax: </w:t>
            </w:r>
            <w:r>
              <w:rPr>
                <w:lang w:eastAsia="bg-BG"/>
              </w:rPr>
              <w:t>↔</w:t>
            </w:r>
            <w:r>
              <w:t xml:space="preserve"> </w:t>
            </w:r>
          </w:p>
          <w:p w14:paraId="1F338B02" w14:textId="26AC313A" w:rsidR="000F629B" w:rsidRDefault="000F629B" w:rsidP="000F629B">
            <w:pPr>
              <w:rPr>
                <w:lang w:eastAsia="bg-BG"/>
              </w:rPr>
            </w:pPr>
            <w:r>
              <w:t>Cmin:</w:t>
            </w:r>
            <w:r>
              <w:rPr>
                <w:lang w:eastAsia="bg-BG"/>
              </w:rPr>
              <w:t xml:space="preserve">↔ </w:t>
            </w:r>
          </w:p>
          <w:p w14:paraId="2182816F" w14:textId="77777777" w:rsidR="000F629B" w:rsidRDefault="000F629B" w:rsidP="000F629B">
            <w:pPr>
              <w:rPr>
                <w:lang w:eastAsia="bg-BG"/>
              </w:rPr>
            </w:pPr>
          </w:p>
          <w:p w14:paraId="54EECD58" w14:textId="77777777" w:rsidR="000F629B" w:rsidRDefault="000F629B" w:rsidP="000F629B">
            <w:pPr>
              <w:rPr>
                <w:lang w:eastAsia="bg-BG"/>
              </w:rPr>
            </w:pPr>
            <w:r>
              <w:rPr>
                <w:lang w:eastAsia="bg-BG"/>
              </w:rPr>
              <w:t xml:space="preserve">Тенофовир: </w:t>
            </w:r>
          </w:p>
          <w:p w14:paraId="44080BC1" w14:textId="77777777" w:rsidR="000F629B" w:rsidRDefault="000F629B" w:rsidP="000F629B">
            <w:r>
              <w:t xml:space="preserve">AUC: </w:t>
            </w:r>
            <w:r>
              <w:rPr>
                <w:lang w:eastAsia="bg-BG"/>
              </w:rPr>
              <w:t>↑</w:t>
            </w:r>
            <w:r>
              <w:t xml:space="preserve"> 40% </w:t>
            </w:r>
          </w:p>
          <w:p w14:paraId="3CF46BD6" w14:textId="77777777" w:rsidR="000F629B" w:rsidRDefault="000F629B" w:rsidP="000F629B">
            <w:r>
              <w:t xml:space="preserve">Cmax: </w:t>
            </w:r>
            <w:r>
              <w:rPr>
                <w:lang w:eastAsia="bg-BG"/>
              </w:rPr>
              <w:t>↑</w:t>
            </w:r>
            <w:r>
              <w:t xml:space="preserve"> 46% </w:t>
            </w:r>
          </w:p>
          <w:p w14:paraId="0DE2D3EE" w14:textId="03B7CB07" w:rsidR="000F629B" w:rsidRPr="000F629B" w:rsidRDefault="000F629B" w:rsidP="000F629B">
            <w:pPr>
              <w:rPr>
                <w:rFonts w:cs="Arial"/>
              </w:rPr>
            </w:pPr>
            <w:r>
              <w:t xml:space="preserve">Cmin: </w:t>
            </w:r>
            <w:r>
              <w:rPr>
                <w:lang w:eastAsia="bg-BG"/>
              </w:rPr>
              <w:t>↑</w:t>
            </w:r>
            <w:r>
              <w:t xml:space="preserve"> 70%</w:t>
            </w:r>
          </w:p>
        </w:tc>
        <w:tc>
          <w:tcPr>
            <w:tcW w:w="3167" w:type="dxa"/>
            <w:vAlign w:val="bottom"/>
          </w:tcPr>
          <w:p w14:paraId="71AD7E01" w14:textId="77777777" w:rsidR="000F629B" w:rsidRPr="000F629B" w:rsidRDefault="000F629B" w:rsidP="000F629B">
            <w:r w:rsidRPr="000F629B">
              <w:lastRenderedPageBreak/>
              <w:t>Не се препоръчва адаптиране на дозата. Повишената експозиция на тенофовир може да потенциира нежелани</w:t>
            </w:r>
          </w:p>
          <w:p w14:paraId="27C7F329" w14:textId="77777777" w:rsidR="000F629B" w:rsidRPr="000F629B" w:rsidRDefault="000F629B" w:rsidP="000F629B">
            <w:r w:rsidRPr="000F629B">
              <w:t>реакции, които са свързани с</w:t>
            </w:r>
          </w:p>
          <w:p w14:paraId="3CC83D0B" w14:textId="77777777" w:rsidR="000F629B" w:rsidRPr="000F629B" w:rsidRDefault="000F629B" w:rsidP="000F629B">
            <w:r w:rsidRPr="000F629B">
              <w:t>тенофовир дизопроксил, включително бъбречни.</w:t>
            </w:r>
          </w:p>
          <w:p w14:paraId="68DA9DF8" w14:textId="77777777" w:rsidR="000F629B" w:rsidRPr="000F629B" w:rsidRDefault="000F629B" w:rsidP="000F629B">
            <w:r w:rsidRPr="000F629B">
              <w:t>увреждания.</w:t>
            </w:r>
          </w:p>
          <w:p w14:paraId="25EB1E2B" w14:textId="77777777" w:rsidR="000F629B" w:rsidRPr="000F629B" w:rsidRDefault="000F629B" w:rsidP="000F629B">
            <w:r w:rsidRPr="000F629B">
              <w:t>функция трябва да се</w:t>
            </w:r>
          </w:p>
          <w:p w14:paraId="51E8FD4B" w14:textId="47F120C0" w:rsidR="000F629B" w:rsidRPr="000F629B" w:rsidRDefault="000F629B" w:rsidP="000F629B">
            <w:pPr>
              <w:rPr>
                <w:rFonts w:cs="Arial"/>
              </w:rPr>
            </w:pPr>
            <w:r w:rsidRPr="000F629B">
              <w:t>наблюдава стриктно (вижте точка 4.4).</w:t>
            </w:r>
          </w:p>
        </w:tc>
      </w:tr>
      <w:tr w:rsidR="000F629B" w14:paraId="325D88C7" w14:textId="77777777" w:rsidTr="000F629B">
        <w:tc>
          <w:tcPr>
            <w:tcW w:w="3166" w:type="dxa"/>
          </w:tcPr>
          <w:p w14:paraId="1D706C77" w14:textId="0BDBFAF7" w:rsidR="000F629B" w:rsidRPr="000F629B" w:rsidRDefault="000F629B" w:rsidP="000F629B">
            <w:pPr>
              <w:rPr>
                <w:rFonts w:cs="Arial"/>
              </w:rPr>
            </w:pPr>
            <w:r w:rsidRPr="000F629B">
              <w:t xml:space="preserve">Софосбувир/Велпатасвир (400 </w:t>
            </w:r>
            <w:r w:rsidRPr="000F629B">
              <w:rPr>
                <w:lang w:val="en-US"/>
              </w:rPr>
              <w:t xml:space="preserve">mg/100 mg </w:t>
            </w:r>
            <w:proofErr w:type="spellStart"/>
            <w:r w:rsidRPr="000F629B">
              <w:rPr>
                <w:lang w:val="en-US"/>
              </w:rPr>
              <w:t>q.d</w:t>
            </w:r>
            <w:proofErr w:type="spellEnd"/>
            <w:r w:rsidRPr="000F629B">
              <w:rPr>
                <w:lang w:val="en-US"/>
              </w:rPr>
              <w:t xml:space="preserve">.) </w:t>
            </w:r>
            <w:r w:rsidRPr="000F629B">
              <w:t xml:space="preserve">+ Ефавиренц/Емтрицитабин/ Тенофовир дизопроксил (600 </w:t>
            </w:r>
            <w:r w:rsidRPr="000F629B">
              <w:rPr>
                <w:lang w:val="en-US"/>
              </w:rPr>
              <w:t xml:space="preserve">mg/200 mg/245 mg </w:t>
            </w:r>
            <w:proofErr w:type="spellStart"/>
            <w:r w:rsidRPr="000F629B">
              <w:rPr>
                <w:lang w:val="en-US"/>
              </w:rPr>
              <w:t>q.d</w:t>
            </w:r>
            <w:proofErr w:type="spellEnd"/>
            <w:r w:rsidRPr="000F629B">
              <w:rPr>
                <w:lang w:val="en-US"/>
              </w:rPr>
              <w:t>.)</w:t>
            </w:r>
          </w:p>
        </w:tc>
        <w:tc>
          <w:tcPr>
            <w:tcW w:w="3167" w:type="dxa"/>
            <w:vAlign w:val="bottom"/>
          </w:tcPr>
          <w:p w14:paraId="2BCF749B" w14:textId="77777777" w:rsidR="000F629B" w:rsidRDefault="000F629B" w:rsidP="000F629B">
            <w:r w:rsidRPr="000F629B">
              <w:t xml:space="preserve">Софосбувир: </w:t>
            </w:r>
          </w:p>
          <w:p w14:paraId="68256F98" w14:textId="77777777" w:rsidR="000F629B" w:rsidRDefault="000F629B" w:rsidP="000F629B">
            <w:pPr>
              <w:rPr>
                <w:lang w:val="en-US"/>
              </w:rPr>
            </w:pPr>
            <w:r w:rsidRPr="000F629B">
              <w:rPr>
                <w:lang w:val="en-US"/>
              </w:rPr>
              <w:t xml:space="preserve">AUC: </w:t>
            </w:r>
            <w:r w:rsidRPr="000F629B">
              <w:t>↔</w:t>
            </w:r>
            <w:r w:rsidRPr="000F629B">
              <w:rPr>
                <w:lang w:val="en-US"/>
              </w:rPr>
              <w:t xml:space="preserve"> </w:t>
            </w:r>
          </w:p>
          <w:p w14:paraId="7BD8C2A0"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38% </w:t>
            </w:r>
          </w:p>
          <w:p w14:paraId="74EC64D5" w14:textId="77777777" w:rsidR="000F629B" w:rsidRDefault="000F629B" w:rsidP="000F629B">
            <w:pPr>
              <w:rPr>
                <w:lang w:val="en-US"/>
              </w:rPr>
            </w:pPr>
          </w:p>
          <w:p w14:paraId="125B049C" w14:textId="77777777" w:rsidR="000F629B" w:rsidRDefault="000F629B" w:rsidP="000F629B">
            <w:pPr>
              <w:rPr>
                <w:lang w:val="en-US"/>
              </w:rPr>
            </w:pPr>
            <w:r w:rsidRPr="000F629B">
              <w:rPr>
                <w:lang w:val="en-US"/>
              </w:rPr>
              <w:t xml:space="preserve">GS-3310072: </w:t>
            </w:r>
          </w:p>
          <w:p w14:paraId="6A0B85EA" w14:textId="77777777" w:rsidR="000F629B" w:rsidRDefault="000F629B" w:rsidP="000F629B">
            <w:pPr>
              <w:rPr>
                <w:lang w:val="en-US"/>
              </w:rPr>
            </w:pPr>
            <w:r w:rsidRPr="000F629B">
              <w:rPr>
                <w:lang w:val="en-US"/>
              </w:rPr>
              <w:t xml:space="preserve">AUC: </w:t>
            </w:r>
            <w:r w:rsidRPr="000F629B">
              <w:t>↔</w:t>
            </w:r>
            <w:r w:rsidRPr="000F629B">
              <w:rPr>
                <w:lang w:val="en-US"/>
              </w:rPr>
              <w:t xml:space="preserve"> </w:t>
            </w:r>
          </w:p>
          <w:p w14:paraId="19AD0D10" w14:textId="77777777" w:rsidR="000F629B" w:rsidRDefault="000F629B" w:rsidP="000F629B">
            <w:pPr>
              <w:rPr>
                <w:lang w:val="en-US"/>
              </w:rPr>
            </w:pPr>
            <w:proofErr w:type="spellStart"/>
            <w:proofErr w:type="gramStart"/>
            <w:r w:rsidRPr="000F629B">
              <w:rPr>
                <w:lang w:val="en-US"/>
              </w:rPr>
              <w:t>Cmax</w:t>
            </w:r>
            <w:proofErr w:type="spellEnd"/>
            <w:r w:rsidRPr="000F629B">
              <w:rPr>
                <w:lang w:val="en-US"/>
              </w:rPr>
              <w:t>:</w:t>
            </w:r>
            <w:r w:rsidRPr="000F629B">
              <w:t>↔</w:t>
            </w:r>
            <w:proofErr w:type="gramEnd"/>
            <w:r w:rsidRPr="000F629B">
              <w:rPr>
                <w:lang w:val="en-US"/>
              </w:rPr>
              <w:t xml:space="preserve"> </w:t>
            </w:r>
          </w:p>
          <w:p w14:paraId="4FB32529" w14:textId="77777777" w:rsidR="000F629B" w:rsidRDefault="000F629B" w:rsidP="000F629B">
            <w:proofErr w:type="spellStart"/>
            <w:r w:rsidRPr="000F629B">
              <w:rPr>
                <w:lang w:val="en-US"/>
              </w:rPr>
              <w:t>Cmin</w:t>
            </w:r>
            <w:proofErr w:type="spellEnd"/>
            <w:r w:rsidRPr="000F629B">
              <w:rPr>
                <w:lang w:val="en-US"/>
              </w:rPr>
              <w:t xml:space="preserve">: </w:t>
            </w:r>
            <w:r w:rsidRPr="000F629B">
              <w:t xml:space="preserve">↔ </w:t>
            </w:r>
          </w:p>
          <w:p w14:paraId="355D1E38" w14:textId="77777777" w:rsidR="000F629B" w:rsidRDefault="000F629B" w:rsidP="000F629B"/>
          <w:p w14:paraId="1CE0B7AD" w14:textId="77777777" w:rsidR="000F629B" w:rsidRDefault="000F629B" w:rsidP="000F629B">
            <w:r w:rsidRPr="000F629B">
              <w:t xml:space="preserve">Велпатасвир: </w:t>
            </w:r>
          </w:p>
          <w:p w14:paraId="52465B7C" w14:textId="77777777" w:rsidR="000F629B" w:rsidRDefault="000F629B" w:rsidP="000F629B">
            <w:pPr>
              <w:rPr>
                <w:lang w:val="en-US"/>
              </w:rPr>
            </w:pPr>
            <w:r w:rsidRPr="000F629B">
              <w:rPr>
                <w:lang w:val="en-US"/>
              </w:rPr>
              <w:t xml:space="preserve">AUC: </w:t>
            </w:r>
            <w:r w:rsidRPr="000F629B">
              <w:t>↓</w:t>
            </w:r>
            <w:r w:rsidRPr="000F629B">
              <w:rPr>
                <w:lang w:val="en-US"/>
              </w:rPr>
              <w:t xml:space="preserve"> 53% </w:t>
            </w:r>
          </w:p>
          <w:p w14:paraId="1022645B"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47% </w:t>
            </w:r>
          </w:p>
          <w:p w14:paraId="06E95FD8" w14:textId="77777777" w:rsidR="000F629B" w:rsidRDefault="000F629B" w:rsidP="000F629B">
            <w:pPr>
              <w:rPr>
                <w:lang w:val="en-US"/>
              </w:rPr>
            </w:pPr>
            <w:proofErr w:type="spellStart"/>
            <w:r w:rsidRPr="000F629B">
              <w:rPr>
                <w:lang w:val="en-US"/>
              </w:rPr>
              <w:t>Cmin</w:t>
            </w:r>
            <w:proofErr w:type="spellEnd"/>
            <w:r w:rsidRPr="000F629B">
              <w:rPr>
                <w:lang w:val="en-US"/>
              </w:rPr>
              <w:t>:</w:t>
            </w:r>
            <w:r w:rsidRPr="000F629B">
              <w:t xml:space="preserve"> ↓</w:t>
            </w:r>
            <w:r w:rsidRPr="000F629B">
              <w:rPr>
                <w:lang w:val="en-US"/>
              </w:rPr>
              <w:t xml:space="preserve">57% </w:t>
            </w:r>
          </w:p>
          <w:p w14:paraId="4263F162" w14:textId="77777777" w:rsidR="000F629B" w:rsidRDefault="000F629B" w:rsidP="000F629B"/>
          <w:p w14:paraId="416F8F05" w14:textId="77777777" w:rsidR="000F629B" w:rsidRDefault="000F629B" w:rsidP="000F629B">
            <w:r w:rsidRPr="000F629B">
              <w:t xml:space="preserve">Ефавиренц: </w:t>
            </w:r>
          </w:p>
          <w:p w14:paraId="5F397A42" w14:textId="77777777" w:rsidR="000F629B" w:rsidRDefault="000F629B" w:rsidP="000F629B">
            <w:pPr>
              <w:rPr>
                <w:lang w:val="en-US"/>
              </w:rPr>
            </w:pPr>
            <w:proofErr w:type="gramStart"/>
            <w:r w:rsidRPr="000F629B">
              <w:rPr>
                <w:lang w:val="en-US"/>
              </w:rPr>
              <w:t>AUC:</w:t>
            </w:r>
            <w:r w:rsidRPr="000F629B">
              <w:t>↔</w:t>
            </w:r>
            <w:proofErr w:type="gramEnd"/>
            <w:r w:rsidRPr="000F629B">
              <w:rPr>
                <w:lang w:val="en-US"/>
              </w:rPr>
              <w:t xml:space="preserve"> </w:t>
            </w:r>
          </w:p>
          <w:p w14:paraId="0CDA8927"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w:t>
            </w:r>
          </w:p>
          <w:p w14:paraId="563067C5" w14:textId="77777777" w:rsidR="000F629B" w:rsidRDefault="000F629B" w:rsidP="000F629B">
            <w:proofErr w:type="spellStart"/>
            <w:r w:rsidRPr="000F629B">
              <w:rPr>
                <w:lang w:val="en-US"/>
              </w:rPr>
              <w:t>Cmin</w:t>
            </w:r>
            <w:proofErr w:type="spellEnd"/>
            <w:r w:rsidRPr="000F629B">
              <w:rPr>
                <w:lang w:val="en-US"/>
              </w:rPr>
              <w:t xml:space="preserve">: </w:t>
            </w:r>
            <w:r w:rsidRPr="000F629B">
              <w:t xml:space="preserve">↔ </w:t>
            </w:r>
          </w:p>
          <w:p w14:paraId="052543C4" w14:textId="77777777" w:rsidR="000F629B" w:rsidRDefault="000F629B" w:rsidP="000F629B"/>
          <w:p w14:paraId="4355388E" w14:textId="77777777" w:rsidR="000F629B" w:rsidRDefault="000F629B" w:rsidP="000F629B">
            <w:r w:rsidRPr="000F629B">
              <w:t xml:space="preserve">Емтрицитабин: </w:t>
            </w:r>
          </w:p>
          <w:p w14:paraId="155442A3" w14:textId="77777777" w:rsidR="000F629B" w:rsidRDefault="000F629B" w:rsidP="000F629B">
            <w:r w:rsidRPr="000F629B">
              <w:rPr>
                <w:lang w:val="en-US"/>
              </w:rPr>
              <w:t xml:space="preserve">AUC: </w:t>
            </w:r>
            <w:r w:rsidRPr="000F629B">
              <w:t xml:space="preserve">↔ </w:t>
            </w:r>
          </w:p>
          <w:p w14:paraId="2CFAE1D4"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w:t>
            </w:r>
          </w:p>
          <w:p w14:paraId="7D73C5D4" w14:textId="77777777" w:rsidR="000F629B" w:rsidRDefault="000F629B" w:rsidP="000F629B">
            <w:proofErr w:type="spellStart"/>
            <w:proofErr w:type="gramStart"/>
            <w:r w:rsidRPr="000F629B">
              <w:rPr>
                <w:lang w:val="en-US"/>
              </w:rPr>
              <w:t>Cmin</w:t>
            </w:r>
            <w:proofErr w:type="spellEnd"/>
            <w:r w:rsidRPr="000F629B">
              <w:rPr>
                <w:lang w:val="en-US"/>
              </w:rPr>
              <w:t>:</w:t>
            </w:r>
            <w:r w:rsidRPr="000F629B">
              <w:t>↔</w:t>
            </w:r>
            <w:proofErr w:type="gramEnd"/>
            <w:r w:rsidRPr="000F629B">
              <w:t xml:space="preserve"> </w:t>
            </w:r>
          </w:p>
          <w:p w14:paraId="12101E20" w14:textId="77777777" w:rsidR="000F629B" w:rsidRDefault="000F629B" w:rsidP="000F629B"/>
          <w:p w14:paraId="03A85EDE" w14:textId="77777777" w:rsidR="000F629B" w:rsidRDefault="000F629B" w:rsidP="000F629B">
            <w:r w:rsidRPr="000F629B">
              <w:t xml:space="preserve">Тенофовир: </w:t>
            </w:r>
          </w:p>
          <w:p w14:paraId="1A9175CB" w14:textId="77777777" w:rsidR="000F629B" w:rsidRDefault="000F629B" w:rsidP="000F629B">
            <w:pPr>
              <w:rPr>
                <w:lang w:val="en-US"/>
              </w:rPr>
            </w:pPr>
            <w:r w:rsidRPr="000F629B">
              <w:rPr>
                <w:lang w:val="en-US"/>
              </w:rPr>
              <w:t xml:space="preserve">AUC: </w:t>
            </w:r>
            <w:r w:rsidRPr="000F629B">
              <w:t>↑</w:t>
            </w:r>
            <w:r w:rsidRPr="000F629B">
              <w:rPr>
                <w:lang w:val="en-US"/>
              </w:rPr>
              <w:t xml:space="preserve">81% </w:t>
            </w:r>
          </w:p>
          <w:p w14:paraId="6CF4E519"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77% </w:t>
            </w:r>
          </w:p>
          <w:p w14:paraId="7CFDDFAD" w14:textId="5960ADB5" w:rsidR="000F629B" w:rsidRPr="000F629B" w:rsidRDefault="000F629B" w:rsidP="000F629B">
            <w:pPr>
              <w:rPr>
                <w:rFonts w:cs="Arial"/>
              </w:rPr>
            </w:pPr>
            <w:proofErr w:type="spellStart"/>
            <w:r w:rsidRPr="000F629B">
              <w:rPr>
                <w:lang w:val="en-US"/>
              </w:rPr>
              <w:t>Cmin</w:t>
            </w:r>
            <w:proofErr w:type="spellEnd"/>
            <w:r w:rsidRPr="000F629B">
              <w:rPr>
                <w:lang w:val="en-US"/>
              </w:rPr>
              <w:t xml:space="preserve">: </w:t>
            </w:r>
            <w:r w:rsidRPr="000F629B">
              <w:t>↑</w:t>
            </w:r>
            <w:r w:rsidRPr="000F629B">
              <w:rPr>
                <w:lang w:val="en-US"/>
              </w:rPr>
              <w:t xml:space="preserve"> 121%</w:t>
            </w:r>
          </w:p>
        </w:tc>
        <w:tc>
          <w:tcPr>
            <w:tcW w:w="3167" w:type="dxa"/>
            <w:vAlign w:val="center"/>
          </w:tcPr>
          <w:p w14:paraId="1DF8C100" w14:textId="47659AD3" w:rsidR="000F629B" w:rsidRPr="000F629B" w:rsidRDefault="000F629B" w:rsidP="000F629B">
            <w:pPr>
              <w:rPr>
                <w:rFonts w:cs="Arial"/>
              </w:rPr>
            </w:pPr>
            <w:r w:rsidRPr="000F629B">
              <w:rPr>
                <w:lang w:val="en-US"/>
              </w:rPr>
              <w:t xml:space="preserve">Concomitant administration of sofosbuvir/ </w:t>
            </w:r>
            <w:proofErr w:type="spellStart"/>
            <w:r w:rsidRPr="000F629B">
              <w:rPr>
                <w:lang w:val="en-US"/>
              </w:rPr>
              <w:t>velpatasvir</w:t>
            </w:r>
            <w:proofErr w:type="spellEnd"/>
            <w:r w:rsidRPr="000F629B">
              <w:rPr>
                <w:lang w:val="en-US"/>
              </w:rPr>
              <w:t xml:space="preserve"> and efavirenz is expected to decrease plasma concentrations of </w:t>
            </w:r>
            <w:proofErr w:type="spellStart"/>
            <w:r w:rsidRPr="000F629B">
              <w:rPr>
                <w:lang w:val="en-US"/>
              </w:rPr>
              <w:t>velpatasvir</w:t>
            </w:r>
            <w:proofErr w:type="spellEnd"/>
            <w:r w:rsidRPr="000F629B">
              <w:rPr>
                <w:lang w:val="en-US"/>
              </w:rPr>
              <w:t>. Co-administration of sofosbuvir/</w:t>
            </w:r>
            <w:proofErr w:type="spellStart"/>
            <w:r w:rsidRPr="000F629B">
              <w:rPr>
                <w:lang w:val="en-US"/>
              </w:rPr>
              <w:t>velpatasvir</w:t>
            </w:r>
            <w:proofErr w:type="spellEnd"/>
            <w:r w:rsidRPr="000F629B">
              <w:rPr>
                <w:lang w:val="en-US"/>
              </w:rPr>
              <w:t xml:space="preserve"> with efavirenz-containing regimens is not recommended.</w:t>
            </w:r>
          </w:p>
          <w:p w14:paraId="327AF6DF" w14:textId="0A05E2F3" w:rsidR="000F629B" w:rsidRPr="000F629B" w:rsidRDefault="000F629B" w:rsidP="000F629B">
            <w:pPr>
              <w:rPr>
                <w:rFonts w:cs="Arial"/>
              </w:rPr>
            </w:pPr>
          </w:p>
        </w:tc>
      </w:tr>
      <w:tr w:rsidR="000F629B" w14:paraId="20E73444" w14:textId="77777777" w:rsidTr="000F629B">
        <w:tc>
          <w:tcPr>
            <w:tcW w:w="3166" w:type="dxa"/>
          </w:tcPr>
          <w:p w14:paraId="02DD9EAC" w14:textId="77777777" w:rsidR="000F629B" w:rsidRPr="000F629B" w:rsidRDefault="000F629B" w:rsidP="000F629B">
            <w:r w:rsidRPr="000F629B">
              <w:t xml:space="preserve">Софосбувир/Велпатасвир </w:t>
            </w:r>
            <w:r w:rsidRPr="000F629B">
              <w:rPr>
                <w:lang w:val="en-US"/>
              </w:rPr>
              <w:t xml:space="preserve">(400 mg/100 mg </w:t>
            </w:r>
            <w:proofErr w:type="spellStart"/>
            <w:r w:rsidRPr="000F629B">
              <w:rPr>
                <w:lang w:val="en-US"/>
              </w:rPr>
              <w:t>q.d</w:t>
            </w:r>
            <w:proofErr w:type="spellEnd"/>
            <w:r w:rsidRPr="000F629B">
              <w:rPr>
                <w:lang w:val="en-US"/>
              </w:rPr>
              <w:t xml:space="preserve">.) + </w:t>
            </w:r>
            <w:r w:rsidRPr="000F629B">
              <w:t xml:space="preserve">Емтрицитабин/ Рилпивирин/Тенофовир </w:t>
            </w:r>
            <w:r w:rsidRPr="000F629B">
              <w:lastRenderedPageBreak/>
              <w:t>дизопроксил</w:t>
            </w:r>
          </w:p>
          <w:p w14:paraId="495503DF" w14:textId="0B1CE01D" w:rsidR="000F629B" w:rsidRPr="000F629B" w:rsidRDefault="000F629B" w:rsidP="000F629B">
            <w:pPr>
              <w:rPr>
                <w:rFonts w:cs="Arial"/>
              </w:rPr>
            </w:pPr>
            <w:r w:rsidRPr="000F629B">
              <w:rPr>
                <w:lang w:val="en-US"/>
              </w:rPr>
              <w:t xml:space="preserve">(200 mg/25 mg/245 mg </w:t>
            </w:r>
            <w:proofErr w:type="spellStart"/>
            <w:r w:rsidRPr="000F629B">
              <w:rPr>
                <w:lang w:val="en-US"/>
              </w:rPr>
              <w:t>q.d</w:t>
            </w:r>
            <w:proofErr w:type="spellEnd"/>
            <w:r w:rsidRPr="000F629B">
              <w:rPr>
                <w:lang w:val="en-US"/>
              </w:rPr>
              <w:t>.)</w:t>
            </w:r>
          </w:p>
        </w:tc>
        <w:tc>
          <w:tcPr>
            <w:tcW w:w="3167" w:type="dxa"/>
            <w:vAlign w:val="bottom"/>
          </w:tcPr>
          <w:p w14:paraId="0B75569D" w14:textId="77777777" w:rsidR="000F629B" w:rsidRDefault="000F629B" w:rsidP="000F629B">
            <w:r w:rsidRPr="000F629B">
              <w:lastRenderedPageBreak/>
              <w:t xml:space="preserve">Софосбувир: </w:t>
            </w:r>
          </w:p>
          <w:p w14:paraId="6DCE71C8" w14:textId="1FF169D2" w:rsidR="000F629B" w:rsidRPr="000F629B" w:rsidRDefault="000F629B" w:rsidP="000F629B">
            <w:proofErr w:type="gramStart"/>
            <w:r w:rsidRPr="000F629B">
              <w:rPr>
                <w:lang w:val="en-US"/>
              </w:rPr>
              <w:t>AUC:</w:t>
            </w:r>
            <w:r w:rsidRPr="000F629B">
              <w:t>↔</w:t>
            </w:r>
            <w:proofErr w:type="gramEnd"/>
          </w:p>
          <w:p w14:paraId="23EFEDCD" w14:textId="77777777" w:rsidR="000F629B" w:rsidRPr="000F629B" w:rsidRDefault="000F629B" w:rsidP="000F629B">
            <w:proofErr w:type="spellStart"/>
            <w:proofErr w:type="gramStart"/>
            <w:r w:rsidRPr="000F629B">
              <w:rPr>
                <w:lang w:val="en-US"/>
              </w:rPr>
              <w:t>Cmax</w:t>
            </w:r>
            <w:proofErr w:type="spellEnd"/>
            <w:r w:rsidRPr="000F629B">
              <w:rPr>
                <w:lang w:val="en-US"/>
              </w:rPr>
              <w:t>:</w:t>
            </w:r>
            <w:r w:rsidRPr="000F629B">
              <w:t>↔</w:t>
            </w:r>
            <w:proofErr w:type="gramEnd"/>
          </w:p>
          <w:p w14:paraId="2141EE3D" w14:textId="77777777" w:rsidR="000F629B" w:rsidRDefault="000F629B" w:rsidP="000F629B">
            <w:pPr>
              <w:rPr>
                <w:lang w:val="en-US"/>
              </w:rPr>
            </w:pPr>
          </w:p>
          <w:p w14:paraId="4682883F" w14:textId="2F8876CA" w:rsidR="000F629B" w:rsidRPr="000F629B" w:rsidRDefault="000F629B" w:rsidP="000F629B">
            <w:r w:rsidRPr="000F629B">
              <w:rPr>
                <w:lang w:val="en-US"/>
              </w:rPr>
              <w:lastRenderedPageBreak/>
              <w:t>GS-3310072:</w:t>
            </w:r>
          </w:p>
          <w:p w14:paraId="0E1BB980" w14:textId="77777777" w:rsidR="000F629B" w:rsidRDefault="000F629B" w:rsidP="000F629B">
            <w:proofErr w:type="gramStart"/>
            <w:r w:rsidRPr="000F629B">
              <w:rPr>
                <w:lang w:val="en-US"/>
              </w:rPr>
              <w:t>AUC:</w:t>
            </w:r>
            <w:r w:rsidRPr="000F629B">
              <w:t>↔</w:t>
            </w:r>
            <w:proofErr w:type="gramEnd"/>
            <w:r w:rsidRPr="000F629B">
              <w:t xml:space="preserve"> </w:t>
            </w:r>
          </w:p>
          <w:p w14:paraId="4210974E" w14:textId="77777777" w:rsidR="000F629B" w:rsidRDefault="000F629B" w:rsidP="000F629B">
            <w:proofErr w:type="spellStart"/>
            <w:proofErr w:type="gramStart"/>
            <w:r w:rsidRPr="000F629B">
              <w:rPr>
                <w:lang w:val="en-US"/>
              </w:rPr>
              <w:t>Cmax</w:t>
            </w:r>
            <w:proofErr w:type="spellEnd"/>
            <w:r w:rsidRPr="000F629B">
              <w:rPr>
                <w:lang w:val="en-US"/>
              </w:rPr>
              <w:t>:</w:t>
            </w:r>
            <w:r w:rsidRPr="000F629B">
              <w:t>↔</w:t>
            </w:r>
            <w:proofErr w:type="gramEnd"/>
            <w:r w:rsidRPr="000F629B">
              <w:t xml:space="preserve"> </w:t>
            </w:r>
          </w:p>
          <w:p w14:paraId="5EB6441F" w14:textId="77777777" w:rsidR="000F629B" w:rsidRDefault="000F629B" w:rsidP="000F629B">
            <w:proofErr w:type="spellStart"/>
            <w:r w:rsidRPr="000F629B">
              <w:rPr>
                <w:lang w:val="en-US"/>
              </w:rPr>
              <w:t>Cmin</w:t>
            </w:r>
            <w:proofErr w:type="spellEnd"/>
            <w:r w:rsidRPr="000F629B">
              <w:rPr>
                <w:lang w:val="en-US"/>
              </w:rPr>
              <w:t xml:space="preserve">: </w:t>
            </w:r>
            <w:r w:rsidRPr="000F629B">
              <w:t xml:space="preserve">↔ </w:t>
            </w:r>
          </w:p>
          <w:p w14:paraId="35D6D89D" w14:textId="77777777" w:rsidR="000F629B" w:rsidRDefault="000F629B" w:rsidP="000F629B"/>
          <w:p w14:paraId="67DB65E8" w14:textId="77777777" w:rsidR="000F629B" w:rsidRDefault="000F629B" w:rsidP="000F629B">
            <w:r w:rsidRPr="000F629B">
              <w:t xml:space="preserve">Велпатасвир: </w:t>
            </w:r>
          </w:p>
          <w:p w14:paraId="18B1AA43" w14:textId="0E40D295" w:rsidR="000F629B" w:rsidRPr="000F629B" w:rsidRDefault="000F629B" w:rsidP="000F629B">
            <w:proofErr w:type="gramStart"/>
            <w:r w:rsidRPr="000F629B">
              <w:rPr>
                <w:lang w:val="en-US"/>
              </w:rPr>
              <w:t>AUC:</w:t>
            </w:r>
            <w:r w:rsidRPr="000F629B">
              <w:t>↔</w:t>
            </w:r>
            <w:proofErr w:type="gramEnd"/>
          </w:p>
          <w:p w14:paraId="72DD89DA" w14:textId="77777777" w:rsidR="000F629B" w:rsidRPr="000F629B" w:rsidRDefault="000F629B" w:rsidP="000F629B">
            <w:proofErr w:type="spellStart"/>
            <w:proofErr w:type="gramStart"/>
            <w:r w:rsidRPr="000F629B">
              <w:rPr>
                <w:lang w:val="en-US"/>
              </w:rPr>
              <w:t>Cmax</w:t>
            </w:r>
            <w:proofErr w:type="spellEnd"/>
            <w:r w:rsidRPr="000F629B">
              <w:rPr>
                <w:lang w:val="en-US"/>
              </w:rPr>
              <w:t>:</w:t>
            </w:r>
            <w:r w:rsidRPr="000F629B">
              <w:t>↔</w:t>
            </w:r>
            <w:proofErr w:type="gramEnd"/>
          </w:p>
          <w:p w14:paraId="37FE7545" w14:textId="77777777" w:rsidR="000F629B" w:rsidRPr="000F629B" w:rsidRDefault="000F629B" w:rsidP="000F629B">
            <w:proofErr w:type="spellStart"/>
            <w:r w:rsidRPr="000F629B">
              <w:rPr>
                <w:lang w:val="en-US"/>
              </w:rPr>
              <w:t>Cmin</w:t>
            </w:r>
            <w:proofErr w:type="spellEnd"/>
            <w:r w:rsidRPr="000F629B">
              <w:rPr>
                <w:lang w:val="en-US"/>
              </w:rPr>
              <w:t xml:space="preserve">: </w:t>
            </w:r>
            <w:r w:rsidRPr="000F629B">
              <w:t>↔</w:t>
            </w:r>
          </w:p>
          <w:p w14:paraId="727626F1" w14:textId="77777777" w:rsidR="000F629B" w:rsidRDefault="000F629B" w:rsidP="000F629B"/>
          <w:p w14:paraId="355B4851" w14:textId="77777777" w:rsidR="000F629B" w:rsidRDefault="000F629B" w:rsidP="000F629B">
            <w:r w:rsidRPr="000F629B">
              <w:t xml:space="preserve">Емтрицитабин: </w:t>
            </w:r>
          </w:p>
          <w:p w14:paraId="37E5A252" w14:textId="39C0D294" w:rsidR="000F629B" w:rsidRPr="000F629B" w:rsidRDefault="000F629B" w:rsidP="000F629B">
            <w:proofErr w:type="gramStart"/>
            <w:r w:rsidRPr="000F629B">
              <w:rPr>
                <w:lang w:val="en-US"/>
              </w:rPr>
              <w:t>AUC:</w:t>
            </w:r>
            <w:r w:rsidRPr="000F629B">
              <w:t>↔</w:t>
            </w:r>
            <w:proofErr w:type="gramEnd"/>
          </w:p>
          <w:p w14:paraId="2550C422"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 xml:space="preserve"> </w:t>
            </w:r>
          </w:p>
          <w:p w14:paraId="40AEF97C" w14:textId="77777777" w:rsidR="000F629B" w:rsidRDefault="000F629B" w:rsidP="000F629B">
            <w:proofErr w:type="spellStart"/>
            <w:proofErr w:type="gramStart"/>
            <w:r w:rsidRPr="000F629B">
              <w:rPr>
                <w:lang w:val="en-US"/>
              </w:rPr>
              <w:t>Cmin</w:t>
            </w:r>
            <w:proofErr w:type="spellEnd"/>
            <w:r w:rsidRPr="000F629B">
              <w:rPr>
                <w:lang w:val="en-US"/>
              </w:rPr>
              <w:t>:</w:t>
            </w:r>
            <w:r w:rsidRPr="000F629B">
              <w:t>↔</w:t>
            </w:r>
            <w:proofErr w:type="gramEnd"/>
            <w:r w:rsidRPr="000F629B">
              <w:t xml:space="preserve"> </w:t>
            </w:r>
          </w:p>
          <w:p w14:paraId="5F85DD3A" w14:textId="77777777" w:rsidR="000F629B" w:rsidRDefault="000F629B" w:rsidP="000F629B"/>
          <w:p w14:paraId="60378FF9" w14:textId="77777777" w:rsidR="000F629B" w:rsidRDefault="000F629B" w:rsidP="000F629B">
            <w:r w:rsidRPr="000F629B">
              <w:t xml:space="preserve">Рилпивирин: </w:t>
            </w:r>
          </w:p>
          <w:p w14:paraId="31B6C7A6" w14:textId="77777777" w:rsidR="000F629B" w:rsidRDefault="000F629B" w:rsidP="000F629B">
            <w:pPr>
              <w:rPr>
                <w:lang w:val="en-US"/>
              </w:rPr>
            </w:pPr>
            <w:proofErr w:type="gramStart"/>
            <w:r w:rsidRPr="000F629B">
              <w:rPr>
                <w:lang w:val="en-US"/>
              </w:rPr>
              <w:t>AUC:</w:t>
            </w:r>
            <w:r w:rsidRPr="000F629B">
              <w:t>↔</w:t>
            </w:r>
            <w:proofErr w:type="gramEnd"/>
            <w:r w:rsidRPr="000F629B">
              <w:rPr>
                <w:lang w:val="en-US"/>
              </w:rPr>
              <w:t xml:space="preserve"> </w:t>
            </w:r>
          </w:p>
          <w:p w14:paraId="04E70193" w14:textId="77777777" w:rsidR="000F629B" w:rsidRDefault="000F629B" w:rsidP="000F629B">
            <w:proofErr w:type="spellStart"/>
            <w:r w:rsidRPr="000F629B">
              <w:rPr>
                <w:lang w:val="en-US"/>
              </w:rPr>
              <w:t>Cmax</w:t>
            </w:r>
            <w:proofErr w:type="spellEnd"/>
            <w:r w:rsidRPr="000F629B">
              <w:rPr>
                <w:lang w:val="en-US"/>
              </w:rPr>
              <w:t xml:space="preserve">: </w:t>
            </w:r>
            <w:r w:rsidRPr="000F629B">
              <w:t xml:space="preserve">↔ </w:t>
            </w:r>
          </w:p>
          <w:p w14:paraId="4009A0FE" w14:textId="77777777" w:rsidR="000F629B" w:rsidRDefault="000F629B" w:rsidP="000F629B">
            <w:proofErr w:type="spellStart"/>
            <w:proofErr w:type="gramStart"/>
            <w:r w:rsidRPr="000F629B">
              <w:rPr>
                <w:lang w:val="en-US"/>
              </w:rPr>
              <w:t>Cmin</w:t>
            </w:r>
            <w:proofErr w:type="spellEnd"/>
            <w:r w:rsidRPr="000F629B">
              <w:rPr>
                <w:lang w:val="en-US"/>
              </w:rPr>
              <w:t>:</w:t>
            </w:r>
            <w:r w:rsidRPr="000F629B">
              <w:t>↔</w:t>
            </w:r>
            <w:proofErr w:type="gramEnd"/>
            <w:r w:rsidRPr="000F629B">
              <w:t xml:space="preserve"> </w:t>
            </w:r>
          </w:p>
          <w:p w14:paraId="4C6B3E2F" w14:textId="77777777" w:rsidR="000F629B" w:rsidRDefault="000F629B" w:rsidP="000F629B">
            <w:r w:rsidRPr="000F629B">
              <w:t xml:space="preserve">Тенофовир: </w:t>
            </w:r>
          </w:p>
          <w:p w14:paraId="53C589FB" w14:textId="77777777" w:rsidR="000F629B" w:rsidRDefault="000F629B" w:rsidP="000F629B">
            <w:pPr>
              <w:rPr>
                <w:lang w:val="en-US"/>
              </w:rPr>
            </w:pPr>
            <w:r w:rsidRPr="000F629B">
              <w:rPr>
                <w:lang w:val="en-US"/>
              </w:rPr>
              <w:t xml:space="preserve">AUC: </w:t>
            </w:r>
            <w:r w:rsidRPr="000F629B">
              <w:t>↑</w:t>
            </w:r>
            <w:r w:rsidRPr="000F629B">
              <w:rPr>
                <w:lang w:val="en-US"/>
              </w:rPr>
              <w:t xml:space="preserve"> 40% </w:t>
            </w:r>
          </w:p>
          <w:p w14:paraId="4F8C49DB" w14:textId="77777777" w:rsidR="000F629B" w:rsidRDefault="000F629B" w:rsidP="000F629B">
            <w:pPr>
              <w:rPr>
                <w:lang w:val="en-US"/>
              </w:rPr>
            </w:pPr>
            <w:proofErr w:type="spellStart"/>
            <w:r w:rsidRPr="000F629B">
              <w:rPr>
                <w:lang w:val="en-US"/>
              </w:rPr>
              <w:t>Cmax</w:t>
            </w:r>
            <w:proofErr w:type="spellEnd"/>
            <w:r w:rsidRPr="000F629B">
              <w:rPr>
                <w:lang w:val="en-US"/>
              </w:rPr>
              <w:t xml:space="preserve">: </w:t>
            </w:r>
            <w:r w:rsidRPr="000F629B">
              <w:t>↑</w:t>
            </w:r>
            <w:r w:rsidRPr="000F629B">
              <w:rPr>
                <w:lang w:val="en-US"/>
              </w:rPr>
              <w:t>44%</w:t>
            </w:r>
          </w:p>
          <w:p w14:paraId="5D826A16" w14:textId="28F433B7" w:rsidR="000F629B" w:rsidRPr="000F629B" w:rsidRDefault="000F629B" w:rsidP="000F629B">
            <w:pPr>
              <w:rPr>
                <w:rFonts w:cs="Arial"/>
              </w:rPr>
            </w:pPr>
            <w:r>
              <w:t xml:space="preserve">Cmin: ↑ </w:t>
            </w:r>
            <w:r>
              <w:rPr>
                <w:lang w:eastAsia="bg-BG"/>
              </w:rPr>
              <w:t>84%</w:t>
            </w:r>
          </w:p>
        </w:tc>
        <w:tc>
          <w:tcPr>
            <w:tcW w:w="3167" w:type="dxa"/>
            <w:vAlign w:val="bottom"/>
          </w:tcPr>
          <w:p w14:paraId="78677AC5" w14:textId="77777777" w:rsidR="000F629B" w:rsidRPr="000F629B" w:rsidRDefault="000F629B" w:rsidP="000F629B">
            <w:r w:rsidRPr="000F629B">
              <w:rPr>
                <w:lang w:val="en-US"/>
              </w:rPr>
              <w:lastRenderedPageBreak/>
              <w:t xml:space="preserve">He </w:t>
            </w:r>
            <w:r w:rsidRPr="000F629B">
              <w:t xml:space="preserve">се препоръчва адаптиране на дозата. Повишената експозиция на тенофовир може да </w:t>
            </w:r>
            <w:r w:rsidRPr="000F629B">
              <w:lastRenderedPageBreak/>
              <w:t>потенциира нежелани</w:t>
            </w:r>
          </w:p>
          <w:p w14:paraId="34DDCB08" w14:textId="77777777" w:rsidR="000F629B" w:rsidRPr="000F629B" w:rsidRDefault="000F629B" w:rsidP="000F629B">
            <w:r w:rsidRPr="000F629B">
              <w:t>реакции, които са свързани с</w:t>
            </w:r>
          </w:p>
          <w:p w14:paraId="3BC2C84D" w14:textId="77777777" w:rsidR="000F629B" w:rsidRPr="000F629B" w:rsidRDefault="000F629B" w:rsidP="000F629B">
            <w:r w:rsidRPr="000F629B">
              <w:t>тенофовир дизопроксил, включително бъбречни увреждания. Бъбречната функция трябва да се наблюдава стриктно (вижте точка 4.4).</w:t>
            </w:r>
          </w:p>
          <w:p w14:paraId="3A8AF602" w14:textId="77777777" w:rsidR="000F629B" w:rsidRPr="000F629B" w:rsidRDefault="000F629B" w:rsidP="000F629B">
            <w:r w:rsidRPr="000F629B">
              <w:t xml:space="preserve">Софосбувир/Велпатасвир/ Воксилапревир (400 </w:t>
            </w:r>
            <w:r w:rsidRPr="000F629B">
              <w:rPr>
                <w:lang w:val="en-US"/>
              </w:rPr>
              <w:t>mg/</w:t>
            </w:r>
            <w:r w:rsidRPr="000F629B">
              <w:t xml:space="preserve">100 </w:t>
            </w:r>
            <w:r w:rsidRPr="000F629B">
              <w:rPr>
                <w:lang w:val="en-US"/>
              </w:rPr>
              <w:t>mg/</w:t>
            </w:r>
          </w:p>
          <w:p w14:paraId="000C81DF" w14:textId="77777777" w:rsidR="000F629B" w:rsidRPr="000F629B" w:rsidRDefault="000F629B" w:rsidP="000F629B">
            <w:r w:rsidRPr="000F629B">
              <w:t xml:space="preserve">100 </w:t>
            </w:r>
            <w:r w:rsidRPr="000F629B">
              <w:rPr>
                <w:lang w:val="en-US"/>
              </w:rPr>
              <w:t>mg+</w:t>
            </w:r>
            <w:r w:rsidRPr="000F629B">
              <w:t xml:space="preserve">100 </w:t>
            </w:r>
            <w:r w:rsidRPr="000F629B">
              <w:rPr>
                <w:lang w:val="en-US"/>
              </w:rPr>
              <w:t xml:space="preserve">mg </w:t>
            </w:r>
            <w:proofErr w:type="spellStart"/>
            <w:r w:rsidRPr="000F629B">
              <w:rPr>
                <w:lang w:val="en-US"/>
              </w:rPr>
              <w:t>q.d</w:t>
            </w:r>
            <w:proofErr w:type="spellEnd"/>
            <w:r w:rsidRPr="000F629B">
              <w:rPr>
                <w:lang w:val="en-US"/>
              </w:rPr>
              <w:t>.)3 +</w:t>
            </w:r>
          </w:p>
          <w:p w14:paraId="7ADF0500" w14:textId="77777777" w:rsidR="000F629B" w:rsidRPr="000F629B" w:rsidRDefault="000F629B" w:rsidP="000F629B">
            <w:r w:rsidRPr="000F629B">
              <w:t>Дарунавир</w:t>
            </w:r>
          </w:p>
          <w:p w14:paraId="58CFCBA8" w14:textId="77777777" w:rsidR="000F629B" w:rsidRPr="000F629B" w:rsidRDefault="000F629B" w:rsidP="000F629B">
            <w:r w:rsidRPr="000F629B">
              <w:t xml:space="preserve">(800 </w:t>
            </w:r>
            <w:r w:rsidRPr="000F629B">
              <w:rPr>
                <w:lang w:val="en-US"/>
              </w:rPr>
              <w:t xml:space="preserve">mg </w:t>
            </w:r>
            <w:proofErr w:type="spellStart"/>
            <w:r w:rsidRPr="000F629B">
              <w:rPr>
                <w:lang w:val="en-US"/>
              </w:rPr>
              <w:t>q.d</w:t>
            </w:r>
            <w:proofErr w:type="spellEnd"/>
            <w:r w:rsidRPr="000F629B">
              <w:rPr>
                <w:lang w:val="en-US"/>
              </w:rPr>
              <w:t xml:space="preserve">) + </w:t>
            </w:r>
            <w:r w:rsidRPr="000F629B">
              <w:t xml:space="preserve">Ритонавир </w:t>
            </w:r>
            <w:r w:rsidRPr="000F629B">
              <w:rPr>
                <w:lang w:val="en-US"/>
              </w:rPr>
              <w:t>(100 mg</w:t>
            </w:r>
          </w:p>
          <w:p w14:paraId="56D6FCA8" w14:textId="77777777" w:rsidR="000F629B" w:rsidRDefault="000F629B" w:rsidP="000F629B">
            <w:pPr>
              <w:rPr>
                <w:lang w:val="en-US"/>
              </w:rPr>
            </w:pPr>
            <w:proofErr w:type="spellStart"/>
            <w:r w:rsidRPr="000F629B">
              <w:rPr>
                <w:lang w:val="en-US"/>
              </w:rPr>
              <w:t>q.d</w:t>
            </w:r>
            <w:proofErr w:type="spellEnd"/>
            <w:r w:rsidRPr="000F629B">
              <w:rPr>
                <w:lang w:val="en-US"/>
              </w:rPr>
              <w:t>.) +</w:t>
            </w:r>
          </w:p>
          <w:p w14:paraId="1F8DA6F8" w14:textId="68170991" w:rsidR="000F629B" w:rsidRPr="000F629B" w:rsidRDefault="000F629B" w:rsidP="000F629B">
            <w:pPr>
              <w:rPr>
                <w:sz w:val="24"/>
                <w:szCs w:val="24"/>
                <w:lang w:eastAsia="bg-BG"/>
              </w:rPr>
            </w:pPr>
            <w:r w:rsidRPr="000F629B">
              <w:rPr>
                <w:lang w:eastAsia="bg-BG"/>
              </w:rPr>
              <w:t xml:space="preserve">Емтрицитабин/Тенофовир дозопроксил (200 </w:t>
            </w:r>
            <w:r w:rsidRPr="000F629B">
              <w:rPr>
                <w:lang w:val="en-US"/>
              </w:rPr>
              <w:t xml:space="preserve">mg/245 mg </w:t>
            </w:r>
            <w:proofErr w:type="spellStart"/>
            <w:r w:rsidRPr="000F629B">
              <w:rPr>
                <w:lang w:val="en-US"/>
              </w:rPr>
              <w:t>q.d</w:t>
            </w:r>
            <w:proofErr w:type="spellEnd"/>
            <w:r w:rsidRPr="000F629B">
              <w:rPr>
                <w:lang w:val="en-US"/>
              </w:rPr>
              <w:t>.)</w:t>
            </w:r>
          </w:p>
          <w:p w14:paraId="184B3F34" w14:textId="77777777" w:rsidR="000F629B" w:rsidRPr="000F629B" w:rsidRDefault="000F629B" w:rsidP="000F629B">
            <w:pPr>
              <w:rPr>
                <w:sz w:val="24"/>
                <w:szCs w:val="24"/>
                <w:lang w:eastAsia="bg-BG"/>
              </w:rPr>
            </w:pPr>
            <w:r w:rsidRPr="000F629B">
              <w:rPr>
                <w:lang w:eastAsia="bg-BG"/>
              </w:rPr>
              <w:t>Софосбувир:</w:t>
            </w:r>
          </w:p>
          <w:p w14:paraId="6F2CB34B" w14:textId="2B1F3A94" w:rsidR="000F629B" w:rsidRPr="000F629B" w:rsidRDefault="000F629B" w:rsidP="000F629B">
            <w:pPr>
              <w:rPr>
                <w:sz w:val="24"/>
                <w:szCs w:val="24"/>
                <w:lang w:eastAsia="bg-BG"/>
              </w:rPr>
            </w:pPr>
            <w:r w:rsidRPr="000F629B">
              <w:rPr>
                <w:lang w:val="en-US"/>
              </w:rPr>
              <w:t>AUC:</w:t>
            </w:r>
          </w:p>
        </w:tc>
      </w:tr>
      <w:tr w:rsidR="000F629B" w14:paraId="05240E17" w14:textId="77777777" w:rsidTr="000F629B">
        <w:tc>
          <w:tcPr>
            <w:tcW w:w="3166" w:type="dxa"/>
          </w:tcPr>
          <w:p w14:paraId="50ADD81C" w14:textId="77777777" w:rsidR="000F629B" w:rsidRPr="000F629B" w:rsidRDefault="000F629B" w:rsidP="000F629B">
            <w:r w:rsidRPr="000F629B">
              <w:lastRenderedPageBreak/>
              <w:t xml:space="preserve">Софосбувир/Велпатасвир/ Воксилапревир (400 </w:t>
            </w:r>
            <w:r w:rsidRPr="000F629B">
              <w:rPr>
                <w:lang w:val="en-US"/>
              </w:rPr>
              <w:t>mg/</w:t>
            </w:r>
            <w:r w:rsidRPr="000F629B">
              <w:t xml:space="preserve">100 </w:t>
            </w:r>
            <w:r w:rsidRPr="000F629B">
              <w:rPr>
                <w:lang w:val="en-US"/>
              </w:rPr>
              <w:t>mg/</w:t>
            </w:r>
            <w:r w:rsidRPr="000F629B">
              <w:t xml:space="preserve">100 </w:t>
            </w:r>
            <w:r w:rsidRPr="000F629B">
              <w:rPr>
                <w:lang w:val="en-US"/>
              </w:rPr>
              <w:t xml:space="preserve">mg+100 mg </w:t>
            </w:r>
            <w:proofErr w:type="spellStart"/>
            <w:r w:rsidRPr="000F629B">
              <w:rPr>
                <w:lang w:val="en-US"/>
              </w:rPr>
              <w:t>q.d</w:t>
            </w:r>
            <w:proofErr w:type="spellEnd"/>
            <w:r w:rsidRPr="000F629B">
              <w:rPr>
                <w:lang w:val="en-US"/>
              </w:rPr>
              <w:t>.)3 +</w:t>
            </w:r>
          </w:p>
          <w:p w14:paraId="60CCDD75" w14:textId="38488FC7" w:rsidR="000F629B" w:rsidRPr="000F629B" w:rsidRDefault="000F629B" w:rsidP="000F629B">
            <w:pPr>
              <w:rPr>
                <w:rFonts w:cs="Arial"/>
              </w:rPr>
            </w:pPr>
            <w:r w:rsidRPr="000F629B">
              <w:t xml:space="preserve">Дарунавир </w:t>
            </w:r>
            <w:r w:rsidRPr="000F629B">
              <w:rPr>
                <w:lang w:val="en-US"/>
              </w:rPr>
              <w:t xml:space="preserve">(800 mg </w:t>
            </w:r>
            <w:proofErr w:type="spellStart"/>
            <w:r w:rsidRPr="000F629B">
              <w:rPr>
                <w:lang w:val="en-US"/>
              </w:rPr>
              <w:t>q.d</w:t>
            </w:r>
            <w:proofErr w:type="spellEnd"/>
            <w:r w:rsidRPr="000F629B">
              <w:rPr>
                <w:lang w:val="en-US"/>
              </w:rPr>
              <w:t xml:space="preserve">.) + </w:t>
            </w:r>
            <w:r w:rsidRPr="000F629B">
              <w:t xml:space="preserve">Ритонавир </w:t>
            </w:r>
            <w:r w:rsidRPr="000F629B">
              <w:rPr>
                <w:lang w:val="en-US"/>
              </w:rPr>
              <w:t xml:space="preserve">(100 mg </w:t>
            </w:r>
            <w:proofErr w:type="spellStart"/>
            <w:r w:rsidRPr="000F629B">
              <w:rPr>
                <w:lang w:val="en-US"/>
              </w:rPr>
              <w:t>q.d</w:t>
            </w:r>
            <w:proofErr w:type="spellEnd"/>
            <w:r w:rsidRPr="000F629B">
              <w:rPr>
                <w:lang w:val="en-US"/>
              </w:rPr>
              <w:t xml:space="preserve">.) + </w:t>
            </w:r>
            <w:r w:rsidRPr="000F629B">
              <w:t xml:space="preserve">Емтрицитабин /Тенофовир дозопроксил </w:t>
            </w:r>
            <w:r w:rsidRPr="000F629B">
              <w:rPr>
                <w:lang w:val="en-US"/>
              </w:rPr>
              <w:t xml:space="preserve">(200 mg/245 mg </w:t>
            </w:r>
            <w:proofErr w:type="spellStart"/>
            <w:r w:rsidRPr="000F629B">
              <w:rPr>
                <w:lang w:val="en-US"/>
              </w:rPr>
              <w:t>q.d</w:t>
            </w:r>
            <w:proofErr w:type="spellEnd"/>
            <w:r w:rsidRPr="000F629B">
              <w:rPr>
                <w:lang w:val="en-US"/>
              </w:rPr>
              <w:t>.)</w:t>
            </w:r>
          </w:p>
        </w:tc>
        <w:tc>
          <w:tcPr>
            <w:tcW w:w="3167" w:type="dxa"/>
            <w:vAlign w:val="bottom"/>
          </w:tcPr>
          <w:p w14:paraId="58D0DB9F" w14:textId="77777777" w:rsidR="000F629B" w:rsidRDefault="000F629B" w:rsidP="000F629B">
            <w:r w:rsidRPr="000F629B">
              <w:t xml:space="preserve">Софосбувир: </w:t>
            </w:r>
          </w:p>
          <w:p w14:paraId="3E6A939D" w14:textId="77777777" w:rsidR="000F629B" w:rsidRDefault="000F629B" w:rsidP="000F629B">
            <w:pPr>
              <w:rPr>
                <w:lang w:val="en-US"/>
              </w:rPr>
            </w:pPr>
            <w:r w:rsidRPr="000F629B">
              <w:rPr>
                <w:lang w:val="en-US"/>
              </w:rPr>
              <w:t xml:space="preserve">AUC: ↔ </w:t>
            </w:r>
          </w:p>
          <w:p w14:paraId="3B3B69A6" w14:textId="77777777" w:rsidR="000F629B" w:rsidRDefault="000F629B" w:rsidP="000F629B">
            <w:pPr>
              <w:rPr>
                <w:lang w:val="en-US"/>
              </w:rPr>
            </w:pPr>
            <w:proofErr w:type="spellStart"/>
            <w:r w:rsidRPr="000F629B">
              <w:rPr>
                <w:lang w:val="en-US"/>
              </w:rPr>
              <w:t>Cmax</w:t>
            </w:r>
            <w:proofErr w:type="spellEnd"/>
            <w:r w:rsidRPr="000F629B">
              <w:rPr>
                <w:lang w:val="en-US"/>
              </w:rPr>
              <w:t xml:space="preserve">: ↓ 30% </w:t>
            </w:r>
          </w:p>
          <w:p w14:paraId="487BC9DE" w14:textId="77777777" w:rsidR="000F629B" w:rsidRDefault="000F629B" w:rsidP="000F629B">
            <w:pPr>
              <w:rPr>
                <w:lang w:val="en-US"/>
              </w:rPr>
            </w:pPr>
            <w:proofErr w:type="spellStart"/>
            <w:r w:rsidRPr="000F629B">
              <w:rPr>
                <w:lang w:val="en-US"/>
              </w:rPr>
              <w:t>Cmin</w:t>
            </w:r>
            <w:proofErr w:type="spellEnd"/>
            <w:r w:rsidRPr="000F629B">
              <w:rPr>
                <w:lang w:val="en-US"/>
              </w:rPr>
              <w:t xml:space="preserve">: N/A </w:t>
            </w:r>
          </w:p>
          <w:p w14:paraId="19E121F1" w14:textId="77777777" w:rsidR="000F629B" w:rsidRDefault="000F629B" w:rsidP="000F629B">
            <w:pPr>
              <w:rPr>
                <w:lang w:val="en-US"/>
              </w:rPr>
            </w:pPr>
          </w:p>
          <w:p w14:paraId="648D4A92" w14:textId="77777777" w:rsidR="000F629B" w:rsidRDefault="000F629B" w:rsidP="000F629B">
            <w:pPr>
              <w:rPr>
                <w:lang w:val="en-US"/>
              </w:rPr>
            </w:pPr>
            <w:r w:rsidRPr="000F629B">
              <w:rPr>
                <w:lang w:val="en-US"/>
              </w:rPr>
              <w:t xml:space="preserve">GS-3310072: </w:t>
            </w:r>
          </w:p>
          <w:p w14:paraId="19439B08" w14:textId="77777777" w:rsidR="000F629B" w:rsidRDefault="000F629B" w:rsidP="000F629B">
            <w:pPr>
              <w:rPr>
                <w:lang w:val="en-US"/>
              </w:rPr>
            </w:pPr>
            <w:proofErr w:type="gramStart"/>
            <w:r w:rsidRPr="000F629B">
              <w:rPr>
                <w:lang w:val="en-US"/>
              </w:rPr>
              <w:t>AUC:↔</w:t>
            </w:r>
            <w:proofErr w:type="gramEnd"/>
            <w:r w:rsidRPr="000F629B">
              <w:rPr>
                <w:lang w:val="en-US"/>
              </w:rPr>
              <w:t xml:space="preserve"> </w:t>
            </w:r>
          </w:p>
          <w:p w14:paraId="643CFD5B" w14:textId="77777777" w:rsidR="000F629B" w:rsidRDefault="000F629B" w:rsidP="000F629B">
            <w:pPr>
              <w:rPr>
                <w:lang w:val="en-US"/>
              </w:rPr>
            </w:pPr>
            <w:proofErr w:type="spellStart"/>
            <w:proofErr w:type="gramStart"/>
            <w:r w:rsidRPr="000F629B">
              <w:rPr>
                <w:lang w:val="en-US"/>
              </w:rPr>
              <w:t>Cmax</w:t>
            </w:r>
            <w:proofErr w:type="spellEnd"/>
            <w:r w:rsidRPr="000F629B">
              <w:rPr>
                <w:lang w:val="en-US"/>
              </w:rPr>
              <w:t>:↔</w:t>
            </w:r>
            <w:proofErr w:type="gramEnd"/>
            <w:r w:rsidRPr="000F629B">
              <w:rPr>
                <w:lang w:val="en-US"/>
              </w:rPr>
              <w:t xml:space="preserve"> </w:t>
            </w:r>
          </w:p>
          <w:p w14:paraId="6517BE38" w14:textId="77777777" w:rsidR="000F629B" w:rsidRDefault="000F629B" w:rsidP="000F629B">
            <w:pPr>
              <w:rPr>
                <w:lang w:val="en-US"/>
              </w:rPr>
            </w:pPr>
            <w:proofErr w:type="spellStart"/>
            <w:r w:rsidRPr="000F629B">
              <w:rPr>
                <w:lang w:val="en-US"/>
              </w:rPr>
              <w:t>Cmin</w:t>
            </w:r>
            <w:proofErr w:type="spellEnd"/>
            <w:r w:rsidRPr="000F629B">
              <w:rPr>
                <w:lang w:val="en-US"/>
              </w:rPr>
              <w:t xml:space="preserve">: N/A </w:t>
            </w:r>
          </w:p>
          <w:p w14:paraId="42BE472D" w14:textId="77777777" w:rsidR="000F629B" w:rsidRDefault="000F629B" w:rsidP="000F629B"/>
          <w:p w14:paraId="34CC7786" w14:textId="77777777" w:rsidR="000F629B" w:rsidRDefault="000F629B" w:rsidP="000F629B">
            <w:r w:rsidRPr="000F629B">
              <w:t xml:space="preserve">Велпатасвир: </w:t>
            </w:r>
          </w:p>
          <w:p w14:paraId="09E3EF99" w14:textId="77777777" w:rsidR="000F629B" w:rsidRDefault="000F629B" w:rsidP="000F629B">
            <w:pPr>
              <w:rPr>
                <w:lang w:val="en-US"/>
              </w:rPr>
            </w:pPr>
            <w:proofErr w:type="gramStart"/>
            <w:r w:rsidRPr="000F629B">
              <w:rPr>
                <w:lang w:val="en-US"/>
              </w:rPr>
              <w:t>AUC:↔</w:t>
            </w:r>
            <w:proofErr w:type="gramEnd"/>
            <w:r w:rsidRPr="000F629B">
              <w:rPr>
                <w:lang w:val="en-US"/>
              </w:rPr>
              <w:t xml:space="preserve"> </w:t>
            </w:r>
          </w:p>
          <w:p w14:paraId="1C254293" w14:textId="77777777" w:rsidR="000F629B" w:rsidRDefault="000F629B" w:rsidP="000F629B">
            <w:pPr>
              <w:rPr>
                <w:lang w:val="en-US"/>
              </w:rPr>
            </w:pPr>
            <w:proofErr w:type="spellStart"/>
            <w:proofErr w:type="gramStart"/>
            <w:r w:rsidRPr="000F629B">
              <w:rPr>
                <w:lang w:val="en-US"/>
              </w:rPr>
              <w:t>Cmax</w:t>
            </w:r>
            <w:proofErr w:type="spellEnd"/>
            <w:r w:rsidRPr="000F629B">
              <w:rPr>
                <w:lang w:val="en-US"/>
              </w:rPr>
              <w:t>:↔</w:t>
            </w:r>
            <w:proofErr w:type="gramEnd"/>
            <w:r w:rsidRPr="000F629B">
              <w:rPr>
                <w:lang w:val="en-US"/>
              </w:rPr>
              <w:t xml:space="preserve"> </w:t>
            </w:r>
          </w:p>
          <w:p w14:paraId="52C08475" w14:textId="5C77BB05" w:rsidR="000F629B" w:rsidRPr="000F629B" w:rsidRDefault="000F629B" w:rsidP="000F629B">
            <w:proofErr w:type="spellStart"/>
            <w:r w:rsidRPr="000F629B">
              <w:rPr>
                <w:lang w:val="en-US"/>
              </w:rPr>
              <w:t>Cmin</w:t>
            </w:r>
            <w:proofErr w:type="spellEnd"/>
            <w:r w:rsidRPr="000F629B">
              <w:rPr>
                <w:lang w:val="en-US"/>
              </w:rPr>
              <w:t>: ↔</w:t>
            </w:r>
          </w:p>
          <w:p w14:paraId="59B83CB2" w14:textId="77777777" w:rsidR="000F629B" w:rsidRDefault="000F629B" w:rsidP="000F629B"/>
          <w:p w14:paraId="11FC5D66" w14:textId="77777777" w:rsidR="000F629B" w:rsidRDefault="000F629B" w:rsidP="000F629B">
            <w:r w:rsidRPr="000F629B">
              <w:t xml:space="preserve">Воксилапревир: </w:t>
            </w:r>
          </w:p>
          <w:p w14:paraId="6F05FE20" w14:textId="77777777" w:rsidR="000F629B" w:rsidRDefault="000F629B" w:rsidP="000F629B">
            <w:pPr>
              <w:rPr>
                <w:lang w:val="en-US"/>
              </w:rPr>
            </w:pPr>
            <w:r w:rsidRPr="000F629B">
              <w:rPr>
                <w:lang w:val="en-US"/>
              </w:rPr>
              <w:t xml:space="preserve">AUC: ↑143% </w:t>
            </w:r>
          </w:p>
          <w:p w14:paraId="2F44C0A9" w14:textId="77777777" w:rsidR="000F629B" w:rsidRDefault="000F629B" w:rsidP="000F629B">
            <w:pPr>
              <w:rPr>
                <w:lang w:val="en-US"/>
              </w:rPr>
            </w:pPr>
            <w:proofErr w:type="spellStart"/>
            <w:proofErr w:type="gramStart"/>
            <w:r w:rsidRPr="000F629B">
              <w:rPr>
                <w:lang w:val="en-US"/>
              </w:rPr>
              <w:t>Cmax</w:t>
            </w:r>
            <w:proofErr w:type="spellEnd"/>
            <w:r w:rsidRPr="000F629B">
              <w:rPr>
                <w:lang w:val="en-US"/>
              </w:rPr>
              <w:t>:↑</w:t>
            </w:r>
            <w:proofErr w:type="gramEnd"/>
            <w:r w:rsidRPr="000F629B">
              <w:rPr>
                <w:lang w:val="en-US"/>
              </w:rPr>
              <w:t xml:space="preserve"> 72% </w:t>
            </w:r>
          </w:p>
          <w:p w14:paraId="3F042380" w14:textId="77777777" w:rsidR="000F629B" w:rsidRDefault="000F629B" w:rsidP="000F629B">
            <w:pPr>
              <w:rPr>
                <w:lang w:val="en-US"/>
              </w:rPr>
            </w:pPr>
            <w:proofErr w:type="spellStart"/>
            <w:r w:rsidRPr="000F629B">
              <w:rPr>
                <w:lang w:val="en-US"/>
              </w:rPr>
              <w:t>Cmin</w:t>
            </w:r>
            <w:proofErr w:type="spellEnd"/>
            <w:r w:rsidRPr="000F629B">
              <w:rPr>
                <w:lang w:val="en-US"/>
              </w:rPr>
              <w:t xml:space="preserve">: ↑ 300% </w:t>
            </w:r>
          </w:p>
          <w:p w14:paraId="58CD2343" w14:textId="77777777" w:rsidR="000F629B" w:rsidRDefault="000F629B" w:rsidP="000F629B"/>
          <w:p w14:paraId="253A564F" w14:textId="77777777" w:rsidR="000F629B" w:rsidRDefault="000F629B" w:rsidP="000F629B">
            <w:r w:rsidRPr="000F629B">
              <w:t xml:space="preserve">Дарунавир: </w:t>
            </w:r>
          </w:p>
          <w:p w14:paraId="3EA65B10" w14:textId="50CEB674" w:rsidR="000F629B" w:rsidRPr="000F629B" w:rsidRDefault="000F629B" w:rsidP="000F629B">
            <w:proofErr w:type="gramStart"/>
            <w:r w:rsidRPr="000F629B">
              <w:rPr>
                <w:lang w:val="en-US"/>
              </w:rPr>
              <w:t>AUC:↔</w:t>
            </w:r>
            <w:proofErr w:type="gramEnd"/>
          </w:p>
          <w:p w14:paraId="12DE3D4F" w14:textId="77777777" w:rsidR="000F629B" w:rsidRDefault="000F629B" w:rsidP="000F629B">
            <w:pPr>
              <w:rPr>
                <w:lang w:val="en-US"/>
              </w:rPr>
            </w:pPr>
            <w:proofErr w:type="spellStart"/>
            <w:r w:rsidRPr="000F629B">
              <w:rPr>
                <w:lang w:val="en-US"/>
              </w:rPr>
              <w:t>Cmax</w:t>
            </w:r>
            <w:proofErr w:type="spellEnd"/>
            <w:r w:rsidRPr="000F629B">
              <w:rPr>
                <w:lang w:val="en-US"/>
              </w:rPr>
              <w:t xml:space="preserve">: ↔ </w:t>
            </w:r>
          </w:p>
          <w:p w14:paraId="0F00577F" w14:textId="4A0DEA31" w:rsidR="000F629B" w:rsidRPr="000F629B" w:rsidRDefault="000F629B" w:rsidP="000F629B">
            <w:proofErr w:type="spellStart"/>
            <w:r w:rsidRPr="000F629B">
              <w:rPr>
                <w:lang w:val="en-US"/>
              </w:rPr>
              <w:t>Cmin</w:t>
            </w:r>
            <w:proofErr w:type="spellEnd"/>
            <w:r w:rsidRPr="000F629B">
              <w:rPr>
                <w:lang w:val="en-US"/>
              </w:rPr>
              <w:t>: ↓ 34%</w:t>
            </w:r>
          </w:p>
          <w:p w14:paraId="7F428888" w14:textId="77777777" w:rsidR="000F629B" w:rsidRDefault="000F629B" w:rsidP="000F629B"/>
          <w:p w14:paraId="6C15BA01" w14:textId="77777777" w:rsidR="000F629B" w:rsidRDefault="000F629B" w:rsidP="000F629B">
            <w:r w:rsidRPr="000F629B">
              <w:t xml:space="preserve">Ритонавир: </w:t>
            </w:r>
          </w:p>
          <w:p w14:paraId="0C0331A3" w14:textId="77777777" w:rsidR="000F629B" w:rsidRDefault="000F629B" w:rsidP="000F629B">
            <w:pPr>
              <w:rPr>
                <w:lang w:val="en-US"/>
              </w:rPr>
            </w:pPr>
            <w:r w:rsidRPr="000F629B">
              <w:rPr>
                <w:lang w:val="en-US"/>
              </w:rPr>
              <w:t xml:space="preserve">AUC: ↑ 45% </w:t>
            </w:r>
          </w:p>
          <w:p w14:paraId="52299B72" w14:textId="77777777" w:rsidR="000F629B" w:rsidRDefault="000F629B" w:rsidP="000F629B">
            <w:pPr>
              <w:rPr>
                <w:lang w:val="en-US"/>
              </w:rPr>
            </w:pPr>
            <w:proofErr w:type="spellStart"/>
            <w:r w:rsidRPr="000F629B">
              <w:rPr>
                <w:lang w:val="en-US"/>
              </w:rPr>
              <w:t>Cmax</w:t>
            </w:r>
            <w:proofErr w:type="spellEnd"/>
            <w:r w:rsidRPr="000F629B">
              <w:rPr>
                <w:lang w:val="en-US"/>
              </w:rPr>
              <w:t xml:space="preserve">: ↑ 60% </w:t>
            </w:r>
          </w:p>
          <w:p w14:paraId="4983A781" w14:textId="77777777" w:rsidR="000F629B" w:rsidRDefault="000F629B" w:rsidP="000F629B">
            <w:pPr>
              <w:rPr>
                <w:lang w:val="en-US"/>
              </w:rPr>
            </w:pPr>
            <w:proofErr w:type="spellStart"/>
            <w:r w:rsidRPr="000F629B">
              <w:rPr>
                <w:lang w:val="en-US"/>
              </w:rPr>
              <w:t>Cmin</w:t>
            </w:r>
            <w:proofErr w:type="spellEnd"/>
            <w:r w:rsidRPr="000F629B">
              <w:rPr>
                <w:lang w:val="en-US"/>
              </w:rPr>
              <w:t xml:space="preserve">: ↔ </w:t>
            </w:r>
          </w:p>
          <w:p w14:paraId="401C22A6" w14:textId="77777777" w:rsidR="000F629B" w:rsidRDefault="000F629B" w:rsidP="000F629B"/>
          <w:p w14:paraId="0B5CD810" w14:textId="77777777" w:rsidR="000F629B" w:rsidRDefault="000F629B" w:rsidP="000F629B">
            <w:r w:rsidRPr="000F629B">
              <w:t xml:space="preserve">Емтрицитабин: </w:t>
            </w:r>
          </w:p>
          <w:p w14:paraId="4F597684" w14:textId="77777777" w:rsidR="000F629B" w:rsidRDefault="000F629B" w:rsidP="000F629B">
            <w:pPr>
              <w:rPr>
                <w:lang w:val="en-US"/>
              </w:rPr>
            </w:pPr>
            <w:proofErr w:type="gramStart"/>
            <w:r w:rsidRPr="000F629B">
              <w:rPr>
                <w:lang w:val="en-US"/>
              </w:rPr>
              <w:t>AUC:↔</w:t>
            </w:r>
            <w:proofErr w:type="gramEnd"/>
            <w:r w:rsidRPr="000F629B">
              <w:rPr>
                <w:lang w:val="en-US"/>
              </w:rPr>
              <w:t xml:space="preserve"> </w:t>
            </w:r>
          </w:p>
          <w:p w14:paraId="327812B6" w14:textId="77777777" w:rsidR="000F629B" w:rsidRDefault="000F629B" w:rsidP="000F629B">
            <w:pPr>
              <w:rPr>
                <w:lang w:val="en-US"/>
              </w:rPr>
            </w:pPr>
            <w:proofErr w:type="spellStart"/>
            <w:r w:rsidRPr="000F629B">
              <w:rPr>
                <w:lang w:val="en-US"/>
              </w:rPr>
              <w:t>Cmax</w:t>
            </w:r>
            <w:proofErr w:type="spellEnd"/>
            <w:r w:rsidRPr="000F629B">
              <w:rPr>
                <w:lang w:val="en-US"/>
              </w:rPr>
              <w:t xml:space="preserve">: ↔ </w:t>
            </w:r>
          </w:p>
          <w:p w14:paraId="1EA48810" w14:textId="77777777" w:rsidR="000F629B" w:rsidRDefault="000F629B" w:rsidP="000F629B">
            <w:pPr>
              <w:rPr>
                <w:lang w:val="en-US"/>
              </w:rPr>
            </w:pPr>
            <w:proofErr w:type="spellStart"/>
            <w:r w:rsidRPr="000F629B">
              <w:rPr>
                <w:lang w:val="en-US"/>
              </w:rPr>
              <w:t>Cmin</w:t>
            </w:r>
            <w:proofErr w:type="spellEnd"/>
            <w:r w:rsidRPr="000F629B">
              <w:rPr>
                <w:lang w:val="en-US"/>
              </w:rPr>
              <w:t xml:space="preserve">: ↔ </w:t>
            </w:r>
          </w:p>
          <w:p w14:paraId="2C510C06" w14:textId="77777777" w:rsidR="000F629B" w:rsidRDefault="000F629B" w:rsidP="000F629B"/>
          <w:p w14:paraId="0B5BE7E9" w14:textId="77777777" w:rsidR="000F629B" w:rsidRDefault="000F629B" w:rsidP="000F629B">
            <w:r w:rsidRPr="000F629B">
              <w:t xml:space="preserve">Тенофовир: </w:t>
            </w:r>
          </w:p>
          <w:p w14:paraId="2BCCED31" w14:textId="77777777" w:rsidR="000F629B" w:rsidRDefault="000F629B" w:rsidP="000F629B">
            <w:pPr>
              <w:rPr>
                <w:lang w:val="en-US"/>
              </w:rPr>
            </w:pPr>
            <w:r w:rsidRPr="000F629B">
              <w:rPr>
                <w:lang w:val="en-US"/>
              </w:rPr>
              <w:t xml:space="preserve">AUC: ↑ 39% </w:t>
            </w:r>
          </w:p>
          <w:p w14:paraId="7124D851" w14:textId="77777777" w:rsidR="000F629B" w:rsidRDefault="000F629B" w:rsidP="000F629B">
            <w:pPr>
              <w:rPr>
                <w:lang w:val="en-US"/>
              </w:rPr>
            </w:pPr>
            <w:proofErr w:type="spellStart"/>
            <w:r w:rsidRPr="000F629B">
              <w:rPr>
                <w:lang w:val="en-US"/>
              </w:rPr>
              <w:t>Cmax</w:t>
            </w:r>
            <w:proofErr w:type="spellEnd"/>
            <w:r w:rsidRPr="000F629B">
              <w:rPr>
                <w:lang w:val="en-US"/>
              </w:rPr>
              <w:t xml:space="preserve">: ↑ 48% </w:t>
            </w:r>
          </w:p>
          <w:p w14:paraId="2E58B9A8" w14:textId="6FB440BF" w:rsidR="000F629B" w:rsidRPr="000F629B" w:rsidRDefault="000F629B" w:rsidP="000F629B">
            <w:pPr>
              <w:rPr>
                <w:rFonts w:cs="Arial"/>
              </w:rPr>
            </w:pPr>
            <w:proofErr w:type="spellStart"/>
            <w:r w:rsidRPr="000F629B">
              <w:rPr>
                <w:lang w:val="en-US"/>
              </w:rPr>
              <w:t>Cmin</w:t>
            </w:r>
            <w:proofErr w:type="spellEnd"/>
            <w:r w:rsidRPr="000F629B">
              <w:rPr>
                <w:lang w:val="en-US"/>
              </w:rPr>
              <w:t>: ↑ 47%</w:t>
            </w:r>
          </w:p>
        </w:tc>
        <w:tc>
          <w:tcPr>
            <w:tcW w:w="3167" w:type="dxa"/>
            <w:vAlign w:val="center"/>
          </w:tcPr>
          <w:p w14:paraId="1D316818" w14:textId="77777777" w:rsidR="000F629B" w:rsidRPr="000F629B" w:rsidRDefault="000F629B" w:rsidP="000F629B">
            <w:r w:rsidRPr="000F629B">
              <w:lastRenderedPageBreak/>
              <w:t>Повишените плазмени концентрации на тенофовир в резултат на едновременното приложение на тенофовир дизопроксил, софосбувир/велпатасвир/ воксилапревир и дарунавир/ритонавир може да повишат нежеланите реакции, свързани с тенофовир дизопроксил, включително бъбречни увреждания.</w:t>
            </w:r>
          </w:p>
          <w:p w14:paraId="0B7334CB" w14:textId="77777777" w:rsidR="000F629B" w:rsidRPr="000F629B" w:rsidRDefault="000F629B" w:rsidP="000F629B">
            <w:r w:rsidRPr="000F629B">
              <w:t>Безопасността на тенофовир дизопроксил при прилагане със софосбувир/велпатасвир/ воксилапревир и фармакокинетичен енхансер (например ритонавир или кобицистат) не е установена.</w:t>
            </w:r>
          </w:p>
          <w:p w14:paraId="1CD727F1" w14:textId="5DBCFB94" w:rsidR="000F629B" w:rsidRPr="000F629B" w:rsidRDefault="000F629B" w:rsidP="000F629B">
            <w:pPr>
              <w:rPr>
                <w:rFonts w:cs="Arial"/>
              </w:rPr>
            </w:pPr>
            <w:r w:rsidRPr="000F629B">
              <w:t xml:space="preserve">Комбинацията трябва да се </w:t>
            </w:r>
            <w:r w:rsidRPr="000F629B">
              <w:lastRenderedPageBreak/>
              <w:t>използва с повишено внимание и често проследяване на бъбречната функция (вижте точка 4.4).</w:t>
            </w:r>
          </w:p>
        </w:tc>
      </w:tr>
      <w:tr w:rsidR="000F629B" w14:paraId="36E6A16B" w14:textId="77777777" w:rsidTr="000F629B">
        <w:tc>
          <w:tcPr>
            <w:tcW w:w="3166" w:type="dxa"/>
          </w:tcPr>
          <w:p w14:paraId="360C4092" w14:textId="77777777" w:rsidR="000F629B" w:rsidRPr="000F629B" w:rsidRDefault="000F629B" w:rsidP="000F629B">
            <w:r w:rsidRPr="000F629B">
              <w:lastRenderedPageBreak/>
              <w:t xml:space="preserve">Софосбувир </w:t>
            </w:r>
            <w:r w:rsidRPr="000F629B">
              <w:rPr>
                <w:lang w:val="en-US"/>
              </w:rPr>
              <w:t xml:space="preserve">(400 mg </w:t>
            </w:r>
            <w:proofErr w:type="spellStart"/>
            <w:r w:rsidRPr="000F629B">
              <w:rPr>
                <w:lang w:val="en-US"/>
              </w:rPr>
              <w:t>q.d</w:t>
            </w:r>
            <w:proofErr w:type="spellEnd"/>
            <w:r w:rsidRPr="000F629B">
              <w:rPr>
                <w:lang w:val="en-US"/>
              </w:rPr>
              <w:t xml:space="preserve">.) + </w:t>
            </w:r>
            <w:r w:rsidRPr="000F629B">
              <w:t>Ефавиренц/Емтрицитабин/ Тенофовир дизопроксил фумарат</w:t>
            </w:r>
          </w:p>
          <w:p w14:paraId="0F15F8C9" w14:textId="77777777" w:rsidR="000F629B" w:rsidRPr="000F629B" w:rsidRDefault="000F629B" w:rsidP="000F629B">
            <w:r w:rsidRPr="000F629B">
              <w:t xml:space="preserve">(600 </w:t>
            </w:r>
            <w:r w:rsidRPr="000F629B">
              <w:rPr>
                <w:lang w:val="en-US"/>
              </w:rPr>
              <w:t>mg/200 mg/300 mg</w:t>
            </w:r>
          </w:p>
          <w:p w14:paraId="533D2B0C" w14:textId="58F5DF08" w:rsidR="000F629B" w:rsidRPr="000F629B" w:rsidRDefault="000F629B" w:rsidP="000F629B">
            <w:pPr>
              <w:rPr>
                <w:rFonts w:cs="Arial"/>
              </w:rPr>
            </w:pPr>
            <w:proofErr w:type="spellStart"/>
            <w:r w:rsidRPr="000F629B">
              <w:rPr>
                <w:lang w:val="en-US"/>
              </w:rPr>
              <w:t>q.d</w:t>
            </w:r>
            <w:proofErr w:type="spellEnd"/>
            <w:r w:rsidRPr="000F629B">
              <w:rPr>
                <w:lang w:val="en-US"/>
              </w:rPr>
              <w:t>.)</w:t>
            </w:r>
          </w:p>
        </w:tc>
        <w:tc>
          <w:tcPr>
            <w:tcW w:w="3167" w:type="dxa"/>
            <w:vAlign w:val="bottom"/>
          </w:tcPr>
          <w:p w14:paraId="6B7A0F98" w14:textId="77777777" w:rsidR="000F629B" w:rsidRPr="000F629B" w:rsidRDefault="000F629B" w:rsidP="000F629B">
            <w:r w:rsidRPr="000F629B">
              <w:t>Софосбувир:</w:t>
            </w:r>
          </w:p>
          <w:p w14:paraId="201B1C32" w14:textId="77777777" w:rsidR="00AD2DB1" w:rsidRDefault="000F629B" w:rsidP="000F629B">
            <w:pPr>
              <w:rPr>
                <w:lang w:val="en-US"/>
              </w:rPr>
            </w:pPr>
            <w:proofErr w:type="gramStart"/>
            <w:r w:rsidRPr="000F629B">
              <w:rPr>
                <w:lang w:val="en-US"/>
              </w:rPr>
              <w:t>AUC:↔</w:t>
            </w:r>
            <w:proofErr w:type="gramEnd"/>
            <w:r w:rsidRPr="000F629B">
              <w:rPr>
                <w:lang w:val="en-US"/>
              </w:rPr>
              <w:t xml:space="preserve"> </w:t>
            </w:r>
          </w:p>
          <w:p w14:paraId="44B52451" w14:textId="22227CD1" w:rsidR="000F629B" w:rsidRPr="000F629B" w:rsidRDefault="000F629B" w:rsidP="000F629B">
            <w:proofErr w:type="spellStart"/>
            <w:r w:rsidRPr="000F629B">
              <w:rPr>
                <w:lang w:val="en-US"/>
              </w:rPr>
              <w:t>Cmax</w:t>
            </w:r>
            <w:proofErr w:type="spellEnd"/>
            <w:r w:rsidRPr="000F629B">
              <w:rPr>
                <w:lang w:val="en-US"/>
              </w:rPr>
              <w:t>: ↓, 19 %</w:t>
            </w:r>
          </w:p>
          <w:p w14:paraId="41DE6886" w14:textId="77777777" w:rsidR="00AD2DB1" w:rsidRDefault="00AD2DB1" w:rsidP="000F629B">
            <w:pPr>
              <w:rPr>
                <w:lang w:val="en-US"/>
              </w:rPr>
            </w:pPr>
          </w:p>
          <w:p w14:paraId="0D62D201" w14:textId="26CA81B3" w:rsidR="00AD2DB1" w:rsidRDefault="000F629B" w:rsidP="000F629B">
            <w:pPr>
              <w:rPr>
                <w:lang w:val="en-US"/>
              </w:rPr>
            </w:pPr>
            <w:r w:rsidRPr="000F629B">
              <w:rPr>
                <w:lang w:val="en-US"/>
              </w:rPr>
              <w:t>GS-331007</w:t>
            </w:r>
            <w:r w:rsidRPr="000F629B">
              <w:rPr>
                <w:vertAlign w:val="superscript"/>
                <w:lang w:val="en-US"/>
              </w:rPr>
              <w:t>2</w:t>
            </w:r>
            <w:r w:rsidRPr="000F629B">
              <w:rPr>
                <w:lang w:val="en-US"/>
              </w:rPr>
              <w:t xml:space="preserve">: </w:t>
            </w:r>
          </w:p>
          <w:p w14:paraId="743F190E" w14:textId="4B155B77" w:rsidR="000F629B" w:rsidRPr="000F629B" w:rsidRDefault="000F629B" w:rsidP="000F629B">
            <w:proofErr w:type="gramStart"/>
            <w:r w:rsidRPr="000F629B">
              <w:rPr>
                <w:lang w:val="en-US"/>
              </w:rPr>
              <w:t>AUC:↔</w:t>
            </w:r>
            <w:proofErr w:type="gramEnd"/>
          </w:p>
          <w:p w14:paraId="33B121ED" w14:textId="77777777" w:rsidR="000F629B" w:rsidRPr="000F629B" w:rsidRDefault="000F629B" w:rsidP="000F629B">
            <w:proofErr w:type="spellStart"/>
            <w:r w:rsidRPr="000F629B">
              <w:rPr>
                <w:lang w:val="en-US"/>
              </w:rPr>
              <w:t>Cmax</w:t>
            </w:r>
            <w:proofErr w:type="spellEnd"/>
            <w:r w:rsidRPr="000F629B">
              <w:rPr>
                <w:lang w:val="en-US"/>
              </w:rPr>
              <w:t>: ↓ 23 %</w:t>
            </w:r>
          </w:p>
          <w:p w14:paraId="5B93A0D5" w14:textId="77777777" w:rsidR="00AD2DB1" w:rsidRDefault="00AD2DB1" w:rsidP="000F629B"/>
          <w:p w14:paraId="65A4CFBC" w14:textId="77777777" w:rsidR="00AD2DB1" w:rsidRDefault="000F629B" w:rsidP="000F629B">
            <w:r w:rsidRPr="000F629B">
              <w:t xml:space="preserve">Ефавиренц: </w:t>
            </w:r>
          </w:p>
          <w:p w14:paraId="2D6F540B" w14:textId="498DF2B4" w:rsidR="000F629B" w:rsidRPr="000F629B" w:rsidRDefault="000F629B" w:rsidP="000F629B">
            <w:proofErr w:type="gramStart"/>
            <w:r w:rsidRPr="000F629B">
              <w:rPr>
                <w:lang w:val="en-US"/>
              </w:rPr>
              <w:t>AUC:↔</w:t>
            </w:r>
            <w:proofErr w:type="gramEnd"/>
          </w:p>
          <w:p w14:paraId="7FD6DA30" w14:textId="77777777" w:rsidR="00AD2DB1" w:rsidRDefault="000F629B" w:rsidP="000F629B">
            <w:pPr>
              <w:rPr>
                <w:lang w:val="en-US"/>
              </w:rPr>
            </w:pPr>
            <w:proofErr w:type="spellStart"/>
            <w:r w:rsidRPr="000F629B">
              <w:rPr>
                <w:lang w:val="en-US"/>
              </w:rPr>
              <w:t>Cmax</w:t>
            </w:r>
            <w:proofErr w:type="spellEnd"/>
            <w:r w:rsidRPr="000F629B">
              <w:rPr>
                <w:lang w:val="en-US"/>
              </w:rPr>
              <w:t xml:space="preserve">: ↔ </w:t>
            </w:r>
          </w:p>
          <w:p w14:paraId="22F806C2" w14:textId="7EC25229" w:rsidR="000F629B" w:rsidRPr="000F629B" w:rsidRDefault="000F629B" w:rsidP="000F629B">
            <w:proofErr w:type="spellStart"/>
            <w:r w:rsidRPr="000F629B">
              <w:rPr>
                <w:lang w:val="en-US"/>
              </w:rPr>
              <w:t>Cmin</w:t>
            </w:r>
            <w:proofErr w:type="spellEnd"/>
            <w:r w:rsidRPr="000F629B">
              <w:rPr>
                <w:lang w:val="en-US"/>
              </w:rPr>
              <w:t>: ↔</w:t>
            </w:r>
          </w:p>
          <w:p w14:paraId="16055516" w14:textId="77777777" w:rsidR="00AD2DB1" w:rsidRDefault="00AD2DB1" w:rsidP="000F629B"/>
          <w:p w14:paraId="2028155F" w14:textId="707D67D5" w:rsidR="000F629B" w:rsidRPr="000F629B" w:rsidRDefault="000F629B" w:rsidP="000F629B">
            <w:r w:rsidRPr="000F629B">
              <w:t>Емтрицитабин:</w:t>
            </w:r>
          </w:p>
          <w:p w14:paraId="759F22EB" w14:textId="77777777" w:rsidR="000F629B" w:rsidRDefault="000F629B" w:rsidP="000F629B">
            <w:pPr>
              <w:rPr>
                <w:lang w:val="en-US"/>
              </w:rPr>
            </w:pPr>
            <w:proofErr w:type="gramStart"/>
            <w:r w:rsidRPr="000F629B">
              <w:rPr>
                <w:lang w:val="en-US"/>
              </w:rPr>
              <w:t>AUC:↔</w:t>
            </w:r>
            <w:proofErr w:type="gramEnd"/>
          </w:p>
          <w:p w14:paraId="578FDC6D" w14:textId="77777777" w:rsidR="00AD2DB1" w:rsidRDefault="00AD2DB1" w:rsidP="00AD2DB1">
            <w:pPr>
              <w:spacing w:line="240" w:lineRule="auto"/>
              <w:rPr>
                <w:rFonts w:eastAsia="Times New Roman" w:cs="Arial"/>
                <w:color w:val="000000"/>
                <w:lang w:val="en-US"/>
              </w:rPr>
            </w:pPr>
            <w:proofErr w:type="spellStart"/>
            <w:r w:rsidRPr="00AD2DB1">
              <w:rPr>
                <w:rFonts w:eastAsia="Times New Roman" w:cs="Arial"/>
                <w:color w:val="000000"/>
                <w:lang w:val="en-US"/>
              </w:rPr>
              <w:t>Cmax</w:t>
            </w:r>
            <w:proofErr w:type="spellEnd"/>
            <w:r w:rsidRPr="00AD2DB1">
              <w:rPr>
                <w:rFonts w:eastAsia="Times New Roman" w:cs="Arial"/>
                <w:color w:val="000000"/>
                <w:lang w:val="en-US"/>
              </w:rPr>
              <w:t xml:space="preserve">: ↔ </w:t>
            </w:r>
          </w:p>
          <w:p w14:paraId="69B535FA" w14:textId="6B708AF5" w:rsidR="00AD2DB1" w:rsidRPr="00AD2DB1" w:rsidRDefault="00AD2DB1" w:rsidP="00AD2DB1">
            <w:pPr>
              <w:spacing w:line="240" w:lineRule="auto"/>
              <w:rPr>
                <w:rFonts w:eastAsia="Times New Roman" w:cs="Arial"/>
                <w:lang w:val="en-US" w:eastAsia="bg-BG"/>
              </w:rPr>
            </w:pPr>
            <w:proofErr w:type="spellStart"/>
            <w:proofErr w:type="gramStart"/>
            <w:r w:rsidRPr="00AD2DB1">
              <w:rPr>
                <w:rFonts w:eastAsia="Times New Roman" w:cs="Arial"/>
                <w:color w:val="000000"/>
                <w:lang w:val="en-US"/>
              </w:rPr>
              <w:t>Cmin</w:t>
            </w:r>
            <w:proofErr w:type="spellEnd"/>
            <w:r w:rsidRPr="00AD2DB1">
              <w:rPr>
                <w:rFonts w:eastAsia="Times New Roman" w:cs="Arial"/>
                <w:color w:val="000000"/>
                <w:lang w:val="en-US"/>
              </w:rPr>
              <w:t>:↔</w:t>
            </w:r>
            <w:proofErr w:type="gramEnd"/>
          </w:p>
          <w:p w14:paraId="6686C186" w14:textId="77777777" w:rsidR="00AD2DB1" w:rsidRDefault="00AD2DB1" w:rsidP="00AD2DB1">
            <w:pPr>
              <w:rPr>
                <w:rFonts w:eastAsia="Times New Roman" w:cs="Arial"/>
                <w:color w:val="000000"/>
                <w:lang w:eastAsia="bg-BG"/>
              </w:rPr>
            </w:pPr>
          </w:p>
          <w:p w14:paraId="59E5C33D" w14:textId="77777777" w:rsidR="00AD2DB1" w:rsidRDefault="00AD2DB1" w:rsidP="00AD2DB1">
            <w:pPr>
              <w:rPr>
                <w:rFonts w:eastAsia="Times New Roman" w:cs="Arial"/>
                <w:color w:val="000000"/>
                <w:lang w:eastAsia="bg-BG"/>
              </w:rPr>
            </w:pPr>
            <w:r w:rsidRPr="00AD2DB1">
              <w:rPr>
                <w:rFonts w:eastAsia="Times New Roman" w:cs="Arial"/>
                <w:color w:val="000000"/>
                <w:lang w:eastAsia="bg-BG"/>
              </w:rPr>
              <w:t xml:space="preserve">Тенофовир: </w:t>
            </w:r>
          </w:p>
          <w:p w14:paraId="6B2C1AE0" w14:textId="77777777" w:rsidR="00AD2DB1" w:rsidRDefault="00AD2DB1" w:rsidP="00AD2DB1">
            <w:pPr>
              <w:rPr>
                <w:rFonts w:eastAsia="Times New Roman" w:cs="Arial"/>
                <w:color w:val="000000"/>
                <w:lang w:val="en-US"/>
              </w:rPr>
            </w:pPr>
            <w:r w:rsidRPr="00AD2DB1">
              <w:rPr>
                <w:rFonts w:eastAsia="Times New Roman" w:cs="Arial"/>
                <w:color w:val="000000"/>
                <w:lang w:val="en-US"/>
              </w:rPr>
              <w:t xml:space="preserve">AUC: ↔ </w:t>
            </w:r>
          </w:p>
          <w:p w14:paraId="7AEE09FB" w14:textId="77777777" w:rsidR="00AD2DB1" w:rsidRDefault="00AD2DB1" w:rsidP="00AD2DB1">
            <w:pPr>
              <w:rPr>
                <w:rFonts w:eastAsia="Times New Roman" w:cs="Arial"/>
                <w:color w:val="000000"/>
                <w:lang w:val="en-US"/>
              </w:rPr>
            </w:pPr>
            <w:proofErr w:type="spellStart"/>
            <w:r w:rsidRPr="00AD2DB1">
              <w:rPr>
                <w:rFonts w:eastAsia="Times New Roman" w:cs="Arial"/>
                <w:color w:val="000000"/>
                <w:lang w:val="en-US"/>
              </w:rPr>
              <w:t>Cmax</w:t>
            </w:r>
            <w:proofErr w:type="spellEnd"/>
            <w:r w:rsidRPr="00AD2DB1">
              <w:rPr>
                <w:rFonts w:eastAsia="Times New Roman" w:cs="Arial"/>
                <w:color w:val="000000"/>
                <w:lang w:val="en-US"/>
              </w:rPr>
              <w:t xml:space="preserve">: ↑ 25 % </w:t>
            </w:r>
          </w:p>
          <w:p w14:paraId="6CA94904" w14:textId="160FE5C2" w:rsidR="00AD2DB1" w:rsidRPr="000F629B" w:rsidRDefault="00AD2DB1" w:rsidP="00AD2DB1">
            <w:pPr>
              <w:rPr>
                <w:rFonts w:cs="Arial"/>
              </w:rPr>
            </w:pPr>
            <w:proofErr w:type="spellStart"/>
            <w:r w:rsidRPr="00AD2DB1">
              <w:rPr>
                <w:rFonts w:eastAsia="Times New Roman" w:cs="Arial"/>
                <w:color w:val="000000"/>
                <w:lang w:val="en-US"/>
              </w:rPr>
              <w:t>Cmin</w:t>
            </w:r>
            <w:proofErr w:type="spellEnd"/>
            <w:r w:rsidRPr="00AD2DB1">
              <w:rPr>
                <w:rFonts w:eastAsia="Times New Roman" w:cs="Arial"/>
                <w:color w:val="000000"/>
                <w:lang w:val="en-US"/>
              </w:rPr>
              <w:t>: ↔</w:t>
            </w:r>
          </w:p>
        </w:tc>
        <w:tc>
          <w:tcPr>
            <w:tcW w:w="3167" w:type="dxa"/>
            <w:vAlign w:val="bottom"/>
          </w:tcPr>
          <w:p w14:paraId="3563209B" w14:textId="7A06B6AF" w:rsidR="000F629B" w:rsidRPr="000F629B" w:rsidRDefault="000F629B" w:rsidP="000F629B">
            <w:pPr>
              <w:rPr>
                <w:rFonts w:cs="Arial"/>
              </w:rPr>
            </w:pPr>
            <w:r w:rsidRPr="000F629B">
              <w:t>Не се изисква адаптиране на дозата.</w:t>
            </w:r>
          </w:p>
        </w:tc>
      </w:tr>
    </w:tbl>
    <w:p w14:paraId="3F262DB6" w14:textId="613C9937" w:rsidR="00AD2DB1" w:rsidRPr="00AD2DB1" w:rsidRDefault="00AD2DB1" w:rsidP="00AD2DB1">
      <w:pPr>
        <w:spacing w:line="240" w:lineRule="auto"/>
        <w:rPr>
          <w:rFonts w:eastAsia="Times New Roman" w:cs="Arial"/>
          <w:color w:val="000000"/>
          <w:lang w:eastAsia="bg-BG"/>
        </w:rPr>
      </w:pPr>
      <w:r w:rsidRPr="00AD2DB1">
        <w:rPr>
          <w:rFonts w:eastAsia="Times New Roman" w:cs="Arial"/>
          <w:color w:val="000000"/>
          <w:vertAlign w:val="superscript"/>
          <w:lang w:val="en-US" w:eastAsia="bg-BG"/>
        </w:rPr>
        <w:t>1</w:t>
      </w:r>
      <w:r w:rsidRPr="00AD2DB1">
        <w:rPr>
          <w:rFonts w:eastAsia="Times New Roman" w:cs="Arial"/>
          <w:color w:val="000000"/>
          <w:lang w:eastAsia="bg-BG"/>
        </w:rPr>
        <w:t>Данни, получени от едновременно приложение с ледипасвир/софосбувир. Разделеното приложение (през 12 часа едно от друго) предоставя сходни резултати.</w:t>
      </w:r>
    </w:p>
    <w:p w14:paraId="36B4870B" w14:textId="6CCEBB81" w:rsidR="00AD2DB1" w:rsidRPr="00AD2DB1" w:rsidRDefault="00AD2DB1" w:rsidP="00AD2DB1">
      <w:pPr>
        <w:spacing w:line="240" w:lineRule="auto"/>
        <w:rPr>
          <w:rFonts w:eastAsia="Times New Roman" w:cs="Arial"/>
          <w:color w:val="000000"/>
          <w:lang w:eastAsia="bg-BG"/>
        </w:rPr>
      </w:pPr>
      <w:r w:rsidRPr="00AD2DB1">
        <w:rPr>
          <w:rFonts w:eastAsia="Times New Roman" w:cs="Arial"/>
          <w:color w:val="000000"/>
          <w:vertAlign w:val="superscript"/>
          <w:lang w:val="en-US" w:eastAsia="bg-BG"/>
        </w:rPr>
        <w:t>2</w:t>
      </w:r>
      <w:r w:rsidRPr="00AD2DB1">
        <w:rPr>
          <w:rFonts w:eastAsia="Times New Roman" w:cs="Arial"/>
          <w:color w:val="000000"/>
          <w:lang w:eastAsia="bg-BG"/>
        </w:rPr>
        <w:t>Преобладаващият циркулиращ метаболит на софосбувир.</w:t>
      </w:r>
    </w:p>
    <w:p w14:paraId="46AD885D" w14:textId="51FC2C9D" w:rsidR="00AD2DB1" w:rsidRPr="00AD2DB1" w:rsidRDefault="00AD2DB1" w:rsidP="00AD2DB1">
      <w:pPr>
        <w:spacing w:line="240" w:lineRule="auto"/>
        <w:rPr>
          <w:rFonts w:eastAsia="Times New Roman" w:cs="Arial"/>
          <w:color w:val="000000"/>
          <w:lang w:eastAsia="bg-BG"/>
        </w:rPr>
      </w:pPr>
      <w:r w:rsidRPr="00AD2DB1">
        <w:rPr>
          <w:rFonts w:eastAsia="Times New Roman" w:cs="Arial"/>
          <w:color w:val="000000"/>
          <w:vertAlign w:val="superscript"/>
          <w:lang w:val="en-US" w:eastAsia="bg-BG"/>
        </w:rPr>
        <w:t>3</w:t>
      </w:r>
      <w:r w:rsidRPr="00AD2DB1">
        <w:rPr>
          <w:rFonts w:eastAsia="Times New Roman" w:cs="Arial"/>
          <w:color w:val="000000"/>
          <w:lang w:eastAsia="bg-BG"/>
        </w:rPr>
        <w:t xml:space="preserve">Проведено е проучване с допълнителни 100 </w:t>
      </w:r>
      <w:r w:rsidRPr="00AD2DB1">
        <w:rPr>
          <w:rFonts w:eastAsia="Times New Roman" w:cs="Arial"/>
          <w:color w:val="000000"/>
          <w:lang w:val="en-US"/>
        </w:rPr>
        <w:t xml:space="preserve">mg </w:t>
      </w:r>
      <w:r w:rsidRPr="00AD2DB1">
        <w:rPr>
          <w:rFonts w:eastAsia="Times New Roman" w:cs="Arial"/>
          <w:color w:val="000000"/>
          <w:lang w:eastAsia="bg-BG"/>
        </w:rPr>
        <w:t xml:space="preserve">воксилапревир за постигане на експозициите на воксилапревир, които са очаквани при пациенти, инфектирани с </w:t>
      </w:r>
      <w:r w:rsidRPr="00AD2DB1">
        <w:rPr>
          <w:rFonts w:eastAsia="Times New Roman" w:cs="Arial"/>
          <w:color w:val="000000"/>
          <w:lang w:val="en-US"/>
        </w:rPr>
        <w:t>HCV.</w:t>
      </w:r>
    </w:p>
    <w:p w14:paraId="3CC3D330" w14:textId="77777777" w:rsidR="00AD2DB1" w:rsidRDefault="00AD2DB1" w:rsidP="00AD2DB1">
      <w:pPr>
        <w:spacing w:line="240" w:lineRule="auto"/>
        <w:rPr>
          <w:rFonts w:eastAsia="Times New Roman" w:cs="Arial"/>
          <w:color w:val="000000"/>
          <w:u w:val="single"/>
          <w:lang w:eastAsia="bg-BG"/>
        </w:rPr>
      </w:pPr>
    </w:p>
    <w:p w14:paraId="0A5529AF" w14:textId="52485A7A" w:rsidR="00AD2DB1" w:rsidRPr="00AD2DB1" w:rsidRDefault="00AD2DB1" w:rsidP="00AD2DB1">
      <w:pPr>
        <w:spacing w:line="240" w:lineRule="auto"/>
        <w:rPr>
          <w:rFonts w:eastAsia="Times New Roman" w:cs="Arial"/>
          <w:lang w:eastAsia="bg-BG"/>
        </w:rPr>
      </w:pPr>
      <w:r w:rsidRPr="00AD2DB1">
        <w:rPr>
          <w:rFonts w:eastAsia="Times New Roman" w:cs="Arial"/>
          <w:color w:val="000000"/>
          <w:u w:val="single"/>
          <w:lang w:eastAsia="bg-BG"/>
        </w:rPr>
        <w:t>Проведени проучвания с други лекарствени продукти</w:t>
      </w:r>
    </w:p>
    <w:p w14:paraId="002CE682" w14:textId="77777777"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 xml:space="preserve">Не са наблюдавани клинично значими фармакокинетични взаимодействия при едновременното приложение на тенофовир дизопроксил с емтрицитабин, ламивудин, индинавир, ефавиренц, нелфинавир, саквинавир (усилен с ритонавир), метадон, </w:t>
      </w:r>
      <w:r w:rsidRPr="00AD2DB1">
        <w:rPr>
          <w:rFonts w:eastAsia="Times New Roman" w:cs="Arial"/>
          <w:color w:val="000000"/>
          <w:lang w:eastAsia="bg-BG"/>
        </w:rPr>
        <w:lastRenderedPageBreak/>
        <w:t>рибавирин, рифампицин, такролимус или хормоналните контрацептивни средства норгестимат/етинил естрадиол.</w:t>
      </w:r>
    </w:p>
    <w:p w14:paraId="1D3C057D" w14:textId="77777777" w:rsidR="00AD2DB1" w:rsidRDefault="00AD2DB1" w:rsidP="00AD2DB1">
      <w:pPr>
        <w:spacing w:line="240" w:lineRule="auto"/>
        <w:rPr>
          <w:rFonts w:eastAsia="Times New Roman" w:cs="Arial"/>
          <w:color w:val="000000"/>
          <w:lang w:eastAsia="bg-BG"/>
        </w:rPr>
      </w:pPr>
    </w:p>
    <w:p w14:paraId="5593CB16" w14:textId="3F899C3F"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Тенофовир дизопроксил трябва да се приема с храна, тъй като тя увеличава бионаличностга на тенофовир (вж. точка 5.2).</w:t>
      </w:r>
    </w:p>
    <w:p w14:paraId="37C069CD" w14:textId="77777777" w:rsidR="00FB6158" w:rsidRPr="00FB6158" w:rsidRDefault="00FB6158" w:rsidP="00FB6158">
      <w:pPr>
        <w:rPr>
          <w:rFonts w:cs="Arial"/>
        </w:rPr>
      </w:pPr>
    </w:p>
    <w:p w14:paraId="15A75A66" w14:textId="22AB55C4" w:rsidR="00A71DCF" w:rsidRDefault="002C50EE" w:rsidP="00A93499">
      <w:pPr>
        <w:pStyle w:val="Heading2"/>
      </w:pPr>
      <w:r>
        <w:t>4.6. Фертилитет, бременност и кърмене</w:t>
      </w:r>
    </w:p>
    <w:p w14:paraId="22061360" w14:textId="5E22152D" w:rsidR="00AD2DB1" w:rsidRDefault="00AD2DB1" w:rsidP="00AD2DB1"/>
    <w:p w14:paraId="11706953" w14:textId="77777777" w:rsidR="00AD2DB1" w:rsidRPr="00AD2DB1" w:rsidRDefault="00AD2DB1" w:rsidP="00AD2DB1">
      <w:pPr>
        <w:spacing w:line="240" w:lineRule="auto"/>
        <w:rPr>
          <w:rFonts w:eastAsia="Times New Roman" w:cs="Arial"/>
          <w:lang w:eastAsia="bg-BG"/>
        </w:rPr>
      </w:pPr>
      <w:r w:rsidRPr="00AD2DB1">
        <w:rPr>
          <w:rFonts w:eastAsia="Times New Roman" w:cs="Arial"/>
          <w:color w:val="000000"/>
          <w:u w:val="single"/>
          <w:lang w:eastAsia="bg-BG"/>
        </w:rPr>
        <w:t>Бременност</w:t>
      </w:r>
    </w:p>
    <w:p w14:paraId="208555AB" w14:textId="77777777"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Неголям обем данни за бременни жени (за изхода на повече от 300 до 1 000 случая на бременност) не показват малформации или фетална/неонатална токсичност, свързана с тенофовир дизопроксил. Проучванията при животни не показват репродуктивна токсичност (вж. точка 5.3). Употребата на тенофовир дизопроксил може да се обмисли по време на бременност, ако е необходимо.</w:t>
      </w:r>
    </w:p>
    <w:p w14:paraId="63FD683C" w14:textId="77777777" w:rsidR="00AD2DB1" w:rsidRDefault="00AD2DB1" w:rsidP="00AD2DB1">
      <w:pPr>
        <w:spacing w:line="240" w:lineRule="auto"/>
        <w:rPr>
          <w:rFonts w:eastAsia="Times New Roman" w:cs="Arial"/>
          <w:color w:val="000000"/>
          <w:lang w:eastAsia="bg-BG"/>
        </w:rPr>
      </w:pPr>
    </w:p>
    <w:p w14:paraId="363443A9" w14:textId="0722FAD5"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 xml:space="preserve">В литературата е доказано, че експозицията на тенофовир дизопроксил през третия триместър на бременността намалява риска от предаване на </w:t>
      </w:r>
      <w:r w:rsidRPr="00AD2DB1">
        <w:rPr>
          <w:rFonts w:eastAsia="Times New Roman" w:cs="Arial"/>
          <w:color w:val="000000"/>
          <w:lang w:val="en-US"/>
        </w:rPr>
        <w:t xml:space="preserve">HBV </w:t>
      </w:r>
      <w:r w:rsidRPr="00AD2DB1">
        <w:rPr>
          <w:rFonts w:eastAsia="Times New Roman" w:cs="Arial"/>
          <w:color w:val="000000"/>
          <w:lang w:eastAsia="bg-BG"/>
        </w:rPr>
        <w:t>от майката на детето, ако майките получават тенофовир дизопроксил в допълнение към приложението на имуноглобулин срещу хепатит В и ваксина против хепатит В при кърмачетата.</w:t>
      </w:r>
    </w:p>
    <w:p w14:paraId="64E74665" w14:textId="77777777" w:rsidR="00AD2DB1" w:rsidRDefault="00AD2DB1" w:rsidP="00AD2DB1">
      <w:pPr>
        <w:spacing w:line="240" w:lineRule="auto"/>
        <w:rPr>
          <w:rFonts w:eastAsia="Times New Roman" w:cs="Arial"/>
          <w:color w:val="000000"/>
          <w:lang w:eastAsia="bg-BG"/>
        </w:rPr>
      </w:pPr>
    </w:p>
    <w:p w14:paraId="0E146943" w14:textId="0B94C21B"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 xml:space="preserve">В три контролирани клинични проучвания общо 327 бременни жени с </w:t>
      </w:r>
      <w:r w:rsidRPr="00AD2DB1">
        <w:rPr>
          <w:rFonts w:eastAsia="Times New Roman" w:cs="Arial"/>
          <w:color w:val="000000"/>
          <w:lang w:val="en-US"/>
        </w:rPr>
        <w:t xml:space="preserve">HBV </w:t>
      </w:r>
      <w:r w:rsidRPr="00AD2DB1">
        <w:rPr>
          <w:rFonts w:eastAsia="Times New Roman" w:cs="Arial"/>
          <w:color w:val="000000"/>
          <w:lang w:eastAsia="bg-BG"/>
        </w:rPr>
        <w:t xml:space="preserve">хронична инфекция получават тенофовир дизопроксил (245 </w:t>
      </w:r>
      <w:r w:rsidRPr="00AD2DB1">
        <w:rPr>
          <w:rFonts w:eastAsia="Times New Roman" w:cs="Arial"/>
          <w:color w:val="000000"/>
          <w:lang w:val="en-US"/>
        </w:rPr>
        <w:t xml:space="preserve">mg) </w:t>
      </w:r>
      <w:r w:rsidRPr="00AD2DB1">
        <w:rPr>
          <w:rFonts w:eastAsia="Times New Roman" w:cs="Arial"/>
          <w:color w:val="000000"/>
          <w:lang w:eastAsia="bg-BG"/>
        </w:rPr>
        <w:t>веднъж дневно от 28 до 32 гестационна седмица до 1 до 2 месеца след раждането; жените и техните кърмачета са проследени за период до 12 месеца след раждането. От тези данни не възниква сигнал за безопасност.</w:t>
      </w:r>
    </w:p>
    <w:p w14:paraId="5144CF0E" w14:textId="77777777" w:rsidR="00AD2DB1" w:rsidRDefault="00AD2DB1" w:rsidP="00AD2DB1">
      <w:pPr>
        <w:spacing w:line="240" w:lineRule="auto"/>
        <w:rPr>
          <w:rFonts w:eastAsia="Times New Roman" w:cs="Arial"/>
          <w:color w:val="000000"/>
          <w:u w:val="single"/>
          <w:lang w:eastAsia="bg-BG"/>
        </w:rPr>
      </w:pPr>
    </w:p>
    <w:p w14:paraId="4016F207" w14:textId="17848090" w:rsidR="00AD2DB1" w:rsidRPr="00AD2DB1" w:rsidRDefault="00AD2DB1" w:rsidP="00AD2DB1">
      <w:pPr>
        <w:spacing w:line="240" w:lineRule="auto"/>
        <w:rPr>
          <w:rFonts w:eastAsia="Times New Roman" w:cs="Arial"/>
          <w:lang w:eastAsia="bg-BG"/>
        </w:rPr>
      </w:pPr>
      <w:r w:rsidRPr="00AD2DB1">
        <w:rPr>
          <w:rFonts w:eastAsia="Times New Roman" w:cs="Arial"/>
          <w:color w:val="000000"/>
          <w:u w:val="single"/>
          <w:lang w:eastAsia="bg-BG"/>
        </w:rPr>
        <w:t>Кърмене</w:t>
      </w:r>
    </w:p>
    <w:p w14:paraId="4B4FC358" w14:textId="77777777"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Установено е, че тенофовир се екскретира в кърмата. Има недостатъчна информация за ефектите на тенофовир при новородени/кърмачета. Затова Вирофоб не трябва да се използва в периода на кърмене.</w:t>
      </w:r>
    </w:p>
    <w:p w14:paraId="36B9ABDF" w14:textId="77777777" w:rsidR="00AD2DB1" w:rsidRDefault="00AD2DB1" w:rsidP="00AD2DB1">
      <w:pPr>
        <w:spacing w:line="240" w:lineRule="auto"/>
        <w:rPr>
          <w:rFonts w:eastAsia="Times New Roman" w:cs="Arial"/>
          <w:color w:val="000000"/>
          <w:lang w:eastAsia="bg-BG"/>
        </w:rPr>
      </w:pPr>
    </w:p>
    <w:p w14:paraId="4E05E7C7" w14:textId="57C83582"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 xml:space="preserve">Като общо правило се препоръчва инфектирани с </w:t>
      </w:r>
      <w:r w:rsidRPr="00AD2DB1">
        <w:rPr>
          <w:rFonts w:eastAsia="Times New Roman" w:cs="Arial"/>
          <w:color w:val="000000"/>
          <w:lang w:val="en-US"/>
        </w:rPr>
        <w:t xml:space="preserve">HIV </w:t>
      </w:r>
      <w:r w:rsidRPr="00AD2DB1">
        <w:rPr>
          <w:rFonts w:eastAsia="Times New Roman" w:cs="Arial"/>
          <w:color w:val="000000"/>
          <w:lang w:eastAsia="bg-BG"/>
        </w:rPr>
        <w:t xml:space="preserve">и </w:t>
      </w:r>
      <w:r w:rsidRPr="00AD2DB1">
        <w:rPr>
          <w:rFonts w:eastAsia="Times New Roman" w:cs="Arial"/>
          <w:color w:val="000000"/>
          <w:lang w:val="en-US"/>
        </w:rPr>
        <w:t xml:space="preserve">HBV </w:t>
      </w:r>
      <w:r w:rsidRPr="00AD2DB1">
        <w:rPr>
          <w:rFonts w:eastAsia="Times New Roman" w:cs="Arial"/>
          <w:color w:val="000000"/>
          <w:lang w:eastAsia="bg-BG"/>
        </w:rPr>
        <w:t xml:space="preserve">жени да не кърмят децата си, за да се избегне предаването на </w:t>
      </w:r>
      <w:r w:rsidRPr="00AD2DB1">
        <w:rPr>
          <w:rFonts w:eastAsia="Times New Roman" w:cs="Arial"/>
          <w:color w:val="000000"/>
          <w:lang w:val="en-US"/>
        </w:rPr>
        <w:t>HI</w:t>
      </w:r>
      <w:r w:rsidRPr="00AD2DB1">
        <w:rPr>
          <w:rFonts w:eastAsia="Times New Roman" w:cs="Arial"/>
          <w:color w:val="000000"/>
          <w:lang w:eastAsia="bg-BG"/>
        </w:rPr>
        <w:t xml:space="preserve">V и </w:t>
      </w:r>
      <w:r w:rsidRPr="00AD2DB1">
        <w:rPr>
          <w:rFonts w:eastAsia="Times New Roman" w:cs="Arial"/>
          <w:color w:val="000000"/>
          <w:lang w:val="en-US"/>
        </w:rPr>
        <w:t xml:space="preserve">HBV </w:t>
      </w:r>
      <w:r w:rsidRPr="00AD2DB1">
        <w:rPr>
          <w:rFonts w:eastAsia="Times New Roman" w:cs="Arial"/>
          <w:color w:val="000000"/>
          <w:lang w:eastAsia="bg-BG"/>
        </w:rPr>
        <w:t>на кърмачето.</w:t>
      </w:r>
    </w:p>
    <w:p w14:paraId="53998AD8" w14:textId="77777777" w:rsidR="00AD2DB1" w:rsidRPr="00AD2DB1" w:rsidRDefault="00AD2DB1" w:rsidP="00AD2DB1">
      <w:pPr>
        <w:spacing w:line="240" w:lineRule="auto"/>
        <w:rPr>
          <w:rFonts w:eastAsia="Times New Roman" w:cs="Arial"/>
          <w:lang w:eastAsia="bg-BG"/>
        </w:rPr>
      </w:pPr>
    </w:p>
    <w:p w14:paraId="44705A3C" w14:textId="77777777" w:rsidR="00AD2DB1" w:rsidRPr="00AD2DB1" w:rsidRDefault="00AD2DB1" w:rsidP="00AD2DB1">
      <w:pPr>
        <w:spacing w:line="240" w:lineRule="auto"/>
        <w:rPr>
          <w:rFonts w:eastAsia="Times New Roman" w:cs="Arial"/>
          <w:lang w:eastAsia="bg-BG"/>
        </w:rPr>
      </w:pPr>
      <w:r w:rsidRPr="00AD2DB1">
        <w:rPr>
          <w:rFonts w:eastAsia="Times New Roman" w:cs="Arial"/>
          <w:color w:val="000000"/>
          <w:u w:val="single"/>
          <w:lang w:eastAsia="bg-BG"/>
        </w:rPr>
        <w:t>Фертилитет</w:t>
      </w:r>
    </w:p>
    <w:p w14:paraId="5C934E3D" w14:textId="30FF410B" w:rsidR="00AD2DB1" w:rsidRDefault="00AD2DB1" w:rsidP="00AD2DB1">
      <w:r w:rsidRPr="00AD2DB1">
        <w:rPr>
          <w:rFonts w:eastAsia="Times New Roman" w:cs="Arial"/>
          <w:color w:val="000000"/>
          <w:lang w:eastAsia="bg-BG"/>
        </w:rPr>
        <w:t>Има ограничени клинични данни по отношение на ефекта на тенофовир дизопроксил върху</w:t>
      </w:r>
      <w:r>
        <w:rPr>
          <w:rFonts w:eastAsia="Times New Roman" w:cs="Arial"/>
          <w:color w:val="000000"/>
          <w:lang w:val="en-US" w:eastAsia="bg-BG"/>
        </w:rPr>
        <w:t xml:space="preserve"> </w:t>
      </w:r>
      <w:r w:rsidRPr="00AD2DB1">
        <w:t>фертилитета. Проучванията при животни не показват вредни ефекти на тенофовир дизопроксил върху фертилитета.</w:t>
      </w:r>
    </w:p>
    <w:p w14:paraId="4B6F1F4F" w14:textId="77777777" w:rsidR="00AD2DB1" w:rsidRPr="00AD2DB1" w:rsidRDefault="00AD2DB1" w:rsidP="00AD2DB1">
      <w:pPr>
        <w:rPr>
          <w:rFonts w:cs="Arial"/>
          <w:lang w:val="en-US"/>
        </w:rPr>
      </w:pPr>
    </w:p>
    <w:p w14:paraId="6201597D" w14:textId="7496BE38" w:rsidR="00EE6C97" w:rsidRDefault="002C50EE" w:rsidP="00A93499">
      <w:pPr>
        <w:pStyle w:val="Heading2"/>
      </w:pPr>
      <w:r>
        <w:t>4.7. Ефекти върху способността за шофиране и работа с машини</w:t>
      </w:r>
    </w:p>
    <w:p w14:paraId="560C4D53" w14:textId="0110EB27" w:rsidR="00AD2DB1" w:rsidRDefault="00AD2DB1" w:rsidP="00AD2DB1"/>
    <w:p w14:paraId="6EBAC159" w14:textId="77777777"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Не са провеждани проучвания за ефектите върху способността за шофиране и работа с машини. Въпреки това пациентите трябва да бъдат предупредени, че има съобщения за замаяност по време на лечение с тенофовир дизопроксил.</w:t>
      </w:r>
    </w:p>
    <w:p w14:paraId="0119D54B" w14:textId="77777777" w:rsidR="00AD2DB1" w:rsidRPr="00AD2DB1" w:rsidRDefault="00AD2DB1" w:rsidP="00AD2DB1"/>
    <w:p w14:paraId="389A90F4" w14:textId="0B84AD16" w:rsidR="00BA5B74" w:rsidRDefault="002C50EE" w:rsidP="00A93499">
      <w:pPr>
        <w:pStyle w:val="Heading2"/>
      </w:pPr>
      <w:r>
        <w:t>4.8. Нежелани лекарствени реакции</w:t>
      </w:r>
    </w:p>
    <w:p w14:paraId="7BF0DF35" w14:textId="62AFF9A0" w:rsidR="00AD2DB1" w:rsidRDefault="00AD2DB1" w:rsidP="00AD2DB1"/>
    <w:p w14:paraId="7C6748DF" w14:textId="77777777" w:rsidR="00AD2DB1" w:rsidRPr="00AD2DB1" w:rsidRDefault="00AD2DB1" w:rsidP="00AD2DB1">
      <w:pPr>
        <w:spacing w:line="240" w:lineRule="auto"/>
        <w:rPr>
          <w:rFonts w:eastAsia="Times New Roman" w:cs="Arial"/>
          <w:lang w:eastAsia="bg-BG"/>
        </w:rPr>
      </w:pPr>
      <w:r w:rsidRPr="00AD2DB1">
        <w:rPr>
          <w:rFonts w:eastAsia="Times New Roman" w:cs="Arial"/>
          <w:color w:val="000000"/>
          <w:u w:val="single"/>
          <w:lang w:eastAsia="bg-BG"/>
        </w:rPr>
        <w:t>Обобщение на профила на безопасност</w:t>
      </w:r>
    </w:p>
    <w:p w14:paraId="0275F6CD" w14:textId="77777777" w:rsidR="00AD2DB1" w:rsidRDefault="00AD2DB1" w:rsidP="00AD2DB1">
      <w:pPr>
        <w:spacing w:line="240" w:lineRule="auto"/>
        <w:rPr>
          <w:rFonts w:eastAsia="Times New Roman" w:cs="Arial"/>
          <w:i/>
          <w:iCs/>
          <w:color w:val="000000"/>
          <w:lang w:val="en-US"/>
        </w:rPr>
      </w:pPr>
    </w:p>
    <w:p w14:paraId="21638EB8" w14:textId="310E08D7" w:rsidR="00AD2DB1" w:rsidRPr="00AD2DB1" w:rsidRDefault="00AD2DB1" w:rsidP="00AD2DB1">
      <w:pPr>
        <w:spacing w:line="240" w:lineRule="auto"/>
        <w:rPr>
          <w:rFonts w:eastAsia="Times New Roman" w:cs="Arial"/>
          <w:lang w:eastAsia="bg-BG"/>
        </w:rPr>
      </w:pPr>
      <w:r w:rsidRPr="00AD2DB1">
        <w:rPr>
          <w:rFonts w:eastAsia="Times New Roman" w:cs="Arial"/>
          <w:i/>
          <w:iCs/>
          <w:color w:val="000000"/>
          <w:lang w:val="en-US"/>
        </w:rPr>
        <w:lastRenderedPageBreak/>
        <w:t xml:space="preserve">HIV-1 </w:t>
      </w:r>
      <w:r w:rsidRPr="00AD2DB1">
        <w:rPr>
          <w:rFonts w:eastAsia="Times New Roman" w:cs="Arial"/>
          <w:i/>
          <w:iCs/>
          <w:color w:val="000000"/>
          <w:lang w:eastAsia="bg-BG"/>
        </w:rPr>
        <w:t>и хепатит В:</w:t>
      </w:r>
      <w:r w:rsidRPr="00AD2DB1">
        <w:rPr>
          <w:rFonts w:eastAsia="Times New Roman" w:cs="Arial"/>
          <w:color w:val="000000"/>
          <w:lang w:eastAsia="bg-BG"/>
        </w:rPr>
        <w:t xml:space="preserve"> При пациенти, получаващи тенофовир дизопроксил, има съобщения за редки случаи на бъбречна недостатъчност, бъбречно увреждане и тубулопатия на проксималните бъбречни каналчета (вкл. синдром на </w:t>
      </w:r>
      <w:r w:rsidRPr="00AD2DB1">
        <w:rPr>
          <w:rFonts w:eastAsia="Times New Roman" w:cs="Arial"/>
          <w:color w:val="000000"/>
          <w:lang w:val="en-US"/>
        </w:rPr>
        <w:t xml:space="preserve">Fanconi), </w:t>
      </w:r>
      <w:r w:rsidRPr="00AD2DB1">
        <w:rPr>
          <w:rFonts w:eastAsia="Times New Roman" w:cs="Arial"/>
          <w:color w:val="000000"/>
          <w:lang w:eastAsia="bg-BG"/>
        </w:rPr>
        <w:t>водещи понякога до костни аномалии (нечесто допринасящи за фрактури). Препоръчва се следене на бъбречната функция при пациенти, получаващи тенофовир (вж. точка 4.4).</w:t>
      </w:r>
    </w:p>
    <w:p w14:paraId="7BFE1679" w14:textId="77777777" w:rsidR="00AD2DB1" w:rsidRDefault="00AD2DB1" w:rsidP="00AD2DB1">
      <w:pPr>
        <w:spacing w:line="240" w:lineRule="auto"/>
        <w:rPr>
          <w:rFonts w:eastAsia="Times New Roman" w:cs="Arial"/>
          <w:i/>
          <w:iCs/>
          <w:color w:val="000000"/>
          <w:lang w:val="en-US"/>
        </w:rPr>
      </w:pPr>
    </w:p>
    <w:p w14:paraId="0366FE7E" w14:textId="0289D006" w:rsidR="00AD2DB1" w:rsidRPr="00AD2DB1" w:rsidRDefault="00AD2DB1" w:rsidP="00AD2DB1">
      <w:pPr>
        <w:spacing w:line="240" w:lineRule="auto"/>
        <w:rPr>
          <w:rFonts w:eastAsia="Times New Roman" w:cs="Arial"/>
          <w:lang w:eastAsia="bg-BG"/>
        </w:rPr>
      </w:pPr>
      <w:r w:rsidRPr="00AD2DB1">
        <w:rPr>
          <w:rFonts w:eastAsia="Times New Roman" w:cs="Arial"/>
          <w:i/>
          <w:iCs/>
          <w:color w:val="000000"/>
          <w:lang w:val="en-US"/>
        </w:rPr>
        <w:t>HIV-1:</w:t>
      </w:r>
      <w:r w:rsidRPr="00AD2DB1">
        <w:rPr>
          <w:rFonts w:eastAsia="Times New Roman" w:cs="Arial"/>
          <w:color w:val="000000"/>
          <w:lang w:val="en-US"/>
        </w:rPr>
        <w:t xml:space="preserve"> </w:t>
      </w:r>
      <w:r w:rsidRPr="00AD2DB1">
        <w:rPr>
          <w:rFonts w:eastAsia="Times New Roman" w:cs="Arial"/>
          <w:color w:val="000000"/>
          <w:lang w:eastAsia="bg-BG"/>
        </w:rPr>
        <w:t>При около една трета от пациентите след лечение с тенофовир дизопроксил в комбинация с други антиретровирусни средства може да се очакват нежелани реакции. Обикновено тези реакции са леки до умерени стомашно-чревни събития. Около 1 % от възрастните пациенти, лекувани с тенофовир дизопроксил, са прекратили лечението поради стомашно-чревни събития.</w:t>
      </w:r>
    </w:p>
    <w:p w14:paraId="213DCC7E" w14:textId="3F84AE15" w:rsidR="00AD2DB1" w:rsidRPr="00AD2DB1" w:rsidRDefault="00AD2DB1" w:rsidP="00AD2DB1">
      <w:pPr>
        <w:spacing w:line="240" w:lineRule="auto"/>
        <w:rPr>
          <w:rFonts w:eastAsia="Times New Roman" w:cs="Arial"/>
          <w:lang w:eastAsia="bg-BG"/>
        </w:rPr>
      </w:pPr>
    </w:p>
    <w:p w14:paraId="5ADAB166" w14:textId="77777777" w:rsidR="00AD2DB1" w:rsidRPr="00AD2DB1" w:rsidRDefault="00AD2DB1" w:rsidP="00AD2DB1">
      <w:pPr>
        <w:spacing w:line="240" w:lineRule="auto"/>
        <w:rPr>
          <w:rFonts w:eastAsia="Times New Roman" w:cs="Arial"/>
          <w:lang w:eastAsia="bg-BG"/>
        </w:rPr>
      </w:pPr>
      <w:r w:rsidRPr="00AD2DB1">
        <w:rPr>
          <w:rFonts w:eastAsia="Times New Roman" w:cs="Arial"/>
          <w:i/>
          <w:iCs/>
          <w:color w:val="000000"/>
          <w:lang w:eastAsia="bg-BG"/>
        </w:rPr>
        <w:t>Хепатит В:</w:t>
      </w:r>
      <w:r w:rsidRPr="00AD2DB1">
        <w:rPr>
          <w:rFonts w:eastAsia="Times New Roman" w:cs="Arial"/>
          <w:color w:val="000000"/>
          <w:lang w:eastAsia="bg-BG"/>
        </w:rPr>
        <w:t xml:space="preserve"> При около една четвърт от пациентите след лечение с тенофовир дизопроксил може да се очакват нежелани реакции, повечето от които са леки. В клинични проучвания с инфектирани с </w:t>
      </w:r>
      <w:r w:rsidRPr="00AD2DB1">
        <w:rPr>
          <w:rFonts w:eastAsia="Times New Roman" w:cs="Arial"/>
          <w:color w:val="000000"/>
          <w:lang w:val="en-US"/>
        </w:rPr>
        <w:t xml:space="preserve">HBV </w:t>
      </w:r>
      <w:r w:rsidRPr="00AD2DB1">
        <w:rPr>
          <w:rFonts w:eastAsia="Times New Roman" w:cs="Arial"/>
          <w:color w:val="000000"/>
          <w:lang w:eastAsia="bg-BG"/>
        </w:rPr>
        <w:t>пациенти най-често появяващата се нежелана реакция към тенофовир дизопроксил е била гадене (5,4 %).</w:t>
      </w:r>
    </w:p>
    <w:p w14:paraId="2BA829D1" w14:textId="77777777" w:rsidR="00AD2DB1" w:rsidRDefault="00AD2DB1" w:rsidP="00AD2DB1">
      <w:pPr>
        <w:spacing w:line="240" w:lineRule="auto"/>
        <w:rPr>
          <w:rFonts w:eastAsia="Times New Roman" w:cs="Arial"/>
          <w:color w:val="000000"/>
          <w:lang w:eastAsia="bg-BG"/>
        </w:rPr>
      </w:pPr>
    </w:p>
    <w:p w14:paraId="12D475AB" w14:textId="736603AE"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Има съобщения за остра екзацербация на хепатит при пациенти на лечение, както и при пациенти, които са прекратили терапията на хепатит В (вж. точка 4.4).</w:t>
      </w:r>
    </w:p>
    <w:p w14:paraId="6E84B022" w14:textId="77777777" w:rsidR="00AD2DB1" w:rsidRDefault="00AD2DB1" w:rsidP="00AD2DB1">
      <w:pPr>
        <w:spacing w:line="240" w:lineRule="auto"/>
        <w:rPr>
          <w:rFonts w:eastAsia="Times New Roman" w:cs="Arial"/>
          <w:color w:val="000000"/>
          <w:u w:val="single"/>
          <w:lang w:eastAsia="bg-BG"/>
        </w:rPr>
      </w:pPr>
    </w:p>
    <w:p w14:paraId="7BB2CBE7" w14:textId="5DB11BCF" w:rsidR="00AD2DB1" w:rsidRPr="00AD2DB1" w:rsidRDefault="00AD2DB1" w:rsidP="00AD2DB1">
      <w:pPr>
        <w:spacing w:line="240" w:lineRule="auto"/>
        <w:rPr>
          <w:rFonts w:eastAsia="Times New Roman" w:cs="Arial"/>
          <w:lang w:eastAsia="bg-BG"/>
        </w:rPr>
      </w:pPr>
      <w:r w:rsidRPr="00AD2DB1">
        <w:rPr>
          <w:rFonts w:eastAsia="Times New Roman" w:cs="Arial"/>
          <w:color w:val="000000"/>
          <w:u w:val="single"/>
          <w:lang w:eastAsia="bg-BG"/>
        </w:rPr>
        <w:t>Таблично обобщение на нежеланите реакции</w:t>
      </w:r>
    </w:p>
    <w:p w14:paraId="15455242" w14:textId="77777777"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Оценката на нежеланите реакции за тенофовир дизопроксил е базирана на данните за безопасност от клинични проучвания и постмаркетинговия опит. Всички нежелани реакции са представени в Таблица 2.</w:t>
      </w:r>
    </w:p>
    <w:p w14:paraId="2E3AEA3B" w14:textId="77777777" w:rsidR="00AD2DB1" w:rsidRDefault="00AD2DB1" w:rsidP="00AD2DB1">
      <w:pPr>
        <w:spacing w:line="240" w:lineRule="auto"/>
        <w:rPr>
          <w:rFonts w:eastAsia="Times New Roman" w:cs="Arial"/>
          <w:i/>
          <w:iCs/>
          <w:color w:val="000000"/>
          <w:lang w:eastAsia="bg-BG"/>
        </w:rPr>
      </w:pPr>
    </w:p>
    <w:p w14:paraId="1F7172D7" w14:textId="52DAC817" w:rsidR="00AD2DB1" w:rsidRPr="00AD2DB1" w:rsidRDefault="00AD2DB1" w:rsidP="00AD2DB1">
      <w:pPr>
        <w:spacing w:line="240" w:lineRule="auto"/>
        <w:rPr>
          <w:rFonts w:eastAsia="Times New Roman" w:cs="Arial"/>
          <w:lang w:eastAsia="bg-BG"/>
        </w:rPr>
      </w:pPr>
      <w:r w:rsidRPr="00AD2DB1">
        <w:rPr>
          <w:rFonts w:eastAsia="Times New Roman" w:cs="Arial"/>
          <w:i/>
          <w:iCs/>
          <w:color w:val="000000"/>
          <w:lang w:eastAsia="bg-BG"/>
        </w:rPr>
        <w:t xml:space="preserve">Клинични проучвания при </w:t>
      </w:r>
      <w:r w:rsidRPr="00AD2DB1">
        <w:rPr>
          <w:rFonts w:eastAsia="Times New Roman" w:cs="Arial"/>
          <w:i/>
          <w:iCs/>
          <w:color w:val="000000"/>
          <w:lang w:val="en-US"/>
        </w:rPr>
        <w:t>HIV-1:</w:t>
      </w:r>
      <w:r w:rsidRPr="00AD2DB1">
        <w:rPr>
          <w:rFonts w:eastAsia="Times New Roman" w:cs="Arial"/>
          <w:color w:val="000000"/>
          <w:lang w:val="en-US"/>
        </w:rPr>
        <w:t xml:space="preserve"> </w:t>
      </w:r>
      <w:r w:rsidRPr="00AD2DB1">
        <w:rPr>
          <w:rFonts w:eastAsia="Times New Roman" w:cs="Arial"/>
          <w:color w:val="000000"/>
          <w:lang w:eastAsia="bg-BG"/>
        </w:rPr>
        <w:t xml:space="preserve">Оценката на нежеланите реакции по данни от клинични проучвания при </w:t>
      </w:r>
      <w:r w:rsidRPr="00AD2DB1">
        <w:rPr>
          <w:rFonts w:eastAsia="Times New Roman" w:cs="Arial"/>
          <w:color w:val="000000"/>
          <w:lang w:val="en-US"/>
        </w:rPr>
        <w:t xml:space="preserve">HIV-1 </w:t>
      </w:r>
      <w:r w:rsidRPr="00AD2DB1">
        <w:rPr>
          <w:rFonts w:eastAsia="Times New Roman" w:cs="Arial"/>
          <w:color w:val="000000"/>
          <w:lang w:eastAsia="bg-BG"/>
        </w:rPr>
        <w:t>е базирана на опита от две проучвания при 653 пациенти с предварително лечение, получаващи тенофовир дизопроксил (</w:t>
      </w:r>
      <w:r w:rsidRPr="00AD2DB1">
        <w:rPr>
          <w:rFonts w:eastAsia="Times New Roman" w:cs="Arial"/>
          <w:color w:val="000000"/>
          <w:lang w:val="en-US"/>
        </w:rPr>
        <w:t>n</w:t>
      </w:r>
      <w:r w:rsidRPr="00AD2DB1">
        <w:rPr>
          <w:rFonts w:eastAsia="Times New Roman" w:cs="Arial"/>
          <w:color w:val="000000"/>
          <w:lang w:eastAsia="bg-BG"/>
        </w:rPr>
        <w:t>= 443) или плацебо (</w:t>
      </w:r>
      <w:r w:rsidRPr="00AD2DB1">
        <w:rPr>
          <w:rFonts w:eastAsia="Times New Roman" w:cs="Arial"/>
          <w:color w:val="000000"/>
          <w:lang w:val="en-US"/>
        </w:rPr>
        <w:t>n</w:t>
      </w:r>
      <w:r w:rsidRPr="00AD2DB1">
        <w:rPr>
          <w:rFonts w:eastAsia="Times New Roman" w:cs="Arial"/>
          <w:color w:val="000000"/>
          <w:lang w:eastAsia="bg-BG"/>
        </w:rPr>
        <w:t xml:space="preserve"> = 210) в комбинация с други антиретровирусни лекарствени продукти в продължение на 24 седмици, както и на двойносляпо контролирано сравнително проучване, при което 600 пациенти без предварително лечение са били лекувани с тенофовир дизопроксил 245 </w:t>
      </w:r>
      <w:r w:rsidRPr="00AD2DB1">
        <w:rPr>
          <w:rFonts w:eastAsia="Times New Roman" w:cs="Arial"/>
          <w:color w:val="000000"/>
          <w:lang w:val="en-US"/>
        </w:rPr>
        <w:t xml:space="preserve">mg </w:t>
      </w:r>
      <w:r w:rsidRPr="00AD2DB1">
        <w:rPr>
          <w:rFonts w:eastAsia="Times New Roman" w:cs="Arial"/>
          <w:color w:val="000000"/>
          <w:lang w:eastAsia="bg-BG"/>
        </w:rPr>
        <w:t>(</w:t>
      </w:r>
      <w:r w:rsidRPr="00AD2DB1">
        <w:rPr>
          <w:rFonts w:eastAsia="Times New Roman" w:cs="Arial"/>
          <w:color w:val="000000"/>
          <w:lang w:val="en-US"/>
        </w:rPr>
        <w:t>n</w:t>
      </w:r>
      <w:r w:rsidRPr="00AD2DB1">
        <w:rPr>
          <w:rFonts w:eastAsia="Times New Roman" w:cs="Arial"/>
          <w:color w:val="000000"/>
          <w:lang w:eastAsia="bg-BG"/>
        </w:rPr>
        <w:t>= 299) или ставудин (</w:t>
      </w:r>
      <w:r w:rsidRPr="00AD2DB1">
        <w:rPr>
          <w:rFonts w:eastAsia="Times New Roman" w:cs="Arial"/>
          <w:color w:val="000000"/>
          <w:lang w:val="en-US"/>
        </w:rPr>
        <w:t>n</w:t>
      </w:r>
      <w:r w:rsidRPr="00AD2DB1">
        <w:rPr>
          <w:rFonts w:eastAsia="Times New Roman" w:cs="Arial"/>
          <w:color w:val="000000"/>
          <w:lang w:eastAsia="bg-BG"/>
        </w:rPr>
        <w:t>= 301) в комбинация с ламивудин и ефавиренц в продължение на 144 седмици.</w:t>
      </w:r>
    </w:p>
    <w:p w14:paraId="0913ACD9" w14:textId="77777777" w:rsidR="00AD2DB1" w:rsidRDefault="00AD2DB1" w:rsidP="00AD2DB1">
      <w:pPr>
        <w:rPr>
          <w:rFonts w:eastAsia="Times New Roman" w:cs="Arial"/>
          <w:i/>
          <w:iCs/>
          <w:color w:val="000000"/>
          <w:lang w:eastAsia="bg-BG"/>
        </w:rPr>
      </w:pPr>
    </w:p>
    <w:p w14:paraId="6D4FD5AC" w14:textId="0379A92F" w:rsidR="00AD2DB1" w:rsidRPr="00AD2DB1" w:rsidRDefault="00AD2DB1" w:rsidP="00AD2DB1">
      <w:pPr>
        <w:rPr>
          <w:rFonts w:eastAsia="Times New Roman" w:cs="Arial"/>
          <w:lang w:eastAsia="bg-BG"/>
        </w:rPr>
      </w:pPr>
      <w:r w:rsidRPr="00AD2DB1">
        <w:rPr>
          <w:rFonts w:eastAsia="Times New Roman" w:cs="Arial"/>
          <w:i/>
          <w:iCs/>
          <w:color w:val="000000"/>
          <w:lang w:eastAsia="bg-BG"/>
        </w:rPr>
        <w:t>Клинични проучвания при хепатит В:</w:t>
      </w:r>
      <w:r w:rsidRPr="00AD2DB1">
        <w:rPr>
          <w:rFonts w:eastAsia="Times New Roman" w:cs="Arial"/>
          <w:color w:val="000000"/>
          <w:lang w:eastAsia="bg-BG"/>
        </w:rPr>
        <w:t xml:space="preserve"> Оценката на нежеланите реакции по данни от клинични проучвания при </w:t>
      </w:r>
      <w:r w:rsidRPr="00AD2DB1">
        <w:rPr>
          <w:rFonts w:eastAsia="Times New Roman" w:cs="Arial"/>
          <w:color w:val="000000"/>
          <w:lang w:val="en-US"/>
        </w:rPr>
        <w:t xml:space="preserve">HBV </w:t>
      </w:r>
      <w:r w:rsidRPr="00AD2DB1">
        <w:rPr>
          <w:rFonts w:eastAsia="Times New Roman" w:cs="Arial"/>
          <w:color w:val="000000"/>
          <w:lang w:eastAsia="bg-BG"/>
        </w:rPr>
        <w:t xml:space="preserve">е базирана основно на опита от две двойнослепи контролирани сравнителни проучвания, при които 641 възрастни пациенти с хроничен хепатит В и компенсирано чернодробно заболяване са лекувани с тенофовир дизопроксил 245 </w:t>
      </w:r>
      <w:r w:rsidRPr="00AD2DB1">
        <w:rPr>
          <w:rFonts w:eastAsia="Times New Roman" w:cs="Arial"/>
          <w:color w:val="000000"/>
          <w:lang w:val="en-US"/>
        </w:rPr>
        <w:t xml:space="preserve">mg </w:t>
      </w:r>
      <w:r w:rsidRPr="00AD2DB1">
        <w:rPr>
          <w:rFonts w:eastAsia="Times New Roman" w:cs="Arial"/>
          <w:color w:val="000000"/>
          <w:lang w:eastAsia="bg-BG"/>
        </w:rPr>
        <w:t>дневно (</w:t>
      </w:r>
      <w:r w:rsidRPr="00AD2DB1">
        <w:rPr>
          <w:rFonts w:eastAsia="Times New Roman" w:cs="Arial"/>
          <w:color w:val="000000"/>
          <w:lang w:val="en-US"/>
        </w:rPr>
        <w:t>n</w:t>
      </w:r>
      <w:r w:rsidRPr="00AD2DB1">
        <w:rPr>
          <w:rFonts w:eastAsia="Times New Roman" w:cs="Arial"/>
          <w:color w:val="000000"/>
          <w:lang w:eastAsia="bg-BG"/>
        </w:rPr>
        <w:t xml:space="preserve"> = 426) или адефовир дипивоксил 10 </w:t>
      </w:r>
      <w:r w:rsidRPr="00AD2DB1">
        <w:rPr>
          <w:rFonts w:eastAsia="Times New Roman" w:cs="Arial"/>
          <w:color w:val="000000"/>
          <w:lang w:val="en-US"/>
        </w:rPr>
        <w:t xml:space="preserve">mg </w:t>
      </w:r>
      <w:r w:rsidRPr="00AD2DB1">
        <w:rPr>
          <w:rFonts w:eastAsia="Times New Roman" w:cs="Arial"/>
          <w:color w:val="000000"/>
          <w:lang w:eastAsia="bg-BG"/>
        </w:rPr>
        <w:t>дневно (</w:t>
      </w:r>
      <w:r w:rsidRPr="00AD2DB1">
        <w:rPr>
          <w:rFonts w:eastAsia="Times New Roman" w:cs="Arial"/>
          <w:color w:val="000000"/>
          <w:lang w:val="en-US"/>
        </w:rPr>
        <w:t>n</w:t>
      </w:r>
      <w:r w:rsidRPr="00AD2DB1">
        <w:rPr>
          <w:rFonts w:eastAsia="Times New Roman" w:cs="Arial"/>
          <w:color w:val="000000"/>
          <w:lang w:eastAsia="bg-BG"/>
        </w:rPr>
        <w:t xml:space="preserve"> = 215) в продължение на 48 седмици. Наблюдаваните нежелани реакции при продължаване на лечението до 384 седмици съответстват на профила на безопасност на тенофовир дизопроксил. След първоначално намаляване с приблизителнно 4,9 </w:t>
      </w:r>
      <w:r w:rsidRPr="00AD2DB1">
        <w:rPr>
          <w:rFonts w:eastAsia="Times New Roman" w:cs="Arial"/>
          <w:color w:val="000000"/>
          <w:lang w:val="en-US"/>
        </w:rPr>
        <w:t xml:space="preserve">ml/min </w:t>
      </w:r>
      <w:r w:rsidRPr="00AD2DB1">
        <w:rPr>
          <w:rFonts w:eastAsia="Times New Roman" w:cs="Arial"/>
          <w:color w:val="000000"/>
          <w:lang w:eastAsia="bg-BG"/>
        </w:rPr>
        <w:t xml:space="preserve">(като се използва уравнението на </w:t>
      </w:r>
      <w:r w:rsidRPr="00AD2DB1">
        <w:rPr>
          <w:rFonts w:eastAsia="Times New Roman" w:cs="Arial"/>
          <w:color w:val="000000"/>
          <w:lang w:val="en-US"/>
        </w:rPr>
        <w:t xml:space="preserve">Cockcroft-Gault) </w:t>
      </w:r>
      <w:r w:rsidRPr="00AD2DB1">
        <w:rPr>
          <w:rFonts w:eastAsia="Times New Roman" w:cs="Arial"/>
          <w:color w:val="000000"/>
          <w:lang w:eastAsia="bg-BG"/>
        </w:rPr>
        <w:t xml:space="preserve">или -3,9 </w:t>
      </w:r>
      <w:r w:rsidRPr="00AD2DB1">
        <w:rPr>
          <w:rFonts w:eastAsia="Times New Roman" w:cs="Arial"/>
          <w:color w:val="000000"/>
          <w:lang w:val="en-US"/>
        </w:rPr>
        <w:t xml:space="preserve">ml/min/1,73 </w:t>
      </w:r>
      <w:r w:rsidRPr="00AD2DB1">
        <w:rPr>
          <w:rFonts w:eastAsia="Times New Roman" w:cs="Arial"/>
          <w:color w:val="000000"/>
          <w:lang w:eastAsia="bg-BG"/>
        </w:rPr>
        <w:t xml:space="preserve">m2 (като се използва уравнението за модифициране на диетата при бъбречни заболявания </w:t>
      </w:r>
      <w:r w:rsidRPr="00AD2DB1">
        <w:rPr>
          <w:rFonts w:eastAsia="Times New Roman" w:cs="Arial"/>
          <w:color w:val="000000"/>
          <w:lang w:val="en-US"/>
        </w:rPr>
        <w:t xml:space="preserve">[modification of diet in renal disease, MDRD]) </w:t>
      </w:r>
      <w:r w:rsidRPr="00AD2DB1">
        <w:rPr>
          <w:rFonts w:eastAsia="Times New Roman" w:cs="Arial"/>
          <w:color w:val="000000"/>
          <w:lang w:eastAsia="bg-BG"/>
        </w:rPr>
        <w:t xml:space="preserve">след първите </w:t>
      </w:r>
      <w:r w:rsidRPr="00AD2DB1">
        <w:rPr>
          <w:rFonts w:eastAsia="Times New Roman" w:cs="Arial"/>
          <w:color w:val="000000"/>
          <w:lang w:val="en-US"/>
        </w:rPr>
        <w:t xml:space="preserve">4 </w:t>
      </w:r>
      <w:r w:rsidRPr="00AD2DB1">
        <w:rPr>
          <w:rFonts w:eastAsia="Times New Roman" w:cs="Arial"/>
          <w:color w:val="000000"/>
          <w:lang w:eastAsia="bg-BG"/>
        </w:rPr>
        <w:t>седмици лечение, скоростта на годишно</w:t>
      </w:r>
      <w:r w:rsidRPr="00AD2DB1">
        <w:rPr>
          <w:rFonts w:eastAsia="Times New Roman" w:cs="Arial"/>
          <w:color w:val="000000"/>
          <w:lang w:val="en-US"/>
        </w:rPr>
        <w:t xml:space="preserve"> </w:t>
      </w:r>
      <w:r w:rsidRPr="00AD2DB1">
        <w:rPr>
          <w:rFonts w:eastAsia="Times New Roman" w:cs="Arial"/>
          <w:color w:val="000000"/>
          <w:lang w:eastAsia="bg-BG"/>
        </w:rPr>
        <w:t xml:space="preserve">намаляване след изходно ниво на бъбречната функция, съобщавано за пациенти, лекувани с тенофовир дизопроксил, е било -1,41 </w:t>
      </w:r>
      <w:r w:rsidRPr="00AD2DB1">
        <w:rPr>
          <w:rFonts w:eastAsia="Times New Roman" w:cs="Arial"/>
          <w:color w:val="000000"/>
          <w:lang w:val="en-US"/>
        </w:rPr>
        <w:t xml:space="preserve">ml/min </w:t>
      </w:r>
      <w:r w:rsidRPr="00AD2DB1">
        <w:rPr>
          <w:rFonts w:eastAsia="Times New Roman" w:cs="Arial"/>
          <w:color w:val="000000"/>
          <w:lang w:eastAsia="bg-BG"/>
        </w:rPr>
        <w:t xml:space="preserve">на година (като се използва уравнението на </w:t>
      </w:r>
      <w:proofErr w:type="spellStart"/>
      <w:r w:rsidRPr="00AD2DB1">
        <w:rPr>
          <w:rFonts w:eastAsia="Times New Roman" w:cs="Arial"/>
          <w:color w:val="000000"/>
          <w:lang w:val="en-US"/>
        </w:rPr>
        <w:t>Cockcreft</w:t>
      </w:r>
      <w:proofErr w:type="spellEnd"/>
      <w:r w:rsidRPr="00AD2DB1">
        <w:rPr>
          <w:rFonts w:eastAsia="Times New Roman" w:cs="Arial"/>
          <w:color w:val="000000"/>
          <w:lang w:val="en-US"/>
        </w:rPr>
        <w:t xml:space="preserve">-Gault) </w:t>
      </w:r>
      <w:r w:rsidRPr="00AD2DB1">
        <w:rPr>
          <w:rFonts w:eastAsia="Times New Roman" w:cs="Arial"/>
          <w:color w:val="000000"/>
          <w:lang w:eastAsia="bg-BG"/>
        </w:rPr>
        <w:t>и</w:t>
      </w:r>
      <w:r>
        <w:rPr>
          <w:rFonts w:eastAsia="Times New Roman" w:cs="Arial"/>
          <w:color w:val="000000"/>
          <w:lang w:val="en-US" w:eastAsia="bg-BG"/>
        </w:rPr>
        <w:t xml:space="preserve"> </w:t>
      </w:r>
      <w:r w:rsidRPr="00AD2DB1">
        <w:rPr>
          <w:rFonts w:eastAsia="Times New Roman" w:cs="Arial"/>
          <w:color w:val="000000"/>
          <w:lang w:eastAsia="bg-BG"/>
        </w:rPr>
        <w:t xml:space="preserve">0,74 </w:t>
      </w:r>
      <w:r w:rsidRPr="00AD2DB1">
        <w:rPr>
          <w:rFonts w:eastAsia="Times New Roman" w:cs="Arial"/>
          <w:color w:val="000000"/>
          <w:lang w:val="en-US"/>
        </w:rPr>
        <w:t xml:space="preserve">ml/min/1,73 m2 </w:t>
      </w:r>
      <w:r w:rsidRPr="00AD2DB1">
        <w:rPr>
          <w:rFonts w:eastAsia="Times New Roman" w:cs="Arial"/>
          <w:color w:val="000000"/>
          <w:lang w:eastAsia="bg-BG"/>
        </w:rPr>
        <w:t xml:space="preserve">на година (като се използва уравнението за </w:t>
      </w:r>
      <w:r w:rsidRPr="00AD2DB1">
        <w:rPr>
          <w:rFonts w:eastAsia="Times New Roman" w:cs="Arial"/>
          <w:color w:val="000000"/>
          <w:lang w:val="en-US"/>
        </w:rPr>
        <w:t>MDRD).</w:t>
      </w:r>
    </w:p>
    <w:p w14:paraId="01B016B4" w14:textId="77777777" w:rsidR="00AD2DB1" w:rsidRDefault="00AD2DB1" w:rsidP="00AD2DB1">
      <w:pPr>
        <w:spacing w:line="240" w:lineRule="auto"/>
        <w:rPr>
          <w:rFonts w:eastAsia="Times New Roman" w:cs="Arial"/>
          <w:i/>
          <w:iCs/>
          <w:color w:val="000000"/>
          <w:lang w:eastAsia="bg-BG"/>
        </w:rPr>
      </w:pPr>
    </w:p>
    <w:p w14:paraId="2AC52B49" w14:textId="6D5C1C21" w:rsidR="00AD2DB1" w:rsidRPr="00AD2DB1" w:rsidRDefault="00AD2DB1" w:rsidP="00AD2DB1">
      <w:pPr>
        <w:spacing w:line="240" w:lineRule="auto"/>
        <w:rPr>
          <w:rFonts w:eastAsia="Times New Roman" w:cs="Arial"/>
          <w:lang w:eastAsia="bg-BG"/>
        </w:rPr>
      </w:pPr>
      <w:r w:rsidRPr="00AD2DB1">
        <w:rPr>
          <w:rFonts w:eastAsia="Times New Roman" w:cs="Arial"/>
          <w:i/>
          <w:iCs/>
          <w:color w:val="000000"/>
          <w:lang w:eastAsia="bg-BG"/>
        </w:rPr>
        <w:lastRenderedPageBreak/>
        <w:t>Пациенти с декомпенсирано чернодробно заболяване:</w:t>
      </w:r>
      <w:r w:rsidRPr="00AD2DB1">
        <w:rPr>
          <w:rFonts w:eastAsia="Times New Roman" w:cs="Arial"/>
          <w:color w:val="000000"/>
          <w:lang w:eastAsia="bg-BG"/>
        </w:rPr>
        <w:t xml:space="preserve"> Профилът на безопасност на тенофовир дизопроксил при пациенти с декомпенсирано чернодробно заболяване е бил оценен при едно двойносляпо активно контролирано проучване </w:t>
      </w:r>
      <w:r w:rsidRPr="00AD2DB1">
        <w:rPr>
          <w:rFonts w:eastAsia="Times New Roman" w:cs="Arial"/>
          <w:color w:val="000000"/>
          <w:lang w:val="en-US"/>
        </w:rPr>
        <w:t>(GS-US-</w:t>
      </w:r>
      <w:r w:rsidRPr="00AD2DB1">
        <w:rPr>
          <w:rFonts w:eastAsia="Times New Roman" w:cs="Arial"/>
          <w:color w:val="000000"/>
          <w:lang w:eastAsia="bg-BG"/>
        </w:rPr>
        <w:t>174-0108), при което възрастни пациенти са получавали лечение с тенофовир дизопроксил (п = 45) или емтрицитабин плюс тенофовир дизопроксил (</w:t>
      </w:r>
      <w:r w:rsidRPr="00AD2DB1">
        <w:rPr>
          <w:rFonts w:eastAsia="Times New Roman" w:cs="Arial"/>
          <w:color w:val="000000"/>
          <w:lang w:val="en-US"/>
        </w:rPr>
        <w:t>n</w:t>
      </w:r>
      <w:r w:rsidRPr="00AD2DB1">
        <w:rPr>
          <w:rFonts w:eastAsia="Times New Roman" w:cs="Arial"/>
          <w:color w:val="000000"/>
          <w:lang w:eastAsia="bg-BG"/>
        </w:rPr>
        <w:t>= 45) или ентекавир (</w:t>
      </w:r>
      <w:r w:rsidRPr="00AD2DB1">
        <w:rPr>
          <w:rFonts w:eastAsia="Times New Roman" w:cs="Arial"/>
          <w:color w:val="000000"/>
          <w:lang w:val="en-US"/>
        </w:rPr>
        <w:t>n</w:t>
      </w:r>
      <w:r w:rsidRPr="00AD2DB1">
        <w:rPr>
          <w:rFonts w:eastAsia="Times New Roman" w:cs="Arial"/>
          <w:color w:val="000000"/>
          <w:lang w:eastAsia="bg-BG"/>
        </w:rPr>
        <w:t>= 22) в продължение на 48 седмици.</w:t>
      </w:r>
    </w:p>
    <w:p w14:paraId="1776F128" w14:textId="77777777" w:rsidR="00AD2DB1" w:rsidRDefault="00AD2DB1" w:rsidP="00AD2DB1">
      <w:pPr>
        <w:spacing w:line="240" w:lineRule="auto"/>
        <w:rPr>
          <w:rFonts w:eastAsia="Times New Roman" w:cs="Arial"/>
          <w:color w:val="000000"/>
          <w:lang w:eastAsia="bg-BG"/>
        </w:rPr>
      </w:pPr>
    </w:p>
    <w:p w14:paraId="691A5679" w14:textId="5B639C7B"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 xml:space="preserve">В рамото на лечение с тенофовир дизопроксил 7 % от пациентите са прекъснали лечението поради нежелано събитие; при 9 % от пациентите е потвърдено повишаване на серумния креатинин ≥ 0,5 </w:t>
      </w:r>
      <w:r w:rsidRPr="00AD2DB1">
        <w:rPr>
          <w:rFonts w:eastAsia="Times New Roman" w:cs="Arial"/>
          <w:color w:val="000000"/>
          <w:lang w:val="en-US"/>
        </w:rPr>
        <w:t xml:space="preserve">mg/dl </w:t>
      </w:r>
      <w:r w:rsidRPr="00AD2DB1">
        <w:rPr>
          <w:rFonts w:eastAsia="Times New Roman" w:cs="Arial"/>
          <w:color w:val="000000"/>
          <w:lang w:eastAsia="bg-BG"/>
        </w:rPr>
        <w:t xml:space="preserve">или са потвърдени серумни фосфати &lt; 2 </w:t>
      </w:r>
      <w:r w:rsidRPr="00AD2DB1">
        <w:rPr>
          <w:rFonts w:eastAsia="Times New Roman" w:cs="Arial"/>
          <w:color w:val="000000"/>
          <w:lang w:val="en-US"/>
        </w:rPr>
        <w:t xml:space="preserve">mg/dl </w:t>
      </w:r>
      <w:r w:rsidRPr="00AD2DB1">
        <w:rPr>
          <w:rFonts w:eastAsia="Times New Roman" w:cs="Arial"/>
          <w:color w:val="000000"/>
          <w:lang w:eastAsia="bg-BG"/>
        </w:rPr>
        <w:t xml:space="preserve">през седмица 48; няма статистически значителна разлика между рамената с комбинирано лечение, включващо тенофовир, и рамото с ентекавир. След 168 седмици 16 % (7/45) от групата на лечение с тенофовир дизопроксил, 4 % (2/45) от групата на лечение с емтрицитабин плюс тенофовир дизопроксил и 14 % (3/22) от групата на лечение с ентекавир имат неуспех по отношение на поносимостта. Тринадесет процента (6/45) от групата на лечение с тенофовир дизопроксил, 13 % (6/45) от групата на лечение с емтрицитабин плюс тенофовир дизопроксил и 9 % (2/22) от групата на лечение с ентекавир имат потвърдено повишаване на серумния креатинин ≥ 0,5 </w:t>
      </w:r>
      <w:r w:rsidRPr="00AD2DB1">
        <w:rPr>
          <w:rFonts w:eastAsia="Times New Roman" w:cs="Arial"/>
          <w:color w:val="000000"/>
          <w:lang w:val="en-US"/>
        </w:rPr>
        <w:t xml:space="preserve">mg/dl </w:t>
      </w:r>
      <w:r w:rsidRPr="00AD2DB1">
        <w:rPr>
          <w:rFonts w:eastAsia="Times New Roman" w:cs="Arial"/>
          <w:color w:val="000000"/>
          <w:lang w:eastAsia="bg-BG"/>
        </w:rPr>
        <w:t xml:space="preserve">или потвърдени серумни фосфати &lt; 2 </w:t>
      </w:r>
      <w:r w:rsidRPr="00AD2DB1">
        <w:rPr>
          <w:rFonts w:eastAsia="Times New Roman" w:cs="Arial"/>
          <w:color w:val="000000"/>
          <w:lang w:val="en-US"/>
        </w:rPr>
        <w:t>mg/dl.</w:t>
      </w:r>
    </w:p>
    <w:p w14:paraId="43CD534D" w14:textId="77777777" w:rsidR="00AD2DB1" w:rsidRDefault="00AD2DB1" w:rsidP="00AD2DB1">
      <w:pPr>
        <w:spacing w:line="240" w:lineRule="auto"/>
        <w:rPr>
          <w:rFonts w:eastAsia="Times New Roman" w:cs="Arial"/>
          <w:color w:val="000000"/>
          <w:lang w:eastAsia="bg-BG"/>
        </w:rPr>
      </w:pPr>
    </w:p>
    <w:p w14:paraId="327460AF" w14:textId="490E472D"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 xml:space="preserve">В седмица 168 в тази популация от пациенти с декомпенсирано чернодробно заболяване смъртността е 13 % (6/45) в групата на лечение с тенофовир дизопроксил, 11 % (5/45) в групата на лечение с емтрицитабин плюс тенофовир дизопроксил и 14 % (3/22) в групата на лечение с ентекавир. Честотата на хепатоцелуларен карцином е 18 % (8/45) в групата на лечение с тенофовир дизопроксил, 7 % (3/45) в групата на лечение с емтрицитабин плюс тенофовир дизопроксил и 9 % (2/22) в групата на лечение с ентекавир. </w:t>
      </w:r>
      <w:r w:rsidRPr="00AD2DB1">
        <w:rPr>
          <w:rFonts w:eastAsia="Times New Roman" w:cs="Arial"/>
          <w:color w:val="000000"/>
          <w:lang w:val="en-US"/>
        </w:rPr>
        <w:t>J</w:t>
      </w:r>
    </w:p>
    <w:p w14:paraId="52D22CBD" w14:textId="77777777" w:rsidR="00AD2DB1" w:rsidRDefault="00AD2DB1" w:rsidP="00AD2DB1">
      <w:pPr>
        <w:spacing w:line="240" w:lineRule="auto"/>
        <w:rPr>
          <w:rFonts w:eastAsia="Times New Roman" w:cs="Arial"/>
          <w:color w:val="000000"/>
          <w:lang w:eastAsia="bg-BG"/>
        </w:rPr>
      </w:pPr>
    </w:p>
    <w:p w14:paraId="35ADF5A9" w14:textId="37019587"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Участниците с висок изходен СРТ-скор са имали по-висок риск за развитие на сериозни нежелани реакции (вж. точка 4.4).</w:t>
      </w:r>
    </w:p>
    <w:p w14:paraId="1EB83EA9" w14:textId="77777777" w:rsidR="00AD2DB1" w:rsidRDefault="00AD2DB1" w:rsidP="00AD2DB1">
      <w:pPr>
        <w:spacing w:line="240" w:lineRule="auto"/>
        <w:rPr>
          <w:rFonts w:eastAsia="Times New Roman" w:cs="Arial"/>
          <w:i/>
          <w:iCs/>
          <w:color w:val="000000"/>
          <w:lang w:eastAsia="bg-BG"/>
        </w:rPr>
      </w:pPr>
    </w:p>
    <w:p w14:paraId="6DB6374C" w14:textId="640B408D" w:rsidR="00AD2DB1" w:rsidRPr="00AD2DB1" w:rsidRDefault="00AD2DB1" w:rsidP="00AD2DB1">
      <w:pPr>
        <w:spacing w:line="240" w:lineRule="auto"/>
        <w:rPr>
          <w:rFonts w:eastAsia="Times New Roman" w:cs="Arial"/>
          <w:lang w:eastAsia="bg-BG"/>
        </w:rPr>
      </w:pPr>
      <w:r w:rsidRPr="00AD2DB1">
        <w:rPr>
          <w:rFonts w:eastAsia="Times New Roman" w:cs="Arial"/>
          <w:i/>
          <w:iCs/>
          <w:color w:val="000000"/>
          <w:lang w:eastAsia="bg-BG"/>
        </w:rPr>
        <w:t>Пациенти с резистентен на ламивудин хроничен хепатит В:</w:t>
      </w:r>
      <w:r w:rsidRPr="00AD2DB1">
        <w:rPr>
          <w:rFonts w:eastAsia="Times New Roman" w:cs="Arial"/>
          <w:color w:val="000000"/>
          <w:lang w:eastAsia="bg-BG"/>
        </w:rPr>
        <w:t xml:space="preserve"> Не са установени нови нежелани реакции към тенофовир дизопроксил от едно рандомизирано, двойносляпо проучване </w:t>
      </w:r>
      <w:r w:rsidRPr="00AD2DB1">
        <w:rPr>
          <w:rFonts w:eastAsia="Times New Roman" w:cs="Arial"/>
          <w:color w:val="000000"/>
          <w:lang w:val="en-US"/>
        </w:rPr>
        <w:t xml:space="preserve">(GS-US- </w:t>
      </w:r>
      <w:r w:rsidRPr="00AD2DB1">
        <w:rPr>
          <w:rFonts w:eastAsia="Times New Roman" w:cs="Arial"/>
          <w:color w:val="000000"/>
          <w:lang w:eastAsia="bg-BG"/>
        </w:rPr>
        <w:t>174-0121), при което 280 резистентни на ламивудин пациенти са получили лечение с тенофовир дизопроксил (</w:t>
      </w:r>
      <w:r w:rsidRPr="00AD2DB1">
        <w:rPr>
          <w:rFonts w:eastAsia="Times New Roman" w:cs="Arial"/>
          <w:color w:val="000000"/>
          <w:lang w:val="en-US"/>
        </w:rPr>
        <w:t>n</w:t>
      </w:r>
      <w:r w:rsidRPr="00AD2DB1">
        <w:rPr>
          <w:rFonts w:eastAsia="Times New Roman" w:cs="Arial"/>
          <w:color w:val="000000"/>
          <w:lang w:eastAsia="bg-BG"/>
        </w:rPr>
        <w:t xml:space="preserve"> = 141) или емтрицитабин/тенофовир дизопроксил (</w:t>
      </w:r>
      <w:r w:rsidRPr="00AD2DB1">
        <w:rPr>
          <w:rFonts w:eastAsia="Times New Roman" w:cs="Arial"/>
          <w:color w:val="000000"/>
          <w:lang w:val="en-US"/>
        </w:rPr>
        <w:t>n</w:t>
      </w:r>
      <w:r w:rsidRPr="00AD2DB1">
        <w:rPr>
          <w:rFonts w:eastAsia="Times New Roman" w:cs="Arial"/>
          <w:color w:val="000000"/>
          <w:lang w:eastAsia="bg-BG"/>
        </w:rPr>
        <w:t xml:space="preserve"> = 139) в продължение на 240 седмици.</w:t>
      </w:r>
    </w:p>
    <w:p w14:paraId="06399731" w14:textId="77777777" w:rsidR="00AD2DB1" w:rsidRDefault="00AD2DB1" w:rsidP="00AD2DB1">
      <w:pPr>
        <w:spacing w:line="240" w:lineRule="auto"/>
        <w:rPr>
          <w:rFonts w:eastAsia="Times New Roman" w:cs="Arial"/>
          <w:color w:val="000000"/>
          <w:lang w:eastAsia="bg-BG"/>
        </w:rPr>
      </w:pPr>
    </w:p>
    <w:p w14:paraId="027455D3" w14:textId="1D48A047"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По-долу са изброени нежеланите реакции с подозирана (поне възможна) връзка с лечението, подредени по системо-органни класове и честота. При всяко групиране в зависимост от честотата, нежеланите лекарствени реакции се изброяват в низходящ ред по отношение на тяхната сериозност. Честотите им се определят като:</w:t>
      </w:r>
    </w:p>
    <w:p w14:paraId="440D32D4" w14:textId="77777777" w:rsidR="00AD2DB1" w:rsidRPr="00AD2DB1" w:rsidRDefault="00AD2DB1" w:rsidP="00AD2DB1">
      <w:pPr>
        <w:spacing w:line="240" w:lineRule="auto"/>
        <w:rPr>
          <w:rFonts w:eastAsia="Times New Roman" w:cs="Arial"/>
          <w:lang w:eastAsia="bg-BG"/>
        </w:rPr>
      </w:pPr>
      <w:r w:rsidRPr="00AD2DB1">
        <w:rPr>
          <w:rFonts w:eastAsia="Times New Roman" w:cs="Arial"/>
          <w:i/>
          <w:iCs/>
          <w:color w:val="000000"/>
          <w:lang w:eastAsia="bg-BG"/>
        </w:rPr>
        <w:t>много чести (≥ 1/10), чести (≥ 1/100 до &lt; 1/10), нечести (≥1/1000 дд &lt; 1/100) или редки (≥ 1/10 000 до &lt; 1/1000),</w:t>
      </w:r>
    </w:p>
    <w:p w14:paraId="7CA85878" w14:textId="77777777" w:rsidR="00AD2DB1" w:rsidRDefault="00AD2DB1" w:rsidP="00AD2DB1">
      <w:pPr>
        <w:rPr>
          <w:rFonts w:eastAsia="Times New Roman" w:cs="Arial"/>
          <w:b/>
          <w:bCs/>
          <w:color w:val="000000"/>
          <w:lang w:eastAsia="bg-BG"/>
        </w:rPr>
      </w:pPr>
    </w:p>
    <w:p w14:paraId="474B71E8" w14:textId="6156EE53" w:rsidR="00AD2DB1" w:rsidRDefault="00AD2DB1" w:rsidP="00AD2DB1">
      <w:pPr>
        <w:rPr>
          <w:rFonts w:eastAsia="Times New Roman" w:cs="Arial"/>
          <w:b/>
          <w:bCs/>
          <w:color w:val="000000"/>
          <w:lang w:eastAsia="bg-BG"/>
        </w:rPr>
      </w:pPr>
      <w:r w:rsidRPr="00AD2DB1">
        <w:rPr>
          <w:rFonts w:eastAsia="Times New Roman" w:cs="Arial"/>
          <w:b/>
          <w:bCs/>
          <w:color w:val="000000"/>
          <w:lang w:eastAsia="bg-BG"/>
        </w:rPr>
        <w:t>Таблица 2: Таблично обобщение на нежеланите реакции, свързани с тенофовир дизопроксил, базирано на опита от клинични проучвания и постмаркетинговия опит</w:t>
      </w:r>
    </w:p>
    <w:tbl>
      <w:tblPr>
        <w:tblStyle w:val="TableGrid"/>
        <w:tblW w:w="0" w:type="auto"/>
        <w:tblLook w:val="04A0" w:firstRow="1" w:lastRow="0" w:firstColumn="1" w:lastColumn="0" w:noHBand="0" w:noVBand="1"/>
      </w:tblPr>
      <w:tblGrid>
        <w:gridCol w:w="4663"/>
        <w:gridCol w:w="4687"/>
      </w:tblGrid>
      <w:tr w:rsidR="00AD2DB1" w14:paraId="044451B5" w14:textId="77777777" w:rsidTr="00206CF1">
        <w:tc>
          <w:tcPr>
            <w:tcW w:w="4750" w:type="dxa"/>
            <w:vAlign w:val="bottom"/>
          </w:tcPr>
          <w:p w14:paraId="36A3A2B7" w14:textId="17B707F1" w:rsidR="00AD2DB1" w:rsidRPr="00AD2DB1" w:rsidRDefault="00AD2DB1" w:rsidP="00AD2DB1">
            <w:pPr>
              <w:rPr>
                <w:rFonts w:eastAsia="Times New Roman" w:cs="Arial"/>
                <w:color w:val="000000"/>
                <w:lang w:val="en-US" w:eastAsia="bg-BG"/>
              </w:rPr>
            </w:pPr>
            <w:r w:rsidRPr="00AD2DB1">
              <w:rPr>
                <w:b/>
                <w:bCs/>
              </w:rPr>
              <w:t>Честота</w:t>
            </w:r>
          </w:p>
        </w:tc>
        <w:tc>
          <w:tcPr>
            <w:tcW w:w="4750" w:type="dxa"/>
            <w:vAlign w:val="bottom"/>
          </w:tcPr>
          <w:p w14:paraId="3EA6136F" w14:textId="63B8743A" w:rsidR="00AD2DB1" w:rsidRPr="00AD2DB1" w:rsidRDefault="00AD2DB1" w:rsidP="00AD2DB1">
            <w:pPr>
              <w:rPr>
                <w:rFonts w:eastAsia="Times New Roman" w:cs="Arial"/>
                <w:color w:val="000000"/>
                <w:lang w:val="en-US" w:eastAsia="bg-BG"/>
              </w:rPr>
            </w:pPr>
            <w:r w:rsidRPr="00AD2DB1">
              <w:rPr>
                <w:b/>
                <w:bCs/>
              </w:rPr>
              <w:t>Тенофовир дизопроксил</w:t>
            </w:r>
          </w:p>
        </w:tc>
      </w:tr>
      <w:tr w:rsidR="00AD2DB1" w14:paraId="0C24FC2E" w14:textId="77777777" w:rsidTr="00206CF1">
        <w:tc>
          <w:tcPr>
            <w:tcW w:w="9500" w:type="dxa"/>
            <w:gridSpan w:val="2"/>
            <w:vAlign w:val="bottom"/>
          </w:tcPr>
          <w:p w14:paraId="1CFC0A54" w14:textId="5F4FBD8E" w:rsidR="00AD2DB1" w:rsidRPr="00AD2DB1" w:rsidRDefault="00AD2DB1" w:rsidP="00AD2DB1">
            <w:pPr>
              <w:rPr>
                <w:rFonts w:eastAsia="Times New Roman" w:cs="Arial"/>
                <w:color w:val="000000"/>
                <w:lang w:val="en-US" w:eastAsia="bg-BG"/>
              </w:rPr>
            </w:pPr>
            <w:r w:rsidRPr="00AD2DB1">
              <w:rPr>
                <w:i/>
                <w:iCs/>
              </w:rPr>
              <w:t>Нарушения на метаболизма и храненето:</w:t>
            </w:r>
          </w:p>
        </w:tc>
      </w:tr>
      <w:tr w:rsidR="00AD2DB1" w14:paraId="1E01F35D" w14:textId="77777777" w:rsidTr="00206CF1">
        <w:tc>
          <w:tcPr>
            <w:tcW w:w="4750" w:type="dxa"/>
            <w:vAlign w:val="bottom"/>
          </w:tcPr>
          <w:p w14:paraId="01EB2504" w14:textId="2C96940E" w:rsidR="00AD2DB1" w:rsidRPr="00AD2DB1" w:rsidRDefault="00AD2DB1" w:rsidP="00AD2DB1">
            <w:pPr>
              <w:rPr>
                <w:rFonts w:eastAsia="Times New Roman" w:cs="Arial"/>
                <w:color w:val="000000"/>
                <w:lang w:val="en-US" w:eastAsia="bg-BG"/>
              </w:rPr>
            </w:pPr>
            <w:r w:rsidRPr="00AD2DB1">
              <w:t>Много чести:</w:t>
            </w:r>
          </w:p>
        </w:tc>
        <w:tc>
          <w:tcPr>
            <w:tcW w:w="4750" w:type="dxa"/>
            <w:vAlign w:val="bottom"/>
          </w:tcPr>
          <w:p w14:paraId="34F7B5B0" w14:textId="27BAB13B" w:rsidR="00AD2DB1" w:rsidRPr="00AD2DB1" w:rsidRDefault="00AD2DB1" w:rsidP="00AD2DB1">
            <w:pPr>
              <w:rPr>
                <w:rFonts w:eastAsia="Times New Roman" w:cs="Arial"/>
                <w:color w:val="000000"/>
                <w:lang w:val="en-US" w:eastAsia="bg-BG"/>
              </w:rPr>
            </w:pPr>
            <w:r w:rsidRPr="00AD2DB1">
              <w:t>хипофосфатемия</w:t>
            </w:r>
            <w:r w:rsidRPr="00AD2DB1">
              <w:rPr>
                <w:vertAlign w:val="superscript"/>
              </w:rPr>
              <w:t>1</w:t>
            </w:r>
          </w:p>
        </w:tc>
      </w:tr>
      <w:tr w:rsidR="00AD2DB1" w14:paraId="761591D8" w14:textId="77777777" w:rsidTr="00AD2DB1">
        <w:tc>
          <w:tcPr>
            <w:tcW w:w="4750" w:type="dxa"/>
          </w:tcPr>
          <w:p w14:paraId="4BE1F9C5" w14:textId="402DFD99" w:rsidR="00AD2DB1" w:rsidRPr="00AD2DB1" w:rsidRDefault="00AD2DB1" w:rsidP="00AD2DB1">
            <w:pPr>
              <w:rPr>
                <w:rFonts w:eastAsia="Times New Roman" w:cs="Arial"/>
                <w:color w:val="000000"/>
                <w:lang w:val="en-US" w:eastAsia="bg-BG"/>
              </w:rPr>
            </w:pPr>
            <w:r w:rsidRPr="00AD2DB1">
              <w:t>Нечести:</w:t>
            </w:r>
          </w:p>
        </w:tc>
        <w:tc>
          <w:tcPr>
            <w:tcW w:w="4750" w:type="dxa"/>
          </w:tcPr>
          <w:p w14:paraId="3737E33E" w14:textId="3F66B644" w:rsidR="00AD2DB1" w:rsidRPr="00AD2DB1" w:rsidRDefault="00AD2DB1" w:rsidP="00AD2DB1">
            <w:pPr>
              <w:rPr>
                <w:rFonts w:eastAsia="Times New Roman" w:cs="Arial"/>
                <w:color w:val="000000"/>
                <w:lang w:val="en-US" w:eastAsia="bg-BG"/>
              </w:rPr>
            </w:pPr>
            <w:r w:rsidRPr="00AD2DB1">
              <w:t>хипокалиемия</w:t>
            </w:r>
            <w:r w:rsidRPr="00AD2DB1">
              <w:rPr>
                <w:vertAlign w:val="superscript"/>
              </w:rPr>
              <w:t>1</w:t>
            </w:r>
          </w:p>
        </w:tc>
      </w:tr>
      <w:tr w:rsidR="00AD2DB1" w14:paraId="4CC80289" w14:textId="77777777" w:rsidTr="00206CF1">
        <w:tc>
          <w:tcPr>
            <w:tcW w:w="4750" w:type="dxa"/>
            <w:vAlign w:val="bottom"/>
          </w:tcPr>
          <w:p w14:paraId="348900E2" w14:textId="626B26D1" w:rsidR="00AD2DB1" w:rsidRPr="00AD2DB1" w:rsidRDefault="00AD2DB1" w:rsidP="00AD2DB1">
            <w:pPr>
              <w:rPr>
                <w:rFonts w:eastAsia="Times New Roman" w:cs="Arial"/>
                <w:color w:val="000000"/>
                <w:lang w:val="en-US" w:eastAsia="bg-BG"/>
              </w:rPr>
            </w:pPr>
            <w:r w:rsidRPr="00AD2DB1">
              <w:t>Редки:</w:t>
            </w:r>
          </w:p>
        </w:tc>
        <w:tc>
          <w:tcPr>
            <w:tcW w:w="4750" w:type="dxa"/>
            <w:vAlign w:val="bottom"/>
          </w:tcPr>
          <w:p w14:paraId="06F3A9DC" w14:textId="43BD1124" w:rsidR="00AD2DB1" w:rsidRPr="00AD2DB1" w:rsidRDefault="00AD2DB1" w:rsidP="00AD2DB1">
            <w:pPr>
              <w:rPr>
                <w:rFonts w:eastAsia="Times New Roman" w:cs="Arial"/>
                <w:color w:val="000000"/>
                <w:lang w:val="en-US" w:eastAsia="bg-BG"/>
              </w:rPr>
            </w:pPr>
            <w:r w:rsidRPr="00AD2DB1">
              <w:t>лактатна ацидоза</w:t>
            </w:r>
          </w:p>
        </w:tc>
      </w:tr>
      <w:tr w:rsidR="00AD2DB1" w14:paraId="0CD14816" w14:textId="77777777" w:rsidTr="00206CF1">
        <w:tc>
          <w:tcPr>
            <w:tcW w:w="9500" w:type="dxa"/>
            <w:gridSpan w:val="2"/>
            <w:vAlign w:val="bottom"/>
          </w:tcPr>
          <w:p w14:paraId="5C3C3530" w14:textId="65173515" w:rsidR="00AD2DB1" w:rsidRPr="00AD2DB1" w:rsidRDefault="00AD2DB1" w:rsidP="00AD2DB1">
            <w:pPr>
              <w:rPr>
                <w:rFonts w:eastAsia="Times New Roman" w:cs="Arial"/>
                <w:color w:val="000000"/>
                <w:lang w:val="en-US" w:eastAsia="bg-BG"/>
              </w:rPr>
            </w:pPr>
            <w:r w:rsidRPr="00AD2DB1">
              <w:rPr>
                <w:i/>
                <w:iCs/>
              </w:rPr>
              <w:lastRenderedPageBreak/>
              <w:t>Нарушения на нервната система:</w:t>
            </w:r>
          </w:p>
        </w:tc>
      </w:tr>
      <w:tr w:rsidR="00AD2DB1" w14:paraId="13AEA5A3" w14:textId="77777777" w:rsidTr="00206CF1">
        <w:tc>
          <w:tcPr>
            <w:tcW w:w="4750" w:type="dxa"/>
            <w:vAlign w:val="bottom"/>
          </w:tcPr>
          <w:p w14:paraId="53C718B5" w14:textId="1CA769A7" w:rsidR="00AD2DB1" w:rsidRPr="00AD2DB1" w:rsidRDefault="00AD2DB1" w:rsidP="00AD2DB1">
            <w:pPr>
              <w:rPr>
                <w:rFonts w:eastAsia="Times New Roman" w:cs="Arial"/>
                <w:color w:val="000000"/>
                <w:lang w:val="en-US" w:eastAsia="bg-BG"/>
              </w:rPr>
            </w:pPr>
            <w:r w:rsidRPr="00AD2DB1">
              <w:t>Много чести:</w:t>
            </w:r>
          </w:p>
        </w:tc>
        <w:tc>
          <w:tcPr>
            <w:tcW w:w="4750" w:type="dxa"/>
            <w:vAlign w:val="bottom"/>
          </w:tcPr>
          <w:p w14:paraId="180BB1BF" w14:textId="5D8CFBB1" w:rsidR="00AD2DB1" w:rsidRPr="00AD2DB1" w:rsidRDefault="00AD2DB1" w:rsidP="00AD2DB1">
            <w:pPr>
              <w:rPr>
                <w:rFonts w:eastAsia="Times New Roman" w:cs="Arial"/>
                <w:color w:val="000000"/>
                <w:lang w:val="en-US" w:eastAsia="bg-BG"/>
              </w:rPr>
            </w:pPr>
            <w:r w:rsidRPr="00AD2DB1">
              <w:t>замаяност</w:t>
            </w:r>
          </w:p>
        </w:tc>
      </w:tr>
      <w:tr w:rsidR="00AD2DB1" w14:paraId="42962288" w14:textId="77777777" w:rsidTr="00AD2DB1">
        <w:tc>
          <w:tcPr>
            <w:tcW w:w="4750" w:type="dxa"/>
          </w:tcPr>
          <w:p w14:paraId="2E150900" w14:textId="04A08ED8" w:rsidR="00AD2DB1" w:rsidRPr="00AD2DB1" w:rsidRDefault="00AD2DB1" w:rsidP="00AD2DB1">
            <w:pPr>
              <w:rPr>
                <w:rFonts w:eastAsia="Times New Roman" w:cs="Arial"/>
                <w:color w:val="000000"/>
                <w:lang w:val="en-US" w:eastAsia="bg-BG"/>
              </w:rPr>
            </w:pPr>
            <w:r w:rsidRPr="00AD2DB1">
              <w:t>Чести:</w:t>
            </w:r>
          </w:p>
        </w:tc>
        <w:tc>
          <w:tcPr>
            <w:tcW w:w="4750" w:type="dxa"/>
          </w:tcPr>
          <w:p w14:paraId="780713F9" w14:textId="1E94AA45" w:rsidR="00AD2DB1" w:rsidRPr="00AD2DB1" w:rsidRDefault="00AD2DB1" w:rsidP="00AD2DB1">
            <w:pPr>
              <w:rPr>
                <w:rFonts w:eastAsia="Times New Roman" w:cs="Arial"/>
                <w:color w:val="000000"/>
                <w:lang w:val="en-US" w:eastAsia="bg-BG"/>
              </w:rPr>
            </w:pPr>
            <w:r w:rsidRPr="00AD2DB1">
              <w:t>главоболие</w:t>
            </w:r>
          </w:p>
        </w:tc>
      </w:tr>
      <w:tr w:rsidR="00AD2DB1" w14:paraId="17196A9D" w14:textId="77777777" w:rsidTr="00206CF1">
        <w:tc>
          <w:tcPr>
            <w:tcW w:w="9500" w:type="dxa"/>
            <w:gridSpan w:val="2"/>
          </w:tcPr>
          <w:p w14:paraId="5F674044" w14:textId="0DA5AC50" w:rsidR="00AD2DB1" w:rsidRPr="00AD2DB1" w:rsidRDefault="00AD2DB1" w:rsidP="00AD2DB1">
            <w:pPr>
              <w:rPr>
                <w:rFonts w:eastAsia="Times New Roman" w:cs="Arial"/>
                <w:color w:val="000000"/>
                <w:lang w:val="en-US" w:eastAsia="bg-BG"/>
              </w:rPr>
            </w:pPr>
            <w:r w:rsidRPr="00AD2DB1">
              <w:rPr>
                <w:i/>
                <w:iCs/>
              </w:rPr>
              <w:t>Стомашно-чревни нарушения:</w:t>
            </w:r>
          </w:p>
        </w:tc>
      </w:tr>
      <w:tr w:rsidR="00AD2DB1" w14:paraId="040F5F1A" w14:textId="77777777" w:rsidTr="00AD2DB1">
        <w:tc>
          <w:tcPr>
            <w:tcW w:w="4750" w:type="dxa"/>
          </w:tcPr>
          <w:p w14:paraId="451BD0D1" w14:textId="7F305D04" w:rsidR="00AD2DB1" w:rsidRPr="00AD2DB1" w:rsidRDefault="00AD2DB1" w:rsidP="00AD2DB1">
            <w:pPr>
              <w:rPr>
                <w:rFonts w:eastAsia="Times New Roman" w:cs="Arial"/>
                <w:color w:val="000000"/>
                <w:lang w:val="en-US" w:eastAsia="bg-BG"/>
              </w:rPr>
            </w:pPr>
            <w:r w:rsidRPr="00AD2DB1">
              <w:t>Много чести:</w:t>
            </w:r>
          </w:p>
        </w:tc>
        <w:tc>
          <w:tcPr>
            <w:tcW w:w="4750" w:type="dxa"/>
          </w:tcPr>
          <w:p w14:paraId="5726BC37" w14:textId="7D6D4F52" w:rsidR="00AD2DB1" w:rsidRPr="00AD2DB1" w:rsidRDefault="00AD2DB1" w:rsidP="00AD2DB1">
            <w:pPr>
              <w:rPr>
                <w:rFonts w:eastAsia="Times New Roman" w:cs="Arial"/>
                <w:color w:val="000000"/>
                <w:lang w:val="en-US" w:eastAsia="bg-BG"/>
              </w:rPr>
            </w:pPr>
            <w:r w:rsidRPr="00AD2DB1">
              <w:t>диария, повръщане, гадене</w:t>
            </w:r>
          </w:p>
        </w:tc>
      </w:tr>
      <w:tr w:rsidR="00AD2DB1" w14:paraId="3EC481EE" w14:textId="77777777" w:rsidTr="00AD2DB1">
        <w:tc>
          <w:tcPr>
            <w:tcW w:w="4750" w:type="dxa"/>
          </w:tcPr>
          <w:p w14:paraId="5CC0291B" w14:textId="6588FA24" w:rsidR="00AD2DB1" w:rsidRPr="00AD2DB1" w:rsidRDefault="00AD2DB1" w:rsidP="00AD2DB1">
            <w:pPr>
              <w:rPr>
                <w:rFonts w:eastAsia="Times New Roman" w:cs="Arial"/>
                <w:color w:val="000000"/>
                <w:lang w:val="en-US" w:eastAsia="bg-BG"/>
              </w:rPr>
            </w:pPr>
            <w:r w:rsidRPr="00AD2DB1">
              <w:t>Чести:</w:t>
            </w:r>
          </w:p>
        </w:tc>
        <w:tc>
          <w:tcPr>
            <w:tcW w:w="4750" w:type="dxa"/>
          </w:tcPr>
          <w:p w14:paraId="52F5E7A5" w14:textId="52F132EF" w:rsidR="00AD2DB1" w:rsidRPr="00AD2DB1" w:rsidRDefault="00AD2DB1" w:rsidP="00AD2DB1">
            <w:pPr>
              <w:rPr>
                <w:rFonts w:eastAsia="Times New Roman" w:cs="Arial"/>
                <w:color w:val="000000"/>
                <w:lang w:val="en-US" w:eastAsia="bg-BG"/>
              </w:rPr>
            </w:pPr>
            <w:r w:rsidRPr="00AD2DB1">
              <w:t>абдоминална болка, раздуване на корема, флатуленция</w:t>
            </w:r>
          </w:p>
        </w:tc>
      </w:tr>
      <w:tr w:rsidR="00AD2DB1" w14:paraId="7C6D1E05" w14:textId="77777777" w:rsidTr="00AD2DB1">
        <w:tc>
          <w:tcPr>
            <w:tcW w:w="4750" w:type="dxa"/>
          </w:tcPr>
          <w:p w14:paraId="13B94AE6" w14:textId="0A3BDE55" w:rsidR="00AD2DB1" w:rsidRPr="00AD2DB1" w:rsidRDefault="00AD2DB1" w:rsidP="00AD2DB1">
            <w:pPr>
              <w:rPr>
                <w:rFonts w:eastAsia="Times New Roman" w:cs="Arial"/>
                <w:color w:val="000000"/>
                <w:lang w:val="en-US" w:eastAsia="bg-BG"/>
              </w:rPr>
            </w:pPr>
            <w:r w:rsidRPr="00AD2DB1">
              <w:t>Нечести:</w:t>
            </w:r>
          </w:p>
        </w:tc>
        <w:tc>
          <w:tcPr>
            <w:tcW w:w="4750" w:type="dxa"/>
          </w:tcPr>
          <w:p w14:paraId="467B1F50" w14:textId="35CD1EBF" w:rsidR="00AD2DB1" w:rsidRPr="00AD2DB1" w:rsidRDefault="00AD2DB1" w:rsidP="00AD2DB1">
            <w:pPr>
              <w:rPr>
                <w:rFonts w:eastAsia="Times New Roman" w:cs="Arial"/>
                <w:color w:val="000000"/>
                <w:lang w:val="en-US" w:eastAsia="bg-BG"/>
              </w:rPr>
            </w:pPr>
            <w:r w:rsidRPr="00AD2DB1">
              <w:t>панкреатит</w:t>
            </w:r>
          </w:p>
        </w:tc>
      </w:tr>
      <w:tr w:rsidR="00AD2DB1" w14:paraId="63585022" w14:textId="77777777" w:rsidTr="00206CF1">
        <w:tc>
          <w:tcPr>
            <w:tcW w:w="9500" w:type="dxa"/>
            <w:gridSpan w:val="2"/>
          </w:tcPr>
          <w:p w14:paraId="1B172E4F" w14:textId="3901F977" w:rsidR="00AD2DB1" w:rsidRPr="00AD2DB1" w:rsidRDefault="00AD2DB1" w:rsidP="00AD2DB1">
            <w:pPr>
              <w:rPr>
                <w:rFonts w:eastAsia="Times New Roman" w:cs="Arial"/>
                <w:color w:val="000000"/>
                <w:lang w:val="en-US" w:eastAsia="bg-BG"/>
              </w:rPr>
            </w:pPr>
            <w:r w:rsidRPr="00AD2DB1">
              <w:rPr>
                <w:i/>
                <w:iCs/>
              </w:rPr>
              <w:t>Хепатобилиарни нарушения:</w:t>
            </w:r>
          </w:p>
        </w:tc>
      </w:tr>
      <w:tr w:rsidR="00AD2DB1" w14:paraId="17D94DD3" w14:textId="77777777" w:rsidTr="00AD2DB1">
        <w:tc>
          <w:tcPr>
            <w:tcW w:w="4750" w:type="dxa"/>
          </w:tcPr>
          <w:p w14:paraId="4E071FF9" w14:textId="310F9D14" w:rsidR="00AD2DB1" w:rsidRPr="00AD2DB1" w:rsidRDefault="00AD2DB1" w:rsidP="00AD2DB1">
            <w:pPr>
              <w:rPr>
                <w:rFonts w:eastAsia="Times New Roman" w:cs="Arial"/>
                <w:color w:val="000000"/>
                <w:lang w:val="en-US" w:eastAsia="bg-BG"/>
              </w:rPr>
            </w:pPr>
            <w:r w:rsidRPr="00AD2DB1">
              <w:t>Чести:</w:t>
            </w:r>
          </w:p>
        </w:tc>
        <w:tc>
          <w:tcPr>
            <w:tcW w:w="4750" w:type="dxa"/>
          </w:tcPr>
          <w:p w14:paraId="0262801B" w14:textId="3F09DA16" w:rsidR="00AD2DB1" w:rsidRPr="00AD2DB1" w:rsidRDefault="00AD2DB1" w:rsidP="00AD2DB1">
            <w:pPr>
              <w:rPr>
                <w:rFonts w:eastAsia="Times New Roman" w:cs="Arial"/>
                <w:color w:val="000000"/>
                <w:lang w:val="en-US" w:eastAsia="bg-BG"/>
              </w:rPr>
            </w:pPr>
            <w:r w:rsidRPr="00AD2DB1">
              <w:t>повишени нива на трансаминазите</w:t>
            </w:r>
          </w:p>
        </w:tc>
      </w:tr>
      <w:tr w:rsidR="00AD2DB1" w14:paraId="1F4EBFA9" w14:textId="77777777" w:rsidTr="00AD2DB1">
        <w:tc>
          <w:tcPr>
            <w:tcW w:w="4750" w:type="dxa"/>
          </w:tcPr>
          <w:p w14:paraId="068B4C1C" w14:textId="78006551" w:rsidR="00AD2DB1" w:rsidRPr="00AD2DB1" w:rsidRDefault="00AD2DB1" w:rsidP="00AD2DB1">
            <w:pPr>
              <w:rPr>
                <w:rFonts w:eastAsia="Times New Roman" w:cs="Arial"/>
                <w:color w:val="000000"/>
                <w:lang w:val="en-US" w:eastAsia="bg-BG"/>
              </w:rPr>
            </w:pPr>
            <w:r w:rsidRPr="00AD2DB1">
              <w:t>Редки:</w:t>
            </w:r>
          </w:p>
        </w:tc>
        <w:tc>
          <w:tcPr>
            <w:tcW w:w="4750" w:type="dxa"/>
          </w:tcPr>
          <w:p w14:paraId="28F377FC" w14:textId="423BC0C6" w:rsidR="00AD2DB1" w:rsidRPr="00AD2DB1" w:rsidRDefault="00AD2DB1" w:rsidP="00AD2DB1">
            <w:pPr>
              <w:rPr>
                <w:rFonts w:eastAsia="Times New Roman" w:cs="Arial"/>
                <w:color w:val="000000"/>
                <w:lang w:val="en-US" w:eastAsia="bg-BG"/>
              </w:rPr>
            </w:pPr>
            <w:r w:rsidRPr="00AD2DB1">
              <w:t>чернодробна стеатоза, хепатит</w:t>
            </w:r>
          </w:p>
        </w:tc>
      </w:tr>
      <w:tr w:rsidR="00AD2DB1" w14:paraId="48FE6A9F" w14:textId="77777777" w:rsidTr="00206CF1">
        <w:tc>
          <w:tcPr>
            <w:tcW w:w="9500" w:type="dxa"/>
            <w:gridSpan w:val="2"/>
          </w:tcPr>
          <w:p w14:paraId="5A9609AF" w14:textId="4CA4171C" w:rsidR="00AD2DB1" w:rsidRPr="00AD2DB1" w:rsidRDefault="00AD2DB1" w:rsidP="00AD2DB1">
            <w:pPr>
              <w:rPr>
                <w:rFonts w:eastAsia="Times New Roman" w:cs="Arial"/>
                <w:color w:val="000000"/>
                <w:lang w:val="en-US" w:eastAsia="bg-BG"/>
              </w:rPr>
            </w:pPr>
            <w:r w:rsidRPr="00AD2DB1">
              <w:rPr>
                <w:i/>
                <w:iCs/>
              </w:rPr>
              <w:t>Нарушения на кожта и подкожната тъкан:</w:t>
            </w:r>
          </w:p>
        </w:tc>
      </w:tr>
      <w:tr w:rsidR="00AD2DB1" w14:paraId="7105E6F1" w14:textId="77777777" w:rsidTr="00AD2DB1">
        <w:tc>
          <w:tcPr>
            <w:tcW w:w="4750" w:type="dxa"/>
          </w:tcPr>
          <w:p w14:paraId="634D2CC0" w14:textId="250A7F00" w:rsidR="00AD2DB1" w:rsidRPr="00AD2DB1" w:rsidRDefault="00AD2DB1" w:rsidP="00AD2DB1">
            <w:pPr>
              <w:rPr>
                <w:rFonts w:eastAsia="Times New Roman" w:cs="Arial"/>
                <w:color w:val="000000"/>
                <w:lang w:val="en-US" w:eastAsia="bg-BG"/>
              </w:rPr>
            </w:pPr>
            <w:r w:rsidRPr="00AD2DB1">
              <w:t>Много чести:</w:t>
            </w:r>
          </w:p>
        </w:tc>
        <w:tc>
          <w:tcPr>
            <w:tcW w:w="4750" w:type="dxa"/>
          </w:tcPr>
          <w:p w14:paraId="22BABD89" w14:textId="1EB6F8CC" w:rsidR="00AD2DB1" w:rsidRPr="00AD2DB1" w:rsidRDefault="00AD2DB1" w:rsidP="00AD2DB1">
            <w:pPr>
              <w:rPr>
                <w:rFonts w:eastAsia="Times New Roman" w:cs="Arial"/>
                <w:color w:val="000000"/>
                <w:lang w:val="en-US" w:eastAsia="bg-BG"/>
              </w:rPr>
            </w:pPr>
            <w:r w:rsidRPr="00AD2DB1">
              <w:t>обрив</w:t>
            </w:r>
          </w:p>
        </w:tc>
      </w:tr>
      <w:tr w:rsidR="00AD2DB1" w14:paraId="3049EFDF" w14:textId="77777777" w:rsidTr="00AD2DB1">
        <w:tc>
          <w:tcPr>
            <w:tcW w:w="4750" w:type="dxa"/>
          </w:tcPr>
          <w:p w14:paraId="0A7991E8" w14:textId="6C735CC2" w:rsidR="00AD2DB1" w:rsidRPr="00AD2DB1" w:rsidRDefault="00AD2DB1" w:rsidP="00AD2DB1">
            <w:pPr>
              <w:rPr>
                <w:rFonts w:eastAsia="Times New Roman" w:cs="Arial"/>
                <w:color w:val="000000"/>
                <w:lang w:val="en-US" w:eastAsia="bg-BG"/>
              </w:rPr>
            </w:pPr>
            <w:r w:rsidRPr="00AD2DB1">
              <w:t>Редки:</w:t>
            </w:r>
          </w:p>
        </w:tc>
        <w:tc>
          <w:tcPr>
            <w:tcW w:w="4750" w:type="dxa"/>
          </w:tcPr>
          <w:p w14:paraId="74DF298D" w14:textId="20BA7697" w:rsidR="00AD2DB1" w:rsidRPr="00AD2DB1" w:rsidRDefault="00AD2DB1" w:rsidP="00AD2DB1">
            <w:pPr>
              <w:rPr>
                <w:rFonts w:eastAsia="Times New Roman" w:cs="Arial"/>
                <w:color w:val="000000"/>
                <w:lang w:val="en-US" w:eastAsia="bg-BG"/>
              </w:rPr>
            </w:pPr>
            <w:r w:rsidRPr="00AD2DB1">
              <w:t>ангиоедем</w:t>
            </w:r>
          </w:p>
        </w:tc>
      </w:tr>
      <w:tr w:rsidR="00AD2DB1" w14:paraId="004E0A7B" w14:textId="77777777" w:rsidTr="00206CF1">
        <w:tc>
          <w:tcPr>
            <w:tcW w:w="9500" w:type="dxa"/>
            <w:gridSpan w:val="2"/>
          </w:tcPr>
          <w:p w14:paraId="2A40501C" w14:textId="3FB8D927" w:rsidR="00AD2DB1" w:rsidRPr="00AD2DB1" w:rsidRDefault="00AD2DB1" w:rsidP="00AD2DB1">
            <w:pPr>
              <w:rPr>
                <w:rFonts w:eastAsia="Times New Roman" w:cs="Arial"/>
                <w:color w:val="000000"/>
                <w:lang w:val="en-US" w:eastAsia="bg-BG"/>
              </w:rPr>
            </w:pPr>
            <w:r w:rsidRPr="00AD2DB1">
              <w:rPr>
                <w:i/>
                <w:iCs/>
              </w:rPr>
              <w:t>Нарушения на мускулно-скелетната система и съединителната тъкан:</w:t>
            </w:r>
          </w:p>
        </w:tc>
      </w:tr>
      <w:tr w:rsidR="00AD2DB1" w14:paraId="144DDE9A" w14:textId="77777777" w:rsidTr="00AD2DB1">
        <w:tc>
          <w:tcPr>
            <w:tcW w:w="4750" w:type="dxa"/>
          </w:tcPr>
          <w:p w14:paraId="4CF4CF06" w14:textId="74ACE131" w:rsidR="00AD2DB1" w:rsidRPr="00AD2DB1" w:rsidRDefault="00AD2DB1" w:rsidP="00AD2DB1">
            <w:pPr>
              <w:rPr>
                <w:rFonts w:eastAsia="Times New Roman" w:cs="Arial"/>
                <w:color w:val="000000"/>
                <w:lang w:val="en-US" w:eastAsia="bg-BG"/>
              </w:rPr>
            </w:pPr>
            <w:r w:rsidRPr="00AD2DB1">
              <w:t>Нечести:</w:t>
            </w:r>
          </w:p>
        </w:tc>
        <w:tc>
          <w:tcPr>
            <w:tcW w:w="4750" w:type="dxa"/>
          </w:tcPr>
          <w:p w14:paraId="66B6F7D0" w14:textId="27480AD1" w:rsidR="00AD2DB1" w:rsidRPr="00AD2DB1" w:rsidRDefault="00AD2DB1" w:rsidP="00AD2DB1">
            <w:pPr>
              <w:rPr>
                <w:rFonts w:eastAsia="Times New Roman" w:cs="Arial"/>
                <w:color w:val="000000"/>
                <w:lang w:val="en-US" w:eastAsia="bg-BG"/>
              </w:rPr>
            </w:pPr>
            <w:r w:rsidRPr="00AD2DB1">
              <w:t>рабдомиолиза', мускулна слабост</w:t>
            </w:r>
            <w:r w:rsidRPr="00AD2DB1">
              <w:rPr>
                <w:vertAlign w:val="superscript"/>
              </w:rPr>
              <w:t>1</w:t>
            </w:r>
          </w:p>
        </w:tc>
      </w:tr>
      <w:tr w:rsidR="00AD2DB1" w14:paraId="1409B754" w14:textId="77777777" w:rsidTr="00AD2DB1">
        <w:tc>
          <w:tcPr>
            <w:tcW w:w="4750" w:type="dxa"/>
          </w:tcPr>
          <w:p w14:paraId="0A616CFA" w14:textId="11D3AAB4" w:rsidR="00AD2DB1" w:rsidRPr="00AD2DB1" w:rsidRDefault="00AD2DB1" w:rsidP="00AD2DB1">
            <w:pPr>
              <w:rPr>
                <w:rFonts w:eastAsia="Times New Roman" w:cs="Arial"/>
                <w:color w:val="000000"/>
                <w:lang w:val="en-US" w:eastAsia="bg-BG"/>
              </w:rPr>
            </w:pPr>
            <w:r w:rsidRPr="00AD2DB1">
              <w:t>Редки:</w:t>
            </w:r>
          </w:p>
        </w:tc>
        <w:tc>
          <w:tcPr>
            <w:tcW w:w="4750" w:type="dxa"/>
          </w:tcPr>
          <w:p w14:paraId="569E5AAE" w14:textId="00486667" w:rsidR="00AD2DB1" w:rsidRPr="00AD2DB1" w:rsidRDefault="00AD2DB1" w:rsidP="00AD2DB1">
            <w:pPr>
              <w:rPr>
                <w:rFonts w:eastAsia="Times New Roman" w:cs="Arial"/>
                <w:color w:val="000000"/>
                <w:lang w:val="en-US" w:eastAsia="bg-BG"/>
              </w:rPr>
            </w:pPr>
            <w:r w:rsidRPr="00AD2DB1">
              <w:t>остеомалация (проявяваща се с болки в костите и нечесто допринасяща за фрактури)</w:t>
            </w:r>
            <w:r w:rsidRPr="00AD2DB1">
              <w:rPr>
                <w:vertAlign w:val="superscript"/>
              </w:rPr>
              <w:t>1,2</w:t>
            </w:r>
            <w:r w:rsidRPr="00AD2DB1">
              <w:t>, миопатия</w:t>
            </w:r>
            <w:r w:rsidRPr="00AD2DB1">
              <w:rPr>
                <w:vertAlign w:val="superscript"/>
              </w:rPr>
              <w:t>1</w:t>
            </w:r>
          </w:p>
        </w:tc>
      </w:tr>
      <w:tr w:rsidR="00AD2DB1" w14:paraId="1EEC008D" w14:textId="77777777" w:rsidTr="00206CF1">
        <w:tc>
          <w:tcPr>
            <w:tcW w:w="9500" w:type="dxa"/>
            <w:gridSpan w:val="2"/>
          </w:tcPr>
          <w:p w14:paraId="28A00BA8" w14:textId="722B016B" w:rsidR="00AD2DB1" w:rsidRPr="00AD2DB1" w:rsidRDefault="00AD2DB1" w:rsidP="00AD2DB1">
            <w:pPr>
              <w:rPr>
                <w:rFonts w:eastAsia="Times New Roman" w:cs="Arial"/>
                <w:color w:val="000000"/>
                <w:lang w:val="en-US" w:eastAsia="bg-BG"/>
              </w:rPr>
            </w:pPr>
            <w:r w:rsidRPr="00AD2DB1">
              <w:rPr>
                <w:i/>
                <w:iCs/>
              </w:rPr>
              <w:t>Нарушенияна бъбреците и пикочните пътища:</w:t>
            </w:r>
          </w:p>
        </w:tc>
      </w:tr>
      <w:tr w:rsidR="00AD2DB1" w14:paraId="3602528F" w14:textId="77777777" w:rsidTr="00AD2DB1">
        <w:tc>
          <w:tcPr>
            <w:tcW w:w="4750" w:type="dxa"/>
          </w:tcPr>
          <w:p w14:paraId="5EDDF6DD" w14:textId="691AC188" w:rsidR="00AD2DB1" w:rsidRPr="00AD2DB1" w:rsidRDefault="00AD2DB1" w:rsidP="00AD2DB1">
            <w:pPr>
              <w:rPr>
                <w:rFonts w:eastAsia="Times New Roman" w:cs="Arial"/>
                <w:color w:val="000000"/>
                <w:lang w:val="en-US" w:eastAsia="bg-BG"/>
              </w:rPr>
            </w:pPr>
            <w:r w:rsidRPr="00AD2DB1">
              <w:t>Нечести:</w:t>
            </w:r>
          </w:p>
        </w:tc>
        <w:tc>
          <w:tcPr>
            <w:tcW w:w="4750" w:type="dxa"/>
          </w:tcPr>
          <w:p w14:paraId="04546DBB" w14:textId="427F7D69" w:rsidR="00AD2DB1" w:rsidRPr="00AD2DB1" w:rsidRDefault="00AD2DB1" w:rsidP="00AD2DB1">
            <w:pPr>
              <w:rPr>
                <w:rFonts w:eastAsia="Times New Roman" w:cs="Arial"/>
                <w:color w:val="000000"/>
                <w:lang w:val="en-US" w:eastAsia="bg-BG"/>
              </w:rPr>
            </w:pPr>
            <w:r w:rsidRPr="00AD2DB1">
              <w:t>повишено ниво на креатинина, тубулопатия на проксималнит</w:t>
            </w:r>
            <w:r w:rsidRPr="00AD2DB1">
              <w:rPr>
                <w:u w:val="single"/>
              </w:rPr>
              <w:t>е бъбречни</w:t>
            </w:r>
          </w:p>
        </w:tc>
      </w:tr>
      <w:tr w:rsidR="00AD2DB1" w14:paraId="13BE800F" w14:textId="77777777" w:rsidTr="00AD2DB1">
        <w:tc>
          <w:tcPr>
            <w:tcW w:w="4750" w:type="dxa"/>
          </w:tcPr>
          <w:p w14:paraId="12261790" w14:textId="2FFAFA6A" w:rsidR="00AD2DB1" w:rsidRPr="00AD2DB1" w:rsidRDefault="00AD2DB1" w:rsidP="00AD2DB1">
            <w:pPr>
              <w:rPr>
                <w:rFonts w:eastAsia="Times New Roman" w:cs="Arial"/>
                <w:color w:val="000000"/>
                <w:lang w:val="en-US" w:eastAsia="bg-BG"/>
              </w:rPr>
            </w:pPr>
            <w:r w:rsidRPr="00AD2DB1">
              <w:t>Редки:</w:t>
            </w:r>
          </w:p>
        </w:tc>
        <w:tc>
          <w:tcPr>
            <w:tcW w:w="4750" w:type="dxa"/>
          </w:tcPr>
          <w:p w14:paraId="5A629A18" w14:textId="4A65831B" w:rsidR="00AD2DB1" w:rsidRPr="00AD2DB1" w:rsidRDefault="00AD2DB1" w:rsidP="00AD2DB1">
            <w:pPr>
              <w:rPr>
                <w:rFonts w:eastAsia="Times New Roman" w:cs="Arial"/>
                <w:color w:val="000000"/>
                <w:lang w:val="en-US" w:eastAsia="bg-BG"/>
              </w:rPr>
            </w:pPr>
            <w:r w:rsidRPr="00AD2DB1">
              <w:t>остра бъбречна недостатъчност, бъбречна недостатъчност, остра тубулна некроза, нефрит (вкл. остър интерстициален нефрит)</w:t>
            </w:r>
            <w:r w:rsidRPr="00AD2DB1">
              <w:rPr>
                <w:vertAlign w:val="superscript"/>
              </w:rPr>
              <w:t>2</w:t>
            </w:r>
            <w:r w:rsidRPr="00AD2DB1">
              <w:t>, нефрогенен безвкусен диабет</w:t>
            </w:r>
          </w:p>
        </w:tc>
      </w:tr>
      <w:tr w:rsidR="00AD2DB1" w14:paraId="47B8E4CF" w14:textId="77777777" w:rsidTr="00206CF1">
        <w:tc>
          <w:tcPr>
            <w:tcW w:w="9500" w:type="dxa"/>
            <w:gridSpan w:val="2"/>
          </w:tcPr>
          <w:p w14:paraId="4F31E206" w14:textId="2E85E16B" w:rsidR="00AD2DB1" w:rsidRPr="00AD2DB1" w:rsidRDefault="00AD2DB1" w:rsidP="00AD2DB1">
            <w:pPr>
              <w:rPr>
                <w:rFonts w:eastAsia="Times New Roman" w:cs="Arial"/>
                <w:color w:val="000000"/>
                <w:lang w:val="en-US" w:eastAsia="bg-BG"/>
              </w:rPr>
            </w:pPr>
            <w:r w:rsidRPr="00AD2DB1">
              <w:rPr>
                <w:i/>
                <w:iCs/>
              </w:rPr>
              <w:t>Общи нарушения и ефекти на мястото на приложение:</w:t>
            </w:r>
          </w:p>
        </w:tc>
      </w:tr>
      <w:tr w:rsidR="00AD2DB1" w14:paraId="702982E5" w14:textId="77777777" w:rsidTr="00AD2DB1">
        <w:tc>
          <w:tcPr>
            <w:tcW w:w="4750" w:type="dxa"/>
          </w:tcPr>
          <w:p w14:paraId="1B2EB0DE" w14:textId="0DCDFA28" w:rsidR="00AD2DB1" w:rsidRPr="00AD2DB1" w:rsidRDefault="00AD2DB1" w:rsidP="00AD2DB1">
            <w:pPr>
              <w:rPr>
                <w:rFonts w:eastAsia="Times New Roman" w:cs="Arial"/>
                <w:color w:val="000000"/>
                <w:lang w:val="en-US" w:eastAsia="bg-BG"/>
              </w:rPr>
            </w:pPr>
            <w:r w:rsidRPr="00AD2DB1">
              <w:t>Много чести:</w:t>
            </w:r>
          </w:p>
        </w:tc>
        <w:tc>
          <w:tcPr>
            <w:tcW w:w="4750" w:type="dxa"/>
          </w:tcPr>
          <w:p w14:paraId="6943FC0E" w14:textId="32028CED" w:rsidR="00AD2DB1" w:rsidRPr="00AD2DB1" w:rsidRDefault="00AD2DB1" w:rsidP="00AD2DB1">
            <w:pPr>
              <w:rPr>
                <w:rFonts w:eastAsia="Times New Roman" w:cs="Arial"/>
                <w:color w:val="000000"/>
                <w:lang w:val="en-US" w:eastAsia="bg-BG"/>
              </w:rPr>
            </w:pPr>
            <w:r w:rsidRPr="00AD2DB1">
              <w:t>астения</w:t>
            </w:r>
          </w:p>
        </w:tc>
      </w:tr>
      <w:tr w:rsidR="00AD2DB1" w14:paraId="5A4C58D8" w14:textId="77777777" w:rsidTr="00AD2DB1">
        <w:tc>
          <w:tcPr>
            <w:tcW w:w="4750" w:type="dxa"/>
          </w:tcPr>
          <w:p w14:paraId="038F74EB" w14:textId="26E52303" w:rsidR="00AD2DB1" w:rsidRPr="00AD2DB1" w:rsidRDefault="00AD2DB1" w:rsidP="00AD2DB1">
            <w:pPr>
              <w:rPr>
                <w:rFonts w:eastAsia="Times New Roman" w:cs="Arial"/>
                <w:color w:val="000000"/>
                <w:lang w:val="en-US" w:eastAsia="bg-BG"/>
              </w:rPr>
            </w:pPr>
            <w:r w:rsidRPr="00AD2DB1">
              <w:t>Чести:</w:t>
            </w:r>
          </w:p>
        </w:tc>
        <w:tc>
          <w:tcPr>
            <w:tcW w:w="4750" w:type="dxa"/>
          </w:tcPr>
          <w:p w14:paraId="31851A3D" w14:textId="3F7CE56F" w:rsidR="00AD2DB1" w:rsidRPr="00AD2DB1" w:rsidRDefault="00AD2DB1" w:rsidP="00AD2DB1">
            <w:pPr>
              <w:rPr>
                <w:rFonts w:eastAsia="Times New Roman" w:cs="Arial"/>
                <w:color w:val="000000"/>
                <w:lang w:val="en-US" w:eastAsia="bg-BG"/>
              </w:rPr>
            </w:pPr>
            <w:r w:rsidRPr="00AD2DB1">
              <w:rPr>
                <w:u w:val="single"/>
              </w:rPr>
              <w:t>умора</w:t>
            </w:r>
          </w:p>
        </w:tc>
      </w:tr>
    </w:tbl>
    <w:p w14:paraId="7EDB37E2" w14:textId="32DB5881" w:rsidR="00AD2DB1" w:rsidRPr="00AD2DB1" w:rsidRDefault="00AD2DB1" w:rsidP="00AD2DB1">
      <w:pPr>
        <w:spacing w:line="240" w:lineRule="auto"/>
        <w:rPr>
          <w:rFonts w:eastAsia="Times New Roman" w:cs="Arial"/>
          <w:lang w:eastAsia="bg-BG"/>
        </w:rPr>
      </w:pPr>
      <w:r w:rsidRPr="00AD2DB1">
        <w:rPr>
          <w:rFonts w:eastAsia="Times New Roman" w:cs="Arial"/>
          <w:color w:val="000000"/>
          <w:vertAlign w:val="superscript"/>
          <w:lang w:val="en-US" w:eastAsia="bg-BG"/>
        </w:rPr>
        <w:t>1</w:t>
      </w:r>
      <w:r w:rsidRPr="00AD2DB1">
        <w:rPr>
          <w:rFonts w:eastAsia="Times New Roman" w:cs="Arial"/>
          <w:color w:val="000000"/>
          <w:lang w:eastAsia="bg-BG"/>
        </w:rPr>
        <w:t>Тази нежелана реакция може да се прояви като следствие от тубулопатия на проксималните бъбречни каналчета. Приема се, че не е причинно свързана с тенофовир дизопроксил при липса на това състояние.</w:t>
      </w:r>
    </w:p>
    <w:p w14:paraId="3AFBE61E" w14:textId="77777777" w:rsidR="00AD2DB1" w:rsidRPr="00AD2DB1" w:rsidRDefault="00AD2DB1" w:rsidP="00AD2DB1">
      <w:pPr>
        <w:spacing w:line="240" w:lineRule="auto"/>
        <w:rPr>
          <w:rFonts w:eastAsia="Times New Roman" w:cs="Arial"/>
          <w:lang w:eastAsia="bg-BG"/>
        </w:rPr>
      </w:pPr>
      <w:r w:rsidRPr="00AD2DB1">
        <w:rPr>
          <w:rFonts w:eastAsia="Times New Roman" w:cs="Arial"/>
          <w:color w:val="000000"/>
          <w:vertAlign w:val="superscript"/>
          <w:lang w:eastAsia="bg-BG"/>
        </w:rPr>
        <w:t>2</w:t>
      </w:r>
      <w:r w:rsidRPr="00AD2DB1">
        <w:rPr>
          <w:rFonts w:eastAsia="Times New Roman" w:cs="Arial"/>
          <w:color w:val="000000"/>
          <w:lang w:eastAsia="bg-BG"/>
        </w:rPr>
        <w:t>Тази нежелана реакция е открита в периода на постмаркетингово наблюдение, но не е наблюдавана в рандомизирани контролирани клинични проучвания или при програмата за разширен достъп до тенофовир дизопроксил. Категорията по честота е оценена от статистическо изчисление, базирано на общия брой пациенти, получаващи тенофовир дизопроксил в рандомизирани контролирани клинични проучвания и програмата за разширен достъп (</w:t>
      </w:r>
      <w:r w:rsidRPr="00AD2DB1">
        <w:rPr>
          <w:rFonts w:eastAsia="Times New Roman" w:cs="Arial"/>
          <w:color w:val="000000"/>
          <w:lang w:val="en-US"/>
        </w:rPr>
        <w:t>n</w:t>
      </w:r>
      <w:r w:rsidRPr="00AD2DB1">
        <w:rPr>
          <w:rFonts w:eastAsia="Times New Roman" w:cs="Arial"/>
          <w:color w:val="000000"/>
          <w:lang w:eastAsia="bg-BG"/>
        </w:rPr>
        <w:t xml:space="preserve"> = 7319).</w:t>
      </w:r>
    </w:p>
    <w:p w14:paraId="268F9546" w14:textId="77777777" w:rsidR="00AD2DB1" w:rsidRDefault="00AD2DB1" w:rsidP="00AD2DB1">
      <w:pPr>
        <w:spacing w:line="240" w:lineRule="auto"/>
        <w:rPr>
          <w:rFonts w:eastAsia="Times New Roman" w:cs="Arial"/>
          <w:color w:val="000000"/>
          <w:u w:val="single"/>
          <w:lang w:eastAsia="bg-BG"/>
        </w:rPr>
      </w:pPr>
    </w:p>
    <w:p w14:paraId="6CB7E10A" w14:textId="045406A5" w:rsidR="00AD2DB1" w:rsidRPr="00AD2DB1" w:rsidRDefault="00AD2DB1" w:rsidP="00AD2DB1">
      <w:pPr>
        <w:spacing w:line="240" w:lineRule="auto"/>
        <w:rPr>
          <w:rFonts w:eastAsia="Times New Roman" w:cs="Arial"/>
          <w:lang w:eastAsia="bg-BG"/>
        </w:rPr>
      </w:pPr>
      <w:r w:rsidRPr="00AD2DB1">
        <w:rPr>
          <w:rFonts w:eastAsia="Times New Roman" w:cs="Arial"/>
          <w:color w:val="000000"/>
          <w:u w:val="single"/>
          <w:lang w:eastAsia="bg-BG"/>
        </w:rPr>
        <w:t>Описание на избрани нежелани реакции</w:t>
      </w:r>
    </w:p>
    <w:p w14:paraId="65413C29" w14:textId="77777777" w:rsidR="00AD2DB1" w:rsidRPr="00AD2DB1" w:rsidRDefault="00AD2DB1" w:rsidP="00AD2DB1">
      <w:pPr>
        <w:spacing w:line="240" w:lineRule="auto"/>
        <w:rPr>
          <w:rFonts w:eastAsia="Times New Roman" w:cs="Arial"/>
          <w:lang w:eastAsia="bg-BG"/>
        </w:rPr>
      </w:pPr>
    </w:p>
    <w:p w14:paraId="12ADD0BB" w14:textId="77777777" w:rsidR="00AD2DB1" w:rsidRPr="00AD2DB1" w:rsidRDefault="00AD2DB1" w:rsidP="00AD2DB1">
      <w:pPr>
        <w:spacing w:line="240" w:lineRule="auto"/>
        <w:rPr>
          <w:rFonts w:eastAsia="Times New Roman" w:cs="Arial"/>
          <w:lang w:eastAsia="bg-BG"/>
        </w:rPr>
      </w:pPr>
      <w:r w:rsidRPr="00AD2DB1">
        <w:rPr>
          <w:rFonts w:eastAsia="Times New Roman" w:cs="Arial"/>
          <w:b/>
          <w:bCs/>
          <w:i/>
          <w:iCs/>
          <w:color w:val="000000"/>
          <w:lang w:val="en-US"/>
        </w:rPr>
        <w:t xml:space="preserve">HIV-1 </w:t>
      </w:r>
      <w:r w:rsidRPr="00AD2DB1">
        <w:rPr>
          <w:rFonts w:eastAsia="Times New Roman" w:cs="Arial"/>
          <w:b/>
          <w:bCs/>
          <w:i/>
          <w:iCs/>
          <w:color w:val="000000"/>
          <w:lang w:eastAsia="bg-BG"/>
        </w:rPr>
        <w:t>и хепатит В:</w:t>
      </w:r>
    </w:p>
    <w:p w14:paraId="5B9AA7DA" w14:textId="77777777" w:rsidR="00AD2DB1" w:rsidRDefault="00AD2DB1" w:rsidP="00AD2DB1">
      <w:pPr>
        <w:spacing w:line="240" w:lineRule="auto"/>
        <w:rPr>
          <w:rFonts w:eastAsia="Times New Roman" w:cs="Arial"/>
          <w:i/>
          <w:iCs/>
          <w:color w:val="000000"/>
          <w:lang w:eastAsia="bg-BG"/>
        </w:rPr>
      </w:pPr>
    </w:p>
    <w:p w14:paraId="312D55A0" w14:textId="6D5E7425" w:rsidR="00AD2DB1" w:rsidRPr="00AD2DB1" w:rsidRDefault="00AD2DB1" w:rsidP="00AD2DB1">
      <w:pPr>
        <w:spacing w:line="240" w:lineRule="auto"/>
        <w:rPr>
          <w:rFonts w:eastAsia="Times New Roman" w:cs="Arial"/>
          <w:lang w:eastAsia="bg-BG"/>
        </w:rPr>
      </w:pPr>
      <w:r w:rsidRPr="00AD2DB1">
        <w:rPr>
          <w:rFonts w:eastAsia="Times New Roman" w:cs="Arial"/>
          <w:i/>
          <w:iCs/>
          <w:color w:val="000000"/>
          <w:lang w:eastAsia="bg-BG"/>
        </w:rPr>
        <w:t>Бъбречно увреждане</w:t>
      </w:r>
    </w:p>
    <w:p w14:paraId="333A9DBD" w14:textId="77777777" w:rsidR="00AD2DB1" w:rsidRPr="00AD2DB1" w:rsidRDefault="00AD2DB1" w:rsidP="00AD2DB1">
      <w:pPr>
        <w:spacing w:line="240" w:lineRule="auto"/>
        <w:rPr>
          <w:rFonts w:eastAsia="Times New Roman" w:cs="Arial"/>
          <w:lang w:eastAsia="bg-BG"/>
        </w:rPr>
      </w:pPr>
      <w:r w:rsidRPr="00AD2DB1">
        <w:rPr>
          <w:rFonts w:eastAsia="Times New Roman" w:cs="Arial"/>
          <w:color w:val="000000"/>
          <w:lang w:eastAsia="bg-BG"/>
        </w:rPr>
        <w:t xml:space="preserve">Препоръчва се следене на бъбречната функция, тъй като тенофовир може да причини бъбречно увреждане (вж. точки 4.4 и 4.8 </w:t>
      </w:r>
      <w:r w:rsidRPr="00AD2DB1">
        <w:rPr>
          <w:rFonts w:eastAsia="Times New Roman" w:cs="Arial"/>
          <w:i/>
          <w:iCs/>
          <w:color w:val="000000"/>
          <w:lang w:eastAsia="bg-BG"/>
        </w:rPr>
        <w:t>Обобщение на профила на безопасност).</w:t>
      </w:r>
      <w:r w:rsidRPr="00AD2DB1">
        <w:rPr>
          <w:rFonts w:eastAsia="Times New Roman" w:cs="Arial"/>
          <w:color w:val="000000"/>
          <w:lang w:eastAsia="bg-BG"/>
        </w:rPr>
        <w:t xml:space="preserve"> Тубулопатия на проксималните бъбречни каналчета обикновено изчезва или се подобрява след прекратяване на терапията с тенофовир дизопроксил. Въпреки това, при </w:t>
      </w:r>
      <w:r w:rsidRPr="00AD2DB1">
        <w:rPr>
          <w:rFonts w:eastAsia="Times New Roman" w:cs="Arial"/>
          <w:color w:val="000000"/>
          <w:lang w:eastAsia="bg-BG"/>
        </w:rPr>
        <w:lastRenderedPageBreak/>
        <w:t xml:space="preserve">някои пациенти намаляването на креатининовия клирънс не изчезва напълно, въпреки прекратяването на терапията с тенофовир дизопроксил. Пациентите с риск от бъбречно увреждане (като пациенти с рискови фактори по отношение на бъбреците на изходно ниво, напреднало </w:t>
      </w:r>
      <w:r w:rsidRPr="00AD2DB1">
        <w:rPr>
          <w:rFonts w:eastAsia="Times New Roman" w:cs="Arial"/>
          <w:color w:val="000000"/>
          <w:lang w:val="en-US"/>
        </w:rPr>
        <w:t xml:space="preserve">HIV </w:t>
      </w:r>
      <w:r w:rsidRPr="00AD2DB1">
        <w:rPr>
          <w:rFonts w:eastAsia="Times New Roman" w:cs="Arial"/>
          <w:color w:val="000000"/>
          <w:lang w:eastAsia="bg-BG"/>
        </w:rPr>
        <w:t>заболяване или пациенти, получаващи едновременно нефротоксични лекарства) са с повишен риск да не получат пълно възстановяване на бъбречната функция въпреки прекратяването на терапията с тенофовир дизопроксил (вж. точка 4.4).</w:t>
      </w:r>
    </w:p>
    <w:p w14:paraId="6E7821AA" w14:textId="77777777" w:rsidR="00AD2DB1" w:rsidRDefault="00AD2DB1" w:rsidP="00AD2DB1">
      <w:pPr>
        <w:spacing w:line="240" w:lineRule="auto"/>
        <w:rPr>
          <w:rFonts w:eastAsia="Times New Roman" w:cs="Arial"/>
          <w:i/>
          <w:iCs/>
          <w:color w:val="000000"/>
          <w:lang w:eastAsia="bg-BG"/>
        </w:rPr>
      </w:pPr>
    </w:p>
    <w:p w14:paraId="6AC2217E" w14:textId="57262C23" w:rsidR="00AD2DB1" w:rsidRPr="00AD2DB1" w:rsidRDefault="00AD2DB1" w:rsidP="00AD2DB1">
      <w:pPr>
        <w:spacing w:line="240" w:lineRule="auto"/>
        <w:rPr>
          <w:rFonts w:eastAsia="Times New Roman" w:cs="Arial"/>
          <w:lang w:eastAsia="bg-BG"/>
        </w:rPr>
      </w:pPr>
      <w:r w:rsidRPr="00AD2DB1">
        <w:rPr>
          <w:rFonts w:eastAsia="Times New Roman" w:cs="Arial"/>
          <w:i/>
          <w:iCs/>
          <w:color w:val="000000"/>
          <w:lang w:eastAsia="bg-BG"/>
        </w:rPr>
        <w:t>Лактатна ацидоза</w:t>
      </w:r>
    </w:p>
    <w:p w14:paraId="5F01D45F" w14:textId="2E420225" w:rsidR="00AD2DB1" w:rsidRDefault="00AD2DB1" w:rsidP="00AD2DB1">
      <w:pPr>
        <w:spacing w:line="240" w:lineRule="auto"/>
        <w:rPr>
          <w:rFonts w:eastAsia="Times New Roman" w:cs="Arial"/>
          <w:color w:val="000000"/>
          <w:lang w:eastAsia="bg-BG"/>
        </w:rPr>
      </w:pPr>
      <w:r w:rsidRPr="00AD2DB1">
        <w:rPr>
          <w:rFonts w:eastAsia="Times New Roman" w:cs="Arial"/>
          <w:color w:val="000000"/>
          <w:lang w:eastAsia="bg-BG"/>
        </w:rPr>
        <w:t>Получени са съобщения за случаи на лактатна ацидоза при тенофовир дизопроксил самостоятелно или в комбинация с други антиретровирусни средства. При пациентите с предразполагащи фактори, като пациентите с декомпенсирано чернодробно заболяване или</w:t>
      </w:r>
      <w:r w:rsidRPr="00AD2DB1">
        <w:rPr>
          <w:rFonts w:eastAsia="Times New Roman" w:cs="Arial"/>
          <w:color w:val="000000"/>
          <w:lang w:val="en-US"/>
        </w:rPr>
        <w:t xml:space="preserve"> </w:t>
      </w:r>
      <w:r>
        <w:rPr>
          <w:rFonts w:eastAsia="Times New Roman" w:cs="Arial"/>
          <w:lang w:val="en-US" w:eastAsia="bg-BG"/>
        </w:rPr>
        <w:t xml:space="preserve"> </w:t>
      </w:r>
      <w:r w:rsidRPr="00AD2DB1">
        <w:rPr>
          <w:rFonts w:eastAsia="Times New Roman" w:cs="Arial"/>
          <w:color w:val="000000"/>
          <w:lang w:eastAsia="bg-BG"/>
        </w:rPr>
        <w:t>при пациенти със съпътстващо прилагани лекарства, за които е известно, че индуцират</w:t>
      </w:r>
      <w:r>
        <w:rPr>
          <w:rFonts w:eastAsia="Times New Roman" w:cs="Arial"/>
          <w:lang w:val="en-US" w:eastAsia="bg-BG"/>
        </w:rPr>
        <w:t xml:space="preserve"> </w:t>
      </w:r>
      <w:r w:rsidRPr="00AD2DB1">
        <w:rPr>
          <w:rFonts w:eastAsia="Times New Roman" w:cs="Arial"/>
          <w:color w:val="000000"/>
          <w:lang w:eastAsia="bg-BG"/>
        </w:rPr>
        <w:t>лактатна ацидоза, има повишен риск за получаване на тежка лактатна ацидоза, включително с</w:t>
      </w:r>
      <w:r>
        <w:rPr>
          <w:rFonts w:eastAsia="Times New Roman" w:cs="Arial"/>
          <w:lang w:val="en-US" w:eastAsia="bg-BG"/>
        </w:rPr>
        <w:t xml:space="preserve"> </w:t>
      </w:r>
      <w:r w:rsidRPr="00AD2DB1">
        <w:rPr>
          <w:rFonts w:eastAsia="Times New Roman" w:cs="Arial"/>
          <w:color w:val="000000"/>
          <w:lang w:eastAsia="bg-BG"/>
        </w:rPr>
        <w:t>летален изход, по време на лечение с тенофовир дизопроксил.</w:t>
      </w:r>
    </w:p>
    <w:p w14:paraId="35590881" w14:textId="33A80625" w:rsidR="00206CF1" w:rsidRDefault="00206CF1" w:rsidP="00AD2DB1">
      <w:pPr>
        <w:spacing w:line="240" w:lineRule="auto"/>
        <w:rPr>
          <w:rFonts w:eastAsia="Times New Roman" w:cs="Arial"/>
          <w:color w:val="000000"/>
          <w:lang w:eastAsia="bg-BG"/>
        </w:rPr>
      </w:pPr>
    </w:p>
    <w:p w14:paraId="075B00F7" w14:textId="77777777" w:rsidR="00206CF1" w:rsidRPr="00206CF1" w:rsidRDefault="00206CF1" w:rsidP="00206CF1">
      <w:pPr>
        <w:spacing w:line="240" w:lineRule="atLeast"/>
        <w:rPr>
          <w:rFonts w:eastAsia="Times New Roman" w:cs="Arial"/>
          <w:lang w:eastAsia="bg-BG"/>
        </w:rPr>
      </w:pPr>
      <w:r w:rsidRPr="00206CF1">
        <w:rPr>
          <w:rFonts w:eastAsia="Times New Roman" w:cs="Arial"/>
          <w:b/>
          <w:bCs/>
          <w:i/>
          <w:iCs/>
          <w:color w:val="000000"/>
          <w:lang w:val="en-US"/>
        </w:rPr>
        <w:t>HIV-1:</w:t>
      </w:r>
    </w:p>
    <w:p w14:paraId="4940B0FD" w14:textId="77777777" w:rsidR="00206CF1" w:rsidRPr="00206CF1" w:rsidRDefault="00206CF1" w:rsidP="00206CF1">
      <w:pPr>
        <w:spacing w:line="240" w:lineRule="auto"/>
        <w:rPr>
          <w:rFonts w:eastAsia="Times New Roman" w:cs="Arial"/>
          <w:lang w:eastAsia="bg-BG"/>
        </w:rPr>
      </w:pPr>
    </w:p>
    <w:p w14:paraId="51D2A8A9" w14:textId="77777777"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Метаболитни параметри</w:t>
      </w:r>
    </w:p>
    <w:p w14:paraId="199D3191"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По време на антиретровирусна терапия може да настъпи увеличаване на теглото и на нивата на липидите и глюкозата в кръвта (вж. точка 4.4).</w:t>
      </w:r>
    </w:p>
    <w:p w14:paraId="27FC94D7" w14:textId="77777777" w:rsidR="00206CF1" w:rsidRDefault="00206CF1" w:rsidP="00206CF1">
      <w:pPr>
        <w:spacing w:line="240" w:lineRule="auto"/>
        <w:rPr>
          <w:rFonts w:eastAsia="Times New Roman" w:cs="Arial"/>
          <w:i/>
          <w:iCs/>
          <w:color w:val="000000"/>
          <w:lang w:eastAsia="bg-BG"/>
        </w:rPr>
      </w:pPr>
    </w:p>
    <w:p w14:paraId="3E8336CE" w14:textId="0C580676"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Синдром на имунна реактивация</w:t>
      </w:r>
    </w:p>
    <w:p w14:paraId="4ADA6057"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При инфектирани с </w:t>
      </w:r>
      <w:r w:rsidRPr="00206CF1">
        <w:rPr>
          <w:rFonts w:eastAsia="Times New Roman" w:cs="Arial"/>
          <w:color w:val="000000"/>
          <w:lang w:val="en-US"/>
        </w:rPr>
        <w:t xml:space="preserve">HIV </w:t>
      </w:r>
      <w:r w:rsidRPr="00206CF1">
        <w:rPr>
          <w:rFonts w:eastAsia="Times New Roman" w:cs="Arial"/>
          <w:color w:val="000000"/>
          <w:lang w:eastAsia="bg-BG"/>
        </w:rPr>
        <w:t xml:space="preserve">пациенти с тежка имунна недостатъчност при започване на КАРТ може да се развие възпалителна реакция от асимптоматични или резидуални опортюнистични инфекции. Съобщава се също за развитие на автоимунни нарушения (като болест на </w:t>
      </w:r>
      <w:r w:rsidRPr="00206CF1">
        <w:rPr>
          <w:rFonts w:eastAsia="Times New Roman" w:cs="Arial"/>
          <w:color w:val="000000"/>
          <w:lang w:val="en-US"/>
        </w:rPr>
        <w:t xml:space="preserve">Graves </w:t>
      </w:r>
      <w:r w:rsidRPr="00206CF1">
        <w:rPr>
          <w:rFonts w:eastAsia="Times New Roman" w:cs="Arial"/>
          <w:color w:val="000000"/>
          <w:lang w:eastAsia="bg-BG"/>
        </w:rPr>
        <w:t>и автоимунен хепатит); обаче, времето до настъпването им, което се съобщава, е по-променливо и тези събития може да се случат много месеци след започване на лечението (вж. точка 4.4).</w:t>
      </w:r>
    </w:p>
    <w:p w14:paraId="73DBAB68" w14:textId="77777777" w:rsidR="00206CF1" w:rsidRDefault="00206CF1" w:rsidP="00206CF1">
      <w:pPr>
        <w:spacing w:line="240" w:lineRule="auto"/>
        <w:rPr>
          <w:rFonts w:eastAsia="Times New Roman" w:cs="Arial"/>
          <w:i/>
          <w:iCs/>
          <w:color w:val="000000"/>
          <w:lang w:eastAsia="bg-BG"/>
        </w:rPr>
      </w:pPr>
    </w:p>
    <w:p w14:paraId="36AECBD6" w14:textId="1FE6C9E2"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Остеонекроза</w:t>
      </w:r>
    </w:p>
    <w:p w14:paraId="6ACEAF99"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Съобщавани са случаи на остеонекроза, особено при пациенти с общоприети рискови фактори, напреднало </w:t>
      </w:r>
      <w:r w:rsidRPr="00206CF1">
        <w:rPr>
          <w:rFonts w:eastAsia="Times New Roman" w:cs="Arial"/>
          <w:color w:val="000000"/>
          <w:lang w:val="en-US"/>
        </w:rPr>
        <w:t>HI</w:t>
      </w:r>
      <w:r w:rsidRPr="00206CF1">
        <w:rPr>
          <w:rFonts w:eastAsia="Times New Roman" w:cs="Arial"/>
          <w:color w:val="000000"/>
          <w:lang w:eastAsia="bg-BG"/>
        </w:rPr>
        <w:t>V заболяване или продължителна експозиция на КАРТ. Честотата им не е известна (вж. точка 4.4).</w:t>
      </w:r>
    </w:p>
    <w:p w14:paraId="684C08AE" w14:textId="77777777" w:rsidR="00206CF1" w:rsidRDefault="00206CF1" w:rsidP="00206CF1">
      <w:pPr>
        <w:spacing w:line="240" w:lineRule="auto"/>
        <w:rPr>
          <w:rFonts w:eastAsia="Times New Roman" w:cs="Arial"/>
          <w:i/>
          <w:iCs/>
          <w:color w:val="000000"/>
          <w:lang w:eastAsia="bg-BG"/>
        </w:rPr>
      </w:pPr>
    </w:p>
    <w:p w14:paraId="16337F24" w14:textId="4D4B997C"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Хепатит В:</w:t>
      </w:r>
    </w:p>
    <w:p w14:paraId="50A1339C" w14:textId="77777777"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Екзацербации на хепатита по време на лечението</w:t>
      </w:r>
    </w:p>
    <w:p w14:paraId="5345D5F7"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При проучвания с пациенти без предварително лечение с нуклеозиди повишения на </w:t>
      </w:r>
      <w:r w:rsidRPr="00206CF1">
        <w:rPr>
          <w:rFonts w:eastAsia="Times New Roman" w:cs="Arial"/>
          <w:color w:val="000000"/>
          <w:lang w:val="en-US"/>
        </w:rPr>
        <w:t xml:space="preserve">ALT </w:t>
      </w:r>
      <w:r w:rsidRPr="00206CF1">
        <w:rPr>
          <w:rFonts w:eastAsia="Times New Roman" w:cs="Arial"/>
          <w:color w:val="000000"/>
          <w:lang w:eastAsia="bg-BG"/>
        </w:rPr>
        <w:t xml:space="preserve">по време на лечението &gt;10 пъти над горната граница на нормата и &gt; 2 пъти над изходните нива са наблюдавани при 2,6 % от пациентите на лечение с тенофовир дизопроксил. Повишенията на </w:t>
      </w:r>
      <w:r w:rsidRPr="00206CF1">
        <w:rPr>
          <w:rFonts w:eastAsia="Times New Roman" w:cs="Arial"/>
          <w:color w:val="000000"/>
          <w:lang w:val="en-US"/>
        </w:rPr>
        <w:t xml:space="preserve">ALT </w:t>
      </w:r>
      <w:r w:rsidRPr="00206CF1">
        <w:rPr>
          <w:rFonts w:eastAsia="Times New Roman" w:cs="Arial"/>
          <w:color w:val="000000"/>
          <w:lang w:eastAsia="bg-BG"/>
        </w:rPr>
        <w:t xml:space="preserve">са имали медиана на времето до поява 8 седмици, отзвучали са при продължаващо лечение и в повечето случаи са свързани с намаляване на вирусно натоварване с ≥ 2 </w:t>
      </w:r>
      <w:r w:rsidRPr="00206CF1">
        <w:rPr>
          <w:rFonts w:eastAsia="Times New Roman" w:cs="Arial"/>
          <w:color w:val="000000"/>
          <w:lang w:val="en-US"/>
        </w:rPr>
        <w:t>log</w:t>
      </w:r>
      <w:r w:rsidRPr="00206CF1">
        <w:rPr>
          <w:rFonts w:eastAsia="Times New Roman" w:cs="Arial"/>
          <w:color w:val="000000"/>
          <w:vertAlign w:val="subscript"/>
          <w:lang w:val="en-US"/>
        </w:rPr>
        <w:t>10</w:t>
      </w:r>
      <w:r w:rsidRPr="00206CF1">
        <w:rPr>
          <w:rFonts w:eastAsia="Times New Roman" w:cs="Arial"/>
          <w:color w:val="000000"/>
          <w:lang w:val="en-US"/>
        </w:rPr>
        <w:t xml:space="preserve"> </w:t>
      </w:r>
      <w:r w:rsidRPr="00206CF1">
        <w:rPr>
          <w:rFonts w:eastAsia="Times New Roman" w:cs="Arial"/>
          <w:color w:val="000000"/>
          <w:lang w:eastAsia="bg-BG"/>
        </w:rPr>
        <w:t>копия</w:t>
      </w:r>
      <w:r w:rsidRPr="00206CF1">
        <w:rPr>
          <w:rFonts w:eastAsia="Times New Roman" w:cs="Arial"/>
          <w:color w:val="000000"/>
          <w:lang w:val="en-US"/>
        </w:rPr>
        <w:t xml:space="preserve">/ml, </w:t>
      </w:r>
      <w:r w:rsidRPr="00206CF1">
        <w:rPr>
          <w:rFonts w:eastAsia="Times New Roman" w:cs="Arial"/>
          <w:color w:val="000000"/>
          <w:lang w:eastAsia="bg-BG"/>
        </w:rPr>
        <w:t xml:space="preserve">което е предхождало или е било едновременно с повишаването на </w:t>
      </w:r>
      <w:r w:rsidRPr="00206CF1">
        <w:rPr>
          <w:rFonts w:eastAsia="Times New Roman" w:cs="Arial"/>
          <w:color w:val="000000"/>
          <w:lang w:val="en-US"/>
        </w:rPr>
        <w:t xml:space="preserve">ALT. </w:t>
      </w:r>
      <w:r w:rsidRPr="00206CF1">
        <w:rPr>
          <w:rFonts w:eastAsia="Times New Roman" w:cs="Arial"/>
          <w:color w:val="000000"/>
          <w:lang w:eastAsia="bg-BG"/>
        </w:rPr>
        <w:t>Препоръчва се периодично следене на чернодробната функция по време на лечението (вж. точка 4.4).</w:t>
      </w:r>
    </w:p>
    <w:p w14:paraId="392E4CF5" w14:textId="77777777" w:rsidR="00206CF1" w:rsidRPr="00206CF1" w:rsidRDefault="00206CF1" w:rsidP="00206CF1">
      <w:pPr>
        <w:spacing w:line="240" w:lineRule="auto"/>
        <w:rPr>
          <w:rFonts w:eastAsia="Times New Roman" w:cs="Arial"/>
          <w:lang w:eastAsia="bg-BG"/>
        </w:rPr>
      </w:pPr>
    </w:p>
    <w:p w14:paraId="404B1FE1" w14:textId="77777777"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Екзацербации на хепатита след прекратяване на лечението</w:t>
      </w:r>
    </w:p>
    <w:p w14:paraId="1D12E284"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При инфектирани с </w:t>
      </w:r>
      <w:r w:rsidRPr="00206CF1">
        <w:rPr>
          <w:rFonts w:eastAsia="Times New Roman" w:cs="Arial"/>
          <w:color w:val="000000"/>
          <w:lang w:val="en-US"/>
        </w:rPr>
        <w:t xml:space="preserve">HBV </w:t>
      </w:r>
      <w:r w:rsidRPr="00206CF1">
        <w:rPr>
          <w:rFonts w:eastAsia="Times New Roman" w:cs="Arial"/>
          <w:color w:val="000000"/>
          <w:lang w:eastAsia="bg-BG"/>
        </w:rPr>
        <w:t xml:space="preserve">пациенти има клинични и лабораторни данни за екзацербации на хепатита след прекратяване на терапията на </w:t>
      </w:r>
      <w:r w:rsidRPr="00206CF1">
        <w:rPr>
          <w:rFonts w:eastAsia="Times New Roman" w:cs="Arial"/>
          <w:color w:val="000000"/>
          <w:lang w:val="en-US"/>
        </w:rPr>
        <w:t xml:space="preserve">HBV </w:t>
      </w:r>
      <w:r w:rsidRPr="00206CF1">
        <w:rPr>
          <w:rFonts w:eastAsia="Times New Roman" w:cs="Arial"/>
          <w:color w:val="000000"/>
          <w:lang w:eastAsia="bg-BG"/>
        </w:rPr>
        <w:t>(вж. точка 4.4).</w:t>
      </w:r>
    </w:p>
    <w:p w14:paraId="3F59AA1B" w14:textId="77777777" w:rsidR="00206CF1" w:rsidRDefault="00206CF1" w:rsidP="00206CF1">
      <w:pPr>
        <w:spacing w:line="240" w:lineRule="auto"/>
        <w:rPr>
          <w:rFonts w:eastAsia="Times New Roman" w:cs="Arial"/>
          <w:color w:val="000000"/>
          <w:u w:val="single"/>
          <w:lang w:eastAsia="bg-BG"/>
        </w:rPr>
      </w:pPr>
    </w:p>
    <w:p w14:paraId="7888AB61" w14:textId="47F5E4DC" w:rsidR="00206CF1" w:rsidRPr="00206CF1" w:rsidRDefault="00206CF1" w:rsidP="00206CF1">
      <w:pPr>
        <w:spacing w:line="240" w:lineRule="auto"/>
        <w:rPr>
          <w:rFonts w:eastAsia="Times New Roman" w:cs="Arial"/>
          <w:lang w:eastAsia="bg-BG"/>
        </w:rPr>
      </w:pPr>
      <w:r w:rsidRPr="00206CF1">
        <w:rPr>
          <w:rFonts w:eastAsia="Times New Roman" w:cs="Arial"/>
          <w:color w:val="000000"/>
          <w:u w:val="single"/>
          <w:lang w:eastAsia="bg-BG"/>
        </w:rPr>
        <w:t>Педиатрична популация</w:t>
      </w:r>
    </w:p>
    <w:p w14:paraId="2E23A8BE" w14:textId="77777777"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val="en-US"/>
        </w:rPr>
        <w:lastRenderedPageBreak/>
        <w:t>HIV-1</w:t>
      </w:r>
    </w:p>
    <w:p w14:paraId="3A09A7A3" w14:textId="77777777" w:rsidR="00206CF1" w:rsidRDefault="00206CF1" w:rsidP="00206CF1">
      <w:pPr>
        <w:spacing w:line="240" w:lineRule="auto"/>
        <w:rPr>
          <w:rFonts w:eastAsia="Times New Roman" w:cs="Arial"/>
          <w:color w:val="000000"/>
          <w:lang w:eastAsia="bg-BG"/>
        </w:rPr>
      </w:pPr>
      <w:r w:rsidRPr="00206CF1">
        <w:rPr>
          <w:rFonts w:eastAsia="Times New Roman" w:cs="Arial"/>
          <w:color w:val="000000"/>
          <w:lang w:eastAsia="bg-BG"/>
        </w:rPr>
        <w:t xml:space="preserve">Оценката на нежеланите реакции е базирана на данните от две рандомизирани проучвания (проучвания </w:t>
      </w:r>
      <w:r w:rsidRPr="00206CF1">
        <w:rPr>
          <w:rFonts w:eastAsia="Times New Roman" w:cs="Arial"/>
          <w:color w:val="000000"/>
          <w:lang w:val="en-US"/>
        </w:rPr>
        <w:t xml:space="preserve">GS-US-104-0321 </w:t>
      </w:r>
      <w:r w:rsidRPr="00206CF1">
        <w:rPr>
          <w:rFonts w:eastAsia="Times New Roman" w:cs="Arial"/>
          <w:color w:val="000000"/>
          <w:lang w:eastAsia="bg-BG"/>
        </w:rPr>
        <w:t xml:space="preserve">и </w:t>
      </w:r>
      <w:r w:rsidRPr="00206CF1">
        <w:rPr>
          <w:rFonts w:eastAsia="Times New Roman" w:cs="Arial"/>
          <w:color w:val="000000"/>
          <w:lang w:val="en-US"/>
        </w:rPr>
        <w:t xml:space="preserve">GS-US-104-0352) </w:t>
      </w:r>
      <w:r w:rsidRPr="00206CF1">
        <w:rPr>
          <w:rFonts w:eastAsia="Times New Roman" w:cs="Arial"/>
          <w:color w:val="000000"/>
          <w:lang w:eastAsia="bg-BG"/>
        </w:rPr>
        <w:t xml:space="preserve">при 184 инфектирани с </w:t>
      </w:r>
      <w:r w:rsidRPr="00206CF1">
        <w:rPr>
          <w:rFonts w:eastAsia="Times New Roman" w:cs="Arial"/>
          <w:color w:val="000000"/>
          <w:lang w:val="en-US"/>
        </w:rPr>
        <w:t xml:space="preserve">HIV-1 </w:t>
      </w:r>
      <w:r w:rsidRPr="00206CF1">
        <w:rPr>
          <w:rFonts w:eastAsia="Times New Roman" w:cs="Arial"/>
          <w:color w:val="000000"/>
          <w:lang w:eastAsia="bg-BG"/>
        </w:rPr>
        <w:t>педиатрични пациенти (на възраст от 2 до &lt; 18 години), които са получавали лечение с тенофовир дизопроксил (</w:t>
      </w:r>
      <w:r w:rsidRPr="00206CF1">
        <w:rPr>
          <w:rFonts w:eastAsia="Times New Roman" w:cs="Arial"/>
          <w:color w:val="000000"/>
          <w:lang w:val="en-US"/>
        </w:rPr>
        <w:t>n</w:t>
      </w:r>
      <w:r w:rsidRPr="00206CF1">
        <w:rPr>
          <w:rFonts w:eastAsia="Times New Roman" w:cs="Arial"/>
          <w:color w:val="000000"/>
          <w:lang w:eastAsia="bg-BG"/>
        </w:rPr>
        <w:t>= 93) или плацебо/активен сравнителен продукт (</w:t>
      </w:r>
      <w:r w:rsidRPr="00206CF1">
        <w:rPr>
          <w:rFonts w:eastAsia="Times New Roman" w:cs="Arial"/>
          <w:color w:val="000000"/>
          <w:lang w:val="en-US"/>
        </w:rPr>
        <w:t>n</w:t>
      </w:r>
      <w:r w:rsidRPr="00206CF1">
        <w:rPr>
          <w:rFonts w:eastAsia="Times New Roman" w:cs="Arial"/>
          <w:color w:val="000000"/>
          <w:lang w:eastAsia="bg-BG"/>
        </w:rPr>
        <w:t xml:space="preserve">= 91) в комбинация с други антиретровирусни средства в продължение на 48 седмици (вж. точка 5.1). Нежеланите лекарствени реакции, наблюдавани при педиатрични пациенти, които са получавали лечение с тенофовир дизопроксил, са били аналогични с тези, наблюдавани при клинични проучвания с тенофовир дизопроксил при възрастни (вж. точка 4.8 </w:t>
      </w:r>
    </w:p>
    <w:p w14:paraId="290D4848" w14:textId="6DDFB402"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Таблично обобщение на нежеланите реакции</w:t>
      </w:r>
      <w:r w:rsidRPr="00206CF1">
        <w:rPr>
          <w:rFonts w:eastAsia="Times New Roman" w:cs="Arial"/>
          <w:color w:val="000000"/>
          <w:lang w:eastAsia="bg-BG"/>
        </w:rPr>
        <w:t xml:space="preserve"> и 5.1).</w:t>
      </w:r>
    </w:p>
    <w:p w14:paraId="6E3A382B" w14:textId="77777777" w:rsidR="00206CF1" w:rsidRDefault="00206CF1" w:rsidP="00206CF1">
      <w:pPr>
        <w:spacing w:line="240" w:lineRule="auto"/>
        <w:rPr>
          <w:rFonts w:eastAsia="Times New Roman" w:cs="Arial"/>
          <w:color w:val="000000"/>
          <w:lang w:eastAsia="bg-BG"/>
        </w:rPr>
      </w:pPr>
    </w:p>
    <w:p w14:paraId="7D9AC207" w14:textId="4ED2209E"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Има съобщения за намаляване на КМП при педиатрични пациенти. При инфектирани с </w:t>
      </w:r>
      <w:r w:rsidRPr="00206CF1">
        <w:rPr>
          <w:rFonts w:eastAsia="Times New Roman" w:cs="Arial"/>
          <w:color w:val="000000"/>
          <w:lang w:val="en-US"/>
        </w:rPr>
        <w:t xml:space="preserve">HIV-1 </w:t>
      </w:r>
      <w:r w:rsidRPr="00206CF1">
        <w:rPr>
          <w:rFonts w:eastAsia="Times New Roman" w:cs="Arial"/>
          <w:color w:val="000000"/>
          <w:lang w:eastAsia="bg-BG"/>
        </w:rPr>
        <w:t xml:space="preserve">юноши КМП </w:t>
      </w:r>
      <w:r w:rsidRPr="00206CF1">
        <w:rPr>
          <w:rFonts w:eastAsia="Times New Roman" w:cs="Arial"/>
          <w:color w:val="000000"/>
          <w:lang w:val="en-US"/>
        </w:rPr>
        <w:t>Z</w:t>
      </w:r>
      <w:r w:rsidRPr="00206CF1">
        <w:rPr>
          <w:rFonts w:eastAsia="Times New Roman" w:cs="Arial"/>
          <w:color w:val="000000"/>
          <w:lang w:eastAsia="bg-BG"/>
        </w:rPr>
        <w:t xml:space="preserve">-скоровете, наблюдавани при участници, които са получавали тенофовир дизопроксил, са били по-ниски в сравнение с тези, получавали плацебо. При инфектирани с </w:t>
      </w:r>
      <w:r w:rsidRPr="00206CF1">
        <w:rPr>
          <w:rFonts w:eastAsia="Times New Roman" w:cs="Arial"/>
          <w:color w:val="000000"/>
          <w:lang w:val="en-US"/>
        </w:rPr>
        <w:t xml:space="preserve">HIV- </w:t>
      </w:r>
      <w:r w:rsidRPr="00206CF1">
        <w:rPr>
          <w:rFonts w:eastAsia="Times New Roman" w:cs="Arial"/>
          <w:color w:val="000000"/>
          <w:lang w:eastAsia="bg-BG"/>
        </w:rPr>
        <w:t xml:space="preserve">1 деца КМП </w:t>
      </w:r>
      <w:r w:rsidRPr="00206CF1">
        <w:rPr>
          <w:rFonts w:eastAsia="Times New Roman" w:cs="Arial"/>
          <w:color w:val="000000"/>
          <w:lang w:val="en-US"/>
        </w:rPr>
        <w:t>Z</w:t>
      </w:r>
      <w:r w:rsidRPr="00206CF1">
        <w:rPr>
          <w:rFonts w:eastAsia="Times New Roman" w:cs="Arial"/>
          <w:color w:val="000000"/>
          <w:lang w:eastAsia="bg-BG"/>
        </w:rPr>
        <w:t>-скоровете, наблюдавани при участници, които са преминали на лечение с тенофовир дизопроксил, са били по-ниски в сравнение с тези, които са продължили лечебната схема, съдържаща ставудин или зидовудин (вж. точка 4.4 и 5.1).</w:t>
      </w:r>
    </w:p>
    <w:p w14:paraId="7485DF3D" w14:textId="77777777" w:rsidR="00206CF1" w:rsidRDefault="00206CF1" w:rsidP="00206CF1">
      <w:pPr>
        <w:spacing w:line="240" w:lineRule="auto"/>
        <w:rPr>
          <w:rFonts w:eastAsia="Times New Roman" w:cs="Arial"/>
          <w:color w:val="000000"/>
          <w:lang w:eastAsia="bg-BG"/>
        </w:rPr>
      </w:pPr>
    </w:p>
    <w:p w14:paraId="79179706" w14:textId="61534684"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В проучване </w:t>
      </w:r>
      <w:r w:rsidRPr="00206CF1">
        <w:rPr>
          <w:rFonts w:eastAsia="Times New Roman" w:cs="Arial"/>
          <w:color w:val="000000"/>
          <w:lang w:val="en-US"/>
        </w:rPr>
        <w:t xml:space="preserve">GS-US-104-0352, </w:t>
      </w:r>
      <w:r w:rsidRPr="00206CF1">
        <w:rPr>
          <w:rFonts w:eastAsia="Times New Roman" w:cs="Arial"/>
          <w:color w:val="000000"/>
          <w:lang w:eastAsia="bg-BG"/>
        </w:rPr>
        <w:t>4 от 89 педиатрични пациенти с експозиция на тенофовир дизопроксил (медиана на експозицията на тенофовир дизопроксил 312 седмици) са прекратили участието си в проучването поради нежелани реакции, съответстващи на тубулопатия на проксималните бъбречни каналчета. Седем пациенти са имали стойности на оценена</w:t>
      </w:r>
      <w:r>
        <w:rPr>
          <w:rFonts w:eastAsia="Times New Roman" w:cs="Arial"/>
          <w:lang w:val="en-US" w:eastAsia="bg-BG"/>
        </w:rPr>
        <w:t xml:space="preserve"> </w:t>
      </w:r>
      <w:r w:rsidRPr="00206CF1">
        <w:rPr>
          <w:rFonts w:eastAsia="Times New Roman" w:cs="Arial"/>
          <w:color w:val="000000"/>
          <w:lang w:eastAsia="bg-BG"/>
        </w:rPr>
        <w:t xml:space="preserve">гломерулна филтрация </w:t>
      </w:r>
      <w:r w:rsidRPr="00206CF1">
        <w:rPr>
          <w:rFonts w:eastAsia="Times New Roman" w:cs="Arial"/>
          <w:color w:val="000000"/>
          <w:lang w:val="en-US"/>
        </w:rPr>
        <w:t xml:space="preserve">(GFR) </w:t>
      </w:r>
      <w:r w:rsidRPr="00206CF1">
        <w:rPr>
          <w:rFonts w:eastAsia="Times New Roman" w:cs="Arial"/>
          <w:color w:val="000000"/>
          <w:lang w:eastAsia="bg-BG"/>
        </w:rPr>
        <w:t xml:space="preserve">между 70 и 90 </w:t>
      </w:r>
      <w:r w:rsidRPr="00206CF1">
        <w:rPr>
          <w:rFonts w:eastAsia="Times New Roman" w:cs="Arial"/>
          <w:color w:val="000000"/>
          <w:lang w:val="en-US"/>
        </w:rPr>
        <w:t>ml/min/</w:t>
      </w:r>
      <w:r w:rsidRPr="00206CF1">
        <w:rPr>
          <w:rFonts w:eastAsia="Times New Roman" w:cs="Arial"/>
          <w:color w:val="000000"/>
          <w:lang w:eastAsia="bg-BG"/>
        </w:rPr>
        <w:t xml:space="preserve">1,73 </w:t>
      </w:r>
      <w:r w:rsidRPr="00206CF1">
        <w:rPr>
          <w:rFonts w:eastAsia="Times New Roman" w:cs="Arial"/>
          <w:color w:val="000000"/>
          <w:lang w:val="en-US"/>
        </w:rPr>
        <w:t>m</w:t>
      </w:r>
      <w:r w:rsidRPr="00206CF1">
        <w:rPr>
          <w:rFonts w:eastAsia="Times New Roman" w:cs="Arial"/>
          <w:color w:val="000000"/>
          <w:vertAlign w:val="superscript"/>
          <w:lang w:val="en-US"/>
        </w:rPr>
        <w:t>2</w:t>
      </w:r>
      <w:r w:rsidRPr="00206CF1">
        <w:rPr>
          <w:rFonts w:eastAsia="Times New Roman" w:cs="Arial"/>
          <w:color w:val="000000"/>
          <w:lang w:val="en-US"/>
        </w:rPr>
        <w:t xml:space="preserve">. </w:t>
      </w:r>
      <w:r w:rsidRPr="00206CF1">
        <w:rPr>
          <w:rFonts w:eastAsia="Times New Roman" w:cs="Arial"/>
          <w:color w:val="000000"/>
          <w:lang w:eastAsia="bg-BG"/>
        </w:rPr>
        <w:t xml:space="preserve">От тях при двама пациенти е имало клинично значимо намаление на оценената </w:t>
      </w:r>
      <w:r w:rsidRPr="00206CF1">
        <w:rPr>
          <w:rFonts w:eastAsia="Times New Roman" w:cs="Arial"/>
          <w:color w:val="000000"/>
          <w:lang w:val="en-US"/>
        </w:rPr>
        <w:t xml:space="preserve">GFR, </w:t>
      </w:r>
      <w:r w:rsidRPr="00206CF1">
        <w:rPr>
          <w:rFonts w:eastAsia="Times New Roman" w:cs="Arial"/>
          <w:color w:val="000000"/>
          <w:lang w:eastAsia="bg-BG"/>
        </w:rPr>
        <w:t>което се е подобрило след прекратяване на</w:t>
      </w:r>
      <w:r>
        <w:rPr>
          <w:rFonts w:eastAsia="Times New Roman" w:cs="Arial"/>
          <w:color w:val="000000"/>
          <w:lang w:val="en-US" w:eastAsia="bg-BG"/>
        </w:rPr>
        <w:t xml:space="preserve"> </w:t>
      </w:r>
      <w:r w:rsidRPr="00206CF1">
        <w:rPr>
          <w:rFonts w:eastAsia="Times New Roman" w:cs="Arial"/>
          <w:color w:val="000000"/>
          <w:lang w:eastAsia="bg-BG"/>
        </w:rPr>
        <w:t>тенофовир дизопроксил фумарат.</w:t>
      </w:r>
    </w:p>
    <w:p w14:paraId="6F06D8E1" w14:textId="77777777" w:rsidR="00206CF1" w:rsidRDefault="00206CF1" w:rsidP="00206CF1">
      <w:pPr>
        <w:spacing w:line="240" w:lineRule="auto"/>
        <w:rPr>
          <w:rFonts w:eastAsia="Times New Roman" w:cs="Arial"/>
          <w:i/>
          <w:iCs/>
          <w:color w:val="000000"/>
          <w:lang w:eastAsia="bg-BG"/>
        </w:rPr>
      </w:pPr>
    </w:p>
    <w:p w14:paraId="1909BE63" w14:textId="52C51D6E"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Хроничен хепатит В</w:t>
      </w:r>
    </w:p>
    <w:p w14:paraId="25D9A386"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Оценката на нежеланите реакции е базирана на данните от едно рандомизирано проучване (проучване </w:t>
      </w:r>
      <w:r w:rsidRPr="00206CF1">
        <w:rPr>
          <w:rFonts w:eastAsia="Times New Roman" w:cs="Arial"/>
          <w:color w:val="000000"/>
          <w:lang w:val="en-US"/>
        </w:rPr>
        <w:t>GS-US-</w:t>
      </w:r>
      <w:r w:rsidRPr="00206CF1">
        <w:rPr>
          <w:rFonts w:eastAsia="Times New Roman" w:cs="Arial"/>
          <w:color w:val="000000"/>
          <w:lang w:eastAsia="bg-BG"/>
        </w:rPr>
        <w:t xml:space="preserve">174-0115) при 106 пациенти в юношеска възраст (на възраст от 12 до &lt; 18 години) с хроничен хепатит В, които са получавали лечение с 245 </w:t>
      </w:r>
      <w:r w:rsidRPr="00206CF1">
        <w:rPr>
          <w:rFonts w:eastAsia="Times New Roman" w:cs="Arial"/>
          <w:color w:val="000000"/>
          <w:lang w:val="en-US"/>
        </w:rPr>
        <w:t xml:space="preserve">mg </w:t>
      </w:r>
      <w:r w:rsidRPr="00206CF1">
        <w:rPr>
          <w:rFonts w:eastAsia="Times New Roman" w:cs="Arial"/>
          <w:color w:val="000000"/>
          <w:lang w:eastAsia="bg-BG"/>
        </w:rPr>
        <w:t>тенофовир дизопроксил (</w:t>
      </w:r>
      <w:r w:rsidRPr="00206CF1">
        <w:rPr>
          <w:rFonts w:eastAsia="Times New Roman" w:cs="Arial"/>
          <w:color w:val="000000"/>
          <w:lang w:val="en-US"/>
        </w:rPr>
        <w:t>n</w:t>
      </w:r>
      <w:r w:rsidRPr="00206CF1">
        <w:rPr>
          <w:rFonts w:eastAsia="Times New Roman" w:cs="Arial"/>
          <w:color w:val="000000"/>
          <w:lang w:eastAsia="bg-BG"/>
        </w:rPr>
        <w:t xml:space="preserve"> = 52) или плацебо (</w:t>
      </w:r>
      <w:r w:rsidRPr="00206CF1">
        <w:rPr>
          <w:rFonts w:eastAsia="Times New Roman" w:cs="Arial"/>
          <w:color w:val="000000"/>
          <w:lang w:val="en-US"/>
        </w:rPr>
        <w:t>n</w:t>
      </w:r>
      <w:r w:rsidRPr="00206CF1">
        <w:rPr>
          <w:rFonts w:eastAsia="Times New Roman" w:cs="Arial"/>
          <w:color w:val="000000"/>
          <w:lang w:eastAsia="bg-BG"/>
        </w:rPr>
        <w:t xml:space="preserve"> = 54) в продължение на 72 седмици. Нежеланите лекарствени реакции, наблюдавани при пациенти в юношеска възраст, които са получавали лечение с тенофовир дизопроксил, са били аналогични с тези, наблюдавани при клинични проучвания с тенофовир дизопроксил при възрастни (вж. точка 4.8 </w:t>
      </w:r>
      <w:r w:rsidRPr="00206CF1">
        <w:rPr>
          <w:rFonts w:eastAsia="Times New Roman" w:cs="Arial"/>
          <w:i/>
          <w:iCs/>
          <w:color w:val="000000"/>
          <w:lang w:eastAsia="bg-BG"/>
        </w:rPr>
        <w:t>Таблично обобщение на нежеланите реакции</w:t>
      </w:r>
      <w:r w:rsidRPr="00206CF1">
        <w:rPr>
          <w:rFonts w:eastAsia="Times New Roman" w:cs="Arial"/>
          <w:color w:val="000000"/>
          <w:lang w:eastAsia="bg-BG"/>
        </w:rPr>
        <w:t xml:space="preserve"> и 5.1).</w:t>
      </w:r>
    </w:p>
    <w:p w14:paraId="29631111" w14:textId="19CCDD89" w:rsidR="00206CF1" w:rsidRPr="00206CF1" w:rsidRDefault="00206CF1" w:rsidP="00206CF1">
      <w:pPr>
        <w:spacing w:line="240" w:lineRule="auto"/>
        <w:rPr>
          <w:rFonts w:eastAsia="Times New Roman" w:cs="Arial"/>
          <w:lang w:eastAsia="bg-BG"/>
        </w:rPr>
      </w:pPr>
    </w:p>
    <w:p w14:paraId="48EF278B" w14:textId="77777777" w:rsidR="00206CF1" w:rsidRDefault="00206CF1" w:rsidP="00206CF1">
      <w:pPr>
        <w:spacing w:line="240" w:lineRule="auto"/>
        <w:rPr>
          <w:rFonts w:eastAsia="Times New Roman" w:cs="Arial"/>
          <w:color w:val="000000"/>
          <w:lang w:eastAsia="bg-BG"/>
        </w:rPr>
      </w:pPr>
    </w:p>
    <w:p w14:paraId="5892744B" w14:textId="74BB1A5C"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Наблюдавано е намаляване на КМП при инфектирани с </w:t>
      </w:r>
      <w:r w:rsidRPr="00206CF1">
        <w:rPr>
          <w:rFonts w:eastAsia="Times New Roman" w:cs="Arial"/>
          <w:color w:val="000000"/>
          <w:lang w:val="en-US"/>
        </w:rPr>
        <w:t xml:space="preserve">HBV </w:t>
      </w:r>
      <w:r w:rsidRPr="00206CF1">
        <w:rPr>
          <w:rFonts w:eastAsia="Times New Roman" w:cs="Arial"/>
          <w:color w:val="000000"/>
          <w:lang w:eastAsia="bg-BG"/>
        </w:rPr>
        <w:t xml:space="preserve">юноши. КМП </w:t>
      </w:r>
      <w:r w:rsidRPr="00206CF1">
        <w:rPr>
          <w:rFonts w:eastAsia="Times New Roman" w:cs="Arial"/>
          <w:color w:val="000000"/>
          <w:lang w:val="en-US"/>
        </w:rPr>
        <w:t>Z</w:t>
      </w:r>
      <w:r w:rsidRPr="00206CF1">
        <w:rPr>
          <w:rFonts w:eastAsia="Times New Roman" w:cs="Arial"/>
          <w:color w:val="000000"/>
          <w:lang w:eastAsia="bg-BG"/>
        </w:rPr>
        <w:t>-скоровете, наблюдавани при участници, които са получавали тенофовир дизопроксил, са били по- ниски в сравнение с тези, получавали плацебо (вж. точка 4.4 и 5.1).</w:t>
      </w:r>
    </w:p>
    <w:p w14:paraId="48B0D946" w14:textId="77777777" w:rsidR="00206CF1" w:rsidRDefault="00206CF1" w:rsidP="00206CF1">
      <w:pPr>
        <w:spacing w:line="240" w:lineRule="auto"/>
        <w:rPr>
          <w:rFonts w:eastAsia="Times New Roman" w:cs="Arial"/>
          <w:color w:val="000000"/>
          <w:u w:val="single"/>
          <w:lang w:eastAsia="bg-BG"/>
        </w:rPr>
      </w:pPr>
    </w:p>
    <w:p w14:paraId="05844727" w14:textId="635B82AC" w:rsidR="00206CF1" w:rsidRPr="00206CF1" w:rsidRDefault="00206CF1" w:rsidP="00206CF1">
      <w:pPr>
        <w:spacing w:line="240" w:lineRule="auto"/>
        <w:rPr>
          <w:rFonts w:eastAsia="Times New Roman" w:cs="Arial"/>
          <w:lang w:eastAsia="bg-BG"/>
        </w:rPr>
      </w:pPr>
      <w:r w:rsidRPr="00206CF1">
        <w:rPr>
          <w:rFonts w:eastAsia="Times New Roman" w:cs="Arial"/>
          <w:color w:val="000000"/>
          <w:u w:val="single"/>
          <w:lang w:eastAsia="bg-BG"/>
        </w:rPr>
        <w:t>Други специални популации</w:t>
      </w:r>
    </w:p>
    <w:p w14:paraId="74F27492" w14:textId="77777777" w:rsidR="00206CF1" w:rsidRDefault="00206CF1" w:rsidP="00206CF1">
      <w:pPr>
        <w:spacing w:line="240" w:lineRule="auto"/>
        <w:rPr>
          <w:rFonts w:eastAsia="Times New Roman" w:cs="Arial"/>
          <w:i/>
          <w:iCs/>
          <w:color w:val="000000"/>
          <w:lang w:eastAsia="bg-BG"/>
        </w:rPr>
      </w:pPr>
    </w:p>
    <w:p w14:paraId="3EAA57D8" w14:textId="438C35A3"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Старческа възраст</w:t>
      </w:r>
    </w:p>
    <w:p w14:paraId="27F8C78C"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Тенофовир дизопроксил не е проучван при пациенти над 65-годишна възраст. Пациентите в старческа възраст е по-вероятно да имат намалена бъбречна функция, затова е необходимо повишено внимание при лечението на пациенти в старческа възраст с тенофовир дизопроксил (вж. точка 4.4).</w:t>
      </w:r>
    </w:p>
    <w:p w14:paraId="0E0C03AE" w14:textId="77777777" w:rsidR="00206CF1" w:rsidRPr="00206CF1" w:rsidRDefault="00206CF1" w:rsidP="00206CF1">
      <w:pPr>
        <w:spacing w:line="240" w:lineRule="auto"/>
        <w:rPr>
          <w:rFonts w:eastAsia="Times New Roman" w:cs="Arial"/>
          <w:lang w:eastAsia="bg-BG"/>
        </w:rPr>
      </w:pPr>
    </w:p>
    <w:p w14:paraId="7DF5D810" w14:textId="77777777"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Пациенти с бъбречно увреждане</w:t>
      </w:r>
    </w:p>
    <w:p w14:paraId="5B6EE44F"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lastRenderedPageBreak/>
        <w:t>Тъй като тенофовир дизопроксил може да предизвика нефротоксичност, се препоръчва внимателно следене на бъбречната функция при възрастни пациента с бъбречно увреждане, лекувани с тенофовир (вж. точки 4.2,4.4 и 5.2). Не се препоръчва употребата на тенофовир дизопроксил при педиатрични пациенти с бъбречно увреждане (вж. точки 4.2 и 4.4).</w:t>
      </w:r>
    </w:p>
    <w:p w14:paraId="7FA22A71" w14:textId="77777777" w:rsidR="00206CF1" w:rsidRDefault="00206CF1" w:rsidP="00206CF1">
      <w:pPr>
        <w:spacing w:line="240" w:lineRule="auto"/>
        <w:rPr>
          <w:rFonts w:eastAsia="Times New Roman" w:cs="Arial"/>
          <w:color w:val="000000"/>
          <w:u w:val="single"/>
          <w:lang w:eastAsia="bg-BG"/>
        </w:rPr>
      </w:pPr>
    </w:p>
    <w:p w14:paraId="48398656" w14:textId="146EF463" w:rsidR="00206CF1" w:rsidRPr="00206CF1" w:rsidRDefault="00206CF1" w:rsidP="00206CF1">
      <w:pPr>
        <w:spacing w:line="240" w:lineRule="auto"/>
        <w:rPr>
          <w:rFonts w:eastAsia="Times New Roman" w:cs="Arial"/>
          <w:lang w:eastAsia="bg-BG"/>
        </w:rPr>
      </w:pPr>
      <w:r w:rsidRPr="00206CF1">
        <w:rPr>
          <w:rFonts w:eastAsia="Times New Roman" w:cs="Arial"/>
          <w:color w:val="000000"/>
          <w:u w:val="single"/>
          <w:lang w:eastAsia="bg-BG"/>
        </w:rPr>
        <w:t>Съобщаване на подозирани нежелани реакции</w:t>
      </w:r>
    </w:p>
    <w:p w14:paraId="500085A5" w14:textId="0B431EE6" w:rsidR="00206CF1" w:rsidRDefault="00206CF1" w:rsidP="00206CF1">
      <w:pPr>
        <w:spacing w:line="240" w:lineRule="auto"/>
        <w:rPr>
          <w:rFonts w:eastAsia="Times New Roman" w:cs="Arial"/>
          <w:color w:val="000000"/>
          <w:lang w:val="en-US"/>
        </w:rPr>
      </w:pPr>
      <w:r w:rsidRPr="00206CF1">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продължително наблюдение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Изпълнителна агенция по лекарствата, ул. „Дамян Груев” № 8,1303 София, тел.: +35928903417, уебсайт: </w:t>
      </w:r>
      <w:r w:rsidRPr="00206CF1">
        <w:rPr>
          <w:rFonts w:eastAsia="Times New Roman" w:cs="Arial"/>
          <w:lang w:eastAsia="bg-BG"/>
        </w:rPr>
        <w:fldChar w:fldCharType="begin"/>
      </w:r>
      <w:r w:rsidRPr="00206CF1">
        <w:rPr>
          <w:rFonts w:eastAsia="Times New Roman" w:cs="Arial"/>
          <w:lang w:eastAsia="bg-BG"/>
        </w:rPr>
        <w:instrText xml:space="preserve"> HYPERLINK "http://www.bda.bg" </w:instrText>
      </w:r>
      <w:r w:rsidRPr="00206CF1">
        <w:rPr>
          <w:rFonts w:eastAsia="Times New Roman" w:cs="Arial"/>
          <w:lang w:eastAsia="bg-BG"/>
        </w:rPr>
      </w:r>
      <w:r w:rsidRPr="00206CF1">
        <w:rPr>
          <w:rFonts w:eastAsia="Times New Roman" w:cs="Arial"/>
          <w:lang w:eastAsia="bg-BG"/>
        </w:rPr>
        <w:fldChar w:fldCharType="separate"/>
      </w:r>
      <w:r w:rsidRPr="00206CF1">
        <w:rPr>
          <w:rFonts w:eastAsia="Times New Roman" w:cs="Arial"/>
          <w:color w:val="000000"/>
          <w:lang w:val="en-US"/>
        </w:rPr>
        <w:t>www.bda.bg</w:t>
      </w:r>
      <w:r w:rsidRPr="00206CF1">
        <w:rPr>
          <w:rFonts w:eastAsia="Times New Roman" w:cs="Arial"/>
          <w:lang w:eastAsia="bg-BG"/>
        </w:rPr>
        <w:fldChar w:fldCharType="end"/>
      </w:r>
      <w:r w:rsidRPr="00206CF1">
        <w:rPr>
          <w:rFonts w:eastAsia="Times New Roman" w:cs="Arial"/>
          <w:color w:val="000000"/>
          <w:lang w:val="en-US"/>
        </w:rPr>
        <w:t>.</w:t>
      </w:r>
    </w:p>
    <w:p w14:paraId="29051C1F" w14:textId="77777777" w:rsidR="00206CF1" w:rsidRPr="00206CF1" w:rsidRDefault="00206CF1" w:rsidP="00206CF1">
      <w:pPr>
        <w:spacing w:line="240" w:lineRule="auto"/>
        <w:rPr>
          <w:rFonts w:eastAsia="Times New Roman" w:cs="Arial"/>
          <w:lang w:val="en-US" w:eastAsia="bg-BG"/>
        </w:rPr>
      </w:pPr>
    </w:p>
    <w:p w14:paraId="4A5904B1" w14:textId="44149E70" w:rsidR="00EE6C97" w:rsidRDefault="002C50EE" w:rsidP="00A93499">
      <w:pPr>
        <w:pStyle w:val="Heading2"/>
      </w:pPr>
      <w:r>
        <w:t>4.9. Предозиране</w:t>
      </w:r>
    </w:p>
    <w:p w14:paraId="660F0BF9" w14:textId="6A4B2EC3" w:rsidR="00206CF1" w:rsidRDefault="00206CF1" w:rsidP="00206CF1"/>
    <w:p w14:paraId="3E1464E9" w14:textId="77777777" w:rsidR="00206CF1" w:rsidRPr="00206CF1" w:rsidRDefault="00206CF1" w:rsidP="00206CF1">
      <w:pPr>
        <w:pStyle w:val="Heading3"/>
        <w:rPr>
          <w:rFonts w:eastAsia="Times New Roman"/>
          <w:u w:val="single"/>
          <w:lang w:eastAsia="bg-BG"/>
        </w:rPr>
      </w:pPr>
      <w:r w:rsidRPr="00206CF1">
        <w:rPr>
          <w:rFonts w:eastAsia="Times New Roman"/>
          <w:u w:val="single"/>
          <w:lang w:eastAsia="bg-BG"/>
        </w:rPr>
        <w:t>Симптоми</w:t>
      </w:r>
    </w:p>
    <w:p w14:paraId="2F7011AB"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В случаи на предозиране състоянието на пациентите трябва да се следи за признаци на интоксикация (вж. точки 4.8 и 5.3), и ако се налага да се проведе стандартно поддържащо лечение.</w:t>
      </w:r>
    </w:p>
    <w:p w14:paraId="070B6119" w14:textId="77777777" w:rsidR="00206CF1" w:rsidRPr="00206CF1" w:rsidRDefault="00206CF1" w:rsidP="00206CF1">
      <w:pPr>
        <w:spacing w:line="240" w:lineRule="auto"/>
        <w:rPr>
          <w:rFonts w:eastAsia="Times New Roman" w:cs="Arial"/>
          <w:color w:val="000000"/>
          <w:u w:val="single"/>
          <w:lang w:eastAsia="bg-BG"/>
        </w:rPr>
      </w:pPr>
    </w:p>
    <w:p w14:paraId="79628A7C" w14:textId="289213B9" w:rsidR="00206CF1" w:rsidRPr="00206CF1" w:rsidRDefault="00206CF1" w:rsidP="00206CF1">
      <w:pPr>
        <w:pStyle w:val="Heading3"/>
        <w:rPr>
          <w:rFonts w:eastAsia="Times New Roman"/>
          <w:u w:val="single"/>
          <w:lang w:eastAsia="bg-BG"/>
        </w:rPr>
      </w:pPr>
      <w:r w:rsidRPr="00206CF1">
        <w:rPr>
          <w:rFonts w:eastAsia="Times New Roman"/>
          <w:u w:val="single"/>
          <w:lang w:eastAsia="bg-BG"/>
        </w:rPr>
        <w:t>Лечение</w:t>
      </w:r>
    </w:p>
    <w:p w14:paraId="614DF0D7" w14:textId="5467AE2F" w:rsidR="00206CF1" w:rsidRPr="00206CF1" w:rsidRDefault="00206CF1" w:rsidP="00206CF1">
      <w:pPr>
        <w:rPr>
          <w:rFonts w:cs="Arial"/>
        </w:rPr>
      </w:pPr>
      <w:r w:rsidRPr="00206CF1">
        <w:rPr>
          <w:rFonts w:eastAsia="Times New Roman" w:cs="Arial"/>
          <w:color w:val="000000"/>
          <w:lang w:eastAsia="bg-BG"/>
        </w:rPr>
        <w:t xml:space="preserve">Тенофовир може да се отстрани чрез хемодиализа; медианният хемодиализен клирънс на тенофовир е 134 </w:t>
      </w:r>
      <w:r w:rsidRPr="00206CF1">
        <w:rPr>
          <w:rFonts w:eastAsia="Times New Roman" w:cs="Arial"/>
          <w:color w:val="000000"/>
          <w:lang w:val="en-US"/>
        </w:rPr>
        <w:t xml:space="preserve">ml/min. </w:t>
      </w:r>
      <w:r w:rsidRPr="00206CF1">
        <w:rPr>
          <w:rFonts w:eastAsia="Times New Roman" w:cs="Arial"/>
          <w:color w:val="000000"/>
          <w:lang w:eastAsia="bg-BG"/>
        </w:rPr>
        <w:t>Не е известно дали тенофовир може да се отстрани чрез перитонеална диализа.</w:t>
      </w:r>
    </w:p>
    <w:p w14:paraId="02081B24" w14:textId="36FE76F4" w:rsidR="00395555" w:rsidRPr="00395555" w:rsidRDefault="002C50EE" w:rsidP="008A6AF2">
      <w:pPr>
        <w:pStyle w:val="Heading1"/>
      </w:pPr>
      <w:r>
        <w:t>5. ФАРМАКОЛОГИЧНИ СВОЙСТВА</w:t>
      </w:r>
    </w:p>
    <w:p w14:paraId="3B9FA2B5" w14:textId="4726F4FF" w:rsidR="00EE6C97" w:rsidRDefault="002C50EE" w:rsidP="00A93499">
      <w:pPr>
        <w:pStyle w:val="Heading2"/>
      </w:pPr>
      <w:r>
        <w:t>5.1. Фармакодинамични свойства</w:t>
      </w:r>
    </w:p>
    <w:p w14:paraId="3C91BB4B" w14:textId="3DCB1239" w:rsidR="00206CF1" w:rsidRDefault="00206CF1" w:rsidP="00206CF1"/>
    <w:p w14:paraId="3286F6B7" w14:textId="5C89553A" w:rsidR="00206CF1" w:rsidRPr="00206CF1" w:rsidRDefault="00206CF1" w:rsidP="00206CF1">
      <w:pPr>
        <w:rPr>
          <w:rFonts w:cs="Arial"/>
          <w:lang w:val="en-US"/>
        </w:rPr>
      </w:pPr>
      <w:r w:rsidRPr="00206CF1">
        <w:rPr>
          <w:rFonts w:cs="Arial"/>
        </w:rPr>
        <w:t>Фармакотерапевтична група: Антивирусни средства за системно приложение; антивирусни</w:t>
      </w:r>
      <w:r w:rsidRPr="00206CF1">
        <w:rPr>
          <w:rFonts w:cs="Arial"/>
          <w:b/>
          <w:bCs/>
          <w:w w:val="80"/>
        </w:rPr>
        <w:t xml:space="preserve"> </w:t>
      </w:r>
      <w:r w:rsidRPr="00206CF1">
        <w:rPr>
          <w:rFonts w:cs="Arial"/>
        </w:rPr>
        <w:t xml:space="preserve">средства с директно действие; нуклеозидни и нуклеотидни инхибитори на обратната транскриптаза, АТС код: </w:t>
      </w:r>
      <w:r w:rsidRPr="00206CF1">
        <w:rPr>
          <w:rFonts w:cs="Arial"/>
          <w:lang w:val="en-US"/>
        </w:rPr>
        <w:t>J05AF07</w:t>
      </w:r>
    </w:p>
    <w:p w14:paraId="1B978098" w14:textId="1E2CF7A0" w:rsidR="00206CF1" w:rsidRPr="00206CF1" w:rsidRDefault="00206CF1" w:rsidP="00206CF1">
      <w:pPr>
        <w:rPr>
          <w:rFonts w:cs="Arial"/>
          <w:lang w:val="en-US"/>
        </w:rPr>
      </w:pPr>
    </w:p>
    <w:p w14:paraId="10F910C8"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u w:val="single"/>
          <w:lang w:eastAsia="bg-BG"/>
        </w:rPr>
        <w:t>Механизъм на действие и (фармакодинамични ефекти</w:t>
      </w:r>
    </w:p>
    <w:p w14:paraId="3E05862C"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Тенофовир дизопроксил сукцинат представлява сол на тенофовир дизопроксил </w:t>
      </w:r>
      <w:r w:rsidRPr="00206CF1">
        <w:rPr>
          <w:rFonts w:eastAsia="Times New Roman" w:cs="Arial"/>
          <w:color w:val="000000"/>
          <w:lang w:val="en-US"/>
        </w:rPr>
        <w:t xml:space="preserve">prodrug. </w:t>
      </w:r>
      <w:r w:rsidRPr="00206CF1">
        <w:rPr>
          <w:rFonts w:eastAsia="Times New Roman" w:cs="Arial"/>
          <w:color w:val="000000"/>
          <w:lang w:eastAsia="bg-BG"/>
        </w:rPr>
        <w:t xml:space="preserve">Тенофовир дизопроксил се абсорбира и конвертира до активната съставка тенофовир, която е нуклеозид монофосфатен (нуклеотиден) аналог. В последствие тенофовир се конвертира в активния метаболит тенофовир дифосфат, който задължително прекъсва веригата чрез постоянно експресирани клетъчни ензими. Тенофовир дифосфат има вътреклетъчен полуживот от 10 часа в активираните мононуклеарни клетки в периферната кръв (МКПК) и 50 часа в тези в покой. Тенофовир дифосфат инхибира обратната транскриптаза на </w:t>
      </w:r>
      <w:r w:rsidRPr="00206CF1">
        <w:rPr>
          <w:rFonts w:eastAsia="Times New Roman" w:cs="Arial"/>
          <w:color w:val="000000"/>
          <w:lang w:val="en-US"/>
        </w:rPr>
        <w:t xml:space="preserve">HIV-1 </w:t>
      </w:r>
      <w:r w:rsidRPr="00206CF1">
        <w:rPr>
          <w:rFonts w:eastAsia="Times New Roman" w:cs="Arial"/>
          <w:color w:val="000000"/>
          <w:lang w:eastAsia="bg-BG"/>
        </w:rPr>
        <w:t xml:space="preserve">и полимеразата на </w:t>
      </w:r>
      <w:r w:rsidRPr="00206CF1">
        <w:rPr>
          <w:rFonts w:eastAsia="Times New Roman" w:cs="Arial"/>
          <w:color w:val="000000"/>
          <w:lang w:val="en-US"/>
        </w:rPr>
        <w:t xml:space="preserve">HBV </w:t>
      </w:r>
      <w:r w:rsidRPr="00206CF1">
        <w:rPr>
          <w:rFonts w:eastAsia="Times New Roman" w:cs="Arial"/>
          <w:color w:val="000000"/>
          <w:lang w:eastAsia="bg-BG"/>
        </w:rPr>
        <w:t>чрез директно конкуриране за свързване с естествения дезоксирибонуклеотиден субстрат и чрез прекъсване на ДНК веригата след инкорпориране в нея. Тенофовир представлява слаб инхибитор на клетъчните полимерази α, β и γ . При концентрации до 300 μ</w:t>
      </w:r>
      <w:r w:rsidRPr="00206CF1">
        <w:rPr>
          <w:rFonts w:eastAsia="Times New Roman" w:cs="Arial"/>
          <w:color w:val="000000"/>
          <w:lang w:val="en-US"/>
        </w:rPr>
        <w:t xml:space="preserve">mol/1 </w:t>
      </w:r>
      <w:r w:rsidRPr="00206CF1">
        <w:rPr>
          <w:rFonts w:eastAsia="Times New Roman" w:cs="Arial"/>
          <w:color w:val="000000"/>
          <w:lang w:eastAsia="bg-BG"/>
        </w:rPr>
        <w:t xml:space="preserve">тенофовир не е показал ефект върху синтезата на митохондриална ДНК или на млечна киселина при </w:t>
      </w:r>
      <w:r w:rsidRPr="00206CF1">
        <w:rPr>
          <w:rFonts w:eastAsia="Times New Roman" w:cs="Arial"/>
          <w:i/>
          <w:iCs/>
          <w:color w:val="000000"/>
          <w:lang w:val="en-US"/>
        </w:rPr>
        <w:t>in vitro</w:t>
      </w:r>
      <w:r w:rsidRPr="00206CF1">
        <w:rPr>
          <w:rFonts w:eastAsia="Times New Roman" w:cs="Arial"/>
          <w:color w:val="000000"/>
          <w:lang w:val="en-US"/>
        </w:rPr>
        <w:t xml:space="preserve"> </w:t>
      </w:r>
      <w:r w:rsidRPr="00206CF1">
        <w:rPr>
          <w:rFonts w:eastAsia="Times New Roman" w:cs="Arial"/>
          <w:color w:val="000000"/>
          <w:lang w:eastAsia="bg-BG"/>
        </w:rPr>
        <w:t>тестове.</w:t>
      </w:r>
    </w:p>
    <w:p w14:paraId="4B66D143" w14:textId="77777777" w:rsidR="00206CF1" w:rsidRDefault="00206CF1" w:rsidP="00206CF1">
      <w:pPr>
        <w:spacing w:line="240" w:lineRule="auto"/>
        <w:rPr>
          <w:rFonts w:eastAsia="Times New Roman" w:cs="Arial"/>
          <w:i/>
          <w:iCs/>
          <w:color w:val="000000"/>
          <w:lang w:eastAsia="bg-BG"/>
        </w:rPr>
      </w:pPr>
    </w:p>
    <w:p w14:paraId="482B4DA5" w14:textId="77777777" w:rsidR="00206CF1" w:rsidRDefault="00206CF1" w:rsidP="00206CF1">
      <w:pPr>
        <w:spacing w:line="240" w:lineRule="auto"/>
        <w:rPr>
          <w:rFonts w:eastAsia="Times New Roman" w:cs="Arial"/>
          <w:i/>
          <w:iCs/>
          <w:color w:val="000000"/>
          <w:lang w:eastAsia="bg-BG"/>
        </w:rPr>
      </w:pPr>
    </w:p>
    <w:p w14:paraId="74F924B1" w14:textId="05A5E413"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 xml:space="preserve">Данни, отнасящи се до </w:t>
      </w:r>
      <w:r w:rsidRPr="00206CF1">
        <w:rPr>
          <w:rFonts w:eastAsia="Times New Roman" w:cs="Arial"/>
          <w:i/>
          <w:iCs/>
          <w:color w:val="000000"/>
          <w:lang w:val="en-US"/>
        </w:rPr>
        <w:t>HIV</w:t>
      </w:r>
    </w:p>
    <w:p w14:paraId="15018AEC" w14:textId="77777777"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 xml:space="preserve">Антивирусна активност срещу </w:t>
      </w:r>
      <w:r w:rsidRPr="00206CF1">
        <w:rPr>
          <w:rFonts w:eastAsia="Times New Roman" w:cs="Arial"/>
          <w:i/>
          <w:iCs/>
          <w:color w:val="000000"/>
          <w:lang w:val="en-US"/>
        </w:rPr>
        <w:t>HIV in vitro:</w:t>
      </w:r>
      <w:r w:rsidRPr="00206CF1">
        <w:rPr>
          <w:rFonts w:eastAsia="Times New Roman" w:cs="Arial"/>
          <w:color w:val="000000"/>
          <w:lang w:val="en-US"/>
        </w:rPr>
        <w:t xml:space="preserve"> </w:t>
      </w:r>
      <w:r w:rsidRPr="00206CF1">
        <w:rPr>
          <w:rFonts w:eastAsia="Times New Roman" w:cs="Arial"/>
          <w:color w:val="000000"/>
          <w:lang w:eastAsia="bg-BG"/>
        </w:rPr>
        <w:t>Концентрацията на тенофовир, необходима за 50 % инхибиране (ЕС</w:t>
      </w:r>
      <w:r w:rsidRPr="00206CF1">
        <w:rPr>
          <w:rFonts w:eastAsia="Times New Roman" w:cs="Arial"/>
          <w:color w:val="000000"/>
          <w:vertAlign w:val="subscript"/>
          <w:lang w:eastAsia="bg-BG"/>
        </w:rPr>
        <w:t>50</w:t>
      </w:r>
      <w:r w:rsidRPr="00206CF1">
        <w:rPr>
          <w:rFonts w:eastAsia="Times New Roman" w:cs="Arial"/>
          <w:color w:val="000000"/>
          <w:lang w:eastAsia="bg-BG"/>
        </w:rPr>
        <w:t xml:space="preserve">) на лабораторни щамове на дивия тип </w:t>
      </w:r>
      <w:r w:rsidRPr="00206CF1">
        <w:rPr>
          <w:rFonts w:eastAsia="Times New Roman" w:cs="Arial"/>
          <w:color w:val="000000"/>
          <w:lang w:val="en-US"/>
        </w:rPr>
        <w:t>HIV-1</w:t>
      </w:r>
      <w:r w:rsidRPr="00206CF1">
        <w:rPr>
          <w:rFonts w:eastAsia="Times New Roman" w:cs="Arial"/>
          <w:color w:val="000000"/>
          <w:vertAlign w:val="subscript"/>
          <w:lang w:val="en-US"/>
        </w:rPr>
        <w:t>IIIB</w:t>
      </w:r>
      <w:r w:rsidRPr="00206CF1">
        <w:rPr>
          <w:rFonts w:eastAsia="Times New Roman" w:cs="Arial"/>
          <w:color w:val="000000"/>
          <w:lang w:val="en-US"/>
        </w:rPr>
        <w:t xml:space="preserve"> </w:t>
      </w:r>
      <w:r w:rsidRPr="00206CF1">
        <w:rPr>
          <w:rFonts w:eastAsia="Times New Roman" w:cs="Arial"/>
          <w:color w:val="000000"/>
          <w:lang w:eastAsia="bg-BG"/>
        </w:rPr>
        <w:t>е 1-6 μ</w:t>
      </w:r>
      <w:r w:rsidRPr="00206CF1">
        <w:rPr>
          <w:rFonts w:eastAsia="Times New Roman" w:cs="Arial"/>
          <w:color w:val="000000"/>
          <w:lang w:val="en-US"/>
        </w:rPr>
        <w:t xml:space="preserve">mol/l </w:t>
      </w:r>
      <w:r w:rsidRPr="00206CF1">
        <w:rPr>
          <w:rFonts w:eastAsia="Times New Roman" w:cs="Arial"/>
          <w:color w:val="000000"/>
          <w:lang w:eastAsia="bg-BG"/>
        </w:rPr>
        <w:t>в линии на лимфоидни клетки и 1,1 μ</w:t>
      </w:r>
      <w:r w:rsidRPr="00206CF1">
        <w:rPr>
          <w:rFonts w:eastAsia="Times New Roman" w:cs="Arial"/>
          <w:color w:val="000000"/>
          <w:lang w:val="en-US"/>
        </w:rPr>
        <w:t>mol</w:t>
      </w:r>
      <w:r w:rsidRPr="00206CF1">
        <w:rPr>
          <w:rFonts w:eastAsia="Times New Roman" w:cs="Arial"/>
          <w:color w:val="000000"/>
          <w:lang w:eastAsia="bg-BG"/>
        </w:rPr>
        <w:t xml:space="preserve">/1 срещу първични изолати на </w:t>
      </w:r>
      <w:r w:rsidRPr="00206CF1">
        <w:rPr>
          <w:rFonts w:eastAsia="Times New Roman" w:cs="Arial"/>
          <w:color w:val="000000"/>
          <w:lang w:val="en-US"/>
        </w:rPr>
        <w:t>HIV-</w:t>
      </w:r>
      <w:r w:rsidRPr="00206CF1">
        <w:rPr>
          <w:rFonts w:eastAsia="Times New Roman" w:cs="Arial"/>
          <w:color w:val="000000"/>
          <w:lang w:eastAsia="bg-BG"/>
        </w:rPr>
        <w:t xml:space="preserve">1 подтип В в МКПК. Също така, тенофовир е активен срещу </w:t>
      </w:r>
      <w:r w:rsidRPr="00206CF1">
        <w:rPr>
          <w:rFonts w:eastAsia="Times New Roman" w:cs="Arial"/>
          <w:color w:val="000000"/>
          <w:lang w:val="en-US"/>
        </w:rPr>
        <w:t xml:space="preserve">HIV-1 </w:t>
      </w:r>
      <w:r w:rsidRPr="00206CF1">
        <w:rPr>
          <w:rFonts w:eastAsia="Times New Roman" w:cs="Arial"/>
          <w:color w:val="000000"/>
          <w:lang w:eastAsia="bg-BG"/>
        </w:rPr>
        <w:t xml:space="preserve">подтипове </w:t>
      </w:r>
      <w:r w:rsidRPr="00206CF1">
        <w:rPr>
          <w:rFonts w:eastAsia="Times New Roman" w:cs="Arial"/>
          <w:color w:val="000000"/>
          <w:lang w:val="en-US"/>
        </w:rPr>
        <w:t xml:space="preserve">A, </w:t>
      </w:r>
      <w:r w:rsidRPr="00206CF1">
        <w:rPr>
          <w:rFonts w:eastAsia="Times New Roman" w:cs="Arial"/>
          <w:color w:val="000000"/>
          <w:lang w:eastAsia="bg-BG"/>
        </w:rPr>
        <w:t xml:space="preserve">С, </w:t>
      </w:r>
      <w:r w:rsidRPr="00206CF1">
        <w:rPr>
          <w:rFonts w:eastAsia="Times New Roman" w:cs="Arial"/>
          <w:color w:val="000000"/>
          <w:lang w:val="en-US"/>
        </w:rPr>
        <w:t xml:space="preserve">D, </w:t>
      </w:r>
      <w:r w:rsidRPr="00206CF1">
        <w:rPr>
          <w:rFonts w:eastAsia="Times New Roman" w:cs="Arial"/>
          <w:color w:val="000000"/>
          <w:lang w:eastAsia="bg-BG"/>
        </w:rPr>
        <w:t xml:space="preserve">Е, </w:t>
      </w:r>
      <w:r w:rsidRPr="00206CF1">
        <w:rPr>
          <w:rFonts w:eastAsia="Times New Roman" w:cs="Arial"/>
          <w:color w:val="000000"/>
          <w:lang w:val="en-US"/>
        </w:rPr>
        <w:t xml:space="preserve">F, G </w:t>
      </w:r>
      <w:r w:rsidRPr="00206CF1">
        <w:rPr>
          <w:rFonts w:eastAsia="Times New Roman" w:cs="Arial"/>
          <w:color w:val="000000"/>
          <w:lang w:eastAsia="bg-BG"/>
        </w:rPr>
        <w:t xml:space="preserve">и О и срещу </w:t>
      </w:r>
      <w:proofErr w:type="spellStart"/>
      <w:r w:rsidRPr="00206CF1">
        <w:rPr>
          <w:rFonts w:eastAsia="Times New Roman" w:cs="Arial"/>
          <w:color w:val="000000"/>
          <w:lang w:val="en-US"/>
        </w:rPr>
        <w:t>HIV</w:t>
      </w:r>
      <w:r w:rsidRPr="00206CF1">
        <w:rPr>
          <w:rFonts w:eastAsia="Times New Roman" w:cs="Arial"/>
          <w:color w:val="000000"/>
          <w:vertAlign w:val="subscript"/>
          <w:lang w:val="en-US"/>
        </w:rPr>
        <w:t>BaL</w:t>
      </w:r>
      <w:proofErr w:type="spellEnd"/>
      <w:r w:rsidRPr="00206CF1">
        <w:rPr>
          <w:rFonts w:eastAsia="Times New Roman" w:cs="Arial"/>
          <w:color w:val="000000"/>
          <w:lang w:eastAsia="bg-BG"/>
        </w:rPr>
        <w:t xml:space="preserve"> в първични моноцити/макрофаги. </w:t>
      </w:r>
      <w:r w:rsidRPr="00206CF1">
        <w:rPr>
          <w:rFonts w:eastAsia="Times New Roman" w:cs="Arial"/>
          <w:i/>
          <w:iCs/>
          <w:color w:val="000000"/>
          <w:lang w:val="en-US"/>
        </w:rPr>
        <w:t>In vitro</w:t>
      </w:r>
      <w:r w:rsidRPr="00206CF1">
        <w:rPr>
          <w:rFonts w:eastAsia="Times New Roman" w:cs="Arial"/>
          <w:color w:val="000000"/>
          <w:lang w:val="en-US"/>
        </w:rPr>
        <w:t xml:space="preserve"> </w:t>
      </w:r>
      <w:r w:rsidRPr="00206CF1">
        <w:rPr>
          <w:rFonts w:eastAsia="Times New Roman" w:cs="Arial"/>
          <w:color w:val="000000"/>
          <w:lang w:eastAsia="bg-BG"/>
        </w:rPr>
        <w:t xml:space="preserve">тенофовир демонстрира активност срещу </w:t>
      </w:r>
      <w:r w:rsidRPr="00206CF1">
        <w:rPr>
          <w:rFonts w:eastAsia="Times New Roman" w:cs="Arial"/>
          <w:color w:val="000000"/>
          <w:lang w:val="en-US"/>
        </w:rPr>
        <w:t xml:space="preserve">HIV-2 </w:t>
      </w:r>
      <w:r w:rsidRPr="00206CF1">
        <w:rPr>
          <w:rFonts w:eastAsia="Times New Roman" w:cs="Arial"/>
          <w:color w:val="000000"/>
          <w:lang w:eastAsia="bg-BG"/>
        </w:rPr>
        <w:t xml:space="preserve">с </w:t>
      </w:r>
      <w:r w:rsidRPr="00206CF1">
        <w:rPr>
          <w:rFonts w:eastAsia="Times New Roman" w:cs="Arial"/>
          <w:color w:val="000000"/>
          <w:lang w:val="en-US"/>
        </w:rPr>
        <w:t>EC</w:t>
      </w:r>
      <w:r w:rsidRPr="00206CF1">
        <w:rPr>
          <w:rFonts w:eastAsia="Times New Roman" w:cs="Arial"/>
          <w:color w:val="000000"/>
          <w:vertAlign w:val="subscript"/>
          <w:lang w:val="en-US"/>
        </w:rPr>
        <w:t>50</w:t>
      </w:r>
      <w:r w:rsidRPr="00206CF1">
        <w:rPr>
          <w:rFonts w:eastAsia="Times New Roman" w:cs="Arial"/>
          <w:color w:val="000000"/>
          <w:lang w:val="en-US"/>
        </w:rPr>
        <w:t xml:space="preserve"> </w:t>
      </w:r>
      <w:r w:rsidRPr="00206CF1">
        <w:rPr>
          <w:rFonts w:eastAsia="Times New Roman" w:cs="Arial"/>
          <w:color w:val="000000"/>
          <w:lang w:eastAsia="bg-BG"/>
        </w:rPr>
        <w:t>4,9 μ</w:t>
      </w:r>
      <w:r w:rsidRPr="00206CF1">
        <w:rPr>
          <w:rFonts w:eastAsia="Times New Roman" w:cs="Arial"/>
          <w:color w:val="000000"/>
          <w:lang w:val="en-US"/>
        </w:rPr>
        <w:t xml:space="preserve">mol/l </w:t>
      </w:r>
      <w:r w:rsidRPr="00206CF1">
        <w:rPr>
          <w:rFonts w:eastAsia="Times New Roman" w:cs="Arial"/>
          <w:color w:val="000000"/>
          <w:lang w:eastAsia="bg-BG"/>
        </w:rPr>
        <w:t>в МТ-4 клетки.</w:t>
      </w:r>
    </w:p>
    <w:p w14:paraId="22A66D5F" w14:textId="77777777" w:rsidR="00206CF1" w:rsidRDefault="00206CF1" w:rsidP="00206CF1">
      <w:pPr>
        <w:spacing w:line="240" w:lineRule="auto"/>
        <w:rPr>
          <w:rFonts w:eastAsia="Times New Roman" w:cs="Arial"/>
          <w:i/>
          <w:iCs/>
          <w:color w:val="000000"/>
          <w:lang w:eastAsia="bg-BG"/>
        </w:rPr>
      </w:pPr>
    </w:p>
    <w:p w14:paraId="773B3382" w14:textId="404E9B3E"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Резистентност:</w:t>
      </w:r>
      <w:r w:rsidRPr="00206CF1">
        <w:rPr>
          <w:rFonts w:eastAsia="Times New Roman" w:cs="Arial"/>
          <w:color w:val="000000"/>
          <w:lang w:eastAsia="bg-BG"/>
        </w:rPr>
        <w:t xml:space="preserve"> </w:t>
      </w:r>
      <w:r w:rsidRPr="00206CF1">
        <w:rPr>
          <w:rFonts w:eastAsia="Times New Roman" w:cs="Arial"/>
          <w:color w:val="000000"/>
          <w:lang w:val="en-US"/>
        </w:rPr>
        <w:t xml:space="preserve">In vitro </w:t>
      </w:r>
      <w:r w:rsidRPr="00206CF1">
        <w:rPr>
          <w:rFonts w:eastAsia="Times New Roman" w:cs="Arial"/>
          <w:color w:val="000000"/>
          <w:lang w:eastAsia="bg-BG"/>
        </w:rPr>
        <w:t xml:space="preserve">и при някои пациенти (вж. Клинична ефикасност и безопасност) са селектирани щамове на </w:t>
      </w:r>
      <w:r w:rsidRPr="00206CF1">
        <w:rPr>
          <w:rFonts w:eastAsia="Times New Roman" w:cs="Arial"/>
          <w:color w:val="000000"/>
          <w:lang w:val="en-US"/>
        </w:rPr>
        <w:t xml:space="preserve">HIV-1 </w:t>
      </w:r>
      <w:r w:rsidRPr="00206CF1">
        <w:rPr>
          <w:rFonts w:eastAsia="Times New Roman" w:cs="Arial"/>
          <w:color w:val="000000"/>
          <w:lang w:eastAsia="bg-BG"/>
        </w:rPr>
        <w:t xml:space="preserve">с намалена чувствителност към тенофовир и </w:t>
      </w:r>
      <w:r w:rsidRPr="00206CF1">
        <w:rPr>
          <w:rFonts w:eastAsia="Times New Roman" w:cs="Arial"/>
          <w:color w:val="000000"/>
          <w:lang w:val="en-US"/>
        </w:rPr>
        <w:t xml:space="preserve">K65R </w:t>
      </w:r>
      <w:r w:rsidRPr="00206CF1">
        <w:rPr>
          <w:rFonts w:eastAsia="Times New Roman" w:cs="Arial"/>
          <w:color w:val="000000"/>
          <w:lang w:eastAsia="bg-BG"/>
        </w:rPr>
        <w:t xml:space="preserve">мутации на обратната транскриптаза. Тенофовир дизопроксил трябва да се избягва при пациенти с предварително антиретровирусно лечение с щамове, носещи </w:t>
      </w:r>
      <w:r w:rsidRPr="00206CF1">
        <w:rPr>
          <w:rFonts w:eastAsia="Times New Roman" w:cs="Arial"/>
          <w:color w:val="000000"/>
          <w:lang w:val="en-US"/>
        </w:rPr>
        <w:t xml:space="preserve">K65R </w:t>
      </w:r>
      <w:r w:rsidRPr="00206CF1">
        <w:rPr>
          <w:rFonts w:eastAsia="Times New Roman" w:cs="Arial"/>
          <w:color w:val="000000"/>
          <w:lang w:eastAsia="bg-BG"/>
        </w:rPr>
        <w:t xml:space="preserve">мутация (вж. точка 4.4). Освен това, заместване К70Е в обратната транскриптаза на </w:t>
      </w:r>
      <w:r w:rsidRPr="00206CF1">
        <w:rPr>
          <w:rFonts w:eastAsia="Times New Roman" w:cs="Arial"/>
          <w:color w:val="000000"/>
          <w:lang w:val="en-US"/>
        </w:rPr>
        <w:t xml:space="preserve">HIV-1 </w:t>
      </w:r>
      <w:r w:rsidRPr="00206CF1">
        <w:rPr>
          <w:rFonts w:eastAsia="Times New Roman" w:cs="Arial"/>
          <w:color w:val="000000"/>
          <w:lang w:eastAsia="bg-BG"/>
        </w:rPr>
        <w:t>е селектирано от тенофовир и води до ниска редуцирана чувствителност към тенофовир.</w:t>
      </w:r>
    </w:p>
    <w:p w14:paraId="3533EFC6"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Клинични проучвания при пациенти с предварително лечение са оценявали анти</w:t>
      </w:r>
      <w:r w:rsidRPr="00206CF1">
        <w:rPr>
          <w:rFonts w:eastAsia="Times New Roman" w:cs="Arial"/>
          <w:color w:val="000000"/>
          <w:lang w:val="en-US"/>
        </w:rPr>
        <w:t xml:space="preserve">-HIV </w:t>
      </w:r>
      <w:r w:rsidRPr="00206CF1">
        <w:rPr>
          <w:rFonts w:eastAsia="Times New Roman" w:cs="Arial"/>
          <w:color w:val="000000"/>
          <w:lang w:eastAsia="bg-BG"/>
        </w:rPr>
        <w:t xml:space="preserve">активността на тенофовир дизопроксил в доза 245 </w:t>
      </w:r>
      <w:r w:rsidRPr="00206CF1">
        <w:rPr>
          <w:rFonts w:eastAsia="Times New Roman" w:cs="Arial"/>
          <w:color w:val="000000"/>
          <w:lang w:val="en-US"/>
        </w:rPr>
        <w:t xml:space="preserve">mg </w:t>
      </w:r>
      <w:r w:rsidRPr="00206CF1">
        <w:rPr>
          <w:rFonts w:eastAsia="Times New Roman" w:cs="Arial"/>
          <w:color w:val="000000"/>
          <w:lang w:eastAsia="bg-BG"/>
        </w:rPr>
        <w:t xml:space="preserve">срещу резистентни на нуклеозидни инхибитори щамове на </w:t>
      </w:r>
      <w:r w:rsidRPr="00206CF1">
        <w:rPr>
          <w:rFonts w:eastAsia="Times New Roman" w:cs="Arial"/>
          <w:color w:val="000000"/>
          <w:lang w:val="en-US"/>
        </w:rPr>
        <w:t xml:space="preserve">HIV-1. </w:t>
      </w:r>
      <w:r w:rsidRPr="00206CF1">
        <w:rPr>
          <w:rFonts w:eastAsia="Times New Roman" w:cs="Arial"/>
          <w:color w:val="000000"/>
          <w:lang w:eastAsia="bg-BG"/>
        </w:rPr>
        <w:t xml:space="preserve">Резултатите са показали, че пациентите с </w:t>
      </w:r>
      <w:r w:rsidRPr="00206CF1">
        <w:rPr>
          <w:rFonts w:eastAsia="Times New Roman" w:cs="Arial"/>
          <w:color w:val="000000"/>
          <w:lang w:val="en-US"/>
        </w:rPr>
        <w:t xml:space="preserve">HIV, </w:t>
      </w:r>
      <w:r w:rsidRPr="00206CF1">
        <w:rPr>
          <w:rFonts w:eastAsia="Times New Roman" w:cs="Arial"/>
          <w:color w:val="000000"/>
          <w:lang w:eastAsia="bg-BG"/>
        </w:rPr>
        <w:t xml:space="preserve">експресиращ 3 или повече мутации, свързани с тимидинови аналози </w:t>
      </w:r>
      <w:r w:rsidRPr="00206CF1">
        <w:rPr>
          <w:rFonts w:eastAsia="Times New Roman" w:cs="Arial"/>
          <w:color w:val="000000"/>
          <w:lang w:val="en-US"/>
        </w:rPr>
        <w:t xml:space="preserve">(TAMs </w:t>
      </w:r>
      <w:r w:rsidRPr="00206CF1">
        <w:rPr>
          <w:rFonts w:eastAsia="Times New Roman" w:cs="Arial"/>
          <w:color w:val="000000"/>
          <w:lang w:eastAsia="bg-BG"/>
        </w:rPr>
        <w:t xml:space="preserve">- </w:t>
      </w:r>
      <w:r w:rsidRPr="00206CF1">
        <w:rPr>
          <w:rFonts w:eastAsia="Times New Roman" w:cs="Arial"/>
          <w:color w:val="000000"/>
          <w:lang w:val="en-US"/>
        </w:rPr>
        <w:t xml:space="preserve">thymidine-analogue associated mutations), </w:t>
      </w:r>
      <w:r w:rsidRPr="00206CF1">
        <w:rPr>
          <w:rFonts w:eastAsia="Times New Roman" w:cs="Arial"/>
          <w:color w:val="000000"/>
          <w:lang w:eastAsia="bg-BG"/>
        </w:rPr>
        <w:t xml:space="preserve">включващи или </w:t>
      </w:r>
      <w:r w:rsidRPr="00206CF1">
        <w:rPr>
          <w:rFonts w:eastAsia="Times New Roman" w:cs="Arial"/>
          <w:color w:val="000000"/>
          <w:lang w:val="en-US"/>
        </w:rPr>
        <w:t xml:space="preserve">M41L </w:t>
      </w:r>
      <w:r w:rsidRPr="00206CF1">
        <w:rPr>
          <w:rFonts w:eastAsia="Times New Roman" w:cs="Arial"/>
          <w:color w:val="000000"/>
          <w:lang w:eastAsia="bg-BG"/>
        </w:rPr>
        <w:t xml:space="preserve">или </w:t>
      </w:r>
      <w:r w:rsidRPr="00206CF1">
        <w:rPr>
          <w:rFonts w:eastAsia="Times New Roman" w:cs="Arial"/>
          <w:color w:val="000000"/>
          <w:lang w:val="en-US"/>
        </w:rPr>
        <w:t>L2</w:t>
      </w:r>
      <w:r w:rsidRPr="00206CF1">
        <w:rPr>
          <w:rFonts w:eastAsia="Times New Roman" w:cs="Arial"/>
          <w:color w:val="000000"/>
          <w:lang w:eastAsia="bg-BG"/>
        </w:rPr>
        <w:t>10</w:t>
      </w:r>
      <w:r w:rsidRPr="00206CF1">
        <w:rPr>
          <w:rFonts w:eastAsia="Times New Roman" w:cs="Arial"/>
          <w:color w:val="000000"/>
          <w:lang w:val="en-US"/>
        </w:rPr>
        <w:t xml:space="preserve">W </w:t>
      </w:r>
      <w:r w:rsidRPr="00206CF1">
        <w:rPr>
          <w:rFonts w:eastAsia="Times New Roman" w:cs="Arial"/>
          <w:color w:val="000000"/>
          <w:lang w:eastAsia="bg-BG"/>
        </w:rPr>
        <w:t xml:space="preserve">мутацията на обратната транскриптаза, са показали намален отговор към терапията с тенофовир дизопроксил 245 </w:t>
      </w:r>
      <w:r w:rsidRPr="00206CF1">
        <w:rPr>
          <w:rFonts w:eastAsia="Times New Roman" w:cs="Arial"/>
          <w:color w:val="000000"/>
          <w:lang w:val="en-US"/>
        </w:rPr>
        <w:t>mg.</w:t>
      </w:r>
    </w:p>
    <w:p w14:paraId="630D05D7" w14:textId="77777777" w:rsidR="00206CF1" w:rsidRDefault="00206CF1" w:rsidP="00206CF1">
      <w:pPr>
        <w:spacing w:line="240" w:lineRule="auto"/>
        <w:rPr>
          <w:rFonts w:eastAsia="Times New Roman" w:cs="Arial"/>
          <w:color w:val="000000"/>
          <w:u w:val="single"/>
          <w:lang w:eastAsia="bg-BG"/>
        </w:rPr>
      </w:pPr>
    </w:p>
    <w:p w14:paraId="248247FD" w14:textId="4276CFC1" w:rsidR="00206CF1" w:rsidRPr="00206CF1" w:rsidRDefault="00206CF1" w:rsidP="00206CF1">
      <w:pPr>
        <w:spacing w:line="240" w:lineRule="auto"/>
        <w:rPr>
          <w:rFonts w:eastAsia="Times New Roman" w:cs="Arial"/>
          <w:lang w:eastAsia="bg-BG"/>
        </w:rPr>
      </w:pPr>
      <w:r w:rsidRPr="00206CF1">
        <w:rPr>
          <w:rFonts w:eastAsia="Times New Roman" w:cs="Arial"/>
          <w:color w:val="000000"/>
          <w:u w:val="single"/>
          <w:lang w:eastAsia="bg-BG"/>
        </w:rPr>
        <w:t>Клинична ефикасност и безопасност</w:t>
      </w:r>
    </w:p>
    <w:p w14:paraId="35106C35"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Ефектите на тенофовир дизопроксил при инфектирани с </w:t>
      </w:r>
      <w:r w:rsidRPr="00206CF1">
        <w:rPr>
          <w:rFonts w:eastAsia="Times New Roman" w:cs="Arial"/>
          <w:color w:val="000000"/>
          <w:lang w:val="en-US"/>
        </w:rPr>
        <w:t xml:space="preserve">HIV-1 </w:t>
      </w:r>
      <w:r w:rsidRPr="00206CF1">
        <w:rPr>
          <w:rFonts w:eastAsia="Times New Roman" w:cs="Arial"/>
          <w:color w:val="000000"/>
          <w:lang w:eastAsia="bg-BG"/>
        </w:rPr>
        <w:t>възрастни с предварително лечение и при такива без предварително лечение са демонстрирани в проучвания с продължителност съответно 48 седмици и 144 седмици.</w:t>
      </w:r>
    </w:p>
    <w:p w14:paraId="60A7AFD7" w14:textId="77777777" w:rsidR="00206CF1" w:rsidRDefault="00206CF1" w:rsidP="00206CF1">
      <w:pPr>
        <w:spacing w:line="240" w:lineRule="auto"/>
        <w:rPr>
          <w:rFonts w:eastAsia="Times New Roman" w:cs="Arial"/>
          <w:color w:val="000000"/>
          <w:lang w:eastAsia="bg-BG"/>
        </w:rPr>
      </w:pPr>
    </w:p>
    <w:p w14:paraId="5214090A" w14:textId="146E25AA"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При проучването </w:t>
      </w:r>
      <w:r w:rsidRPr="00206CF1">
        <w:rPr>
          <w:rFonts w:eastAsia="Times New Roman" w:cs="Arial"/>
          <w:color w:val="000000"/>
          <w:lang w:val="en-US"/>
        </w:rPr>
        <w:t xml:space="preserve">GS-99-907 </w:t>
      </w:r>
      <w:r w:rsidRPr="00206CF1">
        <w:rPr>
          <w:rFonts w:eastAsia="Times New Roman" w:cs="Arial"/>
          <w:color w:val="000000"/>
          <w:lang w:eastAsia="bg-BG"/>
        </w:rPr>
        <w:t xml:space="preserve">550 възрастни пациенти с предварително лечение са били лекувани с плацебо или с 245 </w:t>
      </w:r>
      <w:r w:rsidRPr="00206CF1">
        <w:rPr>
          <w:rFonts w:eastAsia="Times New Roman" w:cs="Arial"/>
          <w:color w:val="000000"/>
          <w:lang w:val="en-US"/>
        </w:rPr>
        <w:t xml:space="preserve">mg </w:t>
      </w:r>
      <w:r w:rsidRPr="00206CF1">
        <w:rPr>
          <w:rFonts w:eastAsia="Times New Roman" w:cs="Arial"/>
          <w:color w:val="000000"/>
          <w:lang w:eastAsia="bg-BG"/>
        </w:rPr>
        <w:t xml:space="preserve">тенофовир дизопроксил в продължение на 24 седмици. Средният брой на </w:t>
      </w:r>
      <w:r w:rsidRPr="00206CF1">
        <w:rPr>
          <w:rFonts w:eastAsia="Times New Roman" w:cs="Arial"/>
          <w:color w:val="000000"/>
          <w:lang w:val="en-US"/>
        </w:rPr>
        <w:t xml:space="preserve">CD4 </w:t>
      </w:r>
      <w:r w:rsidRPr="00206CF1">
        <w:rPr>
          <w:rFonts w:eastAsia="Times New Roman" w:cs="Arial"/>
          <w:color w:val="000000"/>
          <w:lang w:eastAsia="bg-BG"/>
        </w:rPr>
        <w:t>клетките на изходно ниво е бил 427 клетки</w:t>
      </w:r>
      <w:r w:rsidRPr="00206CF1">
        <w:rPr>
          <w:rFonts w:eastAsia="Times New Roman" w:cs="Arial"/>
          <w:color w:val="000000"/>
          <w:lang w:val="en-US"/>
        </w:rPr>
        <w:t>/mm</w:t>
      </w:r>
      <w:r w:rsidRPr="00206CF1">
        <w:rPr>
          <w:rFonts w:eastAsia="Times New Roman" w:cs="Arial"/>
          <w:color w:val="000000"/>
          <w:vertAlign w:val="superscript"/>
          <w:lang w:val="en-US"/>
        </w:rPr>
        <w:t>3</w:t>
      </w:r>
      <w:r w:rsidRPr="00206CF1">
        <w:rPr>
          <w:rFonts w:eastAsia="Times New Roman" w:cs="Arial"/>
          <w:color w:val="000000"/>
          <w:lang w:val="en-US"/>
        </w:rPr>
        <w:t xml:space="preserve">, </w:t>
      </w:r>
      <w:r w:rsidRPr="00206CF1">
        <w:rPr>
          <w:rFonts w:eastAsia="Times New Roman" w:cs="Arial"/>
          <w:color w:val="000000"/>
          <w:lang w:eastAsia="bg-BG"/>
        </w:rPr>
        <w:t xml:space="preserve">средната плазмена </w:t>
      </w:r>
      <w:r w:rsidRPr="00206CF1">
        <w:rPr>
          <w:rFonts w:eastAsia="Times New Roman" w:cs="Arial"/>
          <w:color w:val="000000"/>
          <w:lang w:val="en-US"/>
        </w:rPr>
        <w:t xml:space="preserve">HIV-1 </w:t>
      </w:r>
      <w:r w:rsidRPr="00206CF1">
        <w:rPr>
          <w:rFonts w:eastAsia="Times New Roman" w:cs="Arial"/>
          <w:color w:val="000000"/>
          <w:lang w:eastAsia="bg-BG"/>
        </w:rPr>
        <w:t>Р</w:t>
      </w:r>
      <w:r w:rsidRPr="00206CF1">
        <w:rPr>
          <w:rFonts w:eastAsia="Times New Roman" w:cs="Arial"/>
          <w:color w:val="000000"/>
          <w:lang w:val="en-US"/>
        </w:rPr>
        <w:t>HK</w:t>
      </w:r>
      <w:r w:rsidRPr="00206CF1">
        <w:rPr>
          <w:rFonts w:eastAsia="Times New Roman" w:cs="Arial"/>
          <w:color w:val="000000"/>
          <w:lang w:eastAsia="bg-BG"/>
        </w:rPr>
        <w:t xml:space="preserve"> на изходно ниво е била 3,4 </w:t>
      </w:r>
      <w:r w:rsidRPr="00206CF1">
        <w:rPr>
          <w:rFonts w:eastAsia="Times New Roman" w:cs="Arial"/>
          <w:color w:val="000000"/>
          <w:lang w:val="en-US"/>
        </w:rPr>
        <w:t>log</w:t>
      </w:r>
      <w:r w:rsidRPr="00206CF1">
        <w:rPr>
          <w:rFonts w:eastAsia="Times New Roman" w:cs="Arial"/>
          <w:color w:val="000000"/>
          <w:vertAlign w:val="subscript"/>
          <w:lang w:val="en-US"/>
        </w:rPr>
        <w:t>10</w:t>
      </w:r>
      <w:r w:rsidRPr="00206CF1">
        <w:rPr>
          <w:rFonts w:eastAsia="Times New Roman" w:cs="Arial"/>
          <w:color w:val="000000"/>
          <w:lang w:val="en-US"/>
        </w:rPr>
        <w:t xml:space="preserve"> </w:t>
      </w:r>
      <w:r w:rsidRPr="00206CF1">
        <w:rPr>
          <w:rFonts w:eastAsia="Times New Roman" w:cs="Arial"/>
          <w:color w:val="000000"/>
          <w:lang w:eastAsia="bg-BG"/>
        </w:rPr>
        <w:t>копия</w:t>
      </w:r>
      <w:r w:rsidRPr="00206CF1">
        <w:rPr>
          <w:rFonts w:eastAsia="Times New Roman" w:cs="Arial"/>
          <w:color w:val="000000"/>
          <w:lang w:val="en-US"/>
        </w:rPr>
        <w:t xml:space="preserve">/ml </w:t>
      </w:r>
      <w:r w:rsidRPr="00206CF1">
        <w:rPr>
          <w:rFonts w:eastAsia="Times New Roman" w:cs="Arial"/>
          <w:color w:val="000000"/>
          <w:lang w:eastAsia="bg-BG"/>
        </w:rPr>
        <w:t>(78 % от пациентите са имали вирусно натоварване &lt; 5000 копия</w:t>
      </w:r>
      <w:r w:rsidRPr="00206CF1">
        <w:rPr>
          <w:rFonts w:eastAsia="Times New Roman" w:cs="Arial"/>
          <w:color w:val="000000"/>
          <w:lang w:val="en-US"/>
        </w:rPr>
        <w:t xml:space="preserve">/ml) </w:t>
      </w:r>
      <w:r w:rsidRPr="00206CF1">
        <w:rPr>
          <w:rFonts w:eastAsia="Times New Roman" w:cs="Arial"/>
          <w:color w:val="000000"/>
          <w:lang w:eastAsia="bg-BG"/>
        </w:rPr>
        <w:t xml:space="preserve">и средната продължителност на предварителното лечение на </w:t>
      </w:r>
      <w:r w:rsidRPr="00206CF1">
        <w:rPr>
          <w:rFonts w:eastAsia="Times New Roman" w:cs="Arial"/>
          <w:color w:val="000000"/>
          <w:lang w:val="en-US"/>
        </w:rPr>
        <w:t xml:space="preserve">HIV </w:t>
      </w:r>
      <w:r w:rsidRPr="00206CF1">
        <w:rPr>
          <w:rFonts w:eastAsia="Times New Roman" w:cs="Arial"/>
          <w:color w:val="000000"/>
          <w:lang w:eastAsia="bg-BG"/>
        </w:rPr>
        <w:t xml:space="preserve">е била 5,4 години. Изходният генотипен анализ на </w:t>
      </w:r>
      <w:r w:rsidRPr="00206CF1">
        <w:rPr>
          <w:rFonts w:eastAsia="Times New Roman" w:cs="Arial"/>
          <w:color w:val="000000"/>
          <w:lang w:val="en-US"/>
        </w:rPr>
        <w:t xml:space="preserve">HIV </w:t>
      </w:r>
      <w:r w:rsidRPr="00206CF1">
        <w:rPr>
          <w:rFonts w:eastAsia="Times New Roman" w:cs="Arial"/>
          <w:color w:val="000000"/>
          <w:lang w:eastAsia="bg-BG"/>
        </w:rPr>
        <w:t xml:space="preserve">изолатите от 253 пациенти е показал, че 94 % от пациентите са имали </w:t>
      </w:r>
      <w:r w:rsidRPr="00206CF1">
        <w:rPr>
          <w:rFonts w:eastAsia="Times New Roman" w:cs="Arial"/>
          <w:color w:val="000000"/>
          <w:lang w:val="en-US"/>
        </w:rPr>
        <w:t xml:space="preserve">HIV-1 </w:t>
      </w:r>
      <w:r w:rsidRPr="00206CF1">
        <w:rPr>
          <w:rFonts w:eastAsia="Times New Roman" w:cs="Arial"/>
          <w:color w:val="000000"/>
          <w:lang w:eastAsia="bg-BG"/>
        </w:rPr>
        <w:t>мутации на резистентност, свързани с нуклеозидните инхибитори на обратната транскриптаза, 58 % са имали мутации, свързани с протеазните инхибитори, и 48 % са имали мутации, свързани с не-нуклеозидните инхибитори на обратната транскриптаза.</w:t>
      </w:r>
    </w:p>
    <w:p w14:paraId="65ABB207" w14:textId="77777777" w:rsidR="00206CF1" w:rsidRPr="00206CF1" w:rsidRDefault="00206CF1" w:rsidP="00206CF1">
      <w:pPr>
        <w:spacing w:line="240" w:lineRule="auto"/>
        <w:rPr>
          <w:rFonts w:eastAsia="Times New Roman" w:cs="Arial"/>
          <w:lang w:eastAsia="bg-BG"/>
        </w:rPr>
      </w:pPr>
    </w:p>
    <w:p w14:paraId="35632E35" w14:textId="77777777" w:rsidR="00206CF1" w:rsidRPr="00206CF1" w:rsidRDefault="00206CF1" w:rsidP="00206CF1">
      <w:pPr>
        <w:rPr>
          <w:rFonts w:eastAsia="Times New Roman" w:cs="Arial"/>
          <w:lang w:eastAsia="bg-BG"/>
        </w:rPr>
      </w:pPr>
      <w:r w:rsidRPr="00206CF1">
        <w:rPr>
          <w:rFonts w:eastAsia="Times New Roman" w:cs="Arial"/>
          <w:color w:val="000000"/>
          <w:lang w:eastAsia="bg-BG"/>
        </w:rPr>
        <w:t xml:space="preserve">При достигане на 24-тата седмица средната промяна на плазмените нива на </w:t>
      </w:r>
      <w:r w:rsidRPr="00206CF1">
        <w:rPr>
          <w:rFonts w:eastAsia="Times New Roman" w:cs="Arial"/>
          <w:color w:val="000000"/>
          <w:lang w:val="en-US"/>
        </w:rPr>
        <w:t xml:space="preserve">HIV-1 </w:t>
      </w:r>
      <w:r w:rsidRPr="00206CF1">
        <w:rPr>
          <w:rFonts w:eastAsia="Times New Roman" w:cs="Arial"/>
          <w:color w:val="000000"/>
          <w:lang w:eastAsia="bg-BG"/>
        </w:rPr>
        <w:t xml:space="preserve">РНК </w:t>
      </w:r>
      <w:r w:rsidRPr="00206CF1">
        <w:rPr>
          <w:rFonts w:eastAsia="Times New Roman" w:cs="Arial"/>
          <w:color w:val="000000"/>
          <w:lang w:val="en-US"/>
        </w:rPr>
        <w:t>(log</w:t>
      </w:r>
      <w:r w:rsidRPr="00206CF1">
        <w:rPr>
          <w:rFonts w:eastAsia="Times New Roman" w:cs="Arial"/>
          <w:color w:val="000000"/>
          <w:vertAlign w:val="subscript"/>
          <w:lang w:val="en-US"/>
        </w:rPr>
        <w:t>10</w:t>
      </w:r>
      <w:r w:rsidRPr="00206CF1">
        <w:rPr>
          <w:rFonts w:eastAsia="Times New Roman" w:cs="Arial"/>
          <w:color w:val="000000"/>
          <w:lang w:val="en-US"/>
        </w:rPr>
        <w:t xml:space="preserve">) </w:t>
      </w:r>
      <w:r w:rsidRPr="00206CF1">
        <w:rPr>
          <w:rFonts w:eastAsia="Times New Roman" w:cs="Arial"/>
          <w:color w:val="000000"/>
          <w:lang w:eastAsia="bg-BG"/>
        </w:rPr>
        <w:t xml:space="preserve">спрямо изходно ниво </w:t>
      </w:r>
      <w:r w:rsidRPr="00206CF1">
        <w:rPr>
          <w:rFonts w:eastAsia="Times New Roman" w:cs="Arial"/>
          <w:color w:val="000000"/>
          <w:lang w:val="en-US"/>
        </w:rPr>
        <w:t>(DAVG</w:t>
      </w:r>
      <w:r w:rsidRPr="00206CF1">
        <w:rPr>
          <w:rFonts w:eastAsia="Times New Roman" w:cs="Arial"/>
          <w:color w:val="000000"/>
          <w:vertAlign w:val="subscript"/>
          <w:lang w:val="en-US"/>
        </w:rPr>
        <w:t>24</w:t>
      </w:r>
      <w:r w:rsidRPr="00206CF1">
        <w:rPr>
          <w:rFonts w:eastAsia="Times New Roman" w:cs="Arial"/>
          <w:color w:val="000000"/>
          <w:lang w:val="en-US"/>
        </w:rPr>
        <w:t xml:space="preserve">), </w:t>
      </w:r>
      <w:r w:rsidRPr="00206CF1">
        <w:rPr>
          <w:rFonts w:eastAsia="Times New Roman" w:cs="Arial"/>
          <w:color w:val="000000"/>
          <w:lang w:eastAsia="bg-BG"/>
        </w:rPr>
        <w:t xml:space="preserve">е била -0,03 </w:t>
      </w:r>
      <w:r w:rsidRPr="00206CF1">
        <w:rPr>
          <w:rFonts w:eastAsia="Times New Roman" w:cs="Arial"/>
          <w:color w:val="000000"/>
          <w:lang w:val="en-US"/>
        </w:rPr>
        <w:t>log</w:t>
      </w:r>
      <w:r w:rsidRPr="00206CF1">
        <w:rPr>
          <w:rFonts w:eastAsia="Times New Roman" w:cs="Arial"/>
          <w:color w:val="000000"/>
          <w:vertAlign w:val="subscript"/>
          <w:lang w:val="en-US"/>
        </w:rPr>
        <w:t>10</w:t>
      </w:r>
      <w:r w:rsidRPr="00206CF1">
        <w:rPr>
          <w:rFonts w:eastAsia="Times New Roman" w:cs="Arial"/>
          <w:color w:val="000000"/>
          <w:lang w:val="en-US"/>
        </w:rPr>
        <w:t xml:space="preserve"> </w:t>
      </w:r>
      <w:r w:rsidRPr="00206CF1">
        <w:rPr>
          <w:rFonts w:eastAsia="Times New Roman" w:cs="Arial"/>
          <w:color w:val="000000"/>
          <w:lang w:eastAsia="bg-BG"/>
        </w:rPr>
        <w:t>копия</w:t>
      </w:r>
      <w:r w:rsidRPr="00206CF1">
        <w:rPr>
          <w:rFonts w:eastAsia="Times New Roman" w:cs="Arial"/>
          <w:color w:val="000000"/>
          <w:lang w:val="en-US"/>
        </w:rPr>
        <w:t xml:space="preserve">/ml </w:t>
      </w:r>
      <w:r w:rsidRPr="00206CF1">
        <w:rPr>
          <w:rFonts w:eastAsia="Times New Roman" w:cs="Arial"/>
          <w:color w:val="000000"/>
          <w:lang w:eastAsia="bg-BG"/>
        </w:rPr>
        <w:t xml:space="preserve">и -0,61 </w:t>
      </w:r>
      <w:proofErr w:type="spellStart"/>
      <w:r w:rsidRPr="00206CF1">
        <w:rPr>
          <w:rFonts w:eastAsia="Times New Roman" w:cs="Arial"/>
          <w:color w:val="000000"/>
          <w:lang w:val="en-US"/>
        </w:rPr>
        <w:t>logio</w:t>
      </w:r>
      <w:proofErr w:type="spellEnd"/>
      <w:r w:rsidRPr="00206CF1">
        <w:rPr>
          <w:rFonts w:eastAsia="Times New Roman" w:cs="Arial"/>
          <w:color w:val="000000"/>
          <w:lang w:val="en-US"/>
        </w:rPr>
        <w:t xml:space="preserve"> </w:t>
      </w:r>
      <w:r w:rsidRPr="00206CF1">
        <w:rPr>
          <w:rFonts w:eastAsia="Times New Roman" w:cs="Arial"/>
          <w:color w:val="000000"/>
          <w:lang w:eastAsia="bg-BG"/>
        </w:rPr>
        <w:t>копия</w:t>
      </w:r>
      <w:r w:rsidRPr="00206CF1">
        <w:rPr>
          <w:rFonts w:eastAsia="Times New Roman" w:cs="Arial"/>
          <w:color w:val="000000"/>
          <w:lang w:val="en-US"/>
        </w:rPr>
        <w:t xml:space="preserve">/ml </w:t>
      </w:r>
      <w:r w:rsidRPr="00206CF1">
        <w:rPr>
          <w:rFonts w:eastAsia="Times New Roman" w:cs="Arial"/>
          <w:color w:val="000000"/>
          <w:lang w:eastAsia="bg-BG"/>
        </w:rPr>
        <w:t>за пациентите</w:t>
      </w:r>
      <w:r w:rsidRPr="00206CF1">
        <w:rPr>
          <w:rFonts w:eastAsia="Times New Roman" w:cs="Arial"/>
          <w:color w:val="000000"/>
          <w:lang w:val="en-US"/>
        </w:rPr>
        <w:t xml:space="preserve"> </w:t>
      </w:r>
      <w:r w:rsidRPr="00206CF1">
        <w:rPr>
          <w:rFonts w:eastAsia="Times New Roman" w:cs="Arial"/>
          <w:color w:val="000000"/>
          <w:lang w:eastAsia="bg-BG"/>
        </w:rPr>
        <w:t xml:space="preserve">от групите на плацебо и на тенофовир дизопроксил 245 </w:t>
      </w:r>
      <w:r w:rsidRPr="00206CF1">
        <w:rPr>
          <w:rFonts w:eastAsia="Times New Roman" w:cs="Arial"/>
          <w:color w:val="000000"/>
          <w:lang w:val="en-US"/>
        </w:rPr>
        <w:t xml:space="preserve">mg </w:t>
      </w:r>
      <w:r w:rsidRPr="00206CF1">
        <w:rPr>
          <w:rFonts w:eastAsia="Times New Roman" w:cs="Arial"/>
          <w:color w:val="000000"/>
          <w:lang w:eastAsia="bg-BG"/>
        </w:rPr>
        <w:t>(р &lt; 0,0001). Статистически</w:t>
      </w:r>
      <w:r w:rsidRPr="00206CF1">
        <w:rPr>
          <w:rFonts w:eastAsia="Times New Roman" w:cs="Arial"/>
          <w:color w:val="000000"/>
          <w:lang w:val="en-US"/>
        </w:rPr>
        <w:t xml:space="preserve"> </w:t>
      </w:r>
      <w:r w:rsidRPr="00206CF1">
        <w:rPr>
          <w:rFonts w:eastAsia="Times New Roman" w:cs="Arial"/>
          <w:color w:val="000000"/>
          <w:lang w:eastAsia="bg-BG"/>
        </w:rPr>
        <w:t xml:space="preserve">значителна разлика в полза на тенофовир дизопроксил 245 </w:t>
      </w:r>
      <w:r w:rsidRPr="00206CF1">
        <w:rPr>
          <w:rFonts w:eastAsia="Times New Roman" w:cs="Arial"/>
          <w:color w:val="000000"/>
          <w:lang w:val="en-US"/>
        </w:rPr>
        <w:t xml:space="preserve">mg </w:t>
      </w:r>
      <w:r w:rsidRPr="00206CF1">
        <w:rPr>
          <w:rFonts w:eastAsia="Times New Roman" w:cs="Arial"/>
          <w:color w:val="000000"/>
          <w:lang w:eastAsia="bg-BG"/>
        </w:rPr>
        <w:t xml:space="preserve">е наблюдавана в средната промяна на броя на </w:t>
      </w:r>
      <w:r w:rsidRPr="00206CF1">
        <w:rPr>
          <w:rFonts w:eastAsia="Times New Roman" w:cs="Arial"/>
          <w:color w:val="000000"/>
          <w:lang w:val="en-US"/>
        </w:rPr>
        <w:t xml:space="preserve">CD4 </w:t>
      </w:r>
      <w:r w:rsidRPr="00206CF1">
        <w:rPr>
          <w:rFonts w:eastAsia="Times New Roman" w:cs="Arial"/>
          <w:color w:val="000000"/>
          <w:lang w:eastAsia="bg-BG"/>
        </w:rPr>
        <w:t xml:space="preserve">клетките спрямо изходно ниво при достигане на 24-тата седмица </w:t>
      </w:r>
      <w:r w:rsidRPr="00206CF1">
        <w:rPr>
          <w:rFonts w:eastAsia="Times New Roman" w:cs="Arial"/>
          <w:color w:val="000000"/>
          <w:lang w:val="en-US"/>
        </w:rPr>
        <w:t>(DAVG</w:t>
      </w:r>
      <w:r w:rsidRPr="00206CF1">
        <w:rPr>
          <w:rFonts w:eastAsia="Times New Roman" w:cs="Arial"/>
          <w:color w:val="000000"/>
          <w:vertAlign w:val="subscript"/>
          <w:lang w:val="en-US"/>
        </w:rPr>
        <w:t>24</w:t>
      </w:r>
      <w:r w:rsidRPr="00206CF1">
        <w:rPr>
          <w:rFonts w:eastAsia="Times New Roman" w:cs="Arial"/>
          <w:color w:val="000000"/>
          <w:lang w:val="en-US"/>
        </w:rPr>
        <w:t xml:space="preserve">), </w:t>
      </w:r>
      <w:r w:rsidRPr="00206CF1">
        <w:rPr>
          <w:rFonts w:eastAsia="Times New Roman" w:cs="Arial"/>
          <w:color w:val="000000"/>
          <w:lang w:eastAsia="bg-BG"/>
        </w:rPr>
        <w:t>(+13 клетки/</w:t>
      </w:r>
      <w:r w:rsidRPr="00206CF1">
        <w:rPr>
          <w:rFonts w:eastAsia="Times New Roman" w:cs="Arial"/>
          <w:color w:val="000000"/>
          <w:lang w:val="en-US"/>
        </w:rPr>
        <w:t>mm</w:t>
      </w:r>
      <w:r w:rsidRPr="00206CF1">
        <w:rPr>
          <w:rFonts w:eastAsia="Times New Roman" w:cs="Arial"/>
          <w:color w:val="000000"/>
          <w:vertAlign w:val="superscript"/>
          <w:lang w:val="en-US"/>
        </w:rPr>
        <w:t>3</w:t>
      </w:r>
      <w:r w:rsidRPr="00206CF1">
        <w:rPr>
          <w:rFonts w:eastAsia="Times New Roman" w:cs="Arial"/>
          <w:color w:val="000000"/>
          <w:vertAlign w:val="superscript"/>
          <w:lang w:eastAsia="bg-BG"/>
        </w:rPr>
        <w:t xml:space="preserve"> </w:t>
      </w:r>
      <w:r w:rsidRPr="00206CF1">
        <w:rPr>
          <w:rFonts w:eastAsia="Times New Roman" w:cs="Arial"/>
          <w:color w:val="000000"/>
          <w:lang w:eastAsia="bg-BG"/>
        </w:rPr>
        <w:t xml:space="preserve">за тенофовир дизопроксил 245 </w:t>
      </w:r>
      <w:r w:rsidRPr="00206CF1">
        <w:rPr>
          <w:rFonts w:eastAsia="Times New Roman" w:cs="Arial"/>
          <w:color w:val="000000"/>
          <w:lang w:val="en-US"/>
        </w:rPr>
        <w:t xml:space="preserve">mg </w:t>
      </w:r>
      <w:r w:rsidRPr="00206CF1">
        <w:rPr>
          <w:rFonts w:eastAsia="Times New Roman" w:cs="Arial"/>
          <w:color w:val="000000"/>
          <w:lang w:eastAsia="bg-BG"/>
        </w:rPr>
        <w:t>срещу -11 клетки</w:t>
      </w:r>
      <w:r w:rsidRPr="00206CF1">
        <w:rPr>
          <w:rFonts w:eastAsia="Times New Roman" w:cs="Arial"/>
          <w:color w:val="000000"/>
          <w:lang w:val="en-US"/>
        </w:rPr>
        <w:t>/mm</w:t>
      </w:r>
      <w:r w:rsidRPr="00206CF1">
        <w:rPr>
          <w:rFonts w:eastAsia="Times New Roman" w:cs="Arial"/>
          <w:color w:val="000000"/>
          <w:vertAlign w:val="superscript"/>
          <w:lang w:val="en-US"/>
        </w:rPr>
        <w:t>3</w:t>
      </w:r>
      <w:r w:rsidRPr="00206CF1">
        <w:rPr>
          <w:rFonts w:eastAsia="Times New Roman" w:cs="Arial"/>
          <w:color w:val="000000"/>
          <w:lang w:val="en-US"/>
        </w:rPr>
        <w:t xml:space="preserve"> </w:t>
      </w:r>
      <w:r w:rsidRPr="00206CF1">
        <w:rPr>
          <w:rFonts w:eastAsia="Times New Roman" w:cs="Arial"/>
          <w:color w:val="000000"/>
          <w:lang w:eastAsia="bg-BG"/>
        </w:rPr>
        <w:t>за плацебо, р = 0,0008). Постигнатият чрез тенофовир дизопроксил антивирусен отговор е бил траен до 48-ата седмица (</w:t>
      </w:r>
      <w:r w:rsidRPr="00206CF1">
        <w:rPr>
          <w:rFonts w:eastAsia="Times New Roman" w:cs="Arial"/>
          <w:color w:val="000000"/>
          <w:lang w:val="en-US"/>
        </w:rPr>
        <w:t>DAVG</w:t>
      </w:r>
      <w:r w:rsidRPr="00206CF1">
        <w:rPr>
          <w:rFonts w:eastAsia="Times New Roman" w:cs="Arial"/>
          <w:color w:val="000000"/>
          <w:vertAlign w:val="subscript"/>
          <w:lang w:val="en-US"/>
        </w:rPr>
        <w:t>48</w:t>
      </w:r>
      <w:r w:rsidRPr="00206CF1">
        <w:rPr>
          <w:rFonts w:eastAsia="Times New Roman" w:cs="Arial"/>
          <w:color w:val="000000"/>
          <w:lang w:val="en-US"/>
        </w:rPr>
        <w:t xml:space="preserve"> </w:t>
      </w:r>
      <w:r w:rsidRPr="00206CF1">
        <w:rPr>
          <w:rFonts w:eastAsia="Times New Roman" w:cs="Arial"/>
          <w:color w:val="000000"/>
          <w:lang w:eastAsia="bg-BG"/>
        </w:rPr>
        <w:t xml:space="preserve">е бил-0,57 </w:t>
      </w:r>
      <w:r w:rsidRPr="00206CF1">
        <w:rPr>
          <w:rFonts w:eastAsia="Times New Roman" w:cs="Arial"/>
          <w:color w:val="000000"/>
          <w:lang w:val="en-US"/>
        </w:rPr>
        <w:t>log</w:t>
      </w:r>
      <w:r w:rsidRPr="00206CF1">
        <w:rPr>
          <w:rFonts w:eastAsia="Times New Roman" w:cs="Arial"/>
          <w:color w:val="000000"/>
          <w:vertAlign w:val="subscript"/>
          <w:lang w:val="en-US"/>
        </w:rPr>
        <w:t>10</w:t>
      </w:r>
      <w:r w:rsidRPr="00206CF1">
        <w:rPr>
          <w:rFonts w:eastAsia="Times New Roman" w:cs="Arial"/>
          <w:color w:val="000000"/>
          <w:lang w:val="en-US"/>
        </w:rPr>
        <w:t xml:space="preserve"> </w:t>
      </w:r>
      <w:r w:rsidRPr="00206CF1">
        <w:rPr>
          <w:rFonts w:eastAsia="Times New Roman" w:cs="Arial"/>
          <w:color w:val="000000"/>
          <w:lang w:eastAsia="bg-BG"/>
        </w:rPr>
        <w:t>копия</w:t>
      </w:r>
      <w:r w:rsidRPr="00206CF1">
        <w:rPr>
          <w:rFonts w:eastAsia="Times New Roman" w:cs="Arial"/>
          <w:color w:val="000000"/>
          <w:lang w:val="en-US"/>
        </w:rPr>
        <w:t xml:space="preserve">/ml, </w:t>
      </w:r>
      <w:r w:rsidRPr="00206CF1">
        <w:rPr>
          <w:rFonts w:eastAsia="Times New Roman" w:cs="Arial"/>
          <w:color w:val="000000"/>
          <w:lang w:eastAsia="bg-BG"/>
        </w:rPr>
        <w:t xml:space="preserve">делът на пациентите с </w:t>
      </w:r>
      <w:r w:rsidRPr="00206CF1">
        <w:rPr>
          <w:rFonts w:eastAsia="Times New Roman" w:cs="Arial"/>
          <w:color w:val="000000"/>
          <w:lang w:val="en-US"/>
        </w:rPr>
        <w:t xml:space="preserve">HIV-1 </w:t>
      </w:r>
      <w:r w:rsidRPr="00206CF1">
        <w:rPr>
          <w:rFonts w:eastAsia="Times New Roman" w:cs="Arial"/>
          <w:color w:val="000000"/>
          <w:lang w:eastAsia="bg-BG"/>
        </w:rPr>
        <w:t>РНК под 400 или 5.0 копия</w:t>
      </w:r>
      <w:r w:rsidRPr="00206CF1">
        <w:rPr>
          <w:rFonts w:eastAsia="Times New Roman" w:cs="Arial"/>
          <w:color w:val="000000"/>
          <w:lang w:val="en-US"/>
        </w:rPr>
        <w:t xml:space="preserve">/ml </w:t>
      </w:r>
      <w:r w:rsidRPr="00206CF1">
        <w:rPr>
          <w:rFonts w:eastAsia="Times New Roman" w:cs="Arial"/>
          <w:color w:val="000000"/>
          <w:lang w:eastAsia="bg-BG"/>
        </w:rPr>
        <w:t xml:space="preserve">е бил съответно 41 % и 18 %). При осем (2 %) от пациентите, лекувани с тенофовир дизопроксил 245 </w:t>
      </w:r>
      <w:r w:rsidRPr="00206CF1">
        <w:rPr>
          <w:rFonts w:eastAsia="Times New Roman" w:cs="Arial"/>
          <w:color w:val="000000"/>
          <w:lang w:val="en-US"/>
        </w:rPr>
        <w:t xml:space="preserve">mg, </w:t>
      </w:r>
      <w:r w:rsidRPr="00206CF1">
        <w:rPr>
          <w:rFonts w:eastAsia="Times New Roman" w:cs="Arial"/>
          <w:color w:val="000000"/>
          <w:lang w:eastAsia="bg-BG"/>
        </w:rPr>
        <w:t xml:space="preserve">се е развила </w:t>
      </w:r>
      <w:r w:rsidRPr="00206CF1">
        <w:rPr>
          <w:rFonts w:eastAsia="Times New Roman" w:cs="Arial"/>
          <w:color w:val="000000"/>
          <w:lang w:val="en-US"/>
        </w:rPr>
        <w:t xml:space="preserve">K65R </w:t>
      </w:r>
      <w:r w:rsidRPr="00206CF1">
        <w:rPr>
          <w:rFonts w:eastAsia="Times New Roman" w:cs="Arial"/>
          <w:color w:val="000000"/>
          <w:lang w:eastAsia="bg-BG"/>
        </w:rPr>
        <w:t>мутация в рамките на първите 48 седмици.</w:t>
      </w:r>
    </w:p>
    <w:p w14:paraId="4D519242" w14:textId="77777777" w:rsidR="00206CF1" w:rsidRDefault="00206CF1" w:rsidP="00206CF1">
      <w:pPr>
        <w:spacing w:line="240" w:lineRule="auto"/>
        <w:rPr>
          <w:rFonts w:eastAsia="Times New Roman" w:cs="Arial"/>
          <w:color w:val="000000"/>
          <w:lang w:eastAsia="bg-BG"/>
        </w:rPr>
      </w:pPr>
    </w:p>
    <w:p w14:paraId="38F069A4" w14:textId="57BB73AD"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144-седмичната, двойносляпа активно контролирана фаза на проучването </w:t>
      </w:r>
      <w:r w:rsidRPr="00206CF1">
        <w:rPr>
          <w:rFonts w:eastAsia="Times New Roman" w:cs="Arial"/>
          <w:color w:val="000000"/>
          <w:lang w:val="en-US"/>
        </w:rPr>
        <w:t xml:space="preserve">GS-99-903 </w:t>
      </w:r>
      <w:r w:rsidRPr="00206CF1">
        <w:rPr>
          <w:rFonts w:eastAsia="Times New Roman" w:cs="Arial"/>
          <w:color w:val="000000"/>
          <w:lang w:eastAsia="bg-BG"/>
        </w:rPr>
        <w:t xml:space="preserve">е дала оценка на ефикасността и безопасността на тенофовир дизопроксил 245 </w:t>
      </w:r>
      <w:r w:rsidRPr="00206CF1">
        <w:rPr>
          <w:rFonts w:eastAsia="Times New Roman" w:cs="Arial"/>
          <w:color w:val="000000"/>
          <w:lang w:val="en-US"/>
        </w:rPr>
        <w:t xml:space="preserve">mg </w:t>
      </w:r>
      <w:r w:rsidRPr="00206CF1">
        <w:rPr>
          <w:rFonts w:eastAsia="Times New Roman" w:cs="Arial"/>
          <w:color w:val="000000"/>
          <w:lang w:eastAsia="bg-BG"/>
        </w:rPr>
        <w:t xml:space="preserve">в сравнение със ставудин, при комбинация с ламивудин и ефавиренц при инфектирани с </w:t>
      </w:r>
      <w:r w:rsidRPr="00206CF1">
        <w:rPr>
          <w:rFonts w:eastAsia="Times New Roman" w:cs="Arial"/>
          <w:color w:val="000000"/>
          <w:lang w:val="en-US"/>
        </w:rPr>
        <w:t>HIV-</w:t>
      </w:r>
      <w:r w:rsidRPr="00206CF1">
        <w:rPr>
          <w:rFonts w:eastAsia="Times New Roman" w:cs="Arial"/>
          <w:color w:val="000000"/>
          <w:lang w:eastAsia="bg-BG"/>
        </w:rPr>
        <w:t xml:space="preserve">1 възрастни пациенти без предварително антиретровирусно лечение. Средният изходен брой на </w:t>
      </w:r>
      <w:r w:rsidRPr="00206CF1">
        <w:rPr>
          <w:rFonts w:eastAsia="Times New Roman" w:cs="Arial"/>
          <w:color w:val="000000"/>
          <w:lang w:val="en-US"/>
        </w:rPr>
        <w:t xml:space="preserve">CD4 </w:t>
      </w:r>
      <w:r w:rsidRPr="00206CF1">
        <w:rPr>
          <w:rFonts w:eastAsia="Times New Roman" w:cs="Arial"/>
          <w:color w:val="000000"/>
          <w:lang w:eastAsia="bg-BG"/>
        </w:rPr>
        <w:t>клетките е бил 279 клетки</w:t>
      </w:r>
      <w:r w:rsidRPr="00206CF1">
        <w:rPr>
          <w:rFonts w:eastAsia="Times New Roman" w:cs="Arial"/>
          <w:color w:val="000000"/>
          <w:lang w:val="en-US"/>
        </w:rPr>
        <w:t>/mm</w:t>
      </w:r>
      <w:r w:rsidRPr="00206CF1">
        <w:rPr>
          <w:rFonts w:eastAsia="Times New Roman" w:cs="Arial"/>
          <w:color w:val="000000"/>
          <w:vertAlign w:val="superscript"/>
          <w:lang w:val="en-US"/>
        </w:rPr>
        <w:t>3</w:t>
      </w:r>
      <w:r w:rsidRPr="00206CF1">
        <w:rPr>
          <w:rFonts w:eastAsia="Times New Roman" w:cs="Arial"/>
          <w:color w:val="000000"/>
          <w:lang w:val="en-US"/>
        </w:rPr>
        <w:t xml:space="preserve">, </w:t>
      </w:r>
      <w:r w:rsidRPr="00206CF1">
        <w:rPr>
          <w:rFonts w:eastAsia="Times New Roman" w:cs="Arial"/>
          <w:color w:val="000000"/>
          <w:lang w:eastAsia="bg-BG"/>
        </w:rPr>
        <w:t xml:space="preserve">средното изходно ниво на плазмената </w:t>
      </w:r>
      <w:r w:rsidRPr="00206CF1">
        <w:rPr>
          <w:rFonts w:eastAsia="Times New Roman" w:cs="Arial"/>
          <w:color w:val="000000"/>
          <w:lang w:val="en-US"/>
        </w:rPr>
        <w:t xml:space="preserve">HIV-1 </w:t>
      </w:r>
      <w:r w:rsidRPr="00206CF1">
        <w:rPr>
          <w:rFonts w:eastAsia="Times New Roman" w:cs="Arial"/>
          <w:color w:val="000000"/>
          <w:lang w:eastAsia="bg-BG"/>
        </w:rPr>
        <w:t xml:space="preserve">РНК е било 4,91 </w:t>
      </w:r>
      <w:r w:rsidRPr="00206CF1">
        <w:rPr>
          <w:rFonts w:eastAsia="Times New Roman" w:cs="Arial"/>
          <w:color w:val="000000"/>
          <w:lang w:val="en-US"/>
        </w:rPr>
        <w:t>log</w:t>
      </w:r>
      <w:r w:rsidRPr="00206CF1">
        <w:rPr>
          <w:rFonts w:eastAsia="Times New Roman" w:cs="Arial"/>
          <w:color w:val="000000"/>
          <w:vertAlign w:val="subscript"/>
          <w:lang w:val="en-US"/>
        </w:rPr>
        <w:t>10</w:t>
      </w:r>
      <w:r w:rsidRPr="00206CF1">
        <w:rPr>
          <w:rFonts w:eastAsia="Times New Roman" w:cs="Arial"/>
          <w:color w:val="000000"/>
          <w:lang w:val="en-US"/>
        </w:rPr>
        <w:t xml:space="preserve"> </w:t>
      </w:r>
      <w:r w:rsidRPr="00206CF1">
        <w:rPr>
          <w:rFonts w:eastAsia="Times New Roman" w:cs="Arial"/>
          <w:color w:val="000000"/>
          <w:lang w:eastAsia="bg-BG"/>
        </w:rPr>
        <w:t>копия</w:t>
      </w:r>
      <w:r w:rsidRPr="00206CF1">
        <w:rPr>
          <w:rFonts w:eastAsia="Times New Roman" w:cs="Arial"/>
          <w:color w:val="000000"/>
          <w:lang w:val="en-US"/>
        </w:rPr>
        <w:t xml:space="preserve">/ml, </w:t>
      </w:r>
      <w:r w:rsidRPr="00206CF1">
        <w:rPr>
          <w:rFonts w:eastAsia="Times New Roman" w:cs="Arial"/>
          <w:color w:val="000000"/>
          <w:lang w:eastAsia="bg-BG"/>
        </w:rPr>
        <w:t xml:space="preserve">19 % от пациентите са имали симптоматична </w:t>
      </w:r>
      <w:r w:rsidRPr="00206CF1">
        <w:rPr>
          <w:rFonts w:eastAsia="Times New Roman" w:cs="Arial"/>
          <w:color w:val="000000"/>
          <w:lang w:val="en-US"/>
        </w:rPr>
        <w:t xml:space="preserve">HIV-1 </w:t>
      </w:r>
      <w:r w:rsidRPr="00206CF1">
        <w:rPr>
          <w:rFonts w:eastAsia="Times New Roman" w:cs="Arial"/>
          <w:color w:val="000000"/>
          <w:lang w:eastAsia="bg-BG"/>
        </w:rPr>
        <w:t xml:space="preserve">инфекция и 18 % са имали СПИН. Пациентите са били разпределени в зависимост от изходните </w:t>
      </w:r>
      <w:r w:rsidRPr="00206CF1">
        <w:rPr>
          <w:rFonts w:eastAsia="Times New Roman" w:cs="Arial"/>
          <w:color w:val="000000"/>
          <w:lang w:val="en-US"/>
        </w:rPr>
        <w:t xml:space="preserve">HIV-1 </w:t>
      </w:r>
      <w:r w:rsidRPr="00206CF1">
        <w:rPr>
          <w:rFonts w:eastAsia="Times New Roman" w:cs="Arial"/>
          <w:color w:val="000000"/>
          <w:lang w:eastAsia="bg-BG"/>
        </w:rPr>
        <w:t xml:space="preserve">РНК и броя на </w:t>
      </w:r>
      <w:r w:rsidRPr="00206CF1">
        <w:rPr>
          <w:rFonts w:eastAsia="Times New Roman" w:cs="Arial"/>
          <w:color w:val="000000"/>
          <w:lang w:val="en-US"/>
        </w:rPr>
        <w:t xml:space="preserve">CD4 </w:t>
      </w:r>
      <w:r w:rsidRPr="00206CF1">
        <w:rPr>
          <w:rFonts w:eastAsia="Times New Roman" w:cs="Arial"/>
          <w:color w:val="000000"/>
          <w:lang w:eastAsia="bg-BG"/>
        </w:rPr>
        <w:t>клетките. 43 % от пациентите са имали изходно вирусно натоварване &gt; 100 000 копия</w:t>
      </w:r>
      <w:r w:rsidRPr="00206CF1">
        <w:rPr>
          <w:rFonts w:eastAsia="Times New Roman" w:cs="Arial"/>
          <w:color w:val="000000"/>
          <w:lang w:val="en-US"/>
        </w:rPr>
        <w:t xml:space="preserve">/ml </w:t>
      </w:r>
      <w:r w:rsidRPr="00206CF1">
        <w:rPr>
          <w:rFonts w:eastAsia="Times New Roman" w:cs="Arial"/>
          <w:color w:val="000000"/>
          <w:lang w:eastAsia="bg-BG"/>
        </w:rPr>
        <w:t xml:space="preserve">и 39 % са имали брой на </w:t>
      </w:r>
      <w:r w:rsidRPr="00206CF1">
        <w:rPr>
          <w:rFonts w:eastAsia="Times New Roman" w:cs="Arial"/>
          <w:color w:val="000000"/>
          <w:lang w:val="en-US"/>
        </w:rPr>
        <w:t xml:space="preserve">CD4 </w:t>
      </w:r>
      <w:r w:rsidRPr="00206CF1">
        <w:rPr>
          <w:rFonts w:eastAsia="Times New Roman" w:cs="Arial"/>
          <w:color w:val="000000"/>
          <w:lang w:eastAsia="bg-BG"/>
        </w:rPr>
        <w:t>клетките &lt; 200 клетки</w:t>
      </w:r>
      <w:r w:rsidRPr="00206CF1">
        <w:rPr>
          <w:rFonts w:eastAsia="Times New Roman" w:cs="Arial"/>
          <w:color w:val="000000"/>
          <w:lang w:val="en-US"/>
        </w:rPr>
        <w:t>/ml.</w:t>
      </w:r>
    </w:p>
    <w:p w14:paraId="2D8EF765" w14:textId="77777777" w:rsidR="00206CF1" w:rsidRDefault="00206CF1" w:rsidP="00206CF1">
      <w:pPr>
        <w:spacing w:line="240" w:lineRule="auto"/>
        <w:rPr>
          <w:rFonts w:eastAsia="Times New Roman" w:cs="Arial"/>
          <w:color w:val="000000"/>
          <w:lang w:eastAsia="bg-BG"/>
        </w:rPr>
      </w:pPr>
    </w:p>
    <w:p w14:paraId="7A118FDE" w14:textId="4D64C2B8"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При </w:t>
      </w:r>
      <w:r w:rsidRPr="00206CF1">
        <w:rPr>
          <w:rFonts w:eastAsia="Times New Roman" w:cs="Arial"/>
          <w:color w:val="000000"/>
          <w:lang w:val="en-US"/>
        </w:rPr>
        <w:t xml:space="preserve">intent to treat </w:t>
      </w:r>
      <w:r w:rsidRPr="00206CF1">
        <w:rPr>
          <w:rFonts w:eastAsia="Times New Roman" w:cs="Arial"/>
          <w:color w:val="000000"/>
          <w:lang w:eastAsia="bg-BG"/>
        </w:rPr>
        <w:t xml:space="preserve">анализ (липсата на данни и включване на друга антиретровирусна терапия </w:t>
      </w:r>
      <w:r w:rsidRPr="00206CF1">
        <w:rPr>
          <w:rFonts w:eastAsia="Times New Roman" w:cs="Arial"/>
          <w:color w:val="000000"/>
          <w:lang w:val="en-US"/>
        </w:rPr>
        <w:t xml:space="preserve">(APT) </w:t>
      </w:r>
      <w:r w:rsidRPr="00206CF1">
        <w:rPr>
          <w:rFonts w:eastAsia="Times New Roman" w:cs="Arial"/>
          <w:color w:val="000000"/>
          <w:lang w:eastAsia="bg-BG"/>
        </w:rPr>
        <w:t xml:space="preserve">се приемат за неуспех) делът на пациентите с </w:t>
      </w:r>
      <w:r w:rsidRPr="00206CF1">
        <w:rPr>
          <w:rFonts w:eastAsia="Times New Roman" w:cs="Arial"/>
          <w:color w:val="000000"/>
          <w:lang w:val="en-US"/>
        </w:rPr>
        <w:t xml:space="preserve">HIV-1 </w:t>
      </w:r>
      <w:r w:rsidRPr="00206CF1">
        <w:rPr>
          <w:rFonts w:eastAsia="Times New Roman" w:cs="Arial"/>
          <w:color w:val="000000"/>
          <w:lang w:eastAsia="bg-BG"/>
        </w:rPr>
        <w:t>РНК под 400 копия</w:t>
      </w:r>
      <w:r w:rsidRPr="00206CF1">
        <w:rPr>
          <w:rFonts w:eastAsia="Times New Roman" w:cs="Arial"/>
          <w:color w:val="000000"/>
          <w:lang w:val="en-US"/>
        </w:rPr>
        <w:t xml:space="preserve">/ml </w:t>
      </w:r>
      <w:r w:rsidRPr="00206CF1">
        <w:rPr>
          <w:rFonts w:eastAsia="Times New Roman" w:cs="Arial"/>
          <w:color w:val="000000"/>
          <w:lang w:eastAsia="bg-BG"/>
        </w:rPr>
        <w:t>и 50 копия</w:t>
      </w:r>
      <w:r w:rsidRPr="00206CF1">
        <w:rPr>
          <w:rFonts w:eastAsia="Times New Roman" w:cs="Arial"/>
          <w:color w:val="000000"/>
          <w:lang w:val="en-US"/>
        </w:rPr>
        <w:t xml:space="preserve">/ml </w:t>
      </w:r>
      <w:r w:rsidRPr="00206CF1">
        <w:rPr>
          <w:rFonts w:eastAsia="Times New Roman" w:cs="Arial"/>
          <w:color w:val="000000"/>
          <w:lang w:eastAsia="bg-BG"/>
        </w:rPr>
        <w:t xml:space="preserve">при достигане на 48-ата седмица от лечението е бил съответно 80 % и 76 % за групата на тенофовир дизопроксил 245 </w:t>
      </w:r>
      <w:r w:rsidRPr="00206CF1">
        <w:rPr>
          <w:rFonts w:eastAsia="Times New Roman" w:cs="Arial"/>
          <w:color w:val="000000"/>
          <w:lang w:val="en-US"/>
        </w:rPr>
        <w:t xml:space="preserve">mg, </w:t>
      </w:r>
      <w:r w:rsidRPr="00206CF1">
        <w:rPr>
          <w:rFonts w:eastAsia="Times New Roman" w:cs="Arial"/>
          <w:color w:val="000000"/>
          <w:lang w:eastAsia="bg-BG"/>
        </w:rPr>
        <w:t xml:space="preserve">в сравнение с 84 % и 80 % в групата на ставудин. При достигне на седмица 144 делът на пациентите с </w:t>
      </w:r>
      <w:r w:rsidRPr="00206CF1">
        <w:rPr>
          <w:rFonts w:eastAsia="Times New Roman" w:cs="Arial"/>
          <w:color w:val="000000"/>
          <w:lang w:val="en-US"/>
        </w:rPr>
        <w:t xml:space="preserve">HIV-1 </w:t>
      </w:r>
      <w:r w:rsidRPr="00206CF1">
        <w:rPr>
          <w:rFonts w:eastAsia="Times New Roman" w:cs="Arial"/>
          <w:color w:val="000000"/>
          <w:lang w:eastAsia="bg-BG"/>
        </w:rPr>
        <w:t>РНК под 400 копия</w:t>
      </w:r>
      <w:r w:rsidRPr="00206CF1">
        <w:rPr>
          <w:rFonts w:eastAsia="Times New Roman" w:cs="Arial"/>
          <w:color w:val="000000"/>
          <w:lang w:val="en-US"/>
        </w:rPr>
        <w:t xml:space="preserve">/ml </w:t>
      </w:r>
      <w:r w:rsidRPr="00206CF1">
        <w:rPr>
          <w:rFonts w:eastAsia="Times New Roman" w:cs="Arial"/>
          <w:color w:val="000000"/>
          <w:lang w:eastAsia="bg-BG"/>
        </w:rPr>
        <w:t>и 50 копия</w:t>
      </w:r>
      <w:r w:rsidRPr="00206CF1">
        <w:rPr>
          <w:rFonts w:eastAsia="Times New Roman" w:cs="Arial"/>
          <w:color w:val="000000"/>
          <w:lang w:val="en-US"/>
        </w:rPr>
        <w:t xml:space="preserve">/ml </w:t>
      </w:r>
      <w:r w:rsidRPr="00206CF1">
        <w:rPr>
          <w:rFonts w:eastAsia="Times New Roman" w:cs="Arial"/>
          <w:color w:val="000000"/>
          <w:lang w:eastAsia="bg-BG"/>
        </w:rPr>
        <w:t xml:space="preserve">е бил съответно 71 % и 68 % за групата на тенофовир дизопроксил 245 </w:t>
      </w:r>
      <w:r w:rsidRPr="00206CF1">
        <w:rPr>
          <w:rFonts w:eastAsia="Times New Roman" w:cs="Arial"/>
          <w:color w:val="000000"/>
          <w:lang w:val="en-US"/>
        </w:rPr>
        <w:t xml:space="preserve">mg, </w:t>
      </w:r>
      <w:r w:rsidRPr="00206CF1">
        <w:rPr>
          <w:rFonts w:eastAsia="Times New Roman" w:cs="Arial"/>
          <w:color w:val="000000"/>
          <w:lang w:eastAsia="bg-BG"/>
        </w:rPr>
        <w:t>в сравнение с 64 % и 63 % в групата на ставудин.</w:t>
      </w:r>
    </w:p>
    <w:p w14:paraId="323E1CE5" w14:textId="77777777" w:rsidR="00206CF1" w:rsidRDefault="00206CF1" w:rsidP="00206CF1">
      <w:pPr>
        <w:spacing w:line="240" w:lineRule="auto"/>
        <w:rPr>
          <w:rFonts w:eastAsia="Times New Roman" w:cs="Arial"/>
          <w:color w:val="000000"/>
          <w:lang w:eastAsia="bg-BG"/>
        </w:rPr>
      </w:pPr>
    </w:p>
    <w:p w14:paraId="0EC928F1" w14:textId="60B59C68"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Средната промяна на </w:t>
      </w:r>
      <w:r w:rsidRPr="00206CF1">
        <w:rPr>
          <w:rFonts w:eastAsia="Times New Roman" w:cs="Arial"/>
          <w:color w:val="000000"/>
          <w:lang w:val="en-US"/>
        </w:rPr>
        <w:t xml:space="preserve">HIV-1 </w:t>
      </w:r>
      <w:r w:rsidRPr="00206CF1">
        <w:rPr>
          <w:rFonts w:eastAsia="Times New Roman" w:cs="Arial"/>
          <w:color w:val="000000"/>
          <w:lang w:eastAsia="bg-BG"/>
        </w:rPr>
        <w:t xml:space="preserve">РНК и на броя на </w:t>
      </w:r>
      <w:r w:rsidRPr="00206CF1">
        <w:rPr>
          <w:rFonts w:eastAsia="Times New Roman" w:cs="Arial"/>
          <w:color w:val="000000"/>
          <w:lang w:val="en-US"/>
        </w:rPr>
        <w:t xml:space="preserve">CD4 </w:t>
      </w:r>
      <w:r w:rsidRPr="00206CF1">
        <w:rPr>
          <w:rFonts w:eastAsia="Times New Roman" w:cs="Arial"/>
          <w:color w:val="000000"/>
          <w:lang w:eastAsia="bg-BG"/>
        </w:rPr>
        <w:t xml:space="preserve">клетките в сравнение с изходните при достигане на 48-ата седмица от лечението е била сходна за двете терапевтични групи (съответно - 3,09 и -3,09 </w:t>
      </w:r>
      <w:r w:rsidRPr="00206CF1">
        <w:rPr>
          <w:rFonts w:eastAsia="Times New Roman" w:cs="Arial"/>
          <w:color w:val="000000"/>
          <w:lang w:val="en-US"/>
        </w:rPr>
        <w:t>log</w:t>
      </w:r>
      <w:r w:rsidRPr="00206CF1">
        <w:rPr>
          <w:rFonts w:eastAsia="Times New Roman" w:cs="Arial"/>
          <w:color w:val="000000"/>
          <w:vertAlign w:val="subscript"/>
          <w:lang w:val="en-US"/>
        </w:rPr>
        <w:t>10</w:t>
      </w:r>
      <w:r w:rsidRPr="00206CF1">
        <w:rPr>
          <w:rFonts w:eastAsia="Times New Roman" w:cs="Arial"/>
          <w:color w:val="000000"/>
          <w:lang w:val="en-US"/>
        </w:rPr>
        <w:t xml:space="preserve"> </w:t>
      </w:r>
      <w:r w:rsidRPr="00206CF1">
        <w:rPr>
          <w:rFonts w:eastAsia="Times New Roman" w:cs="Arial"/>
          <w:color w:val="000000"/>
          <w:lang w:eastAsia="bg-BG"/>
        </w:rPr>
        <w:t>копия</w:t>
      </w:r>
      <w:r w:rsidRPr="00206CF1">
        <w:rPr>
          <w:rFonts w:eastAsia="Times New Roman" w:cs="Arial"/>
          <w:color w:val="000000"/>
          <w:lang w:val="en-US"/>
        </w:rPr>
        <w:t xml:space="preserve">/ml; </w:t>
      </w:r>
      <w:r w:rsidRPr="00206CF1">
        <w:rPr>
          <w:rFonts w:eastAsia="Times New Roman" w:cs="Arial"/>
          <w:color w:val="000000"/>
          <w:lang w:eastAsia="bg-BG"/>
        </w:rPr>
        <w:t>+169 и 167 клетки</w:t>
      </w:r>
      <w:r w:rsidRPr="00206CF1">
        <w:rPr>
          <w:rFonts w:eastAsia="Times New Roman" w:cs="Arial"/>
          <w:color w:val="000000"/>
          <w:lang w:val="en-US"/>
        </w:rPr>
        <w:t>/mm</w:t>
      </w:r>
      <w:r w:rsidRPr="00206CF1">
        <w:rPr>
          <w:rFonts w:eastAsia="Times New Roman" w:cs="Arial"/>
          <w:color w:val="000000"/>
          <w:vertAlign w:val="superscript"/>
          <w:lang w:val="en-US"/>
        </w:rPr>
        <w:t>3</w:t>
      </w:r>
      <w:r w:rsidRPr="00206CF1">
        <w:rPr>
          <w:rFonts w:eastAsia="Times New Roman" w:cs="Arial"/>
          <w:color w:val="000000"/>
          <w:lang w:val="en-US"/>
        </w:rPr>
        <w:t xml:space="preserve"> </w:t>
      </w:r>
      <w:r w:rsidRPr="00206CF1">
        <w:rPr>
          <w:rFonts w:eastAsia="Times New Roman" w:cs="Arial"/>
          <w:color w:val="000000"/>
          <w:lang w:eastAsia="bg-BG"/>
        </w:rPr>
        <w:t xml:space="preserve">в групата на тенофовир дизопроксил 245 </w:t>
      </w:r>
      <w:r w:rsidRPr="00206CF1">
        <w:rPr>
          <w:rFonts w:eastAsia="Times New Roman" w:cs="Arial"/>
          <w:color w:val="000000"/>
          <w:lang w:val="en-US"/>
        </w:rPr>
        <w:t xml:space="preserve">mg </w:t>
      </w:r>
      <w:r w:rsidRPr="00206CF1">
        <w:rPr>
          <w:rFonts w:eastAsia="Times New Roman" w:cs="Arial"/>
          <w:color w:val="000000"/>
          <w:lang w:eastAsia="bg-BG"/>
        </w:rPr>
        <w:t xml:space="preserve">и в групата на ставудин). Средната промяна в сравнение с изходните стойности остава сходна за двете терапевтични групи при достигане на 144-тата седмица от лечението (съответно -3,07 и - 3,03 </w:t>
      </w:r>
      <w:r w:rsidRPr="00206CF1">
        <w:rPr>
          <w:rFonts w:eastAsia="Times New Roman" w:cs="Arial"/>
          <w:color w:val="000000"/>
          <w:lang w:val="en-US"/>
        </w:rPr>
        <w:t>log</w:t>
      </w:r>
      <w:r w:rsidRPr="00206CF1">
        <w:rPr>
          <w:rFonts w:eastAsia="Times New Roman" w:cs="Arial"/>
          <w:color w:val="000000"/>
          <w:vertAlign w:val="subscript"/>
          <w:lang w:val="en-US"/>
        </w:rPr>
        <w:t>10</w:t>
      </w:r>
      <w:r w:rsidRPr="00206CF1">
        <w:rPr>
          <w:rFonts w:eastAsia="Times New Roman" w:cs="Arial"/>
          <w:color w:val="000000"/>
          <w:lang w:val="en-US"/>
        </w:rPr>
        <w:t xml:space="preserve"> </w:t>
      </w:r>
      <w:r w:rsidRPr="00206CF1">
        <w:rPr>
          <w:rFonts w:eastAsia="Times New Roman" w:cs="Arial"/>
          <w:color w:val="000000"/>
          <w:lang w:eastAsia="bg-BG"/>
        </w:rPr>
        <w:t>копия</w:t>
      </w:r>
      <w:r w:rsidRPr="00206CF1">
        <w:rPr>
          <w:rFonts w:eastAsia="Times New Roman" w:cs="Arial"/>
          <w:color w:val="000000"/>
          <w:lang w:val="en-US"/>
        </w:rPr>
        <w:t xml:space="preserve">/ml; </w:t>
      </w:r>
      <w:r w:rsidRPr="00206CF1">
        <w:rPr>
          <w:rFonts w:eastAsia="Times New Roman" w:cs="Arial"/>
          <w:color w:val="000000"/>
          <w:lang w:eastAsia="bg-BG"/>
        </w:rPr>
        <w:t>+263 и 283 клетки</w:t>
      </w:r>
      <w:r w:rsidRPr="00206CF1">
        <w:rPr>
          <w:rFonts w:eastAsia="Times New Roman" w:cs="Arial"/>
          <w:color w:val="000000"/>
          <w:lang w:val="en-US"/>
        </w:rPr>
        <w:t>/mm</w:t>
      </w:r>
      <w:r w:rsidRPr="00206CF1">
        <w:rPr>
          <w:rFonts w:eastAsia="Times New Roman" w:cs="Arial"/>
          <w:color w:val="000000"/>
          <w:vertAlign w:val="superscript"/>
          <w:lang w:val="en-US"/>
        </w:rPr>
        <w:t>3</w:t>
      </w:r>
      <w:r w:rsidRPr="00206CF1">
        <w:rPr>
          <w:rFonts w:eastAsia="Times New Roman" w:cs="Arial"/>
          <w:color w:val="000000"/>
          <w:lang w:val="en-US"/>
        </w:rPr>
        <w:t xml:space="preserve"> </w:t>
      </w:r>
      <w:r w:rsidRPr="00206CF1">
        <w:rPr>
          <w:rFonts w:eastAsia="Times New Roman" w:cs="Arial"/>
          <w:color w:val="000000"/>
          <w:lang w:eastAsia="bg-BG"/>
        </w:rPr>
        <w:t xml:space="preserve">в групата на тенофовир дизопроксил 245 </w:t>
      </w:r>
      <w:r w:rsidRPr="00206CF1">
        <w:rPr>
          <w:rFonts w:eastAsia="Times New Roman" w:cs="Arial"/>
          <w:color w:val="000000"/>
          <w:lang w:val="en-US"/>
        </w:rPr>
        <w:t xml:space="preserve">mg </w:t>
      </w:r>
      <w:r w:rsidRPr="00206CF1">
        <w:rPr>
          <w:rFonts w:eastAsia="Times New Roman" w:cs="Arial"/>
          <w:color w:val="000000"/>
          <w:lang w:eastAsia="bg-BG"/>
        </w:rPr>
        <w:t xml:space="preserve">и в групата на ставудин). Траен отговор на лечението с тенофовир дизопроксил 245 </w:t>
      </w:r>
      <w:r w:rsidRPr="00206CF1">
        <w:rPr>
          <w:rFonts w:eastAsia="Times New Roman" w:cs="Arial"/>
          <w:color w:val="000000"/>
          <w:lang w:val="en-US"/>
        </w:rPr>
        <w:t xml:space="preserve">mg </w:t>
      </w:r>
      <w:r w:rsidRPr="00206CF1">
        <w:rPr>
          <w:rFonts w:eastAsia="Times New Roman" w:cs="Arial"/>
          <w:color w:val="000000"/>
          <w:lang w:eastAsia="bg-BG"/>
        </w:rPr>
        <w:t xml:space="preserve">е бил наблюдаван независимо от изходните </w:t>
      </w:r>
      <w:r w:rsidRPr="00206CF1">
        <w:rPr>
          <w:rFonts w:eastAsia="Times New Roman" w:cs="Arial"/>
          <w:color w:val="000000"/>
          <w:lang w:val="en-US"/>
        </w:rPr>
        <w:t xml:space="preserve">HIV-1 </w:t>
      </w:r>
      <w:r w:rsidRPr="00206CF1">
        <w:rPr>
          <w:rFonts w:eastAsia="Times New Roman" w:cs="Arial"/>
          <w:color w:val="000000"/>
          <w:lang w:eastAsia="bg-BG"/>
        </w:rPr>
        <w:t xml:space="preserve">РНК и брой на </w:t>
      </w:r>
      <w:r w:rsidRPr="00206CF1">
        <w:rPr>
          <w:rFonts w:eastAsia="Times New Roman" w:cs="Arial"/>
          <w:color w:val="000000"/>
          <w:lang w:val="en-US"/>
        </w:rPr>
        <w:t xml:space="preserve">CD4 </w:t>
      </w:r>
      <w:r w:rsidRPr="00206CF1">
        <w:rPr>
          <w:rFonts w:eastAsia="Times New Roman" w:cs="Arial"/>
          <w:color w:val="000000"/>
          <w:lang w:eastAsia="bg-BG"/>
        </w:rPr>
        <w:t>клетките.</w:t>
      </w:r>
    </w:p>
    <w:p w14:paraId="2C4AA7DB" w14:textId="77777777" w:rsidR="00206CF1" w:rsidRDefault="00206CF1" w:rsidP="00206CF1">
      <w:pPr>
        <w:spacing w:line="240" w:lineRule="auto"/>
        <w:rPr>
          <w:rFonts w:eastAsia="Times New Roman" w:cs="Arial"/>
          <w:color w:val="000000"/>
          <w:lang w:eastAsia="bg-BG"/>
        </w:rPr>
      </w:pPr>
    </w:p>
    <w:p w14:paraId="5634719A" w14:textId="13E7523D"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Мутацията </w:t>
      </w:r>
      <w:r w:rsidRPr="00206CF1">
        <w:rPr>
          <w:rFonts w:eastAsia="Times New Roman" w:cs="Arial"/>
          <w:color w:val="000000"/>
          <w:lang w:val="en-US"/>
        </w:rPr>
        <w:t xml:space="preserve">K65R </w:t>
      </w:r>
      <w:r w:rsidRPr="00206CF1">
        <w:rPr>
          <w:rFonts w:eastAsia="Times New Roman" w:cs="Arial"/>
          <w:color w:val="000000"/>
          <w:lang w:eastAsia="bg-BG"/>
        </w:rPr>
        <w:t xml:space="preserve">се е проявила при малко по-висок процент от пациентите от групата на тенофовир дизопроксил в сравнение с активната контролна група </w:t>
      </w:r>
      <w:r w:rsidRPr="00206CF1">
        <w:rPr>
          <w:rFonts w:eastAsia="Times New Roman" w:cs="Arial"/>
          <w:color w:val="000000"/>
          <w:lang w:val="en-US"/>
        </w:rPr>
        <w:t xml:space="preserve">(2,7 </w:t>
      </w:r>
      <w:r w:rsidRPr="00206CF1">
        <w:rPr>
          <w:rFonts w:eastAsia="Times New Roman" w:cs="Arial"/>
          <w:color w:val="000000"/>
          <w:lang w:eastAsia="bg-BG"/>
        </w:rPr>
        <w:t xml:space="preserve">% срещу 0,7 %). Във всички случаи резистентността към ефавиренц или ламивудин се е появявала по-рано или едновременно с развитието на </w:t>
      </w:r>
      <w:r w:rsidRPr="00206CF1">
        <w:rPr>
          <w:rFonts w:eastAsia="Times New Roman" w:cs="Arial"/>
          <w:color w:val="000000"/>
          <w:lang w:val="en-US"/>
        </w:rPr>
        <w:t xml:space="preserve">K65R. </w:t>
      </w:r>
      <w:r w:rsidRPr="00206CF1">
        <w:rPr>
          <w:rFonts w:eastAsia="Times New Roman" w:cs="Arial"/>
          <w:color w:val="000000"/>
          <w:lang w:eastAsia="bg-BG"/>
        </w:rPr>
        <w:t xml:space="preserve">8 пациенти в групата на тенофовир дизопроксил 245 </w:t>
      </w:r>
      <w:r w:rsidRPr="00206CF1">
        <w:rPr>
          <w:rFonts w:eastAsia="Times New Roman" w:cs="Arial"/>
          <w:color w:val="000000"/>
          <w:lang w:val="en-US"/>
        </w:rPr>
        <w:t xml:space="preserve">mg </w:t>
      </w:r>
      <w:r w:rsidRPr="00206CF1">
        <w:rPr>
          <w:rFonts w:eastAsia="Times New Roman" w:cs="Arial"/>
          <w:color w:val="000000"/>
          <w:lang w:eastAsia="bg-BG"/>
        </w:rPr>
        <w:t xml:space="preserve">са имали </w:t>
      </w:r>
      <w:r w:rsidRPr="00206CF1">
        <w:rPr>
          <w:rFonts w:eastAsia="Times New Roman" w:cs="Arial"/>
          <w:color w:val="000000"/>
          <w:lang w:val="en-US"/>
        </w:rPr>
        <w:t xml:space="preserve">HIV, </w:t>
      </w:r>
      <w:r w:rsidRPr="00206CF1">
        <w:rPr>
          <w:rFonts w:eastAsia="Times New Roman" w:cs="Arial"/>
          <w:color w:val="000000"/>
          <w:lang w:eastAsia="bg-BG"/>
        </w:rPr>
        <w:t xml:space="preserve">експресиращ </w:t>
      </w:r>
      <w:r w:rsidRPr="00206CF1">
        <w:rPr>
          <w:rFonts w:eastAsia="Times New Roman" w:cs="Arial"/>
          <w:color w:val="000000"/>
          <w:lang w:val="en-US"/>
        </w:rPr>
        <w:t xml:space="preserve">K65R </w:t>
      </w:r>
      <w:r w:rsidRPr="00206CF1">
        <w:rPr>
          <w:rFonts w:eastAsia="Times New Roman" w:cs="Arial"/>
          <w:color w:val="000000"/>
          <w:lang w:eastAsia="bg-BG"/>
        </w:rPr>
        <w:t xml:space="preserve">мутация, при 7 от които тя се е появила през първите 48 седмици на лечението, а последната - през седмица 96. До 144-тата седмица не е наблюдавано развитието на допълнителни </w:t>
      </w:r>
      <w:r w:rsidRPr="00206CF1">
        <w:rPr>
          <w:rFonts w:eastAsia="Times New Roman" w:cs="Arial"/>
          <w:color w:val="000000"/>
          <w:lang w:val="en-US"/>
        </w:rPr>
        <w:t xml:space="preserve">K65R </w:t>
      </w:r>
      <w:r w:rsidRPr="00206CF1">
        <w:rPr>
          <w:rFonts w:eastAsia="Times New Roman" w:cs="Arial"/>
          <w:color w:val="000000"/>
          <w:lang w:eastAsia="bg-BG"/>
        </w:rPr>
        <w:t>мутации. При един пациент в групата на тенофовир дизопроксил (като фумарат) се е появило К70Е заместването във вируса. Както в генотипните, така и във фенотипните анализи не е имало доказателства за други механизми на резистентност към тенофовир.</w:t>
      </w:r>
    </w:p>
    <w:p w14:paraId="4450AD66" w14:textId="77777777" w:rsidR="00206CF1" w:rsidRDefault="00206CF1" w:rsidP="00206CF1">
      <w:pPr>
        <w:spacing w:line="240" w:lineRule="auto"/>
        <w:rPr>
          <w:rFonts w:eastAsia="Times New Roman" w:cs="Arial"/>
          <w:i/>
          <w:iCs/>
          <w:color w:val="000000"/>
          <w:lang w:eastAsia="bg-BG"/>
        </w:rPr>
      </w:pPr>
    </w:p>
    <w:p w14:paraId="34F708CC" w14:textId="7100BC9C"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 xml:space="preserve">Данни, отнасящи се до </w:t>
      </w:r>
      <w:r w:rsidRPr="00206CF1">
        <w:rPr>
          <w:rFonts w:eastAsia="Times New Roman" w:cs="Arial"/>
          <w:i/>
          <w:iCs/>
          <w:color w:val="000000"/>
          <w:lang w:val="en-US"/>
        </w:rPr>
        <w:t>HBV</w:t>
      </w:r>
    </w:p>
    <w:p w14:paraId="594C333E" w14:textId="2312A12E"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val="en-US"/>
        </w:rPr>
        <w:t xml:space="preserve">In vitro </w:t>
      </w:r>
      <w:r w:rsidRPr="00206CF1">
        <w:rPr>
          <w:rFonts w:eastAsia="Times New Roman" w:cs="Arial"/>
          <w:i/>
          <w:iCs/>
          <w:color w:val="000000"/>
          <w:lang w:eastAsia="bg-BG"/>
        </w:rPr>
        <w:t xml:space="preserve">антивирусна активност срещу </w:t>
      </w:r>
      <w:r w:rsidRPr="00206CF1">
        <w:rPr>
          <w:rFonts w:eastAsia="Times New Roman" w:cs="Arial"/>
          <w:i/>
          <w:iCs/>
          <w:color w:val="000000"/>
          <w:lang w:val="en-US"/>
        </w:rPr>
        <w:t>HBV; In vitro</w:t>
      </w:r>
      <w:r w:rsidRPr="00206CF1">
        <w:rPr>
          <w:rFonts w:eastAsia="Times New Roman" w:cs="Arial"/>
          <w:color w:val="000000"/>
          <w:lang w:val="en-US"/>
        </w:rPr>
        <w:t xml:space="preserve"> </w:t>
      </w:r>
      <w:r w:rsidRPr="00206CF1">
        <w:rPr>
          <w:rFonts w:eastAsia="Times New Roman" w:cs="Arial"/>
          <w:color w:val="000000"/>
          <w:lang w:eastAsia="bg-BG"/>
        </w:rPr>
        <w:t xml:space="preserve">антивирусната активност на тенофовир срещу </w:t>
      </w:r>
      <w:r w:rsidRPr="00206CF1">
        <w:rPr>
          <w:rFonts w:eastAsia="Times New Roman" w:cs="Arial"/>
          <w:color w:val="000000"/>
          <w:lang w:val="en-US"/>
        </w:rPr>
        <w:t xml:space="preserve">HBV </w:t>
      </w:r>
      <w:r w:rsidRPr="00206CF1">
        <w:rPr>
          <w:rFonts w:eastAsia="Times New Roman" w:cs="Arial"/>
          <w:color w:val="000000"/>
          <w:lang w:eastAsia="bg-BG"/>
        </w:rPr>
        <w:t xml:space="preserve">е оценена в клетъчна линия </w:t>
      </w:r>
      <w:r w:rsidRPr="00206CF1">
        <w:rPr>
          <w:rFonts w:eastAsia="Times New Roman" w:cs="Arial"/>
          <w:color w:val="000000"/>
          <w:lang w:val="en-US"/>
        </w:rPr>
        <w:t xml:space="preserve">HepG2 </w:t>
      </w:r>
      <w:r w:rsidRPr="00206CF1">
        <w:rPr>
          <w:rFonts w:eastAsia="Times New Roman" w:cs="Arial"/>
          <w:color w:val="000000"/>
          <w:lang w:eastAsia="bg-BG"/>
        </w:rPr>
        <w:t xml:space="preserve">2.2.15. Стойностите на </w:t>
      </w:r>
      <w:r w:rsidRPr="00206CF1">
        <w:rPr>
          <w:rFonts w:eastAsia="Times New Roman" w:cs="Arial"/>
          <w:color w:val="000000"/>
          <w:lang w:val="en-US"/>
        </w:rPr>
        <w:t>EC</w:t>
      </w:r>
      <w:r w:rsidRPr="00206CF1">
        <w:rPr>
          <w:rFonts w:eastAsia="Times New Roman" w:cs="Arial"/>
          <w:color w:val="000000"/>
          <w:vertAlign w:val="subscript"/>
          <w:lang w:val="en-US"/>
        </w:rPr>
        <w:t>50</w:t>
      </w:r>
      <w:r w:rsidRPr="00206CF1">
        <w:rPr>
          <w:rFonts w:eastAsia="Times New Roman" w:cs="Arial"/>
          <w:color w:val="000000"/>
          <w:lang w:val="en-US"/>
        </w:rPr>
        <w:t xml:space="preserve"> </w:t>
      </w:r>
      <w:r w:rsidRPr="00206CF1">
        <w:rPr>
          <w:rFonts w:eastAsia="Times New Roman" w:cs="Arial"/>
          <w:color w:val="000000"/>
          <w:lang w:eastAsia="bg-BG"/>
        </w:rPr>
        <w:t>за тенофовир са в интервала 0,14 до 1,5 μ</w:t>
      </w:r>
      <w:proofErr w:type="spellStart"/>
      <w:r w:rsidRPr="00206CF1">
        <w:rPr>
          <w:rFonts w:eastAsia="Times New Roman" w:cs="Arial"/>
          <w:color w:val="000000"/>
          <w:lang w:val="en-US"/>
        </w:rPr>
        <w:t>nol</w:t>
      </w:r>
      <w:proofErr w:type="spellEnd"/>
      <w:r w:rsidRPr="00206CF1">
        <w:rPr>
          <w:rFonts w:eastAsia="Times New Roman" w:cs="Arial"/>
          <w:color w:val="000000"/>
          <w:lang w:eastAsia="bg-BG"/>
        </w:rPr>
        <w:t>/</w:t>
      </w:r>
      <w:r w:rsidRPr="00206CF1">
        <w:rPr>
          <w:rFonts w:eastAsia="Times New Roman" w:cs="Arial"/>
          <w:color w:val="000000"/>
          <w:lang w:val="en-US"/>
        </w:rPr>
        <w:t>l</w:t>
      </w:r>
      <w:r w:rsidRPr="00206CF1">
        <w:rPr>
          <w:rFonts w:eastAsia="Times New Roman" w:cs="Arial"/>
          <w:color w:val="000000"/>
          <w:lang w:eastAsia="bg-BG"/>
        </w:rPr>
        <w:t xml:space="preserve">, със стойности за </w:t>
      </w:r>
      <w:r w:rsidRPr="00206CF1">
        <w:rPr>
          <w:rFonts w:eastAsia="Times New Roman" w:cs="Arial"/>
          <w:color w:val="000000"/>
          <w:lang w:val="en-US"/>
        </w:rPr>
        <w:t>CC</w:t>
      </w:r>
      <w:r w:rsidRPr="00206CF1">
        <w:rPr>
          <w:rFonts w:eastAsia="Times New Roman" w:cs="Arial"/>
          <w:color w:val="000000"/>
          <w:vertAlign w:val="subscript"/>
          <w:lang w:val="en-US"/>
        </w:rPr>
        <w:t>50</w:t>
      </w:r>
      <w:r w:rsidRPr="00206CF1">
        <w:rPr>
          <w:rFonts w:eastAsia="Times New Roman" w:cs="Arial"/>
          <w:color w:val="000000"/>
          <w:lang w:val="en-US"/>
        </w:rPr>
        <w:t xml:space="preserve"> </w:t>
      </w:r>
      <w:r w:rsidRPr="00206CF1">
        <w:rPr>
          <w:rFonts w:eastAsia="Times New Roman" w:cs="Arial"/>
          <w:color w:val="000000"/>
          <w:lang w:eastAsia="bg-BG"/>
        </w:rPr>
        <w:t>(50 % цитотоксична концентрация) &gt; 100μ</w:t>
      </w:r>
      <w:r w:rsidRPr="00206CF1">
        <w:rPr>
          <w:rFonts w:eastAsia="Times New Roman" w:cs="Arial"/>
          <w:color w:val="000000"/>
          <w:lang w:val="en-US"/>
        </w:rPr>
        <w:t>mol/1.</w:t>
      </w:r>
    </w:p>
    <w:p w14:paraId="67E04DB9" w14:textId="77777777" w:rsidR="00206CF1" w:rsidRDefault="00206CF1" w:rsidP="00206CF1">
      <w:pPr>
        <w:rPr>
          <w:rFonts w:eastAsia="Times New Roman" w:cs="Arial"/>
          <w:i/>
          <w:iCs/>
          <w:color w:val="000000"/>
          <w:lang w:eastAsia="bg-BG"/>
        </w:rPr>
      </w:pPr>
    </w:p>
    <w:p w14:paraId="6F770697" w14:textId="77777777" w:rsidR="00206CF1" w:rsidRPr="00206CF1" w:rsidRDefault="00206CF1" w:rsidP="00206CF1">
      <w:pPr>
        <w:rPr>
          <w:rFonts w:eastAsia="Times New Roman" w:cs="Arial"/>
          <w:lang w:eastAsia="bg-BG"/>
        </w:rPr>
      </w:pPr>
      <w:r w:rsidRPr="00206CF1">
        <w:rPr>
          <w:rFonts w:eastAsia="Times New Roman" w:cs="Arial"/>
          <w:i/>
          <w:iCs/>
          <w:color w:val="000000"/>
          <w:lang w:eastAsia="bg-BG"/>
        </w:rPr>
        <w:t>Резистентност:</w:t>
      </w:r>
      <w:r w:rsidRPr="00206CF1">
        <w:rPr>
          <w:rFonts w:eastAsia="Times New Roman" w:cs="Arial"/>
          <w:color w:val="000000"/>
          <w:lang w:eastAsia="bg-BG"/>
        </w:rPr>
        <w:t xml:space="preserve"> Не са установени мутации на </w:t>
      </w:r>
      <w:r w:rsidRPr="00206CF1">
        <w:rPr>
          <w:rFonts w:eastAsia="Times New Roman" w:cs="Arial"/>
          <w:color w:val="000000"/>
          <w:lang w:val="en-US"/>
        </w:rPr>
        <w:t xml:space="preserve">HBV, </w:t>
      </w:r>
      <w:r w:rsidRPr="00206CF1">
        <w:rPr>
          <w:rFonts w:eastAsia="Times New Roman" w:cs="Arial"/>
          <w:color w:val="000000"/>
          <w:lang w:eastAsia="bg-BG"/>
        </w:rPr>
        <w:t xml:space="preserve">свързани с резистентност към тенофовир дизопроксил (вж. Клинична ефикасност и безопасност). При клетъчно базирани тестове щамовете на </w:t>
      </w:r>
      <w:r w:rsidRPr="00206CF1">
        <w:rPr>
          <w:rFonts w:eastAsia="Times New Roman" w:cs="Arial"/>
          <w:color w:val="000000"/>
          <w:lang w:val="en-US"/>
        </w:rPr>
        <w:t xml:space="preserve">HBV, </w:t>
      </w:r>
      <w:r w:rsidRPr="00206CF1">
        <w:rPr>
          <w:rFonts w:eastAsia="Times New Roman" w:cs="Arial"/>
          <w:color w:val="000000"/>
          <w:lang w:eastAsia="bg-BG"/>
        </w:rPr>
        <w:t xml:space="preserve">експресиращи мутациите </w:t>
      </w:r>
      <w:r w:rsidRPr="00206CF1">
        <w:rPr>
          <w:rFonts w:eastAsia="Times New Roman" w:cs="Arial"/>
          <w:color w:val="000000"/>
          <w:lang w:val="en-US"/>
        </w:rPr>
        <w:t xml:space="preserve">rtV173L, rtL180M </w:t>
      </w:r>
      <w:r w:rsidRPr="00206CF1">
        <w:rPr>
          <w:rFonts w:eastAsia="Times New Roman" w:cs="Arial"/>
          <w:color w:val="000000"/>
          <w:lang w:eastAsia="bg-BG"/>
        </w:rPr>
        <w:t xml:space="preserve">и </w:t>
      </w:r>
      <w:r w:rsidRPr="00206CF1">
        <w:rPr>
          <w:rFonts w:eastAsia="Times New Roman" w:cs="Arial"/>
          <w:color w:val="000000"/>
          <w:lang w:val="en-US"/>
        </w:rPr>
        <w:lastRenderedPageBreak/>
        <w:t xml:space="preserve">rtM204I/V, </w:t>
      </w:r>
      <w:r w:rsidRPr="00206CF1">
        <w:rPr>
          <w:rFonts w:eastAsia="Times New Roman" w:cs="Arial"/>
          <w:color w:val="000000"/>
          <w:lang w:eastAsia="bg-BG"/>
        </w:rPr>
        <w:t xml:space="preserve">които са свързани с резистентност към ламивудин и телбивудин, са показали чувствителност към тенофовир в рамките на 0,7 до 3,4 пъти от тази на дивия тип вирус. Щамовете на </w:t>
      </w:r>
      <w:r w:rsidRPr="00206CF1">
        <w:rPr>
          <w:rFonts w:eastAsia="Times New Roman" w:cs="Arial"/>
          <w:color w:val="000000"/>
          <w:lang w:val="en-US"/>
        </w:rPr>
        <w:t xml:space="preserve">HBV, </w:t>
      </w:r>
      <w:r w:rsidRPr="00206CF1">
        <w:rPr>
          <w:rFonts w:eastAsia="Times New Roman" w:cs="Arial"/>
          <w:color w:val="000000"/>
          <w:lang w:eastAsia="bg-BG"/>
        </w:rPr>
        <w:t xml:space="preserve">експресиращи мутациите </w:t>
      </w:r>
      <w:r w:rsidRPr="00206CF1">
        <w:rPr>
          <w:rFonts w:eastAsia="Times New Roman" w:cs="Arial"/>
          <w:color w:val="000000"/>
          <w:lang w:val="en-US"/>
        </w:rPr>
        <w:t xml:space="preserve">rtL180M, rtT184G, rtS202G/I, rtM204V </w:t>
      </w:r>
      <w:r w:rsidRPr="00206CF1">
        <w:rPr>
          <w:rFonts w:eastAsia="Times New Roman" w:cs="Arial"/>
          <w:color w:val="000000"/>
          <w:lang w:eastAsia="bg-BG"/>
        </w:rPr>
        <w:t xml:space="preserve">и </w:t>
      </w:r>
      <w:r w:rsidRPr="00206CF1">
        <w:rPr>
          <w:rFonts w:eastAsia="Times New Roman" w:cs="Arial"/>
          <w:color w:val="000000"/>
          <w:lang w:val="en-US"/>
        </w:rPr>
        <w:t xml:space="preserve">rtM250V, </w:t>
      </w:r>
      <w:r w:rsidRPr="00206CF1">
        <w:rPr>
          <w:rFonts w:eastAsia="Times New Roman" w:cs="Arial"/>
          <w:color w:val="000000"/>
          <w:lang w:eastAsia="bg-BG"/>
        </w:rPr>
        <w:t xml:space="preserve">които са свързани с резистентност към ентекавир, са показали чувствителност към тенофовир в рамките на 0,6 до 6,9 пъти от тази на дивия тип вирус. Щамовете на </w:t>
      </w:r>
      <w:r w:rsidRPr="00206CF1">
        <w:rPr>
          <w:rFonts w:eastAsia="Times New Roman" w:cs="Arial"/>
          <w:color w:val="000000"/>
          <w:lang w:val="en-US"/>
        </w:rPr>
        <w:t xml:space="preserve">HBV, </w:t>
      </w:r>
      <w:r w:rsidRPr="00206CF1">
        <w:rPr>
          <w:rFonts w:eastAsia="Times New Roman" w:cs="Arial"/>
          <w:color w:val="000000"/>
          <w:lang w:eastAsia="bg-BG"/>
        </w:rPr>
        <w:t xml:space="preserve">експресиращи мутациите </w:t>
      </w:r>
      <w:proofErr w:type="spellStart"/>
      <w:r w:rsidRPr="00206CF1">
        <w:rPr>
          <w:rFonts w:eastAsia="Times New Roman" w:cs="Arial"/>
          <w:color w:val="000000"/>
          <w:lang w:val="en-US"/>
        </w:rPr>
        <w:t>rtAl</w:t>
      </w:r>
      <w:proofErr w:type="spellEnd"/>
      <w:r w:rsidRPr="00206CF1">
        <w:rPr>
          <w:rFonts w:eastAsia="Times New Roman" w:cs="Arial"/>
          <w:color w:val="000000"/>
          <w:lang w:val="en-US"/>
        </w:rPr>
        <w:t xml:space="preserve"> 81V </w:t>
      </w:r>
      <w:r w:rsidRPr="00206CF1">
        <w:rPr>
          <w:rFonts w:eastAsia="Times New Roman" w:cs="Arial"/>
          <w:color w:val="000000"/>
          <w:lang w:eastAsia="bg-BG"/>
        </w:rPr>
        <w:t xml:space="preserve">и </w:t>
      </w:r>
      <w:r w:rsidRPr="00206CF1">
        <w:rPr>
          <w:rFonts w:eastAsia="Times New Roman" w:cs="Arial"/>
          <w:color w:val="000000"/>
          <w:lang w:val="en-US"/>
        </w:rPr>
        <w:t>rtN236</w:t>
      </w:r>
      <w:r w:rsidRPr="00206CF1">
        <w:rPr>
          <w:rFonts w:eastAsia="Times New Roman" w:cs="Arial"/>
          <w:color w:val="000000"/>
          <w:lang w:eastAsia="bg-BG"/>
        </w:rPr>
        <w:t>Т, които са свързани с резистентност към адефовир, са показали чувствителност към тенофовир в рамките на</w:t>
      </w:r>
      <w:r>
        <w:rPr>
          <w:rFonts w:eastAsia="Times New Roman" w:cs="Arial"/>
          <w:color w:val="000000"/>
          <w:lang w:val="en-US" w:eastAsia="bg-BG"/>
        </w:rPr>
        <w:t xml:space="preserve"> </w:t>
      </w:r>
      <w:r w:rsidRPr="00206CF1">
        <w:rPr>
          <w:rFonts w:eastAsia="Times New Roman" w:cs="Arial"/>
          <w:color w:val="000000"/>
          <w:lang w:eastAsia="bg-BG"/>
        </w:rPr>
        <w:t xml:space="preserve">2,9 до 10 пъти от тази на дивия тип вирус. Вирусите, съдържащи мутацията </w:t>
      </w:r>
      <w:proofErr w:type="spellStart"/>
      <w:r w:rsidRPr="00206CF1">
        <w:rPr>
          <w:rFonts w:eastAsia="Times New Roman" w:cs="Arial"/>
          <w:color w:val="000000"/>
          <w:lang w:val="en-US"/>
        </w:rPr>
        <w:t>rtA</w:t>
      </w:r>
      <w:proofErr w:type="spellEnd"/>
      <w:r w:rsidRPr="00206CF1">
        <w:rPr>
          <w:rFonts w:eastAsia="Times New Roman" w:cs="Arial"/>
          <w:color w:val="000000"/>
          <w:lang w:eastAsia="bg-BG"/>
        </w:rPr>
        <w:t>18</w:t>
      </w:r>
      <w:r w:rsidRPr="00206CF1">
        <w:rPr>
          <w:rFonts w:eastAsia="Times New Roman" w:cs="Arial"/>
          <w:color w:val="000000"/>
          <w:lang w:val="en-US"/>
        </w:rPr>
        <w:t xml:space="preserve">IT, </w:t>
      </w:r>
      <w:r w:rsidRPr="00206CF1">
        <w:rPr>
          <w:rFonts w:eastAsia="Times New Roman" w:cs="Arial"/>
          <w:color w:val="000000"/>
          <w:lang w:eastAsia="bg-BG"/>
        </w:rPr>
        <w:t xml:space="preserve">са останали чувствителни към тенофовир със стойности на </w:t>
      </w:r>
      <w:r w:rsidRPr="00206CF1">
        <w:rPr>
          <w:rFonts w:eastAsia="Times New Roman" w:cs="Arial"/>
          <w:color w:val="000000"/>
          <w:lang w:val="en-US"/>
        </w:rPr>
        <w:t>EC</w:t>
      </w:r>
      <w:r w:rsidRPr="00206CF1">
        <w:rPr>
          <w:rFonts w:eastAsia="Times New Roman" w:cs="Arial"/>
          <w:color w:val="000000"/>
          <w:vertAlign w:val="subscript"/>
          <w:lang w:val="en-US"/>
        </w:rPr>
        <w:t>50</w:t>
      </w:r>
      <w:r w:rsidRPr="00206CF1">
        <w:rPr>
          <w:rFonts w:eastAsia="Times New Roman" w:cs="Arial"/>
          <w:color w:val="000000"/>
          <w:lang w:val="en-US"/>
        </w:rPr>
        <w:t xml:space="preserve"> </w:t>
      </w:r>
      <w:r w:rsidRPr="00206CF1">
        <w:rPr>
          <w:rFonts w:eastAsia="Times New Roman" w:cs="Arial"/>
          <w:color w:val="000000"/>
          <w:lang w:eastAsia="bg-BG"/>
        </w:rPr>
        <w:t>1,5 пъти повече от тази на дивия тип вирус.</w:t>
      </w:r>
    </w:p>
    <w:p w14:paraId="4444B01D" w14:textId="77777777" w:rsidR="00206CF1" w:rsidRPr="00206CF1" w:rsidRDefault="00206CF1" w:rsidP="00206CF1">
      <w:pPr>
        <w:spacing w:line="240" w:lineRule="auto"/>
        <w:rPr>
          <w:rFonts w:eastAsia="Times New Roman" w:cs="Arial"/>
          <w:lang w:eastAsia="bg-BG"/>
        </w:rPr>
      </w:pPr>
    </w:p>
    <w:p w14:paraId="1A2519AF" w14:textId="77777777" w:rsidR="00206CF1" w:rsidRPr="00206CF1" w:rsidRDefault="00206CF1" w:rsidP="00206CF1">
      <w:pPr>
        <w:spacing w:line="240" w:lineRule="auto"/>
        <w:rPr>
          <w:rFonts w:eastAsia="Times New Roman" w:cs="Arial"/>
          <w:lang w:eastAsia="bg-BG"/>
        </w:rPr>
      </w:pPr>
    </w:p>
    <w:p w14:paraId="1C571D8D"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u w:val="single"/>
          <w:lang w:eastAsia="bg-BG"/>
        </w:rPr>
        <w:t>Клинична ефикасност и безопасност</w:t>
      </w:r>
    </w:p>
    <w:p w14:paraId="55156EEE"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Демонстрираната полза от лечението с тенофовир дизопроксил при компенсирано и декомпенсирано заболяване се базира на вирусологичния, биохимичния и серологичния отговор при възрастни пациенти с </w:t>
      </w:r>
      <w:proofErr w:type="spellStart"/>
      <w:r w:rsidRPr="00206CF1">
        <w:rPr>
          <w:rFonts w:eastAsia="Times New Roman" w:cs="Arial"/>
          <w:color w:val="000000"/>
          <w:lang w:val="en-US"/>
        </w:rPr>
        <w:t>HBeAg</w:t>
      </w:r>
      <w:proofErr w:type="spellEnd"/>
      <w:r w:rsidRPr="00206CF1">
        <w:rPr>
          <w:rFonts w:eastAsia="Times New Roman" w:cs="Arial"/>
          <w:color w:val="000000"/>
          <w:lang w:val="en-US"/>
        </w:rPr>
        <w:t xml:space="preserve"> </w:t>
      </w:r>
      <w:r w:rsidRPr="00206CF1">
        <w:rPr>
          <w:rFonts w:eastAsia="Times New Roman" w:cs="Arial"/>
          <w:color w:val="000000"/>
          <w:lang w:eastAsia="bg-BG"/>
        </w:rPr>
        <w:t xml:space="preserve">положителен и </w:t>
      </w:r>
      <w:proofErr w:type="spellStart"/>
      <w:r w:rsidRPr="00206CF1">
        <w:rPr>
          <w:rFonts w:eastAsia="Times New Roman" w:cs="Arial"/>
          <w:color w:val="000000"/>
          <w:lang w:val="en-US"/>
        </w:rPr>
        <w:t>HBeAg</w:t>
      </w:r>
      <w:proofErr w:type="spellEnd"/>
      <w:r w:rsidRPr="00206CF1">
        <w:rPr>
          <w:rFonts w:eastAsia="Times New Roman" w:cs="Arial"/>
          <w:color w:val="000000"/>
          <w:lang w:val="en-US"/>
        </w:rPr>
        <w:t xml:space="preserve"> </w:t>
      </w:r>
      <w:r w:rsidRPr="00206CF1">
        <w:rPr>
          <w:rFonts w:eastAsia="Times New Roman" w:cs="Arial"/>
          <w:color w:val="000000"/>
          <w:lang w:eastAsia="bg-BG"/>
        </w:rPr>
        <w:t>негативен хроничен хепатит В. Лекуваните пациенти включват пациенти без предварително лечение, предварително лекувани с ламивудин, предварително лекувани с адефовир дипивоксил, както и пациенти с мутации на резистентност към ламивудин и/или адефовир дипивоксил на изходно ниво. Установена е полза и на база хистологичните отговори при компенсирани пациенти.</w:t>
      </w:r>
    </w:p>
    <w:p w14:paraId="41D6E2F0" w14:textId="77777777" w:rsidR="00206CF1" w:rsidRDefault="00206CF1" w:rsidP="00206CF1">
      <w:pPr>
        <w:spacing w:line="240" w:lineRule="auto"/>
        <w:rPr>
          <w:rFonts w:eastAsia="Times New Roman" w:cs="Arial"/>
          <w:i/>
          <w:iCs/>
          <w:color w:val="000000"/>
          <w:lang w:eastAsia="bg-BG"/>
        </w:rPr>
      </w:pPr>
    </w:p>
    <w:p w14:paraId="324D8FF5" w14:textId="4A51DEA3"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 xml:space="preserve">Опит при пациенти с компенсирано чернодробно заболяване до 48-та седмица (проучвания </w:t>
      </w:r>
      <w:r w:rsidRPr="00206CF1">
        <w:rPr>
          <w:rFonts w:eastAsia="Times New Roman" w:cs="Arial"/>
          <w:i/>
          <w:iCs/>
          <w:color w:val="000000"/>
          <w:lang w:val="en-US"/>
        </w:rPr>
        <w:t xml:space="preserve">GS- US-174-0102 </w:t>
      </w:r>
      <w:r w:rsidRPr="00206CF1">
        <w:rPr>
          <w:rFonts w:eastAsia="Times New Roman" w:cs="Arial"/>
          <w:i/>
          <w:iCs/>
          <w:color w:val="000000"/>
          <w:lang w:eastAsia="bg-BG"/>
        </w:rPr>
        <w:t xml:space="preserve">и </w:t>
      </w:r>
      <w:r w:rsidRPr="00206CF1">
        <w:rPr>
          <w:rFonts w:eastAsia="Times New Roman" w:cs="Arial"/>
          <w:i/>
          <w:iCs/>
          <w:color w:val="000000"/>
          <w:lang w:val="en-US"/>
        </w:rPr>
        <w:t>GS-US-</w:t>
      </w:r>
      <w:r w:rsidRPr="00206CF1">
        <w:rPr>
          <w:rFonts w:eastAsia="Times New Roman" w:cs="Arial"/>
          <w:i/>
          <w:iCs/>
          <w:color w:val="000000"/>
          <w:lang w:eastAsia="bg-BG"/>
        </w:rPr>
        <w:t>174-0103)</w:t>
      </w:r>
    </w:p>
    <w:p w14:paraId="64986844"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Резултатите от 48 седмици от две рандомизирани, двойнослепи проучвания от фаза 3, сравняващи тенофовир дизопроксил с адефовир дипивоксил при възрастни пациенти с компенсирано чернодробно заболяване, са представени в Таблица 3 по-долу. Проучването </w:t>
      </w:r>
      <w:r w:rsidRPr="00206CF1">
        <w:rPr>
          <w:rFonts w:eastAsia="Times New Roman" w:cs="Arial"/>
          <w:color w:val="000000"/>
          <w:lang w:val="en-US"/>
        </w:rPr>
        <w:t>GS-US-1</w:t>
      </w:r>
      <w:r w:rsidRPr="00206CF1">
        <w:rPr>
          <w:rFonts w:eastAsia="Times New Roman" w:cs="Arial"/>
          <w:color w:val="000000"/>
          <w:lang w:eastAsia="bg-BG"/>
        </w:rPr>
        <w:t xml:space="preserve">74-0103 е проведено при 266 (рандомизирани и лекувани) </w:t>
      </w:r>
      <w:proofErr w:type="spellStart"/>
      <w:r w:rsidRPr="00206CF1">
        <w:rPr>
          <w:rFonts w:eastAsia="Times New Roman" w:cs="Arial"/>
          <w:color w:val="000000"/>
          <w:lang w:val="en-US"/>
        </w:rPr>
        <w:t>HBeAg</w:t>
      </w:r>
      <w:proofErr w:type="spellEnd"/>
      <w:r w:rsidRPr="00206CF1">
        <w:rPr>
          <w:rFonts w:eastAsia="Times New Roman" w:cs="Arial"/>
          <w:color w:val="000000"/>
          <w:lang w:val="en-US"/>
        </w:rPr>
        <w:t xml:space="preserve"> </w:t>
      </w:r>
      <w:r w:rsidRPr="00206CF1">
        <w:rPr>
          <w:rFonts w:eastAsia="Times New Roman" w:cs="Arial"/>
          <w:color w:val="000000"/>
          <w:lang w:eastAsia="bg-BG"/>
        </w:rPr>
        <w:t xml:space="preserve">позитивни пациенти, докато проучването </w:t>
      </w:r>
      <w:r w:rsidRPr="00206CF1">
        <w:rPr>
          <w:rFonts w:eastAsia="Times New Roman" w:cs="Arial"/>
          <w:color w:val="000000"/>
          <w:lang w:val="en-US"/>
        </w:rPr>
        <w:t xml:space="preserve">GS-US-174-0102 </w:t>
      </w:r>
      <w:r w:rsidRPr="00206CF1">
        <w:rPr>
          <w:rFonts w:eastAsia="Times New Roman" w:cs="Arial"/>
          <w:color w:val="000000"/>
          <w:lang w:eastAsia="bg-BG"/>
        </w:rPr>
        <w:t xml:space="preserve">е проведено при 375 (рандомизирани и лекувани) пациенти, които са </w:t>
      </w:r>
      <w:proofErr w:type="spellStart"/>
      <w:r w:rsidRPr="00206CF1">
        <w:rPr>
          <w:rFonts w:eastAsia="Times New Roman" w:cs="Arial"/>
          <w:color w:val="000000"/>
          <w:lang w:val="en-US"/>
        </w:rPr>
        <w:t>HBeAg</w:t>
      </w:r>
      <w:proofErr w:type="spellEnd"/>
      <w:r w:rsidRPr="00206CF1">
        <w:rPr>
          <w:rFonts w:eastAsia="Times New Roman" w:cs="Arial"/>
          <w:color w:val="000000"/>
          <w:lang w:val="en-US"/>
        </w:rPr>
        <w:t xml:space="preserve"> </w:t>
      </w:r>
      <w:r w:rsidRPr="00206CF1">
        <w:rPr>
          <w:rFonts w:eastAsia="Times New Roman" w:cs="Arial"/>
          <w:color w:val="000000"/>
          <w:lang w:eastAsia="bg-BG"/>
        </w:rPr>
        <w:t>негативни и НВеА</w:t>
      </w:r>
      <w:r w:rsidRPr="00206CF1">
        <w:rPr>
          <w:rFonts w:eastAsia="Times New Roman" w:cs="Arial"/>
          <w:color w:val="000000"/>
          <w:lang w:val="en-US"/>
        </w:rPr>
        <w:t>b</w:t>
      </w:r>
      <w:r w:rsidRPr="00206CF1">
        <w:rPr>
          <w:rFonts w:eastAsia="Times New Roman" w:cs="Arial"/>
          <w:color w:val="000000"/>
          <w:lang w:eastAsia="bg-BG"/>
        </w:rPr>
        <w:t xml:space="preserve"> позитивни.</w:t>
      </w:r>
    </w:p>
    <w:p w14:paraId="30E82BA1" w14:textId="77777777" w:rsidR="00206CF1" w:rsidRDefault="00206CF1" w:rsidP="00206CF1">
      <w:pPr>
        <w:spacing w:line="240" w:lineRule="auto"/>
        <w:rPr>
          <w:rFonts w:eastAsia="Times New Roman" w:cs="Arial"/>
          <w:color w:val="000000"/>
          <w:lang w:eastAsia="bg-BG"/>
        </w:rPr>
      </w:pPr>
    </w:p>
    <w:p w14:paraId="45E4F6BC" w14:textId="6BCCF53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И при двете проучвания тенофовир дизопроксил има значително превъзходство в сравнение с адефовир дипивоксил по отношение на основната крайна точка за ефикасност на пълен отговор (дефиниран като нива на </w:t>
      </w:r>
      <w:r w:rsidRPr="00206CF1">
        <w:rPr>
          <w:rFonts w:eastAsia="Times New Roman" w:cs="Arial"/>
          <w:color w:val="000000"/>
          <w:lang w:val="en-US"/>
        </w:rPr>
        <w:t xml:space="preserve">HBV </w:t>
      </w:r>
      <w:r w:rsidRPr="00206CF1">
        <w:rPr>
          <w:rFonts w:eastAsia="Times New Roman" w:cs="Arial"/>
          <w:color w:val="000000"/>
          <w:lang w:eastAsia="bg-BG"/>
        </w:rPr>
        <w:t>ДНК &lt; 400 копия</w:t>
      </w:r>
      <w:r w:rsidRPr="00206CF1">
        <w:rPr>
          <w:rFonts w:eastAsia="Times New Roman" w:cs="Arial"/>
          <w:color w:val="000000"/>
          <w:lang w:val="en-US"/>
        </w:rPr>
        <w:t xml:space="preserve">/ml </w:t>
      </w:r>
      <w:r w:rsidRPr="00206CF1">
        <w:rPr>
          <w:rFonts w:eastAsia="Times New Roman" w:cs="Arial"/>
          <w:color w:val="000000"/>
          <w:lang w:eastAsia="bg-BG"/>
        </w:rPr>
        <w:t xml:space="preserve">и подобряване на некроинфламаторния скор на </w:t>
      </w:r>
      <w:proofErr w:type="spellStart"/>
      <w:r w:rsidRPr="00206CF1">
        <w:rPr>
          <w:rFonts w:eastAsia="Times New Roman" w:cs="Arial"/>
          <w:color w:val="000000"/>
          <w:lang w:val="en-US"/>
        </w:rPr>
        <w:t>Knodell</w:t>
      </w:r>
      <w:proofErr w:type="spellEnd"/>
      <w:r w:rsidRPr="00206CF1">
        <w:rPr>
          <w:rFonts w:eastAsia="Times New Roman" w:cs="Arial"/>
          <w:color w:val="000000"/>
          <w:lang w:val="en-US"/>
        </w:rPr>
        <w:t xml:space="preserve"> </w:t>
      </w:r>
      <w:r w:rsidRPr="00206CF1">
        <w:rPr>
          <w:rFonts w:eastAsia="Times New Roman" w:cs="Arial"/>
          <w:color w:val="000000"/>
          <w:lang w:eastAsia="bg-BG"/>
        </w:rPr>
        <w:t xml:space="preserve">с поне 2 точки без влошаване на </w:t>
      </w:r>
      <w:proofErr w:type="spellStart"/>
      <w:r w:rsidRPr="00206CF1">
        <w:rPr>
          <w:rFonts w:eastAsia="Times New Roman" w:cs="Arial"/>
          <w:color w:val="000000"/>
          <w:lang w:val="en-US"/>
        </w:rPr>
        <w:t>Knodell</w:t>
      </w:r>
      <w:proofErr w:type="spellEnd"/>
      <w:r w:rsidRPr="00206CF1">
        <w:rPr>
          <w:rFonts w:eastAsia="Times New Roman" w:cs="Arial"/>
          <w:color w:val="000000"/>
          <w:lang w:val="en-US"/>
        </w:rPr>
        <w:t xml:space="preserve"> </w:t>
      </w:r>
      <w:r w:rsidRPr="00206CF1">
        <w:rPr>
          <w:rFonts w:eastAsia="Times New Roman" w:cs="Arial"/>
          <w:color w:val="000000"/>
          <w:lang w:eastAsia="bg-BG"/>
        </w:rPr>
        <w:t xml:space="preserve">скора за фиброза). Лечението с тенофовир дизопроксил 245 </w:t>
      </w:r>
      <w:r w:rsidRPr="00206CF1">
        <w:rPr>
          <w:rFonts w:eastAsia="Times New Roman" w:cs="Arial"/>
          <w:color w:val="000000"/>
          <w:lang w:val="en-US"/>
        </w:rPr>
        <w:t xml:space="preserve">mg </w:t>
      </w:r>
      <w:r w:rsidRPr="00206CF1">
        <w:rPr>
          <w:rFonts w:eastAsia="Times New Roman" w:cs="Arial"/>
          <w:color w:val="000000"/>
          <w:lang w:eastAsia="bg-BG"/>
        </w:rPr>
        <w:t xml:space="preserve">е свързано и със значително по-голям дял на пациенти с </w:t>
      </w:r>
      <w:r w:rsidRPr="00206CF1">
        <w:rPr>
          <w:rFonts w:eastAsia="Times New Roman" w:cs="Arial"/>
          <w:color w:val="000000"/>
          <w:lang w:val="en-US"/>
        </w:rPr>
        <w:t xml:space="preserve">HBV </w:t>
      </w:r>
      <w:r w:rsidRPr="00206CF1">
        <w:rPr>
          <w:rFonts w:eastAsia="Times New Roman" w:cs="Arial"/>
          <w:color w:val="000000"/>
          <w:lang w:eastAsia="bg-BG"/>
        </w:rPr>
        <w:t>ДНК &lt; 400 копия</w:t>
      </w:r>
      <w:r w:rsidRPr="00206CF1">
        <w:rPr>
          <w:rFonts w:eastAsia="Times New Roman" w:cs="Arial"/>
          <w:color w:val="000000"/>
          <w:lang w:val="en-US"/>
        </w:rPr>
        <w:t xml:space="preserve">/ml </w:t>
      </w:r>
      <w:r w:rsidRPr="00206CF1">
        <w:rPr>
          <w:rFonts w:eastAsia="Times New Roman" w:cs="Arial"/>
          <w:color w:val="000000"/>
          <w:lang w:eastAsia="bg-BG"/>
        </w:rPr>
        <w:t xml:space="preserve">в сравнение с лечението с адефовир дипивоксил 10 </w:t>
      </w:r>
      <w:r w:rsidRPr="00206CF1">
        <w:rPr>
          <w:rFonts w:eastAsia="Times New Roman" w:cs="Arial"/>
          <w:color w:val="000000"/>
          <w:lang w:val="en-US"/>
        </w:rPr>
        <w:t xml:space="preserve">mg. </w:t>
      </w:r>
      <w:r w:rsidRPr="00206CF1">
        <w:rPr>
          <w:rFonts w:eastAsia="Times New Roman" w:cs="Arial"/>
          <w:color w:val="000000"/>
          <w:lang w:eastAsia="bg-BG"/>
        </w:rPr>
        <w:t xml:space="preserve">И двете лечебни схеми са дали сходни резултати по отношение на хистологичния отговор (дефиниран като подобряване на некроинфламаторния скор на </w:t>
      </w:r>
      <w:proofErr w:type="spellStart"/>
      <w:r w:rsidRPr="00206CF1">
        <w:rPr>
          <w:rFonts w:eastAsia="Times New Roman" w:cs="Arial"/>
          <w:color w:val="000000"/>
          <w:lang w:val="en-US"/>
        </w:rPr>
        <w:t>Knodell</w:t>
      </w:r>
      <w:proofErr w:type="spellEnd"/>
      <w:r w:rsidRPr="00206CF1">
        <w:rPr>
          <w:rFonts w:eastAsia="Times New Roman" w:cs="Arial"/>
          <w:color w:val="000000"/>
          <w:lang w:val="en-US"/>
        </w:rPr>
        <w:t xml:space="preserve"> </w:t>
      </w:r>
      <w:r w:rsidRPr="00206CF1">
        <w:rPr>
          <w:rFonts w:eastAsia="Times New Roman" w:cs="Arial"/>
          <w:color w:val="000000"/>
          <w:lang w:eastAsia="bg-BG"/>
        </w:rPr>
        <w:t xml:space="preserve">с поне 2 точки без влошаване на </w:t>
      </w:r>
      <w:proofErr w:type="spellStart"/>
      <w:r w:rsidRPr="00206CF1">
        <w:rPr>
          <w:rFonts w:eastAsia="Times New Roman" w:cs="Arial"/>
          <w:color w:val="000000"/>
          <w:lang w:val="en-US"/>
        </w:rPr>
        <w:t>Knodell</w:t>
      </w:r>
      <w:proofErr w:type="spellEnd"/>
      <w:r w:rsidRPr="00206CF1">
        <w:rPr>
          <w:rFonts w:eastAsia="Times New Roman" w:cs="Arial"/>
          <w:color w:val="000000"/>
          <w:lang w:val="en-US"/>
        </w:rPr>
        <w:t xml:space="preserve"> </w:t>
      </w:r>
      <w:r w:rsidRPr="00206CF1">
        <w:rPr>
          <w:rFonts w:eastAsia="Times New Roman" w:cs="Arial"/>
          <w:color w:val="000000"/>
          <w:lang w:eastAsia="bg-BG"/>
        </w:rPr>
        <w:t>скора за фиброза) на седмица 48 (вж. Таблица 3 по-долу).</w:t>
      </w:r>
    </w:p>
    <w:p w14:paraId="5420A60E" w14:textId="77777777" w:rsidR="00206CF1" w:rsidRDefault="00206CF1" w:rsidP="00206CF1">
      <w:pPr>
        <w:spacing w:line="240" w:lineRule="auto"/>
        <w:rPr>
          <w:rFonts w:eastAsia="Times New Roman" w:cs="Arial"/>
          <w:color w:val="000000"/>
          <w:lang w:eastAsia="bg-BG"/>
        </w:rPr>
      </w:pPr>
    </w:p>
    <w:p w14:paraId="7BDA51B3" w14:textId="55DE81A6"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При проучването </w:t>
      </w:r>
      <w:r w:rsidRPr="00206CF1">
        <w:rPr>
          <w:rFonts w:eastAsia="Times New Roman" w:cs="Arial"/>
          <w:color w:val="000000"/>
          <w:lang w:val="en-US"/>
        </w:rPr>
        <w:t>GS-US-</w:t>
      </w:r>
      <w:r w:rsidRPr="00206CF1">
        <w:rPr>
          <w:rFonts w:eastAsia="Times New Roman" w:cs="Arial"/>
          <w:color w:val="000000"/>
          <w:lang w:eastAsia="bg-BG"/>
        </w:rPr>
        <w:t xml:space="preserve">174-0103 делът на пациентите с нормализиране на нивата на </w:t>
      </w:r>
      <w:r w:rsidRPr="00206CF1">
        <w:rPr>
          <w:rFonts w:eastAsia="Times New Roman" w:cs="Arial"/>
          <w:color w:val="000000"/>
          <w:lang w:val="en-US"/>
        </w:rPr>
        <w:t xml:space="preserve">ALT </w:t>
      </w:r>
      <w:r w:rsidRPr="00206CF1">
        <w:rPr>
          <w:rFonts w:eastAsia="Times New Roman" w:cs="Arial"/>
          <w:color w:val="000000"/>
          <w:lang w:eastAsia="bg-BG"/>
        </w:rPr>
        <w:t xml:space="preserve">и постигнали негативиране на </w:t>
      </w:r>
      <w:r w:rsidRPr="00206CF1">
        <w:rPr>
          <w:rFonts w:eastAsia="Times New Roman" w:cs="Arial"/>
          <w:color w:val="000000"/>
          <w:lang w:val="en-US"/>
        </w:rPr>
        <w:t xml:space="preserve">HBsAg </w:t>
      </w:r>
      <w:r w:rsidRPr="00206CF1">
        <w:rPr>
          <w:rFonts w:eastAsia="Times New Roman" w:cs="Arial"/>
          <w:color w:val="000000"/>
          <w:lang w:eastAsia="bg-BG"/>
        </w:rPr>
        <w:t>при достигане на седмица 48 в групата на лечение с тенофовир дизопроксил е бил значително по-голям, отколкото в групата на лечение с адефовир дипивоксил (вж. Таблица 3 по-долу).</w:t>
      </w:r>
    </w:p>
    <w:p w14:paraId="2958DA2B" w14:textId="77777777" w:rsidR="00206CF1" w:rsidRDefault="00206CF1" w:rsidP="00206CF1">
      <w:pPr>
        <w:spacing w:line="240" w:lineRule="auto"/>
        <w:rPr>
          <w:rFonts w:eastAsia="Times New Roman" w:cs="Arial"/>
          <w:b/>
          <w:bCs/>
          <w:color w:val="000000"/>
          <w:lang w:eastAsia="bg-BG"/>
        </w:rPr>
      </w:pPr>
    </w:p>
    <w:p w14:paraId="017D4434" w14:textId="038F3E62" w:rsidR="00206CF1" w:rsidRPr="00206CF1" w:rsidRDefault="00206CF1" w:rsidP="00206CF1">
      <w:pPr>
        <w:spacing w:line="240" w:lineRule="auto"/>
        <w:rPr>
          <w:rFonts w:eastAsia="Times New Roman" w:cs="Arial"/>
          <w:lang w:eastAsia="bg-BG"/>
        </w:rPr>
      </w:pPr>
      <w:r w:rsidRPr="00206CF1">
        <w:rPr>
          <w:rFonts w:eastAsia="Times New Roman" w:cs="Arial"/>
          <w:b/>
          <w:bCs/>
          <w:color w:val="000000"/>
          <w:lang w:eastAsia="bg-BG"/>
        </w:rPr>
        <w:t xml:space="preserve">Таблица 3: Параметри на ефикасност при </w:t>
      </w:r>
      <w:proofErr w:type="spellStart"/>
      <w:r w:rsidRPr="00206CF1">
        <w:rPr>
          <w:rFonts w:eastAsia="Times New Roman" w:cs="Arial"/>
          <w:b/>
          <w:bCs/>
          <w:color w:val="000000"/>
          <w:lang w:val="en-US"/>
        </w:rPr>
        <w:t>HBeAg</w:t>
      </w:r>
      <w:proofErr w:type="spellEnd"/>
      <w:r w:rsidRPr="00206CF1">
        <w:rPr>
          <w:rFonts w:eastAsia="Times New Roman" w:cs="Arial"/>
          <w:b/>
          <w:bCs/>
          <w:color w:val="000000"/>
          <w:lang w:val="en-US"/>
        </w:rPr>
        <w:t xml:space="preserve"> </w:t>
      </w:r>
      <w:r w:rsidRPr="00206CF1">
        <w:rPr>
          <w:rFonts w:eastAsia="Times New Roman" w:cs="Arial"/>
          <w:b/>
          <w:bCs/>
          <w:color w:val="000000"/>
          <w:lang w:eastAsia="bg-BG"/>
        </w:rPr>
        <w:t xml:space="preserve">негативни и </w:t>
      </w:r>
      <w:proofErr w:type="spellStart"/>
      <w:r w:rsidRPr="00206CF1">
        <w:rPr>
          <w:rFonts w:eastAsia="Times New Roman" w:cs="Arial"/>
          <w:b/>
          <w:bCs/>
          <w:color w:val="000000"/>
          <w:lang w:val="en-US"/>
        </w:rPr>
        <w:t>HBeAg</w:t>
      </w:r>
      <w:proofErr w:type="spellEnd"/>
      <w:r w:rsidRPr="00206CF1">
        <w:rPr>
          <w:rFonts w:eastAsia="Times New Roman" w:cs="Arial"/>
          <w:b/>
          <w:bCs/>
          <w:color w:val="000000"/>
          <w:lang w:val="en-US"/>
        </w:rPr>
        <w:t xml:space="preserve"> </w:t>
      </w:r>
      <w:r w:rsidRPr="00206CF1">
        <w:rPr>
          <w:rFonts w:eastAsia="Times New Roman" w:cs="Arial"/>
          <w:b/>
          <w:bCs/>
          <w:color w:val="000000"/>
          <w:lang w:eastAsia="bg-BG"/>
        </w:rPr>
        <w:t>позитивни компенсирани пациенти през седмица 48</w:t>
      </w:r>
    </w:p>
    <w:tbl>
      <w:tblPr>
        <w:tblStyle w:val="TableGrid"/>
        <w:tblW w:w="0" w:type="auto"/>
        <w:tblLook w:val="04A0" w:firstRow="1" w:lastRow="0" w:firstColumn="1" w:lastColumn="0" w:noHBand="0" w:noVBand="1"/>
      </w:tblPr>
      <w:tblGrid>
        <w:gridCol w:w="2505"/>
        <w:gridCol w:w="1549"/>
        <w:gridCol w:w="1755"/>
        <w:gridCol w:w="1786"/>
        <w:gridCol w:w="1755"/>
      </w:tblGrid>
      <w:tr w:rsidR="00206CF1" w14:paraId="75A3F844" w14:textId="77777777" w:rsidTr="00206CF1">
        <w:tc>
          <w:tcPr>
            <w:tcW w:w="2505" w:type="dxa"/>
          </w:tcPr>
          <w:p w14:paraId="509724C2" w14:textId="77777777" w:rsidR="00206CF1" w:rsidRDefault="00206CF1" w:rsidP="00206CF1">
            <w:pPr>
              <w:rPr>
                <w:rFonts w:cs="Arial"/>
                <w:lang w:val="en-US"/>
              </w:rPr>
            </w:pPr>
          </w:p>
        </w:tc>
        <w:tc>
          <w:tcPr>
            <w:tcW w:w="3391" w:type="dxa"/>
            <w:gridSpan w:val="2"/>
          </w:tcPr>
          <w:p w14:paraId="6BDFC67B" w14:textId="79F0CA09" w:rsidR="00206CF1" w:rsidRPr="00206CF1" w:rsidRDefault="00206CF1" w:rsidP="00206CF1">
            <w:pPr>
              <w:rPr>
                <w:rFonts w:cs="Arial"/>
                <w:lang w:val="en-US"/>
              </w:rPr>
            </w:pPr>
            <w:r w:rsidRPr="00206CF1">
              <w:rPr>
                <w:b/>
                <w:bCs/>
              </w:rPr>
              <w:t xml:space="preserve">Проучване 174-0102 </w:t>
            </w:r>
            <w:r w:rsidRPr="00206CF1">
              <w:rPr>
                <w:b/>
                <w:bCs/>
                <w:lang w:val="en-US"/>
              </w:rPr>
              <w:t>(</w:t>
            </w:r>
            <w:proofErr w:type="spellStart"/>
            <w:r w:rsidRPr="00206CF1">
              <w:rPr>
                <w:b/>
                <w:bCs/>
                <w:lang w:val="en-US"/>
              </w:rPr>
              <w:t>HBeAg</w:t>
            </w:r>
            <w:proofErr w:type="spellEnd"/>
            <w:r w:rsidRPr="00206CF1">
              <w:rPr>
                <w:b/>
                <w:bCs/>
                <w:lang w:val="en-US"/>
              </w:rPr>
              <w:t xml:space="preserve"> </w:t>
            </w:r>
            <w:r w:rsidRPr="00206CF1">
              <w:rPr>
                <w:b/>
                <w:bCs/>
              </w:rPr>
              <w:lastRenderedPageBreak/>
              <w:t>негативни)</w:t>
            </w:r>
          </w:p>
        </w:tc>
        <w:tc>
          <w:tcPr>
            <w:tcW w:w="3680" w:type="dxa"/>
            <w:gridSpan w:val="2"/>
          </w:tcPr>
          <w:p w14:paraId="40F0EC3F" w14:textId="2583A778" w:rsidR="00206CF1" w:rsidRPr="00206CF1" w:rsidRDefault="00206CF1" w:rsidP="00206CF1">
            <w:pPr>
              <w:rPr>
                <w:rFonts w:cs="Arial"/>
                <w:lang w:val="en-US"/>
              </w:rPr>
            </w:pPr>
            <w:r w:rsidRPr="00206CF1">
              <w:rPr>
                <w:b/>
                <w:bCs/>
              </w:rPr>
              <w:lastRenderedPageBreak/>
              <w:t xml:space="preserve">Проучване 174-0103 </w:t>
            </w:r>
            <w:r w:rsidRPr="00206CF1">
              <w:rPr>
                <w:b/>
                <w:bCs/>
                <w:lang w:val="en-US"/>
              </w:rPr>
              <w:t>(</w:t>
            </w:r>
            <w:proofErr w:type="spellStart"/>
            <w:r w:rsidRPr="00206CF1">
              <w:rPr>
                <w:b/>
                <w:bCs/>
                <w:lang w:val="en-US"/>
              </w:rPr>
              <w:t>HBeAg</w:t>
            </w:r>
            <w:proofErr w:type="spellEnd"/>
            <w:r w:rsidRPr="00206CF1">
              <w:rPr>
                <w:b/>
                <w:bCs/>
                <w:lang w:val="en-US"/>
              </w:rPr>
              <w:t xml:space="preserve"> </w:t>
            </w:r>
            <w:r w:rsidRPr="00206CF1">
              <w:rPr>
                <w:b/>
                <w:bCs/>
              </w:rPr>
              <w:lastRenderedPageBreak/>
              <w:t>позитивни)</w:t>
            </w:r>
          </w:p>
        </w:tc>
      </w:tr>
      <w:tr w:rsidR="00206CF1" w14:paraId="2CEE2EE1" w14:textId="77777777" w:rsidTr="00206CF1">
        <w:tc>
          <w:tcPr>
            <w:tcW w:w="2505" w:type="dxa"/>
          </w:tcPr>
          <w:p w14:paraId="2E782F35" w14:textId="0475E6FC" w:rsidR="00206CF1" w:rsidRPr="00206CF1" w:rsidRDefault="00206CF1" w:rsidP="00206CF1">
            <w:pPr>
              <w:rPr>
                <w:rFonts w:cs="Arial"/>
                <w:lang w:val="en-US"/>
              </w:rPr>
            </w:pPr>
            <w:r w:rsidRPr="00206CF1">
              <w:lastRenderedPageBreak/>
              <w:t>Параметър</w:t>
            </w:r>
          </w:p>
        </w:tc>
        <w:tc>
          <w:tcPr>
            <w:tcW w:w="1558" w:type="dxa"/>
          </w:tcPr>
          <w:p w14:paraId="53B7CA50" w14:textId="3A2AF271" w:rsidR="00206CF1" w:rsidRPr="00206CF1" w:rsidRDefault="00206CF1" w:rsidP="00206CF1">
            <w:pPr>
              <w:rPr>
                <w:rFonts w:cs="Arial"/>
                <w:lang w:val="en-US"/>
              </w:rPr>
            </w:pPr>
            <w:r w:rsidRPr="00206CF1">
              <w:t xml:space="preserve">Тенофовир дизопроксил 245 </w:t>
            </w:r>
            <w:r w:rsidRPr="00206CF1">
              <w:rPr>
                <w:lang w:val="en-US"/>
              </w:rPr>
              <w:t>mg n</w:t>
            </w:r>
            <w:r w:rsidRPr="00206CF1">
              <w:t>= 250</w:t>
            </w:r>
          </w:p>
        </w:tc>
        <w:tc>
          <w:tcPr>
            <w:tcW w:w="1833" w:type="dxa"/>
          </w:tcPr>
          <w:p w14:paraId="4CD93288" w14:textId="1CA3A8ED" w:rsidR="00206CF1" w:rsidRPr="00206CF1" w:rsidRDefault="00206CF1" w:rsidP="00206CF1">
            <w:pPr>
              <w:rPr>
                <w:rFonts w:cs="Arial"/>
                <w:lang w:val="en-US"/>
              </w:rPr>
            </w:pPr>
            <w:r w:rsidRPr="00206CF1">
              <w:t xml:space="preserve">Адефовир дипивоксил 10 </w:t>
            </w:r>
            <w:r w:rsidRPr="00206CF1">
              <w:rPr>
                <w:lang w:val="en-US"/>
              </w:rPr>
              <w:t>mg n</w:t>
            </w:r>
            <w:r w:rsidRPr="00206CF1">
              <w:t>= 125</w:t>
            </w:r>
          </w:p>
        </w:tc>
        <w:tc>
          <w:tcPr>
            <w:tcW w:w="1847" w:type="dxa"/>
          </w:tcPr>
          <w:p w14:paraId="43747295" w14:textId="4D9457B3" w:rsidR="00206CF1" w:rsidRPr="00206CF1" w:rsidRDefault="00206CF1" w:rsidP="00206CF1">
            <w:pPr>
              <w:rPr>
                <w:rFonts w:cs="Arial"/>
                <w:lang w:val="en-US"/>
              </w:rPr>
            </w:pPr>
            <w:r w:rsidRPr="00206CF1">
              <w:t xml:space="preserve">Тенофовир дизопроксил 145 </w:t>
            </w:r>
            <w:r w:rsidRPr="00206CF1">
              <w:rPr>
                <w:lang w:val="en-US"/>
              </w:rPr>
              <w:t>mg n</w:t>
            </w:r>
            <w:r w:rsidRPr="00206CF1">
              <w:t>= 176</w:t>
            </w:r>
          </w:p>
        </w:tc>
        <w:tc>
          <w:tcPr>
            <w:tcW w:w="1833" w:type="dxa"/>
          </w:tcPr>
          <w:p w14:paraId="655C9C89" w14:textId="4EF5526E" w:rsidR="00206CF1" w:rsidRPr="00206CF1" w:rsidRDefault="00206CF1" w:rsidP="00206CF1">
            <w:pPr>
              <w:rPr>
                <w:rFonts w:cs="Arial"/>
                <w:lang w:val="en-US"/>
              </w:rPr>
            </w:pPr>
            <w:r w:rsidRPr="00206CF1">
              <w:t xml:space="preserve">Адефовир дипивоксил 10 </w:t>
            </w:r>
            <w:r w:rsidRPr="00206CF1">
              <w:rPr>
                <w:lang w:val="en-US"/>
              </w:rPr>
              <w:t>mg n = 90</w:t>
            </w:r>
          </w:p>
        </w:tc>
      </w:tr>
      <w:tr w:rsidR="00206CF1" w14:paraId="542D40EE" w14:textId="77777777" w:rsidTr="00206CF1">
        <w:tc>
          <w:tcPr>
            <w:tcW w:w="2505" w:type="dxa"/>
          </w:tcPr>
          <w:p w14:paraId="488931EC" w14:textId="34682F16" w:rsidR="00206CF1" w:rsidRPr="00206CF1" w:rsidRDefault="00206CF1" w:rsidP="00206CF1">
            <w:pPr>
              <w:rPr>
                <w:rFonts w:cs="Arial"/>
                <w:lang w:val="en-US"/>
              </w:rPr>
            </w:pPr>
            <w:r w:rsidRPr="00206CF1">
              <w:rPr>
                <w:b/>
                <w:bCs/>
              </w:rPr>
              <w:t>Пълен отговор (%)</w:t>
            </w:r>
            <w:r w:rsidRPr="00206CF1">
              <w:rPr>
                <w:b/>
                <w:bCs/>
                <w:vertAlign w:val="superscript"/>
              </w:rPr>
              <w:t>а</w:t>
            </w:r>
          </w:p>
        </w:tc>
        <w:tc>
          <w:tcPr>
            <w:tcW w:w="1558" w:type="dxa"/>
          </w:tcPr>
          <w:p w14:paraId="524D0FD0" w14:textId="1BE332C4" w:rsidR="00206CF1" w:rsidRPr="00206CF1" w:rsidRDefault="00206CF1" w:rsidP="00206CF1">
            <w:pPr>
              <w:rPr>
                <w:rFonts w:cs="Arial"/>
                <w:lang w:val="en-US"/>
              </w:rPr>
            </w:pPr>
            <w:r w:rsidRPr="00206CF1">
              <w:t>71*</w:t>
            </w:r>
          </w:p>
        </w:tc>
        <w:tc>
          <w:tcPr>
            <w:tcW w:w="1833" w:type="dxa"/>
          </w:tcPr>
          <w:p w14:paraId="716479AC" w14:textId="761F3F86" w:rsidR="00206CF1" w:rsidRPr="00206CF1" w:rsidRDefault="00206CF1" w:rsidP="00206CF1">
            <w:pPr>
              <w:rPr>
                <w:rFonts w:cs="Arial"/>
                <w:lang w:val="en-US"/>
              </w:rPr>
            </w:pPr>
            <w:r w:rsidRPr="00206CF1">
              <w:t>49</w:t>
            </w:r>
          </w:p>
        </w:tc>
        <w:tc>
          <w:tcPr>
            <w:tcW w:w="1847" w:type="dxa"/>
          </w:tcPr>
          <w:p w14:paraId="369CB6E4" w14:textId="27D4EBF8" w:rsidR="00206CF1" w:rsidRPr="00206CF1" w:rsidRDefault="00206CF1" w:rsidP="00206CF1">
            <w:pPr>
              <w:rPr>
                <w:rFonts w:cs="Arial"/>
                <w:lang w:val="en-US"/>
              </w:rPr>
            </w:pPr>
            <w:r w:rsidRPr="00206CF1">
              <w:t>67*</w:t>
            </w:r>
          </w:p>
        </w:tc>
        <w:tc>
          <w:tcPr>
            <w:tcW w:w="1833" w:type="dxa"/>
          </w:tcPr>
          <w:p w14:paraId="352128F6" w14:textId="2E6D5F56" w:rsidR="00206CF1" w:rsidRPr="00206CF1" w:rsidRDefault="00206CF1" w:rsidP="00206CF1">
            <w:pPr>
              <w:rPr>
                <w:rFonts w:cs="Arial"/>
                <w:lang w:val="en-US"/>
              </w:rPr>
            </w:pPr>
            <w:r w:rsidRPr="00206CF1">
              <w:t>12</w:t>
            </w:r>
          </w:p>
        </w:tc>
      </w:tr>
      <w:tr w:rsidR="00206CF1" w14:paraId="3745F1DE" w14:textId="77777777" w:rsidTr="00206CF1">
        <w:tc>
          <w:tcPr>
            <w:tcW w:w="2505" w:type="dxa"/>
          </w:tcPr>
          <w:p w14:paraId="34EF42B4" w14:textId="77777777" w:rsidR="00206CF1" w:rsidRPr="00206CF1" w:rsidRDefault="00206CF1" w:rsidP="00206CF1">
            <w:r w:rsidRPr="00206CF1">
              <w:rPr>
                <w:b/>
                <w:bCs/>
              </w:rPr>
              <w:t>Хистология</w:t>
            </w:r>
          </w:p>
          <w:p w14:paraId="6720C2F3" w14:textId="59DED2C6" w:rsidR="00206CF1" w:rsidRPr="00206CF1" w:rsidRDefault="00206CF1" w:rsidP="00206CF1">
            <w:pPr>
              <w:rPr>
                <w:rFonts w:cs="Arial"/>
                <w:lang w:val="en-US"/>
              </w:rPr>
            </w:pPr>
            <w:r w:rsidRPr="00206CF1">
              <w:t>Хистологичен отговор (%)</w:t>
            </w:r>
            <w:r w:rsidRPr="00206CF1">
              <w:rPr>
                <w:vertAlign w:val="superscript"/>
              </w:rPr>
              <w:t>6</w:t>
            </w:r>
          </w:p>
        </w:tc>
        <w:tc>
          <w:tcPr>
            <w:tcW w:w="1558" w:type="dxa"/>
          </w:tcPr>
          <w:p w14:paraId="6EE3D1F8" w14:textId="5448D889" w:rsidR="00206CF1" w:rsidRPr="00206CF1" w:rsidRDefault="00206CF1" w:rsidP="00206CF1">
            <w:pPr>
              <w:rPr>
                <w:rFonts w:cs="Arial"/>
                <w:lang w:val="en-US"/>
              </w:rPr>
            </w:pPr>
            <w:r w:rsidRPr="00206CF1">
              <w:t>72</w:t>
            </w:r>
          </w:p>
        </w:tc>
        <w:tc>
          <w:tcPr>
            <w:tcW w:w="1833" w:type="dxa"/>
          </w:tcPr>
          <w:p w14:paraId="34FB144D" w14:textId="09A7DB1C" w:rsidR="00206CF1" w:rsidRPr="00206CF1" w:rsidRDefault="00206CF1" w:rsidP="00206CF1">
            <w:pPr>
              <w:rPr>
                <w:rFonts w:cs="Arial"/>
                <w:lang w:val="en-US"/>
              </w:rPr>
            </w:pPr>
            <w:r w:rsidRPr="00206CF1">
              <w:t>69</w:t>
            </w:r>
          </w:p>
        </w:tc>
        <w:tc>
          <w:tcPr>
            <w:tcW w:w="1847" w:type="dxa"/>
          </w:tcPr>
          <w:p w14:paraId="1F469588" w14:textId="078D84C3" w:rsidR="00206CF1" w:rsidRPr="00206CF1" w:rsidRDefault="00206CF1" w:rsidP="00206CF1">
            <w:pPr>
              <w:rPr>
                <w:rFonts w:cs="Arial"/>
                <w:lang w:val="en-US"/>
              </w:rPr>
            </w:pPr>
            <w:r w:rsidRPr="00206CF1">
              <w:rPr>
                <w:vertAlign w:val="superscript"/>
              </w:rPr>
              <w:t>74</w:t>
            </w:r>
          </w:p>
        </w:tc>
        <w:tc>
          <w:tcPr>
            <w:tcW w:w="1833" w:type="dxa"/>
          </w:tcPr>
          <w:p w14:paraId="71E347CA" w14:textId="5B2ADA2C" w:rsidR="00206CF1" w:rsidRPr="00206CF1" w:rsidRDefault="00206CF1" w:rsidP="00206CF1">
            <w:pPr>
              <w:rPr>
                <w:rFonts w:cs="Arial"/>
                <w:lang w:val="en-US"/>
              </w:rPr>
            </w:pPr>
            <w:r w:rsidRPr="00206CF1">
              <w:t>68</w:t>
            </w:r>
          </w:p>
        </w:tc>
      </w:tr>
      <w:tr w:rsidR="00206CF1" w14:paraId="4E3D15F0" w14:textId="77777777" w:rsidTr="00206CF1">
        <w:tc>
          <w:tcPr>
            <w:tcW w:w="2505" w:type="dxa"/>
          </w:tcPr>
          <w:p w14:paraId="115C9144" w14:textId="16009FB5" w:rsidR="00206CF1" w:rsidRPr="00206CF1" w:rsidRDefault="00206CF1" w:rsidP="00206CF1">
            <w:pPr>
              <w:rPr>
                <w:rFonts w:cs="Arial"/>
                <w:lang w:val="en-US"/>
              </w:rPr>
            </w:pPr>
            <w:r w:rsidRPr="00206CF1">
              <w:rPr>
                <w:b/>
                <w:bCs/>
              </w:rPr>
              <w:t xml:space="preserve">Медиана на понижение на нивата на </w:t>
            </w:r>
            <w:r w:rsidRPr="00206CF1">
              <w:rPr>
                <w:b/>
                <w:bCs/>
                <w:lang w:val="en-US"/>
              </w:rPr>
              <w:t xml:space="preserve">HBV </w:t>
            </w:r>
            <w:r w:rsidRPr="00206CF1">
              <w:rPr>
                <w:b/>
                <w:bCs/>
              </w:rPr>
              <w:t>ДНК спрямо изходните</w:t>
            </w:r>
            <w:r w:rsidRPr="00206CF1">
              <w:rPr>
                <w:b/>
                <w:bCs/>
                <w:vertAlign w:val="superscript"/>
              </w:rPr>
              <w:t>в</w:t>
            </w:r>
          </w:p>
        </w:tc>
        <w:tc>
          <w:tcPr>
            <w:tcW w:w="1558" w:type="dxa"/>
          </w:tcPr>
          <w:p w14:paraId="273D9959" w14:textId="30FB8E70" w:rsidR="00206CF1" w:rsidRPr="00206CF1" w:rsidRDefault="00206CF1" w:rsidP="00206CF1">
            <w:pPr>
              <w:rPr>
                <w:rFonts w:cs="Arial"/>
                <w:lang w:val="en-US"/>
              </w:rPr>
            </w:pPr>
            <w:r w:rsidRPr="00206CF1">
              <w:t>-4,7*</w:t>
            </w:r>
          </w:p>
        </w:tc>
        <w:tc>
          <w:tcPr>
            <w:tcW w:w="1833" w:type="dxa"/>
          </w:tcPr>
          <w:p w14:paraId="0130B54A" w14:textId="3D94348E" w:rsidR="00206CF1" w:rsidRPr="00206CF1" w:rsidRDefault="00206CF1" w:rsidP="00206CF1">
            <w:pPr>
              <w:rPr>
                <w:rFonts w:cs="Arial"/>
                <w:lang w:val="en-US"/>
              </w:rPr>
            </w:pPr>
            <w:r w:rsidRPr="00206CF1">
              <w:t>-4,0</w:t>
            </w:r>
          </w:p>
        </w:tc>
        <w:tc>
          <w:tcPr>
            <w:tcW w:w="1847" w:type="dxa"/>
          </w:tcPr>
          <w:p w14:paraId="44A79613" w14:textId="79B10B91" w:rsidR="00206CF1" w:rsidRPr="00206CF1" w:rsidRDefault="00206CF1" w:rsidP="00206CF1">
            <w:pPr>
              <w:rPr>
                <w:rFonts w:cs="Arial"/>
                <w:lang w:val="en-US"/>
              </w:rPr>
            </w:pPr>
            <w:r w:rsidRPr="00206CF1">
              <w:t>-6,4*</w:t>
            </w:r>
          </w:p>
        </w:tc>
        <w:tc>
          <w:tcPr>
            <w:tcW w:w="1833" w:type="dxa"/>
          </w:tcPr>
          <w:p w14:paraId="6C352799" w14:textId="1815ADAB" w:rsidR="00206CF1" w:rsidRPr="00206CF1" w:rsidRDefault="00206CF1" w:rsidP="00206CF1">
            <w:pPr>
              <w:rPr>
                <w:rFonts w:cs="Arial"/>
                <w:lang w:val="en-US"/>
              </w:rPr>
            </w:pPr>
            <w:r w:rsidRPr="00206CF1">
              <w:t>-3,7</w:t>
            </w:r>
          </w:p>
        </w:tc>
      </w:tr>
      <w:tr w:rsidR="00206CF1" w14:paraId="71F2EAF3" w14:textId="77777777" w:rsidTr="00206CF1">
        <w:tc>
          <w:tcPr>
            <w:tcW w:w="2505" w:type="dxa"/>
          </w:tcPr>
          <w:p w14:paraId="12B4337E" w14:textId="77777777" w:rsidR="00206CF1" w:rsidRPr="00206CF1" w:rsidRDefault="00206CF1" w:rsidP="00206CF1">
            <w:r w:rsidRPr="00206CF1">
              <w:rPr>
                <w:b/>
                <w:bCs/>
                <w:lang w:val="en-US"/>
              </w:rPr>
              <w:t xml:space="preserve">HBV </w:t>
            </w:r>
            <w:r w:rsidRPr="00206CF1">
              <w:rPr>
                <w:b/>
                <w:bCs/>
              </w:rPr>
              <w:t>ДНК (%)</w:t>
            </w:r>
          </w:p>
          <w:p w14:paraId="187F6DAF" w14:textId="26282F5C" w:rsidR="00206CF1" w:rsidRPr="00206CF1" w:rsidRDefault="00206CF1" w:rsidP="00206CF1">
            <w:pPr>
              <w:rPr>
                <w:rFonts w:cs="Arial"/>
                <w:lang w:val="en-US"/>
              </w:rPr>
            </w:pPr>
            <w:r w:rsidRPr="00206CF1">
              <w:t>&lt; 400 копия</w:t>
            </w:r>
            <w:r w:rsidRPr="00206CF1">
              <w:rPr>
                <w:lang w:val="en-US"/>
              </w:rPr>
              <w:t xml:space="preserve">/ml </w:t>
            </w:r>
            <w:r w:rsidRPr="00206CF1">
              <w:t xml:space="preserve">(&lt; 69 </w:t>
            </w:r>
            <w:r w:rsidRPr="00206CF1">
              <w:rPr>
                <w:lang w:val="en-US"/>
              </w:rPr>
              <w:t>IU/ml)</w:t>
            </w:r>
          </w:p>
        </w:tc>
        <w:tc>
          <w:tcPr>
            <w:tcW w:w="1558" w:type="dxa"/>
          </w:tcPr>
          <w:p w14:paraId="6B9F8FB7" w14:textId="6EAD93F1" w:rsidR="00206CF1" w:rsidRPr="00206CF1" w:rsidRDefault="00206CF1" w:rsidP="00206CF1">
            <w:pPr>
              <w:rPr>
                <w:rFonts w:cs="Arial"/>
                <w:lang w:val="en-US"/>
              </w:rPr>
            </w:pPr>
            <w:r w:rsidRPr="00206CF1">
              <w:t>93*</w:t>
            </w:r>
          </w:p>
        </w:tc>
        <w:tc>
          <w:tcPr>
            <w:tcW w:w="1833" w:type="dxa"/>
          </w:tcPr>
          <w:p w14:paraId="635941B6" w14:textId="1411753F" w:rsidR="00206CF1" w:rsidRPr="00206CF1" w:rsidRDefault="00206CF1" w:rsidP="00206CF1">
            <w:pPr>
              <w:rPr>
                <w:rFonts w:cs="Arial"/>
                <w:lang w:val="en-US"/>
              </w:rPr>
            </w:pPr>
            <w:r w:rsidRPr="00206CF1">
              <w:t>63</w:t>
            </w:r>
          </w:p>
        </w:tc>
        <w:tc>
          <w:tcPr>
            <w:tcW w:w="1847" w:type="dxa"/>
          </w:tcPr>
          <w:p w14:paraId="723AC20C" w14:textId="7CCBAC8D" w:rsidR="00206CF1" w:rsidRPr="00206CF1" w:rsidRDefault="00206CF1" w:rsidP="00206CF1">
            <w:pPr>
              <w:rPr>
                <w:rFonts w:cs="Arial"/>
                <w:lang w:val="en-US"/>
              </w:rPr>
            </w:pPr>
            <w:r w:rsidRPr="00206CF1">
              <w:t xml:space="preserve"> 76*</w:t>
            </w:r>
          </w:p>
        </w:tc>
        <w:tc>
          <w:tcPr>
            <w:tcW w:w="1833" w:type="dxa"/>
          </w:tcPr>
          <w:p w14:paraId="53334BE1" w14:textId="2CA7A60B" w:rsidR="00206CF1" w:rsidRPr="00206CF1" w:rsidRDefault="00206CF1" w:rsidP="00206CF1">
            <w:pPr>
              <w:rPr>
                <w:rFonts w:cs="Arial"/>
                <w:lang w:val="en-US"/>
              </w:rPr>
            </w:pPr>
            <w:r w:rsidRPr="00206CF1">
              <w:t>13</w:t>
            </w:r>
          </w:p>
        </w:tc>
      </w:tr>
      <w:tr w:rsidR="00206CF1" w14:paraId="2CAF8BCF" w14:textId="77777777" w:rsidTr="00206CF1">
        <w:tc>
          <w:tcPr>
            <w:tcW w:w="2505" w:type="dxa"/>
          </w:tcPr>
          <w:p w14:paraId="3699C18C" w14:textId="77777777" w:rsidR="00206CF1" w:rsidRPr="00206CF1" w:rsidRDefault="00206CF1" w:rsidP="00206CF1">
            <w:r w:rsidRPr="00206CF1">
              <w:rPr>
                <w:b/>
                <w:bCs/>
                <w:lang w:val="en-US"/>
              </w:rPr>
              <w:t xml:space="preserve">ALT </w:t>
            </w:r>
            <w:r w:rsidRPr="00206CF1">
              <w:rPr>
                <w:b/>
                <w:bCs/>
              </w:rPr>
              <w:t>(%)</w:t>
            </w:r>
          </w:p>
          <w:p w14:paraId="0F2C61EB" w14:textId="43A2F1A0" w:rsidR="00206CF1" w:rsidRPr="00206CF1" w:rsidRDefault="00206CF1" w:rsidP="00206CF1">
            <w:pPr>
              <w:rPr>
                <w:rFonts w:cs="Arial"/>
                <w:lang w:val="en-US"/>
              </w:rPr>
            </w:pPr>
            <w:r w:rsidRPr="00206CF1">
              <w:t>Нормализирани нива на</w:t>
            </w:r>
          </w:p>
        </w:tc>
        <w:tc>
          <w:tcPr>
            <w:tcW w:w="1558" w:type="dxa"/>
          </w:tcPr>
          <w:p w14:paraId="34B52EBE" w14:textId="5D1C51D4" w:rsidR="00206CF1" w:rsidRPr="00206CF1" w:rsidRDefault="00206CF1" w:rsidP="00206CF1">
            <w:pPr>
              <w:rPr>
                <w:rFonts w:cs="Arial"/>
                <w:lang w:val="en-US"/>
              </w:rPr>
            </w:pPr>
            <w:r w:rsidRPr="00206CF1">
              <w:t>76</w:t>
            </w:r>
          </w:p>
        </w:tc>
        <w:tc>
          <w:tcPr>
            <w:tcW w:w="1833" w:type="dxa"/>
          </w:tcPr>
          <w:p w14:paraId="25CEF59C" w14:textId="227C0F87" w:rsidR="00206CF1" w:rsidRPr="00206CF1" w:rsidRDefault="00206CF1" w:rsidP="00206CF1">
            <w:pPr>
              <w:rPr>
                <w:rFonts w:cs="Arial"/>
                <w:lang w:val="en-US"/>
              </w:rPr>
            </w:pPr>
            <w:r w:rsidRPr="00206CF1">
              <w:t>77</w:t>
            </w:r>
          </w:p>
        </w:tc>
        <w:tc>
          <w:tcPr>
            <w:tcW w:w="1847" w:type="dxa"/>
          </w:tcPr>
          <w:p w14:paraId="0FB11932" w14:textId="0C6C7BE6" w:rsidR="00206CF1" w:rsidRPr="00206CF1" w:rsidRDefault="00206CF1" w:rsidP="00206CF1">
            <w:pPr>
              <w:rPr>
                <w:rFonts w:cs="Arial"/>
                <w:lang w:val="en-US"/>
              </w:rPr>
            </w:pPr>
            <w:r w:rsidRPr="00206CF1">
              <w:t>68*</w:t>
            </w:r>
          </w:p>
        </w:tc>
        <w:tc>
          <w:tcPr>
            <w:tcW w:w="1833" w:type="dxa"/>
          </w:tcPr>
          <w:p w14:paraId="18205D7F" w14:textId="38D9CF77" w:rsidR="00206CF1" w:rsidRPr="00206CF1" w:rsidRDefault="00206CF1" w:rsidP="00206CF1">
            <w:pPr>
              <w:rPr>
                <w:rFonts w:cs="Arial"/>
                <w:lang w:val="en-US"/>
              </w:rPr>
            </w:pPr>
            <w:r w:rsidRPr="00206CF1">
              <w:t>54</w:t>
            </w:r>
          </w:p>
        </w:tc>
      </w:tr>
      <w:tr w:rsidR="00206CF1" w14:paraId="4E0F9A68" w14:textId="77777777" w:rsidTr="00206CF1">
        <w:tc>
          <w:tcPr>
            <w:tcW w:w="2505" w:type="dxa"/>
          </w:tcPr>
          <w:p w14:paraId="3BBBBA43" w14:textId="77777777" w:rsidR="00206CF1" w:rsidRPr="00206CF1" w:rsidRDefault="00206CF1" w:rsidP="00206CF1">
            <w:r w:rsidRPr="00206CF1">
              <w:rPr>
                <w:b/>
                <w:bCs/>
              </w:rPr>
              <w:t>Серология (%)</w:t>
            </w:r>
          </w:p>
          <w:p w14:paraId="6593404A" w14:textId="2BE57BA7" w:rsidR="00206CF1" w:rsidRPr="00206CF1" w:rsidRDefault="00206CF1" w:rsidP="00206CF1">
            <w:pPr>
              <w:rPr>
                <w:rFonts w:cs="Arial"/>
                <w:lang w:val="en-US"/>
              </w:rPr>
            </w:pPr>
            <w:r w:rsidRPr="00206CF1">
              <w:t>Негативиране на</w:t>
            </w:r>
          </w:p>
        </w:tc>
        <w:tc>
          <w:tcPr>
            <w:tcW w:w="1558" w:type="dxa"/>
          </w:tcPr>
          <w:p w14:paraId="5D164AA5" w14:textId="1DC581F3" w:rsidR="00206CF1" w:rsidRPr="00206CF1" w:rsidRDefault="00206CF1" w:rsidP="00206CF1">
            <w:pPr>
              <w:rPr>
                <w:rFonts w:cs="Arial"/>
                <w:lang w:val="en-US"/>
              </w:rPr>
            </w:pPr>
            <w:r w:rsidRPr="00206CF1">
              <w:rPr>
                <w:lang w:val="en-US"/>
              </w:rPr>
              <w:t>n</w:t>
            </w:r>
            <w:r w:rsidRPr="00206CF1">
              <w:t>/а</w:t>
            </w:r>
          </w:p>
        </w:tc>
        <w:tc>
          <w:tcPr>
            <w:tcW w:w="1833" w:type="dxa"/>
          </w:tcPr>
          <w:p w14:paraId="3B3A8E22" w14:textId="3D16F74F" w:rsidR="00206CF1" w:rsidRPr="00206CF1" w:rsidRDefault="00206CF1" w:rsidP="00206CF1">
            <w:pPr>
              <w:rPr>
                <w:rFonts w:cs="Arial"/>
                <w:lang w:val="en-US"/>
              </w:rPr>
            </w:pPr>
            <w:r w:rsidRPr="00206CF1">
              <w:rPr>
                <w:lang w:val="en-US"/>
              </w:rPr>
              <w:t>n</w:t>
            </w:r>
            <w:r w:rsidRPr="00206CF1">
              <w:t>/а</w:t>
            </w:r>
          </w:p>
        </w:tc>
        <w:tc>
          <w:tcPr>
            <w:tcW w:w="1847" w:type="dxa"/>
          </w:tcPr>
          <w:p w14:paraId="506B814C" w14:textId="351A55BC" w:rsidR="00206CF1" w:rsidRPr="00206CF1" w:rsidRDefault="00206CF1" w:rsidP="00206CF1">
            <w:pPr>
              <w:rPr>
                <w:rFonts w:cs="Arial"/>
                <w:lang w:val="en-US"/>
              </w:rPr>
            </w:pPr>
            <w:r w:rsidRPr="00206CF1">
              <w:t>22/21</w:t>
            </w:r>
          </w:p>
        </w:tc>
        <w:tc>
          <w:tcPr>
            <w:tcW w:w="1833" w:type="dxa"/>
          </w:tcPr>
          <w:p w14:paraId="474C1D5F" w14:textId="4E57E470" w:rsidR="00206CF1" w:rsidRPr="00206CF1" w:rsidRDefault="00206CF1" w:rsidP="00206CF1">
            <w:pPr>
              <w:rPr>
                <w:rFonts w:cs="Arial"/>
                <w:lang w:val="en-US"/>
              </w:rPr>
            </w:pPr>
            <w:r w:rsidRPr="00206CF1">
              <w:t>18/18</w:t>
            </w:r>
          </w:p>
        </w:tc>
      </w:tr>
      <w:tr w:rsidR="00206CF1" w14:paraId="433B2DD7" w14:textId="77777777" w:rsidTr="00206CF1">
        <w:tc>
          <w:tcPr>
            <w:tcW w:w="2505" w:type="dxa"/>
          </w:tcPr>
          <w:p w14:paraId="47A359E7" w14:textId="1CE3800B" w:rsidR="00206CF1" w:rsidRPr="00206CF1" w:rsidRDefault="00206CF1" w:rsidP="00206CF1">
            <w:pPr>
              <w:rPr>
                <w:rFonts w:cs="Arial"/>
                <w:lang w:val="en-US"/>
              </w:rPr>
            </w:pPr>
            <w:proofErr w:type="spellStart"/>
            <w:r w:rsidRPr="00206CF1">
              <w:rPr>
                <w:lang w:val="en-US"/>
              </w:rPr>
              <w:t>HBeAg</w:t>
            </w:r>
            <w:proofErr w:type="spellEnd"/>
            <w:r w:rsidRPr="00206CF1">
              <w:t>/сероконверсия</w:t>
            </w:r>
          </w:p>
        </w:tc>
        <w:tc>
          <w:tcPr>
            <w:tcW w:w="1558" w:type="dxa"/>
          </w:tcPr>
          <w:p w14:paraId="60BCCFC1" w14:textId="5EB3FA4A" w:rsidR="00206CF1" w:rsidRPr="00206CF1" w:rsidRDefault="00206CF1" w:rsidP="00206CF1">
            <w:pPr>
              <w:rPr>
                <w:rFonts w:cs="Arial"/>
                <w:lang w:val="en-US"/>
              </w:rPr>
            </w:pPr>
            <w:r w:rsidRPr="00206CF1">
              <w:t>0/0</w:t>
            </w:r>
          </w:p>
        </w:tc>
        <w:tc>
          <w:tcPr>
            <w:tcW w:w="1833" w:type="dxa"/>
          </w:tcPr>
          <w:p w14:paraId="467AFAFA" w14:textId="3995CFFC" w:rsidR="00206CF1" w:rsidRPr="00206CF1" w:rsidRDefault="00206CF1" w:rsidP="00206CF1">
            <w:pPr>
              <w:rPr>
                <w:rFonts w:cs="Arial"/>
                <w:lang w:val="en-US"/>
              </w:rPr>
            </w:pPr>
            <w:r w:rsidRPr="00206CF1">
              <w:t>0/0</w:t>
            </w:r>
          </w:p>
        </w:tc>
        <w:tc>
          <w:tcPr>
            <w:tcW w:w="1847" w:type="dxa"/>
          </w:tcPr>
          <w:p w14:paraId="76FB16D1" w14:textId="4358CDFD" w:rsidR="00206CF1" w:rsidRPr="00206CF1" w:rsidRDefault="00206CF1" w:rsidP="00206CF1">
            <w:pPr>
              <w:rPr>
                <w:rFonts w:cs="Arial"/>
                <w:lang w:val="en-US"/>
              </w:rPr>
            </w:pPr>
            <w:r w:rsidRPr="00206CF1">
              <w:t>3*/1</w:t>
            </w:r>
          </w:p>
        </w:tc>
        <w:tc>
          <w:tcPr>
            <w:tcW w:w="1833" w:type="dxa"/>
          </w:tcPr>
          <w:p w14:paraId="19A75381" w14:textId="40E33BC6" w:rsidR="00206CF1" w:rsidRPr="00206CF1" w:rsidRDefault="00206CF1" w:rsidP="00206CF1">
            <w:pPr>
              <w:rPr>
                <w:rFonts w:cs="Arial"/>
                <w:lang w:val="en-US"/>
              </w:rPr>
            </w:pPr>
            <w:r w:rsidRPr="00206CF1">
              <w:rPr>
                <w:u w:val="single"/>
              </w:rPr>
              <w:t>0/0</w:t>
            </w:r>
          </w:p>
        </w:tc>
      </w:tr>
    </w:tbl>
    <w:p w14:paraId="2FCD3F14" w14:textId="067067B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*р-стойност срещу адефовир дипивоксил &lt; 0,05.</w:t>
      </w:r>
    </w:p>
    <w:p w14:paraId="0B7A5BF3" w14:textId="77777777" w:rsidR="00206CF1" w:rsidRDefault="00206CF1" w:rsidP="00206CF1">
      <w:pPr>
        <w:spacing w:line="240" w:lineRule="auto"/>
        <w:rPr>
          <w:rFonts w:eastAsia="Times New Roman" w:cs="Arial"/>
          <w:color w:val="000000"/>
          <w:lang w:eastAsia="bg-BG"/>
        </w:rPr>
      </w:pPr>
      <w:r w:rsidRPr="00206CF1">
        <w:rPr>
          <w:rFonts w:eastAsia="Times New Roman" w:cs="Arial"/>
          <w:color w:val="000000"/>
          <w:vertAlign w:val="superscript"/>
          <w:lang w:eastAsia="bg-BG"/>
        </w:rPr>
        <w:t>а</w:t>
      </w:r>
      <w:r w:rsidRPr="00206CF1">
        <w:rPr>
          <w:rFonts w:eastAsia="Times New Roman" w:cs="Arial"/>
          <w:color w:val="000000"/>
          <w:lang w:eastAsia="bg-BG"/>
        </w:rPr>
        <w:t>Пълен отговор, дефиниран като нива на НВV ДНК &lt; 400 копия</w:t>
      </w:r>
      <w:r w:rsidRPr="00206CF1">
        <w:rPr>
          <w:rFonts w:eastAsia="Times New Roman" w:cs="Arial"/>
          <w:color w:val="000000"/>
          <w:lang w:val="en-US"/>
        </w:rPr>
        <w:t xml:space="preserve">/ml </w:t>
      </w:r>
      <w:r w:rsidRPr="00206CF1">
        <w:rPr>
          <w:rFonts w:eastAsia="Times New Roman" w:cs="Arial"/>
          <w:color w:val="000000"/>
          <w:lang w:eastAsia="bg-BG"/>
        </w:rPr>
        <w:t xml:space="preserve">и подобрение на некроинфламаторния скор на </w:t>
      </w:r>
      <w:proofErr w:type="spellStart"/>
      <w:r w:rsidRPr="00206CF1">
        <w:rPr>
          <w:rFonts w:eastAsia="Times New Roman" w:cs="Arial"/>
          <w:color w:val="000000"/>
          <w:lang w:val="en-US"/>
        </w:rPr>
        <w:t>Knodell</w:t>
      </w:r>
      <w:proofErr w:type="spellEnd"/>
      <w:r w:rsidRPr="00206CF1">
        <w:rPr>
          <w:rFonts w:eastAsia="Times New Roman" w:cs="Arial"/>
          <w:color w:val="000000"/>
          <w:lang w:val="en-US"/>
        </w:rPr>
        <w:t xml:space="preserve"> </w:t>
      </w:r>
      <w:r w:rsidRPr="00206CF1">
        <w:rPr>
          <w:rFonts w:eastAsia="Times New Roman" w:cs="Arial"/>
          <w:color w:val="000000"/>
          <w:lang w:eastAsia="bg-BG"/>
        </w:rPr>
        <w:t xml:space="preserve">с поне 2 точки без влошаване на </w:t>
      </w:r>
      <w:proofErr w:type="spellStart"/>
      <w:r w:rsidRPr="00206CF1">
        <w:rPr>
          <w:rFonts w:eastAsia="Times New Roman" w:cs="Arial"/>
          <w:color w:val="000000"/>
          <w:lang w:val="en-US"/>
        </w:rPr>
        <w:t>Knodell</w:t>
      </w:r>
      <w:proofErr w:type="spellEnd"/>
      <w:r w:rsidRPr="00206CF1">
        <w:rPr>
          <w:rFonts w:eastAsia="Times New Roman" w:cs="Arial"/>
          <w:color w:val="000000"/>
          <w:lang w:val="en-US"/>
        </w:rPr>
        <w:t xml:space="preserve"> </w:t>
      </w:r>
      <w:r w:rsidRPr="00206CF1">
        <w:rPr>
          <w:rFonts w:eastAsia="Times New Roman" w:cs="Arial"/>
          <w:color w:val="000000"/>
          <w:lang w:eastAsia="bg-BG"/>
        </w:rPr>
        <w:t xml:space="preserve">скора за фиброза. </w:t>
      </w:r>
    </w:p>
    <w:p w14:paraId="6FF9A639" w14:textId="7026257C"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6</w:t>
      </w:r>
      <w:r w:rsidRPr="00206CF1">
        <w:rPr>
          <w:rFonts w:eastAsia="Times New Roman" w:cs="Arial"/>
          <w:color w:val="000000"/>
          <w:lang w:eastAsia="bg-BG"/>
        </w:rPr>
        <w:t xml:space="preserve">Подобрение на некроинфламаторния скор на </w:t>
      </w:r>
      <w:proofErr w:type="spellStart"/>
      <w:r w:rsidRPr="00206CF1">
        <w:rPr>
          <w:rFonts w:eastAsia="Times New Roman" w:cs="Arial"/>
          <w:color w:val="000000"/>
          <w:lang w:val="en-US"/>
        </w:rPr>
        <w:t>Knodell</w:t>
      </w:r>
      <w:proofErr w:type="spellEnd"/>
      <w:r w:rsidRPr="00206CF1">
        <w:rPr>
          <w:rFonts w:eastAsia="Times New Roman" w:cs="Arial"/>
          <w:color w:val="000000"/>
          <w:lang w:val="en-US"/>
        </w:rPr>
        <w:t xml:space="preserve"> </w:t>
      </w:r>
      <w:r w:rsidRPr="00206CF1">
        <w:rPr>
          <w:rFonts w:eastAsia="Times New Roman" w:cs="Arial"/>
          <w:color w:val="000000"/>
          <w:lang w:eastAsia="bg-BG"/>
        </w:rPr>
        <w:t xml:space="preserve">с поне 2 точки без влошаване на </w:t>
      </w:r>
      <w:proofErr w:type="spellStart"/>
      <w:r w:rsidRPr="00206CF1">
        <w:rPr>
          <w:rFonts w:eastAsia="Times New Roman" w:cs="Arial"/>
          <w:color w:val="000000"/>
          <w:lang w:val="en-US"/>
        </w:rPr>
        <w:t>Knodell</w:t>
      </w:r>
      <w:proofErr w:type="spellEnd"/>
      <w:r w:rsidRPr="00206CF1">
        <w:rPr>
          <w:rFonts w:eastAsia="Times New Roman" w:cs="Arial"/>
          <w:color w:val="000000"/>
          <w:lang w:val="en-US"/>
        </w:rPr>
        <w:t xml:space="preserve"> </w:t>
      </w:r>
      <w:r w:rsidRPr="00206CF1">
        <w:rPr>
          <w:rFonts w:eastAsia="Times New Roman" w:cs="Arial"/>
          <w:color w:val="000000"/>
          <w:lang w:eastAsia="bg-BG"/>
        </w:rPr>
        <w:t>скора за фиброза.</w:t>
      </w:r>
    </w:p>
    <w:p w14:paraId="576ACF3E" w14:textId="50F28771"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в</w:t>
      </w:r>
      <w:r w:rsidRPr="00206CF1">
        <w:rPr>
          <w:rFonts w:eastAsia="Times New Roman" w:cs="Arial"/>
          <w:color w:val="000000"/>
          <w:lang w:eastAsia="bg-BG"/>
        </w:rPr>
        <w:t xml:space="preserve">Медианата на промяна спрямо изходните нива на </w:t>
      </w:r>
      <w:r w:rsidRPr="00206CF1">
        <w:rPr>
          <w:rFonts w:eastAsia="Times New Roman" w:cs="Arial"/>
          <w:color w:val="000000"/>
          <w:lang w:val="en-US"/>
        </w:rPr>
        <w:t xml:space="preserve">HBV </w:t>
      </w:r>
      <w:r w:rsidRPr="00206CF1">
        <w:rPr>
          <w:rFonts w:eastAsia="Times New Roman" w:cs="Arial"/>
          <w:color w:val="000000"/>
          <w:lang w:eastAsia="bg-BG"/>
        </w:rPr>
        <w:t xml:space="preserve">ДНК едва отразява разликата между изходните нива за </w:t>
      </w:r>
      <w:r w:rsidRPr="00206CF1">
        <w:rPr>
          <w:rFonts w:eastAsia="Times New Roman" w:cs="Arial"/>
          <w:color w:val="000000"/>
          <w:lang w:val="en-US"/>
        </w:rPr>
        <w:t xml:space="preserve">HBV </w:t>
      </w:r>
      <w:r w:rsidRPr="00206CF1">
        <w:rPr>
          <w:rFonts w:eastAsia="Times New Roman" w:cs="Arial"/>
          <w:color w:val="000000"/>
          <w:lang w:eastAsia="bg-BG"/>
        </w:rPr>
        <w:t>ДНК и границата на чувствителност на теста.</w:t>
      </w:r>
    </w:p>
    <w:p w14:paraId="379D6526" w14:textId="21478CD5"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г</w:t>
      </w:r>
      <w:r w:rsidRPr="00206CF1">
        <w:rPr>
          <w:rFonts w:eastAsia="Times New Roman" w:cs="Arial"/>
          <w:color w:val="000000"/>
          <w:lang w:eastAsia="bg-BG"/>
        </w:rPr>
        <w:t xml:space="preserve">Популацията, при която е анализирано нормализирането на </w:t>
      </w:r>
      <w:r w:rsidRPr="00206CF1">
        <w:rPr>
          <w:rFonts w:eastAsia="Times New Roman" w:cs="Arial"/>
          <w:color w:val="000000"/>
          <w:lang w:val="en-US"/>
        </w:rPr>
        <w:t xml:space="preserve">ALT, </w:t>
      </w:r>
      <w:r w:rsidRPr="00206CF1">
        <w:rPr>
          <w:rFonts w:eastAsia="Times New Roman" w:cs="Arial"/>
          <w:color w:val="000000"/>
          <w:lang w:eastAsia="bg-BG"/>
        </w:rPr>
        <w:t xml:space="preserve">включва само пациенти с нива на </w:t>
      </w:r>
      <w:r w:rsidRPr="00206CF1">
        <w:rPr>
          <w:rFonts w:eastAsia="Times New Roman" w:cs="Arial"/>
          <w:color w:val="000000"/>
          <w:lang w:val="en-US"/>
        </w:rPr>
        <w:t xml:space="preserve">ALT </w:t>
      </w:r>
      <w:r w:rsidRPr="00206CF1">
        <w:rPr>
          <w:rFonts w:eastAsia="Times New Roman" w:cs="Arial"/>
          <w:color w:val="000000"/>
          <w:lang w:eastAsia="bg-BG"/>
        </w:rPr>
        <w:t>над горната граница на нормата на изходното ниво.</w:t>
      </w:r>
    </w:p>
    <w:p w14:paraId="2C3E44AA" w14:textId="07756572" w:rsidR="00206CF1" w:rsidRPr="00206CF1" w:rsidRDefault="00206CF1" w:rsidP="00206CF1">
      <w:pPr>
        <w:spacing w:line="240" w:lineRule="auto"/>
        <w:rPr>
          <w:rFonts w:eastAsia="Times New Roman" w:cs="Arial"/>
          <w:lang w:eastAsia="bg-BG"/>
        </w:rPr>
      </w:pPr>
      <w:r>
        <w:rPr>
          <w:rFonts w:eastAsia="Times New Roman" w:cs="Arial"/>
          <w:color w:val="000000"/>
          <w:lang w:val="en-US" w:eastAsia="bg-BG"/>
        </w:rPr>
        <w:t>n</w:t>
      </w:r>
      <w:r w:rsidRPr="00206CF1">
        <w:rPr>
          <w:rFonts w:eastAsia="Times New Roman" w:cs="Arial"/>
          <w:color w:val="000000"/>
          <w:lang w:eastAsia="bg-BG"/>
        </w:rPr>
        <w:t>/а = неприложимо.</w:t>
      </w:r>
    </w:p>
    <w:p w14:paraId="40AAA5CE" w14:textId="77777777" w:rsidR="00206CF1" w:rsidRDefault="00206CF1" w:rsidP="00206CF1">
      <w:pPr>
        <w:spacing w:line="240" w:lineRule="auto"/>
        <w:rPr>
          <w:rFonts w:eastAsia="Times New Roman" w:cs="Arial"/>
          <w:color w:val="000000"/>
          <w:lang w:eastAsia="bg-BG"/>
        </w:rPr>
      </w:pPr>
    </w:p>
    <w:p w14:paraId="6BDCE9C6" w14:textId="3DC16E20"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Тенофовир дизопроксил е свързан със значително по-висок дял пациенти с невъзможност за отчитане на </w:t>
      </w:r>
      <w:r w:rsidRPr="00206CF1">
        <w:rPr>
          <w:rFonts w:eastAsia="Times New Roman" w:cs="Arial"/>
          <w:color w:val="000000"/>
          <w:lang w:val="en-US"/>
        </w:rPr>
        <w:t xml:space="preserve">HBV </w:t>
      </w:r>
      <w:r w:rsidRPr="00206CF1">
        <w:rPr>
          <w:rFonts w:eastAsia="Times New Roman" w:cs="Arial"/>
          <w:color w:val="000000"/>
          <w:lang w:eastAsia="bg-BG"/>
        </w:rPr>
        <w:t>ДНК (&lt; 169 копия</w:t>
      </w:r>
      <w:r w:rsidRPr="00206CF1">
        <w:rPr>
          <w:rFonts w:eastAsia="Times New Roman" w:cs="Arial"/>
          <w:color w:val="000000"/>
          <w:lang w:val="en-US"/>
        </w:rPr>
        <w:t xml:space="preserve">/ml </w:t>
      </w:r>
      <w:r w:rsidRPr="00206CF1">
        <w:rPr>
          <w:rFonts w:eastAsia="Times New Roman" w:cs="Arial"/>
          <w:color w:val="000000"/>
          <w:lang w:eastAsia="bg-BG"/>
        </w:rPr>
        <w:t xml:space="preserve">[&lt; 29 </w:t>
      </w:r>
      <w:r w:rsidRPr="00206CF1">
        <w:rPr>
          <w:rFonts w:eastAsia="Times New Roman" w:cs="Arial"/>
          <w:color w:val="000000"/>
          <w:lang w:val="en-US"/>
        </w:rPr>
        <w:t xml:space="preserve">IU/ml]; </w:t>
      </w:r>
      <w:r w:rsidRPr="00206CF1">
        <w:rPr>
          <w:rFonts w:eastAsia="Times New Roman" w:cs="Arial"/>
          <w:color w:val="000000"/>
          <w:lang w:eastAsia="bg-BG"/>
        </w:rPr>
        <w:t xml:space="preserve">границата, до която тестът на </w:t>
      </w:r>
      <w:r w:rsidRPr="00206CF1">
        <w:rPr>
          <w:rFonts w:eastAsia="Times New Roman" w:cs="Arial"/>
          <w:color w:val="000000"/>
          <w:lang w:val="en-US"/>
        </w:rPr>
        <w:t xml:space="preserve">Roche </w:t>
      </w:r>
      <w:proofErr w:type="spellStart"/>
      <w:r w:rsidRPr="00206CF1">
        <w:rPr>
          <w:rFonts w:eastAsia="Times New Roman" w:cs="Arial"/>
          <w:color w:val="000000"/>
          <w:lang w:val="en-US"/>
        </w:rPr>
        <w:t>Cobas</w:t>
      </w:r>
      <w:proofErr w:type="spellEnd"/>
      <w:r w:rsidRPr="00206CF1">
        <w:rPr>
          <w:rFonts w:eastAsia="Times New Roman" w:cs="Arial"/>
          <w:color w:val="000000"/>
          <w:lang w:val="en-US"/>
        </w:rPr>
        <w:t xml:space="preserve"> </w:t>
      </w:r>
      <w:proofErr w:type="spellStart"/>
      <w:r w:rsidRPr="00206CF1">
        <w:rPr>
          <w:rFonts w:eastAsia="Times New Roman" w:cs="Arial"/>
          <w:color w:val="000000"/>
          <w:lang w:val="en-US"/>
        </w:rPr>
        <w:t>Taqman</w:t>
      </w:r>
      <w:proofErr w:type="spellEnd"/>
      <w:r w:rsidRPr="00206CF1">
        <w:rPr>
          <w:rFonts w:eastAsia="Times New Roman" w:cs="Arial"/>
          <w:color w:val="000000"/>
          <w:lang w:val="en-US"/>
        </w:rPr>
        <w:t xml:space="preserve"> </w:t>
      </w:r>
      <w:r w:rsidRPr="00206CF1">
        <w:rPr>
          <w:rFonts w:eastAsia="Times New Roman" w:cs="Arial"/>
          <w:color w:val="000000"/>
          <w:lang w:eastAsia="bg-BG"/>
        </w:rPr>
        <w:t xml:space="preserve">за </w:t>
      </w:r>
      <w:r w:rsidRPr="00206CF1">
        <w:rPr>
          <w:rFonts w:eastAsia="Times New Roman" w:cs="Arial"/>
          <w:color w:val="000000"/>
          <w:lang w:val="en-US"/>
        </w:rPr>
        <w:t xml:space="preserve">HBV </w:t>
      </w:r>
      <w:r w:rsidRPr="00206CF1">
        <w:rPr>
          <w:rFonts w:eastAsia="Times New Roman" w:cs="Arial"/>
          <w:color w:val="000000"/>
          <w:lang w:eastAsia="bg-BG"/>
        </w:rPr>
        <w:t xml:space="preserve">дава количествени резултати), съответно в сравнение с адефовир дипивоксил (проучване </w:t>
      </w:r>
      <w:r w:rsidRPr="00206CF1">
        <w:rPr>
          <w:rFonts w:eastAsia="Times New Roman" w:cs="Arial"/>
          <w:color w:val="000000"/>
          <w:lang w:val="en-US"/>
        </w:rPr>
        <w:t xml:space="preserve">GS-US-174-0102; </w:t>
      </w:r>
      <w:r w:rsidRPr="00206CF1">
        <w:rPr>
          <w:rFonts w:eastAsia="Times New Roman" w:cs="Arial"/>
          <w:color w:val="000000"/>
          <w:lang w:eastAsia="bg-BG"/>
        </w:rPr>
        <w:t xml:space="preserve">91 %, 56 % и проучване </w:t>
      </w:r>
      <w:r w:rsidRPr="00206CF1">
        <w:rPr>
          <w:rFonts w:eastAsia="Times New Roman" w:cs="Arial"/>
          <w:color w:val="000000"/>
          <w:lang w:val="en-US"/>
        </w:rPr>
        <w:t xml:space="preserve">GS-US-174-0103; </w:t>
      </w:r>
      <w:r w:rsidRPr="00206CF1">
        <w:rPr>
          <w:rFonts w:eastAsia="Times New Roman" w:cs="Arial"/>
          <w:color w:val="000000"/>
          <w:lang w:eastAsia="bg-BG"/>
        </w:rPr>
        <w:t>69 %, 9 %).</w:t>
      </w:r>
    </w:p>
    <w:p w14:paraId="534D8D38" w14:textId="77777777" w:rsidR="00206CF1" w:rsidRDefault="00206CF1" w:rsidP="00206CF1">
      <w:pPr>
        <w:spacing w:line="240" w:lineRule="auto"/>
        <w:rPr>
          <w:rFonts w:eastAsia="Times New Roman" w:cs="Arial"/>
          <w:color w:val="000000"/>
          <w:lang w:eastAsia="bg-BG"/>
        </w:rPr>
      </w:pPr>
    </w:p>
    <w:p w14:paraId="15013DBA" w14:textId="6DA7A40E"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При комбиниране на данните от проучванията </w:t>
      </w:r>
      <w:r w:rsidRPr="00206CF1">
        <w:rPr>
          <w:rFonts w:eastAsia="Times New Roman" w:cs="Arial"/>
          <w:color w:val="000000"/>
          <w:lang w:val="en-US"/>
        </w:rPr>
        <w:t xml:space="preserve">GS-US-174-0102 </w:t>
      </w:r>
      <w:r w:rsidRPr="00206CF1">
        <w:rPr>
          <w:rFonts w:eastAsia="Times New Roman" w:cs="Arial"/>
          <w:color w:val="000000"/>
          <w:lang w:eastAsia="bg-BG"/>
        </w:rPr>
        <w:t xml:space="preserve">и </w:t>
      </w:r>
      <w:r w:rsidRPr="00206CF1">
        <w:rPr>
          <w:rFonts w:eastAsia="Times New Roman" w:cs="Arial"/>
          <w:color w:val="000000"/>
          <w:lang w:val="en-US"/>
        </w:rPr>
        <w:t xml:space="preserve">GS-US-174-0103 </w:t>
      </w:r>
      <w:r w:rsidRPr="00206CF1">
        <w:rPr>
          <w:rFonts w:eastAsia="Times New Roman" w:cs="Arial"/>
          <w:color w:val="000000"/>
          <w:lang w:eastAsia="bg-BG"/>
        </w:rPr>
        <w:t>е установено, че отговорът на лечение с тенофовир дизопроксил е сравним при пациентите с предварителна нуклеозидна терапия (</w:t>
      </w:r>
      <w:r w:rsidRPr="00206CF1">
        <w:rPr>
          <w:rFonts w:eastAsia="Times New Roman" w:cs="Arial"/>
          <w:color w:val="000000"/>
          <w:lang w:val="en-US"/>
        </w:rPr>
        <w:t>n</w:t>
      </w:r>
      <w:r w:rsidRPr="00206CF1">
        <w:rPr>
          <w:rFonts w:eastAsia="Times New Roman" w:cs="Arial"/>
          <w:color w:val="000000"/>
          <w:lang w:eastAsia="bg-BG"/>
        </w:rPr>
        <w:t>= 51) и пациентите без предварителна нуклеозидна терапия (</w:t>
      </w:r>
      <w:r w:rsidRPr="00206CF1">
        <w:rPr>
          <w:rFonts w:eastAsia="Times New Roman" w:cs="Arial"/>
          <w:color w:val="000000"/>
          <w:lang w:val="en-US"/>
        </w:rPr>
        <w:t>n</w:t>
      </w:r>
      <w:r w:rsidRPr="00206CF1">
        <w:rPr>
          <w:rFonts w:eastAsia="Times New Roman" w:cs="Arial"/>
          <w:color w:val="000000"/>
          <w:lang w:eastAsia="bg-BG"/>
        </w:rPr>
        <w:t xml:space="preserve">= 375) и при пациентите с нормални изходни нива на </w:t>
      </w:r>
      <w:r w:rsidRPr="00206CF1">
        <w:rPr>
          <w:rFonts w:eastAsia="Times New Roman" w:cs="Arial"/>
          <w:color w:val="000000"/>
          <w:lang w:val="en-US"/>
        </w:rPr>
        <w:t xml:space="preserve">ALT </w:t>
      </w:r>
      <w:r w:rsidRPr="00206CF1">
        <w:rPr>
          <w:rFonts w:eastAsia="Times New Roman" w:cs="Arial"/>
          <w:color w:val="000000"/>
          <w:lang w:eastAsia="bg-BG"/>
        </w:rPr>
        <w:t>(</w:t>
      </w:r>
      <w:r w:rsidRPr="00206CF1">
        <w:rPr>
          <w:rFonts w:eastAsia="Times New Roman" w:cs="Arial"/>
          <w:color w:val="000000"/>
          <w:lang w:val="en-US"/>
        </w:rPr>
        <w:t>n</w:t>
      </w:r>
      <w:r w:rsidRPr="00206CF1">
        <w:rPr>
          <w:rFonts w:eastAsia="Times New Roman" w:cs="Arial"/>
          <w:color w:val="000000"/>
          <w:lang w:eastAsia="bg-BG"/>
        </w:rPr>
        <w:t xml:space="preserve">= 21) и абнормни изходни нива на </w:t>
      </w:r>
      <w:r w:rsidRPr="00206CF1">
        <w:rPr>
          <w:rFonts w:eastAsia="Times New Roman" w:cs="Arial"/>
          <w:color w:val="000000"/>
          <w:lang w:val="en-US"/>
        </w:rPr>
        <w:t xml:space="preserve">ALT </w:t>
      </w:r>
      <w:r w:rsidRPr="00206CF1">
        <w:rPr>
          <w:rFonts w:eastAsia="Times New Roman" w:cs="Arial"/>
          <w:color w:val="000000"/>
          <w:lang w:eastAsia="bg-BG"/>
        </w:rPr>
        <w:t xml:space="preserve">(п = 405). 49 от 51-те пациенти с предварителна нуклеозидна терапия са лекувани с ламивудин. При 73 % от пациентите с предварителна нуклеозидна терапия и при 69 % от пациентите без предварителна нуклеозидна терапия е постигнат пълен отговор на лечението; при 90 % от пациентите с предварителна нуклеозидна терапия и 88 % от пациентите без предварителна нуклеозидна терапия е </w:t>
      </w:r>
      <w:r w:rsidRPr="00206CF1">
        <w:rPr>
          <w:rFonts w:eastAsia="Times New Roman" w:cs="Arial"/>
          <w:color w:val="000000"/>
          <w:lang w:eastAsia="bg-BG"/>
        </w:rPr>
        <w:lastRenderedPageBreak/>
        <w:t xml:space="preserve">постигната супресия на </w:t>
      </w:r>
      <w:r w:rsidRPr="00206CF1">
        <w:rPr>
          <w:rFonts w:eastAsia="Times New Roman" w:cs="Arial"/>
          <w:color w:val="000000"/>
          <w:lang w:val="en-US"/>
        </w:rPr>
        <w:t xml:space="preserve">HBV </w:t>
      </w:r>
      <w:r w:rsidRPr="00206CF1">
        <w:rPr>
          <w:rFonts w:eastAsia="Times New Roman" w:cs="Arial"/>
          <w:color w:val="000000"/>
          <w:u w:val="single"/>
          <w:lang w:eastAsia="bg-BG"/>
        </w:rPr>
        <w:t>ДН</w:t>
      </w:r>
      <w:r w:rsidRPr="00206CF1">
        <w:rPr>
          <w:rFonts w:eastAsia="Times New Roman" w:cs="Arial"/>
          <w:color w:val="000000"/>
          <w:lang w:eastAsia="bg-BG"/>
        </w:rPr>
        <w:t>К &lt; 400 копия</w:t>
      </w:r>
      <w:r w:rsidRPr="00206CF1">
        <w:rPr>
          <w:rFonts w:eastAsia="Times New Roman" w:cs="Arial"/>
          <w:color w:val="000000"/>
          <w:lang w:val="en-US"/>
        </w:rPr>
        <w:t xml:space="preserve">/ml. </w:t>
      </w:r>
      <w:r w:rsidRPr="00206CF1">
        <w:rPr>
          <w:rFonts w:eastAsia="Times New Roman" w:cs="Arial"/>
          <w:color w:val="000000"/>
          <w:lang w:eastAsia="bg-BG"/>
        </w:rPr>
        <w:t xml:space="preserve">При всички пациенти с нормални изходни нива на </w:t>
      </w:r>
      <w:r w:rsidRPr="00206CF1">
        <w:rPr>
          <w:rFonts w:eastAsia="Times New Roman" w:cs="Arial"/>
          <w:color w:val="000000"/>
          <w:lang w:val="en-US"/>
        </w:rPr>
        <w:t xml:space="preserve">ALT </w:t>
      </w:r>
      <w:r w:rsidRPr="00206CF1">
        <w:rPr>
          <w:rFonts w:eastAsia="Times New Roman" w:cs="Arial"/>
          <w:color w:val="000000"/>
          <w:lang w:eastAsia="bg-BG"/>
        </w:rPr>
        <w:t xml:space="preserve">и при 88 % от пациентите с абнормни изходни нива на </w:t>
      </w:r>
      <w:r w:rsidRPr="00206CF1">
        <w:rPr>
          <w:rFonts w:eastAsia="Times New Roman" w:cs="Arial"/>
          <w:color w:val="000000"/>
          <w:lang w:val="en-US"/>
        </w:rPr>
        <w:t xml:space="preserve">ALT </w:t>
      </w:r>
      <w:r w:rsidRPr="00206CF1">
        <w:rPr>
          <w:rFonts w:eastAsia="Times New Roman" w:cs="Arial"/>
          <w:color w:val="000000"/>
          <w:lang w:eastAsia="bg-BG"/>
        </w:rPr>
        <w:t xml:space="preserve">е постигната супресия на </w:t>
      </w:r>
      <w:r w:rsidRPr="00206CF1">
        <w:rPr>
          <w:rFonts w:eastAsia="Times New Roman" w:cs="Arial"/>
          <w:color w:val="000000"/>
          <w:lang w:val="en-US"/>
        </w:rPr>
        <w:t xml:space="preserve">HBV </w:t>
      </w:r>
      <w:r w:rsidRPr="00206CF1">
        <w:rPr>
          <w:rFonts w:eastAsia="Times New Roman" w:cs="Arial"/>
          <w:color w:val="000000"/>
          <w:lang w:eastAsia="bg-BG"/>
        </w:rPr>
        <w:t>ДНК &lt; 400 копия</w:t>
      </w:r>
      <w:r w:rsidRPr="00206CF1">
        <w:rPr>
          <w:rFonts w:eastAsia="Times New Roman" w:cs="Arial"/>
          <w:color w:val="000000"/>
          <w:lang w:val="en-US"/>
        </w:rPr>
        <w:t>/ml.</w:t>
      </w:r>
    </w:p>
    <w:p w14:paraId="754114A4" w14:textId="77777777" w:rsidR="00206CF1" w:rsidRDefault="00206CF1" w:rsidP="00206CF1">
      <w:pPr>
        <w:spacing w:line="240" w:lineRule="auto"/>
        <w:rPr>
          <w:rFonts w:eastAsia="Times New Roman" w:cs="Arial"/>
          <w:i/>
          <w:iCs/>
          <w:color w:val="000000"/>
          <w:lang w:eastAsia="bg-BG"/>
        </w:rPr>
      </w:pPr>
    </w:p>
    <w:p w14:paraId="6BA9D884" w14:textId="612F78FB" w:rsidR="00206CF1" w:rsidRPr="00206CF1" w:rsidRDefault="00206CF1" w:rsidP="00206CF1">
      <w:pPr>
        <w:spacing w:line="240" w:lineRule="auto"/>
        <w:rPr>
          <w:rFonts w:eastAsia="Times New Roman" w:cs="Arial"/>
          <w:lang w:eastAsia="bg-BG"/>
        </w:rPr>
      </w:pPr>
      <w:r w:rsidRPr="00206CF1">
        <w:rPr>
          <w:rFonts w:eastAsia="Times New Roman" w:cs="Arial"/>
          <w:i/>
          <w:iCs/>
          <w:color w:val="000000"/>
          <w:lang w:eastAsia="bg-BG"/>
        </w:rPr>
        <w:t xml:space="preserve">Опит, по-дълъг от 48 седмици, при проучвания </w:t>
      </w:r>
      <w:r w:rsidRPr="00206CF1">
        <w:rPr>
          <w:rFonts w:eastAsia="Times New Roman" w:cs="Arial"/>
          <w:i/>
          <w:iCs/>
          <w:color w:val="000000"/>
          <w:lang w:val="en-US"/>
        </w:rPr>
        <w:t xml:space="preserve">GS-US-174-0102 </w:t>
      </w:r>
      <w:r w:rsidRPr="00206CF1">
        <w:rPr>
          <w:rFonts w:eastAsia="Times New Roman" w:cs="Arial"/>
          <w:i/>
          <w:iCs/>
          <w:color w:val="000000"/>
          <w:lang w:eastAsia="bg-BG"/>
        </w:rPr>
        <w:t xml:space="preserve">и </w:t>
      </w:r>
      <w:r w:rsidRPr="00206CF1">
        <w:rPr>
          <w:rFonts w:eastAsia="Times New Roman" w:cs="Arial"/>
          <w:i/>
          <w:iCs/>
          <w:color w:val="000000"/>
          <w:lang w:val="en-US"/>
        </w:rPr>
        <w:t>GS-US-174-0103</w:t>
      </w:r>
    </w:p>
    <w:p w14:paraId="6DE438E3"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eastAsia="bg-BG"/>
        </w:rPr>
        <w:t xml:space="preserve">При проучванията </w:t>
      </w:r>
      <w:r w:rsidRPr="00206CF1">
        <w:rPr>
          <w:rFonts w:eastAsia="Times New Roman" w:cs="Arial"/>
          <w:color w:val="000000"/>
          <w:lang w:val="en-US"/>
        </w:rPr>
        <w:t xml:space="preserve">GS-US-174-0102 </w:t>
      </w:r>
      <w:r w:rsidRPr="00206CF1">
        <w:rPr>
          <w:rFonts w:eastAsia="Times New Roman" w:cs="Arial"/>
          <w:color w:val="000000"/>
          <w:lang w:eastAsia="bg-BG"/>
        </w:rPr>
        <w:t xml:space="preserve">и </w:t>
      </w:r>
      <w:r w:rsidRPr="00206CF1">
        <w:rPr>
          <w:rFonts w:eastAsia="Times New Roman" w:cs="Arial"/>
          <w:color w:val="000000"/>
          <w:lang w:val="en-US"/>
        </w:rPr>
        <w:t xml:space="preserve">GS-US-174-0103 </w:t>
      </w:r>
      <w:r w:rsidRPr="00206CF1">
        <w:rPr>
          <w:rFonts w:eastAsia="Times New Roman" w:cs="Arial"/>
          <w:color w:val="000000"/>
          <w:lang w:eastAsia="bg-BG"/>
        </w:rPr>
        <w:t xml:space="preserve">след 48 седмици двойносляпо лечение (или тенофовир дизопроксил 245 </w:t>
      </w:r>
      <w:r w:rsidRPr="00206CF1">
        <w:rPr>
          <w:rFonts w:eastAsia="Times New Roman" w:cs="Arial"/>
          <w:color w:val="000000"/>
          <w:lang w:val="en-US"/>
        </w:rPr>
        <w:t xml:space="preserve">mg </w:t>
      </w:r>
      <w:r w:rsidRPr="00206CF1">
        <w:rPr>
          <w:rFonts w:eastAsia="Times New Roman" w:cs="Arial"/>
          <w:color w:val="000000"/>
          <w:lang w:eastAsia="bg-BG"/>
        </w:rPr>
        <w:t xml:space="preserve">или адефовир дипивоксил 10 </w:t>
      </w:r>
      <w:r w:rsidRPr="00206CF1">
        <w:rPr>
          <w:rFonts w:eastAsia="Times New Roman" w:cs="Arial"/>
          <w:color w:val="000000"/>
          <w:lang w:val="en-US"/>
        </w:rPr>
        <w:t xml:space="preserve">mg) </w:t>
      </w:r>
      <w:r w:rsidRPr="00206CF1">
        <w:rPr>
          <w:rFonts w:eastAsia="Times New Roman" w:cs="Arial"/>
          <w:color w:val="000000"/>
          <w:lang w:eastAsia="bg-BG"/>
        </w:rPr>
        <w:t xml:space="preserve">пациентите са преминали без прекъсване на лечението към отворено лечение с тенофовир дизопроксил. При проучванията </w:t>
      </w:r>
      <w:r w:rsidRPr="00206CF1">
        <w:rPr>
          <w:rFonts w:eastAsia="Times New Roman" w:cs="Arial"/>
          <w:color w:val="000000"/>
          <w:lang w:val="en-US"/>
        </w:rPr>
        <w:t>GS- US-</w:t>
      </w:r>
      <w:r w:rsidRPr="00206CF1">
        <w:rPr>
          <w:rFonts w:eastAsia="Times New Roman" w:cs="Arial"/>
          <w:color w:val="000000"/>
          <w:lang w:eastAsia="bg-BG"/>
        </w:rPr>
        <w:t xml:space="preserve">174-0102 и </w:t>
      </w:r>
      <w:r w:rsidRPr="00206CF1">
        <w:rPr>
          <w:rFonts w:eastAsia="Times New Roman" w:cs="Arial"/>
          <w:color w:val="000000"/>
          <w:lang w:val="en-US"/>
        </w:rPr>
        <w:t xml:space="preserve">GS-US-174-0103 </w:t>
      </w:r>
      <w:r w:rsidRPr="00206CF1">
        <w:rPr>
          <w:rFonts w:eastAsia="Times New Roman" w:cs="Arial"/>
          <w:color w:val="000000"/>
          <w:lang w:eastAsia="bg-BG"/>
        </w:rPr>
        <w:t>съответно 77 % и 61 % от пациентите са продължили проучването до 384-тата седмица. През 96-тата, 144-тата, 192-рата, 240-тата, 288-та и 384-тата седмица вирусната супресия, биохимичният и серологичният отговор са се запазили с продължаване на лечението с тенофовир дизопроксил (вж. Таблици 4 и 5 по-долу).</w:t>
      </w:r>
    </w:p>
    <w:p w14:paraId="101BCC76" w14:textId="77777777" w:rsidR="00206CF1" w:rsidRDefault="00206CF1" w:rsidP="00206CF1">
      <w:pPr>
        <w:spacing w:line="240" w:lineRule="auto"/>
        <w:rPr>
          <w:rFonts w:eastAsia="Times New Roman" w:cs="Arial"/>
          <w:b/>
          <w:bCs/>
          <w:color w:val="000000"/>
          <w:lang w:eastAsia="bg-BG"/>
        </w:rPr>
      </w:pPr>
    </w:p>
    <w:p w14:paraId="67673CE5" w14:textId="5CC1C127" w:rsidR="00206CF1" w:rsidRPr="00206CF1" w:rsidRDefault="00206CF1" w:rsidP="00206CF1">
      <w:pPr>
        <w:spacing w:line="240" w:lineRule="auto"/>
        <w:rPr>
          <w:rFonts w:eastAsia="Times New Roman" w:cs="Arial"/>
          <w:lang w:eastAsia="bg-BG"/>
        </w:rPr>
      </w:pPr>
      <w:r w:rsidRPr="00206CF1">
        <w:rPr>
          <w:rFonts w:eastAsia="Times New Roman" w:cs="Arial"/>
          <w:b/>
          <w:bCs/>
          <w:color w:val="000000"/>
          <w:lang w:eastAsia="bg-BG"/>
        </w:rPr>
        <w:t xml:space="preserve">Таблица 4: Параметри на ефикасност при </w:t>
      </w:r>
      <w:proofErr w:type="spellStart"/>
      <w:r w:rsidRPr="00206CF1">
        <w:rPr>
          <w:rFonts w:eastAsia="Times New Roman" w:cs="Arial"/>
          <w:b/>
          <w:bCs/>
          <w:color w:val="000000"/>
          <w:lang w:val="en-US"/>
        </w:rPr>
        <w:t>HBeAg</w:t>
      </w:r>
      <w:proofErr w:type="spellEnd"/>
      <w:r w:rsidRPr="00206CF1">
        <w:rPr>
          <w:rFonts w:eastAsia="Times New Roman" w:cs="Arial"/>
          <w:b/>
          <w:bCs/>
          <w:color w:val="000000"/>
          <w:lang w:val="en-US"/>
        </w:rPr>
        <w:t xml:space="preserve"> </w:t>
      </w:r>
      <w:r w:rsidRPr="00206CF1">
        <w:rPr>
          <w:rFonts w:eastAsia="Times New Roman" w:cs="Arial"/>
          <w:b/>
          <w:bCs/>
          <w:color w:val="000000"/>
          <w:lang w:eastAsia="bg-BG"/>
        </w:rPr>
        <w:t>негативни компенсирани пациенти през седмица 96,</w:t>
      </w:r>
      <w:r w:rsidRPr="00206CF1">
        <w:rPr>
          <w:rFonts w:eastAsia="Times New Roman" w:cs="Arial"/>
          <w:b/>
          <w:bCs/>
          <w:color w:val="000000"/>
          <w:lang w:val="en-US"/>
        </w:rPr>
        <w:t xml:space="preserve"> </w:t>
      </w:r>
      <w:r w:rsidRPr="00206CF1">
        <w:rPr>
          <w:rFonts w:eastAsia="Times New Roman" w:cs="Arial"/>
          <w:b/>
          <w:bCs/>
          <w:color w:val="000000"/>
          <w:lang w:eastAsia="bg-BG"/>
        </w:rPr>
        <w:t>144,</w:t>
      </w:r>
      <w:r w:rsidRPr="00206CF1">
        <w:rPr>
          <w:rFonts w:eastAsia="Times New Roman" w:cs="Arial"/>
          <w:b/>
          <w:bCs/>
          <w:color w:val="000000"/>
          <w:lang w:val="en-US"/>
        </w:rPr>
        <w:t xml:space="preserve"> </w:t>
      </w:r>
      <w:r w:rsidRPr="00206CF1">
        <w:rPr>
          <w:rFonts w:eastAsia="Times New Roman" w:cs="Arial"/>
          <w:b/>
          <w:bCs/>
          <w:color w:val="000000"/>
          <w:lang w:eastAsia="bg-BG"/>
        </w:rPr>
        <w:t>192,</w:t>
      </w:r>
      <w:r w:rsidRPr="00206CF1">
        <w:rPr>
          <w:rFonts w:eastAsia="Times New Roman" w:cs="Arial"/>
          <w:b/>
          <w:bCs/>
          <w:color w:val="000000"/>
          <w:lang w:val="en-US"/>
        </w:rPr>
        <w:t xml:space="preserve"> </w:t>
      </w:r>
      <w:r w:rsidRPr="00206CF1">
        <w:rPr>
          <w:rFonts w:eastAsia="Times New Roman" w:cs="Arial"/>
          <w:b/>
          <w:bCs/>
          <w:color w:val="000000"/>
          <w:lang w:eastAsia="bg-BG"/>
        </w:rPr>
        <w:t>240,</w:t>
      </w:r>
      <w:r w:rsidRPr="00206CF1">
        <w:rPr>
          <w:rFonts w:eastAsia="Times New Roman" w:cs="Arial"/>
          <w:b/>
          <w:bCs/>
          <w:color w:val="000000"/>
          <w:lang w:val="en-US"/>
        </w:rPr>
        <w:t xml:space="preserve"> </w:t>
      </w:r>
      <w:r w:rsidRPr="00206CF1">
        <w:rPr>
          <w:rFonts w:eastAsia="Times New Roman" w:cs="Arial"/>
          <w:b/>
          <w:bCs/>
          <w:color w:val="000000"/>
          <w:lang w:eastAsia="bg-BG"/>
        </w:rPr>
        <w:t>288 и 384 на отвореното лечение</w:t>
      </w:r>
    </w:p>
    <w:tbl>
      <w:tblPr>
        <w:tblStyle w:val="TableGrid"/>
        <w:tblW w:w="0" w:type="auto"/>
        <w:tblLook w:val="04A0" w:firstRow="1" w:lastRow="0" w:firstColumn="1" w:lastColumn="0" w:noHBand="0" w:noVBand="1"/>
      </w:tblPr>
      <w:tblGrid>
        <w:gridCol w:w="1928"/>
        <w:gridCol w:w="523"/>
        <w:gridCol w:w="639"/>
        <w:gridCol w:w="651"/>
        <w:gridCol w:w="636"/>
        <w:gridCol w:w="639"/>
        <w:gridCol w:w="635"/>
        <w:gridCol w:w="518"/>
        <w:gridCol w:w="635"/>
        <w:gridCol w:w="623"/>
        <w:gridCol w:w="636"/>
        <w:gridCol w:w="653"/>
        <w:gridCol w:w="634"/>
      </w:tblGrid>
      <w:tr w:rsidR="00206CF1" w14:paraId="7873191E" w14:textId="77777777" w:rsidTr="00206CF1">
        <w:tc>
          <w:tcPr>
            <w:tcW w:w="9576" w:type="dxa"/>
            <w:gridSpan w:val="13"/>
          </w:tcPr>
          <w:p w14:paraId="2D38D5E9" w14:textId="3D2E915D" w:rsidR="00206CF1" w:rsidRPr="00206CF1" w:rsidRDefault="00206CF1" w:rsidP="00206CF1">
            <w:pPr>
              <w:rPr>
                <w:b/>
                <w:bCs/>
                <w:sz w:val="24"/>
                <w:szCs w:val="24"/>
                <w:lang w:eastAsia="bg-BG"/>
              </w:rPr>
            </w:pPr>
            <w:r w:rsidRPr="00206CF1">
              <w:rPr>
                <w:b/>
                <w:bCs/>
                <w:lang w:eastAsia="bg-BG"/>
              </w:rPr>
              <w:t xml:space="preserve">Проучване 174-0102 </w:t>
            </w:r>
            <w:r w:rsidRPr="00206CF1">
              <w:rPr>
                <w:b/>
                <w:bCs/>
                <w:lang w:val="en-US"/>
              </w:rPr>
              <w:t>(</w:t>
            </w:r>
            <w:proofErr w:type="spellStart"/>
            <w:r w:rsidRPr="00206CF1">
              <w:rPr>
                <w:b/>
                <w:bCs/>
                <w:lang w:val="en-US"/>
              </w:rPr>
              <w:t>HBeAg</w:t>
            </w:r>
            <w:proofErr w:type="spellEnd"/>
            <w:r w:rsidRPr="00206CF1">
              <w:rPr>
                <w:b/>
                <w:bCs/>
                <w:lang w:val="en-US"/>
              </w:rPr>
              <w:t xml:space="preserve"> </w:t>
            </w:r>
            <w:r w:rsidRPr="00206CF1">
              <w:rPr>
                <w:b/>
                <w:bCs/>
                <w:lang w:eastAsia="bg-BG"/>
              </w:rPr>
              <w:t>негативни)</w:t>
            </w:r>
          </w:p>
        </w:tc>
      </w:tr>
      <w:tr w:rsidR="00206CF1" w14:paraId="5BDD0483" w14:textId="77777777" w:rsidTr="00206CF1">
        <w:tc>
          <w:tcPr>
            <w:tcW w:w="1985" w:type="dxa"/>
          </w:tcPr>
          <w:p w14:paraId="72978D0E" w14:textId="797B86B8" w:rsidR="00206CF1" w:rsidRPr="00206CF1" w:rsidRDefault="00206CF1" w:rsidP="00206CF1">
            <w:pPr>
              <w:rPr>
                <w:rFonts w:cs="Arial"/>
                <w:lang w:val="en-US"/>
              </w:rPr>
            </w:pPr>
            <w:r w:rsidRPr="00206CF1">
              <w:t>Параметър</w:t>
            </w:r>
            <w:r w:rsidRPr="00206CF1">
              <w:rPr>
                <w:vertAlign w:val="superscript"/>
              </w:rPr>
              <w:t>3</w:t>
            </w:r>
          </w:p>
        </w:tc>
        <w:tc>
          <w:tcPr>
            <w:tcW w:w="3808" w:type="dxa"/>
            <w:gridSpan w:val="6"/>
          </w:tcPr>
          <w:p w14:paraId="4BE0360B" w14:textId="61EC571D" w:rsidR="00206CF1" w:rsidRPr="00206CF1" w:rsidRDefault="00206CF1" w:rsidP="00206CF1">
            <w:pPr>
              <w:rPr>
                <w:rFonts w:cs="Arial"/>
                <w:lang w:val="en-US"/>
              </w:rPr>
            </w:pPr>
            <w:r w:rsidRPr="00206CF1">
              <w:t xml:space="preserve">Тенофовир дизопроксил 245 </w:t>
            </w:r>
            <w:r w:rsidRPr="00206CF1">
              <w:rPr>
                <w:lang w:val="en-US"/>
              </w:rPr>
              <w:t>mg n</w:t>
            </w:r>
            <w:r w:rsidRPr="00206CF1">
              <w:t>= 250</w:t>
            </w:r>
          </w:p>
        </w:tc>
        <w:tc>
          <w:tcPr>
            <w:tcW w:w="3783" w:type="dxa"/>
            <w:gridSpan w:val="6"/>
          </w:tcPr>
          <w:p w14:paraId="3632F490" w14:textId="0B7FC702" w:rsidR="00206CF1" w:rsidRPr="00206CF1" w:rsidRDefault="00206CF1" w:rsidP="00206CF1">
            <w:pPr>
              <w:rPr>
                <w:rFonts w:cs="Arial"/>
                <w:lang w:val="en-US"/>
              </w:rPr>
            </w:pPr>
            <w:r w:rsidRPr="00206CF1">
              <w:t xml:space="preserve">Адефовир дипивоксил 10 </w:t>
            </w:r>
            <w:r w:rsidRPr="00206CF1">
              <w:rPr>
                <w:lang w:val="en-US"/>
              </w:rPr>
              <w:t xml:space="preserve">mg </w:t>
            </w:r>
            <w:r w:rsidRPr="00206CF1">
              <w:t xml:space="preserve">преминаване към тенофовир дизопроксил 245 </w:t>
            </w:r>
            <w:r w:rsidRPr="00206CF1">
              <w:rPr>
                <w:lang w:val="en-US"/>
              </w:rPr>
              <w:t>mg n</w:t>
            </w:r>
            <w:r w:rsidRPr="00206CF1">
              <w:t xml:space="preserve"> = 125</w:t>
            </w:r>
          </w:p>
        </w:tc>
      </w:tr>
      <w:tr w:rsidR="00206CF1" w14:paraId="5BAB0080" w14:textId="77777777" w:rsidTr="00206CF1">
        <w:tc>
          <w:tcPr>
            <w:tcW w:w="1985" w:type="dxa"/>
          </w:tcPr>
          <w:p w14:paraId="49030B60" w14:textId="01FB6E91" w:rsidR="00206CF1" w:rsidRPr="00206CF1" w:rsidRDefault="00206CF1" w:rsidP="00206CF1">
            <w:pPr>
              <w:rPr>
                <w:rFonts w:cs="Arial"/>
                <w:lang w:val="en-US"/>
              </w:rPr>
            </w:pPr>
            <w:r w:rsidRPr="00206CF1">
              <w:rPr>
                <w:b/>
                <w:bCs/>
              </w:rPr>
              <w:t>Седмица</w:t>
            </w:r>
          </w:p>
        </w:tc>
        <w:tc>
          <w:tcPr>
            <w:tcW w:w="533" w:type="dxa"/>
          </w:tcPr>
          <w:p w14:paraId="14D85066" w14:textId="25CD52C5" w:rsidR="00206CF1" w:rsidRPr="00206CF1" w:rsidRDefault="00206CF1" w:rsidP="00206CF1">
            <w:pPr>
              <w:rPr>
                <w:rFonts w:cs="Arial"/>
                <w:lang w:val="en-US"/>
              </w:rPr>
            </w:pPr>
            <w:r w:rsidRPr="00206CF1">
              <w:t>96</w:t>
            </w:r>
            <w:r w:rsidRPr="00206CF1">
              <w:rPr>
                <w:vertAlign w:val="superscript"/>
              </w:rPr>
              <w:t>б</w:t>
            </w:r>
          </w:p>
        </w:tc>
        <w:tc>
          <w:tcPr>
            <w:tcW w:w="654" w:type="dxa"/>
          </w:tcPr>
          <w:p w14:paraId="49910975" w14:textId="50ED1BD8" w:rsidR="00206CF1" w:rsidRPr="00206CF1" w:rsidRDefault="00206CF1" w:rsidP="00206CF1">
            <w:pPr>
              <w:rPr>
                <w:rFonts w:cs="Arial"/>
                <w:lang w:val="en-US"/>
              </w:rPr>
            </w:pPr>
            <w:r w:rsidRPr="00206CF1">
              <w:t>144</w:t>
            </w:r>
            <w:r w:rsidRPr="00206CF1">
              <w:rPr>
                <w:vertAlign w:val="superscript"/>
              </w:rPr>
              <w:t>д</w:t>
            </w:r>
          </w:p>
        </w:tc>
        <w:tc>
          <w:tcPr>
            <w:tcW w:w="666" w:type="dxa"/>
          </w:tcPr>
          <w:p w14:paraId="5C24B461" w14:textId="33521ADD" w:rsidR="00206CF1" w:rsidRPr="00206CF1" w:rsidRDefault="00206CF1" w:rsidP="00206CF1">
            <w:pPr>
              <w:rPr>
                <w:rFonts w:cs="Arial"/>
                <w:lang w:val="en-US"/>
              </w:rPr>
            </w:pPr>
            <w:r w:rsidRPr="00206CF1">
              <w:t>192</w:t>
            </w:r>
            <w:r w:rsidRPr="00206CF1">
              <w:rPr>
                <w:vertAlign w:val="superscript"/>
              </w:rPr>
              <w:t>ж</w:t>
            </w:r>
          </w:p>
        </w:tc>
        <w:tc>
          <w:tcPr>
            <w:tcW w:w="651" w:type="dxa"/>
          </w:tcPr>
          <w:p w14:paraId="0728D624" w14:textId="6FDD719D" w:rsidR="00206CF1" w:rsidRPr="00206CF1" w:rsidRDefault="00206CF1" w:rsidP="00206CF1">
            <w:pPr>
              <w:rPr>
                <w:rFonts w:cs="Arial"/>
                <w:lang w:val="en-US"/>
              </w:rPr>
            </w:pPr>
            <w:r w:rsidRPr="00206CF1">
              <w:t>240</w:t>
            </w:r>
            <w:r w:rsidRPr="00206CF1">
              <w:rPr>
                <w:vertAlign w:val="superscript"/>
              </w:rPr>
              <w:t>и</w:t>
            </w:r>
          </w:p>
        </w:tc>
        <w:tc>
          <w:tcPr>
            <w:tcW w:w="654" w:type="dxa"/>
          </w:tcPr>
          <w:p w14:paraId="44ABE1F1" w14:textId="1D5C925E" w:rsidR="00206CF1" w:rsidRPr="00206CF1" w:rsidRDefault="00206CF1" w:rsidP="00206CF1">
            <w:pPr>
              <w:rPr>
                <w:rFonts w:cs="Arial"/>
                <w:lang w:val="en-US"/>
              </w:rPr>
            </w:pPr>
            <w:r w:rsidRPr="00206CF1">
              <w:t>288</w:t>
            </w:r>
            <w:r w:rsidRPr="00206CF1">
              <w:rPr>
                <w:vertAlign w:val="superscript"/>
              </w:rPr>
              <w:t>л</w:t>
            </w:r>
          </w:p>
        </w:tc>
        <w:tc>
          <w:tcPr>
            <w:tcW w:w="650" w:type="dxa"/>
          </w:tcPr>
          <w:p w14:paraId="1107C39A" w14:textId="0367DD38" w:rsidR="00206CF1" w:rsidRPr="00206CF1" w:rsidRDefault="00206CF1" w:rsidP="00206CF1">
            <w:pPr>
              <w:rPr>
                <w:rFonts w:cs="Arial"/>
                <w:lang w:val="en-US"/>
              </w:rPr>
            </w:pPr>
            <w:r w:rsidRPr="00206CF1">
              <w:t>384</w:t>
            </w:r>
            <w:r w:rsidRPr="00206CF1">
              <w:rPr>
                <w:vertAlign w:val="superscript"/>
              </w:rPr>
              <w:t>о</w:t>
            </w:r>
          </w:p>
        </w:tc>
        <w:tc>
          <w:tcPr>
            <w:tcW w:w="528" w:type="dxa"/>
          </w:tcPr>
          <w:p w14:paraId="71E7B7BE" w14:textId="429E623E" w:rsidR="00206CF1" w:rsidRPr="00206CF1" w:rsidRDefault="00206CF1" w:rsidP="00206CF1">
            <w:pPr>
              <w:rPr>
                <w:rFonts w:cs="Arial"/>
                <w:lang w:val="en-US"/>
              </w:rPr>
            </w:pPr>
            <w:r w:rsidRPr="00206CF1">
              <w:t>96</w:t>
            </w:r>
            <w:r w:rsidRPr="00206CF1">
              <w:rPr>
                <w:vertAlign w:val="superscript"/>
              </w:rPr>
              <w:t>в</w:t>
            </w:r>
          </w:p>
        </w:tc>
        <w:tc>
          <w:tcPr>
            <w:tcW w:w="650" w:type="dxa"/>
          </w:tcPr>
          <w:p w14:paraId="6180FB31" w14:textId="512BC781" w:rsidR="00206CF1" w:rsidRPr="00206CF1" w:rsidRDefault="00206CF1" w:rsidP="00206CF1">
            <w:pPr>
              <w:rPr>
                <w:rFonts w:cs="Arial"/>
                <w:lang w:val="en-US"/>
              </w:rPr>
            </w:pPr>
            <w:r w:rsidRPr="00206CF1">
              <w:t>144</w:t>
            </w:r>
            <w:r w:rsidRPr="00206CF1">
              <w:rPr>
                <w:vertAlign w:val="superscript"/>
              </w:rPr>
              <w:t>е</w:t>
            </w:r>
          </w:p>
        </w:tc>
        <w:tc>
          <w:tcPr>
            <w:tcW w:w="637" w:type="dxa"/>
          </w:tcPr>
          <w:p w14:paraId="2C317AB7" w14:textId="179177AF" w:rsidR="00206CF1" w:rsidRPr="00206CF1" w:rsidRDefault="00206CF1" w:rsidP="00206CF1">
            <w:pPr>
              <w:rPr>
                <w:rFonts w:cs="Arial"/>
                <w:lang w:val="en-US"/>
              </w:rPr>
            </w:pPr>
            <w:r w:rsidRPr="00206CF1">
              <w:t>192</w:t>
            </w:r>
            <w:r w:rsidRPr="00206CF1">
              <w:rPr>
                <w:vertAlign w:val="superscript"/>
              </w:rPr>
              <w:t>з</w:t>
            </w:r>
          </w:p>
        </w:tc>
        <w:tc>
          <w:tcPr>
            <w:tcW w:w="651" w:type="dxa"/>
          </w:tcPr>
          <w:p w14:paraId="013D9840" w14:textId="42A9238E" w:rsidR="00206CF1" w:rsidRPr="00206CF1" w:rsidRDefault="00206CF1" w:rsidP="00206CF1">
            <w:pPr>
              <w:rPr>
                <w:rFonts w:cs="Arial"/>
                <w:lang w:val="en-US"/>
              </w:rPr>
            </w:pPr>
            <w:r w:rsidRPr="00206CF1">
              <w:t>240</w:t>
            </w:r>
            <w:r w:rsidRPr="00206CF1">
              <w:rPr>
                <w:vertAlign w:val="superscript"/>
              </w:rPr>
              <w:t>й</w:t>
            </w:r>
          </w:p>
        </w:tc>
        <w:tc>
          <w:tcPr>
            <w:tcW w:w="669" w:type="dxa"/>
          </w:tcPr>
          <w:p w14:paraId="33067397" w14:textId="6DC5D427" w:rsidR="00206CF1" w:rsidRPr="00206CF1" w:rsidRDefault="00206CF1" w:rsidP="00206CF1">
            <w:pPr>
              <w:rPr>
                <w:rFonts w:cs="Arial"/>
                <w:lang w:val="en-US"/>
              </w:rPr>
            </w:pPr>
            <w:r w:rsidRPr="00206CF1">
              <w:t>288</w:t>
            </w:r>
            <w:r w:rsidRPr="00206CF1">
              <w:rPr>
                <w:vertAlign w:val="superscript"/>
              </w:rPr>
              <w:t>м</w:t>
            </w:r>
          </w:p>
        </w:tc>
        <w:tc>
          <w:tcPr>
            <w:tcW w:w="648" w:type="dxa"/>
          </w:tcPr>
          <w:p w14:paraId="198D455F" w14:textId="5968C6A4" w:rsidR="00206CF1" w:rsidRPr="00206CF1" w:rsidRDefault="00206CF1" w:rsidP="00206CF1">
            <w:pPr>
              <w:rPr>
                <w:rFonts w:cs="Arial"/>
                <w:lang w:val="en-US"/>
              </w:rPr>
            </w:pPr>
            <w:r w:rsidRPr="00206CF1">
              <w:t>384</w:t>
            </w:r>
            <w:r w:rsidRPr="00206CF1">
              <w:rPr>
                <w:vertAlign w:val="superscript"/>
              </w:rPr>
              <w:t>п</w:t>
            </w:r>
          </w:p>
        </w:tc>
      </w:tr>
      <w:tr w:rsidR="00206CF1" w14:paraId="1C821C9A" w14:textId="77777777" w:rsidTr="00206CF1">
        <w:tc>
          <w:tcPr>
            <w:tcW w:w="1985" w:type="dxa"/>
          </w:tcPr>
          <w:p w14:paraId="4A3F0C6C" w14:textId="23995FC4" w:rsidR="00206CF1" w:rsidRPr="00206CF1" w:rsidRDefault="00206CF1" w:rsidP="00206CF1">
            <w:pPr>
              <w:rPr>
                <w:rFonts w:cs="Arial"/>
                <w:lang w:val="en-US"/>
              </w:rPr>
            </w:pPr>
            <w:r w:rsidRPr="00206CF1">
              <w:rPr>
                <w:b/>
                <w:bCs/>
                <w:lang w:val="en-US"/>
              </w:rPr>
              <w:t xml:space="preserve">HBV </w:t>
            </w:r>
            <w:r w:rsidRPr="00206CF1">
              <w:rPr>
                <w:b/>
                <w:bCs/>
              </w:rPr>
              <w:t xml:space="preserve">ДНК (%) </w:t>
            </w:r>
            <w:r w:rsidRPr="00206CF1">
              <w:t>&lt; 400 копия</w:t>
            </w:r>
            <w:r w:rsidRPr="00206CF1">
              <w:rPr>
                <w:lang w:val="en-US"/>
              </w:rPr>
              <w:t xml:space="preserve">/ml </w:t>
            </w:r>
            <w:r w:rsidRPr="00206CF1">
              <w:t xml:space="preserve">(&lt; 69 </w:t>
            </w:r>
            <w:r w:rsidRPr="00206CF1">
              <w:rPr>
                <w:lang w:val="en-US"/>
              </w:rPr>
              <w:t>IU/ml)</w:t>
            </w:r>
          </w:p>
        </w:tc>
        <w:tc>
          <w:tcPr>
            <w:tcW w:w="533" w:type="dxa"/>
          </w:tcPr>
          <w:p w14:paraId="6FCC6C30" w14:textId="4DFBA20B" w:rsidR="00206CF1" w:rsidRPr="00206CF1" w:rsidRDefault="00206CF1" w:rsidP="00206CF1">
            <w:pPr>
              <w:rPr>
                <w:rFonts w:cs="Arial"/>
                <w:lang w:val="en-US"/>
              </w:rPr>
            </w:pPr>
            <w:r w:rsidRPr="00206CF1">
              <w:t>90</w:t>
            </w:r>
          </w:p>
        </w:tc>
        <w:tc>
          <w:tcPr>
            <w:tcW w:w="654" w:type="dxa"/>
          </w:tcPr>
          <w:p w14:paraId="105F6F4B" w14:textId="4984508B" w:rsidR="00206CF1" w:rsidRPr="00206CF1" w:rsidRDefault="00206CF1" w:rsidP="00206CF1">
            <w:pPr>
              <w:rPr>
                <w:rFonts w:cs="Arial"/>
                <w:lang w:val="en-US"/>
              </w:rPr>
            </w:pPr>
            <w:r w:rsidRPr="00206CF1">
              <w:t>87</w:t>
            </w:r>
          </w:p>
        </w:tc>
        <w:tc>
          <w:tcPr>
            <w:tcW w:w="666" w:type="dxa"/>
          </w:tcPr>
          <w:p w14:paraId="383D3B7B" w14:textId="7412C873" w:rsidR="00206CF1" w:rsidRPr="00206CF1" w:rsidRDefault="00206CF1" w:rsidP="00206CF1">
            <w:pPr>
              <w:rPr>
                <w:rFonts w:cs="Arial"/>
                <w:lang w:val="en-US"/>
              </w:rPr>
            </w:pPr>
            <w:r w:rsidRPr="00206CF1">
              <w:t>84</w:t>
            </w:r>
          </w:p>
        </w:tc>
        <w:tc>
          <w:tcPr>
            <w:tcW w:w="651" w:type="dxa"/>
          </w:tcPr>
          <w:p w14:paraId="201FB01B" w14:textId="0FA0C975" w:rsidR="00206CF1" w:rsidRPr="00206CF1" w:rsidRDefault="00206CF1" w:rsidP="00206CF1">
            <w:pPr>
              <w:rPr>
                <w:rFonts w:cs="Arial"/>
                <w:lang w:val="en-US"/>
              </w:rPr>
            </w:pPr>
            <w:r w:rsidRPr="00206CF1">
              <w:t>83</w:t>
            </w:r>
          </w:p>
        </w:tc>
        <w:tc>
          <w:tcPr>
            <w:tcW w:w="654" w:type="dxa"/>
          </w:tcPr>
          <w:p w14:paraId="7AB3CE27" w14:textId="265D53B7" w:rsidR="00206CF1" w:rsidRPr="00206CF1" w:rsidRDefault="00206CF1" w:rsidP="00206CF1">
            <w:pPr>
              <w:rPr>
                <w:rFonts w:cs="Arial"/>
                <w:lang w:val="en-US"/>
              </w:rPr>
            </w:pPr>
            <w:r w:rsidRPr="00206CF1">
              <w:t>80</w:t>
            </w:r>
          </w:p>
        </w:tc>
        <w:tc>
          <w:tcPr>
            <w:tcW w:w="650" w:type="dxa"/>
          </w:tcPr>
          <w:p w14:paraId="5EF89FE8" w14:textId="65614E86" w:rsidR="00206CF1" w:rsidRPr="00206CF1" w:rsidRDefault="00206CF1" w:rsidP="00206CF1">
            <w:pPr>
              <w:rPr>
                <w:rFonts w:cs="Arial"/>
                <w:lang w:val="en-US"/>
              </w:rPr>
            </w:pPr>
            <w:r w:rsidRPr="00206CF1">
              <w:t>74</w:t>
            </w:r>
          </w:p>
        </w:tc>
        <w:tc>
          <w:tcPr>
            <w:tcW w:w="528" w:type="dxa"/>
          </w:tcPr>
          <w:p w14:paraId="031B7D4C" w14:textId="610E499D" w:rsidR="00206CF1" w:rsidRPr="00206CF1" w:rsidRDefault="00206CF1" w:rsidP="00206CF1">
            <w:pPr>
              <w:rPr>
                <w:rFonts w:cs="Arial"/>
                <w:lang w:val="en-US"/>
              </w:rPr>
            </w:pPr>
            <w:r w:rsidRPr="00206CF1">
              <w:t>89</w:t>
            </w:r>
          </w:p>
        </w:tc>
        <w:tc>
          <w:tcPr>
            <w:tcW w:w="650" w:type="dxa"/>
          </w:tcPr>
          <w:p w14:paraId="50A2834E" w14:textId="7C2AEB31" w:rsidR="00206CF1" w:rsidRPr="00206CF1" w:rsidRDefault="00206CF1" w:rsidP="00206CF1">
            <w:pPr>
              <w:rPr>
                <w:rFonts w:cs="Arial"/>
                <w:lang w:val="en-US"/>
              </w:rPr>
            </w:pPr>
            <w:r w:rsidRPr="00206CF1">
              <w:t>88</w:t>
            </w:r>
          </w:p>
        </w:tc>
        <w:tc>
          <w:tcPr>
            <w:tcW w:w="637" w:type="dxa"/>
          </w:tcPr>
          <w:p w14:paraId="0594381C" w14:textId="158DAADE" w:rsidR="00206CF1" w:rsidRPr="00206CF1" w:rsidRDefault="00206CF1" w:rsidP="00206CF1">
            <w:pPr>
              <w:rPr>
                <w:rFonts w:cs="Arial"/>
                <w:lang w:val="en-US"/>
              </w:rPr>
            </w:pPr>
            <w:r w:rsidRPr="00206CF1">
              <w:t>87</w:t>
            </w:r>
          </w:p>
        </w:tc>
        <w:tc>
          <w:tcPr>
            <w:tcW w:w="651" w:type="dxa"/>
          </w:tcPr>
          <w:p w14:paraId="22393C73" w14:textId="76E0C80F" w:rsidR="00206CF1" w:rsidRPr="00206CF1" w:rsidRDefault="00206CF1" w:rsidP="00206CF1">
            <w:pPr>
              <w:rPr>
                <w:rFonts w:cs="Arial"/>
                <w:lang w:val="en-US"/>
              </w:rPr>
            </w:pPr>
            <w:r w:rsidRPr="00206CF1">
              <w:t>84</w:t>
            </w:r>
          </w:p>
        </w:tc>
        <w:tc>
          <w:tcPr>
            <w:tcW w:w="669" w:type="dxa"/>
          </w:tcPr>
          <w:p w14:paraId="08D0DD0D" w14:textId="2867D73E" w:rsidR="00206CF1" w:rsidRPr="00206CF1" w:rsidRDefault="00206CF1" w:rsidP="00206CF1">
            <w:pPr>
              <w:rPr>
                <w:rFonts w:cs="Arial"/>
                <w:lang w:val="en-US"/>
              </w:rPr>
            </w:pPr>
            <w:r w:rsidRPr="00206CF1">
              <w:rPr>
                <w:rFonts w:cs="Arial"/>
                <w:i/>
                <w:iCs/>
              </w:rPr>
              <w:t>84</w:t>
            </w:r>
          </w:p>
        </w:tc>
        <w:tc>
          <w:tcPr>
            <w:tcW w:w="648" w:type="dxa"/>
          </w:tcPr>
          <w:p w14:paraId="4FBCE3F5" w14:textId="32B93FAA" w:rsidR="00206CF1" w:rsidRPr="00206CF1" w:rsidRDefault="00206CF1" w:rsidP="00206CF1">
            <w:pPr>
              <w:rPr>
                <w:rFonts w:cs="Arial"/>
                <w:lang w:val="en-US"/>
              </w:rPr>
            </w:pPr>
            <w:r w:rsidRPr="00206CF1">
              <w:t>76</w:t>
            </w:r>
          </w:p>
        </w:tc>
      </w:tr>
      <w:tr w:rsidR="00206CF1" w14:paraId="065D3573" w14:textId="77777777" w:rsidTr="00206CF1">
        <w:tc>
          <w:tcPr>
            <w:tcW w:w="1985" w:type="dxa"/>
          </w:tcPr>
          <w:p w14:paraId="468FF751" w14:textId="07CC23F2" w:rsidR="00206CF1" w:rsidRPr="00206CF1" w:rsidRDefault="00206CF1" w:rsidP="00206CF1">
            <w:pPr>
              <w:rPr>
                <w:rFonts w:cs="Arial"/>
                <w:lang w:val="en-US"/>
              </w:rPr>
            </w:pPr>
            <w:r w:rsidRPr="00206CF1">
              <w:rPr>
                <w:b/>
                <w:bCs/>
                <w:lang w:val="en-US"/>
              </w:rPr>
              <w:t xml:space="preserve">ALT </w:t>
            </w:r>
            <w:r w:rsidRPr="00206CF1">
              <w:rPr>
                <w:b/>
                <w:bCs/>
              </w:rPr>
              <w:t xml:space="preserve">(%) </w:t>
            </w:r>
            <w:r w:rsidRPr="00206CF1">
              <w:t xml:space="preserve">Нормализирани нива на </w:t>
            </w:r>
            <w:r w:rsidRPr="00206CF1">
              <w:rPr>
                <w:lang w:val="en-US"/>
              </w:rPr>
              <w:t>ALT</w:t>
            </w:r>
          </w:p>
        </w:tc>
        <w:tc>
          <w:tcPr>
            <w:tcW w:w="533" w:type="dxa"/>
          </w:tcPr>
          <w:p w14:paraId="1C0FC12F" w14:textId="3D8B9D75" w:rsidR="00206CF1" w:rsidRPr="00206CF1" w:rsidRDefault="00206CF1" w:rsidP="00206CF1">
            <w:pPr>
              <w:rPr>
                <w:rFonts w:cs="Arial"/>
                <w:lang w:val="en-US"/>
              </w:rPr>
            </w:pPr>
            <w:r w:rsidRPr="00206CF1">
              <w:t>72</w:t>
            </w:r>
          </w:p>
        </w:tc>
        <w:tc>
          <w:tcPr>
            <w:tcW w:w="654" w:type="dxa"/>
          </w:tcPr>
          <w:p w14:paraId="2372EAFD" w14:textId="3024613B" w:rsidR="00206CF1" w:rsidRPr="00206CF1" w:rsidRDefault="00206CF1" w:rsidP="00206CF1">
            <w:pPr>
              <w:rPr>
                <w:rFonts w:cs="Arial"/>
                <w:lang w:val="en-US"/>
              </w:rPr>
            </w:pPr>
            <w:r w:rsidRPr="00206CF1">
              <w:t>73</w:t>
            </w:r>
          </w:p>
        </w:tc>
        <w:tc>
          <w:tcPr>
            <w:tcW w:w="666" w:type="dxa"/>
          </w:tcPr>
          <w:p w14:paraId="0AADA742" w14:textId="7EB2D219" w:rsidR="00206CF1" w:rsidRPr="00206CF1" w:rsidRDefault="00206CF1" w:rsidP="00206CF1">
            <w:pPr>
              <w:rPr>
                <w:rFonts w:cs="Arial"/>
                <w:lang w:val="en-US"/>
              </w:rPr>
            </w:pPr>
            <w:r w:rsidRPr="00206CF1">
              <w:t>67</w:t>
            </w:r>
          </w:p>
        </w:tc>
        <w:tc>
          <w:tcPr>
            <w:tcW w:w="651" w:type="dxa"/>
          </w:tcPr>
          <w:p w14:paraId="42F63D0F" w14:textId="2D32F5BB" w:rsidR="00206CF1" w:rsidRPr="00206CF1" w:rsidRDefault="00206CF1" w:rsidP="00206CF1">
            <w:pPr>
              <w:rPr>
                <w:rFonts w:cs="Arial"/>
                <w:lang w:val="en-US"/>
              </w:rPr>
            </w:pPr>
            <w:r w:rsidRPr="00206CF1">
              <w:t>70</w:t>
            </w:r>
          </w:p>
        </w:tc>
        <w:tc>
          <w:tcPr>
            <w:tcW w:w="654" w:type="dxa"/>
          </w:tcPr>
          <w:p w14:paraId="7B91371F" w14:textId="1709C919" w:rsidR="00206CF1" w:rsidRPr="00206CF1" w:rsidRDefault="00206CF1" w:rsidP="00206CF1">
            <w:pPr>
              <w:rPr>
                <w:rFonts w:cs="Arial"/>
                <w:lang w:val="en-US"/>
              </w:rPr>
            </w:pPr>
            <w:r w:rsidRPr="00206CF1">
              <w:t>68</w:t>
            </w:r>
          </w:p>
        </w:tc>
        <w:tc>
          <w:tcPr>
            <w:tcW w:w="650" w:type="dxa"/>
          </w:tcPr>
          <w:p w14:paraId="0CFC95D4" w14:textId="6D748677" w:rsidR="00206CF1" w:rsidRPr="00206CF1" w:rsidRDefault="00206CF1" w:rsidP="00206CF1">
            <w:pPr>
              <w:rPr>
                <w:rFonts w:cs="Arial"/>
                <w:lang w:val="en-US"/>
              </w:rPr>
            </w:pPr>
            <w:r w:rsidRPr="00206CF1">
              <w:t>64</w:t>
            </w:r>
          </w:p>
        </w:tc>
        <w:tc>
          <w:tcPr>
            <w:tcW w:w="528" w:type="dxa"/>
          </w:tcPr>
          <w:p w14:paraId="510C9957" w14:textId="2A5780E3" w:rsidR="00206CF1" w:rsidRPr="00206CF1" w:rsidRDefault="00206CF1" w:rsidP="00206CF1">
            <w:pPr>
              <w:rPr>
                <w:rFonts w:cs="Arial"/>
                <w:lang w:val="en-US"/>
              </w:rPr>
            </w:pPr>
            <w:r w:rsidRPr="00206CF1">
              <w:t>68</w:t>
            </w:r>
          </w:p>
        </w:tc>
        <w:tc>
          <w:tcPr>
            <w:tcW w:w="650" w:type="dxa"/>
          </w:tcPr>
          <w:p w14:paraId="6B6388B4" w14:textId="79F84F77" w:rsidR="00206CF1" w:rsidRPr="00206CF1" w:rsidRDefault="00206CF1" w:rsidP="00206CF1">
            <w:pPr>
              <w:rPr>
                <w:rFonts w:cs="Arial"/>
                <w:lang w:val="en-US"/>
              </w:rPr>
            </w:pPr>
            <w:r w:rsidRPr="00206CF1">
              <w:t>70</w:t>
            </w:r>
          </w:p>
        </w:tc>
        <w:tc>
          <w:tcPr>
            <w:tcW w:w="637" w:type="dxa"/>
          </w:tcPr>
          <w:p w14:paraId="64804305" w14:textId="460D819D" w:rsidR="00206CF1" w:rsidRPr="00206CF1" w:rsidRDefault="00206CF1" w:rsidP="00206CF1">
            <w:pPr>
              <w:rPr>
                <w:rFonts w:cs="Arial"/>
                <w:lang w:val="en-US"/>
              </w:rPr>
            </w:pPr>
            <w:r w:rsidRPr="00206CF1">
              <w:t>77</w:t>
            </w:r>
          </w:p>
        </w:tc>
        <w:tc>
          <w:tcPr>
            <w:tcW w:w="651" w:type="dxa"/>
          </w:tcPr>
          <w:p w14:paraId="27980ABB" w14:textId="0F3247C5" w:rsidR="00206CF1" w:rsidRPr="00206CF1" w:rsidRDefault="00206CF1" w:rsidP="00206CF1">
            <w:pPr>
              <w:rPr>
                <w:rFonts w:cs="Arial"/>
                <w:lang w:val="en-US"/>
              </w:rPr>
            </w:pPr>
            <w:r w:rsidRPr="00206CF1">
              <w:t>76</w:t>
            </w:r>
          </w:p>
        </w:tc>
        <w:tc>
          <w:tcPr>
            <w:tcW w:w="669" w:type="dxa"/>
          </w:tcPr>
          <w:p w14:paraId="0EE081B3" w14:textId="16F7FAFB" w:rsidR="00206CF1" w:rsidRPr="00206CF1" w:rsidRDefault="00206CF1" w:rsidP="00206CF1">
            <w:pPr>
              <w:rPr>
                <w:rFonts w:cs="Arial"/>
                <w:lang w:val="en-US"/>
              </w:rPr>
            </w:pPr>
            <w:r w:rsidRPr="00206CF1">
              <w:rPr>
                <w:lang w:val="en-US"/>
              </w:rPr>
              <w:t>74</w:t>
            </w:r>
          </w:p>
        </w:tc>
        <w:tc>
          <w:tcPr>
            <w:tcW w:w="648" w:type="dxa"/>
          </w:tcPr>
          <w:p w14:paraId="55DC7ABB" w14:textId="42641B51" w:rsidR="00206CF1" w:rsidRPr="00206CF1" w:rsidRDefault="00206CF1" w:rsidP="00206CF1">
            <w:pPr>
              <w:rPr>
                <w:rFonts w:cs="Arial"/>
                <w:lang w:val="en-US"/>
              </w:rPr>
            </w:pPr>
            <w:r w:rsidRPr="00206CF1">
              <w:t>69</w:t>
            </w:r>
          </w:p>
        </w:tc>
      </w:tr>
      <w:tr w:rsidR="00206CF1" w14:paraId="7DF6F089" w14:textId="77777777" w:rsidTr="00206CF1">
        <w:tc>
          <w:tcPr>
            <w:tcW w:w="1985" w:type="dxa"/>
          </w:tcPr>
          <w:p w14:paraId="40D82444" w14:textId="77777777" w:rsidR="00206CF1" w:rsidRDefault="00206CF1" w:rsidP="00206CF1">
            <w:pPr>
              <w:rPr>
                <w:rFonts w:cs="Arial"/>
                <w:lang w:val="en-US"/>
              </w:rPr>
            </w:pPr>
          </w:p>
        </w:tc>
        <w:tc>
          <w:tcPr>
            <w:tcW w:w="533" w:type="dxa"/>
          </w:tcPr>
          <w:p w14:paraId="3EF413FA" w14:textId="77777777" w:rsidR="00206CF1" w:rsidRDefault="00206CF1" w:rsidP="00206CF1">
            <w:pPr>
              <w:rPr>
                <w:rFonts w:cs="Arial"/>
                <w:lang w:val="en-US"/>
              </w:rPr>
            </w:pPr>
          </w:p>
        </w:tc>
        <w:tc>
          <w:tcPr>
            <w:tcW w:w="654" w:type="dxa"/>
          </w:tcPr>
          <w:p w14:paraId="34AF3E67" w14:textId="77777777" w:rsidR="00206CF1" w:rsidRDefault="00206CF1" w:rsidP="00206CF1">
            <w:pPr>
              <w:rPr>
                <w:rFonts w:cs="Arial"/>
                <w:lang w:val="en-US"/>
              </w:rPr>
            </w:pPr>
          </w:p>
        </w:tc>
        <w:tc>
          <w:tcPr>
            <w:tcW w:w="666" w:type="dxa"/>
          </w:tcPr>
          <w:p w14:paraId="41F9D46D" w14:textId="77777777" w:rsidR="00206CF1" w:rsidRDefault="00206CF1" w:rsidP="00206CF1">
            <w:pPr>
              <w:rPr>
                <w:rFonts w:cs="Arial"/>
                <w:lang w:val="en-US"/>
              </w:rPr>
            </w:pPr>
          </w:p>
        </w:tc>
        <w:tc>
          <w:tcPr>
            <w:tcW w:w="651" w:type="dxa"/>
          </w:tcPr>
          <w:p w14:paraId="28573FBA" w14:textId="77777777" w:rsidR="00206CF1" w:rsidRDefault="00206CF1" w:rsidP="00206CF1">
            <w:pPr>
              <w:rPr>
                <w:rFonts w:cs="Arial"/>
                <w:lang w:val="en-US"/>
              </w:rPr>
            </w:pPr>
          </w:p>
        </w:tc>
        <w:tc>
          <w:tcPr>
            <w:tcW w:w="654" w:type="dxa"/>
          </w:tcPr>
          <w:p w14:paraId="36348C27" w14:textId="77777777" w:rsidR="00206CF1" w:rsidRDefault="00206CF1" w:rsidP="00206CF1">
            <w:pPr>
              <w:rPr>
                <w:rFonts w:cs="Arial"/>
                <w:lang w:val="en-US"/>
              </w:rPr>
            </w:pPr>
          </w:p>
        </w:tc>
        <w:tc>
          <w:tcPr>
            <w:tcW w:w="650" w:type="dxa"/>
          </w:tcPr>
          <w:p w14:paraId="18F175E2" w14:textId="77777777" w:rsidR="00206CF1" w:rsidRDefault="00206CF1" w:rsidP="00206CF1">
            <w:pPr>
              <w:rPr>
                <w:rFonts w:cs="Arial"/>
                <w:lang w:val="en-US"/>
              </w:rPr>
            </w:pPr>
          </w:p>
        </w:tc>
        <w:tc>
          <w:tcPr>
            <w:tcW w:w="528" w:type="dxa"/>
          </w:tcPr>
          <w:p w14:paraId="02441E0C" w14:textId="77777777" w:rsidR="00206CF1" w:rsidRDefault="00206CF1" w:rsidP="00206CF1">
            <w:pPr>
              <w:rPr>
                <w:rFonts w:cs="Arial"/>
                <w:lang w:val="en-US"/>
              </w:rPr>
            </w:pPr>
          </w:p>
        </w:tc>
        <w:tc>
          <w:tcPr>
            <w:tcW w:w="650" w:type="dxa"/>
          </w:tcPr>
          <w:p w14:paraId="0A4155A7" w14:textId="77777777" w:rsidR="00206CF1" w:rsidRDefault="00206CF1" w:rsidP="00206CF1">
            <w:pPr>
              <w:rPr>
                <w:rFonts w:cs="Arial"/>
                <w:lang w:val="en-US"/>
              </w:rPr>
            </w:pPr>
          </w:p>
        </w:tc>
        <w:tc>
          <w:tcPr>
            <w:tcW w:w="637" w:type="dxa"/>
          </w:tcPr>
          <w:p w14:paraId="077FB05B" w14:textId="77777777" w:rsidR="00206CF1" w:rsidRDefault="00206CF1" w:rsidP="00206CF1">
            <w:pPr>
              <w:rPr>
                <w:rFonts w:cs="Arial"/>
                <w:lang w:val="en-US"/>
              </w:rPr>
            </w:pPr>
          </w:p>
        </w:tc>
        <w:tc>
          <w:tcPr>
            <w:tcW w:w="651" w:type="dxa"/>
          </w:tcPr>
          <w:p w14:paraId="489D3E82" w14:textId="77777777" w:rsidR="00206CF1" w:rsidRDefault="00206CF1" w:rsidP="00206CF1">
            <w:pPr>
              <w:rPr>
                <w:rFonts w:cs="Arial"/>
                <w:lang w:val="en-US"/>
              </w:rPr>
            </w:pPr>
          </w:p>
        </w:tc>
        <w:tc>
          <w:tcPr>
            <w:tcW w:w="669" w:type="dxa"/>
          </w:tcPr>
          <w:p w14:paraId="5373D94B" w14:textId="77777777" w:rsidR="00206CF1" w:rsidRDefault="00206CF1" w:rsidP="00206CF1">
            <w:pPr>
              <w:rPr>
                <w:rFonts w:cs="Arial"/>
                <w:lang w:val="en-US"/>
              </w:rPr>
            </w:pPr>
          </w:p>
        </w:tc>
        <w:tc>
          <w:tcPr>
            <w:tcW w:w="648" w:type="dxa"/>
          </w:tcPr>
          <w:p w14:paraId="1E6403EA" w14:textId="77777777" w:rsidR="00206CF1" w:rsidRDefault="00206CF1" w:rsidP="00206CF1">
            <w:pPr>
              <w:rPr>
                <w:rFonts w:cs="Arial"/>
                <w:lang w:val="en-US"/>
              </w:rPr>
            </w:pPr>
          </w:p>
        </w:tc>
      </w:tr>
      <w:tr w:rsidR="00206CF1" w14:paraId="7FC9A527" w14:textId="77777777" w:rsidTr="00206CF1">
        <w:tc>
          <w:tcPr>
            <w:tcW w:w="1985" w:type="dxa"/>
            <w:vAlign w:val="bottom"/>
          </w:tcPr>
          <w:p w14:paraId="0EA8F3E7" w14:textId="77777777" w:rsidR="00206CF1" w:rsidRPr="00206CF1" w:rsidRDefault="00206CF1" w:rsidP="00206CF1">
            <w:r w:rsidRPr="00206CF1">
              <w:rPr>
                <w:b/>
                <w:bCs/>
              </w:rPr>
              <w:t>Серология (%)</w:t>
            </w:r>
          </w:p>
          <w:p w14:paraId="0576B162" w14:textId="02A19B3F" w:rsidR="00206CF1" w:rsidRPr="00206CF1" w:rsidRDefault="00206CF1" w:rsidP="00206CF1">
            <w:pPr>
              <w:rPr>
                <w:rFonts w:cs="Arial"/>
                <w:lang w:val="en-US"/>
              </w:rPr>
            </w:pPr>
            <w:r w:rsidRPr="00206CF1">
              <w:t xml:space="preserve">Негативиране на </w:t>
            </w:r>
            <w:proofErr w:type="spellStart"/>
            <w:r w:rsidRPr="00206CF1">
              <w:rPr>
                <w:lang w:val="en-US"/>
              </w:rPr>
              <w:t>HBeAg</w:t>
            </w:r>
            <w:proofErr w:type="spellEnd"/>
            <w:r w:rsidRPr="00206CF1">
              <w:t>/сероконве рсия</w:t>
            </w:r>
          </w:p>
        </w:tc>
        <w:tc>
          <w:tcPr>
            <w:tcW w:w="533" w:type="dxa"/>
            <w:vAlign w:val="center"/>
          </w:tcPr>
          <w:p w14:paraId="357FA896" w14:textId="4398D7D5" w:rsidR="00206CF1" w:rsidRPr="00206CF1" w:rsidRDefault="00206CF1" w:rsidP="00206CF1">
            <w:pPr>
              <w:rPr>
                <w:rFonts w:cs="Arial"/>
                <w:lang w:val="en-US"/>
              </w:rPr>
            </w:pPr>
            <w:r>
              <w:rPr>
                <w:lang w:val="en-US"/>
              </w:rPr>
              <w:t>n</w:t>
            </w:r>
            <w:r w:rsidRPr="00206CF1">
              <w:t>/а</w:t>
            </w:r>
          </w:p>
        </w:tc>
        <w:tc>
          <w:tcPr>
            <w:tcW w:w="654" w:type="dxa"/>
            <w:vAlign w:val="center"/>
          </w:tcPr>
          <w:p w14:paraId="7D734DDE" w14:textId="74D0B94D" w:rsidR="00206CF1" w:rsidRPr="00206CF1" w:rsidRDefault="00206CF1" w:rsidP="00206CF1">
            <w:pPr>
              <w:rPr>
                <w:rFonts w:cs="Arial"/>
                <w:lang w:val="en-US"/>
              </w:rPr>
            </w:pPr>
            <w:r>
              <w:rPr>
                <w:lang w:val="en-US"/>
              </w:rPr>
              <w:t>n</w:t>
            </w:r>
            <w:r w:rsidRPr="00206CF1">
              <w:t>/а</w:t>
            </w:r>
          </w:p>
        </w:tc>
        <w:tc>
          <w:tcPr>
            <w:tcW w:w="666" w:type="dxa"/>
            <w:vAlign w:val="center"/>
          </w:tcPr>
          <w:p w14:paraId="4B7F3383" w14:textId="5D45181E" w:rsidR="00206CF1" w:rsidRPr="00206CF1" w:rsidRDefault="00206CF1" w:rsidP="00206CF1">
            <w:pPr>
              <w:rPr>
                <w:rFonts w:cs="Arial"/>
                <w:lang w:val="en-US"/>
              </w:rPr>
            </w:pPr>
            <w:r>
              <w:rPr>
                <w:lang w:val="en-US"/>
              </w:rPr>
              <w:t>n</w:t>
            </w:r>
            <w:r w:rsidRPr="00206CF1">
              <w:t>/а</w:t>
            </w:r>
          </w:p>
        </w:tc>
        <w:tc>
          <w:tcPr>
            <w:tcW w:w="651" w:type="dxa"/>
            <w:vAlign w:val="center"/>
          </w:tcPr>
          <w:p w14:paraId="69E7F7C9" w14:textId="2BC57A15" w:rsidR="00206CF1" w:rsidRPr="00206CF1" w:rsidRDefault="00206CF1" w:rsidP="00206CF1">
            <w:pPr>
              <w:rPr>
                <w:rFonts w:cs="Arial"/>
                <w:lang w:val="en-US"/>
              </w:rPr>
            </w:pPr>
            <w:r>
              <w:rPr>
                <w:lang w:val="en-US"/>
              </w:rPr>
              <w:t>n</w:t>
            </w:r>
            <w:r w:rsidRPr="00206CF1">
              <w:t>/а</w:t>
            </w:r>
          </w:p>
        </w:tc>
        <w:tc>
          <w:tcPr>
            <w:tcW w:w="654" w:type="dxa"/>
            <w:vAlign w:val="center"/>
          </w:tcPr>
          <w:p w14:paraId="0319DA00" w14:textId="7A32D073" w:rsidR="00206CF1" w:rsidRPr="00206CF1" w:rsidRDefault="00206CF1" w:rsidP="00206CF1">
            <w:pPr>
              <w:rPr>
                <w:rFonts w:cs="Arial"/>
                <w:lang w:val="en-US"/>
              </w:rPr>
            </w:pPr>
            <w:r>
              <w:rPr>
                <w:lang w:val="en-US"/>
              </w:rPr>
              <w:t>n</w:t>
            </w:r>
            <w:r w:rsidRPr="00206CF1">
              <w:t>/а</w:t>
            </w:r>
          </w:p>
        </w:tc>
        <w:tc>
          <w:tcPr>
            <w:tcW w:w="650" w:type="dxa"/>
            <w:vAlign w:val="bottom"/>
          </w:tcPr>
          <w:p w14:paraId="11CCEEC5" w14:textId="3EEDD315" w:rsidR="00206CF1" w:rsidRPr="00206CF1" w:rsidRDefault="00206CF1" w:rsidP="00206CF1">
            <w:pPr>
              <w:rPr>
                <w:rFonts w:cs="Arial"/>
                <w:lang w:val="en-US"/>
              </w:rPr>
            </w:pPr>
            <w:r>
              <w:rPr>
                <w:lang w:val="en-US"/>
              </w:rPr>
              <w:t>n</w:t>
            </w:r>
            <w:r w:rsidRPr="00206CF1">
              <w:t>/а</w:t>
            </w:r>
          </w:p>
        </w:tc>
        <w:tc>
          <w:tcPr>
            <w:tcW w:w="528" w:type="dxa"/>
            <w:vAlign w:val="center"/>
          </w:tcPr>
          <w:p w14:paraId="7DF0BAF4" w14:textId="17624E23" w:rsidR="00206CF1" w:rsidRPr="00206CF1" w:rsidRDefault="00206CF1" w:rsidP="00206CF1">
            <w:pPr>
              <w:rPr>
                <w:rFonts w:cs="Arial"/>
                <w:lang w:val="en-US"/>
              </w:rPr>
            </w:pPr>
            <w:r>
              <w:rPr>
                <w:lang w:val="en-US"/>
              </w:rPr>
              <w:t>n</w:t>
            </w:r>
            <w:r w:rsidRPr="00206CF1">
              <w:t>/а</w:t>
            </w:r>
          </w:p>
        </w:tc>
        <w:tc>
          <w:tcPr>
            <w:tcW w:w="650" w:type="dxa"/>
            <w:vAlign w:val="center"/>
          </w:tcPr>
          <w:p w14:paraId="17412D1C" w14:textId="38D18C35" w:rsidR="00206CF1" w:rsidRPr="00206CF1" w:rsidRDefault="00206CF1" w:rsidP="00206CF1">
            <w:pPr>
              <w:rPr>
                <w:rFonts w:cs="Arial"/>
                <w:lang w:val="en-US"/>
              </w:rPr>
            </w:pPr>
            <w:r>
              <w:rPr>
                <w:lang w:val="en-US"/>
              </w:rPr>
              <w:t>n</w:t>
            </w:r>
            <w:r w:rsidRPr="00206CF1">
              <w:t>/а</w:t>
            </w:r>
          </w:p>
        </w:tc>
        <w:tc>
          <w:tcPr>
            <w:tcW w:w="637" w:type="dxa"/>
            <w:vAlign w:val="center"/>
          </w:tcPr>
          <w:p w14:paraId="3A6C586C" w14:textId="4CFC3162" w:rsidR="00206CF1" w:rsidRPr="00206CF1" w:rsidRDefault="00206CF1" w:rsidP="00206CF1">
            <w:pPr>
              <w:rPr>
                <w:rFonts w:cs="Arial"/>
                <w:lang w:val="en-US"/>
              </w:rPr>
            </w:pPr>
            <w:r>
              <w:rPr>
                <w:lang w:val="en-US"/>
              </w:rPr>
              <w:t>n</w:t>
            </w:r>
            <w:r w:rsidRPr="00206CF1">
              <w:t>/а</w:t>
            </w:r>
          </w:p>
        </w:tc>
        <w:tc>
          <w:tcPr>
            <w:tcW w:w="651" w:type="dxa"/>
            <w:vAlign w:val="center"/>
          </w:tcPr>
          <w:p w14:paraId="69890B7C" w14:textId="39ACF55B" w:rsidR="00206CF1" w:rsidRPr="00206CF1" w:rsidRDefault="00206CF1" w:rsidP="00206CF1">
            <w:pPr>
              <w:rPr>
                <w:rFonts w:cs="Arial"/>
                <w:lang w:val="en-US"/>
              </w:rPr>
            </w:pPr>
            <w:r>
              <w:rPr>
                <w:lang w:val="en-US"/>
              </w:rPr>
              <w:t>n</w:t>
            </w:r>
            <w:r w:rsidRPr="00206CF1">
              <w:t>/а</w:t>
            </w:r>
          </w:p>
        </w:tc>
        <w:tc>
          <w:tcPr>
            <w:tcW w:w="669" w:type="dxa"/>
            <w:vAlign w:val="center"/>
          </w:tcPr>
          <w:p w14:paraId="498A9599" w14:textId="25AA7754" w:rsidR="00206CF1" w:rsidRPr="00206CF1" w:rsidRDefault="00206CF1" w:rsidP="00206CF1">
            <w:pPr>
              <w:rPr>
                <w:rFonts w:cs="Arial"/>
                <w:lang w:val="en-US"/>
              </w:rPr>
            </w:pPr>
            <w:r>
              <w:rPr>
                <w:lang w:val="en-US"/>
              </w:rPr>
              <w:t>n</w:t>
            </w:r>
            <w:r w:rsidRPr="00206CF1">
              <w:t>/а</w:t>
            </w:r>
          </w:p>
        </w:tc>
        <w:tc>
          <w:tcPr>
            <w:tcW w:w="648" w:type="dxa"/>
            <w:vAlign w:val="bottom"/>
          </w:tcPr>
          <w:p w14:paraId="6499EA98" w14:textId="1C054E64" w:rsidR="00206CF1" w:rsidRPr="00206CF1" w:rsidRDefault="00206CF1" w:rsidP="00206CF1">
            <w:pPr>
              <w:rPr>
                <w:rFonts w:cs="Arial"/>
                <w:lang w:val="en-US"/>
              </w:rPr>
            </w:pPr>
            <w:r w:rsidRPr="00206CF1">
              <w:t>п/а</w:t>
            </w:r>
          </w:p>
        </w:tc>
      </w:tr>
      <w:tr w:rsidR="00206CF1" w14:paraId="272E5786" w14:textId="77777777" w:rsidTr="00206CF1">
        <w:tc>
          <w:tcPr>
            <w:tcW w:w="1985" w:type="dxa"/>
            <w:vAlign w:val="bottom"/>
          </w:tcPr>
          <w:p w14:paraId="14E8D3EC" w14:textId="129D1DA2" w:rsidR="00206CF1" w:rsidRPr="00206CF1" w:rsidRDefault="00206CF1" w:rsidP="00206CF1">
            <w:pPr>
              <w:rPr>
                <w:rFonts w:cs="Arial"/>
                <w:lang w:val="en-US"/>
              </w:rPr>
            </w:pPr>
            <w:r w:rsidRPr="00206CF1">
              <w:t>Негативиране на НВ</w:t>
            </w:r>
            <w:proofErr w:type="spellStart"/>
            <w:r w:rsidRPr="00206CF1">
              <w:rPr>
                <w:lang w:val="en-US"/>
              </w:rPr>
              <w:t>sAg</w:t>
            </w:r>
            <w:proofErr w:type="spellEnd"/>
            <w:r w:rsidRPr="00206CF1">
              <w:t>/сероконве рсия</w:t>
            </w:r>
          </w:p>
        </w:tc>
        <w:tc>
          <w:tcPr>
            <w:tcW w:w="533" w:type="dxa"/>
          </w:tcPr>
          <w:p w14:paraId="4316B164" w14:textId="30869862" w:rsidR="00206CF1" w:rsidRPr="00206CF1" w:rsidRDefault="00206CF1" w:rsidP="00206CF1">
            <w:pPr>
              <w:rPr>
                <w:rFonts w:cs="Arial"/>
                <w:lang w:val="en-US"/>
              </w:rPr>
            </w:pPr>
            <w:r w:rsidRPr="00206CF1">
              <w:t>0/0</w:t>
            </w:r>
          </w:p>
        </w:tc>
        <w:tc>
          <w:tcPr>
            <w:tcW w:w="654" w:type="dxa"/>
          </w:tcPr>
          <w:p w14:paraId="58A02D0E" w14:textId="3690BAD9" w:rsidR="00206CF1" w:rsidRPr="00206CF1" w:rsidRDefault="00206CF1" w:rsidP="00206CF1">
            <w:pPr>
              <w:rPr>
                <w:rFonts w:cs="Arial"/>
                <w:lang w:val="en-US"/>
              </w:rPr>
            </w:pPr>
            <w:r w:rsidRPr="00206CF1">
              <w:t>0/0</w:t>
            </w:r>
          </w:p>
        </w:tc>
        <w:tc>
          <w:tcPr>
            <w:tcW w:w="666" w:type="dxa"/>
          </w:tcPr>
          <w:p w14:paraId="13ED693A" w14:textId="695CE91A" w:rsidR="00206CF1" w:rsidRPr="00206CF1" w:rsidRDefault="00206CF1" w:rsidP="00206CF1">
            <w:pPr>
              <w:rPr>
                <w:rFonts w:cs="Arial"/>
                <w:lang w:val="en-US"/>
              </w:rPr>
            </w:pPr>
            <w:r w:rsidRPr="00206CF1">
              <w:t>0/0</w:t>
            </w:r>
          </w:p>
        </w:tc>
        <w:tc>
          <w:tcPr>
            <w:tcW w:w="651" w:type="dxa"/>
          </w:tcPr>
          <w:p w14:paraId="15EA8235" w14:textId="2C677538" w:rsidR="00206CF1" w:rsidRPr="00206CF1" w:rsidRDefault="00206CF1" w:rsidP="00206CF1">
            <w:pPr>
              <w:rPr>
                <w:rFonts w:cs="Arial"/>
                <w:lang w:val="en-US"/>
              </w:rPr>
            </w:pPr>
            <w:r w:rsidRPr="00206CF1">
              <w:t>0/0</w:t>
            </w:r>
          </w:p>
        </w:tc>
        <w:tc>
          <w:tcPr>
            <w:tcW w:w="654" w:type="dxa"/>
          </w:tcPr>
          <w:p w14:paraId="6091DE34" w14:textId="1808B8F7" w:rsidR="00206CF1" w:rsidRPr="00206CF1" w:rsidRDefault="00206CF1" w:rsidP="00206CF1">
            <w:pPr>
              <w:rPr>
                <w:rFonts w:cs="Arial"/>
                <w:lang w:val="en-US"/>
              </w:rPr>
            </w:pPr>
            <w:r w:rsidRPr="00206CF1">
              <w:t>0/0</w:t>
            </w:r>
          </w:p>
        </w:tc>
        <w:tc>
          <w:tcPr>
            <w:tcW w:w="650" w:type="dxa"/>
            <w:vAlign w:val="center"/>
          </w:tcPr>
          <w:p w14:paraId="57065E82" w14:textId="21ACAA7B" w:rsidR="00206CF1" w:rsidRPr="00206CF1" w:rsidRDefault="00206CF1" w:rsidP="00206CF1">
            <w:pPr>
              <w:rPr>
                <w:rFonts w:cs="Arial"/>
                <w:lang w:val="en-US"/>
              </w:rPr>
            </w:pPr>
            <w:r w:rsidRPr="00206CF1">
              <w:t>1/1</w:t>
            </w:r>
            <w:r w:rsidRPr="00206CF1">
              <w:rPr>
                <w:vertAlign w:val="superscript"/>
              </w:rPr>
              <w:t>н</w:t>
            </w:r>
          </w:p>
        </w:tc>
        <w:tc>
          <w:tcPr>
            <w:tcW w:w="528" w:type="dxa"/>
          </w:tcPr>
          <w:p w14:paraId="2A649777" w14:textId="781506D9" w:rsidR="00206CF1" w:rsidRPr="00206CF1" w:rsidRDefault="00206CF1" w:rsidP="00206CF1">
            <w:pPr>
              <w:rPr>
                <w:rFonts w:cs="Arial"/>
                <w:lang w:val="en-US"/>
              </w:rPr>
            </w:pPr>
            <w:r w:rsidRPr="00206CF1">
              <w:t>0/0</w:t>
            </w:r>
          </w:p>
        </w:tc>
        <w:tc>
          <w:tcPr>
            <w:tcW w:w="650" w:type="dxa"/>
          </w:tcPr>
          <w:p w14:paraId="70137BD5" w14:textId="59B4AEB0" w:rsidR="00206CF1" w:rsidRPr="00206CF1" w:rsidRDefault="00206CF1" w:rsidP="00206CF1">
            <w:pPr>
              <w:rPr>
                <w:rFonts w:cs="Arial"/>
                <w:lang w:val="en-US"/>
              </w:rPr>
            </w:pPr>
            <w:r w:rsidRPr="00206CF1">
              <w:t>0/0</w:t>
            </w:r>
          </w:p>
        </w:tc>
        <w:tc>
          <w:tcPr>
            <w:tcW w:w="637" w:type="dxa"/>
          </w:tcPr>
          <w:p w14:paraId="36827EC9" w14:textId="039E7985" w:rsidR="00206CF1" w:rsidRPr="00206CF1" w:rsidRDefault="00206CF1" w:rsidP="00206CF1">
            <w:pPr>
              <w:rPr>
                <w:rFonts w:cs="Arial"/>
                <w:lang w:val="en-US"/>
              </w:rPr>
            </w:pPr>
            <w:r w:rsidRPr="00206CF1">
              <w:t>0/0</w:t>
            </w:r>
          </w:p>
        </w:tc>
        <w:tc>
          <w:tcPr>
            <w:tcW w:w="651" w:type="dxa"/>
          </w:tcPr>
          <w:p w14:paraId="4746A7C8" w14:textId="71A8A626" w:rsidR="00206CF1" w:rsidRPr="00206CF1" w:rsidRDefault="00206CF1" w:rsidP="00206CF1">
            <w:pPr>
              <w:rPr>
                <w:rFonts w:cs="Arial"/>
                <w:lang w:val="en-US"/>
              </w:rPr>
            </w:pPr>
            <w:r w:rsidRPr="00206CF1">
              <w:t>0/0</w:t>
            </w:r>
            <w:r w:rsidRPr="00206CF1">
              <w:rPr>
                <w:vertAlign w:val="superscript"/>
              </w:rPr>
              <w:t>к</w:t>
            </w:r>
          </w:p>
        </w:tc>
        <w:tc>
          <w:tcPr>
            <w:tcW w:w="669" w:type="dxa"/>
          </w:tcPr>
          <w:p w14:paraId="7C9F776C" w14:textId="6DFB00E7" w:rsidR="00206CF1" w:rsidRPr="00206CF1" w:rsidRDefault="00206CF1" w:rsidP="00206CF1">
            <w:pPr>
              <w:rPr>
                <w:rFonts w:cs="Arial"/>
                <w:lang w:val="en-US"/>
              </w:rPr>
            </w:pPr>
            <w:r w:rsidRPr="00206CF1">
              <w:t>1/1</w:t>
            </w:r>
            <w:r w:rsidRPr="00206CF1">
              <w:rPr>
                <w:vertAlign w:val="superscript"/>
              </w:rPr>
              <w:t>н</w:t>
            </w:r>
          </w:p>
        </w:tc>
        <w:tc>
          <w:tcPr>
            <w:tcW w:w="648" w:type="dxa"/>
            <w:vAlign w:val="center"/>
          </w:tcPr>
          <w:p w14:paraId="0CB56D4A" w14:textId="515E9CEC" w:rsidR="00206CF1" w:rsidRPr="00206CF1" w:rsidRDefault="00206CF1" w:rsidP="00206CF1">
            <w:pPr>
              <w:rPr>
                <w:rFonts w:cs="Arial"/>
                <w:lang w:val="en-US"/>
              </w:rPr>
            </w:pPr>
            <w:r w:rsidRPr="00206CF1">
              <w:t>1/1</w:t>
            </w:r>
            <w:r w:rsidRPr="00206CF1">
              <w:rPr>
                <w:vertAlign w:val="superscript"/>
              </w:rPr>
              <w:t>н</w:t>
            </w:r>
          </w:p>
        </w:tc>
      </w:tr>
    </w:tbl>
    <w:p w14:paraId="516BE5DB"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а</w:t>
      </w:r>
      <w:r w:rsidRPr="00206CF1">
        <w:rPr>
          <w:rFonts w:eastAsia="Times New Roman" w:cs="Arial"/>
          <w:color w:val="000000"/>
          <w:lang w:eastAsia="bg-BG"/>
        </w:rPr>
        <w:t xml:space="preserve"> Въз основа на алгоритъм за дългосрочна оценка </w:t>
      </w:r>
      <w:r w:rsidRPr="00206CF1">
        <w:rPr>
          <w:rFonts w:eastAsia="Times New Roman" w:cs="Arial"/>
          <w:color w:val="000000"/>
          <w:lang w:val="en-US"/>
        </w:rPr>
        <w:t xml:space="preserve">(Long Term Evaluation algorithm (LTE Analysis)) </w:t>
      </w:r>
      <w:r w:rsidRPr="00206CF1">
        <w:rPr>
          <w:rFonts w:eastAsia="Times New Roman" w:cs="Arial"/>
          <w:color w:val="000000"/>
          <w:lang w:eastAsia="bg-BG"/>
        </w:rPr>
        <w:t>в знаменателя са включени пациентите, които са прекратили проучването по всяко време преди 384-та седмица поради определена от протокола крайна точка, както и тези, които са завършили 384-седмичното лечение.</w:t>
      </w:r>
    </w:p>
    <w:p w14:paraId="335DE8C3" w14:textId="594CA6C9" w:rsidR="00206CF1" w:rsidRPr="00206CF1" w:rsidRDefault="00206CF1" w:rsidP="00206CF1">
      <w:pPr>
        <w:spacing w:line="240" w:lineRule="auto"/>
        <w:rPr>
          <w:rFonts w:eastAsia="Times New Roman" w:cs="Arial"/>
          <w:color w:val="000000"/>
          <w:lang w:eastAsia="bg-BG"/>
        </w:rPr>
      </w:pPr>
      <w:r w:rsidRPr="00206CF1">
        <w:rPr>
          <w:rFonts w:eastAsia="Times New Roman" w:cs="Arial"/>
          <w:color w:val="000000"/>
          <w:vertAlign w:val="superscript"/>
          <w:lang w:eastAsia="bg-BG"/>
        </w:rPr>
        <w:t>б</w:t>
      </w:r>
      <w:r w:rsidRPr="00206CF1">
        <w:rPr>
          <w:rFonts w:eastAsia="Times New Roman" w:cs="Arial"/>
          <w:color w:val="000000"/>
          <w:lang w:eastAsia="bg-BG"/>
        </w:rPr>
        <w:t>48 седмици двойносляпо лечение с тенофовир дизопроксил, последвано от 48 седмици отворено лечение.</w:t>
      </w:r>
    </w:p>
    <w:p w14:paraId="34B75164"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в</w:t>
      </w:r>
      <w:r w:rsidRPr="00206CF1">
        <w:rPr>
          <w:rFonts w:eastAsia="Times New Roman" w:cs="Arial"/>
          <w:color w:val="000000"/>
          <w:lang w:eastAsia="bg-BG"/>
        </w:rPr>
        <w:t xml:space="preserve"> 48 седмици двойносляпо лечение с адефовир дипивоксил, последвано от 48 седмици отворено лечение с тенофовир дизопроксил.</w:t>
      </w:r>
    </w:p>
    <w:p w14:paraId="77BA26EB"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г</w:t>
      </w:r>
      <w:r w:rsidRPr="00206CF1">
        <w:rPr>
          <w:rFonts w:eastAsia="Times New Roman" w:cs="Arial"/>
          <w:color w:val="000000"/>
          <w:lang w:eastAsia="bg-BG"/>
        </w:rPr>
        <w:t xml:space="preserve"> Популацията, при която е анализирано нормализирането на </w:t>
      </w:r>
      <w:r w:rsidRPr="00206CF1">
        <w:rPr>
          <w:rFonts w:eastAsia="Times New Roman" w:cs="Arial"/>
          <w:color w:val="000000"/>
          <w:lang w:val="en-US"/>
        </w:rPr>
        <w:t xml:space="preserve">ALT, </w:t>
      </w:r>
      <w:r w:rsidRPr="00206CF1">
        <w:rPr>
          <w:rFonts w:eastAsia="Times New Roman" w:cs="Arial"/>
          <w:color w:val="000000"/>
          <w:lang w:eastAsia="bg-BG"/>
        </w:rPr>
        <w:t xml:space="preserve">включва само пациенти с нива на </w:t>
      </w:r>
      <w:r w:rsidRPr="00206CF1">
        <w:rPr>
          <w:rFonts w:eastAsia="Times New Roman" w:cs="Arial"/>
          <w:color w:val="000000"/>
          <w:lang w:val="en-US"/>
        </w:rPr>
        <w:t xml:space="preserve">ALT </w:t>
      </w:r>
      <w:r w:rsidRPr="00206CF1">
        <w:rPr>
          <w:rFonts w:eastAsia="Times New Roman" w:cs="Arial"/>
          <w:color w:val="000000"/>
          <w:lang w:eastAsia="bg-BG"/>
        </w:rPr>
        <w:t>над горната граница на нормата на изходното ниво.</w:t>
      </w:r>
    </w:p>
    <w:p w14:paraId="3B73EB0D"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д</w:t>
      </w:r>
      <w:r w:rsidRPr="00206CF1">
        <w:rPr>
          <w:rFonts w:eastAsia="Times New Roman" w:cs="Arial"/>
          <w:color w:val="000000"/>
          <w:lang w:eastAsia="bg-BG"/>
        </w:rPr>
        <w:t>48 седмици двойносляпо лечение с тенофовир дизопроксил, последвано от 96 седмици отворено лечение.</w:t>
      </w:r>
    </w:p>
    <w:p w14:paraId="690D17EE"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lastRenderedPageBreak/>
        <w:t>е</w:t>
      </w:r>
      <w:r w:rsidRPr="00206CF1">
        <w:rPr>
          <w:rFonts w:eastAsia="Times New Roman" w:cs="Arial"/>
          <w:color w:val="000000"/>
          <w:lang w:eastAsia="bg-BG"/>
        </w:rPr>
        <w:t xml:space="preserve"> 48 седмици двойносляпо лечение с адефовир дипивоксил, последвано от 96 седмици отворено лечение с тенофовир дизопроксил.</w:t>
      </w:r>
    </w:p>
    <w:p w14:paraId="365BE6DE"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ж</w:t>
      </w:r>
      <w:r w:rsidRPr="00206CF1">
        <w:rPr>
          <w:rFonts w:eastAsia="Times New Roman" w:cs="Arial"/>
          <w:color w:val="000000"/>
          <w:lang w:eastAsia="bg-BG"/>
        </w:rPr>
        <w:t>48 седмици двойносляпо лечение с тенофовир дизопроксил, последвано от 144 седмици отворено лечение.</w:t>
      </w:r>
    </w:p>
    <w:p w14:paraId="7EB4B194"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3</w:t>
      </w:r>
      <w:r w:rsidRPr="00206CF1">
        <w:rPr>
          <w:rFonts w:eastAsia="Times New Roman" w:cs="Arial"/>
          <w:color w:val="000000"/>
          <w:lang w:eastAsia="bg-BG"/>
        </w:rPr>
        <w:t xml:space="preserve"> 48 седмици двойносляпо лечение с адефовир дипивоксил, последвано от 144 седмици отворено лечение с тенофовир дизопроксил.</w:t>
      </w:r>
    </w:p>
    <w:p w14:paraId="750D8049"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и</w:t>
      </w:r>
      <w:r w:rsidRPr="00206CF1">
        <w:rPr>
          <w:rFonts w:eastAsia="Times New Roman" w:cs="Arial"/>
          <w:color w:val="000000"/>
          <w:lang w:eastAsia="bg-BG"/>
        </w:rPr>
        <w:t>48 седмици двойносляпо лечение с тенофовир дизопроксил, последвано от 192 седмици отворено лечение.</w:t>
      </w:r>
    </w:p>
    <w:p w14:paraId="21FF64BC"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й</w:t>
      </w:r>
      <w:r w:rsidRPr="00206CF1">
        <w:rPr>
          <w:rFonts w:eastAsia="Times New Roman" w:cs="Arial"/>
          <w:color w:val="000000"/>
          <w:lang w:eastAsia="bg-BG"/>
        </w:rPr>
        <w:t>48 седмици двойносляпо лечение с адефовир дипивоксил, последвано от 192 седмици отворено лечение с тенофовир дизопроксил.</w:t>
      </w:r>
    </w:p>
    <w:p w14:paraId="5DC84FA5"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к</w:t>
      </w:r>
      <w:r w:rsidRPr="00206CF1">
        <w:rPr>
          <w:rFonts w:eastAsia="Times New Roman" w:cs="Arial"/>
          <w:color w:val="000000"/>
          <w:lang w:eastAsia="bg-BG"/>
        </w:rPr>
        <w:t xml:space="preserve"> Един пациент от тази група става </w:t>
      </w:r>
      <w:r w:rsidRPr="00206CF1">
        <w:rPr>
          <w:rFonts w:eastAsia="Times New Roman" w:cs="Arial"/>
          <w:color w:val="000000"/>
          <w:lang w:val="en-US"/>
        </w:rPr>
        <w:t xml:space="preserve">HBsAg </w:t>
      </w:r>
      <w:r w:rsidRPr="00206CF1">
        <w:rPr>
          <w:rFonts w:eastAsia="Times New Roman" w:cs="Arial"/>
          <w:color w:val="000000"/>
          <w:lang w:eastAsia="bg-BG"/>
        </w:rPr>
        <w:t xml:space="preserve">отрицателен за първи път при визитата през 240-тата седмица и е продължил участието си в проучването към момента на заключване на базата данни. Негативирането на </w:t>
      </w:r>
      <w:r w:rsidRPr="00206CF1">
        <w:rPr>
          <w:rFonts w:eastAsia="Times New Roman" w:cs="Arial"/>
          <w:color w:val="000000"/>
          <w:lang w:val="en-US"/>
        </w:rPr>
        <w:t xml:space="preserve">HBsAg </w:t>
      </w:r>
      <w:r w:rsidRPr="00206CF1">
        <w:rPr>
          <w:rFonts w:eastAsia="Times New Roman" w:cs="Arial"/>
          <w:color w:val="000000"/>
          <w:lang w:eastAsia="bg-BG"/>
        </w:rPr>
        <w:t>при този участник е потвърдено при следващата визита.</w:t>
      </w:r>
    </w:p>
    <w:p w14:paraId="68A4547D"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л</w:t>
      </w:r>
      <w:r w:rsidRPr="00206CF1">
        <w:rPr>
          <w:rFonts w:eastAsia="Times New Roman" w:cs="Arial"/>
          <w:color w:val="000000"/>
          <w:lang w:eastAsia="bg-BG"/>
        </w:rPr>
        <w:t>48 седмици двойносляпо лечение с тенофовир дизопроксил, последвано от 240 седмици отворено лечение.</w:t>
      </w:r>
    </w:p>
    <w:p w14:paraId="034A40AA"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м</w:t>
      </w:r>
      <w:r w:rsidRPr="00206CF1">
        <w:rPr>
          <w:rFonts w:eastAsia="Times New Roman" w:cs="Arial"/>
          <w:color w:val="000000"/>
          <w:lang w:eastAsia="bg-BG"/>
        </w:rPr>
        <w:t>48 седмици двойносляпо лечение с адефовир дипивоксил, последвано от 240 седмици отворено лечение с тенофовир дизопроксил.</w:t>
      </w:r>
    </w:p>
    <w:p w14:paraId="529F79E5"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н</w:t>
      </w:r>
      <w:r w:rsidRPr="00206CF1">
        <w:rPr>
          <w:rFonts w:eastAsia="Times New Roman" w:cs="Arial"/>
          <w:color w:val="000000"/>
          <w:lang w:eastAsia="bg-BG"/>
        </w:rPr>
        <w:t xml:space="preserve">събрани след добавянето на емтрицитабин към отвореното лечение с тенофовир дизопроксил </w:t>
      </w:r>
      <w:r w:rsidRPr="00206CF1">
        <w:rPr>
          <w:rFonts w:eastAsia="Times New Roman" w:cs="Arial"/>
          <w:color w:val="000000"/>
          <w:lang w:val="en-US"/>
        </w:rPr>
        <w:t>(KM-TDF).</w:t>
      </w:r>
    </w:p>
    <w:p w14:paraId="4B14329D"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о</w:t>
      </w:r>
      <w:r w:rsidRPr="00206CF1">
        <w:rPr>
          <w:rFonts w:eastAsia="Times New Roman" w:cs="Arial"/>
          <w:color w:val="000000"/>
          <w:lang w:eastAsia="bg-BG"/>
        </w:rPr>
        <w:t>48 седмици двойносляпо лечение с тенофовир дизопроксил, последвано от 336 седмици отворено лечение.</w:t>
      </w:r>
    </w:p>
    <w:p w14:paraId="60E69B82"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vertAlign w:val="superscript"/>
          <w:lang w:eastAsia="bg-BG"/>
        </w:rPr>
        <w:t>п</w:t>
      </w:r>
      <w:r w:rsidRPr="00206CF1">
        <w:rPr>
          <w:rFonts w:eastAsia="Times New Roman" w:cs="Arial"/>
          <w:color w:val="000000"/>
          <w:lang w:eastAsia="bg-BG"/>
        </w:rPr>
        <w:t xml:space="preserve"> 48 седмици двойносляпо лечение с адефовир дипивоксил, последвано от 336 седмици отворено лечение с тенофовир дизопроксил.</w:t>
      </w:r>
    </w:p>
    <w:p w14:paraId="09E8A857" w14:textId="77777777" w:rsidR="00206CF1" w:rsidRPr="00206CF1" w:rsidRDefault="00206CF1" w:rsidP="00206CF1">
      <w:pPr>
        <w:spacing w:line="240" w:lineRule="auto"/>
        <w:rPr>
          <w:rFonts w:eastAsia="Times New Roman" w:cs="Arial"/>
          <w:lang w:eastAsia="bg-BG"/>
        </w:rPr>
      </w:pPr>
      <w:r w:rsidRPr="00206CF1">
        <w:rPr>
          <w:rFonts w:eastAsia="Times New Roman" w:cs="Arial"/>
          <w:color w:val="000000"/>
          <w:lang w:val="en-US"/>
        </w:rPr>
        <w:t>n</w:t>
      </w:r>
      <w:r w:rsidRPr="00206CF1">
        <w:rPr>
          <w:rFonts w:eastAsia="Times New Roman" w:cs="Arial"/>
          <w:color w:val="000000"/>
          <w:lang w:eastAsia="bg-BG"/>
        </w:rPr>
        <w:t>/а = неприложимо.</w:t>
      </w:r>
    </w:p>
    <w:p w14:paraId="14B87D97" w14:textId="77777777" w:rsidR="00D812F5" w:rsidRDefault="00D812F5" w:rsidP="00206CF1">
      <w:pPr>
        <w:spacing w:line="240" w:lineRule="auto"/>
        <w:rPr>
          <w:rFonts w:eastAsia="Times New Roman" w:cs="Arial"/>
          <w:b/>
          <w:bCs/>
          <w:color w:val="000000"/>
          <w:lang w:eastAsia="bg-BG"/>
        </w:rPr>
      </w:pPr>
    </w:p>
    <w:p w14:paraId="3D8ECA7A" w14:textId="04B6C1AE" w:rsidR="00206CF1" w:rsidRDefault="00206CF1" w:rsidP="00206CF1">
      <w:pPr>
        <w:spacing w:line="240" w:lineRule="auto"/>
        <w:rPr>
          <w:rFonts w:eastAsia="Times New Roman" w:cs="Arial"/>
          <w:b/>
          <w:bCs/>
          <w:color w:val="000000"/>
          <w:lang w:eastAsia="bg-BG"/>
        </w:rPr>
      </w:pPr>
      <w:r w:rsidRPr="00206CF1">
        <w:rPr>
          <w:rFonts w:eastAsia="Times New Roman" w:cs="Arial"/>
          <w:b/>
          <w:bCs/>
          <w:color w:val="000000"/>
          <w:lang w:eastAsia="bg-BG"/>
        </w:rPr>
        <w:t xml:space="preserve">Таблица 5: Параметри на ефикасност при </w:t>
      </w:r>
      <w:proofErr w:type="spellStart"/>
      <w:r w:rsidRPr="00206CF1">
        <w:rPr>
          <w:rFonts w:eastAsia="Times New Roman" w:cs="Arial"/>
          <w:b/>
          <w:bCs/>
          <w:color w:val="000000"/>
          <w:lang w:val="en-US"/>
        </w:rPr>
        <w:t>HBeAg</w:t>
      </w:r>
      <w:proofErr w:type="spellEnd"/>
      <w:r w:rsidRPr="00206CF1">
        <w:rPr>
          <w:rFonts w:eastAsia="Times New Roman" w:cs="Arial"/>
          <w:b/>
          <w:bCs/>
          <w:color w:val="000000"/>
          <w:lang w:val="en-US"/>
        </w:rPr>
        <w:t xml:space="preserve"> </w:t>
      </w:r>
      <w:r w:rsidRPr="00206CF1">
        <w:rPr>
          <w:rFonts w:eastAsia="Times New Roman" w:cs="Arial"/>
          <w:b/>
          <w:bCs/>
          <w:color w:val="000000"/>
          <w:lang w:eastAsia="bg-BG"/>
        </w:rPr>
        <w:t>позитивни компенсирани пациенти през седмица 96,144,192,240,288 и 384 на отвореното лечение</w:t>
      </w:r>
    </w:p>
    <w:tbl>
      <w:tblPr>
        <w:tblStyle w:val="TableGrid"/>
        <w:tblW w:w="0" w:type="auto"/>
        <w:tblLook w:val="04A0" w:firstRow="1" w:lastRow="0" w:firstColumn="1" w:lastColumn="0" w:noHBand="0" w:noVBand="1"/>
      </w:tblPr>
      <w:tblGrid>
        <w:gridCol w:w="1687"/>
        <w:gridCol w:w="635"/>
        <w:gridCol w:w="634"/>
        <w:gridCol w:w="634"/>
        <w:gridCol w:w="634"/>
        <w:gridCol w:w="634"/>
        <w:gridCol w:w="562"/>
        <w:gridCol w:w="634"/>
        <w:gridCol w:w="634"/>
        <w:gridCol w:w="634"/>
        <w:gridCol w:w="697"/>
        <w:gridCol w:w="634"/>
        <w:gridCol w:w="697"/>
      </w:tblGrid>
      <w:tr w:rsidR="00D812F5" w14:paraId="541BAA41" w14:textId="77777777" w:rsidTr="00045F0E">
        <w:tc>
          <w:tcPr>
            <w:tcW w:w="9576" w:type="dxa"/>
            <w:gridSpan w:val="13"/>
          </w:tcPr>
          <w:p w14:paraId="11E332AC" w14:textId="7995351B" w:rsidR="00D812F5" w:rsidRPr="00D812F5" w:rsidRDefault="00D812F5" w:rsidP="00D812F5">
            <w:pPr>
              <w:rPr>
                <w:rFonts w:cs="Arial"/>
                <w:b/>
                <w:bCs/>
                <w:lang w:eastAsia="bg-BG"/>
              </w:rPr>
            </w:pPr>
            <w:r w:rsidRPr="00D812F5">
              <w:rPr>
                <w:b/>
                <w:bCs/>
                <w:lang w:eastAsia="bg-BG"/>
              </w:rPr>
              <w:t xml:space="preserve">Проучване 174-0103 </w:t>
            </w:r>
            <w:r w:rsidRPr="00D812F5">
              <w:rPr>
                <w:b/>
                <w:bCs/>
                <w:lang w:val="en-US"/>
              </w:rPr>
              <w:t>(</w:t>
            </w:r>
            <w:proofErr w:type="spellStart"/>
            <w:r w:rsidRPr="00D812F5">
              <w:rPr>
                <w:b/>
                <w:bCs/>
                <w:lang w:val="en-US"/>
              </w:rPr>
              <w:t>HBeAg</w:t>
            </w:r>
            <w:proofErr w:type="spellEnd"/>
            <w:r w:rsidRPr="00D812F5">
              <w:rPr>
                <w:b/>
                <w:bCs/>
                <w:lang w:val="en-US"/>
              </w:rPr>
              <w:t xml:space="preserve"> </w:t>
            </w:r>
            <w:r w:rsidRPr="00D812F5">
              <w:rPr>
                <w:b/>
                <w:bCs/>
                <w:lang w:eastAsia="bg-BG"/>
              </w:rPr>
              <w:t>позитивни)</w:t>
            </w:r>
          </w:p>
        </w:tc>
      </w:tr>
      <w:tr w:rsidR="00D812F5" w14:paraId="54D16F92" w14:textId="77777777" w:rsidTr="00D812F5">
        <w:tc>
          <w:tcPr>
            <w:tcW w:w="1736" w:type="dxa"/>
          </w:tcPr>
          <w:p w14:paraId="445F5B2D" w14:textId="0C174028" w:rsidR="00D812F5" w:rsidRPr="00D812F5" w:rsidRDefault="00D812F5" w:rsidP="00D812F5">
            <w:pPr>
              <w:spacing w:line="240" w:lineRule="auto"/>
              <w:rPr>
                <w:rFonts w:eastAsia="Times New Roman" w:cs="Arial"/>
                <w:lang w:eastAsia="bg-BG"/>
              </w:rPr>
            </w:pPr>
            <w:r w:rsidRPr="00D812F5">
              <w:t>Параметър</w:t>
            </w:r>
            <w:r w:rsidRPr="00D812F5">
              <w:rPr>
                <w:vertAlign w:val="superscript"/>
              </w:rPr>
              <w:t>а</w:t>
            </w:r>
          </w:p>
        </w:tc>
        <w:tc>
          <w:tcPr>
            <w:tcW w:w="3818" w:type="dxa"/>
            <w:gridSpan w:val="6"/>
          </w:tcPr>
          <w:p w14:paraId="49F24820" w14:textId="7304F7C6" w:rsidR="00D812F5" w:rsidRPr="00D812F5" w:rsidRDefault="00D812F5" w:rsidP="00D812F5">
            <w:pPr>
              <w:spacing w:line="240" w:lineRule="auto"/>
              <w:rPr>
                <w:rFonts w:eastAsia="Times New Roman" w:cs="Arial"/>
                <w:lang w:eastAsia="bg-BG"/>
              </w:rPr>
            </w:pPr>
            <w:r w:rsidRPr="00D812F5">
              <w:t xml:space="preserve">Тенофовир дизопроксил 245 </w:t>
            </w:r>
            <w:r w:rsidRPr="00D812F5">
              <w:rPr>
                <w:lang w:val="en-US"/>
              </w:rPr>
              <w:t>mg n</w:t>
            </w:r>
            <w:r w:rsidRPr="00D812F5">
              <w:t xml:space="preserve"> = 176</w:t>
            </w:r>
          </w:p>
        </w:tc>
        <w:tc>
          <w:tcPr>
            <w:tcW w:w="4022" w:type="dxa"/>
            <w:gridSpan w:val="6"/>
          </w:tcPr>
          <w:p w14:paraId="20A25E71" w14:textId="77777777" w:rsidR="00D812F5" w:rsidRPr="00D812F5" w:rsidRDefault="00D812F5" w:rsidP="00D812F5">
            <w:r w:rsidRPr="00D812F5">
              <w:t>Адефовир дипивоксил преминаване към тенофовир дизопроксил 245</w:t>
            </w:r>
            <w:r w:rsidRPr="00D812F5">
              <w:rPr>
                <w:lang w:val="en-US"/>
              </w:rPr>
              <w:t>mg</w:t>
            </w:r>
          </w:p>
          <w:p w14:paraId="3029F60F" w14:textId="100DE41A" w:rsidR="00D812F5" w:rsidRPr="00D812F5" w:rsidRDefault="00D812F5" w:rsidP="00D812F5">
            <w:pPr>
              <w:spacing w:line="240" w:lineRule="auto"/>
              <w:rPr>
                <w:rFonts w:eastAsia="Times New Roman" w:cs="Arial"/>
                <w:lang w:eastAsia="bg-BG"/>
              </w:rPr>
            </w:pPr>
            <w:r w:rsidRPr="00D812F5">
              <w:rPr>
                <w:lang w:val="en-US"/>
              </w:rPr>
              <w:t>n=90</w:t>
            </w:r>
          </w:p>
        </w:tc>
      </w:tr>
      <w:tr w:rsidR="00D812F5" w14:paraId="4AF3D2FF" w14:textId="77777777" w:rsidTr="00D812F5">
        <w:tc>
          <w:tcPr>
            <w:tcW w:w="1736" w:type="dxa"/>
          </w:tcPr>
          <w:p w14:paraId="01B210E1" w14:textId="69035236" w:rsidR="00D812F5" w:rsidRPr="00D812F5" w:rsidRDefault="00D812F5" w:rsidP="00D812F5">
            <w:pPr>
              <w:spacing w:line="240" w:lineRule="auto"/>
              <w:rPr>
                <w:rFonts w:eastAsia="Times New Roman" w:cs="Arial"/>
                <w:lang w:eastAsia="bg-BG"/>
              </w:rPr>
            </w:pPr>
            <w:r w:rsidRPr="00D812F5">
              <w:rPr>
                <w:b/>
                <w:bCs/>
              </w:rPr>
              <w:t>Седмица</w:t>
            </w:r>
          </w:p>
        </w:tc>
        <w:tc>
          <w:tcPr>
            <w:tcW w:w="648" w:type="dxa"/>
          </w:tcPr>
          <w:p w14:paraId="273E3D3D" w14:textId="3F75CF50" w:rsidR="00D812F5" w:rsidRPr="00D812F5" w:rsidRDefault="00D812F5" w:rsidP="00D812F5">
            <w:pPr>
              <w:spacing w:line="240" w:lineRule="auto"/>
              <w:rPr>
                <w:rFonts w:eastAsia="Times New Roman" w:cs="Arial"/>
                <w:lang w:eastAsia="bg-BG"/>
              </w:rPr>
            </w:pPr>
            <w:r w:rsidRPr="00D812F5">
              <w:t>96</w:t>
            </w:r>
            <w:r w:rsidRPr="00D812F5">
              <w:rPr>
                <w:vertAlign w:val="superscript"/>
              </w:rPr>
              <w:t>6</w:t>
            </w:r>
          </w:p>
        </w:tc>
        <w:tc>
          <w:tcPr>
            <w:tcW w:w="649" w:type="dxa"/>
          </w:tcPr>
          <w:p w14:paraId="19C01B2A" w14:textId="259F06E8" w:rsidR="00D812F5" w:rsidRPr="00D812F5" w:rsidRDefault="00D812F5" w:rsidP="00D812F5">
            <w:pPr>
              <w:spacing w:line="240" w:lineRule="auto"/>
              <w:rPr>
                <w:rFonts w:eastAsia="Times New Roman" w:cs="Arial"/>
                <w:lang w:eastAsia="bg-BG"/>
              </w:rPr>
            </w:pPr>
            <w:r w:rsidRPr="00D812F5">
              <w:t>144</w:t>
            </w:r>
            <w:r w:rsidRPr="00D812F5">
              <w:rPr>
                <w:vertAlign w:val="superscript"/>
              </w:rPr>
              <w:t>д</w:t>
            </w:r>
          </w:p>
        </w:tc>
        <w:tc>
          <w:tcPr>
            <w:tcW w:w="649" w:type="dxa"/>
          </w:tcPr>
          <w:p w14:paraId="79DEE81B" w14:textId="60D8B9C3" w:rsidR="00D812F5" w:rsidRPr="00D812F5" w:rsidRDefault="00D812F5" w:rsidP="00D812F5">
            <w:pPr>
              <w:spacing w:line="240" w:lineRule="auto"/>
              <w:rPr>
                <w:rFonts w:eastAsia="Times New Roman" w:cs="Arial"/>
                <w:lang w:eastAsia="bg-BG"/>
              </w:rPr>
            </w:pPr>
            <w:r w:rsidRPr="00D812F5">
              <w:t>192</w:t>
            </w:r>
            <w:r w:rsidRPr="00D812F5">
              <w:rPr>
                <w:vertAlign w:val="superscript"/>
              </w:rPr>
              <w:t>3</w:t>
            </w:r>
          </w:p>
        </w:tc>
        <w:tc>
          <w:tcPr>
            <w:tcW w:w="649" w:type="dxa"/>
          </w:tcPr>
          <w:p w14:paraId="777B4971" w14:textId="755B529E" w:rsidR="00D812F5" w:rsidRPr="00D812F5" w:rsidRDefault="00D812F5" w:rsidP="00D812F5">
            <w:pPr>
              <w:spacing w:line="240" w:lineRule="auto"/>
              <w:rPr>
                <w:rFonts w:eastAsia="Times New Roman" w:cs="Arial"/>
                <w:lang w:eastAsia="bg-BG"/>
              </w:rPr>
            </w:pPr>
            <w:r w:rsidRPr="00D812F5">
              <w:t>240*</w:t>
            </w:r>
          </w:p>
        </w:tc>
        <w:tc>
          <w:tcPr>
            <w:tcW w:w="649" w:type="dxa"/>
          </w:tcPr>
          <w:p w14:paraId="4FBD7B25" w14:textId="4B7D5D00" w:rsidR="00D812F5" w:rsidRPr="00D812F5" w:rsidRDefault="00D812F5" w:rsidP="00D812F5">
            <w:pPr>
              <w:spacing w:line="240" w:lineRule="auto"/>
              <w:rPr>
                <w:rFonts w:eastAsia="Times New Roman" w:cs="Arial"/>
                <w:lang w:eastAsia="bg-BG"/>
              </w:rPr>
            </w:pPr>
            <w:r w:rsidRPr="00D812F5">
              <w:t>288</w:t>
            </w:r>
            <w:r w:rsidRPr="00D812F5">
              <w:rPr>
                <w:vertAlign w:val="superscript"/>
              </w:rPr>
              <w:t>м</w:t>
            </w:r>
          </w:p>
        </w:tc>
        <w:tc>
          <w:tcPr>
            <w:tcW w:w="574" w:type="dxa"/>
          </w:tcPr>
          <w:p w14:paraId="332A2777" w14:textId="2365AE88" w:rsidR="00D812F5" w:rsidRPr="00D812F5" w:rsidRDefault="00D812F5" w:rsidP="00D812F5">
            <w:pPr>
              <w:spacing w:line="240" w:lineRule="auto"/>
              <w:rPr>
                <w:rFonts w:eastAsia="Times New Roman" w:cs="Arial"/>
                <w:lang w:eastAsia="bg-BG"/>
              </w:rPr>
            </w:pPr>
            <w:r w:rsidRPr="00D812F5">
              <w:t>384°</w:t>
            </w:r>
          </w:p>
        </w:tc>
        <w:tc>
          <w:tcPr>
            <w:tcW w:w="649" w:type="dxa"/>
          </w:tcPr>
          <w:p w14:paraId="7338BEB8" w14:textId="0EE54F9B" w:rsidR="00D812F5" w:rsidRPr="00D812F5" w:rsidRDefault="00D812F5" w:rsidP="00D812F5">
            <w:pPr>
              <w:spacing w:line="240" w:lineRule="auto"/>
              <w:rPr>
                <w:rFonts w:eastAsia="Times New Roman" w:cs="Arial"/>
                <w:lang w:eastAsia="bg-BG"/>
              </w:rPr>
            </w:pPr>
            <w:r w:rsidRPr="00D812F5">
              <w:t>96</w:t>
            </w:r>
            <w:r w:rsidRPr="00D812F5">
              <w:rPr>
                <w:vertAlign w:val="superscript"/>
              </w:rPr>
              <w:t>в</w:t>
            </w:r>
          </w:p>
        </w:tc>
        <w:tc>
          <w:tcPr>
            <w:tcW w:w="649" w:type="dxa"/>
          </w:tcPr>
          <w:p w14:paraId="62F9856A" w14:textId="0E2BA9A1" w:rsidR="00D812F5" w:rsidRPr="00D812F5" w:rsidRDefault="00D812F5" w:rsidP="00D812F5">
            <w:pPr>
              <w:spacing w:line="240" w:lineRule="auto"/>
              <w:rPr>
                <w:rFonts w:eastAsia="Times New Roman" w:cs="Arial"/>
                <w:lang w:eastAsia="bg-BG"/>
              </w:rPr>
            </w:pPr>
            <w:r w:rsidRPr="00D812F5">
              <w:t>144</w:t>
            </w:r>
            <w:r w:rsidRPr="00D812F5">
              <w:rPr>
                <w:vertAlign w:val="superscript"/>
              </w:rPr>
              <w:t>е</w:t>
            </w:r>
          </w:p>
        </w:tc>
        <w:tc>
          <w:tcPr>
            <w:tcW w:w="649" w:type="dxa"/>
          </w:tcPr>
          <w:p w14:paraId="198014FE" w14:textId="3C17416E" w:rsidR="00D812F5" w:rsidRPr="00D812F5" w:rsidRDefault="00D812F5" w:rsidP="00D812F5">
            <w:pPr>
              <w:spacing w:line="240" w:lineRule="auto"/>
              <w:rPr>
                <w:rFonts w:eastAsia="Times New Roman" w:cs="Arial"/>
                <w:lang w:eastAsia="bg-BG"/>
              </w:rPr>
            </w:pPr>
            <w:r w:rsidRPr="00D812F5">
              <w:t>192"</w:t>
            </w:r>
          </w:p>
        </w:tc>
        <w:tc>
          <w:tcPr>
            <w:tcW w:w="713" w:type="dxa"/>
          </w:tcPr>
          <w:p w14:paraId="61B213D0" w14:textId="6335FEC9" w:rsidR="00D812F5" w:rsidRPr="00D812F5" w:rsidRDefault="00D812F5" w:rsidP="00D812F5">
            <w:pPr>
              <w:spacing w:line="240" w:lineRule="auto"/>
              <w:rPr>
                <w:rFonts w:eastAsia="Times New Roman" w:cs="Arial"/>
                <w:lang w:eastAsia="bg-BG"/>
              </w:rPr>
            </w:pPr>
            <w:r w:rsidRPr="00D812F5">
              <w:t>240</w:t>
            </w:r>
            <w:r w:rsidRPr="00D812F5">
              <w:rPr>
                <w:vertAlign w:val="superscript"/>
              </w:rPr>
              <w:t>к</w:t>
            </w:r>
          </w:p>
        </w:tc>
        <w:tc>
          <w:tcPr>
            <w:tcW w:w="649" w:type="dxa"/>
          </w:tcPr>
          <w:p w14:paraId="07AEED9B" w14:textId="297C5F74" w:rsidR="00D812F5" w:rsidRPr="00D812F5" w:rsidRDefault="00D812F5" w:rsidP="00D812F5">
            <w:pPr>
              <w:spacing w:line="240" w:lineRule="auto"/>
              <w:rPr>
                <w:rFonts w:eastAsia="Times New Roman" w:cs="Arial"/>
                <w:lang w:eastAsia="bg-BG"/>
              </w:rPr>
            </w:pPr>
            <w:r w:rsidRPr="00D812F5">
              <w:rPr>
                <w:color w:val="141414"/>
              </w:rPr>
              <w:t>288</w:t>
            </w:r>
            <w:r w:rsidRPr="00D812F5">
              <w:rPr>
                <w:color w:val="141414"/>
                <w:vertAlign w:val="superscript"/>
              </w:rPr>
              <w:t>и</w:t>
            </w:r>
          </w:p>
        </w:tc>
        <w:tc>
          <w:tcPr>
            <w:tcW w:w="713" w:type="dxa"/>
          </w:tcPr>
          <w:p w14:paraId="5CDDFB05" w14:textId="2366B757" w:rsidR="00D812F5" w:rsidRPr="00D812F5" w:rsidRDefault="00D812F5" w:rsidP="00D812F5">
            <w:pPr>
              <w:spacing w:line="240" w:lineRule="auto"/>
              <w:rPr>
                <w:rFonts w:eastAsia="Times New Roman" w:cs="Arial"/>
                <w:lang w:eastAsia="bg-BG"/>
              </w:rPr>
            </w:pPr>
            <w:r w:rsidRPr="00D812F5">
              <w:t>384</w:t>
            </w:r>
            <w:r w:rsidRPr="00D812F5">
              <w:rPr>
                <w:vertAlign w:val="superscript"/>
              </w:rPr>
              <w:t>п</w:t>
            </w:r>
          </w:p>
        </w:tc>
      </w:tr>
      <w:tr w:rsidR="00D812F5" w14:paraId="57B2B220" w14:textId="77777777" w:rsidTr="00D812F5">
        <w:tc>
          <w:tcPr>
            <w:tcW w:w="1736" w:type="dxa"/>
          </w:tcPr>
          <w:p w14:paraId="06F254DC" w14:textId="1A3F2BB4" w:rsidR="00D812F5" w:rsidRPr="00D812F5" w:rsidRDefault="00D812F5" w:rsidP="00D812F5">
            <w:pPr>
              <w:spacing w:line="240" w:lineRule="auto"/>
              <w:rPr>
                <w:rFonts w:eastAsia="Times New Roman" w:cs="Arial"/>
                <w:lang w:eastAsia="bg-BG"/>
              </w:rPr>
            </w:pPr>
            <w:r w:rsidRPr="00D812F5">
              <w:rPr>
                <w:b/>
                <w:bCs/>
              </w:rPr>
              <w:t>НВ</w:t>
            </w:r>
            <w:r w:rsidRPr="00D812F5">
              <w:rPr>
                <w:b/>
                <w:bCs/>
                <w:lang w:val="en-US"/>
              </w:rPr>
              <w:t>V</w:t>
            </w:r>
            <w:r w:rsidRPr="00D812F5">
              <w:rPr>
                <w:b/>
                <w:bCs/>
              </w:rPr>
              <w:t xml:space="preserve"> ДНК(%)</w:t>
            </w:r>
            <w:r w:rsidRPr="00D812F5">
              <w:t>&lt; 400 копия</w:t>
            </w:r>
            <w:r w:rsidRPr="00D812F5">
              <w:rPr>
                <w:lang w:val="en-US"/>
              </w:rPr>
              <w:t xml:space="preserve">/ml </w:t>
            </w:r>
            <w:r w:rsidRPr="00D812F5">
              <w:t xml:space="preserve">(&lt; 69 </w:t>
            </w:r>
            <w:r w:rsidRPr="00D812F5">
              <w:rPr>
                <w:lang w:val="en-US"/>
              </w:rPr>
              <w:t>IU/ml)</w:t>
            </w:r>
          </w:p>
        </w:tc>
        <w:tc>
          <w:tcPr>
            <w:tcW w:w="648" w:type="dxa"/>
          </w:tcPr>
          <w:p w14:paraId="19AE35B2" w14:textId="70B69E19" w:rsidR="00D812F5" w:rsidRPr="00D812F5" w:rsidRDefault="00D812F5" w:rsidP="00D812F5">
            <w:pPr>
              <w:spacing w:line="240" w:lineRule="auto"/>
              <w:rPr>
                <w:rFonts w:eastAsia="Times New Roman" w:cs="Arial"/>
                <w:lang w:eastAsia="bg-BG"/>
              </w:rPr>
            </w:pPr>
            <w:r w:rsidRPr="00D812F5">
              <w:t>76</w:t>
            </w:r>
          </w:p>
        </w:tc>
        <w:tc>
          <w:tcPr>
            <w:tcW w:w="649" w:type="dxa"/>
          </w:tcPr>
          <w:p w14:paraId="4B4EA2DD" w14:textId="28DC19D2" w:rsidR="00D812F5" w:rsidRPr="00D812F5" w:rsidRDefault="00D812F5" w:rsidP="00D812F5">
            <w:pPr>
              <w:spacing w:line="240" w:lineRule="auto"/>
              <w:rPr>
                <w:rFonts w:eastAsia="Times New Roman" w:cs="Arial"/>
                <w:lang w:eastAsia="bg-BG"/>
              </w:rPr>
            </w:pPr>
            <w:r w:rsidRPr="00D812F5">
              <w:t>72</w:t>
            </w:r>
          </w:p>
        </w:tc>
        <w:tc>
          <w:tcPr>
            <w:tcW w:w="649" w:type="dxa"/>
          </w:tcPr>
          <w:p w14:paraId="22CAD0C7" w14:textId="1ED76721" w:rsidR="00D812F5" w:rsidRPr="00D812F5" w:rsidRDefault="00D812F5" w:rsidP="00D812F5">
            <w:pPr>
              <w:spacing w:line="240" w:lineRule="auto"/>
              <w:rPr>
                <w:rFonts w:eastAsia="Times New Roman" w:cs="Arial"/>
                <w:lang w:eastAsia="bg-BG"/>
              </w:rPr>
            </w:pPr>
            <w:r w:rsidRPr="00D812F5">
              <w:t>68</w:t>
            </w:r>
          </w:p>
        </w:tc>
        <w:tc>
          <w:tcPr>
            <w:tcW w:w="649" w:type="dxa"/>
          </w:tcPr>
          <w:p w14:paraId="59B829A0" w14:textId="489C2EA9" w:rsidR="00D812F5" w:rsidRPr="00D812F5" w:rsidRDefault="00D812F5" w:rsidP="00D812F5">
            <w:pPr>
              <w:spacing w:line="240" w:lineRule="auto"/>
              <w:rPr>
                <w:rFonts w:eastAsia="Times New Roman" w:cs="Arial"/>
                <w:lang w:eastAsia="bg-BG"/>
              </w:rPr>
            </w:pPr>
            <w:r w:rsidRPr="00D812F5">
              <w:t>64</w:t>
            </w:r>
          </w:p>
        </w:tc>
        <w:tc>
          <w:tcPr>
            <w:tcW w:w="649" w:type="dxa"/>
          </w:tcPr>
          <w:p w14:paraId="0921B5F8" w14:textId="2AB6E2C9" w:rsidR="00D812F5" w:rsidRPr="00D812F5" w:rsidRDefault="00D812F5" w:rsidP="00D812F5">
            <w:pPr>
              <w:spacing w:line="240" w:lineRule="auto"/>
              <w:rPr>
                <w:rFonts w:eastAsia="Times New Roman" w:cs="Arial"/>
                <w:lang w:eastAsia="bg-BG"/>
              </w:rPr>
            </w:pPr>
            <w:r w:rsidRPr="00D812F5">
              <w:t>61</w:t>
            </w:r>
          </w:p>
        </w:tc>
        <w:tc>
          <w:tcPr>
            <w:tcW w:w="574" w:type="dxa"/>
          </w:tcPr>
          <w:p w14:paraId="6D4EB293" w14:textId="4527073F" w:rsidR="00D812F5" w:rsidRPr="00D812F5" w:rsidRDefault="00D812F5" w:rsidP="00D812F5">
            <w:pPr>
              <w:spacing w:line="240" w:lineRule="auto"/>
              <w:rPr>
                <w:rFonts w:eastAsia="Times New Roman" w:cs="Arial"/>
                <w:lang w:eastAsia="bg-BG"/>
              </w:rPr>
            </w:pPr>
            <w:r w:rsidRPr="00D812F5">
              <w:t>56</w:t>
            </w:r>
          </w:p>
        </w:tc>
        <w:tc>
          <w:tcPr>
            <w:tcW w:w="649" w:type="dxa"/>
          </w:tcPr>
          <w:p w14:paraId="7F25962D" w14:textId="054DC7A5" w:rsidR="00D812F5" w:rsidRPr="00D812F5" w:rsidRDefault="00D812F5" w:rsidP="00D812F5">
            <w:pPr>
              <w:spacing w:line="240" w:lineRule="auto"/>
              <w:rPr>
                <w:rFonts w:eastAsia="Times New Roman" w:cs="Arial"/>
                <w:lang w:eastAsia="bg-BG"/>
              </w:rPr>
            </w:pPr>
            <w:r w:rsidRPr="00D812F5">
              <w:t>74</w:t>
            </w:r>
          </w:p>
        </w:tc>
        <w:tc>
          <w:tcPr>
            <w:tcW w:w="649" w:type="dxa"/>
          </w:tcPr>
          <w:p w14:paraId="5FFF4863" w14:textId="13F0AA8F" w:rsidR="00D812F5" w:rsidRPr="00D812F5" w:rsidRDefault="00D812F5" w:rsidP="00D812F5">
            <w:pPr>
              <w:spacing w:line="240" w:lineRule="auto"/>
              <w:rPr>
                <w:rFonts w:eastAsia="Times New Roman" w:cs="Arial"/>
                <w:lang w:eastAsia="bg-BG"/>
              </w:rPr>
            </w:pPr>
            <w:r w:rsidRPr="00D812F5">
              <w:t>74</w:t>
            </w:r>
          </w:p>
        </w:tc>
        <w:tc>
          <w:tcPr>
            <w:tcW w:w="649" w:type="dxa"/>
          </w:tcPr>
          <w:p w14:paraId="5F88EA89" w14:textId="12CBEA79" w:rsidR="00D812F5" w:rsidRPr="00D812F5" w:rsidRDefault="00D812F5" w:rsidP="00D812F5">
            <w:pPr>
              <w:spacing w:line="240" w:lineRule="auto"/>
              <w:rPr>
                <w:rFonts w:eastAsia="Times New Roman" w:cs="Arial"/>
                <w:lang w:eastAsia="bg-BG"/>
              </w:rPr>
            </w:pPr>
            <w:r w:rsidRPr="00D812F5">
              <w:t>72</w:t>
            </w:r>
          </w:p>
        </w:tc>
        <w:tc>
          <w:tcPr>
            <w:tcW w:w="713" w:type="dxa"/>
          </w:tcPr>
          <w:p w14:paraId="229A6B2E" w14:textId="33EED21D" w:rsidR="00D812F5" w:rsidRPr="00D812F5" w:rsidRDefault="00D812F5" w:rsidP="00D812F5">
            <w:pPr>
              <w:spacing w:line="240" w:lineRule="auto"/>
              <w:rPr>
                <w:rFonts w:eastAsia="Times New Roman" w:cs="Arial"/>
                <w:lang w:eastAsia="bg-BG"/>
              </w:rPr>
            </w:pPr>
            <w:r w:rsidRPr="00D812F5">
              <w:t>66</w:t>
            </w:r>
          </w:p>
        </w:tc>
        <w:tc>
          <w:tcPr>
            <w:tcW w:w="649" w:type="dxa"/>
          </w:tcPr>
          <w:p w14:paraId="190E7C49" w14:textId="6BFF782D" w:rsidR="00D812F5" w:rsidRPr="00D812F5" w:rsidRDefault="00D812F5" w:rsidP="00D812F5">
            <w:pPr>
              <w:spacing w:line="240" w:lineRule="auto"/>
              <w:rPr>
                <w:rFonts w:eastAsia="Times New Roman" w:cs="Arial"/>
                <w:lang w:eastAsia="bg-BG"/>
              </w:rPr>
            </w:pPr>
            <w:r w:rsidRPr="00D812F5">
              <w:t>65</w:t>
            </w:r>
          </w:p>
        </w:tc>
        <w:tc>
          <w:tcPr>
            <w:tcW w:w="713" w:type="dxa"/>
          </w:tcPr>
          <w:p w14:paraId="5BC2B550" w14:textId="42B247CA" w:rsidR="00D812F5" w:rsidRPr="00D812F5" w:rsidRDefault="00D812F5" w:rsidP="00D812F5">
            <w:pPr>
              <w:spacing w:line="240" w:lineRule="auto"/>
              <w:rPr>
                <w:rFonts w:eastAsia="Times New Roman" w:cs="Arial"/>
                <w:lang w:eastAsia="bg-BG"/>
              </w:rPr>
            </w:pPr>
            <w:r w:rsidRPr="00D812F5">
              <w:t>61</w:t>
            </w:r>
          </w:p>
        </w:tc>
      </w:tr>
      <w:tr w:rsidR="00D812F5" w14:paraId="0059D68F" w14:textId="77777777" w:rsidTr="00D812F5">
        <w:tc>
          <w:tcPr>
            <w:tcW w:w="1736" w:type="dxa"/>
          </w:tcPr>
          <w:p w14:paraId="005DA509" w14:textId="77777777" w:rsidR="00D812F5" w:rsidRPr="00D812F5" w:rsidRDefault="00D812F5" w:rsidP="00D812F5">
            <w:r w:rsidRPr="00D812F5">
              <w:rPr>
                <w:b/>
                <w:bCs/>
                <w:lang w:val="en-US"/>
              </w:rPr>
              <w:t xml:space="preserve">ALT </w:t>
            </w:r>
            <w:r w:rsidRPr="00D812F5">
              <w:rPr>
                <w:b/>
                <w:bCs/>
              </w:rPr>
              <w:t>(%)</w:t>
            </w:r>
          </w:p>
          <w:p w14:paraId="7D685D53" w14:textId="2390FDF9" w:rsidR="00D812F5" w:rsidRPr="00D812F5" w:rsidRDefault="00D812F5" w:rsidP="00D812F5">
            <w:pPr>
              <w:spacing w:line="240" w:lineRule="auto"/>
              <w:rPr>
                <w:rFonts w:eastAsia="Times New Roman" w:cs="Arial"/>
                <w:lang w:eastAsia="bg-BG"/>
              </w:rPr>
            </w:pPr>
            <w:r w:rsidRPr="00D812F5">
              <w:t xml:space="preserve">Нормализирани нива на </w:t>
            </w:r>
            <w:r w:rsidRPr="00D812F5">
              <w:rPr>
                <w:lang w:val="en-US"/>
              </w:rPr>
              <w:t>ALT</w:t>
            </w:r>
          </w:p>
        </w:tc>
        <w:tc>
          <w:tcPr>
            <w:tcW w:w="648" w:type="dxa"/>
          </w:tcPr>
          <w:p w14:paraId="27D121FB" w14:textId="0C6BF9AD" w:rsidR="00D812F5" w:rsidRPr="00D812F5" w:rsidRDefault="00D812F5" w:rsidP="00D812F5">
            <w:pPr>
              <w:spacing w:line="240" w:lineRule="auto"/>
              <w:rPr>
                <w:rFonts w:eastAsia="Times New Roman" w:cs="Arial"/>
                <w:lang w:eastAsia="bg-BG"/>
              </w:rPr>
            </w:pPr>
            <w:r w:rsidRPr="00D812F5">
              <w:t>60</w:t>
            </w:r>
          </w:p>
        </w:tc>
        <w:tc>
          <w:tcPr>
            <w:tcW w:w="649" w:type="dxa"/>
          </w:tcPr>
          <w:p w14:paraId="1D115228" w14:textId="255616E6" w:rsidR="00D812F5" w:rsidRPr="00D812F5" w:rsidRDefault="00D812F5" w:rsidP="00D812F5">
            <w:pPr>
              <w:spacing w:line="240" w:lineRule="auto"/>
              <w:rPr>
                <w:rFonts w:eastAsia="Times New Roman" w:cs="Arial"/>
                <w:lang w:eastAsia="bg-BG"/>
              </w:rPr>
            </w:pPr>
            <w:r w:rsidRPr="00D812F5">
              <w:t>55</w:t>
            </w:r>
          </w:p>
        </w:tc>
        <w:tc>
          <w:tcPr>
            <w:tcW w:w="649" w:type="dxa"/>
          </w:tcPr>
          <w:p w14:paraId="3C89964F" w14:textId="72B9401B" w:rsidR="00D812F5" w:rsidRPr="00D812F5" w:rsidRDefault="00D812F5" w:rsidP="00D812F5">
            <w:pPr>
              <w:spacing w:line="240" w:lineRule="auto"/>
              <w:rPr>
                <w:rFonts w:eastAsia="Times New Roman" w:cs="Arial"/>
                <w:lang w:eastAsia="bg-BG"/>
              </w:rPr>
            </w:pPr>
            <w:r w:rsidRPr="00D812F5">
              <w:t>56</w:t>
            </w:r>
          </w:p>
        </w:tc>
        <w:tc>
          <w:tcPr>
            <w:tcW w:w="649" w:type="dxa"/>
          </w:tcPr>
          <w:p w14:paraId="05581D02" w14:textId="47DD41BF" w:rsidR="00D812F5" w:rsidRPr="00D812F5" w:rsidRDefault="00D812F5" w:rsidP="00D812F5">
            <w:pPr>
              <w:spacing w:line="240" w:lineRule="auto"/>
              <w:rPr>
                <w:rFonts w:eastAsia="Times New Roman" w:cs="Arial"/>
                <w:lang w:eastAsia="bg-BG"/>
              </w:rPr>
            </w:pPr>
            <w:r w:rsidRPr="00D812F5">
              <w:t>46</w:t>
            </w:r>
          </w:p>
        </w:tc>
        <w:tc>
          <w:tcPr>
            <w:tcW w:w="649" w:type="dxa"/>
          </w:tcPr>
          <w:p w14:paraId="205D9412" w14:textId="0E3012A2" w:rsidR="00D812F5" w:rsidRPr="00D812F5" w:rsidRDefault="00D812F5" w:rsidP="00D812F5">
            <w:pPr>
              <w:spacing w:line="240" w:lineRule="auto"/>
              <w:rPr>
                <w:rFonts w:eastAsia="Times New Roman" w:cs="Arial"/>
                <w:lang w:eastAsia="bg-BG"/>
              </w:rPr>
            </w:pPr>
            <w:r w:rsidRPr="00D812F5">
              <w:t>47</w:t>
            </w:r>
          </w:p>
        </w:tc>
        <w:tc>
          <w:tcPr>
            <w:tcW w:w="574" w:type="dxa"/>
          </w:tcPr>
          <w:p w14:paraId="41062ECF" w14:textId="654786F3" w:rsidR="00D812F5" w:rsidRPr="00D812F5" w:rsidRDefault="00D812F5" w:rsidP="00D812F5">
            <w:pPr>
              <w:spacing w:line="240" w:lineRule="auto"/>
              <w:rPr>
                <w:rFonts w:eastAsia="Times New Roman" w:cs="Arial"/>
                <w:lang w:eastAsia="bg-BG"/>
              </w:rPr>
            </w:pPr>
            <w:r w:rsidRPr="00D812F5">
              <w:t>47</w:t>
            </w:r>
          </w:p>
        </w:tc>
        <w:tc>
          <w:tcPr>
            <w:tcW w:w="649" w:type="dxa"/>
          </w:tcPr>
          <w:p w14:paraId="253EA4DA" w14:textId="0410F7AA" w:rsidR="00D812F5" w:rsidRPr="00D812F5" w:rsidRDefault="00D812F5" w:rsidP="00D812F5">
            <w:pPr>
              <w:spacing w:line="240" w:lineRule="auto"/>
              <w:rPr>
                <w:rFonts w:eastAsia="Times New Roman" w:cs="Arial"/>
                <w:lang w:eastAsia="bg-BG"/>
              </w:rPr>
            </w:pPr>
            <w:r w:rsidRPr="00D812F5">
              <w:t>65</w:t>
            </w:r>
          </w:p>
        </w:tc>
        <w:tc>
          <w:tcPr>
            <w:tcW w:w="649" w:type="dxa"/>
          </w:tcPr>
          <w:p w14:paraId="6F46F704" w14:textId="19F9F101" w:rsidR="00D812F5" w:rsidRPr="00D812F5" w:rsidRDefault="00D812F5" w:rsidP="00D812F5">
            <w:pPr>
              <w:spacing w:line="240" w:lineRule="auto"/>
              <w:rPr>
                <w:rFonts w:eastAsia="Times New Roman" w:cs="Arial"/>
                <w:lang w:eastAsia="bg-BG"/>
              </w:rPr>
            </w:pPr>
            <w:r w:rsidRPr="00D812F5">
              <w:t>61</w:t>
            </w:r>
          </w:p>
        </w:tc>
        <w:tc>
          <w:tcPr>
            <w:tcW w:w="649" w:type="dxa"/>
          </w:tcPr>
          <w:p w14:paraId="107F3AA9" w14:textId="249F6857" w:rsidR="00D812F5" w:rsidRPr="00D812F5" w:rsidRDefault="00D812F5" w:rsidP="00D812F5">
            <w:pPr>
              <w:spacing w:line="240" w:lineRule="auto"/>
              <w:rPr>
                <w:rFonts w:eastAsia="Times New Roman" w:cs="Arial"/>
                <w:lang w:eastAsia="bg-BG"/>
              </w:rPr>
            </w:pPr>
            <w:r w:rsidRPr="00D812F5">
              <w:t>59</w:t>
            </w:r>
          </w:p>
        </w:tc>
        <w:tc>
          <w:tcPr>
            <w:tcW w:w="713" w:type="dxa"/>
          </w:tcPr>
          <w:p w14:paraId="7BFA0F93" w14:textId="12729532" w:rsidR="00D812F5" w:rsidRPr="00D812F5" w:rsidRDefault="00D812F5" w:rsidP="00D812F5">
            <w:pPr>
              <w:spacing w:line="240" w:lineRule="auto"/>
              <w:rPr>
                <w:rFonts w:eastAsia="Times New Roman" w:cs="Arial"/>
                <w:lang w:eastAsia="bg-BG"/>
              </w:rPr>
            </w:pPr>
            <w:r w:rsidRPr="00D812F5">
              <w:t>56</w:t>
            </w:r>
          </w:p>
        </w:tc>
        <w:tc>
          <w:tcPr>
            <w:tcW w:w="649" w:type="dxa"/>
          </w:tcPr>
          <w:p w14:paraId="433484B8" w14:textId="50D24C7F" w:rsidR="00D812F5" w:rsidRPr="00D812F5" w:rsidRDefault="00D812F5" w:rsidP="00D812F5">
            <w:pPr>
              <w:spacing w:line="240" w:lineRule="auto"/>
              <w:rPr>
                <w:rFonts w:eastAsia="Times New Roman" w:cs="Arial"/>
                <w:lang w:eastAsia="bg-BG"/>
              </w:rPr>
            </w:pPr>
            <w:r w:rsidRPr="00D812F5">
              <w:t>57</w:t>
            </w:r>
          </w:p>
        </w:tc>
        <w:tc>
          <w:tcPr>
            <w:tcW w:w="713" w:type="dxa"/>
          </w:tcPr>
          <w:p w14:paraId="50D46CAC" w14:textId="2ECD79DB" w:rsidR="00D812F5" w:rsidRPr="00D812F5" w:rsidRDefault="00D812F5" w:rsidP="00D812F5">
            <w:pPr>
              <w:spacing w:line="240" w:lineRule="auto"/>
              <w:rPr>
                <w:rFonts w:eastAsia="Times New Roman" w:cs="Arial"/>
                <w:lang w:eastAsia="bg-BG"/>
              </w:rPr>
            </w:pPr>
            <w:r w:rsidRPr="00D812F5">
              <w:t>56</w:t>
            </w:r>
          </w:p>
        </w:tc>
      </w:tr>
      <w:tr w:rsidR="00D812F5" w14:paraId="53C44577" w14:textId="77777777" w:rsidTr="00D812F5">
        <w:tc>
          <w:tcPr>
            <w:tcW w:w="1736" w:type="dxa"/>
          </w:tcPr>
          <w:p w14:paraId="1BC8989C" w14:textId="77777777" w:rsidR="00D812F5" w:rsidRPr="00D812F5" w:rsidRDefault="00D812F5" w:rsidP="00D812F5">
            <w:r w:rsidRPr="00D812F5">
              <w:rPr>
                <w:b/>
                <w:bCs/>
              </w:rPr>
              <w:t>Серология (%)</w:t>
            </w:r>
          </w:p>
          <w:p w14:paraId="7993482C" w14:textId="77777777" w:rsidR="00D812F5" w:rsidRPr="00D812F5" w:rsidRDefault="00D812F5" w:rsidP="00D812F5">
            <w:r w:rsidRPr="00D812F5">
              <w:t>Негативиране на НВе</w:t>
            </w:r>
            <w:r w:rsidRPr="00D812F5">
              <w:rPr>
                <w:lang w:val="en-US"/>
              </w:rPr>
              <w:t>Ag</w:t>
            </w:r>
            <w:r w:rsidRPr="00D812F5">
              <w:t>/сероконвер сия</w:t>
            </w:r>
          </w:p>
          <w:p w14:paraId="1188D7C9" w14:textId="2244C655" w:rsidR="00D812F5" w:rsidRPr="00D812F5" w:rsidRDefault="00D812F5" w:rsidP="00D812F5">
            <w:pPr>
              <w:spacing w:line="240" w:lineRule="auto"/>
              <w:rPr>
                <w:rFonts w:eastAsia="Times New Roman" w:cs="Arial"/>
                <w:lang w:eastAsia="bg-BG"/>
              </w:rPr>
            </w:pPr>
            <w:r w:rsidRPr="00D812F5">
              <w:t xml:space="preserve">Негативиране на </w:t>
            </w:r>
            <w:r w:rsidRPr="00D812F5">
              <w:rPr>
                <w:lang w:val="en-US"/>
              </w:rPr>
              <w:t>HBsAg</w:t>
            </w:r>
            <w:r w:rsidRPr="00D812F5">
              <w:t>/сероконвер сия</w:t>
            </w:r>
          </w:p>
        </w:tc>
        <w:tc>
          <w:tcPr>
            <w:tcW w:w="648" w:type="dxa"/>
          </w:tcPr>
          <w:p w14:paraId="43797894" w14:textId="77777777" w:rsidR="00D812F5" w:rsidRPr="00D812F5" w:rsidRDefault="00D812F5" w:rsidP="00D812F5">
            <w:r w:rsidRPr="00D812F5">
              <w:t>26/23</w:t>
            </w:r>
          </w:p>
          <w:p w14:paraId="07B5A140" w14:textId="77777777" w:rsidR="00D812F5" w:rsidRDefault="00D812F5" w:rsidP="00D812F5">
            <w:pPr>
              <w:spacing w:line="240" w:lineRule="auto"/>
            </w:pPr>
          </w:p>
          <w:p w14:paraId="49CAF776" w14:textId="1DF98024" w:rsidR="00D812F5" w:rsidRPr="00D812F5" w:rsidRDefault="00D812F5" w:rsidP="00D812F5">
            <w:pPr>
              <w:spacing w:line="240" w:lineRule="auto"/>
              <w:rPr>
                <w:rFonts w:eastAsia="Times New Roman" w:cs="Arial"/>
                <w:lang w:eastAsia="bg-BG"/>
              </w:rPr>
            </w:pPr>
            <w:r w:rsidRPr="00D812F5">
              <w:t>5/4</w:t>
            </w:r>
          </w:p>
        </w:tc>
        <w:tc>
          <w:tcPr>
            <w:tcW w:w="649" w:type="dxa"/>
          </w:tcPr>
          <w:p w14:paraId="5BF2970E" w14:textId="77777777" w:rsidR="00D812F5" w:rsidRPr="00D812F5" w:rsidRDefault="00D812F5" w:rsidP="00D812F5">
            <w:r w:rsidRPr="00D812F5">
              <w:t>29/23</w:t>
            </w:r>
          </w:p>
          <w:p w14:paraId="04E425B0" w14:textId="77777777" w:rsidR="00D812F5" w:rsidRDefault="00D812F5" w:rsidP="00D812F5">
            <w:pPr>
              <w:spacing w:line="240" w:lineRule="auto"/>
            </w:pPr>
          </w:p>
          <w:p w14:paraId="0A844FFB" w14:textId="5DF7C241" w:rsidR="00D812F5" w:rsidRPr="00D812F5" w:rsidRDefault="00D812F5" w:rsidP="00D812F5">
            <w:pPr>
              <w:spacing w:line="240" w:lineRule="auto"/>
              <w:rPr>
                <w:rFonts w:eastAsia="Times New Roman" w:cs="Arial"/>
                <w:lang w:eastAsia="bg-BG"/>
              </w:rPr>
            </w:pPr>
            <w:r w:rsidRPr="00D812F5">
              <w:t>8/6</w:t>
            </w:r>
            <w:r w:rsidRPr="00D812F5">
              <w:rPr>
                <w:vertAlign w:val="superscript"/>
              </w:rPr>
              <w:t>ж</w:t>
            </w:r>
          </w:p>
        </w:tc>
        <w:tc>
          <w:tcPr>
            <w:tcW w:w="649" w:type="dxa"/>
          </w:tcPr>
          <w:p w14:paraId="1C276724" w14:textId="77777777" w:rsidR="00D812F5" w:rsidRPr="00D812F5" w:rsidRDefault="00D812F5" w:rsidP="00D812F5">
            <w:r w:rsidRPr="00D812F5">
              <w:t>34/25</w:t>
            </w:r>
          </w:p>
          <w:p w14:paraId="0E03DE23" w14:textId="77777777" w:rsidR="00D812F5" w:rsidRDefault="00D812F5" w:rsidP="00D812F5">
            <w:pPr>
              <w:spacing w:line="240" w:lineRule="auto"/>
            </w:pPr>
          </w:p>
          <w:p w14:paraId="10FCFB45" w14:textId="27AF6008" w:rsidR="00D812F5" w:rsidRPr="00D812F5" w:rsidRDefault="00D812F5" w:rsidP="00D812F5">
            <w:pPr>
              <w:spacing w:line="240" w:lineRule="auto"/>
            </w:pPr>
            <w:r w:rsidRPr="00D812F5">
              <w:t>11/8</w:t>
            </w:r>
            <w:r w:rsidRPr="00D812F5">
              <w:rPr>
                <w:vertAlign w:val="superscript"/>
              </w:rPr>
              <w:t>ж</w:t>
            </w:r>
          </w:p>
        </w:tc>
        <w:tc>
          <w:tcPr>
            <w:tcW w:w="649" w:type="dxa"/>
          </w:tcPr>
          <w:p w14:paraId="2EFCE532" w14:textId="77777777" w:rsidR="00D812F5" w:rsidRPr="00D812F5" w:rsidRDefault="00D812F5" w:rsidP="00D812F5">
            <w:r w:rsidRPr="00D812F5">
              <w:t>38/30</w:t>
            </w:r>
          </w:p>
          <w:p w14:paraId="1A90C929" w14:textId="77777777" w:rsidR="00D812F5" w:rsidRDefault="00D812F5" w:rsidP="00D812F5">
            <w:pPr>
              <w:spacing w:line="240" w:lineRule="auto"/>
            </w:pPr>
          </w:p>
          <w:p w14:paraId="54404A8D" w14:textId="456DA647" w:rsidR="00D812F5" w:rsidRPr="00D812F5" w:rsidRDefault="00D812F5" w:rsidP="00D812F5">
            <w:pPr>
              <w:spacing w:line="240" w:lineRule="auto"/>
              <w:rPr>
                <w:rFonts w:eastAsia="Times New Roman" w:cs="Arial"/>
                <w:lang w:eastAsia="bg-BG"/>
              </w:rPr>
            </w:pPr>
            <w:r w:rsidRPr="00D812F5">
              <w:t>11/8</w:t>
            </w:r>
            <w:r w:rsidRPr="00D812F5">
              <w:rPr>
                <w:vertAlign w:val="superscript"/>
              </w:rPr>
              <w:t>л</w:t>
            </w:r>
          </w:p>
        </w:tc>
        <w:tc>
          <w:tcPr>
            <w:tcW w:w="649" w:type="dxa"/>
          </w:tcPr>
          <w:p w14:paraId="66A110E5" w14:textId="77777777" w:rsidR="00D812F5" w:rsidRPr="00D812F5" w:rsidRDefault="00D812F5" w:rsidP="00D812F5">
            <w:r w:rsidRPr="00D812F5">
              <w:t>37/25</w:t>
            </w:r>
          </w:p>
          <w:p w14:paraId="7FE3B203" w14:textId="77777777" w:rsidR="00D812F5" w:rsidRDefault="00D812F5" w:rsidP="00D812F5">
            <w:pPr>
              <w:spacing w:line="240" w:lineRule="auto"/>
            </w:pPr>
          </w:p>
          <w:p w14:paraId="4178DDD0" w14:textId="2CFCF8DB" w:rsidR="00D812F5" w:rsidRPr="00D812F5" w:rsidRDefault="00D812F5" w:rsidP="00D812F5">
            <w:pPr>
              <w:spacing w:line="240" w:lineRule="auto"/>
              <w:rPr>
                <w:vertAlign w:val="superscript"/>
              </w:rPr>
            </w:pPr>
            <w:r w:rsidRPr="00D812F5">
              <w:t>12/8</w:t>
            </w:r>
            <w:r w:rsidRPr="00D812F5">
              <w:rPr>
                <w:vertAlign w:val="superscript"/>
              </w:rPr>
              <w:t>л</w:t>
            </w:r>
          </w:p>
        </w:tc>
        <w:tc>
          <w:tcPr>
            <w:tcW w:w="574" w:type="dxa"/>
          </w:tcPr>
          <w:p w14:paraId="69370F4F" w14:textId="77777777" w:rsidR="00D812F5" w:rsidRPr="00D812F5" w:rsidRDefault="00D812F5" w:rsidP="00D812F5">
            <w:r w:rsidRPr="00D812F5">
              <w:t>30/2 0</w:t>
            </w:r>
          </w:p>
          <w:p w14:paraId="3E354F7A" w14:textId="77777777" w:rsidR="00D812F5" w:rsidRDefault="00D812F5" w:rsidP="00D812F5"/>
          <w:p w14:paraId="0053348D" w14:textId="5D310FBB" w:rsidR="00D812F5" w:rsidRPr="00D812F5" w:rsidRDefault="00D812F5" w:rsidP="00D812F5">
            <w:r w:rsidRPr="00D812F5">
              <w:t>15/1</w:t>
            </w:r>
          </w:p>
          <w:p w14:paraId="54E23F31" w14:textId="1313B973" w:rsidR="00D812F5" w:rsidRPr="00D812F5" w:rsidRDefault="00D812F5" w:rsidP="00D812F5">
            <w:pPr>
              <w:spacing w:line="240" w:lineRule="auto"/>
              <w:rPr>
                <w:rFonts w:eastAsia="Times New Roman" w:cs="Arial"/>
                <w:lang w:eastAsia="bg-BG"/>
              </w:rPr>
            </w:pPr>
            <w:r w:rsidRPr="00D812F5">
              <w:t>2</w:t>
            </w:r>
            <w:r w:rsidRPr="00D812F5">
              <w:rPr>
                <w:vertAlign w:val="superscript"/>
              </w:rPr>
              <w:t>Л</w:t>
            </w:r>
          </w:p>
        </w:tc>
        <w:tc>
          <w:tcPr>
            <w:tcW w:w="649" w:type="dxa"/>
          </w:tcPr>
          <w:p w14:paraId="76BE3B68" w14:textId="77777777" w:rsidR="00D812F5" w:rsidRPr="00D812F5" w:rsidRDefault="00D812F5" w:rsidP="00D812F5">
            <w:r w:rsidRPr="00D812F5">
              <w:t>24/20</w:t>
            </w:r>
          </w:p>
          <w:p w14:paraId="376E8525" w14:textId="77777777" w:rsidR="00D812F5" w:rsidRDefault="00D812F5" w:rsidP="00D812F5">
            <w:pPr>
              <w:spacing w:line="240" w:lineRule="auto"/>
            </w:pPr>
          </w:p>
          <w:p w14:paraId="069F1159" w14:textId="1E36CD4B" w:rsidR="00D812F5" w:rsidRPr="00D812F5" w:rsidRDefault="00D812F5" w:rsidP="00D812F5">
            <w:pPr>
              <w:spacing w:line="240" w:lineRule="auto"/>
              <w:rPr>
                <w:rFonts w:eastAsia="Times New Roman" w:cs="Arial"/>
                <w:lang w:eastAsia="bg-BG"/>
              </w:rPr>
            </w:pPr>
            <w:r w:rsidRPr="00D812F5">
              <w:t>6/5</w:t>
            </w:r>
          </w:p>
        </w:tc>
        <w:tc>
          <w:tcPr>
            <w:tcW w:w="649" w:type="dxa"/>
          </w:tcPr>
          <w:p w14:paraId="60870058" w14:textId="77777777" w:rsidR="00D812F5" w:rsidRPr="00D812F5" w:rsidRDefault="00D812F5" w:rsidP="00D812F5">
            <w:r w:rsidRPr="00D812F5">
              <w:t>33/26</w:t>
            </w:r>
          </w:p>
          <w:p w14:paraId="0645881D" w14:textId="77777777" w:rsidR="00D812F5" w:rsidRDefault="00D812F5" w:rsidP="00D812F5">
            <w:pPr>
              <w:spacing w:line="240" w:lineRule="auto"/>
            </w:pPr>
          </w:p>
          <w:p w14:paraId="1F692EF1" w14:textId="25F6C08C" w:rsidR="00D812F5" w:rsidRPr="00D812F5" w:rsidRDefault="00D812F5" w:rsidP="00D812F5">
            <w:pPr>
              <w:spacing w:line="240" w:lineRule="auto"/>
              <w:rPr>
                <w:rFonts w:eastAsia="Times New Roman" w:cs="Arial"/>
                <w:lang w:eastAsia="bg-BG"/>
              </w:rPr>
            </w:pPr>
            <w:r w:rsidRPr="00D812F5">
              <w:t>8/7</w:t>
            </w:r>
            <w:r w:rsidRPr="00D812F5">
              <w:rPr>
                <w:vertAlign w:val="superscript"/>
              </w:rPr>
              <w:t>ж</w:t>
            </w:r>
          </w:p>
        </w:tc>
        <w:tc>
          <w:tcPr>
            <w:tcW w:w="649" w:type="dxa"/>
          </w:tcPr>
          <w:p w14:paraId="46E79102" w14:textId="77777777" w:rsidR="00D812F5" w:rsidRPr="00D812F5" w:rsidRDefault="00D812F5" w:rsidP="00D812F5"/>
          <w:p w14:paraId="3CB2D238" w14:textId="77777777" w:rsidR="00D812F5" w:rsidRPr="00D812F5" w:rsidRDefault="00D812F5" w:rsidP="00D812F5">
            <w:r w:rsidRPr="00D812F5">
              <w:t>36/30</w:t>
            </w:r>
          </w:p>
          <w:p w14:paraId="3395F6C9" w14:textId="77777777" w:rsidR="00D812F5" w:rsidRDefault="00D812F5" w:rsidP="00D812F5">
            <w:pPr>
              <w:spacing w:line="240" w:lineRule="auto"/>
            </w:pPr>
          </w:p>
          <w:p w14:paraId="213AA274" w14:textId="34837E6D" w:rsidR="00D812F5" w:rsidRPr="00D812F5" w:rsidRDefault="00D812F5" w:rsidP="00D812F5">
            <w:pPr>
              <w:spacing w:line="240" w:lineRule="auto"/>
              <w:rPr>
                <w:rFonts w:eastAsia="Times New Roman" w:cs="Arial"/>
                <w:lang w:eastAsia="bg-BG"/>
              </w:rPr>
            </w:pPr>
            <w:r w:rsidRPr="00D812F5">
              <w:t>8/7</w:t>
            </w:r>
            <w:r w:rsidRPr="00D812F5">
              <w:rPr>
                <w:vertAlign w:val="superscript"/>
              </w:rPr>
              <w:t>ж</w:t>
            </w:r>
          </w:p>
        </w:tc>
        <w:tc>
          <w:tcPr>
            <w:tcW w:w="713" w:type="dxa"/>
          </w:tcPr>
          <w:p w14:paraId="71AA44B0" w14:textId="77777777" w:rsidR="00D812F5" w:rsidRPr="00D812F5" w:rsidRDefault="00D812F5" w:rsidP="00D812F5">
            <w:r w:rsidRPr="00D812F5">
              <w:t>38/31</w:t>
            </w:r>
          </w:p>
          <w:p w14:paraId="1C4963D9" w14:textId="77777777" w:rsidR="00D812F5" w:rsidRDefault="00D812F5" w:rsidP="00D812F5">
            <w:pPr>
              <w:spacing w:line="240" w:lineRule="auto"/>
            </w:pPr>
          </w:p>
          <w:p w14:paraId="6176F9E1" w14:textId="1B295909" w:rsidR="00D812F5" w:rsidRPr="00D812F5" w:rsidRDefault="00D812F5" w:rsidP="00D812F5">
            <w:pPr>
              <w:spacing w:line="240" w:lineRule="auto"/>
              <w:rPr>
                <w:rFonts w:eastAsia="Times New Roman" w:cs="Arial"/>
                <w:lang w:eastAsia="bg-BG"/>
              </w:rPr>
            </w:pPr>
            <w:r w:rsidRPr="00D812F5">
              <w:t>10/10</w:t>
            </w:r>
            <w:r w:rsidRPr="00D812F5">
              <w:rPr>
                <w:vertAlign w:val="superscript"/>
              </w:rPr>
              <w:t>л</w:t>
            </w:r>
          </w:p>
        </w:tc>
        <w:tc>
          <w:tcPr>
            <w:tcW w:w="649" w:type="dxa"/>
          </w:tcPr>
          <w:p w14:paraId="7CC33A95" w14:textId="77777777" w:rsidR="00D812F5" w:rsidRPr="00D812F5" w:rsidRDefault="00D812F5" w:rsidP="00D812F5">
            <w:r w:rsidRPr="00D812F5">
              <w:t>40/31</w:t>
            </w:r>
          </w:p>
          <w:p w14:paraId="70D0E3C6" w14:textId="77777777" w:rsidR="00D812F5" w:rsidRDefault="00D812F5" w:rsidP="00D812F5"/>
          <w:p w14:paraId="68AB59AB" w14:textId="46882A70" w:rsidR="00D812F5" w:rsidRPr="00D812F5" w:rsidRDefault="00D812F5" w:rsidP="00D812F5">
            <w:r w:rsidRPr="00D812F5">
              <w:t>11/1</w:t>
            </w:r>
          </w:p>
          <w:p w14:paraId="2C5D205B" w14:textId="109BD28F" w:rsidR="00D812F5" w:rsidRPr="00D812F5" w:rsidRDefault="00D812F5" w:rsidP="00D812F5">
            <w:pPr>
              <w:spacing w:line="240" w:lineRule="auto"/>
              <w:rPr>
                <w:rFonts w:eastAsia="Times New Roman" w:cs="Arial"/>
                <w:lang w:eastAsia="bg-BG"/>
              </w:rPr>
            </w:pPr>
            <w:r w:rsidRPr="00D812F5">
              <w:t>0</w:t>
            </w:r>
            <w:r w:rsidRPr="00D812F5">
              <w:rPr>
                <w:vertAlign w:val="superscript"/>
              </w:rPr>
              <w:t>л</w:t>
            </w:r>
          </w:p>
        </w:tc>
        <w:tc>
          <w:tcPr>
            <w:tcW w:w="713" w:type="dxa"/>
          </w:tcPr>
          <w:p w14:paraId="44E97ED5" w14:textId="77777777" w:rsidR="00D812F5" w:rsidRPr="00D812F5" w:rsidRDefault="00D812F5" w:rsidP="00D812F5">
            <w:r w:rsidRPr="00D812F5">
              <w:t>35/24</w:t>
            </w:r>
          </w:p>
          <w:p w14:paraId="778882F6" w14:textId="77777777" w:rsidR="00D812F5" w:rsidRDefault="00D812F5" w:rsidP="00D812F5">
            <w:pPr>
              <w:spacing w:line="240" w:lineRule="auto"/>
            </w:pPr>
          </w:p>
          <w:p w14:paraId="0BAF00F4" w14:textId="18BF2203" w:rsidR="00D812F5" w:rsidRPr="00D812F5" w:rsidRDefault="00D812F5" w:rsidP="00D812F5">
            <w:pPr>
              <w:spacing w:line="240" w:lineRule="auto"/>
              <w:rPr>
                <w:rFonts w:eastAsia="Times New Roman" w:cs="Arial"/>
                <w:lang w:eastAsia="bg-BG"/>
              </w:rPr>
            </w:pPr>
            <w:r w:rsidRPr="00D812F5">
              <w:t>13/11</w:t>
            </w:r>
            <w:r w:rsidRPr="00D812F5">
              <w:rPr>
                <w:vertAlign w:val="superscript"/>
              </w:rPr>
              <w:t>л</w:t>
            </w:r>
          </w:p>
        </w:tc>
      </w:tr>
    </w:tbl>
    <w:p w14:paraId="21CB82F0"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lastRenderedPageBreak/>
        <w:t>а</w:t>
      </w:r>
      <w:r w:rsidRPr="00D812F5">
        <w:rPr>
          <w:rFonts w:eastAsia="Times New Roman" w:cs="Arial"/>
          <w:color w:val="000000"/>
          <w:lang w:eastAsia="bg-BG"/>
        </w:rPr>
        <w:t xml:space="preserve"> Въз основа на алгоритъм за дългосрочна оценка </w:t>
      </w:r>
      <w:r w:rsidRPr="00D812F5">
        <w:rPr>
          <w:rFonts w:eastAsia="Times New Roman" w:cs="Arial"/>
          <w:color w:val="000000"/>
          <w:lang w:val="en-US"/>
        </w:rPr>
        <w:t xml:space="preserve">(Long Term Evaluation algorithm (LTE Analysis)) </w:t>
      </w:r>
      <w:r w:rsidRPr="00D812F5">
        <w:rPr>
          <w:rFonts w:eastAsia="Times New Roman" w:cs="Arial"/>
          <w:color w:val="000000"/>
          <w:lang w:eastAsia="bg-BG"/>
        </w:rPr>
        <w:t>в знаменателя са включени пациентите, които са прекратили проучването по всяко време преди 384-та седмица поради определена от протокола крайна точка, както и тези, които са завършили 384-седмичното лечение.</w:t>
      </w:r>
    </w:p>
    <w:p w14:paraId="176AE531"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б</w:t>
      </w:r>
      <w:r w:rsidRPr="00D812F5">
        <w:rPr>
          <w:rFonts w:eastAsia="Times New Roman" w:cs="Arial"/>
          <w:color w:val="000000"/>
          <w:lang w:eastAsia="bg-BG"/>
        </w:rPr>
        <w:t xml:space="preserve"> 48 седмици двойносляпо лечение с тенофовир дизопроксил, последвано от 48 седмици отворено лечение.</w:t>
      </w:r>
    </w:p>
    <w:p w14:paraId="7AE73E85"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в</w:t>
      </w:r>
      <w:r w:rsidRPr="00D812F5">
        <w:rPr>
          <w:rFonts w:eastAsia="Times New Roman" w:cs="Arial"/>
          <w:color w:val="000000"/>
          <w:lang w:eastAsia="bg-BG"/>
        </w:rPr>
        <w:t xml:space="preserve"> 48 седмици двойносляпо лечение с адефовир дипивоксил, последвано от 48 седмици отворено лечение с тенофовир дизопроксил.</w:t>
      </w:r>
    </w:p>
    <w:p w14:paraId="14567D97"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г</w:t>
      </w:r>
      <w:r w:rsidRPr="00D812F5">
        <w:rPr>
          <w:rFonts w:eastAsia="Times New Roman" w:cs="Arial"/>
          <w:color w:val="000000"/>
          <w:lang w:eastAsia="bg-BG"/>
        </w:rPr>
        <w:t xml:space="preserve"> Популацията, при която е анализирано нормализирането на </w:t>
      </w:r>
      <w:r w:rsidRPr="00D812F5">
        <w:rPr>
          <w:rFonts w:eastAsia="Times New Roman" w:cs="Arial"/>
          <w:color w:val="000000"/>
          <w:lang w:val="en-US"/>
        </w:rPr>
        <w:t xml:space="preserve">ALT, </w:t>
      </w:r>
      <w:r w:rsidRPr="00D812F5">
        <w:rPr>
          <w:rFonts w:eastAsia="Times New Roman" w:cs="Arial"/>
          <w:color w:val="000000"/>
          <w:lang w:eastAsia="bg-BG"/>
        </w:rPr>
        <w:t xml:space="preserve">включва само пациенти с нива на </w:t>
      </w:r>
      <w:r w:rsidRPr="00D812F5">
        <w:rPr>
          <w:rFonts w:eastAsia="Times New Roman" w:cs="Arial"/>
          <w:color w:val="000000"/>
          <w:lang w:val="en-US"/>
        </w:rPr>
        <w:t xml:space="preserve">ALT </w:t>
      </w:r>
      <w:r w:rsidRPr="00D812F5">
        <w:rPr>
          <w:rFonts w:eastAsia="Times New Roman" w:cs="Arial"/>
          <w:color w:val="000000"/>
          <w:lang w:eastAsia="bg-BG"/>
        </w:rPr>
        <w:t>над горната граница на нормата на изходното ниво.</w:t>
      </w:r>
    </w:p>
    <w:p w14:paraId="551CB457"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д</w:t>
      </w:r>
      <w:r w:rsidRPr="00D812F5">
        <w:rPr>
          <w:rFonts w:eastAsia="Times New Roman" w:cs="Arial"/>
          <w:color w:val="000000"/>
          <w:lang w:eastAsia="bg-BG"/>
        </w:rPr>
        <w:t xml:space="preserve"> 48 седмици двойносляпо лечение с тенофовир дизопроксил, последвано от 96 седмици отворено лечение.</w:t>
      </w:r>
    </w:p>
    <w:p w14:paraId="493F4712"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е</w:t>
      </w:r>
      <w:r w:rsidRPr="00D812F5">
        <w:rPr>
          <w:rFonts w:eastAsia="Times New Roman" w:cs="Arial"/>
          <w:color w:val="000000"/>
          <w:lang w:eastAsia="bg-BG"/>
        </w:rPr>
        <w:t>48 седмици двойносляпо лечение с адефовир дипивоксил, последвано от 96 седмици отворено лечение с тенофовир дизопроксил.</w:t>
      </w:r>
    </w:p>
    <w:p w14:paraId="1B9652BC"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ж</w:t>
      </w:r>
      <w:r w:rsidRPr="00D812F5">
        <w:rPr>
          <w:rFonts w:eastAsia="Times New Roman" w:cs="Arial"/>
          <w:color w:val="000000"/>
          <w:lang w:eastAsia="bg-BG"/>
        </w:rPr>
        <w:t xml:space="preserve">Представените стойности са кумулативни проценти, базирани на анализа на </w:t>
      </w:r>
      <w:r w:rsidRPr="00D812F5">
        <w:rPr>
          <w:rFonts w:eastAsia="Times New Roman" w:cs="Arial"/>
          <w:color w:val="000000"/>
          <w:lang w:val="en-US"/>
        </w:rPr>
        <w:t xml:space="preserve">Kaplan Meier, </w:t>
      </w:r>
      <w:r w:rsidRPr="00D812F5">
        <w:rPr>
          <w:rFonts w:eastAsia="Times New Roman" w:cs="Arial"/>
          <w:color w:val="000000"/>
          <w:lang w:eastAsia="bg-BG"/>
        </w:rPr>
        <w:t xml:space="preserve">включвайки данни, събрани след добавянето на емтрицитабин към отвореното лечение с тенофовир дизопроксил </w:t>
      </w:r>
      <w:r w:rsidRPr="00D812F5">
        <w:rPr>
          <w:rFonts w:eastAsia="Times New Roman" w:cs="Arial"/>
          <w:color w:val="000000"/>
          <w:lang w:val="en-US"/>
        </w:rPr>
        <w:t>(KM-ITT).</w:t>
      </w:r>
    </w:p>
    <w:p w14:paraId="70F0BDED"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3</w:t>
      </w:r>
      <w:r w:rsidRPr="00D812F5">
        <w:rPr>
          <w:rFonts w:eastAsia="Times New Roman" w:cs="Arial"/>
          <w:color w:val="000000"/>
          <w:lang w:eastAsia="bg-BG"/>
        </w:rPr>
        <w:t xml:space="preserve"> 48 седмици двойносляпо лечение с тенофовир дизопроксил, последвано от 144 седмици отворено лечение.</w:t>
      </w:r>
    </w:p>
    <w:p w14:paraId="5EB31FD0"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и</w:t>
      </w:r>
      <w:r w:rsidRPr="00D812F5">
        <w:rPr>
          <w:rFonts w:eastAsia="Times New Roman" w:cs="Arial"/>
          <w:color w:val="000000"/>
          <w:lang w:eastAsia="bg-BG"/>
        </w:rPr>
        <w:t>48 седмици двойносляпо лечение с адефовир дипивоксил, последвано от 144 седмици отворено лечение с тенофовир дизопроксил.</w:t>
      </w:r>
    </w:p>
    <w:p w14:paraId="18D84C00"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й</w:t>
      </w:r>
      <w:r w:rsidRPr="00D812F5">
        <w:rPr>
          <w:rFonts w:eastAsia="Times New Roman" w:cs="Arial"/>
          <w:color w:val="000000"/>
          <w:lang w:eastAsia="bg-BG"/>
        </w:rPr>
        <w:t xml:space="preserve"> 48 седмици двойносляпо лечение с тенофовир дизопроксил, последвано от 192 седмици отворено лечение.</w:t>
      </w:r>
    </w:p>
    <w:p w14:paraId="3CE862E2"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к</w:t>
      </w:r>
      <w:r w:rsidRPr="00D812F5">
        <w:rPr>
          <w:rFonts w:eastAsia="Times New Roman" w:cs="Arial"/>
          <w:color w:val="000000"/>
          <w:lang w:eastAsia="bg-BG"/>
        </w:rPr>
        <w:t xml:space="preserve"> 48 седмици двойносляпо лечение с адефовир дипивоксил, последвано от 192 седмици отворено лечение с тенофовир дизопроксил.</w:t>
      </w:r>
    </w:p>
    <w:p w14:paraId="3A264B7F"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л</w:t>
      </w:r>
      <w:r w:rsidRPr="00D812F5">
        <w:rPr>
          <w:rFonts w:eastAsia="Times New Roman" w:cs="Arial"/>
          <w:color w:val="000000"/>
          <w:lang w:eastAsia="bg-BG"/>
        </w:rPr>
        <w:t xml:space="preserve"> Представените стойности са кумулативни проценти, базирани на анализа на </w:t>
      </w:r>
      <w:r w:rsidRPr="00D812F5">
        <w:rPr>
          <w:rFonts w:eastAsia="Times New Roman" w:cs="Arial"/>
          <w:color w:val="000000"/>
          <w:lang w:val="en-US"/>
        </w:rPr>
        <w:t xml:space="preserve">Kaplan Meier, </w:t>
      </w:r>
      <w:r w:rsidRPr="00D812F5">
        <w:rPr>
          <w:rFonts w:eastAsia="Times New Roman" w:cs="Arial"/>
          <w:color w:val="000000"/>
          <w:lang w:eastAsia="bg-BG"/>
        </w:rPr>
        <w:t xml:space="preserve">изключвайки данни, събрани след добавянето на емтрицитабин към отвореното лечение с тенофовир дизопроксил </w:t>
      </w:r>
      <w:r w:rsidRPr="00D812F5">
        <w:rPr>
          <w:rFonts w:eastAsia="Times New Roman" w:cs="Arial"/>
          <w:color w:val="000000"/>
          <w:lang w:val="en-US"/>
        </w:rPr>
        <w:t>(KM-TDF).</w:t>
      </w:r>
    </w:p>
    <w:p w14:paraId="6A2B2758"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м</w:t>
      </w:r>
      <w:r w:rsidRPr="00D812F5">
        <w:rPr>
          <w:rFonts w:eastAsia="Times New Roman" w:cs="Arial"/>
          <w:color w:val="000000"/>
          <w:lang w:eastAsia="bg-BG"/>
        </w:rPr>
        <w:t xml:space="preserve"> 48 седмици двойносляпо лечение с тенофовир дизопроксил, последвано от 240 седмици отворено лечение.</w:t>
      </w:r>
    </w:p>
    <w:p w14:paraId="14913D81"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н</w:t>
      </w:r>
      <w:r w:rsidRPr="00D812F5">
        <w:rPr>
          <w:rFonts w:eastAsia="Times New Roman" w:cs="Arial"/>
          <w:color w:val="000000"/>
          <w:lang w:eastAsia="bg-BG"/>
        </w:rPr>
        <w:t>48 седмици двойносляпо лечение с адефовир дипивоксил, последвано от 240 седмици отворено лечение с тенофовир дизопроксил.</w:t>
      </w:r>
    </w:p>
    <w:p w14:paraId="22F12BDF"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о</w:t>
      </w:r>
      <w:r w:rsidRPr="00D812F5">
        <w:rPr>
          <w:rFonts w:eastAsia="Times New Roman" w:cs="Arial"/>
          <w:color w:val="000000"/>
          <w:lang w:eastAsia="bg-BG"/>
        </w:rPr>
        <w:t>48 седмици двойносляпо лечение с тенофовир дизопроксил, последвано от 336 седмици отворено лечение.</w:t>
      </w:r>
    </w:p>
    <w:p w14:paraId="192CD1B9"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п</w:t>
      </w:r>
      <w:r w:rsidRPr="00D812F5">
        <w:rPr>
          <w:rFonts w:eastAsia="Times New Roman" w:cs="Arial"/>
          <w:color w:val="000000"/>
          <w:lang w:eastAsia="bg-BG"/>
        </w:rPr>
        <w:t xml:space="preserve"> 48 седмици двойносляпо лечение с адефовир дипивоксил, последвано от 336 седмици отворено лечение с тенофовир дизопроксил.</w:t>
      </w:r>
    </w:p>
    <w:p w14:paraId="67765329" w14:textId="77777777" w:rsidR="00D812F5" w:rsidRPr="00D812F5" w:rsidRDefault="00D812F5" w:rsidP="00D812F5">
      <w:pPr>
        <w:spacing w:line="240" w:lineRule="auto"/>
        <w:rPr>
          <w:rFonts w:eastAsia="Times New Roman" w:cs="Arial"/>
          <w:lang w:eastAsia="bg-BG"/>
        </w:rPr>
      </w:pPr>
    </w:p>
    <w:p w14:paraId="41614B7F"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Има налични данни от двойки чернодробни биопсии от изходния момент и от седмица 240 за 331/489 пациенти, които са останали в проучвания </w:t>
      </w:r>
      <w:r w:rsidRPr="00D812F5">
        <w:rPr>
          <w:rFonts w:eastAsia="Times New Roman" w:cs="Arial"/>
          <w:color w:val="000000"/>
          <w:lang w:val="en-US"/>
        </w:rPr>
        <w:t xml:space="preserve">GS-US-174-0102 </w:t>
      </w:r>
      <w:r w:rsidRPr="00D812F5">
        <w:rPr>
          <w:rFonts w:eastAsia="Times New Roman" w:cs="Arial"/>
          <w:color w:val="000000"/>
          <w:lang w:eastAsia="bg-BG"/>
        </w:rPr>
        <w:t xml:space="preserve">и </w:t>
      </w:r>
      <w:r w:rsidRPr="00D812F5">
        <w:rPr>
          <w:rFonts w:eastAsia="Times New Roman" w:cs="Arial"/>
          <w:color w:val="000000"/>
          <w:lang w:val="en-US"/>
        </w:rPr>
        <w:t>GS-US-174-0103</w:t>
      </w:r>
      <w:r w:rsidRPr="00D812F5">
        <w:rPr>
          <w:rFonts w:eastAsia="Times New Roman" w:cs="Arial"/>
          <w:color w:val="000000"/>
          <w:lang w:eastAsia="bg-BG"/>
        </w:rPr>
        <w:t xml:space="preserve"> в седмица 240 (вж. Таблица 6 по-долу). Деветдесет и пет процента (225/237) от пациентите без цироза към изходния момент и 99 % (93/94) от пациентите с цироза към изходния момент или са нямали промяна, или са имали подобрение по отношение на фиброзата </w:t>
      </w:r>
      <w:r w:rsidRPr="00D812F5">
        <w:rPr>
          <w:rFonts w:eastAsia="Times New Roman" w:cs="Arial"/>
          <w:color w:val="000000"/>
          <w:lang w:val="en-US"/>
        </w:rPr>
        <w:t xml:space="preserve">(Ishak </w:t>
      </w:r>
      <w:r w:rsidRPr="00D812F5">
        <w:rPr>
          <w:rFonts w:eastAsia="Times New Roman" w:cs="Arial"/>
          <w:color w:val="000000"/>
          <w:lang w:eastAsia="bg-BG"/>
        </w:rPr>
        <w:t xml:space="preserve">скор за фиброза). От 94 пациенти с цироза към изходния момент </w:t>
      </w:r>
      <w:r w:rsidRPr="00D812F5">
        <w:rPr>
          <w:rFonts w:eastAsia="Times New Roman" w:cs="Arial"/>
          <w:color w:val="000000"/>
          <w:lang w:val="en-US"/>
        </w:rPr>
        <w:t xml:space="preserve">(Ishak </w:t>
      </w:r>
      <w:r w:rsidRPr="00D812F5">
        <w:rPr>
          <w:rFonts w:eastAsia="Times New Roman" w:cs="Arial"/>
          <w:color w:val="000000"/>
          <w:lang w:eastAsia="bg-BG"/>
        </w:rPr>
        <w:t xml:space="preserve">скор за фиброза: 5 - 6) 26 % </w:t>
      </w:r>
      <w:r w:rsidRPr="00D812F5">
        <w:rPr>
          <w:rFonts w:eastAsia="Times New Roman" w:cs="Arial"/>
          <w:color w:val="000000"/>
          <w:lang w:val="en-US"/>
        </w:rPr>
        <w:t>(24)</w:t>
      </w:r>
      <w:r w:rsidRPr="00D812F5">
        <w:rPr>
          <w:rFonts w:eastAsia="Times New Roman" w:cs="Arial"/>
          <w:color w:val="000000"/>
          <w:lang w:eastAsia="bg-BG"/>
        </w:rPr>
        <w:t xml:space="preserve"> не са имали</w:t>
      </w:r>
    </w:p>
    <w:p w14:paraId="7230F00C" w14:textId="77777777" w:rsidR="00D812F5" w:rsidRPr="00206CF1" w:rsidRDefault="00D812F5" w:rsidP="00206CF1">
      <w:pPr>
        <w:spacing w:line="240" w:lineRule="auto"/>
        <w:rPr>
          <w:rFonts w:eastAsia="Times New Roman" w:cs="Arial"/>
          <w:lang w:eastAsia="bg-BG"/>
        </w:rPr>
      </w:pPr>
    </w:p>
    <w:p w14:paraId="0F542006"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 промяна в </w:t>
      </w:r>
      <w:r w:rsidRPr="00D812F5">
        <w:rPr>
          <w:rFonts w:eastAsia="Times New Roman" w:cs="Arial"/>
          <w:color w:val="000000"/>
          <w:lang w:val="en-US"/>
        </w:rPr>
        <w:t xml:space="preserve">Ishak </w:t>
      </w:r>
      <w:r w:rsidRPr="00D812F5">
        <w:rPr>
          <w:rFonts w:eastAsia="Times New Roman" w:cs="Arial"/>
          <w:color w:val="000000"/>
          <w:lang w:eastAsia="bg-BG"/>
        </w:rPr>
        <w:t xml:space="preserve">скора за фиброзата и 72 % (68) са имали регресия на цирозата през седмица 240 със спад на </w:t>
      </w:r>
      <w:r w:rsidRPr="00D812F5">
        <w:rPr>
          <w:rFonts w:eastAsia="Times New Roman" w:cs="Arial"/>
          <w:color w:val="000000"/>
          <w:lang w:val="en-US"/>
        </w:rPr>
        <w:t xml:space="preserve">Ishak </w:t>
      </w:r>
      <w:r w:rsidRPr="00D812F5">
        <w:rPr>
          <w:rFonts w:eastAsia="Times New Roman" w:cs="Arial"/>
          <w:color w:val="000000"/>
          <w:lang w:eastAsia="bg-BG"/>
        </w:rPr>
        <w:t>скора за фиброзата с поне 2 точки.</w:t>
      </w:r>
    </w:p>
    <w:p w14:paraId="039053F5" w14:textId="77777777" w:rsidR="00D812F5" w:rsidRPr="00D812F5" w:rsidRDefault="00D812F5" w:rsidP="00D812F5">
      <w:pPr>
        <w:rPr>
          <w:rFonts w:eastAsia="Times New Roman" w:cs="Arial"/>
          <w:b/>
          <w:bCs/>
          <w:color w:val="000000"/>
          <w:lang w:eastAsia="bg-BG"/>
        </w:rPr>
      </w:pPr>
    </w:p>
    <w:p w14:paraId="3E2475A4" w14:textId="52F192FA" w:rsidR="00206CF1" w:rsidRPr="00D812F5" w:rsidRDefault="00D812F5" w:rsidP="00D812F5">
      <w:pPr>
        <w:rPr>
          <w:rFonts w:eastAsia="Times New Roman" w:cs="Arial"/>
          <w:b/>
          <w:bCs/>
          <w:color w:val="000000"/>
          <w:lang w:eastAsia="bg-BG"/>
        </w:rPr>
      </w:pPr>
      <w:r w:rsidRPr="00D812F5">
        <w:rPr>
          <w:rFonts w:eastAsia="Times New Roman" w:cs="Arial"/>
          <w:b/>
          <w:bCs/>
          <w:color w:val="000000"/>
          <w:lang w:eastAsia="bg-BG"/>
        </w:rPr>
        <w:t xml:space="preserve">Таблица 6: Хистологичен отговор (%) при компенсирани </w:t>
      </w:r>
      <w:proofErr w:type="spellStart"/>
      <w:r w:rsidRPr="00D812F5">
        <w:rPr>
          <w:rFonts w:eastAsia="Times New Roman" w:cs="Arial"/>
          <w:b/>
          <w:bCs/>
          <w:color w:val="000000"/>
          <w:lang w:val="en-US"/>
        </w:rPr>
        <w:t>HBeAg</w:t>
      </w:r>
      <w:proofErr w:type="spellEnd"/>
      <w:r w:rsidRPr="00D812F5">
        <w:rPr>
          <w:rFonts w:eastAsia="Times New Roman" w:cs="Arial"/>
          <w:b/>
          <w:bCs/>
          <w:color w:val="000000"/>
          <w:lang w:val="en-US"/>
        </w:rPr>
        <w:t xml:space="preserve"> </w:t>
      </w:r>
      <w:r w:rsidRPr="00D812F5">
        <w:rPr>
          <w:rFonts w:eastAsia="Times New Roman" w:cs="Arial"/>
          <w:b/>
          <w:bCs/>
          <w:color w:val="000000"/>
          <w:lang w:eastAsia="bg-BG"/>
        </w:rPr>
        <w:t xml:space="preserve">негативни и </w:t>
      </w:r>
      <w:proofErr w:type="spellStart"/>
      <w:r w:rsidRPr="00D812F5">
        <w:rPr>
          <w:rFonts w:eastAsia="Times New Roman" w:cs="Arial"/>
          <w:b/>
          <w:bCs/>
          <w:color w:val="000000"/>
          <w:lang w:val="en-US"/>
        </w:rPr>
        <w:t>HBeAg</w:t>
      </w:r>
      <w:proofErr w:type="spellEnd"/>
      <w:r w:rsidRPr="00D812F5">
        <w:rPr>
          <w:rFonts w:eastAsia="Times New Roman" w:cs="Arial"/>
          <w:b/>
          <w:bCs/>
          <w:color w:val="000000"/>
          <w:lang w:val="en-US"/>
        </w:rPr>
        <w:t xml:space="preserve"> </w:t>
      </w:r>
      <w:r w:rsidRPr="00D812F5">
        <w:rPr>
          <w:rFonts w:eastAsia="Times New Roman" w:cs="Arial"/>
          <w:b/>
          <w:bCs/>
          <w:color w:val="000000"/>
          <w:lang w:eastAsia="bg-BG"/>
        </w:rPr>
        <w:t>положителни участници през седмица 240 в сравнение с изходния момент</w:t>
      </w:r>
    </w:p>
    <w:tbl>
      <w:tblPr>
        <w:tblStyle w:val="TableGrid"/>
        <w:tblW w:w="0" w:type="auto"/>
        <w:tblLook w:val="04A0" w:firstRow="1" w:lastRow="0" w:firstColumn="1" w:lastColumn="0" w:noHBand="0" w:noVBand="1"/>
      </w:tblPr>
      <w:tblGrid>
        <w:gridCol w:w="1876"/>
        <w:gridCol w:w="1865"/>
        <w:gridCol w:w="1872"/>
        <w:gridCol w:w="1865"/>
        <w:gridCol w:w="1872"/>
      </w:tblGrid>
      <w:tr w:rsidR="00D812F5" w14:paraId="6ACB6AB7" w14:textId="77777777" w:rsidTr="003F5699">
        <w:tc>
          <w:tcPr>
            <w:tcW w:w="1900" w:type="dxa"/>
          </w:tcPr>
          <w:p w14:paraId="56FFA0C2" w14:textId="77777777" w:rsidR="00D812F5" w:rsidRDefault="00D812F5" w:rsidP="00D812F5">
            <w:pPr>
              <w:rPr>
                <w:rFonts w:cs="Arial"/>
                <w:lang w:val="en-US"/>
              </w:rPr>
            </w:pPr>
          </w:p>
        </w:tc>
        <w:tc>
          <w:tcPr>
            <w:tcW w:w="3800" w:type="dxa"/>
            <w:gridSpan w:val="2"/>
          </w:tcPr>
          <w:p w14:paraId="1D32AE71" w14:textId="70FE01C9" w:rsidR="00D812F5" w:rsidRPr="00D812F5" w:rsidRDefault="00D812F5" w:rsidP="00D812F5">
            <w:pPr>
              <w:rPr>
                <w:rFonts w:cs="Arial"/>
                <w:b/>
                <w:bCs/>
                <w:lang w:val="en-US"/>
              </w:rPr>
            </w:pPr>
            <w:r w:rsidRPr="00D812F5">
              <w:rPr>
                <w:b/>
                <w:bCs/>
              </w:rPr>
              <w:t xml:space="preserve">Проучване 174-0102 </w:t>
            </w:r>
            <w:r w:rsidRPr="00D812F5">
              <w:rPr>
                <w:b/>
                <w:bCs/>
                <w:lang w:val="en-US"/>
              </w:rPr>
              <w:t>(</w:t>
            </w:r>
            <w:proofErr w:type="spellStart"/>
            <w:r w:rsidRPr="00D812F5">
              <w:rPr>
                <w:b/>
                <w:bCs/>
                <w:lang w:val="en-US"/>
              </w:rPr>
              <w:t>HBeAg</w:t>
            </w:r>
            <w:proofErr w:type="spellEnd"/>
            <w:r w:rsidRPr="00D812F5">
              <w:rPr>
                <w:b/>
                <w:bCs/>
                <w:lang w:val="en-US"/>
              </w:rPr>
              <w:t xml:space="preserve"> </w:t>
            </w:r>
            <w:r w:rsidRPr="00D812F5">
              <w:rPr>
                <w:b/>
                <w:bCs/>
              </w:rPr>
              <w:t>негативни)</w:t>
            </w:r>
          </w:p>
        </w:tc>
        <w:tc>
          <w:tcPr>
            <w:tcW w:w="3800" w:type="dxa"/>
            <w:gridSpan w:val="2"/>
          </w:tcPr>
          <w:p w14:paraId="0556B787" w14:textId="5B9775ED" w:rsidR="00D812F5" w:rsidRPr="00D812F5" w:rsidRDefault="00D812F5" w:rsidP="00D812F5">
            <w:pPr>
              <w:rPr>
                <w:rFonts w:cs="Arial"/>
                <w:b/>
                <w:bCs/>
                <w:lang w:val="en-US"/>
              </w:rPr>
            </w:pPr>
            <w:r w:rsidRPr="00D812F5">
              <w:rPr>
                <w:b/>
                <w:bCs/>
              </w:rPr>
              <w:t xml:space="preserve">Проучване 174-0103 </w:t>
            </w:r>
            <w:r w:rsidRPr="00D812F5">
              <w:rPr>
                <w:b/>
                <w:bCs/>
                <w:lang w:val="en-US"/>
              </w:rPr>
              <w:t>(</w:t>
            </w:r>
            <w:proofErr w:type="spellStart"/>
            <w:r w:rsidRPr="00D812F5">
              <w:rPr>
                <w:b/>
                <w:bCs/>
                <w:lang w:val="en-US"/>
              </w:rPr>
              <w:t>HBeAg</w:t>
            </w:r>
            <w:proofErr w:type="spellEnd"/>
            <w:r w:rsidRPr="00D812F5">
              <w:rPr>
                <w:b/>
                <w:bCs/>
                <w:lang w:val="en-US"/>
              </w:rPr>
              <w:t xml:space="preserve"> </w:t>
            </w:r>
            <w:r w:rsidRPr="00D812F5">
              <w:rPr>
                <w:b/>
                <w:bCs/>
              </w:rPr>
              <w:t>позитивни)</w:t>
            </w:r>
          </w:p>
        </w:tc>
      </w:tr>
      <w:tr w:rsidR="00D812F5" w14:paraId="6C131771" w14:textId="77777777" w:rsidTr="00D812F5">
        <w:tc>
          <w:tcPr>
            <w:tcW w:w="1900" w:type="dxa"/>
          </w:tcPr>
          <w:p w14:paraId="18C9E2EC" w14:textId="77777777" w:rsidR="00D812F5" w:rsidRDefault="00D812F5" w:rsidP="00D812F5">
            <w:pPr>
              <w:rPr>
                <w:rFonts w:cs="Arial"/>
                <w:lang w:val="en-US"/>
              </w:rPr>
            </w:pPr>
          </w:p>
        </w:tc>
        <w:tc>
          <w:tcPr>
            <w:tcW w:w="1900" w:type="dxa"/>
          </w:tcPr>
          <w:p w14:paraId="141335B4" w14:textId="22F1007C" w:rsidR="00D812F5" w:rsidRDefault="00D812F5" w:rsidP="00D812F5">
            <w:pPr>
              <w:rPr>
                <w:rFonts w:cs="Arial"/>
                <w:lang w:val="en-US"/>
              </w:rPr>
            </w:pPr>
            <w:r>
              <w:t xml:space="preserve">Тенофовир дизопроксил 245 </w:t>
            </w:r>
            <w:r>
              <w:rPr>
                <w:lang w:val="en-US"/>
              </w:rPr>
              <w:t>mg n</w:t>
            </w:r>
            <w:r>
              <w:t>= 250</w:t>
            </w:r>
            <w:r>
              <w:rPr>
                <w:vertAlign w:val="superscript"/>
              </w:rPr>
              <w:t>в</w:t>
            </w:r>
          </w:p>
        </w:tc>
        <w:tc>
          <w:tcPr>
            <w:tcW w:w="1900" w:type="dxa"/>
          </w:tcPr>
          <w:p w14:paraId="3FFFF62F" w14:textId="12AC672C" w:rsidR="00D812F5" w:rsidRDefault="00D812F5" w:rsidP="00D812F5">
            <w:pPr>
              <w:rPr>
                <w:rFonts w:cs="Arial"/>
                <w:lang w:val="en-US"/>
              </w:rPr>
            </w:pPr>
            <w:r>
              <w:t xml:space="preserve">Адефовир дипивоксил 10 </w:t>
            </w:r>
            <w:r>
              <w:rPr>
                <w:lang w:val="en-US"/>
              </w:rPr>
              <w:t xml:space="preserve">mg </w:t>
            </w:r>
            <w:r>
              <w:t xml:space="preserve">преминаване към тенофовир дизопроксил 245 </w:t>
            </w:r>
            <w:r>
              <w:rPr>
                <w:lang w:val="en-US"/>
              </w:rPr>
              <w:t>mg n</w:t>
            </w:r>
            <w:r>
              <w:t>=125</w:t>
            </w:r>
            <w:r>
              <w:rPr>
                <w:vertAlign w:val="superscript"/>
              </w:rPr>
              <w:t>г</w:t>
            </w:r>
          </w:p>
        </w:tc>
        <w:tc>
          <w:tcPr>
            <w:tcW w:w="1900" w:type="dxa"/>
          </w:tcPr>
          <w:p w14:paraId="599440F7" w14:textId="7AFEB974" w:rsidR="00D812F5" w:rsidRDefault="00D812F5" w:rsidP="00D812F5">
            <w:pPr>
              <w:rPr>
                <w:rFonts w:cs="Arial"/>
                <w:lang w:val="en-US"/>
              </w:rPr>
            </w:pPr>
            <w:r>
              <w:t xml:space="preserve">Тенофовир дизопроксил 245 </w:t>
            </w:r>
            <w:r>
              <w:rPr>
                <w:lang w:val="en-US"/>
              </w:rPr>
              <w:t>mg n</w:t>
            </w:r>
            <w:r>
              <w:t>= 176</w:t>
            </w:r>
            <w:r>
              <w:rPr>
                <w:vertAlign w:val="superscript"/>
              </w:rPr>
              <w:t>в</w:t>
            </w:r>
          </w:p>
        </w:tc>
        <w:tc>
          <w:tcPr>
            <w:tcW w:w="1900" w:type="dxa"/>
          </w:tcPr>
          <w:p w14:paraId="278D200B" w14:textId="191D995E" w:rsidR="00D812F5" w:rsidRDefault="00D812F5" w:rsidP="00D812F5">
            <w:pPr>
              <w:rPr>
                <w:rFonts w:cs="Arial"/>
                <w:lang w:val="en-US"/>
              </w:rPr>
            </w:pPr>
            <w:r>
              <w:t xml:space="preserve">Адефовир дипивоксил 10 </w:t>
            </w:r>
            <w:r>
              <w:rPr>
                <w:lang w:val="en-US"/>
              </w:rPr>
              <w:t xml:space="preserve">mg </w:t>
            </w:r>
            <w:r>
              <w:t xml:space="preserve">преминаване към тенофовир дизопроксил 245 </w:t>
            </w:r>
            <w:r>
              <w:rPr>
                <w:lang w:val="en-US"/>
              </w:rPr>
              <w:t>mg n</w:t>
            </w:r>
            <w:r>
              <w:t>= 90</w:t>
            </w:r>
            <w:r>
              <w:rPr>
                <w:vertAlign w:val="superscript"/>
              </w:rPr>
              <w:t>г</w:t>
            </w:r>
          </w:p>
        </w:tc>
      </w:tr>
      <w:tr w:rsidR="00D812F5" w14:paraId="66777583" w14:textId="77777777" w:rsidTr="00D812F5">
        <w:tc>
          <w:tcPr>
            <w:tcW w:w="1900" w:type="dxa"/>
          </w:tcPr>
          <w:p w14:paraId="337734E6" w14:textId="4729E967" w:rsidR="00D812F5" w:rsidRDefault="00D812F5" w:rsidP="00D812F5">
            <w:pPr>
              <w:rPr>
                <w:rFonts w:cs="Arial"/>
                <w:lang w:val="en-US"/>
              </w:rPr>
            </w:pPr>
            <w:r>
              <w:t>Хистологичен отговор</w:t>
            </w:r>
            <w:r>
              <w:rPr>
                <w:vertAlign w:val="superscript"/>
              </w:rPr>
              <w:t>а,б</w:t>
            </w:r>
            <w:r>
              <w:t xml:space="preserve"> (%)</w:t>
            </w:r>
          </w:p>
        </w:tc>
        <w:tc>
          <w:tcPr>
            <w:tcW w:w="1900" w:type="dxa"/>
          </w:tcPr>
          <w:p w14:paraId="2DEBFCB8" w14:textId="77777777" w:rsidR="00D812F5" w:rsidRDefault="00D812F5" w:rsidP="00D812F5">
            <w:r>
              <w:t>88</w:t>
            </w:r>
          </w:p>
          <w:p w14:paraId="7F35364A" w14:textId="514AF2B0" w:rsidR="00D812F5" w:rsidRDefault="00D812F5" w:rsidP="00D812F5">
            <w:pPr>
              <w:rPr>
                <w:rFonts w:cs="Arial"/>
                <w:lang w:val="en-US"/>
              </w:rPr>
            </w:pPr>
            <w:r>
              <w:t>[130/148]</w:t>
            </w:r>
          </w:p>
        </w:tc>
        <w:tc>
          <w:tcPr>
            <w:tcW w:w="1900" w:type="dxa"/>
          </w:tcPr>
          <w:p w14:paraId="3770B3D0" w14:textId="434D2D98" w:rsidR="00D812F5" w:rsidRDefault="00D812F5" w:rsidP="00D812F5">
            <w:pPr>
              <w:rPr>
                <w:rFonts w:cs="Arial"/>
                <w:lang w:val="en-US"/>
              </w:rPr>
            </w:pPr>
            <w:r>
              <w:t>85 [63/74]</w:t>
            </w:r>
          </w:p>
        </w:tc>
        <w:tc>
          <w:tcPr>
            <w:tcW w:w="1900" w:type="dxa"/>
          </w:tcPr>
          <w:p w14:paraId="79AF0102" w14:textId="02DAEA07" w:rsidR="00D812F5" w:rsidRDefault="00D812F5" w:rsidP="00D812F5">
            <w:pPr>
              <w:rPr>
                <w:rFonts w:cs="Arial"/>
                <w:lang w:val="en-US"/>
              </w:rPr>
            </w:pPr>
            <w:r>
              <w:t>90 [63/70]</w:t>
            </w:r>
          </w:p>
        </w:tc>
        <w:tc>
          <w:tcPr>
            <w:tcW w:w="1900" w:type="dxa"/>
          </w:tcPr>
          <w:p w14:paraId="49C6B0BF" w14:textId="2350BECD" w:rsidR="00D812F5" w:rsidRDefault="00D812F5" w:rsidP="00D812F5">
            <w:pPr>
              <w:rPr>
                <w:rFonts w:cs="Arial"/>
                <w:lang w:val="en-US"/>
              </w:rPr>
            </w:pPr>
            <w:r>
              <w:t>92 [36/39]</w:t>
            </w:r>
          </w:p>
        </w:tc>
      </w:tr>
    </w:tbl>
    <w:p w14:paraId="7A8278CB"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а</w:t>
      </w:r>
      <w:r w:rsidRPr="00D812F5">
        <w:rPr>
          <w:rFonts w:eastAsia="Times New Roman" w:cs="Arial"/>
          <w:color w:val="000000"/>
          <w:lang w:eastAsia="bg-BG"/>
        </w:rPr>
        <w:t xml:space="preserve"> Популацията, при която е анализирана хистологията, включва само пациенти с налични данни от чернодробна биопсия през седмица 240 (без биопсия = изключени). Отговори след добавяне на емтрицитабин са изключени (общо 17 участници от двете проучвания).</w:t>
      </w:r>
    </w:p>
    <w:p w14:paraId="7A60FFF9"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6</w:t>
      </w:r>
      <w:r w:rsidRPr="00D812F5">
        <w:rPr>
          <w:rFonts w:eastAsia="Times New Roman" w:cs="Arial"/>
          <w:color w:val="000000"/>
          <w:lang w:eastAsia="bg-BG"/>
        </w:rPr>
        <w:t xml:space="preserve"> Подобрение на некроинфламаторния скор на </w:t>
      </w:r>
      <w:proofErr w:type="spellStart"/>
      <w:r w:rsidRPr="00D812F5">
        <w:rPr>
          <w:rFonts w:eastAsia="Times New Roman" w:cs="Arial"/>
          <w:color w:val="000000"/>
          <w:lang w:val="en-US"/>
        </w:rPr>
        <w:t>Knodell</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с поне 2 точки без влошаване на </w:t>
      </w:r>
      <w:proofErr w:type="spellStart"/>
      <w:r w:rsidRPr="00D812F5">
        <w:rPr>
          <w:rFonts w:eastAsia="Times New Roman" w:cs="Arial"/>
          <w:color w:val="000000"/>
          <w:lang w:val="en-US"/>
        </w:rPr>
        <w:t>Knodell</w:t>
      </w:r>
      <w:proofErr w:type="spellEnd"/>
      <w:r w:rsidRPr="00D812F5">
        <w:rPr>
          <w:rFonts w:eastAsia="Times New Roman" w:cs="Arial"/>
          <w:color w:val="000000"/>
          <w:lang w:val="en-US"/>
        </w:rPr>
        <w:t xml:space="preserve"> </w:t>
      </w:r>
      <w:r w:rsidRPr="00D812F5">
        <w:rPr>
          <w:rFonts w:eastAsia="Times New Roman" w:cs="Arial"/>
          <w:color w:val="000000"/>
          <w:lang w:eastAsia="bg-BG"/>
        </w:rPr>
        <w:t>скора за фиброза.</w:t>
      </w:r>
    </w:p>
    <w:p w14:paraId="7648F9F3"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в</w:t>
      </w:r>
      <w:r w:rsidRPr="00D812F5">
        <w:rPr>
          <w:rFonts w:eastAsia="Times New Roman" w:cs="Arial"/>
          <w:color w:val="000000"/>
          <w:lang w:eastAsia="bg-BG"/>
        </w:rPr>
        <w:t>48 седмици двойносляпо лечение с адефовир дипивоксил, последвано от до 192 седмици отворено лечение.</w:t>
      </w:r>
    </w:p>
    <w:p w14:paraId="68A9E147"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г</w:t>
      </w:r>
      <w:r w:rsidRPr="00D812F5">
        <w:rPr>
          <w:rFonts w:eastAsia="Times New Roman" w:cs="Arial"/>
          <w:color w:val="000000"/>
          <w:lang w:eastAsia="bg-BG"/>
        </w:rPr>
        <w:t>48 седмици двойносляпо лечение с адефовир дипивоксил, последвано от до 192 седмици отворено лечение с тенофовир дизопроксил.</w:t>
      </w:r>
    </w:p>
    <w:p w14:paraId="3FFE1098" w14:textId="77777777" w:rsidR="00D812F5" w:rsidRDefault="00D812F5" w:rsidP="00D812F5">
      <w:pPr>
        <w:spacing w:line="240" w:lineRule="auto"/>
        <w:rPr>
          <w:rFonts w:eastAsia="Times New Roman" w:cs="Arial"/>
          <w:i/>
          <w:iCs/>
          <w:color w:val="000000"/>
          <w:lang w:eastAsia="bg-BG"/>
        </w:rPr>
      </w:pPr>
    </w:p>
    <w:p w14:paraId="58344053" w14:textId="50E36DF4" w:rsidR="00D812F5" w:rsidRPr="00D812F5" w:rsidRDefault="00D812F5" w:rsidP="00D812F5">
      <w:pPr>
        <w:spacing w:line="240" w:lineRule="auto"/>
        <w:rPr>
          <w:rFonts w:eastAsia="Times New Roman" w:cs="Arial"/>
          <w:lang w:eastAsia="bg-BG"/>
        </w:rPr>
      </w:pPr>
      <w:r w:rsidRPr="00D812F5">
        <w:rPr>
          <w:rFonts w:eastAsia="Times New Roman" w:cs="Arial"/>
          <w:i/>
          <w:iCs/>
          <w:color w:val="000000"/>
          <w:lang w:eastAsia="bg-BG"/>
        </w:rPr>
        <w:t xml:space="preserve">Опит при пациенти с коинфекция с </w:t>
      </w:r>
      <w:r w:rsidRPr="00D812F5">
        <w:rPr>
          <w:rFonts w:eastAsia="Times New Roman" w:cs="Arial"/>
          <w:i/>
          <w:iCs/>
          <w:color w:val="000000"/>
          <w:lang w:val="en-US"/>
        </w:rPr>
        <w:t xml:space="preserve">HIV </w:t>
      </w:r>
      <w:r w:rsidRPr="00D812F5">
        <w:rPr>
          <w:rFonts w:eastAsia="Times New Roman" w:cs="Arial"/>
          <w:i/>
          <w:iCs/>
          <w:color w:val="000000"/>
          <w:lang w:eastAsia="bg-BG"/>
        </w:rPr>
        <w:t>и с предварителна терапия с ламивудин</w:t>
      </w:r>
    </w:p>
    <w:p w14:paraId="6794A0B1"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При едно 48-седмично рандомизирано, двойносляпо, контролирано проучване с приложение на тенофовир дизопроксил 245 </w:t>
      </w:r>
      <w:r w:rsidRPr="00D812F5">
        <w:rPr>
          <w:rFonts w:eastAsia="Times New Roman" w:cs="Arial"/>
          <w:color w:val="000000"/>
          <w:lang w:val="en-US"/>
        </w:rPr>
        <w:t xml:space="preserve">mg </w:t>
      </w:r>
      <w:r w:rsidRPr="00D812F5">
        <w:rPr>
          <w:rFonts w:eastAsia="Times New Roman" w:cs="Arial"/>
          <w:color w:val="000000"/>
          <w:lang w:eastAsia="bg-BG"/>
        </w:rPr>
        <w:t xml:space="preserve">при възрастни пациенти, коинфектирани с </w:t>
      </w:r>
      <w:r w:rsidRPr="00D812F5">
        <w:rPr>
          <w:rFonts w:eastAsia="Times New Roman" w:cs="Arial"/>
          <w:color w:val="000000"/>
          <w:lang w:val="en-US"/>
        </w:rPr>
        <w:t xml:space="preserve">HIV-1 </w:t>
      </w:r>
      <w:r w:rsidRPr="00D812F5">
        <w:rPr>
          <w:rFonts w:eastAsia="Times New Roman" w:cs="Arial"/>
          <w:color w:val="000000"/>
          <w:lang w:eastAsia="bg-BG"/>
        </w:rPr>
        <w:t xml:space="preserve">и хроничен хепатит В, с предварителна терапия с ламивудин (проучване </w:t>
      </w:r>
      <w:r w:rsidRPr="00D812F5">
        <w:rPr>
          <w:rFonts w:eastAsia="Times New Roman" w:cs="Arial"/>
          <w:color w:val="000000"/>
          <w:lang w:val="en-US"/>
        </w:rPr>
        <w:t xml:space="preserve">ACTG </w:t>
      </w:r>
      <w:r w:rsidRPr="00D812F5">
        <w:rPr>
          <w:rFonts w:eastAsia="Times New Roman" w:cs="Arial"/>
          <w:color w:val="000000"/>
          <w:lang w:eastAsia="bg-BG"/>
        </w:rPr>
        <w:t xml:space="preserve">5127) средните изходни нива на </w:t>
      </w:r>
      <w:r w:rsidRPr="00D812F5">
        <w:rPr>
          <w:rFonts w:eastAsia="Times New Roman" w:cs="Arial"/>
          <w:color w:val="000000"/>
          <w:lang w:val="en-US"/>
        </w:rPr>
        <w:t xml:space="preserve">HBV </w:t>
      </w:r>
      <w:r w:rsidRPr="00D812F5">
        <w:rPr>
          <w:rFonts w:eastAsia="Times New Roman" w:cs="Arial"/>
          <w:color w:val="000000"/>
          <w:lang w:eastAsia="bg-BG"/>
        </w:rPr>
        <w:t xml:space="preserve">ДНК при пациентите, рандомизирани в групата на лечение с тенофовир, са 9,45 </w:t>
      </w:r>
      <w:r w:rsidRPr="00D812F5">
        <w:rPr>
          <w:rFonts w:eastAsia="Times New Roman" w:cs="Arial"/>
          <w:color w:val="000000"/>
          <w:lang w:val="en-US"/>
        </w:rPr>
        <w:t xml:space="preserve">log10 </w:t>
      </w:r>
      <w:r w:rsidRPr="00D812F5">
        <w:rPr>
          <w:rFonts w:eastAsia="Times New Roman" w:cs="Arial"/>
          <w:color w:val="000000"/>
          <w:lang w:eastAsia="bg-BG"/>
        </w:rPr>
        <w:t>копия</w:t>
      </w:r>
      <w:r w:rsidRPr="00D812F5">
        <w:rPr>
          <w:rFonts w:eastAsia="Times New Roman" w:cs="Arial"/>
          <w:color w:val="000000"/>
          <w:lang w:val="en-US"/>
        </w:rPr>
        <w:t xml:space="preserve">/ml </w:t>
      </w:r>
      <w:r w:rsidRPr="00D812F5">
        <w:rPr>
          <w:rFonts w:eastAsia="Times New Roman" w:cs="Arial"/>
          <w:color w:val="000000"/>
          <w:lang w:eastAsia="bg-BG"/>
        </w:rPr>
        <w:t>(</w:t>
      </w:r>
      <w:r w:rsidRPr="00D812F5">
        <w:rPr>
          <w:rFonts w:eastAsia="Times New Roman" w:cs="Arial"/>
          <w:color w:val="000000"/>
          <w:lang w:val="en-US"/>
        </w:rPr>
        <w:t>n</w:t>
      </w:r>
      <w:r w:rsidRPr="00D812F5">
        <w:rPr>
          <w:rFonts w:eastAsia="Times New Roman" w:cs="Arial"/>
          <w:color w:val="000000"/>
          <w:lang w:eastAsia="bg-BG"/>
        </w:rPr>
        <w:t xml:space="preserve"> = 27). Лечението с тенофовир дизопроксил 245 </w:t>
      </w:r>
      <w:r w:rsidRPr="00D812F5">
        <w:rPr>
          <w:rFonts w:eastAsia="Times New Roman" w:cs="Arial"/>
          <w:color w:val="000000"/>
          <w:lang w:val="en-US"/>
        </w:rPr>
        <w:t xml:space="preserve">mg </w:t>
      </w:r>
      <w:r w:rsidRPr="00D812F5">
        <w:rPr>
          <w:rFonts w:eastAsia="Times New Roman" w:cs="Arial"/>
          <w:color w:val="000000"/>
          <w:lang w:eastAsia="bg-BG"/>
        </w:rPr>
        <w:t xml:space="preserve">е свързано със средна промяна в серумните нива на </w:t>
      </w:r>
      <w:r w:rsidRPr="00D812F5">
        <w:rPr>
          <w:rFonts w:eastAsia="Times New Roman" w:cs="Arial"/>
          <w:color w:val="000000"/>
          <w:lang w:val="en-US"/>
        </w:rPr>
        <w:t xml:space="preserve">HBV </w:t>
      </w:r>
      <w:r w:rsidRPr="00D812F5">
        <w:rPr>
          <w:rFonts w:eastAsia="Times New Roman" w:cs="Arial"/>
          <w:color w:val="000000"/>
          <w:lang w:eastAsia="bg-BG"/>
        </w:rPr>
        <w:t xml:space="preserve">ДНК спрямо изходните от -5,74 </w:t>
      </w:r>
      <w:r w:rsidRPr="00D812F5">
        <w:rPr>
          <w:rFonts w:eastAsia="Times New Roman" w:cs="Arial"/>
          <w:color w:val="000000"/>
          <w:lang w:val="en-US"/>
        </w:rPr>
        <w:t xml:space="preserve">log </w:t>
      </w:r>
      <w:r w:rsidRPr="00D812F5">
        <w:rPr>
          <w:rFonts w:eastAsia="Times New Roman" w:cs="Arial"/>
          <w:color w:val="000000"/>
          <w:lang w:eastAsia="bg-BG"/>
        </w:rPr>
        <w:t>10 копия</w:t>
      </w:r>
      <w:r w:rsidRPr="00D812F5">
        <w:rPr>
          <w:rFonts w:eastAsia="Times New Roman" w:cs="Arial"/>
          <w:color w:val="000000"/>
          <w:lang w:val="en-US"/>
        </w:rPr>
        <w:t xml:space="preserve">/ml </w:t>
      </w:r>
      <w:r w:rsidRPr="00D812F5">
        <w:rPr>
          <w:rFonts w:eastAsia="Times New Roman" w:cs="Arial"/>
          <w:color w:val="000000"/>
          <w:lang w:eastAsia="bg-BG"/>
        </w:rPr>
        <w:t>при пациентите, за които е имало данни през 48-та седмица (</w:t>
      </w:r>
      <w:r w:rsidRPr="00D812F5">
        <w:rPr>
          <w:rFonts w:eastAsia="Times New Roman" w:cs="Arial"/>
          <w:color w:val="000000"/>
          <w:lang w:val="en-US"/>
        </w:rPr>
        <w:t>n</w:t>
      </w:r>
      <w:r w:rsidRPr="00D812F5">
        <w:rPr>
          <w:rFonts w:eastAsia="Times New Roman" w:cs="Arial"/>
          <w:color w:val="000000"/>
          <w:lang w:eastAsia="bg-BG"/>
        </w:rPr>
        <w:t xml:space="preserve"> = 18). Допълнително 61 % от пациентите са имали нормални нива на </w:t>
      </w:r>
      <w:r w:rsidRPr="00D812F5">
        <w:rPr>
          <w:rFonts w:eastAsia="Times New Roman" w:cs="Arial"/>
          <w:color w:val="000000"/>
          <w:lang w:val="en-US"/>
        </w:rPr>
        <w:t xml:space="preserve">ALT </w:t>
      </w:r>
      <w:r w:rsidRPr="00D812F5">
        <w:rPr>
          <w:rFonts w:eastAsia="Times New Roman" w:cs="Arial"/>
          <w:color w:val="000000"/>
          <w:lang w:eastAsia="bg-BG"/>
        </w:rPr>
        <w:t>през 48-ма седмица.</w:t>
      </w:r>
    </w:p>
    <w:p w14:paraId="7EBE7A50" w14:textId="77777777" w:rsidR="00D812F5" w:rsidRDefault="00D812F5" w:rsidP="00D812F5">
      <w:pPr>
        <w:spacing w:line="240" w:lineRule="auto"/>
        <w:rPr>
          <w:rFonts w:eastAsia="Times New Roman" w:cs="Arial"/>
          <w:i/>
          <w:iCs/>
          <w:color w:val="000000"/>
          <w:lang w:eastAsia="bg-BG"/>
        </w:rPr>
      </w:pPr>
    </w:p>
    <w:p w14:paraId="4BE59FC2" w14:textId="10CF60BA" w:rsidR="00D812F5" w:rsidRPr="00D812F5" w:rsidRDefault="00D812F5" w:rsidP="00D812F5">
      <w:pPr>
        <w:spacing w:line="240" w:lineRule="auto"/>
        <w:rPr>
          <w:rFonts w:eastAsia="Times New Roman" w:cs="Arial"/>
          <w:lang w:eastAsia="bg-BG"/>
        </w:rPr>
      </w:pPr>
      <w:r w:rsidRPr="00D812F5">
        <w:rPr>
          <w:rFonts w:eastAsia="Times New Roman" w:cs="Arial"/>
          <w:i/>
          <w:iCs/>
          <w:color w:val="000000"/>
          <w:lang w:eastAsia="bg-BG"/>
        </w:rPr>
        <w:t>Опит при пациенти с продължаваща вирусна</w:t>
      </w:r>
      <w:r w:rsidRPr="00D812F5">
        <w:rPr>
          <w:rFonts w:eastAsia="Times New Roman" w:cs="Arial"/>
          <w:i/>
          <w:iCs/>
          <w:color w:val="000000"/>
          <w:lang w:val="en-US"/>
        </w:rPr>
        <w:t xml:space="preserve"> </w:t>
      </w:r>
      <w:r w:rsidRPr="00D812F5">
        <w:rPr>
          <w:rFonts w:eastAsia="Times New Roman" w:cs="Arial"/>
          <w:i/>
          <w:iCs/>
          <w:color w:val="000000"/>
          <w:lang w:eastAsia="bg-BG"/>
        </w:rPr>
        <w:t xml:space="preserve">репликация (проучване </w:t>
      </w:r>
      <w:r w:rsidRPr="00D812F5">
        <w:rPr>
          <w:rFonts w:eastAsia="Times New Roman" w:cs="Arial"/>
          <w:i/>
          <w:iCs/>
          <w:color w:val="000000"/>
          <w:lang w:val="en-US"/>
        </w:rPr>
        <w:t xml:space="preserve">GS-US-174-0106) </w:t>
      </w:r>
      <w:r w:rsidRPr="00D812F5">
        <w:rPr>
          <w:rFonts w:eastAsia="Times New Roman" w:cs="Arial"/>
          <w:color w:val="000000"/>
          <w:lang w:eastAsia="bg-BG"/>
        </w:rPr>
        <w:t xml:space="preserve">Ефикасността и безопасността на тенофовир дизопроксил 245 </w:t>
      </w:r>
      <w:r w:rsidRPr="00D812F5">
        <w:rPr>
          <w:rFonts w:eastAsia="Times New Roman" w:cs="Arial"/>
          <w:color w:val="000000"/>
          <w:lang w:val="en-US"/>
        </w:rPr>
        <w:t xml:space="preserve">mg </w:t>
      </w:r>
      <w:r w:rsidRPr="00D812F5">
        <w:rPr>
          <w:rFonts w:eastAsia="Times New Roman" w:cs="Arial"/>
          <w:color w:val="000000"/>
          <w:lang w:eastAsia="bg-BG"/>
        </w:rPr>
        <w:t xml:space="preserve">иди тенофовир дизопроксил 245 </w:t>
      </w:r>
      <w:r w:rsidRPr="00D812F5">
        <w:rPr>
          <w:rFonts w:eastAsia="Times New Roman" w:cs="Arial"/>
          <w:color w:val="000000"/>
          <w:lang w:val="en-US"/>
        </w:rPr>
        <w:t xml:space="preserve">mg </w:t>
      </w:r>
      <w:r w:rsidRPr="00D812F5">
        <w:rPr>
          <w:rFonts w:eastAsia="Times New Roman" w:cs="Arial"/>
          <w:color w:val="000000"/>
          <w:lang w:eastAsia="bg-BG"/>
        </w:rPr>
        <w:t xml:space="preserve">плюс 200 </w:t>
      </w:r>
      <w:r w:rsidRPr="00D812F5">
        <w:rPr>
          <w:rFonts w:eastAsia="Times New Roman" w:cs="Arial"/>
          <w:color w:val="000000"/>
          <w:lang w:val="en-US"/>
        </w:rPr>
        <w:t xml:space="preserve">mg </w:t>
      </w:r>
      <w:r w:rsidRPr="00D812F5">
        <w:rPr>
          <w:rFonts w:eastAsia="Times New Roman" w:cs="Arial"/>
          <w:color w:val="000000"/>
          <w:lang w:eastAsia="bg-BG"/>
        </w:rPr>
        <w:t xml:space="preserve">емтрицитабин са били проучени в рандомизирано, двойносляпо проучване (проучване </w:t>
      </w:r>
      <w:r w:rsidRPr="00D812F5">
        <w:rPr>
          <w:rFonts w:eastAsia="Times New Roman" w:cs="Arial"/>
          <w:color w:val="000000"/>
          <w:lang w:val="en-US"/>
        </w:rPr>
        <w:t>GS-US-</w:t>
      </w:r>
      <w:r w:rsidRPr="00D812F5">
        <w:rPr>
          <w:rFonts w:eastAsia="Times New Roman" w:cs="Arial"/>
          <w:color w:val="000000"/>
          <w:lang w:eastAsia="bg-BG"/>
        </w:rPr>
        <w:t xml:space="preserve">174-0106), обхващащо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позитивни и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негативни възрастни пациенти, които са имали продължаваща виремия (НВV ДНК ≥1000</w:t>
      </w:r>
      <w:r w:rsidRPr="00D812F5">
        <w:rPr>
          <w:rFonts w:eastAsia="Times New Roman" w:cs="Arial"/>
          <w:color w:val="000000"/>
          <w:lang w:val="en-US"/>
        </w:rPr>
        <w:t xml:space="preserve"> </w:t>
      </w:r>
      <w:r w:rsidRPr="00D812F5">
        <w:rPr>
          <w:rFonts w:eastAsia="Times New Roman" w:cs="Arial"/>
          <w:color w:val="000000"/>
          <w:lang w:eastAsia="bg-BG"/>
        </w:rPr>
        <w:t>копия</w:t>
      </w:r>
      <w:r w:rsidRPr="00D812F5">
        <w:rPr>
          <w:rFonts w:eastAsia="Times New Roman" w:cs="Arial"/>
          <w:color w:val="000000"/>
          <w:lang w:val="en-US"/>
        </w:rPr>
        <w:t xml:space="preserve">/ml), </w:t>
      </w:r>
      <w:r w:rsidRPr="00D812F5">
        <w:rPr>
          <w:rFonts w:eastAsia="Times New Roman" w:cs="Arial"/>
          <w:color w:val="000000"/>
          <w:lang w:eastAsia="bg-BG"/>
        </w:rPr>
        <w:t xml:space="preserve">докато са получавали адефовир дипивоксил 10 </w:t>
      </w:r>
      <w:r w:rsidRPr="00D812F5">
        <w:rPr>
          <w:rFonts w:eastAsia="Times New Roman" w:cs="Arial"/>
          <w:color w:val="000000"/>
          <w:lang w:val="en-US"/>
        </w:rPr>
        <w:t xml:space="preserve">mg </w:t>
      </w:r>
      <w:r w:rsidRPr="00D812F5">
        <w:rPr>
          <w:rFonts w:eastAsia="Times New Roman" w:cs="Arial"/>
          <w:color w:val="000000"/>
          <w:lang w:eastAsia="bg-BG"/>
        </w:rPr>
        <w:t xml:space="preserve">за повече от 24 седмици. На изходното ниво 57 % от пациентите, рандомизирани на лечение с тенофовир дизопроксил, са били лекувани предварително с ламивудин, срещу 60 % от пациентите, рандомизирани на лечение с емтрицитабин плюс тенофовир дизопроксил. Общо през 24-тата седмица лечението с тенофовир дизопроксил е довело при 66 % (35/53) от пациентите до </w:t>
      </w:r>
      <w:r w:rsidRPr="00D812F5">
        <w:rPr>
          <w:rFonts w:eastAsia="Times New Roman" w:cs="Arial"/>
          <w:color w:val="000000"/>
          <w:lang w:val="en-US"/>
        </w:rPr>
        <w:t xml:space="preserve">HBV </w:t>
      </w:r>
      <w:r w:rsidRPr="00D812F5">
        <w:rPr>
          <w:rFonts w:eastAsia="Times New Roman" w:cs="Arial"/>
          <w:color w:val="000000"/>
          <w:lang w:eastAsia="bg-BG"/>
        </w:rPr>
        <w:t>ДНК</w:t>
      </w:r>
      <w:r w:rsidRPr="00D812F5">
        <w:rPr>
          <w:rFonts w:eastAsia="Times New Roman" w:cs="Arial"/>
          <w:color w:val="000000"/>
          <w:lang w:val="en-US"/>
        </w:rPr>
        <w:t xml:space="preserve"> &lt;</w:t>
      </w:r>
      <w:r w:rsidRPr="00D812F5">
        <w:rPr>
          <w:rFonts w:eastAsia="Times New Roman" w:cs="Arial"/>
          <w:color w:val="000000"/>
          <w:lang w:eastAsia="bg-BG"/>
        </w:rPr>
        <w:t xml:space="preserve"> 400 копия</w:t>
      </w:r>
      <w:r w:rsidRPr="00D812F5">
        <w:rPr>
          <w:rFonts w:eastAsia="Times New Roman" w:cs="Arial"/>
          <w:color w:val="000000"/>
          <w:lang w:val="en-US"/>
        </w:rPr>
        <w:t xml:space="preserve">/ml </w:t>
      </w:r>
      <w:r w:rsidRPr="00D812F5">
        <w:rPr>
          <w:rFonts w:eastAsia="Times New Roman" w:cs="Arial"/>
          <w:color w:val="000000"/>
          <w:lang w:eastAsia="bg-BG"/>
        </w:rPr>
        <w:t xml:space="preserve">(&lt; 69 </w:t>
      </w:r>
      <w:r w:rsidRPr="00D812F5">
        <w:rPr>
          <w:rFonts w:eastAsia="Times New Roman" w:cs="Arial"/>
          <w:color w:val="000000"/>
          <w:lang w:val="en-US"/>
        </w:rPr>
        <w:t xml:space="preserve">IU/ml), </w:t>
      </w:r>
      <w:r w:rsidRPr="00D812F5">
        <w:rPr>
          <w:rFonts w:eastAsia="Times New Roman" w:cs="Arial"/>
          <w:color w:val="000000"/>
          <w:lang w:eastAsia="bg-BG"/>
        </w:rPr>
        <w:t xml:space="preserve">срещу 69 % (36/52) от пациентите, лекувани с емтрицитабин плюс тенофовир дизопроксил (р = 0,672). Освен това при 55 % (29/53) от пациентите, лекувани с тенофовир дизопроксил, е било невъзможно отчитане на </w:t>
      </w:r>
      <w:r w:rsidRPr="00D812F5">
        <w:rPr>
          <w:rFonts w:eastAsia="Times New Roman" w:cs="Arial"/>
          <w:color w:val="000000"/>
          <w:lang w:val="en-US"/>
        </w:rPr>
        <w:t xml:space="preserve">HBV </w:t>
      </w:r>
      <w:r w:rsidRPr="00D812F5">
        <w:rPr>
          <w:rFonts w:eastAsia="Times New Roman" w:cs="Arial"/>
          <w:color w:val="000000"/>
          <w:lang w:eastAsia="bg-BG"/>
        </w:rPr>
        <w:t>ДНК (&lt; 169 копия</w:t>
      </w:r>
      <w:r w:rsidRPr="00D812F5">
        <w:rPr>
          <w:rFonts w:eastAsia="Times New Roman" w:cs="Arial"/>
          <w:color w:val="000000"/>
          <w:lang w:val="en-US"/>
        </w:rPr>
        <w:t xml:space="preserve">/ml </w:t>
      </w:r>
      <w:r w:rsidRPr="00D812F5">
        <w:rPr>
          <w:rFonts w:eastAsia="Times New Roman" w:cs="Arial"/>
          <w:color w:val="000000"/>
          <w:lang w:eastAsia="bg-BG"/>
        </w:rPr>
        <w:t xml:space="preserve">[&lt; 29 </w:t>
      </w:r>
      <w:r w:rsidRPr="00D812F5">
        <w:rPr>
          <w:rFonts w:eastAsia="Times New Roman" w:cs="Arial"/>
          <w:color w:val="000000"/>
          <w:lang w:val="en-US"/>
        </w:rPr>
        <w:t xml:space="preserve">IU/ml]; </w:t>
      </w:r>
      <w:r w:rsidRPr="00D812F5">
        <w:rPr>
          <w:rFonts w:eastAsia="Times New Roman" w:cs="Arial"/>
          <w:color w:val="000000"/>
          <w:lang w:eastAsia="bg-BG"/>
        </w:rPr>
        <w:t xml:space="preserve">границата, до която тестът на </w:t>
      </w:r>
      <w:r w:rsidRPr="00D812F5">
        <w:rPr>
          <w:rFonts w:eastAsia="Times New Roman" w:cs="Arial"/>
          <w:color w:val="000000"/>
          <w:lang w:val="en-US"/>
        </w:rPr>
        <w:t xml:space="preserve">Roche </w:t>
      </w:r>
      <w:proofErr w:type="spellStart"/>
      <w:r w:rsidRPr="00D812F5">
        <w:rPr>
          <w:rFonts w:eastAsia="Times New Roman" w:cs="Arial"/>
          <w:color w:val="000000"/>
          <w:lang w:val="en-US"/>
        </w:rPr>
        <w:t>Cobas</w:t>
      </w:r>
      <w:proofErr w:type="spellEnd"/>
      <w:r w:rsidRPr="00D812F5">
        <w:rPr>
          <w:rFonts w:eastAsia="Times New Roman" w:cs="Arial"/>
          <w:color w:val="000000"/>
          <w:lang w:val="en-US"/>
        </w:rPr>
        <w:t xml:space="preserve"> TaqMan </w:t>
      </w:r>
      <w:r w:rsidRPr="00D812F5">
        <w:rPr>
          <w:rFonts w:eastAsia="Times New Roman" w:cs="Arial"/>
          <w:color w:val="000000"/>
          <w:lang w:eastAsia="bg-BG"/>
        </w:rPr>
        <w:t xml:space="preserve">за </w:t>
      </w:r>
      <w:r w:rsidRPr="00D812F5">
        <w:rPr>
          <w:rFonts w:eastAsia="Times New Roman" w:cs="Arial"/>
          <w:color w:val="000000"/>
          <w:lang w:val="en-US"/>
        </w:rPr>
        <w:t xml:space="preserve">HBV </w:t>
      </w:r>
      <w:r w:rsidRPr="00D812F5">
        <w:rPr>
          <w:rFonts w:eastAsia="Times New Roman" w:cs="Arial"/>
          <w:color w:val="000000"/>
          <w:lang w:eastAsia="bg-BG"/>
        </w:rPr>
        <w:t>дава количествени резултати), срещу 60 % (31/52) от пацие</w:t>
      </w:r>
      <w:r w:rsidRPr="00D812F5">
        <w:rPr>
          <w:rFonts w:eastAsia="Times New Roman" w:cs="Arial"/>
          <w:color w:val="000000"/>
          <w:u w:val="single"/>
          <w:lang w:eastAsia="bg-BG"/>
        </w:rPr>
        <w:t>нтите</w:t>
      </w:r>
      <w:r w:rsidRPr="00D812F5">
        <w:rPr>
          <w:rFonts w:eastAsia="Times New Roman" w:cs="Arial"/>
          <w:color w:val="000000"/>
          <w:lang w:eastAsia="bg-BG"/>
        </w:rPr>
        <w:t>, лекувани с емтрицитабин плюс тенофовир дизопроксил (р = 0,504). Сравнения</w:t>
      </w:r>
      <w:r w:rsidRPr="00D812F5">
        <w:rPr>
          <w:rFonts w:eastAsia="Times New Roman" w:cs="Arial"/>
          <w:color w:val="000000"/>
          <w:lang w:val="en-US"/>
        </w:rPr>
        <w:t xml:space="preserve"> </w:t>
      </w:r>
      <w:r w:rsidRPr="00D812F5">
        <w:rPr>
          <w:rFonts w:eastAsia="Times New Roman" w:cs="Arial"/>
          <w:color w:val="000000"/>
          <w:lang w:eastAsia="bg-BG"/>
        </w:rPr>
        <w:t>между различните терапевтични групи след 24-та седмица са трудни за интерпретиране, тъй като изследователите са</w:t>
      </w:r>
      <w:r w:rsidRPr="00D812F5">
        <w:rPr>
          <w:rFonts w:eastAsia="Times New Roman" w:cs="Arial"/>
          <w:color w:val="000000"/>
          <w:lang w:eastAsia="bg-BG"/>
        </w:rPr>
        <w:tab/>
        <w:t>.</w:t>
      </w:r>
    </w:p>
    <w:p w14:paraId="18A06AC6" w14:textId="6C67387C" w:rsidR="00D812F5" w:rsidRDefault="00D812F5" w:rsidP="00D812F5">
      <w:pPr>
        <w:rPr>
          <w:rFonts w:eastAsia="Times New Roman" w:cs="Arial"/>
          <w:color w:val="000000"/>
          <w:lang w:eastAsia="bg-BG"/>
        </w:rPr>
      </w:pPr>
      <w:r w:rsidRPr="00D812F5">
        <w:rPr>
          <w:rFonts w:eastAsia="Times New Roman" w:cs="Arial"/>
          <w:color w:val="000000"/>
          <w:lang w:eastAsia="bg-BG"/>
        </w:rPr>
        <w:lastRenderedPageBreak/>
        <w:t xml:space="preserve">имали възможността да засилят лечението, преминавайки на отворено лечение с емтрицитабин плюс тенофовир дизопроксил. Дългосрочните проучвания за оценка на ползата/риска от двойната терапия с емтрицитабин плюс тенофовир дизопроксил при пациенти с моноифекция с </w:t>
      </w:r>
      <w:r w:rsidRPr="00D812F5">
        <w:rPr>
          <w:rFonts w:eastAsia="Times New Roman" w:cs="Arial"/>
          <w:color w:val="000000"/>
          <w:lang w:val="en-US"/>
        </w:rPr>
        <w:t>HBV</w:t>
      </w:r>
      <w:r w:rsidRPr="00D812F5">
        <w:rPr>
          <w:rFonts w:eastAsia="Times New Roman" w:cs="Arial"/>
          <w:color w:val="000000"/>
          <w:lang w:eastAsia="bg-BG"/>
        </w:rPr>
        <w:t xml:space="preserve"> продължават в момента.</w:t>
      </w:r>
    </w:p>
    <w:p w14:paraId="4EEEDCC4" w14:textId="3C981E73" w:rsidR="00D812F5" w:rsidRDefault="00D812F5" w:rsidP="00D812F5">
      <w:pPr>
        <w:rPr>
          <w:rFonts w:eastAsia="Times New Roman" w:cs="Arial"/>
          <w:color w:val="000000"/>
          <w:lang w:eastAsia="bg-BG"/>
        </w:rPr>
      </w:pPr>
    </w:p>
    <w:p w14:paraId="4660BEF6" w14:textId="77777777" w:rsidR="00D812F5" w:rsidRPr="00D812F5" w:rsidRDefault="00D812F5" w:rsidP="00D812F5">
      <w:pPr>
        <w:spacing w:line="240" w:lineRule="auto"/>
        <w:rPr>
          <w:rFonts w:eastAsia="Times New Roman" w:cs="Arial"/>
          <w:lang w:eastAsia="bg-BG"/>
        </w:rPr>
      </w:pPr>
      <w:r w:rsidRPr="00D812F5">
        <w:rPr>
          <w:rFonts w:eastAsia="Times New Roman" w:cs="Arial"/>
          <w:i/>
          <w:iCs/>
          <w:color w:val="000000"/>
          <w:lang w:eastAsia="bg-BG"/>
        </w:rPr>
        <w:t xml:space="preserve">Опит при пациенти с декомпенсирано чернодробно заболяване при 48 седмици (проучване </w:t>
      </w:r>
      <w:r w:rsidRPr="00D812F5">
        <w:rPr>
          <w:rFonts w:eastAsia="Times New Roman" w:cs="Arial"/>
          <w:i/>
          <w:iCs/>
          <w:color w:val="000000"/>
          <w:lang w:val="en-US"/>
        </w:rPr>
        <w:t xml:space="preserve">GS-US- </w:t>
      </w:r>
      <w:r w:rsidRPr="00D812F5">
        <w:rPr>
          <w:rFonts w:eastAsia="Times New Roman" w:cs="Arial"/>
          <w:i/>
          <w:iCs/>
          <w:color w:val="000000"/>
          <w:lang w:eastAsia="bg-BG"/>
        </w:rPr>
        <w:t>174-0108)</w:t>
      </w:r>
      <w:r w:rsidRPr="00D812F5">
        <w:rPr>
          <w:rFonts w:eastAsia="Times New Roman" w:cs="Arial"/>
          <w:color w:val="000000"/>
          <w:lang w:eastAsia="bg-BG"/>
        </w:rPr>
        <w:t xml:space="preserve"> Проучването </w:t>
      </w:r>
      <w:r w:rsidRPr="00D812F5">
        <w:rPr>
          <w:rFonts w:eastAsia="Times New Roman" w:cs="Arial"/>
          <w:color w:val="000000"/>
          <w:lang w:val="en-US"/>
        </w:rPr>
        <w:t>GS-US-1</w:t>
      </w:r>
      <w:r w:rsidRPr="00D812F5">
        <w:rPr>
          <w:rFonts w:eastAsia="Times New Roman" w:cs="Arial"/>
          <w:color w:val="000000"/>
          <w:lang w:eastAsia="bg-BG"/>
        </w:rPr>
        <w:t>74-0108 представлява рандомизирано, двойносляпо, активно контролирано проучване, оценяващо безопасността и ефикасността на тенофовир дизопроксил (</w:t>
      </w:r>
      <w:r w:rsidRPr="00D812F5">
        <w:rPr>
          <w:rFonts w:eastAsia="Times New Roman" w:cs="Arial"/>
          <w:color w:val="000000"/>
          <w:lang w:val="en-US"/>
        </w:rPr>
        <w:t>n</w:t>
      </w:r>
      <w:r w:rsidRPr="00D812F5">
        <w:rPr>
          <w:rFonts w:eastAsia="Times New Roman" w:cs="Arial"/>
          <w:color w:val="000000"/>
          <w:lang w:eastAsia="bg-BG"/>
        </w:rPr>
        <w:t xml:space="preserve"> = 45), емтрицитабин плюс тенофовир дизопроксил (</w:t>
      </w:r>
      <w:r w:rsidRPr="00D812F5">
        <w:rPr>
          <w:rFonts w:eastAsia="Times New Roman" w:cs="Arial"/>
          <w:color w:val="000000"/>
          <w:lang w:val="en-US"/>
        </w:rPr>
        <w:t>n</w:t>
      </w:r>
      <w:r w:rsidRPr="00D812F5">
        <w:rPr>
          <w:rFonts w:eastAsia="Times New Roman" w:cs="Arial"/>
          <w:color w:val="000000"/>
          <w:lang w:eastAsia="bg-BG"/>
        </w:rPr>
        <w:t xml:space="preserve"> = 45) и ентекавир (</w:t>
      </w:r>
      <w:r w:rsidRPr="00D812F5">
        <w:rPr>
          <w:rFonts w:eastAsia="Times New Roman" w:cs="Arial"/>
          <w:color w:val="000000"/>
          <w:lang w:val="en-US"/>
        </w:rPr>
        <w:t>n</w:t>
      </w:r>
      <w:r w:rsidRPr="00D812F5">
        <w:rPr>
          <w:rFonts w:eastAsia="Times New Roman" w:cs="Arial"/>
          <w:color w:val="000000"/>
          <w:lang w:eastAsia="bg-BG"/>
        </w:rPr>
        <w:t xml:space="preserve"> = 22) при пациенти с декомпенсирано чернодробно заболяване. В рамото на лечение с тецофовир дизопроксил пациентите са имали среден изходен СРТ-скор от 7,2, средна изходна </w:t>
      </w:r>
      <w:r w:rsidRPr="00D812F5">
        <w:rPr>
          <w:rFonts w:eastAsia="Times New Roman" w:cs="Arial"/>
          <w:color w:val="000000"/>
          <w:lang w:val="en-US"/>
        </w:rPr>
        <w:t xml:space="preserve">HBV </w:t>
      </w:r>
      <w:r w:rsidRPr="00D812F5">
        <w:rPr>
          <w:rFonts w:eastAsia="Times New Roman" w:cs="Arial"/>
          <w:color w:val="000000"/>
          <w:lang w:eastAsia="bg-BG"/>
        </w:rPr>
        <w:t xml:space="preserve">ДНК 5,8 </w:t>
      </w:r>
      <w:r w:rsidRPr="00D812F5">
        <w:rPr>
          <w:rFonts w:eastAsia="Times New Roman" w:cs="Arial"/>
          <w:color w:val="000000"/>
          <w:lang w:val="en-US"/>
        </w:rPr>
        <w:t xml:space="preserve">log10 </w:t>
      </w:r>
      <w:r w:rsidRPr="00D812F5">
        <w:rPr>
          <w:rFonts w:eastAsia="Times New Roman" w:cs="Arial"/>
          <w:color w:val="000000"/>
          <w:lang w:eastAsia="bg-BG"/>
        </w:rPr>
        <w:t>копия</w:t>
      </w:r>
      <w:r w:rsidRPr="00D812F5">
        <w:rPr>
          <w:rFonts w:eastAsia="Times New Roman" w:cs="Arial"/>
          <w:color w:val="000000"/>
          <w:lang w:val="en-US"/>
        </w:rPr>
        <w:t xml:space="preserve">/ml </w:t>
      </w:r>
      <w:r w:rsidRPr="00D812F5">
        <w:rPr>
          <w:rFonts w:eastAsia="Times New Roman" w:cs="Arial"/>
          <w:color w:val="000000"/>
          <w:lang w:eastAsia="bg-BG"/>
        </w:rPr>
        <w:t xml:space="preserve">и средно изходно серумно ниво на </w:t>
      </w:r>
      <w:r w:rsidRPr="00D812F5">
        <w:rPr>
          <w:rFonts w:eastAsia="Times New Roman" w:cs="Arial"/>
          <w:color w:val="000000"/>
          <w:lang w:val="en-US"/>
        </w:rPr>
        <w:t xml:space="preserve">ALT </w:t>
      </w:r>
      <w:r w:rsidRPr="00D812F5">
        <w:rPr>
          <w:rFonts w:eastAsia="Times New Roman" w:cs="Arial"/>
          <w:color w:val="000000"/>
          <w:lang w:eastAsia="bg-BG"/>
        </w:rPr>
        <w:t xml:space="preserve">61 </w:t>
      </w:r>
      <w:r w:rsidRPr="00D812F5">
        <w:rPr>
          <w:rFonts w:eastAsia="Times New Roman" w:cs="Arial"/>
          <w:color w:val="000000"/>
          <w:lang w:val="en-US"/>
        </w:rPr>
        <w:t xml:space="preserve">U/1. </w:t>
      </w:r>
      <w:r w:rsidRPr="00D812F5">
        <w:rPr>
          <w:rFonts w:eastAsia="Times New Roman" w:cs="Arial"/>
          <w:color w:val="000000"/>
          <w:lang w:eastAsia="bg-BG"/>
        </w:rPr>
        <w:t xml:space="preserve">Четиридесет и два процента (19/45) от пациентите са имали поне 6 месеца предварително лечение с ламивудин, 20 % (9/45) от пациентите са имали предварително лечение с адефовир дипивоксил и 9 от 45 пациенти (20 %) са имали мутации на резистентност към ламивудин и/или адефовир дипивоксил на изходно ниво. Копървичните крайни точки по отношение на безопасността са били прекъсване на лечението поради нежелано събитие и потвърдено повишаване на серумния креатинин с ≥ 0,5 </w:t>
      </w:r>
      <w:r w:rsidRPr="00D812F5">
        <w:rPr>
          <w:rFonts w:eastAsia="Times New Roman" w:cs="Arial"/>
          <w:color w:val="000000"/>
          <w:lang w:val="en-US"/>
        </w:rPr>
        <w:t xml:space="preserve">mg/dl </w:t>
      </w:r>
      <w:r w:rsidRPr="00D812F5">
        <w:rPr>
          <w:rFonts w:eastAsia="Times New Roman" w:cs="Arial"/>
          <w:color w:val="000000"/>
          <w:lang w:eastAsia="bg-BG"/>
        </w:rPr>
        <w:t xml:space="preserve">или потвърдени серумни фосфати &lt; 2 </w:t>
      </w:r>
      <w:r w:rsidRPr="00D812F5">
        <w:rPr>
          <w:rFonts w:eastAsia="Times New Roman" w:cs="Arial"/>
          <w:color w:val="000000"/>
          <w:lang w:val="en-US"/>
        </w:rPr>
        <w:t>mg/dl.</w:t>
      </w:r>
    </w:p>
    <w:p w14:paraId="45374EB8" w14:textId="77777777" w:rsidR="00D812F5" w:rsidRDefault="00D812F5" w:rsidP="00D812F5">
      <w:pPr>
        <w:spacing w:line="240" w:lineRule="auto"/>
        <w:rPr>
          <w:rFonts w:eastAsia="Times New Roman" w:cs="Arial"/>
          <w:color w:val="000000"/>
          <w:lang w:eastAsia="bg-BG"/>
        </w:rPr>
      </w:pPr>
    </w:p>
    <w:p w14:paraId="088AABAD" w14:textId="669A36DB"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При пациенти със СРТ-скорове &lt; 9 при 74 % (29/39) от групата на лечение с тенофовир дизопроксил и при 94 % (33/35) от групата на лечение с емтрицитабин плюс тенофовир дизопроксил е постигнато ниво на </w:t>
      </w:r>
      <w:r w:rsidRPr="00D812F5">
        <w:rPr>
          <w:rFonts w:eastAsia="Times New Roman" w:cs="Arial"/>
          <w:color w:val="000000"/>
          <w:lang w:val="en-US"/>
        </w:rPr>
        <w:t xml:space="preserve">HBV DNA </w:t>
      </w:r>
      <w:r w:rsidRPr="00D812F5">
        <w:rPr>
          <w:rFonts w:eastAsia="Times New Roman" w:cs="Arial"/>
          <w:color w:val="000000"/>
          <w:lang w:eastAsia="bg-BG"/>
        </w:rPr>
        <w:t>&lt; 400 копия</w:t>
      </w:r>
      <w:r w:rsidRPr="00D812F5">
        <w:rPr>
          <w:rFonts w:eastAsia="Times New Roman" w:cs="Arial"/>
          <w:color w:val="000000"/>
          <w:lang w:val="en-US"/>
        </w:rPr>
        <w:t xml:space="preserve">/ml </w:t>
      </w:r>
      <w:r w:rsidRPr="00D812F5">
        <w:rPr>
          <w:rFonts w:eastAsia="Times New Roman" w:cs="Arial"/>
          <w:color w:val="000000"/>
          <w:lang w:eastAsia="bg-BG"/>
        </w:rPr>
        <w:t>след 48 седмици лечение.</w:t>
      </w:r>
    </w:p>
    <w:p w14:paraId="560EDA32" w14:textId="77777777" w:rsidR="00D812F5" w:rsidRDefault="00D812F5" w:rsidP="00D812F5">
      <w:pPr>
        <w:spacing w:line="240" w:lineRule="auto"/>
        <w:rPr>
          <w:rFonts w:eastAsia="Times New Roman" w:cs="Arial"/>
          <w:color w:val="000000"/>
          <w:lang w:eastAsia="bg-BG"/>
        </w:rPr>
      </w:pPr>
    </w:p>
    <w:p w14:paraId="4AE8CA30" w14:textId="75D3B68B"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Общо, данните, получени от това проучване, са прекадено ограничени, за да се направят окончателни заключения при сравняване на емтрицитабин плюс тенофовир дизопроксил срещу тенофовир дизопроксил (вж. Таблица 7 по-долу).</w:t>
      </w:r>
    </w:p>
    <w:p w14:paraId="275B002C" w14:textId="77777777" w:rsidR="00D812F5" w:rsidRDefault="00D812F5" w:rsidP="00D812F5">
      <w:pPr>
        <w:rPr>
          <w:rFonts w:eastAsia="Times New Roman" w:cs="Arial"/>
          <w:b/>
          <w:bCs/>
          <w:color w:val="000000"/>
          <w:lang w:eastAsia="bg-BG"/>
        </w:rPr>
      </w:pPr>
    </w:p>
    <w:p w14:paraId="32D4F40D" w14:textId="69225ECA" w:rsidR="00D812F5" w:rsidRDefault="00D812F5" w:rsidP="00D812F5">
      <w:pPr>
        <w:rPr>
          <w:rFonts w:eastAsia="Times New Roman" w:cs="Arial"/>
          <w:b/>
          <w:bCs/>
          <w:color w:val="000000"/>
          <w:lang w:eastAsia="bg-BG"/>
        </w:rPr>
      </w:pPr>
      <w:r w:rsidRPr="00D812F5">
        <w:rPr>
          <w:rFonts w:eastAsia="Times New Roman" w:cs="Arial"/>
          <w:b/>
          <w:bCs/>
          <w:color w:val="000000"/>
          <w:lang w:eastAsia="bg-BG"/>
        </w:rPr>
        <w:t>Таблица 7: Параметри на безопасността и ефикасността при декомпенсиранн пациенти през седмица 48</w:t>
      </w:r>
    </w:p>
    <w:tbl>
      <w:tblPr>
        <w:tblStyle w:val="TableGrid"/>
        <w:tblW w:w="0" w:type="auto"/>
        <w:tblLook w:val="04A0" w:firstRow="1" w:lastRow="0" w:firstColumn="1" w:lastColumn="0" w:noHBand="0" w:noVBand="1"/>
      </w:tblPr>
      <w:tblGrid>
        <w:gridCol w:w="2531"/>
        <w:gridCol w:w="2262"/>
        <w:gridCol w:w="2312"/>
        <w:gridCol w:w="2245"/>
      </w:tblGrid>
      <w:tr w:rsidR="00D812F5" w14:paraId="294E7421" w14:textId="77777777" w:rsidTr="00C4120D">
        <w:tc>
          <w:tcPr>
            <w:tcW w:w="9576" w:type="dxa"/>
            <w:gridSpan w:val="4"/>
          </w:tcPr>
          <w:p w14:paraId="318DD5C3" w14:textId="1DD26EEC" w:rsidR="00D812F5" w:rsidRPr="00D812F5" w:rsidRDefault="00D812F5" w:rsidP="00D812F5">
            <w:pPr>
              <w:jc w:val="center"/>
              <w:rPr>
                <w:rFonts w:cs="Arial"/>
                <w:b/>
                <w:bCs/>
                <w:lang w:val="en-US"/>
              </w:rPr>
            </w:pPr>
            <w:r w:rsidRPr="00D812F5">
              <w:rPr>
                <w:b/>
                <w:bCs/>
              </w:rPr>
              <w:t>Проучване 174-0108</w:t>
            </w:r>
          </w:p>
        </w:tc>
      </w:tr>
      <w:tr w:rsidR="00D812F5" w14:paraId="38A02646" w14:textId="77777777" w:rsidTr="00D812F5">
        <w:tc>
          <w:tcPr>
            <w:tcW w:w="2596" w:type="dxa"/>
          </w:tcPr>
          <w:p w14:paraId="41C9EB1B" w14:textId="568BD1C9" w:rsidR="00D812F5" w:rsidRPr="00D812F5" w:rsidRDefault="00D812F5" w:rsidP="00D812F5">
            <w:pPr>
              <w:rPr>
                <w:rFonts w:cs="Arial"/>
                <w:lang w:val="en-US"/>
              </w:rPr>
            </w:pPr>
            <w:r w:rsidRPr="00D812F5">
              <w:t>Параметър</w:t>
            </w:r>
          </w:p>
        </w:tc>
        <w:tc>
          <w:tcPr>
            <w:tcW w:w="2326" w:type="dxa"/>
          </w:tcPr>
          <w:p w14:paraId="7A4D51D5" w14:textId="4CFBFE0F" w:rsidR="00D812F5" w:rsidRPr="00D812F5" w:rsidRDefault="00D812F5" w:rsidP="00D812F5">
            <w:pPr>
              <w:rPr>
                <w:rFonts w:cs="Arial"/>
                <w:lang w:val="en-US"/>
              </w:rPr>
            </w:pPr>
            <w:r w:rsidRPr="00D812F5">
              <w:t xml:space="preserve">Тенофовир дизопроксил 245 </w:t>
            </w:r>
            <w:r w:rsidRPr="00D812F5">
              <w:rPr>
                <w:lang w:val="en-US"/>
              </w:rPr>
              <w:t>mg (n</w:t>
            </w:r>
            <w:r w:rsidRPr="00D812F5">
              <w:t>= 45)</w:t>
            </w:r>
          </w:p>
        </w:tc>
        <w:tc>
          <w:tcPr>
            <w:tcW w:w="2327" w:type="dxa"/>
          </w:tcPr>
          <w:p w14:paraId="03494F38" w14:textId="7A4E70D1" w:rsidR="00D812F5" w:rsidRPr="00D812F5" w:rsidRDefault="00D812F5" w:rsidP="00D812F5">
            <w:pPr>
              <w:rPr>
                <w:rFonts w:cs="Arial"/>
                <w:lang w:val="en-US"/>
              </w:rPr>
            </w:pPr>
            <w:r w:rsidRPr="00D812F5">
              <w:t xml:space="preserve">Емтрицитабин,200 </w:t>
            </w:r>
            <w:r w:rsidRPr="00D812F5">
              <w:rPr>
                <w:lang w:val="en-US"/>
              </w:rPr>
              <w:t xml:space="preserve">mg/ </w:t>
            </w:r>
            <w:r w:rsidRPr="00D812F5">
              <w:t>тенофовир дизопроксил</w:t>
            </w:r>
          </w:p>
        </w:tc>
        <w:tc>
          <w:tcPr>
            <w:tcW w:w="2327" w:type="dxa"/>
          </w:tcPr>
          <w:p w14:paraId="2E70CE1E" w14:textId="2E4B0D4B" w:rsidR="00D812F5" w:rsidRPr="00D812F5" w:rsidRDefault="00D812F5" w:rsidP="00D812F5">
            <w:pPr>
              <w:rPr>
                <w:rFonts w:cs="Arial"/>
                <w:lang w:val="en-US"/>
              </w:rPr>
            </w:pPr>
            <w:r w:rsidRPr="00D812F5">
              <w:t xml:space="preserve">Ентекавир (0,5 </w:t>
            </w:r>
            <w:r w:rsidRPr="00D812F5">
              <w:rPr>
                <w:lang w:val="en-US"/>
              </w:rPr>
              <w:t xml:space="preserve">mg </w:t>
            </w:r>
            <w:r w:rsidRPr="00D812F5">
              <w:t xml:space="preserve">или 1 </w:t>
            </w:r>
            <w:r w:rsidRPr="00D812F5">
              <w:rPr>
                <w:lang w:val="en-US"/>
              </w:rPr>
              <w:t>mg) n</w:t>
            </w:r>
            <w:r w:rsidRPr="00D812F5">
              <w:t xml:space="preserve"> = 22</w:t>
            </w:r>
          </w:p>
        </w:tc>
      </w:tr>
      <w:tr w:rsidR="00D812F5" w14:paraId="19780D98" w14:textId="77777777" w:rsidTr="00D812F5">
        <w:tc>
          <w:tcPr>
            <w:tcW w:w="2596" w:type="dxa"/>
          </w:tcPr>
          <w:p w14:paraId="72E91FF2" w14:textId="1049CA65" w:rsidR="00D812F5" w:rsidRPr="00D812F5" w:rsidRDefault="00D812F5" w:rsidP="00D812F5">
            <w:pPr>
              <w:rPr>
                <w:rFonts w:cs="Arial"/>
                <w:lang w:val="en-US"/>
              </w:rPr>
            </w:pPr>
            <w:r w:rsidRPr="00D812F5">
              <w:rPr>
                <w:b/>
                <w:bCs/>
              </w:rPr>
              <w:t>Неуспех по отношение на поносимостта (перманентно прекъсване на лечението с</w:t>
            </w:r>
          </w:p>
        </w:tc>
        <w:tc>
          <w:tcPr>
            <w:tcW w:w="2326" w:type="dxa"/>
          </w:tcPr>
          <w:p w14:paraId="747B82EB" w14:textId="79E6377D" w:rsidR="00D812F5" w:rsidRPr="00D812F5" w:rsidRDefault="00D812F5" w:rsidP="00D812F5">
            <w:pPr>
              <w:rPr>
                <w:rFonts w:cs="Arial"/>
                <w:lang w:val="en-US"/>
              </w:rPr>
            </w:pPr>
            <w:r w:rsidRPr="00D812F5">
              <w:t>3 (7 %)</w:t>
            </w:r>
          </w:p>
        </w:tc>
        <w:tc>
          <w:tcPr>
            <w:tcW w:w="2327" w:type="dxa"/>
          </w:tcPr>
          <w:p w14:paraId="0FEBBC76" w14:textId="77777777" w:rsidR="00D812F5" w:rsidRPr="00D812F5" w:rsidRDefault="00D812F5" w:rsidP="00D812F5"/>
          <w:p w14:paraId="415A62E3" w14:textId="61A9ACB1" w:rsidR="00D812F5" w:rsidRPr="00D812F5" w:rsidRDefault="00D812F5" w:rsidP="00D812F5">
            <w:pPr>
              <w:rPr>
                <w:rFonts w:cs="Arial"/>
                <w:lang w:val="en-US"/>
              </w:rPr>
            </w:pPr>
            <w:r w:rsidRPr="00D812F5">
              <w:t>2(4%)</w:t>
            </w:r>
          </w:p>
        </w:tc>
        <w:tc>
          <w:tcPr>
            <w:tcW w:w="2327" w:type="dxa"/>
          </w:tcPr>
          <w:p w14:paraId="43907F7F" w14:textId="4552FA7C" w:rsidR="00D812F5" w:rsidRPr="00D812F5" w:rsidRDefault="00D812F5" w:rsidP="00D812F5">
            <w:pPr>
              <w:rPr>
                <w:rFonts w:cs="Arial"/>
                <w:lang w:val="en-US"/>
              </w:rPr>
            </w:pPr>
            <w:r w:rsidRPr="00D812F5">
              <w:t>2 (9 %)</w:t>
            </w:r>
          </w:p>
        </w:tc>
      </w:tr>
      <w:tr w:rsidR="00D812F5" w14:paraId="76FC36B0" w14:textId="77777777" w:rsidTr="00D812F5">
        <w:tc>
          <w:tcPr>
            <w:tcW w:w="2596" w:type="dxa"/>
          </w:tcPr>
          <w:p w14:paraId="2DAE4D9F" w14:textId="1BB560BD" w:rsidR="00D812F5" w:rsidRPr="00D812F5" w:rsidRDefault="00D812F5" w:rsidP="00D812F5">
            <w:r w:rsidRPr="00D812F5">
              <w:rPr>
                <w:b/>
                <w:bCs/>
              </w:rPr>
              <w:t>Потвърдено повишаване на серумния креатиннн с</w:t>
            </w:r>
            <w:r>
              <w:rPr>
                <w:b/>
                <w:bCs/>
              </w:rPr>
              <w:t xml:space="preserve"> </w:t>
            </w:r>
            <w:r w:rsidRPr="00D812F5">
              <w:rPr>
                <w:b/>
                <w:bCs/>
              </w:rPr>
              <w:t xml:space="preserve">≥ 0,5 </w:t>
            </w:r>
            <w:r w:rsidRPr="00D812F5">
              <w:rPr>
                <w:b/>
                <w:bCs/>
                <w:lang w:val="en-US"/>
              </w:rPr>
              <w:t xml:space="preserve">mg/dl </w:t>
            </w:r>
            <w:r w:rsidRPr="00D812F5">
              <w:rPr>
                <w:b/>
                <w:bCs/>
              </w:rPr>
              <w:t>в сравнение с изходните нива или потвърдени серумни</w:t>
            </w:r>
          </w:p>
        </w:tc>
        <w:tc>
          <w:tcPr>
            <w:tcW w:w="2326" w:type="dxa"/>
          </w:tcPr>
          <w:p w14:paraId="12E49898" w14:textId="462E8A6C" w:rsidR="00D812F5" w:rsidRPr="00D812F5" w:rsidRDefault="00D812F5" w:rsidP="00D812F5">
            <w:pPr>
              <w:rPr>
                <w:rFonts w:cs="Arial"/>
                <w:lang w:val="en-US"/>
              </w:rPr>
            </w:pPr>
            <w:r w:rsidRPr="00D812F5">
              <w:t>4 (9 %)</w:t>
            </w:r>
          </w:p>
        </w:tc>
        <w:tc>
          <w:tcPr>
            <w:tcW w:w="2327" w:type="dxa"/>
          </w:tcPr>
          <w:p w14:paraId="02813C89" w14:textId="77777777" w:rsidR="00D812F5" w:rsidRPr="00D812F5" w:rsidRDefault="00D812F5" w:rsidP="00D812F5"/>
          <w:p w14:paraId="66BEABCD" w14:textId="32FC0B71" w:rsidR="00D812F5" w:rsidRPr="00D812F5" w:rsidRDefault="00D812F5" w:rsidP="00D812F5">
            <w:pPr>
              <w:rPr>
                <w:rFonts w:cs="Arial"/>
                <w:lang w:val="en-US"/>
              </w:rPr>
            </w:pPr>
            <w:r w:rsidRPr="00D812F5">
              <w:t>3(7%)</w:t>
            </w:r>
          </w:p>
        </w:tc>
        <w:tc>
          <w:tcPr>
            <w:tcW w:w="2327" w:type="dxa"/>
          </w:tcPr>
          <w:p w14:paraId="3BD1B43C" w14:textId="0A4FC652" w:rsidR="00D812F5" w:rsidRPr="00D812F5" w:rsidRDefault="00D812F5" w:rsidP="00D812F5">
            <w:pPr>
              <w:rPr>
                <w:rFonts w:cs="Arial"/>
                <w:lang w:val="en-US"/>
              </w:rPr>
            </w:pPr>
            <w:r w:rsidRPr="00D812F5">
              <w:t>1 (5 %)</w:t>
            </w:r>
          </w:p>
        </w:tc>
      </w:tr>
      <w:tr w:rsidR="00D812F5" w14:paraId="02179F16" w14:textId="77777777" w:rsidTr="00D812F5">
        <w:tc>
          <w:tcPr>
            <w:tcW w:w="2596" w:type="dxa"/>
          </w:tcPr>
          <w:p w14:paraId="44CAF66C" w14:textId="59EEEC56" w:rsidR="00D812F5" w:rsidRPr="00D812F5" w:rsidRDefault="00D812F5" w:rsidP="00D812F5">
            <w:pPr>
              <w:rPr>
                <w:rFonts w:cs="Arial"/>
                <w:lang w:val="en-US"/>
              </w:rPr>
            </w:pPr>
            <w:r w:rsidRPr="00D812F5">
              <w:rPr>
                <w:b/>
                <w:bCs/>
                <w:lang w:val="en-US"/>
              </w:rPr>
              <w:t xml:space="preserve">HBV </w:t>
            </w:r>
            <w:r w:rsidRPr="00D812F5">
              <w:rPr>
                <w:b/>
                <w:bCs/>
              </w:rPr>
              <w:t xml:space="preserve">ДНК </w:t>
            </w:r>
            <w:r>
              <w:rPr>
                <w:b/>
                <w:bCs/>
                <w:lang w:val="en-US"/>
              </w:rPr>
              <w:t>n</w:t>
            </w:r>
            <w:r w:rsidRPr="00D812F5">
              <w:rPr>
                <w:b/>
                <w:bCs/>
              </w:rPr>
              <w:t xml:space="preserve"> (%) </w:t>
            </w:r>
            <w:r w:rsidRPr="00D812F5">
              <w:t>&lt; 400 копия</w:t>
            </w:r>
            <w:r w:rsidRPr="00D812F5">
              <w:rPr>
                <w:lang w:val="en-US"/>
              </w:rPr>
              <w:t>/ml n</w:t>
            </w:r>
            <w:r w:rsidRPr="00D812F5">
              <w:t xml:space="preserve"> (%)</w:t>
            </w:r>
          </w:p>
        </w:tc>
        <w:tc>
          <w:tcPr>
            <w:tcW w:w="2326" w:type="dxa"/>
          </w:tcPr>
          <w:p w14:paraId="395C6A12" w14:textId="63D39B7B" w:rsidR="00D812F5" w:rsidRPr="00D812F5" w:rsidRDefault="00D812F5" w:rsidP="00D812F5">
            <w:pPr>
              <w:rPr>
                <w:rFonts w:cs="Arial"/>
                <w:lang w:val="en-US"/>
              </w:rPr>
            </w:pPr>
            <w:r w:rsidRPr="00D812F5">
              <w:t>31/44 (70%)</w:t>
            </w:r>
          </w:p>
        </w:tc>
        <w:tc>
          <w:tcPr>
            <w:tcW w:w="2327" w:type="dxa"/>
          </w:tcPr>
          <w:p w14:paraId="4800AB3B" w14:textId="77777777" w:rsidR="00D812F5" w:rsidRPr="00D812F5" w:rsidRDefault="00D812F5" w:rsidP="00D812F5"/>
          <w:p w14:paraId="295E1067" w14:textId="5CB5BF56" w:rsidR="00D812F5" w:rsidRPr="00D812F5" w:rsidRDefault="00D812F5" w:rsidP="00D812F5">
            <w:pPr>
              <w:rPr>
                <w:rFonts w:cs="Arial"/>
                <w:lang w:val="en-US"/>
              </w:rPr>
            </w:pPr>
            <w:r w:rsidRPr="00D812F5">
              <w:t>36/41 (88 %)</w:t>
            </w:r>
          </w:p>
        </w:tc>
        <w:tc>
          <w:tcPr>
            <w:tcW w:w="2327" w:type="dxa"/>
          </w:tcPr>
          <w:p w14:paraId="18A80D6C" w14:textId="437A3C54" w:rsidR="00D812F5" w:rsidRPr="00D812F5" w:rsidRDefault="00D812F5" w:rsidP="00D812F5">
            <w:pPr>
              <w:rPr>
                <w:rFonts w:cs="Arial"/>
                <w:lang w:val="en-US"/>
              </w:rPr>
            </w:pPr>
            <w:r w:rsidRPr="00D812F5">
              <w:t>16/22 (73 %)</w:t>
            </w:r>
          </w:p>
        </w:tc>
      </w:tr>
      <w:tr w:rsidR="00D812F5" w14:paraId="27AF83B9" w14:textId="77777777" w:rsidTr="00D812F5">
        <w:tc>
          <w:tcPr>
            <w:tcW w:w="2596" w:type="dxa"/>
          </w:tcPr>
          <w:p w14:paraId="4369468C" w14:textId="77777777" w:rsidR="00D812F5" w:rsidRPr="00D812F5" w:rsidRDefault="00D812F5" w:rsidP="00D812F5">
            <w:r w:rsidRPr="00D812F5">
              <w:rPr>
                <w:b/>
                <w:bCs/>
                <w:lang w:val="en-US"/>
              </w:rPr>
              <w:lastRenderedPageBreak/>
              <w:t xml:space="preserve">ALT </w:t>
            </w:r>
            <w:r w:rsidRPr="00D812F5">
              <w:rPr>
                <w:b/>
                <w:bCs/>
              </w:rPr>
              <w:t>п (%)</w:t>
            </w:r>
          </w:p>
          <w:p w14:paraId="5F3EC0F8" w14:textId="38C42F25" w:rsidR="00D812F5" w:rsidRPr="00D812F5" w:rsidRDefault="00D812F5" w:rsidP="00D812F5">
            <w:pPr>
              <w:rPr>
                <w:rFonts w:cs="Arial"/>
                <w:lang w:val="en-US"/>
              </w:rPr>
            </w:pPr>
            <w:r w:rsidRPr="00D812F5">
              <w:t xml:space="preserve">Нормална </w:t>
            </w:r>
            <w:r w:rsidRPr="00D812F5">
              <w:rPr>
                <w:lang w:val="en-US"/>
              </w:rPr>
              <w:t>ALT</w:t>
            </w:r>
          </w:p>
        </w:tc>
        <w:tc>
          <w:tcPr>
            <w:tcW w:w="2326" w:type="dxa"/>
          </w:tcPr>
          <w:p w14:paraId="057DC9DC" w14:textId="59516074" w:rsidR="00D812F5" w:rsidRPr="00D812F5" w:rsidRDefault="00D812F5" w:rsidP="00D812F5">
            <w:pPr>
              <w:rPr>
                <w:rFonts w:cs="Arial"/>
                <w:lang w:val="en-US"/>
              </w:rPr>
            </w:pPr>
            <w:r w:rsidRPr="00D812F5">
              <w:t>25/44 (57 %)</w:t>
            </w:r>
          </w:p>
        </w:tc>
        <w:tc>
          <w:tcPr>
            <w:tcW w:w="2327" w:type="dxa"/>
          </w:tcPr>
          <w:p w14:paraId="45B5A648" w14:textId="21EE1CF5" w:rsidR="00D812F5" w:rsidRPr="00D812F5" w:rsidRDefault="00D812F5" w:rsidP="00D812F5">
            <w:pPr>
              <w:rPr>
                <w:rFonts w:cs="Arial"/>
                <w:lang w:val="en-US"/>
              </w:rPr>
            </w:pPr>
            <w:r w:rsidRPr="00D812F5">
              <w:t>31/41(76%)</w:t>
            </w:r>
          </w:p>
        </w:tc>
        <w:tc>
          <w:tcPr>
            <w:tcW w:w="2327" w:type="dxa"/>
          </w:tcPr>
          <w:p w14:paraId="64B8FC2F" w14:textId="46D99C2D" w:rsidR="00D812F5" w:rsidRPr="00D812F5" w:rsidRDefault="00D812F5" w:rsidP="00D812F5">
            <w:pPr>
              <w:rPr>
                <w:rFonts w:cs="Arial"/>
                <w:lang w:val="en-US"/>
              </w:rPr>
            </w:pPr>
            <w:r w:rsidRPr="00D812F5">
              <w:t>12/22 (55%)</w:t>
            </w:r>
          </w:p>
        </w:tc>
      </w:tr>
      <w:tr w:rsidR="00D812F5" w14:paraId="1705CF1A" w14:textId="77777777" w:rsidTr="00D812F5">
        <w:tc>
          <w:tcPr>
            <w:tcW w:w="2596" w:type="dxa"/>
          </w:tcPr>
          <w:p w14:paraId="135D1239" w14:textId="25493487" w:rsidR="00D812F5" w:rsidRPr="00D812F5" w:rsidRDefault="00D812F5" w:rsidP="00D812F5">
            <w:pPr>
              <w:rPr>
                <w:rFonts w:cs="Arial"/>
                <w:lang w:val="en-US"/>
              </w:rPr>
            </w:pPr>
            <w:r w:rsidRPr="00D812F5">
              <w:rPr>
                <w:b/>
                <w:bCs/>
              </w:rPr>
              <w:t>≥ 2 точки намаляване на СРТ в сравнение с изходните стойности</w:t>
            </w:r>
          </w:p>
        </w:tc>
        <w:tc>
          <w:tcPr>
            <w:tcW w:w="2326" w:type="dxa"/>
          </w:tcPr>
          <w:p w14:paraId="7490C927" w14:textId="0470F224" w:rsidR="00D812F5" w:rsidRPr="00D812F5" w:rsidRDefault="00D812F5" w:rsidP="00D812F5">
            <w:pPr>
              <w:rPr>
                <w:rFonts w:cs="Arial"/>
                <w:lang w:val="en-US"/>
              </w:rPr>
            </w:pPr>
            <w:r w:rsidRPr="00D812F5">
              <w:t>7/27 (26 %)</w:t>
            </w:r>
          </w:p>
        </w:tc>
        <w:tc>
          <w:tcPr>
            <w:tcW w:w="2327" w:type="dxa"/>
          </w:tcPr>
          <w:p w14:paraId="7181E310" w14:textId="7C061369" w:rsidR="00D812F5" w:rsidRPr="00D812F5" w:rsidRDefault="00D812F5" w:rsidP="00D812F5">
            <w:pPr>
              <w:rPr>
                <w:rFonts w:cs="Arial"/>
                <w:lang w:val="en-US"/>
              </w:rPr>
            </w:pPr>
            <w:r w:rsidRPr="00D812F5">
              <w:t>12/25 (48 %)</w:t>
            </w:r>
          </w:p>
        </w:tc>
        <w:tc>
          <w:tcPr>
            <w:tcW w:w="2327" w:type="dxa"/>
          </w:tcPr>
          <w:p w14:paraId="1EF0CD6F" w14:textId="1023962A" w:rsidR="00D812F5" w:rsidRPr="00D812F5" w:rsidRDefault="00D812F5" w:rsidP="00D812F5">
            <w:pPr>
              <w:rPr>
                <w:rFonts w:cs="Arial"/>
                <w:lang w:val="en-US"/>
              </w:rPr>
            </w:pPr>
            <w:r w:rsidRPr="00D812F5">
              <w:t>5/12(42%)</w:t>
            </w:r>
          </w:p>
        </w:tc>
      </w:tr>
      <w:tr w:rsidR="00D812F5" w14:paraId="2F8A007E" w14:textId="77777777" w:rsidTr="00D812F5">
        <w:tc>
          <w:tcPr>
            <w:tcW w:w="2596" w:type="dxa"/>
          </w:tcPr>
          <w:p w14:paraId="54E6DFA0" w14:textId="404475D7" w:rsidR="00D812F5" w:rsidRPr="00D812F5" w:rsidRDefault="00D812F5" w:rsidP="00D812F5">
            <w:pPr>
              <w:rPr>
                <w:rFonts w:cs="Arial"/>
                <w:lang w:val="en-US"/>
              </w:rPr>
            </w:pPr>
            <w:r w:rsidRPr="00D812F5">
              <w:rPr>
                <w:b/>
                <w:bCs/>
              </w:rPr>
              <w:t>Средна промяна в сравнение с изходния</w:t>
            </w:r>
          </w:p>
        </w:tc>
        <w:tc>
          <w:tcPr>
            <w:tcW w:w="2326" w:type="dxa"/>
          </w:tcPr>
          <w:p w14:paraId="381DEC65" w14:textId="1D6995DE" w:rsidR="00D812F5" w:rsidRPr="00D812F5" w:rsidRDefault="00D812F5" w:rsidP="00D812F5">
            <w:pPr>
              <w:rPr>
                <w:rFonts w:cs="Arial"/>
                <w:lang w:val="en-US"/>
              </w:rPr>
            </w:pPr>
            <w:r w:rsidRPr="00D812F5">
              <w:t>-0,8</w:t>
            </w:r>
          </w:p>
        </w:tc>
        <w:tc>
          <w:tcPr>
            <w:tcW w:w="2327" w:type="dxa"/>
          </w:tcPr>
          <w:p w14:paraId="6F02AE6A" w14:textId="76A73A8A" w:rsidR="00D812F5" w:rsidRPr="00D812F5" w:rsidRDefault="00D812F5" w:rsidP="00D812F5">
            <w:pPr>
              <w:rPr>
                <w:rFonts w:cs="Arial"/>
                <w:lang w:val="en-US"/>
              </w:rPr>
            </w:pPr>
            <w:r w:rsidRPr="00D812F5">
              <w:t>-0,9</w:t>
            </w:r>
          </w:p>
        </w:tc>
        <w:tc>
          <w:tcPr>
            <w:tcW w:w="2327" w:type="dxa"/>
          </w:tcPr>
          <w:p w14:paraId="54E9FC89" w14:textId="087DB89F" w:rsidR="00D812F5" w:rsidRPr="00D812F5" w:rsidRDefault="00D812F5" w:rsidP="00D812F5">
            <w:pPr>
              <w:rPr>
                <w:rFonts w:cs="Arial"/>
                <w:lang w:val="en-US"/>
              </w:rPr>
            </w:pPr>
            <w:r w:rsidRPr="00D812F5">
              <w:rPr>
                <w:lang w:val="en-US"/>
              </w:rPr>
              <w:t>-1,3</w:t>
            </w:r>
          </w:p>
        </w:tc>
      </w:tr>
      <w:tr w:rsidR="00D812F5" w14:paraId="0B3D5AEE" w14:textId="77777777" w:rsidTr="00D812F5">
        <w:tc>
          <w:tcPr>
            <w:tcW w:w="2596" w:type="dxa"/>
          </w:tcPr>
          <w:p w14:paraId="5C41AAC1" w14:textId="5A20623C" w:rsidR="00D812F5" w:rsidRPr="00D812F5" w:rsidRDefault="00D812F5" w:rsidP="00D812F5">
            <w:pPr>
              <w:rPr>
                <w:rFonts w:cs="Arial"/>
                <w:lang w:val="en-US"/>
              </w:rPr>
            </w:pPr>
            <w:r w:rsidRPr="00D812F5">
              <w:rPr>
                <w:b/>
                <w:bCs/>
              </w:rPr>
              <w:t xml:space="preserve">Средна промяна в сравнение с изходния </w:t>
            </w:r>
            <w:r w:rsidRPr="00D812F5">
              <w:rPr>
                <w:b/>
                <w:bCs/>
                <w:lang w:val="en-US"/>
              </w:rPr>
              <w:t>MELD</w:t>
            </w:r>
            <w:r w:rsidRPr="00D812F5">
              <w:rPr>
                <w:b/>
                <w:bCs/>
              </w:rPr>
              <w:t>-скор</w:t>
            </w:r>
          </w:p>
        </w:tc>
        <w:tc>
          <w:tcPr>
            <w:tcW w:w="2326" w:type="dxa"/>
          </w:tcPr>
          <w:p w14:paraId="5E4084CE" w14:textId="276573A9" w:rsidR="00D812F5" w:rsidRPr="00D812F5" w:rsidRDefault="00D812F5" w:rsidP="00D812F5">
            <w:pPr>
              <w:rPr>
                <w:rFonts w:cs="Arial"/>
                <w:lang w:val="en-US"/>
              </w:rPr>
            </w:pPr>
            <w:r w:rsidRPr="00D812F5">
              <w:t>-1,8</w:t>
            </w:r>
          </w:p>
        </w:tc>
        <w:tc>
          <w:tcPr>
            <w:tcW w:w="2327" w:type="dxa"/>
          </w:tcPr>
          <w:p w14:paraId="6C33B2BE" w14:textId="7A12E864" w:rsidR="00D812F5" w:rsidRPr="00D812F5" w:rsidRDefault="00D812F5" w:rsidP="00D812F5">
            <w:pPr>
              <w:rPr>
                <w:rFonts w:cs="Arial"/>
                <w:lang w:val="en-US"/>
              </w:rPr>
            </w:pPr>
            <w:r w:rsidRPr="00D812F5">
              <w:t>-2,3</w:t>
            </w:r>
          </w:p>
        </w:tc>
        <w:tc>
          <w:tcPr>
            <w:tcW w:w="2327" w:type="dxa"/>
          </w:tcPr>
          <w:p w14:paraId="165D100C" w14:textId="426A47E7" w:rsidR="00D812F5" w:rsidRPr="00D812F5" w:rsidRDefault="00D812F5" w:rsidP="00D812F5">
            <w:pPr>
              <w:rPr>
                <w:rFonts w:cs="Arial"/>
                <w:lang w:val="en-US"/>
              </w:rPr>
            </w:pPr>
            <w:r w:rsidRPr="00D812F5">
              <w:t>-2,6</w:t>
            </w:r>
          </w:p>
        </w:tc>
      </w:tr>
    </w:tbl>
    <w:p w14:paraId="669B5E2C" w14:textId="191C9573" w:rsidR="00D812F5" w:rsidRPr="00D812F5" w:rsidRDefault="00D812F5" w:rsidP="00D812F5">
      <w:pPr>
        <w:rPr>
          <w:rFonts w:cs="Arial"/>
        </w:rPr>
      </w:pPr>
      <w:r w:rsidRPr="00D812F5">
        <w:rPr>
          <w:rFonts w:cs="Arial"/>
          <w:vertAlign w:val="superscript"/>
        </w:rPr>
        <w:t>а</w:t>
      </w:r>
      <w:r w:rsidRPr="00D812F5">
        <w:rPr>
          <w:rFonts w:cs="Arial"/>
        </w:rPr>
        <w:t xml:space="preserve"> р-стойност, сравняваща рамената с комбинирано лечение, включващо тенофовир срещу рамото с ентекавир - 0,622</w:t>
      </w:r>
    </w:p>
    <w:p w14:paraId="46A7ABD8"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vertAlign w:val="superscript"/>
          <w:lang w:eastAsia="bg-BG"/>
        </w:rPr>
        <w:t>6</w:t>
      </w:r>
      <w:r w:rsidRPr="00D812F5">
        <w:rPr>
          <w:rFonts w:eastAsia="Times New Roman" w:cs="Arial"/>
          <w:color w:val="000000"/>
          <w:lang w:eastAsia="bg-BG"/>
        </w:rPr>
        <w:t xml:space="preserve"> р-стойност, сравняваща рамената с комбинирано лечение, включващо тенофовир, срещу рамото с ентекавир = 1,000.</w:t>
      </w:r>
    </w:p>
    <w:p w14:paraId="4B27C3D1" w14:textId="77777777" w:rsidR="00D812F5" w:rsidRDefault="00D812F5" w:rsidP="00D812F5">
      <w:pPr>
        <w:spacing w:line="240" w:lineRule="auto"/>
        <w:rPr>
          <w:rFonts w:eastAsia="Times New Roman" w:cs="Arial"/>
          <w:i/>
          <w:iCs/>
          <w:color w:val="000000"/>
          <w:lang w:eastAsia="bg-BG"/>
        </w:rPr>
      </w:pPr>
    </w:p>
    <w:p w14:paraId="29785510" w14:textId="2AE91718" w:rsidR="00D812F5" w:rsidRPr="00D812F5" w:rsidRDefault="00D812F5" w:rsidP="00D812F5">
      <w:pPr>
        <w:spacing w:line="240" w:lineRule="auto"/>
        <w:rPr>
          <w:rFonts w:eastAsia="Times New Roman" w:cs="Arial"/>
          <w:lang w:eastAsia="bg-BG"/>
        </w:rPr>
      </w:pPr>
      <w:r w:rsidRPr="00D812F5">
        <w:rPr>
          <w:rFonts w:eastAsia="Times New Roman" w:cs="Arial"/>
          <w:i/>
          <w:iCs/>
          <w:color w:val="000000"/>
          <w:lang w:eastAsia="bg-BG"/>
        </w:rPr>
        <w:t xml:space="preserve">Опит, по-дълъг от 48 седмици, при проучване </w:t>
      </w:r>
      <w:r w:rsidRPr="00D812F5">
        <w:rPr>
          <w:rFonts w:eastAsia="Times New Roman" w:cs="Arial"/>
          <w:i/>
          <w:iCs/>
          <w:color w:val="000000"/>
          <w:lang w:val="en-US"/>
        </w:rPr>
        <w:t>GS-US-174-0108</w:t>
      </w:r>
    </w:p>
    <w:p w14:paraId="08640741"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Като се анализират незавършилите проучването/преминали на друго лечение участници (= анализ на неуспеха), 50 % (21/42) от участниците, приемащи тенофовир дизопроксил, 76 % (28/37) от участниците, приемащи емтрицитабин плюс тенофовир дизопроксил и52%(11/21)от участниците, приемащи ентекавир, са постигнали </w:t>
      </w:r>
      <w:r w:rsidRPr="00D812F5">
        <w:rPr>
          <w:rFonts w:eastAsia="Times New Roman" w:cs="Arial"/>
          <w:color w:val="000000"/>
          <w:lang w:val="en-US"/>
        </w:rPr>
        <w:t xml:space="preserve">HBV </w:t>
      </w:r>
      <w:r w:rsidRPr="00D812F5">
        <w:rPr>
          <w:rFonts w:eastAsia="Times New Roman" w:cs="Arial"/>
          <w:color w:val="000000"/>
          <w:lang w:eastAsia="bg-BG"/>
        </w:rPr>
        <w:t>ДНК &lt; 400 копия</w:t>
      </w:r>
      <w:r w:rsidRPr="00D812F5">
        <w:rPr>
          <w:rFonts w:eastAsia="Times New Roman" w:cs="Arial"/>
          <w:color w:val="000000"/>
          <w:lang w:val="en-US"/>
        </w:rPr>
        <w:t xml:space="preserve">/ml </w:t>
      </w:r>
      <w:r w:rsidRPr="00D812F5">
        <w:rPr>
          <w:rFonts w:eastAsia="Times New Roman" w:cs="Arial"/>
          <w:color w:val="000000"/>
          <w:lang w:eastAsia="bg-BG"/>
        </w:rPr>
        <w:t>на седмица 168.</w:t>
      </w:r>
    </w:p>
    <w:p w14:paraId="5557F89A" w14:textId="77777777" w:rsidR="00D812F5" w:rsidRDefault="00D812F5" w:rsidP="00D812F5">
      <w:pPr>
        <w:spacing w:line="240" w:lineRule="auto"/>
        <w:rPr>
          <w:rFonts w:eastAsia="Times New Roman" w:cs="Arial"/>
          <w:i/>
          <w:iCs/>
          <w:color w:val="000000"/>
          <w:lang w:eastAsia="bg-BG"/>
        </w:rPr>
      </w:pPr>
    </w:p>
    <w:p w14:paraId="0077042F" w14:textId="1989C504" w:rsidR="00D812F5" w:rsidRPr="00D812F5" w:rsidRDefault="00D812F5" w:rsidP="00D812F5">
      <w:pPr>
        <w:spacing w:line="240" w:lineRule="auto"/>
        <w:rPr>
          <w:rFonts w:eastAsia="Times New Roman" w:cs="Arial"/>
          <w:lang w:eastAsia="bg-BG"/>
        </w:rPr>
      </w:pPr>
      <w:r w:rsidRPr="00D812F5">
        <w:rPr>
          <w:rFonts w:eastAsia="Times New Roman" w:cs="Arial"/>
          <w:i/>
          <w:iCs/>
          <w:color w:val="000000"/>
          <w:lang w:eastAsia="bg-BG"/>
        </w:rPr>
        <w:t xml:space="preserve">Опит при пациенти срезистентен наламивудин </w:t>
      </w:r>
      <w:r w:rsidRPr="00D812F5">
        <w:rPr>
          <w:rFonts w:eastAsia="Times New Roman" w:cs="Arial"/>
          <w:i/>
          <w:iCs/>
          <w:color w:val="000000"/>
          <w:lang w:val="en-US"/>
        </w:rPr>
        <w:t>HBV</w:t>
      </w:r>
      <w:r w:rsidRPr="00D812F5">
        <w:rPr>
          <w:rFonts w:eastAsia="Times New Roman" w:cs="Arial"/>
          <w:i/>
          <w:iCs/>
          <w:color w:val="000000"/>
          <w:lang w:eastAsia="bg-BG"/>
        </w:rPr>
        <w:t xml:space="preserve">на 240-та седмица (проучване </w:t>
      </w:r>
      <w:r w:rsidRPr="00D812F5">
        <w:rPr>
          <w:rFonts w:eastAsia="Times New Roman" w:cs="Arial"/>
          <w:i/>
          <w:iCs/>
          <w:color w:val="000000"/>
          <w:lang w:val="en-US"/>
        </w:rPr>
        <w:t xml:space="preserve">GS-US-174- </w:t>
      </w:r>
      <w:r w:rsidRPr="00D812F5">
        <w:rPr>
          <w:rFonts w:eastAsia="Times New Roman" w:cs="Arial"/>
          <w:i/>
          <w:iCs/>
          <w:color w:val="000000"/>
          <w:lang w:eastAsia="bg-BG"/>
        </w:rPr>
        <w:t>0121)</w:t>
      </w:r>
    </w:p>
    <w:p w14:paraId="70E8420F"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Ефикасността и безопасността на тенофовир дизопроксил 245 </w:t>
      </w:r>
      <w:r w:rsidRPr="00D812F5">
        <w:rPr>
          <w:rFonts w:eastAsia="Times New Roman" w:cs="Arial"/>
          <w:color w:val="000000"/>
          <w:lang w:val="en-US"/>
        </w:rPr>
        <w:t xml:space="preserve">mg </w:t>
      </w:r>
      <w:r w:rsidRPr="00D812F5">
        <w:rPr>
          <w:rFonts w:eastAsia="Times New Roman" w:cs="Arial"/>
          <w:color w:val="000000"/>
          <w:lang w:eastAsia="bg-BG"/>
        </w:rPr>
        <w:t xml:space="preserve">са оценени в рамките на едно рандомизирано двойносляпо проучване </w:t>
      </w:r>
      <w:r w:rsidRPr="00D812F5">
        <w:rPr>
          <w:rFonts w:eastAsia="Times New Roman" w:cs="Arial"/>
          <w:color w:val="000000"/>
          <w:lang w:val="en-US"/>
        </w:rPr>
        <w:t>(GS-US-</w:t>
      </w:r>
      <w:r w:rsidRPr="00D812F5">
        <w:rPr>
          <w:rFonts w:eastAsia="Times New Roman" w:cs="Arial"/>
          <w:color w:val="000000"/>
          <w:lang w:eastAsia="bg-BG"/>
        </w:rPr>
        <w:t xml:space="preserve">174-0121) при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позитивни и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негативни пациенти (</w:t>
      </w:r>
      <w:r w:rsidRPr="00D812F5">
        <w:rPr>
          <w:rFonts w:eastAsia="Times New Roman" w:cs="Arial"/>
          <w:color w:val="000000"/>
          <w:lang w:val="en-US"/>
        </w:rPr>
        <w:t>n</w:t>
      </w:r>
      <w:r w:rsidRPr="00D812F5">
        <w:rPr>
          <w:rFonts w:eastAsia="Times New Roman" w:cs="Arial"/>
          <w:color w:val="000000"/>
          <w:lang w:eastAsia="bg-BG"/>
        </w:rPr>
        <w:t xml:space="preserve">= 280) с компенсирано чернодробно заболяване, виремия </w:t>
      </w:r>
      <w:r w:rsidRPr="00D812F5">
        <w:rPr>
          <w:rFonts w:eastAsia="Times New Roman" w:cs="Arial"/>
          <w:color w:val="000000"/>
          <w:lang w:val="en-US"/>
        </w:rPr>
        <w:t xml:space="preserve">(HBV </w:t>
      </w:r>
      <w:r w:rsidRPr="00D812F5">
        <w:rPr>
          <w:rFonts w:eastAsia="Times New Roman" w:cs="Arial"/>
          <w:color w:val="000000"/>
          <w:lang w:eastAsia="bg-BG"/>
        </w:rPr>
        <w:t xml:space="preserve">ДНК ≥ 1000 </w:t>
      </w:r>
      <w:r w:rsidRPr="00D812F5">
        <w:rPr>
          <w:rFonts w:eastAsia="Times New Roman" w:cs="Arial"/>
          <w:color w:val="000000"/>
          <w:lang w:val="en-US"/>
        </w:rPr>
        <w:t xml:space="preserve">IU/ml) </w:t>
      </w:r>
      <w:r w:rsidRPr="00D812F5">
        <w:rPr>
          <w:rFonts w:eastAsia="Times New Roman" w:cs="Arial"/>
          <w:color w:val="000000"/>
          <w:lang w:eastAsia="bg-BG"/>
        </w:rPr>
        <w:t xml:space="preserve">и генотипни данни за резистентност към ламивудин </w:t>
      </w:r>
      <w:r w:rsidRPr="00D812F5">
        <w:rPr>
          <w:rFonts w:eastAsia="Times New Roman" w:cs="Arial"/>
          <w:color w:val="000000"/>
          <w:lang w:val="en-US"/>
        </w:rPr>
        <w:t xml:space="preserve">(rtM204I/V </w:t>
      </w:r>
      <w:r w:rsidRPr="00D812F5">
        <w:rPr>
          <w:rFonts w:eastAsia="Times New Roman" w:cs="Arial"/>
          <w:color w:val="000000"/>
          <w:lang w:eastAsia="bg-BG"/>
        </w:rPr>
        <w:t xml:space="preserve">+/- </w:t>
      </w:r>
      <w:r w:rsidRPr="00D812F5">
        <w:rPr>
          <w:rFonts w:eastAsia="Times New Roman" w:cs="Arial"/>
          <w:color w:val="000000"/>
          <w:lang w:val="en-US"/>
        </w:rPr>
        <w:t xml:space="preserve">rtL180M). </w:t>
      </w:r>
      <w:r w:rsidRPr="00D812F5">
        <w:rPr>
          <w:rFonts w:eastAsia="Times New Roman" w:cs="Arial"/>
          <w:color w:val="000000"/>
          <w:lang w:eastAsia="bg-BG"/>
        </w:rPr>
        <w:t xml:space="preserve">Само петима пациенти са имали мутации, свързани с резистентност към адефовир на изходно ниво. Сто четиридесет и един и 139 възрастни участници са били рандомизирани в рамото на лечение съответно с тенофовир дизопроксил или емтрицитабин плюс тенофовир дизопроксил. Изходните демографски характеристики са били сходни между двете групи на лечение: На изходно ниво 52,5 % от участниците са били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негативни, 47,5 % са били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позитивни, средното ниво на </w:t>
      </w:r>
      <w:r w:rsidRPr="00D812F5">
        <w:rPr>
          <w:rFonts w:eastAsia="Times New Roman" w:cs="Arial"/>
          <w:color w:val="000000"/>
          <w:lang w:val="en-US"/>
        </w:rPr>
        <w:t xml:space="preserve">HBV </w:t>
      </w:r>
      <w:r w:rsidRPr="00D812F5">
        <w:rPr>
          <w:rFonts w:eastAsia="Times New Roman" w:cs="Arial"/>
          <w:color w:val="000000"/>
          <w:lang w:eastAsia="bg-BG"/>
        </w:rPr>
        <w:t xml:space="preserve">ДНК е било 6,5 </w:t>
      </w:r>
      <w:r w:rsidRPr="00D812F5">
        <w:rPr>
          <w:rFonts w:eastAsia="Times New Roman" w:cs="Arial"/>
          <w:color w:val="000000"/>
          <w:lang w:val="en-US"/>
        </w:rPr>
        <w:t>log</w:t>
      </w:r>
      <w:r w:rsidRPr="00D812F5">
        <w:rPr>
          <w:rFonts w:eastAsia="Times New Roman" w:cs="Arial"/>
          <w:color w:val="000000"/>
          <w:vertAlign w:val="subscript"/>
          <w:lang w:val="en-US"/>
        </w:rPr>
        <w:t>10</w:t>
      </w:r>
      <w:r w:rsidRPr="00D812F5">
        <w:rPr>
          <w:rFonts w:eastAsia="Times New Roman" w:cs="Arial"/>
          <w:color w:val="000000"/>
          <w:lang w:val="en-US"/>
        </w:rPr>
        <w:t xml:space="preserve"> </w:t>
      </w:r>
      <w:r w:rsidRPr="00D812F5">
        <w:rPr>
          <w:rFonts w:eastAsia="Times New Roman" w:cs="Arial"/>
          <w:color w:val="000000"/>
          <w:lang w:eastAsia="bg-BG"/>
        </w:rPr>
        <w:t>копия</w:t>
      </w:r>
      <w:r w:rsidRPr="00D812F5">
        <w:rPr>
          <w:rFonts w:eastAsia="Times New Roman" w:cs="Arial"/>
          <w:color w:val="000000"/>
          <w:lang w:val="en-US"/>
        </w:rPr>
        <w:t xml:space="preserve">/ml, </w:t>
      </w:r>
      <w:r w:rsidRPr="00D812F5">
        <w:rPr>
          <w:rFonts w:eastAsia="Times New Roman" w:cs="Arial"/>
          <w:color w:val="000000"/>
          <w:lang w:eastAsia="bg-BG"/>
        </w:rPr>
        <w:t xml:space="preserve">а средната стойност на </w:t>
      </w:r>
      <w:r w:rsidRPr="00D812F5">
        <w:rPr>
          <w:rFonts w:eastAsia="Times New Roman" w:cs="Arial"/>
          <w:color w:val="000000"/>
          <w:lang w:val="en-US"/>
        </w:rPr>
        <w:t xml:space="preserve">ALT </w:t>
      </w:r>
      <w:r w:rsidRPr="00D812F5">
        <w:rPr>
          <w:rFonts w:eastAsia="Times New Roman" w:cs="Arial"/>
          <w:color w:val="000000"/>
          <w:lang w:eastAsia="bg-BG"/>
        </w:rPr>
        <w:t xml:space="preserve">съответно е била 79 </w:t>
      </w:r>
      <w:r w:rsidRPr="00D812F5">
        <w:rPr>
          <w:rFonts w:eastAsia="Times New Roman" w:cs="Arial"/>
          <w:color w:val="000000"/>
          <w:lang w:val="en-US"/>
        </w:rPr>
        <w:t>U/1.</w:t>
      </w:r>
    </w:p>
    <w:p w14:paraId="63C6BF5D" w14:textId="77777777" w:rsidR="00D812F5" w:rsidRDefault="00D812F5" w:rsidP="00D812F5">
      <w:pPr>
        <w:spacing w:line="240" w:lineRule="auto"/>
        <w:rPr>
          <w:rFonts w:eastAsia="Times New Roman" w:cs="Arial"/>
          <w:color w:val="000000"/>
          <w:lang w:eastAsia="bg-BG"/>
        </w:rPr>
      </w:pPr>
    </w:p>
    <w:p w14:paraId="193B2221" w14:textId="4F90096F"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След 240 седмици лечение 117 от 141 участници (83 %), рандомизирани на лечение с тенофовир дизопроксил, са имали </w:t>
      </w:r>
      <w:r w:rsidRPr="00D812F5">
        <w:rPr>
          <w:rFonts w:eastAsia="Times New Roman" w:cs="Arial"/>
          <w:color w:val="000000"/>
          <w:lang w:val="en-US"/>
        </w:rPr>
        <w:t xml:space="preserve">HBV </w:t>
      </w:r>
      <w:r w:rsidRPr="00D812F5">
        <w:rPr>
          <w:rFonts w:eastAsia="Times New Roman" w:cs="Arial"/>
          <w:color w:val="000000"/>
          <w:lang w:eastAsia="bg-BG"/>
        </w:rPr>
        <w:t>ДНК &lt; 400 копия</w:t>
      </w:r>
      <w:r w:rsidRPr="00D812F5">
        <w:rPr>
          <w:rFonts w:eastAsia="Times New Roman" w:cs="Arial"/>
          <w:color w:val="000000"/>
          <w:lang w:val="en-US"/>
        </w:rPr>
        <w:t xml:space="preserve">/ml </w:t>
      </w:r>
      <w:r w:rsidRPr="00D812F5">
        <w:rPr>
          <w:rFonts w:eastAsia="Times New Roman" w:cs="Arial"/>
          <w:color w:val="000000"/>
          <w:lang w:eastAsia="bg-BG"/>
        </w:rPr>
        <w:t xml:space="preserve">и 51 от 79 участници (65 %) са имали нормализиране на </w:t>
      </w:r>
      <w:r w:rsidRPr="00D812F5">
        <w:rPr>
          <w:rFonts w:eastAsia="Times New Roman" w:cs="Arial"/>
          <w:color w:val="000000"/>
          <w:lang w:val="en-US"/>
        </w:rPr>
        <w:t xml:space="preserve">ALT. </w:t>
      </w:r>
      <w:r w:rsidRPr="00D812F5">
        <w:rPr>
          <w:rFonts w:eastAsia="Times New Roman" w:cs="Arial"/>
          <w:color w:val="000000"/>
          <w:lang w:eastAsia="bg-BG"/>
        </w:rPr>
        <w:t xml:space="preserve">След 240 седмици лечение с емтрицитабин плюс тенофовир дизопроксил 115 от 139 участници (83 %) са имали </w:t>
      </w:r>
      <w:r w:rsidRPr="00D812F5">
        <w:rPr>
          <w:rFonts w:eastAsia="Times New Roman" w:cs="Arial"/>
          <w:color w:val="000000"/>
          <w:lang w:val="en-US"/>
        </w:rPr>
        <w:t xml:space="preserve">HBV </w:t>
      </w:r>
      <w:r w:rsidRPr="00D812F5">
        <w:rPr>
          <w:rFonts w:eastAsia="Times New Roman" w:cs="Arial"/>
          <w:color w:val="000000"/>
          <w:lang w:eastAsia="bg-BG"/>
        </w:rPr>
        <w:t>ДНК &lt; 400 копия</w:t>
      </w:r>
      <w:r w:rsidRPr="00D812F5">
        <w:rPr>
          <w:rFonts w:eastAsia="Times New Roman" w:cs="Arial"/>
          <w:color w:val="000000"/>
          <w:lang w:val="en-US"/>
        </w:rPr>
        <w:t xml:space="preserve">/ml </w:t>
      </w:r>
      <w:r w:rsidRPr="00D812F5">
        <w:rPr>
          <w:rFonts w:eastAsia="Times New Roman" w:cs="Arial"/>
          <w:color w:val="000000"/>
          <w:lang w:eastAsia="bg-BG"/>
        </w:rPr>
        <w:t xml:space="preserve">и 59 от 83 участници (71 %) са имали нормализиране на </w:t>
      </w:r>
      <w:r w:rsidRPr="00D812F5">
        <w:rPr>
          <w:rFonts w:eastAsia="Times New Roman" w:cs="Arial"/>
          <w:color w:val="000000"/>
          <w:lang w:val="en-US"/>
        </w:rPr>
        <w:t xml:space="preserve">ALT. </w:t>
      </w:r>
      <w:r w:rsidRPr="00D812F5">
        <w:rPr>
          <w:rFonts w:eastAsia="Times New Roman" w:cs="Arial"/>
          <w:color w:val="000000"/>
          <w:lang w:eastAsia="bg-BG"/>
        </w:rPr>
        <w:t xml:space="preserve">Сред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позитивните участници, рандомизирани да получават тенофовир дизопроксил, при 10 от 65 участници (25 %) е постигнато негативиране на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и 8 от 65 участници (12 %) са получили анти-НВе сероконверсия до седмица 240. При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позитивните участници, рандомизирани да получават емтрицитабин плюс тенофовир дизопроксил, при 13 от 68 участници (19 %) е постигнато негативиране на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и 8 от 68 участници (10 %) са получили анти-НВе сероконверсия до седмица 240. Двама участници, рандомизирани да получават тенофовир дизопроксил, са постигнали негативиране на </w:t>
      </w:r>
      <w:r w:rsidRPr="00D812F5">
        <w:rPr>
          <w:rFonts w:eastAsia="Times New Roman" w:cs="Arial"/>
          <w:color w:val="000000"/>
          <w:lang w:val="en-US"/>
        </w:rPr>
        <w:t xml:space="preserve">HBsAg </w:t>
      </w:r>
      <w:r w:rsidRPr="00D812F5">
        <w:rPr>
          <w:rFonts w:eastAsia="Times New Roman" w:cs="Arial"/>
          <w:color w:val="000000"/>
          <w:lang w:eastAsia="bg-BG"/>
        </w:rPr>
        <w:t>до седмица 240, но не са получили сероконверсия към анти</w:t>
      </w:r>
      <w:r w:rsidRPr="00D812F5">
        <w:rPr>
          <w:rFonts w:eastAsia="Times New Roman" w:cs="Arial"/>
          <w:color w:val="000000"/>
          <w:lang w:val="en-US"/>
        </w:rPr>
        <w:t xml:space="preserve">-HBs. </w:t>
      </w:r>
      <w:r w:rsidRPr="00D812F5">
        <w:rPr>
          <w:rFonts w:eastAsia="Times New Roman" w:cs="Arial"/>
          <w:color w:val="000000"/>
          <w:lang w:eastAsia="bg-BG"/>
        </w:rPr>
        <w:t xml:space="preserve">Пет участници, рандомизирани да получават </w:t>
      </w:r>
      <w:r w:rsidRPr="00D812F5">
        <w:rPr>
          <w:rFonts w:eastAsia="Times New Roman" w:cs="Arial"/>
          <w:color w:val="000000"/>
          <w:lang w:eastAsia="bg-BG"/>
        </w:rPr>
        <w:lastRenderedPageBreak/>
        <w:t xml:space="preserve">емтрицитабин плюс тенофовир дизопроксил, са постигнали негативиране на </w:t>
      </w:r>
      <w:r w:rsidRPr="00D812F5">
        <w:rPr>
          <w:rFonts w:eastAsia="Times New Roman" w:cs="Arial"/>
          <w:color w:val="000000"/>
          <w:lang w:val="en-US"/>
        </w:rPr>
        <w:t xml:space="preserve">HBsAg, </w:t>
      </w:r>
      <w:r w:rsidRPr="00D812F5">
        <w:rPr>
          <w:rFonts w:eastAsia="Times New Roman" w:cs="Arial"/>
          <w:color w:val="000000"/>
          <w:lang w:eastAsia="bg-BG"/>
        </w:rPr>
        <w:t>като 2-ма от тези 5 участници са получили сероконверсия към анти</w:t>
      </w:r>
      <w:r w:rsidRPr="00D812F5">
        <w:rPr>
          <w:rFonts w:eastAsia="Times New Roman" w:cs="Arial"/>
          <w:color w:val="000000"/>
          <w:lang w:val="en-US"/>
        </w:rPr>
        <w:t>-HBs.</w:t>
      </w:r>
    </w:p>
    <w:p w14:paraId="0C990191" w14:textId="77777777" w:rsidR="00D812F5" w:rsidRPr="00D812F5" w:rsidRDefault="00D812F5" w:rsidP="00D812F5">
      <w:pPr>
        <w:spacing w:line="240" w:lineRule="auto"/>
        <w:rPr>
          <w:rFonts w:eastAsia="Times New Roman" w:cs="Arial"/>
          <w:lang w:eastAsia="bg-BG"/>
        </w:rPr>
      </w:pPr>
    </w:p>
    <w:p w14:paraId="64DDC647" w14:textId="77777777" w:rsidR="00D812F5" w:rsidRPr="00D812F5" w:rsidRDefault="00D812F5" w:rsidP="00D812F5">
      <w:pPr>
        <w:spacing w:line="240" w:lineRule="auto"/>
        <w:rPr>
          <w:rFonts w:eastAsia="Times New Roman" w:cs="Arial"/>
          <w:lang w:eastAsia="bg-BG"/>
        </w:rPr>
      </w:pPr>
      <w:r w:rsidRPr="00D812F5">
        <w:rPr>
          <w:rFonts w:eastAsia="Times New Roman" w:cs="Arial"/>
          <w:i/>
          <w:iCs/>
          <w:color w:val="000000"/>
          <w:lang w:eastAsia="bg-BG"/>
        </w:rPr>
        <w:t>Клинична резистентност</w:t>
      </w:r>
    </w:p>
    <w:p w14:paraId="2B0C913F"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Генотипни промени в </w:t>
      </w:r>
      <w:r w:rsidRPr="00D812F5">
        <w:rPr>
          <w:rFonts w:eastAsia="Times New Roman" w:cs="Arial"/>
          <w:color w:val="000000"/>
          <w:lang w:val="en-US"/>
        </w:rPr>
        <w:t xml:space="preserve">HBV </w:t>
      </w:r>
      <w:r w:rsidRPr="00D812F5">
        <w:rPr>
          <w:rFonts w:eastAsia="Times New Roman" w:cs="Arial"/>
          <w:color w:val="000000"/>
          <w:lang w:eastAsia="bg-BG"/>
        </w:rPr>
        <w:t xml:space="preserve">полимеразата в сравнение с изходните нива са оценени при 426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негативни </w:t>
      </w:r>
      <w:r w:rsidRPr="00D812F5">
        <w:rPr>
          <w:rFonts w:eastAsia="Times New Roman" w:cs="Arial"/>
          <w:color w:val="000000"/>
          <w:lang w:val="en-US"/>
        </w:rPr>
        <w:t>(GS-US-1</w:t>
      </w:r>
      <w:r w:rsidRPr="00D812F5">
        <w:rPr>
          <w:rFonts w:eastAsia="Times New Roman" w:cs="Arial"/>
          <w:color w:val="000000"/>
          <w:lang w:eastAsia="bg-BG"/>
        </w:rPr>
        <w:t xml:space="preserve">74-0102, </w:t>
      </w:r>
      <w:r w:rsidRPr="00D812F5">
        <w:rPr>
          <w:rFonts w:eastAsia="Times New Roman" w:cs="Arial"/>
          <w:color w:val="000000"/>
          <w:lang w:val="en-US"/>
        </w:rPr>
        <w:t>n</w:t>
      </w:r>
      <w:r w:rsidRPr="00D812F5">
        <w:rPr>
          <w:rFonts w:eastAsia="Times New Roman" w:cs="Arial"/>
          <w:color w:val="000000"/>
          <w:lang w:eastAsia="bg-BG"/>
        </w:rPr>
        <w:t xml:space="preserve"> = 250) и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позитивни </w:t>
      </w:r>
      <w:r w:rsidRPr="00D812F5">
        <w:rPr>
          <w:rFonts w:eastAsia="Times New Roman" w:cs="Arial"/>
          <w:color w:val="000000"/>
          <w:lang w:val="en-US"/>
        </w:rPr>
        <w:t>(GS-US-1</w:t>
      </w:r>
      <w:r w:rsidRPr="00D812F5">
        <w:rPr>
          <w:rFonts w:eastAsia="Times New Roman" w:cs="Arial"/>
          <w:color w:val="000000"/>
          <w:lang w:eastAsia="bg-BG"/>
        </w:rPr>
        <w:t xml:space="preserve">74-0103, </w:t>
      </w:r>
      <w:r w:rsidRPr="00D812F5">
        <w:rPr>
          <w:rFonts w:eastAsia="Times New Roman" w:cs="Arial"/>
          <w:color w:val="000000"/>
          <w:lang w:val="en-US"/>
        </w:rPr>
        <w:t>n</w:t>
      </w:r>
      <w:r w:rsidRPr="00D812F5">
        <w:rPr>
          <w:rFonts w:eastAsia="Times New Roman" w:cs="Arial"/>
          <w:color w:val="000000"/>
          <w:lang w:eastAsia="bg-BG"/>
        </w:rPr>
        <w:t xml:space="preserve"> = 176) пациенти, които първоначално са били рандомизирани в групата за двойносляпо лечение с тенофовир дизопроксил, а след това са преминали на отворено лечецие с тенофовир дизопроксил. Генотипното оценяване, направено на всички пациенти с </w:t>
      </w:r>
      <w:r w:rsidRPr="00D812F5">
        <w:rPr>
          <w:rFonts w:eastAsia="Times New Roman" w:cs="Arial"/>
          <w:color w:val="000000"/>
          <w:lang w:val="en-US"/>
        </w:rPr>
        <w:t xml:space="preserve">HBV </w:t>
      </w:r>
      <w:r w:rsidRPr="00D812F5">
        <w:rPr>
          <w:rFonts w:eastAsia="Times New Roman" w:cs="Arial"/>
          <w:color w:val="000000"/>
          <w:lang w:eastAsia="bg-BG"/>
        </w:rPr>
        <w:t>ДНК &gt; 400 копия</w:t>
      </w:r>
      <w:r w:rsidRPr="00D812F5">
        <w:rPr>
          <w:rFonts w:eastAsia="Times New Roman" w:cs="Arial"/>
          <w:color w:val="000000"/>
          <w:lang w:val="en-US"/>
        </w:rPr>
        <w:t xml:space="preserve">/ml </w:t>
      </w:r>
      <w:r w:rsidRPr="00D812F5">
        <w:rPr>
          <w:rFonts w:eastAsia="Times New Roman" w:cs="Arial"/>
          <w:color w:val="000000"/>
          <w:lang w:eastAsia="bg-BG"/>
        </w:rPr>
        <w:t>през седмица 48 (</w:t>
      </w:r>
      <w:r w:rsidRPr="00D812F5">
        <w:rPr>
          <w:rFonts w:eastAsia="Times New Roman" w:cs="Arial"/>
          <w:color w:val="000000"/>
          <w:lang w:val="en-US"/>
        </w:rPr>
        <w:t>n</w:t>
      </w:r>
      <w:r w:rsidRPr="00D812F5">
        <w:rPr>
          <w:rFonts w:eastAsia="Times New Roman" w:cs="Arial"/>
          <w:color w:val="000000"/>
          <w:lang w:eastAsia="bg-BG"/>
        </w:rPr>
        <w:t xml:space="preserve"> = 39), 96 (</w:t>
      </w:r>
      <w:r w:rsidRPr="00D812F5">
        <w:rPr>
          <w:rFonts w:eastAsia="Times New Roman" w:cs="Arial"/>
          <w:color w:val="000000"/>
          <w:lang w:val="en-US"/>
        </w:rPr>
        <w:t>n</w:t>
      </w:r>
      <w:r w:rsidRPr="00D812F5">
        <w:rPr>
          <w:rFonts w:eastAsia="Times New Roman" w:cs="Arial"/>
          <w:color w:val="000000"/>
          <w:lang w:eastAsia="bg-BG"/>
        </w:rPr>
        <w:t xml:space="preserve"> = 24), 144 (</w:t>
      </w:r>
      <w:r w:rsidRPr="00D812F5">
        <w:rPr>
          <w:rFonts w:eastAsia="Times New Roman" w:cs="Arial"/>
          <w:color w:val="000000"/>
          <w:lang w:val="en-US"/>
        </w:rPr>
        <w:t>n</w:t>
      </w:r>
      <w:r w:rsidRPr="00D812F5">
        <w:rPr>
          <w:rFonts w:eastAsia="Times New Roman" w:cs="Arial"/>
          <w:color w:val="000000"/>
          <w:lang w:eastAsia="bg-BG"/>
        </w:rPr>
        <w:t xml:space="preserve"> = 6), 192 (</w:t>
      </w:r>
      <w:r w:rsidRPr="00D812F5">
        <w:rPr>
          <w:rFonts w:eastAsia="Times New Roman" w:cs="Arial"/>
          <w:color w:val="000000"/>
          <w:lang w:val="en-US"/>
        </w:rPr>
        <w:t>n</w:t>
      </w:r>
      <w:r w:rsidRPr="00D812F5">
        <w:rPr>
          <w:rFonts w:eastAsia="Times New Roman" w:cs="Arial"/>
          <w:color w:val="000000"/>
          <w:lang w:eastAsia="bg-BG"/>
        </w:rPr>
        <w:t xml:space="preserve"> = 5), 240 (</w:t>
      </w:r>
      <w:r w:rsidRPr="00D812F5">
        <w:rPr>
          <w:rFonts w:eastAsia="Times New Roman" w:cs="Arial"/>
          <w:color w:val="000000"/>
          <w:lang w:val="en-US"/>
        </w:rPr>
        <w:t>n</w:t>
      </w:r>
      <w:r w:rsidRPr="00D812F5">
        <w:rPr>
          <w:rFonts w:eastAsia="Times New Roman" w:cs="Arial"/>
          <w:color w:val="000000"/>
          <w:lang w:eastAsia="bg-BG"/>
        </w:rPr>
        <w:t xml:space="preserve"> = 4), 288 (</w:t>
      </w:r>
      <w:r w:rsidRPr="00D812F5">
        <w:rPr>
          <w:rFonts w:eastAsia="Times New Roman" w:cs="Arial"/>
          <w:color w:val="000000"/>
          <w:lang w:val="en-US"/>
        </w:rPr>
        <w:t>n</w:t>
      </w:r>
      <w:r w:rsidRPr="00D812F5">
        <w:rPr>
          <w:rFonts w:eastAsia="Times New Roman" w:cs="Arial"/>
          <w:color w:val="000000"/>
          <w:lang w:eastAsia="bg-BG"/>
        </w:rPr>
        <w:t xml:space="preserve"> = 6) и 384 (</w:t>
      </w:r>
      <w:r w:rsidRPr="00D812F5">
        <w:rPr>
          <w:rFonts w:eastAsia="Times New Roman" w:cs="Arial"/>
          <w:color w:val="000000"/>
          <w:lang w:val="en-US"/>
        </w:rPr>
        <w:t>n</w:t>
      </w:r>
      <w:r w:rsidRPr="00D812F5">
        <w:rPr>
          <w:rFonts w:eastAsia="Times New Roman" w:cs="Arial"/>
          <w:color w:val="000000"/>
          <w:lang w:eastAsia="bg-BG"/>
        </w:rPr>
        <w:t xml:space="preserve"> = 2) от монотерапията с тенофовир дизопроксил, показва, че не са се развили мутации, свързани с резистентност към тенофовир дизопроксил.</w:t>
      </w:r>
    </w:p>
    <w:p w14:paraId="033A4B7A" w14:textId="77777777" w:rsidR="00D812F5" w:rsidRDefault="00D812F5" w:rsidP="00D812F5">
      <w:pPr>
        <w:spacing w:line="240" w:lineRule="auto"/>
        <w:rPr>
          <w:rFonts w:eastAsia="Times New Roman" w:cs="Arial"/>
          <w:color w:val="000000"/>
          <w:lang w:eastAsia="bg-BG"/>
        </w:rPr>
      </w:pPr>
    </w:p>
    <w:p w14:paraId="1C2CF69B" w14:textId="5AA83D08"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Генотипни промени в </w:t>
      </w:r>
      <w:r w:rsidRPr="00D812F5">
        <w:rPr>
          <w:rFonts w:eastAsia="Times New Roman" w:cs="Arial"/>
          <w:color w:val="000000"/>
          <w:lang w:val="en-US"/>
        </w:rPr>
        <w:t xml:space="preserve">HBV </w:t>
      </w:r>
      <w:r w:rsidRPr="00D812F5">
        <w:rPr>
          <w:rFonts w:eastAsia="Times New Roman" w:cs="Arial"/>
          <w:color w:val="000000"/>
          <w:lang w:eastAsia="bg-BG"/>
        </w:rPr>
        <w:t xml:space="preserve">полимеразата в сравнение с изходните нива са оценени при 215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негативни </w:t>
      </w:r>
      <w:r w:rsidRPr="00D812F5">
        <w:rPr>
          <w:rFonts w:eastAsia="Times New Roman" w:cs="Arial"/>
          <w:color w:val="000000"/>
          <w:lang w:val="en-US"/>
        </w:rPr>
        <w:t>(GS-US-1</w:t>
      </w:r>
      <w:r w:rsidRPr="00D812F5">
        <w:rPr>
          <w:rFonts w:eastAsia="Times New Roman" w:cs="Arial"/>
          <w:color w:val="000000"/>
          <w:lang w:eastAsia="bg-BG"/>
        </w:rPr>
        <w:t xml:space="preserve">74-0102, </w:t>
      </w:r>
      <w:r w:rsidRPr="00D812F5">
        <w:rPr>
          <w:rFonts w:eastAsia="Times New Roman" w:cs="Arial"/>
          <w:color w:val="000000"/>
          <w:lang w:val="en-US"/>
        </w:rPr>
        <w:t>n</w:t>
      </w:r>
      <w:r w:rsidRPr="00D812F5">
        <w:rPr>
          <w:rFonts w:eastAsia="Times New Roman" w:cs="Arial"/>
          <w:color w:val="000000"/>
          <w:lang w:eastAsia="bg-BG"/>
        </w:rPr>
        <w:t xml:space="preserve"> = 125) и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позитивни </w:t>
      </w:r>
      <w:r w:rsidRPr="00D812F5">
        <w:rPr>
          <w:rFonts w:eastAsia="Times New Roman" w:cs="Arial"/>
          <w:color w:val="000000"/>
          <w:lang w:val="en-US"/>
        </w:rPr>
        <w:t>(GS-US-1</w:t>
      </w:r>
      <w:r w:rsidRPr="00D812F5">
        <w:rPr>
          <w:rFonts w:eastAsia="Times New Roman" w:cs="Arial"/>
          <w:color w:val="000000"/>
          <w:lang w:eastAsia="bg-BG"/>
        </w:rPr>
        <w:t xml:space="preserve">74-0103, и = 90) пациенти, които първоначално са били рандомизирани в групата за Двойносляпо лечение с адефовир дипивоксил, а след това са преминали на отворено лечение с тенофовир дизопроксил. Генотипното оценяване, направено на всички пациенти с </w:t>
      </w:r>
      <w:r w:rsidRPr="00D812F5">
        <w:rPr>
          <w:rFonts w:eastAsia="Times New Roman" w:cs="Arial"/>
          <w:color w:val="000000"/>
          <w:lang w:val="en-US"/>
        </w:rPr>
        <w:t xml:space="preserve">HBV </w:t>
      </w:r>
      <w:r w:rsidRPr="00D812F5">
        <w:rPr>
          <w:rFonts w:eastAsia="Times New Roman" w:cs="Arial"/>
          <w:color w:val="000000"/>
          <w:lang w:eastAsia="bg-BG"/>
        </w:rPr>
        <w:t>ДНК &gt; 400 копия</w:t>
      </w:r>
      <w:r w:rsidRPr="00D812F5">
        <w:rPr>
          <w:rFonts w:eastAsia="Times New Roman" w:cs="Arial"/>
          <w:color w:val="000000"/>
          <w:lang w:val="en-US"/>
        </w:rPr>
        <w:t xml:space="preserve">/ml </w:t>
      </w:r>
      <w:r w:rsidRPr="00D812F5">
        <w:rPr>
          <w:rFonts w:eastAsia="Times New Roman" w:cs="Arial"/>
          <w:color w:val="000000"/>
          <w:lang w:eastAsia="bg-BG"/>
        </w:rPr>
        <w:t>през седмица 48 (</w:t>
      </w:r>
      <w:r w:rsidRPr="00D812F5">
        <w:rPr>
          <w:rFonts w:eastAsia="Times New Roman" w:cs="Arial"/>
          <w:color w:val="000000"/>
          <w:lang w:val="en-US"/>
        </w:rPr>
        <w:t>n</w:t>
      </w:r>
      <w:r w:rsidRPr="00D812F5">
        <w:rPr>
          <w:rFonts w:eastAsia="Times New Roman" w:cs="Arial"/>
          <w:color w:val="000000"/>
          <w:lang w:eastAsia="bg-BG"/>
        </w:rPr>
        <w:t xml:space="preserve"> = 16), 96 (</w:t>
      </w:r>
      <w:r w:rsidRPr="00D812F5">
        <w:rPr>
          <w:rFonts w:eastAsia="Times New Roman" w:cs="Arial"/>
          <w:color w:val="000000"/>
          <w:lang w:val="en-US"/>
        </w:rPr>
        <w:t>n</w:t>
      </w:r>
      <w:r w:rsidRPr="00D812F5">
        <w:rPr>
          <w:rFonts w:eastAsia="Times New Roman" w:cs="Arial"/>
          <w:color w:val="000000"/>
          <w:lang w:eastAsia="bg-BG"/>
        </w:rPr>
        <w:t xml:space="preserve"> = 5), 144 </w:t>
      </w:r>
      <w:r w:rsidRPr="00D812F5">
        <w:rPr>
          <w:rFonts w:eastAsia="Times New Roman" w:cs="Arial"/>
          <w:color w:val="000000"/>
          <w:lang w:val="en-US"/>
        </w:rPr>
        <w:t xml:space="preserve">(n </w:t>
      </w:r>
      <w:r w:rsidRPr="00D812F5">
        <w:rPr>
          <w:rFonts w:eastAsia="Times New Roman" w:cs="Arial"/>
          <w:color w:val="000000"/>
          <w:lang w:eastAsia="bg-BG"/>
        </w:rPr>
        <w:t>= 1), 192 (</w:t>
      </w:r>
      <w:r w:rsidRPr="00D812F5">
        <w:rPr>
          <w:rFonts w:eastAsia="Times New Roman" w:cs="Arial"/>
          <w:color w:val="000000"/>
          <w:lang w:val="en-US"/>
        </w:rPr>
        <w:t>n</w:t>
      </w:r>
      <w:r w:rsidRPr="00D812F5">
        <w:rPr>
          <w:rFonts w:eastAsia="Times New Roman" w:cs="Arial"/>
          <w:color w:val="000000"/>
          <w:lang w:eastAsia="bg-BG"/>
        </w:rPr>
        <w:t>= 2), 240 (</w:t>
      </w:r>
      <w:r w:rsidRPr="00D812F5">
        <w:rPr>
          <w:rFonts w:eastAsia="Times New Roman" w:cs="Arial"/>
          <w:color w:val="000000"/>
          <w:lang w:val="en-US"/>
        </w:rPr>
        <w:t>n</w:t>
      </w:r>
      <w:r w:rsidRPr="00D812F5">
        <w:rPr>
          <w:rFonts w:eastAsia="Times New Roman" w:cs="Arial"/>
          <w:color w:val="000000"/>
          <w:lang w:eastAsia="bg-BG"/>
        </w:rPr>
        <w:t xml:space="preserve"> = 1), 288 (</w:t>
      </w:r>
      <w:r w:rsidRPr="00D812F5">
        <w:rPr>
          <w:rFonts w:eastAsia="Times New Roman" w:cs="Arial"/>
          <w:color w:val="000000"/>
          <w:lang w:val="en-US"/>
        </w:rPr>
        <w:t>n</w:t>
      </w:r>
      <w:r w:rsidRPr="00D812F5">
        <w:rPr>
          <w:rFonts w:eastAsia="Times New Roman" w:cs="Arial"/>
          <w:color w:val="000000"/>
          <w:lang w:eastAsia="bg-BG"/>
        </w:rPr>
        <w:t xml:space="preserve"> = 1) и 384 (</w:t>
      </w:r>
      <w:r w:rsidRPr="00D812F5">
        <w:rPr>
          <w:rFonts w:eastAsia="Times New Roman" w:cs="Arial"/>
          <w:color w:val="000000"/>
          <w:lang w:val="en-US"/>
        </w:rPr>
        <w:t>n</w:t>
      </w:r>
      <w:r w:rsidRPr="00D812F5">
        <w:rPr>
          <w:rFonts w:eastAsia="Times New Roman" w:cs="Arial"/>
          <w:color w:val="000000"/>
          <w:lang w:eastAsia="bg-BG"/>
        </w:rPr>
        <w:t xml:space="preserve"> = 2) от монотерапията с тенофовир дизопроксил, показва, че не са се развили мутации, свързани с резистентност към тенофовир дизопроксил.</w:t>
      </w:r>
    </w:p>
    <w:p w14:paraId="187BB723" w14:textId="77777777" w:rsidR="00D812F5" w:rsidRDefault="00D812F5" w:rsidP="00D812F5">
      <w:pPr>
        <w:rPr>
          <w:rFonts w:eastAsia="Times New Roman" w:cs="Arial"/>
          <w:color w:val="000000"/>
          <w:lang w:eastAsia="bg-BG"/>
        </w:rPr>
      </w:pPr>
    </w:p>
    <w:p w14:paraId="2D6E8228" w14:textId="77777777" w:rsidR="00D812F5" w:rsidRPr="00D812F5" w:rsidRDefault="00D812F5" w:rsidP="00D812F5">
      <w:pPr>
        <w:rPr>
          <w:rFonts w:eastAsia="Times New Roman" w:cs="Arial"/>
          <w:lang w:eastAsia="bg-BG"/>
        </w:rPr>
      </w:pPr>
      <w:r w:rsidRPr="00D812F5">
        <w:rPr>
          <w:rFonts w:eastAsia="Times New Roman" w:cs="Arial"/>
          <w:color w:val="000000"/>
          <w:lang w:eastAsia="bg-BG"/>
        </w:rPr>
        <w:t xml:space="preserve">При проучването </w:t>
      </w:r>
      <w:r w:rsidRPr="00D812F5">
        <w:rPr>
          <w:rFonts w:eastAsia="Times New Roman" w:cs="Arial"/>
          <w:color w:val="000000"/>
          <w:lang w:val="en-US"/>
        </w:rPr>
        <w:t xml:space="preserve">GS-US-174-0108 </w:t>
      </w:r>
      <w:r w:rsidRPr="00D812F5">
        <w:rPr>
          <w:rFonts w:eastAsia="Times New Roman" w:cs="Arial"/>
          <w:color w:val="000000"/>
          <w:lang w:eastAsia="bg-BG"/>
        </w:rPr>
        <w:t>45 пациенти (включително 9 пациенти с мутации на</w:t>
      </w:r>
      <w:r>
        <w:rPr>
          <w:rFonts w:eastAsia="Times New Roman" w:cs="Arial"/>
          <w:color w:val="000000"/>
          <w:lang w:val="en-US" w:eastAsia="bg-BG"/>
        </w:rPr>
        <w:t xml:space="preserve"> </w:t>
      </w:r>
      <w:r w:rsidRPr="00D812F5">
        <w:rPr>
          <w:rFonts w:eastAsia="Times New Roman" w:cs="Arial"/>
          <w:color w:val="000000"/>
          <w:lang w:eastAsia="bg-BG"/>
        </w:rPr>
        <w:t xml:space="preserve">резистентност към ламивудин и/или адефовир дипивоксил на изходно ниво) са получавали тенофовир дизопроксил в продължение на най-много 168 седмици. Налични са сдвоени генотипни данни за </w:t>
      </w:r>
      <w:r w:rsidRPr="00D812F5">
        <w:rPr>
          <w:rFonts w:eastAsia="Times New Roman" w:cs="Arial"/>
          <w:color w:val="000000"/>
          <w:lang w:val="en-US"/>
        </w:rPr>
        <w:t xml:space="preserve">HBV </w:t>
      </w:r>
      <w:r w:rsidRPr="00D812F5">
        <w:rPr>
          <w:rFonts w:eastAsia="Times New Roman" w:cs="Arial"/>
          <w:color w:val="000000"/>
          <w:lang w:eastAsia="bg-BG"/>
        </w:rPr>
        <w:t xml:space="preserve">изолати от изходния момент и по време на лечението за 6/8 пациенти с </w:t>
      </w:r>
      <w:r w:rsidRPr="00D812F5">
        <w:rPr>
          <w:rFonts w:eastAsia="Times New Roman" w:cs="Arial"/>
          <w:color w:val="000000"/>
          <w:lang w:val="en-US"/>
        </w:rPr>
        <w:t xml:space="preserve">HBV </w:t>
      </w:r>
      <w:r w:rsidRPr="00D812F5">
        <w:rPr>
          <w:rFonts w:eastAsia="Times New Roman" w:cs="Arial"/>
          <w:color w:val="000000"/>
          <w:lang w:eastAsia="bg-BG"/>
        </w:rPr>
        <w:t>ДНК &gt; 400 копия</w:t>
      </w:r>
      <w:r w:rsidRPr="00D812F5">
        <w:rPr>
          <w:rFonts w:eastAsia="Times New Roman" w:cs="Arial"/>
          <w:color w:val="000000"/>
          <w:lang w:val="en-US"/>
        </w:rPr>
        <w:t xml:space="preserve">/ml </w:t>
      </w:r>
      <w:r w:rsidRPr="00D812F5">
        <w:rPr>
          <w:rFonts w:eastAsia="Times New Roman" w:cs="Arial"/>
          <w:color w:val="000000"/>
          <w:lang w:eastAsia="bg-BG"/>
        </w:rPr>
        <w:t>на седмица 48. В тези изолати не са установени замествания на аминокиселини, свързани с резистентност към тенофовир дизопроксил. За 5 участници в рамото на лечение с тенофовир дизопроксил след седмица 48 е направен генотипен анализ. При никой от участниците не са установени замествания на аминокиселини, свързани с резистентност към тенофовир дизопроксил.</w:t>
      </w:r>
    </w:p>
    <w:p w14:paraId="5F49D336" w14:textId="77777777" w:rsidR="00D812F5" w:rsidRDefault="00D812F5" w:rsidP="00D812F5">
      <w:pPr>
        <w:spacing w:line="240" w:lineRule="auto"/>
        <w:rPr>
          <w:rFonts w:eastAsia="Times New Roman" w:cs="Arial"/>
          <w:color w:val="000000"/>
          <w:lang w:eastAsia="bg-BG"/>
        </w:rPr>
      </w:pPr>
    </w:p>
    <w:p w14:paraId="038411C6" w14:textId="0E1BE5C1"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При проучване </w:t>
      </w:r>
      <w:r w:rsidRPr="00D812F5">
        <w:rPr>
          <w:rFonts w:eastAsia="Times New Roman" w:cs="Arial"/>
          <w:color w:val="000000"/>
          <w:lang w:val="en-US"/>
        </w:rPr>
        <w:t>GS-US-1</w:t>
      </w:r>
      <w:r w:rsidRPr="00D812F5">
        <w:rPr>
          <w:rFonts w:eastAsia="Times New Roman" w:cs="Arial"/>
          <w:color w:val="000000"/>
          <w:lang w:eastAsia="bg-BG"/>
        </w:rPr>
        <w:t>74-0121 141 пациенти със замествания, свързани с резистентност към ламивудин на изходно ниво, са получавали тенофовир дизопроксил за период до 240 седмици. Кумулативно, има 4 пациенти, които са развили виремичен епизод (НВV ДНК &gt; 400 копия</w:t>
      </w:r>
      <w:r w:rsidRPr="00D812F5">
        <w:rPr>
          <w:rFonts w:eastAsia="Times New Roman" w:cs="Arial"/>
          <w:color w:val="000000"/>
          <w:lang w:val="en-US"/>
        </w:rPr>
        <w:t xml:space="preserve">/ml) </w:t>
      </w:r>
      <w:r w:rsidRPr="00D812F5">
        <w:rPr>
          <w:rFonts w:eastAsia="Times New Roman" w:cs="Arial"/>
          <w:color w:val="000000"/>
          <w:lang w:eastAsia="bg-BG"/>
        </w:rPr>
        <w:t xml:space="preserve">в тяхната последна времева точка на проследяване на лечението с тенофовир дизопроксил. Сред тях са налични секвентни данни за сдвоени </w:t>
      </w:r>
      <w:r w:rsidRPr="00D812F5">
        <w:rPr>
          <w:rFonts w:eastAsia="Times New Roman" w:cs="Arial"/>
          <w:color w:val="000000"/>
          <w:lang w:val="en-US"/>
        </w:rPr>
        <w:t xml:space="preserve">HBV </w:t>
      </w:r>
      <w:r w:rsidRPr="00D812F5">
        <w:rPr>
          <w:rFonts w:eastAsia="Times New Roman" w:cs="Arial"/>
          <w:color w:val="000000"/>
          <w:lang w:eastAsia="bg-BG"/>
        </w:rPr>
        <w:t>изолати на изходно ниво и по време на лечението за 2-ма от 4 пациенти. В тези изолати не са установени замествания на аминокиселини, свързани с резистентност към тенофовир дизопроксил.</w:t>
      </w:r>
    </w:p>
    <w:p w14:paraId="4D12489B" w14:textId="77777777" w:rsidR="00D812F5" w:rsidRDefault="00D812F5" w:rsidP="00D812F5">
      <w:pPr>
        <w:spacing w:line="240" w:lineRule="auto"/>
        <w:rPr>
          <w:rFonts w:eastAsia="Times New Roman" w:cs="Arial"/>
          <w:color w:val="000000"/>
          <w:lang w:eastAsia="bg-BG"/>
        </w:rPr>
      </w:pPr>
    </w:p>
    <w:p w14:paraId="7CAA9937" w14:textId="2E389E01"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При едно педиатрично проучване </w:t>
      </w:r>
      <w:r w:rsidRPr="00D812F5">
        <w:rPr>
          <w:rFonts w:eastAsia="Times New Roman" w:cs="Arial"/>
          <w:color w:val="000000"/>
          <w:lang w:val="en-US"/>
        </w:rPr>
        <w:t>(GS-US-1</w:t>
      </w:r>
      <w:r w:rsidRPr="00D812F5">
        <w:rPr>
          <w:rFonts w:eastAsia="Times New Roman" w:cs="Arial"/>
          <w:color w:val="000000"/>
          <w:lang w:eastAsia="bg-BG"/>
        </w:rPr>
        <w:t xml:space="preserve">74-0115) 52 пациенти (включително 6 пациенти с мутации на резистентност към ламивудин на изходно ниво) са получавали тенофовир дизопроксил в продължение на най-много 72 седмици. Проведено е генотипно оценяване при всички пациенти с </w:t>
      </w:r>
      <w:r w:rsidRPr="00D812F5">
        <w:rPr>
          <w:rFonts w:eastAsia="Times New Roman" w:cs="Arial"/>
          <w:color w:val="000000"/>
          <w:lang w:val="en-US"/>
        </w:rPr>
        <w:t xml:space="preserve">HBV </w:t>
      </w:r>
      <w:r w:rsidRPr="00D812F5">
        <w:rPr>
          <w:rFonts w:eastAsia="Times New Roman" w:cs="Arial"/>
          <w:color w:val="000000"/>
          <w:lang w:eastAsia="bg-BG"/>
        </w:rPr>
        <w:t>ДНК &gt; 400 копия</w:t>
      </w:r>
      <w:r w:rsidRPr="00D812F5">
        <w:rPr>
          <w:rFonts w:eastAsia="Times New Roman" w:cs="Arial"/>
          <w:color w:val="000000"/>
          <w:lang w:val="en-US"/>
        </w:rPr>
        <w:t xml:space="preserve">/ml </w:t>
      </w:r>
      <w:r w:rsidRPr="00D812F5">
        <w:rPr>
          <w:rFonts w:eastAsia="Times New Roman" w:cs="Arial"/>
          <w:color w:val="000000"/>
          <w:lang w:eastAsia="bg-BG"/>
        </w:rPr>
        <w:t>през седмица 48 (</w:t>
      </w:r>
      <w:r w:rsidRPr="00D812F5">
        <w:rPr>
          <w:rFonts w:eastAsia="Times New Roman" w:cs="Arial"/>
          <w:color w:val="000000"/>
          <w:lang w:val="en-US"/>
        </w:rPr>
        <w:t>n</w:t>
      </w:r>
      <w:r w:rsidRPr="00D812F5">
        <w:rPr>
          <w:rFonts w:eastAsia="Times New Roman" w:cs="Arial"/>
          <w:color w:val="000000"/>
          <w:lang w:eastAsia="bg-BG"/>
        </w:rPr>
        <w:t xml:space="preserve"> = 6) и седмица 72 (</w:t>
      </w:r>
      <w:r w:rsidRPr="00D812F5">
        <w:rPr>
          <w:rFonts w:eastAsia="Times New Roman" w:cs="Arial"/>
          <w:color w:val="000000"/>
          <w:lang w:val="en-US"/>
        </w:rPr>
        <w:t>n</w:t>
      </w:r>
      <w:r w:rsidRPr="00D812F5">
        <w:rPr>
          <w:rFonts w:eastAsia="Times New Roman" w:cs="Arial"/>
          <w:color w:val="000000"/>
          <w:lang w:eastAsia="bg-BG"/>
        </w:rPr>
        <w:t xml:space="preserve"> = 5). В тези изолати не са установени замествания на аминокиселини, свързани с резистентност към тенофовир дизопроксил. </w:t>
      </w:r>
      <w:r w:rsidRPr="00D812F5">
        <w:rPr>
          <w:rFonts w:eastAsia="Times New Roman" w:cs="Arial"/>
          <w:b/>
          <w:bCs/>
          <w:color w:val="000000"/>
          <w:lang w:eastAsia="bg-BG"/>
        </w:rPr>
        <w:t>1 .</w:t>
      </w:r>
    </w:p>
    <w:p w14:paraId="0CE1CCE5" w14:textId="77777777" w:rsidR="00D812F5" w:rsidRDefault="00D812F5" w:rsidP="00D812F5">
      <w:pPr>
        <w:spacing w:line="240" w:lineRule="auto"/>
        <w:rPr>
          <w:rFonts w:eastAsia="Times New Roman" w:cs="Arial"/>
          <w:color w:val="000000"/>
          <w:u w:val="single"/>
          <w:lang w:eastAsia="bg-BG"/>
        </w:rPr>
      </w:pPr>
    </w:p>
    <w:p w14:paraId="37C4CD57" w14:textId="51783DA5" w:rsidR="00D812F5" w:rsidRPr="00D812F5" w:rsidRDefault="00D812F5" w:rsidP="00D812F5">
      <w:pPr>
        <w:spacing w:line="240" w:lineRule="auto"/>
        <w:rPr>
          <w:rFonts w:eastAsia="Times New Roman" w:cs="Arial"/>
          <w:lang w:eastAsia="bg-BG"/>
        </w:rPr>
      </w:pPr>
      <w:r w:rsidRPr="00D812F5">
        <w:rPr>
          <w:rFonts w:eastAsia="Times New Roman" w:cs="Arial"/>
          <w:color w:val="000000"/>
          <w:u w:val="single"/>
          <w:lang w:eastAsia="bg-BG"/>
        </w:rPr>
        <w:t>Педиатрична популация</w:t>
      </w:r>
    </w:p>
    <w:p w14:paraId="14064DE9" w14:textId="77777777" w:rsidR="00D812F5" w:rsidRPr="00D812F5" w:rsidRDefault="00D812F5" w:rsidP="00D812F5">
      <w:pPr>
        <w:spacing w:line="240" w:lineRule="auto"/>
        <w:rPr>
          <w:rFonts w:eastAsia="Times New Roman" w:cs="Arial"/>
          <w:lang w:eastAsia="bg-BG"/>
        </w:rPr>
      </w:pPr>
      <w:r w:rsidRPr="00D812F5">
        <w:rPr>
          <w:rFonts w:eastAsia="Times New Roman" w:cs="Arial"/>
          <w:i/>
          <w:iCs/>
          <w:color w:val="000000"/>
          <w:lang w:val="en-US"/>
        </w:rPr>
        <w:lastRenderedPageBreak/>
        <w:t>HIV-1:</w:t>
      </w:r>
      <w:r w:rsidRPr="00D812F5">
        <w:rPr>
          <w:rFonts w:eastAsia="Times New Roman" w:cs="Arial"/>
          <w:color w:val="000000"/>
          <w:lang w:val="en-US"/>
        </w:rPr>
        <w:t xml:space="preserve"> </w:t>
      </w:r>
      <w:r w:rsidRPr="00D812F5">
        <w:rPr>
          <w:rFonts w:eastAsia="Times New Roman" w:cs="Arial"/>
          <w:color w:val="000000"/>
          <w:lang w:eastAsia="bg-BG"/>
        </w:rPr>
        <w:t xml:space="preserve">При проучването </w:t>
      </w:r>
      <w:r w:rsidRPr="00D812F5">
        <w:rPr>
          <w:rFonts w:eastAsia="Times New Roman" w:cs="Arial"/>
          <w:color w:val="000000"/>
          <w:lang w:val="en-US"/>
        </w:rPr>
        <w:t>GS-US-1</w:t>
      </w:r>
      <w:r w:rsidRPr="00D812F5">
        <w:rPr>
          <w:rFonts w:eastAsia="Times New Roman" w:cs="Arial"/>
          <w:color w:val="000000"/>
          <w:lang w:eastAsia="bg-BG"/>
        </w:rPr>
        <w:t xml:space="preserve">04-0321, 87 инфектирани с </w:t>
      </w:r>
      <w:r w:rsidRPr="00D812F5">
        <w:rPr>
          <w:rFonts w:eastAsia="Times New Roman" w:cs="Arial"/>
          <w:color w:val="000000"/>
          <w:lang w:val="en-US"/>
        </w:rPr>
        <w:t xml:space="preserve">HIV-1 </w:t>
      </w:r>
      <w:r w:rsidRPr="00D812F5">
        <w:rPr>
          <w:rFonts w:eastAsia="Times New Roman" w:cs="Arial"/>
          <w:color w:val="000000"/>
          <w:lang w:eastAsia="bg-BG"/>
        </w:rPr>
        <w:t>пациенти с предварително лечение на възраст от 12 до &lt; 18 години са били лекувани с тенофовир дизопроксил (</w:t>
      </w:r>
      <w:r w:rsidRPr="00D812F5">
        <w:rPr>
          <w:rFonts w:eastAsia="Times New Roman" w:cs="Arial"/>
          <w:color w:val="000000"/>
          <w:lang w:val="en-US"/>
        </w:rPr>
        <w:t>n</w:t>
      </w:r>
      <w:r w:rsidRPr="00D812F5">
        <w:rPr>
          <w:rFonts w:eastAsia="Times New Roman" w:cs="Arial"/>
          <w:color w:val="000000"/>
          <w:lang w:eastAsia="bg-BG"/>
        </w:rPr>
        <w:t xml:space="preserve"> = 45) или плацебо (</w:t>
      </w:r>
      <w:r w:rsidRPr="00D812F5">
        <w:rPr>
          <w:rFonts w:eastAsia="Times New Roman" w:cs="Arial"/>
          <w:color w:val="000000"/>
          <w:lang w:val="en-US"/>
        </w:rPr>
        <w:t>n</w:t>
      </w:r>
      <w:r w:rsidRPr="00D812F5">
        <w:rPr>
          <w:rFonts w:eastAsia="Times New Roman" w:cs="Arial"/>
          <w:color w:val="000000"/>
          <w:lang w:eastAsia="bg-BG"/>
        </w:rPr>
        <w:t xml:space="preserve"> = 42) в комбинация с оптимизирано основно лечение (ООЛ) в продължение на 48 седмици. Поради ограничения на проучването не е демонстрирана полза на тенофовир дизопроксил спрямо плацебо на базата на плазмените нива на </w:t>
      </w:r>
      <w:r w:rsidRPr="00D812F5">
        <w:rPr>
          <w:rFonts w:eastAsia="Times New Roman" w:cs="Arial"/>
          <w:color w:val="000000"/>
          <w:lang w:val="en-US"/>
        </w:rPr>
        <w:t>HIV-</w:t>
      </w:r>
      <w:r w:rsidRPr="00D812F5">
        <w:rPr>
          <w:rFonts w:eastAsia="Times New Roman" w:cs="Arial"/>
          <w:color w:val="000000"/>
          <w:lang w:eastAsia="bg-BG"/>
        </w:rPr>
        <w:t>1РНК през седмица 24. Очаква се, обаче, полза за популацията на юношите на база екстраполация на данни при възрастни и сравнителните фармакокинетични данни (вж. точка 5.2).</w:t>
      </w:r>
    </w:p>
    <w:p w14:paraId="79CC5C65" w14:textId="77777777" w:rsidR="00D812F5" w:rsidRDefault="00D812F5" w:rsidP="00D812F5">
      <w:pPr>
        <w:spacing w:line="240" w:lineRule="auto"/>
        <w:rPr>
          <w:rFonts w:eastAsia="Times New Roman" w:cs="Arial"/>
          <w:color w:val="000000"/>
          <w:lang w:eastAsia="bg-BG"/>
        </w:rPr>
      </w:pPr>
    </w:p>
    <w:p w14:paraId="50E7AC2D" w14:textId="4D7E1A86"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При пациенти, които са получавали лечение с тенофовир дизопроксил или плацебо, средният КМП </w:t>
      </w:r>
      <w:r w:rsidRPr="00D812F5">
        <w:rPr>
          <w:rFonts w:eastAsia="Times New Roman" w:cs="Arial"/>
          <w:color w:val="000000"/>
          <w:lang w:val="en-US"/>
        </w:rPr>
        <w:t>Z</w:t>
      </w:r>
      <w:r w:rsidRPr="00D812F5">
        <w:rPr>
          <w:rFonts w:eastAsia="Times New Roman" w:cs="Arial"/>
          <w:color w:val="000000"/>
          <w:lang w:eastAsia="bg-BG"/>
        </w:rPr>
        <w:t xml:space="preserve">-скор за лумбалната част на гръбначния стълб е бил съответно -1,004 и -0,809 и средният общ телесен КМП </w:t>
      </w:r>
      <w:r w:rsidRPr="00D812F5">
        <w:rPr>
          <w:rFonts w:eastAsia="Times New Roman" w:cs="Arial"/>
          <w:color w:val="000000"/>
          <w:lang w:val="en-US"/>
        </w:rPr>
        <w:t>Z</w:t>
      </w:r>
      <w:r w:rsidRPr="00D812F5">
        <w:rPr>
          <w:rFonts w:eastAsia="Times New Roman" w:cs="Arial"/>
          <w:color w:val="000000"/>
          <w:lang w:eastAsia="bg-BG"/>
        </w:rPr>
        <w:t xml:space="preserve">-скор е бил съответно -0,866 и -0,584 на изходно ниво. Средните промени през седмица 48 (краят на двойносляпо контролираната фаза) са били -0,215 и -0,165 за КМП </w:t>
      </w:r>
      <w:r w:rsidRPr="00D812F5">
        <w:rPr>
          <w:rFonts w:eastAsia="Times New Roman" w:cs="Arial"/>
          <w:color w:val="000000"/>
          <w:lang w:val="en-US"/>
        </w:rPr>
        <w:t xml:space="preserve">Z- </w:t>
      </w:r>
      <w:r w:rsidRPr="00D812F5">
        <w:rPr>
          <w:rFonts w:eastAsia="Times New Roman" w:cs="Arial"/>
          <w:color w:val="000000"/>
          <w:lang w:eastAsia="bg-BG"/>
        </w:rPr>
        <w:t xml:space="preserve">скора за лумбалната част на гръбначния стълб и -0,254 и -0,179 за общия телесен КМП </w:t>
      </w:r>
      <w:r w:rsidRPr="00D812F5">
        <w:rPr>
          <w:rFonts w:eastAsia="Times New Roman" w:cs="Arial"/>
          <w:color w:val="000000"/>
          <w:lang w:val="en-US"/>
        </w:rPr>
        <w:t>Z</w:t>
      </w:r>
      <w:r w:rsidRPr="00D812F5">
        <w:rPr>
          <w:rFonts w:eastAsia="Times New Roman" w:cs="Arial"/>
          <w:color w:val="000000"/>
          <w:lang w:eastAsia="bg-BG"/>
        </w:rPr>
        <w:t xml:space="preserve">-скор съответно за групите на тенофовир дизопроксил и плацебо. Средната скорост на нарастване на КМП е била по-ниска в групата на лечение с тенофовир дизопроксил в сравнение с групата на плацебо. През седмица 48 шестима юноши от групата на лечение с тенофовир дизопроксил и един от групата на плацебо са имали значима загуба на КМП за лумбалната част на гръбначния стълб (дефинирана като загуба &gt; 4 %). Сред 28 пациенти, получаващи 96-седмично лечение с тенофовир дизопроксил, КМП </w:t>
      </w:r>
      <w:r w:rsidRPr="00D812F5">
        <w:rPr>
          <w:rFonts w:eastAsia="Times New Roman" w:cs="Arial"/>
          <w:color w:val="000000"/>
          <w:lang w:val="en-US"/>
        </w:rPr>
        <w:t>Z</w:t>
      </w:r>
      <w:r w:rsidRPr="00D812F5">
        <w:rPr>
          <w:rFonts w:eastAsia="Times New Roman" w:cs="Arial"/>
          <w:color w:val="000000"/>
          <w:lang w:eastAsia="bg-BG"/>
        </w:rPr>
        <w:t>-скоровете са се намалили с -0,341 за лумбалната част на гръбначния стълб и с -0,458 за цялото тяло.</w:t>
      </w:r>
    </w:p>
    <w:p w14:paraId="45A8C663" w14:textId="77777777" w:rsidR="00D812F5" w:rsidRDefault="00D812F5" w:rsidP="00D812F5">
      <w:pPr>
        <w:rPr>
          <w:rFonts w:eastAsia="Times New Roman" w:cs="Arial"/>
          <w:color w:val="000000"/>
          <w:lang w:eastAsia="bg-BG"/>
        </w:rPr>
      </w:pPr>
    </w:p>
    <w:p w14:paraId="0FDCAB66" w14:textId="77777777" w:rsidR="00D812F5" w:rsidRPr="00D812F5" w:rsidRDefault="00D812F5" w:rsidP="00D812F5">
      <w:pPr>
        <w:rPr>
          <w:rFonts w:eastAsia="Times New Roman" w:cs="Arial"/>
          <w:lang w:eastAsia="bg-BG"/>
        </w:rPr>
      </w:pPr>
      <w:r w:rsidRPr="00D812F5">
        <w:rPr>
          <w:rFonts w:eastAsia="Times New Roman" w:cs="Arial"/>
          <w:color w:val="000000"/>
          <w:lang w:eastAsia="bg-BG"/>
        </w:rPr>
        <w:t xml:space="preserve">При проучването </w:t>
      </w:r>
      <w:r w:rsidRPr="00D812F5">
        <w:rPr>
          <w:rFonts w:eastAsia="Times New Roman" w:cs="Arial"/>
          <w:color w:val="000000"/>
          <w:lang w:val="en-US"/>
        </w:rPr>
        <w:t>GS-US-1</w:t>
      </w:r>
      <w:r w:rsidRPr="00D812F5">
        <w:rPr>
          <w:rFonts w:eastAsia="Times New Roman" w:cs="Arial"/>
          <w:color w:val="000000"/>
          <w:lang w:eastAsia="bg-BG"/>
        </w:rPr>
        <w:t>04-0352 97 пациенти с предварително лечение на възраст от 2 до &lt; 12 години със стабилна вирусна супресия, постигната с лечебни схеми, съдържащи ставудин или зидовудин, са били рандомизирани на заместване или на ставудин, или на зидовудин с тенофовир дизопроксил (</w:t>
      </w:r>
      <w:r w:rsidRPr="00D812F5">
        <w:rPr>
          <w:rFonts w:eastAsia="Times New Roman" w:cs="Arial"/>
          <w:color w:val="000000"/>
          <w:lang w:val="en-US"/>
        </w:rPr>
        <w:t>n</w:t>
      </w:r>
      <w:r w:rsidRPr="00D812F5">
        <w:rPr>
          <w:rFonts w:eastAsia="Times New Roman" w:cs="Arial"/>
          <w:color w:val="000000"/>
          <w:lang w:eastAsia="bg-BG"/>
        </w:rPr>
        <w:t xml:space="preserve"> = 48), или да продължат първоначалното си лечение (</w:t>
      </w:r>
      <w:r w:rsidRPr="00D812F5">
        <w:rPr>
          <w:rFonts w:eastAsia="Times New Roman" w:cs="Arial"/>
          <w:color w:val="000000"/>
          <w:lang w:val="en-US"/>
        </w:rPr>
        <w:t>n=</w:t>
      </w:r>
      <w:r w:rsidRPr="00D812F5">
        <w:rPr>
          <w:rFonts w:eastAsia="Times New Roman" w:cs="Arial"/>
          <w:color w:val="000000"/>
          <w:lang w:eastAsia="bg-BG"/>
        </w:rPr>
        <w:t xml:space="preserve">49) в продължение на 48 седмици. През седмица 48 83 % от пациентите в групата на лечение ,с тенофовир дизопроксил и 92 % от пациентите в групата на лечение със ставудин или зидовудин са имали концентрации на </w:t>
      </w:r>
      <w:r w:rsidRPr="00D812F5">
        <w:rPr>
          <w:rFonts w:eastAsia="Times New Roman" w:cs="Arial"/>
          <w:color w:val="000000"/>
          <w:lang w:val="en-US"/>
        </w:rPr>
        <w:t xml:space="preserve">HIV-1 </w:t>
      </w:r>
      <w:r w:rsidRPr="00D812F5">
        <w:rPr>
          <w:rFonts w:eastAsia="Times New Roman" w:cs="Arial"/>
          <w:color w:val="000000"/>
          <w:lang w:eastAsia="bg-BG"/>
        </w:rPr>
        <w:t>РНК &lt; 400 копия</w:t>
      </w:r>
      <w:r w:rsidRPr="00D812F5">
        <w:rPr>
          <w:rFonts w:eastAsia="Times New Roman" w:cs="Arial"/>
          <w:color w:val="000000"/>
          <w:lang w:val="en-US"/>
        </w:rPr>
        <w:t xml:space="preserve">/ml. </w:t>
      </w:r>
      <w:r w:rsidRPr="00D812F5">
        <w:rPr>
          <w:rFonts w:eastAsia="Times New Roman" w:cs="Arial"/>
          <w:color w:val="000000"/>
          <w:lang w:eastAsia="bg-BG"/>
        </w:rPr>
        <w:t>Разликата в дела на пациентите, при които се е запазило ниво от &lt;400 копия</w:t>
      </w:r>
      <w:r w:rsidRPr="00D812F5">
        <w:rPr>
          <w:rFonts w:eastAsia="Times New Roman" w:cs="Arial"/>
          <w:color w:val="000000"/>
          <w:lang w:val="en-US"/>
        </w:rPr>
        <w:t xml:space="preserve">/ml </w:t>
      </w:r>
      <w:r w:rsidRPr="00D812F5">
        <w:rPr>
          <w:rFonts w:eastAsia="Times New Roman" w:cs="Arial"/>
          <w:color w:val="000000"/>
          <w:lang w:eastAsia="bg-BG"/>
        </w:rPr>
        <w:t xml:space="preserve">през седмица 48, е повлияна основно от по-големия брой на прекратилите участитето си в проучването в групата на лечение с тенофовир дизопроксил. При изключване на липсващите данни 91 % от пациентите в групата на лечение с тенофовир дизопроксил и 94 % от пациентите в групата на лечение със ставудин или зидовудин са имали концентрации на </w:t>
      </w:r>
      <w:r w:rsidRPr="00D812F5">
        <w:rPr>
          <w:rFonts w:eastAsia="Times New Roman" w:cs="Arial"/>
          <w:color w:val="000000"/>
          <w:lang w:val="en-US"/>
        </w:rPr>
        <w:t>HTV-1 PHK&lt;400</w:t>
      </w:r>
      <w:r>
        <w:rPr>
          <w:rFonts w:eastAsia="Times New Roman" w:cs="Arial"/>
          <w:color w:val="000000"/>
          <w:lang w:val="en-US"/>
        </w:rPr>
        <w:t xml:space="preserve"> </w:t>
      </w:r>
      <w:r w:rsidRPr="00D812F5">
        <w:rPr>
          <w:rFonts w:eastAsia="Times New Roman" w:cs="Arial"/>
          <w:color w:val="000000"/>
          <w:lang w:eastAsia="bg-BG"/>
        </w:rPr>
        <w:t>копия</w:t>
      </w:r>
      <w:r w:rsidRPr="00D812F5">
        <w:rPr>
          <w:rFonts w:eastAsia="Times New Roman" w:cs="Arial"/>
          <w:color w:val="000000"/>
          <w:lang w:val="en-US"/>
        </w:rPr>
        <w:t xml:space="preserve">/ml </w:t>
      </w:r>
      <w:r w:rsidRPr="00D812F5">
        <w:rPr>
          <w:rFonts w:eastAsia="Times New Roman" w:cs="Arial"/>
          <w:color w:val="000000"/>
          <w:lang w:eastAsia="bg-BG"/>
        </w:rPr>
        <w:t>през седмица 48.</w:t>
      </w:r>
    </w:p>
    <w:p w14:paraId="7683194F" w14:textId="77777777" w:rsidR="00D812F5" w:rsidRDefault="00D812F5" w:rsidP="00D812F5">
      <w:pPr>
        <w:spacing w:line="240" w:lineRule="auto"/>
        <w:rPr>
          <w:rFonts w:eastAsia="Times New Roman" w:cs="Arial"/>
          <w:color w:val="000000"/>
          <w:lang w:eastAsia="bg-BG"/>
        </w:rPr>
      </w:pPr>
    </w:p>
    <w:p w14:paraId="1FA81636" w14:textId="0DE07206"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Има съобщения за намаляване на КМП при педиатрични пациенти. При пациентите, които са получили лечение с тенофовир дизопроксил или ставудин или зидовудин, средният КМП </w:t>
      </w:r>
      <w:r w:rsidRPr="00D812F5">
        <w:rPr>
          <w:rFonts w:eastAsia="Times New Roman" w:cs="Arial"/>
          <w:color w:val="000000"/>
          <w:lang w:val="en-US"/>
        </w:rPr>
        <w:t>Z</w:t>
      </w:r>
      <w:r w:rsidRPr="00D812F5">
        <w:rPr>
          <w:rFonts w:eastAsia="Times New Roman" w:cs="Arial"/>
          <w:color w:val="000000"/>
          <w:lang w:eastAsia="bg-BG"/>
        </w:rPr>
        <w:t xml:space="preserve">-скор за лумбалната част на гръбначния стълб е бил съответно -1,034 и -0,498, а средният общ телесен КМП </w:t>
      </w:r>
      <w:r w:rsidRPr="00D812F5">
        <w:rPr>
          <w:rFonts w:eastAsia="Times New Roman" w:cs="Arial"/>
          <w:color w:val="000000"/>
          <w:lang w:val="en-US"/>
        </w:rPr>
        <w:t>Z</w:t>
      </w:r>
      <w:r w:rsidRPr="00D812F5">
        <w:rPr>
          <w:rFonts w:eastAsia="Times New Roman" w:cs="Arial"/>
          <w:color w:val="000000"/>
          <w:lang w:eastAsia="bg-BG"/>
        </w:rPr>
        <w:t xml:space="preserve">-скор е бил съответно -0,471 и -0,386 в изходната точка. Средните промени през седмица 48 (краят на рандомизираната фаза) са били 0,032 и 0,087 за КМП </w:t>
      </w:r>
      <w:r w:rsidRPr="00D812F5">
        <w:rPr>
          <w:rFonts w:eastAsia="Times New Roman" w:cs="Arial"/>
          <w:color w:val="000000"/>
          <w:lang w:val="en-US"/>
        </w:rPr>
        <w:t>Z</w:t>
      </w:r>
      <w:r w:rsidRPr="00D812F5">
        <w:rPr>
          <w:rFonts w:eastAsia="Times New Roman" w:cs="Arial"/>
          <w:color w:val="000000"/>
          <w:lang w:eastAsia="bg-BG"/>
        </w:rPr>
        <w:t xml:space="preserve">-скора за лумбалната част на гръбначния стълб и -0,184 и -0,027 за общия телесен КМП </w:t>
      </w:r>
      <w:r w:rsidRPr="00D812F5">
        <w:rPr>
          <w:rFonts w:eastAsia="Times New Roman" w:cs="Arial"/>
          <w:color w:val="000000"/>
          <w:lang w:val="en-US"/>
        </w:rPr>
        <w:t>Z</w:t>
      </w:r>
      <w:r w:rsidRPr="00D812F5">
        <w:rPr>
          <w:rFonts w:eastAsia="Times New Roman" w:cs="Arial"/>
          <w:color w:val="000000"/>
          <w:lang w:eastAsia="bg-BG"/>
        </w:rPr>
        <w:t xml:space="preserve">-скор съответно за групите на тенофовир дизопроксил и ставудин или зидовудин. Средната скорост на нарастване на костна маса на лумбалната част на гръбначния стълб е била подобна между групите на лечение с тенофовир дизопроксил и ставудин или зидовудин през седмица 48. Общото нарастване на костната маса в организма е било по-малко в групата на лечение с тенофовир дизопроксил в сравнение с групата на лечение със ставудин или зидовудин. През седмица 48 един участник, лекуван с тенофовир дизопроксил, и нито един от участниците, лекувани със ставудин или </w:t>
      </w:r>
      <w:r w:rsidRPr="00D812F5">
        <w:rPr>
          <w:rFonts w:eastAsia="Times New Roman" w:cs="Arial"/>
          <w:color w:val="000000"/>
          <w:lang w:eastAsia="bg-BG"/>
        </w:rPr>
        <w:lastRenderedPageBreak/>
        <w:t xml:space="preserve">зидовудин, е имал значима (&gt; 4 %) загуба на КМП за лумбалната част на гръбначния стълб. При 64-мата участници, лекувани с тенофовир дизопроксил в продължение на 96 седмици, КМП </w:t>
      </w:r>
      <w:r w:rsidRPr="00D812F5">
        <w:rPr>
          <w:rFonts w:eastAsia="Times New Roman" w:cs="Arial"/>
          <w:color w:val="000000"/>
          <w:lang w:val="en-US"/>
        </w:rPr>
        <w:t xml:space="preserve">Z- </w:t>
      </w:r>
      <w:r w:rsidRPr="00D812F5">
        <w:rPr>
          <w:rFonts w:eastAsia="Times New Roman" w:cs="Arial"/>
          <w:color w:val="000000"/>
          <w:lang w:eastAsia="bg-BG"/>
        </w:rPr>
        <w:t xml:space="preserve">скоровете са се намалили с -0,012 за лумбалната част на гръбначния стълб и с -0,338 за цялото тяло. КМП </w:t>
      </w:r>
      <w:r w:rsidRPr="00D812F5">
        <w:rPr>
          <w:rFonts w:eastAsia="Times New Roman" w:cs="Arial"/>
          <w:color w:val="000000"/>
          <w:lang w:val="en-US"/>
        </w:rPr>
        <w:t>Z</w:t>
      </w:r>
      <w:r w:rsidRPr="00D812F5">
        <w:rPr>
          <w:rFonts w:eastAsia="Times New Roman" w:cs="Arial"/>
          <w:color w:val="000000"/>
          <w:lang w:eastAsia="bg-BG"/>
        </w:rPr>
        <w:t>-скоровете не са коригирани за ръст и тегло,</w:t>
      </w:r>
    </w:p>
    <w:p w14:paraId="0E68EB43" w14:textId="77777777" w:rsidR="00D812F5" w:rsidRPr="00D812F5" w:rsidRDefault="00D812F5" w:rsidP="00D812F5">
      <w:pPr>
        <w:spacing w:line="240" w:lineRule="auto"/>
        <w:rPr>
          <w:rFonts w:eastAsia="Times New Roman" w:cs="Arial"/>
          <w:lang w:eastAsia="bg-BG"/>
        </w:rPr>
      </w:pPr>
    </w:p>
    <w:p w14:paraId="6A16346A"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При проучването </w:t>
      </w:r>
      <w:r w:rsidRPr="00D812F5">
        <w:rPr>
          <w:rFonts w:eastAsia="Times New Roman" w:cs="Arial"/>
          <w:color w:val="000000"/>
          <w:lang w:val="en-US"/>
        </w:rPr>
        <w:t>GS-US-</w:t>
      </w:r>
      <w:r w:rsidRPr="00D812F5">
        <w:rPr>
          <w:rFonts w:eastAsia="Times New Roman" w:cs="Arial"/>
          <w:color w:val="000000"/>
          <w:lang w:eastAsia="bg-BG"/>
        </w:rPr>
        <w:t>104-03 52 4 от 89 педиатрични пациенти, експонирани на тенофовир дизопроксил, са прекратили участието си поради нежелани реакции, съответстващи на тубулопатия на проксималните бъбречни каналчета (медиана на експозицията с тенофовир дизопроксил 104 седмици).</w:t>
      </w:r>
    </w:p>
    <w:p w14:paraId="0A9C6E63" w14:textId="77777777" w:rsidR="00D812F5" w:rsidRDefault="00D812F5" w:rsidP="00D812F5">
      <w:pPr>
        <w:spacing w:line="240" w:lineRule="auto"/>
        <w:rPr>
          <w:rFonts w:eastAsia="Times New Roman" w:cs="Arial"/>
          <w:i/>
          <w:iCs/>
          <w:color w:val="000000"/>
          <w:lang w:eastAsia="bg-BG"/>
        </w:rPr>
      </w:pPr>
    </w:p>
    <w:p w14:paraId="70E5C6DB" w14:textId="1E38F85B" w:rsidR="00D812F5" w:rsidRPr="00D812F5" w:rsidRDefault="00D812F5" w:rsidP="00D812F5">
      <w:pPr>
        <w:spacing w:line="240" w:lineRule="auto"/>
        <w:rPr>
          <w:rFonts w:eastAsia="Times New Roman" w:cs="Arial"/>
          <w:lang w:eastAsia="bg-BG"/>
        </w:rPr>
      </w:pPr>
      <w:r w:rsidRPr="00D812F5">
        <w:rPr>
          <w:rFonts w:eastAsia="Times New Roman" w:cs="Arial"/>
          <w:i/>
          <w:iCs/>
          <w:color w:val="000000"/>
          <w:lang w:eastAsia="bg-BG"/>
        </w:rPr>
        <w:t>Хроничен хепатит В:</w:t>
      </w:r>
      <w:r w:rsidRPr="00D812F5">
        <w:rPr>
          <w:rFonts w:eastAsia="Times New Roman" w:cs="Arial"/>
          <w:color w:val="000000"/>
          <w:lang w:eastAsia="bg-BG"/>
        </w:rPr>
        <w:t xml:space="preserve"> При проучването </w:t>
      </w:r>
      <w:r w:rsidRPr="00D812F5">
        <w:rPr>
          <w:rFonts w:eastAsia="Times New Roman" w:cs="Arial"/>
          <w:color w:val="000000"/>
          <w:lang w:val="en-US"/>
        </w:rPr>
        <w:t>GS-US-</w:t>
      </w:r>
      <w:r w:rsidRPr="00D812F5">
        <w:rPr>
          <w:rFonts w:eastAsia="Times New Roman" w:cs="Arial"/>
          <w:color w:val="000000"/>
          <w:lang w:eastAsia="bg-BG"/>
        </w:rPr>
        <w:t xml:space="preserve">174-0115 106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негативни и </w:t>
      </w:r>
      <w:proofErr w:type="spellStart"/>
      <w:r w:rsidRPr="00D812F5">
        <w:rPr>
          <w:rFonts w:eastAsia="Times New Roman" w:cs="Arial"/>
          <w:color w:val="000000"/>
          <w:lang w:val="en-US"/>
        </w:rPr>
        <w:t>HBeAg</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положителни пациенти на възраст от 12 до &lt; 18 години с хронична инфекция с НВV </w:t>
      </w:r>
      <w:r w:rsidRPr="00D812F5">
        <w:rPr>
          <w:rFonts w:eastAsia="Times New Roman" w:cs="Arial"/>
          <w:color w:val="000000"/>
          <w:lang w:val="en-US"/>
        </w:rPr>
        <w:t xml:space="preserve">[HBV </w:t>
      </w:r>
      <w:r w:rsidRPr="00D812F5">
        <w:rPr>
          <w:rFonts w:eastAsia="Times New Roman" w:cs="Arial"/>
          <w:color w:val="000000"/>
          <w:lang w:eastAsia="bg-BG"/>
        </w:rPr>
        <w:t>ДНК ≥ 10</w:t>
      </w:r>
      <w:r w:rsidRPr="00D812F5">
        <w:rPr>
          <w:rFonts w:eastAsia="Times New Roman" w:cs="Arial"/>
          <w:color w:val="000000"/>
          <w:vertAlign w:val="superscript"/>
          <w:lang w:eastAsia="bg-BG"/>
        </w:rPr>
        <w:t>5</w:t>
      </w:r>
      <w:r w:rsidRPr="00D812F5">
        <w:rPr>
          <w:rFonts w:eastAsia="Times New Roman" w:cs="Arial"/>
          <w:color w:val="000000"/>
          <w:lang w:eastAsia="bg-BG"/>
        </w:rPr>
        <w:t xml:space="preserve"> копия</w:t>
      </w:r>
      <w:r w:rsidRPr="00D812F5">
        <w:rPr>
          <w:rFonts w:eastAsia="Times New Roman" w:cs="Arial"/>
          <w:color w:val="000000"/>
          <w:lang w:val="en-US"/>
        </w:rPr>
        <w:t xml:space="preserve">/ml, </w:t>
      </w:r>
      <w:r w:rsidRPr="00D812F5">
        <w:rPr>
          <w:rFonts w:eastAsia="Times New Roman" w:cs="Arial"/>
          <w:color w:val="000000"/>
          <w:lang w:eastAsia="bg-BG"/>
        </w:rPr>
        <w:t xml:space="preserve">повишени серумни нива на </w:t>
      </w:r>
      <w:r w:rsidRPr="00D812F5">
        <w:rPr>
          <w:rFonts w:eastAsia="Times New Roman" w:cs="Arial"/>
          <w:color w:val="000000"/>
          <w:lang w:val="en-US"/>
        </w:rPr>
        <w:t xml:space="preserve">ALT </w:t>
      </w:r>
      <w:r w:rsidRPr="00D812F5">
        <w:rPr>
          <w:rFonts w:eastAsia="Times New Roman" w:cs="Arial"/>
          <w:color w:val="000000"/>
          <w:lang w:eastAsia="bg-BG"/>
        </w:rPr>
        <w:t xml:space="preserve">(≥ 2 х горна граница на нормата) или с анамнеза за повишени серумни нива на </w:t>
      </w:r>
      <w:r w:rsidRPr="00D812F5">
        <w:rPr>
          <w:rFonts w:eastAsia="Times New Roman" w:cs="Arial"/>
          <w:color w:val="000000"/>
          <w:lang w:val="en-US"/>
        </w:rPr>
        <w:t xml:space="preserve">ALT </w:t>
      </w:r>
      <w:r w:rsidRPr="00D812F5">
        <w:rPr>
          <w:rFonts w:eastAsia="Times New Roman" w:cs="Arial"/>
          <w:color w:val="000000"/>
          <w:lang w:eastAsia="bg-BG"/>
        </w:rPr>
        <w:t xml:space="preserve">през последните 24 месеца] са били лекувани с 245 </w:t>
      </w:r>
      <w:r w:rsidRPr="00D812F5">
        <w:rPr>
          <w:rFonts w:eastAsia="Times New Roman" w:cs="Arial"/>
          <w:color w:val="000000"/>
          <w:lang w:val="en-US"/>
        </w:rPr>
        <w:t xml:space="preserve">mg </w:t>
      </w:r>
      <w:r w:rsidRPr="00D812F5">
        <w:rPr>
          <w:rFonts w:eastAsia="Times New Roman" w:cs="Arial"/>
          <w:color w:val="000000"/>
          <w:lang w:eastAsia="bg-BG"/>
        </w:rPr>
        <w:t>тенофовир дизопроксил (</w:t>
      </w:r>
      <w:r w:rsidRPr="00D812F5">
        <w:rPr>
          <w:rFonts w:eastAsia="Times New Roman" w:cs="Arial"/>
          <w:color w:val="000000"/>
          <w:lang w:val="en-US"/>
        </w:rPr>
        <w:t>n</w:t>
      </w:r>
      <w:r w:rsidRPr="00D812F5">
        <w:rPr>
          <w:rFonts w:eastAsia="Times New Roman" w:cs="Arial"/>
          <w:color w:val="000000"/>
          <w:lang w:eastAsia="bg-BG"/>
        </w:rPr>
        <w:t xml:space="preserve"> = 52) или плацебо (</w:t>
      </w:r>
      <w:r w:rsidRPr="00D812F5">
        <w:rPr>
          <w:rFonts w:eastAsia="Times New Roman" w:cs="Arial"/>
          <w:color w:val="000000"/>
          <w:lang w:val="en-US"/>
        </w:rPr>
        <w:t>n</w:t>
      </w:r>
      <w:r w:rsidRPr="00D812F5">
        <w:rPr>
          <w:rFonts w:eastAsia="Times New Roman" w:cs="Arial"/>
          <w:color w:val="000000"/>
          <w:lang w:eastAsia="bg-BG"/>
        </w:rPr>
        <w:t xml:space="preserve"> = 54) в продължение на 72 седмици. Участниците не трябва да са били с предварително лечение с тенофовир дизопроксил, но може да са получавали лечения на базата на интерферон (&gt; 6 месеца преди скрининга) или някаква друга перорална терапия с анти</w:t>
      </w:r>
      <w:r w:rsidRPr="00D812F5">
        <w:rPr>
          <w:rFonts w:eastAsia="Times New Roman" w:cs="Arial"/>
          <w:color w:val="000000"/>
          <w:lang w:val="en-US"/>
        </w:rPr>
        <w:t xml:space="preserve">-HBV </w:t>
      </w:r>
      <w:r w:rsidRPr="00D812F5">
        <w:rPr>
          <w:rFonts w:eastAsia="Times New Roman" w:cs="Arial"/>
          <w:color w:val="000000"/>
          <w:lang w:eastAsia="bg-BG"/>
        </w:rPr>
        <w:t xml:space="preserve">нуклеозиди/нуклеотиди, несъдържаща тенофовир дизопроксил (&gt; 16 седмици преди скрининга). През седмица 72 общо 88 % (46/52) от пациентите в групата на лечение с дизопроксил и 0 % (0/54) от пациентите в групата на плацебо са имали </w:t>
      </w:r>
      <w:r w:rsidRPr="00D812F5">
        <w:rPr>
          <w:rFonts w:eastAsia="Times New Roman" w:cs="Arial"/>
          <w:color w:val="000000"/>
          <w:lang w:val="en-US"/>
        </w:rPr>
        <w:t xml:space="preserve">HBV </w:t>
      </w:r>
      <w:r w:rsidRPr="00D812F5">
        <w:rPr>
          <w:rFonts w:eastAsia="Times New Roman" w:cs="Arial"/>
          <w:color w:val="000000"/>
          <w:lang w:eastAsia="bg-BG"/>
        </w:rPr>
        <w:t>ДНК &lt; 400 копия</w:t>
      </w:r>
      <w:r w:rsidRPr="00D812F5">
        <w:rPr>
          <w:rFonts w:eastAsia="Times New Roman" w:cs="Arial"/>
          <w:color w:val="000000"/>
          <w:lang w:val="en-US"/>
        </w:rPr>
        <w:t xml:space="preserve">/ml. </w:t>
      </w:r>
      <w:r w:rsidRPr="00D812F5">
        <w:rPr>
          <w:rFonts w:eastAsia="Times New Roman" w:cs="Arial"/>
          <w:color w:val="000000"/>
          <w:lang w:eastAsia="bg-BG"/>
        </w:rPr>
        <w:t xml:space="preserve">При 74 % (26/35) от пациентите в групата на лечение с тенофовир дизопроксил са имали нормализиране на </w:t>
      </w:r>
      <w:r w:rsidRPr="00D812F5">
        <w:rPr>
          <w:rFonts w:eastAsia="Times New Roman" w:cs="Arial"/>
          <w:color w:val="000000"/>
          <w:lang w:val="en-US"/>
        </w:rPr>
        <w:t xml:space="preserve">ALT </w:t>
      </w:r>
      <w:r w:rsidRPr="00D812F5">
        <w:rPr>
          <w:rFonts w:eastAsia="Times New Roman" w:cs="Arial"/>
          <w:color w:val="000000"/>
          <w:lang w:eastAsia="bg-BG"/>
        </w:rPr>
        <w:t>през седмица 72 в сравнение с 31 % (13/42) в групата на плацебо. Отговорът на лечението с тенофовир дизопроксил е сравним при пациенти без предварителна нуклеоз(т)идна терапия (</w:t>
      </w:r>
      <w:r w:rsidRPr="00D812F5">
        <w:rPr>
          <w:rFonts w:eastAsia="Times New Roman" w:cs="Arial"/>
          <w:color w:val="000000"/>
          <w:lang w:val="en-US"/>
        </w:rPr>
        <w:t>n</w:t>
      </w:r>
      <w:r w:rsidRPr="00D812F5">
        <w:rPr>
          <w:rFonts w:eastAsia="Times New Roman" w:cs="Arial"/>
          <w:color w:val="000000"/>
          <w:lang w:eastAsia="bg-BG"/>
        </w:rPr>
        <w:t xml:space="preserve"> = 20) и тези с предварително лечение с нуклеоз(т)иди (</w:t>
      </w:r>
      <w:r w:rsidRPr="00D812F5">
        <w:rPr>
          <w:rFonts w:eastAsia="Times New Roman" w:cs="Arial"/>
          <w:color w:val="000000"/>
          <w:lang w:val="en-US"/>
        </w:rPr>
        <w:t>n</w:t>
      </w:r>
      <w:r w:rsidRPr="00D812F5">
        <w:rPr>
          <w:rFonts w:eastAsia="Times New Roman" w:cs="Arial"/>
          <w:color w:val="000000"/>
          <w:lang w:eastAsia="bg-BG"/>
        </w:rPr>
        <w:t xml:space="preserve"> = 32), включително резистентните към ламивудин пациенти (</w:t>
      </w:r>
      <w:r w:rsidRPr="00D812F5">
        <w:rPr>
          <w:rFonts w:eastAsia="Times New Roman" w:cs="Arial"/>
          <w:color w:val="000000"/>
          <w:lang w:val="en-US"/>
        </w:rPr>
        <w:t>n</w:t>
      </w:r>
      <w:r w:rsidRPr="00D812F5">
        <w:rPr>
          <w:rFonts w:eastAsia="Times New Roman" w:cs="Arial"/>
          <w:color w:val="000000"/>
          <w:lang w:eastAsia="bg-BG"/>
        </w:rPr>
        <w:t xml:space="preserve"> = 6). При 95 % от пациентите без предварителна нуклеоз(т)идна терапия при 84 % от пациентите с предварителна нуклеоз(т)идна терапия и при 83 % от резистентните на ламивудин пациенти е постигнато </w:t>
      </w:r>
      <w:r w:rsidRPr="00D812F5">
        <w:rPr>
          <w:rFonts w:eastAsia="Times New Roman" w:cs="Arial"/>
          <w:color w:val="000000"/>
          <w:lang w:val="en-US"/>
        </w:rPr>
        <w:t xml:space="preserve">HBV </w:t>
      </w:r>
      <w:r w:rsidRPr="00D812F5">
        <w:rPr>
          <w:rFonts w:eastAsia="Times New Roman" w:cs="Arial"/>
          <w:color w:val="000000"/>
          <w:lang w:eastAsia="bg-BG"/>
        </w:rPr>
        <w:t>ДНК &lt; 400 копия</w:t>
      </w:r>
      <w:r w:rsidRPr="00D812F5">
        <w:rPr>
          <w:rFonts w:eastAsia="Times New Roman" w:cs="Arial"/>
          <w:color w:val="000000"/>
          <w:lang w:val="en-US"/>
        </w:rPr>
        <w:t xml:space="preserve">/ml </w:t>
      </w:r>
      <w:r w:rsidRPr="00D812F5">
        <w:rPr>
          <w:rFonts w:eastAsia="Times New Roman" w:cs="Arial"/>
          <w:color w:val="000000"/>
          <w:lang w:eastAsia="bg-BG"/>
        </w:rPr>
        <w:t xml:space="preserve">през седмица 72. Тридесет и един от 32-мата пациенти, лекувани с нуклеоз(т)иди, са били с предварително лечение с ламивудин. През седмица 72 96 % (27/28) от имунологично активните пациенти </w:t>
      </w:r>
      <w:r w:rsidRPr="00D812F5">
        <w:rPr>
          <w:rFonts w:eastAsia="Times New Roman" w:cs="Arial"/>
          <w:color w:val="000000"/>
          <w:lang w:val="en-US"/>
        </w:rPr>
        <w:t xml:space="preserve">(HBV </w:t>
      </w:r>
      <w:r w:rsidRPr="00D812F5">
        <w:rPr>
          <w:rFonts w:eastAsia="Times New Roman" w:cs="Arial"/>
          <w:color w:val="000000"/>
          <w:lang w:eastAsia="bg-BG"/>
        </w:rPr>
        <w:t>ДНК ≥ 10</w:t>
      </w:r>
      <w:r w:rsidRPr="00D812F5">
        <w:rPr>
          <w:rFonts w:eastAsia="Times New Roman" w:cs="Arial"/>
          <w:color w:val="000000"/>
          <w:vertAlign w:val="superscript"/>
          <w:lang w:eastAsia="bg-BG"/>
        </w:rPr>
        <w:t>5</w:t>
      </w:r>
      <w:r w:rsidRPr="00D812F5">
        <w:rPr>
          <w:rFonts w:eastAsia="Times New Roman" w:cs="Arial"/>
          <w:color w:val="000000"/>
          <w:lang w:eastAsia="bg-BG"/>
        </w:rPr>
        <w:t xml:space="preserve"> копия</w:t>
      </w:r>
      <w:r w:rsidRPr="00D812F5">
        <w:rPr>
          <w:rFonts w:eastAsia="Times New Roman" w:cs="Arial"/>
          <w:color w:val="000000"/>
          <w:lang w:val="en-US"/>
        </w:rPr>
        <w:t xml:space="preserve">/ml, </w:t>
      </w:r>
      <w:r w:rsidRPr="00D812F5">
        <w:rPr>
          <w:rFonts w:eastAsia="Times New Roman" w:cs="Arial"/>
          <w:color w:val="000000"/>
          <w:lang w:eastAsia="bg-BG"/>
        </w:rPr>
        <w:t xml:space="preserve">серумна </w:t>
      </w:r>
      <w:r w:rsidRPr="00D812F5">
        <w:rPr>
          <w:rFonts w:eastAsia="Times New Roman" w:cs="Arial"/>
          <w:color w:val="000000"/>
          <w:lang w:val="en-US"/>
        </w:rPr>
        <w:t xml:space="preserve">ALT </w:t>
      </w:r>
      <w:r w:rsidRPr="00D812F5">
        <w:rPr>
          <w:rFonts w:eastAsia="Times New Roman" w:cs="Arial"/>
          <w:color w:val="000000"/>
          <w:lang w:eastAsia="bg-BG"/>
        </w:rPr>
        <w:t xml:space="preserve">&gt; 1,5 х горна граница на нормата) в групата на лечение с тенофовир дизопроксил и 0 % (0/32) от пациентите в групата на плацебо са имали </w:t>
      </w:r>
      <w:r w:rsidRPr="00D812F5">
        <w:rPr>
          <w:rFonts w:eastAsia="Times New Roman" w:cs="Arial"/>
          <w:color w:val="000000"/>
          <w:lang w:val="en-US"/>
        </w:rPr>
        <w:t xml:space="preserve">HBV </w:t>
      </w:r>
      <w:r w:rsidRPr="00D812F5">
        <w:rPr>
          <w:rFonts w:eastAsia="Times New Roman" w:cs="Arial"/>
          <w:color w:val="000000"/>
          <w:lang w:eastAsia="bg-BG"/>
        </w:rPr>
        <w:t>ДНК &lt; 400 копия</w:t>
      </w:r>
      <w:r w:rsidRPr="00D812F5">
        <w:rPr>
          <w:rFonts w:eastAsia="Times New Roman" w:cs="Arial"/>
          <w:color w:val="000000"/>
          <w:lang w:val="en-US"/>
        </w:rPr>
        <w:t xml:space="preserve">/ml. </w:t>
      </w:r>
      <w:r w:rsidRPr="00D812F5">
        <w:rPr>
          <w:rFonts w:eastAsia="Times New Roman" w:cs="Arial"/>
          <w:color w:val="000000"/>
          <w:lang w:eastAsia="bg-BG"/>
        </w:rPr>
        <w:t xml:space="preserve">Седемдесет и пет процента (21/28) от имунологично активните пациенти в групата на лечение с тенофовир дизопроксил са имали нормална </w:t>
      </w:r>
      <w:r w:rsidRPr="00D812F5">
        <w:rPr>
          <w:rFonts w:eastAsia="Times New Roman" w:cs="Arial"/>
          <w:color w:val="000000"/>
          <w:lang w:val="en-US"/>
        </w:rPr>
        <w:t xml:space="preserve">ALT </w:t>
      </w:r>
      <w:r w:rsidRPr="00D812F5">
        <w:rPr>
          <w:rFonts w:eastAsia="Times New Roman" w:cs="Arial"/>
          <w:color w:val="000000"/>
          <w:lang w:eastAsia="bg-BG"/>
        </w:rPr>
        <w:t>през седмица 72 в сравнение с 34 % (11/32) в групата на плацебо.</w:t>
      </w:r>
    </w:p>
    <w:p w14:paraId="1C3AFE42" w14:textId="77777777" w:rsidR="00D812F5" w:rsidRDefault="00D812F5" w:rsidP="00D812F5">
      <w:pPr>
        <w:rPr>
          <w:rFonts w:eastAsia="Times New Roman" w:cs="Arial"/>
          <w:color w:val="000000"/>
          <w:lang w:eastAsia="bg-BG"/>
        </w:rPr>
      </w:pPr>
    </w:p>
    <w:p w14:paraId="7A017407" w14:textId="77777777" w:rsidR="00D812F5" w:rsidRPr="00D812F5" w:rsidRDefault="00D812F5" w:rsidP="00D812F5">
      <w:pPr>
        <w:rPr>
          <w:rFonts w:eastAsia="Times New Roman" w:cs="Arial"/>
          <w:lang w:eastAsia="bg-BG"/>
        </w:rPr>
      </w:pPr>
      <w:r w:rsidRPr="00D812F5">
        <w:rPr>
          <w:rFonts w:eastAsia="Times New Roman" w:cs="Arial"/>
          <w:color w:val="000000"/>
          <w:lang w:eastAsia="bg-BG"/>
        </w:rPr>
        <w:t xml:space="preserve">При нито един участник не е достигната първичната крайна точка по отношение на безопасността от 6 % намаляване на КМП на лумбалната част на гръбначния стълб. При участници, получаващи тенофовир дизопроксил или плацебо, средният </w:t>
      </w:r>
      <w:r w:rsidRPr="00D812F5">
        <w:rPr>
          <w:rFonts w:eastAsia="Times New Roman" w:cs="Arial"/>
          <w:color w:val="000000"/>
          <w:lang w:val="en-US"/>
        </w:rPr>
        <w:t xml:space="preserve">(SD) </w:t>
      </w:r>
      <w:r w:rsidRPr="00D812F5">
        <w:rPr>
          <w:rFonts w:eastAsia="Times New Roman" w:cs="Arial"/>
          <w:color w:val="000000"/>
          <w:lang w:eastAsia="bg-BG"/>
        </w:rPr>
        <w:t xml:space="preserve">КМП </w:t>
      </w:r>
      <w:r w:rsidRPr="00D812F5">
        <w:rPr>
          <w:rFonts w:eastAsia="Times New Roman" w:cs="Arial"/>
          <w:color w:val="000000"/>
          <w:lang w:val="en-US"/>
        </w:rPr>
        <w:t>Z</w:t>
      </w:r>
      <w:r w:rsidRPr="00D812F5">
        <w:rPr>
          <w:rFonts w:eastAsia="Times New Roman" w:cs="Arial"/>
          <w:color w:val="000000"/>
          <w:lang w:eastAsia="bg-BG"/>
        </w:rPr>
        <w:t>-скор за лумбалната част гръбначния стълб е бил -0,43 (0,764) и -0,28 (0,813), а средният общ телесен КМП</w:t>
      </w:r>
      <w:r w:rsidRPr="00D812F5">
        <w:rPr>
          <w:rFonts w:eastAsia="Times New Roman" w:cs="Arial"/>
          <w:color w:val="000000"/>
          <w:lang w:val="en-US"/>
        </w:rPr>
        <w:t xml:space="preserve"> Z-</w:t>
      </w:r>
      <w:r w:rsidRPr="00D812F5">
        <w:rPr>
          <w:rFonts w:eastAsia="Times New Roman" w:cs="Arial"/>
          <w:color w:val="000000"/>
          <w:lang w:eastAsia="bg-BG"/>
        </w:rPr>
        <w:t xml:space="preserve">скор е бил съответно -0,20 (1,126) и -0,26 (0,878) на изходното ниво. Средната </w:t>
      </w:r>
      <w:r w:rsidRPr="00D812F5">
        <w:rPr>
          <w:rFonts w:eastAsia="Times New Roman" w:cs="Arial"/>
          <w:color w:val="000000"/>
          <w:lang w:val="en-US"/>
        </w:rPr>
        <w:t xml:space="preserve">(SD) </w:t>
      </w:r>
      <w:r w:rsidRPr="00D812F5">
        <w:rPr>
          <w:rFonts w:eastAsia="Times New Roman" w:cs="Arial"/>
          <w:color w:val="000000"/>
          <w:lang w:eastAsia="bg-BG"/>
        </w:rPr>
        <w:t xml:space="preserve">промяна на КМП </w:t>
      </w:r>
      <w:r w:rsidRPr="00D812F5">
        <w:rPr>
          <w:rFonts w:eastAsia="Times New Roman" w:cs="Arial"/>
          <w:color w:val="000000"/>
          <w:lang w:val="en-US"/>
        </w:rPr>
        <w:t>Z-</w:t>
      </w:r>
      <w:r w:rsidRPr="00D812F5">
        <w:rPr>
          <w:rFonts w:eastAsia="Times New Roman" w:cs="Arial"/>
          <w:color w:val="000000"/>
          <w:lang w:eastAsia="bg-BG"/>
        </w:rPr>
        <w:t xml:space="preserve">скора за лумбалната част на гръбначния стълб от изходното ниво до седмица 72 при участниците, получаващи тенофовир дизопроксил, е била -0,05 (0,310) и 0,07 (0,377) при тези, получаващи плацебо. Средната промяна на общия телесен КМП </w:t>
      </w:r>
      <w:r w:rsidRPr="00D812F5">
        <w:rPr>
          <w:rFonts w:eastAsia="Times New Roman" w:cs="Arial"/>
          <w:color w:val="000000"/>
          <w:lang w:val="en-US"/>
        </w:rPr>
        <w:t>Z</w:t>
      </w:r>
      <w:r w:rsidRPr="00D812F5">
        <w:rPr>
          <w:rFonts w:eastAsia="Times New Roman" w:cs="Arial"/>
          <w:color w:val="000000"/>
          <w:lang w:eastAsia="bg-BG"/>
        </w:rPr>
        <w:t>-скор при участниците, получаващи</w:t>
      </w:r>
      <w:r>
        <w:rPr>
          <w:rFonts w:eastAsia="Times New Roman" w:cs="Arial"/>
          <w:color w:val="000000"/>
          <w:lang w:val="en-US" w:eastAsia="bg-BG"/>
        </w:rPr>
        <w:t xml:space="preserve"> </w:t>
      </w:r>
      <w:r w:rsidRPr="00D812F5">
        <w:rPr>
          <w:rFonts w:eastAsia="Times New Roman" w:cs="Arial"/>
          <w:color w:val="000000"/>
          <w:lang w:eastAsia="bg-BG"/>
        </w:rPr>
        <w:t>тенофовир дизопроксил, е била -0,15 (0,379) и 0,06 (0,361) при тези, получаващи плацебо.</w:t>
      </w:r>
    </w:p>
    <w:p w14:paraId="24CD3CD0" w14:textId="24CD418D" w:rsidR="00D812F5" w:rsidRPr="00D812F5" w:rsidRDefault="00D812F5" w:rsidP="00D812F5">
      <w:pPr>
        <w:spacing w:line="240" w:lineRule="auto"/>
        <w:rPr>
          <w:rFonts w:eastAsia="Times New Roman" w:cs="Arial"/>
          <w:lang w:val="en-US" w:eastAsia="bg-BG"/>
        </w:rPr>
      </w:pPr>
      <w:r w:rsidRPr="00D812F5">
        <w:rPr>
          <w:rFonts w:eastAsia="Times New Roman" w:cs="Arial"/>
          <w:color w:val="000000"/>
          <w:lang w:eastAsia="bg-BG"/>
        </w:rPr>
        <w:t xml:space="preserve">КМП </w:t>
      </w:r>
      <w:r w:rsidRPr="00D812F5">
        <w:rPr>
          <w:rFonts w:eastAsia="Times New Roman" w:cs="Arial"/>
          <w:color w:val="000000"/>
          <w:lang w:val="en-US"/>
        </w:rPr>
        <w:t>Z</w:t>
      </w:r>
      <w:r w:rsidRPr="00D812F5">
        <w:rPr>
          <w:rFonts w:eastAsia="Times New Roman" w:cs="Arial"/>
          <w:color w:val="000000"/>
          <w:lang w:eastAsia="bg-BG"/>
        </w:rPr>
        <w:t xml:space="preserve">-скоровете не са коригирани за ръст и тегло. Средното процентно нарастване на общата телесна КМП и КМП на лумбалната част на гръбначния стълб от изходното ниво до седмица 72 е било съответно 2,84 % и 4,95 % при участници, получаващи тенофовир </w:t>
      </w:r>
      <w:r w:rsidRPr="00D812F5">
        <w:rPr>
          <w:rFonts w:eastAsia="Times New Roman" w:cs="Arial"/>
          <w:color w:val="000000"/>
          <w:lang w:eastAsia="bg-BG"/>
        </w:rPr>
        <w:lastRenderedPageBreak/>
        <w:t>дизопроксил. Тези средни процентни нараствания на общата телесна КМП и КМП на лумбалната част на гръбначния стълб са били съответно 2,53 % и 3,19 % по-ниски в сравнение с участници, получаващи плацебо. Трима участници от групата на тенофовир дизопроксил и 2-ма от групата на плацебо са имали намаляване на КМП на гръбначния стълб с &gt; 4 %</w:t>
      </w:r>
      <w:r>
        <w:rPr>
          <w:rFonts w:eastAsia="Times New Roman" w:cs="Arial"/>
          <w:color w:val="000000"/>
          <w:lang w:val="en-US" w:eastAsia="bg-BG"/>
        </w:rPr>
        <w:t>.</w:t>
      </w:r>
    </w:p>
    <w:p w14:paraId="7A14702E" w14:textId="77777777" w:rsidR="00D812F5" w:rsidRPr="00D812F5" w:rsidRDefault="00D812F5" w:rsidP="00D812F5">
      <w:pPr>
        <w:rPr>
          <w:rFonts w:cs="Arial"/>
          <w:lang w:val="en-US"/>
        </w:rPr>
      </w:pPr>
    </w:p>
    <w:p w14:paraId="173D7F1D" w14:textId="7158742B" w:rsidR="00EE6C97" w:rsidRDefault="002C50EE" w:rsidP="00A93499">
      <w:pPr>
        <w:pStyle w:val="Heading2"/>
      </w:pPr>
      <w:r>
        <w:t>5.2. Фармакокинетични свойства</w:t>
      </w:r>
    </w:p>
    <w:p w14:paraId="696D8D6E" w14:textId="2AD79FE3" w:rsidR="00D812F5" w:rsidRDefault="00D812F5" w:rsidP="00D812F5"/>
    <w:p w14:paraId="5C49C642"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Тенофовир дизопроксил представлява водно-разтворим естерен </w:t>
      </w:r>
      <w:r w:rsidRPr="00D812F5">
        <w:rPr>
          <w:rFonts w:eastAsia="Times New Roman" w:cs="Arial"/>
          <w:i/>
          <w:iCs/>
          <w:color w:val="000000"/>
          <w:lang w:val="en-US"/>
        </w:rPr>
        <w:t>prodrug,</w:t>
      </w:r>
      <w:r w:rsidRPr="00D812F5">
        <w:rPr>
          <w:rFonts w:eastAsia="Times New Roman" w:cs="Arial"/>
          <w:color w:val="000000"/>
          <w:lang w:val="en-US"/>
        </w:rPr>
        <w:t xml:space="preserve"> </w:t>
      </w:r>
      <w:r w:rsidRPr="00D812F5">
        <w:rPr>
          <w:rFonts w:eastAsia="Times New Roman" w:cs="Arial"/>
          <w:color w:val="000000"/>
          <w:lang w:eastAsia="bg-BG"/>
        </w:rPr>
        <w:t xml:space="preserve">който </w:t>
      </w:r>
      <w:r w:rsidRPr="00D812F5">
        <w:rPr>
          <w:rFonts w:eastAsia="Times New Roman" w:cs="Arial"/>
          <w:i/>
          <w:iCs/>
          <w:color w:val="000000"/>
          <w:lang w:val="en-US"/>
        </w:rPr>
        <w:t>in vivo</w:t>
      </w:r>
      <w:r w:rsidRPr="00D812F5">
        <w:rPr>
          <w:rFonts w:eastAsia="Times New Roman" w:cs="Arial"/>
          <w:color w:val="000000"/>
          <w:lang w:val="en-US"/>
        </w:rPr>
        <w:t xml:space="preserve"> </w:t>
      </w:r>
      <w:r w:rsidRPr="00D812F5">
        <w:rPr>
          <w:rFonts w:eastAsia="Times New Roman" w:cs="Arial"/>
          <w:color w:val="000000"/>
          <w:lang w:eastAsia="bg-BG"/>
        </w:rPr>
        <w:t>се конвертира бързо в тенофовир и формалдехид.</w:t>
      </w:r>
    </w:p>
    <w:p w14:paraId="16344021" w14:textId="77777777" w:rsidR="00D812F5" w:rsidRDefault="00D812F5" w:rsidP="00D812F5">
      <w:pPr>
        <w:spacing w:line="240" w:lineRule="auto"/>
        <w:rPr>
          <w:rFonts w:eastAsia="Times New Roman" w:cs="Arial"/>
          <w:color w:val="000000"/>
          <w:lang w:eastAsia="bg-BG"/>
        </w:rPr>
      </w:pPr>
    </w:p>
    <w:p w14:paraId="1547C751" w14:textId="34540443"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В клетките тенофовир се конвертира в тенофовир монофосфат и в активната съставка - тенофовир дифосфат.</w:t>
      </w:r>
    </w:p>
    <w:p w14:paraId="4EEB4F74" w14:textId="77777777" w:rsidR="00D812F5" w:rsidRDefault="00D812F5" w:rsidP="00D812F5">
      <w:pPr>
        <w:spacing w:line="240" w:lineRule="auto"/>
        <w:rPr>
          <w:rFonts w:eastAsia="Times New Roman" w:cs="Arial"/>
          <w:color w:val="000000"/>
          <w:u w:val="single"/>
          <w:lang w:eastAsia="bg-BG"/>
        </w:rPr>
      </w:pPr>
    </w:p>
    <w:p w14:paraId="7DB63322" w14:textId="70CEF71F" w:rsidR="00D812F5" w:rsidRPr="00D812F5" w:rsidRDefault="00D812F5" w:rsidP="00D812F5">
      <w:pPr>
        <w:spacing w:line="240" w:lineRule="auto"/>
        <w:rPr>
          <w:rFonts w:eastAsia="Times New Roman" w:cs="Arial"/>
          <w:lang w:eastAsia="bg-BG"/>
        </w:rPr>
      </w:pPr>
      <w:r w:rsidRPr="00D812F5">
        <w:rPr>
          <w:rFonts w:eastAsia="Times New Roman" w:cs="Arial"/>
          <w:color w:val="000000"/>
          <w:u w:val="single"/>
          <w:lang w:eastAsia="bg-BG"/>
        </w:rPr>
        <w:t>Абсорбция</w:t>
      </w:r>
    </w:p>
    <w:p w14:paraId="51D48ED8"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След пероралното приложение на тенофовир дизопроксил при инфектирани с </w:t>
      </w:r>
      <w:r w:rsidRPr="00D812F5">
        <w:rPr>
          <w:rFonts w:eastAsia="Times New Roman" w:cs="Arial"/>
          <w:color w:val="000000"/>
          <w:lang w:val="en-US"/>
        </w:rPr>
        <w:t xml:space="preserve">HIV </w:t>
      </w:r>
      <w:r w:rsidRPr="00D812F5">
        <w:rPr>
          <w:rFonts w:eastAsia="Times New Roman" w:cs="Arial"/>
          <w:color w:val="000000"/>
          <w:lang w:eastAsia="bg-BG"/>
        </w:rPr>
        <w:t xml:space="preserve">пациенти, тенофовир дизопроксил се абсорбира бързо и се конвертира до тенофовир. Прилагането на многократни дози тенофовир дизопроксил, приети с храна, при инфектирани с </w:t>
      </w:r>
      <w:r w:rsidRPr="00D812F5">
        <w:rPr>
          <w:rFonts w:eastAsia="Times New Roman" w:cs="Arial"/>
          <w:color w:val="000000"/>
          <w:lang w:val="en-US"/>
        </w:rPr>
        <w:t xml:space="preserve">HIV </w:t>
      </w:r>
      <w:r w:rsidRPr="00D812F5">
        <w:rPr>
          <w:rFonts w:eastAsia="Times New Roman" w:cs="Arial"/>
          <w:color w:val="000000"/>
          <w:lang w:eastAsia="bg-BG"/>
        </w:rPr>
        <w:t xml:space="preserve">пациенти води до следните средни (% </w:t>
      </w:r>
      <w:r w:rsidRPr="00D812F5">
        <w:rPr>
          <w:rFonts w:eastAsia="Times New Roman" w:cs="Arial"/>
          <w:color w:val="000000"/>
          <w:lang w:val="en-US"/>
        </w:rPr>
        <w:t xml:space="preserve">CV) </w:t>
      </w:r>
      <w:r w:rsidRPr="00D812F5">
        <w:rPr>
          <w:rFonts w:eastAsia="Times New Roman" w:cs="Arial"/>
          <w:color w:val="000000"/>
          <w:lang w:eastAsia="bg-BG"/>
        </w:rPr>
        <w:t xml:space="preserve">стойности за </w:t>
      </w:r>
      <w:proofErr w:type="spellStart"/>
      <w:r w:rsidRPr="00D812F5">
        <w:rPr>
          <w:rFonts w:eastAsia="Times New Roman" w:cs="Arial"/>
          <w:color w:val="000000"/>
          <w:lang w:val="en-US"/>
        </w:rPr>
        <w:t>C</w:t>
      </w:r>
      <w:r w:rsidRPr="00D812F5">
        <w:rPr>
          <w:rFonts w:eastAsia="Times New Roman" w:cs="Arial"/>
          <w:color w:val="000000"/>
          <w:vertAlign w:val="subscript"/>
          <w:lang w:val="en-US"/>
        </w:rPr>
        <w:t>max</w:t>
      </w:r>
      <w:proofErr w:type="spellEnd"/>
      <w:r w:rsidRPr="00D812F5">
        <w:rPr>
          <w:rFonts w:eastAsia="Times New Roman" w:cs="Arial"/>
          <w:color w:val="000000"/>
          <w:lang w:val="en-US"/>
        </w:rPr>
        <w:t xml:space="preserve">, AUC </w:t>
      </w:r>
      <w:r w:rsidRPr="00D812F5">
        <w:rPr>
          <w:rFonts w:eastAsia="Times New Roman" w:cs="Arial"/>
          <w:color w:val="000000"/>
          <w:lang w:eastAsia="bg-BG"/>
        </w:rPr>
        <w:t xml:space="preserve">и </w:t>
      </w:r>
      <w:proofErr w:type="spellStart"/>
      <w:r w:rsidRPr="00D812F5">
        <w:rPr>
          <w:rFonts w:eastAsia="Times New Roman" w:cs="Arial"/>
          <w:color w:val="000000"/>
          <w:lang w:val="en-US"/>
        </w:rPr>
        <w:t>C</w:t>
      </w:r>
      <w:r w:rsidRPr="00D812F5">
        <w:rPr>
          <w:rFonts w:eastAsia="Times New Roman" w:cs="Arial"/>
          <w:color w:val="000000"/>
          <w:vertAlign w:val="subscript"/>
          <w:lang w:val="en-US"/>
        </w:rPr>
        <w:t>min</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за тенофовир: съответно 326 (36,6 %) </w:t>
      </w:r>
      <w:r w:rsidRPr="00D812F5">
        <w:rPr>
          <w:rFonts w:eastAsia="Times New Roman" w:cs="Arial"/>
          <w:color w:val="000000"/>
          <w:lang w:val="en-US"/>
        </w:rPr>
        <w:t xml:space="preserve">ng/ml, </w:t>
      </w:r>
      <w:r w:rsidRPr="00D812F5">
        <w:rPr>
          <w:rFonts w:eastAsia="Times New Roman" w:cs="Arial"/>
          <w:color w:val="000000"/>
          <w:lang w:eastAsia="bg-BG"/>
        </w:rPr>
        <w:t xml:space="preserve">3324 (41,2 %) </w:t>
      </w:r>
      <w:r w:rsidRPr="00D812F5">
        <w:rPr>
          <w:rFonts w:eastAsia="Times New Roman" w:cs="Arial"/>
          <w:color w:val="000000"/>
          <w:lang w:val="en-US"/>
        </w:rPr>
        <w:t xml:space="preserve">ng-h/ml </w:t>
      </w:r>
      <w:r w:rsidRPr="00D812F5">
        <w:rPr>
          <w:rFonts w:eastAsia="Times New Roman" w:cs="Arial"/>
          <w:color w:val="000000"/>
          <w:lang w:eastAsia="bg-BG"/>
        </w:rPr>
        <w:t xml:space="preserve">и 64,4 (39,4 %) </w:t>
      </w:r>
      <w:r w:rsidRPr="00D812F5">
        <w:rPr>
          <w:rFonts w:eastAsia="Times New Roman" w:cs="Arial"/>
          <w:color w:val="000000"/>
          <w:lang w:val="en-US"/>
        </w:rPr>
        <w:t xml:space="preserve">ng/ml. </w:t>
      </w:r>
      <w:r w:rsidRPr="00D812F5">
        <w:rPr>
          <w:rFonts w:eastAsia="Times New Roman" w:cs="Arial"/>
          <w:color w:val="000000"/>
          <w:lang w:eastAsia="bg-BG"/>
        </w:rPr>
        <w:t xml:space="preserve">Максималните; серумни концентрации на тенофовир се наблюдават до един час при прием на гладно и два часа след прием с храна. Пероралната бионаличност на тенофовир след прием на тенофовир дизопроксил на гладно е около 25 %. Приложението на тенофовир дизопроксил с богата на мазнини храна увеличава пероралната бионаличност, като </w:t>
      </w:r>
      <w:r w:rsidRPr="00D812F5">
        <w:rPr>
          <w:rFonts w:eastAsia="Times New Roman" w:cs="Arial"/>
          <w:color w:val="000000"/>
          <w:lang w:val="en-US"/>
        </w:rPr>
        <w:t xml:space="preserve">AUC </w:t>
      </w:r>
      <w:r w:rsidRPr="00D812F5">
        <w:rPr>
          <w:rFonts w:eastAsia="Times New Roman" w:cs="Arial"/>
          <w:color w:val="000000"/>
          <w:lang w:eastAsia="bg-BG"/>
        </w:rPr>
        <w:t xml:space="preserve">за тенофовир се повишава с около 40 % и </w:t>
      </w:r>
      <w:proofErr w:type="spellStart"/>
      <w:r w:rsidRPr="00D812F5">
        <w:rPr>
          <w:rFonts w:eastAsia="Times New Roman" w:cs="Arial"/>
          <w:color w:val="000000"/>
          <w:lang w:val="en-US"/>
        </w:rPr>
        <w:t>C</w:t>
      </w:r>
      <w:r w:rsidRPr="00D812F5">
        <w:rPr>
          <w:rFonts w:eastAsia="Times New Roman" w:cs="Arial"/>
          <w:color w:val="000000"/>
          <w:vertAlign w:val="subscript"/>
          <w:lang w:val="en-US"/>
        </w:rPr>
        <w:t>max</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 с около 14 %. Медиалната </w:t>
      </w:r>
      <w:proofErr w:type="spellStart"/>
      <w:r w:rsidRPr="00D812F5">
        <w:rPr>
          <w:rFonts w:eastAsia="Times New Roman" w:cs="Arial"/>
          <w:color w:val="000000"/>
          <w:lang w:val="en-US"/>
        </w:rPr>
        <w:t>Cmax</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в серума след прилагане на първата доза тенофовир дизопроксил при пациенти, приели храна, варира от 213 до 375 </w:t>
      </w:r>
      <w:r w:rsidRPr="00D812F5">
        <w:rPr>
          <w:rFonts w:eastAsia="Times New Roman" w:cs="Arial"/>
          <w:color w:val="000000"/>
          <w:lang w:val="en-US"/>
        </w:rPr>
        <w:t xml:space="preserve">ng/ml. </w:t>
      </w:r>
      <w:r w:rsidRPr="00D812F5">
        <w:rPr>
          <w:rFonts w:eastAsia="Times New Roman" w:cs="Arial"/>
          <w:color w:val="000000"/>
          <w:lang w:eastAsia="bg-BG"/>
        </w:rPr>
        <w:t>Въпреки това, приемът на тенофовир дизопроксил с лека храна няма значителен ефект върху фармакокинетиката на тенофовир.</w:t>
      </w:r>
    </w:p>
    <w:p w14:paraId="6D9CC0CD" w14:textId="77777777" w:rsidR="00D812F5" w:rsidRDefault="00D812F5" w:rsidP="00D812F5">
      <w:pPr>
        <w:spacing w:line="240" w:lineRule="auto"/>
        <w:rPr>
          <w:rFonts w:eastAsia="Times New Roman" w:cs="Arial"/>
          <w:color w:val="000000"/>
          <w:u w:val="single"/>
          <w:lang w:eastAsia="bg-BG"/>
        </w:rPr>
      </w:pPr>
    </w:p>
    <w:p w14:paraId="6278D918" w14:textId="5D505369" w:rsidR="00D812F5" w:rsidRPr="00D812F5" w:rsidRDefault="00D812F5" w:rsidP="00D812F5">
      <w:pPr>
        <w:spacing w:line="240" w:lineRule="auto"/>
        <w:rPr>
          <w:rFonts w:eastAsia="Times New Roman" w:cs="Arial"/>
          <w:lang w:eastAsia="bg-BG"/>
        </w:rPr>
      </w:pPr>
      <w:r w:rsidRPr="00D812F5">
        <w:rPr>
          <w:rFonts w:eastAsia="Times New Roman" w:cs="Arial"/>
          <w:color w:val="000000"/>
          <w:u w:val="single"/>
          <w:lang w:eastAsia="bg-BG"/>
        </w:rPr>
        <w:t>Разпространение</w:t>
      </w:r>
    </w:p>
    <w:p w14:paraId="0176133C" w14:textId="77777777" w:rsidR="00D812F5" w:rsidRDefault="00D812F5" w:rsidP="00D812F5">
      <w:pPr>
        <w:spacing w:line="240" w:lineRule="auto"/>
        <w:rPr>
          <w:rFonts w:eastAsia="Times New Roman" w:cs="Arial"/>
          <w:color w:val="000000"/>
          <w:lang w:eastAsia="bg-BG"/>
        </w:rPr>
      </w:pPr>
      <w:r w:rsidRPr="00D812F5">
        <w:rPr>
          <w:rFonts w:eastAsia="Times New Roman" w:cs="Arial"/>
          <w:color w:val="000000"/>
          <w:lang w:eastAsia="bg-BG"/>
        </w:rPr>
        <w:t xml:space="preserve">Стационарният обем на разпределение на тенофовир след интравендзно приложение се оценява на около 800 </w:t>
      </w:r>
      <w:r w:rsidRPr="00D812F5">
        <w:rPr>
          <w:rFonts w:eastAsia="Times New Roman" w:cs="Arial"/>
          <w:color w:val="000000"/>
          <w:lang w:val="en-US"/>
        </w:rPr>
        <w:t xml:space="preserve">ml/kg. </w:t>
      </w:r>
      <w:r w:rsidRPr="00D812F5">
        <w:rPr>
          <w:rFonts w:eastAsia="Times New Roman" w:cs="Arial"/>
          <w:color w:val="000000"/>
          <w:lang w:eastAsia="bg-BG"/>
        </w:rPr>
        <w:t xml:space="preserve">След перорално приложение на тенофовир дизопроксил тенофовир се разпределя в повечето тъкани, достигайки най-високи концентрации в бъбреците, черния дроб и съдържанието на червата (предклинични проучвания). </w:t>
      </w:r>
      <w:r w:rsidRPr="00D812F5">
        <w:rPr>
          <w:rFonts w:eastAsia="Times New Roman" w:cs="Arial"/>
          <w:i/>
          <w:iCs/>
          <w:color w:val="000000"/>
          <w:lang w:val="en-US"/>
        </w:rPr>
        <w:t>In vitro</w:t>
      </w:r>
      <w:r w:rsidRPr="00D812F5">
        <w:rPr>
          <w:rFonts w:eastAsia="Times New Roman" w:cs="Arial"/>
          <w:color w:val="000000"/>
          <w:lang w:val="en-US"/>
        </w:rPr>
        <w:t xml:space="preserve"> </w:t>
      </w:r>
      <w:r w:rsidRPr="00D812F5">
        <w:rPr>
          <w:rFonts w:eastAsia="Times New Roman" w:cs="Arial"/>
          <w:color w:val="000000"/>
          <w:lang w:eastAsia="bg-BG"/>
        </w:rPr>
        <w:t xml:space="preserve">свързването на тенофовир с плазмени или серумни протеини е било по-ниско съответно </w:t>
      </w:r>
    </w:p>
    <w:p w14:paraId="512D6BBF" w14:textId="319D7AA0"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от 0,7 и 7,2 % за концентрация на тенофовир в границите 0,01 до 25 μ</w:t>
      </w:r>
      <w:r w:rsidRPr="00D812F5">
        <w:rPr>
          <w:rFonts w:eastAsia="Times New Roman" w:cs="Arial"/>
          <w:color w:val="000000"/>
          <w:lang w:val="en-US"/>
        </w:rPr>
        <w:t>g/ml.</w:t>
      </w:r>
    </w:p>
    <w:p w14:paraId="2B254E25" w14:textId="77777777" w:rsidR="00D812F5" w:rsidRDefault="00D812F5" w:rsidP="00D812F5">
      <w:pPr>
        <w:spacing w:line="240" w:lineRule="auto"/>
        <w:rPr>
          <w:rFonts w:eastAsia="Times New Roman" w:cs="Arial"/>
          <w:color w:val="000000"/>
          <w:u w:val="single"/>
          <w:lang w:eastAsia="bg-BG"/>
        </w:rPr>
      </w:pPr>
    </w:p>
    <w:p w14:paraId="568B6C28" w14:textId="29CCA6BC" w:rsidR="00D812F5" w:rsidRPr="00D812F5" w:rsidRDefault="00D812F5" w:rsidP="00D812F5">
      <w:pPr>
        <w:spacing w:line="240" w:lineRule="auto"/>
        <w:rPr>
          <w:rFonts w:eastAsia="Times New Roman" w:cs="Arial"/>
          <w:lang w:eastAsia="bg-BG"/>
        </w:rPr>
      </w:pPr>
      <w:r w:rsidRPr="00D812F5">
        <w:rPr>
          <w:rFonts w:eastAsia="Times New Roman" w:cs="Arial"/>
          <w:color w:val="000000"/>
          <w:u w:val="single"/>
          <w:lang w:eastAsia="bg-BG"/>
        </w:rPr>
        <w:t>Биотрансформация</w:t>
      </w:r>
    </w:p>
    <w:p w14:paraId="3DC11858" w14:textId="77777777" w:rsidR="00D812F5" w:rsidRPr="00D812F5" w:rsidRDefault="00D812F5" w:rsidP="00D812F5">
      <w:pPr>
        <w:spacing w:line="240" w:lineRule="auto"/>
        <w:rPr>
          <w:rFonts w:eastAsia="Times New Roman" w:cs="Arial"/>
          <w:lang w:eastAsia="bg-BG"/>
        </w:rPr>
      </w:pPr>
      <w:r w:rsidRPr="00D812F5">
        <w:rPr>
          <w:rFonts w:eastAsia="Times New Roman" w:cs="Arial"/>
          <w:i/>
          <w:iCs/>
          <w:color w:val="000000"/>
          <w:lang w:val="en-US"/>
        </w:rPr>
        <w:t>In vitro</w:t>
      </w:r>
      <w:r w:rsidRPr="00D812F5">
        <w:rPr>
          <w:rFonts w:eastAsia="Times New Roman" w:cs="Arial"/>
          <w:color w:val="000000"/>
          <w:lang w:val="en-US"/>
        </w:rPr>
        <w:t xml:space="preserve"> </w:t>
      </w:r>
      <w:r w:rsidRPr="00D812F5">
        <w:rPr>
          <w:rFonts w:eastAsia="Times New Roman" w:cs="Arial"/>
          <w:color w:val="000000"/>
          <w:lang w:eastAsia="bg-BG"/>
        </w:rPr>
        <w:t xml:space="preserve">проучвания са установили, че нито тенофовир дизопроксил, нито тенофовир са субстрати за </w:t>
      </w:r>
      <w:r w:rsidRPr="00D812F5">
        <w:rPr>
          <w:rFonts w:eastAsia="Times New Roman" w:cs="Arial"/>
          <w:color w:val="000000"/>
          <w:lang w:val="en-US"/>
        </w:rPr>
        <w:t xml:space="preserve">CYP450 </w:t>
      </w:r>
      <w:r w:rsidRPr="00D812F5">
        <w:rPr>
          <w:rFonts w:eastAsia="Times New Roman" w:cs="Arial"/>
          <w:color w:val="000000"/>
          <w:lang w:eastAsia="bg-BG"/>
        </w:rPr>
        <w:t xml:space="preserve">ензимите. Освен това, при концентрации значително по-високи (около 300 пъти) от наблюдаваните </w:t>
      </w:r>
      <w:r w:rsidRPr="00D812F5">
        <w:rPr>
          <w:rFonts w:eastAsia="Times New Roman" w:cs="Arial"/>
          <w:i/>
          <w:iCs/>
          <w:color w:val="000000"/>
          <w:lang w:val="en-US"/>
        </w:rPr>
        <w:t>in vivo</w:t>
      </w:r>
      <w:r w:rsidRPr="00D812F5">
        <w:rPr>
          <w:rFonts w:eastAsia="Times New Roman" w:cs="Arial"/>
          <w:color w:val="000000"/>
          <w:lang w:val="en-US"/>
        </w:rPr>
        <w:t xml:space="preserve"> </w:t>
      </w:r>
      <w:r w:rsidRPr="00D812F5">
        <w:rPr>
          <w:rFonts w:eastAsia="Times New Roman" w:cs="Arial"/>
          <w:color w:val="000000"/>
          <w:lang w:eastAsia="bg-BG"/>
        </w:rPr>
        <w:t xml:space="preserve">тенофовир не инхибира </w:t>
      </w:r>
      <w:r w:rsidRPr="00D812F5">
        <w:rPr>
          <w:rFonts w:eastAsia="Times New Roman" w:cs="Arial"/>
          <w:i/>
          <w:iCs/>
          <w:color w:val="000000"/>
          <w:lang w:val="en-US"/>
        </w:rPr>
        <w:t>in vitro</w:t>
      </w:r>
      <w:r w:rsidRPr="00D812F5">
        <w:rPr>
          <w:rFonts w:eastAsia="Times New Roman" w:cs="Arial"/>
          <w:color w:val="000000"/>
          <w:lang w:val="en-US"/>
        </w:rPr>
        <w:t xml:space="preserve"> </w:t>
      </w:r>
      <w:r w:rsidRPr="00D812F5">
        <w:rPr>
          <w:rFonts w:eastAsia="Times New Roman" w:cs="Arial"/>
          <w:color w:val="000000"/>
          <w:lang w:eastAsia="bg-BG"/>
        </w:rPr>
        <w:t xml:space="preserve">лекарствения метаболизъм, осъществен от някои от основните изоформи на </w:t>
      </w:r>
      <w:r w:rsidRPr="00D812F5">
        <w:rPr>
          <w:rFonts w:eastAsia="Times New Roman" w:cs="Arial"/>
          <w:color w:val="000000"/>
          <w:lang w:val="en-US"/>
        </w:rPr>
        <w:t xml:space="preserve">CYP450 </w:t>
      </w:r>
      <w:r w:rsidRPr="00D812F5">
        <w:rPr>
          <w:rFonts w:eastAsia="Times New Roman" w:cs="Arial"/>
          <w:color w:val="000000"/>
          <w:lang w:eastAsia="bg-BG"/>
        </w:rPr>
        <w:t xml:space="preserve">при хора, включени в биотрансформацията на лекарства </w:t>
      </w:r>
      <w:r w:rsidRPr="00D812F5">
        <w:rPr>
          <w:rFonts w:eastAsia="Times New Roman" w:cs="Arial"/>
          <w:color w:val="000000"/>
          <w:lang w:val="en-US"/>
        </w:rPr>
        <w:t xml:space="preserve">(CYP3A4, CYP2D6, CYP2C9, CYP2E1 </w:t>
      </w:r>
      <w:r w:rsidRPr="00D812F5">
        <w:rPr>
          <w:rFonts w:eastAsia="Times New Roman" w:cs="Arial"/>
          <w:color w:val="000000"/>
          <w:lang w:eastAsia="bg-BG"/>
        </w:rPr>
        <w:t xml:space="preserve">или </w:t>
      </w:r>
      <w:r w:rsidRPr="00D812F5">
        <w:rPr>
          <w:rFonts w:eastAsia="Times New Roman" w:cs="Arial"/>
          <w:color w:val="000000"/>
          <w:lang w:val="en-US"/>
        </w:rPr>
        <w:t xml:space="preserve">CYP1A1/2). </w:t>
      </w:r>
      <w:r w:rsidRPr="00D812F5">
        <w:rPr>
          <w:rFonts w:eastAsia="Times New Roman" w:cs="Arial"/>
          <w:color w:val="000000"/>
          <w:lang w:eastAsia="bg-BG"/>
        </w:rPr>
        <w:t>В Концентрация 100 μ</w:t>
      </w:r>
      <w:r w:rsidRPr="00D812F5">
        <w:rPr>
          <w:rFonts w:eastAsia="Times New Roman" w:cs="Arial"/>
          <w:color w:val="000000"/>
          <w:lang w:val="en-US"/>
        </w:rPr>
        <w:t xml:space="preserve">mol/l </w:t>
      </w:r>
      <w:r w:rsidRPr="00D812F5">
        <w:rPr>
          <w:rFonts w:eastAsia="Times New Roman" w:cs="Arial"/>
          <w:color w:val="000000"/>
          <w:lang w:eastAsia="bg-BG"/>
        </w:rPr>
        <w:t xml:space="preserve">тенофовир дизопроксил няма ефект върху никоя от изоформите на </w:t>
      </w:r>
      <w:r w:rsidRPr="00D812F5">
        <w:rPr>
          <w:rFonts w:eastAsia="Times New Roman" w:cs="Arial"/>
          <w:color w:val="000000"/>
          <w:lang w:val="en-US"/>
        </w:rPr>
        <w:t xml:space="preserve">CYP450 </w:t>
      </w:r>
      <w:r w:rsidRPr="00D812F5">
        <w:rPr>
          <w:rFonts w:eastAsia="Times New Roman" w:cs="Arial"/>
          <w:color w:val="000000"/>
          <w:lang w:eastAsia="bg-BG"/>
        </w:rPr>
        <w:t xml:space="preserve">с изключение на </w:t>
      </w:r>
      <w:r w:rsidRPr="00D812F5">
        <w:rPr>
          <w:rFonts w:eastAsia="Times New Roman" w:cs="Arial"/>
          <w:color w:val="000000"/>
          <w:lang w:val="en-US"/>
        </w:rPr>
        <w:t xml:space="preserve">CYP1A1/2, </w:t>
      </w:r>
      <w:r w:rsidRPr="00D812F5">
        <w:rPr>
          <w:rFonts w:eastAsia="Times New Roman" w:cs="Arial"/>
          <w:color w:val="000000"/>
          <w:lang w:eastAsia="bg-BG"/>
        </w:rPr>
        <w:t xml:space="preserve">където е наблюдавано малко (6 %), но статистически значително намаляване на метаболизма на субстратите на </w:t>
      </w:r>
      <w:r w:rsidRPr="00D812F5">
        <w:rPr>
          <w:rFonts w:eastAsia="Times New Roman" w:cs="Arial"/>
          <w:color w:val="000000"/>
          <w:lang w:val="en-US"/>
        </w:rPr>
        <w:t>CYP1</w:t>
      </w:r>
      <w:r w:rsidRPr="00D812F5">
        <w:rPr>
          <w:rFonts w:eastAsia="Times New Roman" w:cs="Arial"/>
          <w:color w:val="000000"/>
          <w:lang w:eastAsia="bg-BG"/>
        </w:rPr>
        <w:t xml:space="preserve">А1/2. На базата на тези данни е малко вероятно да се развият клинично значими взаимодействия, включващи тенофовир дизопроксил и лекарствени продукти, метаболизирани от </w:t>
      </w:r>
      <w:r w:rsidRPr="00D812F5">
        <w:rPr>
          <w:rFonts w:eastAsia="Times New Roman" w:cs="Arial"/>
          <w:color w:val="000000"/>
          <w:lang w:val="en-US"/>
        </w:rPr>
        <w:t>CYP450.</w:t>
      </w:r>
    </w:p>
    <w:p w14:paraId="46169840" w14:textId="77777777" w:rsidR="00D812F5" w:rsidRDefault="00D812F5" w:rsidP="00D812F5">
      <w:pPr>
        <w:spacing w:line="240" w:lineRule="auto"/>
        <w:rPr>
          <w:rFonts w:eastAsia="Times New Roman" w:cs="Arial"/>
          <w:color w:val="000000"/>
          <w:u w:val="single"/>
          <w:lang w:eastAsia="bg-BG"/>
        </w:rPr>
      </w:pPr>
    </w:p>
    <w:p w14:paraId="33CFAB55" w14:textId="5133AA3C" w:rsidR="00D812F5" w:rsidRPr="00D812F5" w:rsidRDefault="00D812F5" w:rsidP="00D812F5">
      <w:pPr>
        <w:spacing w:line="240" w:lineRule="auto"/>
        <w:rPr>
          <w:rFonts w:eastAsia="Times New Roman" w:cs="Arial"/>
          <w:lang w:eastAsia="bg-BG"/>
        </w:rPr>
      </w:pPr>
      <w:r w:rsidRPr="00D812F5">
        <w:rPr>
          <w:rFonts w:eastAsia="Times New Roman" w:cs="Arial"/>
          <w:color w:val="000000"/>
          <w:u w:val="single"/>
          <w:lang w:eastAsia="bg-BG"/>
        </w:rPr>
        <w:t>Елиминиране</w:t>
      </w:r>
    </w:p>
    <w:p w14:paraId="1054EEF7" w14:textId="77777777" w:rsidR="00D812F5" w:rsidRPr="00D812F5" w:rsidRDefault="00D812F5" w:rsidP="00D812F5">
      <w:pPr>
        <w:rPr>
          <w:rFonts w:eastAsia="Times New Roman" w:cs="Arial"/>
          <w:lang w:eastAsia="bg-BG"/>
        </w:rPr>
      </w:pPr>
      <w:r w:rsidRPr="00D812F5">
        <w:rPr>
          <w:rFonts w:eastAsia="Times New Roman" w:cs="Arial"/>
          <w:color w:val="000000"/>
          <w:lang w:eastAsia="bg-BG"/>
        </w:rPr>
        <w:t xml:space="preserve">Тенофовир се екскретира предимно от бъбреците чрез филтрация и активен тубулен транспорт, като около 70-80 % от приложената интравенозно доза се екскретира непроменена с урината. Тоталният клирънс се оценява на около 230 </w:t>
      </w:r>
      <w:r w:rsidRPr="00D812F5">
        <w:rPr>
          <w:rFonts w:eastAsia="Times New Roman" w:cs="Arial"/>
          <w:color w:val="000000"/>
          <w:lang w:val="en-US"/>
        </w:rPr>
        <w:t xml:space="preserve">ml/h/kg </w:t>
      </w:r>
      <w:r w:rsidRPr="00D812F5">
        <w:rPr>
          <w:rFonts w:eastAsia="Times New Roman" w:cs="Arial"/>
          <w:color w:val="000000"/>
          <w:lang w:eastAsia="bg-BG"/>
        </w:rPr>
        <w:t xml:space="preserve">(около 300 </w:t>
      </w:r>
      <w:r w:rsidRPr="00D812F5">
        <w:rPr>
          <w:rFonts w:eastAsia="Times New Roman" w:cs="Arial"/>
          <w:color w:val="000000"/>
          <w:lang w:val="en-US"/>
        </w:rPr>
        <w:t xml:space="preserve">ml/min). </w:t>
      </w:r>
      <w:r w:rsidRPr="00D812F5">
        <w:rPr>
          <w:rFonts w:eastAsia="Times New Roman" w:cs="Arial"/>
          <w:color w:val="000000"/>
          <w:lang w:eastAsia="bg-BG"/>
        </w:rPr>
        <w:t xml:space="preserve">Бъбречни клирънс се оценява на около 160 </w:t>
      </w:r>
      <w:r w:rsidRPr="00D812F5">
        <w:rPr>
          <w:rFonts w:eastAsia="Times New Roman" w:cs="Arial"/>
          <w:color w:val="000000"/>
          <w:lang w:val="en-US"/>
        </w:rPr>
        <w:t xml:space="preserve">ml/h/kg </w:t>
      </w:r>
      <w:r w:rsidRPr="00D812F5">
        <w:rPr>
          <w:rFonts w:eastAsia="Times New Roman" w:cs="Arial"/>
          <w:color w:val="000000"/>
          <w:lang w:eastAsia="bg-BG"/>
        </w:rPr>
        <w:t xml:space="preserve">(около 210 </w:t>
      </w:r>
      <w:r w:rsidRPr="00D812F5">
        <w:rPr>
          <w:rFonts w:eastAsia="Times New Roman" w:cs="Arial"/>
          <w:color w:val="000000"/>
          <w:lang w:val="en-US"/>
        </w:rPr>
        <w:t xml:space="preserve">ml/min), </w:t>
      </w:r>
      <w:r w:rsidRPr="00D812F5">
        <w:rPr>
          <w:rFonts w:eastAsia="Times New Roman" w:cs="Arial"/>
          <w:color w:val="000000"/>
          <w:lang w:eastAsia="bg-BG"/>
        </w:rPr>
        <w:t>което надвишава гломерулна филтрация. Това показва, че активната тубулна секреция е значима част от елиминирането на тенофовир. След</w:t>
      </w:r>
      <w:r>
        <w:rPr>
          <w:rFonts w:eastAsia="Times New Roman" w:cs="Arial"/>
          <w:color w:val="000000"/>
          <w:lang w:val="en-US" w:eastAsia="bg-BG"/>
        </w:rPr>
        <w:t xml:space="preserve"> </w:t>
      </w:r>
      <w:r w:rsidRPr="00D812F5">
        <w:rPr>
          <w:rFonts w:eastAsia="Times New Roman" w:cs="Arial"/>
          <w:color w:val="000000"/>
          <w:lang w:eastAsia="bg-BG"/>
        </w:rPr>
        <w:t>перорално приложение терминалният полуживот на тенофовир е около 12 до 18 часа.</w:t>
      </w:r>
    </w:p>
    <w:p w14:paraId="256045C9"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При проучванията е установено, че активната тубулна секреция на тенофовир представлява инфлукс в проксималните тубулни клетки чрез транспортери при хора на органични аниони </w:t>
      </w:r>
      <w:r w:rsidRPr="00D812F5">
        <w:rPr>
          <w:rFonts w:eastAsia="Times New Roman" w:cs="Arial"/>
          <w:color w:val="000000"/>
          <w:lang w:val="en-US"/>
        </w:rPr>
        <w:t>(</w:t>
      </w:r>
      <w:proofErr w:type="spellStart"/>
      <w:r w:rsidRPr="00D812F5">
        <w:rPr>
          <w:rFonts w:eastAsia="Times New Roman" w:cs="Arial"/>
          <w:color w:val="000000"/>
          <w:lang w:val="en-US"/>
        </w:rPr>
        <w:t>hOAT</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1 и 3 и ефлукс в урината чрез </w:t>
      </w:r>
      <w:r w:rsidRPr="00D812F5">
        <w:rPr>
          <w:rFonts w:eastAsia="Times New Roman" w:cs="Arial"/>
          <w:color w:val="000000"/>
          <w:lang w:val="en-US"/>
        </w:rPr>
        <w:t xml:space="preserve">MRP </w:t>
      </w:r>
      <w:r w:rsidRPr="00D812F5">
        <w:rPr>
          <w:rFonts w:eastAsia="Times New Roman" w:cs="Arial"/>
          <w:color w:val="000000"/>
          <w:lang w:eastAsia="bg-BG"/>
        </w:rPr>
        <w:t>4.</w:t>
      </w:r>
    </w:p>
    <w:p w14:paraId="3F4265E0" w14:textId="77777777" w:rsidR="00D812F5" w:rsidRDefault="00D812F5" w:rsidP="00D812F5">
      <w:pPr>
        <w:spacing w:line="240" w:lineRule="auto"/>
        <w:rPr>
          <w:rFonts w:eastAsia="Times New Roman" w:cs="Arial"/>
          <w:color w:val="000000"/>
          <w:u w:val="single"/>
          <w:lang w:eastAsia="bg-BG"/>
        </w:rPr>
      </w:pPr>
    </w:p>
    <w:p w14:paraId="7961F181" w14:textId="207EE5CB" w:rsidR="00D812F5" w:rsidRPr="00D812F5" w:rsidRDefault="00D812F5" w:rsidP="00D812F5">
      <w:pPr>
        <w:spacing w:line="240" w:lineRule="auto"/>
        <w:rPr>
          <w:rFonts w:eastAsia="Times New Roman" w:cs="Arial"/>
          <w:lang w:eastAsia="bg-BG"/>
        </w:rPr>
      </w:pPr>
      <w:r w:rsidRPr="00D812F5">
        <w:rPr>
          <w:rFonts w:eastAsia="Times New Roman" w:cs="Arial"/>
          <w:color w:val="000000"/>
          <w:u w:val="single"/>
          <w:lang w:eastAsia="bg-BG"/>
        </w:rPr>
        <w:t>Линейност/нелинейност</w:t>
      </w:r>
    </w:p>
    <w:p w14:paraId="3D7AD8A0"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Фармакокинетиката на тенофовир не зависи от дозата тенофовир дизопроксил в интервал на прилагане 75 до 600 </w:t>
      </w:r>
      <w:r w:rsidRPr="00D812F5">
        <w:rPr>
          <w:rFonts w:eastAsia="Times New Roman" w:cs="Arial"/>
          <w:color w:val="000000"/>
          <w:lang w:val="en-US"/>
        </w:rPr>
        <w:t xml:space="preserve">mg </w:t>
      </w:r>
      <w:r w:rsidRPr="00D812F5">
        <w:rPr>
          <w:rFonts w:eastAsia="Times New Roman" w:cs="Arial"/>
          <w:color w:val="000000"/>
          <w:lang w:eastAsia="bg-BG"/>
        </w:rPr>
        <w:t>и не се повлиява от многократно приложение при никое от дозовите нива.</w:t>
      </w:r>
    </w:p>
    <w:p w14:paraId="6B242907" w14:textId="77777777" w:rsidR="00D812F5" w:rsidRDefault="00D812F5" w:rsidP="00D812F5">
      <w:pPr>
        <w:spacing w:line="240" w:lineRule="auto"/>
        <w:rPr>
          <w:rFonts w:eastAsia="Times New Roman" w:cs="Arial"/>
          <w:color w:val="000000"/>
          <w:u w:val="single"/>
          <w:lang w:eastAsia="bg-BG"/>
        </w:rPr>
      </w:pPr>
    </w:p>
    <w:p w14:paraId="2CD54838" w14:textId="714B2700" w:rsidR="00D812F5" w:rsidRPr="00D812F5" w:rsidRDefault="00D812F5" w:rsidP="00D812F5">
      <w:pPr>
        <w:spacing w:line="240" w:lineRule="auto"/>
        <w:rPr>
          <w:rFonts w:eastAsia="Times New Roman" w:cs="Arial"/>
          <w:lang w:eastAsia="bg-BG"/>
        </w:rPr>
      </w:pPr>
      <w:r w:rsidRPr="00D812F5">
        <w:rPr>
          <w:rFonts w:eastAsia="Times New Roman" w:cs="Arial"/>
          <w:color w:val="000000"/>
          <w:u w:val="single"/>
          <w:lang w:eastAsia="bg-BG"/>
        </w:rPr>
        <w:t>Възраст</w:t>
      </w:r>
    </w:p>
    <w:p w14:paraId="0D405ADF"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Не са провеждани фармакокинетични проучвания при пациенти в старческа възраст (над 65 години).</w:t>
      </w:r>
    </w:p>
    <w:p w14:paraId="6AF79DB0" w14:textId="77777777" w:rsidR="00D812F5" w:rsidRDefault="00D812F5" w:rsidP="00D812F5">
      <w:pPr>
        <w:spacing w:line="240" w:lineRule="auto"/>
        <w:rPr>
          <w:rFonts w:eastAsia="Times New Roman" w:cs="Arial"/>
          <w:color w:val="000000"/>
          <w:u w:val="single"/>
          <w:lang w:eastAsia="bg-BG"/>
        </w:rPr>
      </w:pPr>
    </w:p>
    <w:p w14:paraId="78EADE45" w14:textId="6546DF76" w:rsidR="00D812F5" w:rsidRPr="00D812F5" w:rsidRDefault="00D812F5" w:rsidP="00D812F5">
      <w:pPr>
        <w:spacing w:line="240" w:lineRule="auto"/>
        <w:rPr>
          <w:rFonts w:eastAsia="Times New Roman" w:cs="Arial"/>
          <w:lang w:eastAsia="bg-BG"/>
        </w:rPr>
      </w:pPr>
      <w:r w:rsidRPr="00D812F5">
        <w:rPr>
          <w:rFonts w:eastAsia="Times New Roman" w:cs="Arial"/>
          <w:color w:val="000000"/>
          <w:u w:val="single"/>
          <w:lang w:eastAsia="bg-BG"/>
        </w:rPr>
        <w:t>Пол</w:t>
      </w:r>
    </w:p>
    <w:p w14:paraId="655E0549"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Ограничените данни за фармакокинетиката на тенофовир при жени не показват значително влияние на пола.</w:t>
      </w:r>
    </w:p>
    <w:p w14:paraId="3B6424E6" w14:textId="77777777" w:rsidR="00D812F5" w:rsidRDefault="00D812F5" w:rsidP="00D812F5">
      <w:pPr>
        <w:spacing w:line="240" w:lineRule="auto"/>
        <w:rPr>
          <w:rFonts w:eastAsia="Times New Roman" w:cs="Arial"/>
          <w:color w:val="000000"/>
          <w:u w:val="single"/>
          <w:lang w:eastAsia="bg-BG"/>
        </w:rPr>
      </w:pPr>
    </w:p>
    <w:p w14:paraId="62FDA40C" w14:textId="38695163" w:rsidR="00D812F5" w:rsidRPr="00D812F5" w:rsidRDefault="00D812F5" w:rsidP="00D812F5">
      <w:pPr>
        <w:spacing w:line="240" w:lineRule="auto"/>
        <w:rPr>
          <w:rFonts w:eastAsia="Times New Roman" w:cs="Arial"/>
          <w:lang w:eastAsia="bg-BG"/>
        </w:rPr>
      </w:pPr>
      <w:r w:rsidRPr="00D812F5">
        <w:rPr>
          <w:rFonts w:eastAsia="Times New Roman" w:cs="Arial"/>
          <w:color w:val="000000"/>
          <w:u w:val="single"/>
          <w:lang w:eastAsia="bg-BG"/>
        </w:rPr>
        <w:t>Етническа принадлежност</w:t>
      </w:r>
    </w:p>
    <w:p w14:paraId="378B5B18"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Фармакокинетиката не е специфично проучена при различни етнически групи.</w:t>
      </w:r>
    </w:p>
    <w:p w14:paraId="6A19ECCE" w14:textId="77777777" w:rsidR="00D812F5" w:rsidRDefault="00D812F5" w:rsidP="00D812F5">
      <w:pPr>
        <w:spacing w:line="240" w:lineRule="auto"/>
        <w:rPr>
          <w:rFonts w:eastAsia="Times New Roman" w:cs="Arial"/>
          <w:color w:val="000000"/>
          <w:u w:val="single"/>
          <w:lang w:eastAsia="bg-BG"/>
        </w:rPr>
      </w:pPr>
    </w:p>
    <w:p w14:paraId="78326F6C" w14:textId="0BE84E8B" w:rsidR="00D812F5" w:rsidRPr="00D812F5" w:rsidRDefault="00D812F5" w:rsidP="00D812F5">
      <w:pPr>
        <w:spacing w:line="240" w:lineRule="auto"/>
        <w:rPr>
          <w:rFonts w:eastAsia="Times New Roman" w:cs="Arial"/>
          <w:lang w:eastAsia="bg-BG"/>
        </w:rPr>
      </w:pPr>
      <w:r w:rsidRPr="00D812F5">
        <w:rPr>
          <w:rFonts w:eastAsia="Times New Roman" w:cs="Arial"/>
          <w:color w:val="000000"/>
          <w:u w:val="single"/>
          <w:lang w:eastAsia="bg-BG"/>
        </w:rPr>
        <w:t>Педиатрична популация</w:t>
      </w:r>
    </w:p>
    <w:p w14:paraId="3543BF9D" w14:textId="014190BC" w:rsidR="00D812F5" w:rsidRPr="00D812F5" w:rsidRDefault="00D812F5" w:rsidP="00D812F5">
      <w:pPr>
        <w:spacing w:line="240" w:lineRule="auto"/>
        <w:rPr>
          <w:rFonts w:eastAsia="Times New Roman" w:cs="Arial"/>
          <w:lang w:eastAsia="bg-BG"/>
        </w:rPr>
      </w:pPr>
      <w:r w:rsidRPr="00D812F5">
        <w:rPr>
          <w:rFonts w:eastAsia="Times New Roman" w:cs="Arial"/>
          <w:i/>
          <w:iCs/>
          <w:color w:val="000000"/>
          <w:lang w:val="en-US"/>
        </w:rPr>
        <w:t>HIV-</w:t>
      </w:r>
      <w:r w:rsidRPr="00D812F5">
        <w:rPr>
          <w:rFonts w:eastAsia="Times New Roman" w:cs="Arial"/>
          <w:i/>
          <w:iCs/>
          <w:color w:val="000000"/>
          <w:lang w:eastAsia="bg-BG"/>
        </w:rPr>
        <w:t>1:</w:t>
      </w:r>
      <w:r w:rsidRPr="00D812F5">
        <w:rPr>
          <w:rFonts w:eastAsia="Times New Roman" w:cs="Arial"/>
          <w:color w:val="000000"/>
          <w:lang w:eastAsia="bg-BG"/>
        </w:rPr>
        <w:t xml:space="preserve"> Фармакокинетичните характеристики на тенофовир в стационарно състояние са проучени при 8 инфектирани с </w:t>
      </w:r>
      <w:r w:rsidRPr="00D812F5">
        <w:rPr>
          <w:rFonts w:eastAsia="Times New Roman" w:cs="Arial"/>
          <w:color w:val="000000"/>
          <w:lang w:val="en-US"/>
        </w:rPr>
        <w:t xml:space="preserve">HIV-1 </w:t>
      </w:r>
      <w:r w:rsidRPr="00D812F5">
        <w:rPr>
          <w:rFonts w:eastAsia="Times New Roman" w:cs="Arial"/>
          <w:color w:val="000000"/>
          <w:lang w:eastAsia="bg-BG"/>
        </w:rPr>
        <w:t xml:space="preserve">пациенти в юношеска възраст (на възраст от 12 до &lt; 18 години) с телесна маса ≥ 35 </w:t>
      </w:r>
      <w:r w:rsidRPr="00D812F5">
        <w:rPr>
          <w:rFonts w:eastAsia="Times New Roman" w:cs="Arial"/>
          <w:color w:val="000000"/>
          <w:lang w:val="en-US"/>
        </w:rPr>
        <w:t xml:space="preserve">kg. </w:t>
      </w:r>
      <w:r w:rsidRPr="00D812F5">
        <w:rPr>
          <w:rFonts w:eastAsia="Times New Roman" w:cs="Arial"/>
          <w:color w:val="000000"/>
          <w:lang w:eastAsia="bg-BG"/>
        </w:rPr>
        <w:t xml:space="preserve">Средните (± </w:t>
      </w:r>
      <w:r w:rsidRPr="00D812F5">
        <w:rPr>
          <w:rFonts w:eastAsia="Times New Roman" w:cs="Arial"/>
          <w:color w:val="000000"/>
          <w:lang w:val="en-US"/>
        </w:rPr>
        <w:t xml:space="preserve">SD) </w:t>
      </w:r>
      <w:r w:rsidRPr="00D812F5">
        <w:rPr>
          <w:rFonts w:eastAsia="Times New Roman" w:cs="Arial"/>
          <w:color w:val="000000"/>
          <w:lang w:eastAsia="bg-BG"/>
        </w:rPr>
        <w:t>С</w:t>
      </w:r>
      <w:r w:rsidRPr="00D812F5">
        <w:rPr>
          <w:rFonts w:eastAsia="Times New Roman" w:cs="Arial"/>
          <w:color w:val="000000"/>
          <w:vertAlign w:val="subscript"/>
          <w:lang w:val="en-US"/>
        </w:rPr>
        <w:t>max</w:t>
      </w:r>
      <w:r w:rsidRPr="00D812F5">
        <w:rPr>
          <w:rFonts w:eastAsia="Times New Roman" w:cs="Arial"/>
          <w:color w:val="000000"/>
          <w:lang w:eastAsia="bg-BG"/>
        </w:rPr>
        <w:t xml:space="preserve"> и </w:t>
      </w:r>
      <w:proofErr w:type="spellStart"/>
      <w:r w:rsidRPr="00D812F5">
        <w:rPr>
          <w:rFonts w:eastAsia="Times New Roman" w:cs="Arial"/>
          <w:color w:val="000000"/>
          <w:lang w:val="en-US"/>
        </w:rPr>
        <w:t>AUC</w:t>
      </w:r>
      <w:r w:rsidRPr="00D812F5">
        <w:rPr>
          <w:rFonts w:eastAsia="Times New Roman" w:cs="Arial"/>
          <w:color w:val="000000"/>
          <w:vertAlign w:val="subscript"/>
          <w:lang w:val="en-US"/>
        </w:rPr>
        <w:t>tau</w:t>
      </w:r>
      <w:proofErr w:type="spellEnd"/>
      <w:r w:rsidRPr="00D812F5">
        <w:rPr>
          <w:rFonts w:eastAsia="Times New Roman" w:cs="Arial"/>
          <w:color w:val="000000"/>
          <w:lang w:val="en-US"/>
        </w:rPr>
        <w:t xml:space="preserve"> </w:t>
      </w:r>
      <w:r w:rsidRPr="00D812F5">
        <w:rPr>
          <w:rFonts w:eastAsia="Times New Roman" w:cs="Arial"/>
          <w:color w:val="000000"/>
          <w:lang w:eastAsia="bg-BG"/>
        </w:rPr>
        <w:t>са съответно 0,38 ±0,13 μ</w:t>
      </w:r>
      <w:r w:rsidRPr="00D812F5">
        <w:rPr>
          <w:rFonts w:eastAsia="Times New Roman" w:cs="Arial"/>
          <w:color w:val="000000"/>
          <w:lang w:val="en-US"/>
        </w:rPr>
        <w:t xml:space="preserve">g/ml </w:t>
      </w:r>
      <w:r w:rsidRPr="00D812F5">
        <w:rPr>
          <w:rFonts w:eastAsia="Times New Roman" w:cs="Arial"/>
          <w:color w:val="000000"/>
          <w:lang w:eastAsia="bg-BG"/>
        </w:rPr>
        <w:t>и 3,39 ± 1,22</w:t>
      </w:r>
      <w:r>
        <w:rPr>
          <w:rFonts w:eastAsia="Times New Roman" w:cs="Arial"/>
          <w:lang w:val="en-US" w:eastAsia="bg-BG"/>
        </w:rPr>
        <w:t xml:space="preserve"> </w:t>
      </w:r>
      <w:r w:rsidRPr="00D812F5">
        <w:rPr>
          <w:rFonts w:eastAsia="Times New Roman" w:cs="Arial"/>
          <w:color w:val="000000"/>
          <w:lang w:eastAsia="bg-BG"/>
        </w:rPr>
        <w:t>μ</w:t>
      </w:r>
      <w:r w:rsidRPr="00D812F5">
        <w:rPr>
          <w:rFonts w:eastAsia="Times New Roman" w:cs="Arial"/>
          <w:color w:val="000000"/>
          <w:lang w:val="en-US"/>
        </w:rPr>
        <w:t xml:space="preserve">g-h/ml. </w:t>
      </w:r>
      <w:r w:rsidRPr="00D812F5">
        <w:rPr>
          <w:rFonts w:eastAsia="Times New Roman" w:cs="Arial"/>
          <w:color w:val="000000"/>
          <w:lang w:eastAsia="bg-BG"/>
        </w:rPr>
        <w:t xml:space="preserve">Експозицията на тенофовир, постигната при пациенти в юношеска възраст, приемащи перорално дневни дози тенофовир дизопроксил 245 </w:t>
      </w:r>
      <w:r w:rsidRPr="00D812F5">
        <w:rPr>
          <w:rFonts w:eastAsia="Times New Roman" w:cs="Arial"/>
          <w:color w:val="000000"/>
          <w:lang w:val="en-US"/>
        </w:rPr>
        <w:t xml:space="preserve">mg, </w:t>
      </w:r>
      <w:r w:rsidRPr="00D812F5">
        <w:rPr>
          <w:rFonts w:eastAsia="Times New Roman" w:cs="Arial"/>
          <w:color w:val="000000"/>
          <w:lang w:eastAsia="bg-BG"/>
        </w:rPr>
        <w:t xml:space="preserve">е подобна на експозициите, постигнати при възрастни, получаващи еднократни дневни дози тенофовир дизопроксил 245 </w:t>
      </w:r>
      <w:r w:rsidRPr="00D812F5">
        <w:rPr>
          <w:rFonts w:eastAsia="Times New Roman" w:cs="Arial"/>
          <w:color w:val="000000"/>
          <w:lang w:val="en-US"/>
        </w:rPr>
        <w:t>mg.</w:t>
      </w:r>
    </w:p>
    <w:p w14:paraId="031AAA54" w14:textId="77777777" w:rsidR="00D812F5" w:rsidRPr="00D812F5" w:rsidRDefault="00D812F5" w:rsidP="00D812F5">
      <w:pPr>
        <w:spacing w:line="240" w:lineRule="auto"/>
        <w:rPr>
          <w:rFonts w:eastAsia="Times New Roman" w:cs="Arial"/>
          <w:lang w:eastAsia="bg-BG"/>
        </w:rPr>
      </w:pPr>
    </w:p>
    <w:p w14:paraId="31050626" w14:textId="77777777" w:rsidR="00D812F5" w:rsidRPr="00D812F5" w:rsidRDefault="00D812F5" w:rsidP="00D812F5">
      <w:pPr>
        <w:spacing w:line="240" w:lineRule="auto"/>
        <w:rPr>
          <w:rFonts w:eastAsia="Times New Roman" w:cs="Arial"/>
          <w:lang w:eastAsia="bg-BG"/>
        </w:rPr>
      </w:pPr>
      <w:r w:rsidRPr="00D812F5">
        <w:rPr>
          <w:rFonts w:eastAsia="Times New Roman" w:cs="Arial"/>
          <w:i/>
          <w:iCs/>
          <w:color w:val="000000"/>
          <w:lang w:eastAsia="bg-BG"/>
        </w:rPr>
        <w:t>Хроничен хепатит В:</w:t>
      </w:r>
      <w:r w:rsidRPr="00D812F5">
        <w:rPr>
          <w:rFonts w:eastAsia="Times New Roman" w:cs="Arial"/>
          <w:color w:val="000000"/>
          <w:lang w:eastAsia="bg-BG"/>
        </w:rPr>
        <w:t xml:space="preserve"> Експозицията на тенофовир в стационарно състояние при инфектирани с </w:t>
      </w:r>
      <w:r w:rsidRPr="00D812F5">
        <w:rPr>
          <w:rFonts w:eastAsia="Times New Roman" w:cs="Arial"/>
          <w:color w:val="000000"/>
          <w:lang w:val="en-US"/>
        </w:rPr>
        <w:t xml:space="preserve">HBV </w:t>
      </w:r>
      <w:r w:rsidRPr="00D812F5">
        <w:rPr>
          <w:rFonts w:eastAsia="Times New Roman" w:cs="Arial"/>
          <w:color w:val="000000"/>
          <w:lang w:eastAsia="bg-BG"/>
        </w:rPr>
        <w:t xml:space="preserve">пациенти в юношеска възраст (на възраст от 12 до &lt; 18 години), приемащи перорално дневна доза тенофовир дизопроксил 245 </w:t>
      </w:r>
      <w:r w:rsidRPr="00D812F5">
        <w:rPr>
          <w:rFonts w:eastAsia="Times New Roman" w:cs="Arial"/>
          <w:color w:val="000000"/>
          <w:lang w:val="en-US"/>
        </w:rPr>
        <w:t xml:space="preserve">mg, </w:t>
      </w:r>
      <w:r w:rsidRPr="00D812F5">
        <w:rPr>
          <w:rFonts w:eastAsia="Times New Roman" w:cs="Arial"/>
          <w:color w:val="000000"/>
          <w:lang w:eastAsia="bg-BG"/>
        </w:rPr>
        <w:t xml:space="preserve">е подобна на експозициите, постигнати при възрастни, получаващи еднократни дневни дози тенофовир дизопроксил 245 </w:t>
      </w:r>
      <w:r w:rsidRPr="00D812F5">
        <w:rPr>
          <w:rFonts w:eastAsia="Times New Roman" w:cs="Arial"/>
          <w:color w:val="000000"/>
          <w:lang w:val="en-US"/>
        </w:rPr>
        <w:t>mg.</w:t>
      </w:r>
    </w:p>
    <w:p w14:paraId="0221C091" w14:textId="77777777" w:rsidR="00D812F5" w:rsidRDefault="00D812F5" w:rsidP="00D812F5">
      <w:pPr>
        <w:spacing w:line="240" w:lineRule="auto"/>
        <w:rPr>
          <w:rFonts w:eastAsia="Times New Roman" w:cs="Arial"/>
          <w:color w:val="000000"/>
          <w:lang w:eastAsia="bg-BG"/>
        </w:rPr>
      </w:pPr>
    </w:p>
    <w:p w14:paraId="28C9AB09" w14:textId="1BED855B"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Не са провеждани фармакокинетични проучвания с таблетки тенофовир дизопроксил 245 </w:t>
      </w:r>
      <w:r w:rsidRPr="00D812F5">
        <w:rPr>
          <w:rFonts w:eastAsia="Times New Roman" w:cs="Arial"/>
          <w:color w:val="000000"/>
          <w:lang w:val="en-US"/>
        </w:rPr>
        <w:t xml:space="preserve">mg </w:t>
      </w:r>
      <w:r w:rsidRPr="00D812F5">
        <w:rPr>
          <w:rFonts w:eastAsia="Times New Roman" w:cs="Arial"/>
          <w:color w:val="000000"/>
          <w:lang w:eastAsia="bg-BG"/>
        </w:rPr>
        <w:t>при деца под 12 годишна възраст или с бъбречно увреждане.</w:t>
      </w:r>
    </w:p>
    <w:p w14:paraId="5BCB28EA" w14:textId="77777777" w:rsidR="00D812F5" w:rsidRDefault="00D812F5" w:rsidP="00D812F5">
      <w:pPr>
        <w:spacing w:line="240" w:lineRule="auto"/>
        <w:rPr>
          <w:rFonts w:eastAsia="Times New Roman" w:cs="Arial"/>
          <w:color w:val="000000"/>
          <w:u w:val="single"/>
          <w:lang w:eastAsia="bg-BG"/>
        </w:rPr>
      </w:pPr>
    </w:p>
    <w:p w14:paraId="5BB350D5" w14:textId="4B5A21B0" w:rsidR="00D812F5" w:rsidRPr="00D812F5" w:rsidRDefault="00D812F5" w:rsidP="00D812F5">
      <w:pPr>
        <w:spacing w:line="240" w:lineRule="auto"/>
        <w:rPr>
          <w:rFonts w:eastAsia="Times New Roman" w:cs="Arial"/>
          <w:lang w:eastAsia="bg-BG"/>
        </w:rPr>
      </w:pPr>
      <w:r w:rsidRPr="00D812F5">
        <w:rPr>
          <w:rFonts w:eastAsia="Times New Roman" w:cs="Arial"/>
          <w:color w:val="000000"/>
          <w:u w:val="single"/>
          <w:lang w:eastAsia="bg-BG"/>
        </w:rPr>
        <w:t>Бъбречно увреждане</w:t>
      </w:r>
    </w:p>
    <w:p w14:paraId="0930F00C"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Фармакокинетичните параметри на тенофовир са установени след прилагане на единична доза тенофовир дизопроксил 245 </w:t>
      </w:r>
      <w:r w:rsidRPr="00D812F5">
        <w:rPr>
          <w:rFonts w:eastAsia="Times New Roman" w:cs="Arial"/>
          <w:color w:val="000000"/>
          <w:lang w:val="en-US"/>
        </w:rPr>
        <w:t xml:space="preserve">mg </w:t>
      </w:r>
      <w:r w:rsidRPr="00D812F5">
        <w:rPr>
          <w:rFonts w:eastAsia="Times New Roman" w:cs="Arial"/>
          <w:color w:val="000000"/>
          <w:lang w:eastAsia="bg-BG"/>
        </w:rPr>
        <w:t xml:space="preserve">при 40 възрастни пациенти, </w:t>
      </w:r>
      <w:r w:rsidRPr="00D812F5">
        <w:rPr>
          <w:rFonts w:eastAsia="Times New Roman" w:cs="Arial"/>
          <w:color w:val="000000"/>
          <w:lang w:eastAsia="bg-BG"/>
        </w:rPr>
        <w:lastRenderedPageBreak/>
        <w:t xml:space="preserve">неинфектирани с </w:t>
      </w:r>
      <w:r w:rsidRPr="00D812F5">
        <w:rPr>
          <w:rFonts w:eastAsia="Times New Roman" w:cs="Arial"/>
          <w:color w:val="000000"/>
          <w:lang w:val="en-US"/>
        </w:rPr>
        <w:t xml:space="preserve">HTV </w:t>
      </w:r>
      <w:r w:rsidRPr="00D812F5">
        <w:rPr>
          <w:rFonts w:eastAsia="Times New Roman" w:cs="Arial"/>
          <w:color w:val="000000"/>
          <w:lang w:eastAsia="bg-BG"/>
        </w:rPr>
        <w:t xml:space="preserve">и неинфектирани с НВV, с различни степени на бъбречно увреждане, определено в зависимост от изходния креатининов клирънс </w:t>
      </w:r>
      <w:r w:rsidRPr="00D812F5">
        <w:rPr>
          <w:rFonts w:eastAsia="Times New Roman" w:cs="Arial"/>
          <w:color w:val="000000"/>
          <w:lang w:val="en-US"/>
        </w:rPr>
        <w:t>(</w:t>
      </w:r>
      <w:proofErr w:type="spellStart"/>
      <w:r w:rsidRPr="00D812F5">
        <w:rPr>
          <w:rFonts w:eastAsia="Times New Roman" w:cs="Arial"/>
          <w:color w:val="000000"/>
          <w:lang w:val="en-US"/>
        </w:rPr>
        <w:t>CrCl</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 </w:t>
      </w:r>
      <w:r w:rsidRPr="00D812F5">
        <w:rPr>
          <w:rFonts w:eastAsia="Times New Roman" w:cs="Arial"/>
          <w:color w:val="000000"/>
          <w:lang w:val="en-US"/>
        </w:rPr>
        <w:t xml:space="preserve">creatinine clearance) </w:t>
      </w:r>
      <w:r w:rsidRPr="00D812F5">
        <w:rPr>
          <w:rFonts w:eastAsia="Times New Roman" w:cs="Arial"/>
          <w:color w:val="000000"/>
          <w:lang w:eastAsia="bg-BG"/>
        </w:rPr>
        <w:t>(нормална бъбречна функция при СгС</w:t>
      </w:r>
      <w:r w:rsidRPr="00D812F5">
        <w:rPr>
          <w:rFonts w:eastAsia="Times New Roman" w:cs="Arial"/>
          <w:color w:val="000000"/>
          <w:lang w:val="en-US"/>
        </w:rPr>
        <w:t>l</w:t>
      </w:r>
      <w:r w:rsidRPr="00D812F5">
        <w:rPr>
          <w:rFonts w:eastAsia="Times New Roman" w:cs="Arial"/>
          <w:color w:val="000000"/>
          <w:lang w:eastAsia="bg-BG"/>
        </w:rPr>
        <w:t xml:space="preserve"> &gt; 80 </w:t>
      </w:r>
      <w:r w:rsidRPr="00D812F5">
        <w:rPr>
          <w:rFonts w:eastAsia="Times New Roman" w:cs="Arial"/>
          <w:color w:val="000000"/>
          <w:lang w:val="en-US"/>
        </w:rPr>
        <w:t xml:space="preserve">ml/min; </w:t>
      </w:r>
      <w:r w:rsidRPr="00D812F5">
        <w:rPr>
          <w:rFonts w:eastAsia="Times New Roman" w:cs="Arial"/>
          <w:color w:val="000000"/>
          <w:lang w:eastAsia="bg-BG"/>
        </w:rPr>
        <w:t xml:space="preserve">леко увреждане при </w:t>
      </w:r>
      <w:proofErr w:type="spellStart"/>
      <w:r w:rsidRPr="00D812F5">
        <w:rPr>
          <w:rFonts w:eastAsia="Times New Roman" w:cs="Arial"/>
          <w:color w:val="000000"/>
          <w:lang w:val="en-US"/>
        </w:rPr>
        <w:t>CrCl</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 50-79 </w:t>
      </w:r>
      <w:r w:rsidRPr="00D812F5">
        <w:rPr>
          <w:rFonts w:eastAsia="Times New Roman" w:cs="Arial"/>
          <w:color w:val="000000"/>
          <w:lang w:val="en-US"/>
        </w:rPr>
        <w:t xml:space="preserve">ml/min; </w:t>
      </w:r>
      <w:r w:rsidRPr="00D812F5">
        <w:rPr>
          <w:rFonts w:eastAsia="Times New Roman" w:cs="Arial"/>
          <w:color w:val="000000"/>
          <w:lang w:eastAsia="bg-BG"/>
        </w:rPr>
        <w:t xml:space="preserve">умерено увреждане при </w:t>
      </w:r>
      <w:proofErr w:type="spellStart"/>
      <w:r w:rsidRPr="00D812F5">
        <w:rPr>
          <w:rFonts w:eastAsia="Times New Roman" w:cs="Arial"/>
          <w:color w:val="000000"/>
          <w:lang w:val="en-US"/>
        </w:rPr>
        <w:t>CrCl</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 30-49 </w:t>
      </w:r>
      <w:r w:rsidRPr="00D812F5">
        <w:rPr>
          <w:rFonts w:eastAsia="Times New Roman" w:cs="Arial"/>
          <w:color w:val="000000"/>
          <w:lang w:val="en-US"/>
        </w:rPr>
        <w:t xml:space="preserve">ml/min </w:t>
      </w:r>
      <w:r w:rsidRPr="00D812F5">
        <w:rPr>
          <w:rFonts w:eastAsia="Times New Roman" w:cs="Arial"/>
          <w:color w:val="000000"/>
          <w:lang w:eastAsia="bg-BG"/>
        </w:rPr>
        <w:t xml:space="preserve">и тежко увреждане при </w:t>
      </w:r>
      <w:proofErr w:type="spellStart"/>
      <w:r w:rsidRPr="00D812F5">
        <w:rPr>
          <w:rFonts w:eastAsia="Times New Roman" w:cs="Arial"/>
          <w:color w:val="000000"/>
          <w:lang w:val="en-US"/>
        </w:rPr>
        <w:t>CrCl</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- 10-29 </w:t>
      </w:r>
      <w:r w:rsidRPr="00D812F5">
        <w:rPr>
          <w:rFonts w:eastAsia="Times New Roman" w:cs="Arial"/>
          <w:color w:val="000000"/>
          <w:lang w:val="en-US"/>
        </w:rPr>
        <w:t xml:space="preserve">ml/min). </w:t>
      </w:r>
      <w:r w:rsidRPr="00D812F5">
        <w:rPr>
          <w:rFonts w:eastAsia="Times New Roman" w:cs="Arial"/>
          <w:color w:val="000000"/>
          <w:lang w:eastAsia="bg-BG"/>
        </w:rPr>
        <w:t xml:space="preserve">В сравнение с пациенти с нормална бъбречна функция средната (% </w:t>
      </w:r>
      <w:r w:rsidRPr="00D812F5">
        <w:rPr>
          <w:rFonts w:eastAsia="Times New Roman" w:cs="Arial"/>
          <w:color w:val="000000"/>
          <w:lang w:val="en-US"/>
        </w:rPr>
        <w:t xml:space="preserve">CV </w:t>
      </w:r>
      <w:r w:rsidRPr="00D812F5">
        <w:rPr>
          <w:rFonts w:eastAsia="Times New Roman" w:cs="Arial"/>
          <w:color w:val="000000"/>
          <w:lang w:eastAsia="bg-BG"/>
        </w:rPr>
        <w:t xml:space="preserve">- вариационен коефициент) експозиция на тенофовир се е повишила от 2185 (12 %) </w:t>
      </w:r>
      <w:r w:rsidRPr="00D812F5">
        <w:rPr>
          <w:rFonts w:eastAsia="Times New Roman" w:cs="Arial"/>
          <w:color w:val="000000"/>
          <w:lang w:val="en-US"/>
        </w:rPr>
        <w:t xml:space="preserve">ng h/ml </w:t>
      </w:r>
      <w:r w:rsidRPr="00D812F5">
        <w:rPr>
          <w:rFonts w:eastAsia="Times New Roman" w:cs="Arial"/>
          <w:color w:val="000000"/>
          <w:lang w:eastAsia="bg-BG"/>
        </w:rPr>
        <w:t xml:space="preserve">при участници с </w:t>
      </w:r>
      <w:proofErr w:type="spellStart"/>
      <w:r w:rsidRPr="00D812F5">
        <w:rPr>
          <w:rFonts w:eastAsia="Times New Roman" w:cs="Arial"/>
          <w:color w:val="000000"/>
          <w:lang w:val="en-US"/>
        </w:rPr>
        <w:t>CrCl</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&gt; 80 </w:t>
      </w:r>
      <w:r w:rsidRPr="00D812F5">
        <w:rPr>
          <w:rFonts w:eastAsia="Times New Roman" w:cs="Arial"/>
          <w:color w:val="000000"/>
          <w:lang w:val="en-US"/>
        </w:rPr>
        <w:t xml:space="preserve">ml/min </w:t>
      </w:r>
      <w:r w:rsidRPr="00D812F5">
        <w:rPr>
          <w:rFonts w:eastAsia="Times New Roman" w:cs="Arial"/>
          <w:color w:val="000000"/>
          <w:lang w:eastAsia="bg-BG"/>
        </w:rPr>
        <w:t xml:space="preserve">съответно до 3064 (30 %) </w:t>
      </w:r>
      <w:r w:rsidRPr="00D812F5">
        <w:rPr>
          <w:rFonts w:eastAsia="Times New Roman" w:cs="Arial"/>
          <w:color w:val="000000"/>
          <w:lang w:val="en-US"/>
        </w:rPr>
        <w:t xml:space="preserve">ng h/ml, </w:t>
      </w:r>
      <w:r w:rsidRPr="00D812F5">
        <w:rPr>
          <w:rFonts w:eastAsia="Times New Roman" w:cs="Arial"/>
          <w:color w:val="000000"/>
          <w:lang w:eastAsia="bg-BG"/>
        </w:rPr>
        <w:t xml:space="preserve">6009 (42 %) </w:t>
      </w:r>
      <w:proofErr w:type="spellStart"/>
      <w:r w:rsidRPr="00D812F5">
        <w:rPr>
          <w:rFonts w:eastAsia="Times New Roman" w:cs="Arial"/>
          <w:color w:val="000000"/>
          <w:lang w:val="en-US"/>
        </w:rPr>
        <w:t>ngh</w:t>
      </w:r>
      <w:proofErr w:type="spellEnd"/>
      <w:r w:rsidRPr="00D812F5">
        <w:rPr>
          <w:rFonts w:eastAsia="Times New Roman" w:cs="Arial"/>
          <w:color w:val="000000"/>
          <w:lang w:val="en-US"/>
        </w:rPr>
        <w:t xml:space="preserve">/ml </w:t>
      </w:r>
      <w:r w:rsidRPr="00D812F5">
        <w:rPr>
          <w:rFonts w:eastAsia="Times New Roman" w:cs="Arial"/>
          <w:color w:val="000000"/>
          <w:lang w:eastAsia="bg-BG"/>
        </w:rPr>
        <w:t xml:space="preserve">и 15 985 (45 %) </w:t>
      </w:r>
      <w:r w:rsidRPr="00D812F5">
        <w:rPr>
          <w:rFonts w:eastAsia="Times New Roman" w:cs="Arial"/>
          <w:color w:val="000000"/>
          <w:lang w:val="en-US"/>
        </w:rPr>
        <w:t xml:space="preserve">ng h/ml </w:t>
      </w:r>
      <w:r w:rsidRPr="00D812F5">
        <w:rPr>
          <w:rFonts w:eastAsia="Times New Roman" w:cs="Arial"/>
          <w:color w:val="000000"/>
          <w:lang w:eastAsia="bg-BG"/>
        </w:rPr>
        <w:t>при пациенти с леко, умерено и тежко бъбречно увреждане. Дозовите препоръки (увеличен интервал на прилагане) при пациенти с бъбречно увреждане се очаква да доведат до по-високи пикови плазмени концентрации и по-ниски нива на С</w:t>
      </w:r>
      <w:r w:rsidRPr="00D812F5">
        <w:rPr>
          <w:rFonts w:eastAsia="Times New Roman" w:cs="Arial"/>
          <w:color w:val="000000"/>
          <w:vertAlign w:val="subscript"/>
          <w:lang w:val="en-US"/>
        </w:rPr>
        <w:t>min</w:t>
      </w:r>
      <w:r w:rsidRPr="00D812F5">
        <w:rPr>
          <w:rFonts w:eastAsia="Times New Roman" w:cs="Arial"/>
          <w:color w:val="000000"/>
          <w:lang w:eastAsia="bg-BG"/>
        </w:rPr>
        <w:t xml:space="preserve"> при пациенти с бъбречно увреждане в сравнение с пациентите с нормална бъбречна функция. Не е известно клиничното значение на тези факти.</w:t>
      </w:r>
    </w:p>
    <w:p w14:paraId="670663EC" w14:textId="77777777" w:rsidR="00D812F5" w:rsidRDefault="00D812F5" w:rsidP="00D812F5">
      <w:pPr>
        <w:rPr>
          <w:rFonts w:eastAsia="Times New Roman" w:cs="Arial"/>
          <w:color w:val="000000"/>
          <w:lang w:eastAsia="bg-BG"/>
        </w:rPr>
      </w:pPr>
    </w:p>
    <w:p w14:paraId="2D1D82A9" w14:textId="7B344400" w:rsidR="00D812F5" w:rsidRDefault="00D812F5" w:rsidP="00D812F5">
      <w:pPr>
        <w:rPr>
          <w:rFonts w:eastAsia="Times New Roman" w:cs="Arial"/>
          <w:color w:val="000000"/>
          <w:lang w:eastAsia="bg-BG"/>
        </w:rPr>
      </w:pPr>
      <w:r w:rsidRPr="00D812F5">
        <w:rPr>
          <w:rFonts w:eastAsia="Times New Roman" w:cs="Arial"/>
          <w:color w:val="000000"/>
          <w:lang w:eastAsia="bg-BG"/>
        </w:rPr>
        <w:t xml:space="preserve">При пациенти с краен стадий на бъбречно заболяване (КСБЗ) </w:t>
      </w:r>
      <w:r w:rsidRPr="00D812F5">
        <w:rPr>
          <w:rFonts w:eastAsia="Times New Roman" w:cs="Arial"/>
          <w:color w:val="000000"/>
          <w:lang w:val="en-US"/>
        </w:rPr>
        <w:t>(</w:t>
      </w:r>
      <w:proofErr w:type="spellStart"/>
      <w:r w:rsidRPr="00D812F5">
        <w:rPr>
          <w:rFonts w:eastAsia="Times New Roman" w:cs="Arial"/>
          <w:color w:val="000000"/>
          <w:lang w:val="en-US"/>
        </w:rPr>
        <w:t>CrCl</w:t>
      </w:r>
      <w:proofErr w:type="spellEnd"/>
      <w:r w:rsidRPr="00D812F5">
        <w:rPr>
          <w:rFonts w:eastAsia="Times New Roman" w:cs="Arial"/>
          <w:color w:val="000000"/>
          <w:lang w:val="en-US"/>
        </w:rPr>
        <w:t xml:space="preserve"> </w:t>
      </w:r>
      <w:r w:rsidRPr="00D812F5">
        <w:rPr>
          <w:rFonts w:eastAsia="Times New Roman" w:cs="Arial"/>
          <w:color w:val="000000"/>
          <w:lang w:eastAsia="bg-BG"/>
        </w:rPr>
        <w:t xml:space="preserve">&lt; 10 </w:t>
      </w:r>
      <w:r w:rsidRPr="00D812F5">
        <w:rPr>
          <w:rFonts w:eastAsia="Times New Roman" w:cs="Arial"/>
          <w:color w:val="000000"/>
          <w:lang w:val="en-US"/>
        </w:rPr>
        <w:t xml:space="preserve">ml/min), </w:t>
      </w:r>
      <w:r w:rsidRPr="00D812F5">
        <w:rPr>
          <w:rFonts w:eastAsia="Times New Roman" w:cs="Arial"/>
          <w:color w:val="000000"/>
          <w:lang w:eastAsia="bg-BG"/>
        </w:rPr>
        <w:t>при</w:t>
      </w:r>
      <w:r w:rsidRPr="00D812F5">
        <w:rPr>
          <w:rFonts w:eastAsia="Times New Roman" w:cs="Arial"/>
          <w:color w:val="000000"/>
          <w:lang w:val="en-US"/>
        </w:rPr>
        <w:t xml:space="preserve"> </w:t>
      </w:r>
      <w:r w:rsidRPr="00D812F5">
        <w:rPr>
          <w:rFonts w:eastAsia="Times New Roman" w:cs="Arial"/>
          <w:color w:val="000000"/>
          <w:lang w:eastAsia="bg-BG"/>
        </w:rPr>
        <w:t>които се налага хемодиализа, концентрациите на тенофовир значително се повишават между отделните диализи, достигайки средна С</w:t>
      </w:r>
      <w:r w:rsidRPr="00D812F5">
        <w:rPr>
          <w:rFonts w:eastAsia="Times New Roman" w:cs="Arial"/>
          <w:color w:val="000000"/>
          <w:vertAlign w:val="subscript"/>
          <w:lang w:val="en-US"/>
        </w:rPr>
        <w:t>max</w:t>
      </w:r>
      <w:r w:rsidRPr="00D812F5">
        <w:rPr>
          <w:rFonts w:eastAsia="Times New Roman" w:cs="Arial"/>
          <w:color w:val="000000"/>
          <w:lang w:eastAsia="bg-BG"/>
        </w:rPr>
        <w:t xml:space="preserve"> от 1032 </w:t>
      </w:r>
      <w:r w:rsidRPr="00D812F5">
        <w:rPr>
          <w:rFonts w:eastAsia="Times New Roman" w:cs="Arial"/>
          <w:color w:val="000000"/>
          <w:lang w:val="en-US"/>
        </w:rPr>
        <w:t xml:space="preserve">ng/ml </w:t>
      </w:r>
      <w:r w:rsidRPr="00D812F5">
        <w:rPr>
          <w:rFonts w:eastAsia="Times New Roman" w:cs="Arial"/>
          <w:color w:val="000000"/>
          <w:lang w:eastAsia="bg-BG"/>
        </w:rPr>
        <w:t xml:space="preserve">и средна </w:t>
      </w:r>
      <w:r w:rsidRPr="00D812F5">
        <w:rPr>
          <w:rFonts w:eastAsia="Times New Roman" w:cs="Arial"/>
          <w:color w:val="000000"/>
          <w:lang w:val="en-US"/>
        </w:rPr>
        <w:t>AUC</w:t>
      </w:r>
      <w:r w:rsidRPr="00D812F5">
        <w:rPr>
          <w:rFonts w:eastAsia="Times New Roman" w:cs="Arial"/>
          <w:color w:val="000000"/>
          <w:vertAlign w:val="subscript"/>
          <w:lang w:val="en-US"/>
        </w:rPr>
        <w:t>0-48h</w:t>
      </w:r>
      <w:r w:rsidRPr="00D812F5">
        <w:rPr>
          <w:rFonts w:eastAsia="Times New Roman" w:cs="Arial"/>
          <w:color w:val="000000"/>
          <w:lang w:val="en-US"/>
        </w:rPr>
        <w:t xml:space="preserve"> </w:t>
      </w:r>
      <w:r w:rsidRPr="00D812F5">
        <w:rPr>
          <w:rFonts w:eastAsia="Times New Roman" w:cs="Arial"/>
          <w:color w:val="000000"/>
          <w:lang w:eastAsia="bg-BG"/>
        </w:rPr>
        <w:t xml:space="preserve">от 42 857 </w:t>
      </w:r>
      <w:r w:rsidRPr="00D812F5">
        <w:rPr>
          <w:rFonts w:eastAsia="Times New Roman" w:cs="Arial"/>
          <w:color w:val="000000"/>
          <w:lang w:val="en-US"/>
        </w:rPr>
        <w:t xml:space="preserve">ng h/ml </w:t>
      </w:r>
      <w:r w:rsidRPr="00D812F5">
        <w:rPr>
          <w:rFonts w:eastAsia="Times New Roman" w:cs="Arial"/>
          <w:color w:val="000000"/>
          <w:lang w:eastAsia="bg-BG"/>
        </w:rPr>
        <w:t>в рамките на 48 часа.</w:t>
      </w:r>
    </w:p>
    <w:p w14:paraId="1F21AA17" w14:textId="6986F205" w:rsidR="00D812F5" w:rsidRDefault="00D812F5" w:rsidP="00D812F5">
      <w:pPr>
        <w:rPr>
          <w:rFonts w:eastAsia="Times New Roman" w:cs="Arial"/>
          <w:color w:val="000000"/>
          <w:lang w:eastAsia="bg-BG"/>
        </w:rPr>
      </w:pPr>
    </w:p>
    <w:p w14:paraId="5CED6F94"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Препоръчва се промяна на интервала на прилагане за тенофовир дизОпроксил 245 </w:t>
      </w:r>
      <w:r w:rsidRPr="00D812F5">
        <w:rPr>
          <w:rFonts w:eastAsia="Times New Roman" w:cs="Arial"/>
          <w:color w:val="000000"/>
          <w:lang w:val="en-US"/>
        </w:rPr>
        <w:t xml:space="preserve">mg </w:t>
      </w:r>
      <w:r w:rsidRPr="00D812F5">
        <w:rPr>
          <w:rFonts w:eastAsia="Times New Roman" w:cs="Arial"/>
          <w:color w:val="000000"/>
          <w:lang w:eastAsia="bg-BG"/>
        </w:rPr>
        <w:t xml:space="preserve">при възрастни пациенти с креатининов клирънс &lt; 50 </w:t>
      </w:r>
      <w:r w:rsidRPr="00D812F5">
        <w:rPr>
          <w:rFonts w:eastAsia="Times New Roman" w:cs="Arial"/>
          <w:color w:val="000000"/>
          <w:lang w:val="en-US"/>
        </w:rPr>
        <w:t xml:space="preserve">ml/min </w:t>
      </w:r>
      <w:r w:rsidRPr="00D812F5">
        <w:rPr>
          <w:rFonts w:eastAsia="Times New Roman" w:cs="Arial"/>
          <w:color w:val="000000"/>
          <w:lang w:eastAsia="bg-BG"/>
        </w:rPr>
        <w:t>или при пациенти, които вече имат КСБЗ и при които се налага диализа (вж. точка 4.2).</w:t>
      </w:r>
    </w:p>
    <w:p w14:paraId="6BEF7D38" w14:textId="77777777" w:rsidR="00D812F5" w:rsidRDefault="00D812F5" w:rsidP="00D812F5">
      <w:pPr>
        <w:spacing w:line="240" w:lineRule="auto"/>
        <w:rPr>
          <w:rFonts w:eastAsia="Times New Roman" w:cs="Arial"/>
          <w:color w:val="000000"/>
          <w:lang w:eastAsia="bg-BG"/>
        </w:rPr>
      </w:pPr>
    </w:p>
    <w:p w14:paraId="1BDE5C7B" w14:textId="1C75BD65"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Не е проучвана фармакокинетиката на тенофовир при пациенти с креатининов клирънс &lt;10 </w:t>
      </w:r>
      <w:r w:rsidRPr="00D812F5">
        <w:rPr>
          <w:rFonts w:eastAsia="Times New Roman" w:cs="Arial"/>
          <w:color w:val="000000"/>
          <w:lang w:val="en-US"/>
        </w:rPr>
        <w:t xml:space="preserve">ml/min, </w:t>
      </w:r>
      <w:r w:rsidRPr="00D812F5">
        <w:rPr>
          <w:rFonts w:eastAsia="Times New Roman" w:cs="Arial"/>
          <w:color w:val="000000"/>
          <w:lang w:eastAsia="bg-BG"/>
        </w:rPr>
        <w:t>които не са на хемодиализа, и при пациенти с КСБЗ на перитонеална или друга форма на диализа.</w:t>
      </w:r>
    </w:p>
    <w:p w14:paraId="02589C6D" w14:textId="77777777" w:rsidR="00D812F5" w:rsidRDefault="00D812F5" w:rsidP="00D812F5">
      <w:pPr>
        <w:spacing w:line="240" w:lineRule="auto"/>
        <w:rPr>
          <w:rFonts w:eastAsia="Times New Roman" w:cs="Arial"/>
          <w:color w:val="000000"/>
          <w:lang w:eastAsia="bg-BG"/>
        </w:rPr>
      </w:pPr>
    </w:p>
    <w:p w14:paraId="3C8E9ABF" w14:textId="4E7BE6F8"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Не е проучена фармакокинетиката на тенофовир при педиатрични пациенти с бъбречно увреждане. Няма данни, на базата на които да се направят препоръки за дозата (вж. точки 4.2 и 4.4).</w:t>
      </w:r>
    </w:p>
    <w:p w14:paraId="08696608" w14:textId="77777777" w:rsidR="00D812F5" w:rsidRDefault="00D812F5" w:rsidP="00D812F5">
      <w:pPr>
        <w:spacing w:line="240" w:lineRule="auto"/>
        <w:rPr>
          <w:rFonts w:eastAsia="Times New Roman" w:cs="Arial"/>
          <w:color w:val="000000"/>
          <w:u w:val="single"/>
          <w:lang w:eastAsia="bg-BG"/>
        </w:rPr>
      </w:pPr>
    </w:p>
    <w:p w14:paraId="45D376D7" w14:textId="374FB898" w:rsidR="00D812F5" w:rsidRPr="00D812F5" w:rsidRDefault="00D812F5" w:rsidP="00D812F5">
      <w:pPr>
        <w:spacing w:line="240" w:lineRule="auto"/>
        <w:rPr>
          <w:rFonts w:eastAsia="Times New Roman" w:cs="Arial"/>
          <w:lang w:eastAsia="bg-BG"/>
        </w:rPr>
      </w:pPr>
      <w:r w:rsidRPr="00D812F5">
        <w:rPr>
          <w:rFonts w:eastAsia="Times New Roman" w:cs="Arial"/>
          <w:color w:val="000000"/>
          <w:u w:val="single"/>
          <w:lang w:eastAsia="bg-BG"/>
        </w:rPr>
        <w:t>Чернодробно увреждане</w:t>
      </w:r>
    </w:p>
    <w:p w14:paraId="5C82EDB2"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При възрастни пациенти, неинфектирани с </w:t>
      </w:r>
      <w:r w:rsidRPr="00D812F5">
        <w:rPr>
          <w:rFonts w:eastAsia="Times New Roman" w:cs="Arial"/>
          <w:color w:val="000000"/>
          <w:lang w:val="en-US"/>
        </w:rPr>
        <w:t xml:space="preserve">HIV </w:t>
      </w:r>
      <w:r w:rsidRPr="00D812F5">
        <w:rPr>
          <w:rFonts w:eastAsia="Times New Roman" w:cs="Arial"/>
          <w:color w:val="000000"/>
          <w:lang w:eastAsia="bg-BG"/>
        </w:rPr>
        <w:t xml:space="preserve">и неинфектирани с </w:t>
      </w:r>
      <w:r w:rsidRPr="00D812F5">
        <w:rPr>
          <w:rFonts w:eastAsia="Times New Roman" w:cs="Arial"/>
          <w:color w:val="000000"/>
          <w:lang w:val="en-US"/>
        </w:rPr>
        <w:t xml:space="preserve">HBV, </w:t>
      </w:r>
      <w:r w:rsidRPr="00D812F5">
        <w:rPr>
          <w:rFonts w:eastAsia="Times New Roman" w:cs="Arial"/>
          <w:color w:val="000000"/>
          <w:lang w:eastAsia="bg-BG"/>
        </w:rPr>
        <w:t xml:space="preserve">но с различно по степен чернодробно увреждане, определено по класификацията на </w:t>
      </w:r>
      <w:r w:rsidRPr="00D812F5">
        <w:rPr>
          <w:rFonts w:eastAsia="Times New Roman" w:cs="Arial"/>
          <w:color w:val="000000"/>
          <w:lang w:val="en-US"/>
        </w:rPr>
        <w:t xml:space="preserve">Child-Pugh-Turcotte </w:t>
      </w:r>
      <w:r w:rsidRPr="00D812F5">
        <w:rPr>
          <w:rFonts w:eastAsia="Times New Roman" w:cs="Arial"/>
          <w:color w:val="000000"/>
          <w:lang w:eastAsia="bg-BG"/>
        </w:rPr>
        <w:t xml:space="preserve">(СРТ), е била приложена единична доза от 245 </w:t>
      </w:r>
      <w:r w:rsidRPr="00D812F5">
        <w:rPr>
          <w:rFonts w:eastAsia="Times New Roman" w:cs="Arial"/>
          <w:color w:val="000000"/>
          <w:lang w:val="en-US"/>
        </w:rPr>
        <w:t xml:space="preserve">mg </w:t>
      </w:r>
      <w:r w:rsidRPr="00D812F5">
        <w:rPr>
          <w:rFonts w:eastAsia="Times New Roman" w:cs="Arial"/>
          <w:color w:val="000000"/>
          <w:lang w:eastAsia="bg-BG"/>
        </w:rPr>
        <w:t xml:space="preserve">тенофовир дизопроксил. Не са установени съществени промени във фармакокинетиката на тенофовир при участниците с чернодробно увреждане, което предполага, че при такива пробанди не се налага адаптиране на дозата. Средните стойности (% </w:t>
      </w:r>
      <w:r w:rsidRPr="00D812F5">
        <w:rPr>
          <w:rFonts w:eastAsia="Times New Roman" w:cs="Arial"/>
          <w:color w:val="000000"/>
          <w:lang w:val="en-US"/>
        </w:rPr>
        <w:t xml:space="preserve">CV) </w:t>
      </w:r>
      <w:r w:rsidRPr="00D812F5">
        <w:rPr>
          <w:rFonts w:eastAsia="Times New Roman" w:cs="Arial"/>
          <w:color w:val="000000"/>
          <w:lang w:eastAsia="bg-BG"/>
        </w:rPr>
        <w:t>за С</w:t>
      </w:r>
      <w:r w:rsidRPr="00D812F5">
        <w:rPr>
          <w:rFonts w:eastAsia="Times New Roman" w:cs="Arial"/>
          <w:color w:val="000000"/>
          <w:vertAlign w:val="subscript"/>
          <w:lang w:val="en-US"/>
        </w:rPr>
        <w:t>max</w:t>
      </w:r>
      <w:r w:rsidRPr="00D812F5">
        <w:rPr>
          <w:rFonts w:eastAsia="Times New Roman" w:cs="Arial"/>
          <w:color w:val="000000"/>
          <w:lang w:eastAsia="bg-BG"/>
        </w:rPr>
        <w:t xml:space="preserve"> и </w:t>
      </w:r>
      <w:r w:rsidRPr="00D812F5">
        <w:rPr>
          <w:rFonts w:eastAsia="Times New Roman" w:cs="Arial"/>
          <w:color w:val="000000"/>
          <w:lang w:val="en-US"/>
        </w:rPr>
        <w:t>AUC</w:t>
      </w:r>
      <w:r w:rsidRPr="00D812F5">
        <w:rPr>
          <w:rFonts w:eastAsia="Times New Roman" w:cs="Arial"/>
          <w:color w:val="000000"/>
          <w:vertAlign w:val="subscript"/>
          <w:lang w:val="en-US"/>
        </w:rPr>
        <w:t xml:space="preserve">0-∞ </w:t>
      </w:r>
      <w:r w:rsidRPr="00D812F5">
        <w:rPr>
          <w:rFonts w:eastAsia="Times New Roman" w:cs="Arial"/>
          <w:color w:val="000000"/>
          <w:lang w:eastAsia="bg-BG"/>
        </w:rPr>
        <w:t xml:space="preserve">за тенофовир са били при участници с нормална чернодробна функция съответно 223 (34,8 %) </w:t>
      </w:r>
      <w:r w:rsidRPr="00D812F5">
        <w:rPr>
          <w:rFonts w:eastAsia="Times New Roman" w:cs="Arial"/>
          <w:color w:val="000000"/>
          <w:lang w:val="en-US"/>
        </w:rPr>
        <w:t xml:space="preserve">ng/ml </w:t>
      </w:r>
      <w:r w:rsidRPr="00D812F5">
        <w:rPr>
          <w:rFonts w:eastAsia="Times New Roman" w:cs="Arial"/>
          <w:color w:val="000000"/>
          <w:lang w:eastAsia="bg-BG"/>
        </w:rPr>
        <w:t xml:space="preserve">и 2050 (50,8 %) </w:t>
      </w:r>
      <w:r w:rsidRPr="00D812F5">
        <w:rPr>
          <w:rFonts w:eastAsia="Times New Roman" w:cs="Arial"/>
          <w:color w:val="000000"/>
          <w:lang w:val="en-US"/>
        </w:rPr>
        <w:t xml:space="preserve">ng h/ml, </w:t>
      </w:r>
      <w:r w:rsidRPr="00D812F5">
        <w:rPr>
          <w:rFonts w:eastAsia="Times New Roman" w:cs="Arial"/>
          <w:color w:val="000000"/>
          <w:lang w:eastAsia="bg-BG"/>
        </w:rPr>
        <w:t xml:space="preserve">сравнено с 289 (46,0 %) </w:t>
      </w:r>
      <w:r w:rsidRPr="00D812F5">
        <w:rPr>
          <w:rFonts w:eastAsia="Times New Roman" w:cs="Arial"/>
          <w:color w:val="000000"/>
          <w:lang w:val="en-US"/>
        </w:rPr>
        <w:t xml:space="preserve">ng/ml </w:t>
      </w:r>
      <w:r w:rsidRPr="00D812F5">
        <w:rPr>
          <w:rFonts w:eastAsia="Times New Roman" w:cs="Arial"/>
          <w:color w:val="000000"/>
          <w:lang w:eastAsia="bg-BG"/>
        </w:rPr>
        <w:t xml:space="preserve">и 2310 (43,5 %) </w:t>
      </w:r>
      <w:r w:rsidRPr="00D812F5">
        <w:rPr>
          <w:rFonts w:eastAsia="Times New Roman" w:cs="Arial"/>
          <w:color w:val="000000"/>
          <w:lang w:val="en-US"/>
        </w:rPr>
        <w:t xml:space="preserve">ng h/ml </w:t>
      </w:r>
      <w:r w:rsidRPr="00D812F5">
        <w:rPr>
          <w:rFonts w:eastAsia="Times New Roman" w:cs="Arial"/>
          <w:color w:val="000000"/>
          <w:lang w:eastAsia="bg-BG"/>
        </w:rPr>
        <w:t xml:space="preserve">при участници с умерено чернодробно увреждане и 305 (24,8 %) </w:t>
      </w:r>
      <w:r w:rsidRPr="00D812F5">
        <w:rPr>
          <w:rFonts w:eastAsia="Times New Roman" w:cs="Arial"/>
          <w:color w:val="000000"/>
          <w:lang w:val="en-US"/>
        </w:rPr>
        <w:t xml:space="preserve">ng/ml </w:t>
      </w:r>
      <w:r w:rsidRPr="00D812F5">
        <w:rPr>
          <w:rFonts w:eastAsia="Times New Roman" w:cs="Arial"/>
          <w:color w:val="000000"/>
          <w:lang w:eastAsia="bg-BG"/>
        </w:rPr>
        <w:t xml:space="preserve">и 2740 (44,0 %) </w:t>
      </w:r>
      <w:r w:rsidRPr="00D812F5">
        <w:rPr>
          <w:rFonts w:eastAsia="Times New Roman" w:cs="Arial"/>
          <w:color w:val="000000"/>
          <w:lang w:val="en-US"/>
        </w:rPr>
        <w:t xml:space="preserve">ng h/ml </w:t>
      </w:r>
      <w:r w:rsidRPr="00D812F5">
        <w:rPr>
          <w:rFonts w:eastAsia="Times New Roman" w:cs="Arial"/>
          <w:color w:val="000000"/>
          <w:lang w:eastAsia="bg-BG"/>
        </w:rPr>
        <w:t>при участници с тежко чернодробно увреждане.</w:t>
      </w:r>
    </w:p>
    <w:p w14:paraId="6E22DBD9" w14:textId="77777777" w:rsidR="00D812F5" w:rsidRDefault="00D812F5" w:rsidP="00D812F5">
      <w:pPr>
        <w:spacing w:line="240" w:lineRule="auto"/>
        <w:rPr>
          <w:rFonts w:eastAsia="Times New Roman" w:cs="Arial"/>
          <w:color w:val="000000"/>
          <w:u w:val="single"/>
          <w:lang w:eastAsia="bg-BG"/>
        </w:rPr>
      </w:pPr>
    </w:p>
    <w:p w14:paraId="25E5AC78" w14:textId="5DA3C0A8" w:rsidR="00D812F5" w:rsidRPr="00D812F5" w:rsidRDefault="00D812F5" w:rsidP="00D812F5">
      <w:pPr>
        <w:spacing w:line="240" w:lineRule="auto"/>
        <w:rPr>
          <w:rFonts w:eastAsia="Times New Roman" w:cs="Arial"/>
          <w:lang w:eastAsia="bg-BG"/>
        </w:rPr>
      </w:pPr>
      <w:r w:rsidRPr="00D812F5">
        <w:rPr>
          <w:rFonts w:eastAsia="Times New Roman" w:cs="Arial"/>
          <w:color w:val="000000"/>
          <w:u w:val="single"/>
          <w:lang w:eastAsia="bg-BG"/>
        </w:rPr>
        <w:t>Вътреклетъчна фармакокинетика</w:t>
      </w:r>
    </w:p>
    <w:p w14:paraId="78FF9676" w14:textId="77163329" w:rsidR="00D812F5" w:rsidRPr="00D812F5" w:rsidRDefault="00D812F5" w:rsidP="00D812F5">
      <w:pPr>
        <w:rPr>
          <w:rFonts w:eastAsia="Times New Roman" w:cs="Arial"/>
          <w:color w:val="000000"/>
          <w:lang w:val="en-US" w:eastAsia="bg-BG"/>
        </w:rPr>
      </w:pPr>
      <w:r w:rsidRPr="00D812F5">
        <w:rPr>
          <w:rFonts w:eastAsia="Times New Roman" w:cs="Arial"/>
          <w:color w:val="000000"/>
          <w:lang w:eastAsia="bg-BG"/>
        </w:rPr>
        <w:t>Установено е, че полуживотът на тенофовир дифосфат в непролифериращи човешки мононуклеарни клетки от периферна кръв (МКПК) е около 50 часа, докато полуживотът в стимулирани с фитохемаглутинин МКПК е около 10 часа.</w:t>
      </w:r>
    </w:p>
    <w:p w14:paraId="3CD4BFD0" w14:textId="77777777" w:rsidR="00D812F5" w:rsidRPr="00D812F5" w:rsidRDefault="00D812F5" w:rsidP="00D812F5"/>
    <w:p w14:paraId="0CC65FE3" w14:textId="4A590679" w:rsidR="00EE6C97" w:rsidRDefault="002C50EE" w:rsidP="00A93499">
      <w:pPr>
        <w:pStyle w:val="Heading2"/>
      </w:pPr>
      <w:r>
        <w:t>5.3. Предклинични данни за безопасност</w:t>
      </w:r>
    </w:p>
    <w:p w14:paraId="545A2680" w14:textId="2183CE79" w:rsidR="00D812F5" w:rsidRDefault="00D812F5" w:rsidP="00D812F5"/>
    <w:p w14:paraId="73ACD948" w14:textId="77777777"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lastRenderedPageBreak/>
        <w:t>Неклиничните фармакологични проучвания за безопасност не показват особен риск за хора. Резултатите от изпитванията за токсичност при многократно прилагане при плъхове, кучета и маймуни при нива на експозиция, по-големи или равни на нивата на клинична експозиция и с възможно значение за клиничната употреба, включват токсичност за бъбреците и костите и понижаване на серумните концентрации на фосфатите. Токсичността за костите е диагностицирана като остеомалация (при маймуни) и намалена костна минерална плътност (КМП) (при плъхове и кучета). Токсичността за костите при млади възрастни плъхове и кучета се е проявила при експозиции ≥ 5-пъти експозициите при педиатрични или възрастни пациенти; токсичност за костите се е проявила при инфектирани маймуни в юношеска възраст при много високи експозиции след подкожно приложение (≥40-пъти експозицията при пациенти). Резултатите от проучванията с плъхове и маймуни показват, че има намалена интестинална абсорбция на фосфати и евентуална вторична редукция на КМП, свързани със съставките.</w:t>
      </w:r>
    </w:p>
    <w:p w14:paraId="0BA7A7FF" w14:textId="77777777" w:rsidR="00D812F5" w:rsidRDefault="00D812F5" w:rsidP="00D812F5">
      <w:pPr>
        <w:spacing w:line="240" w:lineRule="auto"/>
        <w:rPr>
          <w:rFonts w:eastAsia="Times New Roman" w:cs="Arial"/>
          <w:color w:val="000000"/>
          <w:lang w:eastAsia="bg-BG"/>
        </w:rPr>
      </w:pPr>
    </w:p>
    <w:p w14:paraId="49188848" w14:textId="0D36D575"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 xml:space="preserve">Проучванията за генотоксичност показват положителни резултати при </w:t>
      </w:r>
      <w:r w:rsidRPr="00D812F5">
        <w:rPr>
          <w:rFonts w:eastAsia="Times New Roman" w:cs="Arial"/>
          <w:i/>
          <w:iCs/>
          <w:color w:val="000000"/>
          <w:lang w:val="en-US"/>
        </w:rPr>
        <w:t>in vitro</w:t>
      </w:r>
      <w:r w:rsidRPr="00D812F5">
        <w:rPr>
          <w:rFonts w:eastAsia="Times New Roman" w:cs="Arial"/>
          <w:color w:val="000000"/>
          <w:lang w:val="en-US"/>
        </w:rPr>
        <w:t xml:space="preserve"> </w:t>
      </w:r>
      <w:r w:rsidRPr="00D812F5">
        <w:rPr>
          <w:rFonts w:eastAsia="Times New Roman" w:cs="Arial"/>
          <w:color w:val="000000"/>
          <w:lang w:eastAsia="bg-BG"/>
        </w:rPr>
        <w:t xml:space="preserve">теста с миши лимфомни клетки, нееднозначни резултати при един от щамовете, използвани в теста на Еймс, и слабо положителни резултати при един </w:t>
      </w:r>
      <w:r w:rsidRPr="00D812F5">
        <w:rPr>
          <w:rFonts w:eastAsia="Times New Roman" w:cs="Arial"/>
          <w:color w:val="000000"/>
          <w:lang w:val="en-US"/>
        </w:rPr>
        <w:t xml:space="preserve">UDS (unscheduled DNA synthesis </w:t>
      </w:r>
      <w:r w:rsidRPr="00D812F5">
        <w:rPr>
          <w:rFonts w:eastAsia="Times New Roman" w:cs="Arial"/>
          <w:color w:val="000000"/>
          <w:lang w:eastAsia="bg-BG"/>
        </w:rPr>
        <w:t xml:space="preserve">- синтеза на ДНК извън </w:t>
      </w:r>
      <w:r w:rsidRPr="00D812F5">
        <w:rPr>
          <w:rFonts w:eastAsia="Times New Roman" w:cs="Arial"/>
          <w:color w:val="000000"/>
          <w:lang w:val="en-US"/>
        </w:rPr>
        <w:t>S</w:t>
      </w:r>
      <w:r w:rsidRPr="00D812F5">
        <w:rPr>
          <w:rFonts w:eastAsia="Times New Roman" w:cs="Arial"/>
          <w:color w:val="000000"/>
          <w:lang w:eastAsia="bg-BG"/>
        </w:rPr>
        <w:t xml:space="preserve">-фазата) тест върху първични хепатоцити от плъх. Той е бил, обаче, отрицателен при </w:t>
      </w:r>
      <w:r w:rsidRPr="00D812F5">
        <w:rPr>
          <w:rFonts w:eastAsia="Times New Roman" w:cs="Arial"/>
          <w:i/>
          <w:iCs/>
          <w:color w:val="000000"/>
          <w:lang w:val="en-US"/>
        </w:rPr>
        <w:t xml:space="preserve">in vivo </w:t>
      </w:r>
      <w:r w:rsidRPr="00D812F5">
        <w:rPr>
          <w:rFonts w:eastAsia="Times New Roman" w:cs="Arial"/>
          <w:color w:val="000000"/>
          <w:lang w:eastAsia="bg-BG"/>
        </w:rPr>
        <w:t>микронуклеарен тест на миши костен мозък.</w:t>
      </w:r>
    </w:p>
    <w:p w14:paraId="1407EAE1" w14:textId="77777777" w:rsidR="00D812F5" w:rsidRDefault="00D812F5" w:rsidP="00D812F5">
      <w:pPr>
        <w:spacing w:line="240" w:lineRule="auto"/>
        <w:rPr>
          <w:rFonts w:eastAsia="Times New Roman" w:cs="Arial"/>
          <w:color w:val="000000"/>
          <w:lang w:eastAsia="bg-BG"/>
        </w:rPr>
      </w:pPr>
    </w:p>
    <w:p w14:paraId="4D310600" w14:textId="39E4A7D8" w:rsidR="00D812F5" w:rsidRPr="00D812F5" w:rsidRDefault="00D812F5" w:rsidP="00D812F5">
      <w:pPr>
        <w:spacing w:line="240" w:lineRule="auto"/>
        <w:rPr>
          <w:rFonts w:eastAsia="Times New Roman" w:cs="Arial"/>
          <w:lang w:eastAsia="bg-BG"/>
        </w:rPr>
      </w:pPr>
      <w:r w:rsidRPr="00D812F5">
        <w:rPr>
          <w:rFonts w:eastAsia="Times New Roman" w:cs="Arial"/>
          <w:color w:val="000000"/>
          <w:lang w:eastAsia="bg-BG"/>
        </w:rPr>
        <w:t>Проучванията за карциногенност с перорално приложение при плъхове и мишки показват само ниска честота на дуоденални тумори при изключително висока доза- при мишки. Малко вероятно е тези тумори да са от значение при хора.</w:t>
      </w:r>
    </w:p>
    <w:p w14:paraId="6CC011A7" w14:textId="77777777" w:rsidR="00D812F5" w:rsidRPr="00D812F5" w:rsidRDefault="00D812F5" w:rsidP="00D812F5">
      <w:pPr>
        <w:spacing w:line="240" w:lineRule="auto"/>
        <w:rPr>
          <w:rFonts w:eastAsia="Times New Roman" w:cs="Arial"/>
          <w:lang w:eastAsia="bg-BG"/>
        </w:rPr>
      </w:pPr>
    </w:p>
    <w:p w14:paraId="5894C6DB" w14:textId="0ECA7250" w:rsidR="00D812F5" w:rsidRDefault="00D812F5" w:rsidP="00D812F5">
      <w:pPr>
        <w:rPr>
          <w:rFonts w:eastAsia="Times New Roman" w:cs="Arial"/>
          <w:color w:val="000000"/>
          <w:lang w:eastAsia="bg-BG"/>
        </w:rPr>
      </w:pPr>
      <w:r w:rsidRPr="00D812F5">
        <w:rPr>
          <w:rFonts w:eastAsia="Times New Roman" w:cs="Arial"/>
          <w:color w:val="000000"/>
          <w:lang w:eastAsia="bg-BG"/>
        </w:rPr>
        <w:t>Проучвания за репродуктивна токсичност при плъхове и зайци не показват ефект</w:t>
      </w:r>
      <w:r w:rsidRPr="00D812F5">
        <w:rPr>
          <w:rFonts w:eastAsia="Times New Roman" w:cs="Arial"/>
          <w:color w:val="000000"/>
          <w:lang w:val="en-US"/>
        </w:rPr>
        <w:t xml:space="preserve"> </w:t>
      </w:r>
      <w:r w:rsidRPr="00D812F5">
        <w:rPr>
          <w:rFonts w:eastAsia="Times New Roman" w:cs="Arial"/>
          <w:color w:val="000000"/>
          <w:lang w:eastAsia="bg-BG"/>
        </w:rPr>
        <w:t>върху чифтосването, фертилитета, бременността или параметрите на плода. Тенофовир дизопроксил, обаче, е намалил индекса на жизнеността и телесната маса на кутрета при проучвания за пери-и постнатална токсичност при токсични за майката дози.</w:t>
      </w:r>
    </w:p>
    <w:p w14:paraId="07901FDD" w14:textId="3F23089F" w:rsidR="00D812F5" w:rsidRDefault="00D812F5" w:rsidP="00D812F5">
      <w:pPr>
        <w:rPr>
          <w:rFonts w:eastAsia="Times New Roman" w:cs="Arial"/>
          <w:color w:val="000000"/>
          <w:lang w:eastAsia="bg-BG"/>
        </w:rPr>
      </w:pPr>
    </w:p>
    <w:p w14:paraId="3E0EA377" w14:textId="2B754780" w:rsidR="00D812F5" w:rsidRPr="00D812F5" w:rsidRDefault="00D812F5" w:rsidP="00D812F5">
      <w:pPr>
        <w:rPr>
          <w:sz w:val="24"/>
          <w:szCs w:val="24"/>
          <w:lang w:eastAsia="bg-BG"/>
        </w:rPr>
      </w:pPr>
      <w:r w:rsidRPr="00D812F5">
        <w:rPr>
          <w:lang w:eastAsia="bg-BG"/>
        </w:rPr>
        <w:t>Активното вещество тенофовир дизопроксил и основните продукти от трансформацията му не се разграждат в околната среда.</w:t>
      </w:r>
    </w:p>
    <w:p w14:paraId="357049A8" w14:textId="4D44C181" w:rsidR="00BB22B4" w:rsidRDefault="002C50EE" w:rsidP="00471F10">
      <w:pPr>
        <w:pStyle w:val="Heading1"/>
      </w:pPr>
      <w:r>
        <w:t>7. ПРИТЕЖАТЕЛ НА РАЗРЕШЕНИЕТО ЗА УПОТРЕБА</w:t>
      </w:r>
    </w:p>
    <w:p w14:paraId="61C0610E" w14:textId="2C584535" w:rsidR="00D812F5" w:rsidRDefault="00D812F5" w:rsidP="00D812F5"/>
    <w:p w14:paraId="1C7D790A" w14:textId="77777777" w:rsidR="00D812F5" w:rsidRPr="00D812F5" w:rsidRDefault="00D812F5" w:rsidP="00D812F5">
      <w:pPr>
        <w:rPr>
          <w:sz w:val="24"/>
          <w:szCs w:val="24"/>
          <w:lang w:val="en-US" w:eastAsia="bg-BG"/>
        </w:rPr>
      </w:pPr>
      <w:proofErr w:type="spellStart"/>
      <w:r w:rsidRPr="00D812F5">
        <w:rPr>
          <w:lang w:val="en-US"/>
        </w:rPr>
        <w:t>Alvogen</w:t>
      </w:r>
      <w:proofErr w:type="spellEnd"/>
      <w:r w:rsidRPr="00D812F5">
        <w:rPr>
          <w:lang w:val="en-US"/>
        </w:rPr>
        <w:t xml:space="preserve"> Malta Operations (ROW) Ltd.</w:t>
      </w:r>
    </w:p>
    <w:p w14:paraId="5163C40A" w14:textId="5625637E" w:rsidR="00D812F5" w:rsidRDefault="00D812F5" w:rsidP="00D812F5">
      <w:pPr>
        <w:rPr>
          <w:lang w:val="en-US"/>
        </w:rPr>
      </w:pPr>
      <w:r w:rsidRPr="00D812F5">
        <w:rPr>
          <w:lang w:val="en-US"/>
        </w:rPr>
        <w:t>Malta Life Sciences Park, Building 1, Level 4,</w:t>
      </w:r>
    </w:p>
    <w:p w14:paraId="58D34BA5" w14:textId="77777777" w:rsidR="00D812F5" w:rsidRDefault="00D812F5" w:rsidP="00D812F5">
      <w:pPr>
        <w:rPr>
          <w:lang w:val="en-US"/>
        </w:rPr>
      </w:pPr>
      <w:r w:rsidRPr="00D812F5">
        <w:rPr>
          <w:lang w:val="en-US"/>
        </w:rPr>
        <w:t xml:space="preserve">Sir </w:t>
      </w:r>
      <w:proofErr w:type="spellStart"/>
      <w:r w:rsidRPr="00D812F5">
        <w:rPr>
          <w:lang w:val="en-US"/>
        </w:rPr>
        <w:t>Temi</w:t>
      </w:r>
      <w:proofErr w:type="spellEnd"/>
      <w:r w:rsidRPr="00D812F5">
        <w:rPr>
          <w:lang w:val="en-US"/>
        </w:rPr>
        <w:t xml:space="preserve"> Zammit Buildings, </w:t>
      </w:r>
    </w:p>
    <w:p w14:paraId="3BD420BE" w14:textId="77777777" w:rsidR="00D812F5" w:rsidRDefault="00D812F5" w:rsidP="00D812F5">
      <w:pPr>
        <w:rPr>
          <w:lang w:val="en-US"/>
        </w:rPr>
      </w:pPr>
      <w:r w:rsidRPr="00D812F5">
        <w:rPr>
          <w:lang w:val="en-US"/>
        </w:rPr>
        <w:t xml:space="preserve">San </w:t>
      </w:r>
      <w:proofErr w:type="spellStart"/>
      <w:r w:rsidRPr="00D812F5">
        <w:rPr>
          <w:lang w:val="en-US"/>
        </w:rPr>
        <w:t>Gwann</w:t>
      </w:r>
      <w:proofErr w:type="spellEnd"/>
      <w:r w:rsidRPr="00D812F5">
        <w:rPr>
          <w:lang w:val="en-US"/>
        </w:rPr>
        <w:t xml:space="preserve"> SGN 3000, </w:t>
      </w:r>
    </w:p>
    <w:p w14:paraId="6439615C" w14:textId="3D09CB96" w:rsidR="00D812F5" w:rsidRPr="00D812F5" w:rsidRDefault="00D812F5" w:rsidP="00D812F5">
      <w:pPr>
        <w:rPr>
          <w:sz w:val="24"/>
          <w:szCs w:val="24"/>
          <w:lang w:val="en-US" w:eastAsia="bg-BG"/>
        </w:rPr>
      </w:pPr>
      <w:r w:rsidRPr="00D812F5">
        <w:rPr>
          <w:lang w:eastAsia="bg-BG"/>
        </w:rPr>
        <w:t>Малта</w:t>
      </w:r>
    </w:p>
    <w:p w14:paraId="7366C4BE" w14:textId="77777777" w:rsidR="00D812F5" w:rsidRPr="00D812F5" w:rsidRDefault="00D812F5" w:rsidP="00D812F5"/>
    <w:p w14:paraId="0A53321D" w14:textId="53F8FE67" w:rsidR="00EE6C97" w:rsidRDefault="00936AD0" w:rsidP="00A93499">
      <w:pPr>
        <w:pStyle w:val="Heading1"/>
      </w:pPr>
      <w:r>
        <w:t>8.</w:t>
      </w:r>
      <w:r w:rsidR="002C50EE">
        <w:t>НОМЕР НА РАЗРЕШЕНИЕТО ЗА УПОТРЕБА</w:t>
      </w:r>
    </w:p>
    <w:p w14:paraId="1244860B" w14:textId="69D7188E" w:rsidR="00D812F5" w:rsidRDefault="00D812F5" w:rsidP="00D812F5"/>
    <w:p w14:paraId="7BD5E124" w14:textId="2DAF6A0F" w:rsidR="00D812F5" w:rsidRPr="00D812F5" w:rsidRDefault="00D812F5" w:rsidP="00D812F5">
      <w:r>
        <w:t>Per. № 20180079</w:t>
      </w:r>
    </w:p>
    <w:p w14:paraId="3715C10B" w14:textId="3D847FA4" w:rsidR="00BB22B4" w:rsidRDefault="002C50EE" w:rsidP="00471F10">
      <w:pPr>
        <w:pStyle w:val="Heading1"/>
      </w:pPr>
      <w:r>
        <w:lastRenderedPageBreak/>
        <w:t>9. ДАТА НА ПЪРВО РАЗРЕШАВАНЕ/ПОДНОВЯВАНЕ НА РАЗРЕШЕНИЕТО ЗА УПОТРЕБА</w:t>
      </w:r>
    </w:p>
    <w:p w14:paraId="1F218747" w14:textId="644F7A52" w:rsidR="00D812F5" w:rsidRDefault="00D812F5" w:rsidP="00D812F5"/>
    <w:p w14:paraId="58C84F96" w14:textId="77777777" w:rsidR="00D812F5" w:rsidRPr="00D812F5" w:rsidRDefault="00D812F5" w:rsidP="00D812F5">
      <w:pPr>
        <w:rPr>
          <w:sz w:val="24"/>
          <w:szCs w:val="24"/>
          <w:lang w:eastAsia="bg-BG"/>
        </w:rPr>
      </w:pPr>
      <w:r w:rsidRPr="00D812F5">
        <w:rPr>
          <w:lang w:eastAsia="bg-BG"/>
        </w:rPr>
        <w:t>Дата на първо разрешаване: 05.04.2018</w:t>
      </w:r>
    </w:p>
    <w:p w14:paraId="58147939" w14:textId="3BC36823" w:rsidR="00D812F5" w:rsidRPr="00D812F5" w:rsidRDefault="00D812F5" w:rsidP="00D812F5">
      <w:r w:rsidRPr="00D812F5">
        <w:rPr>
          <w:lang w:eastAsia="bg-BG"/>
        </w:rPr>
        <w:t>Дата на последно подновяване: {ДД месец 1 Г</w:t>
      </w:r>
      <w:r>
        <w:rPr>
          <w:lang w:eastAsia="bg-BG"/>
        </w:rPr>
        <w:t>ГГГ</w:t>
      </w:r>
      <w:r w:rsidRPr="00D812F5">
        <w:rPr>
          <w:lang w:eastAsia="bg-BG"/>
        </w:rPr>
        <w:t>}</w:t>
      </w:r>
    </w:p>
    <w:p w14:paraId="43FB38A2" w14:textId="0C18A683" w:rsidR="007C605B" w:rsidRDefault="002C50EE" w:rsidP="005726E3">
      <w:pPr>
        <w:pStyle w:val="Heading1"/>
      </w:pPr>
      <w:r>
        <w:t>10. ДАТА НА АКТУАЛИЗИРАНЕ НА ТЕКСТА</w:t>
      </w:r>
      <w:bookmarkEnd w:id="0"/>
    </w:p>
    <w:p w14:paraId="472617BD" w14:textId="4926CC45" w:rsidR="00BB22B4" w:rsidRPr="00BB22B4" w:rsidRDefault="00D812F5" w:rsidP="00D812F5">
      <w:r>
        <w:t>01.2020</w:t>
      </w:r>
      <w:bookmarkStart w:id="1" w:name="_GoBack"/>
      <w:bookmarkEnd w:id="1"/>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337D0"/>
    <w:multiLevelType w:val="multilevel"/>
    <w:tmpl w:val="3196D8B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3F3A512B"/>
    <w:multiLevelType w:val="multilevel"/>
    <w:tmpl w:val="3196D8B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040F6"/>
    <w:multiLevelType w:val="multilevel"/>
    <w:tmpl w:val="3196D8B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0"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3"/>
  </w:num>
  <w:num w:numId="2">
    <w:abstractNumId w:val="0"/>
  </w:num>
  <w:num w:numId="3">
    <w:abstractNumId w:val="15"/>
  </w:num>
  <w:num w:numId="4">
    <w:abstractNumId w:val="3"/>
  </w:num>
  <w:num w:numId="5">
    <w:abstractNumId w:val="1"/>
  </w:num>
  <w:num w:numId="6">
    <w:abstractNumId w:val="21"/>
  </w:num>
  <w:num w:numId="7">
    <w:abstractNumId w:val="12"/>
  </w:num>
  <w:num w:numId="8">
    <w:abstractNumId w:val="19"/>
  </w:num>
  <w:num w:numId="9">
    <w:abstractNumId w:val="2"/>
  </w:num>
  <w:num w:numId="10">
    <w:abstractNumId w:val="4"/>
  </w:num>
  <w:num w:numId="11">
    <w:abstractNumId w:val="36"/>
  </w:num>
  <w:num w:numId="12">
    <w:abstractNumId w:val="17"/>
  </w:num>
  <w:num w:numId="13">
    <w:abstractNumId w:val="24"/>
  </w:num>
  <w:num w:numId="14">
    <w:abstractNumId w:val="14"/>
  </w:num>
  <w:num w:numId="15">
    <w:abstractNumId w:val="35"/>
  </w:num>
  <w:num w:numId="16">
    <w:abstractNumId w:val="11"/>
  </w:num>
  <w:num w:numId="17">
    <w:abstractNumId w:val="30"/>
  </w:num>
  <w:num w:numId="18">
    <w:abstractNumId w:val="8"/>
  </w:num>
  <w:num w:numId="19">
    <w:abstractNumId w:val="32"/>
  </w:num>
  <w:num w:numId="20">
    <w:abstractNumId w:val="28"/>
  </w:num>
  <w:num w:numId="21">
    <w:abstractNumId w:val="22"/>
  </w:num>
  <w:num w:numId="22">
    <w:abstractNumId w:val="31"/>
  </w:num>
  <w:num w:numId="23">
    <w:abstractNumId w:val="23"/>
  </w:num>
  <w:num w:numId="24">
    <w:abstractNumId w:val="9"/>
  </w:num>
  <w:num w:numId="25">
    <w:abstractNumId w:val="27"/>
  </w:num>
  <w:num w:numId="26">
    <w:abstractNumId w:val="26"/>
  </w:num>
  <w:num w:numId="27">
    <w:abstractNumId w:val="37"/>
  </w:num>
  <w:num w:numId="28">
    <w:abstractNumId w:val="6"/>
  </w:num>
  <w:num w:numId="29">
    <w:abstractNumId w:val="25"/>
  </w:num>
  <w:num w:numId="30">
    <w:abstractNumId w:val="41"/>
  </w:num>
  <w:num w:numId="31">
    <w:abstractNumId w:val="5"/>
  </w:num>
  <w:num w:numId="32">
    <w:abstractNumId w:val="39"/>
  </w:num>
  <w:num w:numId="33">
    <w:abstractNumId w:val="34"/>
  </w:num>
  <w:num w:numId="34">
    <w:abstractNumId w:val="38"/>
  </w:num>
  <w:num w:numId="35">
    <w:abstractNumId w:val="7"/>
  </w:num>
  <w:num w:numId="36">
    <w:abstractNumId w:val="10"/>
  </w:num>
  <w:num w:numId="37">
    <w:abstractNumId w:val="18"/>
  </w:num>
  <w:num w:numId="38">
    <w:abstractNumId w:val="40"/>
  </w:num>
  <w:num w:numId="39">
    <w:abstractNumId w:val="13"/>
  </w:num>
  <w:num w:numId="40">
    <w:abstractNumId w:val="20"/>
  </w:num>
  <w:num w:numId="41">
    <w:abstractNumId w:val="2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0F629B"/>
    <w:rsid w:val="00185A46"/>
    <w:rsid w:val="001915B6"/>
    <w:rsid w:val="001A6EBD"/>
    <w:rsid w:val="001D1B23"/>
    <w:rsid w:val="00206CF1"/>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D2DB1"/>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12F5"/>
    <w:rsid w:val="00D86297"/>
    <w:rsid w:val="00DB32D3"/>
    <w:rsid w:val="00DD466D"/>
    <w:rsid w:val="00EB6364"/>
    <w:rsid w:val="00EE6C97"/>
    <w:rsid w:val="00F37B64"/>
    <w:rsid w:val="00F53FB7"/>
    <w:rsid w:val="00FB615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47</Pages>
  <Words>16841</Words>
  <Characters>95999</Characters>
  <Application>Microsoft Office Word</Application>
  <DocSecurity>0</DocSecurity>
  <Lines>799</Lines>
  <Paragraphs>225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2023-01-12T18:45:00Z</dcterms:created>
  <dcterms:modified xsi:type="dcterms:W3CDTF">2023-01-12T18:45:00Z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